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both"/>
        <w:rPr>
          <w:rFonts w:hint="eastAsia" w:ascii="宋体" w:hAnsi="宋体" w:eastAsia="宋体" w:cs="宋体"/>
          <w:b/>
          <w:bCs/>
          <w:color w:val="auto"/>
          <w:kern w:val="1"/>
          <w:sz w:val="32"/>
          <w:szCs w:val="32"/>
          <w:highlight w:val="none"/>
          <w:lang w:val="en-US" w:eastAsia="zh-CN" w:bidi="zh-CN"/>
        </w:rPr>
      </w:pPr>
      <w:r>
        <w:rPr>
          <w:rFonts w:hint="eastAsia" w:ascii="宋体" w:hAnsi="宋体" w:eastAsia="宋体" w:cs="宋体"/>
          <w:b/>
          <w:bCs/>
          <w:color w:val="auto"/>
          <w:kern w:val="1"/>
          <w:sz w:val="32"/>
          <w:szCs w:val="32"/>
          <w:highlight w:val="none"/>
          <w:lang w:val="en-US" w:eastAsia="zh-CN" w:bidi="zh-CN"/>
        </w:rPr>
        <w:t>项目编号：FHGJ-ZB2023-0048</w:t>
      </w:r>
    </w:p>
    <w:p>
      <w:pPr>
        <w:rPr>
          <w:b/>
          <w:bCs/>
          <w:color w:val="auto"/>
          <w:sz w:val="44"/>
          <w:szCs w:val="44"/>
          <w:highlight w:val="none"/>
          <w:lang w:val="en-US"/>
        </w:rPr>
      </w:pPr>
    </w:p>
    <w:p>
      <w:pPr>
        <w:pStyle w:val="23"/>
        <w:rPr>
          <w:b/>
          <w:bCs/>
          <w:color w:val="auto"/>
          <w:sz w:val="44"/>
          <w:szCs w:val="44"/>
          <w:highlight w:val="none"/>
          <w:lang w:val="en-US"/>
        </w:rPr>
      </w:pPr>
    </w:p>
    <w:p>
      <w:pPr>
        <w:rPr>
          <w:color w:val="auto"/>
          <w:highlight w:val="none"/>
          <w:lang w:val="en-US"/>
        </w:rPr>
      </w:pPr>
    </w:p>
    <w:p>
      <w:pPr>
        <w:pStyle w:val="12"/>
        <w:rPr>
          <w:color w:val="auto"/>
          <w:highlight w:val="none"/>
        </w:rPr>
      </w:pPr>
    </w:p>
    <w:p>
      <w:pPr>
        <w:spacing w:line="480" w:lineRule="auto"/>
        <w:ind w:left="-25" w:leftChars="-95" w:hanging="184"/>
        <w:jc w:val="center"/>
        <w:rPr>
          <w:color w:val="auto"/>
          <w:sz w:val="36"/>
          <w:szCs w:val="36"/>
          <w:highlight w:val="none"/>
        </w:rPr>
      </w:pPr>
      <w:r>
        <w:rPr>
          <w:rFonts w:hint="eastAsia"/>
          <w:b/>
          <w:bCs/>
          <w:color w:val="auto"/>
          <w:sz w:val="52"/>
          <w:szCs w:val="52"/>
          <w:highlight w:val="none"/>
        </w:rPr>
        <w:t>淳化县“淳捷办”应用程序升级项目</w:t>
      </w:r>
    </w:p>
    <w:p>
      <w:pPr>
        <w:pStyle w:val="12"/>
        <w:rPr>
          <w:color w:val="auto"/>
          <w:sz w:val="36"/>
          <w:szCs w:val="36"/>
          <w:highlight w:val="none"/>
        </w:rPr>
      </w:pPr>
    </w:p>
    <w:p>
      <w:pPr>
        <w:rPr>
          <w:color w:val="auto"/>
          <w:highlight w:val="none"/>
        </w:rPr>
      </w:pPr>
    </w:p>
    <w:p>
      <w:pPr>
        <w:pStyle w:val="12"/>
        <w:rPr>
          <w:color w:val="auto"/>
          <w:highlight w:val="none"/>
        </w:rPr>
      </w:pPr>
    </w:p>
    <w:p>
      <w:pPr>
        <w:spacing w:line="360" w:lineRule="atLeast"/>
        <w:jc w:val="center"/>
        <w:rPr>
          <w:b/>
          <w:bCs/>
          <w:color w:val="auto"/>
          <w:sz w:val="84"/>
          <w:szCs w:val="84"/>
          <w:highlight w:val="none"/>
          <w:lang w:val="en-US"/>
        </w:rPr>
      </w:pPr>
    </w:p>
    <w:p>
      <w:pPr>
        <w:spacing w:line="360" w:lineRule="atLeast"/>
        <w:jc w:val="center"/>
        <w:rPr>
          <w:b/>
          <w:bCs/>
          <w:color w:val="auto"/>
          <w:sz w:val="84"/>
          <w:szCs w:val="84"/>
          <w:highlight w:val="none"/>
          <w:u w:val="single"/>
        </w:rPr>
      </w:pPr>
      <w:r>
        <w:rPr>
          <w:rFonts w:hint="eastAsia"/>
          <w:b/>
          <w:bCs/>
          <w:color w:val="auto"/>
          <w:sz w:val="84"/>
          <w:szCs w:val="84"/>
          <w:highlight w:val="none"/>
          <w:lang w:val="en-US"/>
        </w:rPr>
        <w:t>招标文件</w:t>
      </w:r>
    </w:p>
    <w:p>
      <w:pPr>
        <w:spacing w:line="360" w:lineRule="atLeast"/>
        <w:jc w:val="center"/>
        <w:rPr>
          <w:color w:val="auto"/>
          <w:sz w:val="24"/>
          <w:szCs w:val="24"/>
          <w:highlight w:val="none"/>
        </w:rPr>
      </w:pPr>
    </w:p>
    <w:p>
      <w:pPr>
        <w:spacing w:line="360" w:lineRule="atLeast"/>
        <w:jc w:val="center"/>
        <w:rPr>
          <w:color w:val="auto"/>
          <w:sz w:val="24"/>
          <w:szCs w:val="24"/>
          <w:highlight w:val="none"/>
        </w:rPr>
      </w:pPr>
    </w:p>
    <w:p>
      <w:pPr>
        <w:autoSpaceDE/>
        <w:autoSpaceDN/>
        <w:spacing w:line="480" w:lineRule="auto"/>
        <w:ind w:right="105"/>
        <w:rPr>
          <w:color w:val="auto"/>
          <w:kern w:val="1"/>
          <w:sz w:val="24"/>
          <w:szCs w:val="24"/>
          <w:highlight w:val="none"/>
          <w:lang w:val="en-US"/>
        </w:rPr>
      </w:pPr>
    </w:p>
    <w:p>
      <w:pPr>
        <w:pStyle w:val="23"/>
        <w:rPr>
          <w:color w:val="auto"/>
          <w:kern w:val="1"/>
          <w:sz w:val="24"/>
          <w:szCs w:val="24"/>
          <w:highlight w:val="none"/>
          <w:lang w:val="en-US"/>
        </w:rPr>
      </w:pPr>
    </w:p>
    <w:p>
      <w:pPr>
        <w:rPr>
          <w:color w:val="auto"/>
          <w:kern w:val="1"/>
          <w:sz w:val="24"/>
          <w:szCs w:val="24"/>
          <w:highlight w:val="none"/>
          <w:lang w:val="en-US"/>
        </w:rPr>
      </w:pPr>
    </w:p>
    <w:p>
      <w:pPr>
        <w:pStyle w:val="23"/>
        <w:rPr>
          <w:color w:val="auto"/>
          <w:highlight w:val="none"/>
          <w:lang w:val="en-US"/>
        </w:rPr>
      </w:pPr>
    </w:p>
    <w:p>
      <w:pPr>
        <w:pStyle w:val="12"/>
        <w:rPr>
          <w:color w:val="auto"/>
          <w:kern w:val="1"/>
          <w:highlight w:val="none"/>
          <w:lang w:val="en-US"/>
        </w:rPr>
      </w:pPr>
    </w:p>
    <w:p>
      <w:pPr>
        <w:rPr>
          <w:color w:val="auto"/>
          <w:highlight w:val="none"/>
          <w:lang w:val="en-US"/>
        </w:rPr>
      </w:pPr>
    </w:p>
    <w:p>
      <w:pPr>
        <w:pStyle w:val="15"/>
        <w:rPr>
          <w:color w:val="auto"/>
          <w:highlight w:val="none"/>
          <w:lang w:val="en-US"/>
        </w:rPr>
      </w:pPr>
    </w:p>
    <w:p>
      <w:pPr>
        <w:rPr>
          <w:color w:val="auto"/>
          <w:kern w:val="1"/>
          <w:sz w:val="24"/>
          <w:szCs w:val="24"/>
          <w:highlight w:val="none"/>
          <w:lang w:val="en-US"/>
        </w:rPr>
      </w:pPr>
    </w:p>
    <w:p>
      <w:pPr>
        <w:pStyle w:val="12"/>
        <w:rPr>
          <w:color w:val="auto"/>
          <w:highlight w:val="none"/>
          <w:lang w:val="en-US"/>
        </w:rPr>
      </w:pPr>
    </w:p>
    <w:p>
      <w:pPr>
        <w:autoSpaceDE/>
        <w:autoSpaceDN/>
        <w:spacing w:line="480" w:lineRule="auto"/>
        <w:ind w:hanging="420"/>
        <w:rPr>
          <w:rFonts w:hint="eastAsia"/>
          <w:b/>
          <w:bCs/>
          <w:color w:val="auto"/>
          <w:kern w:val="1"/>
          <w:sz w:val="32"/>
          <w:szCs w:val="32"/>
          <w:highlight w:val="none"/>
          <w:lang w:val="en-US"/>
        </w:rPr>
      </w:pPr>
      <w:r>
        <w:rPr>
          <w:rFonts w:hint="eastAsia"/>
          <w:color w:val="auto"/>
          <w:kern w:val="1"/>
          <w:sz w:val="24"/>
          <w:szCs w:val="24"/>
          <w:highlight w:val="none"/>
        </w:rPr>
        <w:t xml:space="preserve">         </w:t>
      </w:r>
      <w:r>
        <w:rPr>
          <w:rFonts w:hint="eastAsia"/>
          <w:b/>
          <w:bCs/>
          <w:color w:val="auto"/>
          <w:kern w:val="1"/>
          <w:sz w:val="32"/>
          <w:szCs w:val="32"/>
          <w:highlight w:val="none"/>
        </w:rPr>
        <w:t xml:space="preserve"> </w:t>
      </w:r>
      <w:r>
        <w:rPr>
          <w:rFonts w:hint="eastAsia"/>
          <w:b/>
          <w:bCs/>
          <w:color w:val="auto"/>
          <w:kern w:val="1"/>
          <w:sz w:val="32"/>
          <w:szCs w:val="32"/>
          <w:highlight w:val="none"/>
          <w:lang w:val="en-US"/>
        </w:rPr>
        <w:t xml:space="preserve">  </w:t>
      </w:r>
      <w:r>
        <w:rPr>
          <w:rFonts w:hint="eastAsia"/>
          <w:b/>
          <w:bCs/>
          <w:color w:val="auto"/>
          <w:kern w:val="1"/>
          <w:sz w:val="32"/>
          <w:szCs w:val="32"/>
          <w:highlight w:val="none"/>
        </w:rPr>
        <w:t xml:space="preserve"> </w:t>
      </w:r>
      <w:r>
        <w:rPr>
          <w:rFonts w:hint="eastAsia"/>
          <w:b/>
          <w:bCs/>
          <w:color w:val="auto"/>
          <w:kern w:val="1"/>
          <w:sz w:val="32"/>
          <w:szCs w:val="32"/>
          <w:highlight w:val="none"/>
          <w:lang w:val="en-US" w:eastAsia="zh-CN"/>
        </w:rPr>
        <w:t xml:space="preserve">招 标 </w:t>
      </w:r>
      <w:r>
        <w:rPr>
          <w:rFonts w:hint="eastAsia"/>
          <w:b/>
          <w:bCs/>
          <w:color w:val="auto"/>
          <w:kern w:val="1"/>
          <w:sz w:val="32"/>
          <w:szCs w:val="32"/>
          <w:highlight w:val="none"/>
        </w:rPr>
        <w:t>人：</w:t>
      </w:r>
      <w:r>
        <w:rPr>
          <w:rFonts w:hint="eastAsia"/>
          <w:b/>
          <w:bCs/>
          <w:color w:val="auto"/>
          <w:kern w:val="1"/>
          <w:sz w:val="32"/>
          <w:szCs w:val="32"/>
          <w:highlight w:val="none"/>
          <w:lang w:val="en-US"/>
        </w:rPr>
        <w:t>淳化县行政审批服务局</w:t>
      </w:r>
    </w:p>
    <w:p>
      <w:pPr>
        <w:autoSpaceDE/>
        <w:autoSpaceDN/>
        <w:spacing w:line="480" w:lineRule="auto"/>
        <w:ind w:hanging="420"/>
        <w:rPr>
          <w:b/>
          <w:bCs/>
          <w:color w:val="auto"/>
          <w:kern w:val="1"/>
          <w:sz w:val="32"/>
          <w:szCs w:val="32"/>
          <w:highlight w:val="none"/>
        </w:rPr>
      </w:pPr>
      <w:r>
        <w:rPr>
          <w:rFonts w:hint="eastAsia"/>
          <w:b/>
          <w:bCs/>
          <w:color w:val="auto"/>
          <w:kern w:val="1"/>
          <w:sz w:val="32"/>
          <w:szCs w:val="32"/>
          <w:highlight w:val="none"/>
        </w:rPr>
        <w:t xml:space="preserve">           代理机构：丰汇国际项目管理有限公司</w:t>
      </w:r>
    </w:p>
    <w:p>
      <w:pPr>
        <w:pStyle w:val="14"/>
        <w:autoSpaceDE/>
        <w:autoSpaceDN/>
        <w:spacing w:line="480" w:lineRule="auto"/>
        <w:ind w:hanging="420"/>
        <w:rPr>
          <w:b/>
          <w:bCs/>
          <w:color w:val="auto"/>
          <w:sz w:val="32"/>
          <w:szCs w:val="32"/>
          <w:highlight w:val="none"/>
          <w:lang w:val="en-US"/>
        </w:rPr>
      </w:pPr>
      <w:r>
        <w:rPr>
          <w:rFonts w:hint="eastAsia"/>
          <w:b/>
          <w:bCs/>
          <w:color w:val="auto"/>
          <w:sz w:val="32"/>
          <w:szCs w:val="32"/>
          <w:highlight w:val="none"/>
        </w:rPr>
        <w:t xml:space="preserve">  </w:t>
      </w:r>
      <w:r>
        <w:rPr>
          <w:rFonts w:hint="eastAsia"/>
          <w:b/>
          <w:bCs/>
          <w:color w:val="auto"/>
          <w:sz w:val="32"/>
          <w:szCs w:val="32"/>
          <w:highlight w:val="none"/>
          <w:lang w:val="en-US"/>
        </w:rPr>
        <w:t xml:space="preserve">         </w:t>
      </w:r>
      <w:r>
        <w:rPr>
          <w:rFonts w:hint="eastAsia"/>
          <w:b/>
          <w:bCs/>
          <w:color w:val="auto"/>
          <w:sz w:val="32"/>
          <w:szCs w:val="32"/>
          <w:highlight w:val="none"/>
        </w:rPr>
        <w:t>日</w:t>
      </w:r>
      <w:r>
        <w:rPr>
          <w:rFonts w:hint="eastAsia"/>
          <w:b/>
          <w:bCs/>
          <w:color w:val="auto"/>
          <w:sz w:val="32"/>
          <w:szCs w:val="32"/>
          <w:highlight w:val="none"/>
          <w:lang w:val="en-US"/>
        </w:rPr>
        <w:t xml:space="preserve">    </w:t>
      </w:r>
      <w:r>
        <w:rPr>
          <w:rFonts w:hint="eastAsia"/>
          <w:b/>
          <w:bCs/>
          <w:color w:val="auto"/>
          <w:sz w:val="32"/>
          <w:szCs w:val="32"/>
          <w:highlight w:val="none"/>
        </w:rPr>
        <w:t>期</w:t>
      </w:r>
      <w:r>
        <w:rPr>
          <w:rFonts w:hint="eastAsia"/>
          <w:b/>
          <w:bCs/>
          <w:color w:val="auto"/>
          <w:sz w:val="32"/>
          <w:szCs w:val="32"/>
          <w:highlight w:val="none"/>
          <w:lang w:val="en-US"/>
        </w:rPr>
        <w:t>：二〇二</w:t>
      </w:r>
      <w:r>
        <w:rPr>
          <w:rFonts w:hint="eastAsia"/>
          <w:b/>
          <w:bCs/>
          <w:color w:val="auto"/>
          <w:sz w:val="32"/>
          <w:szCs w:val="32"/>
          <w:highlight w:val="none"/>
          <w:lang w:val="en-US" w:eastAsia="zh-CN"/>
        </w:rPr>
        <w:t>三</w:t>
      </w:r>
      <w:r>
        <w:rPr>
          <w:rFonts w:hint="eastAsia"/>
          <w:b/>
          <w:bCs/>
          <w:color w:val="auto"/>
          <w:sz w:val="32"/>
          <w:szCs w:val="32"/>
          <w:highlight w:val="none"/>
        </w:rPr>
        <w:t>年</w:t>
      </w:r>
      <w:r>
        <w:rPr>
          <w:rFonts w:hint="eastAsia"/>
          <w:b/>
          <w:bCs/>
          <w:color w:val="auto"/>
          <w:sz w:val="32"/>
          <w:szCs w:val="32"/>
          <w:highlight w:val="none"/>
          <w:lang w:val="en-US" w:eastAsia="zh-CN"/>
        </w:rPr>
        <w:t>八</w:t>
      </w:r>
      <w:r>
        <w:rPr>
          <w:rFonts w:hint="eastAsia"/>
          <w:b/>
          <w:bCs/>
          <w:color w:val="auto"/>
          <w:sz w:val="32"/>
          <w:szCs w:val="32"/>
          <w:highlight w:val="none"/>
        </w:rPr>
        <w:t>月</w:t>
      </w:r>
      <w:r>
        <w:rPr>
          <w:rFonts w:hint="eastAsia"/>
          <w:b/>
          <w:bCs/>
          <w:color w:val="auto"/>
          <w:sz w:val="32"/>
          <w:szCs w:val="32"/>
          <w:highlight w:val="none"/>
          <w:lang w:val="en-US"/>
        </w:rPr>
        <w:t xml:space="preserve"> </w:t>
      </w:r>
    </w:p>
    <w:p>
      <w:pPr>
        <w:pStyle w:val="12"/>
        <w:spacing w:before="8"/>
        <w:ind w:left="0"/>
        <w:rPr>
          <w:b/>
          <w:color w:val="auto"/>
          <w:sz w:val="7"/>
          <w:highlight w:val="none"/>
          <w:lang w:val="en-US"/>
        </w:rPr>
      </w:pPr>
    </w:p>
    <w:p>
      <w:pPr>
        <w:tabs>
          <w:tab w:val="left" w:pos="630"/>
        </w:tabs>
        <w:spacing w:line="492" w:lineRule="exact"/>
        <w:ind w:right="29"/>
        <w:jc w:val="center"/>
        <w:rPr>
          <w:b/>
          <w:color w:val="auto"/>
          <w:sz w:val="28"/>
          <w:highlight w:val="none"/>
          <w:lang w:val="en-US"/>
        </w:rPr>
      </w:pPr>
    </w:p>
    <w:p>
      <w:pPr>
        <w:tabs>
          <w:tab w:val="left" w:pos="630"/>
        </w:tabs>
        <w:spacing w:line="492" w:lineRule="exact"/>
        <w:ind w:right="29"/>
        <w:jc w:val="center"/>
        <w:rPr>
          <w:b/>
          <w:color w:val="auto"/>
          <w:sz w:val="32"/>
          <w:szCs w:val="32"/>
          <w:highlight w:val="none"/>
        </w:rPr>
      </w:pPr>
      <w:r>
        <w:rPr>
          <w:rFonts w:hint="eastAsia"/>
          <w:b/>
          <w:color w:val="auto"/>
          <w:sz w:val="32"/>
          <w:szCs w:val="32"/>
          <w:highlight w:val="none"/>
        </w:rPr>
        <w:t>目</w:t>
      </w:r>
      <w:r>
        <w:rPr>
          <w:rFonts w:hint="eastAsia"/>
          <w:b/>
          <w:color w:val="auto"/>
          <w:sz w:val="32"/>
          <w:szCs w:val="32"/>
          <w:highlight w:val="none"/>
        </w:rPr>
        <w:tab/>
      </w:r>
      <w:r>
        <w:rPr>
          <w:rFonts w:hint="eastAsia"/>
          <w:b/>
          <w:color w:val="auto"/>
          <w:sz w:val="32"/>
          <w:szCs w:val="32"/>
          <w:highlight w:val="none"/>
        </w:rPr>
        <w:t>录</w:t>
      </w:r>
    </w:p>
    <w:p>
      <w:pPr>
        <w:pStyle w:val="41"/>
        <w:tabs>
          <w:tab w:val="right" w:leader="dot" w:pos="10590"/>
        </w:tabs>
        <w:rPr>
          <w:rFonts w:ascii="宋体" w:hAnsi="宋体" w:cs="宋体"/>
          <w:color w:val="auto"/>
          <w:sz w:val="21"/>
          <w:szCs w:val="22"/>
          <w:highlight w:val="none"/>
          <w:lang w:val="zh-CN" w:bidi="zh-CN"/>
        </w:rPr>
      </w:pPr>
    </w:p>
    <w:sdt>
      <w:sdtPr>
        <w:rPr>
          <w:color w:val="auto"/>
          <w:sz w:val="30"/>
          <w:szCs w:val="30"/>
          <w:highlight w:val="none"/>
        </w:rPr>
        <w:id w:val="147456017"/>
        <w:docPartObj>
          <w:docPartGallery w:val="Table of Contents"/>
          <w:docPartUnique/>
        </w:docPartObj>
      </w:sdtPr>
      <w:sdtEndPr>
        <w:rPr>
          <w:rFonts w:hint="eastAsia"/>
          <w:color w:val="auto"/>
          <w:spacing w:val="-8"/>
          <w:sz w:val="22"/>
          <w:szCs w:val="32"/>
          <w:highlight w:val="none"/>
          <w:lang w:val="en-US"/>
        </w:rPr>
      </w:sdtEndPr>
      <w:sdtContent>
        <w:p>
          <w:pPr>
            <w:spacing w:line="480" w:lineRule="exact"/>
            <w:jc w:val="center"/>
            <w:rPr>
              <w:color w:val="auto"/>
              <w:sz w:val="30"/>
              <w:szCs w:val="30"/>
              <w:highlight w:val="none"/>
            </w:rPr>
          </w:pPr>
          <w:bookmarkStart w:id="0" w:name="_Toc15987"/>
        </w:p>
        <w:p>
          <w:pPr>
            <w:pStyle w:val="19"/>
            <w:tabs>
              <w:tab w:val="right" w:leader="dot" w:pos="9680"/>
            </w:tabs>
            <w:ind w:left="13" w:leftChars="0" w:hanging="13" w:firstLineChars="0"/>
            <w:rPr>
              <w:color w:val="auto"/>
              <w:highlight w:val="none"/>
            </w:rPr>
          </w:pPr>
          <w:r>
            <w:rPr>
              <w:rFonts w:hint="eastAsia" w:ascii="宋体" w:hAnsi="宋体" w:cs="宋体"/>
              <w:b/>
              <w:color w:val="auto"/>
              <w:spacing w:val="-8"/>
              <w:sz w:val="30"/>
              <w:szCs w:val="30"/>
              <w:highlight w:val="none"/>
            </w:rPr>
            <w:fldChar w:fldCharType="begin"/>
          </w:r>
          <w:r>
            <w:rPr>
              <w:rFonts w:hint="eastAsia" w:ascii="宋体" w:hAnsi="宋体" w:cs="宋体"/>
              <w:b/>
              <w:color w:val="auto"/>
              <w:spacing w:val="-8"/>
              <w:sz w:val="30"/>
              <w:szCs w:val="30"/>
              <w:highlight w:val="none"/>
            </w:rPr>
            <w:instrText xml:space="preserve">TOC \o "1-1" \h \u </w:instrText>
          </w:r>
          <w:r>
            <w:rPr>
              <w:rFonts w:hint="eastAsia" w:ascii="宋体" w:hAnsi="宋体" w:cs="宋体"/>
              <w:b/>
              <w:color w:val="auto"/>
              <w:spacing w:val="-8"/>
              <w:sz w:val="30"/>
              <w:szCs w:val="30"/>
              <w:highlight w:val="none"/>
            </w:rPr>
            <w:fldChar w:fldCharType="separate"/>
          </w:r>
          <w:r>
            <w:rPr>
              <w:rFonts w:hint="eastAsia" w:ascii="宋体" w:hAnsi="宋体" w:cs="宋体"/>
              <w:color w:val="auto"/>
              <w:spacing w:val="-8"/>
              <w:szCs w:val="30"/>
              <w:highlight w:val="none"/>
            </w:rPr>
            <w:fldChar w:fldCharType="begin"/>
          </w:r>
          <w:r>
            <w:rPr>
              <w:rFonts w:hint="eastAsia" w:ascii="宋体" w:hAnsi="宋体" w:cs="宋体"/>
              <w:color w:val="auto"/>
              <w:spacing w:val="-8"/>
              <w:szCs w:val="30"/>
              <w:highlight w:val="none"/>
            </w:rPr>
            <w:instrText xml:space="preserve"> HYPERLINK \l _Toc655 </w:instrText>
          </w:r>
          <w:r>
            <w:rPr>
              <w:rFonts w:hint="eastAsia" w:ascii="宋体" w:hAnsi="宋体" w:cs="宋体"/>
              <w:color w:val="auto"/>
              <w:spacing w:val="-8"/>
              <w:szCs w:val="30"/>
              <w:highlight w:val="none"/>
            </w:rPr>
            <w:fldChar w:fldCharType="separate"/>
          </w:r>
          <w:r>
            <w:rPr>
              <w:rFonts w:hint="eastAsia" w:ascii="宋体" w:hAnsi="宋体" w:eastAsia="宋体" w:cs="宋体"/>
              <w:color w:val="auto"/>
              <w:szCs w:val="36"/>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_Toc655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pacing w:val="-8"/>
              <w:szCs w:val="30"/>
              <w:highlight w:val="none"/>
            </w:rPr>
            <w:fldChar w:fldCharType="end"/>
          </w:r>
        </w:p>
        <w:p>
          <w:pPr>
            <w:pStyle w:val="19"/>
            <w:tabs>
              <w:tab w:val="right" w:leader="dot" w:pos="9680"/>
            </w:tabs>
            <w:ind w:left="0" w:leftChars="0" w:hanging="13" w:firstLineChars="0"/>
            <w:rPr>
              <w:color w:val="auto"/>
              <w:highlight w:val="none"/>
            </w:rPr>
          </w:pPr>
          <w:r>
            <w:rPr>
              <w:rFonts w:hint="eastAsia"/>
              <w:color w:val="auto"/>
              <w:spacing w:val="-8"/>
              <w:szCs w:val="30"/>
              <w:highlight w:val="none"/>
              <w:lang w:val="en-US"/>
            </w:rPr>
            <w:fldChar w:fldCharType="begin"/>
          </w:r>
          <w:r>
            <w:rPr>
              <w:rFonts w:hint="eastAsia"/>
              <w:color w:val="auto"/>
              <w:spacing w:val="-8"/>
              <w:szCs w:val="30"/>
              <w:highlight w:val="none"/>
              <w:lang w:val="en-US"/>
            </w:rPr>
            <w:instrText xml:space="preserve"> HYPERLINK \l _Toc30734 </w:instrText>
          </w:r>
          <w:r>
            <w:rPr>
              <w:rFonts w:hint="eastAsia"/>
              <w:color w:val="auto"/>
              <w:spacing w:val="-8"/>
              <w:szCs w:val="30"/>
              <w:highlight w:val="none"/>
              <w:lang w:val="en-US"/>
            </w:rPr>
            <w:fldChar w:fldCharType="separate"/>
          </w:r>
          <w:r>
            <w:rPr>
              <w:rFonts w:hint="eastAsia" w:ascii="宋体" w:hAnsi="宋体" w:eastAsia="宋体" w:cs="宋体"/>
              <w:color w:val="auto"/>
              <w:szCs w:val="36"/>
              <w:highlight w:val="none"/>
              <w:lang w:val="en-US"/>
            </w:rPr>
            <w:t xml:space="preserve">第二章  </w:t>
          </w:r>
          <w:r>
            <w:rPr>
              <w:rFonts w:hint="eastAsia" w:ascii="宋体" w:hAnsi="宋体" w:eastAsia="宋体" w:cs="宋体"/>
              <w:color w:val="auto"/>
              <w:szCs w:val="36"/>
              <w:highlight w:val="none"/>
              <w:lang w:val="en-US" w:eastAsia="zh-CN"/>
            </w:rPr>
            <w:t>投标人</w:t>
          </w:r>
          <w:r>
            <w:rPr>
              <w:rFonts w:hint="eastAsia" w:ascii="宋体" w:hAnsi="宋体" w:eastAsia="宋体" w:cs="宋体"/>
              <w:color w:val="auto"/>
              <w:szCs w:val="36"/>
              <w:highlight w:val="none"/>
              <w:lang w:val="en-US"/>
            </w:rPr>
            <w:t>须知前附表</w:t>
          </w:r>
          <w:r>
            <w:rPr>
              <w:color w:val="auto"/>
              <w:highlight w:val="none"/>
            </w:rPr>
            <w:tab/>
          </w:r>
          <w:r>
            <w:rPr>
              <w:color w:val="auto"/>
              <w:highlight w:val="none"/>
            </w:rPr>
            <w:fldChar w:fldCharType="begin"/>
          </w:r>
          <w:r>
            <w:rPr>
              <w:color w:val="auto"/>
              <w:highlight w:val="none"/>
            </w:rPr>
            <w:instrText xml:space="preserve"> PAGEREF _Toc30734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spacing w:val="-8"/>
              <w:szCs w:val="30"/>
              <w:highlight w:val="none"/>
              <w:lang w:val="en-US"/>
            </w:rPr>
            <w:fldChar w:fldCharType="end"/>
          </w:r>
        </w:p>
        <w:p>
          <w:pPr>
            <w:pStyle w:val="19"/>
            <w:tabs>
              <w:tab w:val="right" w:leader="dot" w:pos="9680"/>
            </w:tabs>
            <w:ind w:left="13" w:leftChars="0" w:hanging="13" w:firstLineChars="0"/>
            <w:rPr>
              <w:color w:val="auto"/>
              <w:highlight w:val="none"/>
            </w:rPr>
          </w:pPr>
          <w:r>
            <w:rPr>
              <w:rFonts w:hint="eastAsia"/>
              <w:color w:val="auto"/>
              <w:spacing w:val="-8"/>
              <w:szCs w:val="30"/>
              <w:highlight w:val="none"/>
              <w:lang w:val="en-US"/>
            </w:rPr>
            <w:fldChar w:fldCharType="begin"/>
          </w:r>
          <w:r>
            <w:rPr>
              <w:rFonts w:hint="eastAsia"/>
              <w:color w:val="auto"/>
              <w:spacing w:val="-8"/>
              <w:szCs w:val="30"/>
              <w:highlight w:val="none"/>
              <w:lang w:val="en-US"/>
            </w:rPr>
            <w:instrText xml:space="preserve"> HYPERLINK \l _Toc682 </w:instrText>
          </w:r>
          <w:r>
            <w:rPr>
              <w:rFonts w:hint="eastAsia"/>
              <w:color w:val="auto"/>
              <w:spacing w:val="-8"/>
              <w:szCs w:val="30"/>
              <w:highlight w:val="none"/>
              <w:lang w:val="en-US"/>
            </w:rPr>
            <w:fldChar w:fldCharType="separate"/>
          </w:r>
          <w:r>
            <w:rPr>
              <w:rFonts w:hint="eastAsia" w:ascii="宋体" w:hAnsi="宋体" w:eastAsia="宋体" w:cs="宋体"/>
              <w:color w:val="auto"/>
              <w:szCs w:val="36"/>
              <w:highlight w:val="none"/>
              <w:lang w:val="en-US"/>
            </w:rPr>
            <w:t>第三章</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lang w:val="en-US"/>
            </w:rPr>
            <w:t xml:space="preserve"> 评标办法</w:t>
          </w:r>
          <w:r>
            <w:rPr>
              <w:color w:val="auto"/>
              <w:highlight w:val="none"/>
            </w:rPr>
            <w:tab/>
          </w:r>
          <w:r>
            <w:rPr>
              <w:color w:val="auto"/>
              <w:highlight w:val="none"/>
            </w:rPr>
            <w:fldChar w:fldCharType="begin"/>
          </w:r>
          <w:r>
            <w:rPr>
              <w:color w:val="auto"/>
              <w:highlight w:val="none"/>
            </w:rPr>
            <w:instrText xml:space="preserve"> PAGEREF _Toc682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spacing w:val="-8"/>
              <w:szCs w:val="30"/>
              <w:highlight w:val="none"/>
              <w:lang w:val="en-US"/>
            </w:rPr>
            <w:fldChar w:fldCharType="end"/>
          </w:r>
        </w:p>
        <w:p>
          <w:pPr>
            <w:pStyle w:val="19"/>
            <w:tabs>
              <w:tab w:val="right" w:leader="dot" w:pos="9680"/>
            </w:tabs>
            <w:ind w:left="13" w:leftChars="0" w:hanging="13" w:firstLineChars="0"/>
            <w:rPr>
              <w:color w:val="auto"/>
              <w:highlight w:val="none"/>
            </w:rPr>
          </w:pPr>
          <w:r>
            <w:rPr>
              <w:rFonts w:hint="eastAsia"/>
              <w:color w:val="auto"/>
              <w:spacing w:val="-8"/>
              <w:szCs w:val="30"/>
              <w:highlight w:val="none"/>
              <w:lang w:val="en-US"/>
            </w:rPr>
            <w:fldChar w:fldCharType="begin"/>
          </w:r>
          <w:r>
            <w:rPr>
              <w:rFonts w:hint="eastAsia"/>
              <w:color w:val="auto"/>
              <w:spacing w:val="-8"/>
              <w:szCs w:val="30"/>
              <w:highlight w:val="none"/>
              <w:lang w:val="en-US"/>
            </w:rPr>
            <w:instrText xml:space="preserve"> HYPERLINK \l _Toc24507 </w:instrText>
          </w:r>
          <w:r>
            <w:rPr>
              <w:rFonts w:hint="eastAsia"/>
              <w:color w:val="auto"/>
              <w:spacing w:val="-8"/>
              <w:szCs w:val="30"/>
              <w:highlight w:val="none"/>
              <w:lang w:val="en-US"/>
            </w:rPr>
            <w:fldChar w:fldCharType="separate"/>
          </w:r>
          <w:r>
            <w:rPr>
              <w:rFonts w:hint="eastAsia" w:ascii="宋体" w:hAnsi="宋体" w:eastAsia="宋体" w:cs="宋体"/>
              <w:color w:val="auto"/>
              <w:szCs w:val="36"/>
              <w:highlight w:val="none"/>
              <w:lang w:val="en-US"/>
            </w:rPr>
            <w:t xml:space="preserve">第四章  </w:t>
          </w:r>
          <w:r>
            <w:rPr>
              <w:rFonts w:hint="eastAsia" w:ascii="宋体" w:hAnsi="宋体" w:eastAsia="宋体" w:cs="宋体"/>
              <w:color w:val="auto"/>
              <w:szCs w:val="36"/>
              <w:highlight w:val="none"/>
              <w:lang w:val="en-US" w:eastAsia="zh-CN"/>
            </w:rPr>
            <w:t>招标</w:t>
          </w:r>
          <w:r>
            <w:rPr>
              <w:rFonts w:hint="eastAsia" w:ascii="宋体" w:hAnsi="宋体" w:eastAsia="宋体" w:cs="宋体"/>
              <w:color w:val="auto"/>
              <w:szCs w:val="36"/>
              <w:highlight w:val="none"/>
              <w:lang w:val="en-US"/>
            </w:rPr>
            <w:t>内容及要求</w:t>
          </w:r>
          <w:r>
            <w:rPr>
              <w:color w:val="auto"/>
              <w:highlight w:val="none"/>
            </w:rPr>
            <w:tab/>
          </w:r>
          <w:r>
            <w:rPr>
              <w:color w:val="auto"/>
              <w:highlight w:val="none"/>
            </w:rPr>
            <w:fldChar w:fldCharType="begin"/>
          </w:r>
          <w:r>
            <w:rPr>
              <w:color w:val="auto"/>
              <w:highlight w:val="none"/>
            </w:rPr>
            <w:instrText xml:space="preserve"> PAGEREF _Toc24507 \h </w:instrText>
          </w:r>
          <w:r>
            <w:rPr>
              <w:color w:val="auto"/>
              <w:highlight w:val="none"/>
            </w:rPr>
            <w:fldChar w:fldCharType="separate"/>
          </w:r>
          <w:r>
            <w:rPr>
              <w:color w:val="auto"/>
              <w:highlight w:val="none"/>
            </w:rPr>
            <w:t>27</w:t>
          </w:r>
          <w:r>
            <w:rPr>
              <w:color w:val="auto"/>
              <w:highlight w:val="none"/>
            </w:rPr>
            <w:fldChar w:fldCharType="end"/>
          </w:r>
          <w:r>
            <w:rPr>
              <w:rFonts w:hint="eastAsia"/>
              <w:color w:val="auto"/>
              <w:spacing w:val="-8"/>
              <w:szCs w:val="30"/>
              <w:highlight w:val="none"/>
              <w:lang w:val="en-US"/>
            </w:rPr>
            <w:fldChar w:fldCharType="end"/>
          </w:r>
        </w:p>
        <w:p>
          <w:pPr>
            <w:pStyle w:val="19"/>
            <w:tabs>
              <w:tab w:val="right" w:leader="dot" w:pos="9680"/>
            </w:tabs>
            <w:ind w:left="13" w:leftChars="0" w:hanging="13" w:firstLineChars="0"/>
            <w:rPr>
              <w:color w:val="auto"/>
              <w:highlight w:val="none"/>
            </w:rPr>
          </w:pPr>
          <w:r>
            <w:rPr>
              <w:rFonts w:hint="eastAsia"/>
              <w:color w:val="auto"/>
              <w:spacing w:val="-8"/>
              <w:szCs w:val="30"/>
              <w:highlight w:val="none"/>
              <w:lang w:val="en-US"/>
            </w:rPr>
            <w:fldChar w:fldCharType="begin"/>
          </w:r>
          <w:r>
            <w:rPr>
              <w:rFonts w:hint="eastAsia"/>
              <w:color w:val="auto"/>
              <w:spacing w:val="-8"/>
              <w:szCs w:val="30"/>
              <w:highlight w:val="none"/>
              <w:lang w:val="en-US"/>
            </w:rPr>
            <w:instrText xml:space="preserve"> HYPERLINK \l _Toc18972 </w:instrText>
          </w:r>
          <w:r>
            <w:rPr>
              <w:rFonts w:hint="eastAsia"/>
              <w:color w:val="auto"/>
              <w:spacing w:val="-8"/>
              <w:szCs w:val="30"/>
              <w:highlight w:val="none"/>
              <w:lang w:val="en-US"/>
            </w:rPr>
            <w:fldChar w:fldCharType="separate"/>
          </w:r>
          <w:r>
            <w:rPr>
              <w:rFonts w:hint="eastAsia" w:ascii="宋体" w:hAnsi="宋体" w:eastAsia="宋体" w:cs="宋体"/>
              <w:color w:val="auto"/>
              <w:szCs w:val="36"/>
              <w:highlight w:val="none"/>
              <w:lang w:val="en-US"/>
            </w:rPr>
            <w:t>第</w:t>
          </w:r>
          <w:r>
            <w:rPr>
              <w:rFonts w:hint="eastAsia" w:ascii="宋体" w:hAnsi="宋体" w:eastAsia="宋体" w:cs="宋体"/>
              <w:color w:val="auto"/>
              <w:szCs w:val="36"/>
              <w:highlight w:val="none"/>
              <w:lang w:val="en-US" w:eastAsia="zh-CN"/>
            </w:rPr>
            <w:t>五</w:t>
          </w:r>
          <w:r>
            <w:rPr>
              <w:rFonts w:hint="eastAsia" w:ascii="宋体" w:hAnsi="宋体" w:eastAsia="宋体" w:cs="宋体"/>
              <w:color w:val="auto"/>
              <w:szCs w:val="36"/>
              <w:highlight w:val="none"/>
              <w:lang w:val="en-US"/>
            </w:rPr>
            <w:t>章</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lang w:val="en-US"/>
            </w:rPr>
            <w:t xml:space="preserve"> 合同条款</w:t>
          </w:r>
          <w:r>
            <w:rPr>
              <w:color w:val="auto"/>
              <w:highlight w:val="none"/>
            </w:rPr>
            <w:tab/>
          </w:r>
          <w:r>
            <w:rPr>
              <w:color w:val="auto"/>
              <w:highlight w:val="none"/>
            </w:rPr>
            <w:fldChar w:fldCharType="begin"/>
          </w:r>
          <w:r>
            <w:rPr>
              <w:color w:val="auto"/>
              <w:highlight w:val="none"/>
            </w:rPr>
            <w:instrText xml:space="preserve"> PAGEREF _Toc18972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spacing w:val="-8"/>
              <w:szCs w:val="30"/>
              <w:highlight w:val="none"/>
              <w:lang w:val="en-US"/>
            </w:rPr>
            <w:fldChar w:fldCharType="end"/>
          </w:r>
        </w:p>
        <w:p>
          <w:pPr>
            <w:pStyle w:val="19"/>
            <w:tabs>
              <w:tab w:val="right" w:leader="dot" w:pos="9680"/>
            </w:tabs>
            <w:ind w:left="13" w:leftChars="0" w:hanging="13" w:firstLineChars="0"/>
            <w:rPr>
              <w:color w:val="auto"/>
              <w:highlight w:val="none"/>
            </w:rPr>
          </w:pPr>
          <w:r>
            <w:rPr>
              <w:rFonts w:hint="eastAsia"/>
              <w:color w:val="auto"/>
              <w:spacing w:val="-8"/>
              <w:szCs w:val="30"/>
              <w:highlight w:val="none"/>
              <w:lang w:val="en-US"/>
            </w:rPr>
            <w:fldChar w:fldCharType="begin"/>
          </w:r>
          <w:r>
            <w:rPr>
              <w:rFonts w:hint="eastAsia"/>
              <w:color w:val="auto"/>
              <w:spacing w:val="-8"/>
              <w:szCs w:val="30"/>
              <w:highlight w:val="none"/>
              <w:lang w:val="en-US"/>
            </w:rPr>
            <w:instrText xml:space="preserve"> HYPERLINK \l _Toc29540 </w:instrText>
          </w:r>
          <w:r>
            <w:rPr>
              <w:rFonts w:hint="eastAsia"/>
              <w:color w:val="auto"/>
              <w:spacing w:val="-8"/>
              <w:szCs w:val="30"/>
              <w:highlight w:val="none"/>
              <w:lang w:val="en-US"/>
            </w:rPr>
            <w:fldChar w:fldCharType="separate"/>
          </w:r>
          <w:r>
            <w:rPr>
              <w:rFonts w:hint="eastAsia" w:ascii="宋体" w:hAnsi="宋体" w:eastAsia="宋体" w:cs="宋体"/>
              <w:color w:val="auto"/>
              <w:szCs w:val="36"/>
              <w:highlight w:val="none"/>
              <w:lang w:val="en-US"/>
            </w:rPr>
            <w:t>第</w:t>
          </w:r>
          <w:r>
            <w:rPr>
              <w:rFonts w:hint="eastAsia" w:ascii="宋体" w:hAnsi="宋体" w:eastAsia="宋体" w:cs="宋体"/>
              <w:color w:val="auto"/>
              <w:szCs w:val="36"/>
              <w:highlight w:val="none"/>
              <w:lang w:val="en-US" w:eastAsia="zh-CN"/>
            </w:rPr>
            <w:t>六</w:t>
          </w:r>
          <w:r>
            <w:rPr>
              <w:rFonts w:hint="eastAsia" w:ascii="宋体" w:hAnsi="宋体" w:eastAsia="宋体" w:cs="宋体"/>
              <w:color w:val="auto"/>
              <w:szCs w:val="36"/>
              <w:highlight w:val="none"/>
              <w:lang w:val="en-US"/>
            </w:rPr>
            <w:t>章</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lang w:val="en-US"/>
            </w:rPr>
            <w:t xml:space="preserve"> 投标文件格式</w:t>
          </w:r>
          <w:r>
            <w:rPr>
              <w:color w:val="auto"/>
              <w:highlight w:val="none"/>
            </w:rPr>
            <w:tab/>
          </w:r>
          <w:r>
            <w:rPr>
              <w:color w:val="auto"/>
              <w:highlight w:val="none"/>
            </w:rPr>
            <w:fldChar w:fldCharType="begin"/>
          </w:r>
          <w:r>
            <w:rPr>
              <w:color w:val="auto"/>
              <w:highlight w:val="none"/>
            </w:rPr>
            <w:instrText xml:space="preserve"> PAGEREF _Toc29540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spacing w:val="-8"/>
              <w:szCs w:val="30"/>
              <w:highlight w:val="none"/>
              <w:lang w:val="en-US"/>
            </w:rPr>
            <w:fldChar w:fldCharType="end"/>
          </w:r>
        </w:p>
        <w:p>
          <w:pPr>
            <w:spacing w:before="38" w:line="480" w:lineRule="auto"/>
            <w:ind w:right="402"/>
            <w:jc w:val="both"/>
            <w:rPr>
              <w:b/>
              <w:color w:val="auto"/>
              <w:spacing w:val="-8"/>
              <w:sz w:val="32"/>
              <w:szCs w:val="32"/>
              <w:highlight w:val="none"/>
              <w:lang w:val="en-US"/>
            </w:rPr>
          </w:pPr>
          <w:r>
            <w:rPr>
              <w:rFonts w:hint="eastAsia"/>
              <w:color w:val="auto"/>
              <w:spacing w:val="-8"/>
              <w:szCs w:val="30"/>
              <w:highlight w:val="none"/>
              <w:lang w:val="en-US"/>
            </w:rPr>
            <w:fldChar w:fldCharType="end"/>
          </w:r>
        </w:p>
      </w:sdtContent>
    </w:sdt>
    <w:p>
      <w:pPr>
        <w:spacing w:before="38" w:line="261" w:lineRule="auto"/>
        <w:ind w:left="526" w:right="402" w:firstLine="465"/>
        <w:jc w:val="center"/>
        <w:rPr>
          <w:b/>
          <w:color w:val="auto"/>
          <w:spacing w:val="-8"/>
          <w:sz w:val="32"/>
          <w:szCs w:val="32"/>
          <w:highlight w:val="none"/>
          <w:lang w:val="en-US"/>
        </w:rPr>
      </w:pPr>
    </w:p>
    <w:p>
      <w:pPr>
        <w:spacing w:before="38" w:line="261" w:lineRule="auto"/>
        <w:ind w:left="526" w:right="402" w:firstLine="465"/>
        <w:jc w:val="center"/>
        <w:rPr>
          <w:b/>
          <w:color w:val="auto"/>
          <w:spacing w:val="-8"/>
          <w:sz w:val="32"/>
          <w:szCs w:val="32"/>
          <w:highlight w:val="none"/>
          <w:lang w:val="en-US"/>
        </w:rPr>
      </w:pPr>
    </w:p>
    <w:p>
      <w:pPr>
        <w:spacing w:before="38" w:line="261" w:lineRule="auto"/>
        <w:ind w:right="402"/>
        <w:jc w:val="both"/>
        <w:rPr>
          <w:b/>
          <w:color w:val="auto"/>
          <w:spacing w:val="-8"/>
          <w:sz w:val="32"/>
          <w:szCs w:val="32"/>
          <w:highlight w:val="none"/>
          <w:lang w:val="en-US"/>
        </w:rPr>
      </w:pPr>
    </w:p>
    <w:p>
      <w:pPr>
        <w:pStyle w:val="12"/>
        <w:rPr>
          <w:b/>
          <w:color w:val="auto"/>
          <w:spacing w:val="-8"/>
          <w:sz w:val="32"/>
          <w:szCs w:val="32"/>
          <w:highlight w:val="none"/>
          <w:lang w:val="en-US"/>
        </w:rPr>
      </w:pPr>
    </w:p>
    <w:p>
      <w:pPr>
        <w:rPr>
          <w:b/>
          <w:color w:val="auto"/>
          <w:spacing w:val="-8"/>
          <w:sz w:val="32"/>
          <w:szCs w:val="32"/>
          <w:highlight w:val="none"/>
          <w:lang w:val="en-US"/>
        </w:rPr>
      </w:pPr>
    </w:p>
    <w:p>
      <w:pPr>
        <w:jc w:val="center"/>
        <w:rPr>
          <w:b/>
          <w:color w:val="auto"/>
          <w:spacing w:val="-8"/>
          <w:sz w:val="32"/>
          <w:szCs w:val="32"/>
          <w:highlight w:val="none"/>
          <w:lang w:val="en-US"/>
        </w:rPr>
      </w:pPr>
    </w:p>
    <w:p>
      <w:pPr>
        <w:pStyle w:val="12"/>
        <w:rPr>
          <w:b/>
          <w:color w:val="auto"/>
          <w:spacing w:val="-8"/>
          <w:sz w:val="32"/>
          <w:szCs w:val="32"/>
          <w:highlight w:val="none"/>
          <w:lang w:val="en-US"/>
        </w:rPr>
      </w:pPr>
    </w:p>
    <w:p>
      <w:pPr>
        <w:rPr>
          <w:b/>
          <w:color w:val="auto"/>
          <w:spacing w:val="-8"/>
          <w:sz w:val="32"/>
          <w:szCs w:val="32"/>
          <w:highlight w:val="none"/>
          <w:lang w:val="en-US"/>
        </w:rPr>
      </w:pPr>
    </w:p>
    <w:bookmarkEnd w:id="0"/>
    <w:p>
      <w:pPr>
        <w:spacing w:line="261" w:lineRule="auto"/>
        <w:rPr>
          <w:color w:val="auto"/>
          <w:sz w:val="24"/>
          <w:highlight w:val="none"/>
        </w:rPr>
        <w:sectPr>
          <w:footerReference r:id="rId3" w:type="default"/>
          <w:pgSz w:w="11910" w:h="16850"/>
          <w:pgMar w:top="1440" w:right="1080" w:bottom="1440" w:left="1080" w:header="0" w:footer="861" w:gutter="0"/>
          <w:pgNumType w:start="1"/>
          <w:cols w:space="720" w:num="1"/>
        </w:sectPr>
      </w:pPr>
    </w:p>
    <w:p>
      <w:pPr>
        <w:pStyle w:val="3"/>
        <w:bidi w:val="0"/>
        <w:jc w:val="center"/>
        <w:rPr>
          <w:rFonts w:hint="eastAsia" w:ascii="宋体" w:hAnsi="宋体" w:eastAsia="宋体" w:cs="宋体"/>
          <w:color w:val="auto"/>
          <w:sz w:val="36"/>
          <w:szCs w:val="36"/>
          <w:highlight w:val="none"/>
        </w:rPr>
      </w:pPr>
      <w:bookmarkStart w:id="1" w:name="_TOC_250004"/>
      <w:bookmarkEnd w:id="1"/>
      <w:bookmarkStart w:id="2" w:name="_Toc24428"/>
      <w:bookmarkStart w:id="3" w:name="_Toc655"/>
      <w:r>
        <w:rPr>
          <w:rFonts w:hint="eastAsia" w:ascii="宋体" w:hAnsi="宋体" w:eastAsia="宋体" w:cs="宋体"/>
          <w:color w:val="auto"/>
          <w:sz w:val="36"/>
          <w:szCs w:val="36"/>
          <w:highlight w:val="none"/>
        </w:rPr>
        <w:t>第一章  招标公告</w:t>
      </w:r>
      <w:bookmarkEnd w:id="2"/>
      <w:bookmarkEnd w:id="3"/>
    </w:p>
    <w:p>
      <w:pPr>
        <w:keepNext w:val="0"/>
        <w:keepLines w:val="0"/>
        <w:pageBreakBefore w:val="0"/>
        <w:kinsoku/>
        <w:wordWrap/>
        <w:overflowPunct/>
        <w:topLinePunct w:val="0"/>
        <w:bidi w:val="0"/>
        <w:adjustRightInd/>
        <w:snapToGrid/>
        <w:spacing w:line="420" w:lineRule="exact"/>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bidi="ar-SA"/>
        </w:rPr>
      </w:pPr>
      <w:bookmarkStart w:id="4" w:name="_Toc26983"/>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bidi="ar-SA"/>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20" w:lineRule="exact"/>
        <w:ind w:left="0" w:right="0" w:firstLine="48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淳化县“淳捷办”应用程序升级项目招标项目的潜在投标人应在陕西省西安市莲湖区丰禾路太奥国际13号楼24层获取招标文件，并于 2023年0</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8</w:t>
      </w:r>
      <w:r>
        <w:rPr>
          <w:rFonts w:hint="eastAsia" w:ascii="微软雅黑" w:hAnsi="微软雅黑" w:eastAsia="微软雅黑" w:cs="微软雅黑"/>
          <w:i w:val="0"/>
          <w:iCs w:val="0"/>
          <w:caps w:val="0"/>
          <w:color w:val="auto"/>
          <w:spacing w:val="0"/>
          <w:sz w:val="21"/>
          <w:szCs w:val="21"/>
          <w:highlight w:val="none"/>
          <w:shd w:val="clear" w:color="auto" w:fill="FFFFFF"/>
        </w:rPr>
        <w:t>月</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29</w:t>
      </w:r>
      <w:r>
        <w:rPr>
          <w:rFonts w:hint="eastAsia" w:ascii="微软雅黑" w:hAnsi="微软雅黑" w:eastAsia="微软雅黑" w:cs="微软雅黑"/>
          <w:i w:val="0"/>
          <w:iCs w:val="0"/>
          <w:caps w:val="0"/>
          <w:color w:val="auto"/>
          <w:spacing w:val="0"/>
          <w:sz w:val="21"/>
          <w:szCs w:val="21"/>
          <w:highlight w:val="none"/>
          <w:shd w:val="clear" w:color="auto" w:fill="FFFFFF"/>
        </w:rPr>
        <w:t>日 14时30分 （北京时间）前递交投标文件。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20" w:lineRule="exact"/>
        <w:ind w:right="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项目编号：FHGJ-ZB2023-0048</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项目名称：淳化县“淳捷办”应用程序升级项目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采购方式：公开招标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预算金额：1,100,000.00元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合同包1(淳化县“淳捷办”应用程序升级项目):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合同包预算金额：1,100,000.00元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420" w:lineRule="exact"/>
        <w:ind w:left="0" w:leftChars="0" w:right="0" w:firstLine="438" w:firstLineChars="209"/>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合同包最高限价：1,100,000.00元</w:t>
      </w:r>
    </w:p>
    <w:tbl>
      <w:tblPr>
        <w:tblStyle w:val="25"/>
        <w:tblW w:w="969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0"/>
        <w:gridCol w:w="1530"/>
        <w:gridCol w:w="1554"/>
        <w:gridCol w:w="1110"/>
        <w:gridCol w:w="1650"/>
        <w:gridCol w:w="1470"/>
        <w:gridCol w:w="14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2" w:hRule="atLeast"/>
          <w:tblHeader/>
          <w:jc w:val="center"/>
        </w:trPr>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品目号</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品目名称</w:t>
            </w:r>
          </w:p>
        </w:tc>
        <w:tc>
          <w:tcPr>
            <w:tcW w:w="15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采购标的</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（单位）</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技术规格、参数及要求</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品目预算(元)</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8" w:hRule="atLeast"/>
          <w:jc w:val="center"/>
        </w:trPr>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1-1</w:t>
            </w:r>
          </w:p>
        </w:tc>
        <w:tc>
          <w:tcPr>
            <w:tcW w:w="15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通用应用软件开发服务</w:t>
            </w:r>
          </w:p>
        </w:tc>
        <w:tc>
          <w:tcPr>
            <w:tcW w:w="15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微软雅黑" w:hAnsi="微软雅黑" w:eastAsia="微软雅黑" w:cs="微软雅黑"/>
                <w:i w:val="0"/>
                <w:iCs w:val="0"/>
                <w:caps w:val="0"/>
                <w:color w:val="auto"/>
                <w:spacing w:val="0"/>
                <w:sz w:val="21"/>
                <w:szCs w:val="21"/>
                <w:highlight w:val="none"/>
                <w:shd w:val="clear" w:color="auto" w:fill="FFFFFF"/>
                <w:lang w:val="en-US" w:eastAsia="zh-CN"/>
              </w:rPr>
            </w:pPr>
            <w:r>
              <w:rPr>
                <w:rFonts w:ascii="微软雅黑" w:hAnsi="微软雅黑" w:eastAsia="微软雅黑" w:cs="微软雅黑"/>
                <w:i w:val="0"/>
                <w:iCs w:val="0"/>
                <w:caps w:val="0"/>
                <w:color w:val="auto"/>
                <w:spacing w:val="0"/>
                <w:sz w:val="21"/>
                <w:szCs w:val="21"/>
                <w:highlight w:val="none"/>
                <w:shd w:val="clear" w:fill="FFFFFF"/>
              </w:rPr>
              <w:t>1100000</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1(项)</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详见招标文件</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1100000.00</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1100000.00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合同履行期限：</w:t>
      </w:r>
      <w:r>
        <w:rPr>
          <w:rFonts w:hint="eastAsia" w:ascii="微软雅黑" w:hAnsi="微软雅黑" w:eastAsia="微软雅黑" w:cs="微软雅黑"/>
          <w:i w:val="0"/>
          <w:iCs w:val="0"/>
          <w:caps w:val="0"/>
          <w:color w:val="auto"/>
          <w:spacing w:val="0"/>
          <w:kern w:val="2"/>
          <w:sz w:val="21"/>
          <w:szCs w:val="21"/>
          <w:highlight w:val="none"/>
          <w:shd w:val="clear" w:color="auto" w:fill="FFFFFF"/>
          <w:lang w:val="en-US" w:eastAsia="zh-CN" w:bidi="ar-SA"/>
        </w:rPr>
        <w:t>60日历天</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合同包1(淳化县“淳捷办”应用程序升级项目)落实政府采购政策需满足的资格要求如下: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采办〔2022〕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2)《财政部司法部关于政府采购支持监狱企业发展有关问题的通知》（财库〔2014〕68号）；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3)《财政部民政部中国残疾人联合会关于促进残疾人就业政府采购政策的通知》（财库〔2017〕141号）；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4)《财政部国家发展改革委关于印发(节能产品政府采购实施意见)的通知》(财库〔2004〕185号)；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5)《国务院办公厅关于建立政府强制采购节能产品制度的通知》(国办发〔2007〕51号)；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6)《财政部环保总局关于环境标志产品政府采购实施的意见》(财库〔2006〕90号)；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7)《财政部发展改革委 生态环境部 市场监管总局关于调整优化节能产品、环境标志产品政府采购执行机制的通知》（财库〔2019〕9号）；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8)《关于印发环境标志产品政府采购品目清单的通知》（财库〔2019〕18号）；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9)《关于印发节能产品政府采购品目清单的通知》（财库〔2019〕19号）；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10）《财政部国务院扶贫办关于运用政府采购政策支持脱贫攻坚的通知》（财库〔2019〕27号）；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11)《财政部 农业农村部 国家乡村振兴局关于运用政府采购政策支持乡村产业振兴的通知》（财库〔2021〕19号）；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12)《陕西省财政厅关于印发陕西省中小企业政府采购信用融资办法》（陕财办采〔2018〕23号）；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13)《陕西省财政厅关于加快推进我省中小企业政府采购信用融资工作的通知》（陕财办采〔2020〕15号）；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14）其他需要落实的政府采购政策；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15）如有最新颁布的政府采购政策，按最新的文件执行。</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合同包1( 淳化县“淳捷办”应用程序升级项目)特定资格要求如下: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（1）法定代表人直接参加投标的，须出具法定代表人身份证明及身份证；法定代表人授权代表参加投标的，须出具法定代表人授权委托书及授权代表身份证；</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2）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说明：本项目不接受联合体，单位负责人为同一人或者存在控股、管理关系的不同投标单位,不得同时参加本项目采购活动。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rPr>
        <w:t>三、获取招标文件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时间： 2023年08月08日 至 2023年08月14日 ，每天上午 08:30:00 至 12:00:00 ，下午 13:30:00 至 18:00:00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途径：陕西省西安市莲湖区丰禾路太奥国际13号楼24层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方式：现场获取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售价： 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ascii="微软雅黑" w:hAnsi="微软雅黑" w:eastAsia="微软雅黑" w:cs="微软雅黑"/>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color="auto" w:fill="FFFFFF"/>
        </w:rPr>
        <w:t>四、</w:t>
      </w:r>
      <w:r>
        <w:rPr>
          <w:rStyle w:val="28"/>
          <w:rFonts w:hint="eastAsia" w:ascii="微软雅黑" w:hAnsi="微软雅黑" w:eastAsia="微软雅黑" w:cs="微软雅黑"/>
          <w:b/>
          <w:bCs/>
          <w:i w:val="0"/>
          <w:iCs w:val="0"/>
          <w:caps w:val="0"/>
          <w:color w:val="auto"/>
          <w:spacing w:val="0"/>
          <w:sz w:val="21"/>
          <w:szCs w:val="21"/>
          <w:highlight w:val="none"/>
          <w:shd w:val="clear" w:color="auto" w:fill="FFFFFF"/>
        </w:rPr>
        <w:t>提交投标文件截止时间、开标时间和地点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时间： 2023年08月29日 14时30分00秒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提交投标文件地点：陕西省西安市莲湖区丰禾路太奥国际13号楼24层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开标地点：陕西省西安市莲湖区丰禾路太奥国际13号楼24层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rPr>
        <w:t>五</w:t>
      </w:r>
      <w:r>
        <w:rPr>
          <w:rFonts w:hint="eastAsia" w:ascii="微软雅黑" w:hAnsi="微软雅黑" w:eastAsia="微软雅黑" w:cs="微软雅黑"/>
          <w:b/>
          <w:bCs/>
          <w:i w:val="0"/>
          <w:iCs w:val="0"/>
          <w:caps w:val="0"/>
          <w:color w:val="auto"/>
          <w:spacing w:val="0"/>
          <w:sz w:val="21"/>
          <w:szCs w:val="21"/>
          <w:highlight w:val="none"/>
          <w:shd w:val="clear" w:color="auto" w:fill="FFFFFF"/>
          <w:lang w:eastAsia="zh-CN"/>
        </w:rPr>
        <w:t>、</w:t>
      </w:r>
      <w:r>
        <w:rPr>
          <w:rFonts w:hint="eastAsia" w:ascii="微软雅黑" w:hAnsi="微软雅黑" w:eastAsia="微软雅黑" w:cs="微软雅黑"/>
          <w:b/>
          <w:bCs/>
          <w:i w:val="0"/>
          <w:iCs w:val="0"/>
          <w:caps w:val="0"/>
          <w:color w:val="auto"/>
          <w:spacing w:val="0"/>
          <w:sz w:val="21"/>
          <w:szCs w:val="21"/>
          <w:highlight w:val="none"/>
          <w:shd w:val="clear" w:color="auto" w:fill="FFFFFF"/>
        </w:rPr>
        <w:t>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自本公告发布之日起</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5</w:t>
      </w:r>
      <w:r>
        <w:rPr>
          <w:rFonts w:hint="eastAsia" w:ascii="微软雅黑" w:hAnsi="微软雅黑" w:eastAsia="微软雅黑" w:cs="微软雅黑"/>
          <w:i w:val="0"/>
          <w:iCs w:val="0"/>
          <w:caps w:val="0"/>
          <w:color w:val="auto"/>
          <w:spacing w:val="0"/>
          <w:sz w:val="21"/>
          <w:szCs w:val="21"/>
          <w:highlight w:val="none"/>
          <w:shd w:val="clear" w:color="auto" w:fill="FFFFFF"/>
        </w:rPr>
        <w:t>个工作日。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t>六</w:t>
      </w:r>
      <w:r>
        <w:rPr>
          <w:rFonts w:hint="eastAsia" w:ascii="微软雅黑" w:hAnsi="微软雅黑" w:eastAsia="微软雅黑" w:cs="微软雅黑"/>
          <w:b/>
          <w:bCs/>
          <w:i w:val="0"/>
          <w:iCs w:val="0"/>
          <w:caps w:val="0"/>
          <w:color w:val="auto"/>
          <w:spacing w:val="0"/>
          <w:sz w:val="21"/>
          <w:szCs w:val="21"/>
          <w:highlight w:val="none"/>
          <w:shd w:val="clear" w:color="auto" w:fill="FFFFFF"/>
        </w:rPr>
        <w:t>、其他补充事宜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adjustRightIn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2"/>
          <w:szCs w:val="22"/>
          <w:highlight w:val="none"/>
          <w:shd w:val="clear" w:color="auto" w:fill="FFFFFF"/>
        </w:rPr>
      </w:pP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1、获取招标文件时请携带单位介绍信和经办人身份证原件及加盖公章的复印件。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adjustRightIn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2"/>
          <w:szCs w:val="22"/>
          <w:highlight w:val="none"/>
          <w:shd w:val="clear" w:color="auto" w:fill="FFFFFF"/>
        </w:rPr>
      </w:pP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2、请供应商按照陕西省财政厅关于政府采购供应商注册登记有关事项的通知中的要求，通过陕西省政府采购网（http://www.ccgp-shaanxi.gov.cn/）注册登记加入陕西省政府采购供应商库。</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adjustRightIn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2"/>
          <w:szCs w:val="22"/>
          <w:highlight w:val="none"/>
          <w:shd w:val="clear" w:color="auto" w:fill="FFFFFF"/>
        </w:rPr>
      </w:pP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3、本项目专门面向中小企业采购。</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微软雅黑" w:hAnsi="微软雅黑" w:eastAsia="微软雅黑" w:cs="微软雅黑"/>
          <w:b/>
          <w:bCs/>
          <w:i w:val="0"/>
          <w:iCs w:val="0"/>
          <w:caps w:val="0"/>
          <w:color w:val="auto"/>
          <w:spacing w:val="0"/>
          <w:sz w:val="21"/>
          <w:szCs w:val="21"/>
          <w:highlight w:val="none"/>
          <w:shd w:val="clear" w:color="auto" w:fill="FFFFFF"/>
        </w:rPr>
      </w:pPr>
      <w:r>
        <w:rPr>
          <w:rFonts w:hint="eastAsia" w:ascii="微软雅黑" w:hAnsi="微软雅黑" w:eastAsia="微软雅黑" w:cs="微软雅黑"/>
          <w:b/>
          <w:bCs/>
          <w:i w:val="0"/>
          <w:iCs w:val="0"/>
          <w:caps w:val="0"/>
          <w:color w:val="auto"/>
          <w:spacing w:val="0"/>
          <w:sz w:val="21"/>
          <w:szCs w:val="21"/>
          <w:highlight w:val="none"/>
          <w:shd w:val="clear" w:color="auto" w:fill="FFFFFF"/>
          <w:lang w:val="en-US" w:eastAsia="zh-CN"/>
        </w:rPr>
        <w:t>七</w:t>
      </w:r>
      <w:r>
        <w:rPr>
          <w:rFonts w:hint="eastAsia" w:ascii="微软雅黑" w:hAnsi="微软雅黑" w:eastAsia="微软雅黑" w:cs="微软雅黑"/>
          <w:b/>
          <w:bCs/>
          <w:i w:val="0"/>
          <w:iCs w:val="0"/>
          <w:caps w:val="0"/>
          <w:color w:val="auto"/>
          <w:spacing w:val="0"/>
          <w:sz w:val="21"/>
          <w:szCs w:val="21"/>
          <w:highlight w:val="none"/>
          <w:shd w:val="clear" w:color="auto" w:fill="FFFFFF"/>
        </w:rPr>
        <w:t>、对本次招标提出询问，请按以下方式联系。</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名称：</w:t>
      </w: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淳化县</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行政审批服务局</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auto"/>
          <w:lang w:eastAsia="zh-CN"/>
        </w:rPr>
      </w:pPr>
      <w:r>
        <w:rPr>
          <w:rFonts w:hint="eastAsia" w:ascii="微软雅黑" w:hAnsi="微软雅黑" w:eastAsia="微软雅黑" w:cs="微软雅黑"/>
          <w:i w:val="0"/>
          <w:iCs w:val="0"/>
          <w:caps w:val="0"/>
          <w:color w:val="auto"/>
          <w:spacing w:val="0"/>
          <w:sz w:val="21"/>
          <w:szCs w:val="21"/>
          <w:highlight w:val="none"/>
          <w:shd w:val="clear" w:color="auto" w:fill="auto"/>
        </w:rPr>
        <w:t>地址：</w:t>
      </w:r>
      <w:r>
        <w:rPr>
          <w:rFonts w:ascii="微软雅黑" w:hAnsi="微软雅黑" w:eastAsia="微软雅黑" w:cs="微软雅黑"/>
          <w:i w:val="0"/>
          <w:iCs w:val="0"/>
          <w:caps w:val="0"/>
          <w:color w:val="auto"/>
          <w:spacing w:val="0"/>
          <w:sz w:val="21"/>
          <w:szCs w:val="21"/>
          <w:highlight w:val="none"/>
          <w:shd w:val="clear" w:color="auto" w:fill="auto"/>
        </w:rPr>
        <w:t>淳化县</w:t>
      </w:r>
      <w:r>
        <w:rPr>
          <w:rFonts w:hint="eastAsia" w:ascii="微软雅黑" w:hAnsi="微软雅黑" w:eastAsia="微软雅黑" w:cs="微软雅黑"/>
          <w:i w:val="0"/>
          <w:iCs w:val="0"/>
          <w:caps w:val="0"/>
          <w:color w:val="auto"/>
          <w:spacing w:val="0"/>
          <w:sz w:val="21"/>
          <w:szCs w:val="21"/>
          <w:highlight w:val="none"/>
          <w:shd w:val="clear" w:color="auto" w:fill="auto"/>
          <w:lang w:eastAsia="zh-CN"/>
        </w:rPr>
        <w:t>仲山大厦三楼</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eastAsia="微软雅黑"/>
          <w:color w:val="auto"/>
          <w:sz w:val="21"/>
          <w:szCs w:val="21"/>
          <w:highlight w:val="none"/>
          <w:shd w:val="clear" w:color="auto" w:fill="auto"/>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auto"/>
        </w:rPr>
        <w:t>联系方式：</w:t>
      </w:r>
      <w:r>
        <w:rPr>
          <w:rFonts w:hint="eastAsia" w:ascii="微软雅黑" w:hAnsi="微软雅黑" w:eastAsia="微软雅黑" w:cs="微软雅黑"/>
          <w:i w:val="0"/>
          <w:iCs w:val="0"/>
          <w:caps w:val="0"/>
          <w:color w:val="auto"/>
          <w:spacing w:val="0"/>
          <w:sz w:val="21"/>
          <w:szCs w:val="21"/>
          <w:highlight w:val="none"/>
          <w:shd w:val="clear" w:color="auto" w:fill="auto"/>
          <w:lang w:val="en-US" w:eastAsia="zh-CN"/>
        </w:rPr>
        <w:t>13484866946</w:t>
      </w:r>
    </w:p>
    <w:p>
      <w:pPr>
        <w:keepNext w:val="0"/>
        <w:keepLines w:val="0"/>
        <w:pageBreakBefore w:val="0"/>
        <w:kinsoku/>
        <w:overflowPunct/>
        <w:topLinePunct w:val="0"/>
        <w:bidi w:val="0"/>
        <w:adjustRightInd/>
        <w:spacing w:line="420" w:lineRule="exact"/>
        <w:ind w:firstLine="420" w:firstLineChars="200"/>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bidi="ar-SA"/>
        </w:rPr>
        <w:t>2.采购代理机构信息</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bidi="ar-SA"/>
        </w:rPr>
        <w:tab/>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名称：</w:t>
      </w:r>
      <w:r>
        <w:rPr>
          <w:rFonts w:hint="eastAsia" w:ascii="微软雅黑" w:hAnsi="微软雅黑" w:eastAsia="微软雅黑" w:cs="微软雅黑"/>
          <w:i w:val="0"/>
          <w:iCs w:val="0"/>
          <w:caps w:val="0"/>
          <w:color w:val="auto"/>
          <w:spacing w:val="0"/>
          <w:sz w:val="22"/>
          <w:szCs w:val="22"/>
          <w:highlight w:val="none"/>
          <w:shd w:val="clear" w:color="auto" w:fill="FFFFFF"/>
        </w:rPr>
        <w:t>丰汇国际项目管理有限公司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地址：</w:t>
      </w:r>
      <w:r>
        <w:rPr>
          <w:rFonts w:hint="eastAsia" w:ascii="微软雅黑" w:hAnsi="微软雅黑" w:eastAsia="微软雅黑" w:cs="微软雅黑"/>
          <w:i w:val="0"/>
          <w:iCs w:val="0"/>
          <w:caps w:val="0"/>
          <w:color w:val="auto"/>
          <w:spacing w:val="0"/>
          <w:sz w:val="22"/>
          <w:szCs w:val="22"/>
          <w:highlight w:val="none"/>
          <w:shd w:val="clear" w:color="auto" w:fill="FFFFFF"/>
        </w:rPr>
        <w:t>陕西省西安市莲湖区丰禾路太奥国际13号楼2</w:t>
      </w: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4</w:t>
      </w:r>
      <w:r>
        <w:rPr>
          <w:rFonts w:hint="eastAsia" w:ascii="微软雅黑" w:hAnsi="微软雅黑" w:eastAsia="微软雅黑" w:cs="微软雅黑"/>
          <w:i w:val="0"/>
          <w:iCs w:val="0"/>
          <w:caps w:val="0"/>
          <w:color w:val="auto"/>
          <w:spacing w:val="0"/>
          <w:sz w:val="22"/>
          <w:szCs w:val="22"/>
          <w:highlight w:val="none"/>
          <w:shd w:val="clear" w:color="auto" w:fill="FFFFFF"/>
        </w:rPr>
        <w:t>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联系方式：</w:t>
      </w:r>
      <w:r>
        <w:rPr>
          <w:rFonts w:hint="eastAsia" w:ascii="微软雅黑" w:hAnsi="微软雅黑" w:eastAsia="微软雅黑" w:cs="微软雅黑"/>
          <w:i w:val="0"/>
          <w:iCs w:val="0"/>
          <w:caps w:val="0"/>
          <w:color w:val="auto"/>
          <w:spacing w:val="0"/>
          <w:sz w:val="22"/>
          <w:szCs w:val="22"/>
          <w:highlight w:val="none"/>
          <w:shd w:val="clear" w:color="auto" w:fill="FFFFFF"/>
        </w:rPr>
        <w:t>1</w:t>
      </w: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9302905132</w:t>
      </w:r>
    </w:p>
    <w:p>
      <w:pPr>
        <w:keepNext w:val="0"/>
        <w:keepLines w:val="0"/>
        <w:pageBreakBefore w:val="0"/>
        <w:kinsoku/>
        <w:overflowPunct/>
        <w:topLinePunct w:val="0"/>
        <w:bidi w:val="0"/>
        <w:adjustRightInd/>
        <w:spacing w:line="420" w:lineRule="exact"/>
        <w:ind w:firstLine="420" w:firstLineChars="200"/>
        <w:textAlignment w:val="auto"/>
        <w:rPr>
          <w:rFonts w:hint="eastAsia" w:ascii="微软雅黑" w:hAnsi="微软雅黑" w:eastAsia="微软雅黑" w:cs="微软雅黑"/>
          <w:i w:val="0"/>
          <w:iCs w:val="0"/>
          <w:caps w:val="0"/>
          <w:color w:val="auto"/>
          <w:spacing w:val="0"/>
          <w:sz w:val="21"/>
          <w:szCs w:val="21"/>
          <w:highlight w:val="none"/>
          <w:shd w:val="clear" w:color="auto" w:fill="FFFFFF"/>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bidi="ar-SA"/>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项目联系人：</w:t>
      </w: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刘</w:t>
      </w:r>
      <w:r>
        <w:rPr>
          <w:rFonts w:hint="eastAsia" w:ascii="微软雅黑" w:hAnsi="微软雅黑" w:eastAsia="微软雅黑" w:cs="微软雅黑"/>
          <w:i w:val="0"/>
          <w:iCs w:val="0"/>
          <w:caps w:val="0"/>
          <w:color w:val="auto"/>
          <w:spacing w:val="0"/>
          <w:sz w:val="22"/>
          <w:szCs w:val="22"/>
          <w:highlight w:val="none"/>
          <w:shd w:val="clear" w:color="auto" w:fill="FFFFFF"/>
        </w:rPr>
        <w:t>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default" w:eastAsia="微软雅黑"/>
          <w:color w:val="auto"/>
          <w:sz w:val="22"/>
          <w:szCs w:val="22"/>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电话：</w:t>
      </w:r>
      <w:r>
        <w:rPr>
          <w:rFonts w:hint="eastAsia" w:ascii="微软雅黑" w:hAnsi="微软雅黑" w:eastAsia="微软雅黑" w:cs="微软雅黑"/>
          <w:i w:val="0"/>
          <w:iCs w:val="0"/>
          <w:caps w:val="0"/>
          <w:color w:val="auto"/>
          <w:spacing w:val="0"/>
          <w:sz w:val="22"/>
          <w:szCs w:val="22"/>
          <w:highlight w:val="none"/>
          <w:shd w:val="clear" w:color="auto" w:fill="FFFFFF"/>
        </w:rPr>
        <w:t>1</w:t>
      </w:r>
      <w:r>
        <w:rPr>
          <w:rFonts w:hint="eastAsia" w:ascii="微软雅黑" w:hAnsi="微软雅黑" w:eastAsia="微软雅黑" w:cs="微软雅黑"/>
          <w:i w:val="0"/>
          <w:iCs w:val="0"/>
          <w:caps w:val="0"/>
          <w:color w:val="auto"/>
          <w:spacing w:val="0"/>
          <w:sz w:val="22"/>
          <w:szCs w:val="22"/>
          <w:highlight w:val="none"/>
          <w:shd w:val="clear" w:color="auto" w:fill="FFFFFF"/>
          <w:lang w:val="en-US" w:eastAsia="zh-CN"/>
        </w:rPr>
        <w:t>9302905132</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17"/>
        <w:keepNext w:val="0"/>
        <w:keepLines w:val="0"/>
        <w:pageBreakBefore w:val="0"/>
        <w:kinsoku/>
        <w:overflowPunct/>
        <w:topLinePunct w:val="0"/>
        <w:autoSpaceDE/>
        <w:autoSpaceDN/>
        <w:bidi w:val="0"/>
        <w:adjustRightInd/>
        <w:spacing w:line="420" w:lineRule="exact"/>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sz w:val="22"/>
          <w:szCs w:val="22"/>
          <w:highlight w:val="none"/>
          <w:shd w:val="clear" w:color="auto" w:fill="FFFFFF"/>
        </w:rPr>
        <w:t>丰汇国际项目管理有限公司</w:t>
      </w:r>
    </w:p>
    <w:p>
      <w:pPr>
        <w:pStyle w:val="17"/>
        <w:keepNext w:val="0"/>
        <w:keepLines w:val="0"/>
        <w:pageBreakBefore w:val="0"/>
        <w:kinsoku/>
        <w:overflowPunct/>
        <w:topLinePunct w:val="0"/>
        <w:autoSpaceDE/>
        <w:autoSpaceDN/>
        <w:bidi w:val="0"/>
        <w:adjustRightInd/>
        <w:spacing w:line="440" w:lineRule="exact"/>
        <w:ind w:firstLine="5250" w:firstLineChars="2500"/>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17"/>
        <w:keepNext w:val="0"/>
        <w:keepLines w:val="0"/>
        <w:pageBreakBefore w:val="0"/>
        <w:kinsoku/>
        <w:overflowPunct/>
        <w:topLinePunct w:val="0"/>
        <w:autoSpaceDE/>
        <w:autoSpaceDN/>
        <w:bidi w:val="0"/>
        <w:adjustRightInd/>
        <w:spacing w:line="440" w:lineRule="exact"/>
        <w:ind w:firstLine="5250" w:firstLineChars="2500"/>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17"/>
        <w:keepNext w:val="0"/>
        <w:keepLines w:val="0"/>
        <w:pageBreakBefore w:val="0"/>
        <w:kinsoku/>
        <w:overflowPunct/>
        <w:topLinePunct w:val="0"/>
        <w:autoSpaceDE/>
        <w:autoSpaceDN/>
        <w:bidi w:val="0"/>
        <w:adjustRightInd/>
        <w:spacing w:line="440" w:lineRule="exact"/>
        <w:ind w:firstLine="5250" w:firstLineChars="2500"/>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17"/>
        <w:keepNext w:val="0"/>
        <w:keepLines w:val="0"/>
        <w:pageBreakBefore w:val="0"/>
        <w:kinsoku/>
        <w:overflowPunct/>
        <w:topLinePunct w:val="0"/>
        <w:autoSpaceDE/>
        <w:autoSpaceDN/>
        <w:bidi w:val="0"/>
        <w:adjustRightInd/>
        <w:spacing w:line="440" w:lineRule="exact"/>
        <w:ind w:firstLine="5250" w:firstLineChars="2500"/>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17"/>
        <w:keepNext w:val="0"/>
        <w:keepLines w:val="0"/>
        <w:pageBreakBefore w:val="0"/>
        <w:kinsoku/>
        <w:overflowPunct/>
        <w:topLinePunct w:val="0"/>
        <w:autoSpaceDE/>
        <w:autoSpaceDN/>
        <w:bidi w:val="0"/>
        <w:adjustRightInd/>
        <w:spacing w:line="440" w:lineRule="exact"/>
        <w:ind w:firstLine="5250" w:firstLineChars="2500"/>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17"/>
        <w:keepNext w:val="0"/>
        <w:keepLines w:val="0"/>
        <w:pageBreakBefore w:val="0"/>
        <w:kinsoku/>
        <w:overflowPunct/>
        <w:topLinePunct w:val="0"/>
        <w:autoSpaceDE/>
        <w:autoSpaceDN/>
        <w:bidi w:val="0"/>
        <w:adjustRightInd/>
        <w:spacing w:line="440" w:lineRule="exact"/>
        <w:ind w:firstLine="5250" w:firstLineChars="2500"/>
        <w:textAlignment w:val="auto"/>
        <w:rPr>
          <w:rFonts w:hint="eastAsia" w:ascii="微软雅黑" w:hAnsi="微软雅黑" w:eastAsia="微软雅黑" w:cs="微软雅黑"/>
          <w:i w:val="0"/>
          <w:iCs w:val="0"/>
          <w:caps w:val="0"/>
          <w:color w:val="auto"/>
          <w:spacing w:val="0"/>
          <w:sz w:val="21"/>
          <w:szCs w:val="21"/>
          <w:highlight w:val="none"/>
          <w:shd w:val="clear" w:color="auto" w:fill="FFFFFF"/>
        </w:rPr>
      </w:pPr>
    </w:p>
    <w:p>
      <w:pPr>
        <w:pStyle w:val="3"/>
        <w:bidi w:val="0"/>
        <w:spacing w:line="360" w:lineRule="auto"/>
        <w:jc w:val="center"/>
        <w:rPr>
          <w:rFonts w:hint="eastAsia" w:ascii="宋体" w:hAnsi="宋体" w:eastAsia="宋体" w:cs="宋体"/>
          <w:color w:val="auto"/>
          <w:sz w:val="36"/>
          <w:szCs w:val="36"/>
          <w:highlight w:val="none"/>
          <w:lang w:val="en-US"/>
        </w:rPr>
      </w:pPr>
      <w:bookmarkStart w:id="5" w:name="_Toc30734"/>
      <w:r>
        <w:rPr>
          <w:rFonts w:hint="eastAsia" w:ascii="宋体" w:hAnsi="宋体" w:eastAsia="宋体" w:cs="宋体"/>
          <w:color w:val="auto"/>
          <w:sz w:val="36"/>
          <w:szCs w:val="36"/>
          <w:highlight w:val="none"/>
          <w:lang w:val="en-US"/>
        </w:rPr>
        <w:t xml:space="preserve">第二章  </w:t>
      </w:r>
      <w:r>
        <w:rPr>
          <w:rFonts w:hint="eastAsia" w:ascii="宋体" w:hAnsi="宋体" w:eastAsia="宋体" w:cs="宋体"/>
          <w:color w:val="auto"/>
          <w:sz w:val="36"/>
          <w:szCs w:val="36"/>
          <w:highlight w:val="none"/>
          <w:lang w:val="en-US" w:eastAsia="zh-CN"/>
        </w:rPr>
        <w:t>投标人</w:t>
      </w:r>
      <w:r>
        <w:rPr>
          <w:rFonts w:hint="eastAsia" w:ascii="宋体" w:hAnsi="宋体" w:eastAsia="宋体" w:cs="宋体"/>
          <w:color w:val="auto"/>
          <w:sz w:val="36"/>
          <w:szCs w:val="36"/>
          <w:highlight w:val="none"/>
          <w:lang w:val="en-US"/>
        </w:rPr>
        <w:t>须知前附表</w:t>
      </w:r>
      <w:bookmarkEnd w:id="4"/>
      <w:bookmarkEnd w:id="5"/>
    </w:p>
    <w:tbl>
      <w:tblPr>
        <w:tblStyle w:val="25"/>
        <w:tblW w:w="515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48"/>
        <w:gridCol w:w="2123"/>
        <w:gridCol w:w="63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9" w:hRule="exact"/>
          <w:tblHeader/>
          <w:jc w:val="center"/>
        </w:trPr>
        <w:tc>
          <w:tcPr>
            <w:tcW w:w="355" w:type="pct"/>
            <w:vAlign w:val="center"/>
          </w:tcPr>
          <w:p>
            <w:pPr>
              <w:pStyle w:val="35"/>
              <w:keepNext w:val="0"/>
              <w:keepLines w:val="0"/>
              <w:pageBreakBefore w:val="0"/>
              <w:kinsoku/>
              <w:overflowPunct/>
              <w:topLinePunct w:val="0"/>
              <w:bidi w:val="0"/>
              <w:spacing w:line="360" w:lineRule="auto"/>
              <w:ind w:left="9"/>
              <w:jc w:val="center"/>
              <w:textAlignment w:val="auto"/>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序号</w:t>
            </w:r>
          </w:p>
        </w:tc>
        <w:tc>
          <w:tcPr>
            <w:tcW w:w="1162" w:type="pct"/>
            <w:vAlign w:val="center"/>
          </w:tcPr>
          <w:p>
            <w:pPr>
              <w:pStyle w:val="35"/>
              <w:keepNext w:val="0"/>
              <w:keepLines w:val="0"/>
              <w:pageBreakBefore w:val="0"/>
              <w:kinsoku/>
              <w:overflowPunct/>
              <w:topLinePunct w:val="0"/>
              <w:bidi w:val="0"/>
              <w:spacing w:line="360" w:lineRule="auto"/>
              <w:ind w:left="-114"/>
              <w:jc w:val="center"/>
              <w:textAlignment w:val="auto"/>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条款名称</w:t>
            </w:r>
          </w:p>
        </w:tc>
        <w:tc>
          <w:tcPr>
            <w:tcW w:w="3481"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采购人</w:t>
            </w:r>
            <w:r>
              <w:rPr>
                <w:rFonts w:hint="eastAsia" w:cs="宋体"/>
                <w:color w:val="auto"/>
                <w:kern w:val="2"/>
                <w:sz w:val="24"/>
                <w:szCs w:val="24"/>
                <w:highlight w:val="none"/>
                <w:lang w:val="zh-CN"/>
              </w:rPr>
              <w:t>（</w:t>
            </w:r>
            <w:r>
              <w:rPr>
                <w:rFonts w:hint="eastAsia" w:cs="宋体"/>
                <w:color w:val="auto"/>
                <w:kern w:val="2"/>
                <w:sz w:val="24"/>
                <w:szCs w:val="24"/>
                <w:highlight w:val="none"/>
                <w:lang w:val="en-US" w:eastAsia="zh-CN"/>
              </w:rPr>
              <w:t>招标人</w:t>
            </w:r>
            <w:r>
              <w:rPr>
                <w:rFonts w:hint="eastAsia" w:cs="宋体"/>
                <w:color w:val="auto"/>
                <w:kern w:val="2"/>
                <w:sz w:val="24"/>
                <w:szCs w:val="24"/>
                <w:highlight w:val="none"/>
                <w:lang w:val="zh-CN"/>
              </w:rPr>
              <w:t>）</w:t>
            </w:r>
          </w:p>
        </w:tc>
        <w:tc>
          <w:tcPr>
            <w:tcW w:w="3481" w:type="pct"/>
            <w:vAlign w:val="center"/>
          </w:tcPr>
          <w:p>
            <w:pPr>
              <w:pStyle w:val="22"/>
              <w:keepNext w:val="0"/>
              <w:keepLines w:val="0"/>
              <w:pageBreakBefore w:val="0"/>
              <w:widowControl/>
              <w:kinsoku/>
              <w:overflowPunct/>
              <w:topLinePunct w:val="0"/>
              <w:autoSpaceDE/>
              <w:autoSpaceDN/>
              <w:bidi w:val="0"/>
              <w:spacing w:beforeAutospacing="0" w:afterAutospacing="0" w:line="360" w:lineRule="auto"/>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i w:val="0"/>
                <w:iCs w:val="0"/>
                <w:caps w:val="0"/>
                <w:color w:val="auto"/>
                <w:spacing w:val="0"/>
                <w:sz w:val="24"/>
                <w:szCs w:val="24"/>
                <w:highlight w:val="none"/>
                <w:shd w:val="clear" w:color="auto" w:fill="FFFFFF"/>
                <w:lang w:eastAsia="zh-CN"/>
              </w:rPr>
              <w:t>淳化县</w:t>
            </w:r>
            <w:r>
              <w:rPr>
                <w:rFonts w:hint="eastAsia" w:ascii="宋体" w:hAnsi="宋体" w:eastAsia="宋体" w:cs="宋体"/>
                <w:i w:val="0"/>
                <w:iCs w:val="0"/>
                <w:caps w:val="0"/>
                <w:color w:val="auto"/>
                <w:spacing w:val="0"/>
                <w:sz w:val="24"/>
                <w:szCs w:val="24"/>
                <w:highlight w:val="none"/>
                <w:shd w:val="clear" w:color="auto" w:fill="FFFFFF"/>
                <w:lang w:val="en-US" w:eastAsia="zh-CN"/>
              </w:rPr>
              <w:t>行政审批服务局</w:t>
            </w:r>
          </w:p>
          <w:p>
            <w:pPr>
              <w:pStyle w:val="22"/>
              <w:keepNext w:val="0"/>
              <w:keepLines w:val="0"/>
              <w:pageBreakBefore w:val="0"/>
              <w:widowControl/>
              <w:kinsoku/>
              <w:overflowPunct/>
              <w:topLinePunct w:val="0"/>
              <w:autoSpaceDE/>
              <w:autoSpaceDN/>
              <w:bidi w:val="0"/>
              <w:spacing w:beforeAutospacing="0" w:afterAutospacing="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地址：淳化县仲山大厦三楼</w:t>
            </w:r>
          </w:p>
          <w:p>
            <w:pPr>
              <w:pStyle w:val="22"/>
              <w:keepNext w:val="0"/>
              <w:keepLines w:val="0"/>
              <w:pageBreakBefore w:val="0"/>
              <w:widowControl/>
              <w:kinsoku/>
              <w:overflowPunct/>
              <w:topLinePunct w:val="0"/>
              <w:autoSpaceDE/>
              <w:autoSpaceDN/>
              <w:bidi w:val="0"/>
              <w:spacing w:beforeAutospacing="0" w:afterAutospacing="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联系方式：13484866946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84"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2</w:t>
            </w:r>
          </w:p>
        </w:tc>
        <w:tc>
          <w:tcPr>
            <w:tcW w:w="1162" w:type="pct"/>
            <w:vAlign w:val="center"/>
          </w:tcPr>
          <w:p>
            <w:pPr>
              <w:pStyle w:val="35"/>
              <w:keepNext w:val="0"/>
              <w:keepLines w:val="0"/>
              <w:pageBreakBefore w:val="0"/>
              <w:kinsoku/>
              <w:overflowPunct/>
              <w:topLinePunct w:val="0"/>
              <w:bidi w:val="0"/>
              <w:spacing w:line="360" w:lineRule="auto"/>
              <w:ind w:left="38"/>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代理机构</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 xml:space="preserve">名  称: </w:t>
            </w:r>
            <w:r>
              <w:rPr>
                <w:rFonts w:hint="eastAsia" w:ascii="宋体" w:hAnsi="宋体" w:eastAsia="宋体" w:cs="宋体"/>
                <w:i w:val="0"/>
                <w:iCs w:val="0"/>
                <w:caps w:val="0"/>
                <w:color w:val="auto"/>
                <w:spacing w:val="0"/>
                <w:sz w:val="24"/>
                <w:szCs w:val="24"/>
                <w:highlight w:val="none"/>
                <w:shd w:val="clear" w:color="auto" w:fill="FFFFFF"/>
              </w:rPr>
              <w:t>丰汇国际项目管理有限公司</w:t>
            </w:r>
          </w:p>
          <w:p>
            <w:pPr>
              <w:keepNext w:val="0"/>
              <w:keepLines w:val="0"/>
              <w:pageBreakBefore w:val="0"/>
              <w:kinsoku/>
              <w:overflowPunct/>
              <w:topLinePunct w:val="0"/>
              <w:bidi w:val="0"/>
              <w:spacing w:line="360" w:lineRule="auto"/>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bidi="ar-SA"/>
              </w:rPr>
              <w:t>地  址:</w:t>
            </w:r>
            <w:r>
              <w:rPr>
                <w:rFonts w:hint="eastAsia" w:ascii="宋体" w:hAnsi="宋体" w:eastAsia="宋体" w:cs="宋体"/>
                <w:i w:val="0"/>
                <w:iCs w:val="0"/>
                <w:caps w:val="0"/>
                <w:color w:val="auto"/>
                <w:spacing w:val="0"/>
                <w:sz w:val="24"/>
                <w:szCs w:val="24"/>
                <w:highlight w:val="none"/>
                <w:shd w:val="clear" w:color="auto" w:fill="FFFFFF"/>
              </w:rPr>
              <w:t>陕西省西安市莲湖区丰禾路太奥国际13号楼2</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层</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 xml:space="preserve">联系人: </w:t>
            </w:r>
            <w:r>
              <w:rPr>
                <w:rFonts w:hint="eastAsia" w:ascii="宋体" w:hAnsi="宋体" w:eastAsia="宋体" w:cs="宋体"/>
                <w:color w:val="auto"/>
                <w:kern w:val="2"/>
                <w:sz w:val="24"/>
                <w:szCs w:val="24"/>
                <w:highlight w:val="none"/>
                <w:lang w:val="en-US" w:eastAsia="zh-CN" w:bidi="ar-SA"/>
              </w:rPr>
              <w:t>刘</w:t>
            </w:r>
            <w:r>
              <w:rPr>
                <w:rFonts w:hint="eastAsia" w:ascii="宋体" w:hAnsi="宋体" w:eastAsia="宋体" w:cs="宋体"/>
                <w:color w:val="auto"/>
                <w:kern w:val="2"/>
                <w:sz w:val="24"/>
                <w:szCs w:val="24"/>
                <w:highlight w:val="none"/>
                <w:lang w:val="en-US" w:bidi="ar-SA"/>
              </w:rPr>
              <w:t>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电  话:</w:t>
            </w:r>
            <w:r>
              <w:rPr>
                <w:rFonts w:hint="eastAsia" w:ascii="宋体" w:hAnsi="宋体" w:eastAsia="宋体" w:cs="宋体"/>
                <w:i w:val="0"/>
                <w:iCs w:val="0"/>
                <w:caps w:val="0"/>
                <w:color w:val="auto"/>
                <w:spacing w:val="0"/>
                <w:sz w:val="24"/>
                <w:szCs w:val="24"/>
                <w:highlight w:val="none"/>
                <w:shd w:val="clear" w:color="auto" w:fill="FFFFFF"/>
              </w:rPr>
              <w:t>1</w:t>
            </w:r>
            <w:r>
              <w:rPr>
                <w:rFonts w:hint="eastAsia" w:ascii="宋体" w:hAnsi="宋体" w:eastAsia="宋体" w:cs="宋体"/>
                <w:i w:val="0"/>
                <w:iCs w:val="0"/>
                <w:caps w:val="0"/>
                <w:color w:val="auto"/>
                <w:spacing w:val="0"/>
                <w:sz w:val="24"/>
                <w:szCs w:val="24"/>
                <w:highlight w:val="none"/>
                <w:shd w:val="clear" w:color="auto" w:fill="FFFFFF"/>
                <w:lang w:val="en-US" w:eastAsia="zh-CN"/>
              </w:rPr>
              <w:t>9302905132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9"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162" w:type="pct"/>
            <w:vAlign w:val="center"/>
          </w:tcPr>
          <w:p>
            <w:pPr>
              <w:pStyle w:val="35"/>
              <w:keepNext w:val="0"/>
              <w:keepLines w:val="0"/>
              <w:pageBreakBefore w:val="0"/>
              <w:kinsoku/>
              <w:overflowPunct/>
              <w:topLinePunct w:val="0"/>
              <w:bidi w:val="0"/>
              <w:spacing w:line="360" w:lineRule="auto"/>
              <w:ind w:left="3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i w:val="0"/>
                <w:iCs w:val="0"/>
                <w:caps w:val="0"/>
                <w:color w:val="auto"/>
                <w:spacing w:val="0"/>
                <w:sz w:val="24"/>
                <w:szCs w:val="24"/>
                <w:highlight w:val="none"/>
                <w:shd w:val="clear" w:color="auto" w:fill="FFFFFF"/>
              </w:rPr>
              <w:t>淳化县“淳捷办”应用程序升级项目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3"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4</w:t>
            </w:r>
          </w:p>
        </w:tc>
        <w:tc>
          <w:tcPr>
            <w:tcW w:w="1162" w:type="pct"/>
            <w:vAlign w:val="center"/>
          </w:tcPr>
          <w:p>
            <w:pPr>
              <w:pStyle w:val="35"/>
              <w:keepNext w:val="0"/>
              <w:keepLines w:val="0"/>
              <w:pageBreakBefore w:val="0"/>
              <w:kinsoku/>
              <w:overflowPunct/>
              <w:topLinePunct w:val="0"/>
              <w:bidi w:val="0"/>
              <w:spacing w:line="360" w:lineRule="auto"/>
              <w:ind w:left="38"/>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项目编号</w:t>
            </w:r>
          </w:p>
        </w:tc>
        <w:tc>
          <w:tcPr>
            <w:tcW w:w="3481" w:type="pct"/>
            <w:vAlign w:val="center"/>
          </w:tcPr>
          <w:p>
            <w:pPr>
              <w:keepNext w:val="0"/>
              <w:keepLines w:val="0"/>
              <w:pageBreakBefore w:val="0"/>
              <w:kinsoku/>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aps w:val="0"/>
                <w:color w:val="auto"/>
                <w:spacing w:val="16"/>
                <w:kern w:val="0"/>
                <w:sz w:val="24"/>
                <w:szCs w:val="24"/>
                <w:highlight w:val="none"/>
                <w:shd w:val="clear" w:color="auto" w:fill="FFFFFF"/>
                <w:fitText w:val="2160" w:id="154339009"/>
                <w:lang w:val="en-US" w:eastAsia="zh-CN"/>
              </w:rPr>
              <w:t>FHGJ</w:t>
            </w:r>
            <w:r>
              <w:rPr>
                <w:rFonts w:hint="eastAsia" w:ascii="宋体" w:hAnsi="宋体" w:eastAsia="宋体" w:cs="宋体"/>
                <w:i w:val="0"/>
                <w:iCs w:val="0"/>
                <w:caps w:val="0"/>
                <w:color w:val="auto"/>
                <w:spacing w:val="16"/>
                <w:kern w:val="0"/>
                <w:sz w:val="24"/>
                <w:szCs w:val="24"/>
                <w:highlight w:val="none"/>
                <w:shd w:val="clear" w:color="auto" w:fill="FFFFFF"/>
                <w:fitText w:val="2160" w:id="154339009"/>
              </w:rPr>
              <w:t>-ZB2023-004</w:t>
            </w:r>
            <w:r>
              <w:rPr>
                <w:rFonts w:hint="eastAsia" w:ascii="宋体" w:hAnsi="宋体" w:eastAsia="宋体" w:cs="宋体"/>
                <w:i w:val="0"/>
                <w:iCs w:val="0"/>
                <w:caps w:val="0"/>
                <w:color w:val="auto"/>
                <w:spacing w:val="0"/>
                <w:kern w:val="0"/>
                <w:sz w:val="24"/>
                <w:szCs w:val="24"/>
                <w:highlight w:val="none"/>
                <w:shd w:val="clear" w:color="auto" w:fill="FFFFFF"/>
                <w:fitText w:val="2160" w:id="154339009"/>
                <w:lang w:val="en-US" w:eastAsia="zh-CN"/>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9"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5</w:t>
            </w:r>
          </w:p>
        </w:tc>
        <w:tc>
          <w:tcPr>
            <w:tcW w:w="1162" w:type="pct"/>
            <w:vAlign w:val="center"/>
          </w:tcPr>
          <w:p>
            <w:pPr>
              <w:pStyle w:val="35"/>
              <w:keepNext w:val="0"/>
              <w:keepLines w:val="0"/>
              <w:pageBreakBefore w:val="0"/>
              <w:kinsoku/>
              <w:overflowPunct/>
              <w:topLinePunct w:val="0"/>
              <w:bidi w:val="0"/>
              <w:spacing w:line="360" w:lineRule="auto"/>
              <w:ind w:left="38"/>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资金来源</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69"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6</w:t>
            </w:r>
          </w:p>
        </w:tc>
        <w:tc>
          <w:tcPr>
            <w:tcW w:w="1162" w:type="pct"/>
            <w:vAlign w:val="center"/>
          </w:tcPr>
          <w:p>
            <w:pPr>
              <w:pStyle w:val="35"/>
              <w:keepNext w:val="0"/>
              <w:keepLines w:val="0"/>
              <w:pageBreakBefore w:val="0"/>
              <w:kinsoku/>
              <w:overflowPunct/>
              <w:topLinePunct w:val="0"/>
              <w:bidi w:val="0"/>
              <w:spacing w:line="360" w:lineRule="auto"/>
              <w:ind w:left="38"/>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rPr>
              <w:t>预算</w:t>
            </w:r>
            <w:r>
              <w:rPr>
                <w:rFonts w:hint="eastAsia" w:cs="宋体"/>
                <w:color w:val="auto"/>
                <w:kern w:val="2"/>
                <w:sz w:val="24"/>
                <w:szCs w:val="24"/>
                <w:highlight w:val="none"/>
                <w:lang w:val="en-US" w:eastAsia="zh-CN"/>
              </w:rPr>
              <w:t>金额</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预算</w:t>
            </w:r>
            <w:r>
              <w:rPr>
                <w:rFonts w:hint="eastAsia"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lang w:bidi="ar-SA"/>
              </w:rPr>
              <w:t>：</w:t>
            </w:r>
            <w:r>
              <w:rPr>
                <w:rFonts w:hint="eastAsia" w:ascii="宋体" w:hAnsi="宋体" w:eastAsia="宋体" w:cs="宋体"/>
                <w:color w:val="auto"/>
                <w:kern w:val="2"/>
                <w:sz w:val="24"/>
                <w:szCs w:val="24"/>
                <w:highlight w:val="none"/>
                <w:lang w:val="en-US" w:eastAsia="zh-CN" w:bidi="ar-SA"/>
              </w:rPr>
              <w:t>1100000</w:t>
            </w:r>
            <w:r>
              <w:rPr>
                <w:rFonts w:hint="eastAsia" w:ascii="宋体" w:hAnsi="宋体" w:eastAsia="宋体" w:cs="宋体"/>
                <w:color w:val="auto"/>
                <w:kern w:val="2"/>
                <w:sz w:val="24"/>
                <w:szCs w:val="24"/>
                <w:highlight w:val="none"/>
                <w:lang w:val="en-US" w:bidi="ar-SA"/>
              </w:rPr>
              <w:t>.00</w:t>
            </w:r>
            <w:r>
              <w:rPr>
                <w:rFonts w:hint="eastAsia" w:ascii="宋体" w:hAnsi="宋体" w:eastAsia="宋体" w:cs="宋体"/>
                <w:color w:val="auto"/>
                <w:kern w:val="2"/>
                <w:sz w:val="24"/>
                <w:szCs w:val="24"/>
                <w:highlight w:val="none"/>
                <w:lang w:bidi="ar-SA"/>
              </w:rPr>
              <w:t>元。</w:t>
            </w:r>
            <w:r>
              <w:rPr>
                <w:rFonts w:hint="eastAsia" w:ascii="宋体" w:hAnsi="宋体" w:eastAsia="宋体" w:cs="宋体"/>
                <w:color w:val="auto"/>
                <w:kern w:val="2"/>
                <w:sz w:val="24"/>
                <w:szCs w:val="24"/>
                <w:highlight w:val="none"/>
                <w:lang w:val="en-US" w:bidi="ar-SA"/>
              </w:rPr>
              <w:t>投标</w:t>
            </w:r>
            <w:r>
              <w:rPr>
                <w:rFonts w:hint="eastAsia" w:ascii="宋体" w:hAnsi="宋体" w:eastAsia="宋体" w:cs="宋体"/>
                <w:color w:val="auto"/>
                <w:kern w:val="2"/>
                <w:sz w:val="24"/>
                <w:szCs w:val="24"/>
                <w:highlight w:val="none"/>
                <w:lang w:bidi="ar-SA"/>
              </w:rPr>
              <w:t>报价超出预算</w:t>
            </w:r>
            <w:r>
              <w:rPr>
                <w:rFonts w:hint="eastAsia"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lang w:bidi="ar-SA"/>
              </w:rPr>
              <w:t>，作为不实质性响应</w:t>
            </w:r>
            <w:r>
              <w:rPr>
                <w:rFonts w:hint="eastAsia" w:ascii="宋体" w:hAnsi="宋体" w:eastAsia="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bidi="ar-SA"/>
              </w:rPr>
              <w:t>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6"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7</w:t>
            </w:r>
          </w:p>
        </w:tc>
        <w:tc>
          <w:tcPr>
            <w:tcW w:w="1162" w:type="pct"/>
            <w:vAlign w:val="center"/>
          </w:tcPr>
          <w:p>
            <w:pPr>
              <w:pStyle w:val="35"/>
              <w:keepNext w:val="0"/>
              <w:keepLines w:val="0"/>
              <w:pageBreakBefore w:val="0"/>
              <w:kinsoku/>
              <w:overflowPunct/>
              <w:topLinePunct w:val="0"/>
              <w:bidi w:val="0"/>
              <w:spacing w:line="360" w:lineRule="auto"/>
              <w:ind w:left="38"/>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 xml:space="preserve"> 采购</w:t>
            </w:r>
            <w:r>
              <w:rPr>
                <w:rFonts w:hint="eastAsia" w:cs="宋体"/>
                <w:color w:val="auto"/>
                <w:kern w:val="2"/>
                <w:sz w:val="24"/>
                <w:szCs w:val="24"/>
                <w:highlight w:val="none"/>
                <w:lang w:val="zh-CN"/>
              </w:rPr>
              <w:t>（</w:t>
            </w:r>
            <w:r>
              <w:rPr>
                <w:rFonts w:hint="eastAsia" w:cs="宋体"/>
                <w:color w:val="auto"/>
                <w:kern w:val="2"/>
                <w:sz w:val="24"/>
                <w:szCs w:val="24"/>
                <w:highlight w:val="none"/>
                <w:lang w:val="en-US" w:eastAsia="zh-CN"/>
              </w:rPr>
              <w:t>招标</w:t>
            </w:r>
            <w:r>
              <w:rPr>
                <w:rFonts w:hint="eastAsia" w:cs="宋体"/>
                <w:color w:val="auto"/>
                <w:kern w:val="2"/>
                <w:sz w:val="24"/>
                <w:szCs w:val="24"/>
                <w:highlight w:val="none"/>
                <w:lang w:val="zh-CN"/>
              </w:rPr>
              <w:t>）</w:t>
            </w:r>
            <w:r>
              <w:rPr>
                <w:rFonts w:hint="eastAsia" w:ascii="宋体" w:hAnsi="宋体" w:eastAsia="宋体" w:cs="宋体"/>
                <w:color w:val="auto"/>
                <w:kern w:val="2"/>
                <w:sz w:val="24"/>
                <w:szCs w:val="24"/>
                <w:highlight w:val="none"/>
                <w:lang w:val="zh-CN"/>
              </w:rPr>
              <w:t>方式</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1"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8</w:t>
            </w:r>
          </w:p>
        </w:tc>
        <w:tc>
          <w:tcPr>
            <w:tcW w:w="1162" w:type="pct"/>
            <w:vAlign w:val="center"/>
          </w:tcPr>
          <w:p>
            <w:pPr>
              <w:pStyle w:val="35"/>
              <w:keepNext w:val="0"/>
              <w:keepLines w:val="0"/>
              <w:pageBreakBefore w:val="0"/>
              <w:kinsoku/>
              <w:overflowPunct/>
              <w:topLinePunct w:val="0"/>
              <w:bidi w:val="0"/>
              <w:spacing w:line="360" w:lineRule="auto"/>
              <w:ind w:left="3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w:t>
            </w:r>
            <w:r>
              <w:rPr>
                <w:rFonts w:hint="eastAsia" w:cs="宋体"/>
                <w:color w:val="auto"/>
                <w:kern w:val="2"/>
                <w:sz w:val="24"/>
                <w:szCs w:val="24"/>
                <w:highlight w:val="none"/>
                <w:lang w:val="zh-CN"/>
              </w:rPr>
              <w:t>（</w:t>
            </w:r>
            <w:r>
              <w:rPr>
                <w:rFonts w:hint="eastAsia" w:cs="宋体"/>
                <w:color w:val="auto"/>
                <w:kern w:val="2"/>
                <w:sz w:val="24"/>
                <w:szCs w:val="24"/>
                <w:highlight w:val="none"/>
                <w:lang w:val="en-US" w:eastAsia="zh-CN"/>
              </w:rPr>
              <w:t>招标</w:t>
            </w:r>
            <w:r>
              <w:rPr>
                <w:rFonts w:hint="eastAsia" w:cs="宋体"/>
                <w:color w:val="auto"/>
                <w:kern w:val="2"/>
                <w:sz w:val="24"/>
                <w:szCs w:val="24"/>
                <w:highlight w:val="none"/>
                <w:lang w:val="zh-CN"/>
              </w:rPr>
              <w:t>）</w:t>
            </w:r>
            <w:r>
              <w:rPr>
                <w:rFonts w:hint="eastAsia" w:ascii="宋体" w:hAnsi="宋体" w:eastAsia="宋体" w:cs="宋体"/>
                <w:color w:val="auto"/>
                <w:kern w:val="2"/>
                <w:sz w:val="24"/>
                <w:szCs w:val="24"/>
                <w:highlight w:val="none"/>
              </w:rPr>
              <w:t>范围</w:t>
            </w:r>
          </w:p>
        </w:tc>
        <w:tc>
          <w:tcPr>
            <w:tcW w:w="3481" w:type="pct"/>
            <w:vAlign w:val="center"/>
          </w:tcPr>
          <w:p>
            <w:pPr>
              <w:pStyle w:val="35"/>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淳化县“淳捷办”应用程序升级项目</w:t>
            </w:r>
            <w:r>
              <w:rPr>
                <w:rFonts w:hint="eastAsia" w:ascii="宋体" w:hAnsi="宋体" w:eastAsia="宋体" w:cs="宋体"/>
                <w:color w:val="auto"/>
                <w:kern w:val="2"/>
                <w:sz w:val="24"/>
                <w:szCs w:val="24"/>
                <w:highlight w:val="none"/>
              </w:rPr>
              <w:t>,具体详见招标文件。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0"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服务</w:t>
            </w:r>
            <w:r>
              <w:rPr>
                <w:rFonts w:hint="eastAsia" w:ascii="宋体" w:hAnsi="宋体" w:eastAsia="宋体" w:cs="宋体"/>
                <w:color w:val="auto"/>
                <w:kern w:val="2"/>
                <w:sz w:val="24"/>
                <w:szCs w:val="24"/>
                <w:highlight w:val="none"/>
                <w:lang w:val="en-US" w:bidi="ar-SA"/>
              </w:rPr>
              <w:t>期</w:t>
            </w:r>
          </w:p>
        </w:tc>
        <w:tc>
          <w:tcPr>
            <w:tcW w:w="3481" w:type="pct"/>
            <w:vAlign w:val="center"/>
          </w:tcPr>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60日历</w:t>
            </w:r>
            <w:r>
              <w:rPr>
                <w:rFonts w:hint="eastAsia" w:ascii="宋体" w:hAnsi="宋体" w:eastAsia="宋体" w:cs="宋体"/>
                <w:color w:val="auto"/>
                <w:kern w:val="2"/>
                <w:sz w:val="24"/>
                <w:szCs w:val="24"/>
                <w:highlight w:val="none"/>
                <w:lang w:val="en-US" w:eastAsia="zh-CN" w:bidi="ar-SA"/>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1"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质量要求</w:t>
            </w:r>
          </w:p>
        </w:tc>
        <w:tc>
          <w:tcPr>
            <w:tcW w:w="3481" w:type="pct"/>
            <w:vAlign w:val="center"/>
          </w:tcPr>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达到国家质量验收规范合格标准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0"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供应商</w:t>
            </w:r>
            <w:r>
              <w:rPr>
                <w:rFonts w:hint="eastAsia"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bidi="ar-SA"/>
              </w:rPr>
              <w:t>资质要求</w:t>
            </w:r>
          </w:p>
        </w:tc>
        <w:tc>
          <w:tcPr>
            <w:tcW w:w="3481" w:type="pct"/>
            <w:vAlign w:val="center"/>
          </w:tcPr>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（1）满足《中华人民共和国政府采购法》第二十二条规定；</w:t>
            </w:r>
          </w:p>
          <w:p>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①具有独立承担民事责任能力，提供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rPr>
              <w:t>合法注册的法人或其他组织的营业执照等证明文件或自然人的身份证明；</w:t>
            </w:r>
          </w:p>
          <w:p>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②财务状况报告</w:t>
            </w:r>
            <w:r>
              <w:rPr>
                <w:rFonts w:hint="eastAsia" w:ascii="宋体" w:hAnsi="宋体" w:eastAsia="宋体" w:cs="宋体"/>
                <w:color w:val="auto"/>
                <w:sz w:val="24"/>
                <w:szCs w:val="24"/>
                <w:highlight w:val="none"/>
                <w:lang w:eastAsia="zh-CN"/>
              </w:rPr>
              <w:t>：提供具有财务审计资质单位出具的</w:t>
            </w:r>
            <w:r>
              <w:rPr>
                <w:rFonts w:hint="eastAsia" w:ascii="宋体" w:hAnsi="宋体" w:eastAsia="宋体" w:cs="宋体"/>
                <w:color w:val="auto"/>
                <w:sz w:val="24"/>
                <w:szCs w:val="24"/>
                <w:highlight w:val="none"/>
                <w:lang w:val="en-US" w:eastAsia="zh-CN"/>
              </w:rPr>
              <w:t>2022年</w:t>
            </w:r>
            <w:r>
              <w:rPr>
                <w:rFonts w:hint="eastAsia" w:ascii="宋体" w:hAnsi="宋体" w:eastAsia="宋体" w:cs="宋体"/>
                <w:color w:val="auto"/>
                <w:sz w:val="24"/>
                <w:szCs w:val="24"/>
                <w:highlight w:val="none"/>
                <w:lang w:eastAsia="zh-CN"/>
              </w:rPr>
              <w:t>财务</w:t>
            </w:r>
            <w:r>
              <w:rPr>
                <w:rFonts w:hint="eastAsia" w:ascii="宋体" w:hAnsi="宋体" w:eastAsia="宋体" w:cs="宋体"/>
                <w:color w:val="auto"/>
                <w:sz w:val="24"/>
                <w:szCs w:val="24"/>
                <w:highlight w:val="none"/>
                <w:lang w:val="en-US" w:eastAsia="zh-CN"/>
              </w:rPr>
              <w:t>审计</w:t>
            </w:r>
            <w:r>
              <w:rPr>
                <w:rFonts w:hint="eastAsia" w:ascii="宋体" w:hAnsi="宋体" w:eastAsia="宋体" w:cs="宋体"/>
                <w:color w:val="auto"/>
                <w:sz w:val="24"/>
                <w:szCs w:val="24"/>
                <w:highlight w:val="none"/>
                <w:lang w:eastAsia="zh-CN"/>
              </w:rPr>
              <w:t>报告或投标前六个月内投标人银行基本户开户行出具的资信证明</w:t>
            </w:r>
            <w:r>
              <w:rPr>
                <w:rFonts w:hint="eastAsia" w:ascii="宋体" w:hAnsi="宋体" w:eastAsia="宋体" w:cs="宋体"/>
                <w:i w:val="0"/>
                <w:iCs w:val="0"/>
                <w:caps w:val="0"/>
                <w:color w:val="auto"/>
                <w:spacing w:val="0"/>
                <w:sz w:val="24"/>
                <w:szCs w:val="24"/>
                <w:highlight w:val="none"/>
                <w:shd w:val="clear" w:color="auto" w:fill="FFFFFF"/>
              </w:rPr>
              <w:t>（提供基本存款账户证明材料）</w:t>
            </w:r>
            <w:r>
              <w:rPr>
                <w:rFonts w:hint="eastAsia" w:ascii="宋体" w:hAnsi="宋体" w:eastAsia="宋体" w:cs="宋体"/>
                <w:color w:val="auto"/>
                <w:sz w:val="24"/>
                <w:szCs w:val="24"/>
                <w:highlight w:val="none"/>
                <w:lang w:eastAsia="zh-CN"/>
              </w:rPr>
              <w:t>或财政部门认可的政府采购专业担保机构出具的投标</w:t>
            </w:r>
            <w:r>
              <w:rPr>
                <w:rFonts w:hint="eastAsia" w:ascii="宋体" w:hAnsi="宋体" w:eastAsia="宋体" w:cs="宋体"/>
                <w:color w:val="auto"/>
                <w:sz w:val="24"/>
                <w:szCs w:val="24"/>
                <w:highlight w:val="none"/>
                <w:lang w:val="en-US" w:eastAsia="zh-CN"/>
              </w:rPr>
              <w:t>担保函</w:t>
            </w:r>
            <w:r>
              <w:rPr>
                <w:rFonts w:hint="eastAsia" w:ascii="宋体" w:hAnsi="宋体" w:eastAsia="宋体" w:cs="宋体"/>
                <w:color w:val="auto"/>
                <w:sz w:val="24"/>
                <w:szCs w:val="24"/>
                <w:highlight w:val="none"/>
                <w:lang w:eastAsia="zh-CN"/>
              </w:rPr>
              <w:t>；</w:t>
            </w:r>
          </w:p>
          <w:p>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③依法缴纳税收</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截止时间前六个月任意一个月的完税凭证或税务机关开具的完税证明（任意税种），依法免税的应提供相关文件证明；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rPr>
              <w:t>社会保障资金</w:t>
            </w:r>
            <w:r>
              <w:rPr>
                <w:rFonts w:hint="eastAsia" w:ascii="宋体" w:hAnsi="宋体" w:eastAsia="宋体" w:cs="宋体"/>
                <w:color w:val="auto"/>
                <w:sz w:val="24"/>
                <w:szCs w:val="24"/>
                <w:highlight w:val="none"/>
                <w:lang w:val="en-US" w:eastAsia="zh-CN"/>
              </w:rPr>
              <w:t>缴纳证明</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截止时间前六个月任意一个月的社会保障资金缴存单据或社保机构开具的社会保险参保缴费情况证明，依法不需要缴纳社会保障资金的应提供相关文件证明；</w:t>
            </w:r>
          </w:p>
          <w:p>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⑤提供具有履行本合同所必需的设备和专业技术能力的书面声明；</w:t>
            </w:r>
          </w:p>
          <w:p>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⑥提供参加政府采购活动前三年内在经营活动中没有重大违法记录的书面声明；</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bidi="ar-SA"/>
              </w:rPr>
              <w:t>本项目的特定资格要求：</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①法定代表人直接参加投标的，须出具法定代表人身份证明及身份证；法定代表人授权代表参加投标的，须出具法定代表人授权</w:t>
            </w:r>
            <w:r>
              <w:rPr>
                <w:rFonts w:hint="eastAsia" w:ascii="宋体" w:hAnsi="宋体" w:eastAsia="宋体" w:cs="宋体"/>
                <w:i w:val="0"/>
                <w:iCs w:val="0"/>
                <w:caps w:val="0"/>
                <w:color w:val="auto"/>
                <w:spacing w:val="0"/>
                <w:sz w:val="24"/>
                <w:szCs w:val="24"/>
                <w:highlight w:val="none"/>
                <w:shd w:val="clear" w:color="auto" w:fill="FFFFFF"/>
                <w:lang w:val="en-US" w:eastAsia="zh-CN"/>
              </w:rPr>
              <w:t>委托</w:t>
            </w:r>
            <w:r>
              <w:rPr>
                <w:rFonts w:hint="eastAsia" w:ascii="宋体" w:hAnsi="宋体" w:eastAsia="宋体" w:cs="宋体"/>
                <w:i w:val="0"/>
                <w:iCs w:val="0"/>
                <w:caps w:val="0"/>
                <w:color w:val="auto"/>
                <w:spacing w:val="0"/>
                <w:sz w:val="24"/>
                <w:szCs w:val="24"/>
                <w:highlight w:val="none"/>
                <w:shd w:val="clear" w:color="auto" w:fill="FFFFFF"/>
              </w:rPr>
              <w:t>书及授权代表身份证；</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②投标人不得为“信用中国”网站（www.creditchina.gov.cn）中列入失信被执行人和重大税收违法案件当事人名单的</w:t>
            </w:r>
            <w:r>
              <w:rPr>
                <w:rFonts w:hint="eastAsia"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，不得为中国政府采购网（www.ccgp.gov.cn）政府采购严重违法失信行为记录名单中被财政部门禁止参加政府采购活动的</w:t>
            </w:r>
            <w:r>
              <w:rPr>
                <w:rFonts w:hint="eastAsia"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i w:val="0"/>
                <w:iCs w:val="0"/>
                <w:caps w:val="0"/>
                <w:color w:val="auto"/>
                <w:spacing w:val="0"/>
                <w:sz w:val="24"/>
                <w:szCs w:val="24"/>
                <w:highlight w:val="none"/>
                <w:shd w:val="clear" w:color="auto" w:fill="FFFFFF"/>
              </w:rPr>
              <w:t>说明：本项目不接受联合体，单位负责人为同一人或者存在控股、管理关系的不同投标单位,不得同时参加本项目采购活动。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0"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w:t>
            </w:r>
            <w:r>
              <w:rPr>
                <w:rFonts w:hint="eastAsia" w:ascii="宋体" w:hAnsi="宋体" w:eastAsia="宋体" w:cs="宋体"/>
                <w:color w:val="auto"/>
                <w:kern w:val="2"/>
                <w:sz w:val="24"/>
                <w:szCs w:val="24"/>
                <w:highlight w:val="none"/>
              </w:rPr>
              <w:t>2</w:t>
            </w:r>
          </w:p>
        </w:tc>
        <w:tc>
          <w:tcPr>
            <w:tcW w:w="1162" w:type="pct"/>
            <w:vAlign w:val="center"/>
          </w:tcPr>
          <w:p>
            <w:pPr>
              <w:pStyle w:val="35"/>
              <w:keepNext w:val="0"/>
              <w:keepLines w:val="0"/>
              <w:pageBreakBefore w:val="0"/>
              <w:kinsoku/>
              <w:overflowPunct/>
              <w:topLinePunct w:val="0"/>
              <w:bidi w:val="0"/>
              <w:spacing w:line="360" w:lineRule="auto"/>
              <w:ind w:left="96"/>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项目地点</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sz w:val="24"/>
                <w:szCs w:val="24"/>
                <w:highlight w:val="none"/>
                <w:lang w:val="en-US"/>
              </w:rPr>
              <w:t>采购人</w:t>
            </w:r>
            <w:r>
              <w:rPr>
                <w:rFonts w:hint="eastAsia"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9"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w:t>
            </w:r>
            <w:r>
              <w:rPr>
                <w:rFonts w:hint="eastAsia" w:ascii="宋体" w:hAnsi="宋体" w:eastAsia="宋体" w:cs="宋体"/>
                <w:color w:val="auto"/>
                <w:kern w:val="2"/>
                <w:sz w:val="24"/>
                <w:szCs w:val="24"/>
                <w:highlight w:val="none"/>
              </w:rPr>
              <w:t>3</w:t>
            </w:r>
          </w:p>
        </w:tc>
        <w:tc>
          <w:tcPr>
            <w:tcW w:w="1162" w:type="pct"/>
            <w:vAlign w:val="center"/>
          </w:tcPr>
          <w:p>
            <w:pPr>
              <w:pStyle w:val="35"/>
              <w:keepNext w:val="0"/>
              <w:keepLines w:val="0"/>
              <w:pageBreakBefore w:val="0"/>
              <w:kinsoku/>
              <w:overflowPunct/>
              <w:topLinePunct w:val="0"/>
              <w:bidi w:val="0"/>
              <w:spacing w:line="360" w:lineRule="auto"/>
              <w:ind w:left="235"/>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是否接受</w:t>
            </w:r>
          </w:p>
          <w:p>
            <w:pPr>
              <w:pStyle w:val="35"/>
              <w:keepNext w:val="0"/>
              <w:keepLines w:val="0"/>
              <w:pageBreakBefore w:val="0"/>
              <w:kinsoku/>
              <w:overflowPunct/>
              <w:topLinePunct w:val="0"/>
              <w:bidi w:val="0"/>
              <w:spacing w:line="360" w:lineRule="auto"/>
              <w:ind w:left="235"/>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联合体投标</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踏勘现场</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bidi="ar-SA"/>
              </w:rPr>
              <w:t>代理机构不组织统一踏勘、各供应商自行踏勘，相关费用及安全由供应商自行承担</w:t>
            </w:r>
            <w:r>
              <w:rPr>
                <w:rFonts w:hint="eastAsia" w:ascii="宋体" w:hAnsi="宋体" w:eastAsia="宋体" w:cs="宋体"/>
                <w:color w:val="auto"/>
                <w:kern w:val="2"/>
                <w:sz w:val="24"/>
                <w:szCs w:val="24"/>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8"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分包</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0"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w:t>
            </w:r>
            <w:r>
              <w:rPr>
                <w:rFonts w:hint="eastAsia" w:ascii="宋体" w:hAnsi="宋体" w:eastAsia="宋体" w:cs="宋体"/>
                <w:color w:val="auto"/>
                <w:kern w:val="2"/>
                <w:sz w:val="24"/>
                <w:szCs w:val="24"/>
                <w:highlight w:val="none"/>
              </w:rPr>
              <w:t>6</w:t>
            </w:r>
          </w:p>
        </w:tc>
        <w:tc>
          <w:tcPr>
            <w:tcW w:w="1162" w:type="pct"/>
            <w:vAlign w:val="center"/>
          </w:tcPr>
          <w:p>
            <w:pPr>
              <w:pStyle w:val="35"/>
              <w:keepNext w:val="0"/>
              <w:keepLines w:val="0"/>
              <w:pageBreakBefore w:val="0"/>
              <w:kinsoku/>
              <w:overflowPunct/>
              <w:topLinePunct w:val="0"/>
              <w:bidi w:val="0"/>
              <w:spacing w:line="360" w:lineRule="auto"/>
              <w:ind w:left="52"/>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构成招标文件的其他材料</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招标答疑文件等相关材料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83"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w:t>
            </w:r>
          </w:p>
        </w:tc>
        <w:tc>
          <w:tcPr>
            <w:tcW w:w="1162" w:type="pct"/>
            <w:vAlign w:val="center"/>
          </w:tcPr>
          <w:p>
            <w:pPr>
              <w:pStyle w:val="35"/>
              <w:keepNext w:val="0"/>
              <w:keepLines w:val="0"/>
              <w:pageBreakBefore w:val="0"/>
              <w:kinsoku/>
              <w:overflowPunct/>
              <w:topLinePunct w:val="0"/>
              <w:bidi w:val="0"/>
              <w:spacing w:line="360" w:lineRule="auto"/>
              <w:ind w:left="52"/>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供应商</w:t>
            </w:r>
            <w:r>
              <w:rPr>
                <w:rFonts w:hint="eastAsia" w:cs="宋体"/>
                <w:color w:val="auto"/>
                <w:sz w:val="24"/>
                <w:szCs w:val="24"/>
                <w:highlight w:val="none"/>
                <w:lang w:eastAsia="zh-CN"/>
              </w:rPr>
              <w:t>（</w:t>
            </w:r>
            <w:r>
              <w:rPr>
                <w:rFonts w:hint="eastAsia" w:cs="宋体"/>
                <w:color w:val="auto"/>
                <w:sz w:val="24"/>
                <w:szCs w:val="24"/>
                <w:highlight w:val="none"/>
                <w:lang w:val="en-US" w:eastAsia="zh-CN"/>
              </w:rPr>
              <w:t>投标人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要求澄清招标文件的截止时间</w:t>
            </w:r>
          </w:p>
        </w:tc>
        <w:tc>
          <w:tcPr>
            <w:tcW w:w="3481" w:type="pct"/>
            <w:vAlign w:val="center"/>
          </w:tcPr>
          <w:p>
            <w:pPr>
              <w:keepNext w:val="0"/>
              <w:keepLines w:val="0"/>
              <w:pageBreakBefore w:val="0"/>
              <w:kinsoku/>
              <w:overflowPunct/>
              <w:topLinePunct w:val="0"/>
              <w:bidi w:val="0"/>
              <w:spacing w:line="360" w:lineRule="auto"/>
              <w:ind w:left="0" w:leftChars="0" w:firstLine="139" w:firstLineChars="58"/>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color w:val="auto"/>
                <w:kern w:val="0"/>
                <w:sz w:val="24"/>
                <w:szCs w:val="24"/>
                <w:highlight w:val="none"/>
                <w:lang w:val="zh-CN" w:eastAsia="zh-CN" w:bidi="ar-SA"/>
              </w:rPr>
              <w:t>投标人质疑期限：</w:t>
            </w:r>
            <w:r>
              <w:rPr>
                <w:rFonts w:hint="eastAsia" w:ascii="宋体" w:hAnsi="宋体" w:eastAsia="宋体" w:cs="宋体"/>
                <w:i w:val="0"/>
                <w:iCs w:val="0"/>
                <w:caps w:val="0"/>
                <w:color w:val="auto"/>
                <w:spacing w:val="0"/>
                <w:sz w:val="24"/>
                <w:szCs w:val="24"/>
                <w:highlight w:val="none"/>
                <w:shd w:val="clear" w:color="auto" w:fill="FFFFFF"/>
              </w:rPr>
              <w:t>应当在获取</w:t>
            </w:r>
            <w:r>
              <w:rPr>
                <w:rFonts w:hint="eastAsia" w:ascii="宋体" w:hAnsi="宋体" w:eastAsia="宋体" w:cs="宋体"/>
                <w:i w:val="0"/>
                <w:iCs w:val="0"/>
                <w:caps w:val="0"/>
                <w:color w:val="auto"/>
                <w:spacing w:val="0"/>
                <w:sz w:val="24"/>
                <w:szCs w:val="24"/>
                <w:highlight w:val="none"/>
                <w:shd w:val="clear" w:color="auto" w:fill="FFFFFF"/>
                <w:lang w:val="en-US" w:eastAsia="zh-CN"/>
              </w:rPr>
              <w:t>招标</w:t>
            </w:r>
            <w:r>
              <w:rPr>
                <w:rFonts w:hint="eastAsia" w:ascii="宋体" w:hAnsi="宋体" w:eastAsia="宋体" w:cs="宋体"/>
                <w:i w:val="0"/>
                <w:iCs w:val="0"/>
                <w:caps w:val="0"/>
                <w:color w:val="auto"/>
                <w:spacing w:val="0"/>
                <w:sz w:val="24"/>
                <w:szCs w:val="24"/>
                <w:highlight w:val="none"/>
                <w:shd w:val="clear" w:color="auto" w:fill="FFFFFF"/>
              </w:rPr>
              <w:t>文件或者</w:t>
            </w:r>
            <w:r>
              <w:rPr>
                <w:rFonts w:hint="eastAsia" w:ascii="宋体" w:hAnsi="宋体" w:eastAsia="宋体" w:cs="宋体"/>
                <w:i w:val="0"/>
                <w:iCs w:val="0"/>
                <w:caps w:val="0"/>
                <w:color w:val="auto"/>
                <w:spacing w:val="0"/>
                <w:sz w:val="24"/>
                <w:szCs w:val="24"/>
                <w:highlight w:val="none"/>
                <w:shd w:val="clear" w:color="auto" w:fill="FFFFFF"/>
                <w:lang w:val="en-US" w:eastAsia="zh-CN"/>
              </w:rPr>
              <w:t>招标</w:t>
            </w:r>
            <w:r>
              <w:rPr>
                <w:rFonts w:hint="eastAsia" w:ascii="宋体" w:hAnsi="宋体" w:eastAsia="宋体" w:cs="宋体"/>
                <w:i w:val="0"/>
                <w:iCs w:val="0"/>
                <w:caps w:val="0"/>
                <w:color w:val="auto"/>
                <w:spacing w:val="0"/>
                <w:sz w:val="24"/>
                <w:szCs w:val="24"/>
                <w:highlight w:val="none"/>
                <w:shd w:val="clear" w:color="auto" w:fill="FFFFFF"/>
              </w:rPr>
              <w:t>文件公告期限届满之日起7个工作日内提出</w:t>
            </w:r>
            <w:r>
              <w:rPr>
                <w:rFonts w:hint="eastAsia" w:ascii="宋体" w:hAnsi="宋体" w:eastAsia="宋体" w:cs="宋体"/>
                <w:i w:val="0"/>
                <w:iCs w:val="0"/>
                <w:caps w:val="0"/>
                <w:color w:val="auto"/>
                <w:spacing w:val="0"/>
                <w:sz w:val="24"/>
                <w:szCs w:val="24"/>
                <w:highlight w:val="none"/>
                <w:shd w:val="clear" w:color="auto" w:fill="FFFFFF"/>
                <w:lang w:eastAsia="zh-CN"/>
              </w:rPr>
              <w:t>；</w:t>
            </w:r>
          </w:p>
          <w:p>
            <w:pPr>
              <w:keepNext w:val="0"/>
              <w:keepLines w:val="0"/>
              <w:pageBreakBefore w:val="0"/>
              <w:kinsoku/>
              <w:overflowPunct/>
              <w:topLinePunct w:val="0"/>
              <w:bidi w:val="0"/>
              <w:spacing w:line="360" w:lineRule="auto"/>
              <w:ind w:left="0" w:leftChars="0" w:firstLine="139" w:firstLineChars="58"/>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招标人答疑期限：</w:t>
            </w:r>
            <w:r>
              <w:rPr>
                <w:rFonts w:hint="eastAsia" w:ascii="宋体" w:hAnsi="宋体" w:eastAsia="宋体" w:cs="宋体"/>
                <w:i w:val="0"/>
                <w:iCs w:val="0"/>
                <w:caps w:val="0"/>
                <w:color w:val="auto"/>
                <w:spacing w:val="0"/>
                <w:sz w:val="24"/>
                <w:szCs w:val="24"/>
                <w:highlight w:val="none"/>
                <w:shd w:val="clear" w:color="auto" w:fill="FFFFFF"/>
              </w:rPr>
              <w:t>在收到质疑函后7个工作日内作出答复，并以书面形式通知质疑供应商和其他有关供应商</w:t>
            </w:r>
            <w:r>
              <w:rPr>
                <w:rFonts w:hint="eastAsia" w:ascii="宋体" w:hAnsi="宋体" w:eastAsia="宋体" w:cs="宋体"/>
                <w:i w:val="0"/>
                <w:iCs w:val="0"/>
                <w:caps w:val="0"/>
                <w:color w:val="auto"/>
                <w:spacing w:val="0"/>
                <w:sz w:val="24"/>
                <w:szCs w:val="24"/>
                <w:highlight w:val="none"/>
                <w:shd w:val="clear" w:color="auto" w:fill="FFFFFF"/>
                <w:lang w:eastAsia="zh-CN"/>
              </w:rPr>
              <w:t>。</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0"/>
                <w:sz w:val="24"/>
                <w:szCs w:val="24"/>
                <w:highlight w:val="none"/>
                <w:lang w:val="zh-CN" w:eastAsia="zh-CN" w:bidi="ar-SA"/>
              </w:rPr>
              <w:t>注：投标单位须在</w:t>
            </w:r>
            <w:r>
              <w:rPr>
                <w:rFonts w:hint="eastAsia" w:ascii="宋体" w:hAnsi="宋体" w:eastAsia="宋体" w:cs="宋体"/>
                <w:color w:val="auto"/>
                <w:kern w:val="0"/>
                <w:sz w:val="24"/>
                <w:szCs w:val="24"/>
                <w:highlight w:val="none"/>
                <w:lang w:val="en-US" w:eastAsia="zh-CN" w:bidi="ar-SA"/>
              </w:rPr>
              <w:t>答疑期限内</w:t>
            </w:r>
            <w:r>
              <w:rPr>
                <w:rFonts w:hint="eastAsia" w:ascii="宋体" w:hAnsi="宋体" w:eastAsia="宋体" w:cs="宋体"/>
                <w:color w:val="auto"/>
                <w:kern w:val="0"/>
                <w:sz w:val="24"/>
                <w:szCs w:val="24"/>
                <w:highlight w:val="none"/>
                <w:lang w:val="zh-CN" w:eastAsia="zh-CN" w:bidi="ar-SA"/>
              </w:rPr>
              <w:t>以书面形式送至采购代理机构。逾期未发则视为无疑问。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3"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18</w:t>
            </w:r>
          </w:p>
        </w:tc>
        <w:tc>
          <w:tcPr>
            <w:tcW w:w="1162" w:type="pct"/>
            <w:vAlign w:val="center"/>
          </w:tcPr>
          <w:p>
            <w:pPr>
              <w:pStyle w:val="35"/>
              <w:keepNext w:val="0"/>
              <w:keepLines w:val="0"/>
              <w:pageBreakBefore w:val="0"/>
              <w:kinsoku/>
              <w:overflowPunct/>
              <w:topLinePunct w:val="0"/>
              <w:bidi w:val="0"/>
              <w:spacing w:line="360" w:lineRule="auto"/>
              <w:ind w:left="52"/>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投标截止时间</w:t>
            </w:r>
          </w:p>
        </w:tc>
        <w:tc>
          <w:tcPr>
            <w:tcW w:w="3481" w:type="pct"/>
            <w:vAlign w:val="center"/>
          </w:tcPr>
          <w:p>
            <w:pPr>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 2023年0</w:t>
            </w:r>
            <w:r>
              <w:rPr>
                <w:rFonts w:hint="eastAsia" w:ascii="宋体" w:hAnsi="宋体" w:eastAsia="宋体" w:cs="宋体"/>
                <w:color w:val="auto"/>
                <w:sz w:val="24"/>
                <w:szCs w:val="24"/>
                <w:highlight w:val="none"/>
                <w:lang w:val="en-US" w:eastAsia="zh-CN" w:bidi="zh-CN"/>
              </w:rPr>
              <w:t>8</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lang w:val="en-US" w:eastAsia="zh-CN" w:bidi="zh-CN"/>
              </w:rPr>
              <w:t>29</w:t>
            </w:r>
            <w:r>
              <w:rPr>
                <w:rFonts w:hint="eastAsia" w:ascii="宋体" w:hAnsi="宋体" w:eastAsia="宋体" w:cs="宋体"/>
                <w:color w:val="auto"/>
                <w:sz w:val="24"/>
                <w:szCs w:val="24"/>
                <w:highlight w:val="none"/>
                <w:lang w:val="zh-CN" w:eastAsia="zh-CN" w:bidi="zh-CN"/>
              </w:rPr>
              <w:t>日 14时30分00秒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0"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1162" w:type="pct"/>
            <w:vAlign w:val="center"/>
          </w:tcPr>
          <w:p>
            <w:pPr>
              <w:pStyle w:val="35"/>
              <w:keepNext w:val="0"/>
              <w:keepLines w:val="0"/>
              <w:pageBreakBefore w:val="0"/>
              <w:kinsoku/>
              <w:overflowPunct/>
              <w:topLinePunct w:val="0"/>
              <w:bidi w:val="0"/>
              <w:spacing w:line="360" w:lineRule="auto"/>
              <w:ind w:left="33"/>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rPr>
              <w:t>投标有效期</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sz w:val="24"/>
                <w:szCs w:val="24"/>
                <w:highlight w:val="none"/>
              </w:rPr>
              <w:t>90日历天（从投标</w:t>
            </w:r>
            <w:r>
              <w:rPr>
                <w:rFonts w:hint="eastAsia" w:ascii="宋体" w:hAnsi="宋体" w:eastAsia="宋体" w:cs="宋体"/>
                <w:color w:val="auto"/>
                <w:sz w:val="24"/>
                <w:szCs w:val="24"/>
                <w:highlight w:val="none"/>
                <w:lang w:val="en-US"/>
              </w:rPr>
              <w:t>文件递交</w:t>
            </w:r>
            <w:r>
              <w:rPr>
                <w:rFonts w:hint="eastAsia" w:ascii="宋体" w:hAnsi="宋体" w:eastAsia="宋体" w:cs="宋体"/>
                <w:color w:val="auto"/>
                <w:sz w:val="24"/>
                <w:szCs w:val="24"/>
                <w:highlight w:val="none"/>
              </w:rPr>
              <w:t>截止之日起）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5"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1162" w:type="pct"/>
            <w:vAlign w:val="center"/>
          </w:tcPr>
          <w:p>
            <w:pPr>
              <w:pStyle w:val="35"/>
              <w:keepNext w:val="0"/>
              <w:keepLines w:val="0"/>
              <w:pageBreakBefore w:val="0"/>
              <w:kinsoku/>
              <w:overflowPunct/>
              <w:topLinePunct w:val="0"/>
              <w:bidi w:val="0"/>
              <w:spacing w:line="360" w:lineRule="auto"/>
              <w:ind w:left="33"/>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投标保证金</w:t>
            </w:r>
          </w:p>
        </w:tc>
        <w:tc>
          <w:tcPr>
            <w:tcW w:w="3481" w:type="pct"/>
            <w:vAlign w:val="center"/>
          </w:tcPr>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1162" w:type="pct"/>
            <w:vAlign w:val="center"/>
          </w:tcPr>
          <w:p>
            <w:pPr>
              <w:pStyle w:val="35"/>
              <w:keepNext w:val="0"/>
              <w:keepLines w:val="0"/>
              <w:pageBreakBefore w:val="0"/>
              <w:kinsoku/>
              <w:overflowPunct/>
              <w:topLinePunct w:val="0"/>
              <w:bidi w:val="0"/>
              <w:spacing w:line="240" w:lineRule="auto"/>
              <w:ind w:left="33"/>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color w:val="auto"/>
                <w:sz w:val="24"/>
                <w:szCs w:val="24"/>
                <w:highlight w:val="none"/>
              </w:rPr>
              <w:t>是否允许递交备选投标方案</w:t>
            </w:r>
          </w:p>
        </w:tc>
        <w:tc>
          <w:tcPr>
            <w:tcW w:w="3481" w:type="pct"/>
            <w:vAlign w:val="center"/>
          </w:tcPr>
          <w:p>
            <w:pPr>
              <w:pStyle w:val="22"/>
              <w:keepNext w:val="0"/>
              <w:keepLines w:val="0"/>
              <w:pageBreakBefore w:val="0"/>
              <w:widowControl/>
              <w:kinsoku/>
              <w:overflowPunct/>
              <w:topLinePunct w:val="0"/>
              <w:autoSpaceDE/>
              <w:autoSpaceDN/>
              <w:bidi w:val="0"/>
              <w:spacing w:beforeAutospacing="0" w:afterAutospacing="0" w:line="360" w:lineRule="auto"/>
              <w:jc w:val="both"/>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62"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2</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投标文件的</w:t>
            </w:r>
            <w:r>
              <w:rPr>
                <w:rFonts w:hint="eastAsia" w:ascii="宋体" w:hAnsi="宋体" w:eastAsia="宋体" w:cs="宋体"/>
                <w:color w:val="auto"/>
                <w:kern w:val="2"/>
                <w:sz w:val="24"/>
                <w:szCs w:val="24"/>
                <w:highlight w:val="none"/>
                <w:lang w:val="zh-CN"/>
              </w:rPr>
              <w:t>签字</w:t>
            </w:r>
            <w:r>
              <w:rPr>
                <w:rFonts w:hint="eastAsia" w:ascii="宋体" w:hAnsi="宋体" w:eastAsia="宋体" w:cs="宋体"/>
                <w:color w:val="auto"/>
                <w:kern w:val="2"/>
                <w:sz w:val="24"/>
                <w:szCs w:val="24"/>
                <w:highlight w:val="none"/>
              </w:rPr>
              <w:t>或</w:t>
            </w:r>
            <w:r>
              <w:rPr>
                <w:rFonts w:hint="eastAsia" w:ascii="宋体" w:hAnsi="宋体" w:eastAsia="宋体" w:cs="宋体"/>
                <w:color w:val="auto"/>
                <w:kern w:val="2"/>
                <w:sz w:val="24"/>
                <w:szCs w:val="24"/>
                <w:highlight w:val="none"/>
                <w:lang w:val="zh-CN"/>
              </w:rPr>
              <w:t>盖章</w:t>
            </w:r>
            <w:r>
              <w:rPr>
                <w:rFonts w:hint="eastAsia" w:ascii="宋体" w:hAnsi="宋体" w:eastAsia="宋体" w:cs="宋体"/>
                <w:color w:val="auto"/>
                <w:kern w:val="2"/>
                <w:sz w:val="24"/>
                <w:szCs w:val="24"/>
                <w:highlight w:val="none"/>
              </w:rPr>
              <w:t>要求</w:t>
            </w:r>
          </w:p>
        </w:tc>
        <w:tc>
          <w:tcPr>
            <w:tcW w:w="3481" w:type="pct"/>
            <w:vAlign w:val="center"/>
          </w:tcPr>
          <w:p>
            <w:pPr>
              <w:pStyle w:val="22"/>
              <w:keepNext w:val="0"/>
              <w:keepLines w:val="0"/>
              <w:pageBreakBefore w:val="0"/>
              <w:widowControl/>
              <w:kinsoku/>
              <w:overflowPunct/>
              <w:topLinePunct w:val="0"/>
              <w:autoSpaceDE/>
              <w:autoSpaceDN/>
              <w:bidi w:val="0"/>
              <w:spacing w:beforeAutospacing="0" w:afterAutospacing="0" w:line="360" w:lineRule="auto"/>
              <w:jc w:val="both"/>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文件加盖供应商单位公章并经法定代表人或其委托代理人签字、盖章。由委托代理人签字、盖章的在投标文件中须同时提交有效投标文件签署授权委托书。除供应商对错误处须修改外，全套投标文件应无涂改或行间插字和增删。如有修改，修改处应由供应商加盖供应商的公章并由委托代理人签字、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0"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3</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3481" w:type="pct"/>
            <w:vAlign w:val="center"/>
          </w:tcPr>
          <w:p>
            <w:pPr>
              <w:pStyle w:val="22"/>
              <w:keepNext w:val="0"/>
              <w:keepLines w:val="0"/>
              <w:pageBreakBefore w:val="0"/>
              <w:widowControl/>
              <w:kinsoku/>
              <w:overflowPunct/>
              <w:topLinePunct w:val="0"/>
              <w:autoSpaceDE/>
              <w:autoSpaceDN/>
              <w:bidi w:val="0"/>
              <w:spacing w:beforeAutospacing="0" w:afterAutospacing="0"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rPr>
              <w:t>纸质版</w:t>
            </w:r>
            <w:r>
              <w:rPr>
                <w:rFonts w:hint="eastAsia" w:ascii="宋体" w:hAnsi="宋体" w:eastAsia="宋体" w:cs="宋体"/>
                <w:color w:val="auto"/>
                <w:sz w:val="24"/>
                <w:szCs w:val="24"/>
                <w:highlight w:val="none"/>
                <w:lang w:val="zh-CN"/>
              </w:rPr>
              <w:t>正本1份，副本</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U盘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p>
          <w:p>
            <w:pPr>
              <w:pStyle w:val="35"/>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2、电子版包括：</w:t>
            </w:r>
            <w:r>
              <w:rPr>
                <w:rFonts w:hint="eastAsia" w:ascii="宋体" w:hAnsi="宋体" w:eastAsia="宋体" w:cs="宋体"/>
                <w:color w:val="auto"/>
                <w:sz w:val="24"/>
                <w:szCs w:val="24"/>
                <w:highlight w:val="none"/>
                <w:lang w:val="zh-CN"/>
              </w:rPr>
              <w:t xml:space="preserve">投标文件word </w:t>
            </w:r>
            <w:r>
              <w:rPr>
                <w:rFonts w:hint="eastAsia" w:ascii="宋体" w:hAnsi="宋体" w:eastAsia="宋体" w:cs="宋体"/>
                <w:color w:val="auto"/>
                <w:sz w:val="24"/>
                <w:szCs w:val="24"/>
                <w:highlight w:val="none"/>
                <w:lang w:val="en-US" w:eastAsia="zh-CN"/>
              </w:rPr>
              <w:t>及PDF版</w:t>
            </w:r>
            <w:r>
              <w:rPr>
                <w:rFonts w:hint="eastAsia" w:ascii="宋体" w:hAnsi="宋体" w:eastAsia="宋体" w:cs="宋体"/>
                <w:color w:val="auto"/>
                <w:sz w:val="24"/>
                <w:szCs w:val="24"/>
                <w:highlight w:val="none"/>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5"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4</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投标人充分考虑招标文件的各项条款和所掌握的市场情况及本</w:t>
            </w:r>
            <w:r>
              <w:rPr>
                <w:rFonts w:hint="eastAsia" w:ascii="宋体" w:hAnsi="宋体" w:eastAsia="宋体" w:cs="宋体"/>
                <w:color w:val="auto"/>
                <w:sz w:val="24"/>
                <w:szCs w:val="24"/>
                <w:highlight w:val="none"/>
                <w:lang w:val="en-US"/>
              </w:rPr>
              <w:t>采购项目</w:t>
            </w:r>
            <w:r>
              <w:rPr>
                <w:rFonts w:hint="eastAsia" w:ascii="宋体" w:hAnsi="宋体" w:eastAsia="宋体" w:cs="宋体"/>
                <w:color w:val="auto"/>
                <w:sz w:val="24"/>
                <w:szCs w:val="24"/>
                <w:highlight w:val="none"/>
              </w:rPr>
              <w:t>的实际自主报价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投标总报价包括完成本项目的所有费用。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06"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5</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密封</w:t>
            </w:r>
            <w:r>
              <w:rPr>
                <w:rFonts w:hint="eastAsia" w:ascii="宋体" w:hAnsi="宋体" w:eastAsia="宋体" w:cs="宋体"/>
                <w:color w:val="auto"/>
                <w:sz w:val="24"/>
                <w:szCs w:val="24"/>
                <w:highlight w:val="none"/>
                <w:lang w:val="en-US" w:eastAsia="zh-CN"/>
              </w:rPr>
              <w:t>要求</w:t>
            </w:r>
          </w:p>
        </w:tc>
        <w:tc>
          <w:tcPr>
            <w:tcW w:w="3481"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密封</w:t>
            </w:r>
            <w:r>
              <w:rPr>
                <w:rFonts w:hint="eastAsia" w:ascii="宋体" w:hAnsi="宋体" w:eastAsia="宋体" w:cs="宋体"/>
                <w:color w:val="auto"/>
                <w:sz w:val="24"/>
                <w:szCs w:val="24"/>
                <w:highlight w:val="none"/>
              </w:rPr>
              <w:t>装袋要求：</w:t>
            </w:r>
          </w:p>
          <w:p>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装一袋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装一袋</w:t>
            </w: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eastAsia="zh-CN"/>
              </w:rPr>
              <w:t>单独装一袋</w:t>
            </w:r>
            <w:r>
              <w:rPr>
                <w:rFonts w:hint="eastAsia" w:ascii="宋体" w:hAnsi="宋体" w:eastAsia="宋体" w:cs="宋体"/>
                <w:color w:val="auto"/>
                <w:sz w:val="24"/>
                <w:szCs w:val="24"/>
                <w:highlight w:val="none"/>
              </w:rPr>
              <w:t>。</w:t>
            </w:r>
          </w:p>
          <w:p>
            <w:pPr>
              <w:pStyle w:val="35"/>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密封袋标注要求：</w:t>
            </w:r>
          </w:p>
          <w:p>
            <w:pPr>
              <w:keepNext w:val="0"/>
              <w:keepLines w:val="0"/>
              <w:pageBreakBefore w:val="0"/>
              <w:kinsoku/>
              <w:overflowPunct/>
              <w:topLinePunct w:val="0"/>
              <w:bidi w:val="0"/>
              <w:spacing w:line="360" w:lineRule="auto"/>
              <w:ind w:firstLine="240" w:firstLineChars="1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项目名称、项目编号、投标人名称、年月日、“正本”、 “副本”、“电子版”字样，</w:t>
            </w:r>
            <w:r>
              <w:rPr>
                <w:rFonts w:hint="eastAsia" w:ascii="宋体" w:hAnsi="宋体" w:eastAsia="宋体" w:cs="宋体"/>
                <w:color w:val="auto"/>
                <w:sz w:val="24"/>
                <w:szCs w:val="24"/>
                <w:highlight w:val="none"/>
              </w:rPr>
              <w:t>并在标袋的封口处加盖供应商单位公章，未</w:t>
            </w:r>
            <w:r>
              <w:rPr>
                <w:rFonts w:hint="eastAsia" w:ascii="宋体" w:hAnsi="宋体" w:eastAsia="宋体" w:cs="宋体"/>
                <w:color w:val="auto"/>
                <w:sz w:val="24"/>
                <w:szCs w:val="24"/>
                <w:highlight w:val="none"/>
                <w:lang w:val="en-US"/>
              </w:rPr>
              <w:t>按要求</w:t>
            </w:r>
            <w:r>
              <w:rPr>
                <w:rFonts w:hint="eastAsia" w:ascii="宋体" w:hAnsi="宋体" w:eastAsia="宋体" w:cs="宋体"/>
                <w:color w:val="auto"/>
                <w:sz w:val="24"/>
                <w:szCs w:val="24"/>
                <w:highlight w:val="none"/>
              </w:rPr>
              <w:t>密封及未加盖印鉴的投标文件将不予签收。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26"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rPr>
              <w:t>装订要求</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sz w:val="24"/>
                <w:szCs w:val="24"/>
                <w:highlight w:val="none"/>
              </w:rPr>
              <w:t>投标文件分开装订，采用A4页幅、推荐双面打印、左侧胶装方式装订，装订应牢固、不易拆散和换页，活页装订的投标文件按无效投标文件处理。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19"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w:t>
            </w:r>
          </w:p>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rPr>
              <w:t>截止时间、地点</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递交地点：陕西省西安市莲湖区丰禾路太奥国际13号楼24层</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递交截止时间：2023年0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en-US"/>
              </w:rPr>
              <w:t>日 14时30分00秒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28</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5"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rPr>
              <w:t>开标时间和地点</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开标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rPr>
              <w:t>：2023年0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en-US"/>
              </w:rPr>
              <w:t>日 14时30分00秒 </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开标</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rPr>
              <w:t>陕西省西安市莲湖区丰禾路太奥国际13号楼24层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37"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0</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招标代理服务费</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以招标项目的中标金额作为收费基数，按照国家计委（计价格【2002】1980号）《招标代理服务收费管理暂行办法》和国家发展改革委办公厅发改办价格[2011]534号规定标准收费计取，由中标人支付。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07"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1</w:t>
            </w:r>
          </w:p>
        </w:tc>
        <w:tc>
          <w:tcPr>
            <w:tcW w:w="1162"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项目性质</w:t>
            </w:r>
          </w:p>
        </w:tc>
        <w:tc>
          <w:tcPr>
            <w:tcW w:w="3481"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专门面向中小企业采购</w:t>
            </w:r>
          </w:p>
          <w:p>
            <w:pPr>
              <w:keepNext w:val="0"/>
              <w:keepLines w:val="0"/>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1"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2</w:t>
            </w:r>
          </w:p>
        </w:tc>
        <w:tc>
          <w:tcPr>
            <w:tcW w:w="116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w:t>
            </w:r>
          </w:p>
          <w:p>
            <w:pPr>
              <w:pStyle w:val="20"/>
              <w:keepNext w:val="0"/>
              <w:keepLines w:val="0"/>
              <w:pageBreakBefore w:val="0"/>
              <w:kinsoku/>
              <w:overflowPunct/>
              <w:topLinePunct w:val="0"/>
              <w:bidi w:val="0"/>
              <w:spacing w:line="360" w:lineRule="auto"/>
              <w:ind w:firstLine="0"/>
              <w:jc w:val="center"/>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sz w:val="24"/>
                <w:szCs w:val="24"/>
                <w:highlight w:val="none"/>
              </w:rPr>
              <w:t>进口产品</w:t>
            </w:r>
          </w:p>
        </w:tc>
        <w:tc>
          <w:tcPr>
            <w:tcW w:w="3481" w:type="pct"/>
            <w:vAlign w:val="center"/>
          </w:tcPr>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所投产品为进口产品时，将被视为无效投标。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9"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3</w:t>
            </w:r>
          </w:p>
        </w:tc>
        <w:tc>
          <w:tcPr>
            <w:tcW w:w="1162" w:type="pct"/>
            <w:vAlign w:val="center"/>
          </w:tcPr>
          <w:p>
            <w:pPr>
              <w:pStyle w:val="20"/>
              <w:keepNext w:val="0"/>
              <w:keepLines w:val="0"/>
              <w:pageBreakBefore w:val="0"/>
              <w:kinsoku/>
              <w:overflowPunct/>
              <w:topLinePunct w:val="0"/>
              <w:bidi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c>
          <w:tcPr>
            <w:tcW w:w="3481" w:type="pct"/>
            <w:vAlign w:val="center"/>
          </w:tcPr>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详见评审方法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68" w:hRule="exact"/>
          <w:jc w:val="center"/>
        </w:trPr>
        <w:tc>
          <w:tcPr>
            <w:tcW w:w="355" w:type="pct"/>
            <w:vAlign w:val="center"/>
          </w:tcPr>
          <w:p>
            <w:pPr>
              <w:pStyle w:val="35"/>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34</w:t>
            </w:r>
          </w:p>
        </w:tc>
        <w:tc>
          <w:tcPr>
            <w:tcW w:w="1162" w:type="pct"/>
            <w:vAlign w:val="center"/>
          </w:tcPr>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投标人代表出席开标会需携带证件</w:t>
            </w:r>
          </w:p>
        </w:tc>
        <w:tc>
          <w:tcPr>
            <w:tcW w:w="3481" w:type="pct"/>
            <w:vAlign w:val="center"/>
          </w:tcPr>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1、委托代表出席的，持法定代表人授权委托书、被委托人身份证原件以及复印件加盖公章；</w:t>
            </w:r>
          </w:p>
          <w:p>
            <w:pPr>
              <w:pStyle w:val="20"/>
              <w:keepNext w:val="0"/>
              <w:keepLines w:val="0"/>
              <w:pageBreakBefore w:val="0"/>
              <w:kinsoku/>
              <w:overflowPunct/>
              <w:topLinePunct w:val="0"/>
              <w:bidi w:val="0"/>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2、法定代表人出席的，持法定代表人身份证明、法人身份证原件以及复印件加盖公章。</w:t>
            </w:r>
          </w:p>
        </w:tc>
      </w:tr>
    </w:tbl>
    <w:p>
      <w:pPr>
        <w:pStyle w:val="12"/>
        <w:spacing w:before="4"/>
        <w:ind w:left="0"/>
        <w:rPr>
          <w:b/>
          <w:color w:val="auto"/>
          <w:highlight w:val="none"/>
        </w:rPr>
      </w:pPr>
    </w:p>
    <w:p>
      <w:pPr>
        <w:rPr>
          <w:color w:val="auto"/>
          <w:szCs w:val="24"/>
          <w:highlight w:val="none"/>
        </w:rPr>
      </w:pPr>
      <w:bookmarkStart w:id="6" w:name="_Toc405446079"/>
      <w:r>
        <w:rPr>
          <w:rFonts w:hint="eastAsia"/>
          <w:color w:val="auto"/>
          <w:szCs w:val="24"/>
          <w:highlight w:val="none"/>
        </w:rPr>
        <w:br w:type="page"/>
      </w:r>
    </w:p>
    <w:p>
      <w:pPr>
        <w:pStyle w:val="5"/>
        <w:rPr>
          <w:color w:val="auto"/>
          <w:szCs w:val="24"/>
          <w:highlight w:val="none"/>
        </w:rPr>
      </w:pPr>
      <w:r>
        <w:rPr>
          <w:rFonts w:hint="eastAsia"/>
          <w:color w:val="auto"/>
          <w:szCs w:val="24"/>
          <w:highlight w:val="none"/>
        </w:rPr>
        <w:t>1．总则</w:t>
      </w:r>
      <w:bookmarkEnd w:id="6"/>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1.1 项目概况</w:t>
      </w:r>
    </w:p>
    <w:p>
      <w:pPr>
        <w:spacing w:line="360" w:lineRule="auto"/>
        <w:ind w:firstLine="480" w:firstLineChars="200"/>
        <w:rPr>
          <w:color w:val="auto"/>
          <w:sz w:val="24"/>
          <w:szCs w:val="24"/>
          <w:highlight w:val="none"/>
        </w:rPr>
      </w:pPr>
      <w:r>
        <w:rPr>
          <w:rFonts w:hint="eastAsia"/>
          <w:color w:val="auto"/>
          <w:sz w:val="24"/>
          <w:szCs w:val="24"/>
          <w:highlight w:val="none"/>
        </w:rPr>
        <w:t>1.1.1 根据《 中华人民共和国政府采购法》等有关法律、法规和规章的规定，本招标项目已具备招标条件，现对本项目进行公开招标。</w:t>
      </w:r>
    </w:p>
    <w:p>
      <w:pPr>
        <w:spacing w:line="360" w:lineRule="auto"/>
        <w:ind w:firstLine="480" w:firstLineChars="200"/>
        <w:rPr>
          <w:color w:val="auto"/>
          <w:sz w:val="24"/>
          <w:szCs w:val="24"/>
          <w:highlight w:val="none"/>
        </w:rPr>
      </w:pPr>
      <w:r>
        <w:rPr>
          <w:rFonts w:hint="eastAsia"/>
          <w:color w:val="auto"/>
          <w:sz w:val="24"/>
          <w:szCs w:val="24"/>
          <w:highlight w:val="none"/>
        </w:rPr>
        <w:t>1.1.2 本招标项目</w:t>
      </w:r>
      <w:r>
        <w:rPr>
          <w:rFonts w:hint="eastAsia"/>
          <w:color w:val="auto"/>
          <w:sz w:val="24"/>
          <w:szCs w:val="24"/>
          <w:highlight w:val="none"/>
          <w:lang w:val="en-US" w:eastAsia="zh-CN"/>
        </w:rPr>
        <w:t>招标</w:t>
      </w:r>
      <w:r>
        <w:rPr>
          <w:rFonts w:hint="eastAsia"/>
          <w:color w:val="auto"/>
          <w:sz w:val="24"/>
          <w:szCs w:val="24"/>
          <w:highlight w:val="none"/>
        </w:rPr>
        <w:t>人：见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1.1.3 本招标项目代理机构：见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1.1.4 本招标项目名称：见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1.1.5 本招标项目地点：见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bCs/>
          <w:color w:val="auto"/>
          <w:sz w:val="24"/>
          <w:szCs w:val="24"/>
          <w:highlight w:val="none"/>
        </w:rPr>
      </w:pPr>
      <w:r>
        <w:rPr>
          <w:rFonts w:hint="eastAsia"/>
          <w:bCs/>
          <w:color w:val="auto"/>
          <w:sz w:val="24"/>
          <w:szCs w:val="24"/>
          <w:highlight w:val="none"/>
        </w:rPr>
        <w:t>1.1.6 本招标项目</w:t>
      </w:r>
      <w:r>
        <w:rPr>
          <w:rFonts w:hint="eastAsia"/>
          <w:color w:val="auto"/>
          <w:sz w:val="24"/>
          <w:szCs w:val="24"/>
          <w:highlight w:val="none"/>
          <w:lang w:val="en-US"/>
        </w:rPr>
        <w:t>采购</w:t>
      </w:r>
      <w:r>
        <w:rPr>
          <w:rFonts w:hint="eastAsia"/>
          <w:color w:val="auto"/>
          <w:sz w:val="24"/>
          <w:szCs w:val="24"/>
          <w:highlight w:val="none"/>
        </w:rPr>
        <w:t>范围</w:t>
      </w:r>
      <w:r>
        <w:rPr>
          <w:rFonts w:hint="eastAsia"/>
          <w:bCs/>
          <w:color w:val="auto"/>
          <w:sz w:val="24"/>
          <w:szCs w:val="24"/>
          <w:highlight w:val="none"/>
        </w:rPr>
        <w:t>：见</w:t>
      </w:r>
      <w:r>
        <w:rPr>
          <w:rFonts w:hint="eastAsia"/>
          <w:color w:val="auto"/>
          <w:sz w:val="24"/>
          <w:szCs w:val="24"/>
          <w:highlight w:val="none"/>
          <w:lang w:val="en-US" w:eastAsia="zh-CN"/>
        </w:rPr>
        <w:t>投标人</w:t>
      </w:r>
      <w:r>
        <w:rPr>
          <w:rFonts w:hint="eastAsia"/>
          <w:bCs/>
          <w:color w:val="auto"/>
          <w:sz w:val="24"/>
          <w:szCs w:val="24"/>
          <w:highlight w:val="none"/>
        </w:rPr>
        <w:t>须知前附表。</w:t>
      </w:r>
    </w:p>
    <w:p>
      <w:pPr>
        <w:spacing w:line="360" w:lineRule="auto"/>
        <w:ind w:firstLine="480" w:firstLineChars="200"/>
        <w:rPr>
          <w:color w:val="auto"/>
          <w:sz w:val="24"/>
          <w:szCs w:val="24"/>
          <w:highlight w:val="none"/>
          <w:lang w:val="en-US"/>
        </w:rPr>
      </w:pPr>
      <w:r>
        <w:rPr>
          <w:rFonts w:hint="eastAsia"/>
          <w:color w:val="auto"/>
          <w:sz w:val="24"/>
          <w:szCs w:val="24"/>
          <w:highlight w:val="none"/>
        </w:rPr>
        <w:t>1.1.7</w:t>
      </w:r>
      <w:r>
        <w:rPr>
          <w:rFonts w:hint="eastAsia"/>
          <w:bCs/>
          <w:color w:val="auto"/>
          <w:sz w:val="24"/>
          <w:szCs w:val="24"/>
          <w:highlight w:val="none"/>
        </w:rPr>
        <w:t>本招标项目</w:t>
      </w:r>
      <w:r>
        <w:rPr>
          <w:rFonts w:hint="eastAsia"/>
          <w:color w:val="auto"/>
          <w:sz w:val="24"/>
          <w:szCs w:val="24"/>
          <w:highlight w:val="none"/>
        </w:rPr>
        <w:t>概况：</w:t>
      </w:r>
      <w:r>
        <w:rPr>
          <w:rFonts w:hint="eastAsia"/>
          <w:color w:val="auto"/>
          <w:sz w:val="24"/>
          <w:szCs w:val="24"/>
          <w:highlight w:val="none"/>
          <w:lang w:val="en-US"/>
        </w:rPr>
        <w:t>具体详见招标文件。</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1.2 资金来源和落实情况</w:t>
      </w:r>
    </w:p>
    <w:p>
      <w:pPr>
        <w:spacing w:line="360" w:lineRule="auto"/>
        <w:ind w:firstLine="480" w:firstLineChars="200"/>
        <w:rPr>
          <w:color w:val="auto"/>
          <w:sz w:val="24"/>
          <w:szCs w:val="24"/>
          <w:highlight w:val="none"/>
        </w:rPr>
      </w:pPr>
      <w:r>
        <w:rPr>
          <w:rFonts w:hint="eastAsia"/>
          <w:color w:val="auto"/>
          <w:sz w:val="24"/>
          <w:szCs w:val="24"/>
          <w:highlight w:val="none"/>
        </w:rPr>
        <w:t>1.2.1 本招标项目的资金来源：见投标人须知前附表。</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1.3 投标人资格要求</w:t>
      </w:r>
    </w:p>
    <w:p>
      <w:pPr>
        <w:spacing w:line="360" w:lineRule="auto"/>
        <w:ind w:firstLine="480" w:firstLineChars="200"/>
        <w:rPr>
          <w:color w:val="auto"/>
          <w:sz w:val="24"/>
          <w:szCs w:val="24"/>
          <w:highlight w:val="none"/>
        </w:rPr>
      </w:pP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应是向</w:t>
      </w:r>
      <w:r>
        <w:rPr>
          <w:rFonts w:hint="eastAsia"/>
          <w:color w:val="auto"/>
          <w:sz w:val="24"/>
          <w:szCs w:val="24"/>
          <w:highlight w:val="none"/>
          <w:lang w:val="en-US" w:eastAsia="zh-CN"/>
        </w:rPr>
        <w:t>代理机构获取</w:t>
      </w:r>
      <w:r>
        <w:rPr>
          <w:rFonts w:hint="eastAsia"/>
          <w:color w:val="auto"/>
          <w:sz w:val="24"/>
          <w:szCs w:val="24"/>
          <w:highlight w:val="none"/>
        </w:rPr>
        <w:t>招标文件并登记的单位。</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1.4 费用承担</w:t>
      </w:r>
    </w:p>
    <w:p>
      <w:pPr>
        <w:spacing w:line="360" w:lineRule="auto"/>
        <w:ind w:firstLine="480" w:firstLineChars="200"/>
        <w:rPr>
          <w:color w:val="auto"/>
          <w:sz w:val="24"/>
          <w:szCs w:val="24"/>
          <w:highlight w:val="none"/>
        </w:rPr>
      </w:pP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准备和参加投标活动发生的费用自理。</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1.5 保密</w:t>
      </w:r>
    </w:p>
    <w:p>
      <w:pPr>
        <w:spacing w:line="360" w:lineRule="auto"/>
        <w:ind w:firstLine="480" w:firstLineChars="200"/>
        <w:rPr>
          <w:color w:val="auto"/>
          <w:sz w:val="24"/>
          <w:szCs w:val="24"/>
          <w:highlight w:val="none"/>
        </w:rPr>
      </w:pPr>
      <w:r>
        <w:rPr>
          <w:rFonts w:hint="eastAsia"/>
          <w:color w:val="auto"/>
          <w:sz w:val="24"/>
          <w:szCs w:val="24"/>
          <w:highlight w:val="none"/>
        </w:rPr>
        <w:t>参与招标投标活动的各方应对招标文件和投标文件中的商业和技术等秘密保密，违者应对由此造成的后果承担法律责任。</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1.6 语言文字</w:t>
      </w:r>
    </w:p>
    <w:p>
      <w:pPr>
        <w:spacing w:line="360" w:lineRule="auto"/>
        <w:ind w:firstLine="480" w:firstLineChars="200"/>
        <w:rPr>
          <w:color w:val="auto"/>
          <w:sz w:val="24"/>
          <w:szCs w:val="24"/>
          <w:highlight w:val="none"/>
        </w:rPr>
      </w:pPr>
      <w:r>
        <w:rPr>
          <w:rFonts w:hint="eastAsia"/>
          <w:color w:val="auto"/>
          <w:sz w:val="24"/>
          <w:szCs w:val="24"/>
          <w:highlight w:val="none"/>
        </w:rPr>
        <w:t>除专用术语外，与招标投标有关的语言均使用中文。必要时专用术语应附有中文注释。</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1.7 计量单位</w:t>
      </w:r>
    </w:p>
    <w:p>
      <w:pPr>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1.8 踏勘现场</w:t>
      </w:r>
    </w:p>
    <w:p>
      <w:pPr>
        <w:spacing w:line="360" w:lineRule="auto"/>
        <w:ind w:firstLine="480" w:firstLineChars="200"/>
        <w:rPr>
          <w:color w:val="auto"/>
          <w:sz w:val="24"/>
          <w:szCs w:val="24"/>
          <w:highlight w:val="none"/>
        </w:rPr>
      </w:pPr>
      <w:r>
        <w:rPr>
          <w:rFonts w:hint="eastAsia"/>
          <w:color w:val="auto"/>
          <w:sz w:val="24"/>
          <w:szCs w:val="24"/>
          <w:highlight w:val="none"/>
        </w:rPr>
        <w:t>招标代理机构不组织踏勘现场。</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1.9 投标预备会</w:t>
      </w:r>
    </w:p>
    <w:p>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本项目不召开投标预备会</w:t>
      </w:r>
      <w:r>
        <w:rPr>
          <w:rFonts w:hint="eastAsia"/>
          <w:color w:val="auto"/>
          <w:sz w:val="24"/>
          <w:szCs w:val="24"/>
          <w:highlight w:val="none"/>
          <w:lang w:eastAsia="zh-CN"/>
        </w:rPr>
        <w:t>。</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1.10 分包</w:t>
      </w:r>
    </w:p>
    <w:p>
      <w:pPr>
        <w:spacing w:line="360" w:lineRule="auto"/>
        <w:ind w:firstLine="480" w:firstLineChars="200"/>
        <w:rPr>
          <w:color w:val="auto"/>
          <w:sz w:val="24"/>
          <w:szCs w:val="24"/>
          <w:highlight w:val="none"/>
        </w:rPr>
      </w:pPr>
      <w:r>
        <w:rPr>
          <w:rFonts w:hint="eastAsia"/>
          <w:color w:val="auto"/>
          <w:sz w:val="24"/>
          <w:szCs w:val="24"/>
          <w:highlight w:val="none"/>
        </w:rPr>
        <w:t>不允许。</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1.11 偏离</w:t>
      </w:r>
    </w:p>
    <w:p>
      <w:pPr>
        <w:spacing w:line="360" w:lineRule="auto"/>
        <w:ind w:firstLine="480" w:firstLineChars="200"/>
        <w:rPr>
          <w:color w:val="auto"/>
          <w:sz w:val="24"/>
          <w:szCs w:val="24"/>
          <w:highlight w:val="none"/>
        </w:rPr>
      </w:pPr>
      <w:r>
        <w:rPr>
          <w:rFonts w:hint="eastAsia"/>
          <w:color w:val="auto"/>
          <w:sz w:val="24"/>
          <w:szCs w:val="24"/>
          <w:highlight w:val="none"/>
        </w:rPr>
        <w:t>偏离部分参照第</w:t>
      </w:r>
      <w:r>
        <w:rPr>
          <w:rFonts w:hint="eastAsia"/>
          <w:color w:val="auto"/>
          <w:sz w:val="24"/>
          <w:szCs w:val="24"/>
          <w:highlight w:val="none"/>
          <w:lang w:val="en-US"/>
        </w:rPr>
        <w:t>三</w:t>
      </w:r>
      <w:r>
        <w:rPr>
          <w:rFonts w:hint="eastAsia"/>
          <w:color w:val="auto"/>
          <w:sz w:val="24"/>
          <w:szCs w:val="24"/>
          <w:highlight w:val="none"/>
        </w:rPr>
        <w:t>章《评</w:t>
      </w:r>
      <w:r>
        <w:rPr>
          <w:rFonts w:hint="eastAsia"/>
          <w:color w:val="auto"/>
          <w:sz w:val="24"/>
          <w:szCs w:val="24"/>
          <w:highlight w:val="none"/>
          <w:lang w:val="en-US"/>
        </w:rPr>
        <w:t>标</w:t>
      </w:r>
      <w:r>
        <w:rPr>
          <w:rFonts w:hint="eastAsia"/>
          <w:color w:val="auto"/>
          <w:sz w:val="24"/>
          <w:szCs w:val="24"/>
          <w:highlight w:val="none"/>
        </w:rPr>
        <w:t>办法》规定。</w:t>
      </w:r>
    </w:p>
    <w:p>
      <w:pPr>
        <w:pStyle w:val="5"/>
        <w:rPr>
          <w:color w:val="auto"/>
          <w:szCs w:val="24"/>
          <w:highlight w:val="none"/>
        </w:rPr>
      </w:pPr>
      <w:bookmarkStart w:id="7" w:name="_Toc405446080"/>
      <w:r>
        <w:rPr>
          <w:rFonts w:hint="eastAsia"/>
          <w:color w:val="auto"/>
          <w:szCs w:val="24"/>
          <w:highlight w:val="none"/>
        </w:rPr>
        <w:t>2．招标文件</w:t>
      </w:r>
      <w:bookmarkEnd w:id="7"/>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2.1 招标文件的组成</w:t>
      </w:r>
    </w:p>
    <w:p>
      <w:pPr>
        <w:tabs>
          <w:tab w:val="left" w:pos="6246"/>
        </w:tabs>
        <w:spacing w:line="360" w:lineRule="auto"/>
        <w:ind w:firstLine="480" w:firstLineChars="200"/>
        <w:rPr>
          <w:color w:val="auto"/>
          <w:sz w:val="24"/>
          <w:szCs w:val="24"/>
          <w:highlight w:val="none"/>
        </w:rPr>
      </w:pPr>
      <w:r>
        <w:rPr>
          <w:rFonts w:hint="eastAsia"/>
          <w:color w:val="auto"/>
          <w:sz w:val="24"/>
          <w:szCs w:val="24"/>
          <w:highlight w:val="none"/>
        </w:rPr>
        <w:t>本招标文件包括：</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）招标公告；</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）评标办法；</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w:t>
      </w:r>
      <w:r>
        <w:rPr>
          <w:rFonts w:hint="eastAsia"/>
          <w:color w:val="auto"/>
          <w:sz w:val="24"/>
          <w:szCs w:val="24"/>
          <w:highlight w:val="none"/>
          <w:lang w:val="en-US"/>
        </w:rPr>
        <w:t>采购内容</w:t>
      </w:r>
      <w:r>
        <w:rPr>
          <w:rFonts w:hint="eastAsia"/>
          <w:color w:val="auto"/>
          <w:sz w:val="24"/>
          <w:szCs w:val="24"/>
          <w:highlight w:val="none"/>
          <w:lang w:val="en-US" w:eastAsia="zh-CN"/>
        </w:rPr>
        <w:t>及</w:t>
      </w:r>
      <w:r>
        <w:rPr>
          <w:rFonts w:hint="eastAsia"/>
          <w:color w:val="auto"/>
          <w:sz w:val="24"/>
          <w:szCs w:val="24"/>
          <w:highlight w:val="none"/>
          <w:lang w:val="en-US"/>
        </w:rPr>
        <w:t>要求</w:t>
      </w:r>
      <w:r>
        <w:rPr>
          <w:rFonts w:hint="eastAsia"/>
          <w:color w:val="auto"/>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）合同条款；</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）投标文件格式；</w:t>
      </w:r>
    </w:p>
    <w:p>
      <w:pPr>
        <w:spacing w:line="360" w:lineRule="auto"/>
        <w:ind w:firstLine="480" w:firstLineChars="200"/>
        <w:rPr>
          <w:color w:val="auto"/>
          <w:sz w:val="24"/>
          <w:szCs w:val="24"/>
          <w:highlight w:val="none"/>
        </w:rPr>
      </w:pPr>
      <w:r>
        <w:rPr>
          <w:rFonts w:hint="eastAsia"/>
          <w:color w:val="auto"/>
          <w:sz w:val="24"/>
          <w:szCs w:val="24"/>
          <w:highlight w:val="none"/>
        </w:rPr>
        <w:t>根据本章第2.2 款和第2.3 款对招标文件所作的澄清、修改，构成招标文件的组成部分。</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2.2 招标文件的澄清</w:t>
      </w:r>
    </w:p>
    <w:p>
      <w:pPr>
        <w:spacing w:line="360" w:lineRule="auto"/>
        <w:ind w:firstLine="480" w:firstLineChars="200"/>
        <w:rPr>
          <w:color w:val="auto"/>
          <w:sz w:val="24"/>
          <w:szCs w:val="24"/>
          <w:highlight w:val="none"/>
        </w:rPr>
      </w:pPr>
      <w:r>
        <w:rPr>
          <w:rFonts w:hint="eastAsia"/>
          <w:color w:val="auto"/>
          <w:sz w:val="24"/>
          <w:szCs w:val="24"/>
          <w:highlight w:val="none"/>
        </w:rPr>
        <w:t>2.2.1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应仔细阅读和检查招标文件的全部内容。如发现缺页或附件不全，应及时向采购人提出，以便补齐。如有疑问，应在</w:t>
      </w:r>
      <w:r>
        <w:rPr>
          <w:rFonts w:hint="eastAsia"/>
          <w:color w:val="auto"/>
          <w:sz w:val="24"/>
          <w:szCs w:val="24"/>
          <w:highlight w:val="none"/>
          <w:lang w:val="en-US" w:eastAsia="zh-CN"/>
        </w:rPr>
        <w:t>投标人</w:t>
      </w:r>
      <w:r>
        <w:rPr>
          <w:rFonts w:hint="eastAsia"/>
          <w:color w:val="auto"/>
          <w:sz w:val="24"/>
          <w:szCs w:val="24"/>
          <w:highlight w:val="none"/>
        </w:rPr>
        <w:t>须知前附表规定的时间前以书面形式，要求采购人对招标文件予以澄清。</w:t>
      </w:r>
    </w:p>
    <w:p>
      <w:pPr>
        <w:spacing w:line="360" w:lineRule="auto"/>
        <w:ind w:firstLine="240" w:firstLineChars="100"/>
        <w:rPr>
          <w:color w:val="auto"/>
          <w:sz w:val="24"/>
          <w:szCs w:val="24"/>
          <w:highlight w:val="none"/>
        </w:rPr>
      </w:pPr>
      <w:r>
        <w:rPr>
          <w:rFonts w:hint="eastAsia"/>
          <w:color w:val="auto"/>
          <w:sz w:val="24"/>
          <w:szCs w:val="24"/>
          <w:highlight w:val="none"/>
        </w:rPr>
        <w:t>2.2.2 招标文件的澄清将在投标截止时间</w:t>
      </w:r>
      <w:r>
        <w:rPr>
          <w:rFonts w:hint="eastAsia"/>
          <w:color w:val="auto"/>
          <w:sz w:val="24"/>
          <w:szCs w:val="24"/>
          <w:highlight w:val="none"/>
          <w:lang w:val="en-US"/>
        </w:rPr>
        <w:t>15</w:t>
      </w:r>
      <w:r>
        <w:rPr>
          <w:rFonts w:hint="eastAsia"/>
          <w:color w:val="auto"/>
          <w:sz w:val="24"/>
          <w:szCs w:val="24"/>
          <w:highlight w:val="none"/>
        </w:rPr>
        <w:t>天前以书面形式发给所有购买招标文件的供应商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，但不指明澄清问题的来源。</w:t>
      </w:r>
    </w:p>
    <w:p>
      <w:pPr>
        <w:spacing w:line="360" w:lineRule="auto"/>
        <w:ind w:firstLine="480" w:firstLineChars="200"/>
        <w:rPr>
          <w:color w:val="auto"/>
          <w:sz w:val="24"/>
          <w:szCs w:val="24"/>
          <w:highlight w:val="none"/>
        </w:rPr>
      </w:pPr>
      <w:r>
        <w:rPr>
          <w:rFonts w:hint="eastAsia"/>
          <w:color w:val="auto"/>
          <w:sz w:val="24"/>
          <w:szCs w:val="24"/>
          <w:highlight w:val="none"/>
        </w:rPr>
        <w:t>2.2.3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在收到澄清后，应在规定的时间内通知采购人，确认己收到该澄清。</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2.3 招标文件的修改</w:t>
      </w:r>
    </w:p>
    <w:p>
      <w:pPr>
        <w:spacing w:line="360" w:lineRule="auto"/>
        <w:ind w:firstLine="480" w:firstLineChars="200"/>
        <w:rPr>
          <w:color w:val="auto"/>
          <w:sz w:val="24"/>
          <w:szCs w:val="24"/>
          <w:highlight w:val="none"/>
        </w:rPr>
      </w:pPr>
      <w:r>
        <w:rPr>
          <w:rFonts w:hint="eastAsia"/>
          <w:color w:val="auto"/>
          <w:sz w:val="24"/>
          <w:szCs w:val="24"/>
          <w:highlight w:val="none"/>
        </w:rPr>
        <w:t>2.3.1 在投标截止时间15天前，采购人可以书面形式修改招标文件，并通知所有已购买招标文件的供应商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。如果修改招标文件的时间距投标截止时间不足15天，相应延长投标截止时间。</w:t>
      </w:r>
    </w:p>
    <w:p>
      <w:pPr>
        <w:spacing w:line="360" w:lineRule="auto"/>
        <w:ind w:firstLine="480" w:firstLineChars="200"/>
        <w:rPr>
          <w:color w:val="auto"/>
          <w:sz w:val="24"/>
          <w:szCs w:val="24"/>
          <w:highlight w:val="none"/>
        </w:rPr>
      </w:pPr>
      <w:r>
        <w:rPr>
          <w:rFonts w:hint="eastAsia"/>
          <w:color w:val="auto"/>
          <w:sz w:val="24"/>
          <w:szCs w:val="24"/>
          <w:highlight w:val="none"/>
        </w:rPr>
        <w:t>2.3.2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收到修改内容后，应在规定的时间内通知采购人，确认已收到该修改。</w:t>
      </w:r>
    </w:p>
    <w:p>
      <w:pPr>
        <w:pStyle w:val="5"/>
        <w:rPr>
          <w:color w:val="auto"/>
          <w:szCs w:val="24"/>
          <w:highlight w:val="none"/>
        </w:rPr>
      </w:pPr>
      <w:bookmarkStart w:id="8" w:name="_Toc405446081"/>
      <w:r>
        <w:rPr>
          <w:rFonts w:hint="eastAsia"/>
          <w:color w:val="auto"/>
          <w:szCs w:val="24"/>
          <w:highlight w:val="none"/>
        </w:rPr>
        <w:t>3．投标文件</w:t>
      </w:r>
      <w:bookmarkEnd w:id="8"/>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3.1 投标文件的组成</w:t>
      </w:r>
    </w:p>
    <w:p>
      <w:pPr>
        <w:spacing w:line="360" w:lineRule="auto"/>
        <w:rPr>
          <w:rFonts w:hint="eastAsia"/>
          <w:color w:val="auto"/>
          <w:sz w:val="24"/>
          <w:szCs w:val="24"/>
          <w:highlight w:val="none"/>
        </w:rPr>
      </w:pPr>
      <w:r>
        <w:rPr>
          <w:rFonts w:hint="eastAsia"/>
          <w:color w:val="auto"/>
          <w:sz w:val="24"/>
          <w:szCs w:val="24"/>
          <w:highlight w:val="none"/>
        </w:rPr>
        <w:t>一、投标函及报价一览表</w:t>
      </w:r>
    </w:p>
    <w:p>
      <w:pPr>
        <w:spacing w:line="360" w:lineRule="auto"/>
        <w:rPr>
          <w:rFonts w:hint="eastAsia"/>
          <w:color w:val="auto"/>
          <w:sz w:val="24"/>
          <w:szCs w:val="24"/>
          <w:highlight w:val="none"/>
        </w:rPr>
      </w:pPr>
      <w:r>
        <w:rPr>
          <w:rFonts w:hint="eastAsia"/>
          <w:color w:val="auto"/>
          <w:sz w:val="24"/>
          <w:szCs w:val="24"/>
          <w:highlight w:val="none"/>
        </w:rPr>
        <w:t>二、法定代表人身份证明及法定代表人授权委托书</w:t>
      </w:r>
    </w:p>
    <w:p>
      <w:pPr>
        <w:spacing w:line="360" w:lineRule="auto"/>
        <w:rPr>
          <w:rFonts w:hint="eastAsia"/>
          <w:color w:val="auto"/>
          <w:sz w:val="24"/>
          <w:szCs w:val="24"/>
          <w:highlight w:val="none"/>
        </w:rPr>
      </w:pPr>
      <w:r>
        <w:rPr>
          <w:rFonts w:hint="eastAsia"/>
          <w:color w:val="auto"/>
          <w:sz w:val="24"/>
          <w:szCs w:val="24"/>
          <w:highlight w:val="none"/>
        </w:rPr>
        <w:t>三、技术及商务偏离表</w:t>
      </w:r>
    </w:p>
    <w:p>
      <w:pPr>
        <w:spacing w:line="360" w:lineRule="auto"/>
        <w:rPr>
          <w:rFonts w:hint="eastAsia"/>
          <w:color w:val="auto"/>
          <w:sz w:val="24"/>
          <w:szCs w:val="24"/>
          <w:highlight w:val="none"/>
        </w:rPr>
      </w:pPr>
      <w:r>
        <w:rPr>
          <w:rFonts w:hint="eastAsia"/>
          <w:color w:val="auto"/>
          <w:sz w:val="24"/>
          <w:szCs w:val="24"/>
          <w:highlight w:val="none"/>
        </w:rPr>
        <w:t>四、资格证明文件</w:t>
      </w:r>
    </w:p>
    <w:p>
      <w:pPr>
        <w:spacing w:line="360" w:lineRule="auto"/>
        <w:rPr>
          <w:rFonts w:hint="eastAsia"/>
          <w:color w:val="auto"/>
          <w:sz w:val="24"/>
          <w:szCs w:val="24"/>
          <w:highlight w:val="none"/>
        </w:rPr>
      </w:pPr>
      <w:r>
        <w:rPr>
          <w:rFonts w:hint="eastAsia"/>
          <w:color w:val="auto"/>
          <w:sz w:val="24"/>
          <w:szCs w:val="24"/>
          <w:highlight w:val="none"/>
        </w:rPr>
        <w:t>五、建设方案</w:t>
      </w:r>
    </w:p>
    <w:p>
      <w:pPr>
        <w:spacing w:line="360" w:lineRule="auto"/>
        <w:rPr>
          <w:rFonts w:hint="eastAsia"/>
          <w:color w:val="auto"/>
          <w:sz w:val="24"/>
          <w:szCs w:val="24"/>
          <w:highlight w:val="none"/>
        </w:rPr>
      </w:pPr>
      <w:r>
        <w:rPr>
          <w:rFonts w:hint="eastAsia"/>
          <w:color w:val="auto"/>
          <w:sz w:val="24"/>
          <w:szCs w:val="24"/>
          <w:highlight w:val="none"/>
        </w:rPr>
        <w:t>六、项目保障措施</w:t>
      </w:r>
    </w:p>
    <w:p>
      <w:pPr>
        <w:spacing w:line="360" w:lineRule="auto"/>
        <w:rPr>
          <w:rFonts w:hint="eastAsia"/>
          <w:color w:val="auto"/>
          <w:sz w:val="24"/>
          <w:szCs w:val="24"/>
          <w:highlight w:val="none"/>
        </w:rPr>
      </w:pPr>
      <w:r>
        <w:rPr>
          <w:rFonts w:hint="eastAsia"/>
          <w:color w:val="auto"/>
          <w:sz w:val="24"/>
          <w:szCs w:val="24"/>
          <w:highlight w:val="none"/>
        </w:rPr>
        <w:t>七、售后服务</w:t>
      </w:r>
    </w:p>
    <w:p>
      <w:pPr>
        <w:spacing w:line="360" w:lineRule="auto"/>
        <w:rPr>
          <w:rFonts w:hint="eastAsia"/>
          <w:color w:val="auto"/>
          <w:sz w:val="24"/>
          <w:szCs w:val="24"/>
          <w:highlight w:val="none"/>
        </w:rPr>
      </w:pPr>
      <w:r>
        <w:rPr>
          <w:rFonts w:hint="eastAsia"/>
          <w:color w:val="auto"/>
          <w:sz w:val="24"/>
          <w:szCs w:val="24"/>
          <w:highlight w:val="none"/>
        </w:rPr>
        <w:t>八、培训</w:t>
      </w:r>
    </w:p>
    <w:p>
      <w:pPr>
        <w:spacing w:line="360" w:lineRule="auto"/>
        <w:rPr>
          <w:rFonts w:hint="eastAsia"/>
          <w:color w:val="auto"/>
          <w:sz w:val="24"/>
          <w:szCs w:val="24"/>
          <w:highlight w:val="none"/>
          <w:lang w:val="en-US" w:eastAsia="zh-CN"/>
        </w:rPr>
      </w:pPr>
      <w:r>
        <w:rPr>
          <w:rFonts w:hint="eastAsia"/>
          <w:color w:val="auto"/>
          <w:sz w:val="24"/>
          <w:szCs w:val="24"/>
          <w:highlight w:val="none"/>
        </w:rPr>
        <w:t>九、</w:t>
      </w:r>
      <w:r>
        <w:rPr>
          <w:rFonts w:hint="eastAsia"/>
          <w:color w:val="auto"/>
          <w:sz w:val="24"/>
          <w:szCs w:val="24"/>
          <w:highlight w:val="none"/>
          <w:lang w:val="en-US" w:eastAsia="zh-CN"/>
        </w:rPr>
        <w:t>企业实力</w:t>
      </w:r>
    </w:p>
    <w:p>
      <w:pPr>
        <w:spacing w:line="360" w:lineRule="auto"/>
        <w:rPr>
          <w:rFonts w:hint="eastAsia"/>
          <w:color w:val="auto"/>
          <w:sz w:val="24"/>
          <w:szCs w:val="24"/>
          <w:highlight w:val="none"/>
        </w:rPr>
      </w:pPr>
      <w:r>
        <w:rPr>
          <w:rFonts w:hint="eastAsia"/>
          <w:color w:val="auto"/>
          <w:sz w:val="24"/>
          <w:szCs w:val="24"/>
          <w:highlight w:val="none"/>
        </w:rPr>
        <w:t>十、企业声明函</w:t>
      </w:r>
    </w:p>
    <w:p>
      <w:pPr>
        <w:spacing w:line="360" w:lineRule="auto"/>
        <w:rPr>
          <w:rFonts w:hint="eastAsia"/>
          <w:color w:val="auto"/>
          <w:sz w:val="24"/>
          <w:szCs w:val="24"/>
          <w:highlight w:val="none"/>
        </w:rPr>
      </w:pPr>
      <w:r>
        <w:rPr>
          <w:rFonts w:hint="eastAsia"/>
          <w:color w:val="auto"/>
          <w:sz w:val="24"/>
          <w:szCs w:val="24"/>
          <w:highlight w:val="none"/>
        </w:rPr>
        <w:t>十一、政府采购供应商拒绝政府采购领域商业贿赂承诺书</w:t>
      </w:r>
    </w:p>
    <w:p>
      <w:pPr>
        <w:spacing w:line="360" w:lineRule="auto"/>
        <w:rPr>
          <w:rFonts w:hint="eastAsia"/>
          <w:color w:val="auto"/>
          <w:sz w:val="24"/>
          <w:szCs w:val="24"/>
          <w:highlight w:val="none"/>
        </w:rPr>
      </w:pPr>
      <w:r>
        <w:rPr>
          <w:rFonts w:hint="eastAsia"/>
          <w:color w:val="auto"/>
          <w:sz w:val="24"/>
          <w:szCs w:val="24"/>
          <w:highlight w:val="none"/>
        </w:rPr>
        <w:t>十二、</w:t>
      </w:r>
      <w:r>
        <w:rPr>
          <w:rFonts w:hint="eastAsia"/>
          <w:color w:val="auto"/>
          <w:sz w:val="24"/>
          <w:szCs w:val="24"/>
          <w:highlight w:val="none"/>
          <w:lang w:val="en-US" w:eastAsia="zh-CN"/>
        </w:rPr>
        <w:t>投标人</w:t>
      </w:r>
      <w:r>
        <w:rPr>
          <w:rFonts w:hint="eastAsia"/>
          <w:color w:val="auto"/>
          <w:sz w:val="24"/>
          <w:szCs w:val="24"/>
          <w:highlight w:val="none"/>
        </w:rPr>
        <w:t>认为有必要补充说明的事宜</w:t>
      </w:r>
    </w:p>
    <w:p>
      <w:pPr>
        <w:spacing w:line="360" w:lineRule="auto"/>
        <w:rPr>
          <w:b/>
          <w:bCs/>
          <w:color w:val="auto"/>
          <w:sz w:val="24"/>
          <w:szCs w:val="24"/>
          <w:highlight w:val="none"/>
          <w:lang w:val="en-US"/>
        </w:rPr>
      </w:pPr>
      <w:r>
        <w:rPr>
          <w:rFonts w:hint="eastAsia"/>
          <w:b/>
          <w:bCs/>
          <w:color w:val="auto"/>
          <w:sz w:val="24"/>
          <w:szCs w:val="24"/>
          <w:highlight w:val="none"/>
        </w:rPr>
        <w:t>3.2 投标报价</w:t>
      </w:r>
    </w:p>
    <w:p>
      <w:pPr>
        <w:spacing w:line="360" w:lineRule="auto"/>
        <w:ind w:firstLine="480" w:firstLineChars="200"/>
        <w:rPr>
          <w:color w:val="auto"/>
          <w:sz w:val="24"/>
          <w:szCs w:val="24"/>
          <w:highlight w:val="none"/>
        </w:rPr>
      </w:pPr>
      <w:r>
        <w:rPr>
          <w:rFonts w:hint="eastAsia"/>
          <w:color w:val="auto"/>
          <w:sz w:val="24"/>
          <w:szCs w:val="24"/>
          <w:highlight w:val="none"/>
        </w:rPr>
        <w:t>3.2.1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自主报价，风险自担</w:t>
      </w:r>
      <w:r>
        <w:rPr>
          <w:rFonts w:hint="eastAsia"/>
          <w:color w:val="auto"/>
          <w:sz w:val="24"/>
          <w:szCs w:val="24"/>
          <w:highlight w:val="none"/>
          <w:lang w:eastAsia="zh-CN"/>
        </w:rPr>
        <w:t>，</w:t>
      </w:r>
      <w:r>
        <w:rPr>
          <w:rFonts w:hint="eastAsia" w:ascii="宋体" w:hAnsi="宋体" w:eastAsia="宋体" w:cs="宋体"/>
          <w:color w:val="auto"/>
          <w:sz w:val="24"/>
          <w:szCs w:val="24"/>
          <w:highlight w:val="none"/>
          <w:lang w:val="en-US"/>
        </w:rPr>
        <w:t>投标总报价包括完成本项目的所有费用。</w:t>
      </w:r>
    </w:p>
    <w:p>
      <w:pPr>
        <w:pStyle w:val="33"/>
        <w:tabs>
          <w:tab w:val="left" w:pos="1668"/>
        </w:tabs>
        <w:spacing w:before="0" w:line="360" w:lineRule="auto"/>
        <w:ind w:left="0" w:firstLineChars="200"/>
        <w:jc w:val="both"/>
        <w:rPr>
          <w:color w:val="auto"/>
          <w:sz w:val="24"/>
          <w:szCs w:val="24"/>
          <w:highlight w:val="none"/>
        </w:rPr>
      </w:pPr>
      <w:r>
        <w:rPr>
          <w:rFonts w:hint="eastAsia"/>
          <w:color w:val="auto"/>
          <w:sz w:val="24"/>
          <w:szCs w:val="24"/>
          <w:highlight w:val="none"/>
          <w:lang w:val="en-US"/>
        </w:rPr>
        <w:t>3.2.2</w:t>
      </w:r>
      <w:r>
        <w:rPr>
          <w:rFonts w:hint="eastAsia"/>
          <w:color w:val="auto"/>
          <w:sz w:val="24"/>
          <w:szCs w:val="24"/>
          <w:highlight w:val="none"/>
          <w:lang w:val="en-US" w:eastAsia="zh-CN"/>
        </w:rPr>
        <w:t xml:space="preserve"> </w:t>
      </w:r>
      <w:r>
        <w:rPr>
          <w:rFonts w:hint="eastAsia"/>
          <w:color w:val="auto"/>
          <w:sz w:val="24"/>
          <w:szCs w:val="24"/>
          <w:highlight w:val="none"/>
        </w:rPr>
        <w:t>所有投标均以人民币报价，投标价格一次性报定，不能修改。</w:t>
      </w:r>
    </w:p>
    <w:p>
      <w:pPr>
        <w:pStyle w:val="33"/>
        <w:tabs>
          <w:tab w:val="left" w:pos="1653"/>
        </w:tabs>
        <w:spacing w:before="0" w:line="360" w:lineRule="auto"/>
        <w:ind w:left="0" w:firstLineChars="200"/>
        <w:jc w:val="both"/>
        <w:rPr>
          <w:b/>
          <w:bCs/>
          <w:color w:val="auto"/>
          <w:spacing w:val="-1"/>
          <w:sz w:val="24"/>
          <w:szCs w:val="24"/>
          <w:highlight w:val="none"/>
          <w:lang w:val="en-US"/>
        </w:rPr>
      </w:pPr>
      <w:r>
        <w:rPr>
          <w:rFonts w:hint="eastAsia"/>
          <w:b w:val="0"/>
          <w:bCs w:val="0"/>
          <w:color w:val="auto"/>
          <w:spacing w:val="-1"/>
          <w:sz w:val="24"/>
          <w:szCs w:val="24"/>
          <w:highlight w:val="none"/>
          <w:lang w:val="en-US"/>
        </w:rPr>
        <w:t>3.2.3</w:t>
      </w:r>
      <w:r>
        <w:rPr>
          <w:rFonts w:hint="eastAsia"/>
          <w:b w:val="0"/>
          <w:bCs w:val="0"/>
          <w:color w:val="auto"/>
          <w:spacing w:val="-1"/>
          <w:sz w:val="24"/>
          <w:szCs w:val="24"/>
          <w:highlight w:val="none"/>
          <w:lang w:val="en-US" w:eastAsia="zh-CN"/>
        </w:rPr>
        <w:t xml:space="preserve"> </w:t>
      </w:r>
      <w:r>
        <w:rPr>
          <w:rFonts w:hint="eastAsia" w:ascii="宋体" w:hAnsi="宋体" w:eastAsia="宋体" w:cs="宋体"/>
          <w:color w:val="auto"/>
          <w:kern w:val="2"/>
          <w:sz w:val="24"/>
          <w:szCs w:val="24"/>
          <w:highlight w:val="none"/>
          <w:lang w:val="en-US" w:bidi="ar-SA"/>
        </w:rPr>
        <w:t>投标</w:t>
      </w:r>
      <w:r>
        <w:rPr>
          <w:rFonts w:hint="eastAsia" w:ascii="宋体" w:hAnsi="宋体" w:eastAsia="宋体" w:cs="宋体"/>
          <w:color w:val="auto"/>
          <w:kern w:val="2"/>
          <w:sz w:val="24"/>
          <w:szCs w:val="24"/>
          <w:highlight w:val="none"/>
          <w:lang w:bidi="ar-SA"/>
        </w:rPr>
        <w:t>报价超出采购预算，作为不实质性响应</w:t>
      </w:r>
      <w:r>
        <w:rPr>
          <w:rFonts w:hint="eastAsia" w:ascii="宋体" w:hAnsi="宋体" w:eastAsia="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bidi="ar-SA"/>
        </w:rPr>
        <w:t>文件，按无效文件处理。</w:t>
      </w:r>
    </w:p>
    <w:p>
      <w:pPr>
        <w:pStyle w:val="33"/>
        <w:tabs>
          <w:tab w:val="left" w:pos="1472"/>
        </w:tabs>
        <w:spacing w:before="0" w:line="360" w:lineRule="auto"/>
        <w:ind w:left="0" w:firstLine="448" w:firstLineChars="200"/>
        <w:jc w:val="both"/>
        <w:rPr>
          <w:color w:val="auto"/>
          <w:sz w:val="24"/>
          <w:szCs w:val="24"/>
          <w:highlight w:val="none"/>
        </w:rPr>
      </w:pPr>
      <w:r>
        <w:rPr>
          <w:rFonts w:hint="eastAsia"/>
          <w:color w:val="auto"/>
          <w:spacing w:val="-8"/>
          <w:sz w:val="24"/>
          <w:szCs w:val="24"/>
          <w:highlight w:val="none"/>
          <w:lang w:val="en-US"/>
        </w:rPr>
        <w:t>3.2.4</w:t>
      </w:r>
      <w:r>
        <w:rPr>
          <w:rFonts w:hint="eastAsia"/>
          <w:color w:val="auto"/>
          <w:spacing w:val="-8"/>
          <w:sz w:val="24"/>
          <w:szCs w:val="24"/>
          <w:highlight w:val="none"/>
          <w:lang w:val="en-US" w:eastAsia="zh-CN"/>
        </w:rPr>
        <w:t xml:space="preserve"> </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pacing w:val="-8"/>
          <w:sz w:val="24"/>
          <w:szCs w:val="24"/>
          <w:highlight w:val="none"/>
        </w:rPr>
        <w:t>要按投标报价表(统一格式)的内容填写单价、总价及其他事项，并由</w:t>
      </w:r>
      <w:r>
        <w:rPr>
          <w:rFonts w:hint="eastAsia"/>
          <w:color w:val="auto"/>
          <w:spacing w:val="-8"/>
          <w:sz w:val="24"/>
          <w:szCs w:val="24"/>
          <w:highlight w:val="none"/>
          <w:lang w:val="en-US" w:eastAsia="zh-CN"/>
        </w:rPr>
        <w:t>法定代表人或授权</w:t>
      </w:r>
      <w:r>
        <w:rPr>
          <w:rFonts w:hint="eastAsia"/>
          <w:color w:val="auto"/>
          <w:spacing w:val="-8"/>
          <w:sz w:val="24"/>
          <w:szCs w:val="24"/>
          <w:highlight w:val="none"/>
        </w:rPr>
        <w:t>代表签</w:t>
      </w:r>
      <w:r>
        <w:rPr>
          <w:rFonts w:hint="eastAsia"/>
          <w:color w:val="auto"/>
          <w:spacing w:val="-8"/>
          <w:sz w:val="24"/>
          <w:szCs w:val="24"/>
          <w:highlight w:val="none"/>
          <w:lang w:val="en-US" w:eastAsia="zh-CN"/>
        </w:rPr>
        <w:t>字或</w:t>
      </w:r>
      <w:r>
        <w:rPr>
          <w:rFonts w:hint="eastAsia"/>
          <w:color w:val="auto"/>
          <w:spacing w:val="-8"/>
          <w:sz w:val="24"/>
          <w:szCs w:val="24"/>
          <w:highlight w:val="none"/>
        </w:rPr>
        <w:t>盖章。</w:t>
      </w:r>
    </w:p>
    <w:p>
      <w:pPr>
        <w:pStyle w:val="33"/>
        <w:tabs>
          <w:tab w:val="left" w:pos="1653"/>
        </w:tabs>
        <w:spacing w:before="0" w:line="360" w:lineRule="auto"/>
        <w:ind w:left="0" w:firstLineChars="200"/>
        <w:jc w:val="both"/>
        <w:rPr>
          <w:color w:val="auto"/>
          <w:sz w:val="24"/>
          <w:szCs w:val="24"/>
          <w:highlight w:val="none"/>
        </w:rPr>
      </w:pPr>
      <w:r>
        <w:rPr>
          <w:rFonts w:hint="eastAsia"/>
          <w:color w:val="auto"/>
          <w:sz w:val="24"/>
          <w:szCs w:val="24"/>
          <w:highlight w:val="none"/>
          <w:lang w:val="en-US"/>
        </w:rPr>
        <w:t>3.2.5</w:t>
      </w:r>
      <w:r>
        <w:rPr>
          <w:rFonts w:hint="eastAsia"/>
          <w:color w:val="auto"/>
          <w:sz w:val="24"/>
          <w:szCs w:val="24"/>
          <w:highlight w:val="none"/>
        </w:rPr>
        <w:t>本项目不接受任何有选择的报价，对每一种规格只允许有一个报价和一个方案， 任何有选择性的报价和方案将不予接受。</w:t>
      </w:r>
    </w:p>
    <w:p>
      <w:pPr>
        <w:pStyle w:val="33"/>
        <w:tabs>
          <w:tab w:val="left" w:pos="1668"/>
        </w:tabs>
        <w:spacing w:before="0" w:line="360" w:lineRule="auto"/>
        <w:ind w:left="0" w:firstLineChars="200"/>
        <w:jc w:val="both"/>
        <w:rPr>
          <w:color w:val="auto"/>
          <w:sz w:val="24"/>
          <w:szCs w:val="24"/>
          <w:highlight w:val="none"/>
        </w:rPr>
      </w:pPr>
      <w:r>
        <w:rPr>
          <w:rFonts w:hint="eastAsia"/>
          <w:color w:val="auto"/>
          <w:sz w:val="24"/>
          <w:szCs w:val="24"/>
          <w:highlight w:val="none"/>
          <w:lang w:val="en-US"/>
        </w:rPr>
        <w:t>3.2.6</w:t>
      </w:r>
      <w:r>
        <w:rPr>
          <w:rFonts w:hint="eastAsia"/>
          <w:color w:val="auto"/>
          <w:sz w:val="24"/>
          <w:szCs w:val="24"/>
          <w:highlight w:val="none"/>
        </w:rPr>
        <w:t>最低报价不作为中标的保证。</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3.3 投标有效期</w:t>
      </w:r>
    </w:p>
    <w:p>
      <w:pPr>
        <w:spacing w:line="360" w:lineRule="auto"/>
        <w:ind w:firstLine="480" w:firstLineChars="200"/>
        <w:rPr>
          <w:color w:val="auto"/>
          <w:sz w:val="24"/>
          <w:szCs w:val="24"/>
          <w:highlight w:val="none"/>
        </w:rPr>
      </w:pPr>
      <w:r>
        <w:rPr>
          <w:rFonts w:hint="eastAsia"/>
          <w:color w:val="auto"/>
          <w:sz w:val="24"/>
          <w:szCs w:val="24"/>
          <w:highlight w:val="none"/>
        </w:rPr>
        <w:t>3.3.1 在</w:t>
      </w:r>
      <w:r>
        <w:rPr>
          <w:rFonts w:hint="eastAsia"/>
          <w:color w:val="auto"/>
          <w:sz w:val="24"/>
          <w:szCs w:val="24"/>
          <w:highlight w:val="none"/>
          <w:lang w:val="en-US" w:eastAsia="zh-CN"/>
        </w:rPr>
        <w:t>投标人</w:t>
      </w:r>
      <w:r>
        <w:rPr>
          <w:rFonts w:hint="eastAsia"/>
          <w:color w:val="auto"/>
          <w:sz w:val="24"/>
          <w:szCs w:val="24"/>
          <w:highlight w:val="none"/>
        </w:rPr>
        <w:t>须知前附表规定的投标有效期内，供应商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不得要求撤销或修改其投标文件。</w:t>
      </w:r>
    </w:p>
    <w:p>
      <w:pPr>
        <w:spacing w:line="360" w:lineRule="auto"/>
        <w:ind w:firstLine="480" w:firstLineChars="200"/>
        <w:rPr>
          <w:color w:val="auto"/>
          <w:sz w:val="24"/>
          <w:szCs w:val="24"/>
          <w:highlight w:val="none"/>
        </w:rPr>
      </w:pPr>
      <w:r>
        <w:rPr>
          <w:rFonts w:hint="eastAsia"/>
          <w:color w:val="auto"/>
          <w:sz w:val="24"/>
          <w:szCs w:val="24"/>
          <w:highlight w:val="none"/>
        </w:rPr>
        <w:t>3.3.2 出现特殊情况需要延长投标有效期的，采购人以书面形式通知所有供应商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延长投标有效期。</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3.4 投标保证金</w:t>
      </w:r>
    </w:p>
    <w:p>
      <w:pPr>
        <w:spacing w:line="360" w:lineRule="auto"/>
        <w:ind w:firstLine="480" w:firstLineChars="200"/>
        <w:rPr>
          <w:color w:val="auto"/>
          <w:highlight w:val="none"/>
        </w:rPr>
      </w:pPr>
      <w:r>
        <w:rPr>
          <w:rFonts w:hint="eastAsia"/>
          <w:color w:val="auto"/>
          <w:sz w:val="24"/>
          <w:szCs w:val="24"/>
          <w:highlight w:val="none"/>
        </w:rPr>
        <w:t>本项目不收取投标保证金。</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3.5 资格审查资料</w:t>
      </w:r>
    </w:p>
    <w:p>
      <w:pPr>
        <w:spacing w:line="360" w:lineRule="auto"/>
        <w:ind w:firstLine="480" w:firstLineChars="200"/>
        <w:rPr>
          <w:color w:val="auto"/>
          <w:sz w:val="24"/>
          <w:szCs w:val="24"/>
          <w:highlight w:val="none"/>
        </w:rPr>
      </w:pP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在编制投标文件时，应按新情况更新或补充其在申请投标资格时提供的资料，以证实其各项资格条件能够满足招标文件的要求，具备承担本招标项目服务的资质条件、能力和信誉。</w:t>
      </w:r>
    </w:p>
    <w:p>
      <w:pPr>
        <w:pStyle w:val="6"/>
        <w:spacing w:before="0" w:after="0" w:line="360" w:lineRule="auto"/>
        <w:jc w:val="both"/>
        <w:rPr>
          <w:rFonts w:ascii="宋体" w:hAnsi="宋体" w:eastAsia="宋体"/>
          <w:color w:val="auto"/>
          <w:sz w:val="24"/>
          <w:szCs w:val="24"/>
          <w:highlight w:val="none"/>
        </w:rPr>
      </w:pPr>
      <w:r>
        <w:rPr>
          <w:rFonts w:hint="eastAsia" w:ascii="宋体" w:hAnsi="宋体" w:eastAsia="宋体"/>
          <w:color w:val="auto"/>
          <w:sz w:val="24"/>
          <w:szCs w:val="24"/>
          <w:highlight w:val="none"/>
        </w:rPr>
        <w:t>3.6 备选投标方案</w:t>
      </w:r>
    </w:p>
    <w:p>
      <w:pPr>
        <w:spacing w:line="360" w:lineRule="auto"/>
        <w:ind w:firstLine="480" w:firstLineChars="200"/>
        <w:rPr>
          <w:color w:val="auto"/>
          <w:sz w:val="24"/>
          <w:szCs w:val="24"/>
          <w:highlight w:val="none"/>
        </w:rPr>
      </w:pPr>
      <w:r>
        <w:rPr>
          <w:rFonts w:hint="eastAsia"/>
          <w:color w:val="auto"/>
          <w:sz w:val="24"/>
          <w:szCs w:val="24"/>
          <w:highlight w:val="none"/>
        </w:rPr>
        <w:t>无</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3.7 投标文件的编制</w:t>
      </w:r>
    </w:p>
    <w:p>
      <w:pPr>
        <w:spacing w:line="360" w:lineRule="auto"/>
        <w:ind w:firstLine="480" w:firstLineChars="200"/>
        <w:rPr>
          <w:color w:val="auto"/>
          <w:sz w:val="24"/>
          <w:szCs w:val="24"/>
          <w:highlight w:val="none"/>
        </w:rPr>
      </w:pPr>
      <w:r>
        <w:rPr>
          <w:rFonts w:hint="eastAsia"/>
          <w:color w:val="auto"/>
          <w:sz w:val="24"/>
          <w:szCs w:val="24"/>
          <w:highlight w:val="none"/>
        </w:rPr>
        <w:t>3.7.1 投标文件应按第</w:t>
      </w:r>
      <w:r>
        <w:rPr>
          <w:rFonts w:hint="eastAsia"/>
          <w:color w:val="auto"/>
          <w:sz w:val="24"/>
          <w:szCs w:val="24"/>
          <w:highlight w:val="none"/>
          <w:lang w:val="en-US"/>
        </w:rPr>
        <w:t>七</w:t>
      </w:r>
      <w:r>
        <w:rPr>
          <w:rFonts w:hint="eastAsia"/>
          <w:color w:val="auto"/>
          <w:sz w:val="24"/>
          <w:szCs w:val="24"/>
          <w:highlight w:val="none"/>
        </w:rPr>
        <w:t>章“投标文件格式”进行编写，如有必要，可以增加附页，作为投标文件的组成部分。</w:t>
      </w:r>
    </w:p>
    <w:p>
      <w:pPr>
        <w:spacing w:line="360" w:lineRule="auto"/>
        <w:ind w:firstLine="480" w:firstLineChars="200"/>
        <w:rPr>
          <w:color w:val="auto"/>
          <w:sz w:val="24"/>
          <w:szCs w:val="24"/>
          <w:highlight w:val="none"/>
        </w:rPr>
      </w:pPr>
      <w:r>
        <w:rPr>
          <w:rFonts w:hint="eastAsia"/>
          <w:color w:val="auto"/>
          <w:sz w:val="24"/>
          <w:szCs w:val="24"/>
          <w:highlight w:val="none"/>
        </w:rPr>
        <w:t>3.7.2 投标文件应当对招标文件有关</w:t>
      </w:r>
      <w:r>
        <w:rPr>
          <w:rFonts w:hint="eastAsia"/>
          <w:color w:val="auto"/>
          <w:sz w:val="24"/>
          <w:szCs w:val="24"/>
          <w:highlight w:val="none"/>
          <w:lang w:val="en-US" w:eastAsia="zh-CN"/>
        </w:rPr>
        <w:t>服务</w:t>
      </w:r>
      <w:r>
        <w:rPr>
          <w:rFonts w:hint="eastAsia"/>
          <w:color w:val="auto"/>
          <w:sz w:val="24"/>
          <w:szCs w:val="24"/>
          <w:highlight w:val="none"/>
        </w:rPr>
        <w:t>期、投标有效期、质量要求、技术标准和要求、招标范围等实质性内容作出响应。</w:t>
      </w:r>
    </w:p>
    <w:p>
      <w:pPr>
        <w:spacing w:line="360" w:lineRule="auto"/>
        <w:ind w:firstLine="480" w:firstLineChars="200"/>
        <w:rPr>
          <w:color w:val="auto"/>
          <w:sz w:val="24"/>
          <w:szCs w:val="24"/>
          <w:highlight w:val="none"/>
        </w:rPr>
      </w:pPr>
      <w:r>
        <w:rPr>
          <w:rFonts w:hint="eastAsia"/>
          <w:color w:val="auto"/>
          <w:sz w:val="24"/>
          <w:szCs w:val="24"/>
          <w:highlight w:val="none"/>
        </w:rPr>
        <w:t>3.7.3 投标文件应用不褪色的材料书写或打印，并由供应商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的法定代表人或其委托代理人签字、盖单位章。委托代理人签字的，投标文件应附法定代表人签署的授权委托书。投标文件应尽量避免涂改、行间插字或删除。如果出现上述情况，改动之处应加盖单位章或由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的法定代表人或其授权的代理人签字确认。签字或盖章的具体要求见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3.7.4 投标文件正本壹份，副本</w:t>
      </w:r>
      <w:r>
        <w:rPr>
          <w:rFonts w:hint="eastAsia"/>
          <w:color w:val="auto"/>
          <w:sz w:val="24"/>
          <w:szCs w:val="24"/>
          <w:highlight w:val="none"/>
          <w:lang w:val="en-US"/>
        </w:rPr>
        <w:t>两</w:t>
      </w:r>
      <w:r>
        <w:rPr>
          <w:rFonts w:hint="eastAsia"/>
          <w:color w:val="auto"/>
          <w:sz w:val="24"/>
          <w:szCs w:val="24"/>
          <w:highlight w:val="none"/>
        </w:rPr>
        <w:t>份。正本和副本的封面上应清楚地标记“正本”或“副本”的字样。当副本和正本不一致时，以正本为准。</w:t>
      </w:r>
    </w:p>
    <w:p>
      <w:pPr>
        <w:spacing w:line="360" w:lineRule="auto"/>
        <w:ind w:firstLine="480" w:firstLineChars="200"/>
        <w:rPr>
          <w:color w:val="auto"/>
          <w:sz w:val="24"/>
          <w:szCs w:val="24"/>
          <w:highlight w:val="none"/>
        </w:rPr>
      </w:pPr>
      <w:r>
        <w:rPr>
          <w:rFonts w:hint="eastAsia"/>
          <w:color w:val="auto"/>
          <w:sz w:val="24"/>
          <w:szCs w:val="24"/>
          <w:highlight w:val="none"/>
        </w:rPr>
        <w:t>3.7.5 投标文件的正本与副本应分别装订成册，具体装订要求见</w:t>
      </w:r>
      <w:r>
        <w:rPr>
          <w:rFonts w:hint="eastAsia"/>
          <w:color w:val="auto"/>
          <w:sz w:val="24"/>
          <w:szCs w:val="24"/>
          <w:highlight w:val="none"/>
          <w:lang w:val="en-US" w:eastAsia="zh-CN"/>
        </w:rPr>
        <w:t>投标人</w:t>
      </w:r>
      <w:r>
        <w:rPr>
          <w:rFonts w:hint="eastAsia"/>
          <w:color w:val="auto"/>
          <w:sz w:val="24"/>
          <w:szCs w:val="24"/>
          <w:highlight w:val="none"/>
        </w:rPr>
        <w:t>须知前附表规定。</w:t>
      </w:r>
    </w:p>
    <w:p>
      <w:pPr>
        <w:spacing w:line="360" w:lineRule="auto"/>
        <w:ind w:firstLine="480" w:firstLineChars="200"/>
        <w:rPr>
          <w:color w:val="auto"/>
          <w:sz w:val="24"/>
          <w:szCs w:val="24"/>
          <w:highlight w:val="none"/>
        </w:rPr>
      </w:pPr>
      <w:r>
        <w:rPr>
          <w:rFonts w:hint="eastAsia"/>
          <w:color w:val="auto"/>
          <w:sz w:val="24"/>
          <w:szCs w:val="24"/>
          <w:highlight w:val="none"/>
        </w:rPr>
        <w:t>3.7.6 投标文件的电子版是投标文件的组成部分。供应商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应将包括投标文件的所有内容及招标文件所要求的所有内容刻入电子版U盘中。</w:t>
      </w:r>
    </w:p>
    <w:p>
      <w:pPr>
        <w:pStyle w:val="5"/>
        <w:rPr>
          <w:color w:val="auto"/>
          <w:szCs w:val="24"/>
          <w:highlight w:val="none"/>
        </w:rPr>
      </w:pPr>
      <w:bookmarkStart w:id="9" w:name="_Toc405446082"/>
      <w:r>
        <w:rPr>
          <w:rFonts w:hint="eastAsia"/>
          <w:color w:val="auto"/>
          <w:szCs w:val="24"/>
          <w:highlight w:val="none"/>
        </w:rPr>
        <w:t>4．投标</w:t>
      </w:r>
      <w:bookmarkEnd w:id="9"/>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4.1 投标文件的密封和标记</w:t>
      </w:r>
    </w:p>
    <w:p>
      <w:pPr>
        <w:spacing w:line="360" w:lineRule="auto"/>
        <w:ind w:firstLine="480" w:firstLineChars="200"/>
        <w:rPr>
          <w:rFonts w:hint="eastAsia"/>
          <w:color w:val="auto"/>
          <w:sz w:val="24"/>
          <w:szCs w:val="24"/>
          <w:highlight w:val="none"/>
        </w:rPr>
      </w:pPr>
      <w:r>
        <w:rPr>
          <w:rFonts w:hint="eastAsia"/>
          <w:color w:val="auto"/>
          <w:sz w:val="24"/>
          <w:szCs w:val="24"/>
          <w:highlight w:val="none"/>
        </w:rPr>
        <w:t>4.1.1</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装一袋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装一袋</w:t>
      </w: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eastAsia="zh-CN"/>
        </w:rPr>
        <w:t>单独装一袋</w:t>
      </w:r>
      <w:r>
        <w:rPr>
          <w:rFonts w:hint="eastAsia"/>
          <w:color w:val="auto"/>
          <w:sz w:val="24"/>
          <w:szCs w:val="24"/>
          <w:highlight w:val="none"/>
        </w:rPr>
        <w:t>，并在封套的封口处加盖供应商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单位公章。</w:t>
      </w:r>
    </w:p>
    <w:p>
      <w:pPr>
        <w:spacing w:line="360" w:lineRule="auto"/>
        <w:ind w:firstLine="480" w:firstLineChars="200"/>
        <w:rPr>
          <w:color w:val="auto"/>
          <w:sz w:val="24"/>
          <w:szCs w:val="24"/>
          <w:highlight w:val="none"/>
        </w:rPr>
      </w:pPr>
      <w:r>
        <w:rPr>
          <w:rFonts w:hint="eastAsia"/>
          <w:color w:val="auto"/>
          <w:sz w:val="24"/>
          <w:szCs w:val="24"/>
          <w:highlight w:val="none"/>
        </w:rPr>
        <w:t>4.1.2 投标文件的封套上应清楚地标记“正本”</w:t>
      </w:r>
      <w:r>
        <w:rPr>
          <w:rFonts w:hint="eastAsia"/>
          <w:color w:val="auto"/>
          <w:sz w:val="24"/>
          <w:szCs w:val="24"/>
          <w:highlight w:val="none"/>
          <w:lang w:eastAsia="zh-CN"/>
        </w:rPr>
        <w:t>、</w:t>
      </w:r>
      <w:r>
        <w:rPr>
          <w:rFonts w:hint="eastAsia"/>
          <w:color w:val="auto"/>
          <w:sz w:val="24"/>
          <w:szCs w:val="24"/>
          <w:highlight w:val="none"/>
        </w:rPr>
        <w:t>“副本”</w:t>
      </w:r>
      <w:r>
        <w:rPr>
          <w:rFonts w:hint="eastAsia"/>
          <w:color w:val="auto"/>
          <w:sz w:val="24"/>
          <w:szCs w:val="24"/>
          <w:highlight w:val="none"/>
          <w:lang w:eastAsia="zh-CN"/>
        </w:rPr>
        <w:t>“</w:t>
      </w:r>
      <w:r>
        <w:rPr>
          <w:rFonts w:hint="eastAsia"/>
          <w:color w:val="auto"/>
          <w:sz w:val="24"/>
          <w:szCs w:val="24"/>
          <w:highlight w:val="none"/>
          <w:lang w:val="en-US" w:eastAsia="zh-CN"/>
        </w:rPr>
        <w:t>电子版</w:t>
      </w:r>
      <w:r>
        <w:rPr>
          <w:rFonts w:hint="eastAsia"/>
          <w:color w:val="auto"/>
          <w:sz w:val="24"/>
          <w:szCs w:val="24"/>
          <w:highlight w:val="none"/>
          <w:lang w:eastAsia="zh-CN"/>
        </w:rPr>
        <w:t>”</w:t>
      </w:r>
      <w:r>
        <w:rPr>
          <w:rFonts w:hint="eastAsia"/>
          <w:color w:val="auto"/>
          <w:sz w:val="24"/>
          <w:szCs w:val="24"/>
          <w:highlight w:val="none"/>
        </w:rPr>
        <w:t>字样，封套上应写明的其他内容见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4.1.3 未按本章第4.1.1 项或第4.1.2 项要求密封和加写标记的投标文件，采购人不予</w:t>
      </w:r>
      <w:r>
        <w:rPr>
          <w:rFonts w:hint="eastAsia"/>
          <w:color w:val="auto"/>
          <w:sz w:val="24"/>
          <w:szCs w:val="24"/>
          <w:highlight w:val="none"/>
          <w:lang w:val="en-US"/>
        </w:rPr>
        <w:t>接收</w:t>
      </w:r>
      <w:r>
        <w:rPr>
          <w:rFonts w:hint="eastAsia"/>
          <w:color w:val="auto"/>
          <w:sz w:val="24"/>
          <w:szCs w:val="24"/>
          <w:highlight w:val="none"/>
        </w:rPr>
        <w:t>。</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4.2 投标文件的递交</w:t>
      </w:r>
    </w:p>
    <w:p>
      <w:pPr>
        <w:spacing w:line="360" w:lineRule="auto"/>
        <w:ind w:firstLine="480" w:firstLineChars="200"/>
        <w:rPr>
          <w:color w:val="auto"/>
          <w:sz w:val="24"/>
          <w:szCs w:val="24"/>
          <w:highlight w:val="none"/>
        </w:rPr>
      </w:pPr>
      <w:r>
        <w:rPr>
          <w:rFonts w:hint="eastAsia"/>
          <w:color w:val="auto"/>
          <w:sz w:val="24"/>
          <w:szCs w:val="24"/>
          <w:highlight w:val="none"/>
        </w:rPr>
        <w:t>4.2.1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应在</w:t>
      </w:r>
      <w:r>
        <w:rPr>
          <w:rFonts w:hint="eastAsia"/>
          <w:color w:val="auto"/>
          <w:sz w:val="24"/>
          <w:szCs w:val="24"/>
          <w:highlight w:val="none"/>
          <w:lang w:val="en-US" w:eastAsia="zh-CN"/>
        </w:rPr>
        <w:t>投标人</w:t>
      </w:r>
      <w:r>
        <w:rPr>
          <w:rFonts w:hint="eastAsia"/>
          <w:color w:val="auto"/>
          <w:sz w:val="24"/>
          <w:szCs w:val="24"/>
          <w:highlight w:val="none"/>
        </w:rPr>
        <w:t>须知前附表规定的投标截止时间前递交投标文件。</w:t>
      </w:r>
    </w:p>
    <w:p>
      <w:pPr>
        <w:spacing w:line="360" w:lineRule="auto"/>
        <w:ind w:firstLine="480" w:firstLineChars="200"/>
        <w:rPr>
          <w:color w:val="auto"/>
          <w:sz w:val="24"/>
          <w:szCs w:val="24"/>
          <w:highlight w:val="none"/>
        </w:rPr>
      </w:pPr>
      <w:r>
        <w:rPr>
          <w:rFonts w:hint="eastAsia"/>
          <w:color w:val="auto"/>
          <w:sz w:val="24"/>
          <w:szCs w:val="24"/>
          <w:highlight w:val="none"/>
        </w:rPr>
        <w:t>4.2.2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递交投标文件的地点：见</w:t>
      </w:r>
      <w:r>
        <w:rPr>
          <w:rFonts w:hint="eastAsia"/>
          <w:color w:val="auto"/>
          <w:sz w:val="24"/>
          <w:szCs w:val="24"/>
          <w:highlight w:val="none"/>
          <w:lang w:val="en-US" w:eastAsia="zh-CN"/>
        </w:rPr>
        <w:t>投标人</w:t>
      </w:r>
      <w:r>
        <w:rPr>
          <w:rFonts w:hint="eastAsia"/>
          <w:color w:val="auto"/>
          <w:sz w:val="24"/>
          <w:szCs w:val="24"/>
          <w:highlight w:val="none"/>
        </w:rPr>
        <w:t>须知前附表。</w:t>
      </w:r>
    </w:p>
    <w:p>
      <w:pPr>
        <w:spacing w:line="360" w:lineRule="auto"/>
        <w:ind w:firstLine="480" w:firstLineChars="200"/>
        <w:rPr>
          <w:color w:val="auto"/>
          <w:sz w:val="24"/>
          <w:szCs w:val="24"/>
          <w:highlight w:val="none"/>
        </w:rPr>
      </w:pPr>
      <w:r>
        <w:rPr>
          <w:rFonts w:hint="eastAsia"/>
          <w:color w:val="auto"/>
          <w:sz w:val="24"/>
          <w:szCs w:val="24"/>
          <w:highlight w:val="none"/>
        </w:rPr>
        <w:t>4.2.3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所递交的投标文件不予退还。</w:t>
      </w:r>
    </w:p>
    <w:p>
      <w:pPr>
        <w:spacing w:line="360" w:lineRule="auto"/>
        <w:ind w:firstLine="480" w:firstLineChars="200"/>
        <w:rPr>
          <w:color w:val="auto"/>
          <w:sz w:val="24"/>
          <w:szCs w:val="24"/>
          <w:highlight w:val="none"/>
        </w:rPr>
      </w:pPr>
      <w:r>
        <w:rPr>
          <w:rFonts w:hint="eastAsia"/>
          <w:color w:val="auto"/>
          <w:sz w:val="24"/>
          <w:szCs w:val="24"/>
          <w:highlight w:val="none"/>
        </w:rPr>
        <w:t>4.2.</w:t>
      </w:r>
      <w:r>
        <w:rPr>
          <w:rFonts w:hint="eastAsia"/>
          <w:color w:val="auto"/>
          <w:sz w:val="24"/>
          <w:szCs w:val="24"/>
          <w:highlight w:val="none"/>
          <w:lang w:val="en-US"/>
        </w:rPr>
        <w:t>4</w:t>
      </w:r>
      <w:r>
        <w:rPr>
          <w:rFonts w:hint="eastAsia"/>
          <w:color w:val="auto"/>
          <w:sz w:val="24"/>
          <w:szCs w:val="24"/>
          <w:highlight w:val="none"/>
        </w:rPr>
        <w:t xml:space="preserve"> 逾期送达的或者未送达指定地点的投标文件，采购人不予受理。</w:t>
      </w:r>
    </w:p>
    <w:p>
      <w:pPr>
        <w:spacing w:line="360" w:lineRule="auto"/>
        <w:outlineLvl w:val="3"/>
        <w:rPr>
          <w:b/>
          <w:bCs/>
          <w:color w:val="auto"/>
          <w:sz w:val="24"/>
          <w:szCs w:val="24"/>
          <w:highlight w:val="none"/>
        </w:rPr>
      </w:pPr>
      <w:r>
        <w:rPr>
          <w:rFonts w:hint="eastAsia"/>
          <w:b/>
          <w:bCs/>
          <w:color w:val="auto"/>
          <w:sz w:val="24"/>
          <w:szCs w:val="24"/>
          <w:highlight w:val="none"/>
        </w:rPr>
        <w:t>4.3 投标文件的修改与撤回</w:t>
      </w:r>
    </w:p>
    <w:p>
      <w:pPr>
        <w:spacing w:line="360" w:lineRule="auto"/>
        <w:ind w:firstLine="480" w:firstLineChars="200"/>
        <w:rPr>
          <w:color w:val="auto"/>
          <w:sz w:val="24"/>
          <w:szCs w:val="24"/>
          <w:highlight w:val="none"/>
        </w:rPr>
      </w:pPr>
      <w:r>
        <w:rPr>
          <w:rFonts w:hint="eastAsia"/>
          <w:color w:val="auto"/>
          <w:sz w:val="24"/>
          <w:szCs w:val="24"/>
          <w:highlight w:val="none"/>
        </w:rPr>
        <w:t>4.3.1 在</w:t>
      </w:r>
      <w:r>
        <w:rPr>
          <w:rFonts w:hint="eastAsia"/>
          <w:color w:val="auto"/>
          <w:sz w:val="24"/>
          <w:szCs w:val="24"/>
          <w:highlight w:val="none"/>
          <w:lang w:val="en-US" w:eastAsia="zh-CN"/>
        </w:rPr>
        <w:t>投标人</w:t>
      </w:r>
      <w:r>
        <w:rPr>
          <w:rFonts w:hint="eastAsia"/>
          <w:color w:val="auto"/>
          <w:sz w:val="24"/>
          <w:szCs w:val="24"/>
          <w:highlight w:val="none"/>
        </w:rPr>
        <w:t>须知前附表规定的投标截止时间前，供应商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可以修改或撤回已递交的投标文件，但应以书面形式通知采购人。</w:t>
      </w:r>
    </w:p>
    <w:p>
      <w:pPr>
        <w:spacing w:line="360" w:lineRule="auto"/>
        <w:ind w:firstLine="480" w:firstLineChars="200"/>
        <w:rPr>
          <w:color w:val="auto"/>
          <w:sz w:val="24"/>
          <w:szCs w:val="24"/>
          <w:highlight w:val="none"/>
        </w:rPr>
      </w:pPr>
      <w:r>
        <w:rPr>
          <w:rFonts w:hint="eastAsia"/>
          <w:color w:val="auto"/>
          <w:sz w:val="24"/>
          <w:szCs w:val="24"/>
          <w:highlight w:val="none"/>
        </w:rPr>
        <w:t>4.3.2 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修改或撤回已递交投标文件的书面通知应按照本章第3.7.3 项的要求签字或盖章。采购人收到书面通知后，向供应商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出具签收凭证。</w:t>
      </w:r>
    </w:p>
    <w:p>
      <w:pPr>
        <w:spacing w:line="360" w:lineRule="auto"/>
        <w:ind w:firstLine="480" w:firstLineChars="200"/>
        <w:rPr>
          <w:color w:val="auto"/>
          <w:sz w:val="24"/>
          <w:szCs w:val="24"/>
          <w:highlight w:val="none"/>
        </w:rPr>
      </w:pPr>
      <w:r>
        <w:rPr>
          <w:rFonts w:hint="eastAsia"/>
          <w:color w:val="auto"/>
          <w:sz w:val="24"/>
          <w:szCs w:val="24"/>
          <w:highlight w:val="none"/>
        </w:rPr>
        <w:t>4.3.3 修改的内容为投标文件的组成部分。修改的投标文件应按照本章第3条、第4条规定进行编制、密封、标记和递交，并标明“修改”字样。</w:t>
      </w:r>
    </w:p>
    <w:p>
      <w:pPr>
        <w:pStyle w:val="5"/>
        <w:rPr>
          <w:color w:val="auto"/>
          <w:szCs w:val="24"/>
          <w:highlight w:val="none"/>
        </w:rPr>
      </w:pPr>
      <w:bookmarkStart w:id="10" w:name="_Toc405446083"/>
      <w:r>
        <w:rPr>
          <w:rFonts w:hint="eastAsia"/>
          <w:color w:val="auto"/>
          <w:szCs w:val="24"/>
          <w:highlight w:val="none"/>
        </w:rPr>
        <w:t>5．开标</w:t>
      </w:r>
      <w:bookmarkEnd w:id="10"/>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5.1 开标时间和地点</w:t>
      </w:r>
    </w:p>
    <w:p>
      <w:pPr>
        <w:spacing w:line="360" w:lineRule="auto"/>
        <w:ind w:firstLine="480" w:firstLineChars="200"/>
        <w:rPr>
          <w:color w:val="auto"/>
          <w:spacing w:val="-2"/>
          <w:sz w:val="24"/>
          <w:szCs w:val="24"/>
          <w:highlight w:val="none"/>
        </w:rPr>
      </w:pPr>
      <w:r>
        <w:rPr>
          <w:rFonts w:hint="eastAsia"/>
          <w:color w:val="auto"/>
          <w:sz w:val="24"/>
          <w:szCs w:val="24"/>
          <w:highlight w:val="none"/>
        </w:rPr>
        <w:t>采购人在本章“</w:t>
      </w:r>
      <w:r>
        <w:rPr>
          <w:rFonts w:hint="eastAsia"/>
          <w:color w:val="auto"/>
          <w:sz w:val="24"/>
          <w:szCs w:val="24"/>
          <w:highlight w:val="none"/>
          <w:lang w:val="en-US" w:eastAsia="zh-CN"/>
        </w:rPr>
        <w:t>投标人</w:t>
      </w:r>
      <w:r>
        <w:rPr>
          <w:rFonts w:hint="eastAsia"/>
          <w:color w:val="auto"/>
          <w:sz w:val="24"/>
          <w:szCs w:val="24"/>
          <w:highlight w:val="none"/>
        </w:rPr>
        <w:t>须知前附表”规定的投标截止时间（开标时间）和“</w:t>
      </w:r>
      <w:r>
        <w:rPr>
          <w:rFonts w:hint="eastAsia"/>
          <w:color w:val="auto"/>
          <w:sz w:val="24"/>
          <w:szCs w:val="24"/>
          <w:highlight w:val="none"/>
          <w:lang w:val="en-US" w:eastAsia="zh-CN"/>
        </w:rPr>
        <w:t>投标人</w:t>
      </w:r>
      <w:r>
        <w:rPr>
          <w:rFonts w:hint="eastAsia"/>
          <w:color w:val="auto"/>
          <w:sz w:val="24"/>
          <w:szCs w:val="24"/>
          <w:highlight w:val="none"/>
        </w:rPr>
        <w:t>须知前附表”规定的地点公开开标，并邀请所有供应商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的法定代表人或其委托代理人准时参加。</w:t>
      </w:r>
    </w:p>
    <w:p>
      <w:pPr>
        <w:pStyle w:val="6"/>
        <w:spacing w:before="0" w:after="0" w:line="360" w:lineRule="auto"/>
        <w:rPr>
          <w:rFonts w:ascii="宋体" w:hAnsi="宋体" w:eastAsia="宋体"/>
          <w:color w:val="auto"/>
          <w:sz w:val="24"/>
          <w:szCs w:val="24"/>
          <w:highlight w:val="none"/>
          <w:lang w:val="en-US"/>
        </w:rPr>
      </w:pPr>
      <w:r>
        <w:rPr>
          <w:rFonts w:hint="eastAsia" w:ascii="宋体" w:hAnsi="宋体" w:eastAsia="宋体"/>
          <w:color w:val="auto"/>
          <w:sz w:val="24"/>
          <w:szCs w:val="24"/>
          <w:highlight w:val="none"/>
        </w:rPr>
        <w:t>5.2 投标资格：</w:t>
      </w:r>
      <w:r>
        <w:rPr>
          <w:rFonts w:hint="eastAsia" w:ascii="宋体" w:hAnsi="宋体" w:eastAsia="宋体"/>
          <w:color w:val="auto"/>
          <w:sz w:val="24"/>
          <w:szCs w:val="24"/>
          <w:highlight w:val="none"/>
          <w:lang w:val="en-US"/>
        </w:rPr>
        <w:t>详见投标人须知前附表</w:t>
      </w:r>
    </w:p>
    <w:p>
      <w:pPr>
        <w:spacing w:line="360" w:lineRule="auto"/>
        <w:ind w:firstLine="480" w:firstLineChars="200"/>
        <w:rPr>
          <w:color w:val="auto"/>
          <w:sz w:val="24"/>
          <w:szCs w:val="24"/>
          <w:highlight w:val="none"/>
        </w:rPr>
      </w:pPr>
      <w:r>
        <w:rPr>
          <w:rFonts w:hint="eastAsia"/>
          <w:color w:val="auto"/>
          <w:sz w:val="24"/>
          <w:szCs w:val="24"/>
          <w:highlight w:val="none"/>
          <w:lang w:val="en-US"/>
        </w:rPr>
        <w:t>5.2</w:t>
      </w: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 xml:space="preserve"> 投标人不得存在下列情形之一：</w:t>
      </w:r>
    </w:p>
    <w:p>
      <w:pPr>
        <w:spacing w:line="360" w:lineRule="auto"/>
        <w:ind w:firstLine="480" w:firstLineChars="200"/>
        <w:rPr>
          <w:color w:val="auto"/>
          <w:sz w:val="24"/>
          <w:szCs w:val="24"/>
          <w:highlight w:val="none"/>
        </w:rPr>
      </w:pPr>
      <w:r>
        <w:rPr>
          <w:rFonts w:hint="eastAsia"/>
          <w:color w:val="auto"/>
          <w:sz w:val="24"/>
          <w:szCs w:val="24"/>
          <w:highlight w:val="none"/>
        </w:rPr>
        <w:t>（1）与招标人存在利害关系且可能影响招标公正性；</w:t>
      </w:r>
    </w:p>
    <w:p>
      <w:pPr>
        <w:spacing w:line="360" w:lineRule="auto"/>
        <w:ind w:firstLine="480" w:firstLineChars="200"/>
        <w:rPr>
          <w:color w:val="auto"/>
          <w:sz w:val="24"/>
          <w:szCs w:val="24"/>
          <w:highlight w:val="none"/>
        </w:rPr>
      </w:pPr>
      <w:r>
        <w:rPr>
          <w:rFonts w:hint="eastAsia"/>
          <w:color w:val="auto"/>
          <w:sz w:val="24"/>
          <w:szCs w:val="24"/>
          <w:highlight w:val="none"/>
        </w:rPr>
        <w:t>（2）本招标项目的其他投标人为同一个单位负责人；</w:t>
      </w:r>
    </w:p>
    <w:p>
      <w:pPr>
        <w:spacing w:line="360" w:lineRule="auto"/>
        <w:ind w:firstLine="482" w:firstLineChars="200"/>
        <w:rPr>
          <w:b/>
          <w:color w:val="auto"/>
          <w:sz w:val="24"/>
          <w:szCs w:val="24"/>
          <w:highlight w:val="none"/>
        </w:rPr>
      </w:pPr>
      <w:r>
        <w:rPr>
          <w:rFonts w:hint="eastAsia"/>
          <w:b/>
          <w:color w:val="auto"/>
          <w:sz w:val="24"/>
          <w:szCs w:val="24"/>
          <w:highlight w:val="none"/>
        </w:rPr>
        <w:t>（</w:t>
      </w:r>
      <w:r>
        <w:rPr>
          <w:b/>
          <w:color w:val="auto"/>
          <w:sz w:val="24"/>
          <w:szCs w:val="24"/>
          <w:highlight w:val="none"/>
        </w:rPr>
        <w:t>3）与本招标项目的其他投标人存在控股、管理关系；</w:t>
      </w:r>
    </w:p>
    <w:p>
      <w:pPr>
        <w:spacing w:line="360" w:lineRule="auto"/>
        <w:ind w:firstLine="480" w:firstLineChars="200"/>
        <w:rPr>
          <w:color w:val="auto"/>
          <w:sz w:val="24"/>
          <w:szCs w:val="24"/>
          <w:highlight w:val="none"/>
        </w:rPr>
      </w:pPr>
      <w:r>
        <w:rPr>
          <w:rFonts w:hint="eastAsia"/>
          <w:color w:val="auto"/>
          <w:sz w:val="24"/>
          <w:szCs w:val="24"/>
          <w:highlight w:val="none"/>
        </w:rPr>
        <w:t>（4）为本招标项目提供过设计、编制技术规范和其他文件的咨询服务；</w:t>
      </w:r>
    </w:p>
    <w:p>
      <w:pPr>
        <w:spacing w:line="360" w:lineRule="auto"/>
        <w:ind w:firstLine="480" w:firstLineChars="200"/>
        <w:rPr>
          <w:color w:val="auto"/>
          <w:sz w:val="24"/>
          <w:szCs w:val="24"/>
          <w:highlight w:val="none"/>
        </w:rPr>
      </w:pPr>
      <w:r>
        <w:rPr>
          <w:rFonts w:hint="eastAsia"/>
          <w:color w:val="auto"/>
          <w:sz w:val="24"/>
          <w:szCs w:val="24"/>
          <w:highlight w:val="none"/>
        </w:rPr>
        <w:t>（5）为本项目的相关监理人，或者与本项目的相关监理人存在隶属关系或者其他利害关系；</w:t>
      </w:r>
    </w:p>
    <w:p>
      <w:pPr>
        <w:spacing w:line="360" w:lineRule="auto"/>
        <w:ind w:firstLine="480" w:firstLineChars="200"/>
        <w:rPr>
          <w:color w:val="auto"/>
          <w:sz w:val="24"/>
          <w:szCs w:val="24"/>
          <w:highlight w:val="none"/>
        </w:rPr>
      </w:pPr>
      <w:r>
        <w:rPr>
          <w:rFonts w:hint="eastAsia"/>
          <w:color w:val="auto"/>
          <w:sz w:val="24"/>
          <w:szCs w:val="24"/>
          <w:highlight w:val="none"/>
        </w:rPr>
        <w:t>（6）为本招标项目的代建人；</w:t>
      </w:r>
    </w:p>
    <w:p>
      <w:pPr>
        <w:spacing w:line="360" w:lineRule="auto"/>
        <w:ind w:firstLine="480" w:firstLineChars="200"/>
        <w:rPr>
          <w:color w:val="auto"/>
          <w:sz w:val="24"/>
          <w:szCs w:val="24"/>
          <w:highlight w:val="none"/>
        </w:rPr>
      </w:pPr>
      <w:r>
        <w:rPr>
          <w:rFonts w:hint="eastAsia"/>
          <w:color w:val="auto"/>
          <w:sz w:val="24"/>
          <w:szCs w:val="24"/>
          <w:highlight w:val="none"/>
        </w:rPr>
        <w:t>（7）为本招标项目的招标代理机构；</w:t>
      </w:r>
    </w:p>
    <w:p>
      <w:pPr>
        <w:spacing w:line="360" w:lineRule="auto"/>
        <w:ind w:firstLine="480" w:firstLineChars="200"/>
        <w:rPr>
          <w:color w:val="auto"/>
          <w:sz w:val="24"/>
          <w:szCs w:val="24"/>
          <w:highlight w:val="none"/>
        </w:rPr>
      </w:pPr>
      <w:r>
        <w:rPr>
          <w:rFonts w:hint="eastAsia"/>
          <w:color w:val="auto"/>
          <w:sz w:val="24"/>
          <w:szCs w:val="24"/>
          <w:highlight w:val="none"/>
        </w:rPr>
        <w:t>（8）与本招标项目的监理人或代建人或招标代理机构同为一个法定代表人；</w:t>
      </w:r>
    </w:p>
    <w:p>
      <w:pPr>
        <w:spacing w:line="360" w:lineRule="auto"/>
        <w:ind w:firstLine="480" w:firstLineChars="200"/>
        <w:rPr>
          <w:color w:val="auto"/>
          <w:sz w:val="24"/>
          <w:szCs w:val="24"/>
          <w:highlight w:val="none"/>
        </w:rPr>
      </w:pPr>
      <w:r>
        <w:rPr>
          <w:rFonts w:hint="eastAsia"/>
          <w:color w:val="auto"/>
          <w:sz w:val="24"/>
          <w:szCs w:val="24"/>
          <w:highlight w:val="none"/>
        </w:rPr>
        <w:t>（9）与本招标项目的监理人或代建人或招标代理机构存在控股或参股关系；</w:t>
      </w:r>
    </w:p>
    <w:p>
      <w:pPr>
        <w:spacing w:line="360" w:lineRule="auto"/>
        <w:ind w:firstLine="480" w:firstLineChars="200"/>
        <w:rPr>
          <w:color w:val="auto"/>
          <w:sz w:val="24"/>
          <w:szCs w:val="24"/>
          <w:highlight w:val="none"/>
        </w:rPr>
      </w:pPr>
      <w:r>
        <w:rPr>
          <w:rFonts w:hint="eastAsia"/>
          <w:color w:val="auto"/>
          <w:sz w:val="24"/>
          <w:szCs w:val="24"/>
          <w:highlight w:val="none"/>
        </w:rPr>
        <w:t>（10）被依法暂停或者取消投标资格；</w:t>
      </w:r>
    </w:p>
    <w:p>
      <w:pPr>
        <w:spacing w:line="360" w:lineRule="auto"/>
        <w:ind w:firstLine="480" w:firstLineChars="200"/>
        <w:rPr>
          <w:color w:val="auto"/>
          <w:sz w:val="24"/>
          <w:szCs w:val="24"/>
          <w:highlight w:val="none"/>
        </w:rPr>
      </w:pPr>
      <w:r>
        <w:rPr>
          <w:rFonts w:hint="eastAsia"/>
          <w:color w:val="auto"/>
          <w:sz w:val="24"/>
          <w:szCs w:val="24"/>
          <w:highlight w:val="none"/>
        </w:rPr>
        <w:t>（11）被责令停产停业、暂扣或者吊销许可证、暂扣或者吊销执照；</w:t>
      </w:r>
    </w:p>
    <w:p>
      <w:pPr>
        <w:spacing w:line="360" w:lineRule="auto"/>
        <w:ind w:firstLine="480" w:firstLineChars="200"/>
        <w:rPr>
          <w:color w:val="auto"/>
          <w:sz w:val="24"/>
          <w:szCs w:val="24"/>
          <w:highlight w:val="none"/>
        </w:rPr>
      </w:pPr>
      <w:r>
        <w:rPr>
          <w:rFonts w:hint="eastAsia"/>
          <w:color w:val="auto"/>
          <w:sz w:val="24"/>
          <w:szCs w:val="24"/>
          <w:highlight w:val="none"/>
        </w:rPr>
        <w:t>（12）进入清算程序，或被宣告破产，或其他丧失履约能力的情形；</w:t>
      </w:r>
    </w:p>
    <w:p>
      <w:pPr>
        <w:spacing w:line="360" w:lineRule="auto"/>
        <w:ind w:firstLine="480" w:firstLineChars="200"/>
        <w:rPr>
          <w:color w:val="auto"/>
          <w:sz w:val="24"/>
          <w:szCs w:val="24"/>
          <w:highlight w:val="none"/>
        </w:rPr>
      </w:pPr>
      <w:r>
        <w:rPr>
          <w:rFonts w:hint="eastAsia"/>
          <w:color w:val="auto"/>
          <w:sz w:val="24"/>
          <w:szCs w:val="24"/>
          <w:highlight w:val="none"/>
        </w:rPr>
        <w:t>（13）在最近三年内发生重大产品质量问题（以相关行业主管部门的行政处罚决定或司法机关出具的有关法律文书为准）；</w:t>
      </w:r>
    </w:p>
    <w:p>
      <w:pPr>
        <w:spacing w:line="360" w:lineRule="auto"/>
        <w:ind w:firstLine="480" w:firstLineChars="200"/>
        <w:rPr>
          <w:color w:val="auto"/>
          <w:sz w:val="24"/>
          <w:szCs w:val="24"/>
          <w:highlight w:val="none"/>
        </w:rPr>
      </w:pPr>
      <w:r>
        <w:rPr>
          <w:rFonts w:hint="eastAsia"/>
          <w:color w:val="auto"/>
          <w:sz w:val="24"/>
          <w:szCs w:val="24"/>
          <w:highlight w:val="none"/>
        </w:rPr>
        <w:t>（14）被工商行政管理机关在全国企业信用信息公示系统中列入严重违法失信企业名单；</w:t>
      </w:r>
    </w:p>
    <w:p>
      <w:pPr>
        <w:spacing w:line="360" w:lineRule="auto"/>
        <w:ind w:firstLine="480" w:firstLineChars="200"/>
        <w:rPr>
          <w:color w:val="auto"/>
          <w:sz w:val="24"/>
          <w:szCs w:val="24"/>
          <w:highlight w:val="none"/>
        </w:rPr>
      </w:pPr>
      <w:r>
        <w:rPr>
          <w:rFonts w:hint="eastAsia"/>
          <w:color w:val="auto"/>
          <w:sz w:val="24"/>
          <w:szCs w:val="24"/>
          <w:highlight w:val="none"/>
        </w:rPr>
        <w:t>（15）在“信用中国”网站（www.creditchina.gov.cn）或各级信用信息共享平台中列入失信被执行人名单；</w:t>
      </w:r>
    </w:p>
    <w:p>
      <w:pPr>
        <w:spacing w:line="360" w:lineRule="auto"/>
        <w:ind w:firstLine="480" w:firstLineChars="200"/>
        <w:rPr>
          <w:color w:val="auto"/>
          <w:sz w:val="24"/>
          <w:szCs w:val="24"/>
          <w:highlight w:val="none"/>
        </w:rPr>
      </w:pPr>
      <w:r>
        <w:rPr>
          <w:rFonts w:hint="eastAsia"/>
          <w:color w:val="auto"/>
          <w:sz w:val="24"/>
          <w:szCs w:val="24"/>
          <w:highlight w:val="none"/>
        </w:rPr>
        <w:t>（16）在近三年内投标人或其法定代表人、有行贿犯罪行为的（以中国裁判文书网</w:t>
      </w:r>
      <w:r>
        <w:rPr>
          <w:rFonts w:hint="eastAsia"/>
          <w:color w:val="auto"/>
          <w:sz w:val="24"/>
          <w:szCs w:val="24"/>
          <w:highlight w:val="none"/>
          <w:lang w:val="en-US"/>
        </w:rPr>
        <w:t>截图为准</w:t>
      </w:r>
      <w:r>
        <w:rPr>
          <w:rFonts w:hint="eastAsia"/>
          <w:color w:val="auto"/>
          <w:sz w:val="24"/>
          <w:szCs w:val="24"/>
          <w:highlight w:val="none"/>
        </w:rPr>
        <w:t>）；</w:t>
      </w:r>
    </w:p>
    <w:p>
      <w:pPr>
        <w:spacing w:line="360" w:lineRule="auto"/>
        <w:ind w:firstLine="480" w:firstLineChars="200"/>
        <w:rPr>
          <w:color w:val="auto"/>
          <w:highlight w:val="none"/>
        </w:rPr>
      </w:pPr>
      <w:r>
        <w:rPr>
          <w:rFonts w:hint="eastAsia"/>
          <w:color w:val="auto"/>
          <w:sz w:val="24"/>
          <w:szCs w:val="24"/>
          <w:highlight w:val="none"/>
        </w:rPr>
        <w:t>（17）法律法规或投标人须知前附表规定的其他情形。</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5.3投标文件的退回</w:t>
      </w:r>
    </w:p>
    <w:p>
      <w:pPr>
        <w:spacing w:line="360" w:lineRule="auto"/>
        <w:ind w:firstLine="480" w:firstLineChars="200"/>
        <w:rPr>
          <w:color w:val="auto"/>
          <w:sz w:val="24"/>
          <w:szCs w:val="24"/>
          <w:highlight w:val="none"/>
        </w:rPr>
      </w:pPr>
      <w:r>
        <w:rPr>
          <w:rFonts w:hint="eastAsia"/>
          <w:color w:val="auto"/>
          <w:sz w:val="24"/>
          <w:szCs w:val="24"/>
          <w:highlight w:val="none"/>
        </w:rPr>
        <w:t>按规定提交合格的撤回通知的投标文件不予开封，并退回给供应商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；按第</w:t>
      </w:r>
      <w:r>
        <w:rPr>
          <w:rFonts w:hint="eastAsia"/>
          <w:color w:val="auto"/>
          <w:sz w:val="24"/>
          <w:szCs w:val="24"/>
          <w:highlight w:val="none"/>
          <w:lang w:val="en-US"/>
        </w:rPr>
        <w:t>三</w:t>
      </w:r>
      <w:r>
        <w:rPr>
          <w:rFonts w:hint="eastAsia"/>
          <w:color w:val="auto"/>
          <w:sz w:val="24"/>
          <w:szCs w:val="24"/>
          <w:highlight w:val="none"/>
        </w:rPr>
        <w:t>章“评标办法”规定确定为无效的投标文件，不予送交评审。</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5.4开标程序</w:t>
      </w:r>
    </w:p>
    <w:p>
      <w:pPr>
        <w:spacing w:line="360" w:lineRule="auto"/>
        <w:ind w:firstLine="480" w:firstLineChars="200"/>
        <w:rPr>
          <w:color w:val="auto"/>
          <w:sz w:val="24"/>
          <w:szCs w:val="24"/>
          <w:highlight w:val="none"/>
        </w:rPr>
      </w:pPr>
      <w:r>
        <w:rPr>
          <w:rFonts w:hint="eastAsia"/>
          <w:color w:val="auto"/>
          <w:sz w:val="24"/>
          <w:szCs w:val="24"/>
          <w:highlight w:val="none"/>
        </w:rPr>
        <w:t>主持人按下列程序进行开标：</w:t>
      </w:r>
    </w:p>
    <w:p>
      <w:pPr>
        <w:spacing w:line="36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rPr>
        <w:t>（l）</w:t>
      </w:r>
      <w:r>
        <w:rPr>
          <w:rFonts w:hint="eastAsia"/>
          <w:color w:val="auto"/>
          <w:sz w:val="24"/>
          <w:szCs w:val="24"/>
          <w:highlight w:val="none"/>
          <w:lang w:val="en-US" w:eastAsia="zh-CN"/>
        </w:rPr>
        <w:t>宣布截标并致词</w:t>
      </w:r>
    </w:p>
    <w:p>
      <w:pPr>
        <w:spacing w:line="360" w:lineRule="auto"/>
        <w:ind w:firstLine="480" w:firstLineChars="200"/>
        <w:rPr>
          <w:color w:val="auto"/>
          <w:sz w:val="24"/>
          <w:szCs w:val="24"/>
          <w:highlight w:val="none"/>
        </w:rPr>
      </w:pPr>
      <w:r>
        <w:rPr>
          <w:rFonts w:hint="eastAsia"/>
          <w:color w:val="auto"/>
          <w:sz w:val="24"/>
          <w:szCs w:val="24"/>
          <w:highlight w:val="none"/>
        </w:rPr>
        <w:t>（2）宣布开标纪律；</w:t>
      </w:r>
    </w:p>
    <w:p>
      <w:pPr>
        <w:spacing w:line="360" w:lineRule="auto"/>
        <w:ind w:firstLine="480" w:firstLineChars="200"/>
        <w:rPr>
          <w:rFonts w:hint="eastAsia"/>
          <w:color w:val="auto"/>
          <w:sz w:val="24"/>
          <w:szCs w:val="24"/>
          <w:highlight w:val="none"/>
        </w:rPr>
      </w:pPr>
      <w:r>
        <w:rPr>
          <w:rFonts w:hint="eastAsia"/>
          <w:color w:val="auto"/>
          <w:sz w:val="24"/>
          <w:szCs w:val="24"/>
          <w:highlight w:val="none"/>
        </w:rPr>
        <w:t>（3）公布在投标截止时间前递交投标文件的供应商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名称，并点名确认供应商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是否派人到场；</w:t>
      </w:r>
    </w:p>
    <w:p>
      <w:pPr>
        <w:spacing w:line="360" w:lineRule="auto"/>
        <w:ind w:firstLine="480" w:firstLineChars="200"/>
        <w:rPr>
          <w:color w:val="auto"/>
          <w:sz w:val="24"/>
          <w:szCs w:val="24"/>
          <w:highlight w:val="none"/>
        </w:rPr>
      </w:pPr>
      <w:r>
        <w:rPr>
          <w:rFonts w:hint="eastAsia"/>
          <w:b w:val="0"/>
          <w:bCs w:val="0"/>
          <w:color w:val="auto"/>
          <w:sz w:val="24"/>
          <w:szCs w:val="24"/>
          <w:highlight w:val="none"/>
        </w:rPr>
        <w:t>（4）</w:t>
      </w:r>
      <w:r>
        <w:rPr>
          <w:rFonts w:hint="eastAsia"/>
          <w:color w:val="auto"/>
          <w:sz w:val="24"/>
          <w:szCs w:val="24"/>
          <w:highlight w:val="none"/>
        </w:rPr>
        <w:t>宣布采购人、采购代理机构等有关人员姓名；</w:t>
      </w:r>
    </w:p>
    <w:p>
      <w:pPr>
        <w:spacing w:line="360" w:lineRule="auto"/>
        <w:ind w:firstLine="482" w:firstLineChars="200"/>
        <w:rPr>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5</w:t>
      </w:r>
      <w:r>
        <w:rPr>
          <w:rFonts w:hint="eastAsia"/>
          <w:b/>
          <w:bCs/>
          <w:color w:val="auto"/>
          <w:sz w:val="24"/>
          <w:szCs w:val="24"/>
          <w:highlight w:val="none"/>
          <w:lang w:eastAsia="zh-CN"/>
        </w:rPr>
        <w:t>）</w:t>
      </w:r>
      <w:r>
        <w:rPr>
          <w:rFonts w:hint="eastAsia"/>
          <w:b/>
          <w:bCs/>
          <w:color w:val="auto"/>
          <w:sz w:val="24"/>
          <w:szCs w:val="24"/>
          <w:highlight w:val="none"/>
        </w:rPr>
        <w:t>由</w:t>
      </w:r>
      <w:r>
        <w:rPr>
          <w:rFonts w:hint="eastAsia"/>
          <w:b/>
          <w:bCs/>
          <w:color w:val="auto"/>
          <w:sz w:val="24"/>
          <w:szCs w:val="24"/>
          <w:highlight w:val="none"/>
          <w:lang w:val="en-US" w:eastAsia="zh-CN"/>
        </w:rPr>
        <w:t>监标</w:t>
      </w:r>
      <w:r>
        <w:rPr>
          <w:rFonts w:hint="eastAsia"/>
          <w:b/>
          <w:bCs/>
          <w:color w:val="auto"/>
          <w:sz w:val="24"/>
          <w:szCs w:val="24"/>
          <w:highlight w:val="none"/>
        </w:rPr>
        <w:t>人现场查验</w:t>
      </w:r>
      <w:r>
        <w:rPr>
          <w:rFonts w:hint="eastAsia"/>
          <w:b/>
          <w:bCs/>
          <w:color w:val="auto"/>
          <w:sz w:val="24"/>
          <w:szCs w:val="24"/>
          <w:highlight w:val="none"/>
          <w:lang w:eastAsia="zh-CN"/>
        </w:rPr>
        <w:t>：</w:t>
      </w:r>
      <w:r>
        <w:rPr>
          <w:rFonts w:hint="eastAsia"/>
          <w:b/>
          <w:bCs/>
          <w:color w:val="auto"/>
          <w:sz w:val="24"/>
          <w:szCs w:val="24"/>
          <w:highlight w:val="none"/>
          <w:lang w:val="en-US"/>
        </w:rPr>
        <w:t>开标时须手持证件</w:t>
      </w:r>
      <w:r>
        <w:rPr>
          <w:rFonts w:hint="eastAsia"/>
          <w:b/>
          <w:bCs/>
          <w:color w:val="auto"/>
          <w:sz w:val="24"/>
          <w:highlight w:val="none"/>
        </w:rPr>
        <w:t>（</w:t>
      </w:r>
      <w:r>
        <w:rPr>
          <w:rFonts w:hint="eastAsia"/>
          <w:b/>
          <w:bCs/>
          <w:color w:val="auto"/>
          <w:sz w:val="24"/>
          <w:highlight w:val="none"/>
          <w:lang w:val="en-US"/>
        </w:rPr>
        <w:t>需单独提供：</w:t>
      </w:r>
      <w:r>
        <w:rPr>
          <w:rFonts w:hint="eastAsia"/>
          <w:b/>
          <w:bCs/>
          <w:color w:val="auto"/>
          <w:kern w:val="2"/>
          <w:sz w:val="24"/>
          <w:szCs w:val="24"/>
          <w:highlight w:val="none"/>
          <w:lang w:val="en-US" w:bidi="ar-SA"/>
        </w:rPr>
        <w:t>1.委托代表出席的，持法定代表人授权委托书、被委托人身份证原件及加盖公章的复印件。2、法定代表人直接出席的，须提交其身份证原件及加盖公章的身份证复印件。</w:t>
      </w:r>
      <w:r>
        <w:rPr>
          <w:rFonts w:hint="eastAsia" w:ascii="宋体" w:hAnsi="宋体" w:eastAsia="宋体" w:cs="宋体"/>
          <w:b/>
          <w:color w:val="auto"/>
          <w:sz w:val="24"/>
          <w:szCs w:val="24"/>
          <w:highlight w:val="none"/>
          <w:lang w:val="en-US"/>
        </w:rPr>
        <w:t>供应商</w:t>
      </w:r>
      <w:r>
        <w:rPr>
          <w:rFonts w:hint="eastAsia" w:ascii="宋体" w:hAnsi="宋体" w:eastAsia="宋体" w:cs="宋体"/>
          <w:b/>
          <w:color w:val="auto"/>
          <w:sz w:val="24"/>
          <w:szCs w:val="24"/>
          <w:highlight w:val="none"/>
          <w:lang w:val="en-US" w:eastAsia="zh-CN"/>
        </w:rPr>
        <w:t>（投标人）</w:t>
      </w:r>
      <w:r>
        <w:rPr>
          <w:rFonts w:hint="eastAsia"/>
          <w:b/>
          <w:color w:val="auto"/>
          <w:sz w:val="24"/>
          <w:szCs w:val="24"/>
          <w:highlight w:val="none"/>
        </w:rPr>
        <w:t>未按</w:t>
      </w:r>
      <w:r>
        <w:rPr>
          <w:rFonts w:hint="eastAsia"/>
          <w:b/>
          <w:color w:val="auto"/>
          <w:sz w:val="24"/>
          <w:szCs w:val="24"/>
          <w:highlight w:val="none"/>
          <w:lang w:val="en-US"/>
        </w:rPr>
        <w:t>招标</w:t>
      </w:r>
      <w:r>
        <w:rPr>
          <w:rFonts w:hint="eastAsia"/>
          <w:b/>
          <w:color w:val="auto"/>
          <w:sz w:val="24"/>
          <w:szCs w:val="24"/>
          <w:highlight w:val="none"/>
        </w:rPr>
        <w:t>文件要求单独提供，</w:t>
      </w:r>
      <w:r>
        <w:rPr>
          <w:rFonts w:hint="eastAsia"/>
          <w:b/>
          <w:color w:val="auto"/>
          <w:sz w:val="24"/>
          <w:szCs w:val="24"/>
          <w:highlight w:val="none"/>
          <w:lang w:val="en-US"/>
        </w:rPr>
        <w:t>其投标文件</w:t>
      </w:r>
      <w:r>
        <w:rPr>
          <w:rFonts w:hint="eastAsia"/>
          <w:b/>
          <w:color w:val="auto"/>
          <w:sz w:val="24"/>
          <w:szCs w:val="24"/>
          <w:highlight w:val="none"/>
        </w:rPr>
        <w:t>按无效文件处理，</w:t>
      </w:r>
      <w:r>
        <w:rPr>
          <w:rFonts w:hint="eastAsia"/>
          <w:color w:val="auto"/>
          <w:sz w:val="24"/>
          <w:highlight w:val="none"/>
        </w:rPr>
        <w:t>并宣布结果</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代表检查投标文件密封情况，并签字确认；</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）开启投标文件，公布供应商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名称、投标报价、</w:t>
      </w:r>
      <w:r>
        <w:rPr>
          <w:rFonts w:hint="eastAsia"/>
          <w:color w:val="auto"/>
          <w:sz w:val="24"/>
          <w:szCs w:val="24"/>
          <w:highlight w:val="none"/>
          <w:lang w:val="en-US" w:eastAsia="zh-CN"/>
        </w:rPr>
        <w:t>服务</w:t>
      </w:r>
      <w:r>
        <w:rPr>
          <w:rFonts w:hint="eastAsia"/>
          <w:color w:val="auto"/>
          <w:sz w:val="24"/>
          <w:szCs w:val="24"/>
          <w:highlight w:val="none"/>
        </w:rPr>
        <w:t>期及其他内容，并记录在案；</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代表、</w:t>
      </w:r>
      <w:r>
        <w:rPr>
          <w:rFonts w:hint="eastAsia"/>
          <w:color w:val="auto"/>
          <w:sz w:val="24"/>
          <w:szCs w:val="24"/>
          <w:highlight w:val="none"/>
          <w:lang w:val="en-US" w:eastAsia="zh-CN"/>
        </w:rPr>
        <w:t>招标</w:t>
      </w:r>
      <w:r>
        <w:rPr>
          <w:rFonts w:hint="eastAsia"/>
          <w:color w:val="auto"/>
          <w:sz w:val="24"/>
          <w:szCs w:val="24"/>
          <w:highlight w:val="none"/>
        </w:rPr>
        <w:t>人代表、记录人等有关人员在开标记录上签字确认；</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9</w:t>
      </w:r>
      <w:r>
        <w:rPr>
          <w:rFonts w:hint="eastAsia"/>
          <w:color w:val="auto"/>
          <w:sz w:val="24"/>
          <w:szCs w:val="24"/>
          <w:highlight w:val="none"/>
        </w:rPr>
        <w:t>）评审；</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rPr>
        <w:t>）开标结束。</w:t>
      </w:r>
    </w:p>
    <w:p>
      <w:pPr>
        <w:pStyle w:val="5"/>
        <w:rPr>
          <w:color w:val="auto"/>
          <w:szCs w:val="24"/>
          <w:highlight w:val="none"/>
        </w:rPr>
      </w:pPr>
      <w:bookmarkStart w:id="11" w:name="_Toc405446084"/>
      <w:r>
        <w:rPr>
          <w:rFonts w:hint="eastAsia"/>
          <w:color w:val="auto"/>
          <w:szCs w:val="24"/>
          <w:highlight w:val="none"/>
        </w:rPr>
        <w:t>6．评标</w:t>
      </w:r>
      <w:bookmarkEnd w:id="11"/>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6.1 评标委员会</w:t>
      </w:r>
    </w:p>
    <w:p>
      <w:pPr>
        <w:spacing w:line="360" w:lineRule="auto"/>
        <w:ind w:firstLine="480" w:firstLineChars="200"/>
        <w:rPr>
          <w:color w:val="auto"/>
          <w:sz w:val="24"/>
          <w:szCs w:val="24"/>
          <w:highlight w:val="none"/>
        </w:rPr>
      </w:pPr>
      <w:r>
        <w:rPr>
          <w:rFonts w:hint="eastAsia"/>
          <w:color w:val="auto"/>
          <w:sz w:val="24"/>
          <w:szCs w:val="24"/>
          <w:highlight w:val="none"/>
        </w:rPr>
        <w:t>6.1.1 评标由采购人依法组建的评标委员会负责。评标委员会由从陕西省财政厅评标专家库随机抽取的技术、经济等方面的专家共5人组成</w:t>
      </w:r>
      <w:r>
        <w:rPr>
          <w:rFonts w:hint="eastAsia"/>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其中采购人代表1人</w:t>
      </w:r>
      <w:r>
        <w:rPr>
          <w:rFonts w:hint="eastAsia"/>
          <w:color w:val="auto"/>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6.1.2 评标委员会成员有下列情形之一的，应当回避：</w:t>
      </w:r>
    </w:p>
    <w:p>
      <w:pPr>
        <w:spacing w:line="360" w:lineRule="auto"/>
        <w:ind w:firstLine="480" w:firstLineChars="200"/>
        <w:rPr>
          <w:color w:val="auto"/>
          <w:sz w:val="24"/>
          <w:szCs w:val="24"/>
          <w:highlight w:val="none"/>
        </w:rPr>
      </w:pPr>
      <w:r>
        <w:rPr>
          <w:rFonts w:hint="eastAsia"/>
          <w:color w:val="auto"/>
          <w:sz w:val="24"/>
          <w:szCs w:val="24"/>
          <w:highlight w:val="none"/>
        </w:rPr>
        <w:t>（1）供应商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或供应商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的主要负责人的近亲属；</w:t>
      </w:r>
    </w:p>
    <w:p>
      <w:pPr>
        <w:spacing w:line="360" w:lineRule="auto"/>
        <w:ind w:firstLine="480" w:firstLineChars="200"/>
        <w:rPr>
          <w:color w:val="auto"/>
          <w:sz w:val="24"/>
          <w:szCs w:val="24"/>
          <w:highlight w:val="none"/>
        </w:rPr>
      </w:pPr>
      <w:r>
        <w:rPr>
          <w:rFonts w:hint="eastAsia"/>
          <w:color w:val="auto"/>
          <w:sz w:val="24"/>
          <w:szCs w:val="24"/>
          <w:highlight w:val="none"/>
        </w:rPr>
        <w:t>（2）项目主管部门或者行政监督部门的人员：</w:t>
      </w:r>
    </w:p>
    <w:p>
      <w:pPr>
        <w:spacing w:line="360" w:lineRule="auto"/>
        <w:ind w:firstLine="480" w:firstLineChars="200"/>
        <w:rPr>
          <w:color w:val="auto"/>
          <w:sz w:val="24"/>
          <w:szCs w:val="24"/>
          <w:highlight w:val="none"/>
        </w:rPr>
      </w:pPr>
      <w:r>
        <w:rPr>
          <w:rFonts w:hint="eastAsia"/>
          <w:color w:val="auto"/>
          <w:sz w:val="24"/>
          <w:szCs w:val="24"/>
          <w:highlight w:val="none"/>
        </w:rPr>
        <w:t>（3）与供应商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经济利益关系，可能影响对投标公正评审的；</w:t>
      </w:r>
    </w:p>
    <w:p>
      <w:pPr>
        <w:spacing w:line="360" w:lineRule="auto"/>
        <w:ind w:firstLine="480" w:firstLineChars="200"/>
        <w:rPr>
          <w:color w:val="auto"/>
          <w:sz w:val="24"/>
          <w:szCs w:val="24"/>
          <w:highlight w:val="none"/>
        </w:rPr>
      </w:pPr>
      <w:r>
        <w:rPr>
          <w:rFonts w:hint="eastAsia"/>
          <w:color w:val="auto"/>
          <w:sz w:val="24"/>
          <w:szCs w:val="24"/>
          <w:highlight w:val="none"/>
        </w:rPr>
        <w:t>（4）曾因在招标、评标以及其他与招标投标有关活动中从事违法行为而受过行政处罚或刑事处罚的。</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6.2 评标原则</w:t>
      </w:r>
    </w:p>
    <w:p>
      <w:pPr>
        <w:spacing w:line="360" w:lineRule="auto"/>
        <w:ind w:firstLine="480" w:firstLineChars="200"/>
        <w:rPr>
          <w:color w:val="auto"/>
          <w:sz w:val="24"/>
          <w:szCs w:val="24"/>
          <w:highlight w:val="none"/>
        </w:rPr>
      </w:pPr>
      <w:r>
        <w:rPr>
          <w:rFonts w:hint="eastAsia"/>
          <w:color w:val="auto"/>
          <w:sz w:val="24"/>
          <w:szCs w:val="24"/>
          <w:highlight w:val="none"/>
        </w:rPr>
        <w:t>评标活动遵循公平、公正、科学和择优的原则。</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6.3 评标</w:t>
      </w:r>
    </w:p>
    <w:p>
      <w:pPr>
        <w:spacing w:line="360" w:lineRule="auto"/>
        <w:ind w:firstLine="480" w:firstLineChars="200"/>
        <w:rPr>
          <w:color w:val="auto"/>
          <w:sz w:val="24"/>
          <w:szCs w:val="24"/>
          <w:highlight w:val="none"/>
        </w:rPr>
      </w:pPr>
      <w:r>
        <w:rPr>
          <w:rFonts w:hint="eastAsia"/>
          <w:color w:val="auto"/>
          <w:sz w:val="24"/>
          <w:szCs w:val="24"/>
          <w:highlight w:val="none"/>
        </w:rPr>
        <w:t>评标委员会按照第</w:t>
      </w:r>
      <w:r>
        <w:rPr>
          <w:rFonts w:hint="eastAsia"/>
          <w:color w:val="auto"/>
          <w:sz w:val="24"/>
          <w:szCs w:val="24"/>
          <w:highlight w:val="none"/>
          <w:lang w:val="en-US"/>
        </w:rPr>
        <w:t>三</w:t>
      </w:r>
      <w:r>
        <w:rPr>
          <w:rFonts w:hint="eastAsia"/>
          <w:color w:val="auto"/>
          <w:sz w:val="24"/>
          <w:szCs w:val="24"/>
          <w:highlight w:val="none"/>
        </w:rPr>
        <w:t>章“评标办法”规定的方法、评审因素、标准和程序对投标文件进行评审。第</w:t>
      </w:r>
      <w:r>
        <w:rPr>
          <w:rFonts w:hint="eastAsia"/>
          <w:color w:val="auto"/>
          <w:sz w:val="24"/>
          <w:szCs w:val="24"/>
          <w:highlight w:val="none"/>
          <w:lang w:val="en-US"/>
        </w:rPr>
        <w:t>三</w:t>
      </w:r>
      <w:r>
        <w:rPr>
          <w:rFonts w:hint="eastAsia"/>
          <w:color w:val="auto"/>
          <w:sz w:val="24"/>
          <w:szCs w:val="24"/>
          <w:highlight w:val="none"/>
        </w:rPr>
        <w:t>章“评标办法”没有规定的方法、评审因素和标准，不作为评标依据。</w:t>
      </w:r>
    </w:p>
    <w:p>
      <w:pPr>
        <w:pStyle w:val="5"/>
        <w:rPr>
          <w:color w:val="auto"/>
          <w:szCs w:val="24"/>
          <w:highlight w:val="none"/>
        </w:rPr>
      </w:pPr>
      <w:bookmarkStart w:id="12" w:name="_Toc405446085"/>
      <w:r>
        <w:rPr>
          <w:rFonts w:hint="eastAsia"/>
          <w:color w:val="auto"/>
          <w:szCs w:val="24"/>
          <w:highlight w:val="none"/>
        </w:rPr>
        <w:t>7．合同授予</w:t>
      </w:r>
      <w:bookmarkEnd w:id="12"/>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7.1 定标方式</w:t>
      </w:r>
    </w:p>
    <w:p>
      <w:pPr>
        <w:spacing w:line="360" w:lineRule="auto"/>
        <w:ind w:firstLine="480" w:firstLineChars="200"/>
        <w:rPr>
          <w:color w:val="auto"/>
          <w:sz w:val="24"/>
          <w:szCs w:val="24"/>
          <w:highlight w:val="none"/>
        </w:rPr>
      </w:pPr>
      <w:r>
        <w:rPr>
          <w:rFonts w:hint="eastAsia"/>
          <w:color w:val="auto"/>
          <w:sz w:val="24"/>
          <w:szCs w:val="24"/>
          <w:highlight w:val="none"/>
        </w:rPr>
        <w:t>采购人依据评标委员会推荐的候选人来确定中标人。</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7.2 中标通知书</w:t>
      </w:r>
    </w:p>
    <w:p>
      <w:pPr>
        <w:spacing w:line="360" w:lineRule="auto"/>
        <w:ind w:firstLine="480" w:firstLineChars="200"/>
        <w:rPr>
          <w:color w:val="auto"/>
          <w:sz w:val="24"/>
          <w:szCs w:val="24"/>
          <w:highlight w:val="none"/>
        </w:rPr>
      </w:pPr>
      <w:r>
        <w:rPr>
          <w:rFonts w:hint="eastAsia"/>
          <w:color w:val="auto"/>
          <w:sz w:val="24"/>
          <w:szCs w:val="24"/>
          <w:highlight w:val="none"/>
        </w:rPr>
        <w:t>7.2.1在中标公示期满后,采购代理机构以书面形式向中标人发出中标通知书,中标人需向采购代理机构一次性全额缴纳招标代理服务费后领取中标通知书,逾期未领取中标通知书,将按照有关法律法规的规定取消其中标资格,并按照中标候选人顺序选择下一中标候选人作为中标人。</w:t>
      </w:r>
      <w:bookmarkStart w:id="13" w:name="_Toc405446089"/>
    </w:p>
    <w:p>
      <w:pPr>
        <w:spacing w:line="360" w:lineRule="auto"/>
        <w:ind w:firstLine="480" w:firstLineChars="200"/>
        <w:rPr>
          <w:color w:val="auto"/>
          <w:sz w:val="24"/>
          <w:szCs w:val="24"/>
          <w:highlight w:val="none"/>
        </w:rPr>
      </w:pPr>
      <w:r>
        <w:rPr>
          <w:rFonts w:hint="eastAsia"/>
          <w:color w:val="auto"/>
          <w:sz w:val="24"/>
          <w:szCs w:val="24"/>
          <w:highlight w:val="none"/>
        </w:rPr>
        <w:t>7.2.2领取中标通知书前,中标人须向采购代理机构一次性全额缴纳招标代理服务费。</w:t>
      </w:r>
    </w:p>
    <w:p>
      <w:pPr>
        <w:spacing w:line="360" w:lineRule="auto"/>
        <w:ind w:firstLine="480" w:firstLineChars="200"/>
        <w:rPr>
          <w:color w:val="auto"/>
          <w:sz w:val="24"/>
          <w:szCs w:val="24"/>
          <w:highlight w:val="none"/>
        </w:rPr>
      </w:pPr>
      <w:r>
        <w:rPr>
          <w:rFonts w:hint="eastAsia"/>
          <w:color w:val="auto"/>
          <w:sz w:val="24"/>
          <w:szCs w:val="24"/>
          <w:highlight w:val="none"/>
        </w:rPr>
        <w:t>7.2.3招标代理服务费</w:t>
      </w:r>
      <w:bookmarkEnd w:id="13"/>
    </w:p>
    <w:p>
      <w:pPr>
        <w:pStyle w:val="14"/>
        <w:spacing w:line="360" w:lineRule="auto"/>
        <w:ind w:firstLine="480" w:firstLineChars="200"/>
        <w:rPr>
          <w:color w:val="auto"/>
          <w:sz w:val="24"/>
          <w:szCs w:val="24"/>
          <w:highlight w:val="none"/>
        </w:rPr>
      </w:pPr>
      <w:r>
        <w:rPr>
          <w:rFonts w:hint="eastAsia"/>
          <w:color w:val="auto"/>
          <w:sz w:val="24"/>
          <w:szCs w:val="24"/>
          <w:highlight w:val="none"/>
        </w:rPr>
        <w:t>7.2.3.1以招标项目的中标金额作为收费基数，按照国家计委（计价格【2002】1980号）《招标代理服务收费管理暂行办法》和国家发展改革委办公厅发改办价格[2011]534号规定标准收费计取，由中标人支付。</w:t>
      </w:r>
    </w:p>
    <w:p>
      <w:pPr>
        <w:spacing w:line="360" w:lineRule="auto"/>
        <w:ind w:firstLine="480" w:firstLineChars="200"/>
        <w:rPr>
          <w:color w:val="auto"/>
          <w:sz w:val="24"/>
          <w:szCs w:val="24"/>
          <w:highlight w:val="none"/>
        </w:rPr>
      </w:pPr>
      <w:r>
        <w:rPr>
          <w:rFonts w:hint="eastAsia"/>
          <w:color w:val="auto"/>
          <w:sz w:val="24"/>
          <w:szCs w:val="24"/>
          <w:highlight w:val="none"/>
        </w:rPr>
        <w:t>7.2.3.2中标通知书将构成合同的一部分。</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7.3 履约担保</w:t>
      </w:r>
    </w:p>
    <w:p>
      <w:pPr>
        <w:spacing w:line="360" w:lineRule="auto"/>
        <w:ind w:firstLine="480" w:firstLineChars="200"/>
        <w:rPr>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val="en-US"/>
        </w:rPr>
        <w:t>不</w:t>
      </w:r>
      <w:r>
        <w:rPr>
          <w:rFonts w:hint="eastAsia"/>
          <w:color w:val="auto"/>
          <w:sz w:val="24"/>
          <w:szCs w:val="24"/>
          <w:highlight w:val="none"/>
        </w:rPr>
        <w:t>设履约担保。</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7.4 签订合同</w:t>
      </w:r>
    </w:p>
    <w:p>
      <w:pPr>
        <w:spacing w:line="360" w:lineRule="auto"/>
        <w:ind w:firstLine="480" w:firstLineChars="200"/>
        <w:rPr>
          <w:color w:val="auto"/>
          <w:sz w:val="24"/>
          <w:szCs w:val="24"/>
          <w:highlight w:val="none"/>
        </w:rPr>
      </w:pPr>
      <w:r>
        <w:rPr>
          <w:rFonts w:hint="eastAsia"/>
          <w:color w:val="auto"/>
          <w:sz w:val="24"/>
          <w:szCs w:val="24"/>
          <w:highlight w:val="none"/>
        </w:rPr>
        <w:t>7.4.1 采购人与中标人将于中标通知书发出之日</w:t>
      </w:r>
      <w:r>
        <w:rPr>
          <w:rFonts w:hint="eastAsia"/>
          <w:color w:val="auto"/>
          <w:sz w:val="24"/>
          <w:szCs w:val="24"/>
          <w:highlight w:val="none"/>
          <w:lang w:val="en-US" w:eastAsia="zh-CN"/>
        </w:rPr>
        <w:t>25</w:t>
      </w:r>
      <w:r>
        <w:rPr>
          <w:rFonts w:hint="eastAsia"/>
          <w:color w:val="auto"/>
          <w:sz w:val="24"/>
          <w:szCs w:val="24"/>
          <w:highlight w:val="none"/>
        </w:rPr>
        <w:t>日内，按照招标文件和中标人的投标文件订立书面合同。</w:t>
      </w:r>
    </w:p>
    <w:p>
      <w:pPr>
        <w:spacing w:line="360" w:lineRule="auto"/>
        <w:ind w:firstLine="480" w:firstLineChars="200"/>
        <w:rPr>
          <w:color w:val="auto"/>
          <w:sz w:val="24"/>
          <w:szCs w:val="24"/>
          <w:highlight w:val="none"/>
        </w:rPr>
      </w:pPr>
      <w:r>
        <w:rPr>
          <w:rFonts w:hint="eastAsia"/>
          <w:color w:val="auto"/>
          <w:sz w:val="24"/>
          <w:szCs w:val="24"/>
          <w:highlight w:val="none"/>
        </w:rPr>
        <w:t>7.4.2 中标人应当按照合同约定履行义务，完成中标项目的采购任务。</w:t>
      </w:r>
    </w:p>
    <w:p>
      <w:pPr>
        <w:spacing w:line="360" w:lineRule="auto"/>
        <w:ind w:firstLine="480" w:firstLineChars="200"/>
        <w:rPr>
          <w:color w:val="auto"/>
          <w:sz w:val="24"/>
          <w:szCs w:val="24"/>
          <w:highlight w:val="none"/>
        </w:rPr>
      </w:pPr>
      <w:r>
        <w:rPr>
          <w:rFonts w:hint="eastAsia"/>
          <w:color w:val="auto"/>
          <w:sz w:val="24"/>
          <w:szCs w:val="24"/>
          <w:highlight w:val="none"/>
        </w:rPr>
        <w:t>7.4.3 中标人无正当理由拒签合同的，采购人取消其中标资格，其损失由中标人负责予以赔偿。</w:t>
      </w:r>
    </w:p>
    <w:p>
      <w:pPr>
        <w:spacing w:line="360" w:lineRule="auto"/>
        <w:ind w:firstLine="480" w:firstLineChars="200"/>
        <w:rPr>
          <w:color w:val="auto"/>
          <w:sz w:val="24"/>
          <w:szCs w:val="24"/>
          <w:highlight w:val="none"/>
        </w:rPr>
      </w:pPr>
      <w:r>
        <w:rPr>
          <w:rFonts w:hint="eastAsia"/>
          <w:color w:val="auto"/>
          <w:sz w:val="24"/>
          <w:szCs w:val="24"/>
          <w:highlight w:val="none"/>
        </w:rPr>
        <w:t>7.4.4 发出中标通知书后，采购人无正当理由拒签合同的，给中标人造成损失的，还应当赔偿损失。</w:t>
      </w:r>
    </w:p>
    <w:p>
      <w:pPr>
        <w:pStyle w:val="5"/>
        <w:rPr>
          <w:color w:val="auto"/>
          <w:szCs w:val="24"/>
          <w:highlight w:val="none"/>
        </w:rPr>
      </w:pPr>
      <w:bookmarkStart w:id="14" w:name="_Toc405446086"/>
      <w:r>
        <w:rPr>
          <w:rFonts w:hint="eastAsia"/>
          <w:color w:val="auto"/>
          <w:szCs w:val="24"/>
          <w:highlight w:val="none"/>
        </w:rPr>
        <w:t>8．其他</w:t>
      </w:r>
      <w:bookmarkEnd w:id="14"/>
    </w:p>
    <w:p>
      <w:pPr>
        <w:adjustRightInd w:val="0"/>
        <w:spacing w:line="360" w:lineRule="auto"/>
        <w:ind w:firstLine="480" w:firstLineChars="200"/>
        <w:rPr>
          <w:color w:val="auto"/>
          <w:sz w:val="24"/>
          <w:szCs w:val="24"/>
          <w:highlight w:val="none"/>
        </w:rPr>
      </w:pPr>
      <w:bookmarkStart w:id="15" w:name="_Toc405446087"/>
      <w:r>
        <w:rPr>
          <w:rFonts w:hint="eastAsia"/>
          <w:color w:val="auto"/>
          <w:sz w:val="24"/>
          <w:szCs w:val="24"/>
          <w:highlight w:val="none"/>
        </w:rPr>
        <w:t>8.1 投标截止时间结束后，参加投标的供应商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不足三家或在评标期间，出现符合专业条件的供应商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不足三家或对招标文件实质响应的供应商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不足三家，经请示监督机构同意后，按《政府招标货物和服务招标投标管理办法》（第87号令）第四十三条规定的相关原则处理。</w:t>
      </w:r>
    </w:p>
    <w:p>
      <w:pPr>
        <w:adjustRightInd w:val="0"/>
        <w:spacing w:line="360" w:lineRule="auto"/>
        <w:ind w:firstLine="480" w:firstLineChars="200"/>
        <w:rPr>
          <w:color w:val="auto"/>
          <w:sz w:val="24"/>
          <w:szCs w:val="24"/>
          <w:highlight w:val="none"/>
        </w:rPr>
      </w:pPr>
      <w:r>
        <w:rPr>
          <w:rFonts w:hint="eastAsia"/>
          <w:color w:val="auto"/>
          <w:sz w:val="24"/>
          <w:szCs w:val="24"/>
          <w:highlight w:val="none"/>
        </w:rPr>
        <w:t>8.2 定标或确定中标单位后，中标单位无正当理由拖延或拒签合同，监督机构有权取消其中标资格，并按评标结果顺序重新确定中标单位。同时报请监督机构处通报全市，取消其进入政府招标市场的资格，并按规定予以处罚。</w:t>
      </w:r>
    </w:p>
    <w:p>
      <w:pPr>
        <w:pStyle w:val="5"/>
        <w:rPr>
          <w:color w:val="auto"/>
          <w:szCs w:val="24"/>
          <w:highlight w:val="none"/>
        </w:rPr>
      </w:pPr>
      <w:r>
        <w:rPr>
          <w:rFonts w:hint="eastAsia"/>
          <w:color w:val="auto"/>
          <w:szCs w:val="24"/>
          <w:highlight w:val="none"/>
        </w:rPr>
        <w:t>9．纪律和监督</w:t>
      </w:r>
      <w:bookmarkEnd w:id="15"/>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9.1 对采购人的纪律要求</w:t>
      </w:r>
    </w:p>
    <w:p>
      <w:pPr>
        <w:spacing w:line="360" w:lineRule="auto"/>
        <w:ind w:firstLine="480" w:firstLineChars="200"/>
        <w:rPr>
          <w:color w:val="auto"/>
          <w:sz w:val="24"/>
          <w:szCs w:val="24"/>
          <w:highlight w:val="none"/>
        </w:rPr>
      </w:pPr>
      <w:r>
        <w:rPr>
          <w:rFonts w:hint="eastAsia"/>
          <w:color w:val="auto"/>
          <w:sz w:val="24"/>
          <w:szCs w:val="24"/>
          <w:highlight w:val="none"/>
        </w:rPr>
        <w:t>采购人不得泄漏招标投标活动中应当保密的情况和资料，不得与供应商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串通损害国家利益、社会公共利益或者他人合法权益。</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9.2 对</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olor w:val="auto"/>
          <w:sz w:val="24"/>
          <w:szCs w:val="24"/>
          <w:highlight w:val="none"/>
        </w:rPr>
        <w:t>的纪律要求</w:t>
      </w:r>
    </w:p>
    <w:p>
      <w:pPr>
        <w:spacing w:line="360" w:lineRule="auto"/>
        <w:ind w:firstLine="480" w:firstLineChars="200"/>
        <w:rPr>
          <w:color w:val="auto"/>
          <w:sz w:val="24"/>
          <w:szCs w:val="24"/>
          <w:highlight w:val="none"/>
        </w:rPr>
      </w:pP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不得相互串通投标或者与采购人串通投标，不得向采购人或者评标委员会成员行贿谋取中标，不得以他人名义投标或者以其他方式弄虚作假骗取中标；供应商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color w:val="auto"/>
          <w:sz w:val="24"/>
          <w:szCs w:val="24"/>
          <w:highlight w:val="none"/>
        </w:rPr>
        <w:t>不得以任何方式干扰、影响评标工作。</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9.3 对评标委员会成员的纪律要求</w:t>
      </w:r>
    </w:p>
    <w:p>
      <w:pPr>
        <w:spacing w:line="360" w:lineRule="auto"/>
        <w:ind w:firstLine="480" w:firstLineChars="200"/>
        <w:rPr>
          <w:color w:val="auto"/>
          <w:sz w:val="24"/>
          <w:szCs w:val="24"/>
          <w:highlight w:val="none"/>
        </w:rPr>
      </w:pPr>
      <w:r>
        <w:rPr>
          <w:rFonts w:hint="eastAsia"/>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9.4 对与评标活动有关的工作人员的纪律要求</w:t>
      </w:r>
    </w:p>
    <w:p>
      <w:pPr>
        <w:spacing w:line="360" w:lineRule="auto"/>
        <w:ind w:firstLine="480" w:firstLineChars="200"/>
        <w:rPr>
          <w:color w:val="auto"/>
          <w:sz w:val="24"/>
          <w:szCs w:val="24"/>
          <w:highlight w:val="none"/>
        </w:rPr>
        <w:sectPr>
          <w:footerReference r:id="rId4" w:type="default"/>
          <w:pgSz w:w="11906" w:h="16838"/>
          <w:pgMar w:top="1417" w:right="1531" w:bottom="1417" w:left="1531" w:header="851" w:footer="992" w:gutter="0"/>
          <w:pgNumType w:start="1"/>
          <w:cols w:space="720" w:num="1"/>
          <w:docGrid w:linePitch="312" w:charSpace="0"/>
        </w:sectPr>
      </w:pPr>
      <w:r>
        <w:rPr>
          <w:rFonts w:hint="eastAsia"/>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3"/>
        <w:bidi w:val="0"/>
        <w:spacing w:line="600" w:lineRule="auto"/>
        <w:jc w:val="center"/>
        <w:rPr>
          <w:rFonts w:hint="eastAsia" w:ascii="宋体" w:hAnsi="宋体" w:eastAsia="宋体" w:cs="宋体"/>
          <w:b/>
          <w:color w:val="auto"/>
          <w:sz w:val="36"/>
          <w:szCs w:val="36"/>
          <w:highlight w:val="none"/>
        </w:rPr>
      </w:pPr>
      <w:bookmarkStart w:id="16" w:name="_Toc682"/>
      <w:bookmarkStart w:id="17" w:name="_Toc405446090"/>
      <w:bookmarkStart w:id="18" w:name="_Toc1467"/>
      <w:r>
        <w:rPr>
          <w:rFonts w:hint="eastAsia" w:ascii="宋体" w:hAnsi="宋体" w:eastAsia="宋体" w:cs="宋体"/>
          <w:color w:val="auto"/>
          <w:sz w:val="36"/>
          <w:szCs w:val="36"/>
          <w:highlight w:val="none"/>
          <w:lang w:val="en-US"/>
        </w:rPr>
        <w:t>第三章 评标办法</w:t>
      </w:r>
      <w:bookmarkEnd w:id="16"/>
      <w:bookmarkEnd w:id="17"/>
      <w:bookmarkEnd w:id="1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根据《中华人民共和国政府采购法》及实施条例等法律法规规定，结合采购项目特点制定本评标办法。</w:t>
      </w:r>
    </w:p>
    <w:p>
      <w:pPr>
        <w:pStyle w:val="5"/>
        <w:bidi w:val="0"/>
        <w:rPr>
          <w:rFonts w:hint="eastAsia"/>
          <w:lang w:val="zh-CN" w:eastAsia="zh-CN"/>
        </w:rPr>
      </w:pPr>
      <w:r>
        <w:rPr>
          <w:rFonts w:hint="eastAsia"/>
          <w:lang w:val="zh-CN" w:eastAsia="zh-CN"/>
        </w:rPr>
        <w:t>1.本采购项目评标应当按照下列工作程序进行</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（1）投标文件符合性审查；</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（2）投标文件澄清或说明；</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（3）投标文件比较与评价；</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（4）确定中标候选人名单；</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（5）编写评标报告。</w:t>
      </w:r>
    </w:p>
    <w:p>
      <w:pPr>
        <w:pStyle w:val="5"/>
        <w:bidi w:val="0"/>
        <w:rPr>
          <w:rFonts w:hint="eastAsia"/>
        </w:rPr>
      </w:pPr>
      <w:r>
        <w:rPr>
          <w:rFonts w:hint="eastAsia"/>
        </w:rPr>
        <w:t>2.投标文件初步审查，分别为资格性审查和符合性审查。</w:t>
      </w:r>
    </w:p>
    <w:p>
      <w:pPr>
        <w:spacing w:after="156" w:afterLines="50"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 资格性审查。</w:t>
      </w:r>
      <w:r>
        <w:rPr>
          <w:rFonts w:hint="eastAsia" w:ascii="宋体" w:hAnsi="宋体" w:eastAsia="宋体" w:cs="宋体"/>
          <w:color w:val="auto"/>
          <w:sz w:val="24"/>
          <w:szCs w:val="24"/>
          <w:highlight w:val="none"/>
        </w:rPr>
        <w:t>依据法律法规和招标文件的规定，</w:t>
      </w:r>
      <w:r>
        <w:rPr>
          <w:rFonts w:hint="eastAsia" w:ascii="宋体" w:hAnsi="宋体" w:eastAsia="宋体" w:cs="宋体"/>
          <w:color w:val="auto"/>
          <w:sz w:val="24"/>
          <w:szCs w:val="24"/>
          <w:highlight w:val="none"/>
          <w:lang w:val="en-US" w:eastAsia="zh-CN"/>
        </w:rPr>
        <w:t>由采购人</w:t>
      </w:r>
      <w:r>
        <w:rPr>
          <w:rFonts w:hint="eastAsia" w:ascii="宋体" w:hAnsi="宋体" w:eastAsia="宋体" w:cs="宋体"/>
          <w:color w:val="auto"/>
          <w:sz w:val="24"/>
          <w:szCs w:val="24"/>
          <w:highlight w:val="none"/>
        </w:rPr>
        <w:t>对招标文件文件中的资格证明等进行审查，以确定投标人是否具备投标资格。</w:t>
      </w:r>
    </w:p>
    <w:p>
      <w:pPr>
        <w:tabs>
          <w:tab w:val="left" w:pos="9030"/>
        </w:tabs>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1.符合《</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b w:val="0"/>
          <w:bCs w:val="0"/>
          <w:color w:val="auto"/>
          <w:sz w:val="24"/>
          <w:szCs w:val="24"/>
          <w:highlight w:val="none"/>
        </w:rPr>
        <w:t>》第二十二条规定的</w:t>
      </w:r>
      <w:r>
        <w:rPr>
          <w:rFonts w:hint="eastAsia"/>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条件；</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（1）具有独立承担民事责任能力，提供</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合法注册的法人或其他组织的营业执照等证明文件或自然人的身份证明；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：提供具有财务审计资质单位出具的</w:t>
      </w:r>
      <w:r>
        <w:rPr>
          <w:rFonts w:hint="eastAsia" w:ascii="宋体" w:hAnsi="宋体" w:eastAsia="宋体" w:cs="宋体"/>
          <w:color w:val="auto"/>
          <w:sz w:val="24"/>
          <w:szCs w:val="24"/>
          <w:highlight w:val="none"/>
          <w:lang w:val="en-US" w:eastAsia="zh-CN"/>
        </w:rPr>
        <w:t>2022年</w:t>
      </w:r>
      <w:r>
        <w:rPr>
          <w:rFonts w:hint="eastAsia" w:ascii="宋体" w:hAnsi="宋体" w:eastAsia="宋体" w:cs="宋体"/>
          <w:color w:val="auto"/>
          <w:sz w:val="24"/>
          <w:szCs w:val="24"/>
          <w:highlight w:val="none"/>
          <w:lang w:eastAsia="zh-CN"/>
        </w:rPr>
        <w:t>财务</w:t>
      </w:r>
      <w:r>
        <w:rPr>
          <w:rFonts w:hint="eastAsia" w:ascii="宋体" w:hAnsi="宋体" w:eastAsia="宋体" w:cs="宋体"/>
          <w:color w:val="auto"/>
          <w:sz w:val="24"/>
          <w:szCs w:val="24"/>
          <w:highlight w:val="none"/>
          <w:lang w:val="en-US" w:eastAsia="zh-CN"/>
        </w:rPr>
        <w:t>审计</w:t>
      </w:r>
      <w:r>
        <w:rPr>
          <w:rFonts w:hint="eastAsia" w:ascii="宋体" w:hAnsi="宋体" w:eastAsia="宋体" w:cs="宋体"/>
          <w:color w:val="auto"/>
          <w:sz w:val="24"/>
          <w:szCs w:val="24"/>
          <w:highlight w:val="none"/>
          <w:lang w:eastAsia="zh-CN"/>
        </w:rPr>
        <w:t>报告或投标前六个月内投标人银行基本户开户行出具的资信证明</w:t>
      </w:r>
      <w:r>
        <w:rPr>
          <w:rFonts w:hint="eastAsia" w:ascii="宋体" w:hAnsi="宋体" w:eastAsia="宋体" w:cs="宋体"/>
          <w:i w:val="0"/>
          <w:iCs w:val="0"/>
          <w:caps w:val="0"/>
          <w:color w:val="auto"/>
          <w:spacing w:val="0"/>
          <w:sz w:val="24"/>
          <w:szCs w:val="24"/>
          <w:highlight w:val="none"/>
          <w:shd w:val="clear" w:color="auto" w:fill="FFFFFF"/>
        </w:rPr>
        <w:t>（提供基本存款账户证明材料）</w:t>
      </w:r>
      <w:r>
        <w:rPr>
          <w:rFonts w:hint="eastAsia" w:ascii="宋体" w:hAnsi="宋体" w:eastAsia="宋体" w:cs="宋体"/>
          <w:color w:val="auto"/>
          <w:sz w:val="24"/>
          <w:szCs w:val="24"/>
          <w:highlight w:val="none"/>
          <w:lang w:eastAsia="zh-CN"/>
        </w:rPr>
        <w:t>或财政部门认可的政府采购专业担保机构出具的投标</w:t>
      </w:r>
      <w:r>
        <w:rPr>
          <w:rFonts w:hint="eastAsia" w:ascii="宋体" w:hAnsi="宋体" w:eastAsia="宋体" w:cs="宋体"/>
          <w:color w:val="auto"/>
          <w:sz w:val="24"/>
          <w:szCs w:val="24"/>
          <w:highlight w:val="none"/>
          <w:lang w:val="en-US" w:eastAsia="zh-CN"/>
        </w:rPr>
        <w:t>担保函</w:t>
      </w:r>
      <w:r>
        <w:rPr>
          <w:rFonts w:hint="eastAsia" w:ascii="宋体" w:hAnsi="宋体" w:eastAsia="宋体" w:cs="宋体"/>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（3）依法缴纳税收</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截止时间前六个月任意一个月的完税凭证或税务机关开具的完税证明（任意税种），依法免税的应提供相关文件证明；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社会保障资金</w:t>
      </w:r>
      <w:r>
        <w:rPr>
          <w:rFonts w:hint="eastAsia" w:ascii="宋体" w:hAnsi="宋体" w:eastAsia="宋体" w:cs="宋体"/>
          <w:color w:val="auto"/>
          <w:sz w:val="24"/>
          <w:szCs w:val="24"/>
          <w:highlight w:val="none"/>
          <w:lang w:val="en-US" w:eastAsia="zh-CN"/>
        </w:rPr>
        <w:t>缴纳证明</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截止时间前六个月任意一个月的社会保障资金缴存单据或社保机构开具的社会保险参保缴费情况证明，依法不需要缴纳社会保障资金的应提供相关文件证明；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）提供具有履行本合同所必需的设备和专业技术能力的书面声明；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）提供参加政府采购活动前三年内在经营活动中没有重大违法记录的书面声明；</w:t>
      </w:r>
    </w:p>
    <w:p>
      <w:pPr>
        <w:tabs>
          <w:tab w:val="left" w:pos="9030"/>
        </w:tabs>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.特定资格条件：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（1）法定代表人直接参加投标的，须出具法定代表人身份证明及身份证；法定代表人授权代表参加投标的，须出具法定代表人授权</w:t>
      </w:r>
      <w:r>
        <w:rPr>
          <w:rFonts w:hint="eastAsia" w:ascii="宋体" w:hAnsi="宋体" w:eastAsia="宋体" w:cs="宋体"/>
          <w:i w:val="0"/>
          <w:iCs w:val="0"/>
          <w:caps w:val="0"/>
          <w:color w:val="auto"/>
          <w:spacing w:val="0"/>
          <w:sz w:val="24"/>
          <w:szCs w:val="24"/>
          <w:highlight w:val="none"/>
          <w:shd w:val="clear" w:color="auto" w:fill="FFFFFF"/>
          <w:lang w:val="en-US" w:eastAsia="zh-CN"/>
        </w:rPr>
        <w:t>委托</w:t>
      </w:r>
      <w:r>
        <w:rPr>
          <w:rFonts w:hint="eastAsia" w:ascii="宋体" w:hAnsi="宋体" w:eastAsia="宋体" w:cs="宋体"/>
          <w:i w:val="0"/>
          <w:iCs w:val="0"/>
          <w:caps w:val="0"/>
          <w:color w:val="auto"/>
          <w:spacing w:val="0"/>
          <w:sz w:val="24"/>
          <w:szCs w:val="24"/>
          <w:highlight w:val="none"/>
          <w:shd w:val="clear" w:color="auto" w:fill="FFFFFF"/>
        </w:rPr>
        <w:t>书及授权代表身份证；</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（2）投标人不得为“信用中国”网站（www.creditchina.gov.cn）中列入失信被执行人和重大税收违法案件当事人名单的</w:t>
      </w:r>
      <w:r>
        <w:rPr>
          <w:rFonts w:hint="eastAsia"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，不得为中国政府采购网（www.ccgp.gov.cn）政府采购严重违法失信行为记录名单中被财政部门禁止参加政府采购活动的</w:t>
      </w:r>
      <w:r>
        <w:rPr>
          <w:rFonts w:hint="eastAsia"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w:t>
      </w:r>
    </w:p>
    <w:p>
      <w:pPr>
        <w:tabs>
          <w:tab w:val="left" w:pos="9030"/>
        </w:tabs>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（1）以上为</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必备资格要求，资格证明文件无效或缺项响应文件按无效响应文件处理。</w:t>
      </w:r>
    </w:p>
    <w:p>
      <w:pPr>
        <w:spacing w:after="156" w:afterLines="50"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本项目不接受联合体，单位负责人为同一人或者存在控股、管理关系的不同投标单位,不得同时参加本项目采购活动。</w:t>
      </w:r>
    </w:p>
    <w:p>
      <w:pPr>
        <w:spacing w:after="156" w:afterLines="50" w:line="360" w:lineRule="auto"/>
        <w:ind w:firstLine="551" w:firstLineChars="196"/>
        <w:rPr>
          <w:rFonts w:hint="eastAsia" w:ascii="宋体" w:hAnsi="宋体" w:eastAsia="宋体" w:cs="宋体"/>
          <w:color w:val="auto"/>
          <w:sz w:val="24"/>
          <w:highlight w:val="none"/>
        </w:rPr>
      </w:pPr>
      <w:r>
        <w:rPr>
          <w:rFonts w:hint="eastAsia" w:ascii="宋体" w:hAnsi="宋体" w:eastAsia="宋体" w:cs="宋体"/>
          <w:b/>
          <w:bCs/>
          <w:color w:val="auto"/>
          <w:spacing w:val="20"/>
          <w:sz w:val="24"/>
          <w:highlight w:val="none"/>
        </w:rPr>
        <w:t>2.2符合性审查。</w:t>
      </w:r>
      <w:r>
        <w:rPr>
          <w:rFonts w:hint="eastAsia" w:ascii="宋体" w:hAnsi="宋体" w:eastAsia="宋体" w:cs="宋体"/>
          <w:color w:val="auto"/>
          <w:sz w:val="24"/>
          <w:highlight w:val="none"/>
        </w:rPr>
        <w:t>依据招标文件的规定，从投标文件的有效性、完整性和对招标文件的响应程度进行审查，以确定是否对招标文件的实质性要求作出响应。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说明：以上各项有1项不合格，评审不予通过，作为未实质性响应招标文件。</w:t>
      </w:r>
    </w:p>
    <w:tbl>
      <w:tblPr>
        <w:tblStyle w:val="25"/>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3662"/>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实质性条款</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zh-CN"/>
              </w:rPr>
              <w:t>有效性审查</w:t>
            </w:r>
          </w:p>
        </w:tc>
        <w:tc>
          <w:tcPr>
            <w:tcW w:w="36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投标人名称</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eastAsia="宋体" w:cs="宋体"/>
                <w:bCs/>
                <w:color w:val="auto"/>
                <w:kern w:val="0"/>
                <w:sz w:val="24"/>
                <w:szCs w:val="24"/>
                <w:highlight w:val="none"/>
              </w:rPr>
            </w:pPr>
          </w:p>
        </w:tc>
        <w:tc>
          <w:tcPr>
            <w:tcW w:w="3662"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投标</w:t>
            </w:r>
            <w:r>
              <w:rPr>
                <w:rFonts w:hint="eastAsia" w:ascii="宋体" w:hAnsi="宋体" w:eastAsia="宋体" w:cs="宋体"/>
                <w:bCs/>
                <w:color w:val="auto"/>
                <w:kern w:val="0"/>
                <w:sz w:val="24"/>
                <w:szCs w:val="24"/>
                <w:highlight w:val="none"/>
              </w:rPr>
              <w:t>响应文件份数</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zh-CN"/>
              </w:rPr>
              <w:t>完整性审查</w:t>
            </w:r>
          </w:p>
        </w:tc>
        <w:tc>
          <w:tcPr>
            <w:tcW w:w="36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投标</w:t>
            </w:r>
            <w:r>
              <w:rPr>
                <w:rFonts w:hint="eastAsia" w:ascii="宋体" w:hAnsi="宋体" w:eastAsia="宋体" w:cs="宋体"/>
                <w:bCs/>
                <w:color w:val="auto"/>
                <w:kern w:val="0"/>
                <w:sz w:val="24"/>
                <w:szCs w:val="24"/>
                <w:highlight w:val="none"/>
              </w:rPr>
              <w:t>响应文件签署、盖章</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eastAsia="宋体" w:cs="宋体"/>
                <w:bCs/>
                <w:color w:val="auto"/>
                <w:kern w:val="0"/>
                <w:sz w:val="24"/>
                <w:szCs w:val="24"/>
                <w:highlight w:val="none"/>
              </w:rPr>
            </w:pPr>
          </w:p>
        </w:tc>
        <w:tc>
          <w:tcPr>
            <w:tcW w:w="36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投标</w:t>
            </w:r>
            <w:r>
              <w:rPr>
                <w:rFonts w:hint="eastAsia" w:ascii="宋体" w:hAnsi="宋体" w:eastAsia="宋体" w:cs="宋体"/>
                <w:bCs/>
                <w:color w:val="auto"/>
                <w:kern w:val="0"/>
                <w:sz w:val="24"/>
                <w:szCs w:val="24"/>
                <w:highlight w:val="none"/>
              </w:rPr>
              <w:t>内容的完整性</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val="zh-CN"/>
              </w:rPr>
              <w:t>内容未出现漏项且数量与要求相符。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lang w:val="zh-CN"/>
              </w:rPr>
            </w:pPr>
          </w:p>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zh-CN"/>
              </w:rPr>
              <w:t>响应程度审查</w:t>
            </w:r>
          </w:p>
        </w:tc>
        <w:tc>
          <w:tcPr>
            <w:tcW w:w="3662"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投标</w:t>
            </w:r>
            <w:r>
              <w:rPr>
                <w:rFonts w:hint="eastAsia" w:ascii="宋体" w:hAnsi="宋体" w:eastAsia="宋体" w:cs="宋体"/>
                <w:bCs/>
                <w:color w:val="auto"/>
                <w:kern w:val="0"/>
                <w:sz w:val="24"/>
                <w:szCs w:val="24"/>
                <w:highlight w:val="none"/>
              </w:rPr>
              <w:t>报价</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报价唯一且未超过最高限价。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eastAsia="宋体" w:cs="宋体"/>
                <w:color w:val="auto"/>
                <w:sz w:val="24"/>
                <w:szCs w:val="24"/>
                <w:highlight w:val="none"/>
              </w:rPr>
            </w:pPr>
          </w:p>
        </w:tc>
        <w:tc>
          <w:tcPr>
            <w:tcW w:w="36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服务</w:t>
            </w:r>
            <w:r>
              <w:rPr>
                <w:rFonts w:hint="eastAsia" w:ascii="宋体" w:hAnsi="宋体" w:eastAsia="宋体" w:cs="宋体"/>
                <w:bCs/>
                <w:color w:val="auto"/>
                <w:kern w:val="0"/>
                <w:sz w:val="24"/>
                <w:szCs w:val="24"/>
                <w:highlight w:val="none"/>
              </w:rPr>
              <w:t>期</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文件的要求</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3"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eastAsia="宋体" w:cs="宋体"/>
                <w:color w:val="auto"/>
                <w:sz w:val="24"/>
                <w:szCs w:val="24"/>
                <w:highlight w:val="none"/>
              </w:rPr>
            </w:pPr>
          </w:p>
        </w:tc>
        <w:tc>
          <w:tcPr>
            <w:tcW w:w="36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eastAsia="zh-CN"/>
              </w:rPr>
              <w:t>投标有效期</w:t>
            </w:r>
          </w:p>
        </w:tc>
        <w:tc>
          <w:tcPr>
            <w:tcW w:w="50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文件的要求</w:t>
            </w:r>
          </w:p>
        </w:tc>
      </w:tr>
    </w:tbl>
    <w:p>
      <w:pPr>
        <w:pStyle w:val="23"/>
        <w:ind w:left="0" w:leftChars="0" w:firstLine="480" w:firstLineChars="200"/>
        <w:rPr>
          <w:rFonts w:hint="eastAsia" w:ascii="宋体" w:hAnsi="宋体" w:eastAsia="宋体" w:cs="宋体"/>
          <w:color w:val="auto"/>
          <w:sz w:val="24"/>
          <w:szCs w:val="24"/>
          <w:highlight w:val="none"/>
        </w:rPr>
      </w:pPr>
    </w:p>
    <w:p>
      <w:pPr>
        <w:pStyle w:val="23"/>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2.3 未通过资格性、符合性审查的投标单位，不得进入后续评标环节。</w:t>
      </w:r>
    </w:p>
    <w:p>
      <w:pPr>
        <w:pStyle w:val="5"/>
        <w:bidi w:val="0"/>
        <w:rPr>
          <w:rFonts w:hint="eastAsia"/>
        </w:rPr>
      </w:pPr>
      <w:r>
        <w:rPr>
          <w:rFonts w:hint="eastAsia"/>
        </w:rPr>
        <w:t>3.投标文件的澄清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委会可要求投标人对其投标文件中非实质性（投标文件中含义不明确、同类问题表述不一致或者有明显文字和计算错误的内容）的有关问题进行澄清、说明或者补正。有关澄清、说明或者补正的要求和答复应以书面（含电传、传真）形式提交，并由其法定代表人或委托代理人签字。投标人的澄清、说明或者补正不得超出投标文件的范围或者改变投标文件的实质性内容。评委会不接受投标人主动提出的澄清、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评委会对投标人提交的澄清、说明或者补正有疑问的，可以要求投标人进一步澄清、说明或者补正，直至满足评委会的要求。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有效的书面澄清、说明或补正材料，是投标文件的补充材料，成为投标文件的组成部分。</w:t>
      </w:r>
    </w:p>
    <w:p>
      <w:pPr>
        <w:pStyle w:val="5"/>
        <w:bidi w:val="0"/>
        <w:rPr>
          <w:rFonts w:hint="eastAsia"/>
        </w:rPr>
      </w:pPr>
      <w:r>
        <w:rPr>
          <w:rFonts w:hint="eastAsia"/>
        </w:rPr>
        <w:t>4.投标文件比较与评价</w:t>
      </w:r>
    </w:p>
    <w:p>
      <w:pPr>
        <w:tabs>
          <w:tab w:val="left" w:pos="0"/>
        </w:tabs>
        <w:adjustRightInd w:val="0"/>
        <w:snapToGrid w:val="0"/>
        <w:spacing w:before="156"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符合性检查</w:t>
      </w:r>
      <w:r>
        <w:rPr>
          <w:rFonts w:hint="eastAsia" w:ascii="宋体" w:hAnsi="宋体" w:eastAsia="宋体" w:cs="宋体"/>
          <w:bCs/>
          <w:color w:val="auto"/>
          <w:sz w:val="24"/>
          <w:szCs w:val="24"/>
          <w:highlight w:val="none"/>
        </w:rPr>
        <w:t>通过的投标文件进行商务和技术评估，综合比较与评价。</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4.2如果投标文件没有实质性响应招标文件的要求，评委会将予以拒绝。投标人不得通过修正或撤销不合要求的偏离或保留，从而使其投标成为实质性响应的投标。</w:t>
      </w:r>
    </w:p>
    <w:p>
      <w:pPr>
        <w:pStyle w:val="5"/>
        <w:bidi w:val="0"/>
        <w:rPr>
          <w:rFonts w:hint="eastAsia"/>
        </w:rPr>
      </w:pPr>
      <w:r>
        <w:rPr>
          <w:rFonts w:hint="eastAsia"/>
        </w:rPr>
        <w:t>5.综合评分法</w:t>
      </w:r>
    </w:p>
    <w:p>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5.1.本采购项目评标方法采用综合评分法。即投标文件能够最大限度的满足招标文件规定的各项综合评分标准，且经评审得分最高的投标人为中标候选人的评标方法。</w:t>
      </w:r>
    </w:p>
    <w:p>
      <w:pPr>
        <w:pStyle w:val="5"/>
        <w:bidi w:val="0"/>
        <w:rPr>
          <w:rFonts w:hint="eastAsia"/>
        </w:rPr>
      </w:pPr>
      <w:r>
        <w:rPr>
          <w:rFonts w:hint="eastAsia"/>
        </w:rPr>
        <w:t>6.评标细则及标准</w:t>
      </w:r>
    </w:p>
    <w:p>
      <w:pPr>
        <w:pStyle w:val="14"/>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bCs/>
          <w:color w:val="auto"/>
          <w:sz w:val="24"/>
          <w:szCs w:val="24"/>
          <w:highlight w:val="none"/>
        </w:rPr>
        <w:t>评标委员会将综合分析投标人的各项评审因素，而不以单项评审因素的优劣评选出中标单位。对所有投标人的投标评估，都采用相同的程序和标准，严格按照招标文件的要求和条件进行。</w:t>
      </w:r>
    </w:p>
    <w:p>
      <w:pPr>
        <w:pStyle w:val="14"/>
        <w:adjustRightInd w:val="0"/>
        <w:snapToGrid w:val="0"/>
        <w:spacing w:line="360" w:lineRule="auto"/>
        <w:ind w:left="880" w:leftChars="229" w:hanging="376" w:hangingChars="15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6.2综合评分操作程序为：</w:t>
      </w:r>
    </w:p>
    <w:p>
      <w:pPr>
        <w:pStyle w:val="15"/>
        <w:widowControl/>
        <w:tabs>
          <w:tab w:val="left" w:pos="1506"/>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6.2.1根据招标文件和评标原则，按下表《综合评分明细表》所列评分因素和各评分因素的权重进行评标。</w:t>
      </w:r>
    </w:p>
    <w:p>
      <w:pPr>
        <w:pStyle w:val="15"/>
        <w:widowControl/>
        <w:tabs>
          <w:tab w:val="left" w:pos="1506"/>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6.2.2由评委独立地根据各项因素的评分标准，结合每个投标人的实际情况，分别就投标报价以外的各项评审因素对每个投标人独立打分。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（1）文字表述的内容含义不明确；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（2）同类问题表述不一致；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（3）有明显文字和计算错误；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（4）提供的技术信息和数据资料不完整；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（5）投标文件未按招标文件要求进行装订或未编制目录、页码；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（6）评标委员会认定的其他非实质性偏离。</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pPr>
        <w:pStyle w:val="13"/>
        <w:tabs>
          <w:tab w:val="left" w:pos="6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在投标文件符合性审查过程中，如果出现评标委员会成员意见不一致的情况，按照</w:t>
      </w:r>
    </w:p>
    <w:p>
      <w:pPr>
        <w:pStyle w:val="13"/>
        <w:tabs>
          <w:tab w:val="left" w:pos="600"/>
        </w:tabs>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少数服从多数的原则确定。</w:t>
      </w:r>
    </w:p>
    <w:p>
      <w:pPr>
        <w:ind w:firstLine="480" w:firstLineChars="200"/>
        <w:rPr>
          <w:rFonts w:hint="eastAsia"/>
          <w:color w:val="auto"/>
          <w:highlight w:val="none"/>
        </w:rPr>
      </w:pPr>
      <w:r>
        <w:rPr>
          <w:rFonts w:hint="eastAsia" w:ascii="宋体" w:hAnsi="宋体" w:eastAsia="宋体" w:cs="宋体"/>
          <w:color w:val="auto"/>
          <w:sz w:val="24"/>
          <w:szCs w:val="24"/>
          <w:highlight w:val="none"/>
        </w:rPr>
        <w:t xml:space="preserve">6.5 </w:t>
      </w:r>
      <w:r>
        <w:rPr>
          <w:rFonts w:hint="eastAsia" w:ascii="宋体" w:hAnsi="宋体" w:eastAsia="宋体" w:cs="宋体"/>
          <w:bCs/>
          <w:color w:val="auto"/>
          <w:sz w:val="24"/>
          <w:szCs w:val="24"/>
          <w:highlight w:val="none"/>
        </w:rPr>
        <w:t>本采购项目</w:t>
      </w:r>
      <w:r>
        <w:rPr>
          <w:rFonts w:hint="eastAsia" w:ascii="宋体" w:hAnsi="宋体" w:eastAsia="宋体" w:cs="宋体"/>
          <w:color w:val="auto"/>
          <w:sz w:val="24"/>
          <w:szCs w:val="24"/>
          <w:highlight w:val="none"/>
        </w:rPr>
        <w:t>的评标因素和标准见下列综合评分明细表</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br w:type="page"/>
      </w:r>
    </w:p>
    <w:p>
      <w:pPr>
        <w:rPr>
          <w:color w:val="auto"/>
          <w:sz w:val="28"/>
          <w:szCs w:val="28"/>
          <w:highlight w:val="none"/>
        </w:rPr>
      </w:pPr>
      <w:r>
        <w:rPr>
          <w:rFonts w:hint="eastAsia" w:ascii="宋体" w:hAnsi="宋体" w:eastAsia="宋体" w:cs="宋体"/>
          <w:b/>
          <w:color w:val="auto"/>
          <w:sz w:val="28"/>
          <w:szCs w:val="28"/>
          <w:highlight w:val="none"/>
        </w:rPr>
        <w:t>综合评分明细表</w:t>
      </w:r>
    </w:p>
    <w:tbl>
      <w:tblPr>
        <w:tblStyle w:val="25"/>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679"/>
        <w:gridCol w:w="4137"/>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01" w:type="pct"/>
            <w:vAlign w:val="center"/>
          </w:tcPr>
          <w:p>
            <w:pPr>
              <w:jc w:val="center"/>
              <w:rPr>
                <w:b/>
                <w:color w:val="auto"/>
                <w:sz w:val="24"/>
                <w:szCs w:val="24"/>
                <w:highlight w:val="none"/>
              </w:rPr>
            </w:pPr>
            <w:r>
              <w:rPr>
                <w:rFonts w:hint="eastAsia"/>
                <w:b/>
                <w:color w:val="auto"/>
                <w:sz w:val="24"/>
                <w:szCs w:val="24"/>
                <w:highlight w:val="none"/>
              </w:rPr>
              <w:t>条款号</w:t>
            </w:r>
          </w:p>
        </w:tc>
        <w:tc>
          <w:tcPr>
            <w:tcW w:w="937" w:type="pct"/>
            <w:vAlign w:val="center"/>
          </w:tcPr>
          <w:p>
            <w:pPr>
              <w:jc w:val="center"/>
              <w:rPr>
                <w:b/>
                <w:color w:val="auto"/>
                <w:sz w:val="24"/>
                <w:szCs w:val="24"/>
                <w:highlight w:val="none"/>
              </w:rPr>
            </w:pPr>
            <w:r>
              <w:rPr>
                <w:rFonts w:hint="eastAsia"/>
                <w:b/>
                <w:color w:val="auto"/>
                <w:sz w:val="24"/>
                <w:szCs w:val="24"/>
                <w:highlight w:val="none"/>
              </w:rPr>
              <w:t>条款内容</w:t>
            </w:r>
          </w:p>
        </w:tc>
        <w:tc>
          <w:tcPr>
            <w:tcW w:w="3561" w:type="pct"/>
            <w:gridSpan w:val="2"/>
            <w:vAlign w:val="center"/>
          </w:tcPr>
          <w:p>
            <w:pPr>
              <w:jc w:val="center"/>
              <w:rPr>
                <w:b/>
                <w:color w:val="auto"/>
                <w:sz w:val="24"/>
                <w:szCs w:val="24"/>
                <w:highlight w:val="none"/>
              </w:rPr>
            </w:pPr>
            <w:r>
              <w:rPr>
                <w:rFonts w:hint="eastAsia"/>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restart"/>
            <w:vAlign w:val="center"/>
          </w:tcPr>
          <w:p>
            <w:pPr>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937" w:type="pct"/>
            <w:vMerge w:val="restart"/>
            <w:vAlign w:val="center"/>
          </w:tcPr>
          <w:p>
            <w:pPr>
              <w:jc w:val="center"/>
              <w:rPr>
                <w:rFonts w:hint="eastAsia"/>
                <w:color w:val="auto"/>
                <w:sz w:val="24"/>
                <w:szCs w:val="24"/>
                <w:highlight w:val="none"/>
              </w:rPr>
            </w:pPr>
            <w:r>
              <w:rPr>
                <w:rFonts w:hint="eastAsia"/>
                <w:color w:val="auto"/>
                <w:sz w:val="24"/>
                <w:szCs w:val="24"/>
                <w:highlight w:val="none"/>
              </w:rPr>
              <w:t>分值构成</w:t>
            </w:r>
          </w:p>
          <w:p>
            <w:pPr>
              <w:jc w:val="center"/>
              <w:rPr>
                <w:color w:val="auto"/>
                <w:sz w:val="24"/>
                <w:szCs w:val="24"/>
                <w:highlight w:val="none"/>
              </w:rPr>
            </w:pPr>
            <w:r>
              <w:rPr>
                <w:rFonts w:hint="eastAsia"/>
                <w:color w:val="auto"/>
                <w:sz w:val="24"/>
                <w:szCs w:val="24"/>
                <w:highlight w:val="none"/>
              </w:rPr>
              <w:t>(总分100分)</w:t>
            </w:r>
          </w:p>
        </w:tc>
        <w:tc>
          <w:tcPr>
            <w:tcW w:w="2310" w:type="pct"/>
            <w:vAlign w:val="center"/>
          </w:tcPr>
          <w:p>
            <w:pPr>
              <w:jc w:val="center"/>
              <w:rPr>
                <w:b/>
                <w:bCs/>
                <w:color w:val="auto"/>
                <w:sz w:val="24"/>
                <w:szCs w:val="24"/>
                <w:highlight w:val="none"/>
              </w:rPr>
            </w:pPr>
            <w:r>
              <w:rPr>
                <w:rFonts w:hint="eastAsia"/>
                <w:b/>
                <w:bCs/>
                <w:color w:val="auto"/>
                <w:sz w:val="24"/>
                <w:szCs w:val="24"/>
                <w:highlight w:val="none"/>
              </w:rPr>
              <w:t>评分因素</w:t>
            </w:r>
          </w:p>
        </w:tc>
        <w:tc>
          <w:tcPr>
            <w:tcW w:w="1250" w:type="pct"/>
            <w:vAlign w:val="center"/>
          </w:tcPr>
          <w:p>
            <w:pPr>
              <w:jc w:val="center"/>
              <w:rPr>
                <w:b/>
                <w:bCs/>
                <w:color w:val="auto"/>
                <w:sz w:val="24"/>
                <w:szCs w:val="24"/>
                <w:highlight w:val="none"/>
              </w:rPr>
            </w:pPr>
            <w:r>
              <w:rPr>
                <w:rFonts w:hint="eastAsia"/>
                <w:b/>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pPr>
              <w:jc w:val="center"/>
              <w:rPr>
                <w:color w:val="auto"/>
                <w:sz w:val="24"/>
                <w:szCs w:val="24"/>
                <w:highlight w:val="none"/>
              </w:rPr>
            </w:pPr>
          </w:p>
        </w:tc>
        <w:tc>
          <w:tcPr>
            <w:tcW w:w="937" w:type="pct"/>
            <w:vMerge w:val="continue"/>
            <w:vAlign w:val="center"/>
          </w:tcPr>
          <w:p>
            <w:pPr>
              <w:ind w:firstLine="480" w:firstLineChars="200"/>
              <w:jc w:val="center"/>
              <w:rPr>
                <w:color w:val="auto"/>
                <w:sz w:val="24"/>
                <w:szCs w:val="24"/>
                <w:highlight w:val="none"/>
              </w:rPr>
            </w:pPr>
          </w:p>
        </w:tc>
        <w:tc>
          <w:tcPr>
            <w:tcW w:w="2310" w:type="pct"/>
            <w:vAlign w:val="center"/>
          </w:tcPr>
          <w:p>
            <w:pPr>
              <w:jc w:val="center"/>
              <w:rPr>
                <w:b w:val="0"/>
                <w:bCs w:val="0"/>
                <w:color w:val="auto"/>
                <w:sz w:val="24"/>
                <w:szCs w:val="24"/>
                <w:highlight w:val="none"/>
              </w:rPr>
            </w:pPr>
            <w:r>
              <w:rPr>
                <w:rFonts w:hint="eastAsia"/>
                <w:b w:val="0"/>
                <w:bCs w:val="0"/>
                <w:color w:val="auto"/>
                <w:sz w:val="24"/>
                <w:szCs w:val="24"/>
                <w:highlight w:val="none"/>
                <w:lang w:val="en-US"/>
              </w:rPr>
              <w:t>投标报价</w:t>
            </w:r>
          </w:p>
        </w:tc>
        <w:tc>
          <w:tcPr>
            <w:tcW w:w="2436" w:type="dxa"/>
            <w:vAlign w:val="center"/>
          </w:tcPr>
          <w:p>
            <w:pPr>
              <w:jc w:val="center"/>
              <w:rPr>
                <w:color w:val="auto"/>
                <w:sz w:val="24"/>
                <w:szCs w:val="24"/>
                <w:highlight w:val="none"/>
                <w:lang w:val="en-US"/>
              </w:rPr>
            </w:pPr>
            <w:r>
              <w:rPr>
                <w:rFonts w:hint="eastAsia"/>
                <w:color w:val="auto"/>
                <w:sz w:val="24"/>
                <w:szCs w:val="24"/>
                <w:highlight w:val="none"/>
                <w:lang w:val="en-US" w:eastAsia="zh-CN"/>
              </w:rPr>
              <w:t>2</w:t>
            </w:r>
            <w:r>
              <w:rPr>
                <w:rFonts w:hint="eastAsia"/>
                <w:color w:val="auto"/>
                <w:sz w:val="24"/>
                <w:szCs w:val="24"/>
                <w:highlight w:val="none"/>
                <w:lang w:val="en-US"/>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pPr>
              <w:jc w:val="center"/>
              <w:rPr>
                <w:color w:val="auto"/>
                <w:sz w:val="24"/>
                <w:szCs w:val="24"/>
                <w:highlight w:val="none"/>
              </w:rPr>
            </w:pPr>
          </w:p>
        </w:tc>
        <w:tc>
          <w:tcPr>
            <w:tcW w:w="937" w:type="pct"/>
            <w:vMerge w:val="continue"/>
            <w:vAlign w:val="center"/>
          </w:tcPr>
          <w:p>
            <w:pPr>
              <w:ind w:firstLine="480" w:firstLineChars="200"/>
              <w:jc w:val="center"/>
              <w:rPr>
                <w:color w:val="auto"/>
                <w:sz w:val="24"/>
                <w:szCs w:val="24"/>
                <w:highlight w:val="none"/>
              </w:rPr>
            </w:pPr>
          </w:p>
        </w:tc>
        <w:tc>
          <w:tcPr>
            <w:tcW w:w="2310" w:type="pct"/>
            <w:vAlign w:val="center"/>
          </w:tcPr>
          <w:p>
            <w:pPr>
              <w:jc w:val="center"/>
              <w:rPr>
                <w:b w:val="0"/>
                <w:bCs w:val="0"/>
                <w:color w:val="auto"/>
                <w:sz w:val="24"/>
                <w:szCs w:val="24"/>
                <w:highlight w:val="none"/>
                <w:lang w:val="en-US"/>
              </w:rPr>
            </w:pPr>
            <w:r>
              <w:rPr>
                <w:rFonts w:hint="eastAsia" w:ascii="宋体" w:hAnsi="宋体"/>
                <w:b w:val="0"/>
                <w:bCs w:val="0"/>
                <w:color w:val="auto"/>
                <w:sz w:val="24"/>
                <w:highlight w:val="none"/>
              </w:rPr>
              <w:t>建设方案</w:t>
            </w:r>
          </w:p>
        </w:tc>
        <w:tc>
          <w:tcPr>
            <w:tcW w:w="2436" w:type="dxa"/>
            <w:vAlign w:val="center"/>
          </w:tcPr>
          <w:p>
            <w:pPr>
              <w:jc w:val="center"/>
              <w:rPr>
                <w:color w:val="auto"/>
                <w:sz w:val="24"/>
                <w:szCs w:val="24"/>
                <w:highlight w:val="none"/>
                <w:lang w:val="en-US"/>
              </w:rPr>
            </w:pPr>
            <w:r>
              <w:rPr>
                <w:rFonts w:hint="eastAsia"/>
                <w:color w:val="auto"/>
                <w:sz w:val="24"/>
                <w:szCs w:val="24"/>
                <w:highlight w:val="none"/>
                <w:lang w:val="en-US" w:eastAsia="zh-CN"/>
              </w:rPr>
              <w:t>55</w:t>
            </w:r>
            <w:r>
              <w:rPr>
                <w:rFonts w:hint="eastAsia"/>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pPr>
              <w:jc w:val="center"/>
              <w:rPr>
                <w:color w:val="auto"/>
                <w:sz w:val="24"/>
                <w:szCs w:val="24"/>
                <w:highlight w:val="none"/>
              </w:rPr>
            </w:pPr>
          </w:p>
        </w:tc>
        <w:tc>
          <w:tcPr>
            <w:tcW w:w="937" w:type="pct"/>
            <w:vMerge w:val="continue"/>
            <w:vAlign w:val="center"/>
          </w:tcPr>
          <w:p>
            <w:pPr>
              <w:ind w:firstLine="480" w:firstLineChars="200"/>
              <w:jc w:val="center"/>
              <w:rPr>
                <w:color w:val="auto"/>
                <w:sz w:val="24"/>
                <w:szCs w:val="24"/>
                <w:highlight w:val="none"/>
              </w:rPr>
            </w:pPr>
          </w:p>
        </w:tc>
        <w:tc>
          <w:tcPr>
            <w:tcW w:w="2310" w:type="pct"/>
            <w:vAlign w:val="center"/>
          </w:tcPr>
          <w:p>
            <w:pPr>
              <w:kinsoku w:val="0"/>
              <w:spacing w:line="400" w:lineRule="exact"/>
              <w:jc w:val="center"/>
              <w:rPr>
                <w:rFonts w:hint="default"/>
                <w:b w:val="0"/>
                <w:bCs w:val="0"/>
                <w:color w:val="auto"/>
                <w:sz w:val="24"/>
                <w:szCs w:val="24"/>
                <w:highlight w:val="none"/>
              </w:rPr>
            </w:pPr>
            <w:r>
              <w:rPr>
                <w:rFonts w:hint="eastAsia" w:ascii="宋体" w:hAnsi="宋体"/>
                <w:b w:val="0"/>
                <w:bCs w:val="0"/>
                <w:color w:val="auto"/>
                <w:sz w:val="24"/>
                <w:highlight w:val="none"/>
              </w:rPr>
              <w:t>项目保障措施</w:t>
            </w:r>
          </w:p>
        </w:tc>
        <w:tc>
          <w:tcPr>
            <w:tcW w:w="2436" w:type="dxa"/>
            <w:vAlign w:val="center"/>
          </w:tcPr>
          <w:p>
            <w:pPr>
              <w:jc w:val="center"/>
              <w:rPr>
                <w:color w:val="auto"/>
                <w:sz w:val="24"/>
                <w:szCs w:val="24"/>
                <w:highlight w:val="none"/>
                <w:lang w:val="en-US"/>
              </w:rPr>
            </w:pPr>
            <w:r>
              <w:rPr>
                <w:rFonts w:hint="eastAsia"/>
                <w:color w:val="auto"/>
                <w:sz w:val="24"/>
                <w:szCs w:val="24"/>
                <w:highlight w:val="none"/>
                <w:lang w:val="en-US" w:eastAsia="zh-CN"/>
              </w:rPr>
              <w:t>10</w:t>
            </w:r>
            <w:r>
              <w:rPr>
                <w:rFonts w:hint="eastAsia"/>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pPr>
              <w:jc w:val="center"/>
              <w:rPr>
                <w:color w:val="auto"/>
                <w:sz w:val="24"/>
                <w:szCs w:val="24"/>
                <w:highlight w:val="none"/>
              </w:rPr>
            </w:pPr>
          </w:p>
        </w:tc>
        <w:tc>
          <w:tcPr>
            <w:tcW w:w="937" w:type="pct"/>
            <w:vMerge w:val="continue"/>
            <w:vAlign w:val="center"/>
          </w:tcPr>
          <w:p>
            <w:pPr>
              <w:ind w:firstLine="480" w:firstLineChars="200"/>
              <w:jc w:val="center"/>
              <w:rPr>
                <w:color w:val="auto"/>
                <w:sz w:val="24"/>
                <w:szCs w:val="24"/>
                <w:highlight w:val="none"/>
              </w:rPr>
            </w:pPr>
          </w:p>
        </w:tc>
        <w:tc>
          <w:tcPr>
            <w:tcW w:w="2310" w:type="pct"/>
            <w:vAlign w:val="center"/>
          </w:tcPr>
          <w:p>
            <w:pPr>
              <w:spacing w:line="400" w:lineRule="exact"/>
              <w:jc w:val="center"/>
              <w:rPr>
                <w:b w:val="0"/>
                <w:bCs w:val="0"/>
                <w:color w:val="auto"/>
                <w:sz w:val="24"/>
                <w:szCs w:val="24"/>
                <w:highlight w:val="none"/>
                <w:lang w:val="en-US"/>
              </w:rPr>
            </w:pPr>
            <w:r>
              <w:rPr>
                <w:rFonts w:hint="eastAsia" w:ascii="宋体" w:hAnsi="宋体"/>
                <w:b w:val="0"/>
                <w:bCs w:val="0"/>
                <w:color w:val="auto"/>
                <w:sz w:val="24"/>
                <w:highlight w:val="none"/>
              </w:rPr>
              <w:t>售后服务</w:t>
            </w:r>
          </w:p>
        </w:tc>
        <w:tc>
          <w:tcPr>
            <w:tcW w:w="2436" w:type="dxa"/>
            <w:vAlign w:val="center"/>
          </w:tcPr>
          <w:p>
            <w:pPr>
              <w:jc w:val="center"/>
              <w:rPr>
                <w:color w:val="auto"/>
                <w:sz w:val="24"/>
                <w:szCs w:val="24"/>
                <w:highlight w:val="none"/>
                <w:lang w:val="en-US"/>
              </w:rPr>
            </w:pPr>
            <w:r>
              <w:rPr>
                <w:rFonts w:hint="eastAsia"/>
                <w:color w:val="auto"/>
                <w:sz w:val="24"/>
                <w:szCs w:val="24"/>
                <w:highlight w:val="none"/>
                <w:lang w:val="en-US" w:eastAsia="zh-CN"/>
              </w:rPr>
              <w:t>5</w:t>
            </w:r>
            <w:r>
              <w:rPr>
                <w:rFonts w:hint="eastAsia"/>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pPr>
              <w:jc w:val="center"/>
              <w:rPr>
                <w:color w:val="auto"/>
                <w:sz w:val="24"/>
                <w:szCs w:val="24"/>
                <w:highlight w:val="none"/>
              </w:rPr>
            </w:pPr>
          </w:p>
        </w:tc>
        <w:tc>
          <w:tcPr>
            <w:tcW w:w="937" w:type="pct"/>
            <w:vMerge w:val="continue"/>
            <w:vAlign w:val="center"/>
          </w:tcPr>
          <w:p>
            <w:pPr>
              <w:ind w:firstLine="480" w:firstLineChars="200"/>
              <w:jc w:val="center"/>
              <w:rPr>
                <w:color w:val="auto"/>
                <w:sz w:val="24"/>
                <w:szCs w:val="24"/>
                <w:highlight w:val="none"/>
              </w:rPr>
            </w:pPr>
          </w:p>
        </w:tc>
        <w:tc>
          <w:tcPr>
            <w:tcW w:w="2310" w:type="pct"/>
            <w:vAlign w:val="center"/>
          </w:tcPr>
          <w:p>
            <w:pPr>
              <w:spacing w:line="400" w:lineRule="exact"/>
              <w:jc w:val="center"/>
              <w:rPr>
                <w:b w:val="0"/>
                <w:bCs w:val="0"/>
                <w:color w:val="auto"/>
                <w:sz w:val="24"/>
                <w:szCs w:val="24"/>
                <w:highlight w:val="none"/>
                <w:lang w:val="en-US"/>
              </w:rPr>
            </w:pPr>
            <w:r>
              <w:rPr>
                <w:rFonts w:hint="eastAsia" w:ascii="宋体" w:hAnsi="宋体"/>
                <w:b w:val="0"/>
                <w:bCs w:val="0"/>
                <w:color w:val="auto"/>
                <w:sz w:val="24"/>
                <w:highlight w:val="none"/>
              </w:rPr>
              <w:t>培训</w:t>
            </w:r>
          </w:p>
        </w:tc>
        <w:tc>
          <w:tcPr>
            <w:tcW w:w="2436" w:type="dxa"/>
            <w:vAlign w:val="center"/>
          </w:tcPr>
          <w:p>
            <w:pPr>
              <w:jc w:val="center"/>
              <w:rPr>
                <w:rFonts w:hint="eastAsia"/>
                <w:color w:val="auto"/>
                <w:sz w:val="24"/>
                <w:szCs w:val="24"/>
                <w:highlight w:val="none"/>
                <w:lang w:val="en-US" w:eastAsia="zh-CN"/>
              </w:rPr>
            </w:pPr>
            <w:r>
              <w:rPr>
                <w:rFonts w:hint="eastAsia"/>
                <w:color w:val="auto"/>
                <w:sz w:val="24"/>
                <w:szCs w:val="24"/>
                <w:highlight w:val="none"/>
                <w:lang w:val="en-US" w:eastAsia="zh-CN"/>
              </w:rPr>
              <w:t>4</w:t>
            </w:r>
            <w:r>
              <w:rPr>
                <w:rFonts w:hint="eastAsia"/>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pPr>
              <w:jc w:val="center"/>
              <w:rPr>
                <w:color w:val="auto"/>
                <w:sz w:val="24"/>
                <w:szCs w:val="24"/>
                <w:highlight w:val="none"/>
              </w:rPr>
            </w:pPr>
          </w:p>
        </w:tc>
        <w:tc>
          <w:tcPr>
            <w:tcW w:w="937" w:type="pct"/>
            <w:vMerge w:val="continue"/>
            <w:vAlign w:val="center"/>
          </w:tcPr>
          <w:p>
            <w:pPr>
              <w:ind w:firstLine="480" w:firstLineChars="200"/>
              <w:jc w:val="center"/>
              <w:rPr>
                <w:color w:val="auto"/>
                <w:sz w:val="24"/>
                <w:szCs w:val="24"/>
                <w:highlight w:val="none"/>
              </w:rPr>
            </w:pPr>
          </w:p>
        </w:tc>
        <w:tc>
          <w:tcPr>
            <w:tcW w:w="2310" w:type="pct"/>
            <w:vAlign w:val="center"/>
          </w:tcPr>
          <w:p>
            <w:pPr>
              <w:pStyle w:val="8"/>
              <w:ind w:left="0" w:leftChars="0" w:firstLine="0" w:firstLineChars="0"/>
              <w:jc w:val="center"/>
              <w:rPr>
                <w:b w:val="0"/>
                <w:bCs w:val="0"/>
                <w:color w:val="auto"/>
                <w:sz w:val="24"/>
                <w:szCs w:val="24"/>
                <w:highlight w:val="none"/>
                <w:lang w:val="en-US"/>
              </w:rPr>
            </w:pPr>
            <w:r>
              <w:rPr>
                <w:rFonts w:hint="eastAsia"/>
                <w:color w:val="auto"/>
                <w:highlight w:val="none"/>
                <w:lang w:val="en-US" w:eastAsia="zh-CN"/>
              </w:rPr>
              <w:t>企业实力</w:t>
            </w:r>
          </w:p>
        </w:tc>
        <w:tc>
          <w:tcPr>
            <w:tcW w:w="2436" w:type="dxa"/>
            <w:vAlign w:val="center"/>
          </w:tcPr>
          <w:p>
            <w:pPr>
              <w:jc w:val="center"/>
              <w:rPr>
                <w:rFonts w:hint="eastAsia"/>
                <w:color w:val="auto"/>
                <w:sz w:val="24"/>
                <w:szCs w:val="24"/>
                <w:highlight w:val="none"/>
                <w:lang w:val="en-US" w:eastAsia="zh-CN"/>
              </w:rPr>
            </w:pPr>
            <w:r>
              <w:rPr>
                <w:rFonts w:hint="eastAsia"/>
                <w:color w:val="auto"/>
                <w:sz w:val="24"/>
                <w:szCs w:val="24"/>
                <w:highlight w:val="none"/>
                <w:lang w:val="en-US" w:eastAsia="zh-CN"/>
              </w:rPr>
              <w:t>6</w:t>
            </w:r>
            <w:r>
              <w:rPr>
                <w:rFonts w:hint="eastAsia"/>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1" w:type="pct"/>
            <w:vAlign w:val="center"/>
          </w:tcPr>
          <w:p>
            <w:pPr>
              <w:rPr>
                <w:color w:val="auto"/>
                <w:highlight w:val="none"/>
              </w:rPr>
            </w:pPr>
            <w:r>
              <w:rPr>
                <w:rFonts w:hint="eastAsia"/>
                <w:b/>
                <w:bCs/>
                <w:color w:val="auto"/>
                <w:sz w:val="24"/>
                <w:szCs w:val="24"/>
                <w:highlight w:val="none"/>
                <w:lang w:val="zh-CN" w:eastAsia="zh-CN"/>
              </w:rPr>
              <w:t>条款号</w:t>
            </w:r>
          </w:p>
        </w:tc>
        <w:tc>
          <w:tcPr>
            <w:tcW w:w="937" w:type="pct"/>
            <w:vAlign w:val="center"/>
          </w:tcPr>
          <w:p>
            <w:pPr>
              <w:pStyle w:val="34"/>
              <w:spacing w:before="159" w:line="240" w:lineRule="auto"/>
              <w:ind w:right="-15"/>
              <w:jc w:val="center"/>
              <w:rPr>
                <w:color w:val="auto"/>
                <w:sz w:val="24"/>
                <w:szCs w:val="24"/>
                <w:highlight w:val="none"/>
              </w:rPr>
            </w:pPr>
            <w:r>
              <w:rPr>
                <w:rFonts w:hint="eastAsia"/>
                <w:b/>
                <w:color w:val="auto"/>
                <w:spacing w:val="-4"/>
                <w:sz w:val="24"/>
                <w:szCs w:val="24"/>
                <w:highlight w:val="none"/>
              </w:rPr>
              <w:t>评分因素</w:t>
            </w:r>
          </w:p>
        </w:tc>
        <w:tc>
          <w:tcPr>
            <w:tcW w:w="3561" w:type="pct"/>
            <w:gridSpan w:val="2"/>
            <w:vAlign w:val="center"/>
          </w:tcPr>
          <w:p>
            <w:pPr>
              <w:pStyle w:val="34"/>
              <w:spacing w:before="159" w:line="340" w:lineRule="exact"/>
              <w:ind w:left="108"/>
              <w:jc w:val="center"/>
              <w:rPr>
                <w:color w:val="auto"/>
                <w:sz w:val="24"/>
                <w:szCs w:val="24"/>
                <w:highlight w:val="none"/>
                <w:lang w:val="en-US"/>
              </w:rPr>
            </w:pPr>
            <w:r>
              <w:rPr>
                <w:rFonts w:hint="eastAsia"/>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501" w:type="pct"/>
            <w:vAlign w:val="center"/>
          </w:tcPr>
          <w:p>
            <w:pPr>
              <w:pStyle w:val="3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1.1</w:t>
            </w:r>
          </w:p>
        </w:tc>
        <w:tc>
          <w:tcPr>
            <w:tcW w:w="937" w:type="pct"/>
            <w:vAlign w:val="center"/>
          </w:tcPr>
          <w:p>
            <w:pPr>
              <w:pStyle w:val="34"/>
              <w:keepNext w:val="0"/>
              <w:keepLines w:val="0"/>
              <w:pageBreakBefore w:val="0"/>
              <w:widowControl w:val="0"/>
              <w:kinsoku/>
              <w:wordWrap/>
              <w:overflowPunct/>
              <w:topLinePunct w:val="0"/>
              <w:autoSpaceDE w:val="0"/>
              <w:autoSpaceDN w:val="0"/>
              <w:bidi w:val="0"/>
              <w:adjustRightInd/>
              <w:snapToGrid/>
              <w:spacing w:before="110" w:line="240" w:lineRule="auto"/>
              <w:ind w:left="108" w:right="244"/>
              <w:jc w:val="center"/>
              <w:textAlignment w:val="auto"/>
              <w:rPr>
                <w:b w:val="0"/>
                <w:bCs w:val="0"/>
                <w:color w:val="auto"/>
                <w:spacing w:val="-5"/>
                <w:sz w:val="24"/>
                <w:szCs w:val="24"/>
                <w:highlight w:val="none"/>
              </w:rPr>
            </w:pPr>
            <w:r>
              <w:rPr>
                <w:rFonts w:hint="eastAsia"/>
                <w:b w:val="0"/>
                <w:bCs w:val="0"/>
                <w:color w:val="auto"/>
                <w:spacing w:val="-5"/>
                <w:sz w:val="24"/>
                <w:szCs w:val="24"/>
                <w:highlight w:val="none"/>
              </w:rPr>
              <w:t>投标报价</w:t>
            </w:r>
          </w:p>
          <w:p>
            <w:pPr>
              <w:pStyle w:val="34"/>
              <w:keepNext w:val="0"/>
              <w:keepLines w:val="0"/>
              <w:pageBreakBefore w:val="0"/>
              <w:widowControl w:val="0"/>
              <w:kinsoku/>
              <w:wordWrap/>
              <w:overflowPunct/>
              <w:topLinePunct w:val="0"/>
              <w:autoSpaceDE w:val="0"/>
              <w:autoSpaceDN w:val="0"/>
              <w:bidi w:val="0"/>
              <w:adjustRightInd/>
              <w:snapToGrid/>
              <w:spacing w:before="110" w:line="240" w:lineRule="auto"/>
              <w:ind w:left="108" w:right="244"/>
              <w:jc w:val="center"/>
              <w:textAlignment w:val="auto"/>
              <w:rPr>
                <w:b w:val="0"/>
                <w:bCs w:val="0"/>
                <w:color w:val="auto"/>
                <w:sz w:val="24"/>
                <w:szCs w:val="24"/>
                <w:highlight w:val="none"/>
              </w:rPr>
            </w:pPr>
            <w:r>
              <w:rPr>
                <w:rFonts w:hint="eastAsia"/>
                <w:b w:val="0"/>
                <w:bCs w:val="0"/>
                <w:color w:val="auto"/>
                <w:spacing w:val="-5"/>
                <w:sz w:val="24"/>
                <w:szCs w:val="24"/>
                <w:highlight w:val="none"/>
              </w:rPr>
              <w:t>（</w:t>
            </w:r>
            <w:r>
              <w:rPr>
                <w:rFonts w:hint="eastAsia"/>
                <w:b w:val="0"/>
                <w:bCs w:val="0"/>
                <w:color w:val="auto"/>
                <w:spacing w:val="-5"/>
                <w:sz w:val="24"/>
                <w:szCs w:val="24"/>
                <w:highlight w:val="none"/>
                <w:lang w:val="en-US" w:eastAsia="zh-CN"/>
              </w:rPr>
              <w:t>2</w:t>
            </w:r>
            <w:r>
              <w:rPr>
                <w:rFonts w:hint="eastAsia"/>
                <w:b w:val="0"/>
                <w:bCs w:val="0"/>
                <w:color w:val="auto"/>
                <w:spacing w:val="-5"/>
                <w:sz w:val="24"/>
                <w:szCs w:val="24"/>
                <w:highlight w:val="none"/>
              </w:rPr>
              <w:t>0分）</w:t>
            </w:r>
          </w:p>
        </w:tc>
        <w:tc>
          <w:tcPr>
            <w:tcW w:w="3561" w:type="pct"/>
            <w:gridSpan w:val="2"/>
            <w:vAlign w:val="center"/>
          </w:tcPr>
          <w:p>
            <w:pPr>
              <w:keepNext w:val="0"/>
              <w:keepLines w:val="0"/>
              <w:pageBreakBefore w:val="0"/>
              <w:widowControl w:val="0"/>
              <w:tabs>
                <w:tab w:val="left" w:pos="540"/>
              </w:tabs>
              <w:kinsoku/>
              <w:wordWrap/>
              <w:overflowPunct/>
              <w:topLinePunct w:val="0"/>
              <w:autoSpaceDE w:val="0"/>
              <w:autoSpaceDN w:val="0"/>
              <w:bidi w:val="0"/>
              <w:adjustRightInd/>
              <w:snapToGrid/>
              <w:spacing w:line="288" w:lineRule="auto"/>
              <w:ind w:right="110" w:righ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文件要求且</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价格最低的报价为评标基准价，其价格分为</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分。其他</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rPr>
              <w:t>的价格分统一按照下列公式计算：</w:t>
            </w:r>
          </w:p>
          <w:p>
            <w:pPr>
              <w:keepNext w:val="0"/>
              <w:keepLines w:val="0"/>
              <w:pageBreakBefore w:val="0"/>
              <w:widowControl w:val="0"/>
              <w:tabs>
                <w:tab w:val="left" w:pos="540"/>
              </w:tabs>
              <w:kinsoku/>
              <w:wordWrap/>
              <w:overflowPunct/>
              <w:topLinePunct w:val="0"/>
              <w:autoSpaceDE w:val="0"/>
              <w:autoSpaceDN w:val="0"/>
              <w:bidi w:val="0"/>
              <w:adjustRightInd/>
              <w:snapToGrid/>
              <w:spacing w:line="288" w:lineRule="auto"/>
              <w:ind w:right="110" w:righ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价格分=(评标基准价／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 xml:space="preserve">报价)×报价分值  </w:t>
            </w:r>
          </w:p>
          <w:p>
            <w:pPr>
              <w:pStyle w:val="34"/>
              <w:keepNext w:val="0"/>
              <w:keepLines w:val="0"/>
              <w:pageBreakBefore w:val="0"/>
              <w:widowControl w:val="0"/>
              <w:kinsoku/>
              <w:wordWrap/>
              <w:overflowPunct/>
              <w:topLinePunct w:val="0"/>
              <w:autoSpaceDE w:val="0"/>
              <w:autoSpaceDN w:val="0"/>
              <w:bidi w:val="0"/>
              <w:adjustRightInd/>
              <w:snapToGrid/>
              <w:spacing w:before="109" w:line="288" w:lineRule="auto"/>
              <w:ind w:left="108" w:right="9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注：计算分数时四舍五入取小数点后两位；</w:t>
            </w:r>
          </w:p>
          <w:p>
            <w:pPr>
              <w:pStyle w:val="34"/>
              <w:keepNext w:val="0"/>
              <w:keepLines w:val="0"/>
              <w:pageBreakBefore w:val="0"/>
              <w:widowControl w:val="0"/>
              <w:kinsoku/>
              <w:wordWrap/>
              <w:overflowPunct/>
              <w:topLinePunct w:val="0"/>
              <w:autoSpaceDE w:val="0"/>
              <w:autoSpaceDN w:val="0"/>
              <w:bidi w:val="0"/>
              <w:adjustRightInd/>
              <w:snapToGrid/>
              <w:spacing w:before="109" w:line="288" w:lineRule="auto"/>
              <w:ind w:left="108" w:right="91"/>
              <w:textAlignment w:val="auto"/>
              <w:rPr>
                <w:color w:val="auto"/>
                <w:spacing w:val="-4"/>
                <w:sz w:val="24"/>
                <w:szCs w:val="24"/>
                <w:highlight w:val="none"/>
                <w:lang w:val="en-US"/>
              </w:rPr>
            </w:pPr>
            <w:r>
              <w:rPr>
                <w:rFonts w:hint="eastAsia"/>
                <w:b/>
                <w:bCs/>
                <w:color w:val="auto"/>
                <w:spacing w:val="-4"/>
                <w:sz w:val="24"/>
                <w:szCs w:val="24"/>
                <w:highlight w:val="none"/>
                <w:lang w:val="en-US"/>
              </w:rPr>
              <w:t>本项目为专门面向中小企业，故不进行价格折扣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01" w:type="pct"/>
            <w:vAlign w:val="center"/>
          </w:tcPr>
          <w:p>
            <w:pPr>
              <w:pStyle w:val="34"/>
              <w:keepNext w:val="0"/>
              <w:keepLines w:val="0"/>
              <w:pageBreakBefore w:val="0"/>
              <w:widowControl w:val="0"/>
              <w:kinsoku/>
              <w:wordWrap/>
              <w:overflowPunct/>
              <w:topLinePunct w:val="0"/>
              <w:bidi w:val="0"/>
              <w:adjustRightInd/>
              <w:snapToGrid/>
              <w:spacing w:line="312"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1.2</w:t>
            </w:r>
          </w:p>
        </w:tc>
        <w:tc>
          <w:tcPr>
            <w:tcW w:w="937" w:type="pct"/>
            <w:vAlign w:val="center"/>
          </w:tcPr>
          <w:p>
            <w:pPr>
              <w:pStyle w:val="34"/>
              <w:keepNext w:val="0"/>
              <w:keepLines w:val="0"/>
              <w:pageBreakBefore w:val="0"/>
              <w:widowControl w:val="0"/>
              <w:kinsoku/>
              <w:wordWrap/>
              <w:overflowPunct/>
              <w:topLinePunct w:val="0"/>
              <w:bidi w:val="0"/>
              <w:adjustRightInd/>
              <w:snapToGrid/>
              <w:spacing w:before="110" w:line="312" w:lineRule="auto"/>
              <w:ind w:left="108" w:right="244"/>
              <w:jc w:val="center"/>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建设方案</w:t>
            </w:r>
          </w:p>
          <w:p>
            <w:pPr>
              <w:pStyle w:val="34"/>
              <w:keepNext w:val="0"/>
              <w:keepLines w:val="0"/>
              <w:pageBreakBefore w:val="0"/>
              <w:widowControl w:val="0"/>
              <w:kinsoku/>
              <w:wordWrap/>
              <w:overflowPunct/>
              <w:topLinePunct w:val="0"/>
              <w:bidi w:val="0"/>
              <w:adjustRightInd/>
              <w:snapToGrid/>
              <w:spacing w:before="110" w:line="312" w:lineRule="auto"/>
              <w:ind w:left="108" w:right="244"/>
              <w:jc w:val="center"/>
              <w:textAlignment w:val="auto"/>
              <w:rPr>
                <w:b w:val="0"/>
                <w:bCs w:val="0"/>
                <w:color w:val="auto"/>
                <w:spacing w:val="-5"/>
                <w:sz w:val="24"/>
                <w:szCs w:val="24"/>
                <w:highlight w:val="none"/>
              </w:rPr>
            </w:pPr>
            <w:r>
              <w:rPr>
                <w:rFonts w:hint="eastAsia"/>
                <w:b w:val="0"/>
                <w:bCs w:val="0"/>
                <w:color w:val="auto"/>
                <w:spacing w:val="-5"/>
                <w:sz w:val="24"/>
                <w:szCs w:val="24"/>
                <w:highlight w:val="none"/>
              </w:rPr>
              <w:t>（</w:t>
            </w:r>
            <w:r>
              <w:rPr>
                <w:rFonts w:hint="eastAsia"/>
                <w:b w:val="0"/>
                <w:bCs w:val="0"/>
                <w:color w:val="auto"/>
                <w:spacing w:val="-5"/>
                <w:sz w:val="24"/>
                <w:szCs w:val="24"/>
                <w:highlight w:val="none"/>
                <w:lang w:val="en-US" w:eastAsia="zh-CN"/>
              </w:rPr>
              <w:t>55</w:t>
            </w:r>
            <w:r>
              <w:rPr>
                <w:rFonts w:hint="eastAsia"/>
                <w:b w:val="0"/>
                <w:bCs w:val="0"/>
                <w:color w:val="auto"/>
                <w:spacing w:val="-5"/>
                <w:sz w:val="24"/>
                <w:szCs w:val="24"/>
                <w:highlight w:val="none"/>
              </w:rPr>
              <w:t>分）</w:t>
            </w:r>
          </w:p>
        </w:tc>
        <w:tc>
          <w:tcPr>
            <w:tcW w:w="6936" w:type="dxa"/>
            <w:gridSpan w:val="2"/>
            <w:vAlign w:val="top"/>
          </w:tcPr>
          <w:p>
            <w:pPr>
              <w:pStyle w:val="33"/>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97" w:rightChars="-44"/>
              <w:textAlignment w:val="auto"/>
              <w:rPr>
                <w:rFonts w:hint="eastAsia" w:ascii="宋体" w:hAnsi="宋体"/>
                <w:color w:val="auto"/>
                <w:sz w:val="24"/>
                <w:highlight w:val="none"/>
              </w:rPr>
            </w:pPr>
            <w:r>
              <w:rPr>
                <w:rFonts w:hint="eastAsia"/>
                <w:color w:val="auto"/>
                <w:sz w:val="24"/>
                <w:highlight w:val="none"/>
                <w:lang w:val="en-US" w:eastAsia="zh-CN"/>
              </w:rPr>
              <w:t>1、</w:t>
            </w:r>
            <w:r>
              <w:rPr>
                <w:rFonts w:hint="eastAsia" w:ascii="宋体" w:hAnsi="宋体"/>
                <w:color w:val="auto"/>
                <w:sz w:val="24"/>
                <w:highlight w:val="none"/>
              </w:rPr>
              <w:t>对本项目的要求理解深刻，设计思路及大纲表述清晰。横向比较在0</w:t>
            </w:r>
            <w:r>
              <w:rPr>
                <w:rFonts w:hint="eastAsia"/>
                <w:color w:val="auto"/>
                <w:sz w:val="24"/>
                <w:highlight w:val="none"/>
                <w:lang w:val="en-US" w:eastAsia="zh-CN"/>
              </w:rPr>
              <w:t>-10</w:t>
            </w:r>
            <w:r>
              <w:rPr>
                <w:rFonts w:hint="eastAsia" w:ascii="宋体" w:hAnsi="宋体"/>
                <w:color w:val="auto"/>
                <w:sz w:val="24"/>
                <w:highlight w:val="none"/>
              </w:rPr>
              <w:t>分间差别赋分；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97" w:rightChars="-44"/>
              <w:textAlignment w:val="auto"/>
              <w:rPr>
                <w:rFonts w:hint="eastAsia" w:ascii="宋体" w:hAnsi="宋体"/>
                <w:color w:val="auto"/>
                <w:sz w:val="24"/>
                <w:highlight w:val="none"/>
              </w:rPr>
            </w:pPr>
            <w:r>
              <w:rPr>
                <w:rFonts w:hint="eastAsia" w:ascii="宋体" w:hAnsi="宋体"/>
                <w:color w:val="auto"/>
                <w:sz w:val="24"/>
                <w:highlight w:val="none"/>
              </w:rPr>
              <w:t>2、总体设计需符合招标文件要求，突出重点，注重体验、操作和扩展。横向比较在0-</w:t>
            </w:r>
            <w:r>
              <w:rPr>
                <w:rFonts w:hint="eastAsia"/>
                <w:color w:val="auto"/>
                <w:sz w:val="24"/>
                <w:highlight w:val="none"/>
                <w:lang w:val="en-US" w:eastAsia="zh-CN"/>
              </w:rPr>
              <w:t>10</w:t>
            </w:r>
            <w:r>
              <w:rPr>
                <w:rFonts w:hint="eastAsia" w:ascii="宋体" w:hAnsi="宋体"/>
                <w:color w:val="auto"/>
                <w:sz w:val="24"/>
                <w:highlight w:val="none"/>
              </w:rPr>
              <w:t>分间差别赋分；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97" w:rightChars="-44"/>
              <w:textAlignment w:val="auto"/>
              <w:rPr>
                <w:rFonts w:hint="eastAsia" w:ascii="宋体" w:hAnsi="宋体"/>
                <w:color w:val="auto"/>
                <w:sz w:val="24"/>
                <w:highlight w:val="none"/>
              </w:rPr>
            </w:pPr>
            <w:r>
              <w:rPr>
                <w:rFonts w:hint="eastAsia" w:ascii="宋体" w:hAnsi="宋体"/>
                <w:color w:val="auto"/>
                <w:sz w:val="24"/>
                <w:highlight w:val="none"/>
              </w:rPr>
              <w:t>3、系统建设方案总体设计、技术架构合理先进，功能设计符合招标要求，接口完整，</w:t>
            </w:r>
            <w:r>
              <w:rPr>
                <w:rFonts w:hint="eastAsia"/>
                <w:color w:val="auto"/>
                <w:sz w:val="24"/>
                <w:highlight w:val="none"/>
                <w:lang w:val="en-US" w:eastAsia="zh-CN"/>
              </w:rPr>
              <w:t>需与原系统完全兼容，</w:t>
            </w:r>
            <w:r>
              <w:rPr>
                <w:rFonts w:hint="eastAsia" w:ascii="宋体" w:hAnsi="宋体"/>
                <w:color w:val="auto"/>
                <w:sz w:val="24"/>
                <w:highlight w:val="none"/>
              </w:rPr>
              <w:t>方便向下级单位或部门延伸。横向比较在0-</w:t>
            </w:r>
            <w:r>
              <w:rPr>
                <w:rFonts w:hint="eastAsia"/>
                <w:color w:val="auto"/>
                <w:sz w:val="24"/>
                <w:highlight w:val="none"/>
                <w:lang w:val="en-US" w:eastAsia="zh-CN"/>
              </w:rPr>
              <w:t>15</w:t>
            </w:r>
            <w:r>
              <w:rPr>
                <w:rFonts w:hint="eastAsia" w:ascii="宋体" w:hAnsi="宋体"/>
                <w:color w:val="auto"/>
                <w:sz w:val="24"/>
                <w:highlight w:val="none"/>
              </w:rPr>
              <w:t>分间差别赋分；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97" w:rightChars="-44"/>
              <w:textAlignment w:val="auto"/>
              <w:rPr>
                <w:rFonts w:hint="default" w:ascii="宋体" w:hAnsi="宋体" w:eastAsia="宋体"/>
                <w:color w:val="auto"/>
                <w:sz w:val="24"/>
                <w:highlight w:val="none"/>
                <w:lang w:val="en-US" w:eastAsia="zh-CN"/>
              </w:rPr>
            </w:pPr>
            <w:r>
              <w:rPr>
                <w:rFonts w:hint="eastAsia"/>
                <w:color w:val="auto"/>
                <w:sz w:val="24"/>
                <w:highlight w:val="none"/>
                <w:lang w:val="en-US" w:eastAsia="zh-CN"/>
              </w:rPr>
              <w:t>4、开标现场系统开发模块部分支持现场系统演示，</w:t>
            </w:r>
            <w:r>
              <w:rPr>
                <w:rFonts w:hint="eastAsia" w:ascii="宋体" w:hAnsi="宋体"/>
                <w:color w:val="auto"/>
                <w:sz w:val="24"/>
                <w:highlight w:val="none"/>
              </w:rPr>
              <w:t>横向比较在0-</w:t>
            </w:r>
            <w:r>
              <w:rPr>
                <w:rFonts w:hint="eastAsia"/>
                <w:color w:val="auto"/>
                <w:sz w:val="24"/>
                <w:highlight w:val="none"/>
                <w:lang w:val="en-US" w:eastAsia="zh-CN"/>
              </w:rPr>
              <w:t>10</w:t>
            </w:r>
            <w:r>
              <w:rPr>
                <w:rFonts w:hint="eastAsia" w:ascii="宋体" w:hAnsi="宋体"/>
                <w:color w:val="auto"/>
                <w:sz w:val="24"/>
                <w:highlight w:val="none"/>
              </w:rPr>
              <w:t>分间差别赋分；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97" w:rightChars="-44"/>
              <w:textAlignment w:val="auto"/>
              <w:rPr>
                <w:rFonts w:hint="eastAsia" w:ascii="宋体" w:hAnsi="宋体"/>
                <w:color w:val="auto"/>
                <w:sz w:val="24"/>
                <w:highlight w:val="none"/>
              </w:rPr>
            </w:pPr>
            <w:r>
              <w:rPr>
                <w:rFonts w:hint="eastAsia"/>
                <w:color w:val="auto"/>
                <w:sz w:val="24"/>
                <w:highlight w:val="none"/>
                <w:lang w:val="en-US" w:eastAsia="zh-CN"/>
              </w:rPr>
              <w:t>5</w:t>
            </w:r>
            <w:r>
              <w:rPr>
                <w:rFonts w:hint="eastAsia" w:ascii="宋体" w:hAnsi="宋体"/>
                <w:color w:val="auto"/>
                <w:sz w:val="24"/>
                <w:highlight w:val="none"/>
              </w:rPr>
              <w:t>、提供详细的信息安全保障措施。横向比较在0-</w:t>
            </w:r>
            <w:r>
              <w:rPr>
                <w:rFonts w:hint="eastAsia"/>
                <w:color w:val="auto"/>
                <w:sz w:val="24"/>
                <w:highlight w:val="none"/>
                <w:lang w:val="en-US" w:eastAsia="zh-CN"/>
              </w:rPr>
              <w:t>5</w:t>
            </w:r>
            <w:r>
              <w:rPr>
                <w:rFonts w:hint="eastAsia" w:ascii="宋体" w:hAnsi="宋体"/>
                <w:color w:val="auto"/>
                <w:sz w:val="24"/>
                <w:highlight w:val="none"/>
              </w:rPr>
              <w:t>分间差别赋分；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97" w:rightChars="-44" w:firstLine="0" w:firstLineChars="0"/>
              <w:textAlignment w:val="auto"/>
              <w:rPr>
                <w:rFonts w:hint="default"/>
                <w:color w:val="auto"/>
                <w:sz w:val="24"/>
                <w:highlight w:val="none"/>
                <w:lang w:val="en-US" w:eastAsia="zh-CN"/>
              </w:rPr>
            </w:pPr>
            <w:r>
              <w:rPr>
                <w:rFonts w:hint="eastAsia"/>
                <w:color w:val="auto"/>
                <w:sz w:val="24"/>
                <w:highlight w:val="none"/>
                <w:lang w:val="en-US" w:eastAsia="zh-CN"/>
              </w:rPr>
              <w:t>6</w:t>
            </w:r>
            <w:r>
              <w:rPr>
                <w:rFonts w:hint="eastAsia" w:ascii="宋体" w:hAnsi="宋体"/>
                <w:color w:val="auto"/>
                <w:sz w:val="24"/>
                <w:highlight w:val="none"/>
              </w:rPr>
              <w:t>、投标人能够针对本项目提供具体、可行的实施方案，包含但不限于实施计划、实施人员、</w:t>
            </w:r>
            <w:r>
              <w:rPr>
                <w:rFonts w:hint="eastAsia"/>
                <w:color w:val="auto"/>
                <w:sz w:val="24"/>
                <w:highlight w:val="none"/>
                <w:lang w:val="en-US" w:eastAsia="zh-CN"/>
              </w:rPr>
              <w:t>政务事项梳理方案、</w:t>
            </w:r>
            <w:r>
              <w:rPr>
                <w:rFonts w:hint="eastAsia" w:ascii="宋体" w:hAnsi="宋体"/>
                <w:color w:val="auto"/>
                <w:sz w:val="24"/>
                <w:highlight w:val="none"/>
              </w:rPr>
              <w:t>实施标准及相关应急措施等。由评标委员会综合比较打分，</w:t>
            </w:r>
            <w:r>
              <w:rPr>
                <w:rFonts w:hint="eastAsia"/>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01" w:type="pct"/>
            <w:vAlign w:val="center"/>
          </w:tcPr>
          <w:p>
            <w:pPr>
              <w:pStyle w:val="34"/>
              <w:spacing w:line="360" w:lineRule="exact"/>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1.3</w:t>
            </w:r>
          </w:p>
        </w:tc>
        <w:tc>
          <w:tcPr>
            <w:tcW w:w="937" w:type="pct"/>
            <w:vAlign w:val="center"/>
          </w:tcPr>
          <w:p>
            <w:pPr>
              <w:kinsoku w:val="0"/>
              <w:spacing w:line="40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项目保障</w:t>
            </w:r>
          </w:p>
          <w:p>
            <w:pPr>
              <w:kinsoku w:val="0"/>
              <w:spacing w:line="400" w:lineRule="exact"/>
              <w:jc w:val="center"/>
              <w:rPr>
                <w:rFonts w:hint="eastAsia" w:ascii="宋体" w:hAnsi="宋体" w:eastAsia="仿宋" w:cs="宋体"/>
                <w:b w:val="0"/>
                <w:bCs/>
                <w:color w:val="auto"/>
                <w:sz w:val="24"/>
                <w:szCs w:val="22"/>
                <w:highlight w:val="none"/>
                <w:lang w:val="zh-CN" w:eastAsia="zh-CN" w:bidi="zh-CN"/>
              </w:rPr>
            </w:pPr>
            <w:r>
              <w:rPr>
                <w:rFonts w:hint="eastAsia" w:ascii="宋体" w:hAnsi="宋体"/>
                <w:b w:val="0"/>
                <w:bCs/>
                <w:color w:val="auto"/>
                <w:sz w:val="24"/>
                <w:highlight w:val="none"/>
              </w:rPr>
              <w:t>措施（1</w:t>
            </w:r>
            <w:r>
              <w:rPr>
                <w:rFonts w:hint="eastAsia" w:ascii="宋体" w:hAnsi="宋体"/>
                <w:b w:val="0"/>
                <w:bCs/>
                <w:color w:val="auto"/>
                <w:sz w:val="24"/>
                <w:highlight w:val="none"/>
                <w:lang w:val="en-US" w:eastAsia="zh-CN"/>
              </w:rPr>
              <w:t>0</w:t>
            </w:r>
            <w:r>
              <w:rPr>
                <w:rFonts w:hint="eastAsia" w:ascii="宋体" w:hAnsi="宋体"/>
                <w:b w:val="0"/>
                <w:bCs/>
                <w:color w:val="auto"/>
                <w:sz w:val="24"/>
                <w:highlight w:val="none"/>
              </w:rPr>
              <w:t>）</w:t>
            </w:r>
          </w:p>
        </w:tc>
        <w:tc>
          <w:tcPr>
            <w:tcW w:w="3561" w:type="pct"/>
            <w:gridSpan w:val="2"/>
            <w:vAlign w:val="center"/>
          </w:tcPr>
          <w:p>
            <w:pPr>
              <w:kinsoku w:val="0"/>
              <w:spacing w:line="400" w:lineRule="exact"/>
              <w:rPr>
                <w:rFonts w:hint="eastAsia" w:ascii="宋体" w:hAnsi="宋体" w:eastAsia="宋体" w:cs="宋体"/>
                <w:color w:val="auto"/>
                <w:sz w:val="24"/>
                <w:szCs w:val="22"/>
                <w:highlight w:val="none"/>
                <w:lang w:val="en-US" w:eastAsia="zh-CN" w:bidi="zh-CN"/>
              </w:rPr>
            </w:pPr>
            <w:r>
              <w:rPr>
                <w:rFonts w:hint="eastAsia" w:ascii="宋体" w:hAnsi="宋体"/>
                <w:color w:val="auto"/>
                <w:sz w:val="24"/>
                <w:highlight w:val="none"/>
              </w:rPr>
              <w:t>投标人能够针对</w:t>
            </w:r>
            <w:r>
              <w:rPr>
                <w:rFonts w:hint="eastAsia" w:ascii="宋体" w:hAnsi="宋体"/>
                <w:color w:val="auto"/>
                <w:sz w:val="24"/>
                <w:highlight w:val="none"/>
                <w:lang w:val="en-US" w:eastAsia="zh-CN"/>
              </w:rPr>
              <w:t>本</w:t>
            </w:r>
            <w:r>
              <w:rPr>
                <w:rFonts w:hint="eastAsia" w:ascii="宋体" w:hAnsi="宋体"/>
                <w:color w:val="auto"/>
                <w:sz w:val="24"/>
                <w:highlight w:val="none"/>
              </w:rPr>
              <w:t>项目提供具体可行的保障措施，包含但不限于产品质量保障、进度保障、实施质量保障、安全保障等。由评标委员会综合比较打分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0-10分</w:t>
            </w:r>
            <w:r>
              <w:rPr>
                <w:rFonts w:hint="eastAsia" w:ascii="宋体" w:hAnsi="宋体"/>
                <w:color w:val="auto"/>
                <w:sz w:val="24"/>
                <w:highlight w:val="none"/>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01" w:type="pct"/>
            <w:vAlign w:val="center"/>
          </w:tcPr>
          <w:p>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1.4</w:t>
            </w:r>
          </w:p>
        </w:tc>
        <w:tc>
          <w:tcPr>
            <w:tcW w:w="937" w:type="pct"/>
            <w:vAlign w:val="center"/>
          </w:tcPr>
          <w:p>
            <w:pPr>
              <w:spacing w:line="400" w:lineRule="exact"/>
              <w:ind w:firstLine="120" w:firstLineChars="50"/>
              <w:jc w:val="center"/>
              <w:rPr>
                <w:rFonts w:hint="eastAsia" w:ascii="宋体" w:hAnsi="宋体"/>
                <w:b w:val="0"/>
                <w:bCs/>
                <w:color w:val="auto"/>
                <w:sz w:val="24"/>
                <w:highlight w:val="none"/>
              </w:rPr>
            </w:pPr>
            <w:r>
              <w:rPr>
                <w:rFonts w:hint="eastAsia" w:ascii="宋体" w:hAnsi="宋体"/>
                <w:b w:val="0"/>
                <w:bCs/>
                <w:color w:val="auto"/>
                <w:sz w:val="24"/>
                <w:highlight w:val="none"/>
              </w:rPr>
              <w:t>售后服务</w:t>
            </w:r>
          </w:p>
          <w:p>
            <w:pPr>
              <w:spacing w:line="400" w:lineRule="exact"/>
              <w:ind w:firstLine="120" w:firstLineChars="50"/>
              <w:jc w:val="center"/>
              <w:rPr>
                <w:rFonts w:ascii="宋体" w:hAnsi="宋体" w:eastAsia="宋体" w:cs="宋体"/>
                <w:b w:val="0"/>
                <w:bCs/>
                <w:color w:val="auto"/>
                <w:sz w:val="24"/>
                <w:szCs w:val="22"/>
                <w:highlight w:val="none"/>
                <w:lang w:val="zh-CN" w:eastAsia="zh-CN" w:bidi="zh-CN"/>
              </w:rPr>
            </w:pPr>
            <w:r>
              <w:rPr>
                <w:rFonts w:hint="eastAsia" w:ascii="宋体" w:hAnsi="宋体"/>
                <w:b w:val="0"/>
                <w:bCs/>
                <w:color w:val="auto"/>
                <w:sz w:val="24"/>
                <w:highlight w:val="none"/>
              </w:rPr>
              <w:t>（5分）</w:t>
            </w:r>
          </w:p>
        </w:tc>
        <w:tc>
          <w:tcPr>
            <w:tcW w:w="3561" w:type="pct"/>
            <w:gridSpan w:val="2"/>
            <w:vAlign w:val="top"/>
          </w:tcPr>
          <w:p>
            <w:pPr>
              <w:kinsoku w:val="0"/>
              <w:spacing w:line="400" w:lineRule="exact"/>
              <w:rPr>
                <w:rFonts w:hint="eastAsia" w:ascii="宋体" w:hAnsi="宋体" w:eastAsia="宋体" w:cs="宋体"/>
                <w:color w:val="auto"/>
                <w:sz w:val="24"/>
                <w:szCs w:val="22"/>
                <w:highlight w:val="none"/>
                <w:lang w:val="zh-CN" w:eastAsia="zh-CN" w:bidi="zh-CN"/>
              </w:rPr>
            </w:pPr>
            <w:r>
              <w:rPr>
                <w:rFonts w:hint="eastAsia" w:ascii="宋体" w:hAnsi="宋体"/>
                <w:color w:val="auto"/>
                <w:sz w:val="24"/>
                <w:highlight w:val="none"/>
              </w:rPr>
              <w:t>投标人能够针对本项目提供详细的售后服务，包含但不限于售后服务团队、售后服务方案、售后服务响应等。由评标委员会综合比较打分，0-5分，未提供得0分。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501" w:type="pct"/>
            <w:vAlign w:val="center"/>
          </w:tcPr>
          <w:p>
            <w:pPr>
              <w:jc w:val="center"/>
              <w:rPr>
                <w:rFonts w:hint="default" w:eastAsia="宋体"/>
                <w:color w:val="auto"/>
                <w:sz w:val="24"/>
                <w:highlight w:val="none"/>
                <w:lang w:val="en-US" w:eastAsia="zh-CN"/>
              </w:rPr>
            </w:pPr>
            <w:r>
              <w:rPr>
                <w:rFonts w:hint="eastAsia"/>
                <w:color w:val="auto"/>
                <w:sz w:val="24"/>
                <w:szCs w:val="24"/>
                <w:highlight w:val="none"/>
                <w:lang w:val="en-US" w:eastAsia="zh-CN"/>
              </w:rPr>
              <w:t>1.5</w:t>
            </w:r>
          </w:p>
        </w:tc>
        <w:tc>
          <w:tcPr>
            <w:tcW w:w="937" w:type="pct"/>
            <w:vAlign w:val="center"/>
          </w:tcPr>
          <w:p>
            <w:pPr>
              <w:spacing w:line="400" w:lineRule="exact"/>
              <w:ind w:firstLine="120" w:firstLineChars="50"/>
              <w:jc w:val="center"/>
              <w:rPr>
                <w:rFonts w:hint="eastAsia" w:ascii="宋体" w:hAnsi="宋体"/>
                <w:b w:val="0"/>
                <w:bCs/>
                <w:color w:val="auto"/>
                <w:sz w:val="24"/>
                <w:highlight w:val="none"/>
              </w:rPr>
            </w:pPr>
            <w:r>
              <w:rPr>
                <w:rFonts w:hint="eastAsia" w:ascii="宋体" w:hAnsi="宋体"/>
                <w:b w:val="0"/>
                <w:bCs/>
                <w:color w:val="auto"/>
                <w:sz w:val="24"/>
                <w:highlight w:val="none"/>
              </w:rPr>
              <w:t>培训</w:t>
            </w:r>
          </w:p>
          <w:p>
            <w:pPr>
              <w:spacing w:line="400" w:lineRule="exact"/>
              <w:ind w:firstLine="120" w:firstLineChars="50"/>
              <w:jc w:val="center"/>
              <w:rPr>
                <w:rFonts w:hint="eastAsia" w:ascii="宋体" w:hAnsi="宋体" w:eastAsia="宋体" w:cs="宋体"/>
                <w:b w:val="0"/>
                <w:bCs/>
                <w:color w:val="auto"/>
                <w:sz w:val="24"/>
                <w:szCs w:val="22"/>
                <w:highlight w:val="none"/>
                <w:lang w:val="en-US" w:eastAsia="zh-CN" w:bidi="zh-CN"/>
              </w:rPr>
            </w:pPr>
            <w:r>
              <w:rPr>
                <w:rFonts w:hint="eastAsia" w:ascii="宋体" w:hAnsi="宋体"/>
                <w:b w:val="0"/>
                <w:bCs/>
                <w:color w:val="auto"/>
                <w:sz w:val="24"/>
                <w:highlight w:val="none"/>
              </w:rPr>
              <w:t>（</w:t>
            </w:r>
            <w:r>
              <w:rPr>
                <w:rFonts w:hint="eastAsia"/>
                <w:b w:val="0"/>
                <w:bCs/>
                <w:color w:val="auto"/>
                <w:sz w:val="24"/>
                <w:highlight w:val="none"/>
                <w:lang w:val="en-US" w:eastAsia="zh-CN"/>
              </w:rPr>
              <w:t>4</w:t>
            </w:r>
            <w:r>
              <w:rPr>
                <w:rFonts w:hint="eastAsia" w:ascii="宋体" w:hAnsi="宋体"/>
                <w:b w:val="0"/>
                <w:bCs/>
                <w:color w:val="auto"/>
                <w:sz w:val="24"/>
                <w:highlight w:val="none"/>
              </w:rPr>
              <w:t>分）</w:t>
            </w:r>
          </w:p>
        </w:tc>
        <w:tc>
          <w:tcPr>
            <w:tcW w:w="3561" w:type="pct"/>
            <w:gridSpan w:val="2"/>
            <w:vAlign w:val="top"/>
          </w:tcPr>
          <w:p>
            <w:pPr>
              <w:kinsoku w:val="0"/>
              <w:spacing w:line="400" w:lineRule="exact"/>
              <w:rPr>
                <w:rFonts w:hint="eastAsia" w:ascii="宋体" w:hAnsi="宋体" w:eastAsia="宋体" w:cs="宋体"/>
                <w:color w:val="auto"/>
                <w:sz w:val="24"/>
                <w:szCs w:val="22"/>
                <w:highlight w:val="none"/>
                <w:lang w:val="en-US" w:eastAsia="zh-CN" w:bidi="zh-CN"/>
              </w:rPr>
            </w:pPr>
            <w:r>
              <w:rPr>
                <w:rFonts w:hint="eastAsia" w:ascii="宋体" w:hAnsi="宋体"/>
                <w:color w:val="auto"/>
                <w:sz w:val="24"/>
                <w:highlight w:val="none"/>
              </w:rPr>
              <w:t>投标人提供详细的培训方案，具有健全的培训机构，丰富的师资力量，可行的培训计划、全面的课程设置。由评标委员会综合比较打分，0-</w:t>
            </w:r>
            <w:r>
              <w:rPr>
                <w:rFonts w:hint="eastAsia"/>
                <w:color w:val="auto"/>
                <w:sz w:val="24"/>
                <w:highlight w:val="none"/>
                <w:lang w:val="en-US" w:eastAsia="zh-CN"/>
              </w:rPr>
              <w:t>4</w:t>
            </w:r>
            <w:r>
              <w:rPr>
                <w:rFonts w:hint="eastAsia" w:ascii="宋体" w:hAnsi="宋体"/>
                <w:color w:val="auto"/>
                <w:sz w:val="24"/>
                <w:highlight w:val="none"/>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01" w:type="pct"/>
            <w:vMerge w:val="restart"/>
            <w:vAlign w:val="center"/>
          </w:tcPr>
          <w:p>
            <w:pPr>
              <w:jc w:val="center"/>
              <w:rPr>
                <w:rFonts w:hint="default"/>
                <w:color w:val="auto"/>
                <w:sz w:val="24"/>
                <w:szCs w:val="24"/>
                <w:highlight w:val="none"/>
                <w:lang w:val="en-US" w:eastAsia="zh-CN"/>
              </w:rPr>
            </w:pPr>
            <w:r>
              <w:rPr>
                <w:rFonts w:hint="eastAsia"/>
                <w:color w:val="auto"/>
                <w:sz w:val="24"/>
                <w:szCs w:val="24"/>
                <w:highlight w:val="none"/>
                <w:lang w:val="en-US" w:eastAsia="zh-CN"/>
              </w:rPr>
              <w:t>1.6</w:t>
            </w:r>
          </w:p>
        </w:tc>
        <w:tc>
          <w:tcPr>
            <w:tcW w:w="937" w:type="pct"/>
            <w:vMerge w:val="restart"/>
            <w:vAlign w:val="center"/>
          </w:tcPr>
          <w:p>
            <w:pPr>
              <w:pStyle w:val="8"/>
              <w:ind w:left="0" w:leftChars="0" w:firstLine="0" w:firstLineChars="0"/>
              <w:jc w:val="center"/>
              <w:rPr>
                <w:rFonts w:hint="eastAsia"/>
                <w:color w:val="auto"/>
                <w:highlight w:val="none"/>
                <w:lang w:val="en-US" w:eastAsia="zh-CN"/>
              </w:rPr>
            </w:pPr>
            <w:r>
              <w:rPr>
                <w:rFonts w:hint="eastAsia"/>
                <w:color w:val="auto"/>
                <w:highlight w:val="none"/>
                <w:lang w:val="en-US" w:eastAsia="zh-CN"/>
              </w:rPr>
              <w:t>企业实力</w:t>
            </w:r>
          </w:p>
          <w:p>
            <w:pPr>
              <w:pStyle w:val="9"/>
              <w:jc w:val="center"/>
              <w:rPr>
                <w:rFonts w:hint="default"/>
                <w:color w:val="auto"/>
                <w:highlight w:val="none"/>
                <w:lang w:val="en-US" w:eastAsia="zh-CN"/>
              </w:rPr>
            </w:pPr>
            <w:r>
              <w:rPr>
                <w:rFonts w:hint="eastAsia"/>
                <w:b w:val="0"/>
                <w:bCs/>
                <w:color w:val="auto"/>
                <w:highlight w:val="none"/>
                <w:lang w:val="en-US" w:eastAsia="zh-CN"/>
              </w:rPr>
              <w:t>（6分）</w:t>
            </w:r>
          </w:p>
        </w:tc>
        <w:tc>
          <w:tcPr>
            <w:tcW w:w="3561" w:type="pct"/>
            <w:gridSpan w:val="2"/>
            <w:vAlign w:val="top"/>
          </w:tcPr>
          <w:p>
            <w:pPr>
              <w:kinsoku w:val="0"/>
              <w:spacing w:line="400" w:lineRule="exact"/>
              <w:rPr>
                <w:rFonts w:hint="eastAsia" w:ascii="宋体" w:hAnsi="宋体"/>
                <w:color w:val="auto"/>
                <w:sz w:val="24"/>
                <w:highlight w:val="none"/>
              </w:rPr>
            </w:pPr>
            <w:r>
              <w:rPr>
                <w:rFonts w:hint="eastAsia" w:ascii="宋体" w:hAnsi="宋体" w:eastAsia="宋体" w:cs="宋体"/>
                <w:color w:val="auto"/>
                <w:sz w:val="24"/>
                <w:highlight w:val="none"/>
              </w:rPr>
              <w:t>提供20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年1月至今已完成的同类项目业绩（以合同</w:t>
            </w:r>
            <w:r>
              <w:rPr>
                <w:rFonts w:hint="eastAsia" w:cs="宋体"/>
                <w:color w:val="auto"/>
                <w:sz w:val="24"/>
                <w:highlight w:val="none"/>
                <w:lang w:val="en-US" w:eastAsia="zh-CN"/>
              </w:rPr>
              <w:t>或中标通知书</w:t>
            </w:r>
            <w:r>
              <w:rPr>
                <w:rFonts w:hint="eastAsia" w:ascii="宋体" w:hAnsi="宋体" w:eastAsia="宋体" w:cs="宋体"/>
                <w:color w:val="auto"/>
                <w:sz w:val="24"/>
                <w:highlight w:val="none"/>
              </w:rPr>
              <w:t>为准），每提供一份得</w:t>
            </w:r>
            <w:r>
              <w:rPr>
                <w:rFonts w:hint="eastAsia" w:cs="宋体"/>
                <w:color w:val="auto"/>
                <w:sz w:val="24"/>
                <w:highlight w:val="none"/>
                <w:lang w:val="en-US" w:eastAsia="zh-CN"/>
              </w:rPr>
              <w:t>2</w:t>
            </w:r>
            <w:r>
              <w:rPr>
                <w:rFonts w:hint="eastAsia" w:ascii="宋体" w:hAnsi="宋体" w:eastAsia="宋体" w:cs="宋体"/>
                <w:color w:val="auto"/>
                <w:sz w:val="24"/>
                <w:highlight w:val="none"/>
              </w:rPr>
              <w:t>分，最高得</w:t>
            </w:r>
            <w:r>
              <w:rPr>
                <w:rFonts w:hint="eastAsia" w:cs="宋体"/>
                <w:color w:val="auto"/>
                <w:sz w:val="24"/>
                <w:highlight w:val="none"/>
                <w:lang w:val="en-US" w:eastAsia="zh-CN"/>
              </w:rPr>
              <w:t>4</w:t>
            </w:r>
            <w:r>
              <w:rPr>
                <w:rFonts w:hint="eastAsia" w:ascii="宋体" w:hAnsi="宋体" w:eastAsia="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1" w:type="pct"/>
            <w:vMerge w:val="continue"/>
            <w:vAlign w:val="center"/>
          </w:tcPr>
          <w:p>
            <w:pPr>
              <w:jc w:val="center"/>
              <w:rPr>
                <w:rFonts w:hint="eastAsia"/>
                <w:color w:val="auto"/>
                <w:sz w:val="24"/>
                <w:szCs w:val="24"/>
                <w:highlight w:val="none"/>
                <w:lang w:val="en-US" w:eastAsia="zh-CN"/>
              </w:rPr>
            </w:pPr>
          </w:p>
        </w:tc>
        <w:tc>
          <w:tcPr>
            <w:tcW w:w="937" w:type="pct"/>
            <w:vMerge w:val="continue"/>
            <w:vAlign w:val="center"/>
          </w:tcPr>
          <w:p>
            <w:pPr>
              <w:pStyle w:val="8"/>
              <w:ind w:left="0" w:leftChars="0" w:firstLine="0" w:firstLineChars="0"/>
              <w:jc w:val="center"/>
              <w:rPr>
                <w:rFonts w:hint="eastAsia" w:ascii="宋体" w:hAnsi="宋体"/>
                <w:b w:val="0"/>
                <w:bCs/>
                <w:color w:val="auto"/>
                <w:sz w:val="24"/>
                <w:highlight w:val="none"/>
              </w:rPr>
            </w:pPr>
          </w:p>
        </w:tc>
        <w:tc>
          <w:tcPr>
            <w:tcW w:w="3561" w:type="pct"/>
            <w:gridSpan w:val="2"/>
            <w:vAlign w:val="top"/>
          </w:tcPr>
          <w:p>
            <w:pPr>
              <w:kinsoku w:val="0"/>
              <w:spacing w:line="400" w:lineRule="exact"/>
              <w:rPr>
                <w:rFonts w:hint="default" w:ascii="宋体" w:hAnsi="宋体" w:eastAsia="宋体" w:cs="宋体"/>
                <w:color w:val="auto"/>
                <w:sz w:val="24"/>
                <w:highlight w:val="none"/>
                <w:lang w:val="en-US"/>
              </w:rPr>
            </w:pPr>
            <w:r>
              <w:rPr>
                <w:rFonts w:hint="eastAsia"/>
                <w:color w:val="auto"/>
                <w:sz w:val="24"/>
                <w:highlight w:val="none"/>
                <w:lang w:val="en-US" w:eastAsia="zh-CN"/>
              </w:rPr>
              <w:t>项目负责人持有PMP或高级工程师证书，得2分。</w:t>
            </w:r>
          </w:p>
        </w:tc>
      </w:tr>
    </w:tbl>
    <w:p>
      <w:pPr>
        <w:pStyle w:val="5"/>
        <w:bidi w:val="0"/>
        <w:rPr>
          <w:rFonts w:hint="eastAsia"/>
        </w:rPr>
      </w:pPr>
      <w:r>
        <w:rPr>
          <w:rFonts w:hint="eastAsia"/>
        </w:rPr>
        <w:t>7.无效投标的认定</w:t>
      </w:r>
    </w:p>
    <w:p>
      <w:pPr>
        <w:pStyle w:val="13"/>
        <w:tabs>
          <w:tab w:val="left" w:pos="60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highlight w:val="none"/>
        </w:rPr>
        <w:t>投标人或其投标文件有下列情形之一的，其投标作废标处理：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 有串通投标或弄虚作假或有其他违法行为的；</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（2）不按评标委员会要求澄清、说明或补正的；</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（3）在资格评审、符合性评审中，评标委员会认定投标人的投标不符合评标办法前附表中规定的任何一项评审标准的；</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（4）评标委员会认定投标人以低于成本报价竞标的；</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（5）投标文件未按招标文件要求标志、密封的，未按招标文件要求份数提交的；</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（6）未做出接受招标文件有关各项规定、未对招标文件实质性条款做出响应的；</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（7）投标截止时间以后送达的投标文件；</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（8）投标报价高于采购最高限价；</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（9）法律法规规定属于废标、无效标的条款。</w:t>
      </w:r>
    </w:p>
    <w:p>
      <w:pPr>
        <w:pStyle w:val="5"/>
        <w:bidi w:val="0"/>
        <w:rPr>
          <w:rFonts w:hint="eastAsia"/>
        </w:rPr>
      </w:pPr>
      <w:r>
        <w:rPr>
          <w:rFonts w:hint="eastAsia"/>
        </w:rPr>
        <w:t>8.特殊情况的处理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投标文件中如果出现计算错误，可按以下原则进行修正：</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（1）投标文件中的大写金额与小写金额不一致的，以大写金额为准；</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（2）投标文件中的总价金额与按单价计算的汇总金额不一致的，以单价计算的汇总金额为准；</w:t>
      </w:r>
    </w:p>
    <w:p>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（3）投标文件中的单价金额有明显小数点错误的，以总价为准，并修改单价；</w:t>
      </w:r>
    </w:p>
    <w:p>
      <w:pPr>
        <w:pStyle w:val="20"/>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（4）投标文件中图表与文字表述不一致的，以文字表述为准；</w:t>
      </w:r>
    </w:p>
    <w:p>
      <w:pPr>
        <w:widowControl/>
        <w:autoSpaceDE w:val="0"/>
        <w:autoSpaceDN w:val="0"/>
        <w:spacing w:line="360" w:lineRule="auto"/>
        <w:ind w:right="53" w:firstLine="360" w:firstLineChars="15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（5）投标文件正本与副本不一致的，以正本为准；</w:t>
      </w:r>
    </w:p>
    <w:p>
      <w:pPr>
        <w:pStyle w:val="8"/>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（6）对不同文字文本投标文件的解释发生异议的，以中文文本为准。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按上述修正错误的方法调整的投标报价应对投标人具有约束力。如果投标人不接受修正后的价格，其投标将被拒绝。</w:t>
      </w:r>
    </w:p>
    <w:p>
      <w:pPr>
        <w:widowControl/>
        <w:autoSpaceDE w:val="0"/>
        <w:autoSpaceDN w:val="0"/>
        <w:spacing w:line="360" w:lineRule="auto"/>
        <w:ind w:right="5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投标文件中，若某项有不合理报价（或零报价、漏报价）的，经评委会评审后，此项得分为零，不参与投标报价分值的计算。</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8.3 评委打分超过得分界限或未按本办法赋分时，该评委的打分，按废票处理。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8.4 评标过程中，各种数字的计算结果，均保留两位小数，第三位“四舍五入”，但计算百分数时应精确到千分位，万分位“四舍五入”。</w:t>
      </w:r>
    </w:p>
    <w:p>
      <w:pPr>
        <w:pStyle w:val="51"/>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评标过程中，若出现本评标办法以外的特殊情况时，将暂停评标，待评委会商榷后，再进行评定。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8.6 评标结果汇总完成后，除下列情形外，任何人不得修改评标结果：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（1）分值汇总计算错误的；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（2）分项评分超出评分标准范围的；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（3）评标委员会对客观评审因素评分不一致的；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（4）经评标委员会认定评分畸高、畸低的。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投标人对本条第一款情形提出质疑的，采购代理机构应当组织原评标委员会进行重新评审，重新评审改变中标结果的，应当报本级财政部门备案。</w:t>
      </w:r>
    </w:p>
    <w:p>
      <w:pPr>
        <w:pStyle w:val="8"/>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8.7评标过程中，若出现合格投标人只有2家时，按流标处理，重新组织招标。</w:t>
      </w:r>
    </w:p>
    <w:p>
      <w:pPr>
        <w:pStyle w:val="5"/>
        <w:bidi w:val="0"/>
        <w:rPr>
          <w:rFonts w:hint="eastAsia"/>
          <w:lang w:val="zh-CN"/>
        </w:rPr>
      </w:pPr>
      <w:bookmarkStart w:id="19" w:name="_Toc24438"/>
      <w:bookmarkStart w:id="20" w:name="_Toc30338"/>
      <w:bookmarkStart w:id="21" w:name="_Toc9996"/>
      <w:bookmarkStart w:id="22" w:name="_Toc15982102"/>
      <w:bookmarkStart w:id="23" w:name="_Toc24524"/>
      <w:bookmarkStart w:id="24" w:name="_Toc2445"/>
      <w:bookmarkStart w:id="25" w:name="_Toc11296"/>
      <w:bookmarkStart w:id="26" w:name="_Toc30930"/>
      <w:bookmarkStart w:id="27" w:name="_Toc20691"/>
      <w:r>
        <w:rPr>
          <w:rFonts w:hint="eastAsia"/>
          <w:lang w:val="en-US" w:eastAsia="zh-CN"/>
        </w:rPr>
        <w:t>9.</w:t>
      </w:r>
      <w:r>
        <w:rPr>
          <w:rFonts w:hint="eastAsia"/>
          <w:lang w:val="zh-CN"/>
        </w:rPr>
        <w:t>需要落实的政府采购政策</w:t>
      </w:r>
      <w:bookmarkEnd w:id="19"/>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9.1</w:t>
      </w:r>
      <w:r>
        <w:rPr>
          <w:rFonts w:hint="eastAsia" w:ascii="宋体" w:hAnsi="宋体" w:eastAsia="宋体" w:cs="宋体"/>
          <w:color w:val="auto"/>
          <w:sz w:val="24"/>
          <w:highlight w:val="none"/>
          <w:lang w:val="zh-CN" w:eastAsia="zh-CN"/>
        </w:rPr>
        <w:t xml:space="preserve"> 、投标企业政府采购政策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 xml:space="preserve">）中小企业落实政府采购政策 </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落实促进支持中小企业、监狱企业、残疾人福利性单位发展工作的政策(如为专门面向中小企业的采购项目（或采购包），</w:t>
      </w:r>
      <w:r>
        <w:rPr>
          <w:rFonts w:hint="eastAsia" w:ascii="宋体" w:hAnsi="宋体" w:eastAsia="宋体" w:cs="宋体"/>
          <w:color w:val="auto"/>
          <w:sz w:val="24"/>
          <w:szCs w:val="24"/>
          <w:highlight w:val="none"/>
          <w:lang w:val="zh-CN" w:eastAsia="zh-CN"/>
        </w:rPr>
        <w:t>不再执行价格评审优惠的扶持政策。</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《政府采购促进中小企业发展管理办法》（财库〔2020〕46号）、《关于进一步加大政府采购支持中小企业力度的通知》（财库〔2022〕19号）</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提供的货物、工程或者服务符合下列情形的，享受《办法》规定的中小企业扶持政策:</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提供的货物既有中小企业制造货物，也有大型企业制造货物的，不享受《办法》规定的中小企业扶持政策。</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依据《办法》规定享受扶持政策获得政府采购合同的，小微企业不得将合同分包给大中型企业，中型企业不得将合同分包给大型企业。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根据《政府采购促进中小企业发展管理办法》的通知（财库〔2020〕46号）规定，参加政府采购活动的中小企业应当提供《中小企业声明函》。</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提供的《中小企业声明函》原件必须真实，否则，按照有关规定予以处理。</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numPr>
          <w:ilvl w:val="0"/>
          <w:numId w:val="0"/>
        </w:numPr>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（2）</w:t>
      </w:r>
      <w:r>
        <w:rPr>
          <w:rFonts w:hint="eastAsia" w:ascii="宋体" w:hAnsi="宋体" w:eastAsia="宋体" w:cs="宋体"/>
          <w:color w:val="auto"/>
          <w:sz w:val="24"/>
          <w:szCs w:val="24"/>
          <w:highlight w:val="none"/>
        </w:rPr>
        <w:t>《财政部 司法部关于政府采购支持监狱企业发展有关问题的通知》（财库〔2014〕68号）</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《三部门联合发布关于促进残疾人就业政府采购政策的通知》（财库〔2017〕141号）；</w:t>
      </w:r>
    </w:p>
    <w:p>
      <w:pPr>
        <w:keepNext w:val="0"/>
        <w:keepLines w:val="0"/>
        <w:pageBreakBefore w:val="0"/>
        <w:kinsoku/>
        <w:wordWrap/>
        <w:overflowPunct/>
        <w:topLinePunct w:val="0"/>
        <w:bidi w:val="0"/>
        <w:spacing w:after="120" w:after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落实优先采购节能、环保产品的政策</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根据《财政部 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环保总局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所有投标产品进入 “节能产品政府采购品目清单”的，应提供相关证书复印件，相关证书的颁发机构应来自《参与实施政府采购节能产品认证机构名录》。</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政府采购信用融资政策</w:t>
      </w:r>
    </w:p>
    <w:p>
      <w:pPr>
        <w:keepNext w:val="0"/>
        <w:keepLines w:val="0"/>
        <w:pageBreakBefore w:val="0"/>
        <w:kinsoku/>
        <w:wordWrap/>
        <w:overflowPunct/>
        <w:topLinePunct w:val="0"/>
        <w:bidi w:val="0"/>
        <w:spacing w:after="120" w:after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政府采购信用融资是指银行业金融机构以政府采购诚信考核和信用审查为基础，凭借政府采购合同，按优于一般中小企业的贷款利率直接向申请贷款的</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发放贷款的一种融资方式。融资金额未超过政府采购合同金额的，银行原则上不得要求</w:t>
      </w:r>
      <w:r>
        <w:rPr>
          <w:rFonts w:hint="eastAsia"/>
          <w:color w:val="auto"/>
          <w:sz w:val="24"/>
          <w:szCs w:val="24"/>
          <w:highlight w:val="none"/>
        </w:rPr>
        <w:t>供应商</w:t>
      </w:r>
      <w:r>
        <w:rPr>
          <w:rFonts w:hint="eastAsia"/>
          <w:color w:val="auto"/>
          <w:sz w:val="24"/>
          <w:szCs w:val="24"/>
          <w:highlight w:val="none"/>
          <w:lang w:eastAsia="zh-CN"/>
        </w:rPr>
        <w:t>（</w:t>
      </w:r>
      <w:r>
        <w:rPr>
          <w:rFonts w:hint="eastAsia"/>
          <w:color w:val="auto"/>
          <w:sz w:val="24"/>
          <w:szCs w:val="24"/>
          <w:highlight w:val="none"/>
          <w:lang w:val="en-US" w:eastAsia="zh-CN"/>
        </w:rPr>
        <w:t>投标人</w:t>
      </w:r>
      <w:r>
        <w:rPr>
          <w:rFonts w:hint="eastAsia"/>
          <w:color w:val="auto"/>
          <w:sz w:val="24"/>
          <w:szCs w:val="24"/>
          <w:highlight w:val="none"/>
          <w:lang w:eastAsia="zh-CN"/>
        </w:rPr>
        <w:t>）</w:t>
      </w:r>
      <w:r>
        <w:rPr>
          <w:rFonts w:hint="eastAsia" w:ascii="宋体" w:hAnsi="宋体" w:eastAsia="宋体" w:cs="宋体"/>
          <w:color w:val="auto"/>
          <w:sz w:val="24"/>
          <w:szCs w:val="24"/>
          <w:highlight w:val="none"/>
        </w:rPr>
        <w:t>提供财产抵押或第三方担保或其他任何形式的担保条件。</w:t>
      </w:r>
    </w:p>
    <w:p>
      <w:pPr>
        <w:pStyle w:val="15"/>
        <w:widowControl w:val="0"/>
        <w:numPr>
          <w:ilvl w:val="0"/>
          <w:numId w:val="0"/>
        </w:numPr>
        <w:spacing w:line="640" w:lineRule="exact"/>
        <w:ind w:firstLine="480" w:firstLineChars="200"/>
        <w:jc w:val="both"/>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color w:val="auto"/>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可根据自身情况，在“陕西政府采购信用融资平台（含各市分平台）”查询并办理相关业务。</w:t>
      </w:r>
      <w:r>
        <w:rPr>
          <w:rFonts w:hint="eastAsia" w:ascii="宋体" w:hAnsi="宋体" w:eastAsia="宋体" w:cs="宋体"/>
          <w:b/>
          <w:bCs/>
          <w:color w:val="auto"/>
          <w:kern w:val="2"/>
          <w:sz w:val="24"/>
          <w:szCs w:val="24"/>
          <w:highlight w:val="none"/>
          <w:lang w:val="zh-CN" w:eastAsia="zh-CN" w:bidi="ar-SA"/>
        </w:rPr>
        <w:t>专门面向中小企业采购的项目或者采购包，不再执行价格评审优惠的扶持政策。</w:t>
      </w:r>
    </w:p>
    <w:p/>
    <w:p>
      <w:pPr>
        <w:rPr>
          <w:rFonts w:hint="eastAsia"/>
          <w:lang w:val="en-US"/>
        </w:rPr>
      </w:pPr>
      <w:bookmarkStart w:id="28" w:name="_Toc32103"/>
      <w:bookmarkStart w:id="29" w:name="_Toc27067"/>
    </w:p>
    <w:p>
      <w:pPr>
        <w:rPr>
          <w:rFonts w:hint="eastAsia"/>
          <w:lang w:val="en-US"/>
        </w:rPr>
      </w:pPr>
      <w:r>
        <w:rPr>
          <w:rFonts w:hint="eastAsia"/>
          <w:lang w:val="en-US"/>
        </w:rPr>
        <w:br w:type="page"/>
      </w:r>
    </w:p>
    <w:p>
      <w:pPr>
        <w:pStyle w:val="3"/>
        <w:bidi w:val="0"/>
        <w:spacing w:line="600" w:lineRule="auto"/>
        <w:jc w:val="center"/>
        <w:rPr>
          <w:rFonts w:hint="eastAsia" w:ascii="宋体" w:hAnsi="宋体" w:eastAsia="宋体" w:cs="宋体"/>
          <w:color w:val="auto"/>
          <w:sz w:val="36"/>
          <w:szCs w:val="36"/>
          <w:highlight w:val="none"/>
          <w:lang w:val="en-US"/>
        </w:rPr>
      </w:pPr>
      <w:bookmarkStart w:id="30" w:name="_Toc24507"/>
      <w:r>
        <w:rPr>
          <w:rFonts w:hint="eastAsia" w:ascii="宋体" w:hAnsi="宋体" w:eastAsia="宋体" w:cs="宋体"/>
          <w:color w:val="auto"/>
          <w:sz w:val="36"/>
          <w:szCs w:val="36"/>
          <w:highlight w:val="none"/>
          <w:lang w:val="en-US"/>
        </w:rPr>
        <w:t xml:space="preserve">第四章  </w:t>
      </w:r>
      <w:r>
        <w:rPr>
          <w:rFonts w:hint="eastAsia" w:ascii="宋体" w:hAnsi="宋体" w:eastAsia="宋体" w:cs="宋体"/>
          <w:color w:val="auto"/>
          <w:sz w:val="36"/>
          <w:szCs w:val="36"/>
          <w:highlight w:val="none"/>
          <w:lang w:val="en-US" w:eastAsia="zh-CN"/>
        </w:rPr>
        <w:t>招标</w:t>
      </w:r>
      <w:r>
        <w:rPr>
          <w:rFonts w:hint="eastAsia" w:ascii="宋体" w:hAnsi="宋体" w:eastAsia="宋体" w:cs="宋体"/>
          <w:color w:val="auto"/>
          <w:sz w:val="36"/>
          <w:szCs w:val="36"/>
          <w:highlight w:val="none"/>
          <w:lang w:val="en-US"/>
        </w:rPr>
        <w:t>内容及要求</w:t>
      </w:r>
      <w:bookmarkEnd w:id="28"/>
      <w:bookmarkEnd w:id="29"/>
      <w:bookmarkEnd w:id="30"/>
    </w:p>
    <w:p>
      <w:pPr>
        <w:pStyle w:val="4"/>
        <w:bidi w:val="0"/>
        <w:spacing w:line="240" w:lineRule="auto"/>
        <w:rPr>
          <w:rFonts w:hint="eastAsia" w:ascii="宋体" w:hAnsi="宋体" w:eastAsia="宋体" w:cs="宋体"/>
          <w:sz w:val="24"/>
          <w:szCs w:val="24"/>
          <w:lang w:val="en-US" w:eastAsia="zh-CN"/>
        </w:rPr>
      </w:pPr>
      <w:bookmarkStart w:id="31" w:name="_Toc22352"/>
      <w:bookmarkStart w:id="32" w:name="_Toc18427"/>
      <w:r>
        <w:rPr>
          <w:rFonts w:hint="eastAsia" w:ascii="宋体" w:hAnsi="宋体" w:eastAsia="宋体" w:cs="宋体"/>
          <w:sz w:val="24"/>
          <w:szCs w:val="24"/>
          <w:lang w:val="en-US" w:eastAsia="zh-CN"/>
        </w:rPr>
        <w:t>一、政策依据</w:t>
      </w:r>
      <w:bookmarkEnd w:id="31"/>
    </w:p>
    <w:p>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bookmarkStart w:id="33" w:name="_Toc1297"/>
      <w:bookmarkStart w:id="34" w:name="_Toc23429"/>
      <w:r>
        <w:rPr>
          <w:rFonts w:hint="eastAsia" w:ascii="宋体" w:hAnsi="宋体" w:eastAsia="宋体" w:cs="宋体"/>
          <w:color w:val="auto"/>
          <w:kern w:val="2"/>
          <w:sz w:val="24"/>
          <w:szCs w:val="24"/>
          <w:highlight w:val="none"/>
          <w:lang w:val="en-US" w:eastAsia="zh-CN" w:bidi="ar-SA"/>
        </w:rPr>
        <w:t>1、国务院《关于加快推进政务服务标准化规范化便利化的指导意见》国发〔2022〕5号文指出，依托全国一体化政务服务平台，建设企业和个人专属服务空间，完善“一企一档”“一人一档”，规范和拓展二维码、数字名片等场景应用，实现个性化精准服务。充分运用大数据、人工智能、物联网等新技术，推出“免申即享”、</w:t>
      </w:r>
      <w:r>
        <w:rPr>
          <w:rFonts w:hint="eastAsia" w:ascii="宋体" w:hAnsi="宋体" w:eastAsia="宋体" w:cs="宋体"/>
          <w:b/>
          <w:bCs/>
          <w:color w:val="auto"/>
          <w:kern w:val="2"/>
          <w:sz w:val="24"/>
          <w:szCs w:val="24"/>
          <w:highlight w:val="none"/>
          <w:lang w:val="en-US" w:eastAsia="zh-CN" w:bidi="ar-SA"/>
        </w:rPr>
        <w:t>政务服务地图</w:t>
      </w:r>
      <w:r>
        <w:rPr>
          <w:rFonts w:hint="eastAsia" w:ascii="宋体" w:hAnsi="宋体" w:eastAsia="宋体" w:cs="宋体"/>
          <w:color w:val="auto"/>
          <w:kern w:val="2"/>
          <w:sz w:val="24"/>
          <w:szCs w:val="24"/>
          <w:highlight w:val="none"/>
          <w:lang w:val="en-US" w:eastAsia="zh-CN" w:bidi="ar-SA"/>
        </w:rPr>
        <w:t>、“一码办事”、智能审批等创新应用模式。</w:t>
      </w:r>
    </w:p>
    <w:p>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国务院办公厅《关于印发全国一体化政务服务平台移动端建设指南的通知》国办函〔2021〕105号文指出，运用人工智能等技术优化政务服务平台移动端搜索服务功能，实现对移动政务服务事项和应用的统一检索，提升搜索服务便捷度和智慧化水平。优化集智能搜索、智能问答、</w:t>
      </w:r>
      <w:r>
        <w:rPr>
          <w:rFonts w:hint="eastAsia" w:ascii="宋体" w:hAnsi="宋体" w:eastAsia="宋体" w:cs="宋体"/>
          <w:b/>
          <w:bCs/>
          <w:color w:val="auto"/>
          <w:kern w:val="2"/>
          <w:sz w:val="24"/>
          <w:szCs w:val="24"/>
          <w:highlight w:val="none"/>
          <w:lang w:val="en-US" w:eastAsia="zh-CN" w:bidi="ar-SA"/>
        </w:rPr>
        <w:t>智能导航</w:t>
      </w:r>
      <w:r>
        <w:rPr>
          <w:rFonts w:hint="eastAsia" w:ascii="宋体" w:hAnsi="宋体" w:eastAsia="宋体" w:cs="宋体"/>
          <w:color w:val="auto"/>
          <w:kern w:val="2"/>
          <w:sz w:val="24"/>
          <w:szCs w:val="24"/>
          <w:highlight w:val="none"/>
          <w:lang w:val="en-US" w:eastAsia="zh-CN" w:bidi="ar-SA"/>
        </w:rPr>
        <w:t>于一体的智能客服，方便企业和群众快捷精准获取相关服务信息。</w:t>
      </w:r>
    </w:p>
    <w:p>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3、陕西省政府办公厅《关于印发数字政府建设“十四五”规划的通知》陕政办发〔2021〕27号文指出：</w:t>
      </w:r>
    </w:p>
    <w:p>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贯彻落实国务院关于深化“互联网＋政务服务”工作部署，全面提升一体化政务服务平台功能，</w:t>
      </w:r>
      <w:r>
        <w:rPr>
          <w:rFonts w:hint="eastAsia" w:ascii="宋体" w:hAnsi="宋体" w:eastAsia="宋体" w:cs="宋体"/>
          <w:b/>
          <w:bCs/>
          <w:color w:val="auto"/>
          <w:kern w:val="2"/>
          <w:sz w:val="24"/>
          <w:szCs w:val="24"/>
          <w:highlight w:val="none"/>
          <w:lang w:val="en-US" w:eastAsia="zh-CN" w:bidi="ar-SA"/>
        </w:rPr>
        <w:t>构建线上线下融合的政务服务体系</w:t>
      </w:r>
      <w:r>
        <w:rPr>
          <w:rFonts w:hint="eastAsia" w:ascii="宋体" w:hAnsi="宋体" w:eastAsia="宋体" w:cs="宋体"/>
          <w:color w:val="auto"/>
          <w:kern w:val="2"/>
          <w:sz w:val="24"/>
          <w:szCs w:val="24"/>
          <w:highlight w:val="none"/>
          <w:lang w:val="en-US" w:eastAsia="zh-CN" w:bidi="ar-SA"/>
        </w:rPr>
        <w:t>，推动政务服务平台、政务服务大厅（便民中心、站点）、移动端、自助端、便民服务热线等线上线下服务渠道向基层、向偏远地区延伸，不断满足群众多层次多样化服务需求。</w:t>
      </w:r>
    </w:p>
    <w:p>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4、陕西省政府办公厅《陕西省人民政府办公厅关于印发加快推进政务服务标准化规范化便利化大力提升“秦务员”政务服务能力实施方案的通知》陕政办发〔2023〕1号文指出：</w:t>
      </w:r>
    </w:p>
    <w:p>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网上办事服务。各级各部门要依托“秦务员”平台统一提供政务服务，不断拓展网上办事广度和深度，实现网上办事“一次注册、多点互认、全网通行”。进一步融合智慧政务建设内容，升级优化陕西政务服务网，开展适老化、无障碍改造，完善网上办事指引功能，</w:t>
      </w:r>
      <w:r>
        <w:rPr>
          <w:rFonts w:hint="eastAsia" w:ascii="宋体" w:hAnsi="宋体" w:eastAsia="宋体" w:cs="宋体"/>
          <w:b/>
          <w:bCs/>
          <w:color w:val="auto"/>
          <w:kern w:val="2"/>
          <w:sz w:val="24"/>
          <w:szCs w:val="24"/>
          <w:highlight w:val="none"/>
          <w:lang w:val="en-US" w:eastAsia="zh-CN" w:bidi="ar-SA"/>
        </w:rPr>
        <w:t>规范在线咨询、引导服务，更好发挥智能问答、智能搜索、智能引导、政务地图等作用</w:t>
      </w:r>
      <w:r>
        <w:rPr>
          <w:rFonts w:hint="eastAsia" w:ascii="宋体" w:hAnsi="宋体" w:eastAsia="宋体" w:cs="宋体"/>
          <w:color w:val="auto"/>
          <w:kern w:val="2"/>
          <w:sz w:val="24"/>
          <w:szCs w:val="24"/>
          <w:highlight w:val="none"/>
          <w:lang w:val="en-US" w:eastAsia="zh-CN" w:bidi="ar-SA"/>
        </w:rPr>
        <w:t>，提供更加简明易懂实用的办事指南，让办事群众“一看就能懂、一点就能办”。</w:t>
      </w:r>
    </w:p>
    <w:p>
      <w:pPr>
        <w:pStyle w:val="4"/>
        <w:bidi w:val="0"/>
        <w:spacing w:line="240" w:lineRule="auto"/>
        <w:rPr>
          <w:rFonts w:hint="eastAsia" w:ascii="宋体" w:hAnsi="宋体" w:eastAsia="宋体" w:cs="宋体"/>
          <w:sz w:val="24"/>
          <w:szCs w:val="24"/>
          <w:lang w:val="en-US" w:eastAsia="zh-CN"/>
        </w:rPr>
      </w:pPr>
      <w:bookmarkStart w:id="35" w:name="_Toc29671"/>
      <w:r>
        <w:rPr>
          <w:rFonts w:hint="eastAsia" w:ascii="宋体" w:hAnsi="宋体" w:eastAsia="宋体" w:cs="宋体"/>
          <w:sz w:val="24"/>
          <w:szCs w:val="24"/>
          <w:lang w:val="en-US" w:eastAsia="zh-CN"/>
        </w:rPr>
        <w:t>二、建设原则</w:t>
      </w:r>
      <w:bookmarkEnd w:id="33"/>
      <w:bookmarkEnd w:id="34"/>
      <w:bookmarkEnd w:id="35"/>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（1）总体规划。做好系统的总体规划、技术架构等顶层设计，包括管理资源、信息资源的整合，数据格式的标准规范，现有资源的有效利用等。</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（2）适度超前。在系统建设时，根据地区发展规划，先期采用较高标准建设信息化应用的基础平台，后期能够顺应地区信息化发展需求使平台应用效益最大化。</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（3）试点先行。通过结合地区现状确立部分具有通用特点的建设试点，在试点应用的基础上进行探索与磨合，形成符合当地使用习惯的工作平台。</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（4）分布实施。分阶段、分步骤地建设实施，成熟一个、发展一个，边建设、边服务、边完善、边发展，逐步达到地区城乡一体化、服务管理全覆盖的效果。</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（5）先易后难。对政府决策、居民服务需求较为紧迫，及基础工作相对较成熟的地区及数据予以优先考虑纳入到平台来。</w:t>
      </w:r>
    </w:p>
    <w:p>
      <w:pPr>
        <w:pStyle w:val="4"/>
        <w:bidi w:val="0"/>
        <w:spacing w:line="240" w:lineRule="auto"/>
        <w:rPr>
          <w:rFonts w:hint="eastAsia" w:ascii="宋体" w:hAnsi="宋体" w:eastAsia="宋体" w:cs="宋体"/>
          <w:sz w:val="24"/>
          <w:szCs w:val="24"/>
          <w:lang w:val="en-US" w:eastAsia="zh-CN"/>
        </w:rPr>
      </w:pPr>
      <w:bookmarkStart w:id="36" w:name="_Toc17676"/>
      <w:r>
        <w:rPr>
          <w:rFonts w:hint="eastAsia" w:ascii="宋体" w:hAnsi="宋体" w:eastAsia="宋体" w:cs="宋体"/>
          <w:sz w:val="24"/>
          <w:szCs w:val="24"/>
          <w:lang w:val="en-US" w:eastAsia="zh-CN"/>
        </w:rPr>
        <w:t>三、需求分析及建设内容</w:t>
      </w:r>
      <w:bookmarkEnd w:id="36"/>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为持续优化营商环境，加快推进政务服务标准化规范化便利化建设，更好地满足企业和群众办事需求，打造具有淳化辨识度的一流营商环境，对比先进区县已经创建政务（便民/营商）系统，增加更多便企利民的服务场景，稳步推动政务服务和数据资源深度融合，打造政务服务“新门户”的营商环境服务。</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项目名称：淳化县“淳捷办”应用程序升级项目</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本次在原有“淳捷办”系统上新增以下功能：</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（一）</w:t>
      </w:r>
      <w:r>
        <w:rPr>
          <w:rFonts w:hint="eastAsia" w:ascii="宋体" w:hAnsi="宋体" w:eastAsia="宋体" w:cs="宋体"/>
          <w:b/>
          <w:bCs/>
          <w:color w:val="auto"/>
          <w:sz w:val="24"/>
          <w:szCs w:val="24"/>
          <w:highlight w:val="none"/>
          <w:lang w:val="en-US" w:eastAsia="zh-CN" w:bidi="zh-CN"/>
        </w:rPr>
        <w:t>网办事项预约系统</w:t>
      </w:r>
      <w:r>
        <w:rPr>
          <w:rFonts w:hint="eastAsia" w:ascii="宋体" w:hAnsi="宋体" w:eastAsia="宋体" w:cs="宋体"/>
          <w:color w:val="auto"/>
          <w:sz w:val="24"/>
          <w:szCs w:val="24"/>
          <w:highlight w:val="none"/>
          <w:lang w:val="en-US" w:eastAsia="zh-CN" w:bidi="zh-CN"/>
        </w:rPr>
        <w:t>，群众可在“淳捷办”中进行事项的在线预约，提供预约事项管理、时间管理、消息推送对接，实现办事预约功能。</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（二）</w:t>
      </w:r>
      <w:r>
        <w:rPr>
          <w:rFonts w:hint="eastAsia" w:ascii="宋体" w:hAnsi="宋体" w:eastAsia="宋体" w:cs="宋体"/>
          <w:b/>
          <w:bCs/>
          <w:color w:val="auto"/>
          <w:sz w:val="24"/>
          <w:szCs w:val="24"/>
          <w:highlight w:val="none"/>
          <w:lang w:val="en-US" w:eastAsia="zh-CN" w:bidi="zh-CN"/>
        </w:rPr>
        <w:t>导办延伸模块</w:t>
      </w:r>
      <w:r>
        <w:rPr>
          <w:rFonts w:hint="eastAsia" w:ascii="宋体" w:hAnsi="宋体" w:eastAsia="宋体" w:cs="宋体"/>
          <w:color w:val="auto"/>
          <w:sz w:val="24"/>
          <w:szCs w:val="24"/>
          <w:highlight w:val="none"/>
          <w:lang w:val="en-US" w:eastAsia="zh-CN" w:bidi="zh-CN"/>
        </w:rPr>
        <w:t>，涉及全县45个部门事项清单及指南导览展示、查询、修改等。</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（三）</w:t>
      </w:r>
      <w:r>
        <w:rPr>
          <w:rFonts w:hint="eastAsia" w:ascii="宋体" w:hAnsi="宋体" w:eastAsia="宋体" w:cs="宋体"/>
          <w:b/>
          <w:bCs/>
          <w:color w:val="auto"/>
          <w:sz w:val="24"/>
          <w:szCs w:val="24"/>
          <w:highlight w:val="none"/>
          <w:lang w:val="en-US" w:eastAsia="zh-CN" w:bidi="zh-CN"/>
        </w:rPr>
        <w:t>网办事项跳转办理模块</w:t>
      </w:r>
      <w:r>
        <w:rPr>
          <w:rFonts w:hint="eastAsia" w:ascii="宋体" w:hAnsi="宋体" w:eastAsia="宋体" w:cs="宋体"/>
          <w:color w:val="auto"/>
          <w:sz w:val="24"/>
          <w:szCs w:val="24"/>
          <w:highlight w:val="none"/>
          <w:lang w:val="en-US" w:eastAsia="zh-CN" w:bidi="zh-CN"/>
        </w:rPr>
        <w:t>，对事项进行网办地址进行单一配置，需校验网址是否为正确网址，是否可以访问，跳转办事页面让群众手机端可以办理网办事件。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（四）</w:t>
      </w:r>
      <w:r>
        <w:rPr>
          <w:rFonts w:hint="eastAsia" w:ascii="宋体" w:hAnsi="宋体" w:eastAsia="宋体" w:cs="宋体"/>
          <w:b/>
          <w:bCs/>
          <w:color w:val="auto"/>
          <w:sz w:val="24"/>
          <w:szCs w:val="24"/>
          <w:highlight w:val="none"/>
          <w:lang w:val="en-US" w:eastAsia="zh-CN" w:bidi="zh-CN"/>
        </w:rPr>
        <w:t>网办事项全流程查询系统</w:t>
      </w:r>
      <w:r>
        <w:rPr>
          <w:rFonts w:hint="eastAsia" w:ascii="宋体" w:hAnsi="宋体" w:eastAsia="宋体" w:cs="宋体"/>
          <w:color w:val="auto"/>
          <w:sz w:val="24"/>
          <w:szCs w:val="24"/>
          <w:highlight w:val="none"/>
          <w:lang w:val="en-US" w:eastAsia="zh-CN" w:bidi="zh-CN"/>
        </w:rPr>
        <w:t>，对接市政务服务网，通过用户中心进入之后，已办理业务查询，可查询群众在该大厅的办理进度，通过支持通过大厅搜索查询等。</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（五）</w:t>
      </w:r>
      <w:r>
        <w:rPr>
          <w:rFonts w:hint="eastAsia" w:ascii="宋体" w:hAnsi="宋体" w:eastAsia="宋体" w:cs="宋体"/>
          <w:b/>
          <w:bCs/>
          <w:color w:val="auto"/>
          <w:sz w:val="24"/>
          <w:szCs w:val="24"/>
          <w:highlight w:val="none"/>
          <w:lang w:val="en-US" w:eastAsia="zh-CN" w:bidi="zh-CN"/>
        </w:rPr>
        <w:t>多层次二维码系统</w:t>
      </w:r>
      <w:r>
        <w:rPr>
          <w:rFonts w:hint="eastAsia" w:ascii="宋体" w:hAnsi="宋体" w:eastAsia="宋体" w:cs="宋体"/>
          <w:color w:val="auto"/>
          <w:sz w:val="24"/>
          <w:szCs w:val="24"/>
          <w:highlight w:val="none"/>
          <w:lang w:val="en-US" w:eastAsia="zh-CN" w:bidi="zh-CN"/>
        </w:rPr>
        <w:t>，针对不同人或者单位进行推广码的生成和管理，停用，以及查看推广效果和推广人员关联，推广成功规则配置，推广码下载、统计、分析等。</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（六）</w:t>
      </w:r>
      <w:r>
        <w:rPr>
          <w:rFonts w:hint="eastAsia" w:ascii="宋体" w:hAnsi="宋体" w:eastAsia="宋体" w:cs="宋体"/>
          <w:b/>
          <w:bCs/>
          <w:color w:val="auto"/>
          <w:sz w:val="24"/>
          <w:szCs w:val="24"/>
          <w:highlight w:val="none"/>
          <w:lang w:val="en-US" w:eastAsia="zh-CN" w:bidi="zh-CN"/>
        </w:rPr>
        <w:t>对接叫号机远程叫号系统</w:t>
      </w:r>
      <w:r>
        <w:rPr>
          <w:rFonts w:hint="eastAsia" w:ascii="宋体" w:hAnsi="宋体" w:eastAsia="宋体" w:cs="宋体"/>
          <w:color w:val="auto"/>
          <w:sz w:val="24"/>
          <w:szCs w:val="24"/>
          <w:highlight w:val="none"/>
          <w:lang w:val="en-US" w:eastAsia="zh-CN" w:bidi="zh-CN"/>
        </w:rPr>
        <w:t>，根据现有叫号机功能，双方升级开发模块实现远程叫号。</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（七）</w:t>
      </w:r>
      <w:r>
        <w:rPr>
          <w:rFonts w:hint="eastAsia" w:ascii="宋体" w:hAnsi="宋体" w:eastAsia="宋体" w:cs="宋体"/>
          <w:b/>
          <w:bCs/>
          <w:color w:val="auto"/>
          <w:sz w:val="24"/>
          <w:szCs w:val="24"/>
          <w:highlight w:val="none"/>
          <w:lang w:val="en-US" w:eastAsia="zh-CN" w:bidi="zh-CN"/>
        </w:rPr>
        <w:t>新建重大项目管理系统</w:t>
      </w:r>
      <w:r>
        <w:rPr>
          <w:rFonts w:hint="eastAsia" w:ascii="宋体" w:hAnsi="宋体" w:eastAsia="宋体" w:cs="宋体"/>
          <w:color w:val="auto"/>
          <w:sz w:val="24"/>
          <w:szCs w:val="24"/>
          <w:highlight w:val="none"/>
          <w:lang w:val="en-US" w:eastAsia="zh-CN" w:bidi="zh-CN"/>
        </w:rPr>
        <w:t>，新建项目管理系统，实现全县重大项目统一管理，流程审批、催办、预警等全方位预览。PC端为审批人员使用，移动端为县领导监管使用，根据权限不同监管范围不同。</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bCs/>
          <w:color w:val="auto"/>
          <w:sz w:val="24"/>
          <w:szCs w:val="24"/>
          <w:lang w:val="en-US" w:eastAsia="zh-CN" w:bidi="zh-CN"/>
        </w:rPr>
        <w:t>（八）</w:t>
      </w:r>
      <w:r>
        <w:rPr>
          <w:rFonts w:hint="eastAsia" w:ascii="宋体" w:hAnsi="宋体" w:eastAsia="宋体" w:cs="宋体"/>
          <w:b/>
          <w:bCs/>
          <w:color w:val="auto"/>
          <w:sz w:val="24"/>
          <w:szCs w:val="24"/>
          <w:highlight w:val="none"/>
          <w:lang w:val="en-US" w:eastAsia="zh-CN" w:bidi="zh-CN"/>
        </w:rPr>
        <w:t>政务服务信息线下梳理，</w:t>
      </w:r>
      <w:r>
        <w:rPr>
          <w:rFonts w:hint="eastAsia" w:ascii="宋体" w:hAnsi="宋体" w:eastAsia="宋体" w:cs="宋体"/>
          <w:color w:val="auto"/>
          <w:sz w:val="24"/>
          <w:szCs w:val="24"/>
          <w:highlight w:val="none"/>
          <w:lang w:val="en-US" w:eastAsia="zh-CN" w:bidi="zh-CN"/>
        </w:rPr>
        <w:t>以政务服务大厅进驻中心实际数据为基础，对大厅内的可网办事项进行线下核实梳理，将核实梳理后的结果录入新增模块数据报送引擎中，对大厅内的可网办事项进行环节告知，将核实梳理后的结果录入新增模块数据报送引擎中。</w:t>
      </w:r>
    </w:p>
    <w:p>
      <w:pPr>
        <w:pStyle w:val="4"/>
        <w:bidi w:val="0"/>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四、商务要求</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b w:val="0"/>
          <w:bCs w:val="0"/>
          <w:color w:val="auto"/>
          <w:sz w:val="24"/>
          <w:szCs w:val="24"/>
          <w:highlight w:val="none"/>
          <w:lang w:val="en-US" w:eastAsia="zh-CN" w:bidi="zh-CN"/>
        </w:rPr>
        <w:t>服务期：60日历天</w:t>
      </w:r>
    </w:p>
    <w:p>
      <w:pPr>
        <w:numPr>
          <w:ilvl w:val="0"/>
          <w:numId w:val="0"/>
        </w:numPr>
        <w:spacing w:line="360" w:lineRule="auto"/>
        <w:rPr>
          <w:rFonts w:hint="default" w:ascii="宋体" w:hAnsi="宋体" w:eastAsia="宋体" w:cs="宋体"/>
          <w:b w:val="0"/>
          <w:bCs w:val="0"/>
          <w:color w:val="auto"/>
          <w:sz w:val="24"/>
          <w:szCs w:val="24"/>
          <w:highlight w:val="none"/>
          <w:lang w:val="en-US" w:eastAsia="zh-CN" w:bidi="zh-CN"/>
        </w:rPr>
      </w:pPr>
      <w:r>
        <w:rPr>
          <w:rFonts w:hint="eastAsia" w:cs="宋体"/>
          <w:b w:val="0"/>
          <w:bCs w:val="0"/>
          <w:color w:val="auto"/>
          <w:sz w:val="24"/>
          <w:szCs w:val="24"/>
          <w:highlight w:val="none"/>
          <w:lang w:val="en-US" w:eastAsia="zh-CN" w:bidi="zh-CN"/>
        </w:rPr>
        <w:t xml:space="preserve">    </w:t>
      </w:r>
      <w:r>
        <w:rPr>
          <w:rFonts w:hint="eastAsia" w:ascii="宋体" w:hAnsi="宋体" w:eastAsia="宋体" w:cs="宋体"/>
          <w:b w:val="0"/>
          <w:bCs w:val="0"/>
          <w:color w:val="auto"/>
          <w:sz w:val="24"/>
          <w:szCs w:val="24"/>
          <w:highlight w:val="none"/>
          <w:lang w:val="en-US" w:eastAsia="zh-CN" w:bidi="zh-CN"/>
        </w:rPr>
        <w:t>售后服务：项目验收合格后免费服务1年</w:t>
      </w:r>
    </w:p>
    <w:p>
      <w:pPr>
        <w:spacing w:line="360" w:lineRule="auto"/>
        <w:rPr>
          <w:rFonts w:hint="eastAsia" w:eastAsia="宋体"/>
          <w:b w:val="0"/>
          <w:bCs w:val="0"/>
          <w:color w:val="auto"/>
          <w:sz w:val="24"/>
          <w:szCs w:val="24"/>
          <w:highlight w:val="none"/>
          <w:lang w:eastAsia="zh-CN"/>
        </w:rPr>
      </w:pPr>
      <w:r>
        <w:rPr>
          <w:rFonts w:hint="eastAsia" w:cs="宋体"/>
          <w:b w:val="0"/>
          <w:bCs w:val="0"/>
          <w:color w:val="auto"/>
          <w:kern w:val="0"/>
          <w:sz w:val="24"/>
          <w:szCs w:val="24"/>
          <w:highlight w:val="none"/>
          <w:lang w:val="en-US" w:bidi="zh-CN"/>
        </w:rPr>
        <w:t xml:space="preserve">    </w:t>
      </w:r>
      <w:r>
        <w:rPr>
          <w:rFonts w:hint="eastAsia"/>
          <w:b w:val="0"/>
          <w:bCs w:val="0"/>
          <w:color w:val="auto"/>
          <w:sz w:val="24"/>
          <w:szCs w:val="24"/>
          <w:highlight w:val="none"/>
        </w:rPr>
        <w:t>质量验收标准</w:t>
      </w:r>
      <w:r>
        <w:rPr>
          <w:rFonts w:hint="eastAsia"/>
          <w:b w:val="0"/>
          <w:bCs w:val="0"/>
          <w:color w:val="auto"/>
          <w:sz w:val="24"/>
          <w:szCs w:val="24"/>
          <w:highlight w:val="none"/>
          <w:lang w:eastAsia="zh-CN"/>
        </w:rPr>
        <w:t>：</w:t>
      </w:r>
      <w:r>
        <w:rPr>
          <w:rFonts w:hint="eastAsia"/>
          <w:b w:val="0"/>
          <w:bCs w:val="0"/>
          <w:color w:val="auto"/>
          <w:sz w:val="24"/>
          <w:szCs w:val="24"/>
          <w:highlight w:val="none"/>
        </w:rPr>
        <w:t>达到国家质量验收规范合格标准</w:t>
      </w:r>
      <w:r>
        <w:rPr>
          <w:rFonts w:hint="eastAsia"/>
          <w:b w:val="0"/>
          <w:bCs w:val="0"/>
          <w:color w:val="auto"/>
          <w:sz w:val="24"/>
          <w:szCs w:val="24"/>
          <w:highlight w:val="none"/>
          <w:lang w:eastAsia="zh-CN"/>
        </w:rPr>
        <w:t>。</w:t>
      </w:r>
    </w:p>
    <w:p>
      <w:pPr>
        <w:pStyle w:val="49"/>
        <w:spacing w:line="360" w:lineRule="auto"/>
        <w:rPr>
          <w:b w:val="0"/>
          <w:bCs w:val="0"/>
          <w:color w:val="auto"/>
          <w:kern w:val="2"/>
          <w:highlight w:val="none"/>
          <w:lang w:val="en-US" w:bidi="ar-SA"/>
        </w:rPr>
      </w:pPr>
      <w:r>
        <w:rPr>
          <w:rFonts w:hint="eastAsia" w:ascii="宋体" w:hAnsi="宋体" w:eastAsia="宋体" w:cs="宋体"/>
          <w:b w:val="0"/>
          <w:bCs w:val="0"/>
          <w:color w:val="auto"/>
          <w:kern w:val="0"/>
          <w:sz w:val="24"/>
          <w:szCs w:val="24"/>
          <w:highlight w:val="none"/>
          <w:lang w:val="en-US" w:bidi="zh-CN"/>
        </w:rPr>
        <w:t xml:space="preserve">    </w:t>
      </w:r>
      <w:r>
        <w:rPr>
          <w:rFonts w:hint="eastAsia" w:ascii="宋体" w:hAnsi="宋体" w:eastAsia="宋体" w:cs="宋体"/>
          <w:b w:val="0"/>
          <w:bCs w:val="0"/>
          <w:color w:val="auto"/>
          <w:kern w:val="0"/>
          <w:sz w:val="24"/>
          <w:szCs w:val="24"/>
          <w:highlight w:val="none"/>
          <w:lang w:bidi="zh-CN"/>
        </w:rPr>
        <w:t>其他：</w:t>
      </w:r>
      <w:r>
        <w:rPr>
          <w:rFonts w:hint="eastAsia" w:ascii="宋体" w:hAnsi="宋体" w:eastAsia="宋体" w:cs="宋体"/>
          <w:b w:val="0"/>
          <w:bCs w:val="0"/>
          <w:color w:val="auto"/>
          <w:kern w:val="0"/>
          <w:sz w:val="24"/>
          <w:szCs w:val="24"/>
          <w:highlight w:val="none"/>
          <w:lang w:val="en-US" w:eastAsia="zh-CN" w:bidi="zh-CN"/>
        </w:rPr>
        <w:t>中标人需承诺提供7×24小时的售后服务。提供包括但不限于故障排除、性能调优、技术咨询等服务内容；必须提供详细的技术支持和服务方案。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bidi="zh-CN"/>
        </w:rPr>
      </w:pPr>
      <w:r>
        <w:rPr>
          <w:rFonts w:hint="eastAsia"/>
          <w:b w:val="0"/>
          <w:bCs w:val="0"/>
          <w:color w:val="auto"/>
          <w:kern w:val="2"/>
          <w:highlight w:val="none"/>
          <w:lang w:val="en-US" w:bidi="ar-SA"/>
        </w:rPr>
        <w:t xml:space="preserve">                            </w:t>
      </w:r>
      <w:r>
        <w:rPr>
          <w:rFonts w:hint="eastAsia"/>
          <w:b w:val="0"/>
          <w:bCs w:val="0"/>
          <w:color w:val="auto"/>
          <w:highlight w:val="none"/>
          <w:lang w:val="en-US"/>
        </w:rPr>
        <w:t xml:space="preserve">                                   </w:t>
      </w:r>
      <w:r>
        <w:rPr>
          <w:rFonts w:hint="eastAsia"/>
          <w:color w:val="auto"/>
          <w:highlight w:val="none"/>
          <w:lang w:val="en-US"/>
        </w:rPr>
        <w:t xml:space="preserve">        </w:t>
      </w:r>
    </w:p>
    <w:p>
      <w:pPr>
        <w:rPr>
          <w:rFonts w:hint="eastAsia"/>
          <w:lang w:val="en-US" w:eastAsia="zh-CN"/>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rPr>
          <w:rFonts w:hint="eastAsia"/>
          <w:lang w:val="en-US"/>
        </w:rPr>
      </w:pPr>
    </w:p>
    <w:p>
      <w:pPr>
        <w:pStyle w:val="9"/>
        <w:spacing w:line="360" w:lineRule="auto"/>
        <w:rPr>
          <w:rFonts w:hint="eastAsia" w:ascii="宋体" w:hAnsi="宋体" w:eastAsia="宋体" w:cs="宋体"/>
          <w:b/>
          <w:bCs/>
          <w:color w:val="auto"/>
          <w:sz w:val="24"/>
          <w:szCs w:val="24"/>
          <w:highlight w:val="none"/>
          <w:lang w:val="en-US" w:bidi="ar-SA"/>
        </w:rPr>
      </w:pPr>
    </w:p>
    <w:p>
      <w:pPr>
        <w:spacing w:line="360" w:lineRule="auto"/>
        <w:rPr>
          <w:rFonts w:hint="eastAsia" w:ascii="宋体" w:hAnsi="宋体" w:eastAsia="宋体" w:cs="宋体"/>
          <w:b/>
          <w:bCs/>
          <w:color w:val="auto"/>
          <w:sz w:val="24"/>
          <w:szCs w:val="24"/>
          <w:highlight w:val="none"/>
          <w:lang w:val="en-US" w:bidi="ar-SA"/>
        </w:rPr>
      </w:pPr>
    </w:p>
    <w:p>
      <w:pPr>
        <w:pStyle w:val="8"/>
        <w:spacing w:line="360" w:lineRule="auto"/>
        <w:rPr>
          <w:rFonts w:hint="eastAsia" w:ascii="宋体" w:hAnsi="宋体" w:eastAsia="宋体" w:cs="宋体"/>
          <w:b/>
          <w:bCs/>
          <w:color w:val="auto"/>
          <w:sz w:val="24"/>
          <w:szCs w:val="24"/>
          <w:highlight w:val="none"/>
          <w:lang w:val="en-US" w:bidi="ar-SA"/>
        </w:rPr>
      </w:pPr>
    </w:p>
    <w:bookmarkEnd w:id="32"/>
    <w:p>
      <w:pPr>
        <w:pStyle w:val="12"/>
        <w:spacing w:line="360" w:lineRule="auto"/>
        <w:ind w:left="0"/>
        <w:rPr>
          <w:color w:val="auto"/>
          <w:highlight w:val="none"/>
          <w:lang w:val="en-US"/>
        </w:rPr>
        <w:sectPr>
          <w:pgSz w:w="11906" w:h="16838"/>
          <w:pgMar w:top="1417" w:right="1531" w:bottom="1417" w:left="1531" w:header="851" w:footer="992" w:gutter="0"/>
          <w:cols w:space="720" w:num="1"/>
          <w:docGrid w:type="lines" w:linePitch="312" w:charSpace="0"/>
        </w:sectPr>
      </w:pPr>
      <w:r>
        <w:rPr>
          <w:rFonts w:hint="eastAsia"/>
          <w:color w:val="auto"/>
          <w:highlight w:val="none"/>
          <w:lang w:val="en-US"/>
        </w:rPr>
        <w:t xml:space="preserve">                         </w:t>
      </w:r>
    </w:p>
    <w:p>
      <w:pPr>
        <w:pStyle w:val="3"/>
        <w:bidi w:val="0"/>
        <w:spacing w:line="480" w:lineRule="auto"/>
        <w:jc w:val="center"/>
        <w:rPr>
          <w:rFonts w:hint="eastAsia" w:ascii="宋体" w:hAnsi="宋体" w:eastAsia="宋体" w:cs="宋体"/>
          <w:color w:val="auto"/>
          <w:sz w:val="36"/>
          <w:szCs w:val="36"/>
          <w:highlight w:val="none"/>
          <w:lang w:val="en-US"/>
        </w:rPr>
      </w:pPr>
      <w:bookmarkStart w:id="37" w:name="_Toc23044"/>
      <w:bookmarkStart w:id="38" w:name="_Toc18972"/>
      <w:r>
        <w:rPr>
          <w:rFonts w:hint="eastAsia" w:ascii="宋体" w:hAnsi="宋体" w:eastAsia="宋体" w:cs="宋体"/>
          <w:color w:val="auto"/>
          <w:sz w:val="36"/>
          <w:szCs w:val="36"/>
          <w:highlight w:val="none"/>
          <w:lang w:val="en-US"/>
        </w:rPr>
        <w:t>第</w:t>
      </w: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lang w:val="en-US"/>
        </w:rPr>
        <w:t xml:space="preserve">章 </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val="en-US"/>
        </w:rPr>
        <w:t>合同条款</w:t>
      </w:r>
      <w:bookmarkEnd w:id="37"/>
      <w:bookmarkEnd w:id="38"/>
    </w:p>
    <w:p>
      <w:pPr>
        <w:jc w:val="center"/>
        <w:rPr>
          <w:b/>
          <w:bCs/>
          <w:color w:val="auto"/>
          <w:sz w:val="24"/>
          <w:szCs w:val="24"/>
          <w:highlight w:val="none"/>
          <w:lang w:val="en-US"/>
        </w:rPr>
      </w:pPr>
      <w:r>
        <w:rPr>
          <w:rFonts w:hint="eastAsia"/>
          <w:b/>
          <w:bCs/>
          <w:color w:val="auto"/>
          <w:sz w:val="24"/>
          <w:szCs w:val="24"/>
          <w:highlight w:val="none"/>
          <w:lang w:val="en-US"/>
        </w:rPr>
        <w:t>（</w:t>
      </w:r>
      <w:r>
        <w:rPr>
          <w:rFonts w:hint="eastAsia"/>
          <w:b/>
          <w:bCs/>
          <w:color w:val="auto"/>
          <w:sz w:val="24"/>
          <w:szCs w:val="24"/>
          <w:highlight w:val="none"/>
          <w:lang w:val="en-US" w:eastAsia="zh-CN"/>
        </w:rPr>
        <w:t>本合同</w:t>
      </w:r>
      <w:r>
        <w:rPr>
          <w:rFonts w:hint="eastAsia"/>
          <w:b/>
          <w:bCs/>
          <w:color w:val="auto"/>
          <w:sz w:val="24"/>
          <w:szCs w:val="24"/>
          <w:highlight w:val="none"/>
          <w:lang w:val="en-US"/>
        </w:rPr>
        <w:t>仅供参考，具体以实际签订为准）</w:t>
      </w:r>
    </w:p>
    <w:p>
      <w:pPr>
        <w:keepNext w:val="0"/>
        <w:keepLines w:val="0"/>
        <w:pageBreakBefore w:val="0"/>
        <w:widowControl w:val="0"/>
        <w:tabs>
          <w:tab w:val="left" w:pos="735"/>
        </w:tabs>
        <w:kinsoku/>
        <w:wordWrap/>
        <w:overflowPunct/>
        <w:topLinePunct w:val="0"/>
        <w:autoSpaceDE w:val="0"/>
        <w:autoSpaceDN w:val="0"/>
        <w:bidi w:val="0"/>
        <w:adjustRightInd w:val="0"/>
        <w:snapToGrid w:val="0"/>
        <w:spacing w:line="408" w:lineRule="auto"/>
        <w:ind w:firstLine="631"/>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甲</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zh-CN"/>
        </w:rPr>
        <w:t>方：</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pacing w:val="11"/>
          <w:sz w:val="28"/>
          <w:szCs w:val="28"/>
          <w:highlight w:val="none"/>
          <w:u w:val="single"/>
          <w:lang w:val="en-US" w:eastAsia="zh-CN"/>
        </w:rPr>
        <w:t xml:space="preserve">               </w:t>
      </w:r>
      <w:r>
        <w:rPr>
          <w:rFonts w:hint="eastAsia" w:ascii="宋体" w:hAnsi="宋体" w:cs="宋体"/>
          <w:color w:val="auto"/>
          <w:spacing w:val="11"/>
          <w:sz w:val="28"/>
          <w:szCs w:val="28"/>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p>
    <w:p>
      <w:pPr>
        <w:keepNext w:val="0"/>
        <w:keepLines w:val="0"/>
        <w:pageBreakBefore w:val="0"/>
        <w:widowControl w:val="0"/>
        <w:kinsoku/>
        <w:wordWrap/>
        <w:overflowPunct/>
        <w:topLinePunct w:val="0"/>
        <w:bidi w:val="0"/>
        <w:spacing w:line="408" w:lineRule="auto"/>
        <w:ind w:firstLine="723" w:firstLineChars="3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乙</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zh-CN"/>
        </w:rPr>
        <w:t>方：</w:t>
      </w:r>
      <w:r>
        <w:rPr>
          <w:rFonts w:hint="eastAsia" w:ascii="宋体" w:hAnsi="宋体" w:eastAsia="宋体" w:cs="宋体"/>
          <w:b/>
          <w:bCs/>
          <w:color w:val="auto"/>
          <w:sz w:val="24"/>
          <w:szCs w:val="24"/>
          <w:highlight w:val="none"/>
          <w:u w:val="single"/>
          <w:lang w:val="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408" w:lineRule="auto"/>
        <w:ind w:firstLine="755" w:firstLineChars="250"/>
        <w:textAlignment w:val="auto"/>
        <w:rPr>
          <w:rFonts w:hint="eastAsia" w:ascii="宋体" w:hAnsi="宋体" w:eastAsia="宋体" w:cs="宋体"/>
          <w:color w:val="auto"/>
          <w:spacing w:val="11"/>
          <w:sz w:val="28"/>
          <w:szCs w:val="28"/>
          <w:highlight w:val="none"/>
        </w:rPr>
      </w:pPr>
      <w:r>
        <w:rPr>
          <w:rFonts w:hint="eastAsia" w:ascii="宋体" w:hAnsi="宋体" w:cs="宋体"/>
          <w:color w:val="auto"/>
          <w:spacing w:val="11"/>
          <w:sz w:val="28"/>
          <w:szCs w:val="28"/>
          <w:highlight w:val="none"/>
          <w:lang w:val="en-US" w:eastAsia="zh-CN"/>
        </w:rPr>
        <w:t>双方</w:t>
      </w:r>
      <w:r>
        <w:rPr>
          <w:rFonts w:hint="eastAsia" w:ascii="宋体" w:hAnsi="宋体" w:cs="宋体"/>
          <w:color w:val="auto"/>
          <w:spacing w:val="11"/>
          <w:sz w:val="28"/>
          <w:szCs w:val="28"/>
          <w:highlight w:val="none"/>
        </w:rPr>
        <w:t>依据《中华人民共和国民法典》和《中华人民共和国</w:t>
      </w:r>
      <w:r>
        <w:rPr>
          <w:rFonts w:hint="eastAsia" w:ascii="宋体" w:hAnsi="宋体" w:cs="宋体"/>
          <w:color w:val="auto"/>
          <w:spacing w:val="11"/>
          <w:sz w:val="28"/>
          <w:szCs w:val="28"/>
          <w:highlight w:val="none"/>
          <w:lang w:val="en-US" w:eastAsia="zh-CN"/>
        </w:rPr>
        <w:t>政府采购法》</w:t>
      </w:r>
      <w:r>
        <w:rPr>
          <w:rFonts w:hint="eastAsia" w:ascii="宋体" w:hAnsi="宋体" w:cs="宋体"/>
          <w:color w:val="auto"/>
          <w:spacing w:val="11"/>
          <w:sz w:val="28"/>
          <w:szCs w:val="28"/>
          <w:highlight w:val="none"/>
        </w:rPr>
        <w:t>，</w:t>
      </w:r>
      <w:r>
        <w:rPr>
          <w:rFonts w:hint="eastAsia" w:ascii="宋体" w:hAnsi="宋体" w:eastAsia="宋体" w:cs="宋体"/>
          <w:color w:val="auto"/>
          <w:spacing w:val="11"/>
          <w:sz w:val="28"/>
          <w:szCs w:val="28"/>
          <w:highlight w:val="none"/>
        </w:rPr>
        <w:t>在友好协商，相互信任的基础上签订本约定。</w:t>
      </w:r>
    </w:p>
    <w:p>
      <w:pPr>
        <w:keepNext w:val="0"/>
        <w:keepLines w:val="0"/>
        <w:pageBreakBefore w:val="0"/>
        <w:widowControl w:val="0"/>
        <w:kinsoku/>
        <w:wordWrap/>
        <w:overflowPunct/>
        <w:topLinePunct w:val="0"/>
        <w:autoSpaceDE/>
        <w:autoSpaceDN/>
        <w:bidi w:val="0"/>
        <w:adjustRightInd w:val="0"/>
        <w:snapToGrid w:val="0"/>
        <w:spacing w:line="408" w:lineRule="auto"/>
        <w:ind w:firstLine="606" w:firstLineChars="200"/>
        <w:textAlignment w:val="auto"/>
        <w:rPr>
          <w:rFonts w:hint="default" w:ascii="宋体" w:hAnsi="宋体" w:cs="宋体"/>
          <w:color w:val="auto"/>
          <w:spacing w:val="11"/>
          <w:sz w:val="28"/>
          <w:szCs w:val="28"/>
          <w:highlight w:val="none"/>
          <w:u w:val="single"/>
          <w:lang w:val="en-US" w:eastAsia="zh-CN"/>
        </w:rPr>
      </w:pPr>
      <w:r>
        <w:rPr>
          <w:rFonts w:hint="eastAsia" w:ascii="宋体" w:hAnsi="宋体" w:cs="宋体"/>
          <w:b/>
          <w:bCs/>
          <w:color w:val="auto"/>
          <w:spacing w:val="11"/>
          <w:sz w:val="28"/>
          <w:szCs w:val="28"/>
          <w:highlight w:val="none"/>
          <w:lang w:val="en-US" w:eastAsia="zh-CN"/>
        </w:rPr>
        <w:t>一、项目名称：</w:t>
      </w:r>
      <w:r>
        <w:rPr>
          <w:rFonts w:hint="eastAsia" w:ascii="宋体" w:hAnsi="宋体" w:cs="宋体"/>
          <w:color w:val="auto"/>
          <w:spacing w:val="11"/>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8" w:lineRule="auto"/>
        <w:ind w:firstLine="606" w:firstLineChars="200"/>
        <w:textAlignment w:val="auto"/>
        <w:rPr>
          <w:rFonts w:hint="default" w:ascii="宋体" w:hAnsi="宋体" w:eastAsia="宋体" w:cs="宋体"/>
          <w:b/>
          <w:bCs/>
          <w:color w:val="auto"/>
          <w:spacing w:val="11"/>
          <w:sz w:val="28"/>
          <w:szCs w:val="28"/>
          <w:highlight w:val="none"/>
          <w:lang w:val="en-US" w:eastAsia="zh-CN"/>
        </w:rPr>
      </w:pPr>
      <w:r>
        <w:rPr>
          <w:rFonts w:hint="eastAsia" w:ascii="宋体" w:hAnsi="宋体" w:eastAsia="宋体" w:cs="宋体"/>
          <w:b/>
          <w:bCs/>
          <w:color w:val="auto"/>
          <w:spacing w:val="11"/>
          <w:sz w:val="28"/>
          <w:szCs w:val="28"/>
          <w:highlight w:val="none"/>
          <w:lang w:val="en-US" w:eastAsia="zh-CN"/>
        </w:rPr>
        <w:t>二、委托内容：</w:t>
      </w:r>
    </w:p>
    <w:p>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408" w:lineRule="auto"/>
        <w:ind w:leftChars="0" w:firstLine="606" w:firstLineChars="200"/>
        <w:textAlignment w:val="auto"/>
        <w:rPr>
          <w:rFonts w:hint="eastAsia" w:ascii="宋体" w:hAnsi="宋体" w:cs="宋体"/>
          <w:color w:val="auto"/>
          <w:spacing w:val="11"/>
          <w:sz w:val="28"/>
          <w:szCs w:val="28"/>
          <w:highlight w:val="none"/>
          <w:u w:val="single"/>
          <w:lang w:val="en-US" w:eastAsia="zh-CN"/>
        </w:rPr>
      </w:pPr>
      <w:r>
        <w:rPr>
          <w:rFonts w:hint="eastAsia" w:ascii="宋体" w:hAnsi="宋体" w:eastAsia="宋体" w:cs="宋体"/>
          <w:b/>
          <w:bCs/>
          <w:color w:val="auto"/>
          <w:spacing w:val="11"/>
          <w:sz w:val="28"/>
          <w:szCs w:val="28"/>
          <w:highlight w:val="none"/>
          <w:lang w:val="en-US" w:eastAsia="zh-CN"/>
        </w:rPr>
        <w:t>三、服务期：</w:t>
      </w:r>
      <w:r>
        <w:rPr>
          <w:rFonts w:hint="eastAsia" w:ascii="宋体" w:hAnsi="宋体" w:cs="宋体"/>
          <w:color w:val="auto"/>
          <w:spacing w:val="11"/>
          <w:sz w:val="28"/>
          <w:szCs w:val="28"/>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408" w:lineRule="auto"/>
        <w:ind w:leftChars="0" w:firstLine="606" w:firstLineChars="200"/>
        <w:textAlignment w:val="auto"/>
        <w:rPr>
          <w:rFonts w:hint="eastAsia"/>
          <w:color w:val="auto"/>
          <w:highlight w:val="none"/>
          <w:u w:val="single"/>
          <w:lang w:val="en-US" w:eastAsia="zh-CN"/>
        </w:rPr>
      </w:pPr>
      <w:r>
        <w:rPr>
          <w:rFonts w:hint="eastAsia" w:ascii="宋体" w:hAnsi="宋体" w:eastAsia="宋体" w:cs="宋体"/>
          <w:b/>
          <w:bCs/>
          <w:color w:val="auto"/>
          <w:spacing w:val="11"/>
          <w:sz w:val="28"/>
          <w:szCs w:val="28"/>
          <w:highlight w:val="none"/>
          <w:lang w:val="en-US" w:eastAsia="zh-CN"/>
        </w:rPr>
        <w:t>四、合同金额：</w:t>
      </w:r>
      <w:r>
        <w:rPr>
          <w:rFonts w:hint="eastAsia"/>
          <w:color w:val="auto"/>
          <w:highlight w:val="none"/>
          <w:u w:val="single"/>
          <w:lang w:val="en-US" w:eastAsia="zh-CN"/>
        </w:rPr>
        <w:t xml:space="preserve">                        </w:t>
      </w:r>
    </w:p>
    <w:p>
      <w:pPr>
        <w:pStyle w:val="33"/>
        <w:keepNext w:val="0"/>
        <w:keepLines w:val="0"/>
        <w:pageBreakBefore w:val="0"/>
        <w:widowControl w:val="0"/>
        <w:kinsoku/>
        <w:wordWrap/>
        <w:overflowPunct/>
        <w:topLinePunct w:val="0"/>
        <w:autoSpaceDE/>
        <w:autoSpaceDN/>
        <w:bidi w:val="0"/>
        <w:spacing w:before="0" w:line="408" w:lineRule="auto"/>
        <w:ind w:left="0" w:firstLineChars="200"/>
        <w:textAlignment w:val="auto"/>
        <w:rPr>
          <w:rFonts w:hint="eastAsia" w:ascii="宋体" w:hAnsi="宋体" w:eastAsia="宋体" w:cs="宋体"/>
          <w:color w:val="auto"/>
          <w:spacing w:val="11"/>
          <w:sz w:val="28"/>
          <w:szCs w:val="28"/>
          <w:highlight w:val="none"/>
          <w:u w:val="single"/>
          <w:lang w:val="en-US" w:eastAsia="zh-CN" w:bidi="zh-CN"/>
        </w:rPr>
      </w:pPr>
      <w:r>
        <w:rPr>
          <w:rFonts w:hint="eastAsia" w:ascii="宋体" w:hAnsi="宋体" w:eastAsia="宋体" w:cs="宋体"/>
          <w:b/>
          <w:bCs/>
          <w:color w:val="auto"/>
          <w:spacing w:val="11"/>
          <w:sz w:val="28"/>
          <w:szCs w:val="28"/>
          <w:highlight w:val="none"/>
          <w:lang w:val="en-US" w:eastAsia="zh-CN"/>
        </w:rPr>
        <w:t>五、支付方式：</w:t>
      </w:r>
      <w:r>
        <w:rPr>
          <w:rFonts w:hint="eastAsia" w:ascii="宋体" w:hAnsi="宋体" w:eastAsia="宋体" w:cs="宋体"/>
          <w:color w:val="auto"/>
          <w:spacing w:val="11"/>
          <w:sz w:val="28"/>
          <w:szCs w:val="28"/>
          <w:highlight w:val="none"/>
          <w:u w:val="single"/>
          <w:lang w:val="en-US" w:eastAsia="zh-CN" w:bidi="zh-CN"/>
        </w:rPr>
        <w:t>所有项目实施完成并验收合格，支付至合同价款的97%，质保期满，支付合同价款的3%。</w:t>
      </w:r>
    </w:p>
    <w:p>
      <w:pPr>
        <w:keepNext w:val="0"/>
        <w:keepLines w:val="0"/>
        <w:pageBreakBefore w:val="0"/>
        <w:widowControl w:val="0"/>
        <w:kinsoku/>
        <w:wordWrap/>
        <w:overflowPunct/>
        <w:topLinePunct w:val="0"/>
        <w:bidi w:val="0"/>
        <w:spacing w:line="408" w:lineRule="auto"/>
        <w:ind w:firstLine="606" w:firstLineChars="200"/>
        <w:textAlignment w:val="auto"/>
        <w:rPr>
          <w:rFonts w:hint="eastAsia" w:ascii="宋体" w:hAnsi="宋体" w:eastAsia="宋体" w:cs="宋体"/>
          <w:b/>
          <w:bCs/>
          <w:color w:val="auto"/>
          <w:spacing w:val="11"/>
          <w:sz w:val="28"/>
          <w:szCs w:val="28"/>
          <w:highlight w:val="none"/>
          <w:lang w:val="en-US" w:eastAsia="zh-CN"/>
        </w:rPr>
      </w:pPr>
      <w:r>
        <w:rPr>
          <w:rFonts w:hint="eastAsia" w:ascii="宋体" w:hAnsi="宋体" w:eastAsia="宋体" w:cs="宋体"/>
          <w:b/>
          <w:bCs/>
          <w:color w:val="auto"/>
          <w:spacing w:val="11"/>
          <w:sz w:val="28"/>
          <w:szCs w:val="28"/>
          <w:highlight w:val="none"/>
          <w:lang w:val="en-US" w:eastAsia="zh-CN"/>
        </w:rPr>
        <w:t>六、甲方通过公开招标方式确定并接受了乙方提供的服务</w:t>
      </w:r>
      <w:bookmarkStart w:id="39" w:name="_Toc193126879"/>
      <w:bookmarkStart w:id="40" w:name="_Toc193187095"/>
      <w:bookmarkStart w:id="41" w:name="_Toc188808831"/>
      <w:bookmarkStart w:id="42" w:name="_Toc194663916"/>
      <w:r>
        <w:rPr>
          <w:rFonts w:hint="eastAsia" w:ascii="宋体" w:hAnsi="宋体" w:eastAsia="宋体" w:cs="宋体"/>
          <w:b/>
          <w:bCs/>
          <w:color w:val="auto"/>
          <w:spacing w:val="11"/>
          <w:sz w:val="28"/>
          <w:szCs w:val="28"/>
          <w:highlight w:val="none"/>
          <w:lang w:val="en-US" w:eastAsia="zh-CN"/>
        </w:rPr>
        <w:t>，在此声明如下：</w:t>
      </w:r>
    </w:p>
    <w:p>
      <w:pPr>
        <w:keepNext w:val="0"/>
        <w:keepLines w:val="0"/>
        <w:pageBreakBefore w:val="0"/>
        <w:widowControl w:val="0"/>
        <w:numPr>
          <w:ilvl w:val="0"/>
          <w:numId w:val="0"/>
        </w:numPr>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lang w:val="en-US" w:eastAsia="zh-CN"/>
        </w:rPr>
        <w:t>1、</w:t>
      </w:r>
      <w:r>
        <w:rPr>
          <w:rFonts w:hint="eastAsia" w:ascii="宋体" w:hAnsi="宋体" w:cs="宋体"/>
          <w:color w:val="auto"/>
          <w:spacing w:val="11"/>
          <w:sz w:val="28"/>
          <w:szCs w:val="28"/>
          <w:highlight w:val="none"/>
        </w:rPr>
        <w:t>本合同中的词语和术语的含义与合同条款中定义的相同。</w:t>
      </w:r>
      <w:bookmarkEnd w:id="39"/>
      <w:bookmarkEnd w:id="40"/>
      <w:bookmarkEnd w:id="41"/>
      <w:bookmarkEnd w:id="42"/>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2、下述合同附件为本合同不可分割的部分并与本合同具有同等效力：</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（1）服务范围及分项价格表</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（2）招标文件、招标文件澄清文件</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（3）投标文件、投标人在评标期间的承诺文件</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（4）中标通知书</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（5）成果资料</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3、考虑到甲方将按照本合同规定向乙方支付款项，乙方再次保证全部按照合同的规定向甲方提供服务、验收。</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4、考虑到乙方提供的服务并修补缺陷，甲方在此保证按照合同规定的时间和方式向乙方支付合同价或其它按合同规定支付的金额。</w:t>
      </w:r>
    </w:p>
    <w:p>
      <w:pPr>
        <w:keepNext w:val="0"/>
        <w:keepLines w:val="0"/>
        <w:pageBreakBefore w:val="0"/>
        <w:widowControl w:val="0"/>
        <w:kinsoku/>
        <w:wordWrap/>
        <w:overflowPunct/>
        <w:topLinePunct w:val="0"/>
        <w:bidi w:val="0"/>
        <w:spacing w:line="408" w:lineRule="auto"/>
        <w:ind w:firstLine="606" w:firstLineChars="200"/>
        <w:textAlignment w:val="auto"/>
        <w:rPr>
          <w:rFonts w:hint="eastAsia" w:ascii="宋体" w:hAnsi="宋体" w:eastAsia="宋体" w:cs="宋体"/>
          <w:b/>
          <w:bCs/>
          <w:color w:val="auto"/>
          <w:spacing w:val="11"/>
          <w:sz w:val="28"/>
          <w:szCs w:val="28"/>
          <w:highlight w:val="none"/>
          <w:lang w:val="en-US" w:eastAsia="zh-CN"/>
        </w:rPr>
      </w:pPr>
      <w:r>
        <w:rPr>
          <w:rFonts w:hint="eastAsia" w:ascii="宋体" w:hAnsi="宋体" w:eastAsia="宋体" w:cs="宋体"/>
          <w:b/>
          <w:bCs/>
          <w:color w:val="auto"/>
          <w:spacing w:val="11"/>
          <w:sz w:val="28"/>
          <w:szCs w:val="28"/>
          <w:highlight w:val="none"/>
          <w:lang w:val="en-US" w:eastAsia="zh-CN"/>
        </w:rPr>
        <w:t>七、 商业保密条款</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商业秘密：任何一方公开或未公开的任何技术信息和经营信息，包括但不限于：产品计划、销售计划、奖励政策、客户资料、财务信息等，以及非专利技术、设计、程序、技术数据、制作方法、资讯来源等，均构成该方的商业秘密。</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keepNext w:val="0"/>
        <w:keepLines w:val="0"/>
        <w:pageBreakBefore w:val="0"/>
        <w:widowControl w:val="0"/>
        <w:kinsoku/>
        <w:wordWrap/>
        <w:overflowPunct/>
        <w:topLinePunct w:val="0"/>
        <w:bidi w:val="0"/>
        <w:spacing w:line="408" w:lineRule="auto"/>
        <w:ind w:firstLine="606" w:firstLineChars="200"/>
        <w:textAlignment w:val="auto"/>
        <w:rPr>
          <w:rFonts w:hint="eastAsia" w:ascii="宋体" w:hAnsi="宋体" w:eastAsia="宋体" w:cs="宋体"/>
          <w:b/>
          <w:bCs/>
          <w:color w:val="auto"/>
          <w:spacing w:val="11"/>
          <w:sz w:val="28"/>
          <w:szCs w:val="28"/>
          <w:highlight w:val="none"/>
          <w:lang w:val="en-US" w:eastAsia="zh-CN"/>
        </w:rPr>
      </w:pPr>
      <w:r>
        <w:rPr>
          <w:rFonts w:hint="eastAsia" w:ascii="宋体" w:hAnsi="宋体" w:eastAsia="宋体" w:cs="宋体"/>
          <w:b/>
          <w:bCs/>
          <w:color w:val="auto"/>
          <w:spacing w:val="11"/>
          <w:sz w:val="28"/>
          <w:szCs w:val="28"/>
          <w:highlight w:val="none"/>
          <w:lang w:val="en-US" w:eastAsia="zh-CN"/>
        </w:rPr>
        <w:t>八、违约责任</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由于一方不履行本协议规定的义务，或严重违反协议，造成该业务无法经营或无法达到协议的相关约定，视作违约方单方终止协议，另一方除有权向违约的一方索赔外，并有权按协议规定通过法律程序终止协议。如双方同意继续合作，违约方仍应赔偿非违约方的经济损失。</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乙方存在下列行为，乙方应自行承担由此造成的一切损失：</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乙方所提供的产品没有正当合法来源的；</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乙方提供的产品存在质量缺陷使购买者人身权和财产权收到损害的；</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乙方提供或故意编造虚假的进货凭证或进货渠道说明；</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乙方存在下列行为，乙方需按照以下方式承担由此对甲方造成的损失：</w:t>
      </w:r>
    </w:p>
    <w:p>
      <w:pPr>
        <w:keepNext w:val="0"/>
        <w:keepLines w:val="0"/>
        <w:pageBreakBefore w:val="0"/>
        <w:widowControl w:val="0"/>
        <w:kinsoku/>
        <w:wordWrap/>
        <w:overflowPunct/>
        <w:topLinePunct w:val="0"/>
        <w:bidi w:val="0"/>
        <w:spacing w:line="408" w:lineRule="auto"/>
        <w:ind w:firstLine="606" w:firstLineChars="200"/>
        <w:textAlignment w:val="auto"/>
        <w:rPr>
          <w:rFonts w:hint="eastAsia" w:ascii="宋体" w:hAnsi="宋体" w:eastAsia="宋体" w:cs="宋体"/>
          <w:b/>
          <w:bCs/>
          <w:color w:val="auto"/>
          <w:spacing w:val="11"/>
          <w:sz w:val="28"/>
          <w:szCs w:val="28"/>
          <w:highlight w:val="none"/>
          <w:lang w:val="en-US" w:eastAsia="zh-CN"/>
        </w:rPr>
      </w:pPr>
      <w:r>
        <w:rPr>
          <w:rFonts w:hint="eastAsia" w:ascii="宋体" w:hAnsi="宋体" w:eastAsia="宋体" w:cs="宋体"/>
          <w:b/>
          <w:bCs/>
          <w:color w:val="auto"/>
          <w:spacing w:val="11"/>
          <w:sz w:val="28"/>
          <w:szCs w:val="28"/>
          <w:highlight w:val="none"/>
          <w:lang w:val="en-US" w:eastAsia="zh-CN"/>
        </w:rPr>
        <w:t>九、 争议解决方式</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一切由执行合同引起或者与合同有关的争议，均应友好协商解决，协商不成时应按照《中华人民共和国仲裁法》的有关规定提交当地仲裁委员会申请仲裁。</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当一方当事人不履行仲裁裁决时，另一方当事人有权向甲方公司所在地人民法院提出申请，请求人民法院予以强制执行。</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除判决书另有规定外，仲裁费用由败诉方承担。</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仲裁进行过程中，双方将继续履行仲裁部分以外的合同条款。</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本合同未涉及的部分，均按《中华人民共和国民法典》及其它相关法律法规的有关规定执行。</w:t>
      </w:r>
    </w:p>
    <w:p>
      <w:pPr>
        <w:keepNext w:val="0"/>
        <w:keepLines w:val="0"/>
        <w:pageBreakBefore w:val="0"/>
        <w:widowControl w:val="0"/>
        <w:kinsoku/>
        <w:wordWrap/>
        <w:overflowPunct/>
        <w:topLinePunct w:val="0"/>
        <w:bidi w:val="0"/>
        <w:spacing w:line="408" w:lineRule="auto"/>
        <w:ind w:firstLine="606" w:firstLineChars="200"/>
        <w:textAlignment w:val="auto"/>
        <w:rPr>
          <w:rFonts w:hint="eastAsia" w:ascii="宋体" w:hAnsi="宋体" w:eastAsia="宋体" w:cs="宋体"/>
          <w:b/>
          <w:bCs/>
          <w:color w:val="auto"/>
          <w:spacing w:val="11"/>
          <w:sz w:val="28"/>
          <w:szCs w:val="28"/>
          <w:highlight w:val="none"/>
          <w:lang w:val="en-US" w:eastAsia="zh-CN"/>
        </w:rPr>
      </w:pPr>
      <w:r>
        <w:rPr>
          <w:rFonts w:hint="eastAsia" w:ascii="宋体" w:hAnsi="宋体" w:eastAsia="宋体" w:cs="宋体"/>
          <w:b/>
          <w:bCs/>
          <w:color w:val="auto"/>
          <w:spacing w:val="11"/>
          <w:sz w:val="28"/>
          <w:szCs w:val="28"/>
          <w:highlight w:val="none"/>
          <w:lang w:val="en-US" w:eastAsia="zh-CN"/>
        </w:rPr>
        <w:t>十、　协议的生效、终止及其他</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本协议自双方授权代表签字、盖章之日起正式生效。在有效期内如一方要求中止协议，须提前两个月向另一方提出解除本协议的书面通知，如果对方同意解除协议，则协议自对方在书面通知上签字起两个月后自动废止。协议期满前一个月若双方均未以书面形式提出异议，则本协议自动延期一年，延期期数没有限制，直到双方提出异议为止。</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经甲乙双方书面同意的协议附件是本协议不可分割的部分，与协议正文具有同等法律效力。任何变更事宜，均需书面文件。</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对本协议内容做出的任何修改和补充应为书面形式，由双方授权代表签字后成为协议不可分割的部分。</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本协议及其附件为中文本，共肆份原件，均具同等法律效力，双方各执两份为凭。</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本协议未尽事宜，须经双方另行协商并签署书面文件，与本协议具有同等法律效力。</w:t>
      </w:r>
    </w:p>
    <w:p>
      <w:pPr>
        <w:keepNext w:val="0"/>
        <w:keepLines w:val="0"/>
        <w:pageBreakBefore w:val="0"/>
        <w:widowControl w:val="0"/>
        <w:kinsoku/>
        <w:wordWrap/>
        <w:overflowPunct/>
        <w:topLinePunct w:val="0"/>
        <w:bidi w:val="0"/>
        <w:spacing w:line="408" w:lineRule="auto"/>
        <w:ind w:firstLine="604" w:firstLineChars="200"/>
        <w:textAlignment w:val="auto"/>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对协议及附件的任何变更或修改均以书面形式确认，并需甲乙双方代表签字方为有效。</w:t>
      </w:r>
    </w:p>
    <w:tbl>
      <w:tblPr>
        <w:tblStyle w:val="25"/>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649"/>
        <w:gridCol w:w="3899"/>
      </w:tblGrid>
      <w:tr>
        <w:tblPrEx>
          <w:tblCellMar>
            <w:top w:w="0" w:type="dxa"/>
            <w:left w:w="108" w:type="dxa"/>
            <w:bottom w:w="0" w:type="dxa"/>
            <w:right w:w="108" w:type="dxa"/>
          </w:tblCellMar>
        </w:tblPrEx>
        <w:trPr>
          <w:trHeight w:val="3093" w:hRule="atLeast"/>
        </w:trPr>
        <w:tc>
          <w:tcPr>
            <w:tcW w:w="4649" w:type="dxa"/>
            <w:noWrap w:val="0"/>
            <w:tcMar>
              <w:top w:w="113" w:type="dxa"/>
              <w:left w:w="113" w:type="dxa"/>
              <w:bottom w:w="113" w:type="dxa"/>
              <w:right w:w="113" w:type="dxa"/>
            </w:tcMar>
            <w:vAlign w:val="top"/>
          </w:tcPr>
          <w:p>
            <w:pPr>
              <w:autoSpaceDE w:val="0"/>
              <w:autoSpaceDN w:val="0"/>
              <w:spacing w:line="360" w:lineRule="auto"/>
              <w:ind w:left="220" w:leftChars="100"/>
              <w:rPr>
                <w:rFonts w:hint="eastAsia" w:ascii="宋体" w:hAnsi="宋体" w:cs="宋体"/>
                <w:color w:val="auto"/>
                <w:spacing w:val="11"/>
                <w:sz w:val="28"/>
                <w:szCs w:val="28"/>
                <w:highlight w:val="none"/>
              </w:rPr>
            </w:pPr>
            <w:bookmarkStart w:id="43" w:name="OLE_LINK14"/>
            <w:r>
              <w:rPr>
                <w:rFonts w:hint="eastAsia" w:ascii="宋体" w:hAnsi="宋体" w:cs="宋体"/>
                <w:color w:val="auto"/>
                <w:spacing w:val="11"/>
                <w:sz w:val="28"/>
                <w:szCs w:val="28"/>
                <w:highlight w:val="none"/>
              </w:rPr>
              <w:t xml:space="preserve">甲方名称（盖章）： </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 xml:space="preserve">地    址： </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电    话：</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传    真：</w:t>
            </w:r>
          </w:p>
          <w:p>
            <w:pPr>
              <w:autoSpaceDE w:val="0"/>
              <w:autoSpaceDN w:val="0"/>
              <w:spacing w:line="360" w:lineRule="auto"/>
              <w:ind w:left="220" w:leftChars="100"/>
              <w:rPr>
                <w:rFonts w:hint="eastAsia" w:ascii="宋体" w:hAnsi="宋体" w:cs="宋体"/>
                <w:color w:val="auto"/>
                <w:spacing w:val="11"/>
                <w:sz w:val="28"/>
                <w:szCs w:val="28"/>
                <w:highlight w:val="none"/>
              </w:rPr>
            </w:pPr>
          </w:p>
          <w:p>
            <w:pPr>
              <w:autoSpaceDE w:val="0"/>
              <w:autoSpaceDN w:val="0"/>
              <w:spacing w:line="360" w:lineRule="auto"/>
              <w:ind w:left="220" w:leftChars="100"/>
              <w:rPr>
                <w:rFonts w:hint="eastAsia" w:ascii="宋体" w:hAnsi="宋体" w:cs="宋体"/>
                <w:color w:val="auto"/>
                <w:spacing w:val="11"/>
                <w:sz w:val="28"/>
                <w:szCs w:val="28"/>
                <w:highlight w:val="none"/>
              </w:rPr>
            </w:pP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代表签字：</w:t>
            </w:r>
          </w:p>
          <w:p>
            <w:pPr>
              <w:spacing w:line="360" w:lineRule="auto"/>
              <w:ind w:left="220" w:leftChars="100"/>
              <w:rPr>
                <w:rFonts w:hint="eastAsia" w:ascii="宋体" w:hAnsi="宋体" w:cs="宋体"/>
                <w:color w:val="auto"/>
                <w:spacing w:val="11"/>
                <w:sz w:val="28"/>
                <w:szCs w:val="28"/>
                <w:highlight w:val="none"/>
              </w:rPr>
            </w:pPr>
          </w:p>
          <w:p>
            <w:pPr>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 xml:space="preserve">  年   月   日 </w:t>
            </w:r>
            <w:bookmarkEnd w:id="43"/>
          </w:p>
        </w:tc>
        <w:tc>
          <w:tcPr>
            <w:tcW w:w="3899" w:type="dxa"/>
            <w:noWrap w:val="0"/>
            <w:tcMar>
              <w:top w:w="113" w:type="dxa"/>
              <w:left w:w="113" w:type="dxa"/>
              <w:bottom w:w="113" w:type="dxa"/>
              <w:right w:w="113" w:type="dxa"/>
            </w:tcMar>
            <w:vAlign w:val="top"/>
          </w:tcPr>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乙方名称（盖章）：</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 xml:space="preserve">地    址： </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 xml:space="preserve">电    话： </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 xml:space="preserve">传    真：  </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开户银行：</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cs="宋体"/>
                <w:color w:val="auto"/>
                <w:spacing w:val="11"/>
                <w:sz w:val="28"/>
                <w:szCs w:val="28"/>
                <w:highlight w:val="none"/>
                <w:lang w:eastAsia="zh-CN"/>
              </w:rPr>
              <w:t>账</w:t>
            </w:r>
            <w:r>
              <w:rPr>
                <w:rFonts w:hint="eastAsia" w:ascii="宋体" w:hAnsi="宋体" w:cs="宋体"/>
                <w:color w:val="auto"/>
                <w:spacing w:val="11"/>
                <w:sz w:val="28"/>
                <w:szCs w:val="28"/>
                <w:highlight w:val="none"/>
              </w:rPr>
              <w:t xml:space="preserve">    号：</w:t>
            </w:r>
          </w:p>
          <w:p>
            <w:pPr>
              <w:autoSpaceDE w:val="0"/>
              <w:autoSpaceDN w:val="0"/>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代表签字：</w:t>
            </w:r>
          </w:p>
          <w:p>
            <w:pPr>
              <w:spacing w:line="360" w:lineRule="auto"/>
              <w:ind w:left="220" w:leftChars="100"/>
              <w:rPr>
                <w:rFonts w:hint="eastAsia" w:ascii="宋体" w:hAnsi="宋体" w:cs="宋体"/>
                <w:color w:val="auto"/>
                <w:spacing w:val="11"/>
                <w:sz w:val="28"/>
                <w:szCs w:val="28"/>
                <w:highlight w:val="none"/>
              </w:rPr>
            </w:pPr>
          </w:p>
          <w:p>
            <w:pPr>
              <w:spacing w:line="360" w:lineRule="auto"/>
              <w:ind w:left="220" w:leftChars="100"/>
              <w:rPr>
                <w:rFonts w:hint="eastAsia" w:ascii="宋体" w:hAnsi="宋体" w:cs="宋体"/>
                <w:color w:val="auto"/>
                <w:spacing w:val="11"/>
                <w:sz w:val="28"/>
                <w:szCs w:val="28"/>
                <w:highlight w:val="none"/>
              </w:rPr>
            </w:pPr>
            <w:r>
              <w:rPr>
                <w:rFonts w:hint="eastAsia" w:ascii="宋体" w:hAnsi="宋体" w:cs="宋体"/>
                <w:color w:val="auto"/>
                <w:spacing w:val="11"/>
                <w:sz w:val="28"/>
                <w:szCs w:val="28"/>
                <w:highlight w:val="none"/>
              </w:rPr>
              <w:t xml:space="preserve">   年    月    日</w:t>
            </w:r>
          </w:p>
        </w:tc>
      </w:tr>
    </w:tbl>
    <w:p>
      <w:pPr>
        <w:rPr>
          <w:rFonts w:hint="eastAsia"/>
          <w:color w:val="auto"/>
          <w:highlight w:val="none"/>
        </w:rPr>
      </w:pPr>
    </w:p>
    <w:p>
      <w:pPr>
        <w:pStyle w:val="8"/>
        <w:rPr>
          <w:rFonts w:hint="eastAsia"/>
          <w:color w:val="auto"/>
          <w:highlight w:val="none"/>
        </w:rPr>
      </w:pPr>
    </w:p>
    <w:p>
      <w:pPr>
        <w:pStyle w:val="9"/>
        <w:rPr>
          <w:rFonts w:hint="eastAsia"/>
          <w:color w:val="auto"/>
          <w:highlight w:val="none"/>
        </w:rPr>
      </w:pPr>
    </w:p>
    <w:p>
      <w:pPr>
        <w:rPr>
          <w:rFonts w:hint="eastAsia"/>
          <w:color w:val="auto"/>
          <w:highlight w:val="none"/>
        </w:rPr>
      </w:pPr>
    </w:p>
    <w:p>
      <w:pPr>
        <w:pStyle w:val="8"/>
        <w:rPr>
          <w:rFonts w:hint="eastAsia"/>
          <w:color w:val="auto"/>
          <w:highlight w:val="none"/>
        </w:rPr>
      </w:pPr>
    </w:p>
    <w:p>
      <w:pPr>
        <w:pStyle w:val="9"/>
        <w:rPr>
          <w:rFonts w:hint="eastAsia"/>
          <w:color w:val="auto"/>
          <w:highlight w:val="none"/>
        </w:rPr>
      </w:pPr>
    </w:p>
    <w:p>
      <w:pPr>
        <w:tabs>
          <w:tab w:val="left" w:pos="480"/>
        </w:tabs>
        <w:spacing w:line="360" w:lineRule="auto"/>
        <w:ind w:firstLine="400" w:firstLineChars="200"/>
        <w:rPr>
          <w:color w:val="auto"/>
          <w:spacing w:val="-20"/>
          <w:sz w:val="24"/>
          <w:szCs w:val="24"/>
          <w:highlight w:val="none"/>
        </w:rPr>
      </w:pPr>
    </w:p>
    <w:p>
      <w:pPr>
        <w:pStyle w:val="8"/>
        <w:rPr>
          <w:color w:val="auto"/>
          <w:spacing w:val="-20"/>
          <w:sz w:val="24"/>
          <w:szCs w:val="24"/>
          <w:highlight w:val="none"/>
        </w:rPr>
      </w:pPr>
    </w:p>
    <w:p>
      <w:pPr>
        <w:pStyle w:val="9"/>
        <w:rPr>
          <w:color w:val="auto"/>
          <w:spacing w:val="-20"/>
          <w:sz w:val="24"/>
          <w:szCs w:val="24"/>
          <w:highlight w:val="none"/>
        </w:rPr>
      </w:pPr>
    </w:p>
    <w:p>
      <w:pPr>
        <w:rPr>
          <w:color w:val="auto"/>
          <w:spacing w:val="-20"/>
          <w:sz w:val="24"/>
          <w:szCs w:val="24"/>
          <w:highlight w:val="none"/>
        </w:rPr>
      </w:pPr>
    </w:p>
    <w:p>
      <w:pPr>
        <w:pStyle w:val="8"/>
        <w:rPr>
          <w:color w:val="auto"/>
          <w:spacing w:val="-20"/>
          <w:sz w:val="24"/>
          <w:szCs w:val="24"/>
          <w:highlight w:val="none"/>
        </w:rPr>
      </w:pPr>
    </w:p>
    <w:p>
      <w:pPr>
        <w:pStyle w:val="9"/>
        <w:rPr>
          <w:color w:val="auto"/>
          <w:spacing w:val="-20"/>
          <w:sz w:val="24"/>
          <w:szCs w:val="24"/>
          <w:highlight w:val="none"/>
        </w:rPr>
      </w:pPr>
    </w:p>
    <w:p>
      <w:pPr>
        <w:rPr>
          <w:color w:val="auto"/>
          <w:highlight w:val="none"/>
        </w:rPr>
      </w:pPr>
    </w:p>
    <w:p>
      <w:pPr>
        <w:rPr>
          <w:color w:val="auto"/>
          <w:sz w:val="24"/>
          <w:szCs w:val="24"/>
          <w:highlight w:val="none"/>
        </w:rPr>
      </w:pPr>
    </w:p>
    <w:p>
      <w:pPr>
        <w:rPr>
          <w:lang w:val="en-US"/>
        </w:rPr>
      </w:pPr>
      <w:bookmarkStart w:id="44" w:name="_Toc13791"/>
    </w:p>
    <w:p>
      <w:pPr>
        <w:pStyle w:val="3"/>
        <w:bidi w:val="0"/>
        <w:spacing w:line="480" w:lineRule="auto"/>
        <w:jc w:val="center"/>
        <w:rPr>
          <w:rFonts w:hint="eastAsia" w:ascii="宋体" w:hAnsi="宋体" w:eastAsia="宋体" w:cs="宋体"/>
          <w:color w:val="auto"/>
          <w:sz w:val="36"/>
          <w:szCs w:val="36"/>
          <w:highlight w:val="none"/>
          <w:lang w:val="en-US"/>
        </w:rPr>
      </w:pPr>
      <w:bookmarkStart w:id="45" w:name="_Toc29540"/>
      <w:r>
        <w:rPr>
          <w:rFonts w:hint="eastAsia" w:ascii="宋体" w:hAnsi="宋体" w:eastAsia="宋体" w:cs="宋体"/>
          <w:color w:val="auto"/>
          <w:sz w:val="36"/>
          <w:szCs w:val="36"/>
          <w:highlight w:val="none"/>
          <w:lang w:val="en-US"/>
        </w:rPr>
        <w:t>第</w:t>
      </w: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lang w:val="en-US"/>
        </w:rPr>
        <w:t>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val="en-US"/>
        </w:rPr>
        <w:t xml:space="preserve"> 投标文件格式</w:t>
      </w:r>
      <w:bookmarkEnd w:id="44"/>
      <w:bookmarkEnd w:id="45"/>
    </w:p>
    <w:p>
      <w:bookmarkStart w:id="46" w:name="_Toc26511"/>
      <w:bookmarkStart w:id="47" w:name="_Toc2330"/>
      <w:bookmarkStart w:id="48" w:name="_Toc27548"/>
    </w:p>
    <w:p>
      <w:pPr>
        <w:spacing w:line="480" w:lineRule="auto"/>
        <w:jc w:val="center"/>
        <w:rPr>
          <w:b/>
          <w:bCs/>
          <w:sz w:val="24"/>
          <w:szCs w:val="24"/>
        </w:rPr>
      </w:pPr>
      <w:bookmarkStart w:id="49" w:name="_Toc14129"/>
      <w:r>
        <w:rPr>
          <w:rFonts w:hint="eastAsia"/>
          <w:b/>
          <w:bCs/>
          <w:sz w:val="24"/>
          <w:szCs w:val="24"/>
        </w:rPr>
        <w:t>投标文件编制说明</w:t>
      </w:r>
      <w:bookmarkEnd w:id="46"/>
      <w:bookmarkEnd w:id="47"/>
      <w:bookmarkEnd w:id="48"/>
      <w:bookmarkEnd w:id="49"/>
    </w:p>
    <w:p>
      <w:pPr>
        <w:spacing w:line="48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代理</w:t>
      </w:r>
      <w:r>
        <w:rPr>
          <w:rFonts w:hint="eastAsia"/>
          <w:color w:val="auto"/>
          <w:sz w:val="24"/>
          <w:szCs w:val="24"/>
          <w:highlight w:val="none"/>
        </w:rPr>
        <w:t>提供的投标文件格式，起到样式作用，编制投标文件前，请详细阅读招标文件，理解文件中的每一项要求。</w:t>
      </w:r>
    </w:p>
    <w:p>
      <w:pPr>
        <w:spacing w:line="480" w:lineRule="auto"/>
        <w:ind w:firstLine="480" w:firstLineChars="200"/>
        <w:rPr>
          <w:color w:val="auto"/>
          <w:sz w:val="24"/>
          <w:szCs w:val="24"/>
          <w:highlight w:val="none"/>
        </w:rPr>
      </w:pPr>
      <w:r>
        <w:rPr>
          <w:rFonts w:hint="eastAsia"/>
          <w:color w:val="auto"/>
          <w:sz w:val="24"/>
          <w:szCs w:val="24"/>
          <w:highlight w:val="none"/>
        </w:rPr>
        <w:t>2、投标文件的编制应按照样本格式提供的内容，做出逐一明确的答复；</w:t>
      </w:r>
      <w:r>
        <w:rPr>
          <w:rFonts w:hint="eastAsia"/>
          <w:color w:val="auto"/>
          <w:sz w:val="24"/>
          <w:szCs w:val="24"/>
          <w:highlight w:val="none"/>
          <w:lang w:val="en-US" w:eastAsia="zh-CN"/>
        </w:rPr>
        <w:t>投标人</w:t>
      </w:r>
      <w:r>
        <w:rPr>
          <w:rFonts w:hint="eastAsia"/>
          <w:color w:val="auto"/>
          <w:sz w:val="24"/>
          <w:szCs w:val="24"/>
          <w:highlight w:val="none"/>
        </w:rPr>
        <w:t>认为有必要，还可以做其它补充说明。</w:t>
      </w:r>
    </w:p>
    <w:p>
      <w:pPr>
        <w:spacing w:line="480" w:lineRule="auto"/>
        <w:ind w:firstLine="480" w:firstLineChars="200"/>
        <w:rPr>
          <w:color w:val="auto"/>
          <w:sz w:val="24"/>
          <w:highlight w:val="none"/>
        </w:rPr>
      </w:pPr>
      <w:r>
        <w:rPr>
          <w:rFonts w:hint="eastAsia"/>
          <w:color w:val="auto"/>
          <w:sz w:val="24"/>
          <w:szCs w:val="24"/>
          <w:highlight w:val="none"/>
        </w:rPr>
        <w:t>3、全部编制完成，并加盖公章后，正本和副本应分别装订成册各密封在正本和副本袋子内。</w:t>
      </w:r>
    </w:p>
    <w:p>
      <w:pPr>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pStyle w:val="12"/>
        <w:ind w:left="0"/>
        <w:rPr>
          <w:color w:val="auto"/>
          <w:highlight w:val="none"/>
        </w:rPr>
      </w:pPr>
    </w:p>
    <w:p>
      <w:pPr>
        <w:rPr>
          <w:color w:val="auto"/>
          <w:highlight w:val="none"/>
        </w:rPr>
      </w:pPr>
    </w:p>
    <w:p>
      <w:pPr>
        <w:pStyle w:val="12"/>
        <w:rPr>
          <w:color w:val="auto"/>
          <w:highlight w:val="none"/>
        </w:rPr>
      </w:pPr>
    </w:p>
    <w:p>
      <w:pPr>
        <w:rPr>
          <w:color w:val="auto"/>
          <w:highlight w:val="none"/>
        </w:rPr>
      </w:pPr>
    </w:p>
    <w:p>
      <w:pPr>
        <w:pStyle w:val="31"/>
        <w:ind w:firstLine="480"/>
        <w:rPr>
          <w:color w:val="auto"/>
          <w:highlight w:val="none"/>
          <w:lang w:val="zh-CN" w:bidi="zh-CN"/>
        </w:rPr>
      </w:pPr>
    </w:p>
    <w:p>
      <w:pPr>
        <w:rPr>
          <w:color w:val="auto"/>
          <w:highlight w:val="none"/>
        </w:rPr>
      </w:pPr>
    </w:p>
    <w:p>
      <w:pPr>
        <w:pStyle w:val="31"/>
        <w:ind w:firstLine="480"/>
        <w:rPr>
          <w:color w:val="auto"/>
          <w:highlight w:val="none"/>
          <w:lang w:val="zh-CN" w:bidi="zh-CN"/>
        </w:rPr>
      </w:pPr>
    </w:p>
    <w:p>
      <w:pPr>
        <w:rPr>
          <w:color w:val="auto"/>
          <w:highlight w:val="none"/>
        </w:rPr>
      </w:pPr>
    </w:p>
    <w:p>
      <w:pPr>
        <w:rPr>
          <w:color w:val="auto"/>
          <w:highlight w:val="none"/>
        </w:rPr>
      </w:pPr>
    </w:p>
    <w:p>
      <w:pPr>
        <w:rPr>
          <w:rFonts w:hint="eastAsia"/>
          <w:sz w:val="28"/>
          <w:szCs w:val="28"/>
          <w:lang w:val="en-US"/>
        </w:rPr>
      </w:pPr>
      <w:bookmarkStart w:id="50" w:name="_Toc25958"/>
      <w:bookmarkStart w:id="51" w:name="_Toc12523"/>
      <w:bookmarkStart w:id="52" w:name="_Toc30809"/>
      <w:bookmarkStart w:id="53" w:name="_Toc30987"/>
      <w:r>
        <w:rPr>
          <w:rFonts w:hint="eastAsia"/>
          <w:sz w:val="28"/>
          <w:szCs w:val="28"/>
          <w:lang w:val="en-US" w:eastAsia="zh-CN"/>
        </w:rPr>
        <w:t>项目</w:t>
      </w:r>
      <w:r>
        <w:rPr>
          <w:rFonts w:hint="eastAsia"/>
          <w:sz w:val="28"/>
          <w:szCs w:val="28"/>
        </w:rPr>
        <w:t>编号：</w:t>
      </w:r>
      <w:r>
        <w:rPr>
          <w:rFonts w:hint="eastAsia"/>
          <w:sz w:val="28"/>
          <w:szCs w:val="28"/>
          <w:lang w:val="en-US"/>
        </w:rPr>
        <w:t xml:space="preserve">                                </w:t>
      </w:r>
    </w:p>
    <w:p>
      <w:pPr>
        <w:rPr>
          <w:rFonts w:hint="eastAsia"/>
          <w:sz w:val="28"/>
          <w:szCs w:val="28"/>
        </w:rPr>
      </w:pPr>
      <w:r>
        <w:rPr>
          <w:rFonts w:hint="eastAsia"/>
          <w:sz w:val="28"/>
          <w:szCs w:val="28"/>
          <w:lang w:val="en-US"/>
        </w:rPr>
        <w:t xml:space="preserve">  </w:t>
      </w:r>
      <w:r>
        <w:rPr>
          <w:rFonts w:hint="eastAsia"/>
          <w:sz w:val="28"/>
          <w:szCs w:val="28"/>
        </w:rPr>
        <w:t xml:space="preserve">       </w:t>
      </w:r>
    </w:p>
    <w:p>
      <w:pPr>
        <w:jc w:val="right"/>
        <w:rPr>
          <w:sz w:val="28"/>
          <w:szCs w:val="28"/>
        </w:rPr>
      </w:pPr>
      <w:r>
        <w:rPr>
          <w:rFonts w:hint="eastAsia"/>
          <w:sz w:val="28"/>
          <w:szCs w:val="28"/>
        </w:rPr>
        <w:t xml:space="preserve">  正（副）本</w:t>
      </w:r>
      <w:bookmarkEnd w:id="50"/>
      <w:bookmarkEnd w:id="51"/>
      <w:bookmarkEnd w:id="52"/>
      <w:bookmarkEnd w:id="53"/>
    </w:p>
    <w:p>
      <w:pPr>
        <w:spacing w:line="360" w:lineRule="auto"/>
        <w:jc w:val="center"/>
        <w:rPr>
          <w:b/>
          <w:color w:val="auto"/>
          <w:sz w:val="48"/>
          <w:szCs w:val="48"/>
          <w:highlight w:val="none"/>
        </w:rPr>
      </w:pPr>
    </w:p>
    <w:p>
      <w:pPr>
        <w:pStyle w:val="8"/>
        <w:rPr>
          <w:color w:val="auto"/>
          <w:highlight w:val="none"/>
        </w:rPr>
      </w:pPr>
    </w:p>
    <w:p>
      <w:pPr>
        <w:pStyle w:val="12"/>
        <w:rPr>
          <w:color w:val="auto"/>
          <w:highlight w:val="none"/>
        </w:rPr>
      </w:pPr>
    </w:p>
    <w:p>
      <w:pPr>
        <w:pStyle w:val="8"/>
        <w:ind w:firstLine="0"/>
        <w:jc w:val="both"/>
        <w:rPr>
          <w:rFonts w:hint="default" w:eastAsia="宋体"/>
          <w:color w:val="auto"/>
          <w:sz w:val="56"/>
          <w:szCs w:val="56"/>
          <w:highlight w:val="none"/>
          <w:lang w:val="en-US" w:eastAsia="zh-CN"/>
        </w:rPr>
      </w:pPr>
      <w:r>
        <w:rPr>
          <w:rFonts w:hint="eastAsia"/>
          <w:color w:val="auto"/>
          <w:sz w:val="56"/>
          <w:szCs w:val="56"/>
          <w:highlight w:val="none"/>
          <w:u w:val="none"/>
          <w:lang w:val="en-US" w:eastAsia="zh-CN"/>
        </w:rPr>
        <w:t xml:space="preserve">    </w:t>
      </w:r>
      <w:r>
        <w:rPr>
          <w:rFonts w:hint="eastAsia"/>
          <w:color w:val="auto"/>
          <w:sz w:val="56"/>
          <w:szCs w:val="56"/>
          <w:highlight w:val="none"/>
          <w:u w:val="single"/>
          <w:lang w:val="en-US" w:eastAsia="zh-CN"/>
        </w:rPr>
        <w:t xml:space="preserve">       （项目名称）        </w:t>
      </w:r>
    </w:p>
    <w:p>
      <w:pPr>
        <w:pStyle w:val="8"/>
        <w:rPr>
          <w:color w:val="auto"/>
          <w:sz w:val="72"/>
          <w:szCs w:val="72"/>
          <w:highlight w:val="none"/>
        </w:rPr>
      </w:pPr>
    </w:p>
    <w:p>
      <w:pPr>
        <w:pStyle w:val="8"/>
        <w:rPr>
          <w:color w:val="auto"/>
          <w:sz w:val="72"/>
          <w:szCs w:val="72"/>
          <w:highlight w:val="none"/>
        </w:rPr>
      </w:pPr>
    </w:p>
    <w:p>
      <w:pPr>
        <w:pStyle w:val="8"/>
        <w:rPr>
          <w:color w:val="auto"/>
          <w:sz w:val="72"/>
          <w:szCs w:val="72"/>
          <w:highlight w:val="none"/>
        </w:rPr>
      </w:pPr>
    </w:p>
    <w:p>
      <w:pPr>
        <w:spacing w:line="360" w:lineRule="auto"/>
        <w:jc w:val="center"/>
        <w:rPr>
          <w:b/>
          <w:bCs/>
          <w:color w:val="auto"/>
          <w:spacing w:val="12"/>
          <w:sz w:val="84"/>
          <w:highlight w:val="none"/>
        </w:rPr>
      </w:pPr>
      <w:r>
        <w:rPr>
          <w:rFonts w:hint="eastAsia"/>
          <w:b/>
          <w:bCs/>
          <w:color w:val="auto"/>
          <w:spacing w:val="12"/>
          <w:sz w:val="84"/>
          <w:highlight w:val="none"/>
        </w:rPr>
        <w:t>投标文件</w:t>
      </w:r>
    </w:p>
    <w:p>
      <w:pPr>
        <w:spacing w:line="360" w:lineRule="auto"/>
        <w:rPr>
          <w:color w:val="auto"/>
          <w:szCs w:val="21"/>
          <w:highlight w:val="none"/>
        </w:rPr>
      </w:pPr>
    </w:p>
    <w:p>
      <w:pPr>
        <w:pStyle w:val="12"/>
        <w:rPr>
          <w:color w:val="auto"/>
          <w:szCs w:val="21"/>
          <w:highlight w:val="none"/>
        </w:rPr>
      </w:pPr>
    </w:p>
    <w:p>
      <w:pPr>
        <w:rPr>
          <w:color w:val="auto"/>
          <w:szCs w:val="21"/>
          <w:highlight w:val="none"/>
        </w:rPr>
      </w:pPr>
    </w:p>
    <w:p>
      <w:pPr>
        <w:pStyle w:val="2"/>
      </w:pPr>
    </w:p>
    <w:p>
      <w:pPr>
        <w:pStyle w:val="12"/>
        <w:rPr>
          <w:color w:val="auto"/>
          <w:szCs w:val="21"/>
          <w:highlight w:val="none"/>
        </w:rPr>
      </w:pPr>
    </w:p>
    <w:p>
      <w:pPr>
        <w:pStyle w:val="8"/>
        <w:rPr>
          <w:color w:val="auto"/>
          <w:highlight w:val="none"/>
        </w:rPr>
      </w:pPr>
    </w:p>
    <w:p>
      <w:pPr>
        <w:spacing w:line="360" w:lineRule="auto"/>
        <w:ind w:firstLine="440" w:firstLineChars="200"/>
        <w:rPr>
          <w:color w:val="auto"/>
          <w:szCs w:val="21"/>
          <w:highlight w:val="none"/>
        </w:rPr>
      </w:pPr>
    </w:p>
    <w:p>
      <w:pPr>
        <w:spacing w:line="360" w:lineRule="auto"/>
        <w:ind w:firstLine="440" w:firstLineChars="200"/>
        <w:rPr>
          <w:color w:val="auto"/>
          <w:szCs w:val="21"/>
          <w:highlight w:val="none"/>
        </w:rPr>
      </w:pPr>
    </w:p>
    <w:p>
      <w:pPr>
        <w:spacing w:line="360" w:lineRule="auto"/>
        <w:ind w:firstLine="440" w:firstLineChars="200"/>
        <w:rPr>
          <w:color w:val="auto"/>
          <w:szCs w:val="21"/>
          <w:highlight w:val="none"/>
        </w:rPr>
      </w:pPr>
    </w:p>
    <w:p>
      <w:pPr>
        <w:spacing w:line="480" w:lineRule="auto"/>
        <w:ind w:firstLine="1120" w:firstLineChars="400"/>
        <w:rPr>
          <w:color w:val="auto"/>
          <w:sz w:val="28"/>
          <w:szCs w:val="28"/>
          <w:highlight w:val="none"/>
        </w:rPr>
      </w:pPr>
      <w:r>
        <w:rPr>
          <w:rFonts w:hint="eastAsia"/>
          <w:color w:val="auto"/>
          <w:sz w:val="28"/>
          <w:szCs w:val="28"/>
          <w:highlight w:val="none"/>
          <w:lang w:val="en-US" w:eastAsia="zh-CN"/>
        </w:rPr>
        <w:t>投标人名称</w:t>
      </w:r>
      <w:r>
        <w:rPr>
          <w:rFonts w:hint="eastAsia"/>
          <w:color w:val="auto"/>
          <w:sz w:val="28"/>
          <w:szCs w:val="28"/>
          <w:highlight w:val="none"/>
        </w:rPr>
        <w:t>：</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rPr>
        <w:t>（盖单位章）</w:t>
      </w:r>
    </w:p>
    <w:p>
      <w:pPr>
        <w:spacing w:line="480" w:lineRule="auto"/>
        <w:ind w:firstLine="1120" w:firstLineChars="400"/>
        <w:rPr>
          <w:color w:val="auto"/>
          <w:sz w:val="28"/>
          <w:szCs w:val="28"/>
          <w:highlight w:val="none"/>
        </w:rPr>
      </w:pPr>
      <w:r>
        <w:rPr>
          <w:rFonts w:hint="eastAsia"/>
          <w:color w:val="auto"/>
          <w:sz w:val="28"/>
          <w:szCs w:val="28"/>
          <w:highlight w:val="none"/>
        </w:rPr>
        <w:t>法定代表人或其委托代理人：</w:t>
      </w:r>
      <w:r>
        <w:rPr>
          <w:rFonts w:hint="eastAsia"/>
          <w:color w:val="auto"/>
          <w:sz w:val="28"/>
          <w:szCs w:val="28"/>
          <w:highlight w:val="none"/>
          <w:u w:val="single"/>
        </w:rPr>
        <w:t xml:space="preserve">           </w:t>
      </w:r>
      <w:r>
        <w:rPr>
          <w:rFonts w:hint="eastAsia"/>
          <w:color w:val="auto"/>
          <w:sz w:val="28"/>
          <w:szCs w:val="28"/>
          <w:highlight w:val="none"/>
        </w:rPr>
        <w:t>（签字或</w:t>
      </w:r>
      <w:r>
        <w:rPr>
          <w:rFonts w:hint="eastAsia"/>
          <w:color w:val="auto"/>
          <w:sz w:val="28"/>
          <w:szCs w:val="28"/>
          <w:highlight w:val="none"/>
          <w:lang w:val="en-US"/>
        </w:rPr>
        <w:t>盖章</w:t>
      </w:r>
      <w:r>
        <w:rPr>
          <w:rFonts w:hint="eastAsia"/>
          <w:color w:val="auto"/>
          <w:sz w:val="28"/>
          <w:szCs w:val="28"/>
          <w:highlight w:val="none"/>
        </w:rPr>
        <w:t>）</w:t>
      </w:r>
    </w:p>
    <w:p>
      <w:pPr>
        <w:spacing w:line="480" w:lineRule="auto"/>
        <w:jc w:val="center"/>
        <w:rPr>
          <w:color w:val="auto"/>
          <w:sz w:val="28"/>
          <w:szCs w:val="28"/>
          <w:highlight w:val="none"/>
        </w:rPr>
      </w:pPr>
      <w:r>
        <w:rPr>
          <w:rFonts w:hint="eastAsia"/>
          <w:color w:val="auto"/>
          <w:szCs w:val="21"/>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pPr>
        <w:pStyle w:val="12"/>
        <w:ind w:left="0"/>
        <w:rPr>
          <w:color w:val="auto"/>
          <w:highlight w:val="none"/>
        </w:rPr>
      </w:pPr>
    </w:p>
    <w:p>
      <w:pPr>
        <w:rPr>
          <w:color w:val="auto"/>
          <w:sz w:val="24"/>
          <w:highlight w:val="none"/>
        </w:rPr>
      </w:pPr>
    </w:p>
    <w:p>
      <w:pPr>
        <w:pStyle w:val="12"/>
        <w:ind w:left="0"/>
        <w:rPr>
          <w:color w:val="auto"/>
          <w:highlight w:val="none"/>
        </w:rPr>
      </w:pPr>
    </w:p>
    <w:p>
      <w:pPr>
        <w:pStyle w:val="8"/>
        <w:ind w:firstLine="0"/>
        <w:jc w:val="center"/>
        <w:rPr>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lang w:val="en-US" w:eastAsia="zh-CN"/>
        </w:rPr>
        <w:t xml:space="preserve">  </w:t>
      </w:r>
      <w:r>
        <w:rPr>
          <w:rFonts w:hint="eastAsia"/>
          <w:b/>
          <w:bCs/>
          <w:color w:val="auto"/>
          <w:sz w:val="36"/>
          <w:szCs w:val="36"/>
          <w:highlight w:val="none"/>
        </w:rPr>
        <w:t>录</w:t>
      </w:r>
    </w:p>
    <w:p>
      <w:pPr>
        <w:spacing w:line="360" w:lineRule="auto"/>
        <w:rPr>
          <w:rFonts w:hint="eastAsia"/>
          <w:color w:val="auto"/>
          <w:sz w:val="28"/>
          <w:szCs w:val="28"/>
          <w:highlight w:val="none"/>
        </w:rPr>
      </w:pPr>
    </w:p>
    <w:p>
      <w:pPr>
        <w:keepNext w:val="0"/>
        <w:keepLines w:val="0"/>
        <w:pageBreakBefore w:val="0"/>
        <w:widowControl w:val="0"/>
        <w:numPr>
          <w:ilvl w:val="0"/>
          <w:numId w:val="0"/>
        </w:numPr>
        <w:kinsoku/>
        <w:wordWrap/>
        <w:overflowPunct/>
        <w:topLinePunct w:val="0"/>
        <w:autoSpaceDE w:val="0"/>
        <w:autoSpaceDN w:val="0"/>
        <w:bidi w:val="0"/>
        <w:snapToGrid/>
        <w:spacing w:line="408" w:lineRule="auto"/>
        <w:ind w:firstLine="560" w:firstLineChars="200"/>
        <w:rPr>
          <w:rFonts w:hint="eastAsia"/>
          <w:color w:val="auto"/>
          <w:sz w:val="28"/>
          <w:szCs w:val="28"/>
          <w:highlight w:val="none"/>
        </w:rPr>
      </w:pPr>
      <w:r>
        <w:rPr>
          <w:rFonts w:hint="eastAsia" w:ascii="宋体" w:hAnsi="宋体" w:eastAsia="宋体" w:cs="宋体"/>
          <w:color w:val="auto"/>
          <w:sz w:val="28"/>
          <w:szCs w:val="28"/>
          <w:highlight w:val="none"/>
          <w:lang w:val="zh-CN" w:eastAsia="zh-CN" w:bidi="zh-CN"/>
        </w:rPr>
        <w:t>一、</w:t>
      </w:r>
      <w:r>
        <w:rPr>
          <w:rFonts w:hint="eastAsia"/>
          <w:color w:val="auto"/>
          <w:sz w:val="28"/>
          <w:szCs w:val="28"/>
          <w:highlight w:val="none"/>
        </w:rPr>
        <w:t>投标函</w:t>
      </w:r>
      <w:r>
        <w:rPr>
          <w:rFonts w:hint="eastAsia"/>
          <w:color w:val="auto"/>
          <w:sz w:val="28"/>
          <w:szCs w:val="28"/>
          <w:highlight w:val="none"/>
          <w:lang w:val="en-US" w:eastAsia="zh-CN"/>
        </w:rPr>
        <w:t>及</w:t>
      </w:r>
      <w:r>
        <w:rPr>
          <w:rFonts w:hint="eastAsia"/>
          <w:color w:val="auto"/>
          <w:sz w:val="28"/>
          <w:szCs w:val="28"/>
          <w:highlight w:val="none"/>
        </w:rPr>
        <w:t>报价</w:t>
      </w:r>
      <w:r>
        <w:rPr>
          <w:rFonts w:hint="eastAsia"/>
          <w:color w:val="auto"/>
          <w:sz w:val="28"/>
          <w:szCs w:val="28"/>
          <w:highlight w:val="none"/>
          <w:lang w:val="en-US" w:eastAsia="zh-CN"/>
        </w:rPr>
        <w:t>一览</w:t>
      </w:r>
      <w:r>
        <w:rPr>
          <w:rFonts w:hint="eastAsia"/>
          <w:color w:val="auto"/>
          <w:sz w:val="28"/>
          <w:szCs w:val="28"/>
          <w:highlight w:val="none"/>
        </w:rPr>
        <w:t>表</w:t>
      </w:r>
    </w:p>
    <w:p>
      <w:pPr>
        <w:keepNext w:val="0"/>
        <w:keepLines w:val="0"/>
        <w:pageBreakBefore w:val="0"/>
        <w:widowControl w:val="0"/>
        <w:numPr>
          <w:ilvl w:val="0"/>
          <w:numId w:val="0"/>
        </w:numPr>
        <w:kinsoku/>
        <w:wordWrap/>
        <w:overflowPunct/>
        <w:topLinePunct w:val="0"/>
        <w:autoSpaceDE w:val="0"/>
        <w:autoSpaceDN w:val="0"/>
        <w:bidi w:val="0"/>
        <w:snapToGrid/>
        <w:spacing w:line="408" w:lineRule="auto"/>
        <w:ind w:firstLine="560" w:firstLineChars="200"/>
        <w:rPr>
          <w:color w:val="auto"/>
          <w:sz w:val="28"/>
          <w:szCs w:val="28"/>
          <w:highlight w:val="none"/>
        </w:rPr>
      </w:pPr>
      <w:r>
        <w:rPr>
          <w:rFonts w:hint="eastAsia"/>
          <w:color w:val="auto"/>
          <w:sz w:val="28"/>
          <w:szCs w:val="28"/>
          <w:highlight w:val="none"/>
        </w:rPr>
        <w:t>二、法定代表人身份证明及法定代表人授权委托书</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rFonts w:hint="eastAsia"/>
          <w:color w:val="auto"/>
          <w:sz w:val="28"/>
          <w:szCs w:val="28"/>
          <w:highlight w:val="none"/>
        </w:rPr>
      </w:pPr>
      <w:r>
        <w:rPr>
          <w:rFonts w:hint="eastAsia"/>
          <w:color w:val="auto"/>
          <w:sz w:val="28"/>
          <w:szCs w:val="28"/>
          <w:highlight w:val="none"/>
          <w:lang w:val="en-US"/>
        </w:rPr>
        <w:t>三</w:t>
      </w:r>
      <w:r>
        <w:rPr>
          <w:rFonts w:hint="eastAsia"/>
          <w:color w:val="auto"/>
          <w:sz w:val="28"/>
          <w:szCs w:val="28"/>
          <w:highlight w:val="none"/>
        </w:rPr>
        <w:t>、</w:t>
      </w:r>
      <w:r>
        <w:rPr>
          <w:rFonts w:hint="eastAsia"/>
          <w:color w:val="auto"/>
          <w:sz w:val="28"/>
          <w:szCs w:val="28"/>
          <w:highlight w:val="none"/>
          <w:lang w:val="en-US"/>
        </w:rPr>
        <w:t>技术</w:t>
      </w:r>
      <w:r>
        <w:rPr>
          <w:rFonts w:hint="eastAsia"/>
          <w:color w:val="auto"/>
          <w:sz w:val="28"/>
          <w:szCs w:val="28"/>
          <w:highlight w:val="none"/>
          <w:lang w:val="en-US" w:eastAsia="zh-CN"/>
        </w:rPr>
        <w:t>及商务</w:t>
      </w:r>
      <w:r>
        <w:rPr>
          <w:rFonts w:hint="eastAsia"/>
          <w:color w:val="auto"/>
          <w:sz w:val="28"/>
          <w:szCs w:val="28"/>
          <w:highlight w:val="none"/>
          <w:lang w:val="en-US"/>
        </w:rPr>
        <w:t>偏</w:t>
      </w:r>
      <w:r>
        <w:rPr>
          <w:rFonts w:hint="eastAsia"/>
          <w:color w:val="auto"/>
          <w:sz w:val="28"/>
          <w:szCs w:val="28"/>
          <w:highlight w:val="none"/>
          <w:lang w:val="en-US" w:eastAsia="zh-CN"/>
        </w:rPr>
        <w:t>离</w:t>
      </w:r>
      <w:r>
        <w:rPr>
          <w:rFonts w:hint="eastAsia"/>
          <w:color w:val="auto"/>
          <w:sz w:val="28"/>
          <w:szCs w:val="28"/>
          <w:highlight w:val="none"/>
          <w:lang w:val="en-US"/>
        </w:rPr>
        <w:t>表</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color w:val="auto"/>
          <w:sz w:val="28"/>
          <w:szCs w:val="28"/>
          <w:highlight w:val="none"/>
        </w:rPr>
      </w:pPr>
      <w:r>
        <w:rPr>
          <w:rFonts w:hint="eastAsia"/>
          <w:color w:val="auto"/>
          <w:sz w:val="28"/>
          <w:szCs w:val="28"/>
          <w:highlight w:val="none"/>
          <w:lang w:val="en-US" w:eastAsia="zh-CN"/>
        </w:rPr>
        <w:t>四、</w:t>
      </w:r>
      <w:r>
        <w:rPr>
          <w:rFonts w:hint="eastAsia"/>
          <w:color w:val="auto"/>
          <w:sz w:val="28"/>
          <w:szCs w:val="28"/>
          <w:highlight w:val="none"/>
        </w:rPr>
        <w:t>资格证明文件</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rFonts w:hint="eastAsia"/>
          <w:color w:val="auto"/>
          <w:sz w:val="28"/>
          <w:szCs w:val="28"/>
          <w:highlight w:val="none"/>
          <w:lang w:val="en-US"/>
        </w:rPr>
      </w:pPr>
      <w:r>
        <w:rPr>
          <w:rFonts w:hint="eastAsia"/>
          <w:color w:val="auto"/>
          <w:sz w:val="28"/>
          <w:szCs w:val="28"/>
          <w:highlight w:val="none"/>
          <w:lang w:val="en-US" w:eastAsia="zh-CN"/>
        </w:rPr>
        <w:t>五</w:t>
      </w:r>
      <w:r>
        <w:rPr>
          <w:rFonts w:hint="eastAsia"/>
          <w:color w:val="auto"/>
          <w:sz w:val="28"/>
          <w:szCs w:val="28"/>
          <w:highlight w:val="none"/>
          <w:lang w:val="en-US"/>
        </w:rPr>
        <w:t>、建设方案</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rFonts w:hint="eastAsia"/>
          <w:color w:val="auto"/>
          <w:sz w:val="28"/>
          <w:szCs w:val="28"/>
          <w:highlight w:val="none"/>
          <w:lang w:val="en-US"/>
        </w:rPr>
      </w:pPr>
      <w:r>
        <w:rPr>
          <w:rFonts w:hint="eastAsia"/>
          <w:color w:val="auto"/>
          <w:sz w:val="28"/>
          <w:szCs w:val="28"/>
          <w:highlight w:val="none"/>
          <w:lang w:val="en-US" w:eastAsia="zh-CN"/>
        </w:rPr>
        <w:t>六</w:t>
      </w:r>
      <w:r>
        <w:rPr>
          <w:rFonts w:hint="eastAsia"/>
          <w:color w:val="auto"/>
          <w:sz w:val="28"/>
          <w:szCs w:val="28"/>
          <w:highlight w:val="none"/>
          <w:lang w:val="en-US"/>
        </w:rPr>
        <w:t>、项目保障措施</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rFonts w:hint="eastAsia"/>
          <w:color w:val="auto"/>
          <w:sz w:val="28"/>
          <w:szCs w:val="28"/>
          <w:highlight w:val="none"/>
          <w:lang w:val="en-US"/>
        </w:rPr>
      </w:pPr>
      <w:r>
        <w:rPr>
          <w:rFonts w:hint="eastAsia"/>
          <w:color w:val="auto"/>
          <w:sz w:val="28"/>
          <w:szCs w:val="28"/>
          <w:highlight w:val="none"/>
          <w:lang w:val="en-US" w:eastAsia="zh-CN"/>
        </w:rPr>
        <w:t>七</w:t>
      </w:r>
      <w:r>
        <w:rPr>
          <w:rFonts w:hint="eastAsia"/>
          <w:color w:val="auto"/>
          <w:sz w:val="28"/>
          <w:szCs w:val="28"/>
          <w:highlight w:val="none"/>
          <w:lang w:val="en-US"/>
        </w:rPr>
        <w:t>、售后服务</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rFonts w:hint="eastAsia"/>
          <w:color w:val="auto"/>
          <w:sz w:val="28"/>
          <w:szCs w:val="28"/>
          <w:highlight w:val="none"/>
          <w:lang w:val="en-US"/>
        </w:rPr>
      </w:pPr>
      <w:r>
        <w:rPr>
          <w:rFonts w:hint="eastAsia"/>
          <w:color w:val="auto"/>
          <w:sz w:val="28"/>
          <w:szCs w:val="28"/>
          <w:highlight w:val="none"/>
          <w:lang w:val="en-US" w:eastAsia="zh-CN"/>
        </w:rPr>
        <w:t>八</w:t>
      </w:r>
      <w:r>
        <w:rPr>
          <w:rFonts w:hint="eastAsia"/>
          <w:color w:val="auto"/>
          <w:sz w:val="28"/>
          <w:szCs w:val="28"/>
          <w:highlight w:val="none"/>
          <w:lang w:val="en-US"/>
        </w:rPr>
        <w:t>、培训</w:t>
      </w:r>
    </w:p>
    <w:p>
      <w:pPr>
        <w:keepNext w:val="0"/>
        <w:keepLines w:val="0"/>
        <w:pageBreakBefore w:val="0"/>
        <w:widowControl w:val="0"/>
        <w:kinsoku/>
        <w:wordWrap/>
        <w:overflowPunct/>
        <w:topLinePunct w:val="0"/>
        <w:autoSpaceDE w:val="0"/>
        <w:autoSpaceDN w:val="0"/>
        <w:bidi w:val="0"/>
        <w:snapToGrid/>
        <w:spacing w:line="408" w:lineRule="auto"/>
        <w:ind w:firstLine="560" w:firstLineChars="200"/>
        <w:rPr>
          <w:rFonts w:hint="default" w:eastAsia="宋体"/>
          <w:color w:val="auto"/>
          <w:sz w:val="28"/>
          <w:szCs w:val="28"/>
          <w:highlight w:val="none"/>
          <w:lang w:val="en-US" w:eastAsia="zh-CN"/>
        </w:rPr>
      </w:pPr>
      <w:r>
        <w:rPr>
          <w:rFonts w:hint="eastAsia"/>
          <w:color w:val="auto"/>
          <w:sz w:val="28"/>
          <w:szCs w:val="28"/>
          <w:highlight w:val="none"/>
          <w:lang w:val="en-US" w:eastAsia="zh-CN"/>
        </w:rPr>
        <w:t>九</w:t>
      </w:r>
      <w:r>
        <w:rPr>
          <w:rFonts w:hint="eastAsia"/>
          <w:color w:val="auto"/>
          <w:sz w:val="28"/>
          <w:szCs w:val="28"/>
          <w:highlight w:val="none"/>
          <w:lang w:val="en-US"/>
        </w:rPr>
        <w:t>、</w:t>
      </w:r>
      <w:r>
        <w:rPr>
          <w:rFonts w:hint="eastAsia"/>
          <w:color w:val="auto"/>
          <w:sz w:val="28"/>
          <w:szCs w:val="28"/>
          <w:highlight w:val="none"/>
          <w:lang w:val="en-US" w:eastAsia="zh-CN"/>
        </w:rPr>
        <w:t>企业实力</w:t>
      </w:r>
    </w:p>
    <w:p>
      <w:pPr>
        <w:pStyle w:val="23"/>
        <w:keepNext w:val="0"/>
        <w:keepLines w:val="0"/>
        <w:pageBreakBefore w:val="0"/>
        <w:widowControl w:val="0"/>
        <w:kinsoku/>
        <w:wordWrap/>
        <w:overflowPunct/>
        <w:topLinePunct w:val="0"/>
        <w:autoSpaceDE w:val="0"/>
        <w:autoSpaceDN w:val="0"/>
        <w:bidi w:val="0"/>
        <w:snapToGrid/>
        <w:spacing w:line="408" w:lineRule="auto"/>
        <w:ind w:left="0" w:leftChars="0" w:firstLine="560" w:firstLineChars="200"/>
        <w:rPr>
          <w:rFonts w:hint="eastAsia"/>
          <w:color w:val="auto"/>
          <w:sz w:val="28"/>
          <w:szCs w:val="28"/>
          <w:highlight w:val="none"/>
          <w:lang w:val="en-US"/>
        </w:rPr>
      </w:pPr>
      <w:r>
        <w:rPr>
          <w:rFonts w:hint="eastAsia"/>
          <w:color w:val="auto"/>
          <w:sz w:val="28"/>
          <w:szCs w:val="28"/>
          <w:highlight w:val="none"/>
          <w:lang w:val="en-US" w:eastAsia="zh-CN"/>
        </w:rPr>
        <w:t>十</w:t>
      </w:r>
      <w:r>
        <w:rPr>
          <w:rFonts w:hint="eastAsia"/>
          <w:color w:val="auto"/>
          <w:sz w:val="28"/>
          <w:szCs w:val="28"/>
          <w:highlight w:val="none"/>
          <w:lang w:val="en-US"/>
        </w:rPr>
        <w:t>、企业声明函（若有）</w:t>
      </w:r>
    </w:p>
    <w:p>
      <w:pPr>
        <w:pStyle w:val="23"/>
        <w:keepNext w:val="0"/>
        <w:keepLines w:val="0"/>
        <w:pageBreakBefore w:val="0"/>
        <w:widowControl w:val="0"/>
        <w:kinsoku/>
        <w:wordWrap/>
        <w:overflowPunct/>
        <w:topLinePunct w:val="0"/>
        <w:autoSpaceDE w:val="0"/>
        <w:autoSpaceDN w:val="0"/>
        <w:bidi w:val="0"/>
        <w:snapToGrid/>
        <w:spacing w:line="408" w:lineRule="auto"/>
        <w:ind w:left="0" w:leftChars="0" w:firstLine="560" w:firstLineChars="200"/>
        <w:rPr>
          <w:rFonts w:hint="eastAsia"/>
          <w:color w:val="auto"/>
          <w:sz w:val="28"/>
          <w:szCs w:val="28"/>
          <w:highlight w:val="none"/>
          <w:lang w:val="en-US"/>
        </w:rPr>
      </w:pPr>
      <w:r>
        <w:rPr>
          <w:rFonts w:hint="eastAsia"/>
          <w:color w:val="auto"/>
          <w:sz w:val="28"/>
          <w:szCs w:val="28"/>
          <w:highlight w:val="none"/>
          <w:lang w:val="en-US"/>
        </w:rPr>
        <w:t>十</w:t>
      </w:r>
      <w:r>
        <w:rPr>
          <w:rFonts w:hint="eastAsia"/>
          <w:color w:val="auto"/>
          <w:sz w:val="28"/>
          <w:szCs w:val="28"/>
          <w:highlight w:val="none"/>
          <w:lang w:val="en-US" w:eastAsia="zh-CN"/>
        </w:rPr>
        <w:t>一</w:t>
      </w:r>
      <w:r>
        <w:rPr>
          <w:rFonts w:hint="eastAsia"/>
          <w:color w:val="auto"/>
          <w:sz w:val="28"/>
          <w:szCs w:val="28"/>
          <w:highlight w:val="none"/>
          <w:lang w:val="en-US"/>
        </w:rPr>
        <w:t>、政府采购供应商拒绝政府采购领域商业贿赂承诺书</w:t>
      </w:r>
    </w:p>
    <w:p>
      <w:pPr>
        <w:pStyle w:val="23"/>
        <w:keepNext w:val="0"/>
        <w:keepLines w:val="0"/>
        <w:pageBreakBefore w:val="0"/>
        <w:widowControl w:val="0"/>
        <w:kinsoku/>
        <w:wordWrap/>
        <w:overflowPunct/>
        <w:topLinePunct w:val="0"/>
        <w:autoSpaceDE w:val="0"/>
        <w:autoSpaceDN w:val="0"/>
        <w:bidi w:val="0"/>
        <w:snapToGrid/>
        <w:spacing w:line="408" w:lineRule="auto"/>
        <w:ind w:left="0" w:leftChars="0" w:firstLine="560" w:firstLineChars="200"/>
        <w:rPr>
          <w:rFonts w:hint="eastAsia"/>
          <w:color w:val="auto"/>
          <w:sz w:val="28"/>
          <w:szCs w:val="28"/>
          <w:highlight w:val="none"/>
          <w:lang w:val="en-US"/>
        </w:rPr>
      </w:pPr>
      <w:r>
        <w:rPr>
          <w:rFonts w:hint="eastAsia"/>
          <w:color w:val="auto"/>
          <w:sz w:val="28"/>
          <w:szCs w:val="28"/>
          <w:highlight w:val="none"/>
          <w:lang w:val="en-US"/>
        </w:rPr>
        <w:t>十</w:t>
      </w:r>
      <w:r>
        <w:rPr>
          <w:rFonts w:hint="eastAsia"/>
          <w:color w:val="auto"/>
          <w:sz w:val="28"/>
          <w:szCs w:val="28"/>
          <w:highlight w:val="none"/>
          <w:lang w:val="en-US" w:eastAsia="zh-CN"/>
        </w:rPr>
        <w:t>二</w:t>
      </w:r>
      <w:r>
        <w:rPr>
          <w:rFonts w:hint="eastAsia"/>
          <w:color w:val="auto"/>
          <w:sz w:val="28"/>
          <w:szCs w:val="28"/>
          <w:highlight w:val="none"/>
          <w:lang w:val="en-US"/>
        </w:rPr>
        <w:t>、</w:t>
      </w:r>
      <w:r>
        <w:rPr>
          <w:rFonts w:hint="eastAsia"/>
          <w:color w:val="auto"/>
          <w:sz w:val="28"/>
          <w:szCs w:val="28"/>
          <w:highlight w:val="none"/>
          <w:lang w:val="en-US" w:eastAsia="zh-CN"/>
        </w:rPr>
        <w:t>投标人</w:t>
      </w:r>
      <w:r>
        <w:rPr>
          <w:rFonts w:hint="eastAsia"/>
          <w:color w:val="auto"/>
          <w:sz w:val="28"/>
          <w:szCs w:val="28"/>
          <w:highlight w:val="none"/>
          <w:lang w:val="en-US"/>
        </w:rPr>
        <w:t>认为有必要补充说明的事宜</w:t>
      </w:r>
    </w:p>
    <w:p>
      <w:pPr>
        <w:spacing w:line="360" w:lineRule="auto"/>
        <w:rPr>
          <w:rFonts w:hint="eastAsia"/>
          <w:color w:val="auto"/>
          <w:sz w:val="28"/>
          <w:szCs w:val="28"/>
          <w:highlight w:val="none"/>
          <w:lang w:val="en-US"/>
        </w:rPr>
      </w:pPr>
    </w:p>
    <w:p>
      <w:pPr>
        <w:pStyle w:val="23"/>
        <w:rPr>
          <w:rFonts w:hint="eastAsia"/>
          <w:color w:val="auto"/>
          <w:sz w:val="28"/>
          <w:szCs w:val="28"/>
          <w:highlight w:val="none"/>
          <w:lang w:val="en-US"/>
        </w:rPr>
      </w:pPr>
    </w:p>
    <w:p>
      <w:pPr>
        <w:rPr>
          <w:rFonts w:hint="eastAsia"/>
          <w:color w:val="auto"/>
          <w:sz w:val="28"/>
          <w:szCs w:val="28"/>
          <w:highlight w:val="none"/>
          <w:lang w:val="en-US"/>
        </w:rPr>
      </w:pPr>
    </w:p>
    <w:p>
      <w:pPr>
        <w:pStyle w:val="23"/>
        <w:rPr>
          <w:rFonts w:hint="eastAsia"/>
          <w:color w:val="auto"/>
          <w:sz w:val="28"/>
          <w:szCs w:val="28"/>
          <w:highlight w:val="none"/>
          <w:lang w:val="en-US"/>
        </w:rPr>
      </w:pPr>
    </w:p>
    <w:p>
      <w:pPr>
        <w:rPr>
          <w:rFonts w:hint="eastAsia"/>
          <w:color w:val="auto"/>
          <w:sz w:val="28"/>
          <w:szCs w:val="28"/>
          <w:highlight w:val="none"/>
          <w:lang w:val="en-US"/>
        </w:rPr>
      </w:pPr>
    </w:p>
    <w:p>
      <w:pPr>
        <w:pStyle w:val="23"/>
        <w:rPr>
          <w:rFonts w:hint="eastAsia"/>
          <w:color w:val="auto"/>
          <w:sz w:val="28"/>
          <w:szCs w:val="28"/>
          <w:highlight w:val="none"/>
          <w:lang w:val="en-US"/>
        </w:rPr>
      </w:pPr>
    </w:p>
    <w:p>
      <w:pPr>
        <w:rPr>
          <w:rFonts w:hint="eastAsia"/>
          <w:color w:val="auto"/>
          <w:sz w:val="28"/>
          <w:szCs w:val="28"/>
          <w:highlight w:val="none"/>
          <w:lang w:val="en-US"/>
        </w:rPr>
      </w:pPr>
    </w:p>
    <w:p>
      <w:pPr>
        <w:pStyle w:val="23"/>
        <w:rPr>
          <w:rFonts w:hint="eastAsia"/>
          <w:color w:val="auto"/>
          <w:sz w:val="28"/>
          <w:szCs w:val="28"/>
          <w:highlight w:val="none"/>
          <w:lang w:val="en-US"/>
        </w:rPr>
      </w:pPr>
    </w:p>
    <w:p>
      <w:pPr>
        <w:rPr>
          <w:rFonts w:hint="eastAsia"/>
          <w:color w:val="auto"/>
          <w:sz w:val="28"/>
          <w:szCs w:val="28"/>
          <w:highlight w:val="none"/>
          <w:lang w:val="en-US"/>
        </w:rPr>
      </w:pPr>
    </w:p>
    <w:p>
      <w:pPr>
        <w:pStyle w:val="23"/>
        <w:rPr>
          <w:rFonts w:hint="eastAsia"/>
          <w:color w:val="auto"/>
          <w:sz w:val="28"/>
          <w:szCs w:val="28"/>
          <w:highlight w:val="none"/>
          <w:lang w:val="en-US"/>
        </w:rPr>
      </w:pPr>
    </w:p>
    <w:p>
      <w:pPr>
        <w:rPr>
          <w:rFonts w:hint="eastAsia"/>
          <w:color w:val="auto"/>
          <w:sz w:val="28"/>
          <w:szCs w:val="28"/>
          <w:highlight w:val="none"/>
          <w:lang w:val="en-US"/>
        </w:rPr>
      </w:pPr>
    </w:p>
    <w:p>
      <w:pPr>
        <w:pStyle w:val="23"/>
        <w:rPr>
          <w:rFonts w:hint="eastAsia"/>
          <w:color w:val="auto"/>
          <w:sz w:val="28"/>
          <w:szCs w:val="28"/>
          <w:highlight w:val="none"/>
          <w:lang w:val="en-US"/>
        </w:rPr>
      </w:pPr>
    </w:p>
    <w:p>
      <w:pPr>
        <w:rPr>
          <w:rFonts w:hint="eastAsia"/>
          <w:color w:val="auto"/>
          <w:highlight w:val="none"/>
          <w:lang w:val="en-US"/>
        </w:rPr>
      </w:pPr>
    </w:p>
    <w:p>
      <w:pPr>
        <w:pStyle w:val="4"/>
        <w:bidi w:val="0"/>
        <w:spacing w:line="360" w:lineRule="auto"/>
        <w:jc w:val="center"/>
        <w:rPr>
          <w:rFonts w:hint="eastAsia" w:ascii="宋体" w:hAnsi="宋体" w:eastAsia="宋体" w:cs="宋体"/>
          <w:lang w:val="en-US"/>
        </w:rPr>
      </w:pPr>
      <w:bookmarkStart w:id="143" w:name="_GoBack"/>
      <w:bookmarkEnd w:id="143"/>
      <w:bookmarkStart w:id="54" w:name="_Toc14149"/>
      <w:bookmarkStart w:id="55" w:name="_Toc24613"/>
      <w:bookmarkStart w:id="56" w:name="_Toc24399"/>
      <w:bookmarkStart w:id="57" w:name="_Toc423532140"/>
      <w:bookmarkStart w:id="58" w:name="_Toc410311223"/>
      <w:bookmarkStart w:id="59" w:name="_Toc32692"/>
      <w:bookmarkStart w:id="60" w:name="_Toc21507"/>
      <w:bookmarkStart w:id="61" w:name="_Toc12130"/>
      <w:r>
        <w:rPr>
          <w:rFonts w:hint="eastAsia" w:ascii="宋体" w:hAnsi="宋体" w:eastAsia="宋体" w:cs="宋体"/>
        </w:rPr>
        <w:t>一、投标函</w:t>
      </w:r>
      <w:bookmarkEnd w:id="54"/>
      <w:bookmarkEnd w:id="55"/>
      <w:bookmarkEnd w:id="56"/>
      <w:bookmarkEnd w:id="57"/>
      <w:bookmarkEnd w:id="58"/>
      <w:bookmarkEnd w:id="59"/>
      <w:bookmarkEnd w:id="60"/>
      <w:bookmarkEnd w:id="61"/>
      <w:r>
        <w:rPr>
          <w:rFonts w:hint="eastAsia" w:ascii="宋体" w:hAnsi="宋体" w:eastAsia="宋体" w:cs="宋体"/>
          <w:lang w:val="en-US" w:eastAsia="zh-CN"/>
        </w:rPr>
        <w:t>及投标报价一览表</w:t>
      </w:r>
    </w:p>
    <w:p>
      <w:pPr>
        <w:spacing w:line="360" w:lineRule="auto"/>
        <w:jc w:val="center"/>
      </w:pPr>
      <w:bookmarkStart w:id="62" w:name="_Toc318905622"/>
      <w:bookmarkStart w:id="63" w:name="_Toc3098"/>
      <w:bookmarkStart w:id="64" w:name="_Toc322521756"/>
      <w:bookmarkStart w:id="65" w:name="_Toc10046"/>
      <w:bookmarkStart w:id="66" w:name="_Toc322522025"/>
      <w:bookmarkStart w:id="67" w:name="_Toc423532141"/>
      <w:bookmarkStart w:id="68" w:name="_Toc17593"/>
      <w:bookmarkStart w:id="69" w:name="_Toc410311224"/>
      <w:bookmarkStart w:id="70" w:name="_Toc20859"/>
      <w:bookmarkStart w:id="71" w:name="_Toc22138"/>
      <w:bookmarkStart w:id="72" w:name="_Toc17919"/>
      <w:r>
        <w:rPr>
          <w:rFonts w:hint="eastAsia"/>
          <w:b/>
          <w:bCs/>
          <w:sz w:val="28"/>
          <w:szCs w:val="28"/>
        </w:rPr>
        <w:t>（一）投标函</w:t>
      </w:r>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val="0"/>
        <w:autoSpaceDN w:val="0"/>
        <w:bidi w:val="0"/>
        <w:adjustRightInd/>
        <w:snapToGrid/>
        <w:spacing w:line="408" w:lineRule="auto"/>
        <w:textAlignment w:val="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rPr>
        <w:t>1．我方己仔细研究了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项目编号</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rPr>
        <w:t>招标文件的全部内容，以人民币（大写）</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元（¥</w:t>
      </w:r>
      <w:r>
        <w:rPr>
          <w:rFonts w:hint="eastAsia"/>
          <w:color w:val="auto"/>
          <w:sz w:val="24"/>
          <w:szCs w:val="24"/>
          <w:highlight w:val="none"/>
          <w:u w:val="single"/>
        </w:rPr>
        <w:t xml:space="preserve">       </w:t>
      </w:r>
      <w:r>
        <w:rPr>
          <w:rFonts w:hint="eastAsia"/>
          <w:color w:val="auto"/>
          <w:sz w:val="24"/>
          <w:szCs w:val="24"/>
          <w:highlight w:val="none"/>
        </w:rPr>
        <w:t>）为投标报价，</w:t>
      </w:r>
      <w:r>
        <w:rPr>
          <w:rFonts w:hint="eastAsia"/>
          <w:color w:val="auto"/>
          <w:sz w:val="24"/>
          <w:szCs w:val="24"/>
          <w:highlight w:val="none"/>
          <w:lang w:val="en-US" w:eastAsia="zh-CN"/>
        </w:rPr>
        <w:t>服务</w:t>
      </w:r>
      <w:r>
        <w:rPr>
          <w:rFonts w:hint="eastAsia"/>
          <w:color w:val="auto"/>
          <w:sz w:val="24"/>
          <w:szCs w:val="24"/>
          <w:highlight w:val="none"/>
          <w:lang w:val="en-US"/>
        </w:rPr>
        <w:t>期</w:t>
      </w:r>
      <w:r>
        <w:rPr>
          <w:rFonts w:hint="eastAsia"/>
          <w:color w:val="auto"/>
          <w:sz w:val="24"/>
          <w:szCs w:val="24"/>
          <w:highlight w:val="none"/>
          <w:u w:val="single"/>
        </w:rPr>
        <w:t xml:space="preserve">      </w:t>
      </w:r>
      <w:r>
        <w:rPr>
          <w:rFonts w:hint="eastAsia"/>
          <w:color w:val="auto"/>
          <w:sz w:val="24"/>
          <w:szCs w:val="24"/>
          <w:highlight w:val="none"/>
        </w:rPr>
        <w:t>日历天，按合同约定实施和完成承包项目，修补项目中的任何缺陷，质量达到</w:t>
      </w:r>
      <w:r>
        <w:rPr>
          <w:rFonts w:hint="eastAsia"/>
          <w:color w:val="auto"/>
          <w:sz w:val="24"/>
          <w:szCs w:val="24"/>
          <w:highlight w:val="none"/>
          <w:u w:val="single"/>
        </w:rPr>
        <w:t xml:space="preserve">      </w:t>
      </w:r>
      <w:r>
        <w:rPr>
          <w:rFonts w:hint="eastAsia"/>
          <w:color w:val="auto"/>
          <w:sz w:val="24"/>
          <w:szCs w:val="24"/>
          <w:highlight w:val="none"/>
        </w:rPr>
        <w:t>，投标有效期</w:t>
      </w:r>
      <w:r>
        <w:rPr>
          <w:rFonts w:hint="eastAsia"/>
          <w:color w:val="auto"/>
          <w:sz w:val="24"/>
          <w:szCs w:val="24"/>
          <w:highlight w:val="none"/>
          <w:u w:val="single"/>
        </w:rPr>
        <w:t xml:space="preserve">     </w:t>
      </w:r>
      <w:r>
        <w:rPr>
          <w:rFonts w:hint="eastAsia"/>
          <w:color w:val="auto"/>
          <w:sz w:val="24"/>
          <w:szCs w:val="24"/>
          <w:highlight w:val="none"/>
        </w:rPr>
        <w:t>日历天。</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rPr>
        <w:t>2．我方承诺在投标有效期内不修改、撤销投标文件。</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rPr>
        <w:t>．如我方中标：</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rPr>
        <w:t>(l）我方承诺在收到中标通知书后，在中标通知书规定的期限内与你方签订合同。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）我方承诺在合同约定的期限内完成并移交全部合同工程。</w:t>
      </w:r>
      <w:r>
        <w:rPr>
          <w:rFonts w:hint="eastAsia"/>
          <w:color w:val="auto"/>
          <w:sz w:val="24"/>
          <w:szCs w:val="24"/>
          <w:highlight w:val="none"/>
        </w:rPr>
        <w:tab/>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．我方在此声明，所递交的投标文件及有关资料内容完整、真实和准确，且不存在第一章“</w:t>
      </w:r>
      <w:r>
        <w:rPr>
          <w:rFonts w:hint="eastAsia"/>
          <w:color w:val="auto"/>
          <w:sz w:val="24"/>
          <w:szCs w:val="24"/>
          <w:highlight w:val="none"/>
          <w:lang w:val="en-US" w:eastAsia="zh-CN"/>
        </w:rPr>
        <w:t>投标人</w:t>
      </w:r>
      <w:r>
        <w:rPr>
          <w:rFonts w:hint="eastAsia"/>
          <w:color w:val="auto"/>
          <w:sz w:val="24"/>
          <w:szCs w:val="24"/>
          <w:highlight w:val="none"/>
        </w:rPr>
        <w:t>须知”规定的任何一种情形。</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color w:val="auto"/>
          <w:sz w:val="24"/>
          <w:szCs w:val="24"/>
          <w:highlight w:val="none"/>
        </w:rPr>
      </w:pP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（其他补充说明）。</w:t>
      </w: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80"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80"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pStyle w:val="8"/>
        <w:rPr>
          <w:rFonts w:hint="eastAsia"/>
        </w:rPr>
      </w:pPr>
    </w:p>
    <w:p>
      <w:pPr>
        <w:pStyle w:val="8"/>
        <w:rPr>
          <w:rFonts w:hint="eastAsia"/>
          <w:color w:val="auto"/>
          <w:szCs w:val="21"/>
          <w:highlight w:val="none"/>
        </w:rPr>
      </w:pPr>
    </w:p>
    <w:p>
      <w:pPr>
        <w:pStyle w:val="9"/>
        <w:rPr>
          <w:rFonts w:hint="eastAsia"/>
          <w:color w:val="auto"/>
          <w:szCs w:val="21"/>
          <w:highlight w:val="none"/>
        </w:rPr>
      </w:pPr>
    </w:p>
    <w:p>
      <w:pPr>
        <w:pStyle w:val="12"/>
        <w:spacing w:before="14"/>
        <w:ind w:left="0"/>
        <w:rPr>
          <w:b/>
          <w:color w:val="auto"/>
          <w:sz w:val="10"/>
          <w:highlight w:val="none"/>
        </w:rPr>
      </w:pPr>
    </w:p>
    <w:p>
      <w:pPr>
        <w:spacing w:line="480" w:lineRule="auto"/>
        <w:jc w:val="center"/>
        <w:rPr>
          <w:b/>
          <w:bCs/>
          <w:color w:val="auto"/>
          <w:sz w:val="28"/>
          <w:szCs w:val="28"/>
          <w:highlight w:val="none"/>
        </w:rPr>
      </w:pPr>
      <w:bookmarkStart w:id="73" w:name="_Toc1199"/>
      <w:bookmarkStart w:id="74" w:name="_Toc322521757"/>
      <w:bookmarkStart w:id="75" w:name="_Toc26652"/>
      <w:bookmarkStart w:id="76" w:name="_Toc22370"/>
      <w:bookmarkStart w:id="77" w:name="_Toc6518"/>
      <w:bookmarkStart w:id="78" w:name="_Toc4552"/>
      <w:bookmarkStart w:id="79" w:name="_Toc322522026"/>
      <w:bookmarkStart w:id="80" w:name="_Toc423532142"/>
      <w:bookmarkStart w:id="81" w:name="_Toc410311225"/>
      <w:bookmarkStart w:id="82" w:name="_Toc318905623"/>
      <w:bookmarkStart w:id="83" w:name="_Toc29753"/>
      <w:r>
        <w:rPr>
          <w:rFonts w:hint="eastAsia"/>
          <w:b/>
          <w:bCs/>
          <w:color w:val="auto"/>
          <w:sz w:val="28"/>
          <w:szCs w:val="28"/>
          <w:highlight w:val="none"/>
        </w:rPr>
        <w:t>（二）</w:t>
      </w:r>
      <w:bookmarkEnd w:id="73"/>
      <w:bookmarkEnd w:id="74"/>
      <w:bookmarkEnd w:id="75"/>
      <w:bookmarkEnd w:id="76"/>
      <w:bookmarkEnd w:id="77"/>
      <w:bookmarkEnd w:id="78"/>
      <w:bookmarkEnd w:id="79"/>
      <w:bookmarkEnd w:id="80"/>
      <w:bookmarkEnd w:id="81"/>
      <w:bookmarkEnd w:id="82"/>
      <w:bookmarkEnd w:id="83"/>
      <w:bookmarkStart w:id="84" w:name="_Toc269407893"/>
      <w:bookmarkStart w:id="85" w:name="_Toc269407678"/>
      <w:bookmarkStart w:id="86" w:name="_Toc303869837"/>
      <w:r>
        <w:rPr>
          <w:rFonts w:hint="eastAsia"/>
          <w:b/>
          <w:bCs/>
          <w:color w:val="auto"/>
          <w:sz w:val="28"/>
          <w:szCs w:val="28"/>
          <w:highlight w:val="none"/>
        </w:rPr>
        <w:t xml:space="preserve"> 投标报价</w:t>
      </w:r>
      <w:r>
        <w:rPr>
          <w:rFonts w:hint="eastAsia"/>
          <w:b/>
          <w:bCs/>
          <w:color w:val="auto"/>
          <w:sz w:val="28"/>
          <w:szCs w:val="28"/>
          <w:highlight w:val="none"/>
          <w:lang w:val="en-US" w:eastAsia="zh-CN"/>
        </w:rPr>
        <w:t>一览</w:t>
      </w:r>
      <w:r>
        <w:rPr>
          <w:rFonts w:hint="eastAsia"/>
          <w:b/>
          <w:bCs/>
          <w:color w:val="auto"/>
          <w:sz w:val="28"/>
          <w:szCs w:val="28"/>
          <w:highlight w:val="none"/>
        </w:rPr>
        <w:t>表</w:t>
      </w:r>
      <w:bookmarkEnd w:id="84"/>
      <w:bookmarkEnd w:id="85"/>
      <w:bookmarkEnd w:id="86"/>
    </w:p>
    <w:p>
      <w:pPr>
        <w:pStyle w:val="12"/>
        <w:spacing w:before="9"/>
        <w:ind w:left="0"/>
        <w:rPr>
          <w:b/>
          <w:color w:val="auto"/>
          <w:sz w:val="13"/>
          <w:highlight w:val="none"/>
        </w:rPr>
      </w:pPr>
    </w:p>
    <w:tbl>
      <w:tblPr>
        <w:tblStyle w:val="25"/>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101"/>
        <w:gridCol w:w="67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186" w:type="pct"/>
          </w:tcPr>
          <w:p>
            <w:pPr>
              <w:pStyle w:val="34"/>
              <w:spacing w:before="10"/>
              <w:rPr>
                <w:b/>
                <w:color w:val="auto"/>
                <w:sz w:val="19"/>
                <w:highlight w:val="none"/>
              </w:rPr>
            </w:pPr>
          </w:p>
          <w:p>
            <w:pPr>
              <w:pStyle w:val="34"/>
              <w:ind w:left="88" w:right="57"/>
              <w:jc w:val="center"/>
              <w:rPr>
                <w:color w:val="auto"/>
                <w:sz w:val="24"/>
                <w:highlight w:val="none"/>
              </w:rPr>
            </w:pPr>
            <w:r>
              <w:rPr>
                <w:rFonts w:hint="eastAsia"/>
                <w:color w:val="auto"/>
                <w:sz w:val="24"/>
                <w:highlight w:val="none"/>
              </w:rPr>
              <w:t>项目名称</w:t>
            </w:r>
          </w:p>
        </w:tc>
        <w:tc>
          <w:tcPr>
            <w:tcW w:w="3813" w:type="pct"/>
          </w:tcPr>
          <w:p>
            <w:pPr>
              <w:pStyle w:val="34"/>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186" w:type="pct"/>
          </w:tcPr>
          <w:p>
            <w:pPr>
              <w:pStyle w:val="34"/>
              <w:spacing w:before="10"/>
              <w:rPr>
                <w:b/>
                <w:color w:val="auto"/>
                <w:sz w:val="19"/>
                <w:highlight w:val="none"/>
              </w:rPr>
            </w:pPr>
          </w:p>
          <w:p>
            <w:pPr>
              <w:pStyle w:val="34"/>
              <w:ind w:left="88" w:right="57"/>
              <w:jc w:val="center"/>
              <w:rPr>
                <w:color w:val="auto"/>
                <w:sz w:val="24"/>
                <w:highlight w:val="none"/>
              </w:rPr>
            </w:pPr>
            <w:r>
              <w:rPr>
                <w:rFonts w:hint="eastAsia"/>
                <w:color w:val="auto"/>
                <w:sz w:val="24"/>
                <w:highlight w:val="none"/>
              </w:rPr>
              <w:t>项目编号</w:t>
            </w:r>
          </w:p>
        </w:tc>
        <w:tc>
          <w:tcPr>
            <w:tcW w:w="3813" w:type="pct"/>
          </w:tcPr>
          <w:p>
            <w:pPr>
              <w:pStyle w:val="34"/>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1186" w:type="pct"/>
          </w:tcPr>
          <w:p>
            <w:pPr>
              <w:pStyle w:val="34"/>
              <w:spacing w:before="165" w:line="386" w:lineRule="auto"/>
              <w:ind w:left="104" w:right="57"/>
              <w:jc w:val="center"/>
              <w:rPr>
                <w:color w:val="auto"/>
                <w:sz w:val="24"/>
                <w:highlight w:val="none"/>
              </w:rPr>
            </w:pPr>
            <w:r>
              <w:rPr>
                <w:rFonts w:hint="eastAsia"/>
                <w:color w:val="auto"/>
                <w:sz w:val="24"/>
                <w:highlight w:val="none"/>
              </w:rPr>
              <w:t>投标报价</w:t>
            </w:r>
          </w:p>
          <w:p>
            <w:pPr>
              <w:pStyle w:val="34"/>
              <w:spacing w:before="16"/>
              <w:ind w:left="87" w:right="57"/>
              <w:jc w:val="center"/>
              <w:rPr>
                <w:color w:val="auto"/>
                <w:sz w:val="24"/>
                <w:highlight w:val="none"/>
              </w:rPr>
            </w:pPr>
            <w:r>
              <w:rPr>
                <w:rFonts w:hint="eastAsia"/>
                <w:color w:val="auto"/>
                <w:sz w:val="24"/>
                <w:highlight w:val="none"/>
              </w:rPr>
              <w:t>（元）</w:t>
            </w:r>
          </w:p>
        </w:tc>
        <w:tc>
          <w:tcPr>
            <w:tcW w:w="3813" w:type="pct"/>
          </w:tcPr>
          <w:p>
            <w:pPr>
              <w:pStyle w:val="34"/>
              <w:spacing w:before="11"/>
              <w:rPr>
                <w:b/>
                <w:color w:val="auto"/>
                <w:sz w:val="23"/>
                <w:highlight w:val="none"/>
              </w:rPr>
            </w:pPr>
          </w:p>
          <w:p>
            <w:pPr>
              <w:pStyle w:val="34"/>
              <w:tabs>
                <w:tab w:val="left" w:pos="4253"/>
              </w:tabs>
              <w:spacing w:line="362" w:lineRule="auto"/>
              <w:ind w:left="113" w:right="3359"/>
              <w:rPr>
                <w:rFonts w:hint="eastAsia"/>
                <w:color w:val="auto"/>
                <w:sz w:val="24"/>
                <w:highlight w:val="none"/>
                <w:u w:val="single"/>
              </w:rPr>
            </w:pP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u w:val="single"/>
              </w:rPr>
              <w:t xml:space="preserve"> </w:t>
            </w:r>
          </w:p>
          <w:p>
            <w:pPr>
              <w:pStyle w:val="34"/>
              <w:tabs>
                <w:tab w:val="left" w:pos="4253"/>
              </w:tabs>
              <w:spacing w:line="362" w:lineRule="auto"/>
              <w:ind w:left="113" w:right="3359"/>
              <w:rPr>
                <w:color w:val="auto"/>
                <w:sz w:val="24"/>
                <w:highlight w:val="none"/>
              </w:rPr>
            </w:pP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u w:val="singl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1186" w:type="pct"/>
          </w:tcPr>
          <w:p>
            <w:pPr>
              <w:pStyle w:val="34"/>
              <w:spacing w:before="2"/>
              <w:rPr>
                <w:b/>
                <w:color w:val="auto"/>
                <w:sz w:val="17"/>
                <w:highlight w:val="none"/>
              </w:rPr>
            </w:pPr>
          </w:p>
          <w:p>
            <w:pPr>
              <w:pStyle w:val="34"/>
              <w:ind w:left="87" w:right="57"/>
              <w:jc w:val="center"/>
              <w:rPr>
                <w:color w:val="auto"/>
                <w:sz w:val="24"/>
                <w:highlight w:val="none"/>
              </w:rPr>
            </w:pPr>
            <w:r>
              <w:rPr>
                <w:rFonts w:hint="eastAsia"/>
                <w:color w:val="auto"/>
                <w:sz w:val="24"/>
                <w:highlight w:val="none"/>
                <w:lang w:val="en-US" w:eastAsia="zh-CN"/>
              </w:rPr>
              <w:t>服务</w:t>
            </w:r>
            <w:r>
              <w:rPr>
                <w:rFonts w:hint="eastAsia"/>
                <w:color w:val="auto"/>
                <w:sz w:val="24"/>
                <w:highlight w:val="none"/>
                <w:lang w:val="en-US"/>
              </w:rPr>
              <w:t>期</w:t>
            </w:r>
          </w:p>
        </w:tc>
        <w:tc>
          <w:tcPr>
            <w:tcW w:w="3813" w:type="pct"/>
          </w:tcPr>
          <w:p>
            <w:pPr>
              <w:pStyle w:val="34"/>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1186" w:type="pct"/>
          </w:tcPr>
          <w:p>
            <w:pPr>
              <w:pStyle w:val="34"/>
              <w:spacing w:before="9"/>
              <w:rPr>
                <w:b/>
                <w:color w:val="auto"/>
                <w:sz w:val="15"/>
                <w:highlight w:val="none"/>
              </w:rPr>
            </w:pPr>
          </w:p>
          <w:p>
            <w:pPr>
              <w:pStyle w:val="34"/>
              <w:ind w:left="87" w:right="57"/>
              <w:jc w:val="center"/>
              <w:rPr>
                <w:color w:val="auto"/>
                <w:sz w:val="24"/>
                <w:highlight w:val="none"/>
              </w:rPr>
            </w:pPr>
            <w:r>
              <w:rPr>
                <w:rFonts w:hint="eastAsia" w:cs="宋体"/>
                <w:b w:val="0"/>
                <w:bCs w:val="0"/>
                <w:color w:val="auto"/>
                <w:kern w:val="0"/>
                <w:sz w:val="24"/>
                <w:szCs w:val="24"/>
                <w:highlight w:val="none"/>
                <w:lang w:val="en-US" w:bidi="zh-CN"/>
              </w:rPr>
              <w:t xml:space="preserve"> </w:t>
            </w:r>
            <w:r>
              <w:rPr>
                <w:rFonts w:hint="eastAsia"/>
                <w:b w:val="0"/>
                <w:bCs w:val="0"/>
                <w:color w:val="auto"/>
                <w:sz w:val="24"/>
                <w:szCs w:val="24"/>
                <w:highlight w:val="none"/>
              </w:rPr>
              <w:t>质量验收标准</w:t>
            </w:r>
          </w:p>
        </w:tc>
        <w:tc>
          <w:tcPr>
            <w:tcW w:w="3813" w:type="pct"/>
          </w:tcPr>
          <w:p>
            <w:pPr>
              <w:pStyle w:val="34"/>
              <w:rPr>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1186" w:type="pct"/>
            <w:tcBorders>
              <w:top w:val="single" w:color="000000" w:sz="8" w:space="0"/>
            </w:tcBorders>
          </w:tcPr>
          <w:p>
            <w:pPr>
              <w:pStyle w:val="34"/>
              <w:spacing w:before="17"/>
              <w:rPr>
                <w:b/>
                <w:color w:val="auto"/>
                <w:sz w:val="16"/>
                <w:highlight w:val="none"/>
              </w:rPr>
            </w:pPr>
          </w:p>
          <w:p>
            <w:pPr>
              <w:pStyle w:val="34"/>
              <w:ind w:left="88" w:right="57"/>
              <w:jc w:val="center"/>
              <w:rPr>
                <w:color w:val="auto"/>
                <w:sz w:val="24"/>
                <w:highlight w:val="none"/>
              </w:rPr>
            </w:pPr>
            <w:r>
              <w:rPr>
                <w:rFonts w:hint="eastAsia"/>
                <w:color w:val="auto"/>
                <w:sz w:val="24"/>
                <w:highlight w:val="none"/>
              </w:rPr>
              <w:t>备注</w:t>
            </w:r>
          </w:p>
        </w:tc>
        <w:tc>
          <w:tcPr>
            <w:tcW w:w="3813" w:type="pct"/>
            <w:tcBorders>
              <w:top w:val="single" w:color="000000" w:sz="8" w:space="0"/>
            </w:tcBorders>
          </w:tcPr>
          <w:p>
            <w:pPr>
              <w:pStyle w:val="34"/>
              <w:rPr>
                <w:color w:val="auto"/>
                <w:highlight w:val="none"/>
              </w:rPr>
            </w:pPr>
          </w:p>
        </w:tc>
      </w:tr>
    </w:tbl>
    <w:p>
      <w:pPr>
        <w:pStyle w:val="12"/>
        <w:spacing w:before="7"/>
        <w:ind w:left="0"/>
        <w:rPr>
          <w:b/>
          <w:color w:val="auto"/>
          <w:sz w:val="18"/>
          <w:highlight w:val="none"/>
        </w:rPr>
      </w:pPr>
    </w:p>
    <w:p>
      <w:pPr>
        <w:pStyle w:val="12"/>
        <w:spacing w:before="8" w:line="360" w:lineRule="auto"/>
        <w:ind w:left="0"/>
        <w:rPr>
          <w:b/>
          <w:color w:val="auto"/>
          <w:sz w:val="18"/>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投标人充分考虑招标文件的各项条款和所掌握的市场情况及本</w:t>
      </w:r>
      <w:r>
        <w:rPr>
          <w:rFonts w:hint="eastAsia" w:ascii="宋体" w:hAnsi="宋体" w:eastAsia="宋体" w:cs="宋体"/>
          <w:color w:val="auto"/>
          <w:sz w:val="24"/>
          <w:szCs w:val="24"/>
          <w:highlight w:val="none"/>
          <w:lang w:val="en-US"/>
        </w:rPr>
        <w:t>采购项目</w:t>
      </w:r>
      <w:r>
        <w:rPr>
          <w:rFonts w:hint="eastAsia" w:ascii="宋体" w:hAnsi="宋体" w:eastAsia="宋体" w:cs="宋体"/>
          <w:color w:val="auto"/>
          <w:sz w:val="24"/>
          <w:szCs w:val="24"/>
          <w:highlight w:val="none"/>
        </w:rPr>
        <w:t>的实际自主报价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投标总报价包括完成本项目的所有费用。</w:t>
      </w:r>
    </w:p>
    <w:p>
      <w:pPr>
        <w:spacing w:line="360" w:lineRule="auto"/>
        <w:ind w:firstLine="3120" w:firstLineChars="1300"/>
        <w:rPr>
          <w:color w:val="auto"/>
          <w:sz w:val="24"/>
          <w:highlight w:val="none"/>
        </w:rPr>
      </w:pPr>
    </w:p>
    <w:p>
      <w:pPr>
        <w:pStyle w:val="8"/>
        <w:rPr>
          <w:color w:val="auto"/>
          <w:sz w:val="24"/>
          <w:highlight w:val="none"/>
        </w:rPr>
      </w:pPr>
    </w:p>
    <w:p>
      <w:pPr>
        <w:pStyle w:val="9"/>
        <w:rPr>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08"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8"/>
      </w:pPr>
    </w:p>
    <w:p/>
    <w:p>
      <w:pPr>
        <w:rPr>
          <w:color w:val="auto"/>
          <w:highlight w:val="none"/>
        </w:rPr>
      </w:pPr>
    </w:p>
    <w:p>
      <w:pPr>
        <w:pStyle w:val="8"/>
        <w:rPr>
          <w:color w:val="auto"/>
          <w:highlight w:val="none"/>
        </w:rPr>
      </w:pPr>
    </w:p>
    <w:p>
      <w:pPr>
        <w:pStyle w:val="4"/>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二、法定代表人身份证明及法定代表人授权委托书</w:t>
      </w:r>
    </w:p>
    <w:p>
      <w:pPr>
        <w:pageBreakBefore w:val="0"/>
        <w:widowControl w:val="0"/>
        <w:kinsoku/>
        <w:wordWrap/>
        <w:overflowPunct/>
        <w:topLinePunct w:val="0"/>
        <w:autoSpaceDE w:val="0"/>
        <w:autoSpaceDN w:val="0"/>
        <w:bidi w:val="0"/>
        <w:adjustRightInd/>
        <w:snapToGrid/>
        <w:spacing w:line="360" w:lineRule="auto"/>
        <w:jc w:val="center"/>
        <w:textAlignment w:val="auto"/>
        <w:rPr>
          <w:b/>
          <w:bCs/>
          <w:sz w:val="28"/>
          <w:szCs w:val="28"/>
        </w:rPr>
      </w:pPr>
      <w:r>
        <w:rPr>
          <w:rFonts w:hint="eastAsia"/>
          <w:b/>
          <w:bCs/>
          <w:sz w:val="28"/>
          <w:szCs w:val="28"/>
        </w:rPr>
        <w:t>（一）法定代表人身份证明</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lang w:val="en-US" w:eastAsia="zh-CN"/>
        </w:rPr>
      </w:pPr>
      <w:bookmarkStart w:id="87" w:name="_Toc29896"/>
      <w:bookmarkStart w:id="88" w:name="_Toc9485"/>
      <w:bookmarkStart w:id="89" w:name="_Toc322521760"/>
      <w:bookmarkStart w:id="90" w:name="_Toc15887"/>
      <w:bookmarkStart w:id="91" w:name="_Toc318905626"/>
      <w:bookmarkStart w:id="92" w:name="_Toc322522029"/>
      <w:bookmarkStart w:id="93" w:name="_Toc410311228"/>
      <w:bookmarkStart w:id="94" w:name="_Toc27853"/>
      <w:bookmarkStart w:id="95" w:name="_Toc423532145"/>
      <w:bookmarkStart w:id="96" w:name="_Toc29900"/>
      <w:bookmarkStart w:id="97" w:name="_Toc31596"/>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日；经营期限：</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kern w:val="0"/>
          <w:sz w:val="24"/>
          <w:szCs w:val="24"/>
          <w:highlight w:val="none"/>
          <w:u w:val="single"/>
        </w:rPr>
        <w:t>名称）</w:t>
      </w:r>
      <w:r>
        <w:rPr>
          <w:rFonts w:hint="eastAsia" w:ascii="宋体" w:hAnsi="宋体" w:eastAsia="宋体" w:cs="宋体"/>
          <w:color w:val="auto"/>
          <w:kern w:val="0"/>
          <w:sz w:val="24"/>
          <w:szCs w:val="24"/>
          <w:highlight w:val="none"/>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5"/>
        <w:tblW w:w="0" w:type="auto"/>
        <w:jc w:val="center"/>
        <w:tblLayout w:type="fixed"/>
        <w:tblCellMar>
          <w:top w:w="0" w:type="dxa"/>
          <w:left w:w="108" w:type="dxa"/>
          <w:bottom w:w="0" w:type="dxa"/>
          <w:right w:w="108" w:type="dxa"/>
        </w:tblCellMar>
      </w:tblPr>
      <w:tblGrid>
        <w:gridCol w:w="6380"/>
      </w:tblGrid>
      <w:tr>
        <w:tblPrEx>
          <w:tblCellMar>
            <w:top w:w="0" w:type="dxa"/>
            <w:left w:w="108" w:type="dxa"/>
            <w:bottom w:w="0" w:type="dxa"/>
            <w:right w:w="108" w:type="dxa"/>
          </w:tblCellMar>
        </w:tblPrEx>
        <w:trPr>
          <w:trHeight w:val="2712" w:hRule="atLeast"/>
          <w:jc w:val="center"/>
        </w:trPr>
        <w:tc>
          <w:tcPr>
            <w:tcW w:w="63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4"/>
                <w:szCs w:val="24"/>
                <w:highlight w:val="none"/>
                <w:lang w:val="zh-CN"/>
              </w:rPr>
              <w:t>正、反面复印件</w:t>
            </w:r>
          </w:p>
        </w:tc>
      </w:tr>
    </w:tbl>
    <w:p>
      <w:pPr>
        <w:spacing w:line="540" w:lineRule="exact"/>
        <w:ind w:right="-20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说明：仅限法定代表人参加</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时提供。</w:t>
      </w:r>
    </w:p>
    <w:p>
      <w:pPr>
        <w:pStyle w:val="17"/>
        <w:rPr>
          <w:rFonts w:hint="eastAsia" w:ascii="宋体" w:hAnsi="宋体" w:eastAsia="宋体" w:cs="宋体"/>
          <w:color w:val="auto"/>
          <w:sz w:val="24"/>
          <w:szCs w:val="24"/>
          <w:highlight w:val="none"/>
        </w:rPr>
      </w:pPr>
    </w:p>
    <w:p>
      <w:pPr>
        <w:ind w:firstLine="1920" w:firstLineChars="8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rPr>
          <w:rFonts w:hint="eastAsia"/>
        </w:rPr>
      </w:pPr>
    </w:p>
    <w:p>
      <w:pPr>
        <w:rPr>
          <w:rFonts w:hint="eastAsia"/>
          <w:color w:val="auto"/>
          <w:sz w:val="36"/>
          <w:szCs w:val="40"/>
          <w:highlight w:val="none"/>
        </w:rPr>
      </w:pPr>
    </w:p>
    <w:p>
      <w:pPr>
        <w:pStyle w:val="23"/>
        <w:rPr>
          <w:rFonts w:hint="eastAsia"/>
          <w:color w:val="auto"/>
          <w:highlight w:val="none"/>
        </w:rPr>
      </w:pPr>
    </w:p>
    <w:p>
      <w:pPr>
        <w:rPr>
          <w:rFonts w:hint="eastAsia"/>
          <w:color w:val="auto"/>
          <w:highlight w:val="none"/>
        </w:rPr>
      </w:pPr>
    </w:p>
    <w:p>
      <w:pPr>
        <w:pStyle w:val="8"/>
        <w:rPr>
          <w:rFonts w:hint="eastAsia"/>
        </w:rPr>
      </w:pPr>
    </w:p>
    <w:p>
      <w:pPr>
        <w:pStyle w:val="8"/>
        <w:rPr>
          <w:rFonts w:hint="eastAsia"/>
        </w:rPr>
      </w:pPr>
    </w:p>
    <w:p>
      <w:pPr>
        <w:pStyle w:val="23"/>
        <w:rPr>
          <w:rFonts w:hint="eastAsia"/>
          <w:color w:val="auto"/>
          <w:highlight w:val="none"/>
        </w:rPr>
      </w:pPr>
    </w:p>
    <w:p>
      <w:pPr>
        <w:spacing w:line="480" w:lineRule="auto"/>
        <w:jc w:val="center"/>
        <w:rPr>
          <w:b/>
          <w:bCs/>
          <w:sz w:val="28"/>
          <w:szCs w:val="28"/>
        </w:rPr>
      </w:pPr>
      <w:r>
        <w:rPr>
          <w:rFonts w:hint="eastAsia"/>
          <w:b/>
          <w:bCs/>
          <w:sz w:val="28"/>
          <w:szCs w:val="28"/>
        </w:rPr>
        <w:t>（二）法定代表人授权委托书</w:t>
      </w:r>
      <w:bookmarkEnd w:id="87"/>
      <w:bookmarkEnd w:id="88"/>
      <w:bookmarkEnd w:id="89"/>
      <w:bookmarkEnd w:id="90"/>
      <w:bookmarkEnd w:id="91"/>
      <w:bookmarkEnd w:id="92"/>
      <w:bookmarkEnd w:id="93"/>
      <w:bookmarkEnd w:id="94"/>
      <w:bookmarkEnd w:id="95"/>
      <w:bookmarkEnd w:id="96"/>
      <w:bookmarkEnd w:id="97"/>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u w:val="none"/>
          <w:lang w:eastAsia="zh-CN"/>
        </w:rPr>
        <w:t>致：</w:t>
      </w:r>
      <w:r>
        <w:rPr>
          <w:rFonts w:hint="eastAsia" w:ascii="宋体" w:hAnsi="宋体" w:eastAsia="宋体" w:cs="宋体"/>
          <w:color w:val="auto"/>
          <w:spacing w:val="4"/>
          <w:sz w:val="24"/>
          <w:szCs w:val="24"/>
          <w:highlight w:val="none"/>
          <w:u w:val="single"/>
        </w:rPr>
        <w:t xml:space="preserve">    （采购人名称）    </w:t>
      </w:r>
      <w:r>
        <w:rPr>
          <w:rFonts w:hint="eastAsia" w:ascii="宋体" w:hAnsi="宋体" w:eastAsia="宋体" w:cs="宋体"/>
          <w:color w:val="auto"/>
          <w:spacing w:val="4"/>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 xml:space="preserve">    （工商行政管理局名称）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投标人名称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的法定代表人</w:t>
      </w:r>
      <w:r>
        <w:rPr>
          <w:rFonts w:hint="eastAsia" w:ascii="宋体" w:hAnsi="宋体" w:eastAsia="宋体" w:cs="宋体"/>
          <w:color w:val="auto"/>
          <w:sz w:val="24"/>
          <w:szCs w:val="24"/>
          <w:highlight w:val="none"/>
          <w:u w:val="single"/>
          <w:lang w:val="zh-CN"/>
        </w:rPr>
        <w:t xml:space="preserve">   （姓名）</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 xml:space="preserve">   （授权代表姓名）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为我方合法授权代表。代理人根据授权，以我方名义签署、澄清、说明、递交、撤回、修改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响应文件、签订合同和处理有关事宜，其法律后果由我方承担。</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本授权书自双方</w:t>
      </w:r>
      <w:r>
        <w:rPr>
          <w:rFonts w:hint="eastAsia" w:ascii="宋体" w:hAnsi="宋体" w:eastAsia="宋体" w:cs="宋体"/>
          <w:bCs/>
          <w:color w:val="auto"/>
          <w:sz w:val="24"/>
          <w:szCs w:val="24"/>
          <w:highlight w:val="none"/>
        </w:rPr>
        <w:t>签字并加盖本单位公章后正式生效，</w:t>
      </w:r>
      <w:r>
        <w:rPr>
          <w:rFonts w:hint="eastAsia" w:ascii="宋体" w:hAnsi="宋体" w:eastAsia="宋体" w:cs="宋体"/>
          <w:color w:val="auto"/>
          <w:sz w:val="24"/>
          <w:szCs w:val="24"/>
          <w:highlight w:val="none"/>
        </w:rPr>
        <w:t>有效期自投标截止之日起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个日历日(本授权有效期自</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截止之日起不少于90天），仅限授权代表参加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时提供。</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6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80" w:lineRule="auto"/>
        <w:ind w:firstLine="42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3116580</wp:posOffset>
                </wp:positionH>
                <wp:positionV relativeFrom="paragraph">
                  <wp:posOffset>261620</wp:posOffset>
                </wp:positionV>
                <wp:extent cx="2867025" cy="1584960"/>
                <wp:effectExtent l="4445" t="4445" r="5080" b="10795"/>
                <wp:wrapNone/>
                <wp:docPr id="2" name="文本框 2"/>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wps:txbx>
                      <wps:bodyPr wrap="square" upright="1"/>
                    </wps:wsp>
                  </a:graphicData>
                </a:graphic>
              </wp:anchor>
            </w:drawing>
          </mc:Choice>
          <mc:Fallback>
            <w:pict>
              <v:shape id="_x0000_s1026" o:spid="_x0000_s1026" o:spt="202" type="#_x0000_t202" style="position:absolute;left:0pt;margin-left:245.4pt;margin-top:20.6pt;height:124.8pt;width:225.75pt;z-index:251660288;mso-width-relative:page;mso-height-relative:page;" fillcolor="#FFFFFF" filled="t" stroked="t" coordsize="21600,21600" o:gfxdata="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vHje2QAA&#10;AAoBAAAPAAAAAAAAAAEAIAAAACIAAABkcnMvZG93bnJldi54bWxQSwECFAAUAAAACACHTuJAn8jX&#10;zR0CAABTBAAADgAAAAAAAAABACAAAAAoAQAAZHJzL2Uyb0RvYy54bWxQSwUGAAAAAAYABgBZAQAA&#10;twUAAAAA&#10;">
                <v:fill on="t" focussize="0,0"/>
                <v:stroke color="#000000" joinstyle="miter"/>
                <v:imagedata o:title=""/>
                <o:lock v:ext="edit" aspectratio="f"/>
                <v:textbo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v:textbox>
              </v:shape>
            </w:pict>
          </mc:Fallback>
        </mc:AlternateContent>
      </w:r>
      <w:r>
        <w:rPr>
          <w:rFonts w:hint="eastAsia" w:ascii="宋体" w:hAnsi="宋体" w:eastAsia="宋体" w:cs="宋体"/>
          <w:bCs/>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261620</wp:posOffset>
                </wp:positionV>
                <wp:extent cx="2867025" cy="1584960"/>
                <wp:effectExtent l="4445" t="4445" r="5080" b="10795"/>
                <wp:wrapNone/>
                <wp:docPr id="1" name="文本框 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wps:txbx>
                      <wps:bodyPr wrap="square" upright="1"/>
                    </wps:wsp>
                  </a:graphicData>
                </a:graphic>
              </wp:anchor>
            </w:drawing>
          </mc:Choice>
          <mc:Fallback>
            <w:pict>
              <v:shape id="_x0000_s1026" o:spid="_x0000_s1026" o:spt="202" type="#_x0000_t202" style="position:absolute;left:0pt;margin-left:14.2pt;margin-top:20.6pt;height:124.8pt;width:225.75pt;z-index:251659264;mso-width-relative:page;mso-height-relative:page;" fillcolor="#FFFFFF" filled="t" stroked="t" coordsize="21600,21600" o:gfxdata="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q3DOrYAAAA&#10;CQEAAA8AAAAAAAAAAQAgAAAAIgAAAGRycy9kb3ducmV2LnhtbFBLAQIUABQAAAAIAIdO4kBanwKc&#10;HQIAAFMEAAAOAAAAAAAAAAEAIAAAACcBAABkcnMvZTJvRG9jLnhtbFBLBQYAAAAABgAGAFkBAAC2&#10;BQAAAAA=&#10;">
                <v:fill on="t" focussize="0,0"/>
                <v:stroke color="#000000" joinstyle="miter"/>
                <v:imagedata o:title=""/>
                <o:lock v:ext="edit" aspectratio="f"/>
                <v:textbox>
                  <w:txbxContent>
                    <w:p>
                      <w:pPr>
                        <w:jc w:val="center"/>
                        <w:rPr>
                          <w:rFonts w:ascii="黑体" w:eastAsia="黑体"/>
                          <w:sz w:val="32"/>
                          <w:szCs w:val="32"/>
                        </w:rPr>
                      </w:pP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adjustRightInd w:val="0"/>
                        <w:snapToGrid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（正反两面）</w:t>
                      </w:r>
                    </w:p>
                  </w:txbxContent>
                </v:textbox>
              </v:shape>
            </w:pict>
          </mc:Fallback>
        </mc:AlternateContent>
      </w:r>
    </w:p>
    <w:p>
      <w:pPr>
        <w:spacing w:line="480" w:lineRule="auto"/>
        <w:ind w:firstLine="420"/>
        <w:rPr>
          <w:rFonts w:hint="eastAsia" w:ascii="宋体" w:hAnsi="宋体" w:eastAsia="宋体" w:cs="宋体"/>
          <w:bCs/>
          <w:color w:val="auto"/>
          <w:sz w:val="32"/>
          <w:szCs w:val="32"/>
          <w:highlight w:val="none"/>
        </w:rPr>
      </w:pPr>
    </w:p>
    <w:p>
      <w:pPr>
        <w:ind w:firstLine="640" w:firstLineChars="200"/>
        <w:rPr>
          <w:rFonts w:hint="eastAsia" w:ascii="宋体" w:hAnsi="宋体" w:eastAsia="宋体" w:cs="宋体"/>
          <w:bCs/>
          <w:color w:val="auto"/>
          <w:sz w:val="32"/>
          <w:szCs w:val="32"/>
          <w:highlight w:val="none"/>
        </w:rPr>
      </w:pPr>
    </w:p>
    <w:p>
      <w:pPr>
        <w:spacing w:line="360" w:lineRule="auto"/>
        <w:rPr>
          <w:color w:val="auto"/>
          <w:szCs w:val="21"/>
          <w:highlight w:val="none"/>
        </w:rPr>
      </w:pPr>
      <w:r>
        <w:rPr>
          <w:rFonts w:hint="eastAsia" w:ascii="宋体" w:hAnsi="宋体" w:eastAsia="宋体" w:cs="宋体"/>
          <w:b/>
          <w:bCs/>
          <w:color w:val="auto"/>
          <w:sz w:val="44"/>
          <w:szCs w:val="44"/>
          <w:highlight w:val="none"/>
          <w:lang w:val="zh-CN"/>
        </w:rPr>
        <w:br w:type="page"/>
      </w:r>
    </w:p>
    <w:p>
      <w:pPr>
        <w:pStyle w:val="4"/>
        <w:bidi w:val="0"/>
        <w:spacing w:line="360" w:lineRule="auto"/>
        <w:jc w:val="center"/>
        <w:rPr>
          <w:rFonts w:hint="eastAsia" w:ascii="宋体" w:hAnsi="宋体" w:eastAsia="宋体" w:cs="宋体"/>
          <w:lang w:val="en-US"/>
        </w:rPr>
      </w:pPr>
      <w:bookmarkStart w:id="98" w:name="_Toc380247133"/>
      <w:bookmarkStart w:id="99" w:name="_Toc414981290"/>
      <w:bookmarkStart w:id="100" w:name="_Toc423532153"/>
      <w:bookmarkStart w:id="101" w:name="_Toc28252"/>
      <w:bookmarkStart w:id="102" w:name="_Toc25321"/>
      <w:bookmarkStart w:id="103" w:name="_Toc26413"/>
      <w:bookmarkStart w:id="104" w:name="_Toc642"/>
      <w:bookmarkStart w:id="105" w:name="_Toc3117"/>
      <w:bookmarkStart w:id="106" w:name="_Toc3778"/>
      <w:bookmarkStart w:id="107" w:name="_Toc4742"/>
      <w:r>
        <w:rPr>
          <w:rFonts w:hint="eastAsia" w:ascii="宋体" w:hAnsi="宋体" w:eastAsia="宋体" w:cs="宋体"/>
          <w:lang w:val="en-US" w:eastAsia="zh-CN"/>
        </w:rPr>
        <w:t xml:space="preserve">三、技术及商务偏离表 </w:t>
      </w:r>
    </w:p>
    <w:p>
      <w:pPr>
        <w:spacing w:line="360" w:lineRule="auto"/>
        <w:jc w:val="center"/>
        <w:rPr>
          <w:rFonts w:hint="eastAsia"/>
          <w:b/>
          <w:bCs/>
          <w:sz w:val="28"/>
          <w:szCs w:val="28"/>
          <w:lang w:val="en-US"/>
        </w:rPr>
      </w:pPr>
      <w:r>
        <w:rPr>
          <w:rFonts w:hint="eastAsia"/>
          <w:b/>
          <w:bCs/>
          <w:sz w:val="28"/>
          <w:szCs w:val="28"/>
          <w:lang w:val="en-US" w:eastAsia="zh-CN"/>
        </w:rPr>
        <w:t>（1）</w:t>
      </w:r>
      <w:r>
        <w:rPr>
          <w:rFonts w:hint="eastAsia"/>
          <w:b/>
          <w:bCs/>
          <w:sz w:val="28"/>
          <w:szCs w:val="28"/>
          <w:lang w:val="en-US"/>
        </w:rPr>
        <w:t>技术指标偏</w:t>
      </w:r>
      <w:r>
        <w:rPr>
          <w:rFonts w:hint="eastAsia"/>
          <w:b/>
          <w:bCs/>
          <w:sz w:val="28"/>
          <w:szCs w:val="28"/>
          <w:lang w:val="en-US" w:eastAsia="zh-CN"/>
        </w:rPr>
        <w:t>离</w:t>
      </w:r>
      <w:r>
        <w:rPr>
          <w:rFonts w:hint="eastAsia"/>
          <w:b/>
          <w:bCs/>
          <w:sz w:val="28"/>
          <w:szCs w:val="28"/>
          <w:lang w:val="en-US"/>
        </w:rPr>
        <w:t>表</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p>
    <w:p>
      <w:pPr>
        <w:pStyle w:val="12"/>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项目编号：</w:t>
      </w:r>
    </w:p>
    <w:p>
      <w:pPr>
        <w:pStyle w:val="23"/>
        <w:numPr>
          <w:ilvl w:val="0"/>
          <w:numId w:val="0"/>
        </w:numPr>
        <w:rPr>
          <w:color w:val="auto"/>
          <w:highlight w:val="none"/>
          <w:lang w:val="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3" w:type="dxa"/>
            <w:vAlign w:val="center"/>
          </w:tcPr>
          <w:p>
            <w:pPr>
              <w:pStyle w:val="14"/>
              <w:spacing w:line="400" w:lineRule="exact"/>
              <w:jc w:val="center"/>
              <w:rPr>
                <w:color w:val="auto"/>
                <w:sz w:val="24"/>
                <w:szCs w:val="24"/>
                <w:highlight w:val="none"/>
              </w:rPr>
            </w:pPr>
            <w:r>
              <w:rPr>
                <w:rFonts w:hint="eastAsia"/>
                <w:color w:val="auto"/>
                <w:sz w:val="24"/>
                <w:szCs w:val="24"/>
                <w:highlight w:val="none"/>
              </w:rPr>
              <w:t>序号</w:t>
            </w:r>
          </w:p>
        </w:tc>
        <w:tc>
          <w:tcPr>
            <w:tcW w:w="1799" w:type="dxa"/>
            <w:vAlign w:val="center"/>
          </w:tcPr>
          <w:p>
            <w:pPr>
              <w:pStyle w:val="14"/>
              <w:spacing w:line="400" w:lineRule="exact"/>
              <w:ind w:firstLine="600" w:firstLineChars="250"/>
              <w:rPr>
                <w:color w:val="auto"/>
                <w:sz w:val="24"/>
                <w:szCs w:val="24"/>
                <w:highlight w:val="none"/>
              </w:rPr>
            </w:pPr>
            <w:r>
              <w:rPr>
                <w:rFonts w:hint="eastAsia"/>
                <w:color w:val="auto"/>
                <w:sz w:val="24"/>
                <w:szCs w:val="24"/>
                <w:highlight w:val="none"/>
              </w:rPr>
              <w:t>名称</w:t>
            </w:r>
          </w:p>
        </w:tc>
        <w:tc>
          <w:tcPr>
            <w:tcW w:w="2151" w:type="dxa"/>
            <w:tcBorders>
              <w:right w:val="single" w:color="auto" w:sz="4" w:space="0"/>
            </w:tcBorders>
            <w:vAlign w:val="center"/>
          </w:tcPr>
          <w:p>
            <w:pPr>
              <w:pStyle w:val="14"/>
              <w:spacing w:line="400" w:lineRule="exact"/>
              <w:jc w:val="center"/>
              <w:rPr>
                <w:color w:val="auto"/>
                <w:sz w:val="24"/>
                <w:szCs w:val="24"/>
                <w:highlight w:val="none"/>
              </w:rPr>
            </w:pPr>
            <w:r>
              <w:rPr>
                <w:rFonts w:hint="eastAsia"/>
                <w:color w:val="auto"/>
                <w:sz w:val="24"/>
                <w:highlight w:val="none"/>
              </w:rPr>
              <w:t>招标</w:t>
            </w:r>
            <w:r>
              <w:rPr>
                <w:rFonts w:hint="eastAsia"/>
                <w:color w:val="auto"/>
                <w:sz w:val="24"/>
                <w:szCs w:val="24"/>
                <w:highlight w:val="none"/>
              </w:rPr>
              <w:t>要求</w:t>
            </w:r>
          </w:p>
          <w:p>
            <w:pPr>
              <w:pStyle w:val="14"/>
              <w:spacing w:line="400" w:lineRule="exact"/>
              <w:jc w:val="center"/>
              <w:rPr>
                <w:color w:val="auto"/>
                <w:sz w:val="24"/>
                <w:szCs w:val="24"/>
                <w:highlight w:val="none"/>
              </w:rPr>
            </w:pPr>
            <w:r>
              <w:rPr>
                <w:rFonts w:hint="eastAsia"/>
                <w:color w:val="auto"/>
                <w:sz w:val="24"/>
                <w:szCs w:val="24"/>
                <w:highlight w:val="none"/>
              </w:rPr>
              <w:t>技术指标</w:t>
            </w:r>
          </w:p>
        </w:tc>
        <w:tc>
          <w:tcPr>
            <w:tcW w:w="2115" w:type="dxa"/>
            <w:tcBorders>
              <w:top w:val="single" w:color="auto" w:sz="4" w:space="0"/>
              <w:left w:val="single" w:color="auto" w:sz="4" w:space="0"/>
              <w:bottom w:val="single" w:color="auto" w:sz="4" w:space="0"/>
              <w:right w:val="single" w:color="auto" w:sz="4" w:space="0"/>
            </w:tcBorders>
            <w:vAlign w:val="center"/>
          </w:tcPr>
          <w:p>
            <w:pPr>
              <w:pStyle w:val="14"/>
              <w:spacing w:line="400" w:lineRule="exact"/>
              <w:jc w:val="center"/>
              <w:rPr>
                <w:color w:val="auto"/>
                <w:sz w:val="24"/>
                <w:szCs w:val="24"/>
                <w:highlight w:val="none"/>
              </w:rPr>
            </w:pPr>
            <w:r>
              <w:rPr>
                <w:rFonts w:hint="eastAsia"/>
                <w:color w:val="auto"/>
                <w:sz w:val="24"/>
                <w:szCs w:val="24"/>
                <w:highlight w:val="none"/>
              </w:rPr>
              <w:t xml:space="preserve">响应 </w:t>
            </w:r>
          </w:p>
          <w:p>
            <w:pPr>
              <w:pStyle w:val="14"/>
              <w:spacing w:line="400" w:lineRule="exact"/>
              <w:jc w:val="center"/>
              <w:rPr>
                <w:color w:val="auto"/>
                <w:sz w:val="24"/>
                <w:szCs w:val="24"/>
                <w:highlight w:val="none"/>
              </w:rPr>
            </w:pPr>
            <w:r>
              <w:rPr>
                <w:rFonts w:hint="eastAsia"/>
                <w:color w:val="auto"/>
                <w:sz w:val="24"/>
                <w:szCs w:val="24"/>
                <w:highlight w:val="none"/>
              </w:rPr>
              <w:t>技术指标</w:t>
            </w:r>
          </w:p>
        </w:tc>
        <w:tc>
          <w:tcPr>
            <w:tcW w:w="2468" w:type="dxa"/>
            <w:tcBorders>
              <w:left w:val="single" w:color="auto" w:sz="4" w:space="0"/>
            </w:tcBorders>
            <w:vAlign w:val="center"/>
          </w:tcPr>
          <w:p>
            <w:pPr>
              <w:pStyle w:val="14"/>
              <w:spacing w:line="400" w:lineRule="exact"/>
              <w:ind w:firstLine="720" w:firstLineChars="300"/>
              <w:rPr>
                <w:color w:val="auto"/>
                <w:sz w:val="24"/>
                <w:szCs w:val="24"/>
                <w:highlight w:val="none"/>
              </w:rPr>
            </w:pPr>
            <w:r>
              <w:rPr>
                <w:rFonts w:hint="eastAsia"/>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ind w:left="-125" w:leftChars="-57"/>
              <w:rPr>
                <w:color w:val="auto"/>
                <w:sz w:val="24"/>
                <w:szCs w:val="24"/>
                <w:highlight w:val="none"/>
              </w:rPr>
            </w:pPr>
          </w:p>
        </w:tc>
        <w:tc>
          <w:tcPr>
            <w:tcW w:w="1799" w:type="dxa"/>
          </w:tcPr>
          <w:p>
            <w:pPr>
              <w:pStyle w:val="14"/>
              <w:spacing w:line="400" w:lineRule="exact"/>
              <w:rPr>
                <w:color w:val="auto"/>
                <w:sz w:val="24"/>
                <w:szCs w:val="24"/>
                <w:highlight w:val="none"/>
              </w:rPr>
            </w:pPr>
          </w:p>
        </w:tc>
        <w:tc>
          <w:tcPr>
            <w:tcW w:w="2151" w:type="dxa"/>
            <w:vAlign w:val="center"/>
          </w:tcPr>
          <w:p>
            <w:pPr>
              <w:pStyle w:val="14"/>
              <w:spacing w:line="600" w:lineRule="exact"/>
              <w:rPr>
                <w:color w:val="auto"/>
                <w:sz w:val="24"/>
                <w:szCs w:val="24"/>
                <w:highlight w:val="none"/>
              </w:rPr>
            </w:pPr>
          </w:p>
        </w:tc>
        <w:tc>
          <w:tcPr>
            <w:tcW w:w="2115" w:type="dxa"/>
            <w:tcBorders>
              <w:top w:val="single" w:color="auto" w:sz="4" w:space="0"/>
            </w:tcBorders>
            <w:vAlign w:val="center"/>
          </w:tcPr>
          <w:p>
            <w:pPr>
              <w:pStyle w:val="14"/>
              <w:spacing w:line="600" w:lineRule="exact"/>
              <w:rPr>
                <w:color w:val="auto"/>
                <w:sz w:val="24"/>
                <w:szCs w:val="24"/>
                <w:highlight w:val="none"/>
              </w:rPr>
            </w:pPr>
          </w:p>
        </w:tc>
        <w:tc>
          <w:tcPr>
            <w:tcW w:w="2468" w:type="dxa"/>
            <w:vAlign w:val="center"/>
          </w:tcPr>
          <w:p>
            <w:pPr>
              <w:pStyle w:val="14"/>
              <w:spacing w:line="6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rPr>
                <w:color w:val="auto"/>
                <w:sz w:val="24"/>
                <w:szCs w:val="24"/>
                <w:highlight w:val="none"/>
              </w:rPr>
            </w:pPr>
          </w:p>
        </w:tc>
        <w:tc>
          <w:tcPr>
            <w:tcW w:w="1799" w:type="dxa"/>
          </w:tcPr>
          <w:p>
            <w:pPr>
              <w:pStyle w:val="14"/>
              <w:spacing w:line="600" w:lineRule="exact"/>
              <w:rPr>
                <w:color w:val="auto"/>
                <w:sz w:val="24"/>
                <w:szCs w:val="24"/>
                <w:highlight w:val="none"/>
              </w:rPr>
            </w:pPr>
          </w:p>
        </w:tc>
        <w:tc>
          <w:tcPr>
            <w:tcW w:w="2151" w:type="dxa"/>
          </w:tcPr>
          <w:p>
            <w:pPr>
              <w:pStyle w:val="14"/>
              <w:spacing w:line="600" w:lineRule="exact"/>
              <w:rPr>
                <w:color w:val="auto"/>
                <w:sz w:val="24"/>
                <w:szCs w:val="24"/>
                <w:highlight w:val="none"/>
              </w:rPr>
            </w:pPr>
          </w:p>
        </w:tc>
        <w:tc>
          <w:tcPr>
            <w:tcW w:w="2115" w:type="dxa"/>
          </w:tcPr>
          <w:p>
            <w:pPr>
              <w:pStyle w:val="14"/>
              <w:spacing w:line="600" w:lineRule="exact"/>
              <w:rPr>
                <w:color w:val="auto"/>
                <w:sz w:val="24"/>
                <w:szCs w:val="24"/>
                <w:highlight w:val="none"/>
              </w:rPr>
            </w:pPr>
          </w:p>
        </w:tc>
        <w:tc>
          <w:tcPr>
            <w:tcW w:w="2468" w:type="dxa"/>
          </w:tcPr>
          <w:p>
            <w:pPr>
              <w:pStyle w:val="14"/>
              <w:spacing w:line="6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rPr>
                <w:color w:val="auto"/>
                <w:sz w:val="24"/>
                <w:szCs w:val="24"/>
                <w:highlight w:val="none"/>
              </w:rPr>
            </w:pPr>
          </w:p>
        </w:tc>
        <w:tc>
          <w:tcPr>
            <w:tcW w:w="1799" w:type="dxa"/>
          </w:tcPr>
          <w:p>
            <w:pPr>
              <w:pStyle w:val="14"/>
              <w:spacing w:line="600" w:lineRule="exact"/>
              <w:rPr>
                <w:color w:val="auto"/>
                <w:sz w:val="24"/>
                <w:szCs w:val="24"/>
                <w:highlight w:val="none"/>
              </w:rPr>
            </w:pPr>
          </w:p>
        </w:tc>
        <w:tc>
          <w:tcPr>
            <w:tcW w:w="2151" w:type="dxa"/>
          </w:tcPr>
          <w:p>
            <w:pPr>
              <w:pStyle w:val="14"/>
              <w:spacing w:line="600" w:lineRule="exact"/>
              <w:rPr>
                <w:color w:val="auto"/>
                <w:sz w:val="24"/>
                <w:szCs w:val="24"/>
                <w:highlight w:val="none"/>
              </w:rPr>
            </w:pPr>
          </w:p>
        </w:tc>
        <w:tc>
          <w:tcPr>
            <w:tcW w:w="2115" w:type="dxa"/>
          </w:tcPr>
          <w:p>
            <w:pPr>
              <w:pStyle w:val="14"/>
              <w:spacing w:line="600" w:lineRule="exact"/>
              <w:rPr>
                <w:color w:val="auto"/>
                <w:sz w:val="24"/>
                <w:szCs w:val="24"/>
                <w:highlight w:val="none"/>
              </w:rPr>
            </w:pPr>
          </w:p>
        </w:tc>
        <w:tc>
          <w:tcPr>
            <w:tcW w:w="2468" w:type="dxa"/>
          </w:tcPr>
          <w:p>
            <w:pPr>
              <w:pStyle w:val="14"/>
              <w:spacing w:line="6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rPr>
                <w:color w:val="auto"/>
                <w:sz w:val="24"/>
                <w:szCs w:val="24"/>
                <w:highlight w:val="none"/>
              </w:rPr>
            </w:pPr>
          </w:p>
        </w:tc>
        <w:tc>
          <w:tcPr>
            <w:tcW w:w="1799" w:type="dxa"/>
          </w:tcPr>
          <w:p>
            <w:pPr>
              <w:pStyle w:val="14"/>
              <w:spacing w:line="600" w:lineRule="exact"/>
              <w:rPr>
                <w:color w:val="auto"/>
                <w:sz w:val="24"/>
                <w:szCs w:val="24"/>
                <w:highlight w:val="none"/>
              </w:rPr>
            </w:pPr>
          </w:p>
        </w:tc>
        <w:tc>
          <w:tcPr>
            <w:tcW w:w="2151" w:type="dxa"/>
          </w:tcPr>
          <w:p>
            <w:pPr>
              <w:pStyle w:val="14"/>
              <w:spacing w:line="600" w:lineRule="exact"/>
              <w:rPr>
                <w:color w:val="auto"/>
                <w:sz w:val="24"/>
                <w:szCs w:val="24"/>
                <w:highlight w:val="none"/>
              </w:rPr>
            </w:pPr>
          </w:p>
        </w:tc>
        <w:tc>
          <w:tcPr>
            <w:tcW w:w="2115" w:type="dxa"/>
          </w:tcPr>
          <w:p>
            <w:pPr>
              <w:pStyle w:val="14"/>
              <w:spacing w:line="600" w:lineRule="exact"/>
              <w:rPr>
                <w:color w:val="auto"/>
                <w:sz w:val="24"/>
                <w:szCs w:val="24"/>
                <w:highlight w:val="none"/>
              </w:rPr>
            </w:pPr>
          </w:p>
        </w:tc>
        <w:tc>
          <w:tcPr>
            <w:tcW w:w="2468" w:type="dxa"/>
          </w:tcPr>
          <w:p>
            <w:pPr>
              <w:pStyle w:val="14"/>
              <w:spacing w:line="6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rPr>
                <w:color w:val="auto"/>
                <w:sz w:val="24"/>
                <w:szCs w:val="24"/>
                <w:highlight w:val="none"/>
              </w:rPr>
            </w:pPr>
          </w:p>
        </w:tc>
        <w:tc>
          <w:tcPr>
            <w:tcW w:w="1799" w:type="dxa"/>
          </w:tcPr>
          <w:p>
            <w:pPr>
              <w:pStyle w:val="14"/>
              <w:spacing w:line="600" w:lineRule="exact"/>
              <w:rPr>
                <w:color w:val="auto"/>
                <w:sz w:val="24"/>
                <w:szCs w:val="24"/>
                <w:highlight w:val="none"/>
              </w:rPr>
            </w:pPr>
          </w:p>
        </w:tc>
        <w:tc>
          <w:tcPr>
            <w:tcW w:w="2151" w:type="dxa"/>
          </w:tcPr>
          <w:p>
            <w:pPr>
              <w:pStyle w:val="14"/>
              <w:spacing w:line="600" w:lineRule="exact"/>
              <w:rPr>
                <w:color w:val="auto"/>
                <w:sz w:val="24"/>
                <w:szCs w:val="24"/>
                <w:highlight w:val="none"/>
              </w:rPr>
            </w:pPr>
          </w:p>
        </w:tc>
        <w:tc>
          <w:tcPr>
            <w:tcW w:w="2115" w:type="dxa"/>
          </w:tcPr>
          <w:p>
            <w:pPr>
              <w:pStyle w:val="14"/>
              <w:spacing w:line="600" w:lineRule="exact"/>
              <w:rPr>
                <w:color w:val="auto"/>
                <w:sz w:val="24"/>
                <w:szCs w:val="24"/>
                <w:highlight w:val="none"/>
              </w:rPr>
            </w:pPr>
          </w:p>
        </w:tc>
        <w:tc>
          <w:tcPr>
            <w:tcW w:w="2468" w:type="dxa"/>
          </w:tcPr>
          <w:p>
            <w:pPr>
              <w:pStyle w:val="14"/>
              <w:spacing w:line="6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rPr>
                <w:color w:val="auto"/>
                <w:sz w:val="24"/>
                <w:szCs w:val="24"/>
                <w:highlight w:val="none"/>
              </w:rPr>
            </w:pPr>
          </w:p>
        </w:tc>
        <w:tc>
          <w:tcPr>
            <w:tcW w:w="1799" w:type="dxa"/>
          </w:tcPr>
          <w:p>
            <w:pPr>
              <w:pStyle w:val="14"/>
              <w:spacing w:line="600" w:lineRule="exact"/>
              <w:rPr>
                <w:color w:val="auto"/>
                <w:sz w:val="24"/>
                <w:szCs w:val="24"/>
                <w:highlight w:val="none"/>
              </w:rPr>
            </w:pPr>
          </w:p>
        </w:tc>
        <w:tc>
          <w:tcPr>
            <w:tcW w:w="2151" w:type="dxa"/>
          </w:tcPr>
          <w:p>
            <w:pPr>
              <w:pStyle w:val="14"/>
              <w:spacing w:line="600" w:lineRule="exact"/>
              <w:rPr>
                <w:color w:val="auto"/>
                <w:sz w:val="24"/>
                <w:szCs w:val="24"/>
                <w:highlight w:val="none"/>
              </w:rPr>
            </w:pPr>
          </w:p>
        </w:tc>
        <w:tc>
          <w:tcPr>
            <w:tcW w:w="2115" w:type="dxa"/>
          </w:tcPr>
          <w:p>
            <w:pPr>
              <w:pStyle w:val="14"/>
              <w:spacing w:line="600" w:lineRule="exact"/>
              <w:rPr>
                <w:color w:val="auto"/>
                <w:sz w:val="24"/>
                <w:szCs w:val="24"/>
                <w:highlight w:val="none"/>
              </w:rPr>
            </w:pPr>
          </w:p>
        </w:tc>
        <w:tc>
          <w:tcPr>
            <w:tcW w:w="2468" w:type="dxa"/>
          </w:tcPr>
          <w:p>
            <w:pPr>
              <w:pStyle w:val="14"/>
              <w:spacing w:line="6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pPr>
              <w:pStyle w:val="14"/>
              <w:spacing w:line="600" w:lineRule="exact"/>
              <w:rPr>
                <w:color w:val="auto"/>
                <w:sz w:val="24"/>
                <w:szCs w:val="24"/>
                <w:highlight w:val="none"/>
              </w:rPr>
            </w:pPr>
          </w:p>
        </w:tc>
        <w:tc>
          <w:tcPr>
            <w:tcW w:w="1799" w:type="dxa"/>
          </w:tcPr>
          <w:p>
            <w:pPr>
              <w:pStyle w:val="14"/>
              <w:spacing w:line="600" w:lineRule="exact"/>
              <w:rPr>
                <w:color w:val="auto"/>
                <w:sz w:val="24"/>
                <w:szCs w:val="24"/>
                <w:highlight w:val="none"/>
              </w:rPr>
            </w:pPr>
          </w:p>
        </w:tc>
        <w:tc>
          <w:tcPr>
            <w:tcW w:w="2151" w:type="dxa"/>
          </w:tcPr>
          <w:p>
            <w:pPr>
              <w:pStyle w:val="14"/>
              <w:spacing w:line="600" w:lineRule="exact"/>
              <w:rPr>
                <w:color w:val="auto"/>
                <w:sz w:val="24"/>
                <w:szCs w:val="24"/>
                <w:highlight w:val="none"/>
              </w:rPr>
            </w:pPr>
          </w:p>
        </w:tc>
        <w:tc>
          <w:tcPr>
            <w:tcW w:w="2115" w:type="dxa"/>
          </w:tcPr>
          <w:p>
            <w:pPr>
              <w:pStyle w:val="14"/>
              <w:spacing w:line="600" w:lineRule="exact"/>
              <w:rPr>
                <w:color w:val="auto"/>
                <w:sz w:val="24"/>
                <w:szCs w:val="24"/>
                <w:highlight w:val="none"/>
              </w:rPr>
            </w:pPr>
          </w:p>
        </w:tc>
        <w:tc>
          <w:tcPr>
            <w:tcW w:w="2468" w:type="dxa"/>
          </w:tcPr>
          <w:p>
            <w:pPr>
              <w:pStyle w:val="14"/>
              <w:spacing w:line="600" w:lineRule="exact"/>
              <w:rPr>
                <w:color w:val="auto"/>
                <w:sz w:val="24"/>
                <w:szCs w:val="24"/>
                <w:highlight w:val="none"/>
              </w:rPr>
            </w:pPr>
          </w:p>
        </w:tc>
      </w:tr>
    </w:tbl>
    <w:p>
      <w:pPr>
        <w:rPr>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12" w:lineRule="auto"/>
        <w:ind w:firstLine="240" w:firstLineChars="100"/>
        <w:textAlignment w:val="auto"/>
        <w:rPr>
          <w:rFonts w:hint="eastAsia"/>
          <w:color w:val="auto"/>
          <w:sz w:val="24"/>
          <w:szCs w:val="24"/>
          <w:highlight w:val="none"/>
        </w:rPr>
      </w:pPr>
      <w:r>
        <w:rPr>
          <w:rFonts w:hint="eastAsia"/>
          <w:color w:val="auto"/>
          <w:sz w:val="24"/>
          <w:szCs w:val="24"/>
          <w:highlight w:val="none"/>
        </w:rPr>
        <w:t>说明：</w:t>
      </w:r>
    </w:p>
    <w:p>
      <w:pPr>
        <w:keepNext w:val="0"/>
        <w:keepLines w:val="0"/>
        <w:pageBreakBefore w:val="0"/>
        <w:widowControl w:val="0"/>
        <w:kinsoku/>
        <w:wordWrap/>
        <w:overflowPunct/>
        <w:topLinePunct w:val="0"/>
        <w:autoSpaceDE w:val="0"/>
        <w:autoSpaceDN w:val="0"/>
        <w:bidi w:val="0"/>
        <w:adjustRightInd/>
        <w:snapToGrid/>
        <w:spacing w:line="312" w:lineRule="auto"/>
        <w:ind w:firstLine="720" w:firstLineChars="300"/>
        <w:textAlignment w:val="auto"/>
        <w:rPr>
          <w:rFonts w:hint="eastAsia"/>
          <w:color w:val="auto"/>
          <w:sz w:val="24"/>
          <w:szCs w:val="24"/>
          <w:highlight w:val="none"/>
        </w:rPr>
      </w:pPr>
      <w:r>
        <w:rPr>
          <w:rFonts w:hint="eastAsia"/>
          <w:color w:val="auto"/>
          <w:sz w:val="24"/>
          <w:szCs w:val="24"/>
          <w:highlight w:val="none"/>
        </w:rPr>
        <w:t>1.本表只填写响应文件中与投标文件有偏离（包括正偏离和负偏离）的内容，响应文件中服务需求响应与投标文件要求完全一致的，不用在此表中列出，但必须提交空白表。</w:t>
      </w:r>
    </w:p>
    <w:p>
      <w:pPr>
        <w:keepNext w:val="0"/>
        <w:keepLines w:val="0"/>
        <w:pageBreakBefore w:val="0"/>
        <w:widowControl w:val="0"/>
        <w:kinsoku/>
        <w:wordWrap/>
        <w:overflowPunct/>
        <w:topLinePunct w:val="0"/>
        <w:autoSpaceDE w:val="0"/>
        <w:autoSpaceDN w:val="0"/>
        <w:bidi w:val="0"/>
        <w:adjustRightInd/>
        <w:snapToGrid/>
        <w:spacing w:line="312" w:lineRule="auto"/>
        <w:ind w:firstLine="720" w:firstLineChars="300"/>
        <w:textAlignment w:val="auto"/>
        <w:rPr>
          <w:rFonts w:hint="eastAsia"/>
          <w:b/>
          <w:bCs/>
          <w:color w:val="auto"/>
          <w:sz w:val="24"/>
          <w:szCs w:val="24"/>
          <w:highlight w:val="none"/>
        </w:rPr>
      </w:pPr>
      <w:r>
        <w:rPr>
          <w:rFonts w:hint="eastAsia"/>
          <w:color w:val="auto"/>
          <w:sz w:val="24"/>
          <w:szCs w:val="24"/>
          <w:highlight w:val="none"/>
        </w:rPr>
        <w:t>2.供应商必须据实填写，不得虚假响应，否则将取消其评审或成交资格，并按有关规定进处罚。</w:t>
      </w:r>
    </w:p>
    <w:p>
      <w:pPr>
        <w:pStyle w:val="31"/>
        <w:ind w:firstLine="480"/>
        <w:rPr>
          <w:color w:val="auto"/>
          <w:highlight w:val="none"/>
          <w:lang w:val="zh-CN" w:bidi="zh-CN"/>
        </w:rPr>
      </w:pPr>
    </w:p>
    <w:p>
      <w:pPr>
        <w:rPr>
          <w:color w:val="auto"/>
          <w:highlight w:val="none"/>
        </w:rPr>
      </w:pPr>
    </w:p>
    <w:p>
      <w:pPr>
        <w:spacing w:line="360" w:lineRule="auto"/>
        <w:ind w:firstLine="3850" w:firstLineChars="1750"/>
        <w:rPr>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pStyle w:val="8"/>
        <w:rPr>
          <w:rFonts w:hint="eastAsia"/>
          <w:color w:val="auto"/>
          <w:sz w:val="24"/>
          <w:szCs w:val="24"/>
          <w:highlight w:val="none"/>
        </w:rPr>
      </w:pPr>
    </w:p>
    <w:p>
      <w:pPr>
        <w:pStyle w:val="9"/>
        <w:rPr>
          <w:rFonts w:hint="eastAsia"/>
          <w:color w:val="auto"/>
          <w:sz w:val="24"/>
          <w:szCs w:val="24"/>
          <w:highlight w:val="none"/>
        </w:rPr>
      </w:pPr>
    </w:p>
    <w:p>
      <w:pPr>
        <w:rPr>
          <w:rFonts w:hint="eastAsia"/>
          <w:color w:val="auto"/>
          <w:sz w:val="24"/>
          <w:szCs w:val="24"/>
          <w:highlight w:val="none"/>
        </w:rPr>
      </w:pPr>
    </w:p>
    <w:p>
      <w:pPr>
        <w:pStyle w:val="8"/>
        <w:rPr>
          <w:rFonts w:hint="eastAsia"/>
          <w:color w:val="auto"/>
          <w:sz w:val="24"/>
          <w:szCs w:val="24"/>
          <w:highlight w:val="none"/>
        </w:rPr>
      </w:pPr>
    </w:p>
    <w:p>
      <w:pPr>
        <w:numPr>
          <w:ilvl w:val="0"/>
          <w:numId w:val="0"/>
        </w:numPr>
        <w:tabs>
          <w:tab w:val="left" w:pos="0"/>
        </w:tabs>
        <w:spacing w:line="360" w:lineRule="auto"/>
        <w:ind w:left="0" w:leftChars="0" w:firstLine="562" w:firstLineChars="200"/>
        <w:jc w:val="center"/>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eastAsia="zh-CN" w:bidi="zh-CN"/>
        </w:rPr>
        <w:t>（3）</w:t>
      </w:r>
      <w:r>
        <w:rPr>
          <w:rFonts w:hint="eastAsia" w:ascii="宋体" w:hAnsi="宋体" w:eastAsia="宋体" w:cs="宋体"/>
          <w:b/>
          <w:bCs/>
          <w:color w:val="auto"/>
          <w:sz w:val="28"/>
          <w:szCs w:val="28"/>
          <w:highlight w:val="none"/>
          <w:lang w:val="en-US" w:eastAsia="zh-CN"/>
        </w:rPr>
        <w:t xml:space="preserve"> 商务偏离</w:t>
      </w:r>
      <w:r>
        <w:rPr>
          <w:rFonts w:hint="eastAsia" w:ascii="宋体" w:hAnsi="宋体" w:eastAsia="宋体" w:cs="宋体"/>
          <w:b/>
          <w:bCs/>
          <w:color w:val="auto"/>
          <w:sz w:val="28"/>
          <w:szCs w:val="28"/>
          <w:highlight w:val="none"/>
          <w:lang w:val="zh-CN"/>
        </w:rPr>
        <w:t>表</w:t>
      </w:r>
    </w:p>
    <w:p>
      <w:pPr>
        <w:spacing w:line="240" w:lineRule="auto"/>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pPr>
        <w:spacing w:line="24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835"/>
        <w:gridCol w:w="294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4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3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合同商务</w:t>
            </w:r>
            <w:r>
              <w:rPr>
                <w:rFonts w:hint="eastAsia" w:ascii="宋体" w:hAnsi="宋体" w:eastAsia="宋体" w:cs="宋体"/>
                <w:color w:val="auto"/>
                <w:sz w:val="24"/>
                <w:szCs w:val="24"/>
                <w:highlight w:val="none"/>
              </w:rPr>
              <w:t>要求</w:t>
            </w:r>
          </w:p>
        </w:tc>
        <w:tc>
          <w:tcPr>
            <w:tcW w:w="294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文件主要条款响应</w:t>
            </w:r>
          </w:p>
        </w:tc>
        <w:tc>
          <w:tcPr>
            <w:tcW w:w="198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1.本表只填写响应文件中与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文件有偏离（包括正偏离和负偏离）的内容，响应文件中合同主要条款响应与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文件要求完全一致的，不用在此表中列出，但必须提交空白表。</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2.</w:t>
      </w:r>
      <w:r>
        <w:rPr>
          <w:rFonts w:hint="eastAsia" w:ascii="宋体" w:hAnsi="宋体" w:eastAsia="宋体" w:cs="宋体"/>
          <w:color w:val="auto"/>
          <w:sz w:val="24"/>
          <w:szCs w:val="24"/>
          <w:highlight w:val="none"/>
        </w:rPr>
        <w:t>供应商必须据实填写，不得虚假响应，否则将取消其评审或成交资格，并按有关规定进处罚。</w:t>
      </w:r>
    </w:p>
    <w:p>
      <w:pPr>
        <w:pStyle w:val="8"/>
        <w:numPr>
          <w:ilvl w:val="0"/>
          <w:numId w:val="0"/>
        </w:numPr>
        <w:rPr>
          <w:rFonts w:hint="eastAsia"/>
          <w:color w:val="auto"/>
          <w:highlight w:val="none"/>
        </w:rPr>
      </w:pP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08"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rPr>
          <w:rFonts w:hint="eastAsia"/>
          <w:color w:val="auto"/>
          <w:highlight w:val="none"/>
        </w:rPr>
      </w:pPr>
    </w:p>
    <w:p>
      <w:pPr>
        <w:pStyle w:val="8"/>
        <w:rPr>
          <w:rFonts w:hint="eastAsia"/>
          <w:color w:val="auto"/>
          <w:highlight w:val="none"/>
        </w:rPr>
      </w:pPr>
    </w:p>
    <w:p>
      <w:pPr>
        <w:pStyle w:val="9"/>
        <w:rPr>
          <w:rFonts w:hint="eastAsia"/>
          <w:color w:val="auto"/>
          <w:highlight w:val="none"/>
        </w:rPr>
      </w:pPr>
    </w:p>
    <w:p>
      <w:pPr>
        <w:rPr>
          <w:rFonts w:hint="eastAsia"/>
          <w:color w:val="auto"/>
          <w:highlight w:val="none"/>
        </w:rPr>
      </w:pPr>
    </w:p>
    <w:p>
      <w:pPr>
        <w:pStyle w:val="8"/>
        <w:rPr>
          <w:rFonts w:hint="eastAsia"/>
          <w:color w:val="auto"/>
          <w:highlight w:val="none"/>
        </w:rPr>
      </w:pPr>
    </w:p>
    <w:p>
      <w:pPr>
        <w:pStyle w:val="9"/>
        <w:rPr>
          <w:rFonts w:hint="eastAsia"/>
          <w:color w:val="auto"/>
          <w:highlight w:val="none"/>
        </w:rPr>
      </w:pPr>
    </w:p>
    <w:p>
      <w:pPr>
        <w:rPr>
          <w:rFonts w:hint="eastAsia"/>
          <w:color w:val="auto"/>
          <w:highlight w:val="none"/>
        </w:rPr>
      </w:pPr>
    </w:p>
    <w:p>
      <w:pPr>
        <w:pStyle w:val="4"/>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四、资格</w:t>
      </w:r>
      <w:bookmarkEnd w:id="98"/>
      <w:bookmarkEnd w:id="99"/>
      <w:bookmarkEnd w:id="100"/>
      <w:r>
        <w:rPr>
          <w:rFonts w:hint="eastAsia" w:ascii="宋体" w:hAnsi="宋体" w:eastAsia="宋体" w:cs="宋体"/>
          <w:lang w:val="en-US" w:eastAsia="zh-CN"/>
        </w:rPr>
        <w:t>证明文件</w:t>
      </w:r>
      <w:bookmarkEnd w:id="101"/>
      <w:bookmarkEnd w:id="102"/>
      <w:bookmarkEnd w:id="103"/>
      <w:bookmarkEnd w:id="104"/>
      <w:bookmarkEnd w:id="105"/>
      <w:bookmarkEnd w:id="106"/>
      <w:bookmarkEnd w:id="107"/>
    </w:p>
    <w:p>
      <w:pPr>
        <w:rPr>
          <w:rFonts w:hint="eastAsia"/>
          <w:lang w:val="en-US"/>
        </w:rPr>
      </w:pPr>
    </w:p>
    <w:p>
      <w:pPr>
        <w:autoSpaceDE/>
        <w:autoSpaceDN/>
        <w:spacing w:line="360" w:lineRule="auto"/>
        <w:rPr>
          <w:b/>
          <w:bCs/>
          <w:color w:val="auto"/>
          <w:kern w:val="2"/>
          <w:sz w:val="24"/>
          <w:szCs w:val="24"/>
          <w:highlight w:val="none"/>
          <w:lang w:val="en-US" w:bidi="ar-SA"/>
        </w:rPr>
      </w:pPr>
      <w:r>
        <w:rPr>
          <w:rFonts w:hint="eastAsia"/>
          <w:b/>
          <w:bCs/>
          <w:color w:val="auto"/>
          <w:kern w:val="2"/>
          <w:sz w:val="24"/>
          <w:szCs w:val="24"/>
          <w:highlight w:val="none"/>
          <w:lang w:val="en-US" w:bidi="ar-SA"/>
        </w:rPr>
        <w:t>（1）满足《中华人民共和国政府采购法》第二十二条规定；</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①具有独立承担民事责任能力，提供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rPr>
        <w:t>合法注册的法人或其他组织的营业执照等证明文件或自然人的身份证明；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②财务状况报告</w:t>
      </w:r>
      <w:r>
        <w:rPr>
          <w:rFonts w:hint="eastAsia" w:ascii="宋体" w:hAnsi="宋体" w:eastAsia="宋体" w:cs="宋体"/>
          <w:color w:val="auto"/>
          <w:sz w:val="24"/>
          <w:szCs w:val="24"/>
          <w:highlight w:val="none"/>
          <w:lang w:eastAsia="zh-CN"/>
        </w:rPr>
        <w:t>：提供具有财务审计资质单位出具的</w:t>
      </w:r>
      <w:r>
        <w:rPr>
          <w:rFonts w:hint="eastAsia" w:ascii="宋体" w:hAnsi="宋体" w:eastAsia="宋体" w:cs="宋体"/>
          <w:color w:val="auto"/>
          <w:sz w:val="24"/>
          <w:szCs w:val="24"/>
          <w:highlight w:val="none"/>
          <w:lang w:val="en-US" w:eastAsia="zh-CN"/>
        </w:rPr>
        <w:t>2022年</w:t>
      </w:r>
      <w:r>
        <w:rPr>
          <w:rFonts w:hint="eastAsia" w:ascii="宋体" w:hAnsi="宋体" w:eastAsia="宋体" w:cs="宋体"/>
          <w:color w:val="auto"/>
          <w:sz w:val="24"/>
          <w:szCs w:val="24"/>
          <w:highlight w:val="none"/>
          <w:lang w:eastAsia="zh-CN"/>
        </w:rPr>
        <w:t>财务</w:t>
      </w:r>
      <w:r>
        <w:rPr>
          <w:rFonts w:hint="eastAsia" w:ascii="宋体" w:hAnsi="宋体" w:eastAsia="宋体" w:cs="宋体"/>
          <w:color w:val="auto"/>
          <w:sz w:val="24"/>
          <w:szCs w:val="24"/>
          <w:highlight w:val="none"/>
          <w:lang w:val="en-US" w:eastAsia="zh-CN"/>
        </w:rPr>
        <w:t>审计</w:t>
      </w:r>
      <w:r>
        <w:rPr>
          <w:rFonts w:hint="eastAsia" w:ascii="宋体" w:hAnsi="宋体" w:eastAsia="宋体" w:cs="宋体"/>
          <w:color w:val="auto"/>
          <w:sz w:val="24"/>
          <w:szCs w:val="24"/>
          <w:highlight w:val="none"/>
          <w:lang w:eastAsia="zh-CN"/>
        </w:rPr>
        <w:t>报告或投标前六个月内投标人银行基本户开户行出具的资信证明</w:t>
      </w:r>
      <w:r>
        <w:rPr>
          <w:rFonts w:hint="eastAsia" w:ascii="宋体" w:hAnsi="宋体" w:eastAsia="宋体" w:cs="宋体"/>
          <w:i w:val="0"/>
          <w:iCs w:val="0"/>
          <w:caps w:val="0"/>
          <w:color w:val="auto"/>
          <w:spacing w:val="0"/>
          <w:sz w:val="24"/>
          <w:szCs w:val="24"/>
          <w:highlight w:val="none"/>
          <w:shd w:val="clear" w:color="auto" w:fill="FFFFFF"/>
        </w:rPr>
        <w:t>（提供基本存款账户证明材料）</w:t>
      </w:r>
      <w:r>
        <w:rPr>
          <w:rFonts w:hint="eastAsia" w:ascii="宋体" w:hAnsi="宋体" w:eastAsia="宋体" w:cs="宋体"/>
          <w:color w:val="auto"/>
          <w:sz w:val="24"/>
          <w:szCs w:val="24"/>
          <w:highlight w:val="none"/>
          <w:lang w:eastAsia="zh-CN"/>
        </w:rPr>
        <w:t>或财政部门认可的政府采购专业担保机构出具的投标</w:t>
      </w:r>
      <w:r>
        <w:rPr>
          <w:rFonts w:hint="eastAsia" w:ascii="宋体" w:hAnsi="宋体" w:eastAsia="宋体" w:cs="宋体"/>
          <w:color w:val="auto"/>
          <w:sz w:val="24"/>
          <w:szCs w:val="24"/>
          <w:highlight w:val="none"/>
          <w:lang w:val="en-US" w:eastAsia="zh-CN"/>
        </w:rPr>
        <w:t>担保函</w:t>
      </w:r>
      <w:r>
        <w:rPr>
          <w:rFonts w:hint="eastAsia" w:ascii="宋体" w:hAnsi="宋体" w:eastAsia="宋体" w:cs="宋体"/>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③依法缴纳税收</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截止时间前六个月任意一个月的完税凭证或税务机关开具的完税证明（任意税种），依法免税的应提供相关文件证明；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rPr>
        <w:t>社会保障资金</w:t>
      </w:r>
      <w:r>
        <w:rPr>
          <w:rFonts w:hint="eastAsia" w:ascii="宋体" w:hAnsi="宋体" w:eastAsia="宋体" w:cs="宋体"/>
          <w:color w:val="auto"/>
          <w:sz w:val="24"/>
          <w:szCs w:val="24"/>
          <w:highlight w:val="none"/>
          <w:lang w:val="en-US" w:eastAsia="zh-CN"/>
        </w:rPr>
        <w:t>缴纳证明</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截止时间前六个月任意一个月的社会保障资金缴存单据或社保机构开具的社会保险参保缴费情况证明，依法不需要缴纳社会保障资金的应提供相关文件证明；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⑤提供具有履行本合同所必需的设备和专业技术能力的书面声明；</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⑥提供参加政府采购活动前三年内在经营活动中没有重大违法记录的书面声明；</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color w:val="auto"/>
          <w:kern w:val="2"/>
          <w:sz w:val="24"/>
          <w:szCs w:val="24"/>
          <w:highlight w:val="none"/>
          <w:lang w:val="en-US" w:bidi="ar-SA"/>
        </w:rPr>
      </w:pPr>
      <w:r>
        <w:rPr>
          <w:rFonts w:hint="eastAsia" w:ascii="宋体" w:hAnsi="宋体" w:eastAsia="宋体" w:cs="Times New Roman"/>
          <w:b/>
          <w:bCs/>
          <w:color w:val="auto"/>
          <w:kern w:val="2"/>
          <w:sz w:val="24"/>
          <w:szCs w:val="24"/>
          <w:highlight w:val="none"/>
          <w:lang w:val="en-US" w:eastAsia="zh-CN" w:bidi="ar-SA"/>
        </w:rPr>
        <w:t>（</w:t>
      </w:r>
      <w:r>
        <w:rPr>
          <w:rFonts w:hint="eastAsia"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w:t>
      </w:r>
      <w:r>
        <w:rPr>
          <w:rFonts w:hint="eastAsia"/>
          <w:b/>
          <w:bCs/>
          <w:color w:val="auto"/>
          <w:kern w:val="2"/>
          <w:sz w:val="24"/>
          <w:szCs w:val="24"/>
          <w:highlight w:val="none"/>
          <w:lang w:val="en-US" w:bidi="ar-SA"/>
        </w:rPr>
        <w:t>本项目的特定资格要求：</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①法定代表人直接参加投标的，须出具法定代表人身份证明及身份证；法定代表人授权代表参加投标的，须出具法定代表人授权</w:t>
      </w:r>
      <w:r>
        <w:rPr>
          <w:rFonts w:hint="eastAsia" w:ascii="宋体" w:hAnsi="宋体" w:eastAsia="宋体" w:cs="宋体"/>
          <w:i w:val="0"/>
          <w:iCs w:val="0"/>
          <w:caps w:val="0"/>
          <w:color w:val="auto"/>
          <w:spacing w:val="0"/>
          <w:sz w:val="24"/>
          <w:szCs w:val="24"/>
          <w:highlight w:val="none"/>
          <w:shd w:val="clear" w:color="auto" w:fill="FFFFFF"/>
          <w:lang w:val="en-US" w:eastAsia="zh-CN"/>
        </w:rPr>
        <w:t>委托</w:t>
      </w:r>
      <w:r>
        <w:rPr>
          <w:rFonts w:hint="eastAsia" w:ascii="宋体" w:hAnsi="宋体" w:eastAsia="宋体" w:cs="宋体"/>
          <w:i w:val="0"/>
          <w:iCs w:val="0"/>
          <w:caps w:val="0"/>
          <w:color w:val="auto"/>
          <w:spacing w:val="0"/>
          <w:sz w:val="24"/>
          <w:szCs w:val="24"/>
          <w:highlight w:val="none"/>
          <w:shd w:val="clear" w:color="auto" w:fill="FFFFFF"/>
        </w:rPr>
        <w:t>书及授权代表身份证；</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②投标人不得为“信用中国”网站（www.creditchina.gov.cn）中列入失信被执行人和重大税收违法案件当事人名单的</w:t>
      </w:r>
      <w:r>
        <w:rPr>
          <w:rFonts w:hint="eastAsia"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，不得为中国政府采购网（www.ccgp.gov.cn）政府采购严重违法失信行为记录名单中被财政部门禁止参加政府采购活动的</w:t>
      </w:r>
      <w:r>
        <w:rPr>
          <w:rFonts w:hint="eastAsia"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w:t>
      </w:r>
    </w:p>
    <w:p>
      <w:pPr>
        <w:pStyle w:val="31"/>
        <w:spacing w:line="360" w:lineRule="auto"/>
        <w:ind w:firstLine="480"/>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说明：本项目不接受联合体，单位负责人为同一人或者存在控股、管理关系的不同投标单位,不得同时参加本项目采购活动。</w:t>
      </w:r>
    </w:p>
    <w:p>
      <w:pPr>
        <w:rPr>
          <w:rFonts w:hint="eastAsia" w:ascii="宋体" w:hAnsi="宋体" w:eastAsia="宋体" w:cs="宋体"/>
          <w:i w:val="0"/>
          <w:iCs w:val="0"/>
          <w:caps w:val="0"/>
          <w:color w:val="auto"/>
          <w:spacing w:val="0"/>
          <w:sz w:val="24"/>
          <w:szCs w:val="24"/>
          <w:highlight w:val="none"/>
          <w:shd w:val="clear" w:color="auto" w:fill="FFFFFF"/>
        </w:rPr>
      </w:pPr>
    </w:p>
    <w:p>
      <w:pPr>
        <w:pStyle w:val="23"/>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pStyle w:val="23"/>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pStyle w:val="23"/>
        <w:rPr>
          <w:rFonts w:hint="eastAsia" w:ascii="宋体" w:hAnsi="宋体" w:eastAsia="宋体" w:cs="宋体"/>
          <w:i w:val="0"/>
          <w:iCs w:val="0"/>
          <w:caps w:val="0"/>
          <w:color w:val="auto"/>
          <w:spacing w:val="0"/>
          <w:sz w:val="24"/>
          <w:szCs w:val="24"/>
          <w:highlight w:val="none"/>
          <w:shd w:val="clear" w:color="auto" w:fill="FFFFFF"/>
        </w:rPr>
      </w:pPr>
    </w:p>
    <w:p>
      <w:pPr>
        <w:rPr>
          <w:rFonts w:hint="eastAsia" w:ascii="宋体" w:hAnsi="宋体" w:eastAsia="宋体" w:cs="宋体"/>
          <w:i w:val="0"/>
          <w:iCs w:val="0"/>
          <w:caps w:val="0"/>
          <w:color w:val="auto"/>
          <w:spacing w:val="0"/>
          <w:sz w:val="24"/>
          <w:szCs w:val="24"/>
          <w:highlight w:val="none"/>
          <w:shd w:val="clear" w:color="auto" w:fill="FFFFFF"/>
        </w:rPr>
      </w:pPr>
    </w:p>
    <w:p>
      <w:pPr>
        <w:pStyle w:val="23"/>
        <w:rPr>
          <w:rFonts w:hint="eastAsia" w:ascii="宋体" w:hAnsi="宋体" w:eastAsia="宋体" w:cs="宋体"/>
          <w:i w:val="0"/>
          <w:iCs w:val="0"/>
          <w:caps w:val="0"/>
          <w:color w:val="auto"/>
          <w:spacing w:val="0"/>
          <w:sz w:val="24"/>
          <w:szCs w:val="24"/>
          <w:highlight w:val="none"/>
          <w:shd w:val="clear" w:color="auto" w:fill="FFFFFF"/>
        </w:rPr>
      </w:pPr>
    </w:p>
    <w:p>
      <w:pPr>
        <w:keepNext w:val="0"/>
        <w:keepLines w:val="0"/>
        <w:pageBreakBefore w:val="0"/>
        <w:widowControl w:val="0"/>
        <w:shd w:val="clear" w:color="auto" w:fill="FFFFFF"/>
        <w:kinsoku/>
        <w:wordWrap/>
        <w:overflowPunct/>
        <w:topLinePunct w:val="0"/>
        <w:autoSpaceDE/>
        <w:autoSpaceDN/>
        <w:bidi w:val="0"/>
        <w:spacing w:line="460" w:lineRule="exact"/>
        <w:jc w:val="left"/>
        <w:textAlignment w:val="auto"/>
        <w:rPr>
          <w:rFonts w:hint="eastAsia" w:ascii="宋体" w:hAnsi="宋体" w:eastAsia="宋体" w:cs="宋体"/>
          <w:b/>
          <w:color w:val="auto"/>
          <w:spacing w:val="-6"/>
          <w:sz w:val="36"/>
          <w:szCs w:val="36"/>
          <w:highlight w:val="none"/>
        </w:rPr>
      </w:pPr>
      <w:r>
        <w:rPr>
          <w:rFonts w:hint="eastAsia" w:ascii="宋体" w:hAnsi="宋体" w:eastAsia="宋体" w:cs="宋体"/>
          <w:b w:val="0"/>
          <w:bCs/>
          <w:color w:val="auto"/>
          <w:sz w:val="24"/>
          <w:szCs w:val="24"/>
          <w:highlight w:val="none"/>
        </w:rPr>
        <w:t>附件:</w:t>
      </w:r>
    </w:p>
    <w:p>
      <w:pPr>
        <w:pStyle w:val="14"/>
        <w:adjustRightInd w:val="0"/>
        <w:snapToGrid w:val="0"/>
        <w:spacing w:line="360" w:lineRule="auto"/>
        <w:jc w:val="center"/>
        <w:rPr>
          <w:rFonts w:hint="eastAsia" w:ascii="宋体" w:hAnsi="宋体" w:eastAsia="宋体" w:cs="宋体"/>
          <w:color w:val="auto"/>
          <w:sz w:val="32"/>
          <w:szCs w:val="32"/>
          <w:highlight w:val="none"/>
          <w:lang w:val="zh-CN"/>
        </w:rPr>
      </w:pPr>
    </w:p>
    <w:p>
      <w:pPr>
        <w:pStyle w:val="14"/>
        <w:adjustRightInd w:val="0"/>
        <w:snapToGrid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履行合同所必需的设备和专业技术能力的书面声明</w:t>
      </w:r>
    </w:p>
    <w:p>
      <w:pPr>
        <w:pStyle w:val="14"/>
        <w:adjustRightInd w:val="0"/>
        <w:snapToGrid w:val="0"/>
        <w:spacing w:line="360" w:lineRule="auto"/>
        <w:jc w:val="center"/>
        <w:rPr>
          <w:rFonts w:hint="eastAsia" w:ascii="宋体" w:hAnsi="宋体" w:eastAsia="宋体" w:cs="宋体"/>
          <w:b/>
          <w:color w:val="auto"/>
          <w:sz w:val="44"/>
          <w:szCs w:val="44"/>
          <w:highlight w:val="none"/>
        </w:rPr>
      </w:pPr>
    </w:p>
    <w:p>
      <w:pPr>
        <w:keepNext w:val="0"/>
        <w:keepLines w:val="0"/>
        <w:pageBreakBefore w:val="0"/>
        <w:widowControl w:val="0"/>
        <w:kinsoku/>
        <w:wordWrap/>
        <w:overflowPunct/>
        <w:topLinePunct w:val="0"/>
        <w:bidi w:val="0"/>
        <w:spacing w:line="408" w:lineRule="auto"/>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none"/>
          <w:lang w:eastAsia="zh-CN"/>
        </w:rPr>
        <w:t>致：</w:t>
      </w:r>
      <w:r>
        <w:rPr>
          <w:rFonts w:hint="eastAsia" w:ascii="宋体" w:hAnsi="宋体" w:eastAsia="宋体" w:cs="宋体"/>
          <w:color w:val="auto"/>
          <w:spacing w:val="4"/>
          <w:sz w:val="24"/>
          <w:szCs w:val="24"/>
          <w:highlight w:val="none"/>
          <w:u w:val="single"/>
        </w:rPr>
        <w:t xml:space="preserve">     （采购人名称）    ：</w:t>
      </w:r>
    </w:p>
    <w:p>
      <w:pPr>
        <w:keepNext w:val="0"/>
        <w:keepLines w:val="0"/>
        <w:pageBreakBefore w:val="0"/>
        <w:widowControl w:val="0"/>
        <w:kinsoku/>
        <w:wordWrap/>
        <w:overflowPunct/>
        <w:topLinePunct w:val="0"/>
        <w:autoSpaceDE/>
        <w:autoSpaceDN/>
        <w:bidi w:val="0"/>
        <w:adjustRightInd/>
        <w:snapToGrid/>
        <w:spacing w:before="240" w:beforeLines="100" w:after="120" w:afterLines="50" w:line="408" w:lineRule="auto"/>
        <w:ind w:firstLine="620" w:firstLineChars="25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w:t>
      </w:r>
      <w:r>
        <w:rPr>
          <w:rFonts w:hint="eastAsia" w:cs="宋体"/>
          <w:color w:val="auto"/>
          <w:spacing w:val="4"/>
          <w:sz w:val="24"/>
          <w:szCs w:val="24"/>
          <w:highlight w:val="none"/>
          <w:u w:val="single"/>
          <w:lang w:val="en-US" w:eastAsia="zh-CN"/>
        </w:rPr>
        <w:t>投标人</w:t>
      </w:r>
      <w:r>
        <w:rPr>
          <w:rFonts w:hint="eastAsia" w:ascii="宋体" w:hAnsi="宋体" w:eastAsia="宋体" w:cs="宋体"/>
          <w:color w:val="auto"/>
          <w:spacing w:val="4"/>
          <w:sz w:val="24"/>
          <w:szCs w:val="24"/>
          <w:highlight w:val="none"/>
          <w:u w:val="single"/>
        </w:rPr>
        <w:t xml:space="preserve">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，其中与履行本合同相关的专业技术人员有（</w:t>
      </w:r>
      <w:r>
        <w:rPr>
          <w:rFonts w:hint="eastAsia" w:ascii="宋体" w:hAnsi="宋体" w:eastAsia="宋体" w:cs="宋体"/>
          <w:color w:val="auto"/>
          <w:spacing w:val="4"/>
          <w:sz w:val="24"/>
          <w:szCs w:val="24"/>
          <w:highlight w:val="none"/>
          <w:u w:val="single"/>
        </w:rPr>
        <w:t xml:space="preserve">             专业能力、数量        </w:t>
      </w:r>
      <w:r>
        <w:rPr>
          <w:rFonts w:hint="eastAsia" w:ascii="宋体" w:hAnsi="宋体" w:eastAsia="宋体" w:cs="宋体"/>
          <w:color w:val="auto"/>
          <w:spacing w:val="4"/>
          <w:sz w:val="24"/>
          <w:szCs w:val="24"/>
          <w:highlight w:val="none"/>
        </w:rPr>
        <w:t>），本公司郑重声明，具有履行本合同所必需的设备和专业技术能力。</w:t>
      </w:r>
      <w:r>
        <w:rPr>
          <w:rFonts w:hint="eastAsia" w:ascii="宋体" w:hAnsi="宋体" w:eastAsia="宋体" w:cs="宋体"/>
          <w:color w:val="auto"/>
          <w:sz w:val="24"/>
          <w:szCs w:val="24"/>
          <w:highlight w:val="none"/>
        </w:rPr>
        <w:t>如有不实，我方将无条件地退出本项目的采购活动，并遵照《</w:t>
      </w:r>
      <w:r>
        <w:rPr>
          <w:rFonts w:hint="eastAsia"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widowControl w:val="0"/>
        <w:kinsoku/>
        <w:wordWrap/>
        <w:overflowPunct/>
        <w:topLinePunct w:val="0"/>
        <w:bidi w:val="0"/>
        <w:spacing w:before="240" w:beforeLines="100" w:after="120" w:afterLines="50" w:line="408" w:lineRule="auto"/>
        <w:ind w:firstLine="170"/>
        <w:textAlignment w:val="auto"/>
        <w:rPr>
          <w:rFonts w:hint="eastAsia" w:ascii="宋体" w:hAnsi="宋体" w:eastAsia="宋体" w:cs="宋体"/>
          <w:color w:val="auto"/>
          <w:spacing w:val="4"/>
          <w:sz w:val="24"/>
          <w:szCs w:val="24"/>
          <w:highlight w:val="none"/>
        </w:rPr>
      </w:pPr>
    </w:p>
    <w:p>
      <w:pPr>
        <w:keepNext w:val="0"/>
        <w:keepLines w:val="0"/>
        <w:pageBreakBefore w:val="0"/>
        <w:widowControl w:val="0"/>
        <w:kinsoku/>
        <w:wordWrap/>
        <w:overflowPunct/>
        <w:topLinePunct w:val="0"/>
        <w:bidi w:val="0"/>
        <w:spacing w:before="240" w:beforeLines="100" w:after="120" w:afterLines="50" w:line="408" w:lineRule="auto"/>
        <w:ind w:firstLine="170"/>
        <w:textAlignment w:val="auto"/>
        <w:rPr>
          <w:rFonts w:hint="eastAsia" w:ascii="宋体" w:hAnsi="宋体" w:eastAsia="宋体" w:cs="宋体"/>
          <w:color w:val="auto"/>
          <w:spacing w:val="4"/>
          <w:sz w:val="24"/>
          <w:szCs w:val="24"/>
          <w:highlight w:val="none"/>
        </w:rPr>
      </w:pPr>
    </w:p>
    <w:p>
      <w:pPr>
        <w:pStyle w:val="15"/>
        <w:keepNext w:val="0"/>
        <w:keepLines w:val="0"/>
        <w:pageBreakBefore w:val="0"/>
        <w:widowControl w:val="0"/>
        <w:kinsoku/>
        <w:wordWrap/>
        <w:overflowPunct/>
        <w:topLinePunct w:val="0"/>
        <w:bidi w:val="0"/>
        <w:spacing w:line="408" w:lineRule="auto"/>
        <w:textAlignment w:val="auto"/>
        <w:rPr>
          <w:rFonts w:hint="eastAsia" w:ascii="宋体" w:hAnsi="宋体" w:eastAsia="宋体" w:cs="宋体"/>
          <w:color w:val="auto"/>
          <w:spacing w:val="4"/>
          <w:sz w:val="24"/>
          <w:szCs w:val="24"/>
          <w:highlight w:val="none"/>
        </w:rPr>
      </w:pPr>
    </w:p>
    <w:p>
      <w:pPr>
        <w:pStyle w:val="15"/>
        <w:keepNext w:val="0"/>
        <w:keepLines w:val="0"/>
        <w:pageBreakBefore w:val="0"/>
        <w:widowControl w:val="0"/>
        <w:kinsoku/>
        <w:wordWrap/>
        <w:overflowPunct/>
        <w:topLinePunct w:val="0"/>
        <w:bidi w:val="0"/>
        <w:spacing w:line="408" w:lineRule="auto"/>
        <w:textAlignment w:val="auto"/>
        <w:rPr>
          <w:rFonts w:hint="eastAsia" w:ascii="宋体" w:hAnsi="宋体" w:eastAsia="宋体" w:cs="宋体"/>
          <w:color w:val="auto"/>
          <w:spacing w:val="4"/>
          <w:sz w:val="24"/>
          <w:szCs w:val="24"/>
          <w:highlight w:val="none"/>
        </w:rPr>
      </w:pPr>
    </w:p>
    <w:p>
      <w:pPr>
        <w:pStyle w:val="17"/>
        <w:keepNext w:val="0"/>
        <w:keepLines w:val="0"/>
        <w:pageBreakBefore w:val="0"/>
        <w:widowControl w:val="0"/>
        <w:kinsoku/>
        <w:wordWrap/>
        <w:overflowPunct/>
        <w:topLinePunct w:val="0"/>
        <w:bidi w:val="0"/>
        <w:spacing w:line="408"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08"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keepNext w:val="0"/>
        <w:keepLines w:val="0"/>
        <w:pageBreakBefore w:val="0"/>
        <w:widowControl w:val="0"/>
        <w:kinsoku/>
        <w:wordWrap/>
        <w:overflowPunct/>
        <w:topLinePunct w:val="0"/>
        <w:autoSpaceDE w:val="0"/>
        <w:autoSpaceDN w:val="0"/>
        <w:bidi w:val="0"/>
        <w:adjustRightInd w:val="0"/>
        <w:spacing w:line="408" w:lineRule="auto"/>
        <w:jc w:val="center"/>
        <w:textAlignment w:val="auto"/>
        <w:rPr>
          <w:rFonts w:hint="eastAsia" w:ascii="宋体" w:hAnsi="宋体" w:eastAsia="宋体" w:cs="宋体"/>
          <w:color w:val="auto"/>
          <w:sz w:val="24"/>
          <w:szCs w:val="24"/>
          <w:highlight w:val="none"/>
          <w:u w:val="single"/>
        </w:rPr>
      </w:pPr>
    </w:p>
    <w:p>
      <w:pPr>
        <w:pStyle w:val="14"/>
        <w:adjustRightInd w:val="0"/>
        <w:snapToGrid w:val="0"/>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val="0"/>
          <w:bCs/>
          <w:color w:val="auto"/>
          <w:sz w:val="24"/>
          <w:szCs w:val="24"/>
          <w:highlight w:val="none"/>
        </w:rPr>
        <w:t>附件：</w:t>
      </w:r>
    </w:p>
    <w:p>
      <w:pPr>
        <w:pStyle w:val="14"/>
        <w:adjustRightInd w:val="0"/>
        <w:snapToGrid w:val="0"/>
        <w:spacing w:line="360" w:lineRule="auto"/>
        <w:rPr>
          <w:rFonts w:hint="eastAsia" w:ascii="宋体" w:hAnsi="宋体" w:eastAsia="宋体" w:cs="宋体"/>
          <w:b w:val="0"/>
          <w:bCs/>
          <w:color w:val="auto"/>
          <w:sz w:val="28"/>
          <w:szCs w:val="28"/>
          <w:highlight w:val="none"/>
        </w:rPr>
      </w:pPr>
    </w:p>
    <w:p>
      <w:pPr>
        <w:autoSpaceDE w:val="0"/>
        <w:autoSpaceDN w:val="0"/>
        <w:adjustRightIn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pacing w:val="-6"/>
          <w:sz w:val="32"/>
          <w:szCs w:val="32"/>
          <w:highlight w:val="none"/>
        </w:rPr>
        <w:t>参加政府采购活动前三年内无重大违法记录的书面声明</w:t>
      </w:r>
    </w:p>
    <w:p>
      <w:pPr>
        <w:snapToGrid w:val="0"/>
        <w:spacing w:line="360" w:lineRule="auto"/>
        <w:ind w:firstLine="640" w:firstLineChars="200"/>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408"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pacing w:val="4"/>
          <w:sz w:val="24"/>
          <w:szCs w:val="24"/>
          <w:highlight w:val="none"/>
          <w:u w:val="none"/>
          <w:lang w:eastAsia="zh-CN"/>
        </w:rPr>
        <w:t>致：</w:t>
      </w:r>
      <w:r>
        <w:rPr>
          <w:rFonts w:hint="eastAsia" w:ascii="宋体" w:hAnsi="宋体" w:eastAsia="宋体" w:cs="宋体"/>
          <w:color w:val="auto"/>
          <w:spacing w:val="4"/>
          <w:sz w:val="24"/>
          <w:szCs w:val="24"/>
          <w:highlight w:val="none"/>
          <w:u w:val="single"/>
        </w:rPr>
        <w:t xml:space="preserve">     （采购人名称）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val="0"/>
        <w:spacing w:line="40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我方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郑重声明在参加本次政府采购活动前3年内的经营活动没有重大违法记录。如有不实，我方将无条件地退出本项目的采购活动，并遵照《</w:t>
      </w:r>
      <w:r>
        <w:rPr>
          <w:rFonts w:hint="eastAsia"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widowControl w:val="0"/>
        <w:kinsoku/>
        <w:wordWrap/>
        <w:overflowPunct/>
        <w:topLinePunct w:val="0"/>
        <w:autoSpaceDE w:val="0"/>
        <w:autoSpaceDN w:val="0"/>
        <w:bidi w:val="0"/>
        <w:adjustRightInd w:val="0"/>
        <w:snapToGrid w:val="0"/>
        <w:spacing w:line="40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pPr>
        <w:keepNext w:val="0"/>
        <w:keepLines w:val="0"/>
        <w:pageBreakBefore w:val="0"/>
        <w:widowControl w:val="0"/>
        <w:kinsoku/>
        <w:wordWrap/>
        <w:overflowPunct/>
        <w:topLinePunct w:val="0"/>
        <w:autoSpaceDE w:val="0"/>
        <w:autoSpaceDN w:val="0"/>
        <w:bidi w:val="0"/>
        <w:adjustRightInd w:val="0"/>
        <w:spacing w:line="408"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08"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08"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bookmarkStart w:id="108" w:name="_Toc495681541"/>
      <w:bookmarkStart w:id="109" w:name="_Toc495681414"/>
      <w:bookmarkStart w:id="110" w:name="_Toc495671271"/>
      <w:bookmarkStart w:id="111" w:name="_Toc495908056"/>
      <w:bookmarkStart w:id="112" w:name="_Toc495681260"/>
      <w:bookmarkStart w:id="113" w:name="_Toc495909105"/>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08"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pStyle w:val="23"/>
        <w:ind w:left="0" w:leftChars="0" w:firstLine="0" w:firstLineChars="0"/>
        <w:rPr>
          <w:color w:val="auto"/>
          <w:highlight w:val="none"/>
        </w:rPr>
      </w:pPr>
      <w:r>
        <w:rPr>
          <w:rFonts w:hint="eastAsia" w:ascii="宋体" w:hAnsi="宋体" w:eastAsia="宋体" w:cs="宋体"/>
          <w:color w:val="auto"/>
          <w:sz w:val="24"/>
          <w:szCs w:val="24"/>
          <w:highlight w:val="none"/>
          <w:lang w:val="zh-CN"/>
        </w:rPr>
        <w:br w:type="page"/>
      </w:r>
      <w:bookmarkEnd w:id="108"/>
      <w:bookmarkEnd w:id="109"/>
      <w:bookmarkEnd w:id="110"/>
      <w:bookmarkEnd w:id="111"/>
      <w:bookmarkEnd w:id="112"/>
      <w:bookmarkEnd w:id="113"/>
    </w:p>
    <w:p>
      <w:pPr>
        <w:pStyle w:val="13"/>
        <w:ind w:left="0" w:leftChars="0" w:firstLine="0" w:firstLineChars="0"/>
        <w:jc w:val="left"/>
        <w:rPr>
          <w:rFonts w:hint="eastAsia" w:ascii="宋体" w:hAnsi="宋体" w:eastAsia="宋体" w:cs="宋体"/>
          <w:b w:val="0"/>
          <w:bCs/>
          <w:color w:val="auto"/>
          <w:sz w:val="24"/>
          <w:szCs w:val="24"/>
          <w:highlight w:val="none"/>
        </w:rPr>
      </w:pPr>
      <w:bookmarkStart w:id="114" w:name="_Toc482775582"/>
      <w:r>
        <w:rPr>
          <w:rFonts w:hint="eastAsia" w:ascii="宋体" w:hAnsi="宋体" w:eastAsia="宋体" w:cs="宋体"/>
          <w:b w:val="0"/>
          <w:bCs/>
          <w:color w:val="auto"/>
          <w:sz w:val="24"/>
          <w:szCs w:val="24"/>
          <w:highlight w:val="none"/>
        </w:rPr>
        <w:t>附件：</w:t>
      </w:r>
    </w:p>
    <w:p>
      <w:pPr>
        <w:pStyle w:val="13"/>
        <w:jc w:val="left"/>
        <w:rPr>
          <w:rFonts w:hint="eastAsia" w:ascii="宋体" w:hAnsi="宋体" w:eastAsia="宋体" w:cs="宋体"/>
          <w:b w:val="0"/>
          <w:bCs/>
          <w:color w:val="auto"/>
          <w:sz w:val="24"/>
          <w:szCs w:val="24"/>
          <w:highlight w:val="none"/>
        </w:rPr>
      </w:pPr>
    </w:p>
    <w:p>
      <w:pPr>
        <w:pStyle w:val="13"/>
        <w:jc w:val="center"/>
        <w:rPr>
          <w:color w:val="auto"/>
          <w:highlight w:val="none"/>
        </w:rPr>
      </w:pPr>
      <w:r>
        <w:rPr>
          <w:rFonts w:hint="eastAsia"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企业关系关联承诺书</w:t>
      </w:r>
      <w:bookmarkEnd w:id="114"/>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rPr>
        <w:t>在本项目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为非联合体投标，且单位负责人</w:t>
      </w:r>
      <w:r>
        <w:rPr>
          <w:rFonts w:hint="eastAsia" w:ascii="宋体" w:hAnsi="宋体" w:eastAsia="宋体" w:cs="宋体"/>
          <w:color w:val="auto"/>
          <w:sz w:val="24"/>
          <w:szCs w:val="24"/>
          <w:highlight w:val="none"/>
        </w:rPr>
        <w:t>不存在与其它</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rPr>
        <w:t>负责人为同一人，有控股、管理等关联关系承诺。</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1.管理关系说明：</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我单位管理的具有独立法人的下属单位：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我单位的上级管理单位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2.股权关系说明：</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(没有填无)被</w:t>
      </w:r>
      <w:r>
        <w:rPr>
          <w:rFonts w:hint="eastAsia" w:ascii="宋体" w:hAnsi="宋体" w:eastAsia="宋体" w:cs="宋体"/>
          <w:color w:val="auto"/>
          <w:sz w:val="24"/>
          <w:szCs w:val="24"/>
          <w:highlight w:val="none"/>
          <w:u w:val="single"/>
        </w:rPr>
        <w:t xml:space="preserve">   （控股单位全称）  </w:t>
      </w:r>
      <w:r>
        <w:rPr>
          <w:rFonts w:hint="eastAsia" w:ascii="宋体" w:hAnsi="宋体" w:eastAsia="宋体" w:cs="宋体"/>
          <w:color w:val="auto"/>
          <w:sz w:val="24"/>
          <w:szCs w:val="24"/>
          <w:highlight w:val="none"/>
        </w:rPr>
        <w:t>单位控股。</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 为本采购项目提供过整体设计、规范编制或者项目管理、监理、检测等服务的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pPr>
        <w:autoSpaceDE w:val="0"/>
        <w:autoSpaceDN w:val="0"/>
        <w:adjustRightInd w:val="0"/>
        <w:spacing w:line="288" w:lineRule="auto"/>
        <w:rPr>
          <w:rFonts w:hint="eastAsia" w:ascii="宋体" w:hAnsi="宋体" w:eastAsia="宋体" w:cs="宋体"/>
          <w:color w:val="auto"/>
          <w:sz w:val="24"/>
          <w:szCs w:val="24"/>
          <w:highlight w:val="none"/>
        </w:rPr>
      </w:pPr>
    </w:p>
    <w:p>
      <w:pPr>
        <w:autoSpaceDE w:val="0"/>
        <w:autoSpaceDN w:val="0"/>
        <w:adjustRightInd w:val="0"/>
        <w:spacing w:line="288" w:lineRule="auto"/>
        <w:jc w:val="center"/>
        <w:rPr>
          <w:rFonts w:hint="eastAsia" w:ascii="宋体" w:hAnsi="宋体" w:eastAsia="宋体" w:cs="宋体"/>
          <w:b/>
          <w:bCs/>
          <w:color w:val="auto"/>
          <w:sz w:val="24"/>
          <w:szCs w:val="24"/>
          <w:highlight w:val="none"/>
        </w:rPr>
      </w:pPr>
    </w:p>
    <w:p>
      <w:pPr>
        <w:autoSpaceDE w:val="0"/>
        <w:autoSpaceDN w:val="0"/>
        <w:adjustRightInd w:val="0"/>
        <w:spacing w:line="288" w:lineRule="auto"/>
        <w:jc w:val="center"/>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lang w:val="en-US" w:eastAsia="zh-CN"/>
        </w:rPr>
        <w:t>投标人名称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408" w:lineRule="auto"/>
        <w:ind w:firstLine="3120" w:firstLineChars="1300"/>
        <w:textAlignment w:val="auto"/>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08" w:lineRule="auto"/>
        <w:ind w:firstLine="440" w:firstLineChars="200"/>
        <w:jc w:val="center"/>
        <w:textAlignment w:val="auto"/>
        <w:rPr>
          <w:rFonts w:hint="eastAsia"/>
          <w:color w:val="auto"/>
          <w:szCs w:val="21"/>
          <w:highlight w:val="none"/>
        </w:rPr>
      </w:pPr>
      <w:r>
        <w:rPr>
          <w:rFonts w:hint="eastAsia"/>
          <w:color w:val="auto"/>
          <w:szCs w:val="21"/>
          <w:highlight w:val="none"/>
          <w:u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pStyle w:val="13"/>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u w:val="single"/>
        </w:rPr>
        <w:br w:type="page"/>
      </w:r>
    </w:p>
    <w:p>
      <w:pPr>
        <w:pStyle w:val="12"/>
        <w:ind w:left="0"/>
        <w:jc w:val="both"/>
        <w:rPr>
          <w:color w:val="auto"/>
          <w:highlight w:val="none"/>
          <w:lang w:val="en-US"/>
        </w:rPr>
      </w:pPr>
    </w:p>
    <w:p>
      <w:pPr>
        <w:pStyle w:val="4"/>
        <w:bidi w:val="0"/>
        <w:spacing w:line="240" w:lineRule="auto"/>
        <w:jc w:val="center"/>
        <w:rPr>
          <w:rFonts w:hint="eastAsia" w:ascii="宋体" w:hAnsi="宋体" w:eastAsia="宋体" w:cs="宋体"/>
          <w:lang w:val="en-US" w:eastAsia="zh-CN"/>
        </w:rPr>
      </w:pPr>
      <w:bookmarkStart w:id="115" w:name="_Toc11078"/>
      <w:bookmarkStart w:id="116" w:name="_Toc15800"/>
      <w:bookmarkStart w:id="117" w:name="_Toc31657"/>
      <w:bookmarkStart w:id="118" w:name="_Toc12136"/>
      <w:r>
        <w:rPr>
          <w:rFonts w:hint="eastAsia" w:ascii="宋体" w:hAnsi="宋体" w:eastAsia="宋体" w:cs="宋体"/>
          <w:lang w:val="en-US" w:eastAsia="zh-CN"/>
        </w:rPr>
        <w:t>五、</w:t>
      </w:r>
      <w:bookmarkEnd w:id="115"/>
      <w:bookmarkEnd w:id="116"/>
      <w:bookmarkEnd w:id="117"/>
      <w:r>
        <w:rPr>
          <w:rFonts w:hint="eastAsia" w:ascii="宋体" w:hAnsi="宋体" w:eastAsia="宋体" w:cs="宋体"/>
          <w:lang w:val="en-US" w:eastAsia="zh-CN"/>
        </w:rPr>
        <w:t>建设方案</w:t>
      </w:r>
      <w:bookmarkEnd w:id="118"/>
    </w:p>
    <w:p>
      <w:pPr>
        <w:jc w:val="center"/>
        <w:rPr>
          <w:b w:val="0"/>
          <w:bCs w:val="0"/>
          <w:sz w:val="24"/>
          <w:szCs w:val="24"/>
        </w:rPr>
      </w:pPr>
      <w:bookmarkStart w:id="119" w:name="_Toc24405"/>
      <w:bookmarkStart w:id="120" w:name="_Toc23446"/>
      <w:bookmarkStart w:id="121" w:name="_Toc18895"/>
      <w:bookmarkStart w:id="122" w:name="_Toc21955"/>
      <w:r>
        <w:rPr>
          <w:rFonts w:hint="eastAsia"/>
          <w:b w:val="0"/>
          <w:bCs w:val="0"/>
          <w:sz w:val="24"/>
          <w:szCs w:val="24"/>
          <w:lang w:val="en-US"/>
        </w:rPr>
        <w:t>（</w:t>
      </w:r>
      <w:r>
        <w:rPr>
          <w:rFonts w:hint="eastAsia"/>
          <w:b w:val="0"/>
          <w:bCs w:val="0"/>
          <w:sz w:val="24"/>
          <w:szCs w:val="24"/>
          <w:lang w:val="en-US" w:eastAsia="zh-CN"/>
        </w:rPr>
        <w:t>各投标人根据评标办法及招标文件要求自行编写</w:t>
      </w:r>
      <w:r>
        <w:rPr>
          <w:rFonts w:hint="eastAsia"/>
          <w:b w:val="0"/>
          <w:bCs w:val="0"/>
          <w:sz w:val="24"/>
          <w:szCs w:val="24"/>
          <w:lang w:val="en-US"/>
        </w:rPr>
        <w:t>）</w:t>
      </w:r>
      <w:bookmarkEnd w:id="119"/>
      <w:bookmarkEnd w:id="120"/>
      <w:bookmarkEnd w:id="121"/>
      <w:bookmarkEnd w:id="122"/>
    </w:p>
    <w:p>
      <w:pPr>
        <w:rPr>
          <w:rFonts w:hint="eastAsia"/>
          <w:lang w:val="en-US" w:eastAsia="zh-CN"/>
        </w:rPr>
      </w:pPr>
    </w:p>
    <w:p>
      <w:pPr>
        <w:pStyle w:val="8"/>
        <w:rPr>
          <w:rFonts w:hint="eastAsia" w:ascii="宋体" w:hAnsi="宋体" w:eastAsia="宋体" w:cs="宋体"/>
          <w:b/>
          <w:color w:val="auto"/>
          <w:sz w:val="36"/>
          <w:szCs w:val="36"/>
          <w:highlight w:val="none"/>
          <w:lang w:val="en-US" w:eastAsia="zh-CN"/>
        </w:rPr>
      </w:pPr>
    </w:p>
    <w:p>
      <w:pPr>
        <w:pStyle w:val="9"/>
        <w:rPr>
          <w:rFonts w:hint="eastAsia"/>
          <w:color w:val="auto"/>
          <w:highlight w:val="none"/>
          <w:lang w:val="en-US" w:eastAsia="zh-CN"/>
        </w:rPr>
      </w:pPr>
    </w:p>
    <w:p>
      <w:pPr>
        <w:pStyle w:val="4"/>
        <w:bidi w:val="0"/>
        <w:spacing w:line="240" w:lineRule="auto"/>
        <w:jc w:val="center"/>
        <w:rPr>
          <w:rFonts w:hint="eastAsia" w:ascii="宋体" w:hAnsi="宋体" w:eastAsia="宋体" w:cs="宋体"/>
          <w:lang w:val="en-US" w:eastAsia="zh-CN"/>
        </w:rPr>
      </w:pPr>
      <w:bookmarkStart w:id="123" w:name="_Toc187"/>
      <w:r>
        <w:rPr>
          <w:rFonts w:hint="eastAsia" w:ascii="宋体" w:hAnsi="宋体" w:eastAsia="宋体" w:cs="宋体"/>
          <w:lang w:val="en-US" w:eastAsia="zh-CN"/>
        </w:rPr>
        <w:t>六、项目保障措施</w:t>
      </w:r>
      <w:bookmarkEnd w:id="123"/>
    </w:p>
    <w:p>
      <w:pPr>
        <w:jc w:val="center"/>
        <w:rPr>
          <w:b w:val="0"/>
          <w:bCs w:val="0"/>
          <w:sz w:val="24"/>
          <w:szCs w:val="24"/>
        </w:rPr>
      </w:pPr>
      <w:r>
        <w:rPr>
          <w:rFonts w:hint="eastAsia"/>
          <w:b w:val="0"/>
          <w:bCs w:val="0"/>
          <w:sz w:val="24"/>
          <w:szCs w:val="24"/>
          <w:lang w:val="en-US"/>
        </w:rPr>
        <w:t>（</w:t>
      </w:r>
      <w:r>
        <w:rPr>
          <w:rFonts w:hint="eastAsia"/>
          <w:b w:val="0"/>
          <w:bCs w:val="0"/>
          <w:sz w:val="24"/>
          <w:szCs w:val="24"/>
          <w:lang w:val="en-US" w:eastAsia="zh-CN"/>
        </w:rPr>
        <w:t>各投标人根据评标办法及招标文件要求自行编写</w:t>
      </w:r>
      <w:r>
        <w:rPr>
          <w:rFonts w:hint="eastAsia"/>
          <w:b w:val="0"/>
          <w:bCs w:val="0"/>
          <w:sz w:val="24"/>
          <w:szCs w:val="24"/>
          <w:lang w:val="en-US"/>
        </w:rPr>
        <w:t>）</w:t>
      </w:r>
    </w:p>
    <w:p>
      <w:pPr>
        <w:pStyle w:val="12"/>
        <w:jc w:val="center"/>
        <w:rPr>
          <w:rFonts w:hint="eastAsia" w:ascii="宋体" w:hAnsi="宋体" w:eastAsia="宋体" w:cs="宋体"/>
          <w:b/>
          <w:color w:val="auto"/>
          <w:sz w:val="36"/>
          <w:szCs w:val="36"/>
          <w:highlight w:val="none"/>
          <w:lang w:val="en-US" w:eastAsia="zh-CN" w:bidi="zh-CN"/>
        </w:rPr>
      </w:pPr>
    </w:p>
    <w:p>
      <w:pPr>
        <w:pStyle w:val="12"/>
        <w:jc w:val="center"/>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4"/>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七、售后服务</w:t>
      </w:r>
    </w:p>
    <w:p>
      <w:pPr>
        <w:jc w:val="center"/>
        <w:rPr>
          <w:b w:val="0"/>
          <w:bCs w:val="0"/>
          <w:sz w:val="24"/>
          <w:szCs w:val="24"/>
        </w:rPr>
      </w:pPr>
      <w:r>
        <w:rPr>
          <w:rFonts w:hint="eastAsia"/>
          <w:b w:val="0"/>
          <w:bCs w:val="0"/>
          <w:sz w:val="24"/>
          <w:szCs w:val="24"/>
          <w:lang w:val="en-US"/>
        </w:rPr>
        <w:t>（</w:t>
      </w:r>
      <w:r>
        <w:rPr>
          <w:rFonts w:hint="eastAsia"/>
          <w:b w:val="0"/>
          <w:bCs w:val="0"/>
          <w:sz w:val="24"/>
          <w:szCs w:val="24"/>
          <w:lang w:val="en-US" w:eastAsia="zh-CN"/>
        </w:rPr>
        <w:t>各投标人根据评标办法及招标文件要求自行编写</w:t>
      </w:r>
      <w:r>
        <w:rPr>
          <w:rFonts w:hint="eastAsia"/>
          <w:b w:val="0"/>
          <w:bCs w:val="0"/>
          <w:sz w:val="24"/>
          <w:szCs w:val="24"/>
          <w:lang w:val="en-US"/>
        </w:rPr>
        <w:t>）</w:t>
      </w:r>
    </w:p>
    <w:p>
      <w:pPr>
        <w:pStyle w:val="12"/>
        <w:jc w:val="center"/>
        <w:rPr>
          <w:rFonts w:hint="eastAsia" w:ascii="宋体" w:hAnsi="宋体" w:eastAsia="宋体" w:cs="宋体"/>
          <w:b/>
          <w:color w:val="auto"/>
          <w:sz w:val="36"/>
          <w:szCs w:val="36"/>
          <w:highlight w:val="none"/>
          <w:lang w:val="en-US" w:eastAsia="zh-CN" w:bidi="zh-CN"/>
        </w:rPr>
      </w:pPr>
    </w:p>
    <w:p>
      <w:pPr>
        <w:pStyle w:val="12"/>
        <w:jc w:val="center"/>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4"/>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八、培训</w:t>
      </w:r>
    </w:p>
    <w:p>
      <w:pPr>
        <w:jc w:val="center"/>
        <w:rPr>
          <w:b w:val="0"/>
          <w:bCs w:val="0"/>
          <w:sz w:val="24"/>
          <w:szCs w:val="24"/>
        </w:rPr>
      </w:pPr>
      <w:r>
        <w:rPr>
          <w:rFonts w:hint="eastAsia"/>
          <w:b w:val="0"/>
          <w:bCs w:val="0"/>
          <w:sz w:val="24"/>
          <w:szCs w:val="24"/>
          <w:lang w:val="en-US"/>
        </w:rPr>
        <w:t>（</w:t>
      </w:r>
      <w:r>
        <w:rPr>
          <w:rFonts w:hint="eastAsia"/>
          <w:b w:val="0"/>
          <w:bCs w:val="0"/>
          <w:sz w:val="24"/>
          <w:szCs w:val="24"/>
          <w:lang w:val="en-US" w:eastAsia="zh-CN"/>
        </w:rPr>
        <w:t>各投标人根据评标办法及招标文件要求自行编写</w:t>
      </w:r>
      <w:r>
        <w:rPr>
          <w:rFonts w:hint="eastAsia"/>
          <w:b w:val="0"/>
          <w:bCs w:val="0"/>
          <w:sz w:val="24"/>
          <w:szCs w:val="24"/>
          <w:lang w:val="en-US"/>
        </w:rPr>
        <w:t>）</w:t>
      </w:r>
    </w:p>
    <w:p>
      <w:pPr>
        <w:pStyle w:val="12"/>
        <w:jc w:val="center"/>
        <w:rPr>
          <w:rFonts w:hint="eastAsia" w:ascii="宋体" w:hAnsi="宋体" w:eastAsia="宋体" w:cs="宋体"/>
          <w:b/>
          <w:color w:val="auto"/>
          <w:sz w:val="36"/>
          <w:szCs w:val="36"/>
          <w:highlight w:val="none"/>
          <w:lang w:val="en-US" w:eastAsia="zh-CN" w:bidi="zh-CN"/>
        </w:rPr>
      </w:pPr>
    </w:p>
    <w:p>
      <w:pPr>
        <w:pStyle w:val="12"/>
        <w:jc w:val="center"/>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13"/>
        <w:rPr>
          <w:rFonts w:hint="eastAsia" w:ascii="宋体" w:hAnsi="宋体" w:eastAsia="宋体" w:cs="宋体"/>
          <w:b/>
          <w:color w:val="auto"/>
          <w:sz w:val="36"/>
          <w:szCs w:val="36"/>
          <w:highlight w:val="none"/>
          <w:lang w:val="en-US" w:eastAsia="zh-CN" w:bidi="zh-CN"/>
        </w:rPr>
      </w:pPr>
    </w:p>
    <w:p>
      <w:pPr>
        <w:pStyle w:val="12"/>
        <w:jc w:val="center"/>
        <w:rPr>
          <w:rFonts w:hint="eastAsia" w:ascii="宋体" w:hAnsi="宋体" w:eastAsia="宋体" w:cs="宋体"/>
          <w:b/>
          <w:color w:val="auto"/>
          <w:sz w:val="36"/>
          <w:szCs w:val="36"/>
          <w:highlight w:val="none"/>
          <w:lang w:val="en-US" w:eastAsia="zh-CN" w:bidi="zh-CN"/>
        </w:rPr>
      </w:pPr>
    </w:p>
    <w:p>
      <w:pPr>
        <w:pStyle w:val="4"/>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九、企业实力</w:t>
      </w:r>
    </w:p>
    <w:p>
      <w:pPr>
        <w:jc w:val="center"/>
        <w:rPr>
          <w:b w:val="0"/>
          <w:bCs w:val="0"/>
          <w:sz w:val="24"/>
          <w:szCs w:val="24"/>
        </w:rPr>
      </w:pPr>
      <w:r>
        <w:rPr>
          <w:rFonts w:hint="eastAsia"/>
          <w:b w:val="0"/>
          <w:bCs w:val="0"/>
          <w:sz w:val="24"/>
          <w:szCs w:val="24"/>
          <w:lang w:val="en-US"/>
        </w:rPr>
        <w:t>（</w:t>
      </w:r>
      <w:r>
        <w:rPr>
          <w:rFonts w:hint="eastAsia"/>
          <w:b w:val="0"/>
          <w:bCs w:val="0"/>
          <w:sz w:val="24"/>
          <w:szCs w:val="24"/>
          <w:lang w:val="en-US" w:eastAsia="zh-CN"/>
        </w:rPr>
        <w:t>各投标人根据评标办法及招标文件要求自行编写</w:t>
      </w:r>
      <w:r>
        <w:rPr>
          <w:rFonts w:hint="eastAsia"/>
          <w:b w:val="0"/>
          <w:bCs w:val="0"/>
          <w:sz w:val="24"/>
          <w:szCs w:val="24"/>
          <w:lang w:val="en-US"/>
        </w:rPr>
        <w:t>）</w:t>
      </w:r>
    </w:p>
    <w:p>
      <w:pPr>
        <w:pStyle w:val="8"/>
        <w:rPr>
          <w:color w:val="auto"/>
          <w:highlight w:val="none"/>
        </w:rPr>
        <w:sectPr>
          <w:footerReference r:id="rId5" w:type="default"/>
          <w:pgSz w:w="11905" w:h="16838"/>
          <w:pgMar w:top="1417" w:right="1531" w:bottom="1417" w:left="1531" w:header="850" w:footer="992" w:gutter="0"/>
          <w:cols w:space="0" w:num="1"/>
        </w:sectPr>
      </w:pPr>
    </w:p>
    <w:p>
      <w:pPr>
        <w:pStyle w:val="4"/>
        <w:bidi w:val="0"/>
        <w:spacing w:line="240" w:lineRule="auto"/>
        <w:jc w:val="center"/>
        <w:rPr>
          <w:rFonts w:hint="eastAsia" w:ascii="宋体" w:hAnsi="宋体" w:eastAsia="宋体" w:cs="宋体"/>
          <w:lang w:val="en-US" w:eastAsia="zh-CN"/>
        </w:rPr>
      </w:pPr>
      <w:bookmarkStart w:id="124" w:name="_Toc23852"/>
      <w:bookmarkStart w:id="125" w:name="_Toc18824"/>
      <w:bookmarkStart w:id="126" w:name="_Toc5160"/>
      <w:bookmarkStart w:id="127" w:name="_Toc32222"/>
      <w:r>
        <w:rPr>
          <w:rFonts w:hint="eastAsia" w:ascii="宋体" w:hAnsi="宋体" w:eastAsia="宋体" w:cs="宋体"/>
          <w:lang w:val="en-US" w:eastAsia="zh-CN"/>
        </w:rPr>
        <w:t>十、企业声明函</w:t>
      </w:r>
      <w:bookmarkEnd w:id="124"/>
      <w:bookmarkEnd w:id="125"/>
      <w:bookmarkEnd w:id="126"/>
      <w:bookmarkEnd w:id="127"/>
      <w:bookmarkStart w:id="128" w:name="_Hlk3903711"/>
    </w:p>
    <w:bookmarkEnd w:id="128"/>
    <w:p>
      <w:pPr>
        <w:spacing w:line="240" w:lineRule="auto"/>
        <w:jc w:val="left"/>
        <w:rPr>
          <w:rFonts w:hint="eastAsia" w:ascii="宋体" w:hAnsi="宋体" w:eastAsia="宋体" w:cs="宋体"/>
          <w:b/>
          <w:bCs/>
          <w:color w:val="auto"/>
          <w:sz w:val="28"/>
          <w:szCs w:val="28"/>
          <w:highlight w:val="none"/>
          <w:lang w:val="en-US" w:eastAsia="zh-CN"/>
        </w:rPr>
      </w:pPr>
      <w:bookmarkStart w:id="129" w:name="_Toc13970"/>
      <w:bookmarkStart w:id="130" w:name="_Toc24708"/>
      <w:bookmarkStart w:id="131" w:name="_Toc3287"/>
      <w:bookmarkStart w:id="132" w:name="_Toc14162"/>
      <w:bookmarkStart w:id="133" w:name="_Toc24780"/>
      <w:bookmarkStart w:id="134" w:name="_Toc29834"/>
      <w:r>
        <w:rPr>
          <w:rFonts w:hint="eastAsia" w:cs="宋体"/>
          <w:b/>
          <w:bCs/>
          <w:color w:val="auto"/>
          <w:sz w:val="28"/>
          <w:szCs w:val="28"/>
          <w:highlight w:val="none"/>
          <w:lang w:val="en-US" w:eastAsia="zh-CN"/>
        </w:rPr>
        <w:t>附件：</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bookmarkEnd w:id="129"/>
      <w:bookmarkEnd w:id="130"/>
      <w:bookmarkEnd w:id="131"/>
    </w:p>
    <w:p>
      <w:pPr>
        <w:pStyle w:val="22"/>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(单位名称)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CN" w:eastAsia="zh-CN" w:bidi="ar-SA"/>
        </w:rPr>
        <w:t>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zh-CN" w:eastAsia="zh-CN" w:bidi="ar-SA"/>
        </w:rPr>
        <w:t>采购活动，工程的施工单位全部为符合政策要求的中小企业。具体情况如下:</w:t>
      </w:r>
    </w:p>
    <w:p>
      <w:pPr>
        <w:pStyle w:val="22"/>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u w:val="single"/>
          <w:lang w:val="zh-CN" w:eastAsia="zh-CN" w:bidi="ar-SA"/>
        </w:rPr>
        <w:t xml:space="preserve"> (标的名称)，</w:t>
      </w:r>
      <w:r>
        <w:rPr>
          <w:rFonts w:hint="eastAsia" w:ascii="宋体" w:hAnsi="宋体" w:eastAsia="宋体" w:cs="宋体"/>
          <w:color w:val="auto"/>
          <w:kern w:val="2"/>
          <w:sz w:val="24"/>
          <w:szCs w:val="24"/>
          <w:highlight w:val="none"/>
          <w:lang w:val="zh-CN" w:eastAsia="zh-CN" w:bidi="ar-SA"/>
        </w:rPr>
        <w:t>属于</w:t>
      </w:r>
      <w:r>
        <w:rPr>
          <w:rFonts w:hint="eastAsia" w:ascii="宋体" w:hAnsi="宋体" w:eastAsia="宋体" w:cs="宋体"/>
          <w:color w:val="auto"/>
          <w:kern w:val="2"/>
          <w:sz w:val="24"/>
          <w:szCs w:val="24"/>
          <w:highlight w:val="none"/>
          <w:u w:val="single"/>
          <w:lang w:val="zh-CN" w:eastAsia="zh-CN" w:bidi="ar-SA"/>
        </w:rPr>
        <w:t>(</w:t>
      </w:r>
      <w:r>
        <w:rPr>
          <w:rFonts w:hint="eastAsia" w:cs="宋体"/>
          <w:color w:val="auto"/>
          <w:kern w:val="2"/>
          <w:sz w:val="24"/>
          <w:szCs w:val="24"/>
          <w:highlight w:val="none"/>
          <w:u w:val="single"/>
          <w:lang w:val="en-US" w:eastAsia="zh-CN" w:bidi="ar-SA"/>
        </w:rPr>
        <w:t>其他未列明行业</w:t>
      </w:r>
      <w:r>
        <w:rPr>
          <w:rFonts w:hint="eastAsia" w:ascii="宋体" w:hAnsi="宋体" w:eastAsia="宋体" w:cs="宋体"/>
          <w:color w:val="auto"/>
          <w:kern w:val="2"/>
          <w:sz w:val="24"/>
          <w:szCs w:val="24"/>
          <w:highlight w:val="none"/>
          <w:u w:val="single"/>
          <w:lang w:val="zh-CN" w:eastAsia="zh-CN" w:bidi="ar-SA"/>
        </w:rPr>
        <w:t>)</w:t>
      </w:r>
      <w:r>
        <w:rPr>
          <w:rFonts w:hint="eastAsia"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 xml:space="preserve"> 承建(承接)企业为</w:t>
      </w:r>
      <w:r>
        <w:rPr>
          <w:rFonts w:hint="eastAsia" w:ascii="宋体" w:hAnsi="宋体" w:eastAsia="宋体" w:cs="宋体"/>
          <w:color w:val="auto"/>
          <w:kern w:val="2"/>
          <w:sz w:val="24"/>
          <w:szCs w:val="24"/>
          <w:highlight w:val="none"/>
          <w:u w:val="single"/>
          <w:lang w:val="zh-CN" w:eastAsia="zh-CN" w:bidi="ar-SA"/>
        </w:rPr>
        <w:t>(企业名称)</w:t>
      </w:r>
      <w:r>
        <w:rPr>
          <w:rFonts w:hint="eastAsia" w:ascii="宋体" w:hAnsi="宋体" w:eastAsia="宋体" w:cs="宋体"/>
          <w:color w:val="auto"/>
          <w:kern w:val="2"/>
          <w:sz w:val="24"/>
          <w:szCs w:val="24"/>
          <w:highlight w:val="none"/>
          <w:lang w:val="zh-CN" w:eastAsia="zh-CN" w:bidi="ar-SA"/>
        </w:rPr>
        <w:t>，从业人员</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lang w:val="zh-CN" w:eastAsia="zh-CN" w:bidi="ar-SA"/>
        </w:rPr>
        <w:t>人，营业收入为</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lang w:val="zh-CN" w:eastAsia="zh-CN" w:bidi="ar-SA"/>
        </w:rPr>
        <w:t>万元，资产总额为</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lang w:val="zh-CN" w:eastAsia="zh-CN" w:bidi="ar-SA"/>
        </w:rPr>
        <w:t>万元1，属于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zh-CN" w:eastAsia="zh-CN" w:bidi="ar-SA"/>
        </w:rPr>
        <w:t>(中型企业、小型企业、微型企业);</w:t>
      </w:r>
    </w:p>
    <w:p>
      <w:pPr>
        <w:pStyle w:val="22"/>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w:t>
      </w:r>
    </w:p>
    <w:p>
      <w:pPr>
        <w:pStyle w:val="22"/>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以上企业，不属于大企业的分支机构，不存在控股股东为大企业的情形，也不存在与大企业的负责人为同一人的情形。</w:t>
      </w:r>
    </w:p>
    <w:p>
      <w:pPr>
        <w:pStyle w:val="22"/>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本企业对上述声明内容的真实性负责。如有虚假，将依法承担相应责任。</w:t>
      </w:r>
    </w:p>
    <w:p>
      <w:pPr>
        <w:pStyle w:val="22"/>
        <w:shd w:val="clear" w:color="auto" w:fill="FFFFFF"/>
        <w:spacing w:line="360" w:lineRule="auto"/>
        <w:ind w:firstLine="4320" w:firstLineChars="1800"/>
        <w:jc w:val="both"/>
        <w:rPr>
          <w:rFonts w:hint="eastAsia" w:ascii="宋体" w:hAnsi="宋体" w:eastAsia="宋体" w:cs="宋体"/>
          <w:color w:val="auto"/>
          <w:kern w:val="2"/>
          <w:sz w:val="24"/>
          <w:szCs w:val="24"/>
          <w:highlight w:val="none"/>
          <w:lang w:val="zh-CN" w:eastAsia="zh-CN" w:bidi="ar-SA"/>
        </w:rPr>
      </w:pPr>
    </w:p>
    <w:p>
      <w:pPr>
        <w:pStyle w:val="22"/>
        <w:shd w:val="clear" w:color="auto" w:fill="FFFFFF"/>
        <w:spacing w:line="360" w:lineRule="auto"/>
        <w:ind w:firstLine="4320" w:firstLineChars="1800"/>
        <w:jc w:val="both"/>
        <w:rPr>
          <w:rFonts w:hint="eastAsia" w:ascii="宋体" w:hAnsi="宋体" w:eastAsia="宋体" w:cs="宋体"/>
          <w:color w:val="auto"/>
          <w:kern w:val="2"/>
          <w:sz w:val="24"/>
          <w:szCs w:val="24"/>
          <w:highlight w:val="none"/>
          <w:lang w:val="zh-CN" w:eastAsia="zh-CN" w:bidi="ar-SA"/>
        </w:rPr>
      </w:pPr>
    </w:p>
    <w:p>
      <w:pPr>
        <w:pStyle w:val="22"/>
        <w:shd w:val="clear" w:color="auto" w:fill="FFFFFF"/>
        <w:spacing w:line="360" w:lineRule="auto"/>
        <w:ind w:firstLine="4800" w:firstLineChars="20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企业称(盖章): </w:t>
      </w:r>
    </w:p>
    <w:p>
      <w:pPr>
        <w:pStyle w:val="17"/>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CN" w:eastAsia="zh-CN" w:bidi="ar-SA"/>
        </w:rPr>
        <w:t xml:space="preserve"> 日期: </w:t>
      </w:r>
    </w:p>
    <w:p>
      <w:pPr>
        <w:pStyle w:val="17"/>
        <w:rPr>
          <w:rFonts w:hint="eastAsia" w:ascii="宋体" w:hAnsi="宋体" w:eastAsia="宋体" w:cs="宋体"/>
          <w:color w:val="auto"/>
          <w:kern w:val="2"/>
          <w:sz w:val="24"/>
          <w:szCs w:val="24"/>
          <w:highlight w:val="none"/>
          <w:lang w:val="zh-CN" w:eastAsia="zh-CN" w:bidi="ar-SA"/>
        </w:rPr>
      </w:pPr>
    </w:p>
    <w:p>
      <w:pPr>
        <w:pStyle w:val="17"/>
        <w:rPr>
          <w:rFonts w:hint="eastAsia" w:ascii="宋体" w:hAnsi="宋体" w:eastAsia="宋体" w:cs="宋体"/>
          <w:color w:val="auto"/>
          <w:kern w:val="2"/>
          <w:sz w:val="24"/>
          <w:szCs w:val="24"/>
          <w:highlight w:val="none"/>
          <w:lang w:val="en-US" w:eastAsia="zh-CN" w:bidi="ar-SA"/>
        </w:rPr>
      </w:pPr>
    </w:p>
    <w:p>
      <w:pPr>
        <w:pStyle w:val="17"/>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从业人员、营业收入、资产总额填报上一年度数据，无上一年度数据的新成立企业可不 填报。</w:t>
      </w:r>
    </w:p>
    <w:p>
      <w:pPr>
        <w:rPr>
          <w:lang w:val="en-US"/>
        </w:rPr>
      </w:pPr>
    </w:p>
    <w:p>
      <w:pPr>
        <w:pStyle w:val="23"/>
        <w:rPr>
          <w:b/>
          <w:color w:val="auto"/>
          <w:sz w:val="36"/>
          <w:szCs w:val="36"/>
          <w:highlight w:val="none"/>
          <w:lang w:val="en-US"/>
        </w:rPr>
      </w:pPr>
    </w:p>
    <w:p>
      <w:pPr>
        <w:rPr>
          <w:b/>
          <w:color w:val="auto"/>
          <w:sz w:val="36"/>
          <w:szCs w:val="36"/>
          <w:highlight w:val="none"/>
          <w:lang w:val="en-US"/>
        </w:rPr>
      </w:pPr>
    </w:p>
    <w:p>
      <w:pPr>
        <w:pStyle w:val="23"/>
        <w:rPr>
          <w:color w:val="auto"/>
          <w:highlight w:val="none"/>
          <w:lang w:val="en-US"/>
        </w:rPr>
      </w:pPr>
    </w:p>
    <w:bookmarkEnd w:id="132"/>
    <w:bookmarkEnd w:id="133"/>
    <w:bookmarkEnd w:id="134"/>
    <w:p>
      <w:pPr>
        <w:spacing w:line="240" w:lineRule="auto"/>
        <w:jc w:val="left"/>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附件：</w:t>
      </w:r>
    </w:p>
    <w:p>
      <w:pPr>
        <w:spacing w:line="360" w:lineRule="auto"/>
        <w:jc w:val="center"/>
        <w:rPr>
          <w:rFonts w:hint="eastAsia"/>
          <w:b/>
          <w:bCs/>
          <w:color w:val="auto"/>
          <w:sz w:val="28"/>
          <w:szCs w:val="28"/>
          <w:highlight w:val="none"/>
        </w:rPr>
      </w:pPr>
    </w:p>
    <w:p>
      <w:pPr>
        <w:spacing w:line="360" w:lineRule="auto"/>
        <w:jc w:val="center"/>
        <w:rPr>
          <w:b/>
          <w:bCs/>
          <w:color w:val="auto"/>
          <w:sz w:val="28"/>
          <w:szCs w:val="28"/>
          <w:highlight w:val="none"/>
        </w:rPr>
      </w:pPr>
      <w:r>
        <w:rPr>
          <w:rFonts w:hint="eastAsia"/>
          <w:b/>
          <w:bCs/>
          <w:color w:val="auto"/>
          <w:sz w:val="28"/>
          <w:szCs w:val="28"/>
          <w:highlight w:val="none"/>
        </w:rPr>
        <w:t>监狱企业声明函</w:t>
      </w:r>
    </w:p>
    <w:p>
      <w:pPr>
        <w:spacing w:line="360" w:lineRule="auto"/>
        <w:jc w:val="center"/>
        <w:rPr>
          <w:b/>
          <w:color w:val="auto"/>
          <w:sz w:val="24"/>
          <w:szCs w:val="24"/>
          <w:highlight w:val="none"/>
        </w:rPr>
      </w:pPr>
    </w:p>
    <w:p>
      <w:pPr>
        <w:spacing w:line="480" w:lineRule="auto"/>
        <w:ind w:firstLine="720" w:firstLineChars="300"/>
        <w:rPr>
          <w:color w:val="auto"/>
          <w:sz w:val="24"/>
          <w:szCs w:val="24"/>
          <w:highlight w:val="none"/>
        </w:rPr>
      </w:pPr>
      <w:r>
        <w:rPr>
          <w:rFonts w:hint="eastAsia"/>
          <w:color w:val="auto"/>
          <w:sz w:val="24"/>
          <w:szCs w:val="24"/>
          <w:highlight w:val="none"/>
        </w:rPr>
        <w:t>本单位郑重声明，根据《财政部、司法部关于政府采购支持监狱企业发展有关问题的通知》（财库〔2014〕68号）的规定。因本单位</w:t>
      </w:r>
      <w:r>
        <w:rPr>
          <w:rFonts w:hint="eastAsia"/>
          <w:b/>
          <w:color w:val="auto"/>
          <w:sz w:val="24"/>
          <w:szCs w:val="24"/>
          <w:highlight w:val="none"/>
          <w:u w:val="single"/>
        </w:rPr>
        <w:t>（符合/不符合）</w:t>
      </w:r>
      <w:r>
        <w:rPr>
          <w:rFonts w:hint="eastAsia"/>
          <w:color w:val="auto"/>
          <w:sz w:val="24"/>
          <w:szCs w:val="24"/>
          <w:highlight w:val="none"/>
        </w:rPr>
        <w:t>条件，故本单位为</w:t>
      </w:r>
      <w:r>
        <w:rPr>
          <w:rFonts w:hint="eastAsia"/>
          <w:b/>
          <w:color w:val="auto"/>
          <w:sz w:val="24"/>
          <w:szCs w:val="24"/>
          <w:highlight w:val="none"/>
          <w:u w:val="single"/>
        </w:rPr>
        <w:t>（监狱/非监狱）</w:t>
      </w:r>
      <w:r>
        <w:rPr>
          <w:rFonts w:hint="eastAsia"/>
          <w:color w:val="auto"/>
          <w:sz w:val="24"/>
          <w:szCs w:val="24"/>
          <w:highlight w:val="none"/>
        </w:rPr>
        <w:t xml:space="preserve">企业。 </w:t>
      </w:r>
    </w:p>
    <w:p>
      <w:pPr>
        <w:spacing w:line="480" w:lineRule="auto"/>
        <w:ind w:firstLine="600" w:firstLineChars="250"/>
        <w:rPr>
          <w:color w:val="auto"/>
          <w:sz w:val="24"/>
          <w:szCs w:val="24"/>
          <w:highlight w:val="none"/>
        </w:rPr>
      </w:pPr>
      <w:r>
        <w:rPr>
          <w:rFonts w:hint="eastAsia"/>
          <w:color w:val="auto"/>
          <w:sz w:val="24"/>
          <w:szCs w:val="24"/>
          <w:highlight w:val="none"/>
        </w:rPr>
        <w:t>本单位对上述声明的真实性负责。如有虚假，将依法承担相应责任。</w:t>
      </w:r>
    </w:p>
    <w:p>
      <w:pPr>
        <w:spacing w:line="480" w:lineRule="auto"/>
        <w:ind w:firstLine="602" w:firstLineChars="250"/>
        <w:rPr>
          <w:color w:val="auto"/>
          <w:sz w:val="24"/>
          <w:szCs w:val="24"/>
          <w:highlight w:val="none"/>
        </w:rPr>
      </w:pPr>
      <w:r>
        <w:rPr>
          <w:rFonts w:hint="eastAsia"/>
          <w:b/>
          <w:color w:val="auto"/>
          <w:sz w:val="24"/>
          <w:szCs w:val="24"/>
          <w:highlight w:val="none"/>
        </w:rPr>
        <w:t>注：监狱企业参加政府采购活动时，应当提供由省级以上监狱管理局、戒毒管理局（含新疆生产建设兵团）出具的属于监狱企业的证明文件。</w:t>
      </w:r>
    </w:p>
    <w:p>
      <w:pPr>
        <w:spacing w:line="480" w:lineRule="auto"/>
        <w:jc w:val="center"/>
        <w:rPr>
          <w:color w:val="auto"/>
          <w:sz w:val="24"/>
          <w:szCs w:val="24"/>
          <w:highlight w:val="none"/>
        </w:rPr>
      </w:pPr>
    </w:p>
    <w:p>
      <w:pPr>
        <w:spacing w:line="480" w:lineRule="auto"/>
        <w:jc w:val="center"/>
        <w:rPr>
          <w:color w:val="auto"/>
          <w:sz w:val="24"/>
          <w:szCs w:val="24"/>
          <w:highlight w:val="none"/>
        </w:rPr>
      </w:pPr>
      <w:r>
        <w:rPr>
          <w:rFonts w:hint="eastAsia"/>
          <w:color w:val="auto"/>
          <w:sz w:val="24"/>
          <w:szCs w:val="24"/>
          <w:highlight w:val="none"/>
        </w:rPr>
        <w:t xml:space="preserve">                            </w:t>
      </w:r>
    </w:p>
    <w:p>
      <w:pPr>
        <w:spacing w:line="480" w:lineRule="auto"/>
        <w:jc w:val="center"/>
        <w:rPr>
          <w:color w:val="auto"/>
          <w:sz w:val="24"/>
          <w:szCs w:val="24"/>
          <w:highlight w:val="none"/>
        </w:rPr>
      </w:pPr>
    </w:p>
    <w:p>
      <w:pPr>
        <w:spacing w:line="480" w:lineRule="auto"/>
        <w:jc w:val="center"/>
        <w:rPr>
          <w:color w:val="auto"/>
          <w:sz w:val="24"/>
          <w:szCs w:val="24"/>
          <w:highlight w:val="none"/>
        </w:rPr>
      </w:pPr>
      <w:r>
        <w:rPr>
          <w:rFonts w:hint="eastAsia"/>
          <w:color w:val="auto"/>
          <w:sz w:val="24"/>
          <w:szCs w:val="24"/>
          <w:highlight w:val="none"/>
          <w:lang w:val="en-US"/>
        </w:rPr>
        <w:t xml:space="preserve">                                  </w:t>
      </w:r>
      <w:r>
        <w:rPr>
          <w:rFonts w:hint="eastAsia"/>
          <w:color w:val="auto"/>
          <w:sz w:val="24"/>
          <w:szCs w:val="24"/>
          <w:highlight w:val="none"/>
        </w:rPr>
        <w:t xml:space="preserve"> </w:t>
      </w:r>
      <w:r>
        <w:rPr>
          <w:rFonts w:hint="eastAsia"/>
          <w:color w:val="auto"/>
          <w:sz w:val="24"/>
          <w:szCs w:val="24"/>
          <w:highlight w:val="none"/>
          <w:lang w:val="en-US" w:eastAsia="zh-CN"/>
        </w:rPr>
        <w:t>投标人</w:t>
      </w:r>
      <w:r>
        <w:rPr>
          <w:rFonts w:hint="eastAsia"/>
          <w:color w:val="auto"/>
          <w:sz w:val="24"/>
          <w:szCs w:val="24"/>
          <w:highlight w:val="none"/>
          <w:lang w:val="en-US"/>
        </w:rPr>
        <w:t>名称</w:t>
      </w:r>
      <w:r>
        <w:rPr>
          <w:rFonts w:hint="eastAsia"/>
          <w:color w:val="auto"/>
          <w:sz w:val="24"/>
          <w:szCs w:val="24"/>
          <w:highlight w:val="none"/>
        </w:rPr>
        <w:t>（盖章）：</w:t>
      </w:r>
    </w:p>
    <w:p>
      <w:pPr>
        <w:spacing w:line="480" w:lineRule="auto"/>
        <w:jc w:val="center"/>
        <w:rPr>
          <w:color w:val="auto"/>
          <w:sz w:val="24"/>
          <w:szCs w:val="24"/>
          <w:highlight w:val="none"/>
        </w:rPr>
      </w:pPr>
      <w:r>
        <w:rPr>
          <w:rFonts w:hint="eastAsia"/>
          <w:color w:val="auto"/>
          <w:sz w:val="24"/>
          <w:szCs w:val="24"/>
          <w:highlight w:val="none"/>
        </w:rPr>
        <w:t xml:space="preserve">                       日  期：</w:t>
      </w:r>
    </w:p>
    <w:p>
      <w:pPr>
        <w:spacing w:line="360" w:lineRule="auto"/>
        <w:ind w:left="600" w:hanging="600" w:hangingChars="250"/>
        <w:rPr>
          <w:color w:val="auto"/>
          <w:sz w:val="24"/>
          <w:szCs w:val="24"/>
          <w:highlight w:val="none"/>
        </w:rPr>
      </w:pPr>
    </w:p>
    <w:p>
      <w:pPr>
        <w:spacing w:line="560" w:lineRule="exact"/>
        <w:rPr>
          <w:color w:val="auto"/>
          <w:sz w:val="24"/>
          <w:szCs w:val="24"/>
          <w:highlight w:val="none"/>
        </w:rPr>
      </w:pPr>
    </w:p>
    <w:p>
      <w:pPr>
        <w:spacing w:line="560" w:lineRule="exact"/>
        <w:ind w:left="600" w:hanging="600" w:hangingChars="250"/>
        <w:rPr>
          <w:color w:val="auto"/>
          <w:sz w:val="24"/>
          <w:szCs w:val="24"/>
          <w:highlight w:val="none"/>
        </w:rPr>
      </w:pPr>
    </w:p>
    <w:p>
      <w:pPr>
        <w:spacing w:line="560" w:lineRule="exact"/>
        <w:ind w:left="600" w:hanging="600" w:hangingChars="250"/>
        <w:rPr>
          <w:color w:val="auto"/>
          <w:sz w:val="24"/>
          <w:szCs w:val="24"/>
          <w:highlight w:val="none"/>
        </w:rPr>
      </w:pPr>
    </w:p>
    <w:p>
      <w:pPr>
        <w:spacing w:line="560" w:lineRule="exact"/>
        <w:ind w:left="600" w:hanging="600" w:hangingChars="250"/>
        <w:rPr>
          <w:color w:val="auto"/>
          <w:sz w:val="24"/>
          <w:szCs w:val="24"/>
          <w:highlight w:val="none"/>
        </w:rPr>
      </w:pPr>
    </w:p>
    <w:p>
      <w:pPr>
        <w:spacing w:line="560" w:lineRule="exact"/>
        <w:ind w:left="600" w:hanging="600" w:hangingChars="250"/>
        <w:rPr>
          <w:color w:val="auto"/>
          <w:sz w:val="24"/>
          <w:szCs w:val="24"/>
          <w:highlight w:val="none"/>
        </w:rPr>
      </w:pPr>
      <w:r>
        <w:rPr>
          <w:rFonts w:hint="eastAsia"/>
          <w:color w:val="auto"/>
          <w:sz w:val="24"/>
          <w:szCs w:val="24"/>
          <w:highlight w:val="none"/>
        </w:rPr>
        <w:t>（注:监狱企业</w:t>
      </w:r>
      <w:r>
        <w:rPr>
          <w:rFonts w:hint="eastAsia"/>
          <w:color w:val="auto"/>
          <w:sz w:val="24"/>
          <w:szCs w:val="24"/>
          <w:highlight w:val="none"/>
          <w:lang w:val="en-US"/>
        </w:rPr>
        <w:t>投标</w:t>
      </w:r>
      <w:r>
        <w:rPr>
          <w:rFonts w:hint="eastAsia"/>
          <w:color w:val="auto"/>
          <w:sz w:val="24"/>
          <w:szCs w:val="24"/>
          <w:highlight w:val="none"/>
        </w:rPr>
        <w:t>的应提供由省级以上监狱管理局、监督管理局出具的证明文件。）</w:t>
      </w:r>
    </w:p>
    <w:p>
      <w:pPr>
        <w:spacing w:line="560" w:lineRule="exact"/>
        <w:ind w:left="700" w:hanging="700" w:hangingChars="250"/>
        <w:rPr>
          <w:color w:val="auto"/>
          <w:sz w:val="28"/>
          <w:szCs w:val="28"/>
          <w:highlight w:val="none"/>
        </w:rPr>
      </w:pPr>
    </w:p>
    <w:p>
      <w:pPr>
        <w:spacing w:line="560" w:lineRule="exact"/>
        <w:ind w:left="700" w:hanging="700" w:hangingChars="250"/>
        <w:rPr>
          <w:color w:val="auto"/>
          <w:sz w:val="28"/>
          <w:szCs w:val="28"/>
          <w:highlight w:val="none"/>
        </w:rPr>
      </w:pPr>
    </w:p>
    <w:p>
      <w:pPr>
        <w:spacing w:line="560" w:lineRule="exact"/>
        <w:ind w:left="700" w:hanging="700" w:hangingChars="250"/>
        <w:rPr>
          <w:color w:val="auto"/>
          <w:sz w:val="28"/>
          <w:szCs w:val="28"/>
          <w:highlight w:val="none"/>
        </w:rPr>
      </w:pPr>
    </w:p>
    <w:p>
      <w:pPr>
        <w:spacing w:line="240" w:lineRule="auto"/>
        <w:jc w:val="left"/>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附件：</w:t>
      </w:r>
    </w:p>
    <w:p>
      <w:pPr>
        <w:spacing w:line="360" w:lineRule="auto"/>
        <w:jc w:val="center"/>
        <w:rPr>
          <w:rFonts w:hint="eastAsia"/>
          <w:b/>
          <w:bCs/>
          <w:color w:val="auto"/>
          <w:sz w:val="24"/>
          <w:szCs w:val="24"/>
          <w:highlight w:val="none"/>
        </w:rPr>
      </w:pPr>
    </w:p>
    <w:p>
      <w:pPr>
        <w:spacing w:line="360" w:lineRule="auto"/>
        <w:jc w:val="center"/>
        <w:rPr>
          <w:b/>
          <w:color w:val="auto"/>
          <w:sz w:val="28"/>
          <w:szCs w:val="28"/>
          <w:highlight w:val="none"/>
        </w:rPr>
      </w:pPr>
      <w:r>
        <w:rPr>
          <w:rFonts w:hint="eastAsia"/>
          <w:b/>
          <w:bCs/>
          <w:color w:val="auto"/>
          <w:sz w:val="28"/>
          <w:szCs w:val="28"/>
          <w:highlight w:val="none"/>
        </w:rPr>
        <w:t>残疾人福利性单位声明函</w:t>
      </w:r>
    </w:p>
    <w:p>
      <w:pPr>
        <w:spacing w:line="360" w:lineRule="auto"/>
        <w:ind w:firstLine="480" w:firstLineChars="200"/>
        <w:rPr>
          <w:color w:val="auto"/>
          <w:sz w:val="24"/>
          <w:szCs w:val="24"/>
          <w:highlight w:val="none"/>
        </w:rPr>
      </w:pPr>
    </w:p>
    <w:p>
      <w:pPr>
        <w:spacing w:line="480" w:lineRule="auto"/>
        <w:ind w:firstLine="480" w:firstLineChars="200"/>
        <w:rPr>
          <w:color w:val="auto"/>
          <w:sz w:val="24"/>
          <w:szCs w:val="24"/>
          <w:highlight w:val="none"/>
        </w:rPr>
      </w:pPr>
      <w:r>
        <w:rPr>
          <w:rFonts w:hint="eastAsia"/>
          <w:color w:val="auto"/>
          <w:sz w:val="24"/>
          <w:szCs w:val="24"/>
          <w:highlight w:val="none"/>
        </w:rPr>
        <w:t>本单位郑重声明，根据《财政部 民政部 中国残疾人联合会关于促进残疾人就业政府采购政策的通知》（财库〔2017〕 141号）的规定，本单位为</w:t>
      </w:r>
      <w:r>
        <w:rPr>
          <w:rFonts w:hint="eastAsia"/>
          <w:color w:val="auto"/>
          <w:sz w:val="24"/>
          <w:szCs w:val="24"/>
          <w:highlight w:val="none"/>
          <w:u w:val="single"/>
        </w:rPr>
        <w:t xml:space="preserve">   （符合/不符合）  </w:t>
      </w:r>
      <w:r>
        <w:rPr>
          <w:rFonts w:hint="eastAsia"/>
          <w:color w:val="auto"/>
          <w:sz w:val="24"/>
          <w:szCs w:val="24"/>
          <w:highlight w:val="none"/>
        </w:rPr>
        <w:t>残疾人福利性单位，且本单位参加</w:t>
      </w:r>
      <w:r>
        <w:rPr>
          <w:rFonts w:hint="eastAsia"/>
          <w:color w:val="auto"/>
          <w:sz w:val="24"/>
          <w:szCs w:val="24"/>
          <w:highlight w:val="none"/>
          <w:u w:val="single"/>
          <w:lang w:val="en-US"/>
        </w:rPr>
        <w:t xml:space="preserve">          </w:t>
      </w:r>
      <w:r>
        <w:rPr>
          <w:rFonts w:hint="eastAsia"/>
          <w:color w:val="auto"/>
          <w:sz w:val="24"/>
          <w:szCs w:val="24"/>
          <w:highlight w:val="none"/>
        </w:rPr>
        <w:t>单位的</w:t>
      </w:r>
      <w:r>
        <w:rPr>
          <w:rFonts w:hint="eastAsia"/>
          <w:color w:val="auto"/>
          <w:sz w:val="24"/>
          <w:szCs w:val="24"/>
          <w:highlight w:val="none"/>
          <w:u w:val="single"/>
          <w:lang w:val="en-US"/>
        </w:rPr>
        <w:t xml:space="preserve">               </w:t>
      </w:r>
      <w:r>
        <w:rPr>
          <w:rFonts w:hint="eastAsia"/>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color w:val="auto"/>
          <w:sz w:val="24"/>
          <w:szCs w:val="24"/>
          <w:highlight w:val="none"/>
        </w:rPr>
      </w:pPr>
      <w:r>
        <w:rPr>
          <w:rFonts w:hint="eastAsia"/>
          <w:color w:val="auto"/>
          <w:sz w:val="24"/>
          <w:szCs w:val="24"/>
          <w:highlight w:val="none"/>
        </w:rPr>
        <w:t>本单位对上述声明的真实性负责。如有虚假，将依法承担相应责任。</w:t>
      </w:r>
    </w:p>
    <w:p>
      <w:pPr>
        <w:spacing w:line="480" w:lineRule="auto"/>
        <w:ind w:firstLine="602" w:firstLineChars="250"/>
        <w:rPr>
          <w:color w:val="auto"/>
          <w:sz w:val="24"/>
          <w:szCs w:val="24"/>
          <w:highlight w:val="none"/>
        </w:rPr>
      </w:pPr>
      <w:bookmarkStart w:id="135" w:name="_Hlk530575930"/>
      <w:r>
        <w:rPr>
          <w:rFonts w:hint="eastAsia"/>
          <w:b/>
          <w:color w:val="auto"/>
          <w:sz w:val="24"/>
          <w:szCs w:val="24"/>
          <w:highlight w:val="none"/>
        </w:rPr>
        <w:t>注：非残疾人福利性单位此声明函可不填写。</w:t>
      </w:r>
    </w:p>
    <w:bookmarkEnd w:id="135"/>
    <w:p>
      <w:pPr>
        <w:spacing w:line="480" w:lineRule="auto"/>
        <w:jc w:val="center"/>
        <w:rPr>
          <w:color w:val="auto"/>
          <w:sz w:val="24"/>
          <w:szCs w:val="24"/>
          <w:highlight w:val="none"/>
        </w:rPr>
      </w:pPr>
    </w:p>
    <w:p>
      <w:pPr>
        <w:pStyle w:val="23"/>
        <w:spacing w:line="480" w:lineRule="auto"/>
        <w:rPr>
          <w:color w:val="auto"/>
          <w:sz w:val="24"/>
          <w:szCs w:val="24"/>
          <w:highlight w:val="none"/>
        </w:rPr>
      </w:pPr>
    </w:p>
    <w:p>
      <w:pPr>
        <w:spacing w:line="480" w:lineRule="auto"/>
        <w:rPr>
          <w:color w:val="auto"/>
          <w:highlight w:val="none"/>
        </w:rPr>
      </w:pPr>
    </w:p>
    <w:p>
      <w:pPr>
        <w:spacing w:line="480" w:lineRule="auto"/>
        <w:jc w:val="center"/>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lang w:val="en-US"/>
        </w:rPr>
        <w:t xml:space="preserve">   </w:t>
      </w:r>
      <w:r>
        <w:rPr>
          <w:rFonts w:hint="eastAsia"/>
          <w:color w:val="auto"/>
          <w:sz w:val="24"/>
          <w:szCs w:val="24"/>
          <w:highlight w:val="none"/>
          <w:lang w:val="en-US" w:eastAsia="zh-CN"/>
        </w:rPr>
        <w:t>投标人</w:t>
      </w:r>
      <w:r>
        <w:rPr>
          <w:rFonts w:hint="eastAsia"/>
          <w:color w:val="auto"/>
          <w:sz w:val="24"/>
          <w:szCs w:val="24"/>
          <w:highlight w:val="none"/>
        </w:rPr>
        <w:t>名称（盖章）：</w:t>
      </w:r>
    </w:p>
    <w:p>
      <w:pPr>
        <w:spacing w:line="480" w:lineRule="auto"/>
        <w:jc w:val="center"/>
        <w:rPr>
          <w:color w:val="auto"/>
          <w:sz w:val="24"/>
          <w:szCs w:val="24"/>
          <w:highlight w:val="none"/>
        </w:rPr>
      </w:pPr>
      <w:r>
        <w:rPr>
          <w:rFonts w:hint="eastAsia"/>
          <w:color w:val="auto"/>
          <w:sz w:val="24"/>
          <w:szCs w:val="24"/>
          <w:highlight w:val="none"/>
        </w:rPr>
        <w:t xml:space="preserve">                    日  期：</w:t>
      </w:r>
    </w:p>
    <w:p>
      <w:pPr>
        <w:spacing w:line="480" w:lineRule="auto"/>
        <w:jc w:val="center"/>
        <w:rPr>
          <w:rFonts w:ascii="仿宋" w:hAnsi="仿宋" w:eastAsia="仿宋" w:cs="仿宋"/>
          <w:color w:val="auto"/>
          <w:sz w:val="24"/>
          <w:szCs w:val="24"/>
          <w:highlight w:val="none"/>
        </w:rPr>
      </w:pPr>
    </w:p>
    <w:p>
      <w:pPr>
        <w:spacing w:line="360" w:lineRule="auto"/>
        <w:jc w:val="center"/>
        <w:rPr>
          <w:rFonts w:ascii="仿宋" w:hAnsi="仿宋" w:eastAsia="仿宋" w:cs="仿宋"/>
          <w:color w:val="auto"/>
          <w:sz w:val="24"/>
          <w:szCs w:val="24"/>
          <w:highlight w:val="none"/>
        </w:rPr>
      </w:pPr>
    </w:p>
    <w:p>
      <w:pPr>
        <w:spacing w:line="360" w:lineRule="auto"/>
        <w:jc w:val="center"/>
        <w:rPr>
          <w:rFonts w:ascii="仿宋" w:hAnsi="仿宋" w:eastAsia="仿宋" w:cs="仿宋"/>
          <w:color w:val="auto"/>
          <w:sz w:val="24"/>
          <w:szCs w:val="24"/>
          <w:highlight w:val="none"/>
        </w:rPr>
      </w:pPr>
    </w:p>
    <w:p>
      <w:pPr>
        <w:spacing w:line="360" w:lineRule="auto"/>
        <w:jc w:val="center"/>
        <w:rPr>
          <w:rFonts w:ascii="仿宋" w:hAnsi="仿宋" w:eastAsia="仿宋" w:cs="仿宋"/>
          <w:color w:val="auto"/>
          <w:sz w:val="24"/>
          <w:szCs w:val="24"/>
          <w:highlight w:val="none"/>
        </w:rPr>
      </w:pPr>
    </w:p>
    <w:p>
      <w:pPr>
        <w:spacing w:line="360" w:lineRule="auto"/>
        <w:jc w:val="center"/>
        <w:rPr>
          <w:rFonts w:ascii="仿宋" w:hAnsi="仿宋" w:eastAsia="仿宋" w:cs="仿宋"/>
          <w:color w:val="auto"/>
          <w:sz w:val="24"/>
          <w:szCs w:val="24"/>
          <w:highlight w:val="none"/>
        </w:rPr>
      </w:pPr>
    </w:p>
    <w:p>
      <w:pPr>
        <w:adjustRightInd w:val="0"/>
        <w:spacing w:line="520" w:lineRule="exact"/>
        <w:ind w:firstLine="480" w:firstLineChars="200"/>
        <w:rPr>
          <w:color w:val="auto"/>
          <w:sz w:val="28"/>
          <w:szCs w:val="28"/>
          <w:highlight w:val="none"/>
        </w:rPr>
      </w:pPr>
      <w:r>
        <w:rPr>
          <w:rFonts w:hint="eastAsia"/>
          <w:color w:val="auto"/>
          <w:sz w:val="24"/>
          <w:szCs w:val="24"/>
          <w:highlight w:val="none"/>
        </w:rPr>
        <w:t>备注：投标人提供的《残疾人福利性单位声明函》必须真实有效，如果被举报经查实出具虚假声明函的，将被取消投标资格，并按有关规定予以处理。</w:t>
      </w:r>
    </w:p>
    <w:p>
      <w:pPr>
        <w:adjustRightInd w:val="0"/>
        <w:spacing w:line="520" w:lineRule="exact"/>
        <w:jc w:val="center"/>
        <w:rPr>
          <w:color w:val="auto"/>
          <w:sz w:val="28"/>
          <w:szCs w:val="28"/>
          <w:highlight w:val="none"/>
        </w:rPr>
      </w:pPr>
    </w:p>
    <w:p>
      <w:pPr>
        <w:adjustRightInd w:val="0"/>
        <w:spacing w:line="520" w:lineRule="exact"/>
        <w:jc w:val="center"/>
        <w:rPr>
          <w:color w:val="auto"/>
          <w:sz w:val="28"/>
          <w:szCs w:val="28"/>
          <w:highlight w:val="none"/>
        </w:rPr>
      </w:pPr>
    </w:p>
    <w:p>
      <w:pPr>
        <w:pStyle w:val="4"/>
        <w:bidi w:val="0"/>
        <w:spacing w:line="240" w:lineRule="auto"/>
        <w:jc w:val="center"/>
        <w:rPr>
          <w:rFonts w:hint="eastAsia" w:ascii="宋体" w:hAnsi="宋体" w:eastAsia="宋体" w:cs="宋体"/>
          <w:lang w:val="en-US" w:eastAsia="zh-CN"/>
        </w:rPr>
      </w:pPr>
      <w:bookmarkStart w:id="136" w:name="_Toc21253"/>
      <w:bookmarkStart w:id="137" w:name="_Toc12079"/>
      <w:bookmarkStart w:id="138" w:name="_Toc4498"/>
      <w:bookmarkStart w:id="139" w:name="_Toc10468"/>
      <w:r>
        <w:rPr>
          <w:rFonts w:hint="eastAsia" w:ascii="宋体" w:hAnsi="宋体" w:eastAsia="宋体" w:cs="宋体"/>
          <w:lang w:val="en-US" w:eastAsia="zh-CN"/>
        </w:rPr>
        <w:t>十一、政府采购供应商拒绝政府采购领域商业贿赂承诺书</w:t>
      </w:r>
      <w:bookmarkEnd w:id="136"/>
      <w:bookmarkEnd w:id="137"/>
      <w:bookmarkEnd w:id="138"/>
      <w:bookmarkEnd w:id="139"/>
    </w:p>
    <w:p>
      <w:pPr>
        <w:spacing w:line="520" w:lineRule="exact"/>
        <w:ind w:firstLine="480" w:firstLineChars="200"/>
        <w:rPr>
          <w:color w:val="auto"/>
          <w:sz w:val="24"/>
          <w:szCs w:val="24"/>
          <w:highlight w:val="none"/>
        </w:rPr>
      </w:pPr>
      <w:r>
        <w:rPr>
          <w:rFonts w:hint="eastAsia"/>
          <w:color w:val="auto"/>
          <w:sz w:val="24"/>
          <w:szCs w:val="24"/>
          <w:highlight w:val="none"/>
        </w:rPr>
        <w:t>为响应党中央、国务院关于治理政府采购领域商业贿赂行为的号召，我单位在此庄严承诺：</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在参与政府采购活动中遵纪守法、诚信经营、公平竞标。</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不向采购人、采购代理机构和政府采购评审专家进行任何形式的商业贿赂以谋取交易机会。</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不向采购代理机构和采购人提供虚假资质文件或采用虚假应标方式参与政府采购市场竞争并谋取成交、成交。</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不采取“围标、陪标”等商业欺诈手段获得政府采购定单。</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不采取不正当手段低毁、排挤其他供应商。</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不在提供商品和服务时“偷梁换柱、以次充好”损害采购人的合法权益。</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不与采购人、采购代理机构、政府采购评审专家或其它供应商恶意串通，进行质疑和投诉，维护政府采购市场秩序。</w:t>
      </w:r>
    </w:p>
    <w:p>
      <w:pPr>
        <w:numPr>
          <w:ilvl w:val="0"/>
          <w:numId w:val="1"/>
        </w:numPr>
        <w:spacing w:line="520" w:lineRule="exact"/>
        <w:ind w:firstLine="480" w:firstLineChars="200"/>
        <w:rPr>
          <w:color w:val="auto"/>
          <w:sz w:val="24"/>
          <w:szCs w:val="24"/>
          <w:highlight w:val="none"/>
        </w:rPr>
      </w:pPr>
      <w:r>
        <w:rPr>
          <w:rFonts w:hint="eastAsia"/>
          <w:color w:val="auto"/>
          <w:sz w:val="24"/>
          <w:szCs w:val="24"/>
          <w:highlight w:val="none"/>
        </w:rPr>
        <w:t>尊重和接受政府采购监督管理部门的监督和采购代理机构的招标要求，承担因违约行为给采购人造成的损失。</w:t>
      </w:r>
    </w:p>
    <w:p>
      <w:pPr>
        <w:spacing w:line="520" w:lineRule="exact"/>
        <w:ind w:firstLine="480" w:firstLineChars="200"/>
        <w:rPr>
          <w:color w:val="auto"/>
          <w:sz w:val="24"/>
          <w:szCs w:val="24"/>
          <w:highlight w:val="none"/>
        </w:rPr>
      </w:pPr>
      <w:r>
        <w:rPr>
          <w:rFonts w:hint="eastAsia"/>
          <w:color w:val="auto"/>
          <w:sz w:val="24"/>
          <w:szCs w:val="24"/>
          <w:highlight w:val="none"/>
        </w:rPr>
        <w:t>9、不发生其他有悖于政府采购公开、公平、公正和诚信原则的行为。</w:t>
      </w:r>
    </w:p>
    <w:p>
      <w:pPr>
        <w:pStyle w:val="33"/>
        <w:spacing w:line="520" w:lineRule="exact"/>
        <w:ind w:left="200" w:firstLine="0"/>
        <w:rPr>
          <w:color w:val="auto"/>
          <w:sz w:val="24"/>
          <w:szCs w:val="24"/>
          <w:highlight w:val="none"/>
        </w:rPr>
      </w:pPr>
    </w:p>
    <w:p>
      <w:pPr>
        <w:widowControl/>
        <w:tabs>
          <w:tab w:val="left" w:pos="2394"/>
        </w:tabs>
        <w:spacing w:line="520" w:lineRule="exact"/>
        <w:ind w:firstLine="480" w:firstLineChars="200"/>
        <w:rPr>
          <w:color w:val="auto"/>
          <w:sz w:val="24"/>
          <w:szCs w:val="24"/>
          <w:highlight w:val="none"/>
        </w:rPr>
      </w:pPr>
      <w:r>
        <w:rPr>
          <w:rFonts w:hint="eastAsia"/>
          <w:color w:val="auto"/>
          <w:sz w:val="24"/>
          <w:szCs w:val="24"/>
          <w:highlight w:val="none"/>
        </w:rPr>
        <w:t>承诺单位：</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（公章）</w:t>
      </w:r>
    </w:p>
    <w:p>
      <w:pPr>
        <w:widowControl/>
        <w:tabs>
          <w:tab w:val="left" w:pos="2394"/>
        </w:tabs>
        <w:spacing w:line="520" w:lineRule="exact"/>
        <w:ind w:firstLine="480" w:firstLineChars="200"/>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（签字或</w:t>
      </w:r>
      <w:r>
        <w:rPr>
          <w:rFonts w:hint="eastAsia"/>
          <w:color w:val="auto"/>
          <w:sz w:val="24"/>
          <w:szCs w:val="24"/>
          <w:highlight w:val="none"/>
          <w:lang w:val="en-US"/>
        </w:rPr>
        <w:t>盖章</w:t>
      </w:r>
      <w:r>
        <w:rPr>
          <w:rFonts w:hint="eastAsia"/>
          <w:color w:val="auto"/>
          <w:sz w:val="24"/>
          <w:szCs w:val="24"/>
          <w:highlight w:val="none"/>
        </w:rPr>
        <w:t xml:space="preserve">） </w:t>
      </w:r>
    </w:p>
    <w:p>
      <w:pPr>
        <w:widowControl/>
        <w:tabs>
          <w:tab w:val="left" w:pos="2394"/>
        </w:tabs>
        <w:spacing w:line="520" w:lineRule="exact"/>
        <w:ind w:firstLine="480" w:firstLineChars="200"/>
        <w:rPr>
          <w:color w:val="auto"/>
          <w:sz w:val="24"/>
          <w:szCs w:val="24"/>
          <w:highlight w:val="none"/>
        </w:rPr>
      </w:pPr>
      <w:r>
        <w:rPr>
          <w:rFonts w:hint="eastAsia"/>
          <w:color w:val="auto"/>
          <w:sz w:val="24"/>
          <w:szCs w:val="24"/>
          <w:highlight w:val="none"/>
        </w:rPr>
        <w:t>地    址：</w:t>
      </w:r>
      <w:r>
        <w:rPr>
          <w:rFonts w:hint="eastAsia"/>
          <w:color w:val="auto"/>
          <w:sz w:val="24"/>
          <w:szCs w:val="24"/>
          <w:highlight w:val="none"/>
          <w:u w:val="single"/>
        </w:rPr>
        <w:t xml:space="preserve">                  </w:t>
      </w:r>
      <w:r>
        <w:rPr>
          <w:rFonts w:hint="eastAsia"/>
          <w:color w:val="auto"/>
          <w:sz w:val="24"/>
          <w:szCs w:val="24"/>
          <w:highlight w:val="none"/>
        </w:rPr>
        <w:t xml:space="preserve">             </w:t>
      </w:r>
    </w:p>
    <w:p>
      <w:pPr>
        <w:widowControl/>
        <w:tabs>
          <w:tab w:val="left" w:pos="2394"/>
        </w:tabs>
        <w:spacing w:line="520" w:lineRule="exact"/>
        <w:ind w:firstLine="480" w:firstLineChars="200"/>
        <w:rPr>
          <w:color w:val="auto"/>
          <w:sz w:val="24"/>
          <w:szCs w:val="24"/>
          <w:highlight w:val="none"/>
        </w:rPr>
      </w:pPr>
      <w:r>
        <w:rPr>
          <w:rFonts w:hint="eastAsia"/>
          <w:color w:val="auto"/>
          <w:sz w:val="24"/>
          <w:szCs w:val="24"/>
          <w:highlight w:val="none"/>
        </w:rPr>
        <w:t>邮    编：</w:t>
      </w:r>
      <w:r>
        <w:rPr>
          <w:rFonts w:hint="eastAsia"/>
          <w:color w:val="auto"/>
          <w:sz w:val="24"/>
          <w:szCs w:val="24"/>
          <w:highlight w:val="none"/>
          <w:u w:val="single"/>
        </w:rPr>
        <w:t xml:space="preserve">                   </w:t>
      </w:r>
      <w:r>
        <w:rPr>
          <w:rFonts w:hint="eastAsia"/>
          <w:color w:val="auto"/>
          <w:sz w:val="24"/>
          <w:szCs w:val="24"/>
          <w:highlight w:val="none"/>
        </w:rPr>
        <w:t xml:space="preserve">            </w:t>
      </w:r>
    </w:p>
    <w:p>
      <w:pPr>
        <w:tabs>
          <w:tab w:val="left" w:pos="5580"/>
        </w:tabs>
        <w:adjustRightInd w:val="0"/>
        <w:spacing w:line="520" w:lineRule="exact"/>
        <w:ind w:firstLine="480" w:firstLineChars="200"/>
        <w:rPr>
          <w:color w:val="auto"/>
          <w:sz w:val="24"/>
          <w:szCs w:val="24"/>
          <w:highlight w:val="none"/>
        </w:rPr>
      </w:pPr>
      <w:r>
        <w:rPr>
          <w:rFonts w:hint="eastAsia"/>
          <w:color w:val="auto"/>
          <w:sz w:val="24"/>
          <w:szCs w:val="24"/>
          <w:highlight w:val="none"/>
        </w:rPr>
        <w:t>电    话：</w:t>
      </w:r>
      <w:r>
        <w:rPr>
          <w:rFonts w:hint="eastAsia"/>
          <w:color w:val="auto"/>
          <w:sz w:val="24"/>
          <w:szCs w:val="24"/>
          <w:highlight w:val="none"/>
          <w:u w:val="single"/>
        </w:rPr>
        <w:t xml:space="preserve">                   </w:t>
      </w:r>
      <w:r>
        <w:rPr>
          <w:rFonts w:hint="eastAsia"/>
          <w:color w:val="auto"/>
          <w:sz w:val="24"/>
          <w:szCs w:val="24"/>
          <w:highlight w:val="none"/>
        </w:rPr>
        <w:t xml:space="preserve">            </w:t>
      </w:r>
    </w:p>
    <w:p>
      <w:pPr>
        <w:adjustRightInd w:val="0"/>
        <w:spacing w:line="520" w:lineRule="exact"/>
        <w:rPr>
          <w:color w:val="auto"/>
          <w:sz w:val="24"/>
          <w:szCs w:val="24"/>
          <w:highlight w:val="none"/>
        </w:rPr>
      </w:pPr>
    </w:p>
    <w:p>
      <w:pPr>
        <w:rPr>
          <w:color w:val="auto"/>
          <w:sz w:val="30"/>
          <w:szCs w:val="30"/>
          <w:highlight w:val="none"/>
        </w:rPr>
      </w:pPr>
    </w:p>
    <w:p>
      <w:pPr>
        <w:pStyle w:val="12"/>
        <w:rPr>
          <w:color w:val="auto"/>
          <w:highlight w:val="none"/>
        </w:rPr>
      </w:pPr>
    </w:p>
    <w:p>
      <w:pPr>
        <w:pStyle w:val="13"/>
        <w:rPr>
          <w:color w:val="auto"/>
          <w:highlight w:val="none"/>
        </w:rPr>
      </w:pPr>
    </w:p>
    <w:p>
      <w:pPr>
        <w:pStyle w:val="13"/>
        <w:rPr>
          <w:rFonts w:hint="eastAsia" w:ascii="宋体" w:hAnsi="宋体" w:eastAsia="宋体" w:cs="宋体"/>
          <w:color w:val="auto"/>
          <w:sz w:val="32"/>
          <w:szCs w:val="32"/>
          <w:highlight w:val="none"/>
          <w:u w:val="single"/>
        </w:rPr>
      </w:pPr>
    </w:p>
    <w:p>
      <w:pPr>
        <w:pStyle w:val="4"/>
        <w:kinsoku w:val="0"/>
        <w:overflowPunct w:val="0"/>
        <w:spacing w:line="404" w:lineRule="exact"/>
        <w:jc w:val="center"/>
        <w:rPr>
          <w:rFonts w:ascii="宋体" w:hAnsi="宋体" w:eastAsia="宋体"/>
          <w:color w:val="auto"/>
          <w:sz w:val="32"/>
          <w:szCs w:val="32"/>
          <w:highlight w:val="none"/>
        </w:rPr>
      </w:pPr>
      <w:bookmarkStart w:id="140" w:name="_Toc28858"/>
      <w:bookmarkStart w:id="141" w:name="_Toc26733"/>
      <w:bookmarkStart w:id="142" w:name="_Toc15389"/>
      <w:r>
        <w:rPr>
          <w:rFonts w:hint="eastAsia" w:ascii="宋体" w:hAnsi="宋体" w:eastAsia="宋体"/>
          <w:color w:val="auto"/>
          <w:sz w:val="32"/>
          <w:szCs w:val="32"/>
          <w:highlight w:val="none"/>
          <w:lang w:val="en-US" w:eastAsia="zh-CN"/>
        </w:rPr>
        <w:t>十二</w:t>
      </w:r>
      <w:r>
        <w:rPr>
          <w:rFonts w:hint="eastAsia" w:ascii="宋体" w:hAnsi="宋体" w:eastAsia="宋体"/>
          <w:color w:val="auto"/>
          <w:sz w:val="32"/>
          <w:szCs w:val="32"/>
          <w:highlight w:val="none"/>
        </w:rPr>
        <w:t>、</w:t>
      </w:r>
      <w:r>
        <w:rPr>
          <w:rFonts w:hint="eastAsia" w:ascii="宋体" w:hAnsi="宋体" w:eastAsia="宋体"/>
          <w:color w:val="auto"/>
          <w:sz w:val="32"/>
          <w:szCs w:val="32"/>
          <w:highlight w:val="none"/>
          <w:lang w:val="en-US" w:eastAsia="zh-CN"/>
        </w:rPr>
        <w:t>投标人</w:t>
      </w:r>
      <w:r>
        <w:rPr>
          <w:rFonts w:hint="eastAsia" w:ascii="宋体" w:hAnsi="宋体" w:eastAsia="宋体"/>
          <w:color w:val="auto"/>
          <w:sz w:val="32"/>
          <w:szCs w:val="32"/>
          <w:highlight w:val="none"/>
        </w:rPr>
        <w:t>认为有必要补充说明的事宜</w:t>
      </w:r>
      <w:bookmarkEnd w:id="140"/>
      <w:bookmarkEnd w:id="141"/>
      <w:bookmarkEnd w:id="142"/>
    </w:p>
    <w:p>
      <w:pPr>
        <w:tabs>
          <w:tab w:val="left" w:pos="3224"/>
        </w:tabs>
        <w:spacing w:before="49" w:line="690" w:lineRule="atLeast"/>
        <w:ind w:left="526" w:right="3002" w:firstLine="2463"/>
        <w:rPr>
          <w:b/>
          <w:color w:val="auto"/>
          <w:spacing w:val="15"/>
          <w:sz w:val="24"/>
          <w:highlight w:val="none"/>
        </w:rPr>
      </w:pPr>
    </w:p>
    <w:p>
      <w:pPr>
        <w:pStyle w:val="3"/>
        <w:spacing w:line="381" w:lineRule="exact"/>
        <w:rPr>
          <w:rFonts w:ascii="宋体" w:hAnsi="宋体" w:eastAsia="宋体" w:cs="宋体"/>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sectPr>
      <w:footerReference r:id="rId6" w:type="default"/>
      <w:pgSz w:w="11905" w:h="16838"/>
      <w:pgMar w:top="1417" w:right="1134" w:bottom="1417" w:left="1134" w:header="850"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50600"/>
    <w:multiLevelType w:val="singleLevel"/>
    <w:tmpl w:val="566506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MzM5ZGI2YTc4OTRiZDczOTdlOTNiNWI0ZjM3OGQifQ=="/>
  </w:docVars>
  <w:rsids>
    <w:rsidRoot w:val="00452812"/>
    <w:rsid w:val="00020CF3"/>
    <w:rsid w:val="00085D50"/>
    <w:rsid w:val="000A6B71"/>
    <w:rsid w:val="000B6322"/>
    <w:rsid w:val="000D1C06"/>
    <w:rsid w:val="000F1778"/>
    <w:rsid w:val="00126AD4"/>
    <w:rsid w:val="00134921"/>
    <w:rsid w:val="00134C96"/>
    <w:rsid w:val="00152016"/>
    <w:rsid w:val="001743CC"/>
    <w:rsid w:val="001A1297"/>
    <w:rsid w:val="001A13A7"/>
    <w:rsid w:val="002415C8"/>
    <w:rsid w:val="00245594"/>
    <w:rsid w:val="0026360E"/>
    <w:rsid w:val="002C53E4"/>
    <w:rsid w:val="002C7657"/>
    <w:rsid w:val="002E5ECF"/>
    <w:rsid w:val="003144EA"/>
    <w:rsid w:val="003643A8"/>
    <w:rsid w:val="00382DEE"/>
    <w:rsid w:val="003B2A21"/>
    <w:rsid w:val="003E5443"/>
    <w:rsid w:val="00440CAF"/>
    <w:rsid w:val="00452812"/>
    <w:rsid w:val="004D1809"/>
    <w:rsid w:val="004D595B"/>
    <w:rsid w:val="00512A6E"/>
    <w:rsid w:val="00550B34"/>
    <w:rsid w:val="00560254"/>
    <w:rsid w:val="00592604"/>
    <w:rsid w:val="00593C23"/>
    <w:rsid w:val="005B074B"/>
    <w:rsid w:val="006675B4"/>
    <w:rsid w:val="006814A5"/>
    <w:rsid w:val="006B0C8D"/>
    <w:rsid w:val="006D4381"/>
    <w:rsid w:val="00721F9D"/>
    <w:rsid w:val="007530CB"/>
    <w:rsid w:val="00763D7F"/>
    <w:rsid w:val="007F7E25"/>
    <w:rsid w:val="00862917"/>
    <w:rsid w:val="008735A7"/>
    <w:rsid w:val="008C6841"/>
    <w:rsid w:val="008D583E"/>
    <w:rsid w:val="008E1482"/>
    <w:rsid w:val="00974A71"/>
    <w:rsid w:val="00A741A4"/>
    <w:rsid w:val="00AD53C9"/>
    <w:rsid w:val="00B03CC8"/>
    <w:rsid w:val="00B170F6"/>
    <w:rsid w:val="00B336DE"/>
    <w:rsid w:val="00B35453"/>
    <w:rsid w:val="00B51D65"/>
    <w:rsid w:val="00C65408"/>
    <w:rsid w:val="00C857D0"/>
    <w:rsid w:val="00CB5B13"/>
    <w:rsid w:val="00CD06BF"/>
    <w:rsid w:val="00D151EC"/>
    <w:rsid w:val="00D91112"/>
    <w:rsid w:val="00DB20F7"/>
    <w:rsid w:val="00E757CF"/>
    <w:rsid w:val="00E83FDA"/>
    <w:rsid w:val="00E865C2"/>
    <w:rsid w:val="00EA55BA"/>
    <w:rsid w:val="00F0781C"/>
    <w:rsid w:val="00F21650"/>
    <w:rsid w:val="00F44C45"/>
    <w:rsid w:val="00F55395"/>
    <w:rsid w:val="00F86DBC"/>
    <w:rsid w:val="00F91A89"/>
    <w:rsid w:val="00FD7620"/>
    <w:rsid w:val="014A4B87"/>
    <w:rsid w:val="01646B44"/>
    <w:rsid w:val="01CC5828"/>
    <w:rsid w:val="02383BF7"/>
    <w:rsid w:val="023C7BC1"/>
    <w:rsid w:val="023D7308"/>
    <w:rsid w:val="02AF4537"/>
    <w:rsid w:val="0301396B"/>
    <w:rsid w:val="031A0CB8"/>
    <w:rsid w:val="038B52AD"/>
    <w:rsid w:val="03CF0B26"/>
    <w:rsid w:val="03D05749"/>
    <w:rsid w:val="03D83D09"/>
    <w:rsid w:val="04516D1C"/>
    <w:rsid w:val="04552FFA"/>
    <w:rsid w:val="0458652E"/>
    <w:rsid w:val="051F75C5"/>
    <w:rsid w:val="054F6C10"/>
    <w:rsid w:val="05832D5D"/>
    <w:rsid w:val="05F72E03"/>
    <w:rsid w:val="05F83183"/>
    <w:rsid w:val="06026333"/>
    <w:rsid w:val="060A40C2"/>
    <w:rsid w:val="077010BF"/>
    <w:rsid w:val="07950B26"/>
    <w:rsid w:val="079C3D60"/>
    <w:rsid w:val="07CC7446"/>
    <w:rsid w:val="0814334B"/>
    <w:rsid w:val="085409E1"/>
    <w:rsid w:val="090E253E"/>
    <w:rsid w:val="093F0C03"/>
    <w:rsid w:val="094B088A"/>
    <w:rsid w:val="094B4A77"/>
    <w:rsid w:val="0A141849"/>
    <w:rsid w:val="0A2368BD"/>
    <w:rsid w:val="0A6458DF"/>
    <w:rsid w:val="0A645E9D"/>
    <w:rsid w:val="0AAF7322"/>
    <w:rsid w:val="0B6E5408"/>
    <w:rsid w:val="0BC35C62"/>
    <w:rsid w:val="0BD25ADC"/>
    <w:rsid w:val="0BF00A21"/>
    <w:rsid w:val="0C0B7609"/>
    <w:rsid w:val="0C9A3491"/>
    <w:rsid w:val="0CDB522D"/>
    <w:rsid w:val="0CF8142B"/>
    <w:rsid w:val="0E0E1D87"/>
    <w:rsid w:val="0E171DAC"/>
    <w:rsid w:val="0EB75826"/>
    <w:rsid w:val="0EF44384"/>
    <w:rsid w:val="0F211645"/>
    <w:rsid w:val="0F2C1D70"/>
    <w:rsid w:val="0F2F1860"/>
    <w:rsid w:val="0F3B58BD"/>
    <w:rsid w:val="0F4E3B5F"/>
    <w:rsid w:val="0F5F2145"/>
    <w:rsid w:val="0F6F7B99"/>
    <w:rsid w:val="0FB643BD"/>
    <w:rsid w:val="0FBF5109"/>
    <w:rsid w:val="0FCB3BE2"/>
    <w:rsid w:val="0FCF34EE"/>
    <w:rsid w:val="0FDF6D14"/>
    <w:rsid w:val="10085517"/>
    <w:rsid w:val="103A670E"/>
    <w:rsid w:val="109514C8"/>
    <w:rsid w:val="10A52EB8"/>
    <w:rsid w:val="10C65283"/>
    <w:rsid w:val="111927C8"/>
    <w:rsid w:val="11390774"/>
    <w:rsid w:val="11901EAF"/>
    <w:rsid w:val="11A958FA"/>
    <w:rsid w:val="120668A8"/>
    <w:rsid w:val="121E0096"/>
    <w:rsid w:val="124903AD"/>
    <w:rsid w:val="12525F91"/>
    <w:rsid w:val="12743591"/>
    <w:rsid w:val="129B6B31"/>
    <w:rsid w:val="12A7390E"/>
    <w:rsid w:val="13287AEA"/>
    <w:rsid w:val="132E126D"/>
    <w:rsid w:val="132E7B2F"/>
    <w:rsid w:val="13B50586"/>
    <w:rsid w:val="13B642FE"/>
    <w:rsid w:val="14122BC3"/>
    <w:rsid w:val="14221993"/>
    <w:rsid w:val="143A110B"/>
    <w:rsid w:val="146D0E60"/>
    <w:rsid w:val="148D505F"/>
    <w:rsid w:val="14A64372"/>
    <w:rsid w:val="14DE2994"/>
    <w:rsid w:val="160735B3"/>
    <w:rsid w:val="161D364C"/>
    <w:rsid w:val="162848E3"/>
    <w:rsid w:val="162A1BF3"/>
    <w:rsid w:val="162F314D"/>
    <w:rsid w:val="163C78E9"/>
    <w:rsid w:val="16B54D41"/>
    <w:rsid w:val="16CB1E6E"/>
    <w:rsid w:val="17181399"/>
    <w:rsid w:val="173254C8"/>
    <w:rsid w:val="18534811"/>
    <w:rsid w:val="187F6A47"/>
    <w:rsid w:val="18BF4252"/>
    <w:rsid w:val="18EA4D74"/>
    <w:rsid w:val="19151AC7"/>
    <w:rsid w:val="191A0E8B"/>
    <w:rsid w:val="19341F4D"/>
    <w:rsid w:val="1960491A"/>
    <w:rsid w:val="198804EA"/>
    <w:rsid w:val="19AF7825"/>
    <w:rsid w:val="19BD63E6"/>
    <w:rsid w:val="1A6745A4"/>
    <w:rsid w:val="1AAC1529"/>
    <w:rsid w:val="1AD35795"/>
    <w:rsid w:val="1ADA5B9D"/>
    <w:rsid w:val="1AE074D8"/>
    <w:rsid w:val="1AF714D3"/>
    <w:rsid w:val="1AFE5EBB"/>
    <w:rsid w:val="1B26582C"/>
    <w:rsid w:val="1B26791F"/>
    <w:rsid w:val="1B292C2F"/>
    <w:rsid w:val="1B4E1F28"/>
    <w:rsid w:val="1B676B66"/>
    <w:rsid w:val="1B883164"/>
    <w:rsid w:val="1B9965F0"/>
    <w:rsid w:val="1BC82E20"/>
    <w:rsid w:val="1BDE747D"/>
    <w:rsid w:val="1C1E66ED"/>
    <w:rsid w:val="1C220782"/>
    <w:rsid w:val="1CA13D9D"/>
    <w:rsid w:val="1CA71AB5"/>
    <w:rsid w:val="1CDA105D"/>
    <w:rsid w:val="1CEE4B08"/>
    <w:rsid w:val="1D585F1C"/>
    <w:rsid w:val="1D666D95"/>
    <w:rsid w:val="1D6D6980"/>
    <w:rsid w:val="1DC55869"/>
    <w:rsid w:val="1DD9352F"/>
    <w:rsid w:val="1DF7334D"/>
    <w:rsid w:val="1E2345F3"/>
    <w:rsid w:val="1E7A47C6"/>
    <w:rsid w:val="1ECC70CB"/>
    <w:rsid w:val="1ED61CF8"/>
    <w:rsid w:val="1EE41AB5"/>
    <w:rsid w:val="1F170346"/>
    <w:rsid w:val="1F4E2F8A"/>
    <w:rsid w:val="1F680BA2"/>
    <w:rsid w:val="1F7F5EEC"/>
    <w:rsid w:val="1F8352F3"/>
    <w:rsid w:val="1F9F7D81"/>
    <w:rsid w:val="1FA140B4"/>
    <w:rsid w:val="1FF1502E"/>
    <w:rsid w:val="207277FE"/>
    <w:rsid w:val="20783067"/>
    <w:rsid w:val="208C5CA9"/>
    <w:rsid w:val="21D21C0E"/>
    <w:rsid w:val="21DD4283"/>
    <w:rsid w:val="21F030D1"/>
    <w:rsid w:val="22026941"/>
    <w:rsid w:val="229E11D6"/>
    <w:rsid w:val="22E21CC0"/>
    <w:rsid w:val="22E77655"/>
    <w:rsid w:val="230010F2"/>
    <w:rsid w:val="233A2855"/>
    <w:rsid w:val="233D40F4"/>
    <w:rsid w:val="23503E27"/>
    <w:rsid w:val="23C5513D"/>
    <w:rsid w:val="23E9602A"/>
    <w:rsid w:val="246833F2"/>
    <w:rsid w:val="24A3267C"/>
    <w:rsid w:val="24A41ADD"/>
    <w:rsid w:val="24B30B11"/>
    <w:rsid w:val="251B5988"/>
    <w:rsid w:val="25305CCE"/>
    <w:rsid w:val="255D6CCF"/>
    <w:rsid w:val="25A5790B"/>
    <w:rsid w:val="25AE79C3"/>
    <w:rsid w:val="25C654BE"/>
    <w:rsid w:val="25C91C6F"/>
    <w:rsid w:val="25D64FB3"/>
    <w:rsid w:val="25E20417"/>
    <w:rsid w:val="2694227D"/>
    <w:rsid w:val="26A02FF9"/>
    <w:rsid w:val="26C455FF"/>
    <w:rsid w:val="270F068E"/>
    <w:rsid w:val="27667AF4"/>
    <w:rsid w:val="279B3ADF"/>
    <w:rsid w:val="27CC3C98"/>
    <w:rsid w:val="28101DD7"/>
    <w:rsid w:val="287C3577"/>
    <w:rsid w:val="289B3D96"/>
    <w:rsid w:val="28EB100C"/>
    <w:rsid w:val="29B16D3F"/>
    <w:rsid w:val="29E22E62"/>
    <w:rsid w:val="29E85AF2"/>
    <w:rsid w:val="2A0C65CE"/>
    <w:rsid w:val="2A1A5DA8"/>
    <w:rsid w:val="2A357BC5"/>
    <w:rsid w:val="2A3C3357"/>
    <w:rsid w:val="2A636B36"/>
    <w:rsid w:val="2A662182"/>
    <w:rsid w:val="2ADF3E69"/>
    <w:rsid w:val="2B08148B"/>
    <w:rsid w:val="2B2373C0"/>
    <w:rsid w:val="2C5030EA"/>
    <w:rsid w:val="2CBA67B5"/>
    <w:rsid w:val="2CDC4B85"/>
    <w:rsid w:val="2CFC5020"/>
    <w:rsid w:val="2D2C7600"/>
    <w:rsid w:val="2D3C015A"/>
    <w:rsid w:val="2D661312"/>
    <w:rsid w:val="2DCC49F2"/>
    <w:rsid w:val="2E67296D"/>
    <w:rsid w:val="2E6C1D31"/>
    <w:rsid w:val="2EB35DF8"/>
    <w:rsid w:val="2EB816B0"/>
    <w:rsid w:val="2EF81F93"/>
    <w:rsid w:val="2F0314AC"/>
    <w:rsid w:val="2F1523C9"/>
    <w:rsid w:val="2F2B399A"/>
    <w:rsid w:val="2F437097"/>
    <w:rsid w:val="2F4A3BF7"/>
    <w:rsid w:val="2F8725E4"/>
    <w:rsid w:val="30191A45"/>
    <w:rsid w:val="306233EC"/>
    <w:rsid w:val="307D1FD3"/>
    <w:rsid w:val="30A42644"/>
    <w:rsid w:val="30D53BBD"/>
    <w:rsid w:val="30FB1AB9"/>
    <w:rsid w:val="3195056B"/>
    <w:rsid w:val="319B4E07"/>
    <w:rsid w:val="31D77FDF"/>
    <w:rsid w:val="31EE72CC"/>
    <w:rsid w:val="31F91B2E"/>
    <w:rsid w:val="31FF393F"/>
    <w:rsid w:val="32586854"/>
    <w:rsid w:val="32676A97"/>
    <w:rsid w:val="32D94E29"/>
    <w:rsid w:val="331D239A"/>
    <w:rsid w:val="33267CC1"/>
    <w:rsid w:val="33340A5A"/>
    <w:rsid w:val="335E58C9"/>
    <w:rsid w:val="33753436"/>
    <w:rsid w:val="341113B0"/>
    <w:rsid w:val="348710B4"/>
    <w:rsid w:val="354E5765"/>
    <w:rsid w:val="357D65D2"/>
    <w:rsid w:val="3580709F"/>
    <w:rsid w:val="35D24B6F"/>
    <w:rsid w:val="35E35248"/>
    <w:rsid w:val="36036CEC"/>
    <w:rsid w:val="369342FF"/>
    <w:rsid w:val="36B97ADD"/>
    <w:rsid w:val="37B53531"/>
    <w:rsid w:val="37BA6AEA"/>
    <w:rsid w:val="37BA7E5F"/>
    <w:rsid w:val="38523D46"/>
    <w:rsid w:val="3894435E"/>
    <w:rsid w:val="38D34E86"/>
    <w:rsid w:val="39361BBE"/>
    <w:rsid w:val="3991644D"/>
    <w:rsid w:val="399779DF"/>
    <w:rsid w:val="399860D0"/>
    <w:rsid w:val="3A3C7218"/>
    <w:rsid w:val="3A851B83"/>
    <w:rsid w:val="3AEF14C0"/>
    <w:rsid w:val="3B0B7AFE"/>
    <w:rsid w:val="3B1D688D"/>
    <w:rsid w:val="3B200138"/>
    <w:rsid w:val="3B2A0FAA"/>
    <w:rsid w:val="3B2A7AAB"/>
    <w:rsid w:val="3B303CE3"/>
    <w:rsid w:val="3B816B07"/>
    <w:rsid w:val="3BCB0097"/>
    <w:rsid w:val="3BCF1292"/>
    <w:rsid w:val="3C1B3B1C"/>
    <w:rsid w:val="3C504869"/>
    <w:rsid w:val="3C7F0D27"/>
    <w:rsid w:val="3C8C2639"/>
    <w:rsid w:val="3D197D45"/>
    <w:rsid w:val="3D2739F3"/>
    <w:rsid w:val="3D5B18EE"/>
    <w:rsid w:val="3D744CBE"/>
    <w:rsid w:val="3D7D1865"/>
    <w:rsid w:val="3D8E5820"/>
    <w:rsid w:val="3DAD4101"/>
    <w:rsid w:val="3DEE2762"/>
    <w:rsid w:val="3EB27A3E"/>
    <w:rsid w:val="3EBE799B"/>
    <w:rsid w:val="3ED01E68"/>
    <w:rsid w:val="3F5B0925"/>
    <w:rsid w:val="3F9E18C7"/>
    <w:rsid w:val="402266F3"/>
    <w:rsid w:val="402D7572"/>
    <w:rsid w:val="407056B1"/>
    <w:rsid w:val="407764E6"/>
    <w:rsid w:val="409E7131"/>
    <w:rsid w:val="40AA41ED"/>
    <w:rsid w:val="412C0116"/>
    <w:rsid w:val="4179638D"/>
    <w:rsid w:val="419706EB"/>
    <w:rsid w:val="41CC2DBB"/>
    <w:rsid w:val="42642FF3"/>
    <w:rsid w:val="429945ED"/>
    <w:rsid w:val="431B65A2"/>
    <w:rsid w:val="4331530A"/>
    <w:rsid w:val="433B3BCF"/>
    <w:rsid w:val="433E3729"/>
    <w:rsid w:val="435A38B5"/>
    <w:rsid w:val="43A062AD"/>
    <w:rsid w:val="43E837B0"/>
    <w:rsid w:val="44292DE0"/>
    <w:rsid w:val="4447374E"/>
    <w:rsid w:val="4484160A"/>
    <w:rsid w:val="457C2A6A"/>
    <w:rsid w:val="45E81E5E"/>
    <w:rsid w:val="46123895"/>
    <w:rsid w:val="46551EF2"/>
    <w:rsid w:val="472D288D"/>
    <w:rsid w:val="4739780F"/>
    <w:rsid w:val="47665118"/>
    <w:rsid w:val="476B6BD2"/>
    <w:rsid w:val="476D294A"/>
    <w:rsid w:val="47881532"/>
    <w:rsid w:val="47E25BBD"/>
    <w:rsid w:val="47EA5D49"/>
    <w:rsid w:val="480A0199"/>
    <w:rsid w:val="481A20FA"/>
    <w:rsid w:val="482167BC"/>
    <w:rsid w:val="48577BE8"/>
    <w:rsid w:val="486B33D6"/>
    <w:rsid w:val="48981CEA"/>
    <w:rsid w:val="48DD58AD"/>
    <w:rsid w:val="48F66B4E"/>
    <w:rsid w:val="49375CF8"/>
    <w:rsid w:val="493B41A8"/>
    <w:rsid w:val="497401F0"/>
    <w:rsid w:val="49965658"/>
    <w:rsid w:val="49A34F5B"/>
    <w:rsid w:val="4A121587"/>
    <w:rsid w:val="4B112045"/>
    <w:rsid w:val="4B271062"/>
    <w:rsid w:val="4B425EE1"/>
    <w:rsid w:val="4B985976"/>
    <w:rsid w:val="4BA6764E"/>
    <w:rsid w:val="4BE56F53"/>
    <w:rsid w:val="4C267918"/>
    <w:rsid w:val="4D043409"/>
    <w:rsid w:val="4D4759EB"/>
    <w:rsid w:val="4D4F26CF"/>
    <w:rsid w:val="4D5C3245"/>
    <w:rsid w:val="4D73058E"/>
    <w:rsid w:val="4D7A191D"/>
    <w:rsid w:val="4DDF3E76"/>
    <w:rsid w:val="4DF55A74"/>
    <w:rsid w:val="4E1E04FA"/>
    <w:rsid w:val="4E7E7DE8"/>
    <w:rsid w:val="4EC16244"/>
    <w:rsid w:val="4ECA68D4"/>
    <w:rsid w:val="4ED75694"/>
    <w:rsid w:val="4EF13E61"/>
    <w:rsid w:val="4F9A0054"/>
    <w:rsid w:val="4F9F38BD"/>
    <w:rsid w:val="4FE46D14"/>
    <w:rsid w:val="50220CA8"/>
    <w:rsid w:val="505E2BAF"/>
    <w:rsid w:val="50D34296"/>
    <w:rsid w:val="50DA6E7D"/>
    <w:rsid w:val="50E377D9"/>
    <w:rsid w:val="50F01552"/>
    <w:rsid w:val="50F04E6E"/>
    <w:rsid w:val="51386A93"/>
    <w:rsid w:val="5175159C"/>
    <w:rsid w:val="51E63A25"/>
    <w:rsid w:val="5202710E"/>
    <w:rsid w:val="524B467A"/>
    <w:rsid w:val="525C33C1"/>
    <w:rsid w:val="528D5C4E"/>
    <w:rsid w:val="52DA76E5"/>
    <w:rsid w:val="533D58C6"/>
    <w:rsid w:val="53400280"/>
    <w:rsid w:val="53D60E9E"/>
    <w:rsid w:val="53E7302B"/>
    <w:rsid w:val="54696427"/>
    <w:rsid w:val="54971006"/>
    <w:rsid w:val="54BE017D"/>
    <w:rsid w:val="54E24FF1"/>
    <w:rsid w:val="55434CEA"/>
    <w:rsid w:val="55774994"/>
    <w:rsid w:val="55993AB9"/>
    <w:rsid w:val="55CE7B41"/>
    <w:rsid w:val="55CF657E"/>
    <w:rsid w:val="5635481C"/>
    <w:rsid w:val="56406512"/>
    <w:rsid w:val="568E1A29"/>
    <w:rsid w:val="56B953F1"/>
    <w:rsid w:val="56CB4679"/>
    <w:rsid w:val="57023A6D"/>
    <w:rsid w:val="573C015E"/>
    <w:rsid w:val="577473DD"/>
    <w:rsid w:val="57EA58F1"/>
    <w:rsid w:val="581110D0"/>
    <w:rsid w:val="5898359F"/>
    <w:rsid w:val="589E6E07"/>
    <w:rsid w:val="5922603F"/>
    <w:rsid w:val="594727C0"/>
    <w:rsid w:val="59502A4C"/>
    <w:rsid w:val="596602CF"/>
    <w:rsid w:val="59914A14"/>
    <w:rsid w:val="599813AE"/>
    <w:rsid w:val="59AC044A"/>
    <w:rsid w:val="5A2C21F1"/>
    <w:rsid w:val="5A947B41"/>
    <w:rsid w:val="5AA055B8"/>
    <w:rsid w:val="5AD953AA"/>
    <w:rsid w:val="5AFD18B5"/>
    <w:rsid w:val="5B060369"/>
    <w:rsid w:val="5B370E0E"/>
    <w:rsid w:val="5BAF4EA4"/>
    <w:rsid w:val="5BE34B31"/>
    <w:rsid w:val="5BEC499C"/>
    <w:rsid w:val="5BF16F7C"/>
    <w:rsid w:val="5C531CB7"/>
    <w:rsid w:val="5C732359"/>
    <w:rsid w:val="5C806824"/>
    <w:rsid w:val="5C961BA3"/>
    <w:rsid w:val="5CA00C74"/>
    <w:rsid w:val="5CD01AE3"/>
    <w:rsid w:val="5CE102A4"/>
    <w:rsid w:val="5D29786F"/>
    <w:rsid w:val="5D79399F"/>
    <w:rsid w:val="5D91177A"/>
    <w:rsid w:val="5DA6050C"/>
    <w:rsid w:val="5DB11C2A"/>
    <w:rsid w:val="5E076CE9"/>
    <w:rsid w:val="5E280F21"/>
    <w:rsid w:val="5E7E5CA8"/>
    <w:rsid w:val="5F117C07"/>
    <w:rsid w:val="5F2E07B9"/>
    <w:rsid w:val="5F335DCF"/>
    <w:rsid w:val="5FD650D9"/>
    <w:rsid w:val="5FE86BBA"/>
    <w:rsid w:val="5FF11F12"/>
    <w:rsid w:val="602045A6"/>
    <w:rsid w:val="60C2740B"/>
    <w:rsid w:val="60FF240D"/>
    <w:rsid w:val="60FF4571"/>
    <w:rsid w:val="6105554A"/>
    <w:rsid w:val="613F3EE8"/>
    <w:rsid w:val="61736957"/>
    <w:rsid w:val="61797832"/>
    <w:rsid w:val="6186668A"/>
    <w:rsid w:val="61D50508"/>
    <w:rsid w:val="61F87A92"/>
    <w:rsid w:val="61FD26E1"/>
    <w:rsid w:val="620E1C0A"/>
    <w:rsid w:val="62283E6C"/>
    <w:rsid w:val="6263077A"/>
    <w:rsid w:val="62EA0E9B"/>
    <w:rsid w:val="632223E3"/>
    <w:rsid w:val="635310D1"/>
    <w:rsid w:val="63807109"/>
    <w:rsid w:val="639D5F0D"/>
    <w:rsid w:val="63A252D2"/>
    <w:rsid w:val="63B67D02"/>
    <w:rsid w:val="641F4B74"/>
    <w:rsid w:val="642E1F01"/>
    <w:rsid w:val="648824F0"/>
    <w:rsid w:val="64B67287"/>
    <w:rsid w:val="64D23995"/>
    <w:rsid w:val="64E060B2"/>
    <w:rsid w:val="64F8789F"/>
    <w:rsid w:val="653A1C66"/>
    <w:rsid w:val="656A3353"/>
    <w:rsid w:val="656E7B61"/>
    <w:rsid w:val="65AC2438"/>
    <w:rsid w:val="65B02E4C"/>
    <w:rsid w:val="65C65C99"/>
    <w:rsid w:val="661204ED"/>
    <w:rsid w:val="66630BF1"/>
    <w:rsid w:val="668B01E9"/>
    <w:rsid w:val="66BA2932"/>
    <w:rsid w:val="66EA1964"/>
    <w:rsid w:val="67280C83"/>
    <w:rsid w:val="672D6009"/>
    <w:rsid w:val="67801DCE"/>
    <w:rsid w:val="67961A84"/>
    <w:rsid w:val="67B35CFF"/>
    <w:rsid w:val="67BE51F8"/>
    <w:rsid w:val="67C972D1"/>
    <w:rsid w:val="68507DB4"/>
    <w:rsid w:val="68662D72"/>
    <w:rsid w:val="68C13A6A"/>
    <w:rsid w:val="69360996"/>
    <w:rsid w:val="69AA3132"/>
    <w:rsid w:val="69D832A7"/>
    <w:rsid w:val="6A6D6639"/>
    <w:rsid w:val="6A6E3115"/>
    <w:rsid w:val="6AC302AE"/>
    <w:rsid w:val="6AC4182F"/>
    <w:rsid w:val="6AC975E8"/>
    <w:rsid w:val="6AF40B09"/>
    <w:rsid w:val="6B091437"/>
    <w:rsid w:val="6C8B724B"/>
    <w:rsid w:val="6C8C71EE"/>
    <w:rsid w:val="6D345ED7"/>
    <w:rsid w:val="6D417909"/>
    <w:rsid w:val="6DB70CFC"/>
    <w:rsid w:val="6DEF6F15"/>
    <w:rsid w:val="6DF17581"/>
    <w:rsid w:val="6E9B3C49"/>
    <w:rsid w:val="6EAE2931"/>
    <w:rsid w:val="6EF52F31"/>
    <w:rsid w:val="6F06331C"/>
    <w:rsid w:val="6F44464C"/>
    <w:rsid w:val="6F5F4556"/>
    <w:rsid w:val="6FE42D5A"/>
    <w:rsid w:val="6FF27839"/>
    <w:rsid w:val="705F4C76"/>
    <w:rsid w:val="70D016D0"/>
    <w:rsid w:val="710D04BD"/>
    <w:rsid w:val="7128150C"/>
    <w:rsid w:val="71355C7A"/>
    <w:rsid w:val="714300F4"/>
    <w:rsid w:val="71706EBF"/>
    <w:rsid w:val="71CE352C"/>
    <w:rsid w:val="71E611DA"/>
    <w:rsid w:val="71F14D09"/>
    <w:rsid w:val="72021D5D"/>
    <w:rsid w:val="721A74F6"/>
    <w:rsid w:val="722E3FCA"/>
    <w:rsid w:val="72734A09"/>
    <w:rsid w:val="727C3999"/>
    <w:rsid w:val="72D54D7C"/>
    <w:rsid w:val="72FA2A34"/>
    <w:rsid w:val="734A3690"/>
    <w:rsid w:val="73A67DB0"/>
    <w:rsid w:val="73C8704B"/>
    <w:rsid w:val="73DC038C"/>
    <w:rsid w:val="74546174"/>
    <w:rsid w:val="74644380"/>
    <w:rsid w:val="74730CF0"/>
    <w:rsid w:val="74A27C1A"/>
    <w:rsid w:val="74BB2697"/>
    <w:rsid w:val="74D177C5"/>
    <w:rsid w:val="74D77A6C"/>
    <w:rsid w:val="75703482"/>
    <w:rsid w:val="757A799C"/>
    <w:rsid w:val="75A26AA2"/>
    <w:rsid w:val="75D72C31"/>
    <w:rsid w:val="75EE61DE"/>
    <w:rsid w:val="76361FD5"/>
    <w:rsid w:val="76723CAB"/>
    <w:rsid w:val="76CA0970"/>
    <w:rsid w:val="772067E2"/>
    <w:rsid w:val="774231CD"/>
    <w:rsid w:val="776102B4"/>
    <w:rsid w:val="777002DC"/>
    <w:rsid w:val="77A46EF7"/>
    <w:rsid w:val="780E51EE"/>
    <w:rsid w:val="78124DD2"/>
    <w:rsid w:val="78526E6F"/>
    <w:rsid w:val="788A6608"/>
    <w:rsid w:val="78C76859"/>
    <w:rsid w:val="79444A09"/>
    <w:rsid w:val="79847DD6"/>
    <w:rsid w:val="798E2128"/>
    <w:rsid w:val="79DB6468"/>
    <w:rsid w:val="79DD59F5"/>
    <w:rsid w:val="79EF4991"/>
    <w:rsid w:val="79F53F55"/>
    <w:rsid w:val="7A2A05D2"/>
    <w:rsid w:val="7A460C55"/>
    <w:rsid w:val="7AA60E27"/>
    <w:rsid w:val="7AAC6D0A"/>
    <w:rsid w:val="7ACF3EA2"/>
    <w:rsid w:val="7AD4000F"/>
    <w:rsid w:val="7AF626EE"/>
    <w:rsid w:val="7AF727D7"/>
    <w:rsid w:val="7B1F24E6"/>
    <w:rsid w:val="7B3867F0"/>
    <w:rsid w:val="7BB85276"/>
    <w:rsid w:val="7BBC2D95"/>
    <w:rsid w:val="7BCF6135"/>
    <w:rsid w:val="7BF175AC"/>
    <w:rsid w:val="7BF32717"/>
    <w:rsid w:val="7C357F70"/>
    <w:rsid w:val="7C4314FC"/>
    <w:rsid w:val="7C4C76FF"/>
    <w:rsid w:val="7C556F2D"/>
    <w:rsid w:val="7CC06A9D"/>
    <w:rsid w:val="7CD10CAA"/>
    <w:rsid w:val="7D3023D8"/>
    <w:rsid w:val="7D6F3CF1"/>
    <w:rsid w:val="7DE616D3"/>
    <w:rsid w:val="7E0A100D"/>
    <w:rsid w:val="7EB4557F"/>
    <w:rsid w:val="7EE051D4"/>
    <w:rsid w:val="7F0317B4"/>
    <w:rsid w:val="7F0A2251"/>
    <w:rsid w:val="7F281070"/>
    <w:rsid w:val="7F9B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526"/>
      <w:outlineLvl w:val="0"/>
    </w:pPr>
    <w:rPr>
      <w:rFonts w:ascii="微软雅黑" w:hAnsi="微软雅黑" w:eastAsia="微软雅黑" w:cs="微软雅黑"/>
      <w:b/>
      <w:bCs/>
      <w:sz w:val="24"/>
      <w:szCs w:val="2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8"/>
    <w:semiHidden/>
    <w:unhideWhenUsed/>
    <w:qFormat/>
    <w:uiPriority w:val="0"/>
    <w:pPr>
      <w:spacing w:beforeAutospacing="1" w:afterAutospacing="1"/>
      <w:outlineLvl w:val="5"/>
    </w:pPr>
    <w:rPr>
      <w:rFonts w:hint="eastAsia" w:cs="Times New Roman"/>
      <w:b/>
      <w:bCs/>
      <w:sz w:val="15"/>
      <w:szCs w:val="15"/>
      <w:lang w:val="en-US"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spacing w:line="600" w:lineRule="exact"/>
      <w:jc w:val="center"/>
    </w:pPr>
    <w:rPr>
      <w:rFonts w:ascii="楷体_GB2312" w:hAnsi="Times New Roman" w:eastAsia="楷体_GB2312"/>
      <w:sz w:val="32"/>
      <w:szCs w:val="32"/>
    </w:rPr>
  </w:style>
  <w:style w:type="paragraph" w:styleId="8">
    <w:name w:val="Normal Indent"/>
    <w:basedOn w:val="1"/>
    <w:next w:val="9"/>
    <w:qFormat/>
    <w:uiPriority w:val="0"/>
    <w:pPr>
      <w:ind w:firstLine="420"/>
    </w:pPr>
    <w:rPr>
      <w:szCs w:val="20"/>
    </w:rPr>
  </w:style>
  <w:style w:type="paragraph" w:styleId="9">
    <w:name w:val="toc 4"/>
    <w:basedOn w:val="1"/>
    <w:next w:val="1"/>
    <w:qFormat/>
    <w:uiPriority w:val="0"/>
    <w:pPr>
      <w:widowControl/>
      <w:jc w:val="left"/>
    </w:pPr>
    <w:rPr>
      <w:rFonts w:hint="eastAsia" w:ascii="宋体" w:hAnsi="宋体"/>
      <w:b/>
      <w:color w:val="000000"/>
      <w:kern w:val="0"/>
      <w:sz w:val="24"/>
    </w:rPr>
  </w:style>
  <w:style w:type="paragraph" w:styleId="10">
    <w:name w:val="annotation text"/>
    <w:basedOn w:val="1"/>
    <w:qFormat/>
    <w:uiPriority w:val="0"/>
  </w:style>
  <w:style w:type="paragraph" w:styleId="11">
    <w:name w:val="Salutation"/>
    <w:basedOn w:val="1"/>
    <w:next w:val="1"/>
    <w:qFormat/>
    <w:uiPriority w:val="0"/>
    <w:rPr>
      <w:sz w:val="24"/>
      <w:szCs w:val="20"/>
    </w:rPr>
  </w:style>
  <w:style w:type="paragraph" w:styleId="12">
    <w:name w:val="Body Text"/>
    <w:basedOn w:val="1"/>
    <w:next w:val="1"/>
    <w:qFormat/>
    <w:uiPriority w:val="1"/>
    <w:pPr>
      <w:ind w:left="526"/>
    </w:pPr>
    <w:rPr>
      <w:sz w:val="24"/>
      <w:szCs w:val="24"/>
    </w:rPr>
  </w:style>
  <w:style w:type="paragraph" w:styleId="13">
    <w:name w:val="Body Text Indent"/>
    <w:basedOn w:val="1"/>
    <w:qFormat/>
    <w:uiPriority w:val="0"/>
    <w:pPr>
      <w:spacing w:after="120"/>
      <w:ind w:left="420" w:leftChars="200"/>
    </w:pPr>
  </w:style>
  <w:style w:type="paragraph" w:styleId="14">
    <w:name w:val="Plain Text"/>
    <w:basedOn w:val="1"/>
    <w:link w:val="45"/>
    <w:qFormat/>
    <w:uiPriority w:val="0"/>
    <w:rPr>
      <w:szCs w:val="21"/>
    </w:rPr>
  </w:style>
  <w:style w:type="paragraph" w:styleId="15">
    <w:name w:val="Body Text Indent 2"/>
    <w:basedOn w:val="1"/>
    <w:qFormat/>
    <w:uiPriority w:val="0"/>
    <w:pPr>
      <w:spacing w:line="560" w:lineRule="exact"/>
      <w:ind w:firstLine="560"/>
    </w:pPr>
    <w:rPr>
      <w:rFonts w:ascii="仿宋_GB2312" w:eastAsia="仿宋_GB2312"/>
      <w:color w:val="000000"/>
      <w:sz w:val="28"/>
    </w:rPr>
  </w:style>
  <w:style w:type="paragraph" w:styleId="16">
    <w:name w:val="Balloon Text"/>
    <w:basedOn w:val="1"/>
    <w:link w:val="39"/>
    <w:qFormat/>
    <w:uiPriority w:val="0"/>
    <w:rPr>
      <w:sz w:val="18"/>
      <w:szCs w:val="18"/>
    </w:rPr>
  </w:style>
  <w:style w:type="paragraph" w:styleId="17">
    <w:name w:val="footer"/>
    <w:basedOn w:val="1"/>
    <w:qFormat/>
    <w:uiPriority w:val="0"/>
    <w:pPr>
      <w:tabs>
        <w:tab w:val="center" w:pos="4153"/>
        <w:tab w:val="right" w:pos="8306"/>
      </w:tabs>
      <w:snapToGrid w:val="0"/>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1"/>
    <w:pPr>
      <w:spacing w:before="370"/>
      <w:ind w:left="1533"/>
    </w:pPr>
    <w:rPr>
      <w:rFonts w:ascii="微软雅黑" w:hAnsi="微软雅黑" w:eastAsia="微软雅黑" w:cs="微软雅黑"/>
      <w:b/>
      <w:bCs/>
      <w:sz w:val="28"/>
      <w:szCs w:val="28"/>
    </w:rPr>
  </w:style>
  <w:style w:type="paragraph" w:styleId="20">
    <w:name w:val="Body Text Indent 3"/>
    <w:basedOn w:val="1"/>
    <w:qFormat/>
    <w:uiPriority w:val="0"/>
    <w:pPr>
      <w:adjustRightInd w:val="0"/>
      <w:ind w:firstLine="570"/>
    </w:pPr>
    <w:rPr>
      <w:sz w:val="32"/>
      <w:szCs w:val="32"/>
    </w:rPr>
  </w:style>
  <w:style w:type="paragraph" w:styleId="21">
    <w:name w:val="toc 2"/>
    <w:basedOn w:val="1"/>
    <w:next w:val="1"/>
    <w:qFormat/>
    <w:uiPriority w:val="1"/>
    <w:pPr>
      <w:ind w:left="1623"/>
    </w:pPr>
    <w:rPr>
      <w:rFonts w:ascii="微软雅黑" w:hAnsi="微软雅黑" w:eastAsia="微软雅黑" w:cs="微软雅黑"/>
      <w:b/>
      <w:bCs/>
      <w:sz w:val="28"/>
      <w:szCs w:val="28"/>
    </w:rPr>
  </w:style>
  <w:style w:type="paragraph" w:styleId="22">
    <w:name w:val="Normal (Web)"/>
    <w:basedOn w:val="1"/>
    <w:next w:val="17"/>
    <w:unhideWhenUsed/>
    <w:qFormat/>
    <w:uiPriority w:val="99"/>
    <w:pPr>
      <w:spacing w:beforeAutospacing="1" w:afterAutospacing="1"/>
    </w:pPr>
    <w:rPr>
      <w:rFonts w:cs="Times New Roman"/>
      <w:sz w:val="24"/>
      <w:lang w:val="en-US" w:bidi="ar-SA"/>
    </w:rPr>
  </w:style>
  <w:style w:type="paragraph" w:styleId="23">
    <w:name w:val="Body Text First Indent"/>
    <w:basedOn w:val="12"/>
    <w:next w:val="1"/>
    <w:qFormat/>
    <w:uiPriority w:val="0"/>
    <w:pPr>
      <w:adjustRightInd w:val="0"/>
      <w:ind w:firstLine="420"/>
      <w:textAlignment w:val="baseline"/>
    </w:pPr>
  </w:style>
  <w:style w:type="paragraph" w:styleId="24">
    <w:name w:val="Body Text First Indent 2"/>
    <w:basedOn w:val="13"/>
    <w:qFormat/>
    <w:uiPriority w:val="99"/>
    <w:pPr>
      <w:ind w:firstLine="420" w:firstLineChars="200"/>
    </w:pPr>
    <w:rPr>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rFonts w:cs="Times New Roman"/>
      <w:b/>
      <w:bCs/>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link w:val="46"/>
    <w:qFormat/>
    <w:uiPriority w:val="34"/>
    <w:pPr>
      <w:spacing w:before="173"/>
      <w:ind w:left="526" w:firstLine="480"/>
    </w:pPr>
  </w:style>
  <w:style w:type="paragraph" w:customStyle="1" w:styleId="34">
    <w:name w:val="Table Paragraph"/>
    <w:basedOn w:val="1"/>
    <w:qFormat/>
    <w:uiPriority w:val="1"/>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xl48"/>
    <w:basedOn w:val="1"/>
    <w:qFormat/>
    <w:uiPriority w:val="0"/>
    <w:pPr>
      <w:widowControl/>
      <w:pBdr>
        <w:bottom w:val="single" w:color="auto" w:sz="4" w:space="0"/>
      </w:pBdr>
      <w:spacing w:before="100" w:beforeAutospacing="1" w:after="100" w:afterAutospacing="1"/>
      <w:jc w:val="center"/>
    </w:pPr>
    <w:rPr>
      <w:rFonts w:eastAsia="Arial Unicode MS"/>
      <w:sz w:val="24"/>
    </w:rPr>
  </w:style>
  <w:style w:type="paragraph" w:customStyle="1" w:styleId="38">
    <w:name w:val="Char1"/>
    <w:basedOn w:val="1"/>
    <w:qFormat/>
    <w:uiPriority w:val="0"/>
    <w:pPr>
      <w:tabs>
        <w:tab w:val="left" w:pos="360"/>
      </w:tabs>
    </w:pPr>
    <w:rPr>
      <w:sz w:val="24"/>
      <w:szCs w:val="24"/>
    </w:rPr>
  </w:style>
  <w:style w:type="character" w:customStyle="1" w:styleId="39">
    <w:name w:val="批注框文本 Char"/>
    <w:basedOn w:val="27"/>
    <w:link w:val="16"/>
    <w:qFormat/>
    <w:uiPriority w:val="0"/>
    <w:rPr>
      <w:rFonts w:ascii="宋体" w:hAnsi="宋体" w:cs="宋体"/>
      <w:sz w:val="18"/>
      <w:szCs w:val="18"/>
      <w:lang w:val="zh-CN" w:bidi="zh-CN"/>
    </w:rPr>
  </w:style>
  <w:style w:type="paragraph" w:customStyle="1" w:styleId="40">
    <w:name w:val="title1"/>
    <w:basedOn w:val="1"/>
    <w:qFormat/>
    <w:uiPriority w:val="0"/>
    <w:pPr>
      <w:spacing w:before="150"/>
    </w:pPr>
    <w:rPr>
      <w:rFonts w:cs="Times New Roman"/>
      <w:b/>
      <w:lang w:val="en-US"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title12"/>
    <w:basedOn w:val="1"/>
    <w:qFormat/>
    <w:uiPriority w:val="0"/>
    <w:pPr>
      <w:spacing w:before="150"/>
    </w:pPr>
    <w:rPr>
      <w:rFonts w:cs="Times New Roman"/>
      <w:b/>
      <w:lang w:val="en-US" w:bidi="ar-SA"/>
    </w:rPr>
  </w:style>
  <w:style w:type="paragraph" w:customStyle="1" w:styleId="43">
    <w:name w:val="标题 41"/>
    <w:basedOn w:val="1"/>
    <w:qFormat/>
    <w:uiPriority w:val="1"/>
    <w:pPr>
      <w:ind w:left="1745"/>
      <w:outlineLvl w:val="4"/>
    </w:pPr>
    <w:rPr>
      <w:sz w:val="26"/>
      <w:szCs w:val="26"/>
    </w:rPr>
  </w:style>
  <w:style w:type="paragraph" w:customStyle="1" w:styleId="4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5">
    <w:name w:val="纯文本 Char"/>
    <w:basedOn w:val="27"/>
    <w:link w:val="14"/>
    <w:qFormat/>
    <w:uiPriority w:val="0"/>
    <w:rPr>
      <w:rFonts w:ascii="宋体" w:hAnsi="宋体" w:cs="宋体"/>
      <w:sz w:val="22"/>
      <w:szCs w:val="21"/>
      <w:lang w:val="zh-CN" w:bidi="zh-CN"/>
    </w:rPr>
  </w:style>
  <w:style w:type="character" w:customStyle="1" w:styleId="46">
    <w:name w:val="列出段落 Char"/>
    <w:link w:val="33"/>
    <w:qFormat/>
    <w:uiPriority w:val="34"/>
    <w:rPr>
      <w:rFonts w:ascii="宋体" w:hAnsi="宋体" w:cs="宋体"/>
      <w:sz w:val="22"/>
      <w:szCs w:val="22"/>
      <w:lang w:val="zh-CN" w:bidi="zh-CN"/>
    </w:rPr>
  </w:style>
  <w:style w:type="paragraph" w:customStyle="1" w:styleId="47">
    <w:name w:val="列出段落1"/>
    <w:basedOn w:val="1"/>
    <w:qFormat/>
    <w:uiPriority w:val="34"/>
    <w:pPr>
      <w:ind w:firstLine="420" w:firstLineChars="200"/>
    </w:pPr>
    <w:rPr>
      <w:rFonts w:ascii="Calibri" w:hAnsi="Calibri"/>
      <w:kern w:val="2"/>
      <w:sz w:val="21"/>
    </w:rPr>
  </w:style>
  <w:style w:type="paragraph" w:customStyle="1" w:styleId="48">
    <w:name w:val="Heading 4"/>
    <w:basedOn w:val="1"/>
    <w:qFormat/>
    <w:uiPriority w:val="1"/>
    <w:pPr>
      <w:ind w:left="1745"/>
      <w:outlineLvl w:val="4"/>
    </w:pPr>
    <w:rPr>
      <w:sz w:val="26"/>
      <w:szCs w:val="26"/>
    </w:rPr>
  </w:style>
  <w:style w:type="paragraph" w:styleId="4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标题 42"/>
    <w:basedOn w:val="1"/>
    <w:qFormat/>
    <w:uiPriority w:val="1"/>
    <w:pPr>
      <w:ind w:left="1745"/>
      <w:outlineLvl w:val="4"/>
    </w:pPr>
    <w:rPr>
      <w:sz w:val="26"/>
      <w:szCs w:val="26"/>
    </w:rPr>
  </w:style>
  <w:style w:type="paragraph" w:customStyle="1" w:styleId="51">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2558E-4054-4793-BDCF-A040183D511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53</Pages>
  <Words>23762</Words>
  <Characters>24925</Characters>
  <Lines>230</Lines>
  <Paragraphs>64</Paragraphs>
  <TotalTime>125</TotalTime>
  <ScaleCrop>false</ScaleCrop>
  <LinksUpToDate>false</LinksUpToDate>
  <CharactersWithSpaces>27536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2022-10-19T10:32:00Z</dcterms:created>
  <dc:creator>User</dc:creator>
  <cp:lastModifiedBy>smile</cp:lastModifiedBy>
  <cp:lastPrinted>2021-03-13T02:28:00Z</cp:lastPrinted>
  <dcterms:modified xsi:type="dcterms:W3CDTF">2023-08-28T01:17:58Z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2019-10-13T00:00:00Z</vt:filetime>
  </property>
  <property fmtid="{D5CDD505-2E9C-101B-9397-08002B2CF9AE}" pid="5" name="KSOProductBuildVer">
    <vt:lpwstr>2052-12.1.0.15358</vt:lpwstr>
  </property>
  <property fmtid="{D5CDD505-2E9C-101B-9397-08002B2CF9AE}" pid="6" name="ICV">
    <vt:lpwstr>845EF92193654CCB8B144A08A53A0BDD_13</vt:lpwstr>
  </property>
</Properties>
</file>