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采购需求</w:t>
      </w:r>
    </w:p>
    <w:p>
      <w:pPr>
        <w:jc w:val="left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规划区域总面积14.00平方公里，其中咸旬高速以南为主要发展区域，用地9.25平方公里，包括公共服务核心、工业园区以及生活区；北部战略预留用地4.75平方公里。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YzBiYTYyZmYyMTEwMTFmNDFlMzBjMjMzODczYzcifQ=="/>
  </w:docVars>
  <w:rsids>
    <w:rsidRoot w:val="00000000"/>
    <w:rsid w:val="702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2023-01-17T02:16:30Z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7B153954F27640C5BDB3DC1613C936CD</vt:lpwstr>
  </property>
</Properties>
</file>