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widowControl/>
        <w:spacing w:before="0" w:after="0"/>
        <w:ind w:firstLine="0"/>
        <w:jc w:val="both"/>
        <w:rPr>
          <w:rFonts w:ascii="仿宋" w:hAnsi="仿宋" w:eastAsia="仿宋" w:cs="仿宋"/>
          <w:b/>
          <w:sz w:val="32"/>
          <w:szCs w:val="32"/>
          <w:highlight w:val="none"/>
        </w:rPr>
      </w:pPr>
      <w:bookmarkStart w:id="0" w:name="_Toc337620797"/>
      <w:bookmarkStart w:id="1" w:name="_Toc341993112"/>
      <w:bookmarkStart w:id="2" w:name="_Toc341992707"/>
      <w:bookmarkStart w:id="3" w:name="_Toc342252860"/>
      <w:bookmarkStart w:id="4" w:name="_Toc341993786"/>
      <w:bookmarkStart w:id="5" w:name="_Toc337622980"/>
      <w:bookmarkStart w:id="6" w:name="_Toc342241484"/>
      <w:bookmarkStart w:id="7" w:name="_Toc341988481"/>
      <w:bookmarkStart w:id="8" w:name="_Toc341991041"/>
      <w:bookmarkStart w:id="9" w:name="_Toc341992627"/>
      <w:r>
        <w:rPr>
          <w:rFonts w:hint="eastAsia" w:ascii="仿宋" w:hAnsi="仿宋" w:eastAsia="仿宋" w:cs="仿宋"/>
          <w:b/>
          <w:sz w:val="32"/>
          <w:szCs w:val="32"/>
          <w:highlight w:val="none"/>
        </w:rPr>
        <w:t>政府采购项目</w:t>
      </w:r>
    </w:p>
    <w:p>
      <w:pPr>
        <w:pStyle w:val="41"/>
        <w:widowControl/>
        <w:ind w:firstLine="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XHLJZC-WN2022-054-1</w:t>
      </w:r>
    </w:p>
    <w:p>
      <w:pPr>
        <w:pStyle w:val="41"/>
        <w:widowControl/>
        <w:ind w:left="1680" w:leftChars="0" w:firstLine="420" w:firstLineChars="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ZCSP-渭南市-2022-01184</w:t>
      </w:r>
    </w:p>
    <w:p>
      <w:pPr>
        <w:pStyle w:val="41"/>
        <w:widowControl/>
        <w:spacing w:before="0" w:after="0"/>
        <w:ind w:firstLine="0"/>
        <w:jc w:val="both"/>
        <w:rPr>
          <w:rFonts w:hint="eastAsia" w:ascii="仿宋" w:hAnsi="仿宋" w:eastAsia="仿宋" w:cs="仿宋"/>
          <w:b/>
          <w:sz w:val="21"/>
          <w:szCs w:val="21"/>
          <w:highlight w:val="none"/>
          <w:lang w:val="en-US" w:eastAsia="zh-CN"/>
        </w:rPr>
      </w:pPr>
    </w:p>
    <w:p>
      <w:pPr>
        <w:pStyle w:val="41"/>
        <w:widowControl/>
        <w:spacing w:before="0" w:after="0"/>
        <w:ind w:firstLine="0"/>
        <w:jc w:val="both"/>
        <w:rPr>
          <w:rFonts w:hint="eastAsia" w:ascii="仿宋" w:hAnsi="仿宋" w:eastAsia="仿宋" w:cs="仿宋"/>
          <w:b/>
          <w:sz w:val="21"/>
          <w:szCs w:val="21"/>
          <w:highlight w:val="none"/>
          <w:lang w:val="en-US" w:eastAsia="zh-CN"/>
        </w:rPr>
      </w:pPr>
    </w:p>
    <w:p>
      <w:pPr>
        <w:pStyle w:val="41"/>
        <w:widowControl/>
        <w:spacing w:before="0" w:after="0"/>
        <w:ind w:firstLine="0"/>
        <w:jc w:val="center"/>
        <w:rPr>
          <w:rFonts w:hint="eastAsia" w:ascii="仿宋" w:hAnsi="仿宋" w:eastAsia="仿宋" w:cs="仿宋"/>
          <w:b/>
          <w:sz w:val="44"/>
          <w:szCs w:val="44"/>
          <w:highlight w:val="none"/>
          <w:lang w:val="en-US" w:eastAsia="zh-CN"/>
        </w:rPr>
      </w:pPr>
    </w:p>
    <w:p>
      <w:pPr>
        <w:pStyle w:val="41"/>
        <w:keepNext w:val="0"/>
        <w:keepLines w:val="0"/>
        <w:pageBreakBefore w:val="0"/>
        <w:widowControl/>
        <w:kinsoku/>
        <w:wordWrap/>
        <w:overflowPunct/>
        <w:topLinePunct w:val="0"/>
        <w:autoSpaceDE/>
        <w:autoSpaceDN/>
        <w:bidi w:val="0"/>
        <w:adjustRightInd w:val="0"/>
        <w:snapToGrid w:val="0"/>
        <w:spacing w:before="0" w:after="0"/>
        <w:ind w:firstLine="0"/>
        <w:jc w:val="center"/>
        <w:textAlignment w:val="auto"/>
        <w:rPr>
          <w:rFonts w:hint="eastAsia" w:ascii="仿宋" w:hAnsi="仿宋" w:eastAsia="仿宋" w:cs="仿宋"/>
          <w:b/>
          <w:sz w:val="48"/>
          <w:szCs w:val="48"/>
          <w:highlight w:val="none"/>
          <w:lang w:val="en-US" w:eastAsia="zh-CN"/>
        </w:rPr>
      </w:pPr>
      <w:r>
        <w:rPr>
          <w:rFonts w:hint="eastAsia" w:ascii="仿宋" w:hAnsi="仿宋" w:eastAsia="仿宋" w:cs="仿宋"/>
          <w:b/>
          <w:sz w:val="48"/>
          <w:szCs w:val="48"/>
          <w:highlight w:val="none"/>
          <w:lang w:val="en-US" w:eastAsia="zh-CN"/>
        </w:rPr>
        <w:t>渭南市中心血站采血、供血设备采购项目</w:t>
      </w:r>
    </w:p>
    <w:p>
      <w:pPr>
        <w:pStyle w:val="41"/>
        <w:keepNext w:val="0"/>
        <w:keepLines w:val="0"/>
        <w:pageBreakBefore w:val="0"/>
        <w:widowControl/>
        <w:kinsoku/>
        <w:wordWrap/>
        <w:overflowPunct/>
        <w:topLinePunct w:val="0"/>
        <w:autoSpaceDE/>
        <w:autoSpaceDN/>
        <w:bidi w:val="0"/>
        <w:adjustRightInd w:val="0"/>
        <w:snapToGrid w:val="0"/>
        <w:spacing w:before="0" w:after="0"/>
        <w:ind w:firstLine="0"/>
        <w:jc w:val="center"/>
        <w:textAlignment w:val="auto"/>
        <w:rPr>
          <w:rFonts w:ascii="仿宋" w:hAnsi="仿宋" w:eastAsia="仿宋" w:cs="仿宋"/>
          <w:b/>
          <w:sz w:val="22"/>
          <w:szCs w:val="22"/>
          <w:highlight w:val="none"/>
        </w:rPr>
      </w:pPr>
      <w:r>
        <w:rPr>
          <w:rFonts w:hint="eastAsia" w:ascii="仿宋" w:hAnsi="仿宋" w:eastAsia="仿宋" w:cs="仿宋"/>
          <w:b/>
          <w:sz w:val="48"/>
          <w:szCs w:val="48"/>
          <w:highlight w:val="none"/>
          <w:lang w:val="en-US" w:eastAsia="zh-CN"/>
        </w:rPr>
        <w:t>（一包）</w:t>
      </w:r>
    </w:p>
    <w:p>
      <w:pPr>
        <w:pStyle w:val="41"/>
        <w:widowControl/>
        <w:spacing w:before="0" w:after="0"/>
        <w:ind w:firstLine="0"/>
        <w:jc w:val="center"/>
        <w:rPr>
          <w:rFonts w:ascii="仿宋" w:hAnsi="仿宋" w:eastAsia="仿宋" w:cs="仿宋"/>
          <w:b/>
          <w:sz w:val="24"/>
          <w:highlight w:val="none"/>
        </w:rPr>
      </w:pPr>
    </w:p>
    <w:p>
      <w:pPr>
        <w:pStyle w:val="41"/>
        <w:widowControl/>
        <w:spacing w:before="0" w:after="0"/>
        <w:ind w:firstLine="0"/>
        <w:jc w:val="center"/>
        <w:rPr>
          <w:rFonts w:ascii="仿宋" w:hAnsi="仿宋" w:eastAsia="仿宋" w:cs="仿宋"/>
          <w:b/>
          <w:sz w:val="24"/>
          <w:highlight w:val="none"/>
        </w:rPr>
      </w:pPr>
    </w:p>
    <w:p>
      <w:pPr>
        <w:pStyle w:val="41"/>
        <w:widowControl/>
        <w:ind w:firstLine="0"/>
        <w:jc w:val="both"/>
        <w:rPr>
          <w:rFonts w:hint="eastAsia" w:ascii="仿宋" w:hAnsi="仿宋" w:eastAsia="仿宋" w:cs="仿宋"/>
          <w:b/>
          <w:sz w:val="52"/>
          <w:szCs w:val="52"/>
          <w:highlight w:val="none"/>
        </w:rPr>
      </w:pPr>
    </w:p>
    <w:p>
      <w:pPr>
        <w:pStyle w:val="41"/>
        <w:widowControl/>
        <w:ind w:firstLine="0"/>
        <w:jc w:val="center"/>
        <w:rPr>
          <w:rFonts w:ascii="仿宋" w:hAnsi="仿宋" w:eastAsia="仿宋" w:cs="仿宋"/>
          <w:b/>
          <w:sz w:val="52"/>
          <w:szCs w:val="52"/>
          <w:highlight w:val="none"/>
        </w:rPr>
      </w:pPr>
      <w:r>
        <w:rPr>
          <w:rFonts w:hint="eastAsia" w:ascii="仿宋" w:hAnsi="仿宋" w:eastAsia="仿宋" w:cs="仿宋"/>
          <w:b/>
          <w:sz w:val="72"/>
          <w:szCs w:val="72"/>
          <w:highlight w:val="none"/>
        </w:rPr>
        <w:t>招 标 文 件</w:t>
      </w:r>
    </w:p>
    <w:p>
      <w:pPr>
        <w:pStyle w:val="41"/>
        <w:widowControl/>
        <w:spacing w:before="0" w:after="0"/>
        <w:ind w:firstLine="0"/>
        <w:jc w:val="center"/>
        <w:rPr>
          <w:rFonts w:ascii="仿宋" w:hAnsi="仿宋" w:eastAsia="仿宋" w:cs="仿宋"/>
          <w:szCs w:val="28"/>
          <w:highlight w:val="none"/>
        </w:rPr>
      </w:pPr>
    </w:p>
    <w:p>
      <w:pPr>
        <w:pStyle w:val="41"/>
        <w:widowControl/>
        <w:spacing w:before="0" w:after="0"/>
        <w:ind w:firstLine="0"/>
        <w:jc w:val="center"/>
        <w:rPr>
          <w:rFonts w:ascii="仿宋" w:hAnsi="仿宋" w:eastAsia="仿宋" w:cs="仿宋"/>
          <w:szCs w:val="28"/>
          <w:highlight w:val="none"/>
        </w:rPr>
      </w:pPr>
    </w:p>
    <w:p>
      <w:pPr>
        <w:spacing w:line="360" w:lineRule="auto"/>
        <w:rPr>
          <w:rFonts w:ascii="仿宋" w:hAnsi="仿宋" w:eastAsia="仿宋" w:cs="仿宋"/>
          <w:b/>
          <w:bCs/>
          <w:sz w:val="36"/>
          <w:szCs w:val="36"/>
          <w:highlight w:val="none"/>
        </w:rPr>
      </w:pPr>
      <w:bookmarkStart w:id="10" w:name="_Toc16938516"/>
      <w:bookmarkStart w:id="11" w:name="_Toc513029200"/>
      <w:bookmarkStart w:id="12" w:name="_Toc20823272"/>
      <w:bookmarkStart w:id="13" w:name="_Toc421604318"/>
      <w:bookmarkStart w:id="14" w:name="_Toc479757206"/>
      <w:bookmarkStart w:id="15" w:name="_Toc120614210"/>
      <w:bookmarkStart w:id="16" w:name="_Toc403987193"/>
      <w:bookmarkStart w:id="17" w:name="_Toc403986986"/>
      <w:bookmarkStart w:id="18" w:name="_Toc523127445"/>
    </w:p>
    <w:p>
      <w:pPr>
        <w:rPr>
          <w:highlight w:val="none"/>
        </w:rPr>
      </w:pPr>
    </w:p>
    <w:p>
      <w:pPr>
        <w:pStyle w:val="11"/>
        <w:rPr>
          <w:highlight w:val="none"/>
        </w:rPr>
      </w:pPr>
    </w:p>
    <w:p>
      <w:pPr>
        <w:rPr>
          <w:highlight w:val="none"/>
        </w:rPr>
      </w:pPr>
    </w:p>
    <w:p>
      <w:pPr>
        <w:pStyle w:val="11"/>
        <w:rPr>
          <w:highlight w:val="none"/>
        </w:rPr>
      </w:pPr>
    </w:p>
    <w:p>
      <w:pPr>
        <w:rPr>
          <w:rFonts w:hint="eastAsia"/>
          <w:highlight w:val="none"/>
        </w:rPr>
      </w:pPr>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西安欣华联建工程咨询有限公司</w:t>
      </w:r>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二〇二二年</w:t>
      </w:r>
      <w:r>
        <w:rPr>
          <w:rFonts w:hint="eastAsia" w:ascii="仿宋" w:hAnsi="仿宋" w:eastAsia="仿宋" w:cs="仿宋"/>
          <w:b/>
          <w:bCs/>
          <w:sz w:val="36"/>
          <w:szCs w:val="36"/>
          <w:highlight w:val="none"/>
          <w:lang w:eastAsia="zh-CN"/>
        </w:rPr>
        <w:t>九</w:t>
      </w:r>
      <w:r>
        <w:rPr>
          <w:rFonts w:hint="eastAsia" w:ascii="仿宋" w:hAnsi="仿宋" w:eastAsia="仿宋" w:cs="仿宋"/>
          <w:b/>
          <w:bCs/>
          <w:sz w:val="36"/>
          <w:szCs w:val="36"/>
          <w:highlight w:val="none"/>
        </w:rPr>
        <w:t>月</w:t>
      </w:r>
    </w:p>
    <w:p>
      <w:pPr>
        <w:adjustRightInd w:val="0"/>
        <w:spacing w:line="560" w:lineRule="exact"/>
        <w:jc w:val="center"/>
        <w:rPr>
          <w:rFonts w:hint="eastAsia" w:ascii="仿宋" w:hAnsi="仿宋" w:eastAsia="仿宋" w:cs="仿宋"/>
          <w:b/>
          <w:kern w:val="0"/>
          <w:sz w:val="48"/>
          <w:szCs w:val="48"/>
          <w:highlight w:val="none"/>
        </w:rPr>
        <w:sectPr>
          <w:headerReference r:id="rId3" w:type="default"/>
          <w:footerReference r:id="rId4" w:type="default"/>
          <w:pgSz w:w="11906" w:h="16838"/>
          <w:pgMar w:top="1440" w:right="1083" w:bottom="1440" w:left="1083" w:header="851" w:footer="964" w:gutter="0"/>
          <w:pgNumType w:fmt="decimal" w:start="1"/>
          <w:cols w:space="720" w:num="1"/>
          <w:docGrid w:type="lines" w:linePitch="312" w:charSpace="0"/>
        </w:sectPr>
      </w:pPr>
      <w:bookmarkStart w:id="19" w:name="_Toc12930"/>
      <w:bookmarkStart w:id="20" w:name="_Toc6491"/>
      <w:bookmarkStart w:id="21" w:name="_Toc21662"/>
      <w:bookmarkStart w:id="22" w:name="_Toc5650"/>
      <w:bookmarkStart w:id="23" w:name="_Toc91"/>
      <w:bookmarkStart w:id="24" w:name="_Toc2557"/>
      <w:bookmarkStart w:id="25" w:name="_Toc1877"/>
      <w:bookmarkStart w:id="26" w:name="_Toc24553"/>
    </w:p>
    <w:p>
      <w:pPr>
        <w:adjustRightInd w:val="0"/>
        <w:spacing w:line="560" w:lineRule="exact"/>
        <w:jc w:val="center"/>
        <w:rPr>
          <w:rFonts w:ascii="仿宋" w:hAnsi="仿宋" w:eastAsia="仿宋" w:cs="仿宋"/>
          <w:b/>
          <w:kern w:val="0"/>
          <w:sz w:val="48"/>
          <w:szCs w:val="48"/>
          <w:highlight w:val="none"/>
        </w:rPr>
      </w:pPr>
      <w:r>
        <w:rPr>
          <w:rFonts w:hint="eastAsia" w:ascii="仿宋" w:hAnsi="仿宋" w:eastAsia="仿宋" w:cs="仿宋"/>
          <w:b/>
          <w:kern w:val="0"/>
          <w:sz w:val="48"/>
          <w:szCs w:val="48"/>
          <w:highlight w:val="none"/>
        </w:rPr>
        <w:t>目  录</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0"/>
    <w:bookmarkEnd w:id="1"/>
    <w:bookmarkEnd w:id="2"/>
    <w:bookmarkEnd w:id="3"/>
    <w:bookmarkEnd w:id="4"/>
    <w:bookmarkEnd w:id="5"/>
    <w:bookmarkEnd w:id="6"/>
    <w:bookmarkEnd w:id="7"/>
    <w:bookmarkEnd w:id="8"/>
    <w:bookmarkEnd w:id="9"/>
    <w:p>
      <w:pPr>
        <w:pStyle w:val="19"/>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TOC \o "1-3" \h \u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_Toc26783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第一章  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_Toc26783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9"/>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_Toc20854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第二章  供应商须知前附表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_Toc20854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9"/>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_Toc255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第三章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_Toc255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9"/>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_Toc20416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t>第四章  采购内容</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_Toc20416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9"/>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_Toc22613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第五章  合同范本</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_Toc22613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9"/>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_Toc31928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t>第六章  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_Toc31928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1"/>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_Toc2456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A 资格标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_Toc2456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_Toc6031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_Toc6031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_Toc10201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_Toc10201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1"/>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_Toc154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B 商务及技术标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_Toc28907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_Toc28907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_Toc10734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_Toc10734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58</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_Toc13294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部分  业绩证明文件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_Toc13294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_Toc15878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部分  投标方案说明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_Toc15878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_Toc4583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_Toc4583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_Toc16506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_Toc16506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4"/>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_Toc29709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lang w:eastAsia="zh-CN"/>
        </w:rPr>
        <w:t>附件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_Toc29709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1"/>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_Toc8608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val="en-US" w:eastAsia="zh-CN"/>
        </w:rPr>
        <w:t>C 电子文档</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_Toc8608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9"/>
        <w:tabs>
          <w:tab w:val="right" w:leader="dot" w:pos="9740"/>
        </w:tabs>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_Toc28016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2"/>
          <w:sz w:val="28"/>
          <w:szCs w:val="28"/>
          <w:highlight w:val="none"/>
        </w:rPr>
        <w:t>第七章  投标保证金退还申请表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_Toc28016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Cs/>
          <w:kern w:val="0"/>
          <w:szCs w:val="28"/>
          <w:highlight w:val="none"/>
        </w:rPr>
      </w:pPr>
      <w:r>
        <w:rPr>
          <w:rFonts w:hint="eastAsia" w:ascii="仿宋" w:hAnsi="仿宋" w:eastAsia="仿宋" w:cs="仿宋"/>
          <w:bCs/>
          <w:kern w:val="0"/>
          <w:szCs w:val="28"/>
          <w:highlight w:val="none"/>
        </w:rPr>
        <w:fldChar w:fldCharType="end"/>
      </w:r>
      <w:bookmarkStart w:id="27" w:name="_Toc14658"/>
      <w:bookmarkStart w:id="28" w:name="_Toc27530"/>
      <w:bookmarkStart w:id="29" w:name="_Toc1336_WPSOffice_Level1"/>
    </w:p>
    <w:p>
      <w:pPr>
        <w:pStyle w:val="17"/>
        <w:outlineLvl w:val="9"/>
        <w:rPr>
          <w:rFonts w:hint="eastAsia" w:ascii="仿宋" w:hAnsi="仿宋" w:eastAsia="仿宋" w:cs="仿宋"/>
          <w:bCs/>
          <w:kern w:val="0"/>
          <w:szCs w:val="28"/>
          <w:highlight w:val="none"/>
        </w:rPr>
      </w:pPr>
    </w:p>
    <w:p>
      <w:pPr>
        <w:adjustRightInd w:val="0"/>
        <w:spacing w:line="560" w:lineRule="exact"/>
        <w:jc w:val="center"/>
        <w:outlineLvl w:val="0"/>
        <w:rPr>
          <w:rFonts w:hint="eastAsia" w:ascii="仿宋" w:hAnsi="仿宋" w:eastAsia="仿宋" w:cs="仿宋"/>
          <w:b/>
          <w:sz w:val="44"/>
          <w:szCs w:val="44"/>
          <w:highlight w:val="none"/>
        </w:rPr>
        <w:sectPr>
          <w:footerReference r:id="rId5" w:type="default"/>
          <w:pgSz w:w="11906" w:h="16838"/>
          <w:pgMar w:top="1440" w:right="1083" w:bottom="1440" w:left="1083" w:header="851" w:footer="964" w:gutter="0"/>
          <w:pgNumType w:fmt="decimal" w:start="1"/>
          <w:cols w:space="720" w:num="1"/>
          <w:docGrid w:type="lines" w:linePitch="312" w:charSpace="0"/>
        </w:sectPr>
      </w:pPr>
    </w:p>
    <w:p>
      <w:pPr>
        <w:adjustRightInd w:val="0"/>
        <w:spacing w:line="560" w:lineRule="exact"/>
        <w:jc w:val="center"/>
        <w:outlineLvl w:val="0"/>
        <w:rPr>
          <w:rFonts w:ascii="仿宋" w:hAnsi="仿宋" w:eastAsia="仿宋" w:cs="仿宋"/>
          <w:b/>
          <w:sz w:val="44"/>
          <w:szCs w:val="44"/>
          <w:highlight w:val="none"/>
        </w:rPr>
      </w:pPr>
      <w:bookmarkStart w:id="30" w:name="_Toc26783"/>
      <w:r>
        <w:rPr>
          <w:rFonts w:hint="eastAsia" w:ascii="仿宋" w:hAnsi="仿宋" w:eastAsia="仿宋" w:cs="仿宋"/>
          <w:b/>
          <w:sz w:val="44"/>
          <w:szCs w:val="44"/>
          <w:highlight w:val="none"/>
        </w:rPr>
        <w:t>第一章  招标公告</w:t>
      </w:r>
      <w:bookmarkEnd w:id="27"/>
      <w:bookmarkEnd w:id="28"/>
      <w:bookmarkEnd w:id="29"/>
      <w:bookmarkEnd w:id="30"/>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kern w:val="0"/>
          <w:sz w:val="36"/>
          <w:szCs w:val="36"/>
          <w:highlight w:val="none"/>
          <w:lang w:val="en-US" w:eastAsia="zh-CN"/>
        </w:rPr>
      </w:pPr>
      <w:bookmarkStart w:id="31" w:name="_Toc11181"/>
      <w:bookmarkStart w:id="32" w:name="_Toc29842"/>
      <w:bookmarkStart w:id="33" w:name="_Toc9486"/>
      <w:bookmarkStart w:id="34" w:name="_Toc19097_WPSOffice_Level1"/>
      <w:r>
        <w:rPr>
          <w:rFonts w:hint="eastAsia" w:ascii="仿宋" w:hAnsi="仿宋" w:eastAsia="仿宋" w:cs="仿宋"/>
          <w:b/>
          <w:bCs/>
          <w:kern w:val="0"/>
          <w:sz w:val="36"/>
          <w:szCs w:val="36"/>
          <w:highlight w:val="none"/>
          <w:lang w:val="en-US" w:eastAsia="zh-CN"/>
        </w:rPr>
        <w:t>渭南市中心血站采血、供血设备采购项目</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招标公告</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sz w:val="28"/>
          <w:szCs w:val="28"/>
          <w:highlight w:val="none"/>
          <w:shd w:val="clear" w:color="auto" w:fill="FFFFFF"/>
          <w:lang w:val="en-US" w:eastAsia="zh-CN"/>
        </w:rPr>
      </w:pPr>
      <w:r>
        <w:rPr>
          <w:rFonts w:hint="eastAsia" w:ascii="仿宋" w:hAnsi="仿宋" w:eastAsia="仿宋" w:cs="仿宋"/>
          <w:b/>
          <w:bCs/>
          <w:sz w:val="28"/>
          <w:szCs w:val="28"/>
          <w:highlight w:val="none"/>
          <w:shd w:val="clear" w:color="auto" w:fill="FFFFFF"/>
          <w:lang w:val="en-US" w:eastAsia="zh-CN"/>
        </w:rPr>
        <w:t>项目概况</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lang w:val="en-US" w:eastAsia="zh-CN"/>
        </w:rPr>
        <w:t>采血、供血设备采购项目的</w:t>
      </w:r>
      <w:r>
        <w:rPr>
          <w:rFonts w:hint="eastAsia" w:ascii="仿宋" w:hAnsi="仿宋" w:eastAsia="仿宋" w:cs="仿宋"/>
          <w:b/>
          <w:bCs/>
          <w:sz w:val="28"/>
          <w:szCs w:val="28"/>
          <w:highlight w:val="none"/>
          <w:shd w:val="clear" w:color="auto" w:fill="FFFFFF"/>
        </w:rPr>
        <w:t>潜在投标人</w:t>
      </w:r>
      <w:r>
        <w:rPr>
          <w:rFonts w:hint="eastAsia" w:ascii="仿宋" w:hAnsi="仿宋" w:eastAsia="仿宋" w:cs="仿宋"/>
          <w:b/>
          <w:bCs/>
          <w:sz w:val="28"/>
          <w:szCs w:val="28"/>
          <w:highlight w:val="none"/>
          <w:shd w:val="clear" w:color="auto" w:fill="FFFFFF"/>
          <w:lang w:eastAsia="zh-CN"/>
        </w:rPr>
        <w:t>应</w:t>
      </w:r>
      <w:r>
        <w:rPr>
          <w:rFonts w:hint="eastAsia" w:ascii="仿宋" w:hAnsi="仿宋" w:eastAsia="仿宋" w:cs="仿宋"/>
          <w:b/>
          <w:bCs/>
          <w:sz w:val="28"/>
          <w:szCs w:val="28"/>
          <w:highlight w:val="none"/>
          <w:shd w:val="clear" w:color="auto" w:fill="FFFFFF"/>
        </w:rPr>
        <w:t>在</w:t>
      </w:r>
      <w:r>
        <w:rPr>
          <w:rFonts w:hint="eastAsia" w:ascii="仿宋" w:hAnsi="仿宋" w:eastAsia="仿宋" w:cs="仿宋"/>
          <w:b/>
          <w:bCs/>
          <w:sz w:val="28"/>
          <w:szCs w:val="28"/>
          <w:highlight w:val="none"/>
        </w:rPr>
        <w:t>西安市高新区科技二路71号竹园天寰国际14层1404室</w:t>
      </w:r>
      <w:r>
        <w:rPr>
          <w:rFonts w:hint="eastAsia" w:ascii="仿宋" w:hAnsi="仿宋" w:eastAsia="仿宋" w:cs="仿宋"/>
          <w:b/>
          <w:bCs/>
          <w:sz w:val="28"/>
          <w:szCs w:val="28"/>
          <w:highlight w:val="none"/>
          <w:shd w:val="clear" w:color="auto" w:fill="FFFFFF"/>
        </w:rPr>
        <w:t>获取招标文件，并于2022年</w:t>
      </w:r>
      <w:r>
        <w:rPr>
          <w:rFonts w:hint="eastAsia" w:ascii="仿宋" w:hAnsi="仿宋" w:eastAsia="仿宋" w:cs="仿宋"/>
          <w:b/>
          <w:bCs/>
          <w:sz w:val="28"/>
          <w:szCs w:val="28"/>
          <w:highlight w:val="none"/>
          <w:shd w:val="clear" w:color="auto" w:fill="FFFFFF"/>
          <w:lang w:val="en-US" w:eastAsia="zh-CN"/>
        </w:rPr>
        <w:t>10</w:t>
      </w:r>
      <w:r>
        <w:rPr>
          <w:rFonts w:hint="eastAsia" w:ascii="仿宋" w:hAnsi="仿宋" w:eastAsia="仿宋" w:cs="仿宋"/>
          <w:b/>
          <w:bCs/>
          <w:sz w:val="28"/>
          <w:szCs w:val="28"/>
          <w:highlight w:val="none"/>
          <w:shd w:val="clear" w:color="auto" w:fill="FFFFFF"/>
        </w:rPr>
        <w:t>月</w:t>
      </w:r>
      <w:r>
        <w:rPr>
          <w:rFonts w:hint="eastAsia" w:ascii="仿宋" w:hAnsi="仿宋" w:eastAsia="仿宋" w:cs="仿宋"/>
          <w:b/>
          <w:bCs/>
          <w:sz w:val="28"/>
          <w:szCs w:val="28"/>
          <w:highlight w:val="none"/>
          <w:shd w:val="clear" w:color="auto" w:fill="FFFFFF"/>
          <w:lang w:val="en-US" w:eastAsia="zh-CN"/>
        </w:rPr>
        <w:t>10</w:t>
      </w:r>
      <w:r>
        <w:rPr>
          <w:rFonts w:hint="eastAsia" w:ascii="仿宋" w:hAnsi="仿宋" w:eastAsia="仿宋" w:cs="仿宋"/>
          <w:b/>
          <w:bCs/>
          <w:sz w:val="28"/>
          <w:szCs w:val="28"/>
          <w:highlight w:val="none"/>
          <w:shd w:val="clear" w:color="auto" w:fill="FFFFFF"/>
        </w:rPr>
        <w:t>日</w:t>
      </w:r>
      <w:r>
        <w:rPr>
          <w:rFonts w:hint="eastAsia" w:ascii="仿宋" w:hAnsi="仿宋" w:eastAsia="仿宋" w:cs="仿宋"/>
          <w:b/>
          <w:bCs/>
          <w:sz w:val="28"/>
          <w:szCs w:val="28"/>
          <w:highlight w:val="none"/>
          <w:shd w:val="clear" w:color="auto" w:fill="FFFFFF"/>
          <w:lang w:val="en-US" w:eastAsia="zh-CN"/>
        </w:rPr>
        <w:t>14</w:t>
      </w:r>
      <w:r>
        <w:rPr>
          <w:rFonts w:hint="eastAsia" w:ascii="仿宋" w:hAnsi="仿宋" w:eastAsia="仿宋" w:cs="仿宋"/>
          <w:b/>
          <w:bCs/>
          <w:sz w:val="28"/>
          <w:szCs w:val="28"/>
          <w:highlight w:val="none"/>
          <w:shd w:val="clear" w:color="auto" w:fill="FFFFFF"/>
        </w:rPr>
        <w:t>时</w:t>
      </w:r>
      <w:r>
        <w:rPr>
          <w:rFonts w:hint="eastAsia" w:ascii="仿宋" w:hAnsi="仿宋" w:eastAsia="仿宋" w:cs="仿宋"/>
          <w:b/>
          <w:bCs/>
          <w:sz w:val="28"/>
          <w:szCs w:val="28"/>
          <w:highlight w:val="none"/>
          <w:shd w:val="clear" w:color="auto" w:fill="FFFFFF"/>
          <w:lang w:val="en-US" w:eastAsia="zh-CN"/>
        </w:rPr>
        <w:t>00</w:t>
      </w:r>
      <w:r>
        <w:rPr>
          <w:rFonts w:hint="eastAsia" w:ascii="仿宋" w:hAnsi="仿宋" w:eastAsia="仿宋" w:cs="仿宋"/>
          <w:b/>
          <w:bCs/>
          <w:sz w:val="28"/>
          <w:szCs w:val="28"/>
          <w:highlight w:val="none"/>
          <w:shd w:val="clear" w:color="auto" w:fill="FFFFFF"/>
        </w:rPr>
        <w:t>分（北京时间）前</w:t>
      </w:r>
      <w:r>
        <w:rPr>
          <w:rFonts w:hint="eastAsia" w:ascii="仿宋" w:hAnsi="仿宋" w:eastAsia="仿宋" w:cs="仿宋"/>
          <w:b/>
          <w:bCs/>
          <w:sz w:val="28"/>
          <w:szCs w:val="28"/>
          <w:highlight w:val="none"/>
          <w:shd w:val="clear" w:color="auto" w:fill="FFFFFF"/>
          <w:lang w:eastAsia="zh-CN"/>
        </w:rPr>
        <w:t>递交投标</w:t>
      </w:r>
      <w:r>
        <w:rPr>
          <w:rFonts w:hint="eastAsia" w:ascii="仿宋" w:hAnsi="仿宋" w:eastAsia="仿宋" w:cs="仿宋"/>
          <w:b/>
          <w:bCs/>
          <w:sz w:val="28"/>
          <w:szCs w:val="28"/>
          <w:highlight w:val="none"/>
          <w:shd w:val="clear" w:color="auto" w:fill="FFFFFF"/>
        </w:rPr>
        <w:t>文件。</w:t>
      </w:r>
    </w:p>
    <w:p>
      <w:pPr>
        <w:pStyle w:val="66"/>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一、项目基本情况：</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sz w:val="28"/>
          <w:szCs w:val="28"/>
          <w:highlight w:val="none"/>
          <w:shd w:val="clear" w:color="auto" w:fill="FFFFFF"/>
        </w:rPr>
        <w:t>项目编号：</w:t>
      </w:r>
      <w:r>
        <w:rPr>
          <w:rFonts w:hint="eastAsia" w:ascii="仿宋" w:hAnsi="仿宋" w:eastAsia="仿宋" w:cs="仿宋"/>
          <w:sz w:val="28"/>
          <w:szCs w:val="28"/>
          <w:highlight w:val="none"/>
          <w:shd w:val="clear" w:color="auto" w:fill="FFFFFF"/>
          <w:lang w:eastAsia="zh-CN"/>
        </w:rPr>
        <w:t>ZCSP-渭南市-2022-01184、</w:t>
      </w:r>
      <w:r>
        <w:rPr>
          <w:rFonts w:hint="eastAsia" w:ascii="仿宋" w:hAnsi="仿宋" w:eastAsia="仿宋" w:cs="仿宋"/>
          <w:kern w:val="0"/>
          <w:sz w:val="28"/>
          <w:szCs w:val="28"/>
          <w:highlight w:val="none"/>
          <w:lang w:eastAsia="zh-CN"/>
        </w:rPr>
        <w:t>XHLJZC-WN2022-054</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项目名称：</w:t>
      </w:r>
      <w:r>
        <w:rPr>
          <w:rFonts w:hint="eastAsia" w:ascii="仿宋" w:hAnsi="仿宋" w:eastAsia="仿宋" w:cs="仿宋"/>
          <w:sz w:val="28"/>
          <w:szCs w:val="28"/>
          <w:highlight w:val="none"/>
          <w:shd w:val="clear" w:color="auto" w:fill="FFFFFF"/>
          <w:lang w:val="en-US" w:eastAsia="zh-CN"/>
        </w:rPr>
        <w:t>采血、供血设备采购项目</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采购方式：公开招标</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预算金额：</w:t>
      </w:r>
      <w:r>
        <w:rPr>
          <w:rFonts w:hint="eastAsia" w:ascii="仿宋" w:hAnsi="仿宋" w:eastAsia="仿宋" w:cs="仿宋"/>
          <w:sz w:val="28"/>
          <w:szCs w:val="28"/>
          <w:highlight w:val="none"/>
          <w:shd w:val="clear" w:color="auto" w:fill="FFFFFF"/>
          <w:lang w:val="en-US" w:eastAsia="zh-CN"/>
        </w:rPr>
        <w:t>1860000.00元</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采购需求：</w:t>
      </w:r>
    </w:p>
    <w:tbl>
      <w:tblPr>
        <w:tblStyle w:val="27"/>
        <w:tblW w:w="498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9"/>
        <w:gridCol w:w="2953"/>
        <w:gridCol w:w="1854"/>
        <w:gridCol w:w="1495"/>
        <w:gridCol w:w="1200"/>
        <w:gridCol w:w="16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合同包号</w:t>
            </w:r>
          </w:p>
        </w:tc>
        <w:tc>
          <w:tcPr>
            <w:tcW w:w="1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合同包名称</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技术规格、参数及要求</w:t>
            </w:r>
          </w:p>
        </w:tc>
        <w:tc>
          <w:tcPr>
            <w:tcW w:w="7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预算金额（元）</w:t>
            </w:r>
          </w:p>
        </w:tc>
        <w:tc>
          <w:tcPr>
            <w:tcW w:w="6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是否接受联合体</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1</w:t>
            </w:r>
          </w:p>
        </w:tc>
        <w:tc>
          <w:tcPr>
            <w:tcW w:w="1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渭南市中心血站采血、供血设备采购项目（一包）</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详见采购文件</w:t>
            </w:r>
          </w:p>
        </w:tc>
        <w:tc>
          <w:tcPr>
            <w:tcW w:w="7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1600000.00</w:t>
            </w:r>
          </w:p>
        </w:tc>
        <w:tc>
          <w:tcPr>
            <w:tcW w:w="6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否</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合同签订后30日历日内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2</w:t>
            </w:r>
          </w:p>
        </w:tc>
        <w:tc>
          <w:tcPr>
            <w:tcW w:w="1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渭南市中心血站采血、供血设备采购项目（二包）</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详见采购文件</w:t>
            </w:r>
          </w:p>
        </w:tc>
        <w:tc>
          <w:tcPr>
            <w:tcW w:w="7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260000.00</w:t>
            </w:r>
          </w:p>
        </w:tc>
        <w:tc>
          <w:tcPr>
            <w:tcW w:w="6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否</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 w:hAnsi="仿宋" w:eastAsia="仿宋" w:cs="仿宋"/>
                <w:kern w:val="2"/>
                <w:sz w:val="24"/>
                <w:szCs w:val="24"/>
                <w:highlight w:val="none"/>
                <w:shd w:val="clear" w:color="auto" w:fill="FFFFFF"/>
                <w:lang w:val="en-US" w:eastAsia="zh-CN"/>
              </w:rPr>
            </w:pPr>
            <w:r>
              <w:rPr>
                <w:rFonts w:hint="eastAsia" w:ascii="仿宋" w:hAnsi="仿宋" w:eastAsia="仿宋" w:cs="仿宋"/>
                <w:kern w:val="2"/>
                <w:sz w:val="24"/>
                <w:szCs w:val="24"/>
                <w:highlight w:val="none"/>
                <w:shd w:val="clear" w:color="auto" w:fill="FFFFFF"/>
                <w:lang w:val="en-US" w:eastAsia="zh-CN"/>
              </w:rPr>
              <w:t>合同签订后30日历日内</w:t>
            </w:r>
          </w:p>
        </w:tc>
      </w:tr>
    </w:tbl>
    <w:p>
      <w:pPr>
        <w:pStyle w:val="6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二、申请人的资格要求</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1、满足《中华人民共和国政府采购法》第二十二条规定</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合同包1</w:t>
      </w:r>
      <w:r>
        <w:rPr>
          <w:rFonts w:hint="eastAsia" w:ascii="仿宋" w:hAnsi="仿宋" w:eastAsia="仿宋" w:cs="仿宋"/>
          <w:sz w:val="28"/>
          <w:szCs w:val="28"/>
          <w:highlight w:val="none"/>
          <w:shd w:val="clear" w:color="auto" w:fill="FFFFFF"/>
          <w:lang w:eastAsia="zh-CN"/>
        </w:rPr>
        <w:t>（渭南市中心血站采血、供血设备采购项目（一包））</w:t>
      </w:r>
      <w:r>
        <w:rPr>
          <w:rFonts w:hint="eastAsia" w:ascii="仿宋" w:hAnsi="仿宋" w:eastAsia="仿宋" w:cs="仿宋"/>
          <w:sz w:val="28"/>
          <w:szCs w:val="28"/>
          <w:highlight w:val="none"/>
          <w:shd w:val="clear" w:color="auto" w:fill="FFFFFF"/>
        </w:rPr>
        <w:t>落实政府采购政策需满足的资格要求如下</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（1）《财政部 发展改革委 生态环境部 市场监管总局关于调整优化节能产品、环境标志产品政府采购执行机制的通知》（财库〔2019〕9号）；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（2）《政府采购促进中小企业发展管理办法》（财库〔2020〕46号）；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（3）《财政部司法部关于政府采购支持监狱企业发展有关问题的通知》（财库〔2014〕68号）；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（4）《三部门联合发布关于促进残疾人就业政府采购政策的通知》（财库〔2017〕141号）；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（5）陕西省财政厅关于印发《陕西省中小企业政府采购信用融资办法》（陕财办采〔2018〕23号）；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（6）《关于运用政府采购政策支持乡村产业振兴的通知》（财库〔2021〕19号）；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（7）《财政部住房和城乡建设部关于政府采购支持绿色建材促进建筑品质提升试点工作的通知》（财库〔2020〕31号）；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（8）《陕西省财政厅关于进一步加强政府绿色采购有关问题的通知》（陕财办采〔2021〕29号）；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（9）《财政部关于在政府采购活动中落实平等对待内外资企业有关政策的通知》（财库〔2021〕35号）；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（10）其他需要落实的政府采购政策。</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合同包</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lang w:eastAsia="zh-CN"/>
        </w:rPr>
        <w:t>（渭南市中心血站采血、供血设备采购项目（二包））</w:t>
      </w:r>
      <w:r>
        <w:rPr>
          <w:rFonts w:hint="eastAsia" w:ascii="仿宋" w:hAnsi="仿宋" w:eastAsia="仿宋" w:cs="仿宋"/>
          <w:sz w:val="28"/>
          <w:szCs w:val="28"/>
          <w:highlight w:val="none"/>
          <w:shd w:val="clear" w:color="auto" w:fill="FFFFFF"/>
        </w:rPr>
        <w:t>落实政府采购政策需满足的资格要求如下</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（1）《财政部 发展改革委 生态环境部 市场监管总局关于调整优化节能产品、环境标志产品政府采购执行机制的通知》（财库〔2019〕9号）；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（2）《政府采购促进中小企业发展管理办法》（财库〔2020〕46号）；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（3）《财政部司法部关于政府采购支持监狱企业发展有关问题的通知》（财库〔2014〕68号）；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（4）《三部门联合发布关于促进残疾人就业政府采购政策的通知》（财库〔2017〕141号）；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（5）陕西省财政厅关于印发《陕西省中小企业政府采购信用融资办法》（陕财办采〔2018〕23号）；</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（6）《关于运用政府采购政策支持乡村产业振兴的通知》（财库〔2021〕19号）；</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（7）《财政部住房和城乡建设部关于政府采购支持绿色建材促进建筑品质提升试点工作的通知》（财库〔2020〕31号）；</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（8）《陕西省财政厅关于进一步加强政府绿色采购有关问题的通知》（陕财办采〔2021〕29号）；</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（9）《财政部关于在政府采购活动中落实平等对待内外资企业有关政策的通知》（财库〔2021〕35号）；</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（10）其他需要落实的政府采购政策。</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3、本项目的特定资格要求：</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合同包1</w:t>
      </w:r>
      <w:r>
        <w:rPr>
          <w:rFonts w:hint="eastAsia" w:ascii="仿宋" w:hAnsi="仿宋" w:eastAsia="仿宋" w:cs="仿宋"/>
          <w:sz w:val="28"/>
          <w:szCs w:val="28"/>
          <w:highlight w:val="none"/>
          <w:shd w:val="clear" w:color="auto" w:fill="FFFFFF"/>
          <w:lang w:eastAsia="zh-CN"/>
        </w:rPr>
        <w:t>（渭南市中心血站采血、供血设备采购项目（一包））特定</w:t>
      </w:r>
      <w:r>
        <w:rPr>
          <w:rFonts w:hint="eastAsia" w:ascii="仿宋" w:hAnsi="仿宋" w:eastAsia="仿宋" w:cs="仿宋"/>
          <w:sz w:val="28"/>
          <w:szCs w:val="28"/>
          <w:highlight w:val="none"/>
          <w:shd w:val="clear" w:color="auto" w:fill="FFFFFF"/>
        </w:rPr>
        <w:t>资格要求如下</w:t>
      </w:r>
      <w:r>
        <w:rPr>
          <w:rFonts w:hint="eastAsia" w:ascii="仿宋" w:hAnsi="仿宋" w:eastAsia="仿宋" w:cs="仿宋"/>
          <w:sz w:val="28"/>
          <w:szCs w:val="28"/>
          <w:highlight w:val="none"/>
          <w:shd w:val="clear" w:color="auto" w:fill="FFFFFF"/>
          <w:lang w:val="en-US" w:eastAsia="zh-CN"/>
        </w:rPr>
        <w:t>：</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6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（2）法定代表人授权委托书（附法定代表人身份证复印件）及被授权委托人身份证（法定代表人参加投标只须提供法定代表人身份证）；</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（3）提供202</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年度经审计的财务报告或开标前六个月内其基本账户银行出具的资信证明或财政部门认可的政府采购专业担保机构出具的担保函；</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（4）提供2021年</w:t>
      </w:r>
      <w:r>
        <w:rPr>
          <w:rFonts w:hint="eastAsia" w:ascii="仿宋" w:hAnsi="仿宋" w:eastAsia="仿宋" w:cs="仿宋"/>
          <w:sz w:val="28"/>
          <w:szCs w:val="28"/>
          <w:highlight w:val="none"/>
          <w:shd w:val="clear" w:color="auto" w:fill="FFFFFF"/>
          <w:lang w:val="en-US" w:eastAsia="zh-CN"/>
        </w:rPr>
        <w:t>12</w:t>
      </w:r>
      <w:r>
        <w:rPr>
          <w:rFonts w:hint="eastAsia" w:ascii="仿宋" w:hAnsi="仿宋" w:eastAsia="仿宋" w:cs="仿宋"/>
          <w:sz w:val="28"/>
          <w:szCs w:val="28"/>
          <w:highlight w:val="none"/>
          <w:shd w:val="clear" w:color="auto" w:fill="FFFFFF"/>
        </w:rPr>
        <w:t>月以来任意3个月</w:t>
      </w:r>
      <w:r>
        <w:rPr>
          <w:rFonts w:hint="eastAsia" w:ascii="仿宋" w:hAnsi="仿宋" w:eastAsia="仿宋" w:cs="仿宋"/>
          <w:sz w:val="28"/>
          <w:szCs w:val="28"/>
          <w:highlight w:val="none"/>
          <w:shd w:val="clear" w:color="auto" w:fill="FFFFFF"/>
          <w:lang w:eastAsia="zh-CN"/>
        </w:rPr>
        <w:t>依法缴纳税收和社会保险的相关证明材料；</w:t>
      </w:r>
      <w:r>
        <w:rPr>
          <w:rFonts w:hint="eastAsia" w:ascii="仿宋" w:hAnsi="仿宋" w:eastAsia="仿宋" w:cs="仿宋"/>
          <w:sz w:val="28"/>
          <w:szCs w:val="28"/>
          <w:highlight w:val="none"/>
          <w:shd w:val="clear" w:color="auto" w:fill="FFFFFF"/>
        </w:rPr>
        <w:t>注：依法免税或不需要缴纳社会保险的供应商提供相关部门出具的证明文件</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（5）提供具有履行合同所必需的设备和专业技术能力的承诺；</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（6）提供参加政府采购活动前3年内在经营活动中没有重大违法记录的书面声明；</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（7）</w:t>
      </w:r>
      <w:r>
        <w:rPr>
          <w:rFonts w:hint="eastAsia" w:ascii="仿宋" w:hAnsi="仿宋" w:eastAsia="仿宋" w:cs="仿宋"/>
          <w:sz w:val="28"/>
          <w:szCs w:val="28"/>
          <w:highlight w:val="none"/>
          <w:shd w:val="clear" w:color="auto" w:fill="FFFFFF"/>
          <w:lang w:eastAsia="zh-CN"/>
        </w:rPr>
        <w:t>投标</w:t>
      </w:r>
      <w:r>
        <w:rPr>
          <w:rFonts w:hint="eastAsia" w:ascii="仿宋" w:hAnsi="仿宋" w:eastAsia="仿宋" w:cs="仿宋"/>
          <w:sz w:val="28"/>
          <w:szCs w:val="28"/>
          <w:highlight w:val="none"/>
          <w:shd w:val="clear" w:color="auto" w:fill="FFFFFF"/>
        </w:rPr>
        <w:t>保证金交纳凭证</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lang w:val="en-US" w:eastAsia="zh-CN"/>
        </w:rPr>
        <w:t>（8）提供《中小企业声明函》；供应商为监狱企业的，应提供监狱企业相关资格证明材料；供应商为残疾人福利性单位的，应提供《残疾人福利性单位声明函》。</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合同包</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lang w:eastAsia="zh-CN"/>
        </w:rPr>
        <w:t>（渭南市中心血站采血、供血设备采购项目（二包））特定</w:t>
      </w:r>
      <w:r>
        <w:rPr>
          <w:rFonts w:hint="eastAsia" w:ascii="仿宋" w:hAnsi="仿宋" w:eastAsia="仿宋" w:cs="仿宋"/>
          <w:sz w:val="28"/>
          <w:szCs w:val="28"/>
          <w:highlight w:val="none"/>
          <w:shd w:val="clear" w:color="auto" w:fill="FFFFFF"/>
        </w:rPr>
        <w:t>资格要求如下</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（2）法定代表人授权委托书（附法定代表人身份证复印件）及被授权委托人身份证（法定代表人参加投标只须提供法定代表人身份证）；</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（3）提供202</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年度经审计的财务报告或开标前六个月内其基本账户银行出具的资信证明或财政部门认可的政府采购专业担保机构出具的担保函；</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（4）提供2021年</w:t>
      </w:r>
      <w:r>
        <w:rPr>
          <w:rFonts w:hint="eastAsia" w:ascii="仿宋" w:hAnsi="仿宋" w:eastAsia="仿宋" w:cs="仿宋"/>
          <w:sz w:val="28"/>
          <w:szCs w:val="28"/>
          <w:highlight w:val="none"/>
          <w:shd w:val="clear" w:color="auto" w:fill="FFFFFF"/>
          <w:lang w:val="en-US" w:eastAsia="zh-CN"/>
        </w:rPr>
        <w:t>12</w:t>
      </w:r>
      <w:r>
        <w:rPr>
          <w:rFonts w:hint="eastAsia" w:ascii="仿宋" w:hAnsi="仿宋" w:eastAsia="仿宋" w:cs="仿宋"/>
          <w:sz w:val="28"/>
          <w:szCs w:val="28"/>
          <w:highlight w:val="none"/>
          <w:shd w:val="clear" w:color="auto" w:fill="FFFFFF"/>
        </w:rPr>
        <w:t>月以来任意3个月</w:t>
      </w:r>
      <w:r>
        <w:rPr>
          <w:rFonts w:hint="eastAsia" w:ascii="仿宋" w:hAnsi="仿宋" w:eastAsia="仿宋" w:cs="仿宋"/>
          <w:sz w:val="28"/>
          <w:szCs w:val="28"/>
          <w:highlight w:val="none"/>
          <w:shd w:val="clear" w:color="auto" w:fill="FFFFFF"/>
          <w:lang w:eastAsia="zh-CN"/>
        </w:rPr>
        <w:t>依法缴纳税收和社会保险的相关证明材料；</w:t>
      </w:r>
      <w:r>
        <w:rPr>
          <w:rFonts w:hint="eastAsia" w:ascii="仿宋" w:hAnsi="仿宋" w:eastAsia="仿宋" w:cs="仿宋"/>
          <w:sz w:val="28"/>
          <w:szCs w:val="28"/>
          <w:highlight w:val="none"/>
          <w:shd w:val="clear" w:color="auto" w:fill="FFFFFF"/>
        </w:rPr>
        <w:t>注：依法免税或不需要缴纳社会保险的供应商提供相关部门出具的证明文件</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（5）提供具有履行合同所必需的设备和专业技术能力的承诺；</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（6）提供参加政府采购活动前3年内在经营活动中没有重大违法记录的书面声明；</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（7）</w:t>
      </w:r>
      <w:r>
        <w:rPr>
          <w:rFonts w:hint="eastAsia" w:ascii="仿宋" w:hAnsi="仿宋" w:eastAsia="仿宋" w:cs="仿宋"/>
          <w:sz w:val="28"/>
          <w:szCs w:val="28"/>
          <w:highlight w:val="none"/>
          <w:shd w:val="clear" w:color="auto" w:fill="FFFFFF"/>
          <w:lang w:eastAsia="zh-CN"/>
        </w:rPr>
        <w:t>投标</w:t>
      </w:r>
      <w:r>
        <w:rPr>
          <w:rFonts w:hint="eastAsia" w:ascii="仿宋" w:hAnsi="仿宋" w:eastAsia="仿宋" w:cs="仿宋"/>
          <w:sz w:val="28"/>
          <w:szCs w:val="28"/>
          <w:highlight w:val="none"/>
          <w:shd w:val="clear" w:color="auto" w:fill="FFFFFF"/>
        </w:rPr>
        <w:t>保证金交纳凭证</w:t>
      </w:r>
      <w:r>
        <w:rPr>
          <w:rFonts w:hint="eastAsia" w:ascii="仿宋" w:hAnsi="仿宋" w:eastAsia="仿宋" w:cs="仿宋"/>
          <w:sz w:val="28"/>
          <w:szCs w:val="28"/>
          <w:highlight w:val="none"/>
          <w:shd w:val="clear" w:color="auto" w:fill="FFFFFF"/>
          <w:lang w:eastAsia="zh-CN"/>
        </w:rPr>
        <w:t>；</w:t>
      </w:r>
    </w:p>
    <w:p>
      <w:pPr>
        <w:pStyle w:val="6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lang w:val="en-US" w:eastAsia="zh-CN"/>
        </w:rPr>
        <w:t>（8）所投产品为医疗器械的：投标人为代理商提供医疗器械经营备案证，并提供医疗器械注册证，投标人为生产厂家提供医疗器械生产许可证，并提供医疗器械注册证。</w:t>
      </w:r>
    </w:p>
    <w:p>
      <w:pPr>
        <w:pStyle w:val="66"/>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b/>
          <w:bCs/>
          <w:kern w:val="0"/>
          <w:sz w:val="28"/>
          <w:szCs w:val="28"/>
          <w:highlight w:val="none"/>
          <w:lang w:val="en-US" w:eastAsia="zh-CN"/>
        </w:rPr>
      </w:pPr>
      <w:r>
        <w:rPr>
          <w:rFonts w:hint="eastAsia" w:ascii="仿宋" w:hAnsi="仿宋" w:eastAsia="仿宋" w:cs="仿宋"/>
          <w:sz w:val="28"/>
          <w:szCs w:val="28"/>
          <w:highlight w:val="none"/>
          <w:shd w:val="clear" w:color="auto" w:fill="FFFFFF"/>
          <w:lang w:val="en-US" w:eastAsia="zh-CN"/>
        </w:rPr>
        <w:t>三</w:t>
      </w:r>
      <w:r>
        <w:rPr>
          <w:rFonts w:hint="eastAsia" w:ascii="仿宋" w:hAnsi="仿宋" w:eastAsia="仿宋" w:cs="仿宋"/>
          <w:b/>
          <w:bCs/>
          <w:kern w:val="0"/>
          <w:sz w:val="28"/>
          <w:szCs w:val="28"/>
          <w:highlight w:val="none"/>
          <w:lang w:val="en-US" w:eastAsia="zh-CN"/>
        </w:rPr>
        <w:t>、获取招标文件</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时间：2022年09月14日至2022年09月20日，每天上午09:00:00至11:30:00，下午14:00:00至17:00:00（北京时间,法定节假日除外）</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地点：西安市高新区科技二路71号竹园天寰国际14层1404室</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方式：现场获取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售价：300元</w:t>
      </w:r>
    </w:p>
    <w:p>
      <w:pPr>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2022年10月10日14时00分00秒（北京时间）</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地点：渭南市行政中心西配楼开标室</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default"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开标地点：渭南市行政中心西配楼开标室</w:t>
      </w:r>
    </w:p>
    <w:p>
      <w:pPr>
        <w:keepNext w:val="0"/>
        <w:keepLines w:val="0"/>
        <w:pageBreakBefore w:val="0"/>
        <w:widowControl w:val="0"/>
        <w:kinsoku/>
        <w:wordWrap/>
        <w:overflowPunct/>
        <w:topLinePunct w:val="0"/>
        <w:autoSpaceDE/>
        <w:autoSpaceDN/>
        <w:bidi w:val="0"/>
        <w:adjustRightInd/>
        <w:snapToGrid/>
        <w:spacing w:line="500" w:lineRule="exact"/>
        <w:ind w:left="0" w:right="0"/>
        <w:jc w:val="left"/>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kern w:val="2"/>
          <w:sz w:val="28"/>
          <w:szCs w:val="28"/>
          <w:highlight w:val="none"/>
          <w:shd w:val="clear" w:color="auto" w:fill="FFFFFF"/>
          <w:lang w:val="en-US" w:eastAsia="zh-CN"/>
        </w:rPr>
      </w:pPr>
      <w:r>
        <w:rPr>
          <w:rFonts w:hint="eastAsia" w:ascii="仿宋" w:hAnsi="仿宋" w:eastAsia="仿宋" w:cs="仿宋"/>
          <w:kern w:val="2"/>
          <w:sz w:val="28"/>
          <w:szCs w:val="28"/>
          <w:highlight w:val="none"/>
          <w:shd w:val="clear" w:color="auto" w:fill="FFFFFF"/>
          <w:lang w:val="en-US" w:eastAsia="zh-CN"/>
        </w:rPr>
        <w:t>自本公告发布之日起5个工作日。</w:t>
      </w:r>
    </w:p>
    <w:p>
      <w:pPr>
        <w:pStyle w:val="66"/>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Style w:val="34"/>
          <w:rFonts w:hint="default" w:ascii="仿宋" w:hAnsi="仿宋" w:eastAsia="仿宋" w:cs="仿宋"/>
          <w:b/>
          <w:bCs/>
          <w:color w:val="auto"/>
          <w:sz w:val="28"/>
          <w:szCs w:val="28"/>
          <w:highlight w:val="none"/>
          <w:shd w:val="clear" w:color="auto" w:fill="FFFFFF"/>
        </w:rPr>
      </w:pPr>
      <w:r>
        <w:rPr>
          <w:rFonts w:hint="eastAsia" w:ascii="仿宋" w:hAnsi="仿宋" w:eastAsia="仿宋" w:cs="仿宋"/>
          <w:b/>
          <w:bCs/>
          <w:kern w:val="0"/>
          <w:sz w:val="28"/>
          <w:szCs w:val="28"/>
          <w:highlight w:val="none"/>
        </w:rPr>
        <w:t>其他补充事宜</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1.项目概况：一包采购</w:t>
      </w:r>
      <w:r>
        <w:rPr>
          <w:rFonts w:hint="eastAsia" w:ascii="仿宋" w:hAnsi="仿宋" w:eastAsia="仿宋" w:cs="仿宋"/>
          <w:color w:val="000000"/>
          <w:sz w:val="28"/>
          <w:szCs w:val="28"/>
          <w:highlight w:val="none"/>
          <w:shd w:val="clear" w:color="auto" w:fill="FFFFFF"/>
          <w:lang w:eastAsia="zh-CN"/>
        </w:rPr>
        <w:t>智能化采血系统（含采血秤 单机）、智能化采血系统（包含采血秤 双机）；</w:t>
      </w:r>
      <w:r>
        <w:rPr>
          <w:rFonts w:hint="eastAsia" w:ascii="仿宋" w:hAnsi="仿宋" w:eastAsia="仿宋" w:cs="仿宋"/>
          <w:b w:val="0"/>
          <w:bCs w:val="0"/>
          <w:kern w:val="0"/>
          <w:sz w:val="28"/>
          <w:szCs w:val="28"/>
          <w:highlight w:val="none"/>
          <w:lang w:val="en-US" w:eastAsia="zh-CN"/>
        </w:rPr>
        <w:t>二包采购</w:t>
      </w:r>
      <w:r>
        <w:rPr>
          <w:rFonts w:hint="eastAsia" w:ascii="仿宋" w:hAnsi="仿宋" w:eastAsia="仿宋" w:cs="仿宋"/>
          <w:color w:val="000000"/>
          <w:sz w:val="28"/>
          <w:szCs w:val="28"/>
          <w:highlight w:val="none"/>
          <w:shd w:val="clear" w:color="auto" w:fill="FFFFFF"/>
          <w:lang w:eastAsia="zh-CN"/>
        </w:rPr>
        <w:t>智能体检一体机（带人脸识别）、血液冷藏箱、离心机。</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2.</w:t>
      </w:r>
      <w:r>
        <w:rPr>
          <w:rStyle w:val="30"/>
          <w:rFonts w:hint="eastAsia" w:ascii="仿宋" w:hAnsi="仿宋" w:eastAsia="仿宋" w:cs="仿宋"/>
          <w:b w:val="0"/>
          <w:bCs w:val="0"/>
          <w:color w:val="auto"/>
          <w:sz w:val="28"/>
          <w:szCs w:val="28"/>
          <w:highlight w:val="none"/>
          <w:shd w:val="clear" w:color="auto" w:fill="FFFFFF"/>
        </w:rPr>
        <w:t>本项目</w:t>
      </w:r>
      <w:r>
        <w:rPr>
          <w:rStyle w:val="30"/>
          <w:rFonts w:hint="eastAsia" w:ascii="仿宋" w:hAnsi="仿宋" w:eastAsia="仿宋" w:cs="仿宋"/>
          <w:b w:val="0"/>
          <w:bCs w:val="0"/>
          <w:color w:val="auto"/>
          <w:sz w:val="28"/>
          <w:szCs w:val="28"/>
          <w:highlight w:val="none"/>
          <w:shd w:val="clear" w:color="auto" w:fill="FFFFFF"/>
          <w:lang w:eastAsia="zh-CN"/>
        </w:rPr>
        <w:t>一包</w:t>
      </w:r>
      <w:r>
        <w:rPr>
          <w:rStyle w:val="30"/>
          <w:rFonts w:hint="eastAsia" w:ascii="仿宋" w:hAnsi="仿宋" w:eastAsia="仿宋" w:cs="仿宋"/>
          <w:b w:val="0"/>
          <w:bCs w:val="0"/>
          <w:color w:val="auto"/>
          <w:sz w:val="28"/>
          <w:szCs w:val="28"/>
          <w:highlight w:val="none"/>
          <w:shd w:val="clear" w:color="auto" w:fill="FFFFFF"/>
        </w:rPr>
        <w:t>属于专门面向中小企业采购，供应商应为中小</w:t>
      </w:r>
      <w:r>
        <w:rPr>
          <w:rStyle w:val="30"/>
          <w:rFonts w:hint="eastAsia" w:ascii="仿宋" w:hAnsi="仿宋" w:eastAsia="仿宋" w:cs="仿宋"/>
          <w:b w:val="0"/>
          <w:bCs w:val="0"/>
          <w:color w:val="auto"/>
          <w:sz w:val="28"/>
          <w:szCs w:val="28"/>
          <w:highlight w:val="none"/>
          <w:shd w:val="clear" w:color="auto" w:fill="FFFFFF"/>
          <w:lang w:eastAsia="zh-CN"/>
        </w:rPr>
        <w:t>微</w:t>
      </w:r>
      <w:r>
        <w:rPr>
          <w:rStyle w:val="30"/>
          <w:rFonts w:hint="eastAsia" w:ascii="仿宋" w:hAnsi="仿宋" w:eastAsia="仿宋" w:cs="仿宋"/>
          <w:b w:val="0"/>
          <w:bCs w:val="0"/>
          <w:color w:val="auto"/>
          <w:sz w:val="28"/>
          <w:szCs w:val="28"/>
          <w:highlight w:val="none"/>
          <w:shd w:val="clear" w:color="auto" w:fill="FFFFFF"/>
        </w:rPr>
        <w:t>企业、监狱企业、残疾人福利性企业</w:t>
      </w:r>
      <w:r>
        <w:rPr>
          <w:rStyle w:val="30"/>
          <w:rFonts w:hint="eastAsia" w:ascii="仿宋" w:hAnsi="仿宋" w:eastAsia="仿宋" w:cs="仿宋"/>
          <w:b w:val="0"/>
          <w:bCs w:val="0"/>
          <w:color w:val="auto"/>
          <w:sz w:val="28"/>
          <w:szCs w:val="28"/>
          <w:highlight w:val="none"/>
          <w:shd w:val="clear" w:color="auto" w:fill="FFFFFF"/>
          <w:lang w:eastAsia="zh-CN"/>
        </w:rPr>
        <w:t>；</w:t>
      </w:r>
      <w:r>
        <w:rPr>
          <w:rFonts w:hint="eastAsia" w:ascii="仿宋" w:hAnsi="仿宋" w:eastAsia="仿宋" w:cs="仿宋"/>
          <w:b w:val="0"/>
          <w:bCs w:val="0"/>
          <w:kern w:val="0"/>
          <w:sz w:val="28"/>
          <w:szCs w:val="28"/>
          <w:highlight w:val="none"/>
          <w:lang w:val="en-US" w:eastAsia="zh-CN"/>
        </w:rPr>
        <w:t>本项目二包属于非专门面向中小企业采购</w:t>
      </w:r>
      <w:r>
        <w:rPr>
          <w:rStyle w:val="30"/>
          <w:rFonts w:hint="eastAsia" w:ascii="仿宋" w:hAnsi="仿宋" w:eastAsia="仿宋" w:cs="仿宋"/>
          <w:b w:val="0"/>
          <w:bCs w:val="0"/>
          <w:color w:val="auto"/>
          <w:sz w:val="28"/>
          <w:szCs w:val="28"/>
          <w:highlight w:val="none"/>
          <w:shd w:val="clear" w:color="auto" w:fill="FFFFFF"/>
        </w:rPr>
        <w:t>。</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3.由于近期新型冠状病毒疫情，根据陕西省人民政府《关于加强新型冠状病毒感染的肺炎防控工作的通告》要求，本项目可以电子邮件形式发送采购文件，无需现场报名购买。</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4.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5.采购文件费用采用转账形式缴纳，通过企业基本户转入我单位指定账户，转账时请备注“054-1/2项目文件费用”。</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6.供应商填写并支付完成后，将报名登记表及文件购置费缴纳凭据扫描件发送至项目负责人邮箱（368380031@qq.com），并及时告知采购代理机构确认。待审核确认无误后通过邮箱向供应商发售采购文件，请及时查收。</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7.请供应商按照陕西省财政厅关于政府采购供应商注册登记有关事项的通知中的要求，通过陕西省政府采购网（http://www.ccgp-shaanxi.gov.cn/）注册登记加入陕西省政府采购供应商库。</w:t>
      </w:r>
    </w:p>
    <w:p>
      <w:pPr>
        <w:pStyle w:val="6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8.受疫情影响，各供应商尽量委托一名代表到场参与投标，到场人员需自备口罩等防护工具，做好个人防护。</w:t>
      </w:r>
    </w:p>
    <w:p>
      <w:pPr>
        <w:keepNext w:val="0"/>
        <w:keepLines w:val="0"/>
        <w:pageBreakBefore w:val="0"/>
        <w:widowControl/>
        <w:kinsoku/>
        <w:wordWrap/>
        <w:overflowPunct/>
        <w:topLinePunct w:val="0"/>
        <w:autoSpaceDE/>
        <w:autoSpaceDN/>
        <w:bidi w:val="0"/>
        <w:adjustRightInd/>
        <w:snapToGrid/>
        <w:spacing w:line="500" w:lineRule="exact"/>
        <w:ind w:left="0" w:right="0"/>
        <w:jc w:val="left"/>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default"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名称：渭南市中心血站</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地址：渭南市高新区万国西路5号</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default"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联系方式：0913-2115568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名称：西安欣华联建工程咨询有限公司</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地址：</w:t>
      </w:r>
      <w:r>
        <w:rPr>
          <w:rFonts w:hint="eastAsia" w:ascii="仿宋" w:hAnsi="仿宋" w:eastAsia="仿宋" w:cs="仿宋"/>
          <w:color w:val="auto"/>
          <w:kern w:val="0"/>
          <w:sz w:val="28"/>
          <w:szCs w:val="28"/>
          <w:highlight w:val="none"/>
          <w:shd w:val="clear" w:color="auto" w:fill="FFFFFF"/>
          <w:lang w:val="en-US" w:eastAsia="zh-CN"/>
        </w:rPr>
        <w:t>陕西省</w:t>
      </w:r>
      <w:r>
        <w:rPr>
          <w:rFonts w:hint="eastAsia" w:ascii="仿宋" w:hAnsi="仿宋" w:eastAsia="仿宋" w:cs="仿宋"/>
          <w:color w:val="auto"/>
          <w:kern w:val="0"/>
          <w:sz w:val="28"/>
          <w:szCs w:val="28"/>
          <w:highlight w:val="none"/>
          <w:lang w:val="en-US" w:eastAsia="zh-CN"/>
        </w:rPr>
        <w:t>西安市高新区科技二路71号竹园天寰国际14层1404室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right="0" w:rightChars="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联系方式：029-82521869、029-89183511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jc w:val="left"/>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项目联系人：采购代理机构毛嘉伟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bCs/>
          <w:color w:val="auto"/>
          <w:sz w:val="28"/>
          <w:szCs w:val="28"/>
          <w:highlight w:val="none"/>
        </w:rPr>
        <w:t>电话：029-82521869、029-89183511</w:t>
      </w:r>
    </w:p>
    <w:p>
      <w:pPr>
        <w:keepNext w:val="0"/>
        <w:keepLines w:val="0"/>
        <w:pageBreakBefore w:val="0"/>
        <w:widowControl w:val="0"/>
        <w:kinsoku/>
        <w:wordWrap/>
        <w:overflowPunct/>
        <w:topLinePunct w:val="0"/>
        <w:autoSpaceDE/>
        <w:autoSpaceDN/>
        <w:bidi w:val="0"/>
        <w:adjustRightInd/>
        <w:snapToGrid/>
        <w:spacing w:line="500" w:lineRule="exact"/>
        <w:ind w:firstLine="4200" w:firstLineChars="1500"/>
        <w:jc w:val="right"/>
        <w:textAlignment w:val="auto"/>
        <w:rPr>
          <w:rFonts w:hint="eastAsia" w:ascii="仿宋" w:hAnsi="仿宋" w:eastAsia="仿宋" w:cs="仿宋"/>
          <w:kern w:val="0"/>
          <w:sz w:val="28"/>
          <w:szCs w:val="28"/>
          <w:highlight w:val="none"/>
        </w:rPr>
      </w:pPr>
    </w:p>
    <w:p>
      <w:pPr>
        <w:pStyle w:val="11"/>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0" w:firstLineChars="1500"/>
        <w:jc w:val="righ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highlight w:val="none"/>
        </w:rPr>
      </w:pP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13</w:t>
      </w:r>
      <w:r>
        <w:rPr>
          <w:rFonts w:hint="eastAsia" w:ascii="仿宋" w:hAnsi="仿宋" w:eastAsia="仿宋" w:cs="仿宋"/>
          <w:kern w:val="0"/>
          <w:sz w:val="28"/>
          <w:szCs w:val="28"/>
          <w:highlight w:val="none"/>
        </w:rPr>
        <w:t>日</w:t>
      </w:r>
    </w:p>
    <w:p>
      <w:pPr>
        <w:spacing w:line="460" w:lineRule="exact"/>
        <w:jc w:val="center"/>
        <w:outlineLvl w:val="0"/>
        <w:rPr>
          <w:rFonts w:ascii="仿宋" w:hAnsi="仿宋" w:eastAsia="仿宋" w:cs="仿宋"/>
          <w:b/>
          <w:sz w:val="36"/>
          <w:szCs w:val="36"/>
          <w:highlight w:val="none"/>
        </w:rPr>
      </w:pPr>
      <w:r>
        <w:rPr>
          <w:rFonts w:hint="eastAsia"/>
          <w:highlight w:val="none"/>
        </w:rPr>
        <w:br w:type="page"/>
      </w:r>
      <w:bookmarkStart w:id="35" w:name="_Toc20854"/>
      <w:r>
        <w:rPr>
          <w:rFonts w:hint="eastAsia" w:ascii="仿宋" w:hAnsi="仿宋" w:eastAsia="仿宋" w:cs="仿宋"/>
          <w:b/>
          <w:sz w:val="44"/>
          <w:szCs w:val="44"/>
          <w:highlight w:val="none"/>
        </w:rPr>
        <w:t>第二章  供应商须知前附表</w:t>
      </w:r>
      <w:bookmarkEnd w:id="35"/>
    </w:p>
    <w:tbl>
      <w:tblPr>
        <w:tblStyle w:val="27"/>
        <w:tblpPr w:leftFromText="180" w:rightFromText="180" w:vertAnchor="text" w:horzAnchor="page" w:tblpX="1150" w:tblpY="293"/>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43"/>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outlineLvl w:val="0"/>
              <w:rPr>
                <w:rFonts w:ascii="仿宋" w:hAnsi="仿宋" w:eastAsia="仿宋" w:cs="仿宋"/>
                <w:b/>
                <w:sz w:val="28"/>
                <w:szCs w:val="28"/>
                <w:highlight w:val="none"/>
              </w:rPr>
            </w:pPr>
            <w:bookmarkStart w:id="36" w:name="_Toc8500"/>
            <w:bookmarkStart w:id="37" w:name="_Toc32540"/>
            <w:bookmarkStart w:id="38" w:name="_Toc12373"/>
            <w:bookmarkStart w:id="39" w:name="_Toc522"/>
            <w:bookmarkStart w:id="40" w:name="_Toc23937"/>
            <w:bookmarkStart w:id="41" w:name="_Toc26342"/>
            <w:bookmarkStart w:id="42" w:name="_Toc5034"/>
            <w:bookmarkStart w:id="43" w:name="_Toc8336"/>
            <w:bookmarkStart w:id="44" w:name="_Toc27322"/>
            <w:bookmarkStart w:id="45" w:name="_Toc9085"/>
            <w:bookmarkStart w:id="46" w:name="_Toc27701"/>
            <w:bookmarkStart w:id="47" w:name="_Toc22036"/>
            <w:bookmarkStart w:id="48" w:name="_Toc19143"/>
            <w:bookmarkStart w:id="49" w:name="_Toc2904"/>
            <w:bookmarkStart w:id="50" w:name="_Toc13794"/>
            <w:bookmarkStart w:id="51" w:name="_Toc20542"/>
            <w:bookmarkStart w:id="52" w:name="_Toc3791"/>
            <w:bookmarkStart w:id="53" w:name="_Toc26477"/>
            <w:r>
              <w:rPr>
                <w:rFonts w:hint="eastAsia" w:ascii="仿宋" w:hAnsi="仿宋" w:eastAsia="仿宋" w:cs="仿宋"/>
                <w:b/>
                <w:sz w:val="28"/>
                <w:szCs w:val="28"/>
                <w:highlight w:val="none"/>
              </w:rPr>
              <w:t>序号</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c>
        <w:tc>
          <w:tcPr>
            <w:tcW w:w="1943" w:type="dxa"/>
            <w:vAlign w:val="center"/>
          </w:tcPr>
          <w:p>
            <w:pPr>
              <w:keepNext/>
              <w:topLinePunct/>
              <w:spacing w:line="500" w:lineRule="exact"/>
              <w:jc w:val="center"/>
              <w:outlineLvl w:val="0"/>
              <w:rPr>
                <w:rFonts w:ascii="仿宋" w:hAnsi="仿宋" w:eastAsia="仿宋" w:cs="仿宋"/>
                <w:b/>
                <w:sz w:val="28"/>
                <w:szCs w:val="28"/>
                <w:highlight w:val="none"/>
              </w:rPr>
            </w:pPr>
            <w:bookmarkStart w:id="54" w:name="_Toc25078"/>
            <w:bookmarkStart w:id="55" w:name="_Toc13561"/>
            <w:bookmarkStart w:id="56" w:name="_Toc5824"/>
            <w:bookmarkStart w:id="57" w:name="_Toc18025"/>
            <w:bookmarkStart w:id="58" w:name="_Toc14244"/>
            <w:bookmarkStart w:id="59" w:name="_Toc3249"/>
            <w:bookmarkStart w:id="60" w:name="_Toc6845"/>
            <w:bookmarkStart w:id="61" w:name="_Toc10984"/>
            <w:bookmarkStart w:id="62" w:name="_Toc2766"/>
            <w:bookmarkStart w:id="63" w:name="_Toc30142"/>
            <w:bookmarkStart w:id="64" w:name="_Toc24616"/>
            <w:bookmarkStart w:id="65" w:name="_Toc20856"/>
            <w:bookmarkStart w:id="66" w:name="_Toc5108"/>
            <w:bookmarkStart w:id="67" w:name="_Toc7388"/>
            <w:bookmarkStart w:id="68" w:name="_Toc29271"/>
            <w:bookmarkStart w:id="69" w:name="_Toc20840"/>
            <w:bookmarkStart w:id="70" w:name="_Toc261"/>
            <w:bookmarkStart w:id="71" w:name="_Toc13235"/>
            <w:r>
              <w:rPr>
                <w:rFonts w:hint="eastAsia" w:ascii="仿宋" w:hAnsi="仿宋" w:eastAsia="仿宋" w:cs="仿宋"/>
                <w:b/>
                <w:sz w:val="28"/>
                <w:szCs w:val="28"/>
                <w:highlight w:val="none"/>
              </w:rPr>
              <w:t>内 容</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7154" w:type="dxa"/>
            <w:vAlign w:val="center"/>
          </w:tcPr>
          <w:p>
            <w:pPr>
              <w:keepNext/>
              <w:topLinePunct/>
              <w:spacing w:line="500" w:lineRule="exact"/>
              <w:jc w:val="center"/>
              <w:outlineLvl w:val="0"/>
              <w:rPr>
                <w:rFonts w:ascii="仿宋" w:hAnsi="仿宋" w:eastAsia="仿宋" w:cs="仿宋"/>
                <w:b/>
                <w:sz w:val="28"/>
                <w:szCs w:val="28"/>
                <w:highlight w:val="none"/>
              </w:rPr>
            </w:pPr>
            <w:bookmarkStart w:id="72" w:name="_Toc16593"/>
            <w:bookmarkStart w:id="73" w:name="_Toc1086"/>
            <w:bookmarkStart w:id="74" w:name="_Toc13116"/>
            <w:bookmarkStart w:id="75" w:name="_Toc1661"/>
            <w:bookmarkStart w:id="76" w:name="_Toc25472"/>
            <w:bookmarkStart w:id="77" w:name="_Toc22337"/>
            <w:bookmarkStart w:id="78" w:name="_Toc23604"/>
            <w:bookmarkStart w:id="79" w:name="_Toc7568"/>
            <w:bookmarkStart w:id="80" w:name="_Toc15070"/>
            <w:bookmarkStart w:id="81" w:name="_Toc23370"/>
            <w:bookmarkStart w:id="82" w:name="_Toc3685"/>
            <w:bookmarkStart w:id="83" w:name="_Toc566"/>
            <w:bookmarkStart w:id="84" w:name="_Toc29661"/>
            <w:bookmarkStart w:id="85" w:name="_Toc15793"/>
            <w:bookmarkStart w:id="86" w:name="_Toc32288"/>
            <w:bookmarkStart w:id="87" w:name="_Toc343"/>
            <w:bookmarkStart w:id="88" w:name="_Toc11892"/>
            <w:bookmarkStart w:id="89" w:name="_Toc18609"/>
            <w:r>
              <w:rPr>
                <w:rFonts w:hint="eastAsia" w:ascii="仿宋" w:hAnsi="仿宋" w:eastAsia="仿宋" w:cs="仿宋"/>
                <w:b/>
                <w:sz w:val="28"/>
                <w:szCs w:val="28"/>
                <w:highlight w:val="none"/>
              </w:rPr>
              <w:t>说明与要求</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7154" w:type="dxa"/>
            <w:vAlign w:val="center"/>
          </w:tcPr>
          <w:p>
            <w:pPr>
              <w:pStyle w:val="42"/>
              <w:keepNext/>
              <w:widowControl/>
              <w:topLinePunct/>
              <w:spacing w:before="0" w:line="500" w:lineRule="exact"/>
              <w:rPr>
                <w:rFonts w:hint="default" w:ascii="仿宋" w:hAnsi="仿宋" w:eastAsia="仿宋" w:cs="仿宋"/>
                <w:b w:val="0"/>
                <w:kern w:val="2"/>
                <w:sz w:val="28"/>
                <w:szCs w:val="28"/>
                <w:highlight w:val="none"/>
                <w:lang w:val="en-US" w:eastAsia="zh-CN"/>
              </w:rPr>
            </w:pPr>
            <w:r>
              <w:rPr>
                <w:rFonts w:hint="eastAsia" w:ascii="仿宋" w:hAnsi="仿宋" w:eastAsia="仿宋" w:cs="仿宋"/>
                <w:b w:val="0"/>
                <w:kern w:val="2"/>
                <w:sz w:val="28"/>
                <w:szCs w:val="28"/>
                <w:highlight w:val="none"/>
                <w:lang w:val="en-US" w:eastAsia="zh-CN"/>
              </w:rPr>
              <w:t>渭南市中心血站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943"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采</w:t>
            </w:r>
            <w:r>
              <w:rPr>
                <w:rFonts w:hint="eastAsia" w:ascii="仿宋" w:hAnsi="仿宋" w:eastAsia="仿宋" w:cs="仿宋"/>
                <w:kern w:val="0"/>
                <w:sz w:val="28"/>
                <w:szCs w:val="28"/>
                <w:highlight w:val="none"/>
              </w:rPr>
              <w:t>购代理机构</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 系 人</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邮   箱</w:t>
            </w:r>
          </w:p>
        </w:tc>
        <w:tc>
          <w:tcPr>
            <w:tcW w:w="7154" w:type="dxa"/>
            <w:vAlign w:val="center"/>
          </w:tcPr>
          <w:p>
            <w:pPr>
              <w:keepLines/>
              <w:wordWrap w:val="0"/>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毛嘉伟</w:t>
            </w:r>
          </w:p>
          <w:p>
            <w:pPr>
              <w:keepNext/>
              <w:topLinePunct/>
              <w:spacing w:line="5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029-82521869、029-89183511</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xinhualianjian1@163.com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7154" w:type="dxa"/>
            <w:vAlign w:val="center"/>
          </w:tcPr>
          <w:p>
            <w:pPr>
              <w:pStyle w:val="42"/>
              <w:keepNext/>
              <w:widowControl/>
              <w:topLinePunct/>
              <w:spacing w:before="0" w:line="500" w:lineRule="exact"/>
              <w:jc w:val="both"/>
              <w:rPr>
                <w:rFonts w:ascii="仿宋" w:hAnsi="仿宋" w:eastAsia="仿宋" w:cs="仿宋"/>
                <w:b w:val="0"/>
                <w:sz w:val="28"/>
                <w:szCs w:val="28"/>
                <w:highlight w:val="none"/>
              </w:rPr>
            </w:pPr>
            <w:r>
              <w:rPr>
                <w:rFonts w:hint="eastAsia" w:ascii="仿宋" w:hAnsi="仿宋" w:eastAsia="仿宋" w:cs="仿宋"/>
                <w:b w:val="0"/>
                <w:color w:val="auto"/>
                <w:sz w:val="28"/>
                <w:szCs w:val="28"/>
                <w:highlight w:val="none"/>
                <w:shd w:val="clear"/>
                <w:lang w:val="en-US" w:eastAsia="zh-CN"/>
              </w:rPr>
              <w:t>渭南市中心血站采血、供血设备采购项目（一包）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7154" w:type="dxa"/>
            <w:vAlign w:val="center"/>
          </w:tcPr>
          <w:p>
            <w:pPr>
              <w:keepLines/>
              <w:wordWrap w:val="0"/>
              <w:topLinePunct/>
              <w:spacing w:line="500" w:lineRule="exact"/>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eastAsia="zh-CN"/>
              </w:rPr>
              <w:t>ZCSP-渭南市-2022-01184、XHLJZC-WN2022-054-1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943" w:type="dxa"/>
            <w:vAlign w:val="center"/>
          </w:tcPr>
          <w:p>
            <w:pPr>
              <w:keepNext/>
              <w:topLinePunct/>
              <w:spacing w:line="50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采购内容</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zh-CN"/>
              </w:rPr>
              <w:t>和要求</w:t>
            </w:r>
          </w:p>
        </w:tc>
        <w:tc>
          <w:tcPr>
            <w:tcW w:w="7154" w:type="dxa"/>
            <w:vAlign w:val="center"/>
          </w:tcPr>
          <w:p>
            <w:pPr>
              <w:keepLines/>
              <w:wordWrap w:val="0"/>
              <w:topLinePunct/>
              <w:spacing w:line="500" w:lineRule="exact"/>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智能化采血系统（含采血秤 单机）、智能化采血系统（包含采血秤 双机）</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（具体内容详见第四章采购内容</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预算金额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资金性质</w:t>
            </w:r>
          </w:p>
        </w:tc>
        <w:tc>
          <w:tcPr>
            <w:tcW w:w="7154" w:type="dxa"/>
            <w:vAlign w:val="center"/>
          </w:tcPr>
          <w:p>
            <w:pPr>
              <w:keepLines/>
              <w:wordWrap w:val="0"/>
              <w:topLinePunct/>
              <w:spacing w:line="5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人民币壹佰陆拾万元整（¥</w:t>
            </w:r>
            <w:r>
              <w:rPr>
                <w:rFonts w:hint="eastAsia" w:ascii="仿宋" w:hAnsi="仿宋" w:eastAsia="仿宋" w:cs="仿宋"/>
                <w:sz w:val="28"/>
                <w:szCs w:val="28"/>
                <w:highlight w:val="none"/>
                <w:lang w:val="en-US" w:eastAsia="zh-CN"/>
              </w:rPr>
              <w:t>1600000.00</w:t>
            </w:r>
            <w:r>
              <w:rPr>
                <w:rFonts w:hint="eastAsia" w:ascii="仿宋" w:hAnsi="仿宋" w:eastAsia="仿宋" w:cs="仿宋"/>
                <w:sz w:val="28"/>
                <w:szCs w:val="28"/>
                <w:highlight w:val="none"/>
                <w:lang w:val="zh-CN"/>
              </w:rPr>
              <w:t>）</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1943" w:type="dxa"/>
            <w:vAlign w:val="center"/>
          </w:tcPr>
          <w:p>
            <w:pPr>
              <w:keepNext/>
              <w:keepLines/>
              <w:kinsoku w:val="0"/>
              <w:overflowPunct w:val="0"/>
              <w:topLinePunct/>
              <w:autoSpaceDE w:val="0"/>
              <w:autoSpaceDN w:val="0"/>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招标文件发售时间、地点</w:t>
            </w:r>
          </w:p>
        </w:tc>
        <w:tc>
          <w:tcPr>
            <w:tcW w:w="7154" w:type="dxa"/>
            <w:vAlign w:val="center"/>
          </w:tcPr>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时间：2022年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日至2022年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上午：9:00-11:30，下午：14:00-17:00（双休日及法定节假日除外）</w:t>
            </w:r>
          </w:p>
          <w:p>
            <w:pPr>
              <w:keepLines/>
              <w:wordWrap w:val="0"/>
              <w:topLinePunct/>
              <w:spacing w:line="5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val="en-US" w:eastAsia="zh-CN"/>
              </w:rPr>
              <w:t>西安市高新区科技二路71号竹园天寰国际14层1404室</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招标文件售价：每套</w:t>
            </w:r>
            <w:r>
              <w:rPr>
                <w:rFonts w:hint="eastAsia" w:ascii="仿宋" w:hAnsi="仿宋" w:eastAsia="仿宋" w:cs="仿宋"/>
                <w:sz w:val="28"/>
                <w:szCs w:val="28"/>
                <w:highlight w:val="none"/>
                <w:lang w:eastAsia="zh-CN"/>
              </w:rPr>
              <w:t>300</w:t>
            </w:r>
            <w:r>
              <w:rPr>
                <w:rFonts w:hint="eastAsia" w:ascii="仿宋" w:hAnsi="仿宋" w:eastAsia="仿宋" w:cs="仿宋"/>
                <w:sz w:val="28"/>
                <w:szCs w:val="28"/>
                <w:highlight w:val="none"/>
              </w:rPr>
              <w:t>.00元（人民币），售后不退。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1943"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7154" w:type="dxa"/>
            <w:vAlign w:val="center"/>
          </w:tcPr>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保证金：人民币</w:t>
            </w:r>
            <w:r>
              <w:rPr>
                <w:rFonts w:hint="eastAsia" w:ascii="仿宋" w:hAnsi="仿宋" w:eastAsia="仿宋" w:cs="仿宋"/>
                <w:sz w:val="28"/>
                <w:szCs w:val="28"/>
                <w:highlight w:val="none"/>
                <w:u w:val="none"/>
                <w:lang w:val="en-US" w:eastAsia="zh-CN"/>
              </w:rPr>
              <w:t>壹万伍仟元整</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15000.00</w:t>
            </w:r>
            <w:r>
              <w:rPr>
                <w:rFonts w:hint="eastAsia" w:ascii="仿宋" w:hAnsi="仿宋" w:eastAsia="仿宋" w:cs="仿宋"/>
                <w:sz w:val="28"/>
                <w:szCs w:val="28"/>
                <w:highlight w:val="none"/>
              </w:rPr>
              <w:t>）</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支付方式：转账、支票、本票、电汇或金融机构、担保机构出具的保函。</w:t>
            </w:r>
          </w:p>
          <w:p>
            <w:pPr>
              <w:keepLines/>
              <w:wordWrap w:val="0"/>
              <w:topLinePunct/>
              <w:spacing w:line="500" w:lineRule="exact"/>
              <w:rPr>
                <w:rFonts w:hint="default" w:ascii="仿宋" w:hAnsi="仿宋" w:eastAsia="仿宋" w:cs="仿宋"/>
                <w:sz w:val="28"/>
                <w:szCs w:val="28"/>
                <w:highlight w:val="none"/>
              </w:rPr>
            </w:pPr>
            <w:r>
              <w:rPr>
                <w:rFonts w:hint="eastAsia" w:ascii="仿宋" w:hAnsi="仿宋" w:eastAsia="仿宋" w:cs="仿宋"/>
                <w:sz w:val="28"/>
                <w:szCs w:val="28"/>
                <w:highlight w:val="none"/>
              </w:rPr>
              <w:t>请供应商严格按照招标文件规定的形式交纳保证金，本项目不接受其他形式的保证金。</w:t>
            </w:r>
            <w:r>
              <w:rPr>
                <w:rFonts w:hint="eastAsia" w:ascii="仿宋" w:hAnsi="仿宋" w:eastAsia="仿宋" w:cs="仿宋"/>
                <w:sz w:val="28"/>
                <w:szCs w:val="28"/>
                <w:highlight w:val="none"/>
                <w:lang w:val="zh-CN"/>
              </w:rPr>
              <w:t>以保函形式提交的必须是陕西省财政厅认定的具有开具保函资格的单位开具的保函。</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交纳时请注明</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保证金</w:t>
            </w:r>
            <w:r>
              <w:rPr>
                <w:rFonts w:hint="eastAsia" w:ascii="仿宋" w:hAnsi="仿宋" w:eastAsia="仿宋" w:cs="仿宋"/>
                <w:b/>
                <w:bCs/>
                <w:sz w:val="28"/>
                <w:szCs w:val="28"/>
                <w:highlight w:val="none"/>
                <w:lang w:eastAsia="zh-CN"/>
              </w:rPr>
              <w:t>”</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保证金开户名称：西安欣华联建工程咨询有限公司</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开户银行：西安银行软件园支行</w:t>
            </w:r>
          </w:p>
          <w:p>
            <w:pPr>
              <w:keepLines/>
              <w:wordWrap w:val="0"/>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账    号：9120 1158 0000 1913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1943"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投标文件递交截止时间及开标时间和地点</w:t>
            </w:r>
          </w:p>
        </w:tc>
        <w:tc>
          <w:tcPr>
            <w:tcW w:w="7154" w:type="dxa"/>
            <w:vAlign w:val="center"/>
          </w:tcPr>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文件递交时间：</w:t>
            </w:r>
            <w:r>
              <w:rPr>
                <w:rFonts w:hint="eastAsia" w:ascii="仿宋" w:hAnsi="仿宋" w:eastAsia="仿宋" w:cs="仿宋"/>
                <w:sz w:val="28"/>
                <w:szCs w:val="28"/>
                <w:highlight w:val="none"/>
              </w:rPr>
              <w:t>2022年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14:00</w:t>
            </w:r>
          </w:p>
          <w:p>
            <w:pPr>
              <w:keepLines/>
              <w:wordWrap w:val="0"/>
              <w:topLinePunct/>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文件递交截止时间：</w:t>
            </w:r>
            <w:r>
              <w:rPr>
                <w:rFonts w:hint="eastAsia" w:ascii="仿宋" w:hAnsi="仿宋" w:eastAsia="仿宋" w:cs="仿宋"/>
                <w:sz w:val="28"/>
                <w:szCs w:val="28"/>
                <w:highlight w:val="none"/>
              </w:rPr>
              <w:t>2022年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14:</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0</w:t>
            </w:r>
          </w:p>
          <w:p>
            <w:pPr>
              <w:keepLines/>
              <w:wordWrap w:val="0"/>
              <w:topLinePunct/>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rPr>
              <w:t>开标时间：</w:t>
            </w:r>
            <w:r>
              <w:rPr>
                <w:rFonts w:hint="eastAsia" w:ascii="仿宋" w:hAnsi="仿宋" w:eastAsia="仿宋" w:cs="仿宋"/>
                <w:sz w:val="28"/>
                <w:szCs w:val="28"/>
                <w:highlight w:val="none"/>
              </w:rPr>
              <w:t>2022年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14:</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0</w:t>
            </w:r>
          </w:p>
          <w:p>
            <w:pPr>
              <w:keepLines/>
              <w:wordWrap w:val="0"/>
              <w:topLinePunct/>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zh-TW"/>
              </w:rPr>
              <w:t>开标地点：</w:t>
            </w:r>
            <w:r>
              <w:rPr>
                <w:rFonts w:hint="eastAsia" w:ascii="仿宋" w:hAnsi="仿宋" w:eastAsia="仿宋" w:cs="仿宋"/>
                <w:sz w:val="28"/>
                <w:szCs w:val="28"/>
                <w:highlight w:val="none"/>
                <w:lang w:val="en-US" w:eastAsia="zh-CN"/>
              </w:rPr>
              <w:t>渭南市行政中心西配楼开标室</w:t>
            </w:r>
          </w:p>
          <w:p>
            <w:pPr>
              <w:keepNext/>
              <w:keepLines/>
              <w:kinsoku w:val="0"/>
              <w:overflowPunct w:val="0"/>
              <w:topLinePunct/>
              <w:autoSpaceDE w:val="0"/>
              <w:autoSpaceDN w:val="0"/>
              <w:spacing w:line="500" w:lineRule="exact"/>
              <w:rPr>
                <w:rFonts w:ascii="仿宋" w:hAnsi="仿宋" w:eastAsia="仿宋" w:cs="仿宋"/>
                <w:kern w:val="0"/>
                <w:sz w:val="28"/>
                <w:szCs w:val="28"/>
                <w:highlight w:val="none"/>
              </w:rPr>
            </w:pPr>
            <w:r>
              <w:rPr>
                <w:rFonts w:hint="eastAsia" w:ascii="仿宋" w:hAnsi="仿宋" w:eastAsia="仿宋" w:cs="仿宋"/>
                <w:b/>
                <w:bCs/>
                <w:sz w:val="28"/>
                <w:szCs w:val="28"/>
                <w:highlight w:val="none"/>
                <w:lang w:val="zh-TW"/>
              </w:rPr>
              <w:t>注：</w:t>
            </w:r>
            <w:r>
              <w:rPr>
                <w:rFonts w:hint="eastAsia" w:ascii="仿宋" w:hAnsi="仿宋" w:eastAsia="仿宋" w:cs="仿宋"/>
                <w:b/>
                <w:bCs/>
                <w:sz w:val="28"/>
                <w:szCs w:val="28"/>
                <w:highlight w:val="none"/>
              </w:rPr>
              <w:t>邀请所有提交投标文件的供应商参加招标会议，</w:t>
            </w:r>
            <w:r>
              <w:rPr>
                <w:rFonts w:hint="eastAsia" w:ascii="仿宋" w:hAnsi="仿宋" w:eastAsia="仿宋" w:cs="仿宋"/>
                <w:b/>
                <w:bCs/>
                <w:sz w:val="28"/>
                <w:szCs w:val="28"/>
                <w:highlight w:val="none"/>
                <w:lang w:val="zh-TW"/>
              </w:rPr>
              <w:t>逾期送达的投标文件，采购代理机构拒收。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1943" w:type="dxa"/>
            <w:vAlign w:val="center"/>
          </w:tcPr>
          <w:p>
            <w:pPr>
              <w:keepNext/>
              <w:topLinePunct/>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份数</w:t>
            </w:r>
          </w:p>
        </w:tc>
        <w:tc>
          <w:tcPr>
            <w:tcW w:w="7154" w:type="dxa"/>
            <w:vAlign w:val="center"/>
          </w:tcPr>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资格标：“正本”1份，“副本”3份</w:t>
            </w:r>
          </w:p>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商务及技术标：“正本”1份，“副本”3份</w:t>
            </w:r>
          </w:p>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电子文档：1份</w:t>
            </w:r>
          </w:p>
          <w:p>
            <w:pPr>
              <w:keepLines/>
              <w:wordWrap w:val="0"/>
              <w:topLinePunct/>
              <w:spacing w:line="500" w:lineRule="exact"/>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若正本与副本不符，以正本为准。</w:t>
            </w:r>
          </w:p>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b/>
                <w:bCs/>
                <w:sz w:val="28"/>
                <w:szCs w:val="28"/>
                <w:highlight w:val="none"/>
                <w:lang w:val="zh-TW"/>
              </w:rPr>
              <w:t>注：为了节约成本，鼓励各供应商双面打印本项目投标文件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p>
        </w:tc>
        <w:tc>
          <w:tcPr>
            <w:tcW w:w="1943" w:type="dxa"/>
            <w:vAlign w:val="center"/>
          </w:tcPr>
          <w:p>
            <w:pPr>
              <w:keepLines/>
              <w:pageBreakBefore w:val="0"/>
              <w:wordWrap w:val="0"/>
              <w:overflowPunct/>
              <w:topLinePunct/>
              <w:autoSpaceDE/>
              <w:autoSpaceDN/>
              <w:bidi w:val="0"/>
              <w:spacing w:line="500" w:lineRule="exact"/>
              <w:ind w:firstLine="280" w:firstLineChars="1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w:t>
            </w:r>
          </w:p>
          <w:p>
            <w:pPr>
              <w:keepLines/>
              <w:pageBreakBefore w:val="0"/>
              <w:wordWrap w:val="0"/>
              <w:overflowPunct/>
              <w:topLinePunct/>
              <w:autoSpaceDE/>
              <w:autoSpaceDN/>
              <w:bidi w:val="0"/>
              <w:spacing w:line="5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密封</w:t>
            </w:r>
          </w:p>
        </w:tc>
        <w:tc>
          <w:tcPr>
            <w:tcW w:w="7154" w:type="dxa"/>
            <w:vAlign w:val="center"/>
          </w:tcPr>
          <w:p>
            <w:pPr>
              <w:keepLines/>
              <w:wordWrap w:val="0"/>
              <w:topLinePunct/>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“资格标”正本单独密封，“资格标”副本单独密封，“商务及技术标”正本单独密封，“商务及技术标”副本单独密封，“电子文档”单独密封</w:t>
            </w:r>
            <w:r>
              <w:rPr>
                <w:rFonts w:hint="eastAsia" w:ascii="仿宋" w:hAnsi="仿宋" w:eastAsia="仿宋" w:cs="仿宋"/>
                <w:sz w:val="28"/>
                <w:szCs w:val="28"/>
                <w:highlight w:val="none"/>
                <w:lang w:eastAsia="zh-CN"/>
              </w:rPr>
              <w:t>。</w:t>
            </w:r>
          </w:p>
          <w:p>
            <w:pPr>
              <w:keepLines/>
              <w:wordWrap w:val="0"/>
              <w:topLinePunct/>
              <w:spacing w:line="500" w:lineRule="exact"/>
              <w:rPr>
                <w:rFonts w:hint="eastAsia" w:ascii="仿宋" w:hAnsi="仿宋" w:eastAsia="仿宋" w:cs="仿宋"/>
                <w:b/>
                <w:kern w:val="0"/>
                <w:sz w:val="28"/>
                <w:szCs w:val="28"/>
                <w:highlight w:val="none"/>
                <w:lang w:val="zh-TW" w:eastAsia="zh-CN" w:bidi="ar-SA"/>
              </w:rPr>
            </w:pPr>
            <w:bookmarkStart w:id="90" w:name="_Toc23536"/>
            <w:bookmarkStart w:id="91" w:name="_Toc10588"/>
            <w:r>
              <w:rPr>
                <w:rFonts w:hint="eastAsia" w:ascii="仿宋" w:hAnsi="仿宋" w:eastAsia="仿宋" w:cs="仿宋"/>
                <w:sz w:val="28"/>
                <w:szCs w:val="28"/>
                <w:highlight w:val="none"/>
                <w:lang w:val="en-US" w:eastAsia="zh-CN"/>
              </w:rPr>
              <w:t>在密封袋（箱）封口处</w:t>
            </w:r>
            <w:r>
              <w:rPr>
                <w:rFonts w:hint="eastAsia" w:ascii="仿宋" w:hAnsi="仿宋" w:eastAsia="仿宋" w:cs="仿宋"/>
                <w:sz w:val="28"/>
                <w:szCs w:val="28"/>
                <w:highlight w:val="none"/>
              </w:rPr>
              <w:t>加盖单位公章</w:t>
            </w:r>
            <w:r>
              <w:rPr>
                <w:rFonts w:hint="eastAsia" w:ascii="仿宋" w:hAnsi="仿宋" w:eastAsia="仿宋" w:cs="仿宋"/>
                <w:sz w:val="28"/>
                <w:szCs w:val="28"/>
                <w:highlight w:val="none"/>
                <w:lang w:eastAsia="zh-CN"/>
              </w:rPr>
              <w:t>并由</w:t>
            </w:r>
            <w:r>
              <w:rPr>
                <w:rFonts w:hint="eastAsia" w:ascii="仿宋" w:hAnsi="仿宋" w:eastAsia="仿宋" w:cs="仿宋"/>
                <w:sz w:val="28"/>
                <w:szCs w:val="28"/>
                <w:highlight w:val="none"/>
              </w:rPr>
              <w:t>法定代表人或被授权委托人签字或盖章</w:t>
            </w:r>
            <w:r>
              <w:rPr>
                <w:rFonts w:hint="eastAsia" w:ascii="仿宋" w:hAnsi="仿宋" w:eastAsia="仿宋" w:cs="仿宋"/>
                <w:sz w:val="28"/>
                <w:szCs w:val="28"/>
                <w:highlight w:val="none"/>
                <w:lang w:eastAsia="zh-CN"/>
              </w:rPr>
              <w:t>。</w:t>
            </w:r>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1943"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密封袋（箱）</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kern w:val="0"/>
                <w:sz w:val="28"/>
                <w:szCs w:val="28"/>
                <w:highlight w:val="none"/>
              </w:rPr>
              <w:t>上写明</w:t>
            </w:r>
          </w:p>
        </w:tc>
        <w:tc>
          <w:tcPr>
            <w:tcW w:w="7154" w:type="dxa"/>
            <w:vAlign w:val="center"/>
          </w:tcPr>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供应商全称（并加盖单位公章）：</w:t>
            </w:r>
          </w:p>
          <w:p>
            <w:pPr>
              <w:keepLines/>
              <w:wordWrap w:val="0"/>
              <w:topLinePunct/>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在2022年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14:</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0</w:t>
            </w:r>
            <w:r>
              <w:rPr>
                <w:rFonts w:hint="eastAsia" w:ascii="仿宋" w:hAnsi="仿宋" w:eastAsia="仿宋" w:cs="仿宋"/>
                <w:sz w:val="28"/>
                <w:szCs w:val="28"/>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1943" w:type="dxa"/>
            <w:vAlign w:val="center"/>
          </w:tcPr>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投标有效期</w:t>
            </w:r>
          </w:p>
        </w:tc>
        <w:tc>
          <w:tcPr>
            <w:tcW w:w="7154" w:type="dxa"/>
            <w:vAlign w:val="center"/>
          </w:tcPr>
          <w:p>
            <w:pPr>
              <w:keepLines/>
              <w:wordWrap w:val="0"/>
              <w:topLinePunct/>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90日历日（从提交投标文件的截止之日起）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w:t>
            </w:r>
          </w:p>
        </w:tc>
        <w:tc>
          <w:tcPr>
            <w:tcW w:w="1943" w:type="dxa"/>
            <w:vAlign w:val="center"/>
          </w:tcPr>
          <w:p>
            <w:pPr>
              <w:spacing w:line="500" w:lineRule="exac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供货期</w:t>
            </w:r>
          </w:p>
        </w:tc>
        <w:tc>
          <w:tcPr>
            <w:tcW w:w="7154" w:type="dxa"/>
            <w:vAlign w:val="center"/>
          </w:tcPr>
          <w:p>
            <w:pPr>
              <w:spacing w:line="500" w:lineRule="exac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shd w:val="clear" w:color="auto" w:fill="FFFFFF"/>
                <w:lang w:eastAsia="zh-CN"/>
              </w:rPr>
              <w:t>合同签订后30日历日内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评审方法</w:t>
            </w:r>
          </w:p>
        </w:tc>
        <w:tc>
          <w:tcPr>
            <w:tcW w:w="7154" w:type="dxa"/>
            <w:vAlign w:val="center"/>
          </w:tcPr>
          <w:p>
            <w:pPr>
              <w:keepNext/>
              <w:topLinePunct/>
              <w:spacing w:line="50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综合评分法,详见评分标准及办法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w:t>
            </w:r>
          </w:p>
        </w:tc>
        <w:tc>
          <w:tcPr>
            <w:tcW w:w="1943" w:type="dxa"/>
            <w:vAlign w:val="center"/>
          </w:tcPr>
          <w:p>
            <w:pPr>
              <w:keepNext/>
              <w:topLinePunct/>
              <w:spacing w:line="500" w:lineRule="exact"/>
              <w:jc w:val="center"/>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资格要求</w:t>
            </w:r>
          </w:p>
        </w:tc>
        <w:tc>
          <w:tcPr>
            <w:tcW w:w="7154" w:type="dxa"/>
            <w:vAlign w:val="top"/>
          </w:tcPr>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2、本项目的特定资格要求：（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（2）法定代表人授权委托书（附法定代表人身份证复印件）及被授权委托人身份证（法定代表人参加投标只须提供法定代表人身份证）；</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（3）提供202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p>
          <w:p>
            <w:pPr>
              <w:keepLines/>
              <w:wordWrap w:val="0"/>
              <w:topLinePunct/>
              <w:spacing w:line="500" w:lineRule="exact"/>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sz w:val="28"/>
                <w:szCs w:val="28"/>
                <w:highlight w:val="none"/>
              </w:rPr>
              <w:t>（4）</w:t>
            </w:r>
            <w:r>
              <w:rPr>
                <w:rFonts w:hint="eastAsia" w:ascii="仿宋" w:hAnsi="仿宋" w:eastAsia="仿宋" w:cs="仿宋"/>
                <w:color w:val="auto"/>
                <w:sz w:val="28"/>
                <w:szCs w:val="28"/>
                <w:highlight w:val="none"/>
                <w:shd w:val="clear" w:color="auto" w:fill="FFFFFF"/>
                <w:lang w:eastAsia="zh-CN"/>
              </w:rPr>
              <w:t>提供2021年12月以来任意3个月依法缴纳税收和社会保险的相关证明材料；注：依法免税或不需要缴纳社会保险的供应商提供相关部门出具的证明文件；</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（5）提供具有履行合同所必需的设备和专业技术能力的承诺；</w:t>
            </w:r>
          </w:p>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（6）提供参加政府采购活动前3年内在经营活动中没有重大违法记录的书面声明；</w:t>
            </w:r>
          </w:p>
          <w:p>
            <w:pPr>
              <w:keepLines/>
              <w:wordWrap w:val="0"/>
              <w:topLinePunct/>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保证金交纳凭证</w:t>
            </w:r>
            <w:r>
              <w:rPr>
                <w:rFonts w:hint="eastAsia" w:ascii="仿宋" w:hAnsi="仿宋" w:eastAsia="仿宋" w:cs="仿宋"/>
                <w:sz w:val="28"/>
                <w:szCs w:val="28"/>
                <w:highlight w:val="none"/>
                <w:lang w:eastAsia="zh-CN"/>
              </w:rPr>
              <w:t>；</w:t>
            </w:r>
          </w:p>
          <w:p>
            <w:pPr>
              <w:keepLines/>
              <w:wordWrap w:val="0"/>
              <w:topLinePunct/>
              <w:spacing w:line="500" w:lineRule="exact"/>
              <w:rPr>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）提供《中小企业声明函》；供应商为监狱企业的，应提供监狱企业相关资格证明材料；供应商为残疾人福利性单位的，应提供《残疾人福利性单位声明函》。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7154" w:type="dxa"/>
            <w:vAlign w:val="center"/>
          </w:tcPr>
          <w:p>
            <w:pPr>
              <w:keepLines/>
              <w:wordWrap w:val="0"/>
              <w:topLinePunct/>
              <w:spacing w:line="5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合同签订后支付合同总金额的40%，整个项目完成并开具全额发票后30日历日内支付合同总金额的60%。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w:t>
            </w:r>
          </w:p>
        </w:tc>
        <w:tc>
          <w:tcPr>
            <w:tcW w:w="194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7154" w:type="dxa"/>
            <w:vAlign w:val="center"/>
          </w:tcPr>
          <w:p>
            <w:pPr>
              <w:spacing w:line="500" w:lineRule="exact"/>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bCs/>
                <w:sz w:val="28"/>
                <w:szCs w:val="28"/>
                <w:highlight w:val="none"/>
                <w:lang w:eastAsia="zh-CN" w:bidi="ar"/>
              </w:rPr>
              <w:t>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代理服务费</w:t>
            </w:r>
          </w:p>
        </w:tc>
        <w:tc>
          <w:tcPr>
            <w:tcW w:w="7154"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lang w:eastAsia="zh-CN"/>
              </w:rPr>
              <w:t>由采购人支付代理服务费</w:t>
            </w:r>
            <w:r>
              <w:rPr>
                <w:rFonts w:hint="eastAsia" w:ascii="仿宋" w:hAnsi="仿宋" w:eastAsia="仿宋" w:cs="仿宋"/>
                <w:sz w:val="28"/>
                <w:szCs w:val="28"/>
                <w:highlight w:val="none"/>
              </w:rPr>
              <w:t>，代理服务费参照《国家计委关于印发&lt;招标代理服务收费管理暂行办法&gt;的通知》（计价格〔2002〕1980号）、《国家发展改革委员会办公厅关于招标代理服务收费有关问题的通知》（发改办价格〔2003〕857号）的规定标准执行，按差额定率累进法收取费用，100万以下按1.5%收取，100万-500万按1.1%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shd w:val="clear" w:color="auto" w:fill="auto"/>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lang w:val="en-US" w:eastAsia="zh-CN"/>
              </w:rPr>
            </w:pPr>
            <w:bookmarkStart w:id="92" w:name="_Toc421604325"/>
            <w:bookmarkStart w:id="93" w:name="_Toc24383"/>
            <w:bookmarkStart w:id="94" w:name="_Toc24084"/>
            <w:bookmarkStart w:id="95" w:name="_Toc1654_WPSOffice_Level1"/>
            <w:bookmarkStart w:id="96" w:name="_Toc20403"/>
            <w:bookmarkStart w:id="97" w:name="_Toc403987205"/>
            <w:bookmarkStart w:id="98" w:name="_Toc120614214"/>
            <w:bookmarkStart w:id="99" w:name="_Toc20823275"/>
            <w:bookmarkStart w:id="100" w:name="_Toc421604326"/>
            <w:bookmarkStart w:id="101" w:name="_Toc16938519"/>
            <w:bookmarkStart w:id="102" w:name="_Toc513029203"/>
            <w:r>
              <w:rPr>
                <w:rFonts w:hint="eastAsia" w:ascii="仿宋" w:hAnsi="仿宋" w:eastAsia="仿宋" w:cs="仿宋"/>
                <w:sz w:val="28"/>
                <w:szCs w:val="28"/>
                <w:highlight w:val="none"/>
                <w:lang w:val="en-US" w:eastAsia="zh-CN"/>
              </w:rPr>
              <w:t>20</w:t>
            </w:r>
          </w:p>
        </w:tc>
        <w:tc>
          <w:tcPr>
            <w:tcW w:w="1943" w:type="dxa"/>
            <w:shd w:val="clear" w:color="auto" w:fill="auto"/>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是否接受</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联合体投标</w:t>
            </w:r>
          </w:p>
        </w:tc>
        <w:tc>
          <w:tcPr>
            <w:tcW w:w="7154" w:type="dxa"/>
            <w:shd w:val="clear" w:color="auto" w:fill="auto"/>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shd w:val="clear" w:color="auto" w:fill="auto"/>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w:t>
            </w:r>
          </w:p>
        </w:tc>
        <w:tc>
          <w:tcPr>
            <w:tcW w:w="1943" w:type="dxa"/>
            <w:shd w:val="clear" w:color="auto" w:fill="auto"/>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rPr>
              <w:t>是否专门面向中小企业</w:t>
            </w:r>
            <w:r>
              <w:rPr>
                <w:rFonts w:hint="eastAsia" w:ascii="仿宋" w:hAnsi="仿宋" w:eastAsia="仿宋" w:cs="仿宋"/>
                <w:bCs/>
                <w:sz w:val="28"/>
                <w:szCs w:val="28"/>
                <w:highlight w:val="none"/>
                <w:lang w:eastAsia="zh-CN"/>
              </w:rPr>
              <w:t>采购</w:t>
            </w:r>
          </w:p>
        </w:tc>
        <w:tc>
          <w:tcPr>
            <w:tcW w:w="7154" w:type="dxa"/>
            <w:shd w:val="clear" w:color="auto" w:fill="auto"/>
            <w:vAlign w:val="center"/>
          </w:tcPr>
          <w:p>
            <w:pPr>
              <w:keepLines/>
              <w:wordWrap w:val="0"/>
              <w:topLinePunct/>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194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是否提交履约保证金</w:t>
            </w:r>
          </w:p>
        </w:tc>
        <w:tc>
          <w:tcPr>
            <w:tcW w:w="7154" w:type="dxa"/>
            <w:vAlign w:val="center"/>
          </w:tcPr>
          <w:p>
            <w:pPr>
              <w:keepLines/>
              <w:wordWrap w:val="0"/>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194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采购标的对应的中小企业划分标准所属行业</w:t>
            </w:r>
          </w:p>
        </w:tc>
        <w:tc>
          <w:tcPr>
            <w:tcW w:w="7154" w:type="dxa"/>
            <w:vAlign w:val="center"/>
          </w:tcPr>
          <w:p>
            <w:pPr>
              <w:pStyle w:val="23"/>
              <w:spacing w:line="500" w:lineRule="exac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工业</w:t>
            </w:r>
          </w:p>
          <w:p>
            <w:pPr>
              <w:pStyle w:val="23"/>
              <w:spacing w:line="5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0"/>
                <w:sz w:val="28"/>
                <w:szCs w:val="28"/>
                <w:highlight w:val="none"/>
                <w:lang w:val="en-US" w:eastAsia="zh-CN"/>
              </w:rPr>
              <w:t>参照</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工</w:t>
            </w:r>
            <w:r>
              <w:rPr>
                <w:rFonts w:hint="eastAsia" w:ascii="仿宋" w:hAnsi="仿宋" w:eastAsia="仿宋" w:cs="仿宋"/>
                <w:kern w:val="0"/>
                <w:sz w:val="28"/>
                <w:szCs w:val="28"/>
                <w:highlight w:val="none"/>
              </w:rPr>
              <w:t>关于印发中小企业划型标准规定的通知》（</w:t>
            </w:r>
            <w:r>
              <w:rPr>
                <w:rFonts w:hint="eastAsia" w:ascii="仿宋" w:hAnsi="仿宋" w:eastAsia="仿宋" w:cs="仿宋"/>
                <w:kern w:val="0"/>
                <w:sz w:val="28"/>
                <w:szCs w:val="28"/>
                <w:highlight w:val="none"/>
                <w:lang w:val="en-US" w:eastAsia="zh-CN"/>
              </w:rPr>
              <w:t>工信部联企业</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2011</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300号</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文件</w:t>
            </w:r>
            <w:r>
              <w:rPr>
                <w:rFonts w:hint="eastAsia" w:ascii="仿宋" w:hAnsi="仿宋" w:eastAsia="仿宋" w:cs="仿宋"/>
                <w:b w:val="0"/>
                <w:bCs w:val="0"/>
                <w:color w:val="auto"/>
                <w:sz w:val="28"/>
                <w:szCs w:val="28"/>
                <w:highlight w:val="none"/>
              </w:rPr>
              <w:t>标准划分</w:t>
            </w:r>
            <w:r>
              <w:rPr>
                <w:rFonts w:hint="eastAsia" w:ascii="仿宋" w:hAnsi="仿宋" w:eastAsia="仿宋" w:cs="仿宋"/>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w:t>
            </w:r>
          </w:p>
        </w:tc>
        <w:tc>
          <w:tcPr>
            <w:tcW w:w="194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信用担保和信用融资</w:t>
            </w:r>
          </w:p>
        </w:tc>
        <w:tc>
          <w:tcPr>
            <w:tcW w:w="7154" w:type="dxa"/>
            <w:vAlign w:val="center"/>
          </w:tcPr>
          <w:p>
            <w:pPr>
              <w:pStyle w:val="23"/>
              <w:spacing w:line="5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pStyle w:val="23"/>
              <w:keepNext w:val="0"/>
              <w:keepLines w:val="0"/>
              <w:pageBreakBefore w:val="0"/>
              <w:widowControl w:val="0"/>
              <w:kinsoku/>
              <w:wordWrap w:val="0"/>
              <w:overflowPunct/>
              <w:topLinePunct w:val="0"/>
              <w:autoSpaceDE/>
              <w:autoSpaceDN/>
              <w:bidi w:val="0"/>
              <w:adjustRightInd w:val="0"/>
              <w:snapToGrid w:val="0"/>
              <w:spacing w:line="50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信用信息查询</w:t>
            </w:r>
          </w:p>
        </w:tc>
        <w:tc>
          <w:tcPr>
            <w:tcW w:w="7154" w:type="dxa"/>
            <w:vAlign w:val="center"/>
          </w:tcPr>
          <w:p>
            <w:pPr>
              <w:keepNext/>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案件当事人名单、政府采购严重违法失信行为记录名单，其投标无效；采购代理机构将网站截图作为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w:t>
            </w:r>
          </w:p>
        </w:tc>
        <w:tc>
          <w:tcPr>
            <w:tcW w:w="1943"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其他未尽事宜</w:t>
            </w:r>
          </w:p>
        </w:tc>
        <w:tc>
          <w:tcPr>
            <w:tcW w:w="7154" w:type="dxa"/>
            <w:vAlign w:val="center"/>
          </w:tcPr>
          <w:p>
            <w:pPr>
              <w:keepNext/>
              <w:topLinePunct/>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按照《中华人民共和国政府采购法》及相关法律法规执行。</w:t>
            </w:r>
          </w:p>
        </w:tc>
      </w:tr>
      <w:bookmarkEnd w:id="31"/>
      <w:bookmarkEnd w:id="32"/>
      <w:bookmarkEnd w:id="33"/>
      <w:bookmarkEnd w:id="34"/>
    </w:tbl>
    <w:p>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pPr>
        <w:pStyle w:val="3"/>
        <w:ind w:firstLine="3092" w:firstLineChars="700"/>
        <w:jc w:val="both"/>
        <w:rPr>
          <w:rFonts w:hint="default" w:ascii="仿宋" w:hAnsi="仿宋" w:eastAsia="仿宋" w:cs="仿宋"/>
          <w:sz w:val="44"/>
          <w:szCs w:val="44"/>
          <w:highlight w:val="none"/>
        </w:rPr>
      </w:pPr>
      <w:bookmarkStart w:id="103" w:name="_Toc255"/>
      <w:r>
        <w:rPr>
          <w:rFonts w:ascii="仿宋" w:hAnsi="仿宋" w:eastAsia="仿宋" w:cs="仿宋"/>
          <w:sz w:val="44"/>
          <w:szCs w:val="44"/>
          <w:highlight w:val="none"/>
        </w:rPr>
        <w:t>第三章  供应商须知</w:t>
      </w:r>
      <w:bookmarkEnd w:id="92"/>
      <w:bookmarkEnd w:id="93"/>
      <w:bookmarkEnd w:id="94"/>
      <w:bookmarkEnd w:id="95"/>
      <w:bookmarkEnd w:id="96"/>
      <w:bookmarkEnd w:id="103"/>
    </w:p>
    <w:bookmarkEnd w:id="97"/>
    <w:bookmarkEnd w:id="98"/>
    <w:bookmarkEnd w:id="99"/>
    <w:bookmarkEnd w:id="100"/>
    <w:bookmarkEnd w:id="101"/>
    <w:bookmarkEnd w:id="102"/>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sz w:val="28"/>
          <w:szCs w:val="28"/>
          <w:highlight w:val="none"/>
        </w:rPr>
      </w:pPr>
      <w:bookmarkStart w:id="104" w:name="_Hlt16619475"/>
      <w:bookmarkEnd w:id="104"/>
      <w:bookmarkStart w:id="105" w:name="_Toc15653"/>
      <w:bookmarkStart w:id="106" w:name="_Toc421604327"/>
      <w:bookmarkStart w:id="107" w:name="_Toc10080"/>
      <w:bookmarkStart w:id="108" w:name="_Toc20823281"/>
      <w:bookmarkStart w:id="109" w:name="_Toc16938525"/>
      <w:bookmarkStart w:id="110" w:name="_Toc12442"/>
      <w:bookmarkStart w:id="111" w:name="_Toc2079"/>
      <w:bookmarkStart w:id="112" w:name="_Toc19750"/>
      <w:bookmarkStart w:id="113" w:name="_Toc990"/>
      <w:bookmarkStart w:id="114" w:name="_Toc4844"/>
      <w:bookmarkStart w:id="115" w:name="_Toc11744"/>
      <w:bookmarkStart w:id="116" w:name="_Toc26215"/>
      <w:bookmarkStart w:id="117" w:name="_Toc31403"/>
      <w:bookmarkStart w:id="118" w:name="_Toc513029209"/>
      <w:bookmarkStart w:id="119" w:name="_Toc8649"/>
      <w:bookmarkStart w:id="120" w:name="_Toc120614215"/>
      <w:bookmarkStart w:id="121" w:name="_Toc15003"/>
      <w:bookmarkStart w:id="122" w:name="_Toc403987206"/>
      <w:bookmarkStart w:id="123" w:name="_Toc12607"/>
      <w:bookmarkStart w:id="124" w:name="_Toc12480"/>
      <w:bookmarkStart w:id="125" w:name="_Toc1532"/>
      <w:bookmarkStart w:id="126" w:name="_Toc22915"/>
      <w:bookmarkStart w:id="127" w:name="_Toc23412"/>
      <w:bookmarkStart w:id="128" w:name="_Toc20465"/>
      <w:bookmarkStart w:id="129" w:name="_Toc18417"/>
      <w:bookmarkStart w:id="130" w:name="_Toc22345"/>
      <w:bookmarkStart w:id="131" w:name="_Toc17068"/>
      <w:r>
        <w:rPr>
          <w:rFonts w:hint="eastAsia" w:ascii="仿宋" w:hAnsi="仿宋" w:eastAsia="仿宋" w:cs="仿宋"/>
          <w:b/>
          <w:bCs/>
          <w:sz w:val="28"/>
          <w:szCs w:val="28"/>
          <w:highlight w:val="none"/>
        </w:rPr>
        <w:t>一、名词解释</w:t>
      </w:r>
    </w:p>
    <w:p>
      <w:pPr>
        <w:pStyle w:val="43"/>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auto"/>
          <w:sz w:val="28"/>
          <w:szCs w:val="28"/>
          <w:highlight w:val="none"/>
          <w:lang w:eastAsia="zh-CN"/>
        </w:rPr>
      </w:pPr>
      <w:r>
        <w:rPr>
          <w:rFonts w:ascii="仿宋" w:hAnsi="仿宋" w:cs="仿宋"/>
          <w:sz w:val="28"/>
          <w:szCs w:val="28"/>
          <w:highlight w:val="none"/>
        </w:rPr>
        <w:t>1、采   购   人：</w:t>
      </w:r>
      <w:r>
        <w:rPr>
          <w:rFonts w:hint="eastAsia" w:ascii="仿宋" w:hAnsi="仿宋" w:cs="仿宋"/>
          <w:color w:val="auto"/>
          <w:sz w:val="28"/>
          <w:szCs w:val="28"/>
          <w:highlight w:val="none"/>
          <w:lang w:eastAsia="zh-CN"/>
        </w:rPr>
        <w:t>渭南市中心血站</w:t>
      </w:r>
    </w:p>
    <w:p>
      <w:pPr>
        <w:pStyle w:val="43"/>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2、采购管理机构：</w:t>
      </w:r>
      <w:r>
        <w:rPr>
          <w:rFonts w:hint="eastAsia" w:ascii="仿宋" w:hAnsi="仿宋" w:cs="仿宋"/>
          <w:color w:val="auto"/>
          <w:sz w:val="28"/>
          <w:szCs w:val="28"/>
          <w:highlight w:val="none"/>
          <w:lang w:eastAsia="zh-CN"/>
        </w:rPr>
        <w:t>渭南市</w:t>
      </w:r>
      <w:r>
        <w:rPr>
          <w:rFonts w:hint="eastAsia" w:ascii="仿宋" w:hAnsi="仿宋" w:cs="仿宋"/>
          <w:color w:val="auto"/>
          <w:sz w:val="28"/>
          <w:szCs w:val="28"/>
          <w:highlight w:val="none"/>
        </w:rPr>
        <w:t>财政局</w:t>
      </w:r>
    </w:p>
    <w:p>
      <w:pPr>
        <w:pStyle w:val="43"/>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3、采购代理机构：西安欣华联建工程咨询有限公司</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4、供   应   商：参加本次公开招标的供应商</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32" w:name="_Toc31727"/>
      <w:bookmarkStart w:id="133" w:name="_Toc17966"/>
      <w:bookmarkStart w:id="134" w:name="_Toc27354"/>
      <w:bookmarkStart w:id="135" w:name="_Toc26041"/>
      <w:bookmarkStart w:id="136" w:name="_Toc9523"/>
      <w:bookmarkStart w:id="137" w:name="_Toc20823285"/>
      <w:bookmarkStart w:id="138" w:name="_Toc9916"/>
      <w:bookmarkStart w:id="139" w:name="_Toc120614216"/>
      <w:bookmarkStart w:id="140" w:name="_Toc13587"/>
      <w:bookmarkStart w:id="141" w:name="_Toc17271"/>
      <w:bookmarkStart w:id="142" w:name="_Toc22631"/>
      <w:bookmarkStart w:id="143" w:name="_Toc23338"/>
      <w:bookmarkStart w:id="144" w:name="_Toc30676"/>
      <w:bookmarkStart w:id="145" w:name="_Toc16938529"/>
      <w:bookmarkStart w:id="146" w:name="_Toc2709"/>
      <w:bookmarkStart w:id="147" w:name="_Toc16941"/>
      <w:bookmarkStart w:id="148" w:name="_Toc5454"/>
      <w:bookmarkStart w:id="149" w:name="_Toc403987207"/>
      <w:bookmarkStart w:id="150" w:name="_Toc3063"/>
      <w:bookmarkStart w:id="151" w:name="_Toc19219"/>
      <w:bookmarkStart w:id="152" w:name="_Toc421604328"/>
      <w:bookmarkStart w:id="153" w:name="_Toc462564072"/>
      <w:bookmarkStart w:id="154" w:name="_Toc9319"/>
      <w:bookmarkStart w:id="155" w:name="_Toc281"/>
      <w:bookmarkStart w:id="156" w:name="_Toc11939"/>
      <w:bookmarkStart w:id="157" w:name="_Toc10059"/>
      <w:bookmarkStart w:id="158" w:name="_Toc513029213"/>
      <w:bookmarkStart w:id="159" w:name="_Toc25508"/>
      <w:r>
        <w:rPr>
          <w:rFonts w:hint="eastAsia" w:ascii="仿宋" w:hAnsi="仿宋" w:eastAsia="仿宋" w:cs="仿宋"/>
          <w:b/>
          <w:bCs/>
          <w:sz w:val="28"/>
          <w:szCs w:val="28"/>
          <w:highlight w:val="none"/>
        </w:rPr>
        <w:t>二、公开招标文件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1、招标文件的构成</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1.1要求提供的服务、货物、招标过程和合同条件在招标文件中均有说明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招标文件各章名称见目录。</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供应商应认真阅读招标文件中所有的事项、格式、条款和技术规范等。供应商没有按照招标文件要求提交全部资料，或者投标文件没有对招标文件在各方面都做出实质性响应是供应商的风险，并可能导致其投标被拒绝。</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2、招标文件的澄清或者修改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2.1采购人或者采购代理机构可以对已发出的招标文件进行必要的澄清或者修改，澄清或者修改的内容为招标文件的组成部分；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澄清或者修改的内容可能影响投标文件编制的，采购人或者采购代理机构应当在投标截止时间至少15日前，以书面形式通知所有获取招标文件的潜在投标人；不足15日的，采购人或者采购代理机构应当根据项目实际情况决定是否顺延提交投标文件的截止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3、各供应商必须从采购代理机构购买招标文件，供应商自行转让或复制文件视为无效。招标文件一经售出，一律不退，仅作为本次招标使用。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4、本文件的解释权归采购人和采购代理机构。</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60" w:name="_Toc49090511"/>
      <w:bookmarkStart w:id="161" w:name="_Toc14577360"/>
      <w:r>
        <w:rPr>
          <w:rFonts w:hint="eastAsia" w:ascii="仿宋" w:hAnsi="仿宋" w:eastAsia="仿宋" w:cs="仿宋"/>
          <w:b/>
          <w:bCs/>
          <w:sz w:val="28"/>
          <w:szCs w:val="28"/>
          <w:highlight w:val="none"/>
        </w:rPr>
        <w:t>三、招标的内容要求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1、招标内容：</w:t>
      </w:r>
      <w:r>
        <w:rPr>
          <w:rFonts w:hint="eastAsia" w:ascii="仿宋" w:hAnsi="仿宋" w:eastAsia="仿宋" w:cs="仿宋"/>
          <w:sz w:val="28"/>
          <w:szCs w:val="28"/>
          <w:highlight w:val="none"/>
          <w:shd w:val="clear" w:color="auto" w:fill="FFFFFF"/>
          <w:lang w:val="en-US" w:eastAsia="zh-CN"/>
        </w:rPr>
        <w:t>智能化采血系统（含采血秤 单机）、智能化采血系统（包含采血秤 双机）</w:t>
      </w:r>
      <w:r>
        <w:rPr>
          <w:rFonts w:hint="eastAsia" w:ascii="仿宋" w:hAnsi="仿宋" w:eastAsia="仿宋" w:cs="仿宋"/>
          <w:sz w:val="28"/>
          <w:szCs w:val="28"/>
          <w:highlight w:val="none"/>
        </w:rPr>
        <w:t>（详见第四章采购内容），供应商应对所有内容进行响应，不得在其中选项，否则按无效文件处理。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2、供应商资格：</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2.1满足《中华人民共和国政府采购法》第二十二条规定；</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2.2本项目的特定资格要求：</w:t>
      </w:r>
      <w:r>
        <w:rPr>
          <w:rFonts w:hint="eastAsia" w:ascii="仿宋" w:hAnsi="仿宋" w:eastAsia="仿宋" w:cs="仿宋"/>
          <w:kern w:val="0"/>
          <w:sz w:val="28"/>
          <w:szCs w:val="28"/>
          <w:highlight w:val="none"/>
        </w:rPr>
        <w:t>①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②法定代表人授权委托书（附法定代表人身份证复印件）及被授权委托人身份证（法定代表人参加投标只须提供法定代表人身份证）；</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③提供202</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年度经审计的财务报告或开标前六个月内其基本账户银行出具的资信证明或财政部门认可的政府采购专业担保机构出具的担保函；</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④</w:t>
      </w:r>
      <w:r>
        <w:rPr>
          <w:rFonts w:hint="eastAsia" w:ascii="仿宋" w:hAnsi="仿宋" w:eastAsia="仿宋" w:cs="仿宋"/>
          <w:kern w:val="0"/>
          <w:sz w:val="28"/>
          <w:szCs w:val="28"/>
          <w:highlight w:val="none"/>
          <w:lang w:eastAsia="zh-CN"/>
        </w:rPr>
        <w:t>提供2021年12月以来任意3个月依法缴纳税收和社会保险的相关证明材料；注：依法免税或不需要缴纳社会保险的供应商提供相关部门出具的证明文件</w:t>
      </w:r>
      <w:r>
        <w:rPr>
          <w:rFonts w:hint="eastAsia" w:ascii="仿宋" w:hAnsi="仿宋" w:eastAsia="仿宋" w:cs="仿宋"/>
          <w:kern w:val="0"/>
          <w:sz w:val="28"/>
          <w:szCs w:val="28"/>
          <w:highlight w:val="none"/>
        </w:rPr>
        <w:t>；</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⑤提供具有履行合同所必需的设备和专业技术能力的承诺；</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⑥提供参加政府采购活动前3年内在经营活动中没有重大违法记录的书面声明；</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rPr>
        <w:t>⑦</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保证金交纳凭证</w:t>
      </w:r>
      <w:r>
        <w:rPr>
          <w:rFonts w:hint="eastAsia" w:ascii="仿宋" w:hAnsi="仿宋" w:eastAsia="仿宋" w:cs="仿宋"/>
          <w:sz w:val="28"/>
          <w:szCs w:val="28"/>
          <w:highlight w:val="none"/>
          <w:lang w:eastAsia="zh-CN"/>
        </w:rPr>
        <w:t>；</w:t>
      </w:r>
    </w:p>
    <w:p>
      <w:pPr>
        <w:pStyle w:val="24"/>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val="0"/>
          <w:bCs w:val="0"/>
          <w:kern w:val="0"/>
          <w:sz w:val="28"/>
          <w:szCs w:val="28"/>
          <w:highlight w:val="none"/>
          <w:lang w:eastAsia="zh-CN"/>
        </w:rPr>
        <w:t>⑧提供《中小企业声明函》；供应商为监狱企业的，应提供监狱企业相关资格证明材料；供应商为残疾人福利性单位的，应提供《残疾人福利性单位声明函》。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3、投标文件的编制：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3.1投标文件必须根据招标文件要求的格式编写，做出实质性响应。具体内容包括：</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①按照要求填写投标响应函格式；</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②报价一览表；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③供应商按要求出具的资格证明文件，证明参加投标的供应商是合格的，中标后有能力履行合同，且产品来源渠道合法，质量有保证等；</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④各供应商按招标文件要求，完成本次采购任务，包含货物提供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运输、验收、售后服务等内容。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3.2投标报价：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①各供应商应在投标文件中的报价一览表上，</w:t>
      </w:r>
      <w:r>
        <w:rPr>
          <w:rFonts w:hint="eastAsia" w:ascii="仿宋" w:hAnsi="仿宋" w:eastAsia="仿宋" w:cs="仿宋"/>
          <w:sz w:val="28"/>
          <w:szCs w:val="28"/>
          <w:highlight w:val="none"/>
          <w:u w:color="000000"/>
        </w:rPr>
        <w:t>标明总价、</w:t>
      </w:r>
      <w:r>
        <w:rPr>
          <w:rFonts w:hint="eastAsia" w:ascii="仿宋" w:hAnsi="仿宋" w:eastAsia="仿宋" w:cs="仿宋"/>
          <w:sz w:val="28"/>
          <w:szCs w:val="28"/>
          <w:highlight w:val="none"/>
          <w:lang w:eastAsia="zh-CN"/>
        </w:rPr>
        <w:t>供货期</w:t>
      </w:r>
      <w:r>
        <w:rPr>
          <w:rFonts w:hint="eastAsia" w:ascii="仿宋" w:hAnsi="仿宋" w:eastAsia="仿宋" w:cs="仿宋"/>
          <w:sz w:val="28"/>
          <w:szCs w:val="28"/>
          <w:highlight w:val="none"/>
        </w:rPr>
        <w:t>、质量标准等项，在分项报价表中须标明单价，任何有选择的报价采购代理机构不予接受；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cs="仿宋"/>
          <w:sz w:val="28"/>
          <w:szCs w:val="28"/>
          <w:highlight w:val="none"/>
        </w:rPr>
        <w:t>②</w:t>
      </w:r>
      <w:r>
        <w:rPr>
          <w:rFonts w:hint="eastAsia" w:ascii="仿宋" w:hAnsi="仿宋" w:eastAsia="仿宋" w:cs="仿宋"/>
          <w:sz w:val="28"/>
          <w:szCs w:val="28"/>
          <w:highlight w:val="none"/>
        </w:rPr>
        <w:t>投标总价为包括完成本项目招标文件中所提出的工作范围及要求的全部内容，并达到国家及采购人验收标准而产生的所有费用，</w:t>
      </w:r>
      <w:r>
        <w:rPr>
          <w:rFonts w:hint="eastAsia" w:ascii="仿宋" w:hAnsi="仿宋" w:eastAsia="仿宋" w:cs="仿宋"/>
          <w:color w:val="auto"/>
          <w:sz w:val="28"/>
          <w:szCs w:val="28"/>
          <w:highlight w:val="none"/>
        </w:rPr>
        <w:t>包括</w:t>
      </w:r>
      <w:r>
        <w:rPr>
          <w:rFonts w:hint="eastAsia" w:ascii="仿宋" w:hAnsi="仿宋" w:eastAsia="仿宋" w:cs="仿宋"/>
          <w:b/>
          <w:bCs/>
          <w:color w:val="auto"/>
          <w:sz w:val="28"/>
          <w:szCs w:val="28"/>
          <w:highlight w:val="none"/>
          <w:lang w:eastAsia="zh-CN"/>
        </w:rPr>
        <w:t>货物价款、人工费、运杂费（含保险费）、安装调试费、资料费、培训费、售后服务费、验收费、税金及风险等所有费用</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任何错报、漏报由供应商自行负责；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③凡因供应商对招标文件阅读不深、理解不透、误解、疏漏或因市场行情了解不清造成的后果和风险均由各供应商自负；</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④各供应商自行现场踏勘；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⑤最低报价不作为中标的唯一条件。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3.3保证金：</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壹万伍仟元整</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15000.00</w:t>
      </w:r>
      <w:r>
        <w:rPr>
          <w:rFonts w:hint="eastAsia" w:ascii="仿宋" w:hAnsi="仿宋" w:eastAsia="仿宋" w:cs="仿宋"/>
          <w:sz w:val="28"/>
          <w:szCs w:val="28"/>
          <w:highlight w:val="none"/>
          <w:u w:val="single"/>
        </w:rPr>
        <w:t>元）</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①供应商须在文件递交截止时间前向采购代理机构交纳投标保证金（以到账时间为准），</w:t>
      </w:r>
      <w:r>
        <w:rPr>
          <w:rFonts w:hint="eastAsia" w:ascii="仿宋" w:hAnsi="仿宋" w:eastAsia="仿宋" w:cs="仿宋"/>
          <w:b/>
          <w:bCs/>
          <w:sz w:val="28"/>
          <w:szCs w:val="28"/>
          <w:highlight w:val="none"/>
        </w:rPr>
        <w:t>交纳时请注明“保证金”。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②各供应商应按招标文件规定的金额递交保证金，并作为其投标文件的组成部分。</w:t>
      </w:r>
    </w:p>
    <w:p>
      <w:pPr>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③保证金应为人民币，可采用下列任何一种形式支付：</w:t>
      </w:r>
    </w:p>
    <w:p>
      <w:pPr>
        <w:pStyle w:val="43"/>
        <w:keepNext w:val="0"/>
        <w:keepLines w:val="0"/>
        <w:pageBreakBefore w:val="0"/>
        <w:widowControl/>
        <w:kinsoku/>
        <w:wordWrap/>
        <w:overflowPunct/>
        <w:topLinePunct w:val="0"/>
        <w:autoSpaceDE/>
        <w:autoSpaceDN/>
        <w:bidi w:val="0"/>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转账、支票、本票、电汇或金融机构、担保机构出具的保函，</w:t>
      </w:r>
      <w:r>
        <w:rPr>
          <w:rFonts w:ascii="仿宋" w:hAnsi="仿宋" w:cs="仿宋"/>
          <w:sz w:val="28"/>
          <w:szCs w:val="28"/>
          <w:highlight w:val="none"/>
          <w:lang w:val="zh-CN"/>
        </w:rPr>
        <w:t>以保函形式提交的必须是陕西省财政厅认定的具有开具保函资格的单位开具的保函；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④凡没有随附保证金凭证的投标文件，视为非响应性投标，其投标文件无效；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⑤未中标单位的保证金，在中标通知书发出后五个工作日内,根据所提供的《投标保证金退还申请表》（格式见招标文件第七章）无息退还；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⑥中标单位的保证金，在合同签订后五个工作日内，根据所提供的《投标保证金退还申请表》（格式见招标文件第七章）无息退还；</w:t>
      </w:r>
      <w:r>
        <w:rPr>
          <w:rFonts w:hint="eastAsia" w:ascii="仿宋" w:hAnsi="仿宋" w:eastAsia="仿宋" w:cs="仿宋"/>
          <w:b/>
          <w:bCs/>
          <w:sz w:val="28"/>
          <w:szCs w:val="28"/>
          <w:highlight w:val="none"/>
        </w:rPr>
        <w:t>（合同签订后三个工作日内，须向采购代理机构提供两份合同原件，以便及时退还保证金）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因供应商自身原因导致未及时退还的，由供应商自行负责。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3.4下列情况发生（包括但不限于），保证金将不予退还：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①供应商提供虚假资格谋取中标的；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②有围标、串标现象，经查证属实的；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③供应商在该项目招投标期间擅自退出投标活动的；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④投标文件递交截止时间后供应商撤销投标文件的；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⑤中标供应商自行放弃中标资格的；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⑥中标供应商不在规定的时效内领取《中标通知书》的；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⑦中标供应商因自身原因未能在规定期限内与采购人签订合同的。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3.5投标文件有效期为从提交投标文件的截止之日起90日历日，中标供应商的投标文件有效期延长至合同执行完毕。</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四、投标文件的式样和签署</w:t>
      </w:r>
    </w:p>
    <w:p>
      <w:pPr>
        <w:pStyle w:val="43"/>
        <w:keepNext w:val="0"/>
        <w:keepLines w:val="0"/>
        <w:pageBreakBefore w:val="0"/>
        <w:widowControl/>
        <w:kinsoku/>
        <w:wordWrap/>
        <w:overflowPunct/>
        <w:topLinePunct w:val="0"/>
        <w:autoSpaceDE/>
        <w:autoSpaceDN/>
        <w:bidi w:val="0"/>
        <w:adjustRightInd w:val="0"/>
        <w:snapToGrid/>
        <w:spacing w:line="500" w:lineRule="exact"/>
        <w:ind w:left="0" w:leftChars="0" w:right="0" w:rightChars="0" w:firstLine="560"/>
        <w:textAlignment w:val="auto"/>
        <w:rPr>
          <w:sz w:val="28"/>
          <w:szCs w:val="28"/>
          <w:highlight w:val="none"/>
        </w:rPr>
      </w:pPr>
      <w:r>
        <w:rPr>
          <w:rFonts w:ascii="仿宋" w:hAnsi="仿宋" w:cs="仿宋"/>
          <w:sz w:val="28"/>
          <w:szCs w:val="28"/>
          <w:highlight w:val="none"/>
        </w:rPr>
        <w:t>1、各供应商应按照给定的式样，</w:t>
      </w:r>
      <w:r>
        <w:rPr>
          <w:rFonts w:ascii="仿宋" w:hAnsi="仿宋" w:cs="仿宋"/>
          <w:color w:val="auto"/>
          <w:sz w:val="28"/>
          <w:szCs w:val="28"/>
          <w:highlight w:val="none"/>
        </w:rPr>
        <w:t>准备</w:t>
      </w:r>
      <w:r>
        <w:rPr>
          <w:rFonts w:hint="eastAsia" w:ascii="仿宋" w:hAnsi="仿宋" w:cs="仿宋"/>
          <w:color w:val="auto"/>
          <w:sz w:val="28"/>
          <w:szCs w:val="28"/>
          <w:highlight w:val="none"/>
          <w:lang w:eastAsia="zh-CN"/>
        </w:rPr>
        <w:t>投标</w:t>
      </w:r>
      <w:r>
        <w:rPr>
          <w:rFonts w:ascii="仿宋" w:hAnsi="仿宋" w:cs="仿宋"/>
          <w:color w:val="auto"/>
          <w:sz w:val="28"/>
          <w:szCs w:val="28"/>
          <w:highlight w:val="none"/>
        </w:rPr>
        <w:t>文件</w:t>
      </w:r>
      <w:r>
        <w:rPr>
          <w:rFonts w:hint="eastAsia" w:ascii="仿宋" w:hAnsi="仿宋" w:cs="仿宋"/>
          <w:color w:val="auto"/>
          <w:sz w:val="28"/>
          <w:szCs w:val="28"/>
          <w:highlight w:val="none"/>
          <w:lang w:eastAsia="zh-CN"/>
        </w:rPr>
        <w:t>。资格标：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val="en-US" w:eastAsia="zh-CN"/>
        </w:rPr>
        <w:t>；商务及技术标：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eastAsia="zh-CN"/>
        </w:rPr>
        <w:t>；</w:t>
      </w:r>
      <w:r>
        <w:rPr>
          <w:rFonts w:ascii="仿宋" w:hAnsi="仿宋" w:cs="仿宋"/>
          <w:color w:val="auto"/>
          <w:sz w:val="28"/>
          <w:szCs w:val="28"/>
          <w:highlight w:val="none"/>
        </w:rPr>
        <w:t>电子文档一份</w:t>
      </w:r>
      <w:r>
        <w:rPr>
          <w:rFonts w:ascii="仿宋" w:hAnsi="仿宋" w:cs="仿宋"/>
          <w:sz w:val="28"/>
          <w:szCs w:val="28"/>
          <w:highlight w:val="none"/>
        </w:rPr>
        <w:t>，</w:t>
      </w:r>
      <w:r>
        <w:rPr>
          <w:rFonts w:ascii="仿宋" w:hAnsi="仿宋" w:cs="仿宋"/>
          <w:kern w:val="2"/>
          <w:sz w:val="28"/>
          <w:szCs w:val="28"/>
          <w:highlight w:val="none"/>
          <w:lang w:bidi="ar"/>
        </w:rPr>
        <w:t>分别密封，</w:t>
      </w:r>
      <w:r>
        <w:rPr>
          <w:rFonts w:ascii="仿宋" w:hAnsi="仿宋" w:cs="仿宋"/>
          <w:sz w:val="28"/>
          <w:szCs w:val="28"/>
          <w:highlight w:val="none"/>
        </w:rPr>
        <w:t>每套</w:t>
      </w:r>
      <w:r>
        <w:rPr>
          <w:rFonts w:hint="eastAsia" w:ascii="仿宋" w:hAnsi="仿宋" w:cs="仿宋"/>
          <w:sz w:val="28"/>
          <w:szCs w:val="28"/>
          <w:highlight w:val="none"/>
          <w:lang w:eastAsia="zh-CN"/>
        </w:rPr>
        <w:t>投标</w:t>
      </w:r>
      <w:r>
        <w:rPr>
          <w:rFonts w:ascii="仿宋" w:hAnsi="仿宋" w:cs="仿宋"/>
          <w:sz w:val="28"/>
          <w:szCs w:val="28"/>
          <w:highlight w:val="none"/>
        </w:rPr>
        <w:t>文件须清楚地标明“正本”“副本”及“电子文档”。一旦正本和副本不符，以正本为准。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2、投标文件的正本和所有的副本均需打印或用不褪色蓝（黑）墨水（汁）书写，统一胶装、编码，在每一页的正下方清楚标明页码。</w:t>
      </w:r>
    </w:p>
    <w:p>
      <w:pPr>
        <w:pStyle w:val="43"/>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3、投标文件必须加盖单位公章、其法定代表人或被授权委托人签字或盖章。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4、投标文件除各供应商对错处做必要修改外，不得行间插字、涂改和增删，如有修改错漏处，必须由供应商法定代表人或被授权委托人签字并加盖单位公章。</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五、投标文件的密封及递交</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1、投标文件的密封：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1.1“资格标”正本单独密封，“资格标”副本单独密封，“商务及技术标”正本单独密封，“商务及技术标”副本单独密封，“电子文档”单独密封。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eastAsia="仿宋"/>
          <w:sz w:val="28"/>
          <w:szCs w:val="28"/>
          <w:highlight w:val="none"/>
          <w:lang w:val="en-US" w:eastAsia="zh-CN"/>
        </w:rPr>
      </w:pPr>
      <w:r>
        <w:rPr>
          <w:rFonts w:hint="eastAsia" w:ascii="仿宋" w:hAnsi="仿宋" w:eastAsia="仿宋" w:cs="仿宋"/>
          <w:sz w:val="28"/>
          <w:szCs w:val="28"/>
          <w:highlight w:val="none"/>
        </w:rPr>
        <w:t>1.2在密封袋（箱）封口处加盖单位公章并由法定代表人或被授权委托人签字或盖章；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1.3在密封袋（箱）上应标明项目编号、项目名称、供应商全称（并加盖单位公章）、</w:t>
      </w:r>
      <w:r>
        <w:rPr>
          <w:rFonts w:hint="eastAsia" w:ascii="仿宋" w:hAnsi="仿宋" w:eastAsia="仿宋" w:cs="仿宋"/>
          <w:kern w:val="0"/>
          <w:sz w:val="28"/>
          <w:szCs w:val="28"/>
          <w:highlight w:val="none"/>
        </w:rPr>
        <w:t>在2022年</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eastAsia="zh-CN"/>
        </w:rPr>
        <w:t>14:</w:t>
      </w:r>
      <w:r>
        <w:rPr>
          <w:rFonts w:hint="eastAsia" w:ascii="仿宋" w:hAnsi="仿宋" w:eastAsia="仿宋" w:cs="仿宋"/>
          <w:kern w:val="0"/>
          <w:sz w:val="28"/>
          <w:szCs w:val="28"/>
          <w:highlight w:val="none"/>
          <w:lang w:val="en-US" w:eastAsia="zh-CN"/>
        </w:rPr>
        <w:t>0</w:t>
      </w:r>
      <w:r>
        <w:rPr>
          <w:rFonts w:hint="eastAsia" w:ascii="仿宋" w:hAnsi="仿宋" w:eastAsia="仿宋" w:cs="仿宋"/>
          <w:kern w:val="0"/>
          <w:sz w:val="28"/>
          <w:szCs w:val="28"/>
          <w:highlight w:val="none"/>
          <w:lang w:eastAsia="zh-CN"/>
        </w:rPr>
        <w:t>0</w:t>
      </w:r>
      <w:r>
        <w:rPr>
          <w:rFonts w:hint="eastAsia" w:ascii="仿宋" w:hAnsi="仿宋" w:eastAsia="仿宋" w:cs="仿宋"/>
          <w:kern w:val="0"/>
          <w:sz w:val="28"/>
          <w:szCs w:val="28"/>
          <w:highlight w:val="none"/>
        </w:rPr>
        <w:t>前不得开启</w:t>
      </w:r>
      <w:r>
        <w:rPr>
          <w:rFonts w:hint="eastAsia" w:ascii="仿宋" w:hAnsi="仿宋" w:eastAsia="仿宋" w:cs="仿宋"/>
          <w:sz w:val="28"/>
          <w:szCs w:val="28"/>
          <w:highlight w:val="none"/>
        </w:rPr>
        <w:t>等内容；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1.4如果投标文件未按要求密封，采购代理机构拒绝接收。</w:t>
      </w:r>
    </w:p>
    <w:p>
      <w:pPr>
        <w:keepNext w:val="0"/>
        <w:keepLines w:val="0"/>
        <w:pageBreakBefore w:val="0"/>
        <w:kinsoku/>
        <w:wordWrap/>
        <w:overflowPunct/>
        <w:topLinePunct w:val="0"/>
        <w:autoSpaceDE/>
        <w:autoSpaceDN/>
        <w:bidi w:val="0"/>
        <w:spacing w:line="500" w:lineRule="exact"/>
        <w:ind w:firstLine="560" w:firstLineChars="200"/>
        <w:textAlignment w:val="auto"/>
        <w:rPr>
          <w:sz w:val="28"/>
          <w:szCs w:val="28"/>
          <w:highlight w:val="none"/>
        </w:rPr>
      </w:pPr>
      <w:r>
        <w:rPr>
          <w:rFonts w:hint="eastAsia" w:ascii="仿宋" w:hAnsi="仿宋" w:eastAsia="仿宋" w:cs="仿宋"/>
          <w:sz w:val="28"/>
          <w:szCs w:val="28"/>
          <w:highlight w:val="none"/>
        </w:rPr>
        <w:t>2、投标文件的递交：</w:t>
      </w:r>
    </w:p>
    <w:p>
      <w:pPr>
        <w:pStyle w:val="8"/>
        <w:keepNext w:val="0"/>
        <w:keepLines w:val="0"/>
        <w:pageBreakBefore w:val="0"/>
        <w:kinsoku/>
        <w:wordWrap/>
        <w:overflowPunct/>
        <w:topLinePunct w:val="0"/>
        <w:autoSpaceDE/>
        <w:autoSpaceDN/>
        <w:bidi w:val="0"/>
        <w:spacing w:before="0" w:line="500" w:lineRule="exact"/>
        <w:ind w:firstLine="560" w:firstLineChars="200"/>
        <w:textAlignment w:val="auto"/>
        <w:rPr>
          <w:rFonts w:eastAsia="仿宋"/>
          <w:b/>
          <w:bCs/>
          <w:sz w:val="28"/>
          <w:szCs w:val="28"/>
          <w:highlight w:val="none"/>
        </w:rPr>
      </w:pPr>
      <w:r>
        <w:rPr>
          <w:rFonts w:hint="eastAsia" w:ascii="仿宋" w:hAnsi="仿宋" w:eastAsia="仿宋" w:cs="仿宋"/>
          <w:sz w:val="28"/>
          <w:szCs w:val="28"/>
          <w:highlight w:val="none"/>
        </w:rPr>
        <w:t>2.1供应商应将投标文件的正本、副本、电子文档，分别递交，且在封面标明“正本”“副本”“电子文档”字样；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2.2在投标文件递交截止期后，采购代理机构拒绝接收供应商递交的任何资料和文件；</w:t>
      </w:r>
    </w:p>
    <w:p>
      <w:pPr>
        <w:pStyle w:val="11"/>
        <w:keepNext w:val="0"/>
        <w:keepLines w:val="0"/>
        <w:pageBreakBefore w:val="0"/>
        <w:kinsoku/>
        <w:wordWrap/>
        <w:overflowPunct/>
        <w:topLinePunct w:val="0"/>
        <w:autoSpaceDE/>
        <w:autoSpaceDN/>
        <w:bidi w:val="0"/>
        <w:spacing w:after="0" w:line="500" w:lineRule="exact"/>
        <w:ind w:firstLine="560" w:firstLineChars="200"/>
        <w:textAlignment w:val="auto"/>
        <w:rPr>
          <w:rFonts w:hint="default"/>
          <w:sz w:val="28"/>
          <w:szCs w:val="28"/>
          <w:highlight w:val="none"/>
        </w:rPr>
      </w:pPr>
      <w:r>
        <w:rPr>
          <w:rFonts w:ascii="仿宋" w:hAnsi="仿宋" w:cs="仿宋"/>
          <w:kern w:val="2"/>
          <w:sz w:val="28"/>
          <w:szCs w:val="28"/>
          <w:highlight w:val="none"/>
        </w:rPr>
        <w:t>2.3供应商在投标截止时间前，可以对所递交的投标文件进行补充、修改或者撤回，并书面通知采购人或者采购代理机构。补充、修改的内容应当按照招标文件要求签署、盖章、密封后，作为投标文件的组成部分；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2.4投标文件递交截止后供应商不得对其投标文件做任何修改；</w:t>
      </w:r>
    </w:p>
    <w:p>
      <w:pPr>
        <w:keepNext w:val="0"/>
        <w:keepLines w:val="0"/>
        <w:pageBreakBefore w:val="0"/>
        <w:kinsoku/>
        <w:wordWrap/>
        <w:overflowPunct/>
        <w:topLinePunct w:val="0"/>
        <w:autoSpaceDE/>
        <w:autoSpaceDN/>
        <w:bidi w:val="0"/>
        <w:spacing w:line="500" w:lineRule="exact"/>
        <w:ind w:firstLine="560" w:firstLineChars="200"/>
        <w:textAlignment w:val="auto"/>
        <w:rPr>
          <w:sz w:val="28"/>
          <w:szCs w:val="28"/>
          <w:highlight w:val="none"/>
        </w:rPr>
      </w:pPr>
      <w:r>
        <w:rPr>
          <w:rFonts w:hint="eastAsia" w:ascii="仿宋" w:hAnsi="仿宋" w:eastAsia="仿宋" w:cs="仿宋"/>
          <w:sz w:val="28"/>
          <w:szCs w:val="28"/>
          <w:highlight w:val="none"/>
        </w:rPr>
        <w:t>2.5在投标文件递交截止期后到投标规定的投标文件有效期满之间的这段时间内，供应商不得撤销其投标文件，否则将没收保证金，同时，还应按《中华人民共和国政府采购法》的有关规定处罚。</w:t>
      </w:r>
    </w:p>
    <w:bookmarkEnd w:id="160"/>
    <w:bookmarkEnd w:id="161"/>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62" w:name="_Toc15488"/>
      <w:bookmarkStart w:id="163" w:name="_Toc421604334"/>
      <w:bookmarkStart w:id="164" w:name="_Toc120614281"/>
      <w:bookmarkStart w:id="165" w:name="_Toc26554093"/>
      <w:bookmarkStart w:id="166" w:name="_Toc49090575"/>
      <w:bookmarkStart w:id="167" w:name="_Toc462564139"/>
      <w:bookmarkStart w:id="168" w:name="_Toc479757211"/>
      <w:r>
        <w:rPr>
          <w:rFonts w:hint="eastAsia" w:ascii="仿宋" w:hAnsi="仿宋" w:eastAsia="仿宋" w:cs="仿宋"/>
          <w:b/>
          <w:bCs/>
          <w:sz w:val="28"/>
          <w:szCs w:val="28"/>
          <w:highlight w:val="none"/>
        </w:rPr>
        <w:t>六、采购代理机构及评标委员会职能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1、采购代理机构职能：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1.1采购代理机构组织开标、评审工作，开标整个过程接受采购管理机构的监督和管理，参加投标的供应商、评标委员会、监督机构及采购人须签名报到以证明出席；</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为确保招标工作公平、公正，根据《中华人民共和国政府采购法》《中华人民共和国政府采购法实施条例》及相关法律法规的规定成立评标委员会。评标委员会由采购人代表和评审专家组成，成员人数为5人以上单数，评审专家在政府采购专家库中随机抽取。</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2、评标委员会的职能：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2.1对各供应商就投标文件中（含澄清、说明或补正的内容）</w:t>
      </w:r>
      <w:r>
        <w:rPr>
          <w:rFonts w:hint="eastAsia" w:ascii="仿宋" w:hAnsi="仿宋" w:eastAsia="仿宋" w:cs="仿宋"/>
          <w:color w:val="auto"/>
          <w:sz w:val="28"/>
          <w:szCs w:val="28"/>
          <w:highlight w:val="none"/>
        </w:rPr>
        <w:t>投标报价、商务部分、技术响应、业绩证明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售后服务承诺</w:t>
      </w:r>
      <w:r>
        <w:rPr>
          <w:rFonts w:hint="eastAsia" w:ascii="仿宋" w:hAnsi="仿宋" w:eastAsia="仿宋" w:cs="仿宋"/>
          <w:color w:val="auto"/>
          <w:sz w:val="28"/>
          <w:szCs w:val="28"/>
          <w:highlight w:val="none"/>
          <w:lang w:eastAsia="zh-CN"/>
        </w:rPr>
        <w:t>及培训</w:t>
      </w:r>
      <w:r>
        <w:rPr>
          <w:rFonts w:hint="eastAsia" w:ascii="仿宋" w:hAnsi="仿宋" w:eastAsia="仿宋" w:cs="仿宋"/>
          <w:color w:val="auto"/>
          <w:sz w:val="28"/>
          <w:szCs w:val="28"/>
          <w:highlight w:val="none"/>
        </w:rPr>
        <w:t>等进行评审；</w:t>
      </w:r>
    </w:p>
    <w:p>
      <w:pPr>
        <w:pStyle w:val="11"/>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cs="仿宋"/>
          <w:kern w:val="2"/>
          <w:sz w:val="28"/>
          <w:szCs w:val="28"/>
          <w:highlight w:val="none"/>
        </w:rPr>
      </w:pPr>
      <w:r>
        <w:rPr>
          <w:rFonts w:ascii="仿宋" w:hAnsi="仿宋" w:cs="仿宋"/>
          <w:kern w:val="2"/>
          <w:sz w:val="28"/>
          <w:szCs w:val="28"/>
          <w:highlight w:val="none"/>
        </w:rPr>
        <w:t>2.2对于投标文件中含义不明确、同类问题表述不一致或者有明显文字和计算错误的内容，评标委员会应当以书面形式要求投标人作出必要的澄清、说明或者补正；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2.3依据招标文件的要求和评审标准，确定进入最终评审的供应商；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2.4排序推荐中标候选供应商；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2.5协商处理开标过程中出现的其他相关问题。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3、评标委员会成员应当遵守并履行下列义务：</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3.1遵纪守法，客观、公正、廉洁地履行职责，审查投标文件是否符合招标文件的要求，并做出评价；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3.2要求供应商对投标文件有关事项作出解释或者澄清；</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3.3按照招标文件的要求和评审办法进行评审，推荐中标候选供应商名单，对评审意见承担个人责任；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3.4对评审过程和结果以及供应商的商业秘密保密；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3.5参与评标报告的起草；</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3.6配合采购代理机构答复供应商提出的质疑；</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3.7配合财政部门的投诉处理工作。</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4、开标时，采购代理机构依据递交投标文件顺序的逆顺序，将各供应商的投标报价及有关内容进行公布。</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5、开标后，直到与中标供应商签订合同为止，凡与审查、澄清、评价和比较各供应商的有关资料及意见等内容，评标委员会均不得向供应商及与投标无关的其他人透露。</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七、评审原则及程序</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1、招标评审原则：</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1.1评标委员会遵循“公平、公正、科学、择优”的原则；</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1.2采用同一程序和标准对供应商进行评审。</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2、投标文件出现下列情况，修正原则为：</w:t>
      </w:r>
    </w:p>
    <w:p>
      <w:pPr>
        <w:pStyle w:val="43"/>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kern w:val="2"/>
          <w:sz w:val="28"/>
          <w:szCs w:val="28"/>
          <w:highlight w:val="none"/>
        </w:rPr>
      </w:pPr>
      <w:r>
        <w:rPr>
          <w:rFonts w:ascii="仿宋" w:hAnsi="仿宋" w:cs="仿宋"/>
          <w:kern w:val="2"/>
          <w:sz w:val="28"/>
          <w:szCs w:val="28"/>
          <w:highlight w:val="none"/>
        </w:rPr>
        <w:t>2.1文字与图表不符以文字为准；</w:t>
      </w:r>
    </w:p>
    <w:p>
      <w:pPr>
        <w:pStyle w:val="43"/>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2.2</w:t>
      </w:r>
      <w:r>
        <w:rPr>
          <w:rFonts w:ascii="仿宋" w:hAnsi="仿宋" w:cs="仿宋"/>
          <w:spacing w:val="-4"/>
          <w:sz w:val="28"/>
          <w:szCs w:val="28"/>
          <w:highlight w:val="none"/>
        </w:rPr>
        <w:t>正本与副本不符以正本为准；</w:t>
      </w:r>
    </w:p>
    <w:p>
      <w:pPr>
        <w:pStyle w:val="43"/>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2.3</w:t>
      </w:r>
      <w:r>
        <w:rPr>
          <w:rFonts w:ascii="仿宋" w:hAnsi="仿宋" w:cs="仿宋"/>
          <w:spacing w:val="-4"/>
          <w:sz w:val="28"/>
          <w:szCs w:val="28"/>
          <w:highlight w:val="none"/>
        </w:rPr>
        <w:t>投标文件中报价一览表（报价表）内容与投标文件中相应内容不一致的，以报价一览表（报价表）为准；</w:t>
      </w:r>
    </w:p>
    <w:p>
      <w:pPr>
        <w:pStyle w:val="43"/>
        <w:keepNext w:val="0"/>
        <w:keepLines w:val="0"/>
        <w:pageBreakBefore w:val="0"/>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2.4</w:t>
      </w:r>
      <w:r>
        <w:rPr>
          <w:rFonts w:ascii="仿宋" w:hAnsi="仿宋" w:cs="仿宋"/>
          <w:spacing w:val="-4"/>
          <w:sz w:val="28"/>
          <w:szCs w:val="28"/>
          <w:highlight w:val="none"/>
        </w:rPr>
        <w:t>大写金额和小写金额不一致的，以大写金额为准；</w:t>
      </w:r>
    </w:p>
    <w:p>
      <w:pPr>
        <w:pStyle w:val="43"/>
        <w:keepNext w:val="0"/>
        <w:keepLines w:val="0"/>
        <w:pageBreakBefore w:val="0"/>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2.5</w:t>
      </w:r>
      <w:r>
        <w:rPr>
          <w:rFonts w:ascii="仿宋" w:hAnsi="仿宋" w:cs="仿宋"/>
          <w:spacing w:val="-4"/>
          <w:sz w:val="28"/>
          <w:szCs w:val="28"/>
          <w:highlight w:val="none"/>
        </w:rPr>
        <w:t>单价金额小数点或者百分比有明显错位的，以报价一览表的总价为准，并修改单价；</w:t>
      </w:r>
    </w:p>
    <w:p>
      <w:pPr>
        <w:pStyle w:val="43"/>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2.6</w:t>
      </w:r>
      <w:r>
        <w:rPr>
          <w:rFonts w:ascii="仿宋" w:hAnsi="仿宋" w:cs="仿宋"/>
          <w:spacing w:val="-4"/>
          <w:sz w:val="28"/>
          <w:szCs w:val="28"/>
          <w:highlight w:val="none"/>
        </w:rPr>
        <w:t>总价金额与按单价汇总金额不一致的，以单价金额计算结果为准。</w:t>
      </w:r>
    </w:p>
    <w:p>
      <w:pPr>
        <w:pStyle w:val="43"/>
        <w:keepNext w:val="0"/>
        <w:keepLines w:val="0"/>
        <w:pageBreakBefore w:val="0"/>
        <w:widowControl/>
        <w:kinsoku/>
        <w:wordWrap/>
        <w:overflowPunct/>
        <w:topLinePunct w:val="0"/>
        <w:autoSpaceDE/>
        <w:autoSpaceDN/>
        <w:bidi w:val="0"/>
        <w:adjustRightInd/>
        <w:spacing w:line="500" w:lineRule="exact"/>
        <w:ind w:firstLine="544"/>
        <w:textAlignment w:val="auto"/>
        <w:rPr>
          <w:rFonts w:hint="default" w:ascii="仿宋" w:hAnsi="仿宋" w:cs="仿宋"/>
          <w:spacing w:val="-4"/>
          <w:sz w:val="28"/>
          <w:szCs w:val="28"/>
          <w:highlight w:val="none"/>
        </w:rPr>
      </w:pPr>
      <w:r>
        <w:rPr>
          <w:rFonts w:ascii="仿宋" w:hAnsi="仿宋" w:cs="仿宋"/>
          <w:spacing w:val="-4"/>
          <w:sz w:val="28"/>
          <w:szCs w:val="28"/>
          <w:highlight w:val="none"/>
        </w:rPr>
        <w:t>同时出现两种以上不一致的，按照前款规定的顺序修正。修正后的报价经供应商确认后产生约束力，供应商不确认的，其投标无效。</w:t>
      </w:r>
    </w:p>
    <w:p>
      <w:pPr>
        <w:keepNext w:val="0"/>
        <w:keepLines w:val="0"/>
        <w:pageBreakBefore w:val="0"/>
        <w:kinsoku/>
        <w:wordWrap/>
        <w:overflowPunct/>
        <w:topLinePunct w:val="0"/>
        <w:autoSpaceDE/>
        <w:autoSpaceDN/>
        <w:bidi w:val="0"/>
        <w:spacing w:line="500" w:lineRule="exact"/>
        <w:ind w:firstLine="544" w:firstLineChars="200"/>
        <w:textAlignment w:val="auto"/>
        <w:rPr>
          <w:rFonts w:ascii="仿宋" w:hAnsi="仿宋" w:eastAsia="仿宋" w:cs="仿宋"/>
          <w:spacing w:val="-4"/>
          <w:sz w:val="28"/>
          <w:szCs w:val="28"/>
          <w:highlight w:val="none"/>
        </w:rPr>
      </w:pPr>
      <w:r>
        <w:rPr>
          <w:rFonts w:hint="eastAsia" w:ascii="仿宋" w:hAnsi="仿宋" w:eastAsia="仿宋" w:cs="仿宋"/>
          <w:spacing w:val="-4"/>
          <w:sz w:val="28"/>
          <w:szCs w:val="28"/>
          <w:highlight w:val="none"/>
        </w:rPr>
        <w:t>3、开标程序：</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开标的全过程分为：投标文件密封查验、公布投标报价、供应商资格审查、投标文件符合性审查、评审过程、评审专家评审结论等阶段。</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3.1投标文件密封查验：由供应商对投标文件密封情况进行查验；</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3.2公布投标报价：将各参加投标供应商的投标文件中的报价、</w:t>
      </w:r>
      <w:r>
        <w:rPr>
          <w:rFonts w:hint="eastAsia" w:ascii="仿宋" w:hAnsi="仿宋" w:eastAsia="仿宋" w:cs="仿宋"/>
          <w:spacing w:val="-4"/>
          <w:sz w:val="28"/>
          <w:szCs w:val="28"/>
          <w:highlight w:val="none"/>
          <w:lang w:eastAsia="zh-CN"/>
        </w:rPr>
        <w:t>供货期</w:t>
      </w:r>
      <w:r>
        <w:rPr>
          <w:rFonts w:hint="eastAsia" w:ascii="仿宋" w:hAnsi="仿宋" w:eastAsia="仿宋" w:cs="仿宋"/>
          <w:spacing w:val="-4"/>
          <w:sz w:val="28"/>
          <w:szCs w:val="28"/>
          <w:highlight w:val="none"/>
        </w:rPr>
        <w:t>、质量等内容以公开宣读的形式予以公布；</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3.3供应商资格审查：由采购人对供应商资格进行审查；</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3.4投标文件符合性审查：由评标委员会对资格审查合格供应商的投标文件进行符合性审查。凡未通过符合性审查的投标文件即作为无效文件，不得进入后续评审工作。</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3.5评审过程：评标委员会在符合性评审的基础上对各供应商的投标文件认真阅读，并对采购内容、商务报价、产品性能等内容进行详细的评审。各供应商应评标委员会的要求对投标文件中的技术、商务价格、服务、所投产品的性能等内容按要求进行补充、完善、澄清、承诺，但补充完善的内容必须在其被授权范围内。评标委员会以补充、完善后的内容作为评审的依据。</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评标须知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有下列情形之一的，视为供应商串通投标，其投标无效：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不同供应商的投标文件由同一单位或者个人编制；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不同供应商委托同一单位或者个人办理投标事宜；</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不同供应商的投标文件载明的项目管理成员或者联系人员为同一人；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不同供应商的投标文件异常一致或者投标报价呈规律性差异；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不同供应商的投标文件相互混装；</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不同供应商的投标保证金从同一单位或者个人的账户转出。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评标委员会对投标文件中的内容有疑问的部分，可以向供应商质询并要求该供应商做出书面澄清，但不得对投标文件做实质性修改，质询工作应当由全体评标委员会成员参加。对于实质性不符合招标文件的，评标委员会有权予以拒绝。质询工作应做书面记录，采购人代表、评标委员会成员及供应商应在记录上签字确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评标委员会按照评分标准进行独立记名评分，其合计即为该供应商的综合得分，并汇总排序，选定得分最高者为第一中标候选人。</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、评审办法及内容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坚持公平、公正、科学、择优、合理低价、禁止不正当竞争。</w:t>
      </w:r>
    </w:p>
    <w:p>
      <w:pPr>
        <w:numPr>
          <w:ilvl w:val="0"/>
          <w:numId w:val="0"/>
        </w:num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1、资格标审查</w:t>
      </w:r>
    </w:p>
    <w:tbl>
      <w:tblPr>
        <w:tblStyle w:val="27"/>
        <w:tblW w:w="956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426"/>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9"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序号</w:t>
            </w:r>
          </w:p>
        </w:tc>
        <w:tc>
          <w:tcPr>
            <w:tcW w:w="2426"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rPr>
              <w:t>审查内容</w:t>
            </w:r>
          </w:p>
        </w:tc>
        <w:tc>
          <w:tcPr>
            <w:tcW w:w="6223"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具有独立承担民事责任的能力</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供应商应具有独立承担民事责任的能力且具备向采购人提供</w:t>
            </w:r>
            <w:r>
              <w:rPr>
                <w:rFonts w:hint="eastAsia" w:ascii="仿宋" w:hAnsi="仿宋" w:eastAsia="仿宋" w:cs="仿宋"/>
                <w:sz w:val="28"/>
                <w:szCs w:val="28"/>
                <w:highlight w:val="none"/>
                <w:lang w:eastAsia="zh-CN"/>
              </w:rPr>
              <w:t>相关货物及服务</w:t>
            </w:r>
            <w:r>
              <w:rPr>
                <w:rFonts w:hint="eastAsia" w:ascii="仿宋" w:hAnsi="仿宋" w:eastAsia="仿宋" w:cs="仿宋"/>
                <w:sz w:val="28"/>
                <w:szCs w:val="28"/>
                <w:highlight w:val="none"/>
              </w:rPr>
              <w:t>的企业法人、事业法人、其他组织或者自然人,企业法人应提供统一社会信用代码的营业执照；事业法人应提供统一社会信用代码的事业单位法人证；其他组织应提供合法证明文件；自然人提供身份证明文件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供应商授权合法的人员参加投标全过程</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具有良好的商业信誉和健全的财务会计制度</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4</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有依法缴纳税收和社会保障资金的良好记录</w:t>
            </w:r>
          </w:p>
        </w:tc>
        <w:tc>
          <w:tcPr>
            <w:tcW w:w="6223" w:type="dxa"/>
            <w:noWrap w:val="0"/>
            <w:vAlign w:val="center"/>
          </w:tcPr>
          <w:p>
            <w:pPr>
              <w:keepLines/>
              <w:wordWrap w:val="0"/>
              <w:topLinePunct/>
              <w:spacing w:line="500" w:lineRule="exact"/>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lang w:eastAsia="zh-CN"/>
              </w:rPr>
              <w:t>提供2021年12月以来任意3个月依法缴纳税收和社会保险的相关证明材料；注：依法免税或不需要缴纳社会保险的供应商提供相关部门出具的证明文件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具有履行合同所必需的设备和专业技术能力</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6</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参加政府采购活动前三年内</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在经营活动中没有重大违法记录</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7</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投标保证金交纳凭证</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eastAsia="zh-CN"/>
              </w:rPr>
              <w:t>投标保证金</w:t>
            </w:r>
            <w:r>
              <w:rPr>
                <w:rFonts w:hint="eastAsia" w:ascii="仿宋" w:hAnsi="仿宋" w:eastAsia="仿宋" w:cs="仿宋"/>
                <w:sz w:val="28"/>
                <w:szCs w:val="28"/>
                <w:highlight w:val="none"/>
              </w:rPr>
              <w:t>交纳凭证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其他条件</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提供《中小企业声明函》；供应商为监狱企业的，应提供监狱企业相关资格证明材料；供应商为残疾人福利性单位的，应提供《残疾人福利性单位声明函》。</w:t>
            </w:r>
          </w:p>
        </w:tc>
      </w:tr>
    </w:tbl>
    <w:p>
      <w:pPr>
        <w:pStyle w:val="17"/>
        <w:rPr>
          <w:rFonts w:ascii="仿宋" w:hAnsi="仿宋" w:eastAsia="仿宋" w:cs="仿宋"/>
          <w:sz w:val="28"/>
          <w:szCs w:val="28"/>
          <w:highlight w:val="none"/>
        </w:rPr>
      </w:pPr>
    </w:p>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lang w:val="en-US" w:eastAsia="zh-CN"/>
        </w:rPr>
        <w:t>供应商对资格证明文件的真实性、合法性承担法律责任；</w:t>
      </w:r>
    </w:p>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由采购人对上述资料进行审查，以上内容有一项不符合要求，则投标文件的资格标审查为不合格，投标文件无效，无资格进入后续评审阶段。</w:t>
      </w:r>
    </w:p>
    <w:p>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br w:type="page"/>
      </w:r>
    </w:p>
    <w:p>
      <w:pPr>
        <w:numPr>
          <w:ilvl w:val="0"/>
          <w:numId w:val="0"/>
        </w:num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2、符合性审查</w:t>
      </w:r>
    </w:p>
    <w:tbl>
      <w:tblPr>
        <w:tblStyle w:val="27"/>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6149"/>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511" w:type="pct"/>
            <w:noWrap w:val="0"/>
            <w:vAlign w:val="top"/>
          </w:tcPr>
          <w:p>
            <w:pPr>
              <w:adjustRightInd w:val="0"/>
              <w:snapToGrid w:val="0"/>
              <w:spacing w:line="54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093" w:type="pct"/>
            <w:noWrap w:val="0"/>
            <w:vAlign w:val="top"/>
          </w:tcPr>
          <w:p>
            <w:pPr>
              <w:adjustRightInd w:val="0"/>
              <w:snapToGrid w:val="0"/>
              <w:spacing w:line="540" w:lineRule="exact"/>
              <w:ind w:firstLine="281" w:firstLineChars="1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审查内容</w:t>
            </w:r>
          </w:p>
        </w:tc>
        <w:tc>
          <w:tcPr>
            <w:tcW w:w="1395" w:type="pct"/>
            <w:noWrap w:val="0"/>
            <w:vAlign w:val="top"/>
          </w:tcPr>
          <w:p>
            <w:pPr>
              <w:adjustRightInd w:val="0"/>
              <w:snapToGrid w:val="0"/>
              <w:spacing w:line="540" w:lineRule="exact"/>
              <w:ind w:firstLine="281" w:firstLineChars="1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响应函未加盖</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公章、未经法定代表人或被授权委托人签字或盖章的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文件无投标有效期或有效期达不到</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的要求</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报价超过本项目</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供应商针对同一</w:t>
            </w:r>
            <w:r>
              <w:rPr>
                <w:rFonts w:hint="eastAsia" w:ascii="仿宋" w:hAnsi="仿宋" w:eastAsia="仿宋" w:cs="仿宋"/>
                <w:sz w:val="28"/>
                <w:szCs w:val="28"/>
                <w:highlight w:val="none"/>
                <w:lang w:eastAsia="zh-CN"/>
              </w:rPr>
              <w:t>货物</w:t>
            </w:r>
            <w:r>
              <w:rPr>
                <w:rFonts w:hint="eastAsia" w:ascii="仿宋" w:hAnsi="仿宋" w:eastAsia="仿宋" w:cs="仿宋"/>
                <w:sz w:val="28"/>
                <w:szCs w:val="28"/>
                <w:highlight w:val="none"/>
              </w:rPr>
              <w:t>递交两份或多份内容不同的</w:t>
            </w: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，未书面声明哪一份是有效的,出现选择性报价的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附有采购人不能接受的条件的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不符合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规定的其他实质性要求的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违反《中华人民共和国政府采购法》和其他相关法律、法规的规定</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bl>
    <w:p>
      <w:pPr>
        <w:pStyle w:val="17"/>
        <w:rPr>
          <w:rFonts w:hint="eastAsia" w:ascii="仿宋" w:hAnsi="仿宋" w:eastAsia="仿宋" w:cs="仿宋"/>
          <w:b/>
          <w:bCs/>
          <w:sz w:val="28"/>
          <w:szCs w:val="28"/>
          <w:highlight w:val="none"/>
          <w:lang w:eastAsia="zh-CN"/>
        </w:rPr>
      </w:pPr>
    </w:p>
    <w:p>
      <w:pPr>
        <w:pStyle w:val="1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由</w:t>
      </w:r>
      <w:r>
        <w:rPr>
          <w:rFonts w:hint="eastAsia" w:ascii="仿宋" w:hAnsi="仿宋" w:cs="仿宋"/>
          <w:b/>
          <w:bCs/>
          <w:sz w:val="28"/>
          <w:szCs w:val="28"/>
          <w:highlight w:val="none"/>
          <w:lang w:eastAsia="zh-CN"/>
        </w:rPr>
        <w:t>评标委员会</w:t>
      </w:r>
      <w:r>
        <w:rPr>
          <w:rFonts w:hint="eastAsia" w:ascii="仿宋" w:hAnsi="仿宋" w:eastAsia="仿宋" w:cs="仿宋"/>
          <w:b/>
          <w:bCs/>
          <w:sz w:val="28"/>
          <w:szCs w:val="28"/>
          <w:highlight w:val="none"/>
        </w:rPr>
        <w:t>对上述资料进行审查，以上内容有一项不符合要求，则</w:t>
      </w:r>
      <w:r>
        <w:rPr>
          <w:rFonts w:hint="eastAsia" w:ascii="仿宋" w:hAnsi="仿宋" w:cs="仿宋"/>
          <w:b/>
          <w:bCs/>
          <w:sz w:val="28"/>
          <w:szCs w:val="28"/>
          <w:highlight w:val="none"/>
          <w:lang w:eastAsia="zh-CN"/>
        </w:rPr>
        <w:t>投标文件</w:t>
      </w:r>
      <w:r>
        <w:rPr>
          <w:rFonts w:hint="eastAsia" w:ascii="仿宋" w:hAnsi="仿宋" w:eastAsia="仿宋" w:cs="仿宋"/>
          <w:b/>
          <w:bCs/>
          <w:sz w:val="28"/>
          <w:szCs w:val="28"/>
          <w:highlight w:val="none"/>
        </w:rPr>
        <w:t>的符合性审查为不合格，</w:t>
      </w:r>
      <w:r>
        <w:rPr>
          <w:rFonts w:hint="eastAsia" w:ascii="仿宋" w:hAnsi="仿宋" w:cs="仿宋"/>
          <w:b/>
          <w:bCs/>
          <w:sz w:val="28"/>
          <w:szCs w:val="28"/>
          <w:highlight w:val="none"/>
          <w:lang w:eastAsia="zh-CN"/>
        </w:rPr>
        <w:t>投标文件</w:t>
      </w:r>
      <w:r>
        <w:rPr>
          <w:rFonts w:hint="eastAsia" w:ascii="仿宋" w:hAnsi="仿宋" w:eastAsia="仿宋" w:cs="仿宋"/>
          <w:b/>
          <w:bCs/>
          <w:sz w:val="28"/>
          <w:szCs w:val="28"/>
          <w:highlight w:val="none"/>
        </w:rPr>
        <w:t>无效，无资格进入后续评审阶段</w:t>
      </w:r>
      <w:r>
        <w:rPr>
          <w:rFonts w:hint="eastAsia" w:ascii="仿宋" w:hAnsi="仿宋" w:cs="仿宋"/>
          <w:b/>
          <w:bCs/>
          <w:sz w:val="28"/>
          <w:szCs w:val="28"/>
          <w:highlight w:val="none"/>
          <w:lang w:eastAsia="zh-CN"/>
        </w:rPr>
        <w:t>。</w:t>
      </w:r>
    </w:p>
    <w:p>
      <w:pPr>
        <w:spacing w:line="500" w:lineRule="exact"/>
        <w:ind w:firstLine="560" w:firstLineChars="200"/>
        <w:rPr>
          <w:rFonts w:hint="eastAsia" w:ascii="仿宋" w:hAnsi="仿宋" w:eastAsia="仿宋" w:cs="仿宋"/>
          <w:b w:val="0"/>
          <w:bCs w:val="0"/>
          <w:sz w:val="28"/>
          <w:szCs w:val="28"/>
          <w:highlight w:val="none"/>
        </w:rPr>
      </w:pPr>
    </w:p>
    <w:p>
      <w:pPr>
        <w:spacing w:line="500" w:lineRule="exact"/>
        <w:ind w:firstLine="560" w:firstLineChars="200"/>
        <w:rPr>
          <w:rFonts w:hint="eastAsia" w:ascii="仿宋" w:hAnsi="仿宋" w:eastAsia="仿宋" w:cs="仿宋"/>
          <w:b w:val="0"/>
          <w:bCs w:val="0"/>
          <w:sz w:val="28"/>
          <w:szCs w:val="28"/>
          <w:highlight w:val="none"/>
        </w:rPr>
      </w:pPr>
    </w:p>
    <w:p>
      <w:pPr>
        <w:spacing w:line="500" w:lineRule="exact"/>
        <w:ind w:firstLine="560" w:firstLineChars="200"/>
        <w:rPr>
          <w:rFonts w:hint="eastAsia" w:ascii="仿宋" w:hAnsi="仿宋" w:eastAsia="仿宋" w:cs="仿宋"/>
          <w:b w:val="0"/>
          <w:bCs w:val="0"/>
          <w:sz w:val="28"/>
          <w:szCs w:val="28"/>
          <w:highlight w:val="none"/>
        </w:rPr>
      </w:pPr>
    </w:p>
    <w:p>
      <w:pPr>
        <w:spacing w:line="500" w:lineRule="exact"/>
        <w:ind w:firstLine="560" w:firstLineChars="200"/>
        <w:rPr>
          <w:rFonts w:hint="eastAsia" w:ascii="仿宋" w:hAnsi="仿宋" w:eastAsia="仿宋" w:cs="仿宋"/>
          <w:b w:val="0"/>
          <w:bCs w:val="0"/>
          <w:sz w:val="28"/>
          <w:szCs w:val="28"/>
          <w:highlight w:val="none"/>
        </w:rPr>
      </w:pPr>
    </w:p>
    <w:p>
      <w:pPr>
        <w:spacing w:line="500" w:lineRule="exact"/>
        <w:ind w:firstLine="560" w:firstLineChars="200"/>
        <w:rPr>
          <w:rFonts w:hint="eastAsia" w:ascii="仿宋" w:hAnsi="仿宋" w:eastAsia="仿宋" w:cs="仿宋"/>
          <w:b w:val="0"/>
          <w:bCs w:val="0"/>
          <w:sz w:val="28"/>
          <w:szCs w:val="28"/>
          <w:highlight w:val="none"/>
        </w:rPr>
      </w:pPr>
    </w:p>
    <w:p>
      <w:pPr>
        <w:spacing w:line="500" w:lineRule="exact"/>
        <w:ind w:firstLine="560" w:firstLineChars="200"/>
        <w:rPr>
          <w:rFonts w:hint="eastAsia" w:ascii="仿宋" w:hAnsi="仿宋" w:eastAsia="仿宋" w:cs="仿宋"/>
          <w:b w:val="0"/>
          <w:bCs w:val="0"/>
          <w:sz w:val="28"/>
          <w:szCs w:val="28"/>
          <w:highlight w:val="none"/>
        </w:rPr>
      </w:pPr>
    </w:p>
    <w:p>
      <w:pPr>
        <w:pStyle w:val="26"/>
        <w:rPr>
          <w:rFonts w:hint="eastAsia"/>
        </w:rPr>
      </w:pPr>
    </w:p>
    <w:p>
      <w:pPr>
        <w:pStyle w:val="2"/>
        <w:rPr>
          <w:rFonts w:hint="eastAsia" w:ascii="仿宋" w:hAnsi="仿宋" w:eastAsia="仿宋" w:cs="仿宋"/>
          <w:b w:val="0"/>
          <w:bCs w:val="0"/>
          <w:sz w:val="28"/>
          <w:szCs w:val="28"/>
          <w:highlight w:val="none"/>
        </w:rPr>
      </w:pPr>
    </w:p>
    <w:p>
      <w:pPr>
        <w:spacing w:line="500" w:lineRule="exact"/>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r>
        <w:rPr>
          <w:rFonts w:hint="eastAsia" w:ascii="仿宋" w:hAnsi="仿宋" w:eastAsia="仿宋" w:cs="仿宋"/>
          <w:b w:val="0"/>
          <w:bCs w:val="0"/>
          <w:sz w:val="28"/>
          <w:szCs w:val="28"/>
          <w:highlight w:val="none"/>
          <w:lang w:val="en-US" w:eastAsia="zh-CN" w:bidi="ar"/>
        </w:rPr>
        <w:t>商务及技术</w:t>
      </w:r>
      <w:r>
        <w:rPr>
          <w:rFonts w:hint="eastAsia" w:ascii="仿宋" w:hAnsi="仿宋" w:eastAsia="仿宋" w:cs="仿宋"/>
          <w:b w:val="0"/>
          <w:bCs w:val="0"/>
          <w:sz w:val="28"/>
          <w:szCs w:val="28"/>
          <w:highlight w:val="none"/>
          <w:lang w:bidi="ar"/>
        </w:rPr>
        <w:t>标</w:t>
      </w:r>
      <w:r>
        <w:rPr>
          <w:rFonts w:hint="eastAsia" w:ascii="仿宋" w:hAnsi="仿宋" w:eastAsia="仿宋" w:cs="仿宋"/>
          <w:b w:val="0"/>
          <w:bCs w:val="0"/>
          <w:sz w:val="28"/>
          <w:szCs w:val="28"/>
          <w:highlight w:val="none"/>
        </w:rPr>
        <w:t>评分标准及办法</w:t>
      </w:r>
    </w:p>
    <w:p>
      <w:pPr>
        <w:spacing w:line="5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满分：100分，综合评分法。各分项分值分配如下：</w:t>
      </w:r>
    </w:p>
    <w:tbl>
      <w:tblPr>
        <w:tblStyle w:val="27"/>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10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分</w:t>
            </w:r>
          </w:p>
        </w:tc>
        <w:tc>
          <w:tcPr>
            <w:tcW w:w="734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价格分采用低价优先法计算，即满足招标文件要求且投标价格最低的投标报价为评标基准价，其价格分为满分。其他供应商的价格分统一按照下列公式计算：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投标报价得分=（评标基准价/有效报价）×价格权重（</w:t>
            </w: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09"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部分</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2分</w:t>
            </w:r>
          </w:p>
        </w:tc>
        <w:tc>
          <w:tcPr>
            <w:tcW w:w="734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通过资格和符合性审查的供应商，对商务要求完全响应招标文件要求的得2分。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jc w:val="center"/>
        </w:trPr>
        <w:tc>
          <w:tcPr>
            <w:tcW w:w="1109"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49</w:t>
            </w:r>
            <w:r>
              <w:rPr>
                <w:rFonts w:hint="eastAsia" w:ascii="仿宋" w:hAnsi="仿宋" w:eastAsia="仿宋" w:cs="仿宋"/>
                <w:color w:val="auto"/>
                <w:sz w:val="28"/>
                <w:szCs w:val="28"/>
                <w:highlight w:val="none"/>
              </w:rPr>
              <w:t>分</w:t>
            </w:r>
          </w:p>
        </w:tc>
        <w:tc>
          <w:tcPr>
            <w:tcW w:w="7342" w:type="dxa"/>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val="0"/>
              <w:snapToGrid/>
              <w:spacing w:before="0" w:after="0" w:line="490" w:lineRule="exact"/>
              <w:ind w:right="0" w:rightChars="0"/>
              <w:textAlignment w:val="auto"/>
              <w:rPr>
                <w:rFonts w:hint="eastAsia" w:ascii="仿宋" w:hAnsi="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1、所投产品技术参数指标，</w:t>
            </w:r>
            <w:r>
              <w:rPr>
                <w:rFonts w:hint="eastAsia" w:ascii="仿宋" w:hAnsi="仿宋" w:cs="仿宋"/>
                <w:b/>
                <w:bCs/>
                <w:color w:val="auto"/>
                <w:kern w:val="2"/>
                <w:sz w:val="28"/>
                <w:szCs w:val="28"/>
                <w:highlight w:val="none"/>
                <w:lang w:val="en-US" w:eastAsia="zh-CN" w:bidi="ar-SA"/>
              </w:rPr>
              <w:t>本项基础分19分</w:t>
            </w:r>
            <w:r>
              <w:rPr>
                <w:rFonts w:hint="eastAsia" w:ascii="仿宋" w:hAnsi="仿宋" w:cs="仿宋"/>
                <w:b w:val="0"/>
                <w:bCs w:val="0"/>
                <w:color w:val="auto"/>
                <w:kern w:val="2"/>
                <w:sz w:val="28"/>
                <w:szCs w:val="28"/>
                <w:highlight w:val="none"/>
                <w:lang w:val="en-US" w:eastAsia="zh-CN" w:bidi="ar-SA"/>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spacing w:before="0" w:after="0" w:line="4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cs="仿宋"/>
                <w:b w:val="0"/>
                <w:bCs w:val="0"/>
                <w:color w:val="auto"/>
                <w:kern w:val="2"/>
                <w:sz w:val="28"/>
                <w:szCs w:val="28"/>
                <w:highlight w:val="none"/>
                <w:lang w:val="en-US" w:eastAsia="zh-CN" w:bidi="ar-SA"/>
              </w:rPr>
              <w:t>标★参数有一项不满足扣2分，非★参数有一项不满足扣1分，扣完为止。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注：投标文件中需提供的作为评审依据的证明文件（包括但不限于第三方检测报告、加盖公章的产品彩页、加盖公章的官网截图等）。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val="0"/>
                <w:bCs w:val="0"/>
                <w:color w:val="auto"/>
                <w:sz w:val="28"/>
                <w:szCs w:val="28"/>
                <w:highlight w:val="none"/>
                <w:lang w:val="en-US" w:eastAsia="zh-CN"/>
              </w:rPr>
              <w:t>所投产品相关资料（</w:t>
            </w:r>
            <w:r>
              <w:rPr>
                <w:rFonts w:hint="eastAsia" w:ascii="仿宋" w:hAnsi="仿宋" w:eastAsia="仿宋" w:cs="仿宋"/>
                <w:color w:val="auto"/>
                <w:sz w:val="28"/>
                <w:szCs w:val="28"/>
                <w:highlight w:val="none"/>
              </w:rPr>
              <w:t>包括但不限于产品来源渠道、产品说明书、</w:t>
            </w:r>
            <w:r>
              <w:rPr>
                <w:rFonts w:hint="eastAsia" w:ascii="仿宋" w:hAnsi="仿宋" w:eastAsia="仿宋" w:cs="仿宋"/>
                <w:color w:val="auto"/>
                <w:sz w:val="28"/>
                <w:szCs w:val="28"/>
                <w:highlight w:val="none"/>
                <w:lang w:eastAsia="zh-CN"/>
              </w:rPr>
              <w:t>使用手册、用户手册、</w:t>
            </w:r>
            <w:r>
              <w:rPr>
                <w:rFonts w:hint="eastAsia" w:ascii="仿宋" w:hAnsi="仿宋" w:eastAsia="仿宋" w:cs="仿宋"/>
                <w:color w:val="auto"/>
                <w:sz w:val="28"/>
                <w:szCs w:val="28"/>
                <w:highlight w:val="none"/>
              </w:rPr>
              <w:t>产品质量</w:t>
            </w:r>
            <w:r>
              <w:rPr>
                <w:rFonts w:hint="eastAsia" w:ascii="仿宋" w:hAnsi="仿宋" w:eastAsia="仿宋" w:cs="仿宋"/>
                <w:color w:val="auto"/>
                <w:sz w:val="28"/>
                <w:szCs w:val="28"/>
                <w:highlight w:val="none"/>
                <w:lang w:eastAsia="zh-CN"/>
              </w:rPr>
              <w:t>证明文件等</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本项满分15分</w:t>
            </w:r>
            <w:r>
              <w:rPr>
                <w:rFonts w:hint="eastAsia" w:ascii="仿宋" w:hAnsi="仿宋" w:eastAsia="仿宋" w:cs="仿宋"/>
                <w:b w:val="0"/>
                <w:bCs w:val="0"/>
                <w:color w:val="auto"/>
                <w:sz w:val="28"/>
                <w:szCs w:val="28"/>
                <w:highlight w:val="none"/>
                <w:lang w:val="en-US" w:eastAsia="zh-CN"/>
              </w:rPr>
              <w:t>。技术资料详细完整，计10.1</w:t>
            </w:r>
            <w:r>
              <w:rPr>
                <w:rFonts w:hint="eastAsia" w:ascii="仿宋" w:hAnsi="仿宋" w:cs="仿宋"/>
                <w:b w:val="0"/>
                <w:bCs w:val="0"/>
                <w:color w:val="auto"/>
                <w:kern w:val="2"/>
                <w:sz w:val="28"/>
                <w:szCs w:val="28"/>
                <w:highlight w:val="none"/>
                <w:lang w:val="en-US" w:eastAsia="zh-CN" w:bidi="ar-SA"/>
              </w:rPr>
              <w:t>～</w:t>
            </w:r>
            <w:r>
              <w:rPr>
                <w:rFonts w:hint="eastAsia" w:ascii="仿宋" w:hAnsi="仿宋" w:eastAsia="仿宋" w:cs="仿宋"/>
                <w:b w:val="0"/>
                <w:bCs w:val="0"/>
                <w:color w:val="auto"/>
                <w:sz w:val="28"/>
                <w:szCs w:val="28"/>
                <w:highlight w:val="none"/>
                <w:lang w:val="en-US" w:eastAsia="zh-CN"/>
              </w:rPr>
              <w:t>15分；技术资料较完整，计5.1</w:t>
            </w:r>
            <w:r>
              <w:rPr>
                <w:rFonts w:hint="eastAsia" w:ascii="仿宋" w:hAnsi="仿宋" w:cs="仿宋"/>
                <w:b w:val="0"/>
                <w:bCs w:val="0"/>
                <w:color w:val="auto"/>
                <w:kern w:val="2"/>
                <w:sz w:val="28"/>
                <w:szCs w:val="28"/>
                <w:highlight w:val="none"/>
                <w:lang w:val="en-US" w:eastAsia="zh-CN" w:bidi="ar-SA"/>
              </w:rPr>
              <w:t>～10</w:t>
            </w:r>
            <w:r>
              <w:rPr>
                <w:rFonts w:hint="eastAsia" w:ascii="仿宋" w:hAnsi="仿宋" w:eastAsia="仿宋" w:cs="仿宋"/>
                <w:b w:val="0"/>
                <w:bCs w:val="0"/>
                <w:color w:val="auto"/>
                <w:sz w:val="28"/>
                <w:szCs w:val="28"/>
                <w:highlight w:val="none"/>
                <w:lang w:val="en-US" w:eastAsia="zh-CN"/>
              </w:rPr>
              <w:t>分；技术资料不完整，计1</w:t>
            </w:r>
            <w:r>
              <w:rPr>
                <w:rFonts w:hint="eastAsia" w:ascii="仿宋" w:hAnsi="仿宋" w:cs="仿宋"/>
                <w:b w:val="0"/>
                <w:bCs w:val="0"/>
                <w:color w:val="auto"/>
                <w:kern w:val="2"/>
                <w:sz w:val="28"/>
                <w:szCs w:val="28"/>
                <w:highlight w:val="none"/>
                <w:lang w:val="en-US" w:eastAsia="zh-CN" w:bidi="ar-SA"/>
              </w:rPr>
              <w:t>～5</w:t>
            </w:r>
            <w:r>
              <w:rPr>
                <w:rFonts w:hint="eastAsia" w:ascii="仿宋" w:hAnsi="仿宋" w:eastAsia="仿宋" w:cs="仿宋"/>
                <w:b w:val="0"/>
                <w:bCs w:val="0"/>
                <w:color w:val="auto"/>
                <w:sz w:val="28"/>
                <w:szCs w:val="28"/>
                <w:highlight w:val="none"/>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default"/>
                <w:highlight w:val="none"/>
                <w:lang w:val="en-US" w:eastAsia="zh-CN"/>
              </w:rPr>
            </w:pPr>
            <w:r>
              <w:rPr>
                <w:rFonts w:hint="eastAsia" w:ascii="仿宋" w:hAnsi="仿宋" w:cs="仿宋"/>
                <w:b w:val="0"/>
                <w:bCs w:val="0"/>
                <w:color w:val="auto"/>
                <w:kern w:val="2"/>
                <w:sz w:val="28"/>
                <w:szCs w:val="28"/>
                <w:highlight w:val="none"/>
                <w:lang w:val="en-US" w:eastAsia="zh-CN" w:bidi="ar-SA"/>
              </w:rPr>
              <w:t>3</w:t>
            </w:r>
            <w:r>
              <w:rPr>
                <w:rFonts w:hint="eastAsia" w:ascii="仿宋" w:hAnsi="仿宋" w:eastAsia="仿宋" w:cs="仿宋"/>
                <w:b w:val="0"/>
                <w:bCs w:val="0"/>
                <w:color w:val="auto"/>
                <w:kern w:val="2"/>
                <w:sz w:val="28"/>
                <w:szCs w:val="28"/>
                <w:highlight w:val="none"/>
                <w:lang w:val="en-US" w:eastAsia="zh-CN" w:bidi="ar-SA"/>
              </w:rPr>
              <w:t>、针对本项目特点制定整体实施方案，</w:t>
            </w:r>
            <w:r>
              <w:rPr>
                <w:rFonts w:hint="eastAsia" w:ascii="仿宋" w:hAnsi="仿宋" w:eastAsia="仿宋" w:cs="仿宋"/>
                <w:b/>
                <w:bCs/>
                <w:color w:val="auto"/>
                <w:kern w:val="2"/>
                <w:sz w:val="28"/>
                <w:szCs w:val="28"/>
                <w:highlight w:val="none"/>
                <w:lang w:val="en-US" w:eastAsia="zh-CN" w:bidi="ar-SA"/>
              </w:rPr>
              <w:t>本项满分</w:t>
            </w:r>
            <w:r>
              <w:rPr>
                <w:rFonts w:hint="eastAsia" w:ascii="仿宋" w:hAnsi="仿宋" w:cs="仿宋"/>
                <w:b/>
                <w:bCs/>
                <w:color w:val="auto"/>
                <w:kern w:val="2"/>
                <w:sz w:val="28"/>
                <w:szCs w:val="28"/>
                <w:highlight w:val="none"/>
                <w:lang w:val="en-US" w:eastAsia="zh-CN" w:bidi="ar-SA"/>
              </w:rPr>
              <w:t>15</w:t>
            </w:r>
            <w:r>
              <w:rPr>
                <w:rFonts w:hint="eastAsia" w:ascii="仿宋" w:hAnsi="仿宋" w:eastAsia="仿宋" w:cs="仿宋"/>
                <w:b/>
                <w:bCs/>
                <w:color w:val="auto"/>
                <w:kern w:val="2"/>
                <w:sz w:val="28"/>
                <w:szCs w:val="28"/>
                <w:highlight w:val="none"/>
                <w:lang w:val="en-US" w:eastAsia="zh-CN" w:bidi="ar-SA"/>
              </w:rPr>
              <w:t>分</w:t>
            </w:r>
            <w:r>
              <w:rPr>
                <w:rFonts w:hint="eastAsia" w:ascii="仿宋" w:hAnsi="仿宋" w:eastAsia="仿宋" w:cs="仿宋"/>
                <w:b w:val="0"/>
                <w:bCs w:val="0"/>
                <w:color w:val="auto"/>
                <w:kern w:val="2"/>
                <w:sz w:val="28"/>
                <w:szCs w:val="28"/>
                <w:highlight w:val="none"/>
                <w:lang w:val="en-US" w:eastAsia="zh-CN" w:bidi="ar-SA"/>
              </w:rPr>
              <w:t>。整体实施方案针对性强，对用户及项目了解全面，内容完整、可行性强；能够安全、保质、保量完成，计8</w:t>
            </w:r>
            <w:r>
              <w:rPr>
                <w:rFonts w:hint="eastAsia" w:ascii="仿宋" w:hAnsi="仿宋" w:cs="仿宋"/>
                <w:b w:val="0"/>
                <w:bCs w:val="0"/>
                <w:color w:val="auto"/>
                <w:kern w:val="2"/>
                <w:sz w:val="28"/>
                <w:szCs w:val="28"/>
                <w:highlight w:val="none"/>
                <w:lang w:val="en-US" w:eastAsia="zh-CN" w:bidi="ar-SA"/>
              </w:rPr>
              <w:t>.1</w:t>
            </w:r>
            <w:r>
              <w:rPr>
                <w:rFonts w:hint="eastAsia" w:ascii="仿宋" w:hAnsi="仿宋" w:eastAsia="仿宋" w:cs="仿宋"/>
                <w:b w:val="0"/>
                <w:bCs w:val="0"/>
                <w:color w:val="auto"/>
                <w:kern w:val="2"/>
                <w:sz w:val="28"/>
                <w:szCs w:val="28"/>
                <w:highlight w:val="none"/>
                <w:lang w:val="en-US" w:eastAsia="zh-CN" w:bidi="ar-SA"/>
              </w:rPr>
              <w:t>～</w:t>
            </w:r>
            <w:r>
              <w:rPr>
                <w:rFonts w:hint="eastAsia" w:ascii="仿宋" w:hAnsi="仿宋" w:cs="仿宋"/>
                <w:b w:val="0"/>
                <w:bCs w:val="0"/>
                <w:color w:val="auto"/>
                <w:kern w:val="2"/>
                <w:sz w:val="28"/>
                <w:szCs w:val="28"/>
                <w:highlight w:val="none"/>
                <w:lang w:val="en-US" w:eastAsia="zh-CN" w:bidi="ar-SA"/>
              </w:rPr>
              <w:t>15</w:t>
            </w:r>
            <w:r>
              <w:rPr>
                <w:rFonts w:hint="eastAsia" w:ascii="仿宋" w:hAnsi="仿宋" w:eastAsia="仿宋" w:cs="仿宋"/>
                <w:b w:val="0"/>
                <w:bCs w:val="0"/>
                <w:color w:val="auto"/>
                <w:kern w:val="2"/>
                <w:sz w:val="28"/>
                <w:szCs w:val="28"/>
                <w:highlight w:val="none"/>
                <w:lang w:val="en-US" w:eastAsia="zh-CN" w:bidi="ar-SA"/>
              </w:rPr>
              <w:t>分；实施方案针对性不强，未考虑到物资特点及用户实际需求，质量保证措施一般，计1～8分。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09"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业绩</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证明</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tc>
        <w:tc>
          <w:tcPr>
            <w:tcW w:w="734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提供201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年1月1日以来供应商类似项目的业绩合同（以合同签订日期为准），附业绩合同复印件加盖公章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每份2分，</w:t>
            </w:r>
            <w:r>
              <w:rPr>
                <w:rFonts w:hint="eastAsia" w:ascii="仿宋" w:hAnsi="仿宋" w:eastAsia="仿宋" w:cs="仿宋"/>
                <w:b w:val="0"/>
                <w:bCs w:val="0"/>
                <w:color w:val="auto"/>
                <w:sz w:val="28"/>
                <w:szCs w:val="28"/>
                <w:highlight w:val="none"/>
              </w:rPr>
              <w:t>满分</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售后</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w:t>
            </w:r>
            <w:r>
              <w:rPr>
                <w:rFonts w:hint="eastAsia" w:ascii="仿宋" w:hAnsi="仿宋" w:eastAsia="仿宋" w:cs="仿宋"/>
                <w:color w:val="auto"/>
                <w:sz w:val="28"/>
                <w:szCs w:val="28"/>
                <w:highlight w:val="none"/>
                <w:lang w:eastAsia="zh-CN"/>
              </w:rPr>
              <w:t>承诺及培训</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5分</w:t>
            </w:r>
          </w:p>
        </w:tc>
        <w:tc>
          <w:tcPr>
            <w:tcW w:w="7342" w:type="dxa"/>
            <w:noWrap w:val="0"/>
            <w:vAlign w:val="top"/>
          </w:tcPr>
          <w:p>
            <w:pPr>
              <w:keepNext w:val="0"/>
              <w:keepLines w:val="0"/>
              <w:pageBreakBefore w:val="0"/>
              <w:widowControl w:val="0"/>
              <w:kinsoku/>
              <w:wordWrap/>
              <w:overflowPunct/>
              <w:topLinePunct w:val="0"/>
              <w:autoSpaceDE/>
              <w:autoSpaceDN/>
              <w:bidi w:val="0"/>
              <w:adjustRightInd/>
              <w:snapToGrid/>
              <w:spacing w:line="490" w:lineRule="exact"/>
              <w:jc w:val="both"/>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1、完全承诺招标文件的要求，并针对本项目实际需求提供实质性承诺，包括售后</w:t>
            </w:r>
            <w:r>
              <w:rPr>
                <w:rFonts w:hint="default" w:ascii="仿宋" w:hAnsi="仿宋" w:eastAsia="仿宋" w:cs="仿宋"/>
                <w:color w:val="auto"/>
                <w:sz w:val="28"/>
                <w:szCs w:val="28"/>
                <w:highlight w:val="none"/>
                <w:lang w:val="en-US"/>
              </w:rPr>
              <w:t>服务措施、维修响应时间、零配件及易损件储备</w:t>
            </w:r>
            <w:r>
              <w:rPr>
                <w:rFonts w:hint="default" w:ascii="仿宋" w:hAnsi="仿宋" w:eastAsia="仿宋" w:cs="仿宋"/>
                <w:color w:val="auto"/>
                <w:sz w:val="28"/>
                <w:szCs w:val="28"/>
                <w:highlight w:val="none"/>
                <w:lang w:val="en-US" w:eastAsia="zh-CN"/>
              </w:rPr>
              <w:t>、发生故障后的补救措施等方面，根据响应程度</w:t>
            </w:r>
            <w:r>
              <w:rPr>
                <w:rFonts w:hint="default" w:ascii="仿宋" w:hAnsi="仿宋" w:eastAsia="仿宋" w:cs="仿宋"/>
                <w:color w:val="auto"/>
                <w:sz w:val="28"/>
                <w:szCs w:val="28"/>
                <w:highlight w:val="none"/>
                <w:lang w:val="en-US"/>
              </w:rPr>
              <w:t>计</w:t>
            </w:r>
            <w:r>
              <w:rPr>
                <w:rFonts w:hint="default"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rPr>
              <w:t>分</w:t>
            </w:r>
            <w:r>
              <w:rPr>
                <w:rFonts w:hint="default" w:ascii="仿宋" w:hAnsi="仿宋" w:eastAsia="仿宋" w:cs="仿宋"/>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rPr>
              <w:t>提供详细的技术培训方案，保证最终用户能够熟练操作和日常维护、保养，</w:t>
            </w:r>
            <w:r>
              <w:rPr>
                <w:rFonts w:hint="default" w:ascii="仿宋" w:hAnsi="仿宋" w:eastAsia="仿宋" w:cs="仿宋"/>
                <w:color w:val="auto"/>
                <w:sz w:val="28"/>
                <w:szCs w:val="28"/>
                <w:highlight w:val="none"/>
                <w:lang w:val="en-US" w:eastAsia="zh-CN"/>
              </w:rPr>
              <w:t>根据响应程度</w:t>
            </w:r>
            <w:r>
              <w:rPr>
                <w:rFonts w:hint="default" w:ascii="仿宋" w:hAnsi="仿宋" w:eastAsia="仿宋" w:cs="仿宋"/>
                <w:color w:val="auto"/>
                <w:sz w:val="28"/>
                <w:szCs w:val="28"/>
                <w:highlight w:val="none"/>
                <w:lang w:val="en-US"/>
              </w:rPr>
              <w:t>计</w:t>
            </w:r>
            <w:r>
              <w:rPr>
                <w:rFonts w:hint="default"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rPr>
              <w:t>分</w:t>
            </w:r>
            <w:r>
              <w:rPr>
                <w:rFonts w:hint="default" w:ascii="仿宋" w:hAnsi="仿宋" w:eastAsia="仿宋" w:cs="仿宋"/>
                <w:color w:val="auto"/>
                <w:sz w:val="28"/>
                <w:szCs w:val="28"/>
                <w:highlight w:val="none"/>
                <w:lang w:val="en-US" w:eastAsia="zh-CN"/>
              </w:rPr>
              <w:t>。</w:t>
            </w:r>
          </w:p>
        </w:tc>
      </w:tr>
    </w:tbl>
    <w:p>
      <w:pPr>
        <w:keepNext w:val="0"/>
        <w:keepLines w:val="0"/>
        <w:pageBreakBefore w:val="0"/>
        <w:wordWrap/>
        <w:overflowPunct/>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其他同品牌供应商不作为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（2）评委打分超过得分界限或未按本方法赋分时，该评委的打分按废票处理；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（3）各种计算数字均保留两位小数，第三位“四舍五入”；</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（4）评标委员会根据以上内容打分，由高到低进行，推荐出中标候选单位。评标委员会依据评审结果写出评标报告，送采购人审定。</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采购代理机构在整个评标工作结束后，将把售标、开标、评标及推荐中标全过程的情况以书面形式（评标报告）报送采购人审核，同时报监督管理机构审核备案。</w:t>
      </w:r>
    </w:p>
    <w:p>
      <w:pPr>
        <w:pStyle w:val="60"/>
        <w:keepNext w:val="0"/>
        <w:keepLines w:val="0"/>
        <w:pageBreakBefore w:val="0"/>
        <w:numPr>
          <w:ilvl w:val="0"/>
          <w:numId w:val="0"/>
        </w:numPr>
        <w:tabs>
          <w:tab w:val="clear" w:pos="851"/>
        </w:tabs>
        <w:wordWrap/>
        <w:overflowPunct/>
        <w:autoSpaceDE/>
        <w:autoSpaceDN/>
        <w:bidi w:val="0"/>
        <w:spacing w:line="500" w:lineRule="exact"/>
        <w:textAlignment w:val="auto"/>
        <w:outlineLvl w:val="9"/>
        <w:rPr>
          <w:rFonts w:hint="default" w:cs="仿宋"/>
          <w:szCs w:val="28"/>
          <w:highlight w:val="none"/>
        </w:rPr>
      </w:pPr>
      <w:bookmarkStart w:id="169" w:name="_Toc31257"/>
      <w:bookmarkStart w:id="170" w:name="_Toc29767"/>
      <w:bookmarkStart w:id="171" w:name="_Toc12154"/>
      <w:bookmarkStart w:id="172" w:name="_Toc25576"/>
      <w:bookmarkStart w:id="173" w:name="_Toc20432"/>
      <w:bookmarkStart w:id="174" w:name="_Toc21265"/>
      <w:bookmarkStart w:id="175" w:name="_Toc28539"/>
      <w:bookmarkStart w:id="176" w:name="_Toc21237"/>
      <w:bookmarkStart w:id="177" w:name="_Toc25036"/>
      <w:bookmarkStart w:id="178" w:name="_Toc27393"/>
      <w:bookmarkStart w:id="179" w:name="_Toc3908"/>
      <w:bookmarkStart w:id="180" w:name="_Toc12014"/>
      <w:bookmarkStart w:id="181" w:name="_Toc31302"/>
      <w:bookmarkStart w:id="182" w:name="_Toc25598"/>
      <w:r>
        <w:rPr>
          <w:rFonts w:hint="eastAsia" w:cs="仿宋"/>
          <w:bCs/>
          <w:szCs w:val="28"/>
          <w:highlight w:val="none"/>
          <w:lang w:eastAsia="zh-CN"/>
        </w:rPr>
        <w:t>十</w:t>
      </w:r>
      <w:r>
        <w:rPr>
          <w:rFonts w:cs="仿宋"/>
          <w:bCs/>
          <w:szCs w:val="28"/>
          <w:highlight w:val="none"/>
        </w:rPr>
        <w:t>、</w:t>
      </w:r>
      <w:r>
        <w:rPr>
          <w:rFonts w:cs="仿宋"/>
          <w:szCs w:val="28"/>
          <w:highlight w:val="none"/>
        </w:rPr>
        <w:t>政策功能</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1、关于节能产品、环境标志产品</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2、关于小微企业、监狱企业、残疾人福利性单位</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（1）小微企业</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①根据《政府采购促进中小企业发展管理办法》（财库〔2020〕46号）的规定，在政府采购活动中，供应商提供的货物、工程或者服务符合下列情形的，享受中小企业扶持政策：</w:t>
      </w:r>
    </w:p>
    <w:p>
      <w:pPr>
        <w:pStyle w:val="24"/>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pStyle w:val="24"/>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在本项目中，货物须由符合政策要求的中小企业制造。</w:t>
      </w:r>
    </w:p>
    <w:p>
      <w:pPr>
        <w:pStyle w:val="24"/>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②中小企业参加政府采购活动，应当出具符合财库〔2020〕46号规定的《中小企业声明函》,否则不得享受相关中小企业扶持政策。</w:t>
      </w:r>
    </w:p>
    <w:p>
      <w:pPr>
        <w:pStyle w:val="26"/>
        <w:keepNext w:val="0"/>
        <w:keepLines w:val="0"/>
        <w:pageBreakBefore w:val="0"/>
        <w:widowControl w:val="0"/>
        <w:kinsoku/>
        <w:wordWrap/>
        <w:overflowPunct/>
        <w:topLinePunct w:val="0"/>
        <w:autoSpaceDE/>
        <w:autoSpaceDN/>
        <w:bidi w:val="0"/>
        <w:adjustRightInd w:val="0"/>
        <w:snapToGrid/>
        <w:spacing w:after="0" w:line="50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cs="仿宋"/>
          <w:b w:val="0"/>
          <w:bCs w:val="0"/>
          <w:kern w:val="2"/>
          <w:sz w:val="28"/>
          <w:szCs w:val="28"/>
          <w:highlight w:val="none"/>
          <w:lang w:val="en-US" w:eastAsia="zh-CN" w:bidi="ar-SA"/>
        </w:rPr>
        <w:t>③</w:t>
      </w:r>
      <w:r>
        <w:rPr>
          <w:rFonts w:hint="eastAsia" w:ascii="仿宋" w:hAnsi="仿宋" w:eastAsia="仿宋" w:cs="仿宋"/>
          <w:b w:val="0"/>
          <w:bCs w:val="0"/>
          <w:kern w:val="2"/>
          <w:sz w:val="28"/>
          <w:szCs w:val="28"/>
          <w:highlight w:val="none"/>
          <w:lang w:val="en-US" w:eastAsia="zh-CN" w:bidi="ar-SA"/>
        </w:rPr>
        <w:t>根据《政府采购促进中小企业发展管理办法》（财库〔2020〕46号）</w:t>
      </w:r>
      <w:r>
        <w:rPr>
          <w:rFonts w:hint="eastAsia" w:ascii="仿宋" w:hAnsi="仿宋" w:cs="仿宋"/>
          <w:b w:val="0"/>
          <w:bCs w:val="0"/>
          <w:kern w:val="2"/>
          <w:sz w:val="28"/>
          <w:szCs w:val="28"/>
          <w:highlight w:val="none"/>
          <w:lang w:val="en-US" w:eastAsia="zh-CN" w:bidi="ar-SA"/>
        </w:rPr>
        <w:t>的</w:t>
      </w:r>
      <w:r>
        <w:rPr>
          <w:rFonts w:hint="eastAsia" w:ascii="仿宋" w:hAnsi="仿宋" w:eastAsia="仿宋" w:cs="仿宋"/>
          <w:b w:val="0"/>
          <w:bCs w:val="0"/>
          <w:kern w:val="2"/>
          <w:sz w:val="28"/>
          <w:szCs w:val="28"/>
          <w:highlight w:val="none"/>
          <w:lang w:val="en-US" w:eastAsia="zh-CN" w:bidi="ar-SA"/>
        </w:rPr>
        <w:t>规定</w:t>
      </w:r>
      <w:r>
        <w:rPr>
          <w:rFonts w:hint="eastAsia" w:ascii="仿宋" w:hAnsi="仿宋" w:cs="仿宋"/>
          <w:b w:val="0"/>
          <w:bCs w:val="0"/>
          <w:kern w:val="2"/>
          <w:sz w:val="28"/>
          <w:szCs w:val="28"/>
          <w:highlight w:val="none"/>
          <w:lang w:val="en-US" w:eastAsia="zh-CN" w:bidi="ar-SA"/>
        </w:rPr>
        <w:t>，</w:t>
      </w:r>
      <w:r>
        <w:rPr>
          <w:rFonts w:hint="eastAsia" w:ascii="仿宋" w:hAnsi="仿宋" w:eastAsia="仿宋" w:cs="仿宋"/>
          <w:b w:val="0"/>
          <w:bCs w:val="0"/>
          <w:kern w:val="2"/>
          <w:sz w:val="28"/>
          <w:szCs w:val="28"/>
          <w:highlight w:val="none"/>
          <w:lang w:val="en-US" w:eastAsia="zh-CN" w:bidi="ar-SA"/>
        </w:rPr>
        <w:t>享受扶持政策获得政府采购合同的，小微企业不得将合同分包给大中型企业，中型企业不得将合同分包给大型企业</w:t>
      </w:r>
      <w:r>
        <w:rPr>
          <w:rFonts w:hint="eastAsia" w:ascii="仿宋" w:hAnsi="仿宋" w:cs="仿宋"/>
          <w:b w:val="0"/>
          <w:bCs w:val="0"/>
          <w:kern w:val="2"/>
          <w:sz w:val="28"/>
          <w:szCs w:val="28"/>
          <w:highlight w:val="none"/>
          <w:lang w:val="en-US" w:eastAsia="zh-CN" w:bidi="ar-SA"/>
        </w:rPr>
        <w:t>。</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（2）监狱企业参加政府采购活动时，应当提供相关证明文件。监狱企业参加政府采购活动时，视同小微企业。</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3、关于信用担保和信用融资</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keepNext w:val="0"/>
        <w:keepLines w:val="0"/>
        <w:pageBreakBefore w:val="0"/>
        <w:widowControl w:val="0"/>
        <w:numPr>
          <w:ilvl w:val="0"/>
          <w:numId w:val="0"/>
        </w:numPr>
        <w:kinsoku/>
        <w:wordWrap w:val="0"/>
        <w:overflowPunct/>
        <w:topLinePunct w:val="0"/>
        <w:autoSpaceDE/>
        <w:autoSpaceDN/>
        <w:bidi w:val="0"/>
        <w:adjustRightInd w:val="0"/>
        <w:snapToGrid/>
        <w:spacing w:line="500" w:lineRule="exact"/>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r>
        <w:rPr>
          <w:rFonts w:hint="eastAsia" w:ascii="仿宋" w:hAnsi="仿宋" w:eastAsia="仿宋" w:cs="仿宋"/>
          <w:sz w:val="28"/>
          <w:szCs w:val="28"/>
          <w:highlight w:val="none"/>
          <w:lang w:val="en-US" w:eastAsia="zh-CN"/>
        </w:rPr>
        <w:t>业务流程简图如下：</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textAlignment w:val="auto"/>
        <w:rPr>
          <w:rFonts w:hint="default" w:ascii="仿宋" w:hAnsi="仿宋" w:eastAsia="仿宋" w:cs="仿宋"/>
          <w:sz w:val="28"/>
          <w:szCs w:val="28"/>
          <w:highlight w:val="none"/>
          <w:lang w:val="en-US" w:eastAsia="zh-CN"/>
        </w:rPr>
      </w:pPr>
      <w:r>
        <w:rPr>
          <w:rFonts w:hint="eastAsia" w:ascii="仿宋" w:hAnsi="仿宋" w:eastAsia="仿宋" w:cs="仿宋"/>
          <w:i w:val="0"/>
          <w:iCs w:val="0"/>
          <w:caps w:val="0"/>
          <w:spacing w:val="0"/>
          <w:sz w:val="28"/>
          <w:szCs w:val="28"/>
          <w:highlight w:val="none"/>
          <w:shd w:val="clear" w:color="auto" w:fill="FFFFFF"/>
        </w:rPr>
        <w:t>未签订采购合同申请流程</w:t>
      </w:r>
    </w:p>
    <w:p>
      <w:pPr>
        <w:rPr>
          <w:rFonts w:hint="eastAsia" w:ascii="仿宋" w:hAnsi="仿宋" w:eastAsia="仿宋" w:cs="仿宋"/>
          <w:i w:val="0"/>
          <w:iCs w:val="0"/>
          <w:caps w:val="0"/>
          <w:spacing w:val="0"/>
          <w:sz w:val="28"/>
          <w:szCs w:val="28"/>
          <w:highlight w:val="none"/>
          <w:shd w:val="clear" w:color="auto" w:fill="FFFFFF"/>
        </w:rPr>
      </w:pPr>
      <w:r>
        <w:rPr>
          <w:rFonts w:hint="default"/>
          <w:highlight w:val="none"/>
          <w:lang w:val="en-US" w:eastAsia="zh-CN"/>
        </w:rPr>
        <w:drawing>
          <wp:inline distT="0" distB="0" distL="114300" distR="114300">
            <wp:extent cx="6181725" cy="3486150"/>
            <wp:effectExtent l="0" t="0" r="9525" b="0"/>
            <wp:docPr id="8"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02105081846_1620470769847_2270"/>
                    <pic:cNvPicPr>
                      <a:picLocks noChangeAspect="1"/>
                    </pic:cNvPicPr>
                  </pic:nvPicPr>
                  <pic:blipFill>
                    <a:blip r:embed="rId11"/>
                    <a:stretch>
                      <a:fillRect/>
                    </a:stretch>
                  </pic:blipFill>
                  <pic:spPr>
                    <a:xfrm>
                      <a:off x="0" y="0"/>
                      <a:ext cx="6181725" cy="3486150"/>
                    </a:xfrm>
                    <a:prstGeom prst="rect">
                      <a:avLst/>
                    </a:prstGeom>
                    <a:noFill/>
                    <a:ln>
                      <a:noFill/>
                    </a:ln>
                  </pic:spPr>
                </pic:pic>
              </a:graphicData>
            </a:graphic>
          </wp:inline>
        </w:drawing>
      </w:r>
    </w:p>
    <w:p>
      <w:pPr>
        <w:rPr>
          <w:rFonts w:hint="eastAsia" w:ascii="仿宋" w:hAnsi="仿宋" w:eastAsia="仿宋" w:cs="仿宋"/>
          <w:i w:val="0"/>
          <w:iCs w:val="0"/>
          <w:caps w:val="0"/>
          <w:spacing w:val="0"/>
          <w:sz w:val="28"/>
          <w:szCs w:val="28"/>
          <w:highlight w:val="none"/>
          <w:shd w:val="clear" w:color="auto" w:fill="FFFFFF"/>
        </w:rPr>
      </w:pPr>
      <w:r>
        <w:rPr>
          <w:rFonts w:hint="eastAsia" w:ascii="仿宋" w:hAnsi="仿宋" w:eastAsia="仿宋" w:cs="仿宋"/>
          <w:i w:val="0"/>
          <w:iCs w:val="0"/>
          <w:caps w:val="0"/>
          <w:spacing w:val="0"/>
          <w:sz w:val="28"/>
          <w:szCs w:val="28"/>
          <w:highlight w:val="none"/>
          <w:shd w:val="clear" w:color="auto" w:fill="FFFFFF"/>
        </w:rPr>
        <w:br w:type="page"/>
      </w:r>
    </w:p>
    <w:p>
      <w:pPr>
        <w:pStyle w:val="2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spacing w:val="0"/>
          <w:sz w:val="28"/>
          <w:szCs w:val="28"/>
          <w:highlight w:val="none"/>
          <w:shd w:val="clear" w:color="auto" w:fill="FFFFFF"/>
        </w:rPr>
      </w:pPr>
      <w:r>
        <w:rPr>
          <w:rFonts w:hint="eastAsia" w:ascii="仿宋" w:hAnsi="仿宋" w:eastAsia="仿宋" w:cs="仿宋"/>
          <w:i w:val="0"/>
          <w:iCs w:val="0"/>
          <w:caps w:val="0"/>
          <w:spacing w:val="0"/>
          <w:sz w:val="28"/>
          <w:szCs w:val="28"/>
          <w:highlight w:val="none"/>
          <w:shd w:val="clear" w:color="auto" w:fill="FFFFFF"/>
        </w:rPr>
        <w:t>已签订采购合同申请流程</w:t>
      </w:r>
    </w:p>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spacing w:val="0"/>
          <w:sz w:val="28"/>
          <w:szCs w:val="28"/>
          <w:highlight w:val="none"/>
          <w:shd w:val="clear" w:color="auto" w:fill="FFFFFF"/>
          <w:lang w:val="en-US" w:eastAsia="zh-CN"/>
        </w:rPr>
      </w:pPr>
      <w:r>
        <w:rPr>
          <w:rFonts w:hint="eastAsia" w:ascii="仿宋" w:hAnsi="仿宋" w:eastAsia="仿宋" w:cs="仿宋"/>
          <w:i w:val="0"/>
          <w:iCs w:val="0"/>
          <w:caps w:val="0"/>
          <w:spacing w:val="0"/>
          <w:sz w:val="28"/>
          <w:szCs w:val="28"/>
          <w:highlight w:val="none"/>
          <w:shd w:val="clear" w:color="auto" w:fill="FFFFFF"/>
          <w:lang w:val="en-US" w:eastAsia="zh-CN"/>
        </w:rPr>
        <w:drawing>
          <wp:inline distT="0" distB="0" distL="114300" distR="114300">
            <wp:extent cx="6223000" cy="3514725"/>
            <wp:effectExtent l="0" t="0" r="6350" b="9525"/>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2"/>
                    <a:stretch>
                      <a:fillRect/>
                    </a:stretch>
                  </pic:blipFill>
                  <pic:spPr>
                    <a:xfrm>
                      <a:off x="0" y="0"/>
                      <a:ext cx="6223000" cy="3514725"/>
                    </a:xfrm>
                    <a:prstGeom prst="rect">
                      <a:avLst/>
                    </a:prstGeom>
                  </pic:spPr>
                </pic:pic>
              </a:graphicData>
            </a:graphic>
          </wp:inline>
        </w:drawing>
      </w:r>
    </w:p>
    <w:p>
      <w:pPr>
        <w:pStyle w:val="24"/>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渭南市</w:t>
      </w:r>
      <w:r>
        <w:rPr>
          <w:rFonts w:hint="eastAsia" w:ascii="仿宋" w:hAnsi="仿宋" w:eastAsia="仿宋" w:cs="仿宋"/>
          <w:sz w:val="28"/>
          <w:szCs w:val="28"/>
          <w:highlight w:val="none"/>
        </w:rPr>
        <w:t>政府采购信用融资合作机构联系名单</w:t>
      </w:r>
    </w:p>
    <w:tbl>
      <w:tblPr>
        <w:tblStyle w:val="27"/>
        <w:tblW w:w="961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5325"/>
        <w:gridCol w:w="1650"/>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序号</w:t>
            </w:r>
          </w:p>
        </w:tc>
        <w:tc>
          <w:tcPr>
            <w:tcW w:w="5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单位名称</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参会人员</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中国建设银行股份有限公司渭南分行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郭煜庆</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田宇</w:t>
            </w:r>
          </w:p>
        </w:tc>
        <w:tc>
          <w:tcPr>
            <w:tcW w:w="1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13892535580</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17797059890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上海浦东发展银行股份有限公司渭南分行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孙哲龙</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蒙波</w:t>
            </w:r>
          </w:p>
        </w:tc>
        <w:tc>
          <w:tcPr>
            <w:tcW w:w="1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13892383911</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15249035320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中信银行股份有限公司渭南分行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杨洋</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耿浩</w:t>
            </w:r>
          </w:p>
        </w:tc>
        <w:tc>
          <w:tcPr>
            <w:tcW w:w="1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18191815559</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13193388328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兴业银行股份有限公司渭南分行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权奥星</w:t>
            </w:r>
          </w:p>
        </w:tc>
        <w:tc>
          <w:tcPr>
            <w:tcW w:w="18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15706090239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8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中国工商银行股份有限公司渭南分行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张剑</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张欢</w:t>
            </w:r>
          </w:p>
        </w:tc>
        <w:tc>
          <w:tcPr>
            <w:tcW w:w="1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18191356300</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15229730006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长安银行股份有限公司渭南分行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李华</w:t>
            </w:r>
          </w:p>
        </w:tc>
        <w:tc>
          <w:tcPr>
            <w:tcW w:w="18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13335331958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c>
          <w:tcPr>
            <w:tcW w:w="18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w:t>
            </w:r>
          </w:p>
        </w:tc>
        <w:tc>
          <w:tcPr>
            <w:tcW w:w="5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中国邮政储蓄银行渭南市分行</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张萱</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13028431555</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18091365182</w:t>
            </w:r>
          </w:p>
        </w:tc>
      </w:tr>
    </w:tbl>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4、关于政府采购支持绿色建材</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5、关于进一步加强政府绿色采购</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6、关于落实平等对待内外资企业有关政策</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7、其他需要落实的政府采购政策。</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、特殊情况处理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1、若出现综合得分并列时，投标报价得分高者为第一中标候选人，若投标报价和技术得分两项得分相同，则由全体评标委员会成员无记名投票，得票高者为第一中标候选人。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2、评标过程中，若出现合格供应商少于三家时，本项目按废标处理并报监督管理机构批准重新组织招标。</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、中标、询问及质疑</w:t>
      </w:r>
    </w:p>
    <w:p>
      <w:pPr>
        <w:keepNext w:val="0"/>
        <w:keepLines w:val="0"/>
        <w:pageBreakBefore w:val="0"/>
        <w:wordWrap/>
        <w:overflowPunct/>
        <w:autoSpaceDE/>
        <w:autoSpaceDN/>
        <w:bidi w:val="0"/>
        <w:spacing w:line="500" w:lineRule="exact"/>
        <w:ind w:firstLine="560" w:firstLineChars="200"/>
        <w:textAlignment w:val="auto"/>
        <w:rPr>
          <w:rFonts w:ascii="仿宋" w:hAnsi="仿宋" w:cs="仿宋"/>
          <w:sz w:val="28"/>
          <w:szCs w:val="28"/>
          <w:highlight w:val="none"/>
        </w:rPr>
      </w:pPr>
      <w:r>
        <w:rPr>
          <w:rFonts w:hint="eastAsia" w:ascii="仿宋" w:hAnsi="仿宋" w:eastAsia="仿宋" w:cs="仿宋"/>
          <w:sz w:val="28"/>
          <w:szCs w:val="28"/>
          <w:highlight w:val="none"/>
        </w:rPr>
        <w:t>1、确定中标人</w:t>
      </w:r>
    </w:p>
    <w:p>
      <w:pPr>
        <w:pStyle w:val="43"/>
        <w:keepNext w:val="0"/>
        <w:keepLines w:val="0"/>
        <w:pageBreakBefore w:val="0"/>
        <w:kinsoku w:val="0"/>
        <w:wordWrap/>
        <w:overflowPunct/>
        <w:topLinePunct/>
        <w:autoSpaceDE/>
        <w:autoSpaceDN/>
        <w:bidi w:val="0"/>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1.1采购代理机构在评标结束后2个工作日内将评标报告送采购人确认。采购人在收到评标报告后5个工作日内，从评标报告提出的中标候选供应商中，按照排序由高到低的原则确定中标供应商；</w:t>
      </w:r>
    </w:p>
    <w:p>
      <w:pPr>
        <w:pStyle w:val="43"/>
        <w:keepNext w:val="0"/>
        <w:keepLines w:val="0"/>
        <w:pageBreakBefore w:val="0"/>
        <w:wordWrap/>
        <w:overflowPunct/>
        <w:autoSpaceDE/>
        <w:autoSpaceDN/>
        <w:bidi w:val="0"/>
        <w:spacing w:line="500" w:lineRule="exact"/>
        <w:ind w:firstLine="560"/>
        <w:textAlignment w:val="auto"/>
        <w:rPr>
          <w:rFonts w:hint="default"/>
          <w:sz w:val="28"/>
          <w:szCs w:val="28"/>
          <w:highlight w:val="none"/>
        </w:rPr>
      </w:pPr>
      <w:r>
        <w:rPr>
          <w:rFonts w:ascii="仿宋" w:hAnsi="仿宋" w:cs="仿宋"/>
          <w:sz w:val="28"/>
          <w:szCs w:val="28"/>
          <w:highlight w:val="none"/>
        </w:rPr>
        <w:t>1.2采购代理机构在中标供应商确定后2个工作日内在陕西省政府采购网公告中标结果并发放《中标通知书》。</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pPr>
        <w:pStyle w:val="43"/>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（1）质疑函应以书面方式递交；（格式见陕西省政府采购网政府采购供应商质疑函范本）</w:t>
      </w:r>
    </w:p>
    <w:p>
      <w:pPr>
        <w:pStyle w:val="43"/>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（2）质疑函递交联系方式：</w:t>
      </w:r>
    </w:p>
    <w:p>
      <w:pPr>
        <w:pStyle w:val="43"/>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sz w:val="28"/>
          <w:szCs w:val="28"/>
          <w:highlight w:val="none"/>
        </w:rPr>
      </w:pPr>
      <w:r>
        <w:rPr>
          <w:rFonts w:ascii="仿宋" w:hAnsi="仿宋" w:cs="仿宋"/>
          <w:sz w:val="28"/>
          <w:szCs w:val="28"/>
          <w:highlight w:val="none"/>
        </w:rPr>
        <w:t>采购代理机构名称：西安欣华联建工程咨询有限公司</w:t>
      </w:r>
    </w:p>
    <w:p>
      <w:pPr>
        <w:pStyle w:val="43"/>
        <w:keepNext w:val="0"/>
        <w:keepLines w:val="0"/>
        <w:pageBreakBefore w:val="0"/>
        <w:widowControl/>
        <w:wordWrap/>
        <w:overflowPunct/>
        <w:autoSpaceDE/>
        <w:autoSpaceDN/>
        <w:bidi w:val="0"/>
        <w:adjustRightInd/>
        <w:spacing w:line="500" w:lineRule="exact"/>
        <w:ind w:firstLine="1260" w:firstLineChars="450"/>
        <w:textAlignment w:val="auto"/>
        <w:rPr>
          <w:rFonts w:hint="eastAsia" w:ascii="仿宋" w:hAnsi="仿宋" w:cs="仿宋"/>
          <w:sz w:val="28"/>
          <w:szCs w:val="28"/>
          <w:highlight w:val="none"/>
          <w:lang w:val="en-US" w:eastAsia="zh-CN"/>
        </w:rPr>
      </w:pPr>
      <w:r>
        <w:rPr>
          <w:rFonts w:ascii="仿宋" w:hAnsi="仿宋" w:cs="仿宋"/>
          <w:sz w:val="28"/>
          <w:szCs w:val="28"/>
          <w:highlight w:val="none"/>
        </w:rPr>
        <w:t>电话：</w:t>
      </w:r>
      <w:r>
        <w:rPr>
          <w:rFonts w:hint="eastAsia" w:ascii="仿宋" w:hAnsi="仿宋" w:cs="仿宋"/>
          <w:sz w:val="28"/>
          <w:szCs w:val="28"/>
          <w:highlight w:val="none"/>
          <w:lang w:val="en-US" w:eastAsia="zh-CN"/>
        </w:rPr>
        <w:t>029-82521869、029-89183511</w:t>
      </w:r>
    </w:p>
    <w:p>
      <w:pPr>
        <w:pStyle w:val="43"/>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sz w:val="28"/>
          <w:szCs w:val="28"/>
          <w:highlight w:val="none"/>
        </w:rPr>
      </w:pPr>
      <w:r>
        <w:rPr>
          <w:rFonts w:ascii="仿宋" w:hAnsi="仿宋" w:cs="仿宋"/>
          <w:sz w:val="28"/>
          <w:szCs w:val="28"/>
          <w:highlight w:val="none"/>
        </w:rPr>
        <w:t>地址：西安市高新区科技二路71号竹园天寰国际14层1404室</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3、采购代理机构不做未中标原因的解释。</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、合同授予</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1、中标通知书是合同的重要组成部分。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2、招标文件、中标人的投标文件及评审过程中有关的澄清文件均作为合同附件。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3、签订合同</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人与中标供应商应当在中标通知书发出之日起三十日内，按照采购文件确定的事项签订政府采购合同。中标供应商拒绝与采购人签订合同的，采购人可以按照评标报告推荐的中标候选人名单排序，确定下一候选人为中标供应商，也可以重新开展政府采购活动。</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、代理服务费</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bookmarkStart w:id="183" w:name="_Toc193126874"/>
      <w:bookmarkStart w:id="184" w:name="_Toc193187089"/>
      <w:bookmarkStart w:id="185" w:name="_Toc194663910"/>
      <w:bookmarkStart w:id="186" w:name="_Toc188808820"/>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lang w:eastAsia="zh-CN" w:bidi="ar"/>
        </w:rPr>
        <w:t>由采购人支付代理服务费</w:t>
      </w:r>
      <w:r>
        <w:rPr>
          <w:rFonts w:hint="eastAsia" w:ascii="仿宋" w:hAnsi="仿宋" w:eastAsia="仿宋" w:cs="仿宋"/>
          <w:bCs/>
          <w:kern w:val="0"/>
          <w:sz w:val="28"/>
          <w:szCs w:val="28"/>
          <w:highlight w:val="none"/>
          <w:lang w:bidi="ar"/>
        </w:rPr>
        <w:t>。</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lang w:bidi="ar"/>
        </w:rPr>
        <w:t>2、代理服务费：</w:t>
      </w:r>
      <w:r>
        <w:rPr>
          <w:rFonts w:hint="eastAsia" w:ascii="仿宋" w:hAnsi="仿宋" w:eastAsia="仿宋" w:cs="仿宋"/>
          <w:sz w:val="28"/>
          <w:szCs w:val="28"/>
          <w:highlight w:val="none"/>
        </w:rPr>
        <w:t>参照</w:t>
      </w:r>
      <w:r>
        <w:rPr>
          <w:rFonts w:hint="eastAsia" w:ascii="仿宋" w:hAnsi="仿宋" w:eastAsia="仿宋" w:cs="仿宋"/>
          <w:bCs/>
          <w:sz w:val="28"/>
          <w:szCs w:val="28"/>
          <w:highlight w:val="none"/>
          <w:lang w:bidi="ar"/>
        </w:rPr>
        <w:t>《国家计委关于印发&lt;招标代理服务收费管理暂行办法&gt;的通知》（计价格〔2002〕1980号）、《国家发展改革委员会办公厅关于招标代理服务收费有关问题的通知》（发改办价格〔2003〕857号）的规定标准执行，按差额定率累进法收取费用，100万以下按1.5%收取，100万-500万按1.1%收取。</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、其他</w:t>
      </w:r>
      <w:bookmarkEnd w:id="183"/>
      <w:bookmarkEnd w:id="184"/>
      <w:bookmarkEnd w:id="185"/>
      <w:bookmarkEnd w:id="186"/>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1、如果发生下列情况本项目按废标处理并报监督管理机构批准重新组织招标：</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1.1有效供应商不足三家；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1.2所有供应商的报价均超出预算金额，采购人不能支付的；</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1.3评标委员会三分之二以上评委认定所有投标报价存在价格不实的现象；</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1.4有证据证明有围标现象的发生。</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2、拒绝商业贿赂</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2.1遵照陕西省财政厅的规定，采购人、采购代理机构、供应商和评标委员会在招投标活动中，都要签订相应的《拒绝政府采购领域商业贿赂承诺书》，并对违反承诺的行为承担全部责任；</w:t>
      </w:r>
    </w:p>
    <w:p>
      <w:pPr>
        <w:keepNext w:val="0"/>
        <w:keepLines w:val="0"/>
        <w:pageBreakBefore w:val="0"/>
        <w:wordWrap/>
        <w:overflowPunct/>
        <w:autoSpaceDE/>
        <w:autoSpaceDN/>
        <w:bidi w:val="0"/>
        <w:snapToGrid w:val="0"/>
        <w:spacing w:line="500" w:lineRule="exact"/>
        <w:ind w:firstLine="560"/>
        <w:textAlignment w:val="auto"/>
        <w:rPr>
          <w:rFonts w:hint="eastAsia" w:ascii="仿宋" w:hAnsi="仿宋" w:eastAsia="仿宋" w:cs="仿宋"/>
          <w:b/>
          <w:bCs/>
          <w:kern w:val="0"/>
          <w:sz w:val="44"/>
          <w:szCs w:val="44"/>
          <w:highlight w:val="none"/>
        </w:rPr>
      </w:pPr>
      <w:r>
        <w:rPr>
          <w:rFonts w:hint="eastAsia" w:ascii="仿宋" w:hAnsi="仿宋" w:eastAsia="仿宋" w:cs="仿宋"/>
          <w:sz w:val="28"/>
          <w:szCs w:val="28"/>
          <w:highlight w:val="none"/>
        </w:rPr>
        <w:t>2.2供应商必须填写一份《拒绝政府采购领域商业贿赂承诺书》（附件），应保证投标文件正、副本中均有且一致。</w:t>
      </w:r>
    </w:p>
    <w:p>
      <w:pPr>
        <w:snapToGrid w:val="0"/>
        <w:spacing w:line="500" w:lineRule="exact"/>
        <w:jc w:val="both"/>
        <w:outlineLvl w:val="9"/>
        <w:rPr>
          <w:rFonts w:hint="eastAsia" w:ascii="仿宋" w:hAnsi="仿宋" w:eastAsia="仿宋" w:cs="仿宋"/>
          <w:b/>
          <w:bCs/>
          <w:kern w:val="0"/>
          <w:sz w:val="44"/>
          <w:szCs w:val="44"/>
          <w:highlight w:val="none"/>
        </w:rPr>
      </w:pPr>
    </w:p>
    <w:p>
      <w:pPr>
        <w:pStyle w:val="11"/>
        <w:rPr>
          <w:rFonts w:hint="eastAsia" w:ascii="仿宋" w:hAnsi="仿宋" w:eastAsia="仿宋" w:cs="仿宋"/>
          <w:b/>
          <w:bCs/>
          <w:kern w:val="0"/>
          <w:sz w:val="44"/>
          <w:szCs w:val="44"/>
          <w:highlight w:val="none"/>
        </w:rPr>
      </w:pPr>
    </w:p>
    <w:p>
      <w:pPr>
        <w:rPr>
          <w:rFonts w:hint="eastAsia" w:ascii="仿宋" w:hAnsi="仿宋" w:eastAsia="仿宋" w:cs="仿宋"/>
          <w:b/>
          <w:bCs/>
          <w:kern w:val="0"/>
          <w:sz w:val="44"/>
          <w:szCs w:val="44"/>
          <w:highlight w:val="none"/>
        </w:rPr>
      </w:pPr>
    </w:p>
    <w:p>
      <w:pPr>
        <w:pStyle w:val="11"/>
        <w:rPr>
          <w:rFonts w:hint="eastAsia" w:ascii="仿宋" w:hAnsi="仿宋" w:eastAsia="仿宋" w:cs="仿宋"/>
          <w:b/>
          <w:bCs/>
          <w:kern w:val="0"/>
          <w:sz w:val="44"/>
          <w:szCs w:val="44"/>
          <w:highlight w:val="none"/>
        </w:rPr>
      </w:pPr>
    </w:p>
    <w:p>
      <w:pPr>
        <w:rPr>
          <w:rFonts w:hint="eastAsia" w:ascii="仿宋" w:hAnsi="仿宋" w:eastAsia="仿宋" w:cs="仿宋"/>
          <w:b/>
          <w:bCs/>
          <w:kern w:val="0"/>
          <w:sz w:val="44"/>
          <w:szCs w:val="44"/>
          <w:highlight w:val="none"/>
        </w:rPr>
      </w:pPr>
    </w:p>
    <w:p>
      <w:pPr>
        <w:pStyle w:val="11"/>
        <w:rPr>
          <w:rFonts w:hint="eastAsia" w:ascii="仿宋" w:hAnsi="仿宋" w:eastAsia="仿宋" w:cs="仿宋"/>
          <w:b/>
          <w:bCs/>
          <w:kern w:val="0"/>
          <w:sz w:val="44"/>
          <w:szCs w:val="44"/>
          <w:highlight w:val="none"/>
        </w:rPr>
      </w:pPr>
    </w:p>
    <w:p>
      <w:pPr>
        <w:snapToGrid w:val="0"/>
        <w:spacing w:line="500" w:lineRule="exact"/>
        <w:jc w:val="center"/>
        <w:outlineLvl w:val="0"/>
        <w:rPr>
          <w:rFonts w:hint="eastAsia" w:ascii="仿宋" w:hAnsi="仿宋" w:eastAsia="仿宋" w:cs="仿宋"/>
          <w:b/>
          <w:bCs/>
          <w:kern w:val="0"/>
          <w:sz w:val="44"/>
          <w:szCs w:val="44"/>
          <w:highlight w:val="none"/>
        </w:rPr>
      </w:pPr>
      <w:bookmarkStart w:id="187" w:name="_Toc20416"/>
      <w:r>
        <w:rPr>
          <w:rFonts w:hint="eastAsia" w:ascii="仿宋" w:hAnsi="仿宋" w:eastAsia="仿宋" w:cs="仿宋"/>
          <w:b/>
          <w:bCs/>
          <w:kern w:val="0"/>
          <w:sz w:val="44"/>
          <w:szCs w:val="44"/>
          <w:highlight w:val="none"/>
        </w:rPr>
        <w:t>第四章  采购内容</w:t>
      </w:r>
      <w:bookmarkEnd w:id="187"/>
    </w:p>
    <w:tbl>
      <w:tblPr>
        <w:tblStyle w:val="2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829"/>
        <w:gridCol w:w="171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序号</w:t>
            </w:r>
          </w:p>
        </w:tc>
        <w:tc>
          <w:tcPr>
            <w:tcW w:w="2927"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设备名称</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数量</w:t>
            </w:r>
          </w:p>
        </w:tc>
        <w:tc>
          <w:tcPr>
            <w:tcW w:w="60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2927"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智能化采血系统（单机位）</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60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2927"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智能化采血系统（双机位）</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600"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套</w:t>
            </w:r>
          </w:p>
        </w:tc>
      </w:tr>
    </w:tbl>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一、智能化采血系统（单机位）</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1.系统集信息录入，条码核对、标本留样、导管热合,针头处理于一体化设计，具有置物架台面。</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2.系统可对献血登记表、主血袋、物料码、各留样管的标签进行自动核对，确保标签一致性，防止标签错贴漏贴。</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★3.系统可对血液标本自动留样，系统自动穿刺留样，减少职业暴露的情况。</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4.系统可对血液留样流速可控：防止留样过程中负压过高，流入速度过高而引起的溶血现象，提高留样质量。</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5.系统具备辅助判别留样是否足量功能。</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6.系统具有导管自动热合功能：热合两道封口，并自行拉断分离针头。全自动化完成，减少职业暴露的情况，同时提高效率。</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★7.系统具有自动回收针头功能，减少职业暴露，提高效率。</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8.系统自动摇匀标本管，提高留样质量。</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9.系统具有采血登记信息数据存储功能。</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10.系统支持传统血袋和留样袋留样。</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11.系统可与血站管理软件无缝对接，自动提取相关信息。</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12.操作系统：Linux系统，7寸触摸屏。</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二、智能化采血系统（双机位）</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★1.系统采取双采血位一体化设计模式，两个采血位不可拆但可独立运行、互不干扰。</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★2.系统集血袋条码核对、主针头自动留样、导管热合、针头处理、信息登记等功能于一体，具有置物架台面。</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3.系统对献血登记码、主血袋码、物料码、各留样管码的标签进行自动核对，确保献血标签一致性，防止标签错贴漏贴。</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4.系统具备辅助判别试管留样是否足量功能。</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5.系统具备血辫导管自动热合功能，支持2道自动热合封口，全自动化过程，提高效率。</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★6.系统具有主针头自动标本留样，自动丢弃主针头功能，自动进行主针头导管热合,并自行拉断分离针头，无需手动回盖针头帽，避免职业暴露。</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7.系统具有自动摇匀标本管功能，并对血液留样流速可控，避免留样过程中负压过高而引起的溶血现象，提高留样质量。</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8.系统具有采血登记信息数据存储管理功能，储存容量支持1000万条采血登记信息。 </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9.系统与血站管理信息系统无缝对接，自动提取相关信息。</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10.具有收纳抽屉和置物架，可用于采血过程中的常用物品收纳。</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11.操作系统：Linux操作系统。</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12.显示屏≤7英寸触摸屏。</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highlight w:val="none"/>
          <w:lang w:val="en-US" w:eastAsia="zh-CN"/>
        </w:rPr>
      </w:pPr>
      <w:r>
        <w:rPr>
          <w:rFonts w:hint="eastAsia" w:ascii="仿宋" w:hAnsi="仿宋" w:eastAsia="仿宋" w:cs="仿宋"/>
          <w:sz w:val="28"/>
          <w:szCs w:val="28"/>
          <w:highlight w:val="none"/>
          <w:lang w:val="en-US" w:eastAsia="zh-CN"/>
        </w:rPr>
        <w:t>13.系统不集成采血秤，支持采血秤接口数据对接，采血系统和采血秤相互独立工作，确保特殊情况下采血工作顺利进行。</w:t>
      </w:r>
    </w:p>
    <w:p>
      <w:pPr>
        <w:spacing w:line="500" w:lineRule="atLeast"/>
        <w:rPr>
          <w:rFonts w:hint="eastAsia" w:ascii="仿宋" w:hAnsi="仿宋" w:eastAsia="仿宋" w:cs="仿宋"/>
          <w:b/>
          <w:bCs/>
          <w:sz w:val="28"/>
          <w:szCs w:val="28"/>
          <w:highlight w:val="none"/>
        </w:rPr>
      </w:pPr>
    </w:p>
    <w:p>
      <w:pPr>
        <w:spacing w:line="500" w:lineRule="atLeast"/>
        <w:rPr>
          <w:rFonts w:hint="eastAsia" w:ascii="仿宋" w:hAnsi="仿宋" w:eastAsia="仿宋" w:cs="仿宋"/>
          <w:b/>
          <w:bCs/>
          <w:sz w:val="28"/>
          <w:szCs w:val="28"/>
          <w:highlight w:val="none"/>
        </w:rPr>
      </w:pPr>
    </w:p>
    <w:p>
      <w:pPr>
        <w:spacing w:line="500" w:lineRule="atLeast"/>
        <w:rPr>
          <w:rFonts w:hint="eastAsia" w:ascii="仿宋" w:hAnsi="仿宋" w:eastAsia="仿宋" w:cs="仿宋"/>
          <w:b/>
          <w:bCs/>
          <w:sz w:val="28"/>
          <w:szCs w:val="28"/>
          <w:highlight w:val="none"/>
        </w:rPr>
      </w:pPr>
    </w:p>
    <w:p>
      <w:pPr>
        <w:pStyle w:val="2"/>
        <w:rPr>
          <w:rFonts w:hint="eastAsia" w:ascii="仿宋" w:hAnsi="仿宋" w:eastAsia="仿宋" w:cs="仿宋"/>
          <w:b/>
          <w:bCs/>
          <w:sz w:val="28"/>
          <w:szCs w:val="28"/>
          <w:highlight w:val="none"/>
        </w:rPr>
      </w:pPr>
    </w:p>
    <w:p>
      <w:pPr>
        <w:pStyle w:val="2"/>
        <w:rPr>
          <w:rFonts w:hint="eastAsia" w:ascii="仿宋" w:hAnsi="仿宋" w:eastAsia="仿宋" w:cs="仿宋"/>
          <w:b/>
          <w:bCs/>
          <w:sz w:val="28"/>
          <w:szCs w:val="28"/>
          <w:highlight w:val="none"/>
        </w:rPr>
      </w:pPr>
    </w:p>
    <w:p>
      <w:pPr>
        <w:pStyle w:val="2"/>
        <w:rPr>
          <w:rFonts w:hint="eastAsia" w:ascii="仿宋" w:hAnsi="仿宋" w:eastAsia="仿宋" w:cs="仿宋"/>
          <w:b/>
          <w:bCs/>
          <w:sz w:val="28"/>
          <w:szCs w:val="28"/>
          <w:highlight w:val="none"/>
        </w:rPr>
      </w:pPr>
    </w:p>
    <w:p>
      <w:pPr>
        <w:spacing w:line="500" w:lineRule="atLeast"/>
        <w:rPr>
          <w:rFonts w:hint="eastAsia" w:ascii="仿宋" w:hAnsi="仿宋" w:eastAsia="仿宋" w:cs="仿宋"/>
          <w:b/>
          <w:bCs/>
          <w:sz w:val="28"/>
          <w:szCs w:val="28"/>
          <w:highlight w:val="none"/>
        </w:rPr>
      </w:pPr>
    </w:p>
    <w:p>
      <w:pPr>
        <w:spacing w:line="500" w:lineRule="atLeast"/>
        <w:rPr>
          <w:rFonts w:hint="eastAsia" w:ascii="仿宋" w:hAnsi="仿宋" w:eastAsia="仿宋" w:cs="仿宋"/>
          <w:b/>
          <w:bCs/>
          <w:sz w:val="28"/>
          <w:szCs w:val="28"/>
          <w:highlight w:val="none"/>
        </w:rPr>
      </w:pPr>
    </w:p>
    <w:p>
      <w:pPr>
        <w:spacing w:line="500" w:lineRule="atLeas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注：采购标的对应的中小企业划分标准所属行业为：</w:t>
      </w:r>
      <w:r>
        <w:rPr>
          <w:rFonts w:hint="eastAsia" w:ascii="仿宋" w:hAnsi="仿宋" w:eastAsia="仿宋" w:cs="仿宋"/>
          <w:b/>
          <w:bCs/>
          <w:color w:val="auto"/>
          <w:sz w:val="28"/>
          <w:szCs w:val="28"/>
          <w:highlight w:val="none"/>
          <w:lang w:eastAsia="zh-CN"/>
        </w:rPr>
        <w:t>工业</w:t>
      </w:r>
      <w:r>
        <w:rPr>
          <w:rFonts w:hint="eastAsia" w:ascii="仿宋" w:hAnsi="仿宋" w:eastAsia="仿宋" w:cs="仿宋"/>
          <w:b/>
          <w:bCs/>
          <w:sz w:val="28"/>
          <w:szCs w:val="28"/>
          <w:highlight w:val="none"/>
        </w:rPr>
        <w:t>。</w:t>
      </w:r>
      <w:bookmarkEnd w:id="162"/>
      <w:bookmarkEnd w:id="163"/>
      <w:bookmarkStart w:id="188" w:name="_Toc24325"/>
      <w:bookmarkStart w:id="189" w:name="_Toc713"/>
      <w:bookmarkStart w:id="190" w:name="_Toc2621_WPSOffice_Level1"/>
      <w:bookmarkStart w:id="191" w:name="_Toc15896"/>
      <w:bookmarkStart w:id="192" w:name="OLE_LINK1"/>
      <w:bookmarkStart w:id="193" w:name="OLE_LINK2"/>
    </w:p>
    <w:p>
      <w:pPr>
        <w:spacing w:line="500" w:lineRule="atLeast"/>
        <w:jc w:val="center"/>
        <w:outlineLvl w:val="0"/>
        <w:rPr>
          <w:rFonts w:ascii="仿宋" w:hAnsi="仿宋" w:eastAsia="仿宋" w:cs="仿宋"/>
          <w:b/>
          <w:szCs w:val="28"/>
          <w:highlight w:val="none"/>
        </w:rPr>
      </w:pPr>
      <w:bookmarkStart w:id="194" w:name="_Toc22613"/>
      <w:r>
        <w:rPr>
          <w:rFonts w:hint="eastAsia" w:ascii="仿宋" w:hAnsi="仿宋" w:eastAsia="仿宋" w:cs="仿宋"/>
          <w:b/>
          <w:sz w:val="44"/>
          <w:szCs w:val="44"/>
          <w:highlight w:val="none"/>
        </w:rPr>
        <w:t>第五章  合同</w:t>
      </w:r>
      <w:bookmarkEnd w:id="188"/>
      <w:bookmarkStart w:id="195" w:name="_Toc20823315"/>
      <w:bookmarkStart w:id="196" w:name="_Toc513029243"/>
      <w:bookmarkStart w:id="197" w:name="_Toc16938559"/>
      <w:r>
        <w:rPr>
          <w:rFonts w:hint="eastAsia" w:ascii="仿宋" w:hAnsi="仿宋" w:eastAsia="仿宋" w:cs="仿宋"/>
          <w:b/>
          <w:sz w:val="44"/>
          <w:szCs w:val="44"/>
          <w:highlight w:val="none"/>
        </w:rPr>
        <w:t>范本</w:t>
      </w:r>
      <w:bookmarkEnd w:id="189"/>
      <w:bookmarkEnd w:id="190"/>
      <w:bookmarkEnd w:id="191"/>
      <w:bookmarkEnd w:id="194"/>
      <w:bookmarkEnd w:id="195"/>
      <w:bookmarkEnd w:id="196"/>
      <w:bookmarkEnd w:id="197"/>
    </w:p>
    <w:p>
      <w:pPr>
        <w:pStyle w:val="41"/>
        <w:widowControl/>
        <w:spacing w:line="600" w:lineRule="exact"/>
        <w:ind w:firstLine="0"/>
        <w:jc w:val="both"/>
        <w:rPr>
          <w:rFonts w:ascii="仿宋" w:hAnsi="仿宋" w:eastAsia="仿宋" w:cs="仿宋"/>
          <w:b/>
          <w:sz w:val="24"/>
          <w:highlight w:val="none"/>
        </w:rPr>
      </w:pPr>
    </w:p>
    <w:p>
      <w:pPr>
        <w:pStyle w:val="41"/>
        <w:widowControl/>
        <w:spacing w:line="600" w:lineRule="exact"/>
        <w:ind w:firstLine="0"/>
        <w:jc w:val="both"/>
        <w:rPr>
          <w:rFonts w:ascii="仿宋" w:hAnsi="仿宋" w:eastAsia="仿宋" w:cs="仿宋"/>
          <w:b/>
          <w:sz w:val="24"/>
          <w:highlight w:val="none"/>
        </w:rPr>
      </w:pPr>
    </w:p>
    <w:bookmarkEnd w:id="164"/>
    <w:bookmarkEnd w:id="165"/>
    <w:bookmarkEnd w:id="166"/>
    <w:bookmarkEnd w:id="192"/>
    <w:bookmarkEnd w:id="193"/>
    <w:p>
      <w:pPr>
        <w:pStyle w:val="11"/>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cs="仿宋"/>
          <w:b/>
          <w:kern w:val="0"/>
          <w:sz w:val="48"/>
          <w:szCs w:val="48"/>
          <w:highlight w:val="none"/>
          <w:lang w:val="en-US" w:eastAsia="zh-CN"/>
        </w:rPr>
      </w:pPr>
      <w:bookmarkStart w:id="198" w:name="_Toc421604335"/>
      <w:r>
        <w:rPr>
          <w:rFonts w:hint="eastAsia" w:ascii="仿宋" w:hAnsi="仿宋" w:cs="仿宋"/>
          <w:b/>
          <w:kern w:val="0"/>
          <w:sz w:val="48"/>
          <w:szCs w:val="48"/>
          <w:highlight w:val="none"/>
          <w:lang w:val="en-US" w:eastAsia="zh-CN"/>
        </w:rPr>
        <w:t>渭南市中心血站采血、供血设备采购项目</w:t>
      </w:r>
    </w:p>
    <w:p>
      <w:pPr>
        <w:pStyle w:val="11"/>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sz w:val="20"/>
          <w:szCs w:val="16"/>
          <w:highlight w:val="none"/>
        </w:rPr>
      </w:pPr>
      <w:r>
        <w:rPr>
          <w:rFonts w:hint="eastAsia" w:ascii="仿宋" w:hAnsi="仿宋" w:cs="仿宋"/>
          <w:b/>
          <w:kern w:val="0"/>
          <w:sz w:val="48"/>
          <w:szCs w:val="48"/>
          <w:highlight w:val="none"/>
          <w:lang w:val="en-US" w:eastAsia="zh-CN"/>
        </w:rPr>
        <w:t>（一包）</w:t>
      </w:r>
    </w:p>
    <w:p>
      <w:pPr>
        <w:rPr>
          <w:rFonts w:hint="default"/>
          <w:highlight w:val="none"/>
        </w:rPr>
      </w:pPr>
    </w:p>
    <w:p>
      <w:pPr>
        <w:pStyle w:val="17"/>
        <w:rPr>
          <w:rFonts w:hint="default"/>
          <w:highlight w:val="none"/>
        </w:rPr>
      </w:pPr>
    </w:p>
    <w:p>
      <w:pPr>
        <w:jc w:val="center"/>
        <w:rPr>
          <w:rFonts w:ascii="仿宋" w:hAnsi="仿宋" w:eastAsia="仿宋" w:cs="仿宋"/>
          <w:b/>
          <w:kern w:val="0"/>
          <w:sz w:val="32"/>
          <w:szCs w:val="32"/>
          <w:highlight w:val="none"/>
        </w:rPr>
      </w:pPr>
    </w:p>
    <w:p>
      <w:pPr>
        <w:rPr>
          <w:rFonts w:hint="default"/>
          <w:highlight w:val="none"/>
        </w:rPr>
      </w:pPr>
    </w:p>
    <w:p>
      <w:pPr>
        <w:spacing w:line="600" w:lineRule="auto"/>
        <w:jc w:val="center"/>
        <w:rPr>
          <w:rFonts w:ascii="仿宋" w:hAnsi="仿宋" w:eastAsia="仿宋" w:cs="仿宋"/>
          <w:b/>
          <w:kern w:val="0"/>
          <w:sz w:val="36"/>
          <w:szCs w:val="36"/>
          <w:highlight w:val="none"/>
        </w:rPr>
      </w:pPr>
      <w:r>
        <w:rPr>
          <w:rFonts w:hint="eastAsia" w:ascii="仿宋" w:hAnsi="仿宋" w:eastAsia="仿宋" w:cs="仿宋"/>
          <w:b/>
          <w:kern w:val="0"/>
          <w:sz w:val="52"/>
          <w:szCs w:val="52"/>
          <w:highlight w:val="none"/>
        </w:rPr>
        <w:t>合 同 书</w:t>
      </w:r>
    </w:p>
    <w:p>
      <w:pPr>
        <w:spacing w:line="560" w:lineRule="exact"/>
        <w:jc w:val="center"/>
        <w:rPr>
          <w:rFonts w:ascii="仿宋" w:hAnsi="仿宋" w:eastAsia="仿宋" w:cs="仿宋"/>
          <w:b/>
          <w:kern w:val="0"/>
          <w:sz w:val="36"/>
          <w:szCs w:val="36"/>
          <w:highlight w:val="none"/>
        </w:rPr>
      </w:pPr>
    </w:p>
    <w:p>
      <w:pPr>
        <w:pStyle w:val="11"/>
        <w:rPr>
          <w:rFonts w:hint="default"/>
          <w:highlight w:val="none"/>
        </w:rPr>
      </w:pPr>
    </w:p>
    <w:p>
      <w:pPr>
        <w:rPr>
          <w:rFonts w:hint="default"/>
          <w:highlight w:val="none"/>
        </w:rPr>
      </w:pPr>
    </w:p>
    <w:p>
      <w:pPr>
        <w:spacing w:line="560" w:lineRule="exact"/>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合同编号：XXXX</w:t>
      </w:r>
    </w:p>
    <w:p>
      <w:pPr>
        <w:spacing w:line="560" w:lineRule="exact"/>
        <w:rPr>
          <w:rFonts w:ascii="仿宋" w:hAnsi="仿宋" w:eastAsia="仿宋" w:cs="仿宋"/>
          <w:b/>
          <w:highlight w:val="none"/>
        </w:rPr>
      </w:pPr>
    </w:p>
    <w:p>
      <w:pPr>
        <w:rPr>
          <w:highlight w:val="none"/>
        </w:rPr>
      </w:pPr>
    </w:p>
    <w:p>
      <w:pPr>
        <w:pStyle w:val="13"/>
        <w:ind w:left="1470" w:right="1470"/>
        <w:rPr>
          <w:highlight w:val="none"/>
        </w:rPr>
      </w:pPr>
    </w:p>
    <w:p>
      <w:pPr>
        <w:rPr>
          <w:highlight w:val="none"/>
        </w:rPr>
      </w:pPr>
    </w:p>
    <w:p>
      <w:pPr>
        <w:spacing w:line="560" w:lineRule="exact"/>
        <w:ind w:left="1469" w:hanging="1469" w:hangingChars="400"/>
        <w:rPr>
          <w:rFonts w:hint="eastAsia" w:ascii="仿宋" w:hAnsi="仿宋" w:eastAsia="仿宋" w:cs="仿宋"/>
          <w:b/>
          <w:spacing w:val="23"/>
          <w:sz w:val="32"/>
          <w:szCs w:val="32"/>
          <w:highlight w:val="none"/>
          <w:lang w:bidi="ar"/>
        </w:rPr>
      </w:pPr>
    </w:p>
    <w:p>
      <w:pPr>
        <w:rPr>
          <w:rFonts w:hint="eastAsia"/>
          <w:highlight w:val="none"/>
        </w:rPr>
      </w:pPr>
    </w:p>
    <w:p>
      <w:pPr>
        <w:bidi w:val="0"/>
        <w:rPr>
          <w:rFonts w:hint="eastAsia"/>
          <w:highlight w:val="none"/>
        </w:rPr>
      </w:pPr>
    </w:p>
    <w:p>
      <w:pPr>
        <w:bidi w:val="0"/>
        <w:rPr>
          <w:rFonts w:hint="eastAsia"/>
          <w:highlight w:val="none"/>
        </w:rPr>
      </w:pPr>
    </w:p>
    <w:p>
      <w:pPr>
        <w:pStyle w:val="11"/>
        <w:rPr>
          <w:rFonts w:hint="eastAsia"/>
          <w:highlight w:val="none"/>
        </w:rPr>
      </w:pP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甲方</w:t>
      </w:r>
      <w:r>
        <w:rPr>
          <w:rFonts w:hint="eastAsia" w:ascii="仿宋" w:hAnsi="仿宋" w:eastAsia="仿宋" w:cs="仿宋"/>
          <w:b/>
          <w:spacing w:val="23"/>
          <w:sz w:val="32"/>
          <w:szCs w:val="32"/>
          <w:highlight w:val="none"/>
          <w:lang w:eastAsia="zh-CN" w:bidi="ar"/>
        </w:rPr>
        <w:t>（</w:t>
      </w:r>
      <w:r>
        <w:rPr>
          <w:highlight w:val="none"/>
        </w:rPr>
        <w:fldChar w:fldCharType="begin"/>
      </w:r>
      <w:r>
        <w:rPr>
          <w:highlight w:val="none"/>
        </w:rPr>
        <w:instrText xml:space="preserve"> HYPERLINK "http://set2.mail.qq.com/cgi-bin/mail_spam?action=check_link&amp;spam=0&amp;url=http://www.baidu.com/s?wd=%E9%87%87%E8%B4%AD%E5%8D%95&amp;hl_tag=textlink&amp;tn=SE_hldp01350_v6v6zkg6" </w:instrText>
      </w:r>
      <w:r>
        <w:rPr>
          <w:highlight w:val="none"/>
        </w:rPr>
        <w:fldChar w:fldCharType="separate"/>
      </w:r>
      <w:r>
        <w:rPr>
          <w:rStyle w:val="34"/>
          <w:rFonts w:hint="default" w:ascii="仿宋" w:hAnsi="仿宋" w:eastAsia="仿宋" w:cs="仿宋"/>
          <w:b/>
          <w:color w:val="auto"/>
          <w:spacing w:val="23"/>
          <w:sz w:val="32"/>
          <w:szCs w:val="32"/>
          <w:highlight w:val="none"/>
        </w:rPr>
        <w:t>采购人</w:t>
      </w:r>
      <w:r>
        <w:rPr>
          <w:rStyle w:val="34"/>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w:t>
      </w:r>
      <w:r>
        <w:rPr>
          <w:highlight w:val="none"/>
        </w:rPr>
        <w:fldChar w:fldCharType="begin"/>
      </w:r>
      <w:r>
        <w:rPr>
          <w:highlight w:val="none"/>
        </w:rPr>
        <w:instrText xml:space="preserve"> HYPERLINK "http://set2.mail.qq.com/cgi-bin/mail_spam?action=check_link&amp;spam=0&amp;url=http://www.baidu.com/s?wd=%E4%B9%99%E6%96%B9&amp;hl_tag=textlink&amp;tn=SE_hldp01350_v6v6zkg6" </w:instrText>
      </w:r>
      <w:r>
        <w:rPr>
          <w:highlight w:val="none"/>
        </w:rPr>
        <w:fldChar w:fldCharType="separate"/>
      </w:r>
      <w:r>
        <w:rPr>
          <w:rStyle w:val="34"/>
          <w:rFonts w:hint="default" w:ascii="仿宋" w:hAnsi="仿宋" w:eastAsia="仿宋" w:cs="仿宋"/>
          <w:b/>
          <w:color w:val="auto"/>
          <w:spacing w:val="23"/>
          <w:sz w:val="32"/>
          <w:szCs w:val="32"/>
          <w:highlight w:val="none"/>
        </w:rPr>
        <w:t>乙方</w:t>
      </w:r>
      <w:r>
        <w:rPr>
          <w:rStyle w:val="34"/>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供应商</w:t>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pStyle w:val="24"/>
        <w:widowControl/>
        <w:adjustRightInd w:val="0"/>
        <w:spacing w:line="560" w:lineRule="exact"/>
        <w:rPr>
          <w:rFonts w:hint="eastAsia" w:ascii="仿宋" w:hAnsi="仿宋" w:eastAsia="仿宋" w:cs="仿宋"/>
          <w:b/>
          <w:sz w:val="32"/>
          <w:szCs w:val="32"/>
          <w:highlight w:val="none"/>
          <w:lang w:bidi="ar"/>
        </w:rPr>
      </w:pPr>
      <w:r>
        <w:rPr>
          <w:rFonts w:hint="eastAsia" w:ascii="仿宋" w:hAnsi="仿宋" w:eastAsia="仿宋" w:cs="仿宋"/>
          <w:b/>
          <w:spacing w:val="23"/>
          <w:kern w:val="0"/>
          <w:sz w:val="32"/>
          <w:szCs w:val="32"/>
          <w:highlight w:val="none"/>
          <w:lang w:bidi="ar"/>
        </w:rPr>
        <w:t xml:space="preserve">          签订时间：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u w:val="single"/>
          <w:lang w:val="en-US" w:eastAsia="zh-CN" w:bidi="ar"/>
        </w:rPr>
        <w:t xml:space="preserve"> </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月</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日</w:t>
      </w:r>
      <w:bookmarkStart w:id="199" w:name="_Toc26903"/>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sz w:val="32"/>
          <w:szCs w:val="32"/>
          <w:highlight w:val="none"/>
          <w:lang w:eastAsia="zh-CN" w:bidi="ar"/>
        </w:rPr>
      </w:pPr>
      <w:r>
        <w:rPr>
          <w:rFonts w:hint="eastAsia" w:ascii="仿宋" w:hAnsi="仿宋" w:eastAsia="仿宋" w:cs="仿宋"/>
          <w:b/>
          <w:bCs w:val="0"/>
          <w:color w:val="auto"/>
          <w:sz w:val="32"/>
          <w:szCs w:val="32"/>
          <w:highlight w:val="none"/>
          <w:lang w:eastAsia="zh-CN" w:bidi="ar"/>
        </w:rPr>
        <w:t>合同范本</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甲方</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采购人</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乙方</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供应商</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甲乙双方根据</w:t>
      </w:r>
      <w:r>
        <w:rPr>
          <w:rFonts w:hint="eastAsia" w:ascii="仿宋" w:hAnsi="仿宋" w:eastAsia="仿宋" w:cs="仿宋"/>
          <w:b w:val="0"/>
          <w:bCs/>
          <w:color w:val="auto"/>
          <w:sz w:val="28"/>
          <w:szCs w:val="28"/>
          <w:highlight w:val="none"/>
          <w:u w:val="single"/>
          <w:lang w:bidi="ar"/>
        </w:rPr>
        <w:t xml:space="preserve">      </w:t>
      </w:r>
      <w:r>
        <w:rPr>
          <w:rFonts w:hint="eastAsia" w:ascii="仿宋" w:hAnsi="仿宋" w:eastAsia="仿宋" w:cs="仿宋"/>
          <w:b w:val="0"/>
          <w:bCs/>
          <w:color w:val="auto"/>
          <w:sz w:val="28"/>
          <w:szCs w:val="28"/>
          <w:highlight w:val="none"/>
          <w:u w:val="single"/>
          <w:lang w:val="en-US" w:eastAsia="zh-CN" w:bidi="ar"/>
        </w:rPr>
        <w:t xml:space="preserve">    </w:t>
      </w:r>
      <w:r>
        <w:rPr>
          <w:rFonts w:hint="eastAsia" w:ascii="仿宋" w:hAnsi="仿宋" w:eastAsia="仿宋" w:cs="仿宋"/>
          <w:b w:val="0"/>
          <w:bCs/>
          <w:color w:val="auto"/>
          <w:sz w:val="28"/>
          <w:szCs w:val="28"/>
          <w:highlight w:val="none"/>
          <w:u w:val="single"/>
          <w:lang w:bidi="ar"/>
        </w:rPr>
        <w:t xml:space="preserve"> </w:t>
      </w:r>
      <w:r>
        <w:rPr>
          <w:rFonts w:hint="eastAsia" w:ascii="仿宋" w:hAnsi="仿宋" w:eastAsia="仿宋" w:cs="仿宋"/>
          <w:b w:val="0"/>
          <w:bCs/>
          <w:color w:val="auto"/>
          <w:sz w:val="28"/>
          <w:szCs w:val="28"/>
          <w:highlight w:val="none"/>
          <w:lang w:bidi="ar"/>
        </w:rPr>
        <w:t>政府采购项目</w:t>
      </w:r>
      <w:r>
        <w:rPr>
          <w:rFonts w:hint="eastAsia" w:ascii="仿宋" w:hAnsi="仿宋" w:eastAsia="仿宋" w:cs="仿宋"/>
          <w:b w:val="0"/>
          <w:bCs/>
          <w:color w:val="auto"/>
          <w:sz w:val="28"/>
          <w:szCs w:val="28"/>
          <w:highlight w:val="none"/>
          <w:lang w:eastAsia="zh-CN" w:bidi="ar"/>
        </w:rPr>
        <w:t>（项目编号：</w:t>
      </w:r>
      <w:r>
        <w:rPr>
          <w:rFonts w:hint="eastAsia" w:ascii="仿宋" w:hAnsi="仿宋" w:eastAsia="仿宋" w:cs="仿宋"/>
          <w:b w:val="0"/>
          <w:bCs/>
          <w:color w:val="auto"/>
          <w:sz w:val="28"/>
          <w:szCs w:val="28"/>
          <w:highlight w:val="none"/>
          <w:u w:val="single"/>
          <w:lang w:val="en-US" w:eastAsia="zh-CN" w:bidi="ar"/>
        </w:rPr>
        <w:t xml:space="preserve">          </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采购结果及相关招投标文件，经协商一致，订立本合同，供双方共同遵守：</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bCs w:val="0"/>
          <w:color w:val="auto"/>
          <w:sz w:val="28"/>
          <w:szCs w:val="28"/>
          <w:highlight w:val="none"/>
          <w:lang w:bidi="ar"/>
        </w:rPr>
      </w:pPr>
      <w:r>
        <w:rPr>
          <w:rFonts w:hint="eastAsia" w:ascii="仿宋" w:hAnsi="仿宋" w:eastAsia="仿宋" w:cs="仿宋"/>
          <w:b/>
          <w:bCs w:val="0"/>
          <w:color w:val="auto"/>
          <w:sz w:val="28"/>
          <w:szCs w:val="28"/>
          <w:highlight w:val="none"/>
          <w:lang w:bidi="ar"/>
        </w:rPr>
        <w:t xml:space="preserve">第一条  </w:t>
      </w:r>
      <w:r>
        <w:rPr>
          <w:rFonts w:hint="eastAsia" w:ascii="仿宋" w:hAnsi="仿宋" w:eastAsia="仿宋" w:cs="仿宋"/>
          <w:b/>
          <w:color w:val="auto"/>
          <w:sz w:val="28"/>
          <w:szCs w:val="28"/>
          <w:highlight w:val="none"/>
          <w:lang w:bidi="ar"/>
        </w:rPr>
        <w:t>甲方采购的物品内容和含税价格：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eastAsia="zh-CN" w:bidi="ar"/>
        </w:rPr>
      </w:pPr>
      <w:r>
        <w:rPr>
          <w:rFonts w:hint="eastAsia" w:ascii="仿宋" w:hAnsi="仿宋" w:eastAsia="仿宋" w:cs="仿宋"/>
          <w:b w:val="0"/>
          <w:bCs/>
          <w:color w:val="auto"/>
          <w:sz w:val="28"/>
          <w:szCs w:val="28"/>
          <w:highlight w:val="none"/>
          <w:lang w:bidi="ar"/>
        </w:rPr>
        <w:t>货物名称____________________</w:t>
      </w:r>
      <w:r>
        <w:rPr>
          <w:rFonts w:hint="eastAsia" w:ascii="仿宋" w:hAnsi="仿宋" w:eastAsia="仿宋" w:cs="仿宋"/>
          <w:b w:val="0"/>
          <w:bCs/>
          <w:color w:val="auto"/>
          <w:sz w:val="28"/>
          <w:szCs w:val="28"/>
          <w:highlight w:val="none"/>
          <w:lang w:eastAsia="zh-CN" w:bidi="ar"/>
        </w:rPr>
        <w:t>（后附采购清单）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货物型号____________________</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数    量____________________</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合    计____________________（金额单位：人民币元)</w:t>
      </w:r>
    </w:p>
    <w:p>
      <w:pPr>
        <w:keepNext w:val="0"/>
        <w:keepLines w:val="0"/>
        <w:pageBreakBefore w:val="0"/>
        <w:widowControl/>
        <w:kinsoku/>
        <w:wordWrap/>
        <w:overflowPunct/>
        <w:topLinePunct w:val="0"/>
        <w:bidi w:val="0"/>
        <w:snapToGrid/>
        <w:spacing w:line="500" w:lineRule="exact"/>
        <w:ind w:firstLine="560" w:firstLineChars="200"/>
        <w:jc w:val="left"/>
        <w:textAlignment w:val="auto"/>
        <w:rPr>
          <w:rFonts w:hint="eastAsia"/>
          <w:sz w:val="28"/>
          <w:szCs w:val="28"/>
          <w:highlight w:val="none"/>
        </w:rPr>
      </w:pPr>
      <w:r>
        <w:rPr>
          <w:rFonts w:hint="eastAsia" w:ascii="仿宋" w:hAnsi="仿宋" w:eastAsia="仿宋" w:cs="仿宋"/>
          <w:bCs/>
          <w:sz w:val="28"/>
          <w:szCs w:val="28"/>
          <w:highlight w:val="none"/>
          <w:lang w:bidi="ar"/>
        </w:rPr>
        <w:t>采购物品由</w:t>
      </w:r>
      <w:r>
        <w:rPr>
          <w:rFonts w:hint="eastAsia" w:ascii="仿宋" w:hAnsi="仿宋" w:eastAsia="仿宋" w:cs="仿宋"/>
          <w:bCs/>
          <w:sz w:val="28"/>
          <w:szCs w:val="28"/>
          <w:highlight w:val="none"/>
          <w:lang w:eastAsia="zh-CN" w:bidi="ar"/>
        </w:rPr>
        <w:t>乙</w:t>
      </w:r>
      <w:r>
        <w:rPr>
          <w:rFonts w:hint="eastAsia" w:ascii="仿宋" w:hAnsi="仿宋" w:eastAsia="仿宋" w:cs="仿宋"/>
          <w:bCs/>
          <w:sz w:val="28"/>
          <w:szCs w:val="28"/>
          <w:highlight w:val="none"/>
          <w:lang w:bidi="ar"/>
        </w:rPr>
        <w:t>免费配送，甲方不再另付任何费用。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eastAsia="zh-CN" w:bidi="ar"/>
        </w:rPr>
        <w:t>第二条</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
          <w:color w:val="auto"/>
          <w:sz w:val="28"/>
          <w:szCs w:val="28"/>
          <w:highlight w:val="none"/>
          <w:lang w:bidi="ar"/>
        </w:rPr>
        <w:t xml:space="preserve"> 货物的质量</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技术标准</w:t>
      </w:r>
      <w:r>
        <w:rPr>
          <w:rFonts w:hint="eastAsia" w:ascii="仿宋" w:hAnsi="仿宋" w:eastAsia="仿宋" w:cs="仿宋"/>
          <w:b/>
          <w:color w:val="auto"/>
          <w:sz w:val="28"/>
          <w:szCs w:val="28"/>
          <w:highlight w:val="none"/>
          <w:lang w:bidi="ar"/>
        </w:rPr>
        <w:fldChar w:fldCharType="end"/>
      </w:r>
      <w:r>
        <w:rPr>
          <w:rFonts w:hint="eastAsia" w:ascii="仿宋" w:hAnsi="仿宋" w:eastAsia="仿宋" w:cs="仿宋"/>
          <w:b/>
          <w:color w:val="auto"/>
          <w:sz w:val="28"/>
          <w:szCs w:val="28"/>
          <w:highlight w:val="none"/>
          <w:lang w:bidi="ar"/>
        </w:rPr>
        <w:t>、</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乙方</w:t>
      </w:r>
      <w:r>
        <w:rPr>
          <w:rFonts w:hint="eastAsia" w:ascii="仿宋" w:hAnsi="仿宋" w:eastAsia="仿宋" w:cs="仿宋"/>
          <w:b/>
          <w:color w:val="auto"/>
          <w:sz w:val="28"/>
          <w:szCs w:val="28"/>
          <w:highlight w:val="none"/>
          <w:lang w:bidi="ar"/>
        </w:rPr>
        <w:fldChar w:fldCharType="end"/>
      </w:r>
      <w:r>
        <w:rPr>
          <w:rFonts w:hint="eastAsia" w:ascii="仿宋" w:hAnsi="仿宋" w:eastAsia="仿宋" w:cs="仿宋"/>
          <w:b/>
          <w:color w:val="auto"/>
          <w:sz w:val="28"/>
          <w:szCs w:val="28"/>
          <w:highlight w:val="none"/>
          <w:lang w:bidi="ar"/>
        </w:rPr>
        <w:t>售后服务及</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"http://set2.mail.qq.com/cgi-bin/mail_spam?action=check_link&amp;spam=0&amp;url=http%3A%2F%2Fwww%2Ebaidu%2Ecom%2Fs%3Fwd%3D%25E6%258D%259F%25E5%25AE%25B3%25E8%25B5%2594%25E5%2581%25BF%26hl_tag%3Dtextlink%26tn%3DSE_hldp01350_v6v6zkg6"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损害赔偿</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kern w:val="0"/>
          <w:sz w:val="28"/>
          <w:szCs w:val="28"/>
          <w:highlight w:val="none"/>
          <w:lang w:bidi="ar"/>
        </w:rPr>
      </w:pPr>
      <w:r>
        <w:rPr>
          <w:rFonts w:hint="eastAsia" w:ascii="仿宋" w:hAnsi="仿宋" w:eastAsia="仿宋" w:cs="仿宋"/>
          <w:bCs/>
          <w:color w:val="auto"/>
          <w:kern w:val="0"/>
          <w:sz w:val="28"/>
          <w:szCs w:val="28"/>
          <w:highlight w:val="none"/>
          <w:lang w:bidi="ar"/>
        </w:rPr>
        <w:t>1、货物的质量</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bidi="ar"/>
        </w:rPr>
        <w:t>技术标准</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按国家法律法规规定的合格标准、</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eastAsia="zh-CN" w:bidi="ar"/>
        </w:rPr>
        <w:t>招标</w:t>
      </w:r>
      <w:r>
        <w:rPr>
          <w:rFonts w:hint="eastAsia" w:ascii="仿宋" w:hAnsi="仿宋" w:eastAsia="仿宋" w:cs="仿宋"/>
          <w:bCs/>
          <w:color w:val="auto"/>
          <w:kern w:val="0"/>
          <w:sz w:val="28"/>
          <w:szCs w:val="28"/>
          <w:highlight w:val="none"/>
          <w:lang w:bidi="ar"/>
        </w:rPr>
        <w:t>文件</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要求的</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bidi="ar"/>
        </w:rPr>
        <w:t>技术标准</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执行。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kern w:val="0"/>
          <w:sz w:val="28"/>
          <w:szCs w:val="28"/>
          <w:highlight w:val="none"/>
          <w:lang w:bidi="ar"/>
        </w:rPr>
      </w:pPr>
      <w:r>
        <w:rPr>
          <w:rFonts w:hint="eastAsia" w:ascii="仿宋" w:hAnsi="仿宋" w:eastAsia="仿宋" w:cs="仿宋"/>
          <w:bCs/>
          <w:color w:val="auto"/>
          <w:kern w:val="0"/>
          <w:sz w:val="28"/>
          <w:szCs w:val="28"/>
          <w:highlight w:val="none"/>
          <w:lang w:val="en-US" w:eastAsia="zh-CN" w:bidi="ar"/>
        </w:rPr>
        <w:t>2、</w:t>
      </w:r>
      <w:r>
        <w:rPr>
          <w:rFonts w:hint="eastAsia" w:ascii="仿宋" w:hAnsi="仿宋" w:eastAsia="仿宋" w:cs="仿宋"/>
          <w:bCs/>
          <w:color w:val="auto"/>
          <w:kern w:val="0"/>
          <w:sz w:val="28"/>
          <w:szCs w:val="28"/>
          <w:highlight w:val="none"/>
          <w:lang w:bidi="ar"/>
        </w:rPr>
        <w:t>乙方从项目验收合格之日起，产品提供</w:t>
      </w:r>
      <w:r>
        <w:rPr>
          <w:rFonts w:hint="eastAsia" w:ascii="仿宋" w:hAnsi="仿宋" w:eastAsia="仿宋" w:cs="仿宋"/>
          <w:bCs/>
          <w:color w:val="auto"/>
          <w:kern w:val="0"/>
          <w:sz w:val="28"/>
          <w:szCs w:val="28"/>
          <w:highlight w:val="none"/>
          <w:u w:val="single"/>
          <w:lang w:bidi="ar"/>
        </w:rPr>
        <w:t xml:space="preserve">     </w:t>
      </w:r>
      <w:r>
        <w:rPr>
          <w:rFonts w:hint="eastAsia" w:ascii="仿宋" w:hAnsi="仿宋" w:eastAsia="仿宋" w:cs="仿宋"/>
          <w:bCs/>
          <w:color w:val="auto"/>
          <w:kern w:val="0"/>
          <w:sz w:val="28"/>
          <w:szCs w:val="28"/>
          <w:highlight w:val="none"/>
          <w:lang w:bidi="ar"/>
        </w:rPr>
        <w:t>年质保，质保期内出现质量问题予以免费调换。</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kern w:val="0"/>
          <w:sz w:val="28"/>
          <w:szCs w:val="28"/>
          <w:highlight w:val="none"/>
          <w:lang w:val="en-US" w:eastAsia="zh-CN" w:bidi="ar"/>
        </w:rPr>
        <w:t>3、</w:t>
      </w:r>
      <w:r>
        <w:rPr>
          <w:rFonts w:hint="eastAsia" w:ascii="仿宋" w:hAnsi="仿宋" w:eastAsia="仿宋" w:cs="仿宋"/>
          <w:bCs/>
          <w:color w:val="auto"/>
          <w:sz w:val="28"/>
          <w:szCs w:val="28"/>
          <w:highlight w:val="none"/>
          <w:lang w:bidi="ar"/>
        </w:rPr>
        <w:t>乙方售后服务</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响应时间</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：每天24小时及时响应，</w:t>
      </w:r>
      <w:r>
        <w:rPr>
          <w:rFonts w:hint="eastAsia" w:ascii="仿宋" w:hAnsi="仿宋" w:eastAsia="仿宋" w:cs="仿宋"/>
          <w:bCs/>
          <w:color w:val="auto"/>
          <w:sz w:val="28"/>
          <w:szCs w:val="28"/>
          <w:highlight w:val="none"/>
          <w:lang w:val="en-US" w:eastAsia="zh-CN" w:bidi="ar"/>
        </w:rPr>
        <w:t>4</w:t>
      </w:r>
      <w:r>
        <w:rPr>
          <w:rFonts w:hint="eastAsia" w:ascii="仿宋" w:hAnsi="仿宋" w:eastAsia="仿宋" w:cs="仿宋"/>
          <w:bCs/>
          <w:color w:val="auto"/>
          <w:sz w:val="28"/>
          <w:szCs w:val="28"/>
          <w:highlight w:val="none"/>
          <w:lang w:bidi="ar"/>
        </w:rPr>
        <w:t>小时内到现场处理相关问题，费用由乙方负责。如乙方在接到通知工作日的24小时内没有答复和处理问题，则视为乙方承认质量问题并承担由此而发生的一切费用。质保期间因产品的任何质量问题原因造成的直接经济损失应全部由乙方自行负责。</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color w:val="auto"/>
          <w:sz w:val="28"/>
          <w:szCs w:val="28"/>
          <w:highlight w:val="none"/>
          <w:lang w:val="en-US" w:eastAsia="zh-CN" w:bidi="ar"/>
        </w:rPr>
        <w:t>4</w:t>
      </w:r>
      <w:r>
        <w:rPr>
          <w:rFonts w:hint="eastAsia" w:ascii="仿宋" w:hAnsi="仿宋" w:eastAsia="仿宋" w:cs="仿宋"/>
          <w:bCs/>
          <w:color w:val="auto"/>
          <w:sz w:val="28"/>
          <w:szCs w:val="28"/>
          <w:highlight w:val="none"/>
          <w:lang w:bidi="ar"/>
        </w:rPr>
        <w:t>、如因乙方货物质量问题的原因，导致甲方损失，乙方应予以赔偿。</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bCs w:val="0"/>
          <w:color w:val="auto"/>
          <w:sz w:val="28"/>
          <w:szCs w:val="28"/>
          <w:highlight w:val="none"/>
          <w:lang w:eastAsia="zh-CN" w:bidi="ar"/>
        </w:rPr>
      </w:pPr>
      <w:r>
        <w:rPr>
          <w:rFonts w:hint="eastAsia" w:ascii="仿宋" w:hAnsi="仿宋" w:eastAsia="仿宋" w:cs="仿宋"/>
          <w:bCs/>
          <w:sz w:val="28"/>
          <w:szCs w:val="28"/>
          <w:highlight w:val="none"/>
          <w:lang w:bidi="ar"/>
        </w:rPr>
        <w:t>拟派本项目负责人姓名：</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，身份证号：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u w:val="single"/>
          <w:lang w:eastAsia="zh-CN" w:bidi="ar"/>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color w:val="auto"/>
          <w:sz w:val="28"/>
          <w:szCs w:val="28"/>
          <w:highlight w:val="none"/>
          <w:lang w:val="en-US" w:eastAsia="zh-CN" w:bidi="ar"/>
        </w:rPr>
      </w:pPr>
      <w:r>
        <w:rPr>
          <w:rFonts w:hint="eastAsia" w:ascii="仿宋" w:hAnsi="仿宋" w:eastAsia="仿宋" w:cs="仿宋"/>
          <w:b/>
          <w:bCs w:val="0"/>
          <w:color w:val="auto"/>
          <w:sz w:val="28"/>
          <w:szCs w:val="28"/>
          <w:highlight w:val="none"/>
          <w:lang w:eastAsia="zh-CN" w:bidi="ar"/>
        </w:rPr>
        <w:t>第三条</w:t>
      </w:r>
      <w:r>
        <w:rPr>
          <w:rFonts w:hint="eastAsia" w:ascii="仿宋" w:hAnsi="仿宋" w:eastAsia="仿宋" w:cs="仿宋"/>
          <w:b/>
          <w:bCs w:val="0"/>
          <w:color w:val="auto"/>
          <w:sz w:val="28"/>
          <w:szCs w:val="28"/>
          <w:highlight w:val="none"/>
          <w:lang w:val="en-US" w:eastAsia="zh-CN" w:bidi="ar"/>
        </w:rPr>
        <w:t xml:space="preserve">  技术培训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olor w:val="auto"/>
          <w:highlight w:val="none"/>
        </w:rPr>
      </w:pPr>
      <w:r>
        <w:rPr>
          <w:rFonts w:hint="eastAsia" w:ascii="仿宋" w:hAnsi="仿宋" w:eastAsia="仿宋" w:cs="仿宋"/>
          <w:bCs/>
          <w:color w:val="auto"/>
          <w:sz w:val="28"/>
          <w:szCs w:val="28"/>
          <w:highlight w:val="none"/>
          <w:lang w:bidi="ar"/>
        </w:rPr>
        <w:t>应包括货物(产品)使用操作、保养等培训内容。乙方需按甲方要求的时间为甲方免费培训技术人员若干名，培训服务以受培训人员熟练掌握相应技能为原则。对于甲方初次使用或使用频率不高的产品，应在产品投入使用初期进行必要的跟踪指导，保障产品的正常使用。投标产品需在培训基地培训的，乙方应按要求履行，培训产生的交通费、食宿费、培训费等均由乙方承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四</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交货</w:t>
      </w:r>
      <w:r>
        <w:rPr>
          <w:rFonts w:hint="eastAsia" w:ascii="仿宋" w:hAnsi="仿宋" w:eastAsia="仿宋" w:cs="仿宋"/>
          <w:b/>
          <w:color w:val="auto"/>
          <w:sz w:val="28"/>
          <w:szCs w:val="28"/>
          <w:highlight w:val="none"/>
          <w:lang w:bidi="ar"/>
        </w:rPr>
        <w:t>和验收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bCs/>
          <w:color w:val="auto"/>
          <w:sz w:val="28"/>
          <w:szCs w:val="28"/>
          <w:highlight w:val="none"/>
          <w:u w:val="none"/>
          <w:lang w:val="en-US" w:eastAsia="zh-CN" w:bidi="ar"/>
        </w:rPr>
      </w:pPr>
      <w:r>
        <w:rPr>
          <w:rFonts w:hint="eastAsia" w:ascii="仿宋" w:hAnsi="仿宋" w:eastAsia="仿宋" w:cs="仿宋"/>
          <w:bCs/>
          <w:color w:val="auto"/>
          <w:sz w:val="28"/>
          <w:szCs w:val="28"/>
          <w:highlight w:val="none"/>
          <w:lang w:bidi="ar"/>
        </w:rPr>
        <w:t>1、</w:t>
      </w:r>
      <w:r>
        <w:rPr>
          <w:rFonts w:hint="eastAsia" w:ascii="仿宋" w:hAnsi="仿宋" w:eastAsia="仿宋" w:cs="仿宋"/>
          <w:color w:val="auto"/>
          <w:sz w:val="28"/>
          <w:szCs w:val="28"/>
          <w:highlight w:val="none"/>
          <w:lang w:eastAsia="zh-CN"/>
        </w:rPr>
        <w:t>供货期</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val="en-US" w:eastAsia="zh-CN" w:bidi="ar"/>
        </w:rPr>
        <w:t>合同签订后</w:t>
      </w:r>
      <w:r>
        <w:rPr>
          <w:rFonts w:hint="eastAsia" w:ascii="仿宋" w:hAnsi="仿宋" w:eastAsia="仿宋" w:cs="仿宋"/>
          <w:bCs/>
          <w:color w:val="auto"/>
          <w:sz w:val="28"/>
          <w:szCs w:val="28"/>
          <w:highlight w:val="none"/>
          <w:u w:val="single"/>
          <w:lang w:val="en-US" w:eastAsia="zh-CN" w:bidi="ar"/>
        </w:rPr>
        <w:t xml:space="preserve">      </w:t>
      </w:r>
      <w:r>
        <w:rPr>
          <w:rFonts w:hint="eastAsia" w:ascii="仿宋" w:hAnsi="仿宋" w:eastAsia="仿宋" w:cs="仿宋"/>
          <w:bCs/>
          <w:color w:val="auto"/>
          <w:sz w:val="28"/>
          <w:szCs w:val="28"/>
          <w:highlight w:val="none"/>
          <w:lang w:val="en-US" w:eastAsia="zh-CN" w:bidi="ar"/>
        </w:rPr>
        <w:t>日历日内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 xml:space="preserve">  </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color w:val="auto"/>
          <w:sz w:val="28"/>
          <w:szCs w:val="28"/>
          <w:highlight w:val="none"/>
          <w:lang w:bidi="ar"/>
        </w:rPr>
        <w:t>交付地点：甲方指定地点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2、乙方负责货物的运输</w:t>
      </w:r>
      <w:r>
        <w:rPr>
          <w:rFonts w:hint="eastAsia" w:ascii="仿宋" w:hAnsi="仿宋" w:eastAsia="仿宋" w:cs="仿宋"/>
          <w:bCs/>
          <w:color w:val="auto"/>
          <w:sz w:val="28"/>
          <w:szCs w:val="28"/>
          <w:highlight w:val="none"/>
          <w:lang w:eastAsia="zh-CN" w:bidi="ar"/>
        </w:rPr>
        <w:t>、安装、调试，</w:t>
      </w:r>
      <w:r>
        <w:rPr>
          <w:rFonts w:hint="eastAsia" w:ascii="仿宋" w:hAnsi="仿宋" w:eastAsia="仿宋" w:cs="仿宋"/>
          <w:bCs/>
          <w:color w:val="auto"/>
          <w:sz w:val="28"/>
          <w:szCs w:val="28"/>
          <w:highlight w:val="none"/>
          <w:lang w:bidi="ar"/>
        </w:rPr>
        <w:t>提供货物合格证等相关资料；并承担由此产生的全部费用。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3、验收标准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lang w:bidi="ar"/>
        </w:rPr>
        <w:t>应有产品合格证、检测报告、产品说明书、</w:t>
      </w:r>
      <w:r>
        <w:rPr>
          <w:rFonts w:hint="eastAsia" w:ascii="仿宋" w:hAnsi="仿宋" w:eastAsia="仿宋" w:cs="仿宋"/>
          <w:bCs/>
          <w:color w:val="auto"/>
          <w:sz w:val="28"/>
          <w:szCs w:val="28"/>
          <w:highlight w:val="none"/>
          <w:lang w:eastAsia="zh-CN" w:bidi="ar"/>
        </w:rPr>
        <w:t>用户手册</w:t>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eastAsia="zh-CN" w:bidi="ar"/>
        </w:rPr>
        <w:t>使用手册、质保</w:t>
      </w:r>
      <w:r>
        <w:rPr>
          <w:rFonts w:hint="eastAsia" w:ascii="仿宋" w:hAnsi="仿宋" w:eastAsia="仿宋" w:cs="仿宋"/>
          <w:bCs/>
          <w:color w:val="auto"/>
          <w:sz w:val="28"/>
          <w:szCs w:val="28"/>
          <w:highlight w:val="none"/>
          <w:lang w:bidi="ar"/>
        </w:rPr>
        <w:t>证明</w:t>
      </w:r>
      <w:r>
        <w:rPr>
          <w:rFonts w:hint="eastAsia" w:ascii="仿宋" w:hAnsi="仿宋" w:eastAsia="仿宋" w:cs="仿宋"/>
          <w:bCs/>
          <w:color w:val="auto"/>
          <w:sz w:val="28"/>
          <w:szCs w:val="28"/>
          <w:highlight w:val="none"/>
          <w:lang w:eastAsia="zh-CN" w:bidi="ar"/>
        </w:rPr>
        <w:t>材料</w:t>
      </w:r>
      <w:r>
        <w:rPr>
          <w:rFonts w:hint="eastAsia" w:ascii="仿宋" w:hAnsi="仿宋" w:eastAsia="仿宋" w:cs="仿宋"/>
          <w:bCs/>
          <w:color w:val="auto"/>
          <w:sz w:val="28"/>
          <w:szCs w:val="28"/>
          <w:highlight w:val="none"/>
          <w:lang w:bidi="ar"/>
        </w:rPr>
        <w:t>以及相应产品的检定证书和其他应具有的单证；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val="en-US" w:eastAsia="zh-CN" w:bidi="ar"/>
        </w:rPr>
        <w:t>2</w:t>
      </w:r>
      <w:r>
        <w:rPr>
          <w:rFonts w:hint="eastAsia" w:ascii="仿宋" w:hAnsi="仿宋" w:eastAsia="仿宋" w:cs="仿宋"/>
          <w:bCs/>
          <w:color w:val="auto"/>
          <w:sz w:val="28"/>
          <w:szCs w:val="28"/>
          <w:highlight w:val="none"/>
          <w:lang w:bidi="ar"/>
        </w:rPr>
        <w:t>）质量符合国家法律法规规定的合格标准、</w:t>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文件的要求。</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五</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价款</w:t>
      </w:r>
      <w:r>
        <w:rPr>
          <w:rFonts w:hint="eastAsia" w:ascii="仿宋" w:hAnsi="仿宋" w:eastAsia="仿宋" w:cs="仿宋"/>
          <w:b/>
          <w:color w:val="auto"/>
          <w:sz w:val="28"/>
          <w:szCs w:val="28"/>
          <w:highlight w:val="none"/>
          <w:lang w:bidi="ar"/>
        </w:rPr>
        <w:t>的结算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eastAsia="zh-CN" w:bidi="ar"/>
        </w:rPr>
      </w:pPr>
      <w:r>
        <w:rPr>
          <w:rFonts w:hint="eastAsia" w:ascii="仿宋" w:hAnsi="仿宋" w:eastAsia="仿宋" w:cs="仿宋"/>
          <w:bCs/>
          <w:color w:val="auto"/>
          <w:sz w:val="28"/>
          <w:szCs w:val="28"/>
          <w:highlight w:val="none"/>
          <w:lang w:bidi="ar"/>
        </w:rPr>
        <w:t>1、结算依据：</w:t>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"http://set2.mail.qq.com/cgi-bin/mail_spam?action=check_link&amp;spam=0&amp;url=http%3A%2F%2Fwww%2Ebaidu%2Ecom%2Fs%3Fwd%3D%25E9%2587%2587%25E8%25B4%25AD%25E5%2590%2588%25E5%2590%258C%26hl_tag%3Dtextlink%26tn%3DSE_hldp01350_v6v6zkg6"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采购合同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、乙方</w:t>
      </w:r>
      <w:r>
        <w:rPr>
          <w:rFonts w:hint="eastAsia" w:ascii="仿宋" w:hAnsi="仿宋" w:eastAsia="仿宋" w:cs="仿宋"/>
          <w:bCs/>
          <w:color w:val="auto"/>
          <w:sz w:val="28"/>
          <w:szCs w:val="28"/>
          <w:highlight w:val="none"/>
          <w:lang w:eastAsia="zh-CN" w:bidi="ar"/>
        </w:rPr>
        <w:t>全额</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销售发票</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、甲方出具的验收报告。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val="en-US" w:eastAsia="zh-CN" w:bidi="ar"/>
        </w:rPr>
      </w:pPr>
      <w:r>
        <w:rPr>
          <w:rFonts w:hint="eastAsia" w:ascii="仿宋" w:hAnsi="仿宋" w:eastAsia="仿宋" w:cs="仿宋"/>
          <w:bCs/>
          <w:color w:val="auto"/>
          <w:sz w:val="28"/>
          <w:szCs w:val="28"/>
          <w:highlight w:val="none"/>
          <w:lang w:eastAsia="zh-CN" w:bidi="ar"/>
        </w:rPr>
        <w:t>2、</w:t>
      </w:r>
      <w:r>
        <w:rPr>
          <w:rFonts w:hint="eastAsia" w:ascii="仿宋" w:hAnsi="仿宋" w:eastAsia="仿宋" w:cs="仿宋"/>
          <w:bCs/>
          <w:color w:val="auto"/>
          <w:sz w:val="28"/>
          <w:szCs w:val="28"/>
          <w:highlight w:val="none"/>
          <w:lang w:eastAsia="zh-CN" w:bidi="ar"/>
        </w:rPr>
        <w:fldChar w:fldCharType="begin"/>
      </w:r>
      <w:r>
        <w:rPr>
          <w:rFonts w:hint="eastAsia" w:ascii="仿宋" w:hAnsi="仿宋" w:eastAsia="仿宋" w:cs="仿宋"/>
          <w:bCs/>
          <w:color w:val="auto"/>
          <w:sz w:val="28"/>
          <w:szCs w:val="28"/>
          <w:highlight w:val="none"/>
          <w:lang w:eastAsia="zh-CN" w:bidi="ar"/>
        </w:rPr>
        <w:instrText xml:space="preserve">HYPERLINK "http://set2.mail.qq.com/cgi-bin/mail_spam?action=check_link&amp;spam=0&amp;url=http%3A%2F%2Fwww%2Ebaidu%2Ecom%2Fs%3Fwd%3D%25E7%25BB%2593%25E7%25AE%2597%25E6%2596%25B9%25E5%25BC%258F%26hl_tag%3Dtextlink%26tn%3DSE_hldp01350_v6v6zkg6"</w:instrText>
      </w:r>
      <w:r>
        <w:rPr>
          <w:rFonts w:hint="eastAsia" w:ascii="仿宋" w:hAnsi="仿宋" w:eastAsia="仿宋" w:cs="仿宋"/>
          <w:bCs/>
          <w:color w:val="auto"/>
          <w:sz w:val="28"/>
          <w:szCs w:val="28"/>
          <w:highlight w:val="none"/>
          <w:lang w:eastAsia="zh-CN" w:bidi="ar"/>
        </w:rPr>
        <w:fldChar w:fldCharType="separate"/>
      </w:r>
      <w:r>
        <w:rPr>
          <w:rFonts w:hint="eastAsia" w:ascii="仿宋" w:hAnsi="仿宋" w:eastAsia="仿宋" w:cs="仿宋"/>
          <w:bCs/>
          <w:color w:val="auto"/>
          <w:sz w:val="28"/>
          <w:szCs w:val="28"/>
          <w:highlight w:val="none"/>
          <w:lang w:eastAsia="zh-CN" w:bidi="ar"/>
        </w:rPr>
        <w:t>结算方式</w:t>
      </w:r>
      <w:r>
        <w:rPr>
          <w:rFonts w:hint="eastAsia" w:ascii="仿宋" w:hAnsi="仿宋" w:eastAsia="仿宋" w:cs="仿宋"/>
          <w:bCs/>
          <w:color w:val="auto"/>
          <w:sz w:val="28"/>
          <w:szCs w:val="28"/>
          <w:highlight w:val="none"/>
          <w:lang w:eastAsia="zh-CN" w:bidi="ar"/>
        </w:rPr>
        <w:fldChar w:fldCharType="end"/>
      </w:r>
      <w:r>
        <w:rPr>
          <w:rFonts w:hint="eastAsia" w:ascii="仿宋" w:hAnsi="仿宋" w:eastAsia="仿宋" w:cs="仿宋"/>
          <w:bCs/>
          <w:color w:val="auto"/>
          <w:sz w:val="28"/>
          <w:szCs w:val="28"/>
          <w:highlight w:val="none"/>
          <w:lang w:eastAsia="zh-CN" w:bidi="ar"/>
        </w:rPr>
        <w:t>：合同签订后支付合同总金额的40%，整个项目完成并开具全额发票后30日历日内支付合同总金额的60%。</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六</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甲</w:t>
      </w:r>
      <w:r>
        <w:rPr>
          <w:rFonts w:hint="eastAsia" w:ascii="仿宋" w:hAnsi="仿宋" w:eastAsia="仿宋" w:cs="仿宋"/>
          <w:b/>
          <w:color w:val="auto"/>
          <w:sz w:val="28"/>
          <w:szCs w:val="28"/>
          <w:highlight w:val="none"/>
          <w:lang w:bidi="ar"/>
        </w:rPr>
        <w:t>方的</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违约责任</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lang w:bidi="ar"/>
        </w:rPr>
        <w:t>1、</w:t>
      </w:r>
      <w:r>
        <w:rPr>
          <w:rFonts w:hint="eastAsia" w:ascii="仿宋" w:hAnsi="仿宋" w:eastAsia="仿宋" w:cs="仿宋"/>
          <w:color w:val="auto"/>
          <w:kern w:val="0"/>
          <w:sz w:val="28"/>
          <w:szCs w:val="28"/>
          <w:highlight w:val="none"/>
        </w:rPr>
        <w:t>甲方逾期付款，</w:t>
      </w:r>
      <w:r>
        <w:rPr>
          <w:rFonts w:hint="eastAsia" w:ascii="仿宋" w:hAnsi="仿宋" w:eastAsia="仿宋" w:cs="仿宋"/>
          <w:color w:val="auto"/>
          <w:kern w:val="0"/>
          <w:sz w:val="28"/>
          <w:szCs w:val="28"/>
          <w:highlight w:val="none"/>
          <w:lang w:val="en-US" w:eastAsia="zh-CN"/>
        </w:rPr>
        <w:t>应就逾期部分向乙方支付按照中国人民银行规定的同期贷款基准利率计算的逾期付款违约金。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2、甲方违反合同规定拒绝接货的，应当承担由此对乙方造成的损失。</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七</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乙</w:t>
      </w:r>
      <w:r>
        <w:rPr>
          <w:rFonts w:hint="eastAsia" w:ascii="仿宋" w:hAnsi="仿宋" w:eastAsia="仿宋" w:cs="仿宋"/>
          <w:b/>
          <w:color w:val="auto"/>
          <w:sz w:val="28"/>
          <w:szCs w:val="28"/>
          <w:highlight w:val="none"/>
          <w:lang w:bidi="ar"/>
        </w:rPr>
        <w:t>方的</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违约责任</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1、乙方不能按期</w:t>
      </w:r>
      <w:r>
        <w:rPr>
          <w:rFonts w:hint="eastAsia" w:ascii="仿宋" w:hAnsi="仿宋" w:eastAsia="仿宋" w:cs="仿宋"/>
          <w:bCs/>
          <w:color w:val="auto"/>
          <w:sz w:val="28"/>
          <w:szCs w:val="28"/>
          <w:highlight w:val="none"/>
          <w:lang w:eastAsia="zh-CN" w:bidi="ar"/>
        </w:rPr>
        <w:t>交货</w:t>
      </w:r>
      <w:r>
        <w:rPr>
          <w:rFonts w:hint="eastAsia" w:ascii="仿宋" w:hAnsi="仿宋" w:eastAsia="仿宋" w:cs="仿宋"/>
          <w:bCs/>
          <w:color w:val="auto"/>
          <w:sz w:val="28"/>
          <w:szCs w:val="28"/>
          <w:highlight w:val="none"/>
          <w:lang w:bidi="ar"/>
        </w:rPr>
        <w:t>的，每逾期1日，乙方应向甲方赔付合同总价的0.1%作为违约金。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2、乙方所交货物不符合国家法律法规和合同规定的，甲方有权拒收，并由乙方承担一切费用。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八</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不可抗力</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甲乙双方任何一方由于</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不可抗力</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原因不能履行合同时，应及时向对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"http://set2.mail.qq.com/cgi-bin/mail_spam?action=check_link&amp;spam=0&amp;url=http%3A%2F%2Fwww%2Ebaidu%2Ecom%2Fs%3Fwd%3D%25E6%2596%25B9%25E9%2580%259A%26hl_tag%3Dtextlink%26tn%3DSE_hldp01350_v6v6zkg6"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方通</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报不能履行或不能完全履行的理由，以减轻可能给对方造成的损失，在取得有关机构证明后，允许延期履行、部分履行或不履行合同，并根据情况可部分或全部免予承担</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违约责任</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九</w:t>
      </w:r>
      <w:r>
        <w:rPr>
          <w:rFonts w:hint="eastAsia" w:ascii="仿宋" w:hAnsi="仿宋" w:eastAsia="仿宋" w:cs="仿宋"/>
          <w:b/>
          <w:color w:val="auto"/>
          <w:sz w:val="28"/>
          <w:szCs w:val="28"/>
          <w:highlight w:val="none"/>
          <w:lang w:bidi="ar"/>
        </w:rPr>
        <w:t>条  争议解决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双方本着友好合作的态度,对合同履行过程中发生的纠纷应及时协商解决，协商不成的，向甲方所在地有管辖权的人民法院诉讼解决。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十</w:t>
      </w:r>
      <w:r>
        <w:rPr>
          <w:rFonts w:hint="eastAsia" w:ascii="仿宋" w:hAnsi="仿宋" w:eastAsia="仿宋" w:cs="仿宋"/>
          <w:b/>
          <w:color w:val="auto"/>
          <w:sz w:val="28"/>
          <w:szCs w:val="28"/>
          <w:highlight w:val="none"/>
          <w:lang w:bidi="ar"/>
        </w:rPr>
        <w:t>条  监督和管理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1、政府采购合同履行中，采购人需追加与合同标的相同的货物、工程或者服务的，在不改变合同其他条款的前提下，可以与供应商协商签订补充合同，但所有补充合同的采购金额不得超过原合同采购金额的10%。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2、甲乙双方均应自觉配合有关监督管理部门对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"http://set2.mail.qq.com/cgi-bin/mail_spam?action=check_link&amp;spam=0&amp;url=http%3A%2F%2Fwww%2Ebaidu%2Ecom%2Fs%3Fwd%3D%25E5%2590%2588%25E5%2590%258C%25E5%25B1%25A5%25E8%25A1%258C%26hl_tag%3Dtextlink%26tn%3DSE_hldp01350_v6v6zkg6"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合同履行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情况的监督检查，如实反映情况，提供有关资料；否则，将对有关单位、当事人按照有关规定予以处罚。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eastAsia="zh-CN" w:bidi="ar"/>
        </w:rPr>
        <w:t>一</w:t>
      </w:r>
      <w:r>
        <w:rPr>
          <w:rFonts w:hint="eastAsia" w:ascii="仿宋" w:hAnsi="仿宋" w:eastAsia="仿宋" w:cs="仿宋"/>
          <w:b/>
          <w:color w:val="auto"/>
          <w:sz w:val="28"/>
          <w:szCs w:val="28"/>
          <w:highlight w:val="none"/>
          <w:lang w:bidi="ar"/>
        </w:rPr>
        <w:t>条</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"http://set2.mail.qq.com/cgi-bin/mail_spam?action=check_link&amp;spam=0&amp;url=http%3A%2F%2Fwww%2Ebaidu%2Ecom%2Fs%3Fwd%3D%25E6%2597%25A0%25E6%2595%2588%25E5%2590%2588%25E5%2590%258C%26hl_tag%3Dtextlink%26tn%3DSE_hldp01350_v6v6zkg6"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无效合同</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甲乙双方如因违反政府采购法及相关法律法规的规定，被宣告</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"http://set2.mail.qq.com/cgi-bin/mail_spam?action=check_link&amp;spam=0&amp;url=http%3A%2F%2Fwww%2Ebaidu%2Ecom%2Fs%3Fwd%3D%25E5%2590%2588%25E5%2590%258C%25E6%2597%25A0%25E6%2595%2588%26hl_tag%3Dtextlink%26tn%3DSE_hldp01350_v6v6zkg6"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合同无效</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的，一切责任概由过错方自行承担。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eastAsia="zh-CN" w:bidi="ar"/>
        </w:rPr>
        <w:t>二</w:t>
      </w:r>
      <w:r>
        <w:rPr>
          <w:rFonts w:hint="eastAsia" w:ascii="仿宋" w:hAnsi="仿宋" w:eastAsia="仿宋" w:cs="仿宋"/>
          <w:b/>
          <w:color w:val="auto"/>
          <w:sz w:val="28"/>
          <w:szCs w:val="28"/>
          <w:highlight w:val="none"/>
          <w:lang w:bidi="ar"/>
        </w:rPr>
        <w:t>条附则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项目（项目编号：</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）的</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eastAsia="zh-CN" w:bidi="ar"/>
        </w:rPr>
        <w:t>中标</w:t>
      </w:r>
      <w:r>
        <w:rPr>
          <w:rFonts w:hint="eastAsia" w:ascii="仿宋" w:hAnsi="仿宋" w:eastAsia="仿宋" w:cs="仿宋"/>
          <w:bCs/>
          <w:color w:val="auto"/>
          <w:sz w:val="28"/>
          <w:szCs w:val="28"/>
          <w:highlight w:val="none"/>
          <w:lang w:bidi="ar"/>
        </w:rPr>
        <w:t>通知书、乙方</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文件及澄清说明文件都是本合同的组成部分，甲、乙双方必须全面遵守，如有违反，应承担违约责任。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w:t>
      </w:r>
      <w:r>
        <w:rPr>
          <w:rFonts w:hint="eastAsia" w:ascii="仿宋" w:hAnsi="仿宋" w:eastAsia="仿宋" w:cs="仿宋"/>
          <w:bCs/>
          <w:sz w:val="28"/>
          <w:szCs w:val="28"/>
          <w:highlight w:val="none"/>
          <w:lang w:bidi="ar"/>
        </w:rPr>
        <w:t>本合同一式六份,甲乙双方各执两份,政府采购代理机构两份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3、本合同自</w:t>
      </w:r>
      <w:r>
        <w:rPr>
          <w:rFonts w:hint="eastAsia" w:ascii="仿宋" w:hAnsi="仿宋" w:eastAsia="仿宋" w:cs="仿宋"/>
          <w:bCs/>
          <w:color w:val="auto"/>
          <w:sz w:val="28"/>
          <w:szCs w:val="28"/>
          <w:highlight w:val="none"/>
          <w:lang w:eastAsia="zh-CN" w:bidi="ar"/>
        </w:rPr>
        <w:t>签字盖章</w:t>
      </w:r>
      <w:r>
        <w:rPr>
          <w:rFonts w:hint="eastAsia" w:ascii="仿宋" w:hAnsi="仿宋" w:eastAsia="仿宋" w:cs="仿宋"/>
          <w:bCs/>
          <w:color w:val="auto"/>
          <w:sz w:val="28"/>
          <w:szCs w:val="28"/>
          <w:highlight w:val="none"/>
          <w:lang w:bidi="ar"/>
        </w:rPr>
        <w:t>之日起生效。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4、附件：</w:t>
      </w:r>
      <w:r>
        <w:rPr>
          <w:rFonts w:hint="eastAsia" w:ascii="仿宋" w:hAnsi="仿宋" w:eastAsia="仿宋" w:cs="仿宋"/>
          <w:color w:val="auto"/>
          <w:sz w:val="28"/>
          <w:szCs w:val="28"/>
          <w:highlight w:val="none"/>
        </w:rPr>
        <w:t>（包含但不限于供货</w:t>
      </w:r>
      <w:r>
        <w:rPr>
          <w:rFonts w:hint="eastAsia" w:ascii="仿宋" w:hAnsi="仿宋" w:eastAsia="仿宋" w:cs="仿宋"/>
          <w:color w:val="auto"/>
          <w:kern w:val="0"/>
          <w:sz w:val="28"/>
          <w:szCs w:val="28"/>
          <w:highlight w:val="none"/>
        </w:rPr>
        <w:t>清单和货物详细技术参数</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采购人(甲方)：供应商(乙方)：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电    话：电    话：</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地    址：地    址：</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lang w:bidi="ar"/>
        </w:rPr>
        <w:t xml:space="preserve">时    间：  年月日    时    间： </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color w:val="auto"/>
          <w:sz w:val="28"/>
          <w:szCs w:val="28"/>
          <w:highlight w:val="none"/>
          <w:lang w:bidi="ar"/>
        </w:rPr>
        <w:t>年月日</w:t>
      </w:r>
    </w:p>
    <w:p>
      <w:pPr>
        <w:rPr>
          <w:highlight w:val="none"/>
        </w:rPr>
      </w:pPr>
    </w:p>
    <w:p>
      <w:pPr>
        <w:widowControl/>
        <w:spacing w:line="360" w:lineRule="auto"/>
        <w:jc w:val="center"/>
        <w:outlineLvl w:val="0"/>
        <w:rPr>
          <w:rFonts w:ascii="仿宋" w:hAnsi="仿宋" w:eastAsia="仿宋" w:cs="仿宋"/>
          <w:b/>
          <w:sz w:val="44"/>
          <w:szCs w:val="44"/>
          <w:highlight w:val="none"/>
        </w:rPr>
      </w:pPr>
      <w:r>
        <w:rPr>
          <w:rFonts w:hint="eastAsia" w:ascii="仿宋" w:hAnsi="仿宋" w:eastAsia="仿宋" w:cs="仿宋"/>
          <w:kern w:val="0"/>
          <w:sz w:val="28"/>
          <w:szCs w:val="28"/>
          <w:highlight w:val="none"/>
        </w:rPr>
        <w:br w:type="page"/>
      </w:r>
      <w:bookmarkStart w:id="200" w:name="_Toc12275"/>
      <w:bookmarkStart w:id="201" w:name="_Toc3645"/>
      <w:bookmarkStart w:id="202" w:name="_Toc31928"/>
      <w:bookmarkStart w:id="203" w:name="_Toc31522_WPSOffice_Level1"/>
      <w:r>
        <w:rPr>
          <w:rFonts w:hint="eastAsia" w:ascii="仿宋" w:hAnsi="仿宋" w:eastAsia="仿宋" w:cs="仿宋"/>
          <w:b/>
          <w:bCs/>
          <w:kern w:val="0"/>
          <w:sz w:val="44"/>
          <w:szCs w:val="44"/>
          <w:highlight w:val="none"/>
        </w:rPr>
        <w:t>第六章  投标文件格式</w:t>
      </w:r>
      <w:bookmarkEnd w:id="198"/>
      <w:bookmarkEnd w:id="199"/>
      <w:bookmarkEnd w:id="200"/>
      <w:bookmarkEnd w:id="201"/>
      <w:bookmarkEnd w:id="202"/>
      <w:bookmarkEnd w:id="203"/>
      <w:bookmarkStart w:id="204" w:name="_Toc26554094"/>
      <w:bookmarkStart w:id="205" w:name="_Toc49090576"/>
      <w:bookmarkStart w:id="206" w:name="_Toc120614282"/>
    </w:p>
    <w:tbl>
      <w:tblPr>
        <w:tblStyle w:val="27"/>
        <w:tblpPr w:leftFromText="180" w:rightFromText="180" w:vertAnchor="text" w:horzAnchor="page" w:tblpX="910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207" w:name="_Toc2950_WPSOffice_Level1"/>
            <w:bookmarkStart w:id="208" w:name="_Toc19647_WPSOffice_Level1"/>
            <w:r>
              <w:rPr>
                <w:rFonts w:hint="eastAsia" w:ascii="仿宋" w:hAnsi="仿宋" w:eastAsia="仿宋" w:cs="仿宋"/>
                <w:b/>
                <w:sz w:val="40"/>
                <w:szCs w:val="44"/>
                <w:highlight w:val="none"/>
              </w:rPr>
              <w:t>正/副本</w:t>
            </w:r>
          </w:p>
        </w:tc>
      </w:tr>
    </w:tbl>
    <w:p>
      <w:pPr>
        <w:pStyle w:val="43"/>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209" w:name="_Toc2456"/>
      <w:bookmarkStart w:id="210" w:name="_Toc26032"/>
      <w:r>
        <w:rPr>
          <w:rFonts w:hint="eastAsia" w:ascii="仿宋" w:hAnsi="仿宋" w:cs="仿宋"/>
          <w:b/>
          <w:kern w:val="0"/>
          <w:sz w:val="32"/>
          <w:szCs w:val="32"/>
          <w:highlight w:val="none"/>
          <w:lang w:val="en-US" w:eastAsia="zh-CN" w:bidi="ar-SA"/>
        </w:rPr>
        <w:t xml:space="preserve">A </w:t>
      </w:r>
      <w:r>
        <w:rPr>
          <w:rFonts w:hint="eastAsia" w:ascii="仿宋" w:hAnsi="仿宋" w:eastAsia="仿宋" w:cs="仿宋"/>
          <w:b/>
          <w:kern w:val="0"/>
          <w:sz w:val="32"/>
          <w:szCs w:val="32"/>
          <w:highlight w:val="none"/>
          <w:lang w:val="en-US" w:eastAsia="zh-CN" w:bidi="ar-SA"/>
        </w:rPr>
        <w:t>资格标</w:t>
      </w:r>
      <w:bookmarkEnd w:id="209"/>
      <w:bookmarkEnd w:id="210"/>
    </w:p>
    <w:p>
      <w:pPr>
        <w:pStyle w:val="41"/>
        <w:widowControl/>
        <w:spacing w:before="0" w:after="0"/>
        <w:ind w:firstLine="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bookmarkEnd w:id="207"/>
      <w:bookmarkEnd w:id="208"/>
      <w:r>
        <w:rPr>
          <w:rFonts w:hint="eastAsia" w:ascii="仿宋" w:hAnsi="仿宋" w:eastAsia="仿宋" w:cs="仿宋"/>
          <w:b/>
          <w:sz w:val="32"/>
          <w:szCs w:val="32"/>
          <w:highlight w:val="none"/>
          <w:lang w:eastAsia="zh-CN"/>
        </w:rPr>
        <w:t>XHLJZC-WN2022-054-1</w:t>
      </w:r>
    </w:p>
    <w:p>
      <w:pPr>
        <w:pStyle w:val="41"/>
        <w:widowControl/>
        <w:ind w:left="1680" w:leftChars="0" w:firstLine="420" w:firstLineChars="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ZCSP-渭南市-2022-01184</w:t>
      </w:r>
    </w:p>
    <w:p>
      <w:pPr>
        <w:pStyle w:val="41"/>
        <w:widowControl/>
        <w:spacing w:before="0" w:after="0" w:line="600" w:lineRule="exact"/>
        <w:ind w:firstLine="0"/>
        <w:jc w:val="both"/>
        <w:rPr>
          <w:rFonts w:ascii="仿宋" w:hAnsi="仿宋" w:eastAsia="仿宋" w:cs="仿宋"/>
          <w:b/>
          <w:sz w:val="44"/>
          <w:szCs w:val="44"/>
          <w:highlight w:val="none"/>
        </w:rPr>
      </w:pPr>
    </w:p>
    <w:p>
      <w:pPr>
        <w:pStyle w:val="41"/>
        <w:widowControl/>
        <w:spacing w:before="0" w:after="0" w:line="600" w:lineRule="exact"/>
        <w:ind w:firstLine="0"/>
        <w:jc w:val="both"/>
        <w:rPr>
          <w:rFonts w:ascii="仿宋" w:hAnsi="仿宋" w:eastAsia="仿宋" w:cs="仿宋"/>
          <w:b/>
          <w:sz w:val="44"/>
          <w:szCs w:val="44"/>
          <w:highlight w:val="none"/>
        </w:rPr>
      </w:pPr>
    </w:p>
    <w:p>
      <w:pPr>
        <w:pStyle w:val="43"/>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cs="仿宋"/>
          <w:b/>
          <w:sz w:val="48"/>
          <w:szCs w:val="48"/>
          <w:highlight w:val="none"/>
          <w:lang w:val="en-US" w:eastAsia="zh-CN"/>
        </w:rPr>
      </w:pPr>
      <w:bookmarkStart w:id="211" w:name="_Toc6284_WPSOffice_Level1"/>
      <w:bookmarkStart w:id="212" w:name="_Toc17020_WPSOffice_Level1"/>
      <w:r>
        <w:rPr>
          <w:rFonts w:hint="eastAsia" w:ascii="仿宋" w:hAnsi="仿宋" w:cs="仿宋"/>
          <w:b/>
          <w:sz w:val="48"/>
          <w:szCs w:val="48"/>
          <w:highlight w:val="none"/>
          <w:lang w:val="en-US" w:eastAsia="zh-CN"/>
        </w:rPr>
        <w:t>渭南市中心血站采血、供血设备采购项目</w:t>
      </w:r>
    </w:p>
    <w:p>
      <w:pPr>
        <w:pStyle w:val="43"/>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sz w:val="44"/>
          <w:szCs w:val="44"/>
          <w:highlight w:val="none"/>
          <w:lang w:val="en-US" w:eastAsia="zh-CN"/>
        </w:rPr>
      </w:pPr>
      <w:r>
        <w:rPr>
          <w:rFonts w:hint="eastAsia" w:ascii="仿宋" w:hAnsi="仿宋" w:cs="仿宋"/>
          <w:b/>
          <w:sz w:val="48"/>
          <w:szCs w:val="48"/>
          <w:highlight w:val="none"/>
          <w:lang w:val="en-US" w:eastAsia="zh-CN"/>
        </w:rPr>
        <w:t>（一包）</w:t>
      </w:r>
    </w:p>
    <w:p>
      <w:pPr>
        <w:pStyle w:val="43"/>
        <w:widowControl/>
        <w:spacing w:line="480" w:lineRule="auto"/>
        <w:ind w:firstLine="0" w:firstLineChars="0"/>
        <w:jc w:val="center"/>
        <w:rPr>
          <w:rFonts w:hint="default" w:ascii="仿宋" w:hAnsi="仿宋" w:eastAsia="仿宋" w:cs="仿宋"/>
          <w:b/>
          <w:sz w:val="48"/>
          <w:szCs w:val="48"/>
          <w:highlight w:val="none"/>
          <w:lang w:val="en-US" w:eastAsia="zh-CN"/>
        </w:rPr>
      </w:pPr>
    </w:p>
    <w:p>
      <w:pPr>
        <w:pStyle w:val="43"/>
        <w:widowControl/>
        <w:spacing w:line="480" w:lineRule="auto"/>
        <w:ind w:firstLine="0" w:firstLineChars="0"/>
        <w:jc w:val="center"/>
        <w:rPr>
          <w:rFonts w:hint="default" w:ascii="仿宋" w:hAnsi="仿宋" w:eastAsia="仿宋" w:cs="仿宋"/>
          <w:b/>
          <w:sz w:val="48"/>
          <w:szCs w:val="48"/>
          <w:highlight w:val="none"/>
          <w:lang w:val="en-US" w:eastAsia="zh-CN"/>
        </w:rPr>
      </w:pPr>
    </w:p>
    <w:p>
      <w:pPr>
        <w:pStyle w:val="43"/>
        <w:widowControl/>
        <w:spacing w:line="480" w:lineRule="auto"/>
        <w:ind w:firstLine="0" w:firstLineChars="0"/>
        <w:jc w:val="center"/>
        <w:rPr>
          <w:rFonts w:hint="default" w:ascii="仿宋" w:hAnsi="仿宋" w:cs="仿宋"/>
          <w:b/>
          <w:sz w:val="56"/>
          <w:szCs w:val="56"/>
          <w:highlight w:val="none"/>
        </w:rPr>
      </w:pPr>
      <w:r>
        <w:rPr>
          <w:rFonts w:ascii="仿宋" w:hAnsi="仿宋" w:cs="仿宋"/>
          <w:b/>
          <w:sz w:val="48"/>
          <w:szCs w:val="48"/>
          <w:highlight w:val="none"/>
        </w:rPr>
        <w:t>投 标 文 件</w:t>
      </w:r>
      <w:bookmarkEnd w:id="211"/>
      <w:bookmarkEnd w:id="212"/>
    </w:p>
    <w:p>
      <w:pPr>
        <w:pStyle w:val="43"/>
        <w:widowControl/>
        <w:spacing w:line="480" w:lineRule="auto"/>
        <w:ind w:firstLine="0" w:firstLineChars="0"/>
        <w:jc w:val="center"/>
        <w:rPr>
          <w:rFonts w:hint="default" w:ascii="仿宋" w:hAnsi="仿宋" w:cs="仿宋"/>
          <w:b/>
          <w:sz w:val="48"/>
          <w:szCs w:val="48"/>
          <w:highlight w:val="none"/>
        </w:rPr>
      </w:pPr>
      <w:bookmarkStart w:id="213" w:name="_Toc17469_WPSOffice_Level1"/>
      <w:bookmarkStart w:id="214" w:name="_Toc24484_WPSOffice_Level1"/>
      <w:r>
        <w:rPr>
          <w:rFonts w:ascii="仿宋" w:hAnsi="仿宋" w:cs="仿宋"/>
          <w:b/>
          <w:sz w:val="48"/>
          <w:szCs w:val="48"/>
          <w:highlight w:val="none"/>
        </w:rPr>
        <w:t>（格式）</w:t>
      </w:r>
      <w:bookmarkEnd w:id="213"/>
      <w:bookmarkEnd w:id="214"/>
    </w:p>
    <w:bookmarkEnd w:id="167"/>
    <w:bookmarkEnd w:id="168"/>
    <w:bookmarkEnd w:id="204"/>
    <w:bookmarkEnd w:id="205"/>
    <w:bookmarkEnd w:id="206"/>
    <w:p>
      <w:pPr>
        <w:spacing w:line="480" w:lineRule="auto"/>
        <w:jc w:val="center"/>
        <w:rPr>
          <w:rFonts w:ascii="仿宋" w:hAnsi="仿宋" w:eastAsia="仿宋" w:cs="仿宋"/>
          <w:b/>
          <w:spacing w:val="8"/>
          <w:sz w:val="28"/>
          <w:szCs w:val="28"/>
          <w:highlight w:val="none"/>
          <w:u w:val="single"/>
        </w:rPr>
      </w:pPr>
      <w:bookmarkStart w:id="215" w:name="_Toc4511"/>
    </w:p>
    <w:p>
      <w:pPr>
        <w:pStyle w:val="2"/>
        <w:rPr>
          <w:highlight w:val="none"/>
        </w:rPr>
      </w:pPr>
    </w:p>
    <w:p>
      <w:pPr>
        <w:rPr>
          <w:highlight w:val="none"/>
        </w:rPr>
      </w:pPr>
    </w:p>
    <w:p>
      <w:pPr>
        <w:pStyle w:val="11"/>
        <w:rPr>
          <w:rFonts w:hint="default"/>
          <w:highlight w:val="none"/>
        </w:rPr>
      </w:pPr>
    </w:p>
    <w:p>
      <w:pPr>
        <w:rPr>
          <w:highlight w:val="none"/>
        </w:rPr>
      </w:pPr>
    </w:p>
    <w:p>
      <w:pPr>
        <w:pStyle w:val="26"/>
        <w:rPr>
          <w:highlight w:val="none"/>
        </w:rPr>
      </w:pPr>
    </w:p>
    <w:p>
      <w:pPr>
        <w:pStyle w:val="25"/>
        <w:keepNext w:val="0"/>
        <w:keepLines w:val="0"/>
        <w:pageBreakBefore w:val="0"/>
        <w:widowControl w:val="0"/>
        <w:kinsoku/>
        <w:wordWrap/>
        <w:overflowPunct/>
        <w:topLinePunct w:val="0"/>
        <w:autoSpaceDE/>
        <w:autoSpaceDN/>
        <w:bidi w:val="0"/>
        <w:adjustRightInd/>
        <w:snapToGrid/>
        <w:spacing w:after="0"/>
        <w:ind w:left="0" w:leftChars="0" w:firstLine="1687" w:firstLineChars="600"/>
        <w:jc w:val="both"/>
        <w:textAlignment w:val="auto"/>
        <w:rPr>
          <w:rFonts w:hint="default" w:ascii="仿宋" w:hAnsi="仿宋" w:cs="仿宋"/>
          <w:b/>
          <w:bCs/>
          <w:sz w:val="28"/>
          <w:szCs w:val="28"/>
          <w:highlight w:val="none"/>
          <w:u w:val="single"/>
          <w:lang w:val="en-US" w:eastAsia="zh-CN"/>
        </w:rPr>
      </w:pPr>
      <w:r>
        <w:rPr>
          <w:rFonts w:hint="eastAsia" w:ascii="仿宋" w:hAnsi="仿宋" w:cs="仿宋"/>
          <w:b/>
          <w:bCs/>
          <w:sz w:val="28"/>
          <w:szCs w:val="28"/>
          <w:highlight w:val="none"/>
          <w:lang w:eastAsia="zh-CN"/>
        </w:rPr>
        <w:t>投标文件内容：</w:t>
      </w:r>
      <w:r>
        <w:rPr>
          <w:rFonts w:hint="eastAsia" w:ascii="仿宋" w:hAnsi="仿宋" w:cs="仿宋"/>
          <w:b/>
          <w:bCs/>
          <w:sz w:val="28"/>
          <w:szCs w:val="28"/>
          <w:highlight w:val="none"/>
          <w:u w:val="single"/>
          <w:lang w:val="en-US" w:eastAsia="zh-CN"/>
        </w:rPr>
        <w:t xml:space="preserve">    资 格 标    </w:t>
      </w:r>
    </w:p>
    <w:p>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仿宋" w:hAnsi="仿宋" w:eastAsia="仿宋" w:cs="仿宋"/>
          <w:b/>
          <w:spacing w:val="8"/>
          <w:sz w:val="28"/>
          <w:szCs w:val="28"/>
          <w:highlight w:val="non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kern w:val="0"/>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 xml:space="preserve">第一部分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 xml:space="preserve">第二部分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spacing w:line="480" w:lineRule="atLeast"/>
        <w:jc w:val="center"/>
        <w:outlineLvl w:val="2"/>
        <w:rPr>
          <w:rFonts w:ascii="仿宋" w:hAnsi="仿宋" w:eastAsia="仿宋" w:cs="仿宋"/>
          <w:b/>
          <w:bCs/>
          <w:sz w:val="36"/>
          <w:szCs w:val="36"/>
          <w:highlight w:val="none"/>
        </w:rPr>
      </w:pPr>
      <w:bookmarkStart w:id="216" w:name="_Toc6031"/>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216"/>
    </w:p>
    <w:tbl>
      <w:tblPr>
        <w:tblStyle w:val="27"/>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86"/>
        <w:gridCol w:w="1218"/>
        <w:gridCol w:w="1455"/>
        <w:gridCol w:w="121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499" w:type="dxa"/>
            <w:gridSpan w:val="5"/>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是否依法缴纳</w:t>
            </w:r>
            <w:r>
              <w:rPr>
                <w:rFonts w:hint="eastAsia" w:ascii="仿宋" w:hAnsi="仿宋" w:eastAsia="仿宋" w:cs="仿宋"/>
                <w:bCs/>
                <w:color w:val="auto"/>
                <w:sz w:val="24"/>
                <w:szCs w:val="24"/>
                <w:highlight w:val="none"/>
                <w:lang w:eastAsia="zh-CN"/>
              </w:rPr>
              <w:t>社会保险</w:t>
            </w:r>
          </w:p>
        </w:tc>
        <w:tc>
          <w:tcPr>
            <w:tcW w:w="6499"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left="960" w:hanging="960" w:hangingChars="400"/>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201</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3140" w:type="dxa"/>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bl>
    <w:p>
      <w:pPr>
        <w:pStyle w:val="43"/>
        <w:widowControl/>
        <w:spacing w:line="500" w:lineRule="exact"/>
        <w:ind w:firstLine="560"/>
        <w:rPr>
          <w:rFonts w:hint="default" w:ascii="仿宋" w:hAnsi="仿宋" w:cs="仿宋"/>
          <w:szCs w:val="28"/>
          <w:highlight w:val="none"/>
        </w:rPr>
      </w:pPr>
    </w:p>
    <w:p>
      <w:pPr>
        <w:pStyle w:val="43"/>
        <w:widowControl/>
        <w:spacing w:line="500" w:lineRule="exact"/>
        <w:ind w:firstLine="560"/>
        <w:rPr>
          <w:rFonts w:hint="default"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pPr>
        <w:pStyle w:val="43"/>
        <w:widowControl/>
        <w:spacing w:line="500" w:lineRule="exact"/>
        <w:ind w:firstLine="560"/>
        <w:rPr>
          <w:rFonts w:hint="default"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pPr>
        <w:pStyle w:val="43"/>
        <w:widowControl/>
        <w:spacing w:line="500" w:lineRule="exact"/>
        <w:ind w:firstLine="560"/>
        <w:rPr>
          <w:rFonts w:hint="default"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pPr>
        <w:pStyle w:val="43"/>
        <w:widowControl/>
        <w:spacing w:line="500" w:lineRule="exact"/>
        <w:ind w:firstLine="560"/>
        <w:rPr>
          <w:rFonts w:hint="default"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pPr>
        <w:pStyle w:val="43"/>
        <w:widowControl/>
        <w:spacing w:line="500" w:lineRule="exact"/>
        <w:ind w:firstLine="560"/>
        <w:rPr>
          <w:rFonts w:hint="default"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pStyle w:val="17"/>
        <w:rPr>
          <w:rFonts w:hint="eastAsia" w:ascii="仿宋" w:hAnsi="仿宋" w:eastAsia="仿宋" w:cs="仿宋"/>
          <w:b/>
          <w:kern w:val="0"/>
          <w:sz w:val="44"/>
          <w:szCs w:val="44"/>
          <w:highlight w:val="none"/>
        </w:rPr>
      </w:pPr>
    </w:p>
    <w:p>
      <w:pPr>
        <w:spacing w:line="500" w:lineRule="atLeast"/>
        <w:jc w:val="center"/>
        <w:outlineLvl w:val="2"/>
        <w:rPr>
          <w:rFonts w:ascii="仿宋" w:hAnsi="仿宋" w:eastAsia="仿宋" w:cs="仿宋"/>
          <w:b/>
          <w:bCs/>
          <w:sz w:val="36"/>
          <w:szCs w:val="36"/>
          <w:highlight w:val="none"/>
        </w:rPr>
      </w:pPr>
      <w:bookmarkStart w:id="217" w:name="_Toc10201"/>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rPr>
        <w:t>部分  供应商资格证明文件</w:t>
      </w:r>
      <w:bookmarkEnd w:id="217"/>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资格要求：</w:t>
      </w:r>
    </w:p>
    <w:p>
      <w:pPr>
        <w:pStyle w:val="24"/>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满足《中华人民共和国政府采购法》第二十二条规定；</w:t>
      </w:r>
    </w:p>
    <w:p>
      <w:pPr>
        <w:pStyle w:val="24"/>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本项目的特定资格要求：（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numPr>
          <w:ilvl w:val="0"/>
          <w:numId w:val="0"/>
        </w:numPr>
        <w:tabs>
          <w:tab w:val="left" w:pos="18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年度经审计的财务报告或开标前六个月内其基本账户银行出具的资信证明或财政部门认可的政府采购专业担保机构出具的担保函；</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）提供2021年12月以来任意3个月依法缴纳税收和社会保险的相关证明材料；注：依法免税或不需要缴纳社会保险的供应商提供相关部门出具的证明</w:t>
      </w:r>
      <w:r>
        <w:rPr>
          <w:rFonts w:hint="eastAsia" w:ascii="仿宋" w:hAnsi="仿宋" w:eastAsia="仿宋" w:cs="仿宋"/>
          <w:color w:val="auto"/>
          <w:kern w:val="0"/>
          <w:sz w:val="28"/>
          <w:szCs w:val="28"/>
          <w:highlight w:val="none"/>
          <w:lang w:eastAsia="zh-CN"/>
        </w:rPr>
        <w:t>文件</w:t>
      </w:r>
      <w:r>
        <w:rPr>
          <w:rFonts w:hint="eastAsia" w:ascii="仿宋" w:hAnsi="仿宋" w:eastAsia="仿宋" w:cs="仿宋"/>
          <w:color w:val="auto"/>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pPr>
        <w:pStyle w:val="17"/>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（7）</w:t>
      </w:r>
      <w:r>
        <w:rPr>
          <w:rFonts w:hint="eastAsia" w:ascii="仿宋" w:hAnsi="仿宋" w:cs="仿宋"/>
          <w:sz w:val="28"/>
          <w:szCs w:val="28"/>
          <w:highlight w:val="none"/>
          <w:lang w:eastAsia="zh-CN"/>
        </w:rPr>
        <w:t>投标</w:t>
      </w:r>
      <w:r>
        <w:rPr>
          <w:rFonts w:hint="eastAsia" w:ascii="仿宋" w:hAnsi="仿宋" w:eastAsia="仿宋" w:cs="仿宋"/>
          <w:sz w:val="28"/>
          <w:szCs w:val="28"/>
          <w:highlight w:val="none"/>
          <w:lang w:eastAsia="zh-CN"/>
        </w:rPr>
        <w:t>保证金交纳凭证；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shd w:val="clear" w:color="auto" w:fill="FFFFFF"/>
          <w:lang w:val="en-US" w:eastAsia="zh-CN"/>
        </w:rPr>
        <w:t>（8）提供《中小企业声明函》；供应商为监狱企业的，应提供监狱企业相关资格证明材料；供应商为残疾人福利性单位的，应提供《残疾人福利性单位声明函》；</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）供应商认为有必要提供而增加其竞争性的其它资料</w:t>
      </w:r>
      <w:r>
        <w:rPr>
          <w:rFonts w:hint="eastAsia" w:ascii="仿宋" w:hAnsi="仿宋" w:eastAsia="仿宋" w:cs="仿宋"/>
          <w:sz w:val="28"/>
          <w:szCs w:val="28"/>
          <w:highlight w:val="none"/>
        </w:rPr>
        <w:t>。</w:t>
      </w:r>
    </w:p>
    <w:p>
      <w:pPr>
        <w:pStyle w:val="17"/>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kern w:val="0"/>
          <w:sz w:val="28"/>
          <w:szCs w:val="28"/>
          <w:highlight w:val="none"/>
          <w:lang w:eastAsia="zh-CN"/>
        </w:rPr>
      </w:pPr>
    </w:p>
    <w:p>
      <w:pPr>
        <w:pStyle w:val="17"/>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kern w:val="0"/>
          <w:sz w:val="28"/>
          <w:szCs w:val="28"/>
          <w:highlight w:val="none"/>
          <w:lang w:eastAsia="zh-CN"/>
        </w:rPr>
      </w:pPr>
    </w:p>
    <w:p>
      <w:pPr>
        <w:pStyle w:val="17"/>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注：身份证原件现场单独递交。</w:t>
      </w:r>
    </w:p>
    <w:p>
      <w:pPr>
        <w:pStyle w:val="17"/>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以上资格要求第（</w:t>
      </w:r>
      <w:r>
        <w:rPr>
          <w:rFonts w:hint="eastAsia" w:ascii="仿宋" w:hAnsi="仿宋" w:eastAsia="仿宋" w:cs="仿宋"/>
          <w:b/>
          <w:kern w:val="0"/>
          <w:sz w:val="28"/>
          <w:szCs w:val="28"/>
          <w:highlight w:val="none"/>
          <w:lang w:val="en-US" w:eastAsia="zh-CN"/>
        </w:rPr>
        <w:t>2</w:t>
      </w:r>
      <w:r>
        <w:rPr>
          <w:rFonts w:hint="eastAsia" w:ascii="仿宋" w:hAnsi="仿宋" w:eastAsia="仿宋" w:cs="仿宋"/>
          <w:b/>
          <w:kern w:val="0"/>
          <w:sz w:val="28"/>
          <w:szCs w:val="28"/>
          <w:highlight w:val="none"/>
          <w:lang w:eastAsia="zh-CN"/>
        </w:rPr>
        <w:t>）项须按照格式要求签字盖章，其余</w:t>
      </w:r>
      <w:r>
        <w:rPr>
          <w:rFonts w:hint="eastAsia" w:ascii="仿宋" w:hAnsi="仿宋" w:eastAsia="仿宋" w:cs="仿宋"/>
          <w:b/>
          <w:kern w:val="0"/>
          <w:sz w:val="28"/>
          <w:szCs w:val="28"/>
          <w:highlight w:val="none"/>
        </w:rPr>
        <w:t>每一项均为加盖单位公章的复印件或扫描件</w:t>
      </w:r>
      <w:r>
        <w:rPr>
          <w:rFonts w:hint="eastAsia" w:ascii="仿宋" w:hAnsi="仿宋" w:eastAsia="仿宋" w:cs="仿宋"/>
          <w:b/>
          <w:kern w:val="0"/>
          <w:sz w:val="28"/>
          <w:szCs w:val="28"/>
          <w:highlight w:val="none"/>
          <w:lang w:eastAsia="zh-CN"/>
        </w:rPr>
        <w:t>。</w:t>
      </w:r>
      <w:bookmarkStart w:id="218" w:name="_Toc16146"/>
      <w:bookmarkStart w:id="219" w:name="_Toc8220"/>
    </w:p>
    <w:p>
      <w:pPr>
        <w:pStyle w:val="41"/>
        <w:keepNext w:val="0"/>
        <w:keepLines w:val="0"/>
        <w:pageBreakBefore w:val="0"/>
        <w:widowControl/>
        <w:kinsoku/>
        <w:wordWrap/>
        <w:overflowPunct/>
        <w:topLinePunct w:val="0"/>
        <w:autoSpaceDE/>
        <w:autoSpaceDN/>
        <w:bidi w:val="0"/>
        <w:adjustRightInd w:val="0"/>
        <w:snapToGrid/>
        <w:ind w:firstLine="0"/>
        <w:jc w:val="center"/>
        <w:textAlignment w:val="auto"/>
        <w:outlineLvl w:val="3"/>
        <w:rPr>
          <w:rFonts w:hint="eastAsia" w:eastAsia="宋体"/>
          <w:sz w:val="28"/>
          <w:szCs w:val="28"/>
          <w:highlight w:val="none"/>
          <w:lang w:eastAsia="zh-CN"/>
        </w:rPr>
      </w:pP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\l _Toc19385 </w:instrText>
      </w:r>
      <w:r>
        <w:rPr>
          <w:rFonts w:hint="eastAsia" w:ascii="仿宋" w:hAnsi="仿宋" w:eastAsia="仿宋" w:cs="仿宋"/>
          <w:sz w:val="30"/>
          <w:szCs w:val="30"/>
          <w:highlight w:val="none"/>
        </w:rPr>
        <w:fldChar w:fldCharType="separate"/>
      </w:r>
      <w:r>
        <w:rPr>
          <w:rFonts w:hint="eastAsia" w:ascii="仿宋" w:hAnsi="仿宋" w:eastAsia="仿宋" w:cs="仿宋"/>
          <w:b/>
          <w:bCs/>
          <w:sz w:val="28"/>
          <w:szCs w:val="28"/>
          <w:highlight w:val="none"/>
          <w:lang w:val="en-US" w:eastAsia="zh-CN"/>
        </w:rPr>
        <w:t>1、供应商</w:t>
      </w:r>
      <w:r>
        <w:rPr>
          <w:rFonts w:hint="eastAsia" w:ascii="仿宋" w:hAnsi="仿宋" w:eastAsia="仿宋" w:cs="仿宋"/>
          <w:b/>
          <w:bCs/>
          <w:sz w:val="28"/>
          <w:szCs w:val="28"/>
          <w:highlight w:val="none"/>
        </w:rPr>
        <w:t>具有独立承担民事责任的能力</w:t>
      </w:r>
      <w:r>
        <w:rPr>
          <w:rFonts w:hint="eastAsia" w:ascii="仿宋" w:hAnsi="仿宋" w:eastAsia="仿宋" w:cs="仿宋"/>
          <w:sz w:val="30"/>
          <w:szCs w:val="30"/>
          <w:highlight w:val="none"/>
        </w:rPr>
        <w:fldChar w:fldCharType="end"/>
      </w:r>
      <w:bookmarkEnd w:id="218"/>
      <w:bookmarkEnd w:id="21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highlight w:val="none"/>
          <w:shd w:val="clear" w:color="auto" w:fill="FFFFFF"/>
          <w:lang w:val="en-US" w:eastAsia="zh-CN" w:bidi="ar-SA"/>
        </w:rPr>
        <w:sectPr>
          <w:footerReference r:id="rId6"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kern w:val="2"/>
          <w:sz w:val="28"/>
          <w:szCs w:val="28"/>
          <w:highlight w:val="none"/>
          <w:shd w:val="clear" w:color="auto" w:fill="FFFFFF"/>
          <w:lang w:val="en-US" w:eastAsia="zh-CN" w:bidi="ar-SA"/>
        </w:rPr>
        <w:t>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_Toc3988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供应商授权合法的人员参加投标全过程</w:t>
      </w:r>
      <w:r>
        <w:rPr>
          <w:rFonts w:hint="eastAsia" w:ascii="仿宋" w:hAnsi="仿宋" w:eastAsia="仿宋" w:cs="仿宋"/>
          <w:b/>
          <w:bCs/>
          <w:sz w:val="28"/>
          <w:szCs w:val="28"/>
          <w:highlight w:val="none"/>
          <w:lang w:val="en-US" w:eastAsia="zh-CN"/>
        </w:rPr>
        <w:fldChar w:fldCharType="end"/>
      </w:r>
    </w:p>
    <w:p>
      <w:pPr>
        <w:pStyle w:val="46"/>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2.1</w:t>
      </w:r>
      <w:r>
        <w:rPr>
          <w:rFonts w:hint="eastAsia" w:ascii="仿宋" w:hAnsi="仿宋" w:eastAsia="仿宋" w:cs="仿宋"/>
          <w:b/>
          <w:bCs/>
          <w:sz w:val="28"/>
          <w:szCs w:val="28"/>
          <w:highlight w:val="none"/>
        </w:rPr>
        <w:t>法定代表人身份证明书</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 </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 </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 </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p>
    <w:p>
      <w:pPr>
        <w:pStyle w:val="46"/>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5" w:hRule="atLeast"/>
          <w:jc w:val="center"/>
        </w:trPr>
        <w:tc>
          <w:tcPr>
            <w:tcW w:w="8120" w:type="dxa"/>
            <w:noWrap w:val="0"/>
            <w:vAlign w:val="center"/>
          </w:tcPr>
          <w:p>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pPr>
              <w:adjustRightInd w:val="0"/>
              <w:snapToGrid w:val="0"/>
              <w:spacing w:line="500" w:lineRule="atLeast"/>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正反面</w:t>
            </w:r>
          </w:p>
        </w:tc>
      </w:tr>
    </w:tbl>
    <w:p>
      <w:pPr>
        <w:pStyle w:val="46"/>
        <w:spacing w:line="500" w:lineRule="atLeast"/>
        <w:rPr>
          <w:rFonts w:hint="eastAsia" w:ascii="仿宋" w:hAnsi="仿宋" w:eastAsia="仿宋" w:cs="仿宋"/>
          <w:sz w:val="28"/>
          <w:szCs w:val="28"/>
          <w:highlight w:val="none"/>
        </w:rPr>
      </w:pPr>
    </w:p>
    <w:p>
      <w:pPr>
        <w:pStyle w:val="46"/>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（公章）</w:t>
      </w:r>
    </w:p>
    <w:p>
      <w:pPr>
        <w:pStyle w:val="4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500" w:lineRule="atLeast"/>
        <w:jc w:val="center"/>
        <w:rPr>
          <w:rFonts w:hint="eastAsia" w:ascii="仿宋" w:hAnsi="仿宋" w:eastAsia="仿宋" w:cs="仿宋"/>
          <w:b/>
          <w:bCs/>
          <w:sz w:val="28"/>
          <w:szCs w:val="28"/>
          <w:highlight w:val="none"/>
        </w:rPr>
      </w:pPr>
    </w:p>
    <w:p>
      <w:pPr>
        <w:spacing w:line="50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2.2</w:t>
      </w:r>
      <w:r>
        <w:rPr>
          <w:rFonts w:hint="eastAsia" w:ascii="仿宋" w:hAnsi="仿宋" w:eastAsia="仿宋" w:cs="仿宋"/>
          <w:b/>
          <w:bCs/>
          <w:sz w:val="28"/>
          <w:szCs w:val="28"/>
          <w:highlight w:val="none"/>
        </w:rPr>
        <w:t>法定代表人授权委托书</w:t>
      </w:r>
    </w:p>
    <w:p>
      <w:pPr>
        <w:adjustRightInd w:val="0"/>
        <w:snapToGrid w:val="0"/>
        <w:spacing w:line="5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注册于</w:t>
      </w:r>
      <w:r>
        <w:rPr>
          <w:rFonts w:hint="eastAsia" w:ascii="仿宋" w:hAnsi="仿宋" w:eastAsia="仿宋" w:cs="仿宋"/>
          <w:sz w:val="28"/>
          <w:szCs w:val="28"/>
          <w:highlight w:val="none"/>
          <w:u w:val="single"/>
        </w:rPr>
        <w:t>（工商行政管理局名称）</w:t>
      </w:r>
      <w:r>
        <w:rPr>
          <w:rFonts w:hint="eastAsia" w:ascii="仿宋" w:hAnsi="仿宋" w:eastAsia="仿宋" w:cs="仿宋"/>
          <w:sz w:val="28"/>
          <w:szCs w:val="28"/>
          <w:highlight w:val="none"/>
        </w:rPr>
        <w:t>之</w:t>
      </w:r>
      <w:r>
        <w:rPr>
          <w:rFonts w:hint="eastAsia" w:ascii="仿宋" w:hAnsi="仿宋" w:eastAsia="仿宋" w:cs="仿宋"/>
          <w:sz w:val="28"/>
          <w:szCs w:val="28"/>
          <w:highlight w:val="none"/>
          <w:u w:val="single"/>
        </w:rPr>
        <w:t>（供应商全称）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（被授权委托人姓名、职务）</w:t>
      </w:r>
      <w:r>
        <w:rPr>
          <w:rFonts w:hint="eastAsia" w:ascii="仿宋" w:hAnsi="仿宋" w:eastAsia="仿宋" w:cs="仿宋"/>
          <w:sz w:val="28"/>
          <w:szCs w:val="28"/>
          <w:highlight w:val="none"/>
        </w:rPr>
        <w:t>为本公司的合法代理人，就</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及合同的执行和完成，以本公司的名义处理一切与之有关的事宜。</w:t>
      </w:r>
    </w:p>
    <w:p>
      <w:pPr>
        <w:adjustRightInd w:val="0"/>
        <w:snapToGrid w:val="0"/>
        <w:spacing w:line="500" w:lineRule="atLeas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附：被授权委托人姓名：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p>
    <w:p>
      <w:pPr>
        <w:adjustRightInd w:val="0"/>
        <w:snapToGrid w:val="0"/>
        <w:spacing w:line="500" w:lineRule="atLeas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adjustRightInd w:val="0"/>
        <w:snapToGrid w:val="0"/>
        <w:spacing w:line="500" w:lineRule="atLeast"/>
        <w:ind w:firstLine="63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通讯地址：</w:t>
      </w:r>
      <w:r>
        <w:rPr>
          <w:rFonts w:hint="eastAsia" w:ascii="仿宋" w:hAnsi="仿宋" w:eastAsia="仿宋" w:cs="仿宋"/>
          <w:sz w:val="28"/>
          <w:szCs w:val="28"/>
          <w:highlight w:val="none"/>
          <w:u w:val="single"/>
        </w:rPr>
        <w:t xml:space="preserve">                                          .</w:t>
      </w:r>
    </w:p>
    <w:p>
      <w:pPr>
        <w:adjustRightInd w:val="0"/>
        <w:snapToGrid w:val="0"/>
        <w:spacing w:line="500" w:lineRule="atLeast"/>
        <w:ind w:firstLine="63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pPr>
        <w:adjustRightInd w:val="0"/>
        <w:snapToGrid w:val="0"/>
        <w:spacing w:line="500" w:lineRule="atLeast"/>
        <w:ind w:firstLine="63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pPr>
        <w:adjustRightInd w:val="0"/>
        <w:snapToGrid w:val="0"/>
        <w:spacing w:line="500" w:lineRule="atLeast"/>
        <w:ind w:firstLine="630"/>
        <w:rPr>
          <w:rFonts w:hint="eastAsia" w:ascii="仿宋" w:hAnsi="仿宋" w:eastAsia="仿宋" w:cs="仿宋"/>
          <w:sz w:val="28"/>
          <w:szCs w:val="28"/>
          <w:highlight w:val="none"/>
        </w:rPr>
      </w:pPr>
    </w:p>
    <w:p>
      <w:pPr>
        <w:adjustRightInd w:val="0"/>
        <w:snapToGrid w:val="0"/>
        <w:spacing w:line="500" w:lineRule="atLeas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被授权委托人身份证复印件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1" w:hRule="atLeast"/>
          <w:jc w:val="center"/>
        </w:trPr>
        <w:tc>
          <w:tcPr>
            <w:tcW w:w="4719" w:type="dxa"/>
            <w:noWrap w:val="0"/>
            <w:vAlign w:val="center"/>
          </w:tcPr>
          <w:p>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21" w:type="dxa"/>
            <w:noWrap w:val="0"/>
            <w:vAlign w:val="center"/>
          </w:tcPr>
          <w:p>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被授权委托人身份证复印件</w:t>
            </w:r>
          </w:p>
          <w:p>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bl>
    <w:p>
      <w:pPr>
        <w:adjustRightInd w:val="0"/>
        <w:snapToGrid w:val="0"/>
        <w:spacing w:line="500" w:lineRule="atLeast"/>
        <w:ind w:firstLine="630"/>
        <w:rPr>
          <w:rFonts w:hint="eastAsia" w:ascii="仿宋" w:hAnsi="仿宋" w:eastAsia="仿宋" w:cs="仿宋"/>
          <w:sz w:val="28"/>
          <w:szCs w:val="28"/>
          <w:highlight w:val="none"/>
        </w:rPr>
      </w:pPr>
    </w:p>
    <w:p>
      <w:pPr>
        <w:adjustRightInd w:val="0"/>
        <w:snapToGrid w:val="0"/>
        <w:spacing w:line="500" w:lineRule="atLeast"/>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      字）</w:t>
      </w:r>
    </w:p>
    <w:p>
      <w:pPr>
        <w:keepNext w:val="0"/>
        <w:keepLines w:val="0"/>
        <w:pageBreakBefore w:val="0"/>
        <w:widowControl w:val="0"/>
        <w:kinsoku/>
        <w:wordWrap/>
        <w:overflowPunct/>
        <w:topLinePunct w:val="0"/>
        <w:autoSpaceDE/>
        <w:autoSpaceDN/>
        <w:bidi w:val="0"/>
        <w:spacing w:line="500" w:lineRule="atLeast"/>
        <w:ind w:firstLine="560" w:firstLineChars="200"/>
        <w:jc w:val="center"/>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授权日期：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widowControl w:val="0"/>
        <w:kinsoku/>
        <w:wordWrap/>
        <w:overflowPunct/>
        <w:topLinePunct w:val="0"/>
        <w:autoSpaceDE/>
        <w:autoSpaceDN/>
        <w:bidi w:val="0"/>
        <w:spacing w:line="500" w:lineRule="atLeast"/>
        <w:textAlignment w:val="auto"/>
        <w:rPr>
          <w:highlight w:val="none"/>
        </w:rPr>
      </w:pP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ascii="仿宋" w:hAnsi="仿宋" w:eastAsia="仿宋" w:cs="仿宋"/>
          <w:highlight w:val="none"/>
        </w:rPr>
      </w:pPr>
      <w:r>
        <w:rPr>
          <w:rFonts w:hint="eastAsia" w:ascii="仿宋" w:hAnsi="仿宋" w:eastAsia="仿宋" w:cs="仿宋"/>
          <w:b/>
          <w:bCs/>
          <w:sz w:val="28"/>
          <w:szCs w:val="28"/>
          <w:highlight w:val="none"/>
        </w:rPr>
        <w:t>（注：本授权有效期为自授权之日起至投标有效期结束之日止）</w:t>
      </w:r>
    </w:p>
    <w:p>
      <w:pPr>
        <w:rPr>
          <w:rFonts w:hint="eastAsia"/>
          <w:highlight w:val="none"/>
        </w:rPr>
        <w:sectPr>
          <w:footerReference r:id="rId7" w:type="default"/>
          <w:pgSz w:w="11906" w:h="16838"/>
          <w:pgMar w:top="1440" w:right="1080" w:bottom="1440" w:left="1080" w:header="851" w:footer="992" w:gutter="0"/>
          <w:pgNumType w:fmt="decimal"/>
          <w:cols w:space="425" w:num="1"/>
          <w:docGrid w:type="lines" w:linePitch="312" w:charSpace="0"/>
        </w:sect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highlight w:val="none"/>
          <w:lang w:val="en-US" w:eastAsia="zh-CN"/>
        </w:rPr>
      </w:pPr>
      <w:r>
        <w:rPr>
          <w:rFonts w:hint="eastAsia" w:ascii="仿宋" w:hAnsi="仿宋" w:eastAsia="仿宋" w:cs="仿宋"/>
          <w:b/>
          <w:bCs/>
          <w:sz w:val="28"/>
          <w:szCs w:val="28"/>
          <w:highlight w:val="none"/>
          <w:lang w:val="en-US" w:eastAsia="zh-CN"/>
        </w:rPr>
        <w:t>3、供应商具有良好的商业信誉和健全的财务会计制度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eastAsia="仿宋"/>
          <w:highlight w:val="none"/>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r>
        <w:rPr>
          <w:rFonts w:hint="eastAsia" w:ascii="仿宋" w:hAnsi="仿宋" w:eastAsia="仿宋" w:cs="仿宋"/>
          <w:sz w:val="28"/>
          <w:szCs w:val="28"/>
          <w:highlight w:val="none"/>
          <w:lang w:eastAsia="zh-CN"/>
        </w:rPr>
        <w:t>。</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4、供应商有依法缴纳税收和社会保障资金的良好记录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提供2021年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28"/>
          <w:highlight w:val="none"/>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5、供应商具有履行合同所必需的设备和专业技术能力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提供具有履行合同所必需的设备和专业技术能力的承诺。</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6、供应商参加政府采购活动前三年内，在经营活动中没有重大违法记录</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firstLine="280" w:firstLineChars="100"/>
        <w:textAlignment w:val="auto"/>
        <w:rPr>
          <w:rFonts w:hint="eastAsia" w:eastAsia="仿宋"/>
          <w:highlight w:val="none"/>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7、供应商</w:t>
      </w:r>
      <w:r>
        <w:rPr>
          <w:rFonts w:hint="eastAsia" w:ascii="仿宋" w:hAnsi="仿宋" w:eastAsia="仿宋" w:cs="仿宋"/>
          <w:b/>
          <w:bCs/>
          <w:sz w:val="28"/>
          <w:szCs w:val="28"/>
          <w:highlight w:val="none"/>
          <w:lang w:eastAsia="zh-CN"/>
        </w:rPr>
        <w:t>投标保证金交纳凭证</w:t>
      </w:r>
    </w:p>
    <w:p>
      <w:pPr>
        <w:keepNext w:val="0"/>
        <w:keepLines w:val="0"/>
        <w:pageBreakBefore w:val="0"/>
        <w:widowControl w:val="0"/>
        <w:kinsoku/>
        <w:wordWrap/>
        <w:overflowPunct/>
        <w:topLinePunct w:val="0"/>
        <w:autoSpaceDE/>
        <w:autoSpaceDN/>
        <w:bidi w:val="0"/>
        <w:adjustRightInd/>
        <w:snapToGrid/>
        <w:spacing w:line="50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鉴于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eastAsia="zh-CN"/>
        </w:rPr>
        <w:t>公开招标</w:t>
      </w:r>
      <w:r>
        <w:rPr>
          <w:rFonts w:hint="eastAsia" w:ascii="仿宋" w:hAnsi="仿宋" w:eastAsia="仿宋" w:cs="仿宋"/>
          <w:sz w:val="28"/>
          <w:szCs w:val="28"/>
          <w:highlight w:val="none"/>
        </w:rPr>
        <w:t>。供应商在此承担向采购代理机构交纳金额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元的责任。</w:t>
      </w:r>
    </w:p>
    <w:p>
      <w:pPr>
        <w:keepNext w:val="0"/>
        <w:keepLines w:val="0"/>
        <w:pageBreakBefore w:val="0"/>
        <w:widowControl w:val="0"/>
        <w:kinsoku/>
        <w:wordWrap/>
        <w:overflowPunct/>
        <w:topLinePunct w:val="0"/>
        <w:autoSpaceDE/>
        <w:autoSpaceDN/>
        <w:bidi w:val="0"/>
        <w:adjustRightInd/>
        <w:snapToGrid/>
        <w:spacing w:line="50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保证金在投标有效期内保持有效。</w:t>
      </w:r>
    </w:p>
    <w:p>
      <w:pPr>
        <w:spacing w:line="500" w:lineRule="atLeast"/>
        <w:ind w:firstLine="570"/>
        <w:jc w:val="center"/>
        <w:rPr>
          <w:rFonts w:hint="eastAsia" w:ascii="仿宋" w:hAnsi="仿宋" w:eastAsia="仿宋" w:cs="仿宋"/>
          <w:sz w:val="28"/>
          <w:szCs w:val="28"/>
          <w:highlight w:val="none"/>
        </w:rPr>
      </w:pPr>
    </w:p>
    <w:tbl>
      <w:tblPr>
        <w:tblStyle w:val="27"/>
        <w:tblW w:w="0" w:type="auto"/>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pPr>
              <w:spacing w:line="500" w:lineRule="atLeast"/>
              <w:ind w:firstLine="57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保证金证明（供应商交纳凭证复印件）</w:t>
            </w:r>
          </w:p>
        </w:tc>
      </w:tr>
    </w:tbl>
    <w:p>
      <w:pPr>
        <w:spacing w:line="500" w:lineRule="atLeast"/>
        <w:ind w:firstLine="570"/>
        <w:jc w:val="center"/>
        <w:rPr>
          <w:rFonts w:hint="eastAsia" w:ascii="仿宋" w:hAnsi="仿宋" w:eastAsia="仿宋" w:cs="仿宋"/>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rPr>
          <w:rFonts w:hint="eastAsia" w:ascii="仿宋" w:hAnsi="仿宋" w:eastAsia="仿宋" w:cs="仿宋"/>
          <w:color w:val="FF0000"/>
          <w:sz w:val="28"/>
          <w:szCs w:val="28"/>
          <w:highlight w:val="none"/>
        </w:rPr>
      </w:pPr>
    </w:p>
    <w:p>
      <w:pPr>
        <w:pStyle w:val="17"/>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highlight w:val="none"/>
          <w:lang w:val="en-US" w:eastAsia="zh-CN"/>
        </w:rPr>
      </w:pPr>
    </w:p>
    <w:p>
      <w:pPr>
        <w:rPr>
          <w:rFonts w:hint="eastAsia" w:ascii="仿宋" w:hAnsi="仿宋" w:cs="仿宋"/>
          <w:b/>
          <w:bCs/>
          <w:kern w:val="2"/>
          <w:sz w:val="28"/>
          <w:szCs w:val="28"/>
          <w:highlight w:val="none"/>
          <w:lang w:val="en-US" w:eastAsia="zh-CN" w:bidi="ar-SA"/>
        </w:rPr>
      </w:pPr>
      <w:r>
        <w:rPr>
          <w:rFonts w:hint="eastAsia" w:ascii="仿宋" w:hAnsi="仿宋" w:cs="仿宋"/>
          <w:b/>
          <w:bCs/>
          <w:kern w:val="2"/>
          <w:sz w:val="28"/>
          <w:szCs w:val="28"/>
          <w:highlight w:val="none"/>
          <w:lang w:val="en-US" w:eastAsia="zh-CN" w:bidi="ar-SA"/>
        </w:rPr>
        <w:br w:type="page"/>
      </w:r>
    </w:p>
    <w:p>
      <w:pPr>
        <w:pStyle w:val="20"/>
        <w:keepNext w:val="0"/>
        <w:keepLines w:val="0"/>
        <w:pageBreakBefore w:val="0"/>
        <w:widowControl w:val="0"/>
        <w:kinsoku/>
        <w:wordWrap/>
        <w:overflowPunct/>
        <w:topLinePunct w:val="0"/>
        <w:autoSpaceDE/>
        <w:autoSpaceDN/>
        <w:bidi w:val="0"/>
        <w:adjustRightInd/>
        <w:snapToGrid/>
        <w:spacing w:after="0"/>
        <w:jc w:val="center"/>
        <w:textAlignment w:val="auto"/>
        <w:outlineLvl w:val="3"/>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8、其他条件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提供《中小企业声明函》；供应商为监狱企业的，应提供监狱企业相关资格证明材料；供应商为残疾人福利性单位的，应提供《残疾人福利性单位声明函》。</w:t>
      </w: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highlight w:val="none"/>
        </w:rPr>
      </w:pPr>
      <w:r>
        <w:rPr>
          <w:rFonts w:hint="eastAsia" w:ascii="仿宋" w:hAnsi="仿宋" w:eastAsia="仿宋" w:cs="仿宋"/>
          <w:b/>
          <w:bCs/>
          <w:kern w:val="0"/>
          <w:sz w:val="28"/>
          <w:szCs w:val="28"/>
          <w:highlight w:val="none"/>
          <w:lang w:val="en-US" w:eastAsia="zh-CN"/>
        </w:rPr>
        <w:t>8.1中小企业声明函</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单位名称）的（项目名称）采购活动，提供的货物全部由符合政策要求的中小企业制造。相关企业的具体情况如下：</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eastAsia="zh-CN"/>
        </w:rPr>
        <w:t xml:space="preserve"> 工业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pacing w:line="480" w:lineRule="atLeast"/>
        <w:ind w:firstLine="560" w:firstLineChars="200"/>
        <w:jc w:val="left"/>
        <w:rPr>
          <w:rFonts w:ascii="仿宋" w:hAnsi="仿宋" w:eastAsia="仿宋" w:cs="仿宋"/>
          <w:sz w:val="28"/>
          <w:szCs w:val="28"/>
          <w:highlight w:val="none"/>
        </w:rPr>
      </w:pPr>
    </w:p>
    <w:p>
      <w:pPr>
        <w:widowControl/>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企业名称（盖章）：</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u w:val="single"/>
        </w:rPr>
        <w:t>.</w:t>
      </w:r>
    </w:p>
    <w:p>
      <w:pPr>
        <w:autoSpaceDN w:val="0"/>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日 期：</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年</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月</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日</w:t>
      </w:r>
    </w:p>
    <w:p>
      <w:pPr>
        <w:spacing w:line="500" w:lineRule="exact"/>
        <w:rPr>
          <w:rFonts w:ascii="仿宋" w:hAnsi="仿宋" w:eastAsia="仿宋" w:cs="仿宋"/>
          <w:b/>
          <w:bCs/>
          <w:sz w:val="28"/>
          <w:szCs w:val="28"/>
          <w:highlight w:val="none"/>
        </w:rPr>
      </w:pPr>
    </w:p>
    <w:p>
      <w:pPr>
        <w:pStyle w:val="11"/>
        <w:spacing w:line="500" w:lineRule="exact"/>
        <w:rPr>
          <w:rFonts w:hint="default"/>
          <w:highlight w:val="none"/>
        </w:rPr>
      </w:pPr>
      <w:r>
        <w:rPr>
          <w:rFonts w:ascii="仿宋" w:hAnsi="仿宋" w:cs="仿宋"/>
          <w:b/>
          <w:bCs/>
          <w:sz w:val="28"/>
          <w:szCs w:val="28"/>
          <w:highlight w:val="none"/>
        </w:rPr>
        <w:t>注：非</w:t>
      </w:r>
      <w:r>
        <w:rPr>
          <w:rFonts w:hint="eastAsia" w:ascii="仿宋" w:hAnsi="仿宋" w:cs="仿宋"/>
          <w:b/>
          <w:bCs/>
          <w:sz w:val="28"/>
          <w:szCs w:val="28"/>
          <w:highlight w:val="none"/>
          <w:lang w:eastAsia="zh-CN"/>
        </w:rPr>
        <w:t>中型、</w:t>
      </w:r>
      <w:r>
        <w:rPr>
          <w:rFonts w:ascii="仿宋" w:hAnsi="仿宋" w:cs="仿宋"/>
          <w:b/>
          <w:bCs/>
          <w:sz w:val="28"/>
          <w:szCs w:val="28"/>
          <w:highlight w:val="none"/>
        </w:rPr>
        <w:t>小型、微型企业可不填写此表。</w:t>
      </w:r>
    </w:p>
    <w:p>
      <w:pPr>
        <w:pStyle w:val="25"/>
        <w:ind w:firstLine="0" w:firstLineChars="0"/>
        <w:rPr>
          <w:rFonts w:hint="default"/>
          <w:highlight w:val="none"/>
        </w:rPr>
      </w:pPr>
    </w:p>
    <w:p>
      <w:pPr>
        <w:pStyle w:val="25"/>
        <w:ind w:firstLine="0" w:firstLineChars="0"/>
        <w:rPr>
          <w:rFonts w:hint="default" w:ascii="仿宋" w:hAnsi="仿宋" w:cs="仿宋"/>
          <w:b/>
          <w:bCs/>
          <w:sz w:val="28"/>
          <w:szCs w:val="28"/>
          <w:highlight w:val="none"/>
        </w:rPr>
      </w:pPr>
    </w:p>
    <w:p>
      <w:pPr>
        <w:rPr>
          <w:rFonts w:hint="default"/>
        </w:rPr>
      </w:pPr>
    </w:p>
    <w:p>
      <w:pPr>
        <w:pStyle w:val="44"/>
        <w:keepNext w:val="0"/>
        <w:keepLines w:val="0"/>
        <w:pageBreakBefore w:val="0"/>
        <w:widowControl w:val="0"/>
        <w:kinsoku/>
        <w:wordWrap/>
        <w:overflowPunct/>
        <w:topLinePunct w:val="0"/>
        <w:autoSpaceDE/>
        <w:autoSpaceDN/>
        <w:bidi w:val="0"/>
        <w:spacing w:line="500" w:lineRule="atLeast"/>
        <w:jc w:val="both"/>
        <w:rPr>
          <w:rFonts w:hint="eastAsia" w:ascii="仿宋" w:hAnsi="仿宋" w:eastAsia="仿宋" w:cs="仿宋"/>
          <w:b w:val="0"/>
          <w:sz w:val="24"/>
          <w:szCs w:val="24"/>
          <w:highlight w:val="none"/>
          <w:lang w:val="zh-CN"/>
        </w:rPr>
      </w:pPr>
      <w:r>
        <w:rPr>
          <w:rFonts w:hint="eastAsia" w:ascii="仿宋" w:hAnsi="仿宋" w:eastAsia="仿宋" w:cs="仿宋"/>
          <w:b/>
          <w:bCs/>
          <w:kern w:val="0"/>
          <w:sz w:val="22"/>
          <w:szCs w:val="22"/>
          <w:highlight w:val="none"/>
          <w:vertAlign w:val="superscript"/>
          <w:lang w:bidi="ar"/>
        </w:rPr>
        <w:t xml:space="preserve">1 </w:t>
      </w:r>
      <w:r>
        <w:rPr>
          <w:rFonts w:hint="eastAsia" w:ascii="仿宋" w:hAnsi="仿宋" w:eastAsia="仿宋" w:cs="仿宋"/>
          <w:b/>
          <w:bCs/>
          <w:kern w:val="0"/>
          <w:sz w:val="22"/>
          <w:szCs w:val="22"/>
          <w:highlight w:val="none"/>
          <w:lang w:bidi="ar"/>
        </w:rPr>
        <w:t>从业人员、营业收入、资产总额填报上一年度数据，无上一年度数据的新成立企业可不填报。</w:t>
      </w:r>
    </w:p>
    <w:p>
      <w:pPr>
        <w:keepNext w:val="0"/>
        <w:keepLines w:val="0"/>
        <w:pageBreakBefore w:val="0"/>
        <w:widowControl w:val="0"/>
        <w:tabs>
          <w:tab w:val="left" w:pos="1755"/>
        </w:tabs>
        <w:kinsoku/>
        <w:wordWrap/>
        <w:overflowPunct/>
        <w:topLinePunct w:val="0"/>
        <w:autoSpaceDE/>
        <w:autoSpaceDN/>
        <w:bidi w:val="0"/>
        <w:spacing w:line="500" w:lineRule="atLeast"/>
        <w:ind w:left="-120"/>
        <w:jc w:val="center"/>
        <w:outlineLvl w:val="9"/>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lang w:val="en-US" w:eastAsia="zh-CN"/>
        </w:rPr>
        <w:t>8.2</w:t>
      </w:r>
      <w:r>
        <w:rPr>
          <w:rFonts w:hint="eastAsia" w:ascii="仿宋" w:hAnsi="仿宋" w:eastAsia="仿宋" w:cs="仿宋"/>
          <w:b/>
          <w:bCs/>
          <w:sz w:val="28"/>
          <w:szCs w:val="28"/>
          <w:highlight w:val="none"/>
        </w:rPr>
        <w:t>监狱企业相关资格证明材料</w:t>
      </w: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rFonts w:eastAsia="宋体"/>
          <w:highlight w:val="none"/>
        </w:rPr>
      </w:pPr>
    </w:p>
    <w:p>
      <w:pPr>
        <w:pStyle w:val="11"/>
        <w:keepNext w:val="0"/>
        <w:keepLines w:val="0"/>
        <w:pageBreakBefore w:val="0"/>
        <w:widowControl w:val="0"/>
        <w:kinsoku/>
        <w:wordWrap/>
        <w:overflowPunct/>
        <w:topLinePunct w:val="0"/>
        <w:autoSpaceDE/>
        <w:autoSpaceDN/>
        <w:bidi w:val="0"/>
        <w:ind w:left="-119"/>
        <w:jc w:val="center"/>
        <w:rPr>
          <w:highlight w:val="none"/>
        </w:rPr>
      </w:pPr>
    </w:p>
    <w:p>
      <w:pPr>
        <w:keepNext w:val="0"/>
        <w:keepLines w:val="0"/>
        <w:pageBreakBefore w:val="0"/>
        <w:widowControl w:val="0"/>
        <w:kinsoku/>
        <w:wordWrap/>
        <w:overflowPunct/>
        <w:topLinePunct w:val="0"/>
        <w:autoSpaceDE/>
        <w:autoSpaceDN/>
        <w:bidi w:val="0"/>
        <w:spacing w:line="400" w:lineRule="exact"/>
        <w:jc w:val="left"/>
        <w:rPr>
          <w:rFonts w:hint="eastAsia"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bookmarkStart w:id="299" w:name="_GoBack"/>
      <w:bookmarkEnd w:id="299"/>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pPr>
        <w:pStyle w:val="11"/>
        <w:keepNext w:val="0"/>
        <w:keepLines w:val="0"/>
        <w:pageBreakBefore w:val="0"/>
        <w:widowControl w:val="0"/>
        <w:kinsoku/>
        <w:wordWrap/>
        <w:overflowPunct/>
        <w:topLinePunct w:val="0"/>
        <w:autoSpaceDE/>
        <w:autoSpaceDN/>
        <w:bidi w:val="0"/>
        <w:ind w:left="-119"/>
        <w:jc w:val="center"/>
        <w:outlineLvl w:val="9"/>
        <w:rPr>
          <w:b/>
          <w:bCs/>
          <w:sz w:val="28"/>
          <w:szCs w:val="28"/>
          <w:highlight w:val="none"/>
        </w:rPr>
      </w:pPr>
      <w:r>
        <w:rPr>
          <w:rFonts w:hint="eastAsia" w:ascii="仿宋" w:hAnsi="仿宋" w:cs="仿宋"/>
          <w:b/>
          <w:bCs/>
          <w:kern w:val="0"/>
          <w:sz w:val="28"/>
          <w:szCs w:val="28"/>
          <w:highlight w:val="none"/>
          <w:lang w:val="en-US" w:eastAsia="zh-CN"/>
        </w:rPr>
        <w:t>8.3</w:t>
      </w:r>
      <w:r>
        <w:rPr>
          <w:b/>
          <w:bCs/>
          <w:sz w:val="28"/>
          <w:szCs w:val="28"/>
          <w:highlight w:val="none"/>
        </w:rPr>
        <w:t>残疾人福利性单位声明函</w:t>
      </w:r>
    </w:p>
    <w:p>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本单位郑重声明，根据《财政部民政部中国残疾人联合会关于促进残疾人就业政府采购政策的通知》（财库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atLeast"/>
        <w:ind w:right="1560" w:firstLine="584" w:firstLineChars="200"/>
        <w:jc w:val="center"/>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pPr>
        <w:keepNext w:val="0"/>
        <w:keepLines w:val="0"/>
        <w:pageBreakBefore w:val="0"/>
        <w:widowControl w:val="0"/>
        <w:tabs>
          <w:tab w:val="left" w:pos="4860"/>
        </w:tabs>
        <w:kinsoku/>
        <w:wordWrap/>
        <w:overflowPunct/>
        <w:topLinePunct w:val="0"/>
        <w:autoSpaceDE/>
        <w:autoSpaceDN/>
        <w:bidi w:val="0"/>
        <w:adjustRightInd/>
        <w:snapToGrid/>
        <w:spacing w:line="500" w:lineRule="atLeast"/>
        <w:ind w:right="1560" w:firstLine="584" w:firstLineChars="200"/>
        <w:jc w:val="center"/>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spacing w:line="360" w:lineRule="auto"/>
        <w:jc w:val="center"/>
        <w:rPr>
          <w:rStyle w:val="64"/>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spacing w:line="400" w:lineRule="exact"/>
        <w:jc w:val="left"/>
        <w:rPr>
          <w:rFonts w:hint="eastAsia"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pPr>
        <w:bidi w:val="0"/>
        <w:rPr>
          <w:rFonts w:hint="eastAsia"/>
          <w:lang w:val="en-US" w:eastAsia="zh-CN"/>
        </w:rPr>
      </w:pPr>
    </w:p>
    <w:p>
      <w:pPr>
        <w:pStyle w:val="16"/>
        <w:bidi w:val="0"/>
        <w:rPr>
          <w:rFonts w:hint="eastAsia"/>
          <w:lang w:val="en-US" w:eastAsia="zh-CN"/>
        </w:rPr>
      </w:pPr>
    </w:p>
    <w:p>
      <w:pPr>
        <w:pStyle w:val="16"/>
        <w:bidi w:val="0"/>
        <w:rPr>
          <w:rFonts w:hint="eastAsia"/>
          <w:lang w:val="en-US" w:eastAsia="zh-CN"/>
        </w:rPr>
      </w:pPr>
    </w:p>
    <w:p>
      <w:pPr>
        <w:pStyle w:val="16"/>
        <w:bidi w:val="0"/>
        <w:rPr>
          <w:rFonts w:hint="eastAsia"/>
          <w:lang w:val="en-US" w:eastAsia="zh-CN"/>
        </w:rPr>
      </w:pPr>
    </w:p>
    <w:p>
      <w:pPr>
        <w:pStyle w:val="16"/>
        <w:bidi w:val="0"/>
        <w:rPr>
          <w:rFonts w:hint="eastAsia"/>
          <w:lang w:val="en-US" w:eastAsia="zh-CN"/>
        </w:rPr>
      </w:pPr>
    </w:p>
    <w:p>
      <w:pPr>
        <w:pStyle w:val="16"/>
        <w:bidi w:val="0"/>
        <w:rPr>
          <w:rFonts w:hint="eastAsia"/>
          <w:lang w:val="en-US" w:eastAsia="zh-CN"/>
        </w:rPr>
      </w:pPr>
    </w:p>
    <w:p>
      <w:pPr>
        <w:pStyle w:val="16"/>
        <w:bidi w:val="0"/>
        <w:ind w:left="0" w:leftChars="0" w:firstLine="0" w:firstLineChars="0"/>
        <w:jc w:val="center"/>
        <w:outlineLvl w:val="3"/>
        <w:rPr>
          <w:rFonts w:hint="eastAsia" w:ascii="仿宋" w:hAnsi="仿宋" w:eastAsia="仿宋" w:cs="仿宋"/>
          <w:b/>
          <w:bCs/>
          <w:kern w:val="2"/>
          <w:sz w:val="28"/>
          <w:szCs w:val="28"/>
          <w:highlight w:val="none"/>
          <w:lang w:val="en-US" w:eastAsia="zh-CN" w:bidi="ar-SA"/>
        </w:rPr>
      </w:pPr>
      <w:r>
        <w:rPr>
          <w:rFonts w:hint="eastAsia" w:ascii="仿宋" w:hAnsi="仿宋" w:cs="仿宋"/>
          <w:b/>
          <w:bCs/>
          <w:kern w:val="2"/>
          <w:sz w:val="28"/>
          <w:szCs w:val="28"/>
          <w:highlight w:val="none"/>
          <w:lang w:val="en-US" w:eastAsia="zh-CN" w:bidi="ar-SA"/>
        </w:rPr>
        <w:t>9</w:t>
      </w:r>
      <w:r>
        <w:rPr>
          <w:rFonts w:hint="eastAsia" w:ascii="仿宋" w:hAnsi="仿宋" w:eastAsia="仿宋" w:cs="仿宋"/>
          <w:b/>
          <w:bCs/>
          <w:kern w:val="2"/>
          <w:sz w:val="28"/>
          <w:szCs w:val="28"/>
          <w:highlight w:val="none"/>
          <w:lang w:val="en-US" w:eastAsia="zh-CN" w:bidi="ar-SA"/>
        </w:rPr>
        <w:t>、供应商认为有必要提供而增加其竞争性的其它资料</w:t>
      </w:r>
    </w:p>
    <w:p>
      <w:pPr>
        <w:bidi w:val="0"/>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bidi w:val="0"/>
        <w:rPr>
          <w:rFonts w:hint="eastAsia"/>
          <w:highlight w:val="none"/>
          <w:lang w:eastAsia="zh-CN"/>
        </w:rPr>
      </w:pPr>
    </w:p>
    <w:bookmarkEnd w:id="215"/>
    <w:tbl>
      <w:tblPr>
        <w:tblStyle w:val="27"/>
        <w:tblpPr w:leftFromText="180" w:rightFromText="180" w:vertAnchor="text" w:horzAnchor="page" w:tblpX="9086"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220" w:name="_Toc438541313"/>
            <w:bookmarkStart w:id="221" w:name="_Toc19526"/>
            <w:bookmarkStart w:id="222" w:name="_Toc25352_WPSOffice_Level1"/>
            <w:bookmarkStart w:id="223" w:name="_Toc5680"/>
            <w:bookmarkStart w:id="224" w:name="_Toc3443"/>
            <w:bookmarkStart w:id="225" w:name="_Toc13405_WPSOffice_Level1"/>
            <w:bookmarkStart w:id="226" w:name="_Toc204524343"/>
            <w:bookmarkStart w:id="227" w:name="_Toc120614284"/>
            <w:r>
              <w:rPr>
                <w:rFonts w:hint="eastAsia" w:ascii="仿宋" w:hAnsi="仿宋" w:eastAsia="仿宋" w:cs="仿宋"/>
                <w:b/>
                <w:sz w:val="40"/>
                <w:szCs w:val="44"/>
                <w:highlight w:val="none"/>
              </w:rPr>
              <w:t>正/副本</w:t>
            </w:r>
          </w:p>
        </w:tc>
      </w:tr>
    </w:tbl>
    <w:p>
      <w:pPr>
        <w:pStyle w:val="43"/>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228" w:name="_Toc154"/>
      <w:r>
        <w:rPr>
          <w:rFonts w:hint="eastAsia" w:ascii="仿宋" w:hAnsi="仿宋" w:cs="仿宋"/>
          <w:b/>
          <w:kern w:val="0"/>
          <w:sz w:val="32"/>
          <w:szCs w:val="32"/>
          <w:highlight w:val="none"/>
          <w:lang w:val="en-US" w:eastAsia="zh-CN" w:bidi="ar-SA"/>
        </w:rPr>
        <w:t>B 商务及技术标</w:t>
      </w:r>
      <w:bookmarkEnd w:id="228"/>
    </w:p>
    <w:p>
      <w:pPr>
        <w:pStyle w:val="41"/>
        <w:widowControl/>
        <w:spacing w:before="0" w:after="0"/>
        <w:ind w:firstLine="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XHLJZC-WN2022-054-1</w:t>
      </w:r>
    </w:p>
    <w:p>
      <w:pPr>
        <w:pStyle w:val="41"/>
        <w:widowControl/>
        <w:spacing w:before="0" w:after="0"/>
        <w:ind w:left="1680" w:leftChars="0" w:firstLine="420" w:firstLineChars="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ZCSP-渭南市-2022-01184</w:t>
      </w:r>
    </w:p>
    <w:p>
      <w:pPr>
        <w:pStyle w:val="41"/>
        <w:widowControl/>
        <w:spacing w:before="0" w:after="0" w:line="600" w:lineRule="exact"/>
        <w:ind w:firstLine="0"/>
        <w:jc w:val="both"/>
        <w:rPr>
          <w:rFonts w:ascii="仿宋" w:hAnsi="仿宋" w:eastAsia="仿宋" w:cs="仿宋"/>
          <w:b/>
          <w:sz w:val="32"/>
          <w:szCs w:val="32"/>
          <w:highlight w:val="none"/>
        </w:rPr>
      </w:pPr>
    </w:p>
    <w:p>
      <w:pPr>
        <w:pStyle w:val="41"/>
        <w:widowControl/>
        <w:spacing w:before="0" w:after="0" w:line="600" w:lineRule="exact"/>
        <w:ind w:firstLine="0"/>
        <w:jc w:val="both"/>
        <w:rPr>
          <w:rFonts w:ascii="仿宋" w:hAnsi="仿宋" w:eastAsia="仿宋" w:cs="仿宋"/>
          <w:b/>
          <w:sz w:val="32"/>
          <w:szCs w:val="32"/>
          <w:highlight w:val="none"/>
        </w:rPr>
      </w:pPr>
    </w:p>
    <w:p>
      <w:pPr>
        <w:pStyle w:val="41"/>
        <w:widowControl/>
        <w:spacing w:before="0" w:after="0" w:line="600" w:lineRule="exact"/>
        <w:ind w:firstLine="0"/>
        <w:jc w:val="both"/>
        <w:rPr>
          <w:rFonts w:ascii="仿宋" w:hAnsi="仿宋" w:eastAsia="仿宋" w:cs="仿宋"/>
          <w:b/>
          <w:sz w:val="44"/>
          <w:szCs w:val="44"/>
          <w:highlight w:val="none"/>
        </w:rPr>
      </w:pPr>
    </w:p>
    <w:p>
      <w:pPr>
        <w:pStyle w:val="43"/>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cs="仿宋"/>
          <w:b/>
          <w:sz w:val="48"/>
          <w:szCs w:val="48"/>
          <w:highlight w:val="none"/>
          <w:lang w:val="en-US" w:eastAsia="zh-CN"/>
        </w:rPr>
      </w:pPr>
      <w:r>
        <w:rPr>
          <w:rFonts w:hint="eastAsia" w:ascii="仿宋" w:hAnsi="仿宋" w:cs="仿宋"/>
          <w:b/>
          <w:sz w:val="48"/>
          <w:szCs w:val="48"/>
          <w:highlight w:val="none"/>
          <w:lang w:val="en-US" w:eastAsia="zh-CN"/>
        </w:rPr>
        <w:t>渭南市中心血站采血、供血设备采购项目</w:t>
      </w:r>
    </w:p>
    <w:p>
      <w:pPr>
        <w:pStyle w:val="43"/>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sz w:val="44"/>
          <w:szCs w:val="44"/>
          <w:highlight w:val="none"/>
          <w:lang w:val="en-US" w:eastAsia="zh-CN"/>
        </w:rPr>
      </w:pPr>
      <w:r>
        <w:rPr>
          <w:rFonts w:hint="eastAsia" w:ascii="仿宋" w:hAnsi="仿宋" w:cs="仿宋"/>
          <w:b/>
          <w:sz w:val="48"/>
          <w:szCs w:val="48"/>
          <w:highlight w:val="none"/>
          <w:lang w:val="en-US" w:eastAsia="zh-CN"/>
        </w:rPr>
        <w:t>（一包）</w:t>
      </w:r>
    </w:p>
    <w:p>
      <w:pPr>
        <w:pStyle w:val="43"/>
        <w:widowControl/>
        <w:spacing w:line="480" w:lineRule="auto"/>
        <w:ind w:firstLine="0" w:firstLineChars="0"/>
        <w:jc w:val="center"/>
        <w:rPr>
          <w:rFonts w:hint="default" w:ascii="仿宋" w:hAnsi="仿宋" w:eastAsia="仿宋" w:cs="仿宋"/>
          <w:b/>
          <w:sz w:val="52"/>
          <w:szCs w:val="52"/>
          <w:highlight w:val="none"/>
          <w:lang w:val="en-US" w:eastAsia="zh-CN"/>
        </w:rPr>
      </w:pPr>
    </w:p>
    <w:p>
      <w:pPr>
        <w:pStyle w:val="43"/>
        <w:widowControl/>
        <w:spacing w:line="480" w:lineRule="auto"/>
        <w:ind w:firstLine="0" w:firstLineChars="0"/>
        <w:jc w:val="both"/>
        <w:rPr>
          <w:rFonts w:hint="default" w:ascii="仿宋" w:hAnsi="仿宋" w:eastAsia="仿宋" w:cs="仿宋"/>
          <w:b/>
          <w:sz w:val="52"/>
          <w:szCs w:val="52"/>
          <w:highlight w:val="none"/>
          <w:lang w:val="en-US" w:eastAsia="zh-CN"/>
        </w:rPr>
      </w:pPr>
    </w:p>
    <w:p>
      <w:pPr>
        <w:pStyle w:val="43"/>
        <w:widowControl/>
        <w:spacing w:line="480" w:lineRule="auto"/>
        <w:ind w:firstLine="0" w:firstLineChars="0"/>
        <w:jc w:val="center"/>
        <w:rPr>
          <w:rFonts w:hint="default" w:ascii="仿宋" w:hAnsi="仿宋" w:cs="仿宋"/>
          <w:b/>
          <w:sz w:val="56"/>
          <w:szCs w:val="56"/>
          <w:highlight w:val="none"/>
        </w:rPr>
      </w:pPr>
      <w:r>
        <w:rPr>
          <w:rFonts w:ascii="仿宋" w:hAnsi="仿宋" w:cs="仿宋"/>
          <w:b/>
          <w:sz w:val="48"/>
          <w:szCs w:val="48"/>
          <w:highlight w:val="none"/>
        </w:rPr>
        <w:t>投 标 文 件</w:t>
      </w:r>
    </w:p>
    <w:p>
      <w:pPr>
        <w:pStyle w:val="43"/>
        <w:widowControl/>
        <w:spacing w:line="480" w:lineRule="auto"/>
        <w:ind w:firstLine="0" w:firstLineChars="0"/>
        <w:jc w:val="center"/>
        <w:rPr>
          <w:rFonts w:hint="default" w:ascii="仿宋" w:hAnsi="仿宋" w:cs="仿宋"/>
          <w:b/>
          <w:sz w:val="52"/>
          <w:szCs w:val="52"/>
          <w:highlight w:val="none"/>
        </w:rPr>
      </w:pPr>
      <w:r>
        <w:rPr>
          <w:rFonts w:ascii="仿宋" w:hAnsi="仿宋" w:cs="仿宋"/>
          <w:b/>
          <w:sz w:val="52"/>
          <w:szCs w:val="52"/>
          <w:highlight w:val="none"/>
        </w:rPr>
        <w:t>（格式）</w:t>
      </w:r>
    </w:p>
    <w:p>
      <w:pPr>
        <w:spacing w:line="480" w:lineRule="auto"/>
        <w:jc w:val="center"/>
        <w:rPr>
          <w:rFonts w:ascii="仿宋" w:hAnsi="仿宋" w:eastAsia="仿宋" w:cs="仿宋"/>
          <w:b/>
          <w:spacing w:val="8"/>
          <w:sz w:val="28"/>
          <w:szCs w:val="28"/>
          <w:highlight w:val="none"/>
          <w:u w:val="single"/>
        </w:rPr>
      </w:pPr>
    </w:p>
    <w:p>
      <w:pPr>
        <w:pStyle w:val="2"/>
        <w:rPr>
          <w:highlight w:val="none"/>
        </w:rPr>
      </w:pPr>
    </w:p>
    <w:p>
      <w:pPr>
        <w:rPr>
          <w:highlight w:val="none"/>
        </w:rPr>
      </w:pPr>
    </w:p>
    <w:p>
      <w:pPr>
        <w:pStyle w:val="11"/>
        <w:rPr>
          <w:rFonts w:hint="default"/>
          <w:highlight w:val="none"/>
        </w:rPr>
      </w:pPr>
    </w:p>
    <w:p>
      <w:pPr>
        <w:rPr>
          <w:highlight w:val="none"/>
        </w:rPr>
      </w:pPr>
    </w:p>
    <w:p>
      <w:pPr>
        <w:pStyle w:val="26"/>
        <w:ind w:left="0" w:leftChars="0" w:firstLine="0" w:firstLineChars="0"/>
        <w:rPr>
          <w:rFonts w:hint="eastAsia"/>
          <w:highlight w:val="none"/>
          <w:lang w:eastAsia="zh-CN"/>
        </w:rPr>
      </w:pPr>
    </w:p>
    <w:p>
      <w:pPr>
        <w:ind w:firstLine="1687" w:firstLineChars="600"/>
        <w:jc w:val="both"/>
        <w:rPr>
          <w:rFonts w:hint="default" w:ascii="仿宋" w:hAnsi="仿宋" w:eastAsia="仿宋" w:cs="仿宋"/>
          <w:b/>
          <w:bCs/>
          <w:sz w:val="28"/>
          <w:szCs w:val="24"/>
          <w:highlight w:val="none"/>
          <w:u w:val="single"/>
          <w:lang w:val="en-US" w:eastAsia="zh-CN"/>
        </w:rPr>
      </w:pPr>
      <w:r>
        <w:rPr>
          <w:rFonts w:hint="eastAsia" w:ascii="仿宋" w:hAnsi="仿宋" w:eastAsia="仿宋" w:cs="仿宋"/>
          <w:b/>
          <w:bCs/>
          <w:sz w:val="28"/>
          <w:szCs w:val="24"/>
          <w:highlight w:val="none"/>
          <w:u w:val="none"/>
          <w:lang w:eastAsia="zh-CN"/>
        </w:rPr>
        <w:t>投标文件内容：</w:t>
      </w:r>
      <w:r>
        <w:rPr>
          <w:rFonts w:hint="eastAsia" w:ascii="仿宋" w:hAnsi="仿宋" w:eastAsia="仿宋" w:cs="仿宋"/>
          <w:b/>
          <w:bCs/>
          <w:sz w:val="28"/>
          <w:szCs w:val="24"/>
          <w:highlight w:val="none"/>
          <w:u w:val="single"/>
          <w:lang w:val="en-US" w:eastAsia="zh-CN"/>
        </w:rPr>
        <w:t xml:space="preserve">    商务及技术标    </w:t>
      </w:r>
    </w:p>
    <w:p>
      <w:pPr>
        <w:jc w:val="center"/>
        <w:rPr>
          <w:rFonts w:hint="eastAsia" w:ascii="仿宋" w:hAnsi="仿宋" w:eastAsia="仿宋" w:cs="仿宋"/>
          <w:b/>
          <w:bCs/>
          <w:sz w:val="28"/>
          <w:szCs w:val="24"/>
          <w:highlight w:val="none"/>
          <w:u w:val="single"/>
        </w:rPr>
      </w:pPr>
      <w:r>
        <w:rPr>
          <w:rFonts w:hint="eastAsia" w:ascii="仿宋" w:hAnsi="仿宋" w:eastAsia="仿宋" w:cs="仿宋"/>
          <w:b/>
          <w:bCs/>
          <w:sz w:val="28"/>
          <w:szCs w:val="24"/>
          <w:highlight w:val="none"/>
          <w:u w:val="none"/>
        </w:rPr>
        <w:t>供应商名称：</w:t>
      </w:r>
      <w:r>
        <w:rPr>
          <w:rFonts w:hint="eastAsia" w:ascii="仿宋" w:hAnsi="仿宋" w:eastAsia="仿宋" w:cs="仿宋"/>
          <w:b/>
          <w:bCs/>
          <w:sz w:val="28"/>
          <w:szCs w:val="24"/>
          <w:highlight w:val="none"/>
          <w:u w:val="single"/>
        </w:rPr>
        <w:t xml:space="preserve">              </w:t>
      </w:r>
      <w:r>
        <w:rPr>
          <w:rFonts w:hint="eastAsia" w:ascii="仿宋" w:hAnsi="仿宋" w:eastAsia="仿宋" w:cs="仿宋"/>
          <w:b/>
          <w:bCs/>
          <w:sz w:val="28"/>
          <w:szCs w:val="24"/>
          <w:highlight w:val="none"/>
          <w:u w:val="single"/>
          <w:lang w:val="en-US" w:eastAsia="zh-CN"/>
        </w:rPr>
        <w:t xml:space="preserve">   </w:t>
      </w:r>
      <w:r>
        <w:rPr>
          <w:rFonts w:hint="eastAsia" w:ascii="仿宋" w:hAnsi="仿宋" w:eastAsia="仿宋" w:cs="仿宋"/>
          <w:b/>
          <w:bCs/>
          <w:sz w:val="28"/>
          <w:szCs w:val="24"/>
          <w:highlight w:val="none"/>
          <w:u w:val="single"/>
        </w:rPr>
        <w:t xml:space="preserve">    （公     章）</w:t>
      </w:r>
    </w:p>
    <w:p>
      <w:pPr>
        <w:jc w:val="center"/>
        <w:rPr>
          <w:rFonts w:hint="eastAsia" w:ascii="仿宋" w:hAnsi="仿宋" w:eastAsia="仿宋" w:cs="仿宋"/>
          <w:b/>
          <w:bCs/>
          <w:sz w:val="28"/>
          <w:szCs w:val="24"/>
          <w:highlight w:val="none"/>
          <w:u w:val="single"/>
        </w:rPr>
      </w:pPr>
      <w:r>
        <w:rPr>
          <w:rFonts w:hint="eastAsia" w:ascii="仿宋" w:hAnsi="仿宋" w:eastAsia="仿宋" w:cs="仿宋"/>
          <w:b/>
          <w:bCs/>
          <w:sz w:val="28"/>
          <w:szCs w:val="24"/>
          <w:highlight w:val="none"/>
          <w:u w:val="none"/>
        </w:rPr>
        <w:t>法定代表人或被授权委托人</w:t>
      </w:r>
      <w:r>
        <w:rPr>
          <w:rFonts w:hint="eastAsia" w:ascii="仿宋" w:hAnsi="仿宋" w:eastAsia="仿宋" w:cs="仿宋"/>
          <w:b/>
          <w:bCs/>
          <w:sz w:val="28"/>
          <w:szCs w:val="24"/>
          <w:highlight w:val="none"/>
          <w:u w:val="none"/>
          <w:lang w:eastAsia="zh-CN"/>
        </w:rPr>
        <w:t>：</w:t>
      </w:r>
      <w:r>
        <w:rPr>
          <w:rFonts w:hint="eastAsia" w:ascii="仿宋" w:hAnsi="仿宋" w:eastAsia="仿宋" w:cs="仿宋"/>
          <w:b/>
          <w:bCs/>
          <w:sz w:val="28"/>
          <w:szCs w:val="24"/>
          <w:highlight w:val="none"/>
          <w:u w:val="single"/>
        </w:rPr>
        <w:t xml:space="preserve">      （签字或盖章）</w:t>
      </w:r>
    </w:p>
    <w:p>
      <w:pPr>
        <w:jc w:val="center"/>
        <w:rPr>
          <w:rFonts w:hint="eastAsia" w:ascii="仿宋" w:hAnsi="仿宋" w:eastAsia="仿宋" w:cs="仿宋"/>
          <w:b/>
          <w:kern w:val="0"/>
          <w:sz w:val="44"/>
          <w:szCs w:val="44"/>
          <w:highlight w:val="none"/>
        </w:rPr>
      </w:pPr>
      <w:r>
        <w:rPr>
          <w:rFonts w:hint="eastAsia" w:ascii="仿宋" w:hAnsi="仿宋" w:eastAsia="仿宋" w:cs="仿宋"/>
          <w:b/>
          <w:bCs/>
          <w:sz w:val="28"/>
          <w:szCs w:val="24"/>
          <w:highlight w:val="none"/>
          <w:u w:val="none"/>
        </w:rPr>
        <w:t>时      间：</w:t>
      </w:r>
      <w:r>
        <w:rPr>
          <w:rFonts w:hint="eastAsia" w:ascii="仿宋" w:hAnsi="仿宋" w:eastAsia="仿宋" w:cs="仿宋"/>
          <w:b/>
          <w:bCs/>
          <w:sz w:val="28"/>
          <w:szCs w:val="24"/>
          <w:highlight w:val="none"/>
          <w:u w:val="singl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spacing w:line="480" w:lineRule="auto"/>
        <w:jc w:val="center"/>
        <w:rPr>
          <w:rFonts w:hint="eastAsia"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spacing w:line="48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"_Toc29348" </w:instrText>
      </w:r>
      <w:r>
        <w:rPr>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投标方案说明                                 （页码）</w:t>
      </w:r>
    </w:p>
    <w:p>
      <w:pPr>
        <w:spacing w:line="480" w:lineRule="auto"/>
        <w:jc w:val="center"/>
        <w:rPr>
          <w:b/>
          <w:bCs/>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                                 （页码）</w:t>
      </w:r>
    </w:p>
    <w:p>
      <w:pPr>
        <w:spacing w:line="48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 （页码）</w:t>
      </w:r>
    </w:p>
    <w:p>
      <w:pPr>
        <w:pStyle w:val="11"/>
        <w:spacing w:line="480" w:lineRule="auto"/>
        <w:ind w:firstLine="281" w:firstLineChars="100"/>
        <w:jc w:val="both"/>
        <w:rPr>
          <w:rFonts w:hint="default" w:ascii="仿宋" w:hAnsi="仿宋" w:cs="仿宋"/>
          <w:sz w:val="28"/>
          <w:szCs w:val="28"/>
          <w:highlight w:val="none"/>
        </w:rPr>
      </w:pPr>
      <w:r>
        <w:rPr>
          <w:rFonts w:ascii="仿宋" w:hAnsi="仿宋" w:cs="仿宋"/>
          <w:b/>
          <w:bCs/>
          <w:kern w:val="2"/>
          <w:sz w:val="28"/>
          <w:szCs w:val="28"/>
          <w:highlight w:val="none"/>
        </w:rPr>
        <w:t>第</w:t>
      </w:r>
      <w:r>
        <w:rPr>
          <w:rFonts w:hint="eastAsia" w:ascii="仿宋" w:hAnsi="仿宋" w:cs="仿宋"/>
          <w:b/>
          <w:bCs/>
          <w:kern w:val="2"/>
          <w:sz w:val="28"/>
          <w:szCs w:val="28"/>
          <w:highlight w:val="none"/>
          <w:lang w:eastAsia="zh-CN"/>
        </w:rPr>
        <w:t>七</w:t>
      </w:r>
      <w:r>
        <w:rPr>
          <w:rFonts w:ascii="仿宋" w:hAnsi="仿宋" w:cs="仿宋"/>
          <w:b/>
          <w:bCs/>
          <w:kern w:val="2"/>
          <w:sz w:val="28"/>
          <w:szCs w:val="28"/>
          <w:highlight w:val="none"/>
        </w:rPr>
        <w:t xml:space="preserve">部分  </w:t>
      </w:r>
      <w:r>
        <w:rPr>
          <w:rFonts w:hint="eastAsia" w:ascii="仿宋" w:hAnsi="仿宋" w:cs="仿宋"/>
          <w:b/>
          <w:bCs/>
          <w:kern w:val="2"/>
          <w:sz w:val="28"/>
          <w:szCs w:val="28"/>
          <w:highlight w:val="none"/>
          <w:lang w:val="en-US" w:eastAsia="zh-CN"/>
        </w:rPr>
        <w:t xml:space="preserve">  </w:t>
      </w:r>
      <w:r>
        <w:rPr>
          <w:rFonts w:hint="eastAsia" w:ascii="仿宋" w:hAnsi="仿宋" w:cs="仿宋"/>
          <w:b/>
          <w:bCs/>
          <w:kern w:val="2"/>
          <w:sz w:val="28"/>
          <w:szCs w:val="28"/>
          <w:highlight w:val="none"/>
          <w:lang w:eastAsia="zh-CN"/>
        </w:rPr>
        <w:t>附件</w:t>
      </w:r>
      <w:r>
        <w:rPr>
          <w:rFonts w:ascii="仿宋" w:hAnsi="仿宋" w:cs="仿宋"/>
          <w:b/>
          <w:bCs/>
          <w:kern w:val="2"/>
          <w:sz w:val="28"/>
          <w:szCs w:val="28"/>
          <w:highlight w:val="none"/>
        </w:rPr>
        <w:t xml:space="preserve">      </w:t>
      </w:r>
      <w:r>
        <w:rPr>
          <w:rFonts w:hint="eastAsia" w:ascii="仿宋" w:hAnsi="仿宋" w:cs="仿宋"/>
          <w:b/>
          <w:bCs/>
          <w:kern w:val="2"/>
          <w:sz w:val="28"/>
          <w:szCs w:val="28"/>
          <w:highlight w:val="none"/>
          <w:lang w:val="en-US" w:eastAsia="zh-CN"/>
        </w:rPr>
        <w:t xml:space="preserve">        </w:t>
      </w:r>
      <w:r>
        <w:rPr>
          <w:rFonts w:ascii="仿宋" w:hAnsi="仿宋" w:cs="仿宋"/>
          <w:b/>
          <w:bCs/>
          <w:kern w:val="2"/>
          <w:sz w:val="28"/>
          <w:szCs w:val="28"/>
          <w:highlight w:val="none"/>
        </w:rPr>
        <w:t xml:space="preserve">              </w:t>
      </w:r>
      <w:r>
        <w:rPr>
          <w:rFonts w:hint="eastAsia" w:ascii="仿宋" w:hAnsi="仿宋" w:cs="仿宋"/>
          <w:b/>
          <w:bCs/>
          <w:kern w:val="2"/>
          <w:sz w:val="28"/>
          <w:szCs w:val="28"/>
          <w:highlight w:val="none"/>
          <w:lang w:val="en-US" w:eastAsia="zh-CN"/>
        </w:rPr>
        <w:t xml:space="preserve">        </w:t>
      </w:r>
      <w:r>
        <w:rPr>
          <w:rFonts w:ascii="仿宋" w:hAnsi="仿宋" w:cs="仿宋"/>
          <w:b/>
          <w:bCs/>
          <w:kern w:val="2"/>
          <w:sz w:val="28"/>
          <w:szCs w:val="28"/>
          <w:highlight w:val="none"/>
        </w:rPr>
        <w:t xml:space="preserve">     </w:t>
      </w:r>
      <w:r>
        <w:rPr>
          <w:rFonts w:ascii="仿宋" w:hAnsi="仿宋" w:cs="仿宋"/>
          <w:b/>
          <w:bCs/>
          <w:sz w:val="28"/>
          <w:szCs w:val="28"/>
          <w:highlight w:val="none"/>
        </w:rPr>
        <w:t>（页码）</w:t>
      </w:r>
    </w:p>
    <w:p>
      <w:pPr>
        <w:pStyle w:val="11"/>
        <w:spacing w:line="500" w:lineRule="exact"/>
        <w:rPr>
          <w:rFonts w:hint="default" w:ascii="仿宋" w:hAnsi="仿宋" w:cs="仿宋"/>
          <w:sz w:val="28"/>
          <w:szCs w:val="28"/>
          <w:highlight w:val="none"/>
        </w:rPr>
      </w:pPr>
    </w:p>
    <w:p>
      <w:pPr>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7"/>
        <w:rPr>
          <w:rFonts w:hint="default" w:ascii="仿宋" w:hAnsi="仿宋" w:cs="仿宋"/>
          <w:sz w:val="28"/>
          <w:szCs w:val="28"/>
          <w:highlight w:val="none"/>
        </w:rPr>
      </w:pPr>
    </w:p>
    <w:p>
      <w:pPr>
        <w:pStyle w:val="11"/>
        <w:spacing w:line="500" w:lineRule="exact"/>
        <w:jc w:val="center"/>
        <w:outlineLvl w:val="2"/>
        <w:rPr>
          <w:rFonts w:hint="default" w:ascii="仿宋" w:hAnsi="仿宋" w:cs="仿宋"/>
          <w:b/>
          <w:bCs/>
          <w:sz w:val="44"/>
          <w:szCs w:val="44"/>
          <w:highlight w:val="none"/>
        </w:rPr>
      </w:pPr>
      <w:bookmarkStart w:id="229" w:name="_Toc28907"/>
      <w:r>
        <w:rPr>
          <w:rFonts w:ascii="仿宋" w:hAnsi="仿宋" w:cs="仿宋"/>
          <w:b/>
          <w:bCs/>
          <w:sz w:val="36"/>
          <w:szCs w:val="36"/>
          <w:highlight w:val="none"/>
        </w:rPr>
        <w:t>第一部分  投标响应函</w:t>
      </w:r>
      <w:bookmarkEnd w:id="220"/>
      <w:bookmarkEnd w:id="221"/>
      <w:bookmarkEnd w:id="222"/>
      <w:bookmarkEnd w:id="223"/>
      <w:bookmarkEnd w:id="224"/>
      <w:bookmarkEnd w:id="225"/>
      <w:bookmarkEnd w:id="229"/>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我公司收到贵单位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招标文件，经详细研究，我们决定参加本次招标活动。为此，我方郑重声明以下诸点，并负法律责任。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sz w:val="28"/>
          <w:szCs w:val="28"/>
          <w:highlight w:val="none"/>
        </w:rPr>
      </w:pPr>
      <w:r>
        <w:rPr>
          <w:rFonts w:hint="eastAsia" w:ascii="仿宋" w:hAnsi="仿宋" w:eastAsia="仿宋" w:cs="仿宋"/>
          <w:sz w:val="28"/>
          <w:szCs w:val="28"/>
          <w:highlight w:val="none"/>
        </w:rPr>
        <w:t>1、愿意按照招标文件中的一切要求，提供货物及服务，完成合同的责任和义务。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2、按招标文件的规定，我公司的投标总报价为：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3、我方提交的投标文件正本一份、副本三份、电子文档一份。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4、已详细阅读了招标文件，完全理解并放弃提出含糊不清或易形成歧义的表述和资料。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5、在规定的招标有效期内撤回投标文件，我们愿接受政府采购的有关处罚决定。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6、同意向贵方提供可能要求的，与本次招标有关的任何证据或资料。我们完全理解最低报价不作为中标的唯一条件，且尊重评标委员会的结论和中标结果。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7、我方的投标有效期为从提交投标文件的截止之日起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8、有关于投标文件的函电，请按下列地址联系。</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投标供应商全称：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    址：__________________________________________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    话：__________________________________________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传    真：__________________________________________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邮    编：__________________________________________</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_____年_____月_____日</w:t>
      </w:r>
    </w:p>
    <w:p>
      <w:pPr>
        <w:spacing w:line="500" w:lineRule="atLeast"/>
        <w:jc w:val="center"/>
        <w:outlineLvl w:val="9"/>
        <w:rPr>
          <w:rFonts w:hint="eastAsia" w:ascii="仿宋" w:hAnsi="仿宋" w:eastAsia="仿宋" w:cs="仿宋"/>
          <w:b/>
          <w:bCs/>
          <w:sz w:val="36"/>
          <w:szCs w:val="36"/>
          <w:highlight w:val="none"/>
        </w:rPr>
      </w:pPr>
      <w:bookmarkStart w:id="230" w:name="_Toc17278"/>
      <w:bookmarkStart w:id="231" w:name="_Toc1669_WPSOffice_Level1"/>
      <w:bookmarkStart w:id="232" w:name="_Toc438541314"/>
      <w:bookmarkStart w:id="233" w:name="_Toc21079"/>
      <w:bookmarkStart w:id="234" w:name="_Toc8963_WPSOffice_Level1"/>
      <w:bookmarkStart w:id="235" w:name="_Toc27691"/>
    </w:p>
    <w:p>
      <w:pPr>
        <w:spacing w:line="500" w:lineRule="atLeast"/>
        <w:jc w:val="center"/>
        <w:outlineLvl w:val="2"/>
        <w:rPr>
          <w:rFonts w:hint="default"/>
          <w:highlight w:val="none"/>
        </w:rPr>
      </w:pPr>
      <w:bookmarkStart w:id="236" w:name="_Toc10734"/>
      <w:r>
        <w:rPr>
          <w:rFonts w:hint="eastAsia" w:ascii="仿宋" w:hAnsi="仿宋" w:eastAsia="仿宋" w:cs="仿宋"/>
          <w:b/>
          <w:bCs/>
          <w:sz w:val="36"/>
          <w:szCs w:val="36"/>
          <w:highlight w:val="none"/>
        </w:rPr>
        <w:t>第二部分  报价一览表</w:t>
      </w:r>
      <w:bookmarkEnd w:id="230"/>
      <w:bookmarkEnd w:id="231"/>
      <w:bookmarkEnd w:id="232"/>
      <w:bookmarkEnd w:id="233"/>
      <w:bookmarkEnd w:id="234"/>
      <w:bookmarkEnd w:id="235"/>
      <w:bookmarkEnd w:id="236"/>
    </w:p>
    <w:p>
      <w:pPr>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渭南市中心血站采血、供血设备采购项目（一包）</w:t>
      </w:r>
    </w:p>
    <w:p>
      <w:pPr>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ZCSP-渭南市-2022-01184、</w:t>
      </w:r>
      <w:r>
        <w:rPr>
          <w:rFonts w:hint="eastAsia" w:ascii="仿宋" w:hAnsi="仿宋" w:eastAsia="仿宋" w:cs="仿宋"/>
          <w:kern w:val="0"/>
          <w:sz w:val="28"/>
          <w:szCs w:val="28"/>
          <w:highlight w:val="none"/>
          <w:lang w:eastAsia="zh-CN"/>
        </w:rPr>
        <w:t>XHLJZC-WN2022-054-1</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供 应 商：</w:t>
      </w: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报价单位：人民币  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284"/>
        <w:gridCol w:w="1786"/>
        <w:gridCol w:w="232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2" w:hRule="atLeast"/>
        </w:trPr>
        <w:tc>
          <w:tcPr>
            <w:tcW w:w="2383" w:type="dxa"/>
            <w:vAlign w:val="center"/>
          </w:tcPr>
          <w:p>
            <w:pPr>
              <w:pStyle w:val="44"/>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采购内容</w:t>
            </w:r>
          </w:p>
        </w:tc>
        <w:tc>
          <w:tcPr>
            <w:tcW w:w="2284" w:type="dxa"/>
            <w:vAlign w:val="center"/>
          </w:tcPr>
          <w:p>
            <w:pPr>
              <w:pStyle w:val="44"/>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w:t>
            </w:r>
          </w:p>
          <w:p>
            <w:pPr>
              <w:pStyle w:val="44"/>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（元）</w:t>
            </w:r>
          </w:p>
        </w:tc>
        <w:tc>
          <w:tcPr>
            <w:tcW w:w="1786" w:type="dxa"/>
            <w:vAlign w:val="center"/>
          </w:tcPr>
          <w:p>
            <w:pPr>
              <w:pStyle w:val="44"/>
              <w:spacing w:line="500" w:lineRule="exact"/>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供货期</w:t>
            </w:r>
          </w:p>
          <w:p>
            <w:pPr>
              <w:pStyle w:val="44"/>
              <w:spacing w:line="500" w:lineRule="exact"/>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（日历日）</w:t>
            </w:r>
          </w:p>
        </w:tc>
        <w:tc>
          <w:tcPr>
            <w:tcW w:w="2322" w:type="dxa"/>
            <w:vAlign w:val="center"/>
          </w:tcPr>
          <w:p>
            <w:pPr>
              <w:pStyle w:val="44"/>
              <w:spacing w:line="500" w:lineRule="exact"/>
              <w:rPr>
                <w:rFonts w:hint="eastAsia" w:ascii="仿宋" w:hAnsi="仿宋" w:eastAsia="仿宋" w:cs="仿宋"/>
                <w:b w:val="0"/>
                <w:bCs/>
                <w:kern w:val="2"/>
                <w:sz w:val="28"/>
                <w:szCs w:val="28"/>
                <w:highlight w:val="none"/>
                <w:lang w:val="zh-CN"/>
              </w:rPr>
            </w:pPr>
            <w:r>
              <w:rPr>
                <w:rFonts w:hint="eastAsia" w:ascii="仿宋" w:hAnsi="仿宋" w:eastAsia="仿宋" w:cs="仿宋"/>
                <w:b w:val="0"/>
                <w:bCs/>
                <w:kern w:val="2"/>
                <w:sz w:val="28"/>
                <w:szCs w:val="28"/>
                <w:highlight w:val="none"/>
                <w:lang w:val="zh-CN"/>
              </w:rPr>
              <w:t>质量标准</w:t>
            </w:r>
          </w:p>
          <w:p>
            <w:pPr>
              <w:pStyle w:val="44"/>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bCs/>
                <w:kern w:val="2"/>
                <w:sz w:val="28"/>
                <w:szCs w:val="28"/>
                <w:highlight w:val="none"/>
                <w:lang w:val="zh-CN"/>
              </w:rPr>
              <w:t>（合格</w:t>
            </w:r>
            <w:r>
              <w:rPr>
                <w:rFonts w:hint="eastAsia" w:ascii="仿宋" w:hAnsi="仿宋" w:eastAsia="仿宋" w:cs="仿宋"/>
                <w:b w:val="0"/>
                <w:bCs/>
                <w:kern w:val="2"/>
                <w:sz w:val="28"/>
                <w:szCs w:val="28"/>
                <w:highlight w:val="none"/>
              </w:rPr>
              <w:t>/不合格）</w:t>
            </w:r>
          </w:p>
        </w:tc>
        <w:tc>
          <w:tcPr>
            <w:tcW w:w="1187" w:type="dxa"/>
            <w:vAlign w:val="center"/>
          </w:tcPr>
          <w:p>
            <w:pPr>
              <w:pStyle w:val="44"/>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383" w:type="dxa"/>
            <w:vAlign w:val="center"/>
          </w:tcPr>
          <w:p>
            <w:pPr>
              <w:pStyle w:val="44"/>
              <w:spacing w:line="500" w:lineRule="atLeast"/>
              <w:rPr>
                <w:rFonts w:ascii="仿宋" w:hAnsi="仿宋" w:eastAsia="仿宋" w:cs="仿宋"/>
                <w:b w:val="0"/>
                <w:kern w:val="2"/>
                <w:sz w:val="28"/>
                <w:szCs w:val="28"/>
                <w:highlight w:val="none"/>
                <w:lang w:val="zh-CN"/>
              </w:rPr>
            </w:pPr>
          </w:p>
        </w:tc>
        <w:tc>
          <w:tcPr>
            <w:tcW w:w="2284" w:type="dxa"/>
            <w:vAlign w:val="center"/>
          </w:tcPr>
          <w:p>
            <w:pPr>
              <w:pStyle w:val="44"/>
              <w:spacing w:line="500" w:lineRule="atLeast"/>
              <w:rPr>
                <w:rFonts w:ascii="仿宋" w:hAnsi="仿宋" w:eastAsia="仿宋" w:cs="仿宋"/>
                <w:b w:val="0"/>
                <w:kern w:val="2"/>
                <w:sz w:val="28"/>
                <w:szCs w:val="28"/>
                <w:highlight w:val="none"/>
                <w:lang w:val="zh-CN"/>
              </w:rPr>
            </w:pPr>
          </w:p>
        </w:tc>
        <w:tc>
          <w:tcPr>
            <w:tcW w:w="1786" w:type="dxa"/>
            <w:vAlign w:val="center"/>
          </w:tcPr>
          <w:p>
            <w:pPr>
              <w:pStyle w:val="44"/>
              <w:spacing w:line="500" w:lineRule="atLeast"/>
              <w:rPr>
                <w:rFonts w:ascii="仿宋" w:hAnsi="仿宋" w:eastAsia="仿宋" w:cs="仿宋"/>
                <w:b w:val="0"/>
                <w:kern w:val="2"/>
                <w:sz w:val="28"/>
                <w:szCs w:val="28"/>
                <w:highlight w:val="none"/>
                <w:lang w:val="zh-CN"/>
              </w:rPr>
            </w:pPr>
          </w:p>
        </w:tc>
        <w:tc>
          <w:tcPr>
            <w:tcW w:w="2322" w:type="dxa"/>
            <w:vAlign w:val="center"/>
          </w:tcPr>
          <w:p>
            <w:pPr>
              <w:pStyle w:val="44"/>
              <w:spacing w:line="500" w:lineRule="atLeast"/>
              <w:rPr>
                <w:rFonts w:ascii="仿宋" w:hAnsi="仿宋" w:eastAsia="仿宋" w:cs="仿宋"/>
                <w:b w:val="0"/>
                <w:kern w:val="2"/>
                <w:sz w:val="28"/>
                <w:szCs w:val="28"/>
                <w:highlight w:val="none"/>
                <w:lang w:val="zh-CN"/>
              </w:rPr>
            </w:pPr>
          </w:p>
        </w:tc>
        <w:tc>
          <w:tcPr>
            <w:tcW w:w="1187" w:type="dxa"/>
            <w:vAlign w:val="center"/>
          </w:tcPr>
          <w:p>
            <w:pPr>
              <w:pStyle w:val="44"/>
              <w:spacing w:line="500" w:lineRule="atLeast"/>
              <w:rPr>
                <w:rFonts w:ascii="仿宋" w:hAnsi="仿宋" w:eastAsia="仿宋" w:cs="仿宋"/>
                <w:b w:val="0"/>
                <w:kern w:val="2"/>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62" w:type="dxa"/>
            <w:gridSpan w:val="5"/>
          </w:tcPr>
          <w:p>
            <w:pPr>
              <w:pStyle w:val="44"/>
              <w:spacing w:line="500" w:lineRule="atLeast"/>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注：包括</w:t>
      </w:r>
      <w:r>
        <w:rPr>
          <w:rFonts w:hint="eastAsia" w:ascii="仿宋" w:hAnsi="仿宋" w:eastAsia="仿宋" w:cs="仿宋"/>
          <w:b/>
          <w:bCs/>
          <w:color w:val="auto"/>
          <w:sz w:val="28"/>
          <w:szCs w:val="28"/>
          <w:highlight w:val="none"/>
          <w:lang w:eastAsia="zh-CN"/>
        </w:rPr>
        <w:t>货物价款、人工费、运杂费（含保险费）、安装调试费、资料费、培训费、售后服务费、验收费、税金及风险等</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bCs/>
          <w:sz w:val="32"/>
          <w:szCs w:val="32"/>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Start w:id="237" w:name="_Toc438541316"/>
      <w:bookmarkStart w:id="238" w:name="_Toc12941"/>
      <w:bookmarkStart w:id="239" w:name="_Toc16561"/>
    </w:p>
    <w:p>
      <w:pPr>
        <w:rPr>
          <w:rFonts w:ascii="仿宋" w:hAnsi="仿宋" w:eastAsia="仿宋" w:cs="仿宋"/>
          <w:bCs/>
          <w:sz w:val="32"/>
          <w:szCs w:val="32"/>
          <w:highlight w:val="none"/>
        </w:rPr>
      </w:pPr>
      <w:r>
        <w:rPr>
          <w:rFonts w:hint="eastAsia" w:ascii="仿宋" w:hAnsi="仿宋" w:eastAsia="仿宋" w:cs="仿宋"/>
          <w:bCs/>
          <w:sz w:val="32"/>
          <w:szCs w:val="32"/>
          <w:highlight w:val="none"/>
        </w:rPr>
        <w:br w:type="page"/>
      </w:r>
    </w:p>
    <w:p>
      <w:pPr>
        <w:pStyle w:val="44"/>
        <w:spacing w:line="500" w:lineRule="exact"/>
        <w:rPr>
          <w:rFonts w:ascii="仿宋" w:hAnsi="仿宋" w:eastAsia="仿宋" w:cs="仿宋"/>
          <w:bCs/>
          <w:sz w:val="32"/>
          <w:szCs w:val="32"/>
          <w:highlight w:val="none"/>
        </w:rPr>
      </w:pPr>
      <w:r>
        <w:rPr>
          <w:rFonts w:hint="eastAsia" w:ascii="仿宋" w:hAnsi="仿宋" w:eastAsia="仿宋" w:cs="仿宋"/>
          <w:bCs/>
          <w:sz w:val="32"/>
          <w:szCs w:val="32"/>
          <w:highlight w:val="none"/>
        </w:rPr>
        <w:t>分项报价表</w:t>
      </w:r>
    </w:p>
    <w:p>
      <w:pPr>
        <w:spacing w:line="500" w:lineRule="exact"/>
        <w:ind w:firstLine="5320" w:firstLineChars="190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（报价单位：人民币 元）</w:t>
      </w:r>
    </w:p>
    <w:tbl>
      <w:tblPr>
        <w:tblStyle w:val="27"/>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77"/>
        <w:gridCol w:w="1214"/>
        <w:gridCol w:w="1480"/>
        <w:gridCol w:w="1386"/>
        <w:gridCol w:w="734"/>
        <w:gridCol w:w="874"/>
        <w:gridCol w:w="804"/>
        <w:gridCol w:w="70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pStyle w:val="17"/>
              <w:jc w:val="center"/>
              <w:rPr>
                <w:rFonts w:hint="default" w:eastAsia="仿宋"/>
                <w:highlight w:val="none"/>
                <w:lang w:val="en-US" w:eastAsia="zh-CN"/>
              </w:rPr>
            </w:pPr>
            <w:r>
              <w:rPr>
                <w:rFonts w:hint="eastAsia" w:ascii="仿宋" w:hAnsi="仿宋" w:eastAsia="仿宋" w:cs="仿宋"/>
                <w:b/>
                <w:bCs/>
                <w:kern w:val="0"/>
                <w:sz w:val="24"/>
                <w:szCs w:val="24"/>
                <w:highlight w:val="none"/>
                <w:lang w:val="en-US" w:eastAsia="zh-CN" w:bidi="ar-SA"/>
              </w:rPr>
              <w:t>序号</w:t>
            </w:r>
          </w:p>
        </w:tc>
        <w:tc>
          <w:tcPr>
            <w:tcW w:w="97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名称</w:t>
            </w:r>
          </w:p>
        </w:tc>
        <w:tc>
          <w:tcPr>
            <w:tcW w:w="121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生产厂家</w:t>
            </w:r>
          </w:p>
        </w:tc>
        <w:tc>
          <w:tcPr>
            <w:tcW w:w="1480"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品牌、型号</w:t>
            </w:r>
          </w:p>
        </w:tc>
        <w:tc>
          <w:tcPr>
            <w:tcW w:w="1386"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规格、产地</w:t>
            </w:r>
          </w:p>
        </w:tc>
        <w:tc>
          <w:tcPr>
            <w:tcW w:w="73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7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0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单价</w:t>
            </w:r>
          </w:p>
        </w:tc>
        <w:tc>
          <w:tcPr>
            <w:tcW w:w="703"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合价</w:t>
            </w:r>
          </w:p>
        </w:tc>
        <w:tc>
          <w:tcPr>
            <w:tcW w:w="816"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kern w:val="0"/>
                <w:sz w:val="24"/>
                <w:szCs w:val="24"/>
                <w:highlight w:val="none"/>
              </w:rPr>
              <w:t>3</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bCs/>
                <w:kern w:val="0"/>
                <w:sz w:val="24"/>
                <w:szCs w:val="24"/>
                <w:highlight w:val="none"/>
              </w:rPr>
              <w:t>4</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5</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6</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7</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8</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9</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10</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总价</w:t>
            </w:r>
          </w:p>
        </w:tc>
        <w:tc>
          <w:tcPr>
            <w:tcW w:w="8988" w:type="dxa"/>
            <w:gridSpan w:val="9"/>
            <w:vAlign w:val="center"/>
          </w:tcPr>
          <w:p>
            <w:pP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大写：人民币                              （小写：</w:t>
            </w:r>
            <w:r>
              <w:rPr>
                <w:rFonts w:hint="eastAsia" w:ascii="仿宋" w:hAnsi="仿宋" w:eastAsia="仿宋" w:cs="仿宋"/>
                <w:b/>
                <w:bCs/>
                <w:kern w:val="0"/>
                <w:sz w:val="28"/>
                <w:szCs w:val="28"/>
                <w:highlight w:val="none"/>
                <w:lang w:val="zh-CN"/>
              </w:rPr>
              <w:t>¥</w:t>
            </w:r>
            <w:r>
              <w:rPr>
                <w:rFonts w:hint="eastAsia" w:ascii="仿宋" w:hAnsi="仿宋" w:eastAsia="仿宋" w:cs="仿宋"/>
                <w:b/>
                <w:bCs/>
                <w:kern w:val="0"/>
                <w:sz w:val="28"/>
                <w:szCs w:val="28"/>
                <w:highlight w:val="none"/>
              </w:rPr>
              <w:t xml:space="preserve">    元）</w:t>
            </w:r>
          </w:p>
        </w:tc>
      </w:tr>
    </w:tbl>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注：1.若表格不够用，各供应商可按此表复制。</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2.名称同第四章采购内容。</w:t>
      </w:r>
    </w:p>
    <w:p>
      <w:pPr>
        <w:spacing w:line="500" w:lineRule="exact"/>
        <w:rPr>
          <w:rFonts w:ascii="仿宋" w:hAnsi="仿宋" w:eastAsia="仿宋" w:cs="仿宋"/>
          <w:sz w:val="28"/>
          <w:szCs w:val="28"/>
          <w:highlight w:val="none"/>
        </w:rPr>
      </w:pPr>
    </w:p>
    <w:p>
      <w:pPr>
        <w:pStyle w:val="44"/>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4"/>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4"/>
        <w:spacing w:line="500" w:lineRule="exact"/>
        <w:ind w:firstLine="2660" w:firstLineChars="950"/>
        <w:jc w:val="both"/>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pStyle w:val="44"/>
        <w:spacing w:line="500" w:lineRule="exact"/>
        <w:ind w:firstLine="2660" w:firstLineChars="950"/>
        <w:jc w:val="both"/>
        <w:rPr>
          <w:rFonts w:hint="eastAsia" w:ascii="仿宋" w:hAnsi="仿宋" w:eastAsia="仿宋" w:cs="仿宋"/>
          <w:b w:val="0"/>
          <w:kern w:val="2"/>
          <w:sz w:val="28"/>
          <w:szCs w:val="28"/>
          <w:highlight w:val="none"/>
          <w:lang w:val="zh-CN"/>
        </w:rPr>
      </w:pPr>
    </w:p>
    <w:p>
      <w:pPr>
        <w:pStyle w:val="44"/>
        <w:spacing w:line="500" w:lineRule="exact"/>
        <w:ind w:firstLine="2660" w:firstLineChars="950"/>
        <w:jc w:val="both"/>
        <w:rPr>
          <w:rFonts w:hint="eastAsia" w:ascii="仿宋" w:hAnsi="仿宋" w:eastAsia="仿宋" w:cs="仿宋"/>
          <w:b w:val="0"/>
          <w:kern w:val="2"/>
          <w:sz w:val="28"/>
          <w:szCs w:val="28"/>
          <w:highlight w:val="none"/>
          <w:lang w:val="zh-CN"/>
        </w:rPr>
      </w:pPr>
    </w:p>
    <w:p>
      <w:pPr>
        <w:pStyle w:val="44"/>
        <w:spacing w:line="500" w:lineRule="exact"/>
        <w:ind w:firstLine="2660" w:firstLineChars="950"/>
        <w:jc w:val="both"/>
        <w:rPr>
          <w:rFonts w:hint="eastAsia" w:ascii="仿宋" w:hAnsi="仿宋" w:eastAsia="仿宋" w:cs="仿宋"/>
          <w:b w:val="0"/>
          <w:kern w:val="2"/>
          <w:sz w:val="28"/>
          <w:szCs w:val="28"/>
          <w:highlight w:val="none"/>
          <w:lang w:val="zh-CN"/>
        </w:rPr>
      </w:pPr>
    </w:p>
    <w:p>
      <w:pPr>
        <w:pStyle w:val="44"/>
        <w:spacing w:line="500" w:lineRule="exact"/>
        <w:ind w:firstLine="2660" w:firstLineChars="950"/>
        <w:jc w:val="both"/>
        <w:rPr>
          <w:rFonts w:hint="eastAsia" w:ascii="仿宋" w:hAnsi="仿宋" w:eastAsia="仿宋" w:cs="仿宋"/>
          <w:b w:val="0"/>
          <w:kern w:val="2"/>
          <w:sz w:val="28"/>
          <w:szCs w:val="28"/>
          <w:highlight w:val="none"/>
          <w:lang w:val="zh-CN"/>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技术要求响应表</w:t>
      </w:r>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192"/>
        <w:gridCol w:w="2373"/>
        <w:gridCol w:w="2315"/>
        <w:gridCol w:w="1086"/>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192"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名称</w:t>
            </w:r>
          </w:p>
        </w:tc>
        <w:tc>
          <w:tcPr>
            <w:tcW w:w="2373"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招标文件技术要求</w:t>
            </w:r>
          </w:p>
        </w:tc>
        <w:tc>
          <w:tcPr>
            <w:tcW w:w="2315"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投标文件技术响应</w:t>
            </w:r>
          </w:p>
        </w:tc>
        <w:tc>
          <w:tcPr>
            <w:tcW w:w="1086"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tc>
        <w:tc>
          <w:tcPr>
            <w:tcW w:w="1197"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bl>
    <w:p>
      <w:pPr>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注：1.招标文件技术要求详见招标文件第四章采购内容</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2.偏离填写：有偏离（正/负）、无偏离</w:t>
      </w:r>
    </w:p>
    <w:p>
      <w:pPr>
        <w:spacing w:line="360" w:lineRule="auto"/>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3.响应说明填写：优于、满足</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4.表格不够用，各供应商可按此表复制</w:t>
      </w:r>
    </w:p>
    <w:p>
      <w:pPr>
        <w:pStyle w:val="11"/>
        <w:rPr>
          <w:rFonts w:hint="default"/>
          <w:highlight w:val="none"/>
        </w:rPr>
      </w:pPr>
    </w:p>
    <w:p>
      <w:pPr>
        <w:pStyle w:val="44"/>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4"/>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4"/>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adjustRightInd w:val="0"/>
        <w:snapToGrid w:val="0"/>
        <w:spacing w:line="360" w:lineRule="auto"/>
        <w:rPr>
          <w:rFonts w:ascii="仿宋" w:hAnsi="仿宋" w:eastAsia="仿宋" w:cs="仿宋"/>
          <w:b/>
          <w:sz w:val="32"/>
          <w:szCs w:val="32"/>
          <w:highlight w:val="none"/>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商务要求响应表</w:t>
      </w:r>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4"/>
        <w:gridCol w:w="1360"/>
        <w:gridCol w:w="4144"/>
        <w:gridCol w:w="2287"/>
        <w:gridCol w:w="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0" w:hRule="exact"/>
          <w:jc w:val="center"/>
        </w:trPr>
        <w:tc>
          <w:tcPr>
            <w:tcW w:w="904"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360"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4144"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招标文件商务要求</w:t>
            </w:r>
          </w:p>
        </w:tc>
        <w:tc>
          <w:tcPr>
            <w:tcW w:w="2287"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（响应/不响应）</w:t>
            </w:r>
          </w:p>
        </w:tc>
        <w:tc>
          <w:tcPr>
            <w:tcW w:w="982"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exact"/>
          <w:jc w:val="center"/>
        </w:trPr>
        <w:tc>
          <w:tcPr>
            <w:tcW w:w="904"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360" w:type="dxa"/>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供货期</w:t>
            </w:r>
          </w:p>
        </w:tc>
        <w:tc>
          <w:tcPr>
            <w:tcW w:w="4144" w:type="dxa"/>
            <w:vAlign w:val="center"/>
          </w:tcPr>
          <w:p>
            <w:pPr>
              <w:pStyle w:val="2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shd w:val="clear" w:color="auto" w:fill="FFFFFF"/>
                <w:lang w:eastAsia="zh-CN"/>
              </w:rPr>
              <w:t>合同签订后30日历日内</w:t>
            </w:r>
          </w:p>
        </w:tc>
        <w:tc>
          <w:tcPr>
            <w:tcW w:w="2287" w:type="dxa"/>
            <w:vAlign w:val="center"/>
          </w:tcPr>
          <w:p>
            <w:pPr>
              <w:spacing w:line="500" w:lineRule="exact"/>
              <w:jc w:val="center"/>
              <w:rPr>
                <w:rFonts w:ascii="仿宋" w:hAnsi="仿宋" w:eastAsia="仿宋" w:cs="仿宋"/>
                <w:sz w:val="28"/>
                <w:szCs w:val="28"/>
                <w:highlight w:val="none"/>
              </w:rPr>
            </w:pPr>
          </w:p>
        </w:tc>
        <w:tc>
          <w:tcPr>
            <w:tcW w:w="982" w:type="dxa"/>
            <w:vAlign w:val="center"/>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exact"/>
          <w:jc w:val="center"/>
        </w:trPr>
        <w:tc>
          <w:tcPr>
            <w:tcW w:w="904" w:type="dxa"/>
            <w:tcBorders>
              <w:top w:val="single" w:color="auto" w:sz="4" w:space="0"/>
              <w:left w:val="single" w:color="auto" w:sz="4" w:space="0"/>
              <w:bottom w:val="single" w:color="auto" w:sz="4" w:space="0"/>
            </w:tcBorders>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360" w:type="dxa"/>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质量标准</w:t>
            </w:r>
          </w:p>
        </w:tc>
        <w:tc>
          <w:tcPr>
            <w:tcW w:w="4144" w:type="dxa"/>
            <w:vAlign w:val="center"/>
          </w:tcPr>
          <w:p>
            <w:pPr>
              <w:pStyle w:val="2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lang w:eastAsia="zh-CN"/>
              </w:rPr>
              <w:t>合格</w:t>
            </w:r>
          </w:p>
        </w:tc>
        <w:tc>
          <w:tcPr>
            <w:tcW w:w="2287" w:type="dxa"/>
            <w:vAlign w:val="center"/>
          </w:tcPr>
          <w:p>
            <w:pPr>
              <w:spacing w:line="500" w:lineRule="exact"/>
              <w:jc w:val="center"/>
              <w:rPr>
                <w:rFonts w:ascii="仿宋" w:hAnsi="仿宋" w:eastAsia="仿宋" w:cs="仿宋"/>
                <w:sz w:val="28"/>
                <w:szCs w:val="28"/>
                <w:highlight w:val="none"/>
              </w:rPr>
            </w:pPr>
          </w:p>
        </w:tc>
        <w:tc>
          <w:tcPr>
            <w:tcW w:w="982" w:type="dxa"/>
            <w:vAlign w:val="center"/>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432" w:hRule="exact"/>
          <w:jc w:val="center"/>
        </w:trPr>
        <w:tc>
          <w:tcPr>
            <w:tcW w:w="904" w:type="dxa"/>
            <w:tcBorders>
              <w:top w:val="single" w:color="auto" w:sz="4" w:space="0"/>
              <w:left w:val="single" w:color="auto" w:sz="4" w:space="0"/>
              <w:bottom w:val="single" w:color="auto" w:sz="4" w:space="0"/>
            </w:tcBorders>
            <w:vAlign w:val="center"/>
          </w:tcPr>
          <w:p>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1360" w:type="dxa"/>
            <w:vAlign w:val="center"/>
          </w:tcPr>
          <w:p>
            <w:pPr>
              <w:spacing w:line="500" w:lineRule="exact"/>
              <w:jc w:val="both"/>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4144" w:type="dxa"/>
            <w:vAlign w:val="center"/>
          </w:tcPr>
          <w:p>
            <w:pPr>
              <w:spacing w:line="500" w:lineRule="exact"/>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合同签订后支付合同总金额的40%，整个项目完成并开具全额发票后30日历日内支付合同总金额的60%。</w:t>
            </w:r>
          </w:p>
        </w:tc>
        <w:tc>
          <w:tcPr>
            <w:tcW w:w="2287" w:type="dxa"/>
          </w:tcPr>
          <w:p>
            <w:pPr>
              <w:spacing w:line="500" w:lineRule="exact"/>
              <w:jc w:val="center"/>
              <w:rPr>
                <w:rFonts w:ascii="仿宋" w:hAnsi="仿宋" w:eastAsia="仿宋" w:cs="仿宋"/>
                <w:sz w:val="28"/>
                <w:szCs w:val="28"/>
                <w:highlight w:val="none"/>
              </w:rPr>
            </w:pPr>
          </w:p>
        </w:tc>
        <w:tc>
          <w:tcPr>
            <w:tcW w:w="982"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atLeast"/>
          <w:jc w:val="center"/>
        </w:trPr>
        <w:tc>
          <w:tcPr>
            <w:tcW w:w="904" w:type="dxa"/>
            <w:tcBorders>
              <w:top w:val="single" w:color="auto" w:sz="4" w:space="0"/>
              <w:left w:val="single" w:color="auto" w:sz="4" w:space="0"/>
              <w:bottom w:val="single" w:color="auto" w:sz="4" w:space="0"/>
            </w:tcBorders>
            <w:vAlign w:val="center"/>
          </w:tcPr>
          <w:p>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136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4144" w:type="dxa"/>
            <w:vAlign w:val="center"/>
          </w:tcPr>
          <w:p>
            <w:pPr>
              <w:spacing w:line="500" w:lineRule="exact"/>
              <w:jc w:val="center"/>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eastAsia="zh-CN" w:bidi="ar"/>
              </w:rPr>
              <w:t>验收合格之日起1年</w:t>
            </w:r>
          </w:p>
        </w:tc>
        <w:tc>
          <w:tcPr>
            <w:tcW w:w="2287" w:type="dxa"/>
            <w:vAlign w:val="center"/>
          </w:tcPr>
          <w:p>
            <w:pPr>
              <w:spacing w:line="500" w:lineRule="exact"/>
              <w:jc w:val="center"/>
              <w:rPr>
                <w:rFonts w:ascii="仿宋" w:hAnsi="仿宋" w:eastAsia="仿宋" w:cs="仿宋"/>
                <w:sz w:val="28"/>
                <w:szCs w:val="28"/>
                <w:highlight w:val="none"/>
              </w:rPr>
            </w:pPr>
          </w:p>
        </w:tc>
        <w:tc>
          <w:tcPr>
            <w:tcW w:w="982" w:type="dxa"/>
            <w:vAlign w:val="center"/>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atLeast"/>
          <w:jc w:val="center"/>
        </w:trPr>
        <w:tc>
          <w:tcPr>
            <w:tcW w:w="904" w:type="dxa"/>
            <w:tcBorders>
              <w:top w:val="single" w:color="auto" w:sz="4" w:space="0"/>
              <w:left w:val="single" w:color="auto" w:sz="4" w:space="0"/>
              <w:bottom w:val="single" w:color="auto" w:sz="4" w:space="0"/>
            </w:tcBorders>
            <w:vAlign w:val="center"/>
          </w:tcPr>
          <w:p>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136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4144"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第五章  合同范本</w:t>
            </w:r>
          </w:p>
        </w:tc>
        <w:tc>
          <w:tcPr>
            <w:tcW w:w="2287" w:type="dxa"/>
            <w:vAlign w:val="center"/>
          </w:tcPr>
          <w:p>
            <w:pPr>
              <w:spacing w:line="500" w:lineRule="exact"/>
              <w:jc w:val="center"/>
              <w:rPr>
                <w:rFonts w:ascii="仿宋" w:hAnsi="仿宋" w:eastAsia="仿宋" w:cs="仿宋"/>
                <w:sz w:val="28"/>
                <w:szCs w:val="28"/>
                <w:highlight w:val="none"/>
              </w:rPr>
            </w:pPr>
          </w:p>
        </w:tc>
        <w:tc>
          <w:tcPr>
            <w:tcW w:w="982" w:type="dxa"/>
            <w:vAlign w:val="center"/>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20" w:hRule="atLeast"/>
          <w:jc w:val="center"/>
        </w:trPr>
        <w:tc>
          <w:tcPr>
            <w:tcW w:w="904" w:type="dxa"/>
            <w:tcBorders>
              <w:top w:val="single" w:color="auto" w:sz="4" w:space="0"/>
              <w:left w:val="single" w:color="auto" w:sz="4" w:space="0"/>
              <w:bottom w:val="single" w:color="auto" w:sz="4" w:space="0"/>
            </w:tcBorders>
            <w:vAlign w:val="center"/>
          </w:tcPr>
          <w:p>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136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4144" w:type="dxa"/>
            <w:vAlign w:val="center"/>
          </w:tcPr>
          <w:p>
            <w:pPr>
              <w:spacing w:line="500" w:lineRule="exact"/>
              <w:jc w:val="center"/>
              <w:rPr>
                <w:rFonts w:ascii="仿宋" w:hAnsi="仿宋" w:eastAsia="仿宋" w:cs="仿宋"/>
                <w:sz w:val="28"/>
                <w:szCs w:val="28"/>
                <w:highlight w:val="none"/>
              </w:rPr>
            </w:pPr>
          </w:p>
        </w:tc>
        <w:tc>
          <w:tcPr>
            <w:tcW w:w="2287" w:type="dxa"/>
            <w:vAlign w:val="center"/>
          </w:tcPr>
          <w:p>
            <w:pPr>
              <w:spacing w:line="500" w:lineRule="exact"/>
              <w:jc w:val="center"/>
              <w:rPr>
                <w:rFonts w:ascii="仿宋" w:hAnsi="仿宋" w:eastAsia="仿宋" w:cs="仿宋"/>
                <w:sz w:val="28"/>
                <w:szCs w:val="28"/>
                <w:highlight w:val="none"/>
              </w:rPr>
            </w:pPr>
          </w:p>
        </w:tc>
        <w:tc>
          <w:tcPr>
            <w:tcW w:w="982" w:type="dxa"/>
            <w:vAlign w:val="center"/>
          </w:tcPr>
          <w:p>
            <w:pPr>
              <w:spacing w:line="500" w:lineRule="exact"/>
              <w:jc w:val="center"/>
              <w:rPr>
                <w:rFonts w:ascii="仿宋" w:hAnsi="仿宋" w:eastAsia="仿宋" w:cs="仿宋"/>
                <w:sz w:val="28"/>
                <w:szCs w:val="28"/>
                <w:highlight w:val="none"/>
              </w:rPr>
            </w:pPr>
          </w:p>
        </w:tc>
      </w:tr>
    </w:tbl>
    <w:p>
      <w:pPr>
        <w:spacing w:line="500" w:lineRule="exact"/>
        <w:rPr>
          <w:rFonts w:ascii="仿宋" w:hAnsi="仿宋" w:eastAsia="仿宋" w:cs="仿宋"/>
          <w:bCs/>
          <w:sz w:val="28"/>
          <w:szCs w:val="28"/>
          <w:highlight w:val="none"/>
        </w:rPr>
      </w:pPr>
      <w:r>
        <w:rPr>
          <w:rFonts w:hint="eastAsia" w:ascii="仿宋" w:hAnsi="仿宋" w:eastAsia="仿宋" w:cs="仿宋"/>
          <w:bCs/>
          <w:sz w:val="28"/>
          <w:szCs w:val="28"/>
          <w:highlight w:val="none"/>
        </w:rPr>
        <w:t>注：1.响应说明：若优于要求具体填写相关内容。</w:t>
      </w:r>
    </w:p>
    <w:p>
      <w:p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2.表格不够用，各供应商可按此表复制。</w:t>
      </w:r>
    </w:p>
    <w:p>
      <w:pPr>
        <w:pStyle w:val="22"/>
        <w:ind w:left="0" w:leftChars="0"/>
        <w:rPr>
          <w:highlight w:val="none"/>
        </w:rPr>
      </w:pPr>
    </w:p>
    <w:p>
      <w:pPr>
        <w:rPr>
          <w:highlight w:val="none"/>
        </w:rPr>
      </w:pPr>
    </w:p>
    <w:p>
      <w:pPr>
        <w:pStyle w:val="44"/>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4"/>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4"/>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bookmarkEnd w:id="237"/>
    <w:bookmarkEnd w:id="238"/>
    <w:bookmarkEnd w:id="239"/>
    <w:p>
      <w:pPr>
        <w:rPr>
          <w:rFonts w:ascii="仿宋" w:hAnsi="仿宋" w:cs="仿宋"/>
          <w:szCs w:val="28"/>
          <w:highlight w:val="none"/>
        </w:rPr>
      </w:pPr>
      <w:r>
        <w:rPr>
          <w:rFonts w:ascii="仿宋" w:hAnsi="仿宋" w:cs="仿宋"/>
          <w:szCs w:val="28"/>
          <w:highlight w:val="none"/>
        </w:rPr>
        <w:br w:type="page"/>
      </w:r>
    </w:p>
    <w:p>
      <w:pPr>
        <w:spacing w:line="500" w:lineRule="atLeast"/>
        <w:jc w:val="center"/>
        <w:outlineLvl w:val="2"/>
        <w:rPr>
          <w:rFonts w:ascii="仿宋" w:hAnsi="仿宋" w:eastAsia="仿宋" w:cs="仿宋"/>
          <w:b/>
          <w:bCs/>
          <w:sz w:val="36"/>
          <w:szCs w:val="36"/>
          <w:highlight w:val="none"/>
        </w:rPr>
      </w:pPr>
      <w:bookmarkStart w:id="240" w:name="_Toc14381_WPSOffice_Level1"/>
      <w:bookmarkStart w:id="241" w:name="_Toc18984"/>
      <w:bookmarkStart w:id="242" w:name="_Toc14488"/>
      <w:bookmarkStart w:id="243" w:name="_Toc438541323"/>
      <w:bookmarkStart w:id="244" w:name="_Toc11782"/>
      <w:bookmarkStart w:id="245" w:name="_Toc28061"/>
      <w:bookmarkStart w:id="246" w:name="_Toc18268_WPSOffice_Level1"/>
      <w:bookmarkStart w:id="247" w:name="_Toc13294"/>
      <w:bookmarkStart w:id="248" w:name="_Toc5608"/>
      <w:bookmarkStart w:id="249" w:name="_Toc438541320"/>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部分  业绩证明文件</w:t>
      </w:r>
      <w:bookmarkEnd w:id="240"/>
      <w:bookmarkEnd w:id="241"/>
      <w:bookmarkEnd w:id="242"/>
      <w:bookmarkEnd w:id="243"/>
      <w:bookmarkEnd w:id="244"/>
      <w:bookmarkEnd w:id="245"/>
      <w:bookmarkEnd w:id="246"/>
      <w:bookmarkEnd w:id="247"/>
    </w:p>
    <w:p>
      <w:pPr>
        <w:spacing w:line="500" w:lineRule="exact"/>
        <w:rPr>
          <w:rFonts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 xml:space="preserve">     采购项目编号：</w:t>
      </w:r>
      <w:r>
        <w:rPr>
          <w:rFonts w:hint="eastAsia" w:ascii="仿宋" w:hAnsi="仿宋" w:eastAsia="仿宋" w:cs="仿宋"/>
          <w:sz w:val="28"/>
          <w:szCs w:val="24"/>
          <w:highlight w:val="none"/>
          <w:u w:val="single"/>
        </w:rPr>
        <w:t xml:space="preserve">           .</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3"/>
        <w:gridCol w:w="1554"/>
        <w:gridCol w:w="2697"/>
        <w:gridCol w:w="1123"/>
        <w:gridCol w:w="1065"/>
        <w:gridCol w:w="900"/>
        <w:gridCol w:w="17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序号</w:t>
            </w:r>
          </w:p>
        </w:tc>
        <w:tc>
          <w:tcPr>
            <w:tcW w:w="1554"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项目名称</w:t>
            </w:r>
          </w:p>
        </w:tc>
        <w:tc>
          <w:tcPr>
            <w:tcW w:w="2697"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项目内容</w:t>
            </w:r>
          </w:p>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（类似项目）</w:t>
            </w: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完成日期</w:t>
            </w:r>
          </w:p>
        </w:tc>
        <w:tc>
          <w:tcPr>
            <w:tcW w:w="1065"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质量</w:t>
            </w:r>
          </w:p>
        </w:tc>
        <w:tc>
          <w:tcPr>
            <w:tcW w:w="900"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金额</w:t>
            </w:r>
          </w:p>
        </w:tc>
        <w:tc>
          <w:tcPr>
            <w:tcW w:w="1748"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613" w:type="dxa"/>
            <w:vAlign w:val="center"/>
          </w:tcPr>
          <w:p>
            <w:pPr>
              <w:spacing w:line="500" w:lineRule="exact"/>
              <w:ind w:left="120"/>
              <w:jc w:val="center"/>
              <w:rPr>
                <w:rFonts w:ascii="仿宋" w:hAnsi="仿宋" w:eastAsia="仿宋" w:cs="仿宋"/>
                <w:sz w:val="24"/>
                <w:highlight w:val="none"/>
              </w:rPr>
            </w:pPr>
            <w:r>
              <w:rPr>
                <w:rFonts w:hint="eastAsia" w:ascii="仿宋" w:hAnsi="仿宋" w:eastAsia="仿宋" w:cs="仿宋"/>
                <w:sz w:val="24"/>
                <w:highlight w:val="none"/>
              </w:rPr>
              <w:t>...</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vAlign w:val="center"/>
          </w:tcPr>
          <w:p>
            <w:pPr>
              <w:spacing w:line="500" w:lineRule="exact"/>
              <w:jc w:val="center"/>
              <w:rPr>
                <w:rFonts w:ascii="仿宋" w:hAnsi="仿宋" w:eastAsia="仿宋" w:cs="仿宋"/>
                <w:sz w:val="24"/>
                <w:highlight w:val="none"/>
              </w:rPr>
            </w:pPr>
          </w:p>
        </w:tc>
        <w:tc>
          <w:tcPr>
            <w:tcW w:w="1748" w:type="dxa"/>
            <w:vAlign w:val="center"/>
          </w:tcPr>
          <w:p>
            <w:pPr>
              <w:spacing w:line="500" w:lineRule="exact"/>
              <w:jc w:val="center"/>
              <w:rPr>
                <w:rFonts w:ascii="仿宋" w:hAnsi="仿宋" w:eastAsia="仿宋" w:cs="仿宋"/>
                <w:sz w:val="24"/>
                <w:highlight w:val="none"/>
              </w:rPr>
            </w:pPr>
          </w:p>
        </w:tc>
      </w:tr>
    </w:tbl>
    <w:p>
      <w:pPr>
        <w:spacing w:line="500" w:lineRule="exact"/>
        <w:rPr>
          <w:rFonts w:ascii="仿宋" w:hAnsi="仿宋" w:eastAsia="仿宋" w:cs="仿宋"/>
          <w:bCs/>
          <w:sz w:val="28"/>
          <w:szCs w:val="24"/>
          <w:highlight w:val="none"/>
        </w:rPr>
      </w:pPr>
      <w:r>
        <w:rPr>
          <w:rFonts w:hint="eastAsia" w:ascii="仿宋" w:hAnsi="仿宋" w:eastAsia="仿宋" w:cs="仿宋"/>
          <w:bCs/>
          <w:sz w:val="28"/>
          <w:szCs w:val="24"/>
          <w:highlight w:val="none"/>
        </w:rPr>
        <w:t>注：1.若表格不够用，各供应商可按此表自行复制；</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sz w:val="28"/>
          <w:szCs w:val="28"/>
          <w:highlight w:val="none"/>
        </w:rPr>
        <w:t>提供201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年1月1日以来供应商类似项目的业绩合同（以合同签订日期为准），附业绩合同复印件加盖公章。</w:t>
      </w:r>
    </w:p>
    <w:p>
      <w:pPr>
        <w:pStyle w:val="11"/>
        <w:rPr>
          <w:rFonts w:hint="default"/>
          <w:highlight w:val="none"/>
        </w:rPr>
      </w:pPr>
    </w:p>
    <w:p>
      <w:pPr>
        <w:rPr>
          <w:highlight w:val="none"/>
        </w:rPr>
      </w:pP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spacing w:line="500" w:lineRule="exact"/>
        <w:ind w:firstLine="560"/>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bookmarkEnd w:id="248"/>
      <w:bookmarkEnd w:id="249"/>
      <w:bookmarkStart w:id="250" w:name="_Toc438541322"/>
    </w:p>
    <w:p>
      <w:pPr>
        <w:pStyle w:val="26"/>
        <w:rPr>
          <w:rFonts w:hint="default"/>
          <w:highlight w:val="none"/>
        </w:rPr>
      </w:pPr>
    </w:p>
    <w:p>
      <w:pPr>
        <w:spacing w:line="500" w:lineRule="atLeast"/>
        <w:jc w:val="center"/>
        <w:outlineLvl w:val="2"/>
        <w:rPr>
          <w:rFonts w:ascii="仿宋" w:hAnsi="仿宋" w:eastAsia="仿宋" w:cs="仿宋"/>
          <w:b/>
          <w:bCs/>
          <w:sz w:val="36"/>
          <w:szCs w:val="36"/>
          <w:highlight w:val="none"/>
        </w:rPr>
      </w:pPr>
      <w:bookmarkStart w:id="251" w:name="_Toc2574"/>
      <w:bookmarkStart w:id="252" w:name="_Toc13736"/>
      <w:bookmarkStart w:id="253" w:name="_Toc26416_WPSOffice_Level1"/>
      <w:bookmarkStart w:id="254" w:name="_Toc24582"/>
      <w:bookmarkStart w:id="255" w:name="_Toc18258_WPSOffice_Level1"/>
      <w:bookmarkStart w:id="256" w:name="_Toc15878"/>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四</w:t>
      </w:r>
      <w:r>
        <w:rPr>
          <w:rFonts w:hint="eastAsia" w:ascii="仿宋" w:hAnsi="仿宋" w:eastAsia="仿宋" w:cs="仿宋"/>
          <w:b/>
          <w:bCs/>
          <w:sz w:val="36"/>
          <w:szCs w:val="36"/>
          <w:highlight w:val="none"/>
        </w:rPr>
        <w:t>部分  投标</w:t>
      </w:r>
      <w:bookmarkEnd w:id="250"/>
      <w:bookmarkEnd w:id="251"/>
      <w:bookmarkEnd w:id="252"/>
      <w:bookmarkEnd w:id="253"/>
      <w:bookmarkEnd w:id="254"/>
      <w:bookmarkEnd w:id="255"/>
      <w:r>
        <w:rPr>
          <w:rFonts w:hint="eastAsia" w:ascii="仿宋" w:hAnsi="仿宋" w:eastAsia="仿宋" w:cs="仿宋"/>
          <w:b/>
          <w:bCs/>
          <w:sz w:val="36"/>
          <w:szCs w:val="36"/>
          <w:highlight w:val="none"/>
        </w:rPr>
        <w:t>方案说明</w:t>
      </w:r>
      <w:bookmarkEnd w:id="256"/>
    </w:p>
    <w:p>
      <w:pPr>
        <w:pStyle w:val="11"/>
        <w:rPr>
          <w:rFonts w:hint="default"/>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供应商企业简介；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商务部分响应；</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技术部分响应：</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color w:val="auto"/>
          <w:sz w:val="28"/>
          <w:szCs w:val="28"/>
          <w:highlight w:val="none"/>
        </w:rPr>
      </w:pPr>
      <w:bookmarkStart w:id="257" w:name="_Toc1371_WPSOffice_Level1"/>
      <w:bookmarkStart w:id="258" w:name="_Toc29179"/>
      <w:bookmarkStart w:id="259" w:name="_Toc438541324"/>
      <w:bookmarkStart w:id="260" w:name="_Toc8829_WPSOffice_Level1"/>
      <w:bookmarkStart w:id="261" w:name="_Toc20394"/>
      <w:bookmarkStart w:id="262" w:name="_Toc27627"/>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kern w:val="2"/>
          <w:sz w:val="28"/>
          <w:szCs w:val="28"/>
          <w:highlight w:val="none"/>
          <w:lang w:val="en-US" w:eastAsia="zh-CN" w:bidi="ar-SA"/>
        </w:rPr>
        <w:t>所投产品技术参数指标</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所投产品相关资料</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sz w:val="28"/>
          <w:szCs w:val="28"/>
          <w:highlight w:val="none"/>
        </w:rPr>
        <w:t>整体实施方案</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4、售后服务承诺及培训</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（1）针对本项目实际需求提供实质性承诺</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rPr>
        <w:t>提供详细的技术培训方案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5、供应商认为有必要提供而增加其竞争性的其它资料。</w:t>
      </w:r>
    </w:p>
    <w:p>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pPr>
        <w:spacing w:line="500" w:lineRule="atLeast"/>
        <w:jc w:val="center"/>
        <w:outlineLvl w:val="2"/>
        <w:rPr>
          <w:rFonts w:ascii="仿宋" w:hAnsi="仿宋" w:eastAsia="仿宋" w:cs="仿宋"/>
          <w:sz w:val="28"/>
          <w:szCs w:val="28"/>
          <w:highlight w:val="none"/>
        </w:rPr>
      </w:pPr>
      <w:bookmarkStart w:id="263" w:name="_Toc4583"/>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 xml:space="preserve">部分  </w:t>
      </w:r>
      <w:bookmarkEnd w:id="257"/>
      <w:bookmarkEnd w:id="258"/>
      <w:bookmarkEnd w:id="259"/>
      <w:bookmarkEnd w:id="260"/>
      <w:bookmarkEnd w:id="261"/>
      <w:bookmarkEnd w:id="262"/>
      <w:r>
        <w:rPr>
          <w:rFonts w:hint="eastAsia" w:ascii="仿宋" w:hAnsi="仿宋" w:eastAsia="仿宋" w:cs="仿宋"/>
          <w:b/>
          <w:bCs/>
          <w:sz w:val="36"/>
          <w:szCs w:val="36"/>
          <w:highlight w:val="none"/>
        </w:rPr>
        <w:t>供应商承诺书</w:t>
      </w:r>
      <w:bookmarkEnd w:id="263"/>
    </w:p>
    <w:p>
      <w:pPr>
        <w:spacing w:line="500" w:lineRule="atLeast"/>
        <w:rPr>
          <w:rFonts w:ascii="仿宋" w:hAnsi="仿宋" w:eastAsia="仿宋" w:cs="仿宋"/>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作为参加贵单位组织的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的投标供应商，本公司郑重承诺：</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1、在参加本项目投标之前不存在被依法禁止经营行为、财产被接管或冻结的情况，如有隐瞒实情，愿承担一切责任及后果。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2、近三年受到有关行政主管部门的行政处理、不良行为记录为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次（没有填零），如有隐瞒实情，愿承担一切责任及后果。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3、参加本次投标提交的所有资格证明文件是真实的、有效的，如有隐瞒实情，愿承担一切责任及后果。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4、我方已阅读《财政部关于在政府采购活动中查询及使用信用记录有关问题的通知-财库〔2016〕125号》文件，并领会了文件的精神。因违反文件规定所产生的后果由我方自行承担。</w:t>
      </w:r>
    </w:p>
    <w:p>
      <w:pPr>
        <w:spacing w:line="500" w:lineRule="atLeast"/>
        <w:rPr>
          <w:rFonts w:ascii="仿宋" w:hAnsi="仿宋" w:eastAsia="仿宋" w:cs="仿宋"/>
          <w:sz w:val="28"/>
          <w:szCs w:val="28"/>
          <w:highlight w:val="none"/>
        </w:rPr>
      </w:pPr>
    </w:p>
    <w:p>
      <w:pPr>
        <w:pStyle w:val="11"/>
        <w:rPr>
          <w:rFonts w:hint="default" w:ascii="仿宋" w:hAnsi="仿宋" w:cs="仿宋"/>
          <w:sz w:val="28"/>
          <w:szCs w:val="28"/>
          <w:highlight w:val="none"/>
        </w:rPr>
      </w:pPr>
    </w:p>
    <w:p>
      <w:pPr>
        <w:pStyle w:val="11"/>
        <w:rPr>
          <w:rFonts w:hint="default" w:ascii="仿宋" w:hAnsi="仿宋" w:cs="仿宋"/>
          <w:sz w:val="28"/>
          <w:szCs w:val="28"/>
          <w:highlight w:val="none"/>
        </w:rPr>
      </w:pPr>
    </w:p>
    <w:p>
      <w:pPr>
        <w:pStyle w:val="44"/>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4"/>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4"/>
        <w:spacing w:line="500" w:lineRule="atLeast"/>
        <w:ind w:firstLine="2660" w:firstLineChars="950"/>
        <w:jc w:val="both"/>
        <w:rPr>
          <w:rFonts w:ascii="仿宋" w:hAnsi="仿宋" w:eastAsia="仿宋" w:cs="仿宋"/>
          <w:b w:val="0"/>
          <w:kern w:val="2"/>
          <w:sz w:val="24"/>
          <w:szCs w:val="24"/>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keepNext w:val="0"/>
        <w:keepLines w:val="0"/>
        <w:pageBreakBefore w:val="0"/>
        <w:widowControl w:val="0"/>
        <w:tabs>
          <w:tab w:val="left" w:pos="1755"/>
        </w:tabs>
        <w:kinsoku/>
        <w:wordWrap/>
        <w:overflowPunct/>
        <w:topLinePunct w:val="0"/>
        <w:autoSpaceDE/>
        <w:autoSpaceDN/>
        <w:bidi w:val="0"/>
        <w:adjustRightInd/>
        <w:snapToGrid/>
        <w:spacing w:line="480" w:lineRule="auto"/>
        <w:jc w:val="center"/>
        <w:textAlignment w:val="auto"/>
        <w:outlineLvl w:val="2"/>
        <w:rPr>
          <w:highlight w:val="none"/>
        </w:rPr>
      </w:pPr>
      <w:r>
        <w:rPr>
          <w:rFonts w:hint="eastAsia" w:ascii="仿宋" w:hAnsi="仿宋" w:eastAsia="仿宋" w:cs="仿宋"/>
          <w:sz w:val="28"/>
          <w:szCs w:val="28"/>
          <w:highlight w:val="none"/>
        </w:rPr>
        <w:br w:type="page"/>
      </w:r>
      <w:bookmarkStart w:id="264" w:name="_Toc24209"/>
      <w:bookmarkStart w:id="265" w:name="_Toc31068"/>
      <w:bookmarkStart w:id="266" w:name="_Toc438541325"/>
      <w:bookmarkStart w:id="267" w:name="_Toc6166_WPSOffice_Level1"/>
      <w:bookmarkStart w:id="268" w:name="_Toc22372_WPSOffice_Level1"/>
      <w:bookmarkStart w:id="269" w:name="_Toc31198"/>
      <w:bookmarkStart w:id="270" w:name="_Toc16506"/>
      <w:bookmarkStart w:id="271" w:name="_Toc31299"/>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部分  政府采购供应商拒绝政府采购</w:t>
      </w:r>
      <w:bookmarkEnd w:id="264"/>
      <w:bookmarkEnd w:id="265"/>
      <w:bookmarkEnd w:id="266"/>
      <w:bookmarkStart w:id="272" w:name="_Toc438541326"/>
      <w:bookmarkStart w:id="273" w:name="_Toc437425973"/>
      <w:bookmarkStart w:id="274" w:name="_Toc437247481"/>
      <w:bookmarkStart w:id="275" w:name="_Toc435777821"/>
      <w:bookmarkStart w:id="276" w:name="_Toc28167"/>
      <w:r>
        <w:rPr>
          <w:rFonts w:hint="eastAsia" w:ascii="仿宋" w:hAnsi="仿宋" w:eastAsia="仿宋" w:cs="仿宋"/>
          <w:b/>
          <w:bCs/>
          <w:sz w:val="32"/>
          <w:szCs w:val="32"/>
          <w:highlight w:val="none"/>
        </w:rPr>
        <w:t>领域</w:t>
      </w:r>
      <w:bookmarkStart w:id="277" w:name="_Toc435777721"/>
      <w:bookmarkStart w:id="278" w:name="_Toc435776434"/>
      <w:r>
        <w:rPr>
          <w:rFonts w:hint="eastAsia" w:ascii="仿宋" w:hAnsi="仿宋" w:eastAsia="仿宋" w:cs="仿宋"/>
          <w:b/>
          <w:bCs/>
          <w:sz w:val="32"/>
          <w:szCs w:val="32"/>
          <w:highlight w:val="none"/>
        </w:rPr>
        <w:t>商业</w:t>
      </w:r>
      <w:bookmarkEnd w:id="272"/>
      <w:bookmarkEnd w:id="273"/>
      <w:bookmarkEnd w:id="274"/>
      <w:bookmarkEnd w:id="275"/>
      <w:bookmarkEnd w:id="276"/>
      <w:bookmarkEnd w:id="277"/>
      <w:bookmarkEnd w:id="278"/>
      <w:r>
        <w:rPr>
          <w:rFonts w:hint="eastAsia" w:ascii="仿宋" w:hAnsi="仿宋" w:eastAsia="仿宋" w:cs="仿宋"/>
          <w:b/>
          <w:bCs/>
          <w:sz w:val="32"/>
          <w:szCs w:val="32"/>
          <w:highlight w:val="none"/>
        </w:rPr>
        <w:t>贿赂承诺书</w:t>
      </w:r>
      <w:bookmarkEnd w:id="226"/>
      <w:bookmarkEnd w:id="227"/>
      <w:bookmarkEnd w:id="267"/>
      <w:bookmarkEnd w:id="268"/>
      <w:bookmarkEnd w:id="269"/>
      <w:bookmarkEnd w:id="270"/>
      <w:bookmarkEnd w:id="271"/>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不向采购人、采购代理机构和政府采购评审专家进行任何形式的商业贿赂以谋取交易机会。</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不与采购人、采购代理机构政府采购评审专家或其他供应商恶意串通，进行质疑和投诉，维护政府采购市场秩序。</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尊重和接受政府采购监督管理部门的监督和采购代理机构的招标要求，承担因违约行为给采购人造成的损失。</w:t>
      </w:r>
    </w:p>
    <w:p>
      <w:pPr>
        <w:numPr>
          <w:ilvl w:val="0"/>
          <w:numId w:val="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不发生其他有悖于政府采购公开、公平、公正和诚信原则的行为。</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pPr>
        <w:spacing w:line="500" w:lineRule="atLeast"/>
        <w:ind w:firstLine="2240" w:firstLineChars="800"/>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keepNext w:val="0"/>
        <w:keepLines w:val="0"/>
        <w:pageBreakBefore w:val="0"/>
        <w:widowControl w:val="0"/>
        <w:tabs>
          <w:tab w:val="left" w:pos="1755"/>
        </w:tabs>
        <w:kinsoku/>
        <w:wordWrap/>
        <w:overflowPunct/>
        <w:topLinePunct w:val="0"/>
        <w:autoSpaceDE/>
        <w:autoSpaceDN/>
        <w:bidi w:val="0"/>
        <w:adjustRightInd/>
        <w:snapToGrid/>
        <w:spacing w:line="480" w:lineRule="auto"/>
        <w:jc w:val="center"/>
        <w:textAlignment w:val="auto"/>
        <w:outlineLvl w:val="2"/>
        <w:rPr>
          <w:rFonts w:hint="eastAsia" w:eastAsia="仿宋"/>
          <w:highlight w:val="none"/>
          <w:lang w:eastAsia="zh-CN"/>
        </w:rPr>
      </w:pPr>
      <w:bookmarkStart w:id="279" w:name="_Toc28493"/>
      <w:bookmarkStart w:id="280" w:name="_Toc20090_WPSOffice_Level1"/>
      <w:bookmarkStart w:id="281" w:name="_Toc25411"/>
      <w:bookmarkStart w:id="282" w:name="_Toc14162_WPSOffice_Level1"/>
      <w:bookmarkStart w:id="283" w:name="_Toc21078"/>
      <w:bookmarkStart w:id="284" w:name="_Toc29709"/>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 xml:space="preserve">部分  </w:t>
      </w:r>
      <w:bookmarkEnd w:id="279"/>
      <w:bookmarkEnd w:id="280"/>
      <w:bookmarkEnd w:id="281"/>
      <w:bookmarkEnd w:id="282"/>
      <w:bookmarkEnd w:id="283"/>
      <w:r>
        <w:rPr>
          <w:rFonts w:hint="eastAsia" w:ascii="仿宋" w:hAnsi="仿宋" w:eastAsia="仿宋" w:cs="仿宋"/>
          <w:b/>
          <w:bCs/>
          <w:sz w:val="36"/>
          <w:szCs w:val="36"/>
          <w:highlight w:val="none"/>
          <w:lang w:eastAsia="zh-CN"/>
        </w:rPr>
        <w:t>附件</w:t>
      </w:r>
      <w:bookmarkEnd w:id="284"/>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3"/>
        <w:rPr>
          <w:rFonts w:hint="default"/>
          <w:highlight w:val="none"/>
        </w:rPr>
      </w:pPr>
      <w:bookmarkStart w:id="285" w:name="_Toc24063"/>
      <w:bookmarkStart w:id="286" w:name="_Toc20607"/>
      <w:bookmarkStart w:id="287" w:name="_Toc30274"/>
      <w:bookmarkStart w:id="288" w:name="_Toc8639"/>
      <w:bookmarkStart w:id="289" w:name="_Toc13622"/>
      <w:bookmarkStart w:id="290" w:name="_Toc5558"/>
      <w:r>
        <w:rPr>
          <w:rFonts w:hint="eastAsia" w:ascii="仿宋" w:hAnsi="仿宋" w:eastAsia="仿宋" w:cs="仿宋"/>
          <w:b/>
          <w:bCs/>
          <w:kern w:val="0"/>
          <w:sz w:val="32"/>
          <w:szCs w:val="32"/>
          <w:highlight w:val="none"/>
        </w:rPr>
        <w:t>一</w:t>
      </w:r>
      <w:bookmarkEnd w:id="285"/>
      <w:bookmarkEnd w:id="286"/>
      <w:r>
        <w:rPr>
          <w:rFonts w:hint="eastAsia" w:ascii="仿宋" w:hAnsi="仿宋" w:eastAsia="仿宋" w:cs="仿宋"/>
          <w:b/>
          <w:bCs/>
          <w:kern w:val="0"/>
          <w:sz w:val="32"/>
          <w:szCs w:val="32"/>
          <w:highlight w:val="none"/>
          <w:lang w:eastAsia="zh-CN"/>
        </w:rPr>
        <w:t>、</w:t>
      </w:r>
      <w:r>
        <w:rPr>
          <w:rFonts w:hint="eastAsia" w:ascii="仿宋" w:hAnsi="仿宋" w:eastAsia="仿宋" w:cs="仿宋"/>
          <w:b/>
          <w:bCs/>
          <w:kern w:val="0"/>
          <w:sz w:val="32"/>
          <w:szCs w:val="32"/>
          <w:highlight w:val="none"/>
        </w:rPr>
        <w:t>中小企业声明函</w:t>
      </w:r>
      <w:bookmarkEnd w:id="287"/>
      <w:bookmarkEnd w:id="288"/>
      <w:bookmarkEnd w:id="289"/>
      <w:bookmarkEnd w:id="290"/>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单位名称）的（项目名称）采购活动，提供的货物全部由符合政策要求的中小企业制造。相关企业的具体情况如下：</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eastAsia="zh-CN"/>
        </w:rPr>
        <w:t xml:space="preserve"> 工业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pacing w:line="480" w:lineRule="atLeast"/>
        <w:ind w:firstLine="560" w:firstLineChars="200"/>
        <w:jc w:val="left"/>
        <w:rPr>
          <w:rFonts w:ascii="仿宋" w:hAnsi="仿宋" w:eastAsia="仿宋" w:cs="仿宋"/>
          <w:sz w:val="28"/>
          <w:szCs w:val="28"/>
          <w:highlight w:val="none"/>
        </w:rPr>
      </w:pPr>
    </w:p>
    <w:p>
      <w:pPr>
        <w:widowControl/>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企业名称（盖章）：</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u w:val="single"/>
        </w:rPr>
        <w:t>.</w:t>
      </w:r>
    </w:p>
    <w:p>
      <w:pPr>
        <w:autoSpaceDN w:val="0"/>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日 期：</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年</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月</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日</w:t>
      </w:r>
    </w:p>
    <w:p>
      <w:pPr>
        <w:spacing w:line="500" w:lineRule="exact"/>
        <w:rPr>
          <w:rFonts w:ascii="仿宋" w:hAnsi="仿宋" w:eastAsia="仿宋" w:cs="仿宋"/>
          <w:b/>
          <w:bCs/>
          <w:sz w:val="28"/>
          <w:szCs w:val="28"/>
          <w:highlight w:val="none"/>
        </w:rPr>
      </w:pPr>
    </w:p>
    <w:p>
      <w:pPr>
        <w:pStyle w:val="11"/>
        <w:spacing w:line="500" w:lineRule="exact"/>
        <w:rPr>
          <w:rFonts w:hint="default"/>
          <w:highlight w:val="none"/>
        </w:rPr>
      </w:pPr>
      <w:r>
        <w:rPr>
          <w:rFonts w:ascii="仿宋" w:hAnsi="仿宋" w:cs="仿宋"/>
          <w:b/>
          <w:bCs/>
          <w:sz w:val="28"/>
          <w:szCs w:val="28"/>
          <w:highlight w:val="none"/>
        </w:rPr>
        <w:t>注：非</w:t>
      </w:r>
      <w:r>
        <w:rPr>
          <w:rFonts w:hint="eastAsia" w:ascii="仿宋" w:hAnsi="仿宋" w:cs="仿宋"/>
          <w:b/>
          <w:bCs/>
          <w:sz w:val="28"/>
          <w:szCs w:val="28"/>
          <w:highlight w:val="none"/>
          <w:lang w:eastAsia="zh-CN"/>
        </w:rPr>
        <w:t>中型、</w:t>
      </w:r>
      <w:r>
        <w:rPr>
          <w:rFonts w:ascii="仿宋" w:hAnsi="仿宋" w:cs="仿宋"/>
          <w:b/>
          <w:bCs/>
          <w:sz w:val="28"/>
          <w:szCs w:val="28"/>
          <w:highlight w:val="none"/>
        </w:rPr>
        <w:t>小型、微型企业可不填写此表。</w:t>
      </w:r>
    </w:p>
    <w:p>
      <w:pPr>
        <w:pStyle w:val="25"/>
        <w:ind w:firstLine="0" w:firstLineChars="0"/>
        <w:rPr>
          <w:rFonts w:hint="default"/>
          <w:highlight w:val="none"/>
        </w:rPr>
      </w:pPr>
    </w:p>
    <w:p>
      <w:pPr>
        <w:pStyle w:val="25"/>
        <w:ind w:firstLine="0" w:firstLineChars="0"/>
        <w:rPr>
          <w:rFonts w:hint="default" w:ascii="仿宋" w:hAnsi="仿宋" w:cs="仿宋"/>
          <w:b/>
          <w:bCs/>
          <w:sz w:val="28"/>
          <w:szCs w:val="28"/>
          <w:highlight w:val="none"/>
        </w:rPr>
      </w:pPr>
    </w:p>
    <w:p>
      <w:pPr>
        <w:widowControl/>
        <w:jc w:val="center"/>
        <w:rPr>
          <w:rFonts w:ascii="仿宋" w:hAnsi="仿宋" w:eastAsia="仿宋" w:cs="仿宋"/>
          <w:b/>
          <w:bCs/>
          <w:sz w:val="32"/>
          <w:szCs w:val="32"/>
          <w:highlight w:val="none"/>
        </w:rPr>
      </w:pPr>
      <w:r>
        <w:rPr>
          <w:rFonts w:hint="eastAsia" w:ascii="仿宋" w:hAnsi="仿宋" w:eastAsia="仿宋" w:cs="仿宋"/>
          <w:b/>
          <w:bCs/>
          <w:kern w:val="0"/>
          <w:sz w:val="22"/>
          <w:szCs w:val="22"/>
          <w:highlight w:val="none"/>
          <w:vertAlign w:val="superscript"/>
          <w:lang w:bidi="ar"/>
        </w:rPr>
        <w:t xml:space="preserve">1 </w:t>
      </w:r>
      <w:r>
        <w:rPr>
          <w:rFonts w:hint="eastAsia" w:ascii="仿宋" w:hAnsi="仿宋" w:eastAsia="仿宋" w:cs="仿宋"/>
          <w:b/>
          <w:bCs/>
          <w:kern w:val="0"/>
          <w:sz w:val="22"/>
          <w:szCs w:val="22"/>
          <w:highlight w:val="none"/>
          <w:lang w:bidi="ar"/>
        </w:rPr>
        <w:t>从业人员、营业收入、资产总额填报上一年度数据，无上一年度数据的新成立企业可不填报。</w:t>
      </w:r>
      <w:bookmarkStart w:id="291" w:name="_Toc32499"/>
      <w:bookmarkStart w:id="292" w:name="_Toc13115"/>
      <w:bookmarkStart w:id="293" w:name="_Toc26990"/>
    </w:p>
    <w:p>
      <w:pPr>
        <w:tabs>
          <w:tab w:val="left" w:pos="1755"/>
        </w:tabs>
        <w:spacing w:line="500" w:lineRule="atLeast"/>
        <w:ind w:left="-120"/>
        <w:jc w:val="center"/>
        <w:outlineLvl w:val="3"/>
        <w:rPr>
          <w:rFonts w:ascii="仿宋" w:hAnsi="仿宋" w:eastAsia="仿宋" w:cs="仿宋"/>
          <w:b/>
          <w:bCs/>
          <w:sz w:val="32"/>
          <w:szCs w:val="32"/>
          <w:highlight w:val="none"/>
        </w:rPr>
      </w:pPr>
      <w:r>
        <w:rPr>
          <w:rFonts w:hint="eastAsia" w:ascii="仿宋" w:hAnsi="仿宋" w:eastAsia="仿宋" w:cs="仿宋"/>
          <w:b/>
          <w:bCs/>
          <w:sz w:val="32"/>
          <w:szCs w:val="32"/>
          <w:highlight w:val="none"/>
        </w:rPr>
        <w:t>二、监狱企业相关资格证明材料</w:t>
      </w:r>
      <w:bookmarkEnd w:id="291"/>
      <w:bookmarkEnd w:id="292"/>
      <w:bookmarkEnd w:id="293"/>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spacing w:line="4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pPr>
        <w:pStyle w:val="11"/>
        <w:spacing w:line="500" w:lineRule="exact"/>
        <w:ind w:left="-119"/>
        <w:jc w:val="center"/>
        <w:outlineLvl w:val="3"/>
        <w:rPr>
          <w:rFonts w:hint="default"/>
          <w:b/>
          <w:bCs/>
          <w:sz w:val="32"/>
          <w:szCs w:val="24"/>
          <w:highlight w:val="none"/>
        </w:rPr>
      </w:pPr>
      <w:r>
        <w:rPr>
          <w:highlight w:val="none"/>
        </w:rPr>
        <w:br w:type="page"/>
      </w:r>
      <w:r>
        <w:rPr>
          <w:b/>
          <w:bCs/>
          <w:sz w:val="32"/>
          <w:szCs w:val="24"/>
          <w:highlight w:val="none"/>
        </w:rPr>
        <w:t>三、残疾人福利性单位声明函</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pPr>
        <w:spacing w:line="500" w:lineRule="exact"/>
        <w:ind w:firstLine="584" w:firstLineChars="200"/>
        <w:rPr>
          <w:rFonts w:ascii="仿宋" w:hAnsi="仿宋" w:eastAsia="仿宋" w:cs="仿宋"/>
          <w:spacing w:val="6"/>
          <w:sz w:val="28"/>
          <w:szCs w:val="28"/>
          <w:highlight w:val="none"/>
        </w:rPr>
      </w:pPr>
    </w:p>
    <w:p>
      <w:pPr>
        <w:spacing w:line="500" w:lineRule="exact"/>
        <w:ind w:firstLine="584" w:firstLineChars="200"/>
        <w:rPr>
          <w:rFonts w:ascii="仿宋" w:hAnsi="仿宋" w:eastAsia="仿宋" w:cs="仿宋"/>
          <w:spacing w:val="6"/>
          <w:sz w:val="28"/>
          <w:szCs w:val="28"/>
          <w:highlight w:val="none"/>
        </w:rPr>
      </w:pP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pPr>
        <w:spacing w:line="500" w:lineRule="exact"/>
        <w:jc w:val="center"/>
        <w:rPr>
          <w:rFonts w:ascii="仿宋" w:hAnsi="仿宋" w:eastAsia="仿宋" w:cs="仿宋"/>
          <w:b/>
          <w:bCs/>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Style w:val="48"/>
          <w:rFonts w:hint="default" w:ascii="仿宋" w:hAnsi="仿宋" w:eastAsia="仿宋" w:cs="仿宋"/>
          <w:sz w:val="24"/>
          <w:szCs w:val="24"/>
          <w:highlight w:val="none"/>
        </w:rPr>
      </w:pPr>
    </w:p>
    <w:p>
      <w:pPr>
        <w:spacing w:line="5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pPr>
        <w:spacing w:line="500" w:lineRule="exact"/>
        <w:jc w:val="center"/>
        <w:rPr>
          <w:rStyle w:val="48"/>
          <w:rFonts w:hint="default" w:ascii="仿宋" w:hAnsi="仿宋" w:eastAsia="仿宋" w:cs="仿宋"/>
          <w:sz w:val="24"/>
          <w:szCs w:val="24"/>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rPr>
          <w:rFonts w:ascii="仿宋" w:hAnsi="仿宋" w:eastAsia="仿宋" w:cs="仿宋"/>
          <w:kern w:val="0"/>
          <w:sz w:val="28"/>
          <w:szCs w:val="28"/>
          <w:highlight w:val="none"/>
        </w:rPr>
      </w:pPr>
    </w:p>
    <w:p>
      <w:pPr>
        <w:pStyle w:val="11"/>
        <w:rPr>
          <w:rFonts w:hint="default"/>
          <w:highlight w:val="none"/>
        </w:rPr>
      </w:pPr>
    </w:p>
    <w:p>
      <w:pPr>
        <w:rPr>
          <w:rFonts w:hint="default"/>
          <w:highlight w:val="none"/>
        </w:rPr>
      </w:pPr>
    </w:p>
    <w:p>
      <w:pPr>
        <w:pStyle w:val="17"/>
        <w:rPr>
          <w:rFonts w:hint="default"/>
          <w:highlight w:val="none"/>
        </w:rPr>
      </w:pPr>
    </w:p>
    <w:p>
      <w:pPr>
        <w:pStyle w:val="17"/>
        <w:rPr>
          <w:rFonts w:hint="default"/>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highlight w:val="none"/>
        </w:rPr>
      </w:pPr>
      <w:bookmarkStart w:id="294" w:name="_Toc26174"/>
      <w:bookmarkStart w:id="295" w:name="_Toc8608"/>
      <w:bookmarkStart w:id="296" w:name="_Toc22499"/>
      <w:r>
        <w:rPr>
          <w:rFonts w:hint="eastAsia" w:ascii="仿宋" w:hAnsi="仿宋" w:eastAsia="仿宋" w:cs="仿宋"/>
          <w:b/>
          <w:bCs/>
          <w:sz w:val="32"/>
          <w:szCs w:val="28"/>
          <w:highlight w:val="none"/>
          <w:lang w:val="en-US" w:eastAsia="zh-CN"/>
        </w:rPr>
        <w:t>C 电子文档</w:t>
      </w:r>
      <w:bookmarkEnd w:id="294"/>
      <w:bookmarkEnd w:id="295"/>
      <w:bookmarkEnd w:id="296"/>
    </w:p>
    <w:p>
      <w:pPr>
        <w:pStyle w:val="11"/>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eastAsia="zh-CN"/>
        </w:rPr>
      </w:pPr>
      <w:r>
        <w:rPr>
          <w:rFonts w:hint="eastAsia" w:ascii="仿宋" w:hAnsi="仿宋" w:cs="仿宋"/>
          <w:b/>
          <w:bCs/>
          <w:sz w:val="28"/>
          <w:szCs w:val="28"/>
          <w:highlight w:val="none"/>
        </w:rPr>
        <w:t>电子文档</w:t>
      </w:r>
      <w:r>
        <w:rPr>
          <w:rFonts w:hint="eastAsia" w:ascii="仿宋" w:hAnsi="仿宋" w:cs="仿宋"/>
          <w:b/>
          <w:bCs/>
          <w:sz w:val="28"/>
          <w:szCs w:val="28"/>
          <w:highlight w:val="none"/>
          <w:lang w:eastAsia="zh-CN"/>
        </w:rPr>
        <w:t>要求：</w:t>
      </w:r>
      <w:r>
        <w:rPr>
          <w:rFonts w:hint="eastAsia" w:ascii="仿宋" w:hAnsi="仿宋" w:cs="仿宋"/>
          <w:b/>
          <w:bCs/>
          <w:sz w:val="28"/>
          <w:szCs w:val="28"/>
          <w:highlight w:val="none"/>
          <w:lang w:val="en-US" w:eastAsia="zh-CN"/>
        </w:rPr>
        <w:t>1、</w:t>
      </w:r>
      <w:r>
        <w:rPr>
          <w:rFonts w:hint="eastAsia" w:ascii="仿宋" w:hAnsi="仿宋" w:cs="仿宋"/>
          <w:b/>
          <w:bCs/>
          <w:sz w:val="28"/>
          <w:szCs w:val="28"/>
          <w:highlight w:val="none"/>
        </w:rPr>
        <w:t>供应商所提供的电子版</w:t>
      </w:r>
      <w:r>
        <w:rPr>
          <w:rFonts w:hint="eastAsia" w:ascii="仿宋" w:hAnsi="仿宋" w:cs="仿宋"/>
          <w:b/>
          <w:bCs/>
          <w:sz w:val="28"/>
          <w:szCs w:val="28"/>
          <w:highlight w:val="none"/>
          <w:lang w:eastAsia="zh-CN"/>
        </w:rPr>
        <w:t>投标</w:t>
      </w:r>
      <w:r>
        <w:rPr>
          <w:rFonts w:hint="eastAsia" w:ascii="仿宋" w:hAnsi="仿宋" w:cs="仿宋"/>
          <w:b/>
          <w:bCs/>
          <w:sz w:val="28"/>
          <w:szCs w:val="28"/>
          <w:highlight w:val="none"/>
        </w:rPr>
        <w:t>文件必须能够打开，内容必须与文字</w:t>
      </w:r>
      <w:r>
        <w:rPr>
          <w:rFonts w:hint="eastAsia" w:ascii="仿宋" w:hAnsi="仿宋" w:cs="仿宋"/>
          <w:b/>
          <w:bCs/>
          <w:sz w:val="28"/>
          <w:szCs w:val="28"/>
          <w:highlight w:val="none"/>
          <w:lang w:eastAsia="zh-CN"/>
        </w:rPr>
        <w:t>版投标</w:t>
      </w:r>
      <w:r>
        <w:rPr>
          <w:rFonts w:hint="eastAsia" w:ascii="仿宋" w:hAnsi="仿宋" w:cs="仿宋"/>
          <w:b/>
          <w:bCs/>
          <w:sz w:val="28"/>
          <w:szCs w:val="28"/>
          <w:highlight w:val="none"/>
        </w:rPr>
        <w:t>文件内容一致</w:t>
      </w:r>
      <w:r>
        <w:rPr>
          <w:rFonts w:hint="eastAsia" w:ascii="仿宋" w:hAnsi="仿宋" w:cs="仿宋"/>
          <w:b/>
          <w:bCs/>
          <w:sz w:val="28"/>
          <w:szCs w:val="28"/>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textAlignment w:val="auto"/>
        <w:rPr>
          <w:rFonts w:hint="default" w:ascii="仿宋" w:hAnsi="仿宋" w:cs="仿宋"/>
          <w:sz w:val="28"/>
          <w:szCs w:val="28"/>
          <w:highlight w:val="none"/>
        </w:rPr>
      </w:pPr>
      <w:r>
        <w:rPr>
          <w:rFonts w:hint="eastAsia" w:ascii="仿宋" w:hAnsi="仿宋" w:cs="仿宋"/>
          <w:b/>
          <w:bCs/>
          <w:sz w:val="28"/>
          <w:szCs w:val="28"/>
          <w:highlight w:val="none"/>
          <w:lang w:val="en-US" w:eastAsia="zh-CN"/>
        </w:rPr>
        <w:t>2、</w:t>
      </w:r>
      <w:r>
        <w:rPr>
          <w:rFonts w:hint="eastAsia" w:ascii="仿宋" w:hAnsi="仿宋" w:cs="仿宋"/>
          <w:b/>
          <w:bCs/>
          <w:sz w:val="28"/>
          <w:szCs w:val="28"/>
          <w:highlight w:val="none"/>
          <w:lang w:eastAsia="zh-CN"/>
        </w:rPr>
        <w:t>格式要求为：</w:t>
      </w:r>
      <w:r>
        <w:rPr>
          <w:rFonts w:hint="eastAsia" w:ascii="仿宋" w:hAnsi="仿宋" w:cs="仿宋"/>
          <w:b/>
          <w:bCs/>
          <w:sz w:val="28"/>
          <w:szCs w:val="28"/>
          <w:highlight w:val="none"/>
          <w:lang w:val="en-US" w:eastAsia="zh-CN"/>
        </w:rPr>
        <w:t>word版及pdf各一份。</w:t>
      </w:r>
    </w:p>
    <w:p>
      <w:pPr>
        <w:rPr>
          <w:rFonts w:ascii="仿宋" w:hAnsi="仿宋" w:cs="仿宋"/>
          <w:b/>
          <w:kern w:val="2"/>
          <w:sz w:val="36"/>
          <w:szCs w:val="36"/>
          <w:highlight w:val="none"/>
        </w:rPr>
      </w:pPr>
      <w:bookmarkStart w:id="297" w:name="_Toc26999"/>
      <w:r>
        <w:rPr>
          <w:rFonts w:ascii="仿宋" w:hAnsi="仿宋" w:cs="仿宋"/>
          <w:b/>
          <w:kern w:val="2"/>
          <w:sz w:val="36"/>
          <w:szCs w:val="36"/>
          <w:highlight w:val="none"/>
        </w:rPr>
        <w:br w:type="page"/>
      </w:r>
    </w:p>
    <w:p>
      <w:pPr>
        <w:pStyle w:val="11"/>
        <w:jc w:val="center"/>
        <w:outlineLvl w:val="0"/>
        <w:rPr>
          <w:rFonts w:hint="default" w:ascii="仿宋" w:hAnsi="仿宋" w:cs="仿宋"/>
          <w:b/>
          <w:kern w:val="2"/>
          <w:sz w:val="36"/>
          <w:szCs w:val="36"/>
          <w:highlight w:val="none"/>
        </w:rPr>
      </w:pPr>
      <w:bookmarkStart w:id="298" w:name="_Toc28016"/>
      <w:r>
        <w:rPr>
          <w:rFonts w:ascii="仿宋" w:hAnsi="仿宋" w:cs="仿宋"/>
          <w:b/>
          <w:kern w:val="2"/>
          <w:sz w:val="36"/>
          <w:szCs w:val="36"/>
          <w:highlight w:val="none"/>
        </w:rPr>
        <w:t>第七章  投标保证金退还申请表</w:t>
      </w:r>
      <w:bookmarkEnd w:id="297"/>
      <w:bookmarkEnd w:id="298"/>
    </w:p>
    <w:tbl>
      <w:tblPr>
        <w:tblStyle w:val="27"/>
        <w:tblW w:w="1002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申请退款单位名称</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项目编号</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开标日期</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保证金交纳金额</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Merge w:val="restart"/>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应退保证金金额</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66" w:type="dxa"/>
            <w:vMerge w:val="continue"/>
            <w:vAlign w:val="center"/>
          </w:tcPr>
          <w:p>
            <w:pPr>
              <w:spacing w:line="500" w:lineRule="exact"/>
              <w:jc w:val="center"/>
              <w:outlineLvl w:val="5"/>
              <w:rPr>
                <w:rFonts w:ascii="仿宋" w:hAnsi="仿宋" w:eastAsia="仿宋" w:cs="仿宋"/>
                <w:b/>
                <w:sz w:val="24"/>
                <w:szCs w:val="24"/>
                <w:highlight w:val="none"/>
              </w:rPr>
            </w:pP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收款单位名称</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收款单位开户银行</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收款单位账号</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收款单位联系方式</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采购代理机构审核</w:t>
            </w:r>
          </w:p>
        </w:tc>
        <w:tc>
          <w:tcPr>
            <w:tcW w:w="7454" w:type="dxa"/>
            <w:vAlign w:val="center"/>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0020" w:type="dxa"/>
            <w:gridSpan w:val="2"/>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注：1.本表仅用于供应商退还保证金时使用。</w:t>
            </w:r>
          </w:p>
          <w:p>
            <w:pPr>
              <w:spacing w:line="500" w:lineRule="exact"/>
              <w:ind w:firstLine="482" w:firstLineChars="200"/>
              <w:jc w:val="left"/>
              <w:outlineLvl w:val="5"/>
              <w:rPr>
                <w:rFonts w:ascii="仿宋" w:hAnsi="仿宋" w:eastAsia="仿宋" w:cs="仿宋"/>
                <w:b/>
                <w:sz w:val="24"/>
                <w:szCs w:val="24"/>
                <w:highlight w:val="none"/>
              </w:rPr>
            </w:pPr>
            <w:r>
              <w:rPr>
                <w:rFonts w:hint="eastAsia" w:ascii="仿宋" w:hAnsi="仿宋" w:eastAsia="仿宋" w:cs="仿宋"/>
                <w:b/>
                <w:sz w:val="24"/>
                <w:szCs w:val="24"/>
                <w:highlight w:val="none"/>
              </w:rPr>
              <w:t>2.请供应商在递交投标文件的同时向采购代理机构工作人员单独递交本表，以便尽快退还供应商的保证金。</w:t>
            </w:r>
          </w:p>
        </w:tc>
      </w:tr>
    </w:tbl>
    <w:p>
      <w:pPr>
        <w:pStyle w:val="13"/>
        <w:ind w:left="0" w:leftChars="0" w:right="1470"/>
        <w:rPr>
          <w:highlight w:val="none"/>
        </w:rPr>
      </w:pPr>
    </w:p>
    <w:sectPr>
      <w:headerReference r:id="rId8" w:type="default"/>
      <w:foot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体">
    <w:altName w:val="宋体"/>
    <w:panose1 w:val="02010600030101010101"/>
    <w:charset w:val="86"/>
    <w:family w:val="roma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仿宋" w:hAnsi="仿宋" w:cs="仿宋"/>
      </w:rPr>
    </w:pPr>
    <w:r>
      <w:rPr>
        <w:rFonts w:ascii="仿宋" w:hAnsi="仿宋" w:cs="仿宋"/>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5926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IagQrVAAAABgEAAA8AAAAAAAAAAQAgAAAAIgAAAGRycy9kb3ducmV2LnhtbFBLAQIUABQAAAAI&#10;AIdO4kBEMVDe8AEAANsDAAAOAAAAAAAAAAEAIAAAACQBAABkcnMvZTJvRG9jLnhtbFBLBQYAAAAA&#10;BgAGAFkBAACGBQ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仿宋" w:hAnsi="仿宋" w:cs="仿宋"/>
      </w:rPr>
    </w:pP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63360;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GoEK1QAAAAYBAAAPAAAAAAAAAAEAIAAAACIAAABkcnMvZG93bnJldi54bWxQSwECFAAUAAAA&#10;CACHTuJAi79U4/EBAADbAwAADgAAAAAAAAABACAAAAAkAQAAZHJzL2Uyb0RvYy54bWxQSwUGAAAA&#10;AAYABgBZAQAAhwU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 w:hAnsi="仿宋" w:cs="仿宋"/>
      </w:rPr>
    </w:pPr>
    <w:r>
      <w:rPr>
        <w:sz w:val="18"/>
      </w:rPr>
      <mc:AlternateContent>
        <mc:Choice Requires="wps">
          <w:drawing>
            <wp:anchor distT="0" distB="0" distL="114300" distR="114300" simplePos="0" relativeHeight="251664384" behindDoc="0" locked="0" layoutInCell="1" allowOverlap="1">
              <wp:simplePos x="0" y="0"/>
              <wp:positionH relativeFrom="margin">
                <wp:posOffset>2883535</wp:posOffset>
              </wp:positionH>
              <wp:positionV relativeFrom="paragraph">
                <wp:posOffset>183515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05pt;margin-top:14.45pt;height:144pt;width:144pt;mso-position-horizontal-relative:margin;mso-wrap-style:none;z-index:251664384;mso-width-relative:page;mso-height-relative:page;" filled="f" stroked="f" coordsize="21600,21600" o:gfxdata="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HXSILYAAAACg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0288;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K1znWAAAACAEAAA8AAAAAAAAAAQAgAAAAIgAAAGRycy9kb3du&#10;cmV2LnhtbFBLAQIUABQAAAAIAIdO4kCWoqQ+AQIAAPEDAAAOAAAAAAAAAAEAIAAAACUBAABkcnMv&#10;ZTJvRG9jLnhtbFBLBQYAAAAABgAGAFkBAACYBQ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 w:hAnsi="仿宋" w:cs="仿宋"/>
      </w:rPr>
    </w:pPr>
    <w:r>
      <w:rPr>
        <w:sz w:val="18"/>
      </w:rPr>
      <mc:AlternateContent>
        <mc:Choice Requires="wps">
          <w:drawing>
            <wp:anchor distT="0" distB="0" distL="114300" distR="114300" simplePos="0" relativeHeight="251665408" behindDoc="0" locked="0" layoutInCell="1" allowOverlap="1">
              <wp:simplePos x="0" y="0"/>
              <wp:positionH relativeFrom="margin">
                <wp:posOffset>2862580</wp:posOffset>
              </wp:positionH>
              <wp:positionV relativeFrom="paragraph">
                <wp:posOffset>165100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4pt;margin-top:13pt;height:144pt;width:144pt;mso-position-horizontal-relative:margin;mso-wrap-style:none;z-index:251665408;mso-width-relative:page;mso-height-relative:page;" filled="f" stroked="f" coordsize="21600,21600" o:gfxdata="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KburN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1312;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Stc51gAAAAgBAAAPAAAAAAAAAAEAIAAAACIAAABkcnMvZG93bnJl&#10;di54bWxQSwECFAAUAAAACACHTuJAp/f+Yv8BAADxAwAADgAAAAAAAAABACAAAAAlAQAAZHJzL2Uy&#10;b0RvYy54bWxQSwUGAAAAAAYABgBZAQAAlgUAAAAA&#10;">
              <v:fill on="f" focussize="0,0"/>
              <v:stroke color="#000000" joinstyle="round"/>
              <v:imagedata o:title=""/>
              <o:lock v:ext="edit" aspectratio="f"/>
            </v:line>
          </w:pict>
        </mc:Fallback>
      </mc:AlternateContent>
    </w:r>
    <w:r>
      <w:rPr>
        <w:rFonts w:ascii="仿宋" w:hAnsi="仿宋" w:cs="仿宋"/>
      </w:rPr>
      <w:t>西安欣</w:t>
    </w:r>
    <w:r>
      <w:rPr>
        <w:rFonts w:ascii="仿宋" w:hAnsi="仿宋" w:cs="仿宋"/>
        <w:highlight w:val="none"/>
      </w:rPr>
      <w:t>华联建工程咨询有限</w:t>
    </w:r>
    <w:r>
      <w:rPr>
        <w:rFonts w:ascii="仿宋" w:hAnsi="仿宋" w:cs="仿宋"/>
      </w:rPr>
      <w:t xml:space="preserve">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仿宋" w:hAnsi="仿宋" w:cs="仿宋"/>
      </w:rPr>
    </w:pPr>
    <w:r>
      <w:rPr>
        <w:sz w:val="18"/>
      </w:rPr>
      <mc:AlternateContent>
        <mc:Choice Requires="wps">
          <w:drawing>
            <wp:anchor distT="0" distB="0" distL="114300" distR="114300" simplePos="0" relativeHeight="251666432" behindDoc="0" locked="0" layoutInCell="1" allowOverlap="1">
              <wp:simplePos x="0" y="0"/>
              <wp:positionH relativeFrom="margin">
                <wp:posOffset>2856230</wp:posOffset>
              </wp:positionH>
              <wp:positionV relativeFrom="paragraph">
                <wp:posOffset>158750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9pt;margin-top:12.5pt;height:144pt;width:144pt;mso-position-horizontal-relative:margin;mso-wrap-style:none;z-index:251666432;mso-width-relative:page;mso-height-relative:page;" filled="f" stroked="f" coordsize="21600,21600" o:gfxdata="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jOYC1wAAAAoBAAAPAAAAAAAAAAEAIAAAACIAAABkcnMvZG93bnJldi54bWxQ&#10;SwECFAAUAAAACACHTuJAqaivlTECAABjBAAADgAAAAAAAAABACAAAAAm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-26670</wp:posOffset>
              </wp:positionV>
              <wp:extent cx="617029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2.1pt;height:0.3pt;width:485.85pt;z-index:251662336;mso-width-relative:page;mso-height-relative:page;" filled="f" stroked="t" coordsize="21600,21600" o:gfxdata="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vh8h9QAAAAGAQAADwAAAAAAAAABACAAAAAiAAAAZHJzL2Rvd25yZXYueG1sUEsBAhQAFAAAAAgA&#10;h07iQOYXS1DwAQAA2wMAAA4AAAAAAAAAAQAgAAAAIwEAAGRycy9lMm9Eb2MueG1sUEsFBgAAAAAG&#10;AAYAWQEAAIUFAAAAAA==&#10;">
              <v:fill on="f" focussize="0,0"/>
              <v:stroke color="#000000" joinstyle="round"/>
              <v:imagedata o:title=""/>
              <o:lock v:ext="edit" aspectratio="f"/>
            </v:lin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435023895</wp:posOffset>
              </wp:positionV>
              <wp:extent cx="618934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89345" cy="7620"/>
                      </a:xfrm>
                      <a:prstGeom prst="line">
                        <a:avLst/>
                      </a:prstGeom>
                      <a:ln w="9525"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212.7pt;margin-top:34253.85pt;height:0.6pt;width:487.35pt;z-index:251660288;mso-width-relative:page;mso-height-relative:page;" filled="f" stroked="t" coordsize="21600,21600" o:gfxdata="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PUfu3AAAABABAAAPAAAAAAAAAAEAIAAAACIAAABkcnMvZG93bnJldi54bWxQSwEC&#10;FAAUAAAACACHTuJALlCdC/ABAADbAwAADgAAAAAAAAABACAAAAArAQAAZHJzL2Uyb0RvYy54bWxQ&#10;SwUGAAAAAAYABgBZAQAAjQUAAAAA&#10;">
              <v:fill on="f" focussize="0,0"/>
              <v:stroke color="#000000 [3213]" joinstyle="round"/>
              <v:imagedata o:title=""/>
              <o:lock v:ext="edit" aspectratio="f"/>
            </v:line>
          </w:pict>
        </mc:Fallback>
      </mc:AlternateContent>
    </w:r>
    <w:r>
      <w:rPr>
        <w:rFonts w:ascii="仿宋" w:hAnsi="仿宋" w:cs="仿宋"/>
      </w:rPr>
      <w:t>西安欣华联建工程咨询有限公司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widowControl/>
      <w:spacing w:line="240" w:lineRule="auto"/>
      <w:ind w:firstLine="0"/>
      <w:jc w:val="both"/>
      <w:rPr>
        <w:rFonts w:hint="eastAsia" w:ascii="仿宋" w:hAnsi="仿宋" w:eastAsia="仿宋" w:cs="仿宋"/>
        <w:sz w:val="18"/>
        <w:szCs w:val="18"/>
        <w:u w:val="single"/>
        <w:lang w:val="en-US" w:eastAsia="zh-CN"/>
      </w:rPr>
    </w:pPr>
    <w:r>
      <w:rPr>
        <w:rFonts w:hint="eastAsia" w:ascii="仿宋" w:hAnsi="仿宋" w:eastAsia="仿宋" w:cs="仿宋"/>
        <w:sz w:val="18"/>
        <w:szCs w:val="18"/>
        <w:highlight w:val="none"/>
        <w:u w:val="single"/>
      </w:rPr>
      <w:t>项目名称：</w:t>
    </w:r>
    <w:r>
      <w:rPr>
        <w:rFonts w:hint="eastAsia" w:ascii="仿宋" w:hAnsi="仿宋" w:eastAsia="仿宋" w:cs="仿宋"/>
        <w:sz w:val="18"/>
        <w:szCs w:val="18"/>
        <w:highlight w:val="none"/>
        <w:u w:val="single"/>
        <w:lang w:val="en-US" w:eastAsia="zh-CN"/>
      </w:rPr>
      <w:t>渭南市中心血站采血、供血设备采购项目（一包）</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highlight w:val="none"/>
        <w:u w:val="single"/>
        <w:lang w:val="en-US" w:eastAsia="zh-CN"/>
      </w:rPr>
      <w:t xml:space="preserve">         </w:t>
    </w:r>
    <w:r>
      <w:rPr>
        <w:rFonts w:hint="eastAsia" w:ascii="仿宋" w:hAnsi="仿宋" w:eastAsia="仿宋" w:cs="仿宋"/>
        <w:sz w:val="18"/>
        <w:szCs w:val="18"/>
        <w:highlight w:val="none"/>
        <w:u w:val="single"/>
      </w:rPr>
      <w:t xml:space="preserve">   项目编号：</w:t>
    </w:r>
    <w:r>
      <w:rPr>
        <w:rFonts w:hint="eastAsia" w:ascii="仿宋" w:hAnsi="仿宋" w:eastAsia="仿宋" w:cs="仿宋"/>
        <w:sz w:val="18"/>
        <w:szCs w:val="18"/>
        <w:highlight w:val="none"/>
        <w:u w:val="single"/>
        <w:lang w:eastAsia="zh-CN"/>
      </w:rPr>
      <w:t>XHLJZC-WN2022-054-1</w:t>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widowControl/>
      <w:spacing w:line="240" w:lineRule="auto"/>
      <w:ind w:firstLine="0"/>
      <w:jc w:val="both"/>
      <w:rPr>
        <w:rFonts w:hint="eastAsia" w:ascii="仿宋" w:hAnsi="仿宋" w:eastAsia="仿宋" w:cs="仿宋"/>
        <w:sz w:val="18"/>
        <w:szCs w:val="18"/>
        <w:highlight w:val="none"/>
        <w:u w:val="single"/>
        <w:lang w:val="en-US" w:eastAsia="zh-CN"/>
      </w:rPr>
    </w:pPr>
    <w:r>
      <w:rPr>
        <w:rFonts w:hint="eastAsia" w:ascii="仿宋" w:hAnsi="仿宋" w:eastAsia="仿宋" w:cs="仿宋"/>
        <w:sz w:val="18"/>
        <w:szCs w:val="18"/>
        <w:highlight w:val="none"/>
        <w:u w:val="single"/>
      </w:rPr>
      <w:t>项目名称：</w:t>
    </w:r>
    <w:r>
      <w:rPr>
        <w:rFonts w:hint="eastAsia" w:ascii="仿宋" w:hAnsi="仿宋" w:eastAsia="仿宋" w:cs="仿宋"/>
        <w:sz w:val="18"/>
        <w:szCs w:val="18"/>
        <w:highlight w:val="none"/>
        <w:u w:val="single"/>
        <w:lang w:eastAsia="zh-CN"/>
      </w:rPr>
      <w:t>渭南市中心血站采血、供血设备采购项目（一包）</w:t>
    </w:r>
    <w:r>
      <w:rPr>
        <w:rFonts w:hint="eastAsia" w:ascii="仿宋" w:hAnsi="仿宋" w:eastAsia="仿宋" w:cs="仿宋"/>
        <w:sz w:val="18"/>
        <w:szCs w:val="18"/>
        <w:u w:val="single"/>
      </w:rPr>
      <w:t xml:space="preserve">                     项目编号：</w:t>
    </w:r>
    <w:r>
      <w:rPr>
        <w:rFonts w:hint="eastAsia" w:ascii="仿宋" w:hAnsi="仿宋" w:eastAsia="仿宋" w:cs="仿宋"/>
        <w:sz w:val="18"/>
        <w:szCs w:val="18"/>
        <w:highlight w:val="none"/>
        <w:u w:val="single"/>
        <w:lang w:eastAsia="zh-CN"/>
      </w:rPr>
      <w:t>XHLJZC-WN2022-054-1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6312C"/>
    <w:multiLevelType w:val="singleLevel"/>
    <w:tmpl w:val="A906312C"/>
    <w:lvl w:ilvl="0" w:tentative="0">
      <w:start w:val="1"/>
      <w:numFmt w:val="decimal"/>
      <w:suff w:val="nothing"/>
      <w:lvlText w:val="%1、"/>
      <w:lvlJc w:val="left"/>
    </w:lvl>
  </w:abstractNum>
  <w:abstractNum w:abstractNumId="1">
    <w:nsid w:val="E8AA69F8"/>
    <w:multiLevelType w:val="singleLevel"/>
    <w:tmpl w:val="E8AA69F8"/>
    <w:lvl w:ilvl="0" w:tentative="0">
      <w:start w:val="1"/>
      <w:numFmt w:val="decimal"/>
      <w:suff w:val="nothing"/>
      <w:lvlText w:val="%1、"/>
      <w:lvlJc w:val="left"/>
    </w:lvl>
  </w:abstractNum>
  <w:abstractNum w:abstractNumId="2">
    <w:nsid w:val="F701290B"/>
    <w:multiLevelType w:val="singleLevel"/>
    <w:tmpl w:val="F701290B"/>
    <w:lvl w:ilvl="0" w:tentative="0">
      <w:start w:val="1"/>
      <w:numFmt w:val="bullet"/>
      <w:pStyle w:val="7"/>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6"/>
      <w:numFmt w:val="chineseCounting"/>
      <w:suff w:val="nothing"/>
      <w:lvlText w:val="%1、"/>
      <w:lvlJc w:val="left"/>
      <w:rPr>
        <w:rFonts w:hint="eastAsia"/>
      </w:rPr>
    </w:lvl>
  </w:abstractNum>
  <w:abstractNum w:abstractNumId="4">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893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567" w:firstLine="0"/>
      </w:pPr>
      <w:rPr>
        <w:rFonts w:hint="default" w:ascii="Book Antiqua" w:hAnsi="Book Antiqua" w:eastAsia="黑体" w:cs="Book Antiqua"/>
        <w:bCs/>
        <w:i w:val="0"/>
        <w:iCs w:val="0"/>
        <w:caps w:val="0"/>
        <w:strike w:val="0"/>
        <w:dstrike w:val="0"/>
        <w:vanish w:val="0"/>
        <w:color w:val="000000"/>
        <w:sz w:val="28"/>
        <w:szCs w:val="28"/>
        <w:vertAlign w:val="baseline"/>
      </w:rPr>
    </w:lvl>
    <w:lvl w:ilvl="4" w:tentative="0">
      <w:start w:val="1"/>
      <w:numFmt w:val="decimal"/>
      <w:pStyle w:val="5"/>
      <w:suff w:val="nothing"/>
      <w:lvlText w:val="%1.%2.%3.%4.%5 "/>
      <w:lvlJc w:val="left"/>
      <w:pPr>
        <w:ind w:left="0" w:firstLine="0"/>
      </w:pPr>
      <w:rPr>
        <w:rFonts w:hint="default" w:ascii="Book Antiqua" w:hAnsi="Book Antiqua" w:eastAsia="黑体" w:cs="Book Antiqua"/>
        <w:bCs/>
        <w:i w:val="0"/>
        <w:iCs w:val="0"/>
        <w:caps w:val="0"/>
        <w:strike w:val="0"/>
        <w:dstrike w:val="0"/>
        <w:vanish w:val="0"/>
        <w:color w:val="00000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strike w:val="0"/>
        <w:dstrike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Times New Roman" w:hAnsi="Times New Roman" w:eastAsia="黑体"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5">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60"/>
      <w:isLgl/>
      <w:lvlText w:val="%1.%2"/>
      <w:lvlJc w:val="left"/>
      <w:pPr>
        <w:tabs>
          <w:tab w:val="left" w:pos="851"/>
        </w:tabs>
        <w:ind w:left="0" w:firstLine="0"/>
      </w:pPr>
    </w:lvl>
    <w:lvl w:ilvl="2" w:tentative="0">
      <w:start w:val="1"/>
      <w:numFmt w:val="decimal"/>
      <w:pStyle w:val="61"/>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2ZmM4ZDQ0NDE5MGY3OGNlMDJlNDgxZjdlZTEwNTgifQ=="/>
  </w:docVars>
  <w:rsids>
    <w:rsidRoot w:val="33AC38C4"/>
    <w:rsid w:val="00092509"/>
    <w:rsid w:val="00125861"/>
    <w:rsid w:val="00177A77"/>
    <w:rsid w:val="002A00D3"/>
    <w:rsid w:val="00305807"/>
    <w:rsid w:val="00356A16"/>
    <w:rsid w:val="003F1F6D"/>
    <w:rsid w:val="00A30AAE"/>
    <w:rsid w:val="00CD5760"/>
    <w:rsid w:val="00D05FF6"/>
    <w:rsid w:val="00D17E27"/>
    <w:rsid w:val="00E964F2"/>
    <w:rsid w:val="01251650"/>
    <w:rsid w:val="0133656B"/>
    <w:rsid w:val="01572B5C"/>
    <w:rsid w:val="016775C2"/>
    <w:rsid w:val="02125666"/>
    <w:rsid w:val="02181133"/>
    <w:rsid w:val="021D3BB1"/>
    <w:rsid w:val="02547DE7"/>
    <w:rsid w:val="02551025"/>
    <w:rsid w:val="026C0C38"/>
    <w:rsid w:val="026C549F"/>
    <w:rsid w:val="02C22E4A"/>
    <w:rsid w:val="02CF7A3A"/>
    <w:rsid w:val="03085FB9"/>
    <w:rsid w:val="030E077B"/>
    <w:rsid w:val="031F2FA7"/>
    <w:rsid w:val="037A095A"/>
    <w:rsid w:val="03895AEB"/>
    <w:rsid w:val="038D6E90"/>
    <w:rsid w:val="03B15486"/>
    <w:rsid w:val="03E0629E"/>
    <w:rsid w:val="041A162E"/>
    <w:rsid w:val="04364B0E"/>
    <w:rsid w:val="043872C6"/>
    <w:rsid w:val="046F5689"/>
    <w:rsid w:val="049E0E2B"/>
    <w:rsid w:val="04C17856"/>
    <w:rsid w:val="04C62F3B"/>
    <w:rsid w:val="04CE504D"/>
    <w:rsid w:val="04D052A8"/>
    <w:rsid w:val="050B0C68"/>
    <w:rsid w:val="05B514BE"/>
    <w:rsid w:val="06074925"/>
    <w:rsid w:val="06171836"/>
    <w:rsid w:val="062736E9"/>
    <w:rsid w:val="06333633"/>
    <w:rsid w:val="063B1C58"/>
    <w:rsid w:val="06832FA6"/>
    <w:rsid w:val="069A0A43"/>
    <w:rsid w:val="06E12F07"/>
    <w:rsid w:val="06E423FD"/>
    <w:rsid w:val="06FF117C"/>
    <w:rsid w:val="07095757"/>
    <w:rsid w:val="07275415"/>
    <w:rsid w:val="0768045D"/>
    <w:rsid w:val="079E3E7E"/>
    <w:rsid w:val="07A37E3B"/>
    <w:rsid w:val="07FA6991"/>
    <w:rsid w:val="08173A67"/>
    <w:rsid w:val="082822EA"/>
    <w:rsid w:val="082F264E"/>
    <w:rsid w:val="083A0B3E"/>
    <w:rsid w:val="08435176"/>
    <w:rsid w:val="085D6CFC"/>
    <w:rsid w:val="087E1C52"/>
    <w:rsid w:val="08A75568"/>
    <w:rsid w:val="08B53E4F"/>
    <w:rsid w:val="08B551C5"/>
    <w:rsid w:val="08D54A99"/>
    <w:rsid w:val="08DA3F6B"/>
    <w:rsid w:val="08FC42A7"/>
    <w:rsid w:val="090B4355"/>
    <w:rsid w:val="09792717"/>
    <w:rsid w:val="09CE6635"/>
    <w:rsid w:val="0A2E0B4E"/>
    <w:rsid w:val="0B997ABD"/>
    <w:rsid w:val="0BAB4F7F"/>
    <w:rsid w:val="0BE605C9"/>
    <w:rsid w:val="0BE832C4"/>
    <w:rsid w:val="0BEF517C"/>
    <w:rsid w:val="0C19404B"/>
    <w:rsid w:val="0C1A3FB2"/>
    <w:rsid w:val="0C210B2D"/>
    <w:rsid w:val="0C6F6D18"/>
    <w:rsid w:val="0C7B0574"/>
    <w:rsid w:val="0C7B131D"/>
    <w:rsid w:val="0C822729"/>
    <w:rsid w:val="0C9238CE"/>
    <w:rsid w:val="0C957A6C"/>
    <w:rsid w:val="0CC37F8B"/>
    <w:rsid w:val="0CD13905"/>
    <w:rsid w:val="0CD21ED4"/>
    <w:rsid w:val="0CE67188"/>
    <w:rsid w:val="0D0758FB"/>
    <w:rsid w:val="0D693ECA"/>
    <w:rsid w:val="0D707DB3"/>
    <w:rsid w:val="0D797BC8"/>
    <w:rsid w:val="0DA20D97"/>
    <w:rsid w:val="0DA60ECE"/>
    <w:rsid w:val="0DAD0977"/>
    <w:rsid w:val="0DCF2C5E"/>
    <w:rsid w:val="0DD92C16"/>
    <w:rsid w:val="0E004658"/>
    <w:rsid w:val="0E8338C9"/>
    <w:rsid w:val="0F1A5F0A"/>
    <w:rsid w:val="0F3A512D"/>
    <w:rsid w:val="0F404305"/>
    <w:rsid w:val="0F652C69"/>
    <w:rsid w:val="0F9F17DF"/>
    <w:rsid w:val="0FA47B58"/>
    <w:rsid w:val="0FB00BF3"/>
    <w:rsid w:val="0FC41115"/>
    <w:rsid w:val="0FDB5CB2"/>
    <w:rsid w:val="100268E6"/>
    <w:rsid w:val="102F5835"/>
    <w:rsid w:val="103D6409"/>
    <w:rsid w:val="106A0DA2"/>
    <w:rsid w:val="107A1C12"/>
    <w:rsid w:val="109A258F"/>
    <w:rsid w:val="10B714E3"/>
    <w:rsid w:val="10CD70FB"/>
    <w:rsid w:val="10E11DAB"/>
    <w:rsid w:val="115A323C"/>
    <w:rsid w:val="117E0F7D"/>
    <w:rsid w:val="11B31BB8"/>
    <w:rsid w:val="11BF1C0B"/>
    <w:rsid w:val="11D7042A"/>
    <w:rsid w:val="11DD5E6D"/>
    <w:rsid w:val="11FF222F"/>
    <w:rsid w:val="1256784C"/>
    <w:rsid w:val="126D2A4F"/>
    <w:rsid w:val="12747D73"/>
    <w:rsid w:val="12794C71"/>
    <w:rsid w:val="12861559"/>
    <w:rsid w:val="12965A4B"/>
    <w:rsid w:val="12B75F6D"/>
    <w:rsid w:val="12CB3684"/>
    <w:rsid w:val="12D152D7"/>
    <w:rsid w:val="12D45DCF"/>
    <w:rsid w:val="12DF61CE"/>
    <w:rsid w:val="12E75533"/>
    <w:rsid w:val="12E85187"/>
    <w:rsid w:val="13022C38"/>
    <w:rsid w:val="13412693"/>
    <w:rsid w:val="135A2CE6"/>
    <w:rsid w:val="13670C33"/>
    <w:rsid w:val="13AB5CA8"/>
    <w:rsid w:val="14081E2D"/>
    <w:rsid w:val="144F1765"/>
    <w:rsid w:val="148F405C"/>
    <w:rsid w:val="14AD4931"/>
    <w:rsid w:val="14DE1D5E"/>
    <w:rsid w:val="153674A4"/>
    <w:rsid w:val="15433BB6"/>
    <w:rsid w:val="156D60D7"/>
    <w:rsid w:val="157A515D"/>
    <w:rsid w:val="15B63FD5"/>
    <w:rsid w:val="15B92641"/>
    <w:rsid w:val="162304BC"/>
    <w:rsid w:val="16257519"/>
    <w:rsid w:val="16451919"/>
    <w:rsid w:val="16C377AF"/>
    <w:rsid w:val="16D15293"/>
    <w:rsid w:val="17577A16"/>
    <w:rsid w:val="178860AD"/>
    <w:rsid w:val="178E63E4"/>
    <w:rsid w:val="17B11C21"/>
    <w:rsid w:val="17E23670"/>
    <w:rsid w:val="18063E8D"/>
    <w:rsid w:val="18161EDA"/>
    <w:rsid w:val="18361D9F"/>
    <w:rsid w:val="185A0B11"/>
    <w:rsid w:val="185B1FE2"/>
    <w:rsid w:val="18722EE9"/>
    <w:rsid w:val="18821758"/>
    <w:rsid w:val="189B2498"/>
    <w:rsid w:val="18AF707B"/>
    <w:rsid w:val="18B76B4E"/>
    <w:rsid w:val="18BB206F"/>
    <w:rsid w:val="18FF0F0B"/>
    <w:rsid w:val="192A099B"/>
    <w:rsid w:val="192F5A09"/>
    <w:rsid w:val="19390DD6"/>
    <w:rsid w:val="195833A8"/>
    <w:rsid w:val="19DD0D97"/>
    <w:rsid w:val="19FE3922"/>
    <w:rsid w:val="1A9B4369"/>
    <w:rsid w:val="1AB85319"/>
    <w:rsid w:val="1AE1170F"/>
    <w:rsid w:val="1AF328E2"/>
    <w:rsid w:val="1AF3324A"/>
    <w:rsid w:val="1AF52A73"/>
    <w:rsid w:val="1B070C4A"/>
    <w:rsid w:val="1BA82DA5"/>
    <w:rsid w:val="1C0D58A7"/>
    <w:rsid w:val="1C161137"/>
    <w:rsid w:val="1C4346E1"/>
    <w:rsid w:val="1C8A5169"/>
    <w:rsid w:val="1CA51B98"/>
    <w:rsid w:val="1CC71802"/>
    <w:rsid w:val="1CC7698B"/>
    <w:rsid w:val="1CD026E5"/>
    <w:rsid w:val="1D607FF8"/>
    <w:rsid w:val="1DAE63EC"/>
    <w:rsid w:val="1DD82485"/>
    <w:rsid w:val="1E50465B"/>
    <w:rsid w:val="1EB124AC"/>
    <w:rsid w:val="1EC024D4"/>
    <w:rsid w:val="1F022AED"/>
    <w:rsid w:val="1F27545C"/>
    <w:rsid w:val="1F800B2C"/>
    <w:rsid w:val="1F810364"/>
    <w:rsid w:val="1F8169D4"/>
    <w:rsid w:val="1F875009"/>
    <w:rsid w:val="1F9E2816"/>
    <w:rsid w:val="1FBD518F"/>
    <w:rsid w:val="1FD20E64"/>
    <w:rsid w:val="1FE132C7"/>
    <w:rsid w:val="20051926"/>
    <w:rsid w:val="20120B0E"/>
    <w:rsid w:val="20B449AA"/>
    <w:rsid w:val="20FB1D7B"/>
    <w:rsid w:val="21123BCD"/>
    <w:rsid w:val="211F33D1"/>
    <w:rsid w:val="213071EA"/>
    <w:rsid w:val="218E3F36"/>
    <w:rsid w:val="21CB366A"/>
    <w:rsid w:val="21CD3DC1"/>
    <w:rsid w:val="22D96755"/>
    <w:rsid w:val="22F02194"/>
    <w:rsid w:val="233A5D99"/>
    <w:rsid w:val="234A25AF"/>
    <w:rsid w:val="23610BF5"/>
    <w:rsid w:val="23A777BF"/>
    <w:rsid w:val="23BE00B4"/>
    <w:rsid w:val="23C65C05"/>
    <w:rsid w:val="23CB1530"/>
    <w:rsid w:val="23DA31F7"/>
    <w:rsid w:val="24053063"/>
    <w:rsid w:val="24186728"/>
    <w:rsid w:val="242D725F"/>
    <w:rsid w:val="24391FCC"/>
    <w:rsid w:val="245C416B"/>
    <w:rsid w:val="24665464"/>
    <w:rsid w:val="24A4303F"/>
    <w:rsid w:val="24A85F4F"/>
    <w:rsid w:val="25244A61"/>
    <w:rsid w:val="252F0844"/>
    <w:rsid w:val="25343F66"/>
    <w:rsid w:val="259B2DFF"/>
    <w:rsid w:val="25B25376"/>
    <w:rsid w:val="25DC4787"/>
    <w:rsid w:val="25F807A6"/>
    <w:rsid w:val="260C0FF2"/>
    <w:rsid w:val="260E64C3"/>
    <w:rsid w:val="263E2746"/>
    <w:rsid w:val="264F2CFF"/>
    <w:rsid w:val="268B0DAE"/>
    <w:rsid w:val="26A02BC0"/>
    <w:rsid w:val="26B05C38"/>
    <w:rsid w:val="26E54B5E"/>
    <w:rsid w:val="270B2383"/>
    <w:rsid w:val="273121C1"/>
    <w:rsid w:val="276F005E"/>
    <w:rsid w:val="27B739E2"/>
    <w:rsid w:val="27D119AC"/>
    <w:rsid w:val="280C2903"/>
    <w:rsid w:val="286208D7"/>
    <w:rsid w:val="286A6ED2"/>
    <w:rsid w:val="28757F59"/>
    <w:rsid w:val="289C346E"/>
    <w:rsid w:val="28B36234"/>
    <w:rsid w:val="28F2772E"/>
    <w:rsid w:val="29080D00"/>
    <w:rsid w:val="290D0804"/>
    <w:rsid w:val="29104399"/>
    <w:rsid w:val="29236F71"/>
    <w:rsid w:val="29343186"/>
    <w:rsid w:val="29912B16"/>
    <w:rsid w:val="29A7676B"/>
    <w:rsid w:val="29C553E2"/>
    <w:rsid w:val="29E637CA"/>
    <w:rsid w:val="2A03190E"/>
    <w:rsid w:val="2A853B8B"/>
    <w:rsid w:val="2A8C2A8A"/>
    <w:rsid w:val="2A8E16D9"/>
    <w:rsid w:val="2A923EAF"/>
    <w:rsid w:val="2AA61E69"/>
    <w:rsid w:val="2AB91A60"/>
    <w:rsid w:val="2AC1125F"/>
    <w:rsid w:val="2AD1375B"/>
    <w:rsid w:val="2AD748CF"/>
    <w:rsid w:val="2AE850A9"/>
    <w:rsid w:val="2B17490F"/>
    <w:rsid w:val="2B526AAD"/>
    <w:rsid w:val="2B6373AC"/>
    <w:rsid w:val="2B7B0336"/>
    <w:rsid w:val="2BAE1743"/>
    <w:rsid w:val="2BD9203A"/>
    <w:rsid w:val="2C1B6C4D"/>
    <w:rsid w:val="2C2E0A7D"/>
    <w:rsid w:val="2C326C88"/>
    <w:rsid w:val="2C4C0E86"/>
    <w:rsid w:val="2C543180"/>
    <w:rsid w:val="2C584DD0"/>
    <w:rsid w:val="2C622328"/>
    <w:rsid w:val="2C725028"/>
    <w:rsid w:val="2C770AFE"/>
    <w:rsid w:val="2CAC5589"/>
    <w:rsid w:val="2CCB6732"/>
    <w:rsid w:val="2CFD76BC"/>
    <w:rsid w:val="2D006ED4"/>
    <w:rsid w:val="2D445CBE"/>
    <w:rsid w:val="2D48136A"/>
    <w:rsid w:val="2E11244C"/>
    <w:rsid w:val="2E5346AA"/>
    <w:rsid w:val="2E7C29F5"/>
    <w:rsid w:val="2EBF0997"/>
    <w:rsid w:val="2EF2727F"/>
    <w:rsid w:val="2EFA4735"/>
    <w:rsid w:val="2F375C5E"/>
    <w:rsid w:val="2F3D6450"/>
    <w:rsid w:val="2F3E6E42"/>
    <w:rsid w:val="2F66122A"/>
    <w:rsid w:val="2F690E5A"/>
    <w:rsid w:val="2F6E3407"/>
    <w:rsid w:val="2F78470D"/>
    <w:rsid w:val="2F9F3CF3"/>
    <w:rsid w:val="2FB716BC"/>
    <w:rsid w:val="2FD83198"/>
    <w:rsid w:val="2FE6203B"/>
    <w:rsid w:val="2FF275D2"/>
    <w:rsid w:val="2FFD02C4"/>
    <w:rsid w:val="30096B09"/>
    <w:rsid w:val="302D6332"/>
    <w:rsid w:val="303135DC"/>
    <w:rsid w:val="303D1AEB"/>
    <w:rsid w:val="30434E15"/>
    <w:rsid w:val="30502980"/>
    <w:rsid w:val="30593508"/>
    <w:rsid w:val="30A17D94"/>
    <w:rsid w:val="30DF3E57"/>
    <w:rsid w:val="30F05D12"/>
    <w:rsid w:val="30F95388"/>
    <w:rsid w:val="30FE0FDD"/>
    <w:rsid w:val="30FF49EA"/>
    <w:rsid w:val="31036594"/>
    <w:rsid w:val="311873C2"/>
    <w:rsid w:val="3130699B"/>
    <w:rsid w:val="31830FE6"/>
    <w:rsid w:val="3185533B"/>
    <w:rsid w:val="319071E5"/>
    <w:rsid w:val="319234CF"/>
    <w:rsid w:val="31C72034"/>
    <w:rsid w:val="320100F1"/>
    <w:rsid w:val="325E0DB4"/>
    <w:rsid w:val="32763F3A"/>
    <w:rsid w:val="32952294"/>
    <w:rsid w:val="32C742B8"/>
    <w:rsid w:val="32D132FA"/>
    <w:rsid w:val="33247082"/>
    <w:rsid w:val="33372F5E"/>
    <w:rsid w:val="336A6FAF"/>
    <w:rsid w:val="33AC38C4"/>
    <w:rsid w:val="33D17133"/>
    <w:rsid w:val="33E51D62"/>
    <w:rsid w:val="33F312C7"/>
    <w:rsid w:val="34036C94"/>
    <w:rsid w:val="341944A9"/>
    <w:rsid w:val="343611C6"/>
    <w:rsid w:val="345D4FB9"/>
    <w:rsid w:val="345D532D"/>
    <w:rsid w:val="345D61A1"/>
    <w:rsid w:val="34836916"/>
    <w:rsid w:val="34FB5BBD"/>
    <w:rsid w:val="352B6A18"/>
    <w:rsid w:val="353B0B9B"/>
    <w:rsid w:val="355A21C6"/>
    <w:rsid w:val="35866518"/>
    <w:rsid w:val="35CE4683"/>
    <w:rsid w:val="361E4AE6"/>
    <w:rsid w:val="36203BF5"/>
    <w:rsid w:val="36255C44"/>
    <w:rsid w:val="36285FDD"/>
    <w:rsid w:val="36382F77"/>
    <w:rsid w:val="36A70DF2"/>
    <w:rsid w:val="36EA6E66"/>
    <w:rsid w:val="37092AF7"/>
    <w:rsid w:val="3715740A"/>
    <w:rsid w:val="376F6EDF"/>
    <w:rsid w:val="377B3BDF"/>
    <w:rsid w:val="379C71E3"/>
    <w:rsid w:val="37D55376"/>
    <w:rsid w:val="37FB5F35"/>
    <w:rsid w:val="380F07E5"/>
    <w:rsid w:val="38397632"/>
    <w:rsid w:val="384321A7"/>
    <w:rsid w:val="384C6E5B"/>
    <w:rsid w:val="38510044"/>
    <w:rsid w:val="386463E1"/>
    <w:rsid w:val="38911194"/>
    <w:rsid w:val="389F0D88"/>
    <w:rsid w:val="38FF472E"/>
    <w:rsid w:val="3942200C"/>
    <w:rsid w:val="395A08EE"/>
    <w:rsid w:val="39696C18"/>
    <w:rsid w:val="39940230"/>
    <w:rsid w:val="39961511"/>
    <w:rsid w:val="39AD120F"/>
    <w:rsid w:val="39F468B8"/>
    <w:rsid w:val="39FE7232"/>
    <w:rsid w:val="3A2B3842"/>
    <w:rsid w:val="3A383F90"/>
    <w:rsid w:val="3A994551"/>
    <w:rsid w:val="3AA233B0"/>
    <w:rsid w:val="3AE30638"/>
    <w:rsid w:val="3B2918C2"/>
    <w:rsid w:val="3B4D00F6"/>
    <w:rsid w:val="3B4D383B"/>
    <w:rsid w:val="3B5C1AB6"/>
    <w:rsid w:val="3BC22A08"/>
    <w:rsid w:val="3BD648D2"/>
    <w:rsid w:val="3C21415B"/>
    <w:rsid w:val="3C281A27"/>
    <w:rsid w:val="3CBD429C"/>
    <w:rsid w:val="3CDB4347"/>
    <w:rsid w:val="3D2C23B6"/>
    <w:rsid w:val="3D5F13DF"/>
    <w:rsid w:val="3D785C32"/>
    <w:rsid w:val="3D8A6036"/>
    <w:rsid w:val="3DBE7E92"/>
    <w:rsid w:val="3DCB380D"/>
    <w:rsid w:val="3DCC58DF"/>
    <w:rsid w:val="3DCE22E0"/>
    <w:rsid w:val="3E49086C"/>
    <w:rsid w:val="3EE02273"/>
    <w:rsid w:val="3EE377F9"/>
    <w:rsid w:val="3EEC2F11"/>
    <w:rsid w:val="3F5457EA"/>
    <w:rsid w:val="3F7352B7"/>
    <w:rsid w:val="40011D73"/>
    <w:rsid w:val="40453D92"/>
    <w:rsid w:val="406B603B"/>
    <w:rsid w:val="407C4D82"/>
    <w:rsid w:val="40816CD3"/>
    <w:rsid w:val="408D2CE0"/>
    <w:rsid w:val="40A94E35"/>
    <w:rsid w:val="40E13EB9"/>
    <w:rsid w:val="40E702D3"/>
    <w:rsid w:val="40F47DD2"/>
    <w:rsid w:val="413D2FBF"/>
    <w:rsid w:val="415E19AD"/>
    <w:rsid w:val="41730511"/>
    <w:rsid w:val="42175DE6"/>
    <w:rsid w:val="42197AF1"/>
    <w:rsid w:val="42294680"/>
    <w:rsid w:val="4247603F"/>
    <w:rsid w:val="42504AB8"/>
    <w:rsid w:val="4254669C"/>
    <w:rsid w:val="426D74C6"/>
    <w:rsid w:val="42A07990"/>
    <w:rsid w:val="42B0369E"/>
    <w:rsid w:val="42B338F6"/>
    <w:rsid w:val="42E44952"/>
    <w:rsid w:val="430A7413"/>
    <w:rsid w:val="43173315"/>
    <w:rsid w:val="434626F9"/>
    <w:rsid w:val="434837CD"/>
    <w:rsid w:val="43491BA1"/>
    <w:rsid w:val="43635059"/>
    <w:rsid w:val="43E96A97"/>
    <w:rsid w:val="43EE5D8E"/>
    <w:rsid w:val="441D629E"/>
    <w:rsid w:val="44307034"/>
    <w:rsid w:val="44315157"/>
    <w:rsid w:val="443835DA"/>
    <w:rsid w:val="44420495"/>
    <w:rsid w:val="4493530C"/>
    <w:rsid w:val="44972AB2"/>
    <w:rsid w:val="44E110EC"/>
    <w:rsid w:val="450E3FAF"/>
    <w:rsid w:val="45474CFD"/>
    <w:rsid w:val="458324DC"/>
    <w:rsid w:val="458A7B18"/>
    <w:rsid w:val="45A879D2"/>
    <w:rsid w:val="45BC03DE"/>
    <w:rsid w:val="45BE781E"/>
    <w:rsid w:val="45D97854"/>
    <w:rsid w:val="46036683"/>
    <w:rsid w:val="462A4554"/>
    <w:rsid w:val="464C43F1"/>
    <w:rsid w:val="46670546"/>
    <w:rsid w:val="46695C48"/>
    <w:rsid w:val="46972647"/>
    <w:rsid w:val="469A6FE4"/>
    <w:rsid w:val="46A906DF"/>
    <w:rsid w:val="471D15E2"/>
    <w:rsid w:val="474433F3"/>
    <w:rsid w:val="47874CB9"/>
    <w:rsid w:val="4799269C"/>
    <w:rsid w:val="479E7FE4"/>
    <w:rsid w:val="479F3B90"/>
    <w:rsid w:val="47B37D20"/>
    <w:rsid w:val="47C02A7A"/>
    <w:rsid w:val="48057CEF"/>
    <w:rsid w:val="482C5A25"/>
    <w:rsid w:val="48527724"/>
    <w:rsid w:val="48806167"/>
    <w:rsid w:val="48917A25"/>
    <w:rsid w:val="489C3950"/>
    <w:rsid w:val="48A73A31"/>
    <w:rsid w:val="48AB5C8A"/>
    <w:rsid w:val="48FE35AC"/>
    <w:rsid w:val="491311E3"/>
    <w:rsid w:val="492E4B02"/>
    <w:rsid w:val="494E3998"/>
    <w:rsid w:val="4A0C18D0"/>
    <w:rsid w:val="4A336FB4"/>
    <w:rsid w:val="4A4D3308"/>
    <w:rsid w:val="4A781DF1"/>
    <w:rsid w:val="4A783AE0"/>
    <w:rsid w:val="4A8D192B"/>
    <w:rsid w:val="4A9A20BA"/>
    <w:rsid w:val="4AFA296E"/>
    <w:rsid w:val="4B1911F2"/>
    <w:rsid w:val="4B4B7D18"/>
    <w:rsid w:val="4B5F57F5"/>
    <w:rsid w:val="4B656869"/>
    <w:rsid w:val="4B6D34E6"/>
    <w:rsid w:val="4B7440C2"/>
    <w:rsid w:val="4B8B5559"/>
    <w:rsid w:val="4BBF1C15"/>
    <w:rsid w:val="4BF13283"/>
    <w:rsid w:val="4C2A466B"/>
    <w:rsid w:val="4C392DFB"/>
    <w:rsid w:val="4CB80080"/>
    <w:rsid w:val="4CB9412E"/>
    <w:rsid w:val="4CCA52F1"/>
    <w:rsid w:val="4CF055EE"/>
    <w:rsid w:val="4CF45063"/>
    <w:rsid w:val="4D1214E6"/>
    <w:rsid w:val="4D6B7310"/>
    <w:rsid w:val="4D863560"/>
    <w:rsid w:val="4D924CCF"/>
    <w:rsid w:val="4D9D2EC2"/>
    <w:rsid w:val="4DA11DD8"/>
    <w:rsid w:val="4DAD7DED"/>
    <w:rsid w:val="4DD95D49"/>
    <w:rsid w:val="4E0C4693"/>
    <w:rsid w:val="4E141781"/>
    <w:rsid w:val="4E6F45A6"/>
    <w:rsid w:val="4ED93C8A"/>
    <w:rsid w:val="4EE3431C"/>
    <w:rsid w:val="4F2A03A3"/>
    <w:rsid w:val="4F9F29BD"/>
    <w:rsid w:val="4FC6772C"/>
    <w:rsid w:val="4FCD60AC"/>
    <w:rsid w:val="4FCF54F6"/>
    <w:rsid w:val="4FDE5F20"/>
    <w:rsid w:val="502D6AE4"/>
    <w:rsid w:val="503E5A6A"/>
    <w:rsid w:val="504D5656"/>
    <w:rsid w:val="50A65E90"/>
    <w:rsid w:val="50CD548F"/>
    <w:rsid w:val="51144B85"/>
    <w:rsid w:val="512D2052"/>
    <w:rsid w:val="512F1C2D"/>
    <w:rsid w:val="51477D68"/>
    <w:rsid w:val="515F72D3"/>
    <w:rsid w:val="516E78A7"/>
    <w:rsid w:val="51DA4902"/>
    <w:rsid w:val="51F6547F"/>
    <w:rsid w:val="51FF1C32"/>
    <w:rsid w:val="52076CA1"/>
    <w:rsid w:val="520C1704"/>
    <w:rsid w:val="520F5A57"/>
    <w:rsid w:val="52665C2B"/>
    <w:rsid w:val="527D3C92"/>
    <w:rsid w:val="52805540"/>
    <w:rsid w:val="5284715E"/>
    <w:rsid w:val="52A1549E"/>
    <w:rsid w:val="52CF1307"/>
    <w:rsid w:val="5304612E"/>
    <w:rsid w:val="53146793"/>
    <w:rsid w:val="53182DF7"/>
    <w:rsid w:val="532F3584"/>
    <w:rsid w:val="5334431C"/>
    <w:rsid w:val="5341266C"/>
    <w:rsid w:val="53483599"/>
    <w:rsid w:val="53537745"/>
    <w:rsid w:val="53B77530"/>
    <w:rsid w:val="541169F0"/>
    <w:rsid w:val="5451159E"/>
    <w:rsid w:val="54977258"/>
    <w:rsid w:val="54B020C8"/>
    <w:rsid w:val="54CB2162"/>
    <w:rsid w:val="55105DB4"/>
    <w:rsid w:val="55275834"/>
    <w:rsid w:val="55366A71"/>
    <w:rsid w:val="559D089E"/>
    <w:rsid w:val="55AC1D61"/>
    <w:rsid w:val="55F06C20"/>
    <w:rsid w:val="564776D2"/>
    <w:rsid w:val="564D747D"/>
    <w:rsid w:val="569C2BBB"/>
    <w:rsid w:val="56AA6EF5"/>
    <w:rsid w:val="56CB2EF7"/>
    <w:rsid w:val="572E7A1B"/>
    <w:rsid w:val="57616E10"/>
    <w:rsid w:val="577337DA"/>
    <w:rsid w:val="57B32A0E"/>
    <w:rsid w:val="57D04C5C"/>
    <w:rsid w:val="57D7497F"/>
    <w:rsid w:val="57DF0403"/>
    <w:rsid w:val="57E53AE8"/>
    <w:rsid w:val="57EE710F"/>
    <w:rsid w:val="57FD00E5"/>
    <w:rsid w:val="581038EE"/>
    <w:rsid w:val="583210E1"/>
    <w:rsid w:val="58526DEF"/>
    <w:rsid w:val="587E29C7"/>
    <w:rsid w:val="58AC28C3"/>
    <w:rsid w:val="58B30533"/>
    <w:rsid w:val="58E722DE"/>
    <w:rsid w:val="58FC29ED"/>
    <w:rsid w:val="595C637A"/>
    <w:rsid w:val="59BD4FF3"/>
    <w:rsid w:val="59E06FAB"/>
    <w:rsid w:val="59EE244B"/>
    <w:rsid w:val="59F22AD8"/>
    <w:rsid w:val="59FE4EE4"/>
    <w:rsid w:val="5A12004C"/>
    <w:rsid w:val="5A2B266A"/>
    <w:rsid w:val="5A543D99"/>
    <w:rsid w:val="5A6058D2"/>
    <w:rsid w:val="5A6E49E2"/>
    <w:rsid w:val="5A7933FD"/>
    <w:rsid w:val="5AEE2378"/>
    <w:rsid w:val="5B047FBF"/>
    <w:rsid w:val="5B37645A"/>
    <w:rsid w:val="5B4A3485"/>
    <w:rsid w:val="5B55074A"/>
    <w:rsid w:val="5B67136F"/>
    <w:rsid w:val="5B711CD4"/>
    <w:rsid w:val="5B7855EB"/>
    <w:rsid w:val="5B950086"/>
    <w:rsid w:val="5B995664"/>
    <w:rsid w:val="5BCB3845"/>
    <w:rsid w:val="5BE6384E"/>
    <w:rsid w:val="5BF92E16"/>
    <w:rsid w:val="5C2417CB"/>
    <w:rsid w:val="5C313755"/>
    <w:rsid w:val="5C4307BC"/>
    <w:rsid w:val="5C65668A"/>
    <w:rsid w:val="5CA04637"/>
    <w:rsid w:val="5CA82BF8"/>
    <w:rsid w:val="5CAE35A5"/>
    <w:rsid w:val="5CD66177"/>
    <w:rsid w:val="5CE9729B"/>
    <w:rsid w:val="5D5E4DB7"/>
    <w:rsid w:val="5D9756BA"/>
    <w:rsid w:val="5D9B02E7"/>
    <w:rsid w:val="5DCB13D2"/>
    <w:rsid w:val="5DCC13A2"/>
    <w:rsid w:val="5DE828D3"/>
    <w:rsid w:val="5DEC0485"/>
    <w:rsid w:val="5E1967BC"/>
    <w:rsid w:val="5E5105EC"/>
    <w:rsid w:val="5EC46585"/>
    <w:rsid w:val="5ECA5B63"/>
    <w:rsid w:val="5EE82966"/>
    <w:rsid w:val="5F15731E"/>
    <w:rsid w:val="5F226AC0"/>
    <w:rsid w:val="5F4F0E5B"/>
    <w:rsid w:val="5F7F30AD"/>
    <w:rsid w:val="5F8E4ADB"/>
    <w:rsid w:val="5F9D5229"/>
    <w:rsid w:val="5FB6394F"/>
    <w:rsid w:val="5FD20EE7"/>
    <w:rsid w:val="600663C8"/>
    <w:rsid w:val="601E082E"/>
    <w:rsid w:val="604B6DE1"/>
    <w:rsid w:val="60A11F6C"/>
    <w:rsid w:val="60A71681"/>
    <w:rsid w:val="60B15E34"/>
    <w:rsid w:val="60BE084A"/>
    <w:rsid w:val="60D1050D"/>
    <w:rsid w:val="60EE1A26"/>
    <w:rsid w:val="612E1B66"/>
    <w:rsid w:val="61701AC5"/>
    <w:rsid w:val="61730824"/>
    <w:rsid w:val="617A4B16"/>
    <w:rsid w:val="61855B5F"/>
    <w:rsid w:val="61920181"/>
    <w:rsid w:val="61A84853"/>
    <w:rsid w:val="61CB3BB7"/>
    <w:rsid w:val="62016730"/>
    <w:rsid w:val="622B6426"/>
    <w:rsid w:val="627B7E9F"/>
    <w:rsid w:val="628F33AD"/>
    <w:rsid w:val="629972EB"/>
    <w:rsid w:val="62A86574"/>
    <w:rsid w:val="62B80608"/>
    <w:rsid w:val="62BE2FF3"/>
    <w:rsid w:val="62CD613F"/>
    <w:rsid w:val="62DD1F8C"/>
    <w:rsid w:val="632112A7"/>
    <w:rsid w:val="63275CF4"/>
    <w:rsid w:val="63346127"/>
    <w:rsid w:val="63402BEB"/>
    <w:rsid w:val="635307EE"/>
    <w:rsid w:val="63B95F87"/>
    <w:rsid w:val="63CB474D"/>
    <w:rsid w:val="640B2635"/>
    <w:rsid w:val="642E6818"/>
    <w:rsid w:val="643A741C"/>
    <w:rsid w:val="64872CE3"/>
    <w:rsid w:val="64BC1286"/>
    <w:rsid w:val="64C23E7D"/>
    <w:rsid w:val="64CC6A7E"/>
    <w:rsid w:val="64DA7D1F"/>
    <w:rsid w:val="64F977F6"/>
    <w:rsid w:val="652F13E7"/>
    <w:rsid w:val="655F7541"/>
    <w:rsid w:val="658E3D9A"/>
    <w:rsid w:val="65AD202F"/>
    <w:rsid w:val="65BE010D"/>
    <w:rsid w:val="65DE0F69"/>
    <w:rsid w:val="660C21F0"/>
    <w:rsid w:val="66205B10"/>
    <w:rsid w:val="66382375"/>
    <w:rsid w:val="66471A99"/>
    <w:rsid w:val="66591E7D"/>
    <w:rsid w:val="66D10C23"/>
    <w:rsid w:val="66D432C5"/>
    <w:rsid w:val="671C645D"/>
    <w:rsid w:val="672577A4"/>
    <w:rsid w:val="674A4E86"/>
    <w:rsid w:val="676D7D71"/>
    <w:rsid w:val="67722252"/>
    <w:rsid w:val="67831661"/>
    <w:rsid w:val="67F05B9A"/>
    <w:rsid w:val="68140C13"/>
    <w:rsid w:val="68374AD9"/>
    <w:rsid w:val="68586BE7"/>
    <w:rsid w:val="68615801"/>
    <w:rsid w:val="686235C4"/>
    <w:rsid w:val="688356D2"/>
    <w:rsid w:val="68C1269E"/>
    <w:rsid w:val="68FB170C"/>
    <w:rsid w:val="690F6F65"/>
    <w:rsid w:val="6921379E"/>
    <w:rsid w:val="693D7F76"/>
    <w:rsid w:val="69440852"/>
    <w:rsid w:val="69A16757"/>
    <w:rsid w:val="69B71022"/>
    <w:rsid w:val="69BC1474"/>
    <w:rsid w:val="69CA4C6F"/>
    <w:rsid w:val="69D26857"/>
    <w:rsid w:val="69DE0CFA"/>
    <w:rsid w:val="6A0E6B66"/>
    <w:rsid w:val="6A1055C1"/>
    <w:rsid w:val="6A4E534E"/>
    <w:rsid w:val="6A5827AD"/>
    <w:rsid w:val="6A582B68"/>
    <w:rsid w:val="6A6E23B2"/>
    <w:rsid w:val="6AD34B93"/>
    <w:rsid w:val="6AE70738"/>
    <w:rsid w:val="6AF44DEA"/>
    <w:rsid w:val="6AF61231"/>
    <w:rsid w:val="6B5E5F23"/>
    <w:rsid w:val="6B647ABE"/>
    <w:rsid w:val="6BD04C1C"/>
    <w:rsid w:val="6C1E15B2"/>
    <w:rsid w:val="6C2860BB"/>
    <w:rsid w:val="6C2E3BA6"/>
    <w:rsid w:val="6C3B3902"/>
    <w:rsid w:val="6C4312E5"/>
    <w:rsid w:val="6C526C75"/>
    <w:rsid w:val="6C79053B"/>
    <w:rsid w:val="6C894C5E"/>
    <w:rsid w:val="6C926F4B"/>
    <w:rsid w:val="6C9436BB"/>
    <w:rsid w:val="6CC35851"/>
    <w:rsid w:val="6CD05E9D"/>
    <w:rsid w:val="6CDF30F3"/>
    <w:rsid w:val="6CEC56BD"/>
    <w:rsid w:val="6CEE2283"/>
    <w:rsid w:val="6D2106FC"/>
    <w:rsid w:val="6D263819"/>
    <w:rsid w:val="6D66660A"/>
    <w:rsid w:val="6DAB69A9"/>
    <w:rsid w:val="6DB52397"/>
    <w:rsid w:val="6DB84779"/>
    <w:rsid w:val="6DDD6884"/>
    <w:rsid w:val="6DFC11BE"/>
    <w:rsid w:val="6E00303C"/>
    <w:rsid w:val="6E1F4345"/>
    <w:rsid w:val="6E462E06"/>
    <w:rsid w:val="6E6A2D9D"/>
    <w:rsid w:val="6EA22A4F"/>
    <w:rsid w:val="6EAF1446"/>
    <w:rsid w:val="6ECB392F"/>
    <w:rsid w:val="6ED0600D"/>
    <w:rsid w:val="6ED40B07"/>
    <w:rsid w:val="6ED451A6"/>
    <w:rsid w:val="6EDA6084"/>
    <w:rsid w:val="6EED3168"/>
    <w:rsid w:val="6F630851"/>
    <w:rsid w:val="6F895208"/>
    <w:rsid w:val="6F996B23"/>
    <w:rsid w:val="6FB870D9"/>
    <w:rsid w:val="70844E4F"/>
    <w:rsid w:val="70DC1F64"/>
    <w:rsid w:val="7132025E"/>
    <w:rsid w:val="714E6684"/>
    <w:rsid w:val="718A139B"/>
    <w:rsid w:val="71C3127A"/>
    <w:rsid w:val="71E5348D"/>
    <w:rsid w:val="72060891"/>
    <w:rsid w:val="7217111C"/>
    <w:rsid w:val="72245DBC"/>
    <w:rsid w:val="72377874"/>
    <w:rsid w:val="727B1415"/>
    <w:rsid w:val="72F02F4D"/>
    <w:rsid w:val="7326711B"/>
    <w:rsid w:val="73277329"/>
    <w:rsid w:val="73337CF4"/>
    <w:rsid w:val="73357F10"/>
    <w:rsid w:val="73563865"/>
    <w:rsid w:val="735710F7"/>
    <w:rsid w:val="73A723E2"/>
    <w:rsid w:val="73AC5D54"/>
    <w:rsid w:val="73BA4A84"/>
    <w:rsid w:val="73C46132"/>
    <w:rsid w:val="74017DE6"/>
    <w:rsid w:val="740622CB"/>
    <w:rsid w:val="746B47D1"/>
    <w:rsid w:val="747951E9"/>
    <w:rsid w:val="74884519"/>
    <w:rsid w:val="749F5E1A"/>
    <w:rsid w:val="74B2348B"/>
    <w:rsid w:val="74B4645F"/>
    <w:rsid w:val="74DD759C"/>
    <w:rsid w:val="74FC2155"/>
    <w:rsid w:val="759043E0"/>
    <w:rsid w:val="759F3B3B"/>
    <w:rsid w:val="75C8506C"/>
    <w:rsid w:val="75DA7B6D"/>
    <w:rsid w:val="75FE70F2"/>
    <w:rsid w:val="76464DAE"/>
    <w:rsid w:val="765E465B"/>
    <w:rsid w:val="76663335"/>
    <w:rsid w:val="766E7FC7"/>
    <w:rsid w:val="76791BE6"/>
    <w:rsid w:val="767B5C09"/>
    <w:rsid w:val="76995199"/>
    <w:rsid w:val="769C6556"/>
    <w:rsid w:val="76A73F43"/>
    <w:rsid w:val="76C50092"/>
    <w:rsid w:val="76E11628"/>
    <w:rsid w:val="76F77C4B"/>
    <w:rsid w:val="7739189D"/>
    <w:rsid w:val="7778705E"/>
    <w:rsid w:val="777F205E"/>
    <w:rsid w:val="7792638A"/>
    <w:rsid w:val="77A96839"/>
    <w:rsid w:val="77C55F12"/>
    <w:rsid w:val="77FE193C"/>
    <w:rsid w:val="7812483A"/>
    <w:rsid w:val="787F1801"/>
    <w:rsid w:val="788A03B6"/>
    <w:rsid w:val="78A27DF6"/>
    <w:rsid w:val="78BB4F9B"/>
    <w:rsid w:val="78C57DBA"/>
    <w:rsid w:val="78F362FD"/>
    <w:rsid w:val="78FB135E"/>
    <w:rsid w:val="78FC150D"/>
    <w:rsid w:val="79445BD1"/>
    <w:rsid w:val="795E7133"/>
    <w:rsid w:val="796079BE"/>
    <w:rsid w:val="79AB41EE"/>
    <w:rsid w:val="79EF6B1D"/>
    <w:rsid w:val="7A0837FC"/>
    <w:rsid w:val="7A147910"/>
    <w:rsid w:val="7A7253C9"/>
    <w:rsid w:val="7A785DFA"/>
    <w:rsid w:val="7A9A52DD"/>
    <w:rsid w:val="7AAA19D8"/>
    <w:rsid w:val="7ABA0445"/>
    <w:rsid w:val="7AC92062"/>
    <w:rsid w:val="7AD41822"/>
    <w:rsid w:val="7AE62BB3"/>
    <w:rsid w:val="7AE90ACD"/>
    <w:rsid w:val="7B166879"/>
    <w:rsid w:val="7B1B78A1"/>
    <w:rsid w:val="7B4D5BE4"/>
    <w:rsid w:val="7B9C7192"/>
    <w:rsid w:val="7BA1607D"/>
    <w:rsid w:val="7BA864C4"/>
    <w:rsid w:val="7C097263"/>
    <w:rsid w:val="7C0C1942"/>
    <w:rsid w:val="7C154AF9"/>
    <w:rsid w:val="7C376AA7"/>
    <w:rsid w:val="7C7970C0"/>
    <w:rsid w:val="7C931E40"/>
    <w:rsid w:val="7CC768D5"/>
    <w:rsid w:val="7CC951AE"/>
    <w:rsid w:val="7D436164"/>
    <w:rsid w:val="7D855F50"/>
    <w:rsid w:val="7DAE78D2"/>
    <w:rsid w:val="7DE37223"/>
    <w:rsid w:val="7DED57CE"/>
    <w:rsid w:val="7DF033B2"/>
    <w:rsid w:val="7E1A042F"/>
    <w:rsid w:val="7E1C762D"/>
    <w:rsid w:val="7E2379DB"/>
    <w:rsid w:val="7E3A1D07"/>
    <w:rsid w:val="7E631657"/>
    <w:rsid w:val="7E7A5B1D"/>
    <w:rsid w:val="7EFB2987"/>
    <w:rsid w:val="7F112404"/>
    <w:rsid w:val="7F534BBD"/>
    <w:rsid w:val="7F7211CD"/>
    <w:rsid w:val="7FD74225"/>
    <w:rsid w:val="7FDD34C2"/>
    <w:rsid w:val="7FE1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4"/>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4"/>
    <w:basedOn w:val="1"/>
    <w:next w:val="1"/>
    <w:qFormat/>
    <w:uiPriority w:val="0"/>
    <w:pPr>
      <w:keepNext/>
      <w:keepLines/>
      <w:spacing w:before="280" w:after="290" w:line="372" w:lineRule="auto"/>
      <w:outlineLvl w:val="3"/>
    </w:pPr>
    <w:rPr>
      <w:rFonts w:ascii="Arial" w:hAnsi="Arial" w:eastAsia="黑体" w:cs="Arial"/>
      <w:b/>
      <w:kern w:val="0"/>
      <w:sz w:val="28"/>
      <w:szCs w:val="28"/>
    </w:rPr>
  </w:style>
  <w:style w:type="paragraph" w:styleId="5">
    <w:name w:val="heading 5"/>
    <w:basedOn w:val="1"/>
    <w:next w:val="1"/>
    <w:qFormat/>
    <w:uiPriority w:val="0"/>
    <w:pPr>
      <w:keepNext/>
      <w:keepLines/>
      <w:numPr>
        <w:ilvl w:val="4"/>
        <w:numId w:val="1"/>
      </w:numPr>
      <w:outlineLvl w:val="4"/>
    </w:pPr>
    <w:rPr>
      <w:rFonts w:hint="eastAsia" w:ascii="Book Antiqua" w:hAnsi="Book Antiqua" w:eastAsia="黑体" w:cs="宋体"/>
      <w:kern w:val="0"/>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6">
    <w:name w:val="Normal Indent"/>
    <w:basedOn w:val="1"/>
    <w:qFormat/>
    <w:uiPriority w:val="0"/>
    <w:pPr>
      <w:ind w:firstLine="420"/>
    </w:pPr>
  </w:style>
  <w:style w:type="paragraph" w:styleId="7">
    <w:name w:val="List Bullet"/>
    <w:basedOn w:val="1"/>
    <w:qFormat/>
    <w:uiPriority w:val="0"/>
    <w:pPr>
      <w:numPr>
        <w:ilvl w:val="0"/>
        <w:numId w:val="2"/>
      </w:numPr>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
    <w:unhideWhenUsed/>
    <w:qFormat/>
    <w:uiPriority w:val="0"/>
    <w:pPr>
      <w:spacing w:after="120"/>
    </w:pPr>
    <w:rPr>
      <w:rFonts w:hint="eastAsia" w:ascii="宋体" w:hAnsi="宋体" w:eastAsia="仿宋" w:cs="宋体"/>
      <w:kern w:val="0"/>
      <w:sz w:val="24"/>
      <w:szCs w:val="21"/>
    </w:rPr>
  </w:style>
  <w:style w:type="paragraph" w:styleId="12">
    <w:name w:val="Body Text Indent"/>
    <w:basedOn w:val="1"/>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13">
    <w:name w:val="Block Text"/>
    <w:basedOn w:val="1"/>
    <w:unhideWhenUsed/>
    <w:qFormat/>
    <w:uiPriority w:val="99"/>
    <w:pPr>
      <w:ind w:left="1440" w:leftChars="700" w:right="700" w:rightChars="700"/>
    </w:pPr>
  </w:style>
  <w:style w:type="paragraph" w:styleId="14">
    <w:name w:val="toc 3"/>
    <w:basedOn w:val="1"/>
    <w:next w:val="1"/>
    <w:unhideWhenUsed/>
    <w:qFormat/>
    <w:uiPriority w:val="39"/>
    <w:pPr>
      <w:ind w:left="840" w:leftChars="400"/>
    </w:pPr>
  </w:style>
  <w:style w:type="paragraph" w:styleId="15">
    <w:name w:val="Date"/>
    <w:basedOn w:val="1"/>
    <w:next w:val="1"/>
    <w:qFormat/>
    <w:uiPriority w:val="0"/>
    <w:pPr>
      <w:ind w:left="100" w:leftChars="2500"/>
    </w:pPr>
    <w:rPr>
      <w:rFonts w:ascii="仿宋体" w:eastAsia="仿宋体"/>
      <w:sz w:val="24"/>
    </w:rPr>
  </w:style>
  <w:style w:type="paragraph" w:styleId="16">
    <w:name w:val="Body Text Indent 2"/>
    <w:basedOn w:val="1"/>
    <w:unhideWhenUsed/>
    <w:qFormat/>
    <w:uiPriority w:val="0"/>
    <w:pPr>
      <w:spacing w:after="120" w:afterLines="0" w:afterAutospacing="0" w:line="480" w:lineRule="auto"/>
      <w:ind w:left="420" w:leftChars="200"/>
    </w:pPr>
    <w:rPr>
      <w:rFonts w:hint="eastAsia" w:ascii="宋体" w:hAnsi="宋体" w:eastAsia="仿宋" w:cs="宋体"/>
      <w:kern w:val="0"/>
      <w:sz w:val="24"/>
      <w:szCs w:val="21"/>
    </w:rPr>
  </w:style>
  <w:style w:type="paragraph" w:styleId="17">
    <w:name w:val="footer"/>
    <w:basedOn w:val="1"/>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style>
  <w:style w:type="paragraph" w:styleId="20">
    <w:name w:val="Body Text Indent 3"/>
    <w:basedOn w:val="1"/>
    <w:unhideWhenUsed/>
    <w:qFormat/>
    <w:uiPriority w:val="0"/>
    <w:pPr>
      <w:spacing w:after="120" w:afterLines="0" w:afterAutospacing="0"/>
      <w:ind w:left="420" w:leftChars="200"/>
    </w:pPr>
    <w:rPr>
      <w:rFonts w:hint="eastAsia" w:ascii="宋体" w:hAnsi="宋体" w:eastAsia="仿宋" w:cs="宋体"/>
      <w:kern w:val="0"/>
      <w:sz w:val="16"/>
      <w:szCs w:val="16"/>
    </w:rPr>
  </w:style>
  <w:style w:type="paragraph" w:styleId="21">
    <w:name w:val="toc 2"/>
    <w:basedOn w:val="1"/>
    <w:next w:val="1"/>
    <w:semiHidden/>
    <w:qFormat/>
    <w:uiPriority w:val="0"/>
    <w:pPr>
      <w:ind w:left="420" w:leftChars="200"/>
    </w:pPr>
  </w:style>
  <w:style w:type="paragraph" w:styleId="22">
    <w:name w:val="toc 9"/>
    <w:basedOn w:val="1"/>
    <w:next w:val="1"/>
    <w:qFormat/>
    <w:uiPriority w:val="0"/>
    <w:pPr>
      <w:tabs>
        <w:tab w:val="left" w:pos="0"/>
      </w:tabs>
      <w:ind w:left="3360" w:leftChars="1600"/>
    </w:pPr>
  </w:style>
  <w:style w:type="paragraph" w:styleId="23">
    <w:name w:val="Body Text 2"/>
    <w:basedOn w:val="1"/>
    <w:qFormat/>
    <w:uiPriority w:val="0"/>
    <w:pPr>
      <w:adjustRightInd w:val="0"/>
      <w:snapToGrid w:val="0"/>
      <w:spacing w:line="480" w:lineRule="atLeast"/>
    </w:pPr>
    <w:rPr>
      <w:rFonts w:ascii="宋体" w:hAnsi="宋体"/>
      <w:sz w:val="28"/>
    </w:rPr>
  </w:style>
  <w:style w:type="paragraph" w:styleId="24">
    <w:name w:val="Normal (Web)"/>
    <w:basedOn w:val="1"/>
    <w:unhideWhenUsed/>
    <w:qFormat/>
    <w:uiPriority w:val="99"/>
    <w:rPr>
      <w:sz w:val="24"/>
    </w:rPr>
  </w:style>
  <w:style w:type="paragraph" w:styleId="25">
    <w:name w:val="Body Text First Indent"/>
    <w:basedOn w:val="11"/>
    <w:next w:val="1"/>
    <w:qFormat/>
    <w:uiPriority w:val="0"/>
    <w:pPr>
      <w:ind w:firstLine="420" w:firstLineChars="100"/>
    </w:pPr>
    <w:rPr>
      <w:rFonts w:ascii="Times New Roman" w:hAnsi="Times New Roman"/>
      <w:sz w:val="18"/>
      <w:szCs w:val="18"/>
    </w:rPr>
  </w:style>
  <w:style w:type="paragraph" w:styleId="26">
    <w:name w:val="Body Text First Indent 2"/>
    <w:basedOn w:val="12"/>
    <w:next w:val="1"/>
    <w:qFormat/>
    <w:uiPriority w:val="0"/>
    <w:pPr>
      <w:ind w:left="0" w:leftChars="0" w:firstLine="420"/>
    </w:pPr>
    <w:rPr>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rFonts w:ascii="Times New Roman" w:hAnsi="Times New Roman" w:eastAsia="宋体" w:cs="Times New Roman"/>
      <w:b/>
    </w:rPr>
  </w:style>
  <w:style w:type="character" w:styleId="31">
    <w:name w:val="FollowedHyperlink"/>
    <w:basedOn w:val="29"/>
    <w:qFormat/>
    <w:uiPriority w:val="0"/>
    <w:rPr>
      <w:color w:val="333333"/>
      <w:u w:val="none"/>
    </w:rPr>
  </w:style>
  <w:style w:type="character" w:styleId="32">
    <w:name w:val="Emphasis"/>
    <w:basedOn w:val="29"/>
    <w:qFormat/>
    <w:uiPriority w:val="0"/>
  </w:style>
  <w:style w:type="character" w:styleId="33">
    <w:name w:val="HTML Definition"/>
    <w:basedOn w:val="29"/>
    <w:qFormat/>
    <w:uiPriority w:val="0"/>
    <w:rPr>
      <w:i/>
      <w:iCs/>
    </w:rPr>
  </w:style>
  <w:style w:type="character" w:styleId="34">
    <w:name w:val="Hyperlink"/>
    <w:unhideWhenUsed/>
    <w:qFormat/>
    <w:uiPriority w:val="99"/>
    <w:rPr>
      <w:rFonts w:hint="eastAsia" w:ascii="宋体" w:hAnsi="宋体" w:eastAsia="宋体" w:cs="宋体"/>
      <w:color w:val="000000"/>
      <w:sz w:val="14"/>
      <w:szCs w:val="14"/>
      <w:u w:val="none"/>
    </w:rPr>
  </w:style>
  <w:style w:type="character" w:styleId="35">
    <w:name w:val="HTML Code"/>
    <w:basedOn w:val="29"/>
    <w:qFormat/>
    <w:uiPriority w:val="0"/>
    <w:rPr>
      <w:rFonts w:hint="default" w:ascii="Consolas" w:hAnsi="Consolas" w:eastAsia="Consolas" w:cs="Consolas"/>
      <w:color w:val="C7254E"/>
      <w:sz w:val="21"/>
      <w:szCs w:val="21"/>
      <w:shd w:val="clear" w:color="auto" w:fill="F9F2F4"/>
    </w:rPr>
  </w:style>
  <w:style w:type="character" w:styleId="36">
    <w:name w:val="HTML Keyboard"/>
    <w:basedOn w:val="29"/>
    <w:qFormat/>
    <w:uiPriority w:val="0"/>
    <w:rPr>
      <w:rFonts w:ascii="Consolas" w:hAnsi="Consolas" w:eastAsia="Consolas" w:cs="Consolas"/>
      <w:color w:val="FFFFFF"/>
      <w:sz w:val="21"/>
      <w:szCs w:val="21"/>
      <w:shd w:val="clear" w:color="auto" w:fill="333333"/>
    </w:rPr>
  </w:style>
  <w:style w:type="character" w:styleId="37">
    <w:name w:val="HTML Sample"/>
    <w:basedOn w:val="29"/>
    <w:qFormat/>
    <w:uiPriority w:val="0"/>
    <w:rPr>
      <w:rFonts w:hint="default" w:ascii="Consolas" w:hAnsi="Consolas" w:eastAsia="Consolas" w:cs="Consolas"/>
      <w:sz w:val="21"/>
      <w:szCs w:val="21"/>
    </w:rPr>
  </w:style>
  <w:style w:type="paragraph" w:customStyle="1" w:styleId="38">
    <w:name w:val="段"/>
    <w:next w:val="1"/>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39">
    <w:name w:val="正文缩进1"/>
    <w:basedOn w:val="1"/>
    <w:qFormat/>
    <w:uiPriority w:val="0"/>
    <w:pPr>
      <w:ind w:firstLine="420" w:firstLineChars="200"/>
    </w:pPr>
  </w:style>
  <w:style w:type="paragraph" w:customStyle="1" w:styleId="40">
    <w:name w:val="BodyText"/>
    <w:basedOn w:val="1"/>
    <w:next w:val="1"/>
    <w:qFormat/>
    <w:uiPriority w:val="0"/>
    <w:pPr>
      <w:spacing w:after="120"/>
      <w:textAlignment w:val="baseline"/>
    </w:pPr>
    <w:rPr>
      <w:rFonts w:ascii="宋体" w:hAnsi="宋体" w:eastAsia="仿宋"/>
      <w:kern w:val="0"/>
      <w:sz w:val="24"/>
      <w:szCs w:val="21"/>
    </w:rPr>
  </w:style>
  <w:style w:type="paragraph" w:customStyle="1" w:styleId="41">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42">
    <w:name w:val="title11"/>
    <w:basedOn w:val="1"/>
    <w:qFormat/>
    <w:uiPriority w:val="0"/>
    <w:pPr>
      <w:spacing w:before="150" w:line="450" w:lineRule="atLeast"/>
      <w:jc w:val="left"/>
    </w:pPr>
    <w:rPr>
      <w:b/>
      <w:kern w:val="0"/>
      <w:sz w:val="24"/>
      <w:szCs w:val="24"/>
    </w:rPr>
  </w:style>
  <w:style w:type="paragraph" w:customStyle="1" w:styleId="43">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4">
    <w:name w:val="目录"/>
    <w:basedOn w:val="1"/>
    <w:qFormat/>
    <w:uiPriority w:val="0"/>
    <w:pPr>
      <w:widowControl/>
      <w:jc w:val="center"/>
    </w:pPr>
    <w:rPr>
      <w:rFonts w:ascii="宋体"/>
      <w:b/>
      <w:kern w:val="0"/>
      <w:sz w:val="36"/>
    </w:rPr>
  </w:style>
  <w:style w:type="paragraph" w:customStyle="1" w:styleId="4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样式9 Char"/>
    <w:basedOn w:val="1"/>
    <w:qFormat/>
    <w:uiPriority w:val="0"/>
    <w:pPr>
      <w:widowControl/>
      <w:spacing w:line="440" w:lineRule="exact"/>
      <w:ind w:firstLine="200" w:firstLineChars="200"/>
      <w:jc w:val="left"/>
    </w:pPr>
    <w:rPr>
      <w:spacing w:val="6"/>
      <w:kern w:val="0"/>
      <w:sz w:val="24"/>
    </w:rPr>
  </w:style>
  <w:style w:type="character" w:customStyle="1" w:styleId="48">
    <w:name w:val="标题 1 字符"/>
    <w:link w:val="3"/>
    <w:qFormat/>
    <w:uiPriority w:val="99"/>
    <w:rPr>
      <w:rFonts w:hint="eastAsia" w:ascii="宋体" w:hAnsi="宋体" w:eastAsia="宋体" w:cs="宋体"/>
      <w:b/>
      <w:kern w:val="44"/>
      <w:sz w:val="48"/>
      <w:szCs w:val="48"/>
      <w:lang w:val="en-US" w:eastAsia="zh-CN" w:bidi="ar"/>
    </w:rPr>
  </w:style>
  <w:style w:type="character" w:customStyle="1" w:styleId="49">
    <w:name w:val="button"/>
    <w:basedOn w:val="29"/>
    <w:qFormat/>
    <w:uiPriority w:val="0"/>
  </w:style>
  <w:style w:type="character" w:customStyle="1" w:styleId="50">
    <w:name w:val="hover3"/>
    <w:basedOn w:val="29"/>
    <w:qFormat/>
    <w:uiPriority w:val="0"/>
    <w:rPr>
      <w:shd w:val="clear" w:color="auto" w:fill="EEEEEE"/>
    </w:rPr>
  </w:style>
  <w:style w:type="character" w:customStyle="1" w:styleId="51">
    <w:name w:val="old"/>
    <w:basedOn w:val="29"/>
    <w:qFormat/>
    <w:uiPriority w:val="0"/>
    <w:rPr>
      <w:color w:val="999999"/>
    </w:rPr>
  </w:style>
  <w:style w:type="character" w:customStyle="1" w:styleId="52">
    <w:name w:val="hour_am"/>
    <w:basedOn w:val="29"/>
    <w:qFormat/>
    <w:uiPriority w:val="0"/>
  </w:style>
  <w:style w:type="character" w:customStyle="1" w:styleId="53">
    <w:name w:val="hour_pm"/>
    <w:basedOn w:val="29"/>
    <w:qFormat/>
    <w:uiPriority w:val="0"/>
  </w:style>
  <w:style w:type="character" w:customStyle="1" w:styleId="54">
    <w:name w:val="glyphicon4"/>
    <w:basedOn w:val="29"/>
    <w:qFormat/>
    <w:uiPriority w:val="0"/>
  </w:style>
  <w:style w:type="character" w:customStyle="1" w:styleId="55">
    <w:name w:val="indent"/>
    <w:basedOn w:val="29"/>
    <w:qFormat/>
    <w:uiPriority w:val="0"/>
  </w:style>
  <w:style w:type="character" w:customStyle="1" w:styleId="56">
    <w:name w:val="tmpztreemove_arrow"/>
    <w:basedOn w:val="29"/>
    <w:qFormat/>
    <w:uiPriority w:val="0"/>
    <w:rPr>
      <w:shd w:val="clear" w:color="auto" w:fill="FFFFFF"/>
    </w:rPr>
  </w:style>
  <w:style w:type="character" w:customStyle="1" w:styleId="57">
    <w:name w:val="glyphicon"/>
    <w:basedOn w:val="29"/>
    <w:qFormat/>
    <w:uiPriority w:val="0"/>
  </w:style>
  <w:style w:type="character" w:customStyle="1" w:styleId="58">
    <w:name w:val="hover2"/>
    <w:basedOn w:val="29"/>
    <w:qFormat/>
    <w:uiPriority w:val="0"/>
    <w:rPr>
      <w:shd w:val="clear" w:color="auto" w:fill="EEEEEE"/>
    </w:rPr>
  </w:style>
  <w:style w:type="character" w:customStyle="1" w:styleId="59">
    <w:name w:val="hover"/>
    <w:basedOn w:val="29"/>
    <w:qFormat/>
    <w:uiPriority w:val="0"/>
    <w:rPr>
      <w:shd w:val="clear" w:color="auto" w:fill="EEEEEE"/>
    </w:rPr>
  </w:style>
  <w:style w:type="paragraph" w:customStyle="1" w:styleId="60">
    <w:name w:val="正文 1.1"/>
    <w:basedOn w:val="1"/>
    <w:next w:val="61"/>
    <w:qFormat/>
    <w:uiPriority w:val="0"/>
    <w:pPr>
      <w:numPr>
        <w:ilvl w:val="1"/>
        <w:numId w:val="3"/>
      </w:numPr>
      <w:adjustRightInd w:val="0"/>
      <w:spacing w:line="360" w:lineRule="auto"/>
      <w:outlineLvl w:val="1"/>
    </w:pPr>
    <w:rPr>
      <w:rFonts w:hint="eastAsia" w:ascii="仿宋" w:hAnsi="仿宋" w:eastAsia="仿宋"/>
      <w:b/>
      <w:kern w:val="0"/>
      <w:sz w:val="28"/>
      <w:szCs w:val="21"/>
    </w:rPr>
  </w:style>
  <w:style w:type="paragraph" w:customStyle="1" w:styleId="61">
    <w:name w:val="正文 1.1.1"/>
    <w:basedOn w:val="1"/>
    <w:next w:val="1"/>
    <w:qFormat/>
    <w:uiPriority w:val="0"/>
    <w:pPr>
      <w:numPr>
        <w:ilvl w:val="2"/>
        <w:numId w:val="3"/>
      </w:numPr>
      <w:adjustRightInd w:val="0"/>
      <w:spacing w:line="360" w:lineRule="auto"/>
      <w:outlineLvl w:val="2"/>
    </w:pPr>
    <w:rPr>
      <w:rFonts w:hint="eastAsia" w:ascii="宋体" w:hAnsi="宋体"/>
      <w:color w:val="FF0000"/>
      <w:kern w:val="0"/>
      <w:sz w:val="28"/>
      <w:szCs w:val="21"/>
    </w:rPr>
  </w:style>
  <w:style w:type="paragraph" w:styleId="62">
    <w:name w:val="List Paragraph"/>
    <w:basedOn w:val="1"/>
    <w:qFormat/>
    <w:uiPriority w:val="34"/>
    <w:pPr>
      <w:ind w:firstLine="420" w:firstLineChars="200"/>
    </w:pPr>
  </w:style>
  <w:style w:type="character" w:customStyle="1" w:styleId="63">
    <w:name w:val="font112"/>
    <w:basedOn w:val="29"/>
    <w:qFormat/>
    <w:uiPriority w:val="0"/>
    <w:rPr>
      <w:rFonts w:hint="eastAsia" w:ascii="宋体" w:hAnsi="宋体" w:eastAsia="宋体" w:cs="宋体"/>
      <w:color w:val="000000"/>
      <w:sz w:val="21"/>
      <w:szCs w:val="21"/>
      <w:u w:val="none"/>
    </w:rPr>
  </w:style>
  <w:style w:type="character" w:customStyle="1" w:styleId="64">
    <w:name w:val="标题 1 Char"/>
    <w:link w:val="3"/>
    <w:qFormat/>
    <w:uiPriority w:val="99"/>
    <w:rPr>
      <w:b/>
      <w:kern w:val="44"/>
      <w:sz w:val="44"/>
    </w:rPr>
  </w:style>
  <w:style w:type="character" w:customStyle="1" w:styleId="65">
    <w:name w:val="NormalCharacter"/>
    <w:semiHidden/>
    <w:qFormat/>
    <w:uiPriority w:val="0"/>
  </w:style>
  <w:style w:type="paragraph" w:customStyle="1" w:styleId="66">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24462</Words>
  <Characters>26260</Characters>
  <Lines>394</Lines>
  <Paragraphs>110</Paragraphs>
  <TotalTime>3</TotalTime>
  <ScaleCrop>false</ScaleCrop>
  <LinksUpToDate>false</LinksUpToDate>
  <CharactersWithSpaces>28919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2022-03-02T08:42:00Z</dcterms:created>
  <dc:creator>念</dc:creator>
  <cp:lastModifiedBy>小可爱</cp:lastModifiedBy>
  <cp:lastPrinted>2022-09-30T09:21:06Z</cp:lastPrinted>
  <dcterms:modified xsi:type="dcterms:W3CDTF">2022-09-30T09:21:17Z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8EFEBABAE54D4253B34BCFD002F6BFFB</vt:lpwstr>
  </property>
</Properties>
</file>