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p>
    <w:p>
      <w:pPr>
        <w:jc w:val="center"/>
        <w:rPr>
          <w:rFonts w:hint="default" w:asciiTheme="minorEastAsia" w:hAnsiTheme="minorEastAsia" w:eastAsiaTheme="minorEastAsia"/>
          <w:b/>
          <w:sz w:val="44"/>
          <w:szCs w:val="44"/>
          <w:lang w:val="en-US"/>
        </w:rPr>
      </w:pPr>
      <w:r>
        <w:rPr>
          <w:rFonts w:hint="eastAsia" w:asciiTheme="minorEastAsia" w:hAnsiTheme="minorEastAsia" w:eastAsiaTheme="minorEastAsia"/>
          <w:b/>
          <w:sz w:val="44"/>
          <w:szCs w:val="44"/>
          <w:lang w:eastAsia="zh-CN"/>
        </w:rPr>
        <w:t>渭南市公安局临渭分局采集工作站</w:t>
      </w:r>
      <w:r>
        <w:rPr>
          <w:rFonts w:hint="eastAsia" w:asciiTheme="minorEastAsia" w:hAnsiTheme="minorEastAsia" w:eastAsiaTheme="minorEastAsia"/>
          <w:b/>
          <w:sz w:val="44"/>
          <w:szCs w:val="44"/>
          <w:lang w:val="en-US" w:eastAsia="zh-CN"/>
        </w:rPr>
        <w:t>采购项目</w:t>
      </w:r>
    </w:p>
    <w:p>
      <w:pPr>
        <w:jc w:val="both"/>
        <w:rPr>
          <w:rFonts w:asciiTheme="minorEastAsia" w:hAnsiTheme="minorEastAsia" w:eastAsiaTheme="minorEastAsia"/>
          <w:b/>
          <w:sz w:val="36"/>
          <w:szCs w:val="36"/>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竞争性谈判文件</w:t>
      </w:r>
    </w:p>
    <w:p>
      <w:pPr>
        <w:jc w:val="both"/>
        <w:rPr>
          <w:rFonts w:asciiTheme="minorEastAsia" w:hAnsiTheme="minorEastAsia" w:eastAsiaTheme="minorEastAsia"/>
          <w:b/>
          <w:sz w:val="72"/>
          <w:szCs w:val="72"/>
        </w:rPr>
      </w:pPr>
    </w:p>
    <w:p>
      <w:pPr>
        <w:jc w:val="center"/>
        <w:rPr>
          <w:rFonts w:hint="default" w:asciiTheme="minorEastAsia" w:hAnsiTheme="minorEastAsia" w:eastAsiaTheme="minorEastAsia"/>
          <w:b/>
          <w:spacing w:val="4"/>
          <w:sz w:val="28"/>
          <w:szCs w:val="28"/>
          <w:lang w:val="en-US" w:eastAsia="zh-CN"/>
        </w:rPr>
      </w:pPr>
      <w:r>
        <w:rPr>
          <w:rFonts w:hint="eastAsia" w:asciiTheme="minorEastAsia" w:hAnsiTheme="minorEastAsia" w:eastAsiaTheme="minorEastAsia"/>
          <w:b/>
          <w:spacing w:val="4"/>
          <w:sz w:val="28"/>
          <w:szCs w:val="28"/>
        </w:rPr>
        <w:t>项目编号：ZCSP-渭南市-2022-00872</w:t>
      </w:r>
      <w:r>
        <w:rPr>
          <w:rFonts w:hint="eastAsia" w:asciiTheme="minorEastAsia" w:hAnsiTheme="minorEastAsia" w:eastAsiaTheme="minorEastAsia"/>
          <w:b/>
          <w:spacing w:val="4"/>
          <w:sz w:val="28"/>
          <w:szCs w:val="28"/>
          <w:lang w:eastAsia="zh-CN"/>
        </w:rPr>
        <w:t>、</w:t>
      </w:r>
      <w:r>
        <w:rPr>
          <w:rFonts w:hint="eastAsia" w:asciiTheme="minorEastAsia" w:hAnsiTheme="minorEastAsia" w:eastAsiaTheme="minorEastAsia"/>
          <w:b/>
          <w:spacing w:val="4"/>
          <w:sz w:val="28"/>
          <w:szCs w:val="28"/>
          <w:lang w:val="en-US" w:eastAsia="zh-CN"/>
        </w:rPr>
        <w:t>RXWN2022-032号</w:t>
      </w:r>
    </w:p>
    <w:p>
      <w:pPr>
        <w:jc w:val="center"/>
        <w:rPr>
          <w:rFonts w:asciiTheme="minorEastAsia" w:hAnsiTheme="minorEastAsia" w:eastAsiaTheme="minorEastAsia"/>
          <w:b/>
          <w:sz w:val="36"/>
          <w:szCs w:val="36"/>
        </w:rPr>
      </w:pPr>
    </w:p>
    <w:p>
      <w:pPr>
        <w:jc w:val="left"/>
        <w:rPr>
          <w:rFonts w:asciiTheme="minorEastAsia" w:hAnsiTheme="minorEastAsia" w:eastAsiaTheme="minorEastAsia"/>
          <w:b/>
          <w:spacing w:val="4"/>
          <w:sz w:val="28"/>
          <w:szCs w:val="28"/>
        </w:rPr>
      </w:pPr>
    </w:p>
    <w:p>
      <w:pPr>
        <w:jc w:val="left"/>
        <w:rPr>
          <w:rFonts w:asciiTheme="minorEastAsia" w:hAnsiTheme="minorEastAsia" w:eastAsiaTheme="minorEastAsia"/>
          <w:b/>
          <w:spacing w:val="4"/>
          <w:sz w:val="28"/>
          <w:szCs w:val="28"/>
        </w:rPr>
      </w:pPr>
    </w:p>
    <w:p>
      <w:pPr>
        <w:jc w:val="left"/>
        <w:rPr>
          <w:rFonts w:asciiTheme="minorEastAsia" w:hAnsiTheme="minorEastAsia" w:eastAsiaTheme="minorEastAsia"/>
          <w:b/>
          <w:spacing w:val="4"/>
          <w:sz w:val="28"/>
          <w:szCs w:val="28"/>
        </w:rPr>
      </w:pPr>
    </w:p>
    <w:p>
      <w:pPr>
        <w:bidi w:val="0"/>
      </w:pPr>
    </w:p>
    <w:p>
      <w:pPr>
        <w:jc w:val="left"/>
        <w:rPr>
          <w:rFonts w:asciiTheme="minorEastAsia" w:hAnsiTheme="minorEastAsia" w:eastAsiaTheme="minorEastAsia"/>
          <w:b/>
          <w:spacing w:val="4"/>
          <w:sz w:val="28"/>
          <w:szCs w:val="28"/>
        </w:rPr>
      </w:pPr>
    </w:p>
    <w:p>
      <w:pPr>
        <w:jc w:val="left"/>
        <w:rPr>
          <w:rFonts w:asciiTheme="minorEastAsia" w:hAnsiTheme="minorEastAsia" w:eastAsiaTheme="minorEastAsia"/>
          <w:b/>
          <w:spacing w:val="4"/>
          <w:sz w:val="28"/>
          <w:szCs w:val="28"/>
        </w:rPr>
      </w:pPr>
    </w:p>
    <w:p>
      <w:pPr>
        <w:spacing w:line="360" w:lineRule="auto"/>
        <w:ind w:left="420" w:leftChars="0" w:firstLine="1278" w:firstLineChars="442"/>
        <w:jc w:val="left"/>
        <w:rPr>
          <w:rFonts w:hint="default" w:asciiTheme="minorEastAsia" w:hAnsiTheme="minorEastAsia" w:eastAsiaTheme="minorEastAsia"/>
          <w:b/>
          <w:spacing w:val="4"/>
          <w:sz w:val="28"/>
          <w:szCs w:val="28"/>
          <w:u w:val="single"/>
          <w:lang w:val="en-US" w:eastAsia="zh-CN"/>
        </w:rPr>
      </w:pPr>
      <w:r>
        <w:rPr>
          <w:rFonts w:hint="eastAsia" w:asciiTheme="minorEastAsia" w:hAnsiTheme="minorEastAsia" w:eastAsiaTheme="minorEastAsia"/>
          <w:b/>
          <w:spacing w:val="4"/>
          <w:sz w:val="28"/>
          <w:szCs w:val="28"/>
        </w:rPr>
        <w:t>采   购   人：</w:t>
      </w:r>
      <w:r>
        <w:rPr>
          <w:rFonts w:hint="eastAsia" w:asciiTheme="minorEastAsia" w:hAnsiTheme="minorEastAsia" w:eastAsiaTheme="minorEastAsia"/>
          <w:b/>
          <w:spacing w:val="4"/>
          <w:sz w:val="28"/>
          <w:szCs w:val="28"/>
          <w:u w:val="single"/>
          <w:lang w:eastAsia="zh-CN"/>
        </w:rPr>
        <w:t>渭南市公安局临渭分局</w:t>
      </w:r>
    </w:p>
    <w:p>
      <w:pPr>
        <w:spacing w:line="360" w:lineRule="auto"/>
        <w:jc w:val="left"/>
        <w:rPr>
          <w:rFonts w:hint="eastAsia" w:asciiTheme="minorEastAsia" w:hAnsiTheme="minorEastAsia" w:eastAsiaTheme="minorEastAsia"/>
          <w:b/>
          <w:spacing w:val="4"/>
          <w:sz w:val="28"/>
          <w:szCs w:val="28"/>
          <w:lang w:eastAsia="zh-CN"/>
        </w:rPr>
      </w:pPr>
    </w:p>
    <w:p>
      <w:pPr>
        <w:spacing w:line="360" w:lineRule="auto"/>
        <w:ind w:left="420" w:leftChars="0" w:firstLine="1278" w:firstLineChars="442"/>
        <w:jc w:val="left"/>
        <w:rPr>
          <w:rFonts w:hint="eastAsia" w:asciiTheme="minorEastAsia" w:hAnsiTheme="minorEastAsia" w:eastAsiaTheme="minorEastAsia"/>
          <w:b/>
          <w:spacing w:val="4"/>
          <w:sz w:val="28"/>
          <w:szCs w:val="28"/>
          <w:u w:val="single"/>
          <w:lang w:eastAsia="zh-CN"/>
        </w:rPr>
      </w:pPr>
      <w:r>
        <w:rPr>
          <w:rFonts w:hint="eastAsia" w:asciiTheme="minorEastAsia" w:hAnsiTheme="minorEastAsia" w:eastAsiaTheme="minorEastAsia"/>
          <w:b/>
          <w:spacing w:val="4"/>
          <w:sz w:val="28"/>
          <w:szCs w:val="28"/>
        </w:rPr>
        <w:t>采购代理机构：</w:t>
      </w:r>
      <w:r>
        <w:rPr>
          <w:rFonts w:hint="eastAsia" w:asciiTheme="minorEastAsia" w:hAnsiTheme="minorEastAsia" w:eastAsiaTheme="minorEastAsia"/>
          <w:b/>
          <w:spacing w:val="4"/>
          <w:sz w:val="28"/>
          <w:szCs w:val="28"/>
          <w:u w:val="single"/>
          <w:lang w:eastAsia="zh-CN"/>
        </w:rPr>
        <w:t>瑞信国际项目管理有限公司</w:t>
      </w:r>
    </w:p>
    <w:p>
      <w:pPr>
        <w:spacing w:line="360" w:lineRule="auto"/>
        <w:ind w:firstLine="210" w:firstLineChars="0"/>
        <w:jc w:val="left"/>
        <w:rPr>
          <w:rFonts w:asciiTheme="minorEastAsia" w:hAnsiTheme="minorEastAsia" w:eastAsiaTheme="minorEastAsia"/>
          <w:b/>
          <w:spacing w:val="4"/>
          <w:sz w:val="28"/>
          <w:szCs w:val="28"/>
        </w:rPr>
      </w:pPr>
    </w:p>
    <w:p>
      <w:pPr>
        <w:spacing w:line="360" w:lineRule="auto"/>
        <w:ind w:left="420" w:leftChars="0" w:firstLine="1278" w:firstLineChars="442"/>
        <w:jc w:val="left"/>
        <w:rPr>
          <w:rFonts w:hint="eastAsia" w:asciiTheme="minorEastAsia" w:hAnsiTheme="minorEastAsia" w:eastAsiaTheme="minorEastAsia"/>
          <w:b/>
          <w:spacing w:val="4"/>
          <w:sz w:val="28"/>
          <w:szCs w:val="28"/>
          <w:lang w:eastAsia="zh-CN"/>
        </w:rPr>
      </w:pPr>
      <w:bookmarkStart w:id="0" w:name="_Toc495674325"/>
      <w:r>
        <w:rPr>
          <w:rFonts w:hint="eastAsia" w:asciiTheme="minorEastAsia" w:hAnsiTheme="minorEastAsia" w:eastAsiaTheme="minorEastAsia"/>
          <w:b/>
          <w:spacing w:val="4"/>
          <w:sz w:val="28"/>
          <w:szCs w:val="28"/>
        </w:rPr>
        <w:t>时        间：</w:t>
      </w:r>
      <w:bookmarkEnd w:id="0"/>
      <w:r>
        <w:rPr>
          <w:rFonts w:hint="eastAsia" w:asciiTheme="minorEastAsia" w:hAnsiTheme="minorEastAsia" w:eastAsiaTheme="minorEastAsia"/>
          <w:b/>
          <w:spacing w:val="4"/>
          <w:sz w:val="28"/>
          <w:szCs w:val="28"/>
          <w:u w:val="single"/>
          <w:lang w:eastAsia="zh-CN"/>
        </w:rPr>
        <w:t>二零二</w:t>
      </w:r>
      <w:r>
        <w:rPr>
          <w:rFonts w:hint="eastAsia" w:asciiTheme="minorEastAsia" w:hAnsiTheme="minorEastAsia" w:eastAsiaTheme="minorEastAsia"/>
          <w:b/>
          <w:spacing w:val="4"/>
          <w:sz w:val="28"/>
          <w:szCs w:val="28"/>
          <w:u w:val="single"/>
          <w:lang w:val="en-US" w:eastAsia="zh-CN"/>
        </w:rPr>
        <w:t>二</w:t>
      </w:r>
      <w:r>
        <w:rPr>
          <w:rFonts w:hint="eastAsia" w:asciiTheme="minorEastAsia" w:hAnsiTheme="minorEastAsia" w:eastAsiaTheme="minorEastAsia"/>
          <w:b/>
          <w:spacing w:val="4"/>
          <w:sz w:val="28"/>
          <w:szCs w:val="28"/>
          <w:u w:val="single"/>
          <w:lang w:eastAsia="zh-CN"/>
        </w:rPr>
        <w:t>年七月</w:t>
      </w:r>
    </w:p>
    <w:p>
      <w:pPr>
        <w:bidi w:val="0"/>
        <w:rPr>
          <w:rFonts w:hint="eastAsia"/>
        </w:rPr>
      </w:pPr>
    </w:p>
    <w:p>
      <w:pP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br w:type="page"/>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目     录</w:t>
      </w:r>
    </w:p>
    <w:p>
      <w:pPr>
        <w:jc w:val="center"/>
        <w:rPr>
          <w:rFonts w:asciiTheme="minorEastAsia" w:hAnsiTheme="minorEastAsia" w:eastAsiaTheme="minorEastAsia"/>
          <w:sz w:val="32"/>
        </w:rPr>
      </w:pPr>
    </w:p>
    <w:p>
      <w:pPr>
        <w:pStyle w:val="18"/>
        <w:tabs>
          <w:tab w:val="right" w:leader="dot" w:pos="8958"/>
        </w:tabs>
        <w:spacing w:line="600" w:lineRule="auto"/>
        <w:rPr>
          <w:b/>
          <w:bCs/>
          <w:sz w:val="24"/>
          <w:szCs w:val="22"/>
        </w:rPr>
      </w:pPr>
      <w:r>
        <w:rPr>
          <w:rFonts w:hint="eastAsia" w:asciiTheme="minorEastAsia" w:hAnsiTheme="minorEastAsia" w:eastAsiaTheme="minorEastAsia"/>
          <w:b/>
          <w:sz w:val="24"/>
          <w:szCs w:val="24"/>
        </w:rPr>
        <w:fldChar w:fldCharType="begin"/>
      </w:r>
      <w:r>
        <w:rPr>
          <w:rFonts w:hint="eastAsia" w:asciiTheme="minorEastAsia" w:hAnsiTheme="minorEastAsia" w:eastAsiaTheme="minorEastAsia"/>
          <w:b/>
          <w:sz w:val="24"/>
          <w:szCs w:val="24"/>
        </w:rPr>
        <w:instrText xml:space="preserve"> TOC \o "1-2" \h \z \u </w:instrText>
      </w:r>
      <w:r>
        <w:rPr>
          <w:rFonts w:hint="eastAsia" w:asciiTheme="minorEastAsia" w:hAnsiTheme="minorEastAsia" w:eastAsiaTheme="minorEastAsia"/>
          <w:b/>
          <w:sz w:val="24"/>
          <w:szCs w:val="24"/>
        </w:rPr>
        <w:fldChar w:fldCharType="separate"/>
      </w:r>
      <w:r>
        <w:rPr>
          <w:rFonts w:hint="eastAsia" w:asciiTheme="minorEastAsia" w:hAnsiTheme="minorEastAsia" w:eastAsiaTheme="minorEastAsia"/>
          <w:b/>
          <w:bCs/>
          <w:sz w:val="24"/>
          <w:szCs w:val="32"/>
        </w:rPr>
        <w:fldChar w:fldCharType="begin"/>
      </w:r>
      <w:r>
        <w:rPr>
          <w:rFonts w:hint="eastAsia" w:asciiTheme="minorEastAsia" w:hAnsiTheme="minorEastAsia" w:eastAsiaTheme="minorEastAsia"/>
          <w:b/>
          <w:bCs/>
          <w:sz w:val="24"/>
          <w:szCs w:val="32"/>
        </w:rPr>
        <w:instrText xml:space="preserve"> HYPERLINK \l _Toc23891 </w:instrText>
      </w:r>
      <w:r>
        <w:rPr>
          <w:rFonts w:hint="eastAsia" w:asciiTheme="minorEastAsia" w:hAnsiTheme="minorEastAsia" w:eastAsiaTheme="minorEastAsia"/>
          <w:b/>
          <w:bCs/>
          <w:sz w:val="24"/>
          <w:szCs w:val="32"/>
        </w:rPr>
        <w:fldChar w:fldCharType="separate"/>
      </w:r>
      <w:r>
        <w:rPr>
          <w:rFonts w:hint="eastAsia" w:asciiTheme="minorEastAsia" w:hAnsiTheme="minorEastAsia" w:eastAsiaTheme="minorEastAsia"/>
          <w:b/>
          <w:bCs/>
          <w:sz w:val="24"/>
          <w:szCs w:val="22"/>
        </w:rPr>
        <w:t>第一章  竞争性谈判公告</w:t>
      </w:r>
      <w:r>
        <w:rPr>
          <w:b/>
          <w:bCs/>
          <w:sz w:val="24"/>
          <w:szCs w:val="22"/>
        </w:rPr>
        <w:tab/>
      </w:r>
      <w:r>
        <w:rPr>
          <w:b/>
          <w:bCs/>
          <w:sz w:val="24"/>
          <w:szCs w:val="22"/>
        </w:rPr>
        <w:fldChar w:fldCharType="begin"/>
      </w:r>
      <w:r>
        <w:rPr>
          <w:b/>
          <w:bCs/>
          <w:sz w:val="24"/>
          <w:szCs w:val="22"/>
        </w:rPr>
        <w:instrText xml:space="preserve"> PAGEREF _Toc23891 \h </w:instrText>
      </w:r>
      <w:r>
        <w:rPr>
          <w:b/>
          <w:bCs/>
          <w:sz w:val="24"/>
          <w:szCs w:val="22"/>
        </w:rPr>
        <w:fldChar w:fldCharType="separate"/>
      </w:r>
      <w:r>
        <w:rPr>
          <w:b/>
          <w:bCs/>
          <w:sz w:val="24"/>
          <w:szCs w:val="22"/>
        </w:rPr>
        <w:t>3</w:t>
      </w:r>
      <w:r>
        <w:rPr>
          <w:b/>
          <w:bCs/>
          <w:sz w:val="24"/>
          <w:szCs w:val="22"/>
        </w:rPr>
        <w:fldChar w:fldCharType="end"/>
      </w:r>
      <w:r>
        <w:rPr>
          <w:rFonts w:hint="eastAsia" w:asciiTheme="minorEastAsia" w:hAnsiTheme="minorEastAsia" w:eastAsiaTheme="minorEastAsia"/>
          <w:b/>
          <w:bCs/>
          <w:sz w:val="24"/>
          <w:szCs w:val="32"/>
        </w:rPr>
        <w:fldChar w:fldCharType="end"/>
      </w:r>
    </w:p>
    <w:p>
      <w:pPr>
        <w:pStyle w:val="18"/>
        <w:tabs>
          <w:tab w:val="right" w:leader="dot" w:pos="8958"/>
        </w:tabs>
        <w:spacing w:line="600" w:lineRule="auto"/>
        <w:rPr>
          <w:b/>
          <w:bCs/>
          <w:sz w:val="24"/>
          <w:szCs w:val="22"/>
        </w:rPr>
      </w:pPr>
      <w:r>
        <w:rPr>
          <w:rFonts w:hint="eastAsia" w:asciiTheme="minorEastAsia" w:hAnsiTheme="minorEastAsia" w:eastAsiaTheme="minorEastAsia"/>
          <w:b/>
          <w:bCs/>
          <w:sz w:val="24"/>
          <w:szCs w:val="32"/>
        </w:rPr>
        <w:fldChar w:fldCharType="begin"/>
      </w:r>
      <w:r>
        <w:rPr>
          <w:rFonts w:hint="eastAsia" w:asciiTheme="minorEastAsia" w:hAnsiTheme="minorEastAsia" w:eastAsiaTheme="minorEastAsia"/>
          <w:b/>
          <w:bCs/>
          <w:sz w:val="24"/>
          <w:szCs w:val="32"/>
        </w:rPr>
        <w:instrText xml:space="preserve"> HYPERLINK \l _Toc21927 </w:instrText>
      </w:r>
      <w:r>
        <w:rPr>
          <w:rFonts w:hint="eastAsia" w:asciiTheme="minorEastAsia" w:hAnsiTheme="minorEastAsia" w:eastAsiaTheme="minorEastAsia"/>
          <w:b/>
          <w:bCs/>
          <w:sz w:val="24"/>
          <w:szCs w:val="32"/>
        </w:rPr>
        <w:fldChar w:fldCharType="separate"/>
      </w:r>
      <w:r>
        <w:rPr>
          <w:rFonts w:hint="eastAsia" w:asciiTheme="minorEastAsia" w:hAnsiTheme="minorEastAsia" w:eastAsiaTheme="minorEastAsia"/>
          <w:b/>
          <w:bCs/>
          <w:kern w:val="0"/>
          <w:sz w:val="24"/>
          <w:szCs w:val="22"/>
        </w:rPr>
        <w:t>第二章  响应供应商须知</w:t>
      </w:r>
      <w:r>
        <w:rPr>
          <w:b/>
          <w:bCs/>
          <w:sz w:val="24"/>
          <w:szCs w:val="22"/>
        </w:rPr>
        <w:tab/>
      </w:r>
      <w:r>
        <w:rPr>
          <w:b/>
          <w:bCs/>
          <w:sz w:val="24"/>
          <w:szCs w:val="22"/>
        </w:rPr>
        <w:fldChar w:fldCharType="begin"/>
      </w:r>
      <w:r>
        <w:rPr>
          <w:b/>
          <w:bCs/>
          <w:sz w:val="24"/>
          <w:szCs w:val="22"/>
        </w:rPr>
        <w:instrText xml:space="preserve"> PAGEREF _Toc21927 \h </w:instrText>
      </w:r>
      <w:r>
        <w:rPr>
          <w:b/>
          <w:bCs/>
          <w:sz w:val="24"/>
          <w:szCs w:val="22"/>
        </w:rPr>
        <w:fldChar w:fldCharType="separate"/>
      </w:r>
      <w:r>
        <w:rPr>
          <w:b/>
          <w:bCs/>
          <w:sz w:val="24"/>
          <w:szCs w:val="22"/>
        </w:rPr>
        <w:t>5</w:t>
      </w:r>
      <w:r>
        <w:rPr>
          <w:b/>
          <w:bCs/>
          <w:sz w:val="24"/>
          <w:szCs w:val="22"/>
        </w:rPr>
        <w:fldChar w:fldCharType="end"/>
      </w:r>
      <w:r>
        <w:rPr>
          <w:rFonts w:hint="eastAsia" w:asciiTheme="minorEastAsia" w:hAnsiTheme="minorEastAsia" w:eastAsiaTheme="minorEastAsia"/>
          <w:b/>
          <w:bCs/>
          <w:sz w:val="24"/>
          <w:szCs w:val="32"/>
        </w:rPr>
        <w:fldChar w:fldCharType="end"/>
      </w:r>
    </w:p>
    <w:p>
      <w:pPr>
        <w:pStyle w:val="18"/>
        <w:tabs>
          <w:tab w:val="right" w:leader="dot" w:pos="8958"/>
        </w:tabs>
        <w:spacing w:line="600" w:lineRule="auto"/>
        <w:rPr>
          <w:b/>
          <w:bCs/>
          <w:sz w:val="24"/>
          <w:szCs w:val="22"/>
        </w:rPr>
      </w:pPr>
      <w:r>
        <w:rPr>
          <w:rFonts w:hint="eastAsia" w:asciiTheme="minorEastAsia" w:hAnsiTheme="minorEastAsia" w:eastAsiaTheme="minorEastAsia"/>
          <w:b/>
          <w:bCs/>
          <w:sz w:val="24"/>
          <w:szCs w:val="32"/>
        </w:rPr>
        <w:fldChar w:fldCharType="begin"/>
      </w:r>
      <w:r>
        <w:rPr>
          <w:rFonts w:hint="eastAsia" w:asciiTheme="minorEastAsia" w:hAnsiTheme="minorEastAsia" w:eastAsiaTheme="minorEastAsia"/>
          <w:b/>
          <w:bCs/>
          <w:sz w:val="24"/>
          <w:szCs w:val="32"/>
        </w:rPr>
        <w:instrText xml:space="preserve"> HYPERLINK \l _Toc1984 </w:instrText>
      </w:r>
      <w:r>
        <w:rPr>
          <w:rFonts w:hint="eastAsia" w:asciiTheme="minorEastAsia" w:hAnsiTheme="minorEastAsia" w:eastAsiaTheme="minorEastAsia"/>
          <w:b/>
          <w:bCs/>
          <w:sz w:val="24"/>
          <w:szCs w:val="32"/>
        </w:rPr>
        <w:fldChar w:fldCharType="separate"/>
      </w:r>
      <w:r>
        <w:rPr>
          <w:rFonts w:hint="eastAsia" w:asciiTheme="minorEastAsia" w:hAnsiTheme="minorEastAsia" w:eastAsiaTheme="minorEastAsia"/>
          <w:b/>
          <w:bCs/>
          <w:kern w:val="0"/>
          <w:sz w:val="24"/>
          <w:szCs w:val="40"/>
        </w:rPr>
        <w:t>第三章  谈判方法</w:t>
      </w:r>
      <w:r>
        <w:rPr>
          <w:b/>
          <w:bCs/>
          <w:sz w:val="24"/>
          <w:szCs w:val="22"/>
        </w:rPr>
        <w:tab/>
      </w:r>
      <w:r>
        <w:rPr>
          <w:b/>
          <w:bCs/>
          <w:sz w:val="24"/>
          <w:szCs w:val="22"/>
        </w:rPr>
        <w:fldChar w:fldCharType="begin"/>
      </w:r>
      <w:r>
        <w:rPr>
          <w:b/>
          <w:bCs/>
          <w:sz w:val="24"/>
          <w:szCs w:val="22"/>
        </w:rPr>
        <w:instrText xml:space="preserve"> PAGEREF _Toc1984 \h </w:instrText>
      </w:r>
      <w:r>
        <w:rPr>
          <w:b/>
          <w:bCs/>
          <w:sz w:val="24"/>
          <w:szCs w:val="22"/>
        </w:rPr>
        <w:fldChar w:fldCharType="separate"/>
      </w:r>
      <w:r>
        <w:rPr>
          <w:b/>
          <w:bCs/>
          <w:sz w:val="24"/>
          <w:szCs w:val="22"/>
        </w:rPr>
        <w:t>21</w:t>
      </w:r>
      <w:r>
        <w:rPr>
          <w:b/>
          <w:bCs/>
          <w:sz w:val="24"/>
          <w:szCs w:val="22"/>
        </w:rPr>
        <w:fldChar w:fldCharType="end"/>
      </w:r>
      <w:r>
        <w:rPr>
          <w:rFonts w:hint="eastAsia" w:asciiTheme="minorEastAsia" w:hAnsiTheme="minorEastAsia" w:eastAsiaTheme="minorEastAsia"/>
          <w:b/>
          <w:bCs/>
          <w:sz w:val="24"/>
          <w:szCs w:val="32"/>
        </w:rPr>
        <w:fldChar w:fldCharType="end"/>
      </w:r>
    </w:p>
    <w:p>
      <w:pPr>
        <w:pStyle w:val="18"/>
        <w:tabs>
          <w:tab w:val="right" w:leader="dot" w:pos="8958"/>
        </w:tabs>
        <w:spacing w:line="600" w:lineRule="auto"/>
        <w:rPr>
          <w:b/>
          <w:bCs/>
          <w:sz w:val="24"/>
          <w:szCs w:val="22"/>
        </w:rPr>
      </w:pPr>
      <w:r>
        <w:rPr>
          <w:rFonts w:hint="eastAsia" w:asciiTheme="minorEastAsia" w:hAnsiTheme="minorEastAsia" w:eastAsiaTheme="minorEastAsia"/>
          <w:b/>
          <w:bCs/>
          <w:sz w:val="24"/>
          <w:szCs w:val="32"/>
        </w:rPr>
        <w:fldChar w:fldCharType="begin"/>
      </w:r>
      <w:r>
        <w:rPr>
          <w:rFonts w:hint="eastAsia" w:asciiTheme="minorEastAsia" w:hAnsiTheme="minorEastAsia" w:eastAsiaTheme="minorEastAsia"/>
          <w:b/>
          <w:bCs/>
          <w:sz w:val="24"/>
          <w:szCs w:val="32"/>
        </w:rPr>
        <w:instrText xml:space="preserve"> HYPERLINK \l _Toc13265 </w:instrText>
      </w:r>
      <w:r>
        <w:rPr>
          <w:rFonts w:hint="eastAsia" w:asciiTheme="minorEastAsia" w:hAnsiTheme="minorEastAsia" w:eastAsiaTheme="minorEastAsia"/>
          <w:b/>
          <w:bCs/>
          <w:sz w:val="24"/>
          <w:szCs w:val="32"/>
        </w:rPr>
        <w:fldChar w:fldCharType="separate"/>
      </w:r>
      <w:r>
        <w:rPr>
          <w:rFonts w:hint="eastAsia" w:asciiTheme="minorEastAsia" w:hAnsiTheme="minorEastAsia" w:eastAsiaTheme="minorEastAsia"/>
          <w:b/>
          <w:bCs/>
          <w:kern w:val="0"/>
          <w:sz w:val="24"/>
          <w:szCs w:val="40"/>
        </w:rPr>
        <w:t>第四章  合同条款及格式</w:t>
      </w:r>
      <w:r>
        <w:rPr>
          <w:b/>
          <w:bCs/>
          <w:sz w:val="24"/>
          <w:szCs w:val="22"/>
        </w:rPr>
        <w:tab/>
      </w:r>
      <w:r>
        <w:rPr>
          <w:b/>
          <w:bCs/>
          <w:sz w:val="24"/>
          <w:szCs w:val="22"/>
        </w:rPr>
        <w:fldChar w:fldCharType="begin"/>
      </w:r>
      <w:r>
        <w:rPr>
          <w:b/>
          <w:bCs/>
          <w:sz w:val="24"/>
          <w:szCs w:val="22"/>
        </w:rPr>
        <w:instrText xml:space="preserve"> PAGEREF _Toc13265 \h </w:instrText>
      </w:r>
      <w:r>
        <w:rPr>
          <w:b/>
          <w:bCs/>
          <w:sz w:val="24"/>
          <w:szCs w:val="22"/>
        </w:rPr>
        <w:fldChar w:fldCharType="separate"/>
      </w:r>
      <w:r>
        <w:rPr>
          <w:b/>
          <w:bCs/>
          <w:sz w:val="24"/>
          <w:szCs w:val="22"/>
        </w:rPr>
        <w:t>25</w:t>
      </w:r>
      <w:r>
        <w:rPr>
          <w:b/>
          <w:bCs/>
          <w:sz w:val="24"/>
          <w:szCs w:val="22"/>
        </w:rPr>
        <w:fldChar w:fldCharType="end"/>
      </w:r>
      <w:r>
        <w:rPr>
          <w:rFonts w:hint="eastAsia" w:asciiTheme="minorEastAsia" w:hAnsiTheme="minorEastAsia" w:eastAsiaTheme="minorEastAsia"/>
          <w:b/>
          <w:bCs/>
          <w:sz w:val="24"/>
          <w:szCs w:val="32"/>
        </w:rPr>
        <w:fldChar w:fldCharType="end"/>
      </w:r>
    </w:p>
    <w:p>
      <w:pPr>
        <w:pStyle w:val="18"/>
        <w:tabs>
          <w:tab w:val="right" w:leader="dot" w:pos="8958"/>
        </w:tabs>
        <w:spacing w:line="600" w:lineRule="auto"/>
        <w:rPr>
          <w:b/>
          <w:bCs/>
          <w:sz w:val="24"/>
          <w:szCs w:val="22"/>
        </w:rPr>
      </w:pPr>
      <w:r>
        <w:rPr>
          <w:rFonts w:hint="eastAsia" w:asciiTheme="minorEastAsia" w:hAnsiTheme="minorEastAsia" w:eastAsiaTheme="minorEastAsia"/>
          <w:b/>
          <w:bCs/>
          <w:sz w:val="24"/>
          <w:szCs w:val="32"/>
        </w:rPr>
        <w:fldChar w:fldCharType="begin"/>
      </w:r>
      <w:r>
        <w:rPr>
          <w:rFonts w:hint="eastAsia" w:asciiTheme="minorEastAsia" w:hAnsiTheme="minorEastAsia" w:eastAsiaTheme="minorEastAsia"/>
          <w:b/>
          <w:bCs/>
          <w:sz w:val="24"/>
          <w:szCs w:val="32"/>
        </w:rPr>
        <w:instrText xml:space="preserve"> HYPERLINK \l _Toc3086 </w:instrText>
      </w:r>
      <w:r>
        <w:rPr>
          <w:rFonts w:hint="eastAsia" w:asciiTheme="minorEastAsia" w:hAnsiTheme="minorEastAsia" w:eastAsiaTheme="minorEastAsia"/>
          <w:b/>
          <w:bCs/>
          <w:sz w:val="24"/>
          <w:szCs w:val="32"/>
        </w:rPr>
        <w:fldChar w:fldCharType="separate"/>
      </w:r>
      <w:r>
        <w:rPr>
          <w:rFonts w:hint="eastAsia" w:asciiTheme="minorEastAsia" w:hAnsiTheme="minorEastAsia" w:eastAsiaTheme="minorEastAsia"/>
          <w:b/>
          <w:bCs/>
          <w:kern w:val="0"/>
          <w:sz w:val="24"/>
          <w:szCs w:val="36"/>
        </w:rPr>
        <w:t xml:space="preserve">第五章 </w:t>
      </w:r>
      <w:r>
        <w:rPr>
          <w:rFonts w:hint="eastAsia" w:asciiTheme="minorEastAsia" w:hAnsiTheme="minorEastAsia" w:eastAsiaTheme="minorEastAsia"/>
          <w:b/>
          <w:bCs/>
          <w:kern w:val="0"/>
          <w:sz w:val="24"/>
          <w:szCs w:val="36"/>
          <w:lang w:val="en-US" w:eastAsia="zh-CN"/>
        </w:rPr>
        <w:t xml:space="preserve"> </w:t>
      </w:r>
      <w:r>
        <w:rPr>
          <w:rFonts w:hint="eastAsia" w:asciiTheme="minorEastAsia" w:hAnsiTheme="minorEastAsia" w:eastAsiaTheme="minorEastAsia"/>
          <w:b/>
          <w:bCs/>
          <w:kern w:val="0"/>
          <w:sz w:val="24"/>
          <w:szCs w:val="36"/>
        </w:rPr>
        <w:t>采购内容及技术标准和要求</w:t>
      </w:r>
      <w:r>
        <w:rPr>
          <w:b/>
          <w:bCs/>
          <w:sz w:val="24"/>
          <w:szCs w:val="22"/>
        </w:rPr>
        <w:tab/>
      </w:r>
      <w:r>
        <w:rPr>
          <w:b/>
          <w:bCs/>
          <w:sz w:val="24"/>
          <w:szCs w:val="22"/>
        </w:rPr>
        <w:fldChar w:fldCharType="begin"/>
      </w:r>
      <w:r>
        <w:rPr>
          <w:b/>
          <w:bCs/>
          <w:sz w:val="24"/>
          <w:szCs w:val="22"/>
        </w:rPr>
        <w:instrText xml:space="preserve"> PAGEREF _Toc3086 \h </w:instrText>
      </w:r>
      <w:r>
        <w:rPr>
          <w:b/>
          <w:bCs/>
          <w:sz w:val="24"/>
          <w:szCs w:val="22"/>
        </w:rPr>
        <w:fldChar w:fldCharType="separate"/>
      </w:r>
      <w:r>
        <w:rPr>
          <w:b/>
          <w:bCs/>
          <w:sz w:val="24"/>
          <w:szCs w:val="22"/>
        </w:rPr>
        <w:t>29</w:t>
      </w:r>
      <w:r>
        <w:rPr>
          <w:b/>
          <w:bCs/>
          <w:sz w:val="24"/>
          <w:szCs w:val="22"/>
        </w:rPr>
        <w:fldChar w:fldCharType="end"/>
      </w:r>
      <w:r>
        <w:rPr>
          <w:rFonts w:hint="eastAsia" w:asciiTheme="minorEastAsia" w:hAnsiTheme="minorEastAsia" w:eastAsiaTheme="minorEastAsia"/>
          <w:b/>
          <w:bCs/>
          <w:sz w:val="24"/>
          <w:szCs w:val="32"/>
        </w:rPr>
        <w:fldChar w:fldCharType="end"/>
      </w:r>
    </w:p>
    <w:p>
      <w:pPr>
        <w:pStyle w:val="18"/>
        <w:tabs>
          <w:tab w:val="right" w:leader="dot" w:pos="8958"/>
        </w:tabs>
        <w:spacing w:line="600" w:lineRule="auto"/>
      </w:pPr>
      <w:r>
        <w:rPr>
          <w:rFonts w:hint="eastAsia" w:asciiTheme="minorEastAsia" w:hAnsiTheme="minorEastAsia" w:eastAsiaTheme="minorEastAsia"/>
          <w:b/>
          <w:bCs/>
          <w:sz w:val="24"/>
          <w:szCs w:val="32"/>
        </w:rPr>
        <w:fldChar w:fldCharType="begin"/>
      </w:r>
      <w:r>
        <w:rPr>
          <w:rFonts w:hint="eastAsia" w:asciiTheme="minorEastAsia" w:hAnsiTheme="minorEastAsia" w:eastAsiaTheme="minorEastAsia"/>
          <w:b/>
          <w:bCs/>
          <w:sz w:val="24"/>
          <w:szCs w:val="32"/>
        </w:rPr>
        <w:instrText xml:space="preserve"> HYPERLINK \l _Toc3284 </w:instrText>
      </w:r>
      <w:r>
        <w:rPr>
          <w:rFonts w:hint="eastAsia" w:asciiTheme="minorEastAsia" w:hAnsiTheme="minorEastAsia" w:eastAsiaTheme="minorEastAsia"/>
          <w:b/>
          <w:bCs/>
          <w:sz w:val="24"/>
          <w:szCs w:val="32"/>
        </w:rPr>
        <w:fldChar w:fldCharType="separate"/>
      </w:r>
      <w:r>
        <w:rPr>
          <w:rFonts w:hint="eastAsia" w:asciiTheme="minorEastAsia" w:hAnsiTheme="minorEastAsia" w:eastAsiaTheme="minorEastAsia"/>
          <w:b/>
          <w:bCs/>
          <w:kern w:val="0"/>
          <w:sz w:val="24"/>
          <w:szCs w:val="22"/>
        </w:rPr>
        <w:t>第六章  竞争性谈判响应文件格式</w:t>
      </w:r>
      <w:r>
        <w:rPr>
          <w:b/>
          <w:bCs/>
          <w:sz w:val="24"/>
          <w:szCs w:val="22"/>
        </w:rPr>
        <w:tab/>
      </w:r>
      <w:r>
        <w:rPr>
          <w:b/>
          <w:bCs/>
          <w:sz w:val="24"/>
          <w:szCs w:val="22"/>
        </w:rPr>
        <w:fldChar w:fldCharType="begin"/>
      </w:r>
      <w:r>
        <w:rPr>
          <w:b/>
          <w:bCs/>
          <w:sz w:val="24"/>
          <w:szCs w:val="22"/>
        </w:rPr>
        <w:instrText xml:space="preserve"> PAGEREF _Toc3284 \h </w:instrText>
      </w:r>
      <w:r>
        <w:rPr>
          <w:b/>
          <w:bCs/>
          <w:sz w:val="24"/>
          <w:szCs w:val="22"/>
        </w:rPr>
        <w:fldChar w:fldCharType="separate"/>
      </w:r>
      <w:r>
        <w:rPr>
          <w:b/>
          <w:bCs/>
          <w:sz w:val="24"/>
          <w:szCs w:val="22"/>
        </w:rPr>
        <w:t>32</w:t>
      </w:r>
      <w:r>
        <w:rPr>
          <w:b/>
          <w:bCs/>
          <w:sz w:val="24"/>
          <w:szCs w:val="22"/>
        </w:rPr>
        <w:fldChar w:fldCharType="end"/>
      </w:r>
      <w:r>
        <w:rPr>
          <w:rFonts w:hint="eastAsia" w:asciiTheme="minorEastAsia" w:hAnsiTheme="minorEastAsia" w:eastAsiaTheme="minorEastAsia"/>
          <w:b/>
          <w:bCs/>
          <w:sz w:val="24"/>
          <w:szCs w:val="32"/>
        </w:rPr>
        <w:fldChar w:fldCharType="end"/>
      </w:r>
    </w:p>
    <w:p>
      <w:pPr>
        <w:spacing w:line="600" w:lineRule="auto"/>
        <w:jc w:val="center"/>
        <w:rPr>
          <w:rFonts w:hint="eastAsia" w:asciiTheme="minorEastAsia" w:hAnsiTheme="minorEastAsia" w:eastAsiaTheme="minorEastAsia"/>
          <w:szCs w:val="24"/>
        </w:rPr>
      </w:pPr>
      <w:r>
        <w:rPr>
          <w:rFonts w:hint="eastAsia" w:asciiTheme="minorEastAsia" w:hAnsiTheme="minorEastAsia" w:eastAsiaTheme="minorEastAsia"/>
          <w:szCs w:val="24"/>
        </w:rPr>
        <w:fldChar w:fldCharType="end"/>
      </w:r>
    </w:p>
    <w:p>
      <w:pPr>
        <w:bidi w:val="0"/>
        <w:rPr>
          <w:rFonts w:hint="eastAsia" w:asciiTheme="minorEastAsia" w:hAnsiTheme="minorEastAsia" w:eastAsiaTheme="minorEastAsia"/>
          <w:sz w:val="44"/>
        </w:rPr>
      </w:pPr>
    </w:p>
    <w:p>
      <w:pPr>
        <w:numPr>
          <w:ilvl w:val="0"/>
          <w:numId w:val="1"/>
        </w:numPr>
        <w:bidi w:val="0"/>
        <w:jc w:val="center"/>
        <w:rPr>
          <w:rFonts w:hint="eastAsia" w:asciiTheme="minorEastAsia" w:hAnsiTheme="minorEastAsia" w:eastAsiaTheme="minorEastAsia"/>
          <w:b/>
          <w:bCs/>
          <w:sz w:val="36"/>
          <w:szCs w:val="32"/>
        </w:rPr>
      </w:pPr>
      <w:r>
        <w:rPr>
          <w:rFonts w:hint="eastAsia" w:asciiTheme="minorEastAsia" w:hAnsiTheme="minorEastAsia" w:eastAsiaTheme="minorEastAsia"/>
          <w:sz w:val="44"/>
        </w:rPr>
        <w:br w:type="page"/>
      </w:r>
      <w:bookmarkStart w:id="1" w:name="_Toc495674326"/>
      <w:bookmarkStart w:id="2" w:name="_Toc23891"/>
      <w:r>
        <w:rPr>
          <w:rFonts w:hint="eastAsia" w:asciiTheme="minorEastAsia" w:hAnsiTheme="minorEastAsia" w:eastAsiaTheme="minorEastAsia"/>
          <w:b/>
          <w:bCs/>
          <w:sz w:val="36"/>
          <w:szCs w:val="32"/>
        </w:rPr>
        <w:t xml:space="preserve"> 竞争性谈判公告</w:t>
      </w:r>
      <w:bookmarkEnd w:id="1"/>
      <w:bookmarkEnd w:id="2"/>
    </w:p>
    <w:p>
      <w:pPr>
        <w:rPr>
          <w:rFonts w:hint="eastAsia"/>
        </w:rPr>
      </w:pPr>
      <w:bookmarkStart w:id="3" w:name="_Toc21927"/>
      <w:bookmarkStart w:id="4" w:name="_Toc495674327"/>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29"/>
          <w:rFonts w:hint="eastAsia" w:ascii="宋体" w:hAnsi="宋体" w:eastAsia="宋体" w:cs="宋体"/>
          <w:b/>
          <w:bCs/>
          <w:i w:val="0"/>
          <w:iCs w:val="0"/>
          <w:caps w:val="0"/>
          <w:color w:val="222222"/>
          <w:spacing w:val="0"/>
          <w:sz w:val="24"/>
          <w:szCs w:val="24"/>
          <w:shd w:val="clear" w:fill="FFFFFF"/>
        </w:rPr>
        <w:t>项目概</w:t>
      </w:r>
      <w:r>
        <w:rPr>
          <w:rStyle w:val="29"/>
          <w:rFonts w:hint="eastAsia" w:ascii="宋体" w:hAnsi="宋体" w:eastAsia="宋体" w:cs="宋体"/>
          <w:b/>
          <w:bCs/>
          <w:i w:val="0"/>
          <w:iCs w:val="0"/>
          <w:caps w:val="0"/>
          <w:color w:val="auto"/>
          <w:spacing w:val="0"/>
          <w:sz w:val="24"/>
          <w:szCs w:val="24"/>
          <w:shd w:val="clear" w:fill="FFFFFF"/>
        </w:rPr>
        <w:t>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采集工作站采购项目采购项目的潜在供应商应在渭南市万达广场1号公寓0901室获取采购文件，并于2022年08月03日 14时00分（北京时间）前提交响应文件。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项目编号：ZCSP-渭南市-2022-00872、RXWN2022-032号</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项目名称：采集工作站采购项目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预算金额：400,000.00元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tbl>
      <w:tblPr>
        <w:tblStyle w:val="26"/>
        <w:tblW w:w="93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3"/>
        <w:gridCol w:w="2319"/>
        <w:gridCol w:w="2368"/>
        <w:gridCol w:w="1362"/>
        <w:gridCol w:w="1575"/>
        <w:gridCol w:w="10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30" w:hRule="atLeast"/>
          <w:tblHeader/>
        </w:trPr>
        <w:tc>
          <w:tcPr>
            <w:tcW w:w="7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合同包号</w:t>
            </w:r>
          </w:p>
        </w:tc>
        <w:tc>
          <w:tcPr>
            <w:tcW w:w="244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合同包名称</w:t>
            </w:r>
          </w:p>
        </w:tc>
        <w:tc>
          <w:tcPr>
            <w:tcW w:w="248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5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预算金额（元）</w:t>
            </w:r>
          </w:p>
        </w:tc>
        <w:tc>
          <w:tcPr>
            <w:tcW w:w="16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是否接受联合体</w:t>
            </w:r>
          </w:p>
        </w:tc>
        <w:tc>
          <w:tcPr>
            <w:tcW w:w="10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采集工作站</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否</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5日历天</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二、申请人的资格要求：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合同包1(采集工作站)落实政府采购政策需满足的资格要求如下: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 )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 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 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6）《关于运用政府采购政策支持乡村产业振兴的通知》（财库〔2021〕19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7）其他需要落实的政府采购政策。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合同包1(采集工作站)特定资格要求如下: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1）供应商须具备独立承担民事责任能力的法人或其他组织，提供合法有效的统一社会信用代码的营业执照副本;</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3）出具磋商保证金交纳凭证或担保机构出具的保函；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4）供应商参加政府采购活动2019年6月至今经营活动中没有重大违法纪录的书面声明；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5）供应商须提供经审计的2020年度至今任意一年的财务报告或开标前六个月内其基本账户银行出具的资信证明；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6）供应商须提供2022年1月以来至少一个月社会保障资金缴存单据或社保机构开具的社会保险参保缴费情况证明；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7）供应商须提供2022年1月以来至少一个月的纳税证明或完税证明；依法免税的单位应提供相关证明材料；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8）具备履行合同所必须的设备和专业技术能力的书面声明。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三、获取采购文件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时间：2022年07月27日至2022年07月29日，每天上午 09:00:00 至 12:00:00，下午 14:00:00至17:00:00（北京时间,法定节假日除外）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地点：渭南市万达广场1号公寓0901室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四、响应文件提交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截止时间：2022年08月03日 14时00分00秒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地点：渭南市行政中心西配楼一楼开标三室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五、开启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时间：2022年08月03日 14时00分00秒（北京时间）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地点：渭南市行政中心西配楼一楼开标三室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六、公告期限</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七、其他补充事宜</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1.获取招标文件时需提供单位介绍信原件、身份证原件及加盖公章的复印件。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2.提示：请供应商按照陕西省财政厅关于政府采购供应商注册登记有关事项的通知中的要求，通过陕西省政府采购网（http://www.ccgp-shaanxi.gov.cn/）注册登记加入陕西省政府采购供应商库。</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3.本项目为专门面向中小企业采购。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29"/>
          <w:rFonts w:hint="eastAsia" w:ascii="宋体" w:hAnsi="宋体" w:eastAsia="宋体" w:cs="宋体"/>
          <w:b/>
          <w:bCs/>
          <w:i w:val="0"/>
          <w:iCs w:val="0"/>
          <w:caps w:val="0"/>
          <w:color w:val="auto"/>
          <w:spacing w:val="0"/>
          <w:sz w:val="24"/>
          <w:szCs w:val="24"/>
          <w:shd w:val="clear" w:fill="FFFFFF"/>
        </w:rPr>
        <w:t>八、凡对本次采购提出询问，请按以下方式联系。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名称：渭南市公安局临渭分局</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地址：渭南市临渭区乐天大街西段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联系方式：0913-3826081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名称：瑞信国际项目管理有限公司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地址：陕西省西安市文景路150号文景广场C座22层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联系方式：0913-2055255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项目联系人：李杰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电话：0913-2055255</w:t>
      </w:r>
    </w:p>
    <w:p>
      <w:pPr>
        <w:rPr>
          <w:rFonts w:hint="eastAsia" w:asciiTheme="minorEastAsia" w:hAnsiTheme="minorEastAsia" w:eastAsiaTheme="minorEastAsia"/>
          <w:color w:val="auto"/>
          <w:kern w:val="0"/>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瑞信国际项目管理有限公司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84"/>
        <w:jc w:val="center"/>
        <w:textAlignment w:val="auto"/>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2022年07月26日</w:t>
      </w:r>
    </w:p>
    <w:p>
      <w:pPr>
        <w:rPr>
          <w:rFonts w:hint="eastAsia" w:asciiTheme="minorEastAsia" w:hAnsiTheme="minorEastAsia" w:eastAsiaTheme="minorEastAsia"/>
          <w:color w:val="auto"/>
          <w:kern w:val="0"/>
        </w:rPr>
      </w:pPr>
      <w:r>
        <w:rPr>
          <w:rFonts w:hint="eastAsia" w:asciiTheme="minorEastAsia" w:hAnsiTheme="minorEastAsia" w:eastAsiaTheme="minorEastAsia"/>
          <w:color w:val="auto"/>
          <w:kern w:val="0"/>
        </w:rPr>
        <w:br w:type="page"/>
      </w:r>
    </w:p>
    <w:p>
      <w:pPr>
        <w:pStyle w:val="23"/>
        <w:rPr>
          <w:rFonts w:asciiTheme="minorEastAsia" w:hAnsiTheme="minorEastAsia" w:eastAsiaTheme="minorEastAsia"/>
          <w:szCs w:val="36"/>
        </w:rPr>
      </w:pPr>
      <w:r>
        <w:rPr>
          <w:rFonts w:hint="eastAsia" w:asciiTheme="minorEastAsia" w:hAnsiTheme="minorEastAsia" w:eastAsiaTheme="minorEastAsia"/>
          <w:kern w:val="0"/>
        </w:rPr>
        <w:t>第二章  响应供应商须知</w:t>
      </w:r>
      <w:bookmarkEnd w:id="3"/>
      <w:bookmarkEnd w:id="4"/>
    </w:p>
    <w:p>
      <w:pPr>
        <w:spacing w:beforeLines="100"/>
        <w:jc w:val="center"/>
        <w:outlineLvl w:val="1"/>
        <w:rPr>
          <w:rFonts w:asciiTheme="minorEastAsia" w:hAnsiTheme="minorEastAsia" w:eastAsiaTheme="minorEastAsia"/>
          <w:b/>
          <w:sz w:val="24"/>
        </w:rPr>
      </w:pPr>
      <w:bookmarkStart w:id="5" w:name="_Toc495674328"/>
      <w:bookmarkStart w:id="6" w:name="_Toc7399"/>
      <w:r>
        <w:rPr>
          <w:rFonts w:hint="eastAsia" w:asciiTheme="minorEastAsia" w:hAnsiTheme="minorEastAsia" w:eastAsiaTheme="minorEastAsia"/>
          <w:b/>
          <w:sz w:val="24"/>
        </w:rPr>
        <w:t>响应供应商须知前附表</w:t>
      </w:r>
      <w:bookmarkEnd w:id="5"/>
      <w:bookmarkEnd w:id="6"/>
    </w:p>
    <w:tbl>
      <w:tblPr>
        <w:tblStyle w:val="26"/>
        <w:tblpPr w:leftFromText="180" w:rightFromText="180" w:vertAnchor="text" w:horzAnchor="page" w:tblpX="1404" w:tblpY="343"/>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2"/>
        <w:gridCol w:w="202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条款号</w:t>
            </w:r>
          </w:p>
        </w:tc>
        <w:tc>
          <w:tcPr>
            <w:tcW w:w="2126" w:type="dxa"/>
            <w:gridSpan w:val="2"/>
            <w:vAlign w:val="center"/>
          </w:tcPr>
          <w:p>
            <w:pPr>
              <w:ind w:firstLine="213"/>
              <w:jc w:val="center"/>
              <w:rPr>
                <w:rFonts w:asciiTheme="minorEastAsia" w:hAnsiTheme="minorEastAsia" w:eastAsiaTheme="minorEastAsia"/>
                <w:b/>
              </w:rPr>
            </w:pPr>
            <w:r>
              <w:rPr>
                <w:rFonts w:hint="eastAsia" w:asciiTheme="minorEastAsia" w:hAnsiTheme="minorEastAsia" w:eastAsiaTheme="minorEastAsia"/>
                <w:b/>
              </w:rPr>
              <w:t>条  款  名  称</w:t>
            </w:r>
          </w:p>
        </w:tc>
        <w:tc>
          <w:tcPr>
            <w:tcW w:w="6379" w:type="dxa"/>
            <w:vAlign w:val="center"/>
          </w:tcPr>
          <w:p>
            <w:pPr>
              <w:ind w:firstLine="193"/>
              <w:jc w:val="center"/>
              <w:rPr>
                <w:rFonts w:asciiTheme="minorEastAsia" w:hAnsiTheme="minorEastAsia" w:eastAsiaTheme="minorEastAsia"/>
                <w:b/>
              </w:rPr>
            </w:pPr>
            <w:r>
              <w:rPr>
                <w:rFonts w:hint="eastAsia" w:asciiTheme="minorEastAsia" w:hAnsiTheme="minorEastAsia" w:eastAsiaTheme="minorEastAsia"/>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52" w:type="dxa"/>
            <w:vAlign w:val="center"/>
          </w:tcPr>
          <w:p>
            <w:pPr>
              <w:ind w:left="-107" w:leftChars="-51"/>
              <w:jc w:val="center"/>
              <w:rPr>
                <w:rFonts w:asciiTheme="minorEastAsia" w:hAnsiTheme="minorEastAsia" w:eastAsiaTheme="minorEastAsia"/>
              </w:rPr>
            </w:pPr>
            <w:r>
              <w:rPr>
                <w:rFonts w:hint="eastAsia" w:asciiTheme="minorEastAsia" w:hAnsiTheme="minorEastAsia" w:eastAsiaTheme="minorEastAsia"/>
              </w:rPr>
              <w:t>1.1.2</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采购人</w:t>
            </w:r>
          </w:p>
        </w:tc>
        <w:tc>
          <w:tcPr>
            <w:tcW w:w="63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渭南市公安局临渭分局</w:t>
            </w:r>
          </w:p>
          <w:p>
            <w:pPr>
              <w:spacing w:line="360" w:lineRule="exac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地 址：</w:t>
            </w:r>
            <w:r>
              <w:rPr>
                <w:rFonts w:hint="eastAsia" w:asciiTheme="minorEastAsia" w:hAnsiTheme="minorEastAsia" w:eastAsiaTheme="minorEastAsia"/>
                <w:szCs w:val="21"/>
                <w:highlight w:val="none"/>
                <w:lang w:val="en-US" w:eastAsia="zh-CN"/>
              </w:rPr>
              <w:t>渭南市临渭区乐天大街西段</w:t>
            </w:r>
          </w:p>
          <w:p>
            <w:pPr>
              <w:spacing w:line="360" w:lineRule="exact"/>
              <w:rPr>
                <w:rFonts w:hint="eastAsia" w:cs="Arial" w:asciiTheme="minorEastAsia" w:hAnsiTheme="minorEastAsia" w:eastAsiaTheme="minorEastAsia"/>
                <w:kern w:val="0"/>
                <w:szCs w:val="21"/>
                <w:highlight w:val="none"/>
                <w:lang w:eastAsia="zh-CN"/>
              </w:rPr>
            </w:pPr>
            <w:r>
              <w:rPr>
                <w:rFonts w:hint="eastAsia" w:cs="Arial" w:asciiTheme="minorEastAsia" w:hAnsiTheme="minorEastAsia" w:eastAsiaTheme="minorEastAsia"/>
                <w:kern w:val="0"/>
                <w:szCs w:val="21"/>
                <w:highlight w:val="none"/>
                <w:lang w:eastAsia="zh-CN"/>
              </w:rPr>
              <w:t>联系人：</w:t>
            </w:r>
            <w:r>
              <w:rPr>
                <w:rFonts w:hint="eastAsia" w:cs="Arial" w:asciiTheme="minorEastAsia" w:hAnsiTheme="minorEastAsia" w:eastAsiaTheme="minorEastAsia"/>
                <w:kern w:val="0"/>
                <w:szCs w:val="21"/>
                <w:highlight w:val="none"/>
                <w:lang w:val="en-US" w:eastAsia="zh-CN"/>
              </w:rPr>
              <w:t>张警官</w:t>
            </w:r>
          </w:p>
          <w:p>
            <w:pPr>
              <w:spacing w:line="360" w:lineRule="exact"/>
              <w:rPr>
                <w:rFonts w:hint="eastAsia" w:cs="Arial" w:asciiTheme="minorEastAsia" w:hAnsiTheme="minorEastAsia" w:eastAsiaTheme="minorEastAsia"/>
                <w:kern w:val="0"/>
                <w:szCs w:val="21"/>
                <w:lang w:eastAsia="zh-CN"/>
              </w:rPr>
            </w:pPr>
            <w:r>
              <w:rPr>
                <w:rFonts w:hint="eastAsia" w:cs="Arial" w:asciiTheme="minorEastAsia" w:hAnsiTheme="minorEastAsia" w:eastAsiaTheme="minorEastAsia"/>
                <w:kern w:val="0"/>
                <w:szCs w:val="21"/>
                <w:highlight w:val="none"/>
                <w:lang w:eastAsia="zh-CN"/>
              </w:rPr>
              <w:t>联系电话：</w:t>
            </w:r>
            <w:r>
              <w:rPr>
                <w:rFonts w:hint="eastAsia" w:asciiTheme="minorEastAsia" w:hAnsiTheme="minorEastAsia" w:eastAsiaTheme="minorEastAsia"/>
                <w:szCs w:val="21"/>
                <w:highlight w:val="none"/>
                <w:lang w:eastAsia="zh-CN"/>
              </w:rPr>
              <w:t>0913-3826081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2" w:type="dxa"/>
            <w:vAlign w:val="center"/>
          </w:tcPr>
          <w:p>
            <w:pPr>
              <w:ind w:hanging="108"/>
              <w:jc w:val="center"/>
              <w:rPr>
                <w:rFonts w:asciiTheme="minorEastAsia" w:hAnsiTheme="minorEastAsia" w:eastAsiaTheme="minorEastAsia"/>
              </w:rPr>
            </w:pPr>
            <w:r>
              <w:rPr>
                <w:rFonts w:hint="eastAsia" w:asciiTheme="minorEastAsia" w:hAnsiTheme="minorEastAsia" w:eastAsiaTheme="minorEastAsia"/>
              </w:rPr>
              <w:t>1.1.3</w:t>
            </w:r>
          </w:p>
        </w:tc>
        <w:tc>
          <w:tcPr>
            <w:tcW w:w="2126"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63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瑞信国际项目管理有限公司</w:t>
            </w:r>
          </w:p>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 址</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陕西省西安市文景路150号文景广场C座22层</w:t>
            </w:r>
          </w:p>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联系人：李杰</w:t>
            </w:r>
          </w:p>
          <w:p>
            <w:pPr>
              <w:spacing w:line="36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联系电话：</w:t>
            </w:r>
            <w:r>
              <w:rPr>
                <w:rFonts w:hint="eastAsia" w:asciiTheme="minorEastAsia" w:hAnsiTheme="minorEastAsia" w:eastAsiaTheme="minorEastAsia"/>
                <w:szCs w:val="21"/>
                <w:lang w:val="en-US" w:eastAsia="zh-CN"/>
              </w:rPr>
              <w:t>0913-2055255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1.1.4</w:t>
            </w:r>
          </w:p>
        </w:tc>
        <w:tc>
          <w:tcPr>
            <w:tcW w:w="2126" w:type="dxa"/>
            <w:gridSpan w:val="2"/>
            <w:vAlign w:val="center"/>
          </w:tcPr>
          <w:p>
            <w:pPr>
              <w:jc w:val="center"/>
              <w:rPr>
                <w:rFonts w:hint="eastAsia" w:asciiTheme="minorEastAsia" w:hAnsiTheme="minorEastAsia" w:eastAsiaTheme="minorEastAsia"/>
              </w:rPr>
            </w:pPr>
            <w:r>
              <w:rPr>
                <w:rFonts w:hint="eastAsia" w:asciiTheme="minorEastAsia" w:hAnsiTheme="minorEastAsia" w:eastAsiaTheme="minorEastAsia"/>
              </w:rPr>
              <w:t>竞争性谈判</w:t>
            </w:r>
          </w:p>
          <w:p>
            <w:pPr>
              <w:jc w:val="center"/>
              <w:rPr>
                <w:rFonts w:asciiTheme="minorEastAsia" w:hAnsiTheme="minorEastAsia" w:eastAsiaTheme="minorEastAsia"/>
              </w:rPr>
            </w:pPr>
            <w:r>
              <w:rPr>
                <w:rFonts w:hint="eastAsia" w:asciiTheme="minorEastAsia" w:hAnsiTheme="minorEastAsia" w:eastAsiaTheme="minorEastAsia"/>
              </w:rPr>
              <w:t>采购项目名称</w:t>
            </w:r>
          </w:p>
        </w:tc>
        <w:tc>
          <w:tcPr>
            <w:tcW w:w="6379" w:type="dxa"/>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采集工作站采购项目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1.1.5</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实施地点</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1.2.1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资金来源</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1.2.2</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出资比例</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2" w:type="dxa"/>
            <w:vAlign w:val="center"/>
          </w:tcPr>
          <w:p>
            <w:pPr>
              <w:spacing w:line="400" w:lineRule="atLeast"/>
              <w:jc w:val="center"/>
              <w:rPr>
                <w:rFonts w:asciiTheme="minorEastAsia" w:hAnsiTheme="minorEastAsia" w:eastAsiaTheme="minorEastAsia"/>
              </w:rPr>
            </w:pPr>
            <w:r>
              <w:rPr>
                <w:rFonts w:hint="eastAsia" w:asciiTheme="minorEastAsia" w:hAnsiTheme="minorEastAsia" w:eastAsiaTheme="minorEastAsia"/>
              </w:rPr>
              <w:t>1.2.3</w:t>
            </w:r>
          </w:p>
        </w:tc>
        <w:tc>
          <w:tcPr>
            <w:tcW w:w="2126" w:type="dxa"/>
            <w:gridSpan w:val="2"/>
            <w:vAlign w:val="center"/>
          </w:tcPr>
          <w:p>
            <w:pPr>
              <w:spacing w:line="400" w:lineRule="atLeast"/>
              <w:jc w:val="center"/>
              <w:rPr>
                <w:rFonts w:asciiTheme="minorEastAsia" w:hAnsiTheme="minorEastAsia" w:eastAsiaTheme="minorEastAsia"/>
              </w:rPr>
            </w:pPr>
            <w:r>
              <w:rPr>
                <w:rFonts w:hint="eastAsia" w:asciiTheme="minorEastAsia" w:hAnsiTheme="minorEastAsia" w:eastAsiaTheme="minorEastAsia"/>
              </w:rPr>
              <w:t>资金落实情况</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1.3.1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竞争性谈判采购内容</w:t>
            </w:r>
          </w:p>
        </w:tc>
        <w:tc>
          <w:tcPr>
            <w:tcW w:w="6379" w:type="dxa"/>
            <w:vAlign w:val="center"/>
          </w:tcPr>
          <w:p>
            <w:pPr>
              <w:spacing w:line="36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采集工作站</w:t>
            </w:r>
            <w:r>
              <w:rPr>
                <w:rFonts w:hint="eastAsia" w:asciiTheme="minorEastAsia" w:hAnsiTheme="minorEastAsia" w:eastAsiaTheme="minorEastAsia"/>
                <w:szCs w:val="21"/>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1.3.2</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供货期</w:t>
            </w:r>
          </w:p>
        </w:tc>
        <w:tc>
          <w:tcPr>
            <w:tcW w:w="63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highlight w:val="none"/>
              </w:rPr>
              <w:t>自合同</w:t>
            </w:r>
            <w:r>
              <w:rPr>
                <w:rFonts w:hint="eastAsia" w:asciiTheme="minorEastAsia" w:hAnsiTheme="minorEastAsia" w:eastAsiaTheme="minorEastAsia"/>
                <w:szCs w:val="21"/>
                <w:highlight w:val="none"/>
                <w:lang w:eastAsia="zh-CN"/>
              </w:rPr>
              <w:t>签订</w:t>
            </w:r>
            <w:r>
              <w:rPr>
                <w:rFonts w:hint="eastAsia" w:asciiTheme="minorEastAsia" w:hAnsiTheme="minorEastAsia" w:eastAsiaTheme="minorEastAsia"/>
                <w:szCs w:val="21"/>
                <w:highlight w:val="none"/>
              </w:rPr>
              <w:t>之日起</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日历天</w:t>
            </w:r>
            <w:r>
              <w:rPr>
                <w:rFonts w:hint="eastAsia" w:asciiTheme="minorEastAsia" w:hAnsiTheme="minorEastAsia" w:eastAsiaTheme="minorEastAsia"/>
                <w:szCs w:val="21"/>
                <w:highlight w:val="none"/>
                <w:lang w:eastAsia="zh-CN"/>
              </w:rPr>
              <w:t>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1.3.3</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质量要求</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达到国家现行行业验收规范“合格”标准及第五章“采购内容及技术标准和要求”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 w:type="dxa"/>
            <w:vAlign w:val="center"/>
          </w:tcPr>
          <w:p>
            <w:pPr>
              <w:jc w:val="center"/>
              <w:rPr>
                <w:rFonts w:asciiTheme="minorEastAsia" w:hAnsiTheme="minorEastAsia" w:eastAsiaTheme="minorEastAsia"/>
                <w:b/>
              </w:rPr>
            </w:pPr>
            <w:r>
              <w:rPr>
                <w:rFonts w:hint="eastAsia" w:asciiTheme="minorEastAsia" w:hAnsiTheme="minorEastAsia" w:eastAsiaTheme="minorEastAsia"/>
              </w:rPr>
              <w:t>1.4.1</w:t>
            </w:r>
          </w:p>
        </w:tc>
        <w:tc>
          <w:tcPr>
            <w:tcW w:w="2126" w:type="dxa"/>
            <w:gridSpan w:val="2"/>
            <w:vAlign w:val="center"/>
          </w:tcPr>
          <w:p>
            <w:pPr>
              <w:jc w:val="center"/>
              <w:rPr>
                <w:rFonts w:hint="eastAsia" w:asciiTheme="minorEastAsia" w:hAnsiTheme="minorEastAsia" w:eastAsiaTheme="minorEastAsia"/>
              </w:rPr>
            </w:pPr>
            <w:r>
              <w:rPr>
                <w:rFonts w:hint="eastAsia" w:asciiTheme="minorEastAsia" w:hAnsiTheme="minorEastAsia" w:eastAsiaTheme="minorEastAsia"/>
              </w:rPr>
              <w:t>供应商资格</w:t>
            </w:r>
          </w:p>
          <w:p>
            <w:pPr>
              <w:jc w:val="center"/>
              <w:rPr>
                <w:rFonts w:asciiTheme="minorEastAsia" w:hAnsiTheme="minorEastAsia" w:eastAsiaTheme="minorEastAsia"/>
                <w:b/>
              </w:rPr>
            </w:pPr>
            <w:r>
              <w:rPr>
                <w:rFonts w:hint="eastAsia" w:asciiTheme="minorEastAsia" w:hAnsiTheme="minorEastAsia" w:eastAsiaTheme="minorEastAsia"/>
              </w:rPr>
              <w:t>要求及条件</w:t>
            </w:r>
          </w:p>
        </w:tc>
        <w:tc>
          <w:tcPr>
            <w:tcW w:w="6379" w:type="dxa"/>
            <w:vAlign w:val="center"/>
          </w:tcPr>
          <w:p>
            <w:pPr>
              <w:numPr>
                <w:ilvl w:val="0"/>
                <w:numId w:val="2"/>
              </w:numPr>
              <w:spacing w:line="360" w:lineRule="exact"/>
              <w:rPr>
                <w:rFonts w:asciiTheme="minorEastAsia" w:hAnsiTheme="minorEastAsia" w:eastAsiaTheme="minorEastAsia"/>
                <w:szCs w:val="21"/>
              </w:rPr>
            </w:pPr>
            <w:r>
              <w:rPr>
                <w:rFonts w:asciiTheme="minorEastAsia" w:hAnsiTheme="minorEastAsia" w:eastAsiaTheme="minorEastAsia"/>
                <w:szCs w:val="21"/>
              </w:rPr>
              <w:t>满足《中华人民共和国政府采购法》第二十二条规定;</w:t>
            </w:r>
          </w:p>
          <w:p>
            <w:pPr>
              <w:numPr>
                <w:ilvl w:val="0"/>
                <w:numId w:val="2"/>
              </w:numPr>
              <w:spacing w:line="360" w:lineRule="exact"/>
              <w:rPr>
                <w:rFonts w:asciiTheme="minorEastAsia" w:hAnsiTheme="minorEastAsia" w:eastAsiaTheme="minorEastAsia"/>
                <w:szCs w:val="21"/>
              </w:rPr>
            </w:pPr>
            <w:r>
              <w:rPr>
                <w:rFonts w:asciiTheme="minorEastAsia" w:hAnsiTheme="minorEastAsia" w:eastAsiaTheme="minorEastAsia"/>
                <w:szCs w:val="21"/>
              </w:rPr>
              <w:t>本项目的特定资格要求：</w:t>
            </w:r>
          </w:p>
          <w:p>
            <w:pPr>
              <w:numPr>
                <w:ilvl w:val="0"/>
                <w:numId w:val="0"/>
              </w:numPr>
              <w:spacing w:line="360" w:lineRule="exact"/>
              <w:rPr>
                <w:rFonts w:asciiTheme="minorEastAsia" w:hAnsiTheme="minorEastAsia" w:eastAsiaTheme="minorEastAsia"/>
                <w:szCs w:val="21"/>
              </w:rPr>
            </w:pPr>
            <w:r>
              <w:rPr>
                <w:rFonts w:asciiTheme="minorEastAsia" w:hAnsiTheme="minorEastAsia" w:eastAsiaTheme="minorEastAsia"/>
                <w:szCs w:val="21"/>
              </w:rPr>
              <w:t>1）供应商须具备独立承担民事责任能力的法人或其他组织，提供合法有效的统一社会信用代码的营业执照副本;</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2）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）出具磋商保证金交纳凭证或担保机构出具的保函；</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）供应商参加政府采购活动2019年6月至今经营活动中没有重大违法纪录的书面声明；</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）供应商须提供经审计的2020年度至今任意一年的财务报告或开标前六个月内其基本账户银行出具的资信证明；</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）供应商须提供2022年1月以来至少一个月社会保障资金缴存单据或社保机构开具的社会保险参保缴费情况证明；</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）供应商须提供2022年1月以来至少一个月的纳税证明或完税证明；依法免税的单位应提供相关证明材料；</w:t>
            </w:r>
            <w:r>
              <w:rPr>
                <w:rFonts w:hint="eastAsia" w:asciiTheme="minorEastAsia" w:hAnsiTheme="minorEastAsia" w:eastAsiaTheme="minorEastAsia"/>
                <w:szCs w:val="21"/>
              </w:rPr>
              <w:br w:type="textWrapping"/>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2126" w:type="dxa"/>
            <w:gridSpan w:val="2"/>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是否接受联合体投标</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1.9.1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踏勘现场</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采购人不组织统一踏勘现场，由各供应商自行踏勘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1.10</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分包</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2.1</w:t>
            </w:r>
          </w:p>
        </w:tc>
        <w:tc>
          <w:tcPr>
            <w:tcW w:w="2126" w:type="dxa"/>
            <w:gridSpan w:val="2"/>
            <w:vAlign w:val="center"/>
          </w:tcPr>
          <w:p>
            <w:pPr>
              <w:jc w:val="center"/>
              <w:rPr>
                <w:rFonts w:asciiTheme="minorEastAsia" w:hAnsiTheme="minorEastAsia" w:eastAsiaTheme="minorEastAsia"/>
                <w:spacing w:val="-10"/>
              </w:rPr>
            </w:pPr>
            <w:r>
              <w:rPr>
                <w:rFonts w:hint="eastAsia" w:asciiTheme="minorEastAsia" w:hAnsiTheme="minorEastAsia" w:eastAsiaTheme="minorEastAsia"/>
                <w:spacing w:val="-10"/>
              </w:rPr>
              <w:t>构成竞争性谈判文件的其他材料</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对竞争性谈判文件所作的澄清、修改、答疑以及往来通知、函件等。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2.2.1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投标截止时间</w:t>
            </w:r>
          </w:p>
        </w:tc>
        <w:tc>
          <w:tcPr>
            <w:tcW w:w="63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2022年08月03日 14时00分00秒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2.3.1</w:t>
            </w:r>
          </w:p>
        </w:tc>
        <w:tc>
          <w:tcPr>
            <w:tcW w:w="2126" w:type="dxa"/>
            <w:gridSpan w:val="2"/>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供应商提出询问</w:t>
            </w:r>
          </w:p>
          <w:p>
            <w:pPr>
              <w:jc w:val="center"/>
              <w:rPr>
                <w:rFonts w:asciiTheme="minorEastAsia" w:hAnsiTheme="minorEastAsia" w:eastAsiaTheme="minorEastAsia"/>
                <w:szCs w:val="21"/>
              </w:rPr>
            </w:pPr>
            <w:r>
              <w:rPr>
                <w:rFonts w:hint="eastAsia" w:asciiTheme="minorEastAsia" w:hAnsiTheme="minorEastAsia" w:eastAsiaTheme="minorEastAsia"/>
                <w:szCs w:val="21"/>
              </w:rPr>
              <w:t>和质疑的时间</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已经购买竞争性谈判文件的供应商对竞争性谈判文件有质疑，依据《中华人民共和国政府采购法》第五十二条，应当在知道或者应知其权益受到损害之日起七个工作日内，以书面形式向采购人提出质疑。在此之后提出的质疑均为无效，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3.1.1</w:t>
            </w:r>
          </w:p>
        </w:tc>
        <w:tc>
          <w:tcPr>
            <w:tcW w:w="2126" w:type="dxa"/>
            <w:gridSpan w:val="2"/>
            <w:vAlign w:val="center"/>
          </w:tcPr>
          <w:p>
            <w:pPr>
              <w:jc w:val="center"/>
              <w:rPr>
                <w:rFonts w:asciiTheme="minorEastAsia" w:hAnsiTheme="minorEastAsia" w:eastAsiaTheme="minorEastAsia"/>
                <w:spacing w:val="-6"/>
              </w:rPr>
            </w:pPr>
            <w:r>
              <w:rPr>
                <w:rFonts w:hint="eastAsia" w:asciiTheme="minorEastAsia" w:hAnsiTheme="minorEastAsia" w:eastAsiaTheme="minorEastAsia"/>
                <w:spacing w:val="-6"/>
              </w:rPr>
              <w:t>构成竞争性谈判响应文件的其他材料</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根据竞争性谈判文件相应条款对竞争性谈判文件所作的答疑、修改，构成竞争性谈判文件的其他组成部分，各响应供应商必须及时从竞争性谈判代理人处获取。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djustRightInd w:val="0"/>
              <w:snapToGri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3.2.1</w:t>
            </w:r>
          </w:p>
        </w:tc>
        <w:tc>
          <w:tcPr>
            <w:tcW w:w="2126" w:type="dxa"/>
            <w:gridSpan w:val="2"/>
            <w:vAlign w:val="center"/>
          </w:tcPr>
          <w:p>
            <w:pPr>
              <w:adjustRightInd w:val="0"/>
              <w:snapToGri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谈判报价</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采用全费用总价包干形式。</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各供应商根据竞争性谈判文件的规定，结合企业自身管理水平及市场行情自主报价，投标总报价不得超过采购预算。</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凡因供应商对竞争性谈判文件阅读疏忽或误解，或因对现场、环境、市场行情等了解不清而造成的后果和风险，由供应商负责；如供应商因此而提出索赔或服务期延长，采购人将不予批准。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3.3.1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投标有效期</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3.4.1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谈判保证金</w:t>
            </w:r>
          </w:p>
        </w:tc>
        <w:tc>
          <w:tcPr>
            <w:tcW w:w="6379"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金额：人民币</w:t>
            </w:r>
            <w:r>
              <w:rPr>
                <w:rFonts w:hint="eastAsia" w:asciiTheme="minorEastAsia" w:hAnsiTheme="minorEastAsia" w:eastAsiaTheme="minorEastAsia"/>
                <w:szCs w:val="21"/>
                <w:highlight w:val="none"/>
                <w:lang w:val="en-US" w:eastAsia="zh-CN"/>
              </w:rPr>
              <w:t>伍仟</w:t>
            </w:r>
            <w:r>
              <w:rPr>
                <w:rFonts w:hint="eastAsia" w:asciiTheme="minorEastAsia" w:hAnsiTheme="minorEastAsia" w:eastAsiaTheme="minorEastAsia"/>
                <w:szCs w:val="21"/>
                <w:highlight w:val="none"/>
              </w:rPr>
              <w:t>元整</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形式：银行转账、电汇、银行保函。</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重要提示：</w:t>
            </w:r>
          </w:p>
          <w:p>
            <w:pPr>
              <w:spacing w:line="36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1、转帐事由：</w:t>
            </w:r>
            <w:r>
              <w:rPr>
                <w:rFonts w:hint="eastAsia" w:asciiTheme="minorEastAsia" w:hAnsiTheme="minorEastAsia" w:eastAsiaTheme="minorEastAsia"/>
                <w:szCs w:val="21"/>
                <w:highlight w:val="none"/>
                <w:lang w:val="en-US" w:eastAsia="zh-CN"/>
              </w:rPr>
              <w:t>2022-032</w:t>
            </w:r>
            <w:r>
              <w:rPr>
                <w:rFonts w:hint="eastAsia" w:asciiTheme="minorEastAsia" w:hAnsiTheme="minorEastAsia" w:eastAsiaTheme="minorEastAsia"/>
                <w:szCs w:val="21"/>
                <w:highlight w:val="none"/>
                <w:lang w:eastAsia="zh-CN"/>
              </w:rPr>
              <w:t>渭南市公安局临渭分局</w:t>
            </w:r>
            <w:r>
              <w:rPr>
                <w:rFonts w:hint="eastAsia" w:asciiTheme="minorEastAsia" w:hAnsiTheme="minorEastAsia" w:eastAsiaTheme="minorEastAsia"/>
                <w:szCs w:val="21"/>
                <w:highlight w:val="none"/>
                <w:lang w:val="en-US" w:eastAsia="zh-CN"/>
              </w:rPr>
              <w:t>采集工作站采购</w:t>
            </w:r>
          </w:p>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谈判保证金不接受现金或支票形式。供应商转账、电汇凭证请打印或者复印后，装订在竞争性谈判响应文件资格部分正本中，提供投标担保函的请将原件密封至竞争性谈判响应文件资格部分正本中，所有副本中均应附有谈判保证金交纳凭证的复印件。</w:t>
            </w:r>
          </w:p>
          <w:p>
            <w:pPr>
              <w:spacing w:line="36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、谈判保证金必须在开标截至时间之前交纳至以下账户：</w:t>
            </w:r>
          </w:p>
          <w:p>
            <w:pPr>
              <w:spacing w:line="360" w:lineRule="exac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账户名称：瑞信</w:t>
            </w:r>
            <w:r>
              <w:rPr>
                <w:rFonts w:hint="eastAsia" w:asciiTheme="minorEastAsia" w:hAnsiTheme="minorEastAsia" w:eastAsiaTheme="minorEastAsia"/>
                <w:szCs w:val="21"/>
                <w:highlight w:val="none"/>
                <w:lang w:eastAsia="zh-CN"/>
              </w:rPr>
              <w:t>国际</w:t>
            </w:r>
            <w:r>
              <w:rPr>
                <w:rFonts w:hint="eastAsia" w:asciiTheme="minorEastAsia" w:hAnsiTheme="minorEastAsia" w:eastAsiaTheme="minorEastAsia"/>
                <w:szCs w:val="21"/>
                <w:highlight w:val="none"/>
              </w:rPr>
              <w:t>项目管理有限公司</w:t>
            </w:r>
          </w:p>
          <w:p>
            <w:pPr>
              <w:spacing w:line="360" w:lineRule="exac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开户银行：中国建设银行股份有限公司咸阳人民东路支行</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highlight w:val="none"/>
              </w:rPr>
              <w:t>账户：6105 0163 4000 0000 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3.6</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是否允许递交备选</w:t>
            </w:r>
          </w:p>
          <w:p>
            <w:pPr>
              <w:jc w:val="center"/>
              <w:rPr>
                <w:rFonts w:asciiTheme="minorEastAsia" w:hAnsiTheme="minorEastAsia" w:eastAsiaTheme="minorEastAsia"/>
              </w:rPr>
            </w:pPr>
            <w:r>
              <w:rPr>
                <w:rFonts w:hint="eastAsia" w:asciiTheme="minorEastAsia" w:hAnsiTheme="minorEastAsia" w:eastAsiaTheme="minorEastAsia"/>
              </w:rPr>
              <w:t>投标方案</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3.7.3</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签字、盖章的</w:t>
            </w:r>
          </w:p>
          <w:p>
            <w:pPr>
              <w:jc w:val="center"/>
              <w:rPr>
                <w:rFonts w:asciiTheme="minorEastAsia" w:hAnsiTheme="minorEastAsia" w:eastAsiaTheme="minorEastAsia"/>
              </w:rPr>
            </w:pPr>
            <w:r>
              <w:rPr>
                <w:rFonts w:hint="eastAsia" w:asciiTheme="minorEastAsia" w:hAnsiTheme="minorEastAsia" w:eastAsiaTheme="minorEastAsia"/>
              </w:rPr>
              <w:t>具体要求</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竞争性谈判文件要求指定位置“签字或盖章”的，供应商只要一项内容即可。</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竞争性谈判文件要求指定位置“签字和盖章”的，供应商必须既签字又盖章。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3.7.4</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竞争性谈判响应文件副本份数</w:t>
            </w:r>
          </w:p>
        </w:tc>
        <w:tc>
          <w:tcPr>
            <w:tcW w:w="6379" w:type="dxa"/>
            <w:vAlign w:val="center"/>
          </w:tcPr>
          <w:p>
            <w:pPr>
              <w:rPr>
                <w:rFonts w:hint="eastAsia" w:asciiTheme="minorEastAsia" w:hAnsiTheme="minorEastAsia" w:eastAsiaTheme="minorEastAsia"/>
                <w:lang w:eastAsia="zh-CN"/>
              </w:rPr>
            </w:pPr>
            <w:r>
              <w:rPr>
                <w:rFonts w:hint="eastAsia" w:asciiTheme="minorEastAsia" w:hAnsiTheme="minorEastAsia" w:eastAsiaTheme="minorEastAsia"/>
              </w:rPr>
              <w:t>副本</w:t>
            </w:r>
            <w:r>
              <w:rPr>
                <w:rFonts w:hint="eastAsia" w:asciiTheme="minorEastAsia" w:hAnsiTheme="minorEastAsia" w:eastAsiaTheme="minorEastAsia"/>
                <w:u w:val="none"/>
              </w:rPr>
              <w:t>叁</w:t>
            </w:r>
            <w:r>
              <w:rPr>
                <w:rFonts w:hint="eastAsia" w:asciiTheme="minorEastAsia" w:hAnsiTheme="minorEastAsia" w:eastAsiaTheme="minorEastAsia"/>
              </w:rPr>
              <w:t>份</w:t>
            </w:r>
            <w:r>
              <w:rPr>
                <w:rFonts w:hint="eastAsia" w:asciiTheme="minorEastAsia" w:hAnsiTheme="minorEastAsia" w:eastAsiaTheme="minorEastAsia"/>
                <w:lang w:eastAsia="zh-CN"/>
              </w:rPr>
              <w:t>，</w:t>
            </w:r>
            <w:r>
              <w:rPr>
                <w:rFonts w:hint="eastAsia" w:ascii="宋体" w:hAnsi="宋体" w:eastAsia="宋体" w:cs="宋体"/>
                <w:szCs w:val="21"/>
              </w:rPr>
              <w:t>同时提供与正本内容一致的电子版（U盘）一份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3.7.5</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装订要求</w:t>
            </w:r>
          </w:p>
        </w:tc>
        <w:tc>
          <w:tcPr>
            <w:tcW w:w="6379" w:type="dxa"/>
            <w:vAlign w:val="center"/>
          </w:tcPr>
          <w:p>
            <w:pPr>
              <w:spacing w:line="360" w:lineRule="exact"/>
              <w:rPr>
                <w:rFonts w:asciiTheme="minorEastAsia" w:hAnsiTheme="minorEastAsia" w:eastAsiaTheme="minorEastAsia"/>
                <w:u w:val="single"/>
              </w:rPr>
            </w:pPr>
            <w:r>
              <w:rPr>
                <w:rFonts w:hint="eastAsia" w:asciiTheme="minorEastAsia" w:hAnsiTheme="minorEastAsia" w:eastAsiaTheme="minorEastAsia"/>
                <w:szCs w:val="21"/>
              </w:rPr>
              <w:t>按照响应供应商须知第3.1.1项规定的竞争性谈判响应文件组成内容，竞争性谈判响应文件应将“资格部分、技术和商务部分”装订成一册，装订应牢固、不易拆散和换页，不得采用活页装订。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3.7.6</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打印要求</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竞争性谈判响应文件的正本与副本均应正反面（双面）打印。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4.1.2</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封套上写明</w:t>
            </w:r>
          </w:p>
        </w:tc>
        <w:tc>
          <w:tcPr>
            <w:tcW w:w="63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项目名称：</w:t>
            </w:r>
          </w:p>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项目编号：</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lang w:eastAsia="zh-CN"/>
              </w:rPr>
              <w:t>供</w:t>
            </w:r>
            <w:r>
              <w:rPr>
                <w:rFonts w:hint="eastAsia" w:asciiTheme="minorEastAsia" w:hAnsiTheme="minorEastAsia" w:eastAsiaTheme="minorEastAsia"/>
                <w:szCs w:val="21"/>
              </w:rPr>
              <w:t>应商名称：</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内容：“竞争性谈判响应文件”</w:t>
            </w:r>
          </w:p>
          <w:p>
            <w:pPr>
              <w:spacing w:line="360" w:lineRule="exact"/>
              <w:rPr>
                <w:rFonts w:asciiTheme="minorEastAsia" w:hAnsiTheme="minorEastAsia" w:eastAsiaTheme="minorEastAsia"/>
              </w:rPr>
            </w:pPr>
            <w:r>
              <w:rPr>
                <w:rFonts w:hint="eastAsia" w:asciiTheme="minorEastAsia" w:hAnsiTheme="minorEastAsia" w:eastAsiaTheme="minorEastAsia"/>
                <w:szCs w:val="21"/>
              </w:rPr>
              <w:t>竞争性谈判响应文件</w:t>
            </w:r>
            <w:r>
              <w:rPr>
                <w:rFonts w:hint="eastAsia" w:asciiTheme="minorEastAsia" w:hAnsiTheme="minorEastAsia" w:eastAsiaTheme="minorEastAsia"/>
                <w:szCs w:val="21"/>
                <w:highlight w:val="none"/>
              </w:rPr>
              <w:t>在</w:t>
            </w:r>
            <w:r>
              <w:rPr>
                <w:rFonts w:hint="eastAsia" w:asciiTheme="minorEastAsia" w:hAnsiTheme="minorEastAsia" w:eastAsiaTheme="minorEastAsia" w:cstheme="minorEastAsia"/>
                <w:spacing w:val="-6"/>
                <w:sz w:val="21"/>
                <w:szCs w:val="21"/>
                <w:highlight w:val="none"/>
                <w:u w:val="none"/>
                <w:lang w:val="en-US" w:eastAsia="zh-CN"/>
              </w:rPr>
              <w:t>2022</w:t>
            </w:r>
            <w:r>
              <w:rPr>
                <w:rFonts w:hint="eastAsia" w:asciiTheme="minorEastAsia" w:hAnsiTheme="minorEastAsia" w:eastAsiaTheme="minorEastAsia" w:cstheme="minorEastAsia"/>
                <w:spacing w:val="-6"/>
                <w:sz w:val="21"/>
                <w:szCs w:val="21"/>
                <w:highlight w:val="none"/>
                <w:u w:val="none"/>
                <w:lang w:eastAsia="zh-CN"/>
              </w:rPr>
              <w:t>年</w:t>
            </w:r>
            <w:r>
              <w:rPr>
                <w:rFonts w:hint="eastAsia" w:asciiTheme="minorEastAsia" w:hAnsiTheme="minorEastAsia" w:eastAsiaTheme="minorEastAsia" w:cstheme="minorEastAsia"/>
                <w:spacing w:val="-6"/>
                <w:sz w:val="21"/>
                <w:szCs w:val="21"/>
                <w:highlight w:val="none"/>
                <w:u w:val="none"/>
                <w:lang w:val="en-US" w:eastAsia="zh-CN"/>
              </w:rPr>
              <w:t xml:space="preserve">  月  日  </w:t>
            </w:r>
            <w:r>
              <w:rPr>
                <w:rFonts w:hint="eastAsia" w:asciiTheme="minorEastAsia" w:hAnsiTheme="minorEastAsia" w:eastAsiaTheme="minorEastAsia"/>
                <w:spacing w:val="-6"/>
                <w:sz w:val="21"/>
                <w:szCs w:val="21"/>
                <w:highlight w:val="none"/>
                <w:u w:val="none"/>
                <w:lang w:eastAsia="zh-CN"/>
              </w:rPr>
              <w:t>时</w:t>
            </w:r>
            <w:r>
              <w:rPr>
                <w:rFonts w:hint="eastAsia" w:asciiTheme="minorEastAsia" w:hAnsiTheme="minorEastAsia" w:eastAsiaTheme="minorEastAsia"/>
                <w:spacing w:val="-6"/>
                <w:sz w:val="21"/>
                <w:szCs w:val="21"/>
                <w:highlight w:val="none"/>
                <w:u w:val="none"/>
                <w:lang w:val="en-US" w:eastAsia="zh-CN"/>
              </w:rPr>
              <w:t>00</w:t>
            </w:r>
            <w:r>
              <w:rPr>
                <w:rFonts w:hint="eastAsia" w:asciiTheme="minorEastAsia" w:hAnsiTheme="minorEastAsia" w:eastAsiaTheme="minorEastAsia"/>
                <w:spacing w:val="-6"/>
                <w:sz w:val="21"/>
                <w:szCs w:val="21"/>
                <w:highlight w:val="none"/>
                <w:u w:val="none"/>
                <w:lang w:eastAsia="zh-CN"/>
              </w:rPr>
              <w:t>分</w:t>
            </w:r>
            <w:r>
              <w:rPr>
                <w:rFonts w:hint="eastAsia" w:asciiTheme="minorEastAsia" w:hAnsiTheme="minorEastAsia" w:eastAsiaTheme="minorEastAsia"/>
                <w:szCs w:val="21"/>
                <w:highlight w:val="none"/>
              </w:rPr>
              <w:t>前不得</w:t>
            </w:r>
            <w:r>
              <w:rPr>
                <w:rFonts w:hint="eastAsia" w:asciiTheme="minorEastAsia" w:hAnsiTheme="minorEastAsia" w:eastAsiaTheme="minorEastAsia"/>
                <w:szCs w:val="21"/>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4.2.2</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递交竞争性谈判响应文件地点</w:t>
            </w:r>
          </w:p>
        </w:tc>
        <w:tc>
          <w:tcPr>
            <w:tcW w:w="6379" w:type="dxa"/>
            <w:vAlign w:val="center"/>
          </w:tcPr>
          <w:p>
            <w:pPr>
              <w:rPr>
                <w:rFonts w:asciiTheme="minorEastAsia" w:hAnsiTheme="minorEastAsia" w:eastAsiaTheme="minorEastAsia"/>
              </w:rPr>
            </w:pPr>
            <w:r>
              <w:rPr>
                <w:rFonts w:hint="eastAsia" w:asciiTheme="minorEastAsia" w:hAnsiTheme="minorEastAsia" w:eastAsiaTheme="minorEastAsia"/>
                <w:lang w:eastAsia="zh-CN"/>
              </w:rPr>
              <w:t>渭南市行政中心西配楼一楼开标室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ind w:firstLine="37"/>
              <w:jc w:val="center"/>
              <w:rPr>
                <w:rFonts w:asciiTheme="minorEastAsia" w:hAnsiTheme="minorEastAsia" w:eastAsiaTheme="minorEastAsia"/>
              </w:rPr>
            </w:pPr>
            <w:r>
              <w:rPr>
                <w:rFonts w:hint="eastAsia" w:asciiTheme="minorEastAsia" w:hAnsiTheme="minorEastAsia" w:eastAsiaTheme="minorEastAsia"/>
              </w:rPr>
              <w:t>4.2.3</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是否退还竞争性谈判响应文件</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否，但由于按无效投标处理等原因未启封的供应商递交的投标资料袋除外</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5.1</w:t>
            </w:r>
          </w:p>
        </w:tc>
        <w:tc>
          <w:tcPr>
            <w:tcW w:w="2126" w:type="dxa"/>
            <w:gridSpan w:val="2"/>
            <w:vAlign w:val="center"/>
          </w:tcPr>
          <w:p>
            <w:pPr>
              <w:jc w:val="center"/>
              <w:rPr>
                <w:rFonts w:hint="eastAsia" w:asciiTheme="minorEastAsia" w:hAnsiTheme="minorEastAsia" w:eastAsiaTheme="minorEastAsia"/>
              </w:rPr>
            </w:pPr>
            <w:r>
              <w:rPr>
                <w:rFonts w:hint="eastAsia" w:asciiTheme="minorEastAsia" w:hAnsiTheme="minorEastAsia" w:eastAsiaTheme="minorEastAsia"/>
              </w:rPr>
              <w:t>竞争性谈判</w:t>
            </w:r>
          </w:p>
          <w:p>
            <w:pPr>
              <w:jc w:val="center"/>
              <w:rPr>
                <w:rFonts w:asciiTheme="minorEastAsia" w:hAnsiTheme="minorEastAsia" w:eastAsiaTheme="minorEastAsia"/>
              </w:rPr>
            </w:pPr>
            <w:r>
              <w:rPr>
                <w:rFonts w:hint="eastAsia" w:asciiTheme="minorEastAsia" w:hAnsiTheme="minorEastAsia" w:eastAsiaTheme="minorEastAsia"/>
              </w:rPr>
              <w:t>时间和地点</w:t>
            </w:r>
          </w:p>
        </w:tc>
        <w:tc>
          <w:tcPr>
            <w:tcW w:w="6379" w:type="dxa"/>
            <w:vAlign w:val="center"/>
          </w:tcPr>
          <w:p>
            <w:pPr>
              <w:spacing w:line="360" w:lineRule="exact"/>
              <w:rPr>
                <w:rFonts w:hint="default" w:asciiTheme="minorEastAsia" w:hAnsiTheme="minorEastAsia" w:eastAsiaTheme="minorEastAsia"/>
                <w:szCs w:val="21"/>
                <w:u w:val="single"/>
                <w:lang w:val="en-US"/>
              </w:rPr>
            </w:pPr>
            <w:r>
              <w:rPr>
                <w:rFonts w:hint="eastAsia" w:asciiTheme="minorEastAsia" w:hAnsiTheme="minorEastAsia" w:eastAsiaTheme="minorEastAsia"/>
                <w:szCs w:val="21"/>
              </w:rPr>
              <w:t>竞争性谈判时间：2022年08月03日 14时00分00秒</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竞争性谈判地点：</w:t>
            </w:r>
            <w:r>
              <w:rPr>
                <w:rFonts w:hint="eastAsia" w:asciiTheme="minorEastAsia" w:hAnsiTheme="minorEastAsia" w:eastAsiaTheme="minorEastAsia"/>
                <w:szCs w:val="21"/>
                <w:lang w:eastAsia="zh-CN"/>
              </w:rPr>
              <w:t>渭南市行政中心西配楼一楼开标室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5.2</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竞争性谈判核验证件</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核验供应商有关原件：供应商法定代表人证明书及法定代表人身份证，或法定代表人授权委托书及被授权人身份证。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6.1.1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谈判小组的组建</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谈判小组构成：3人，其中：采购人代表 1人；专家 2人。 </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谈判小组专</w:t>
            </w:r>
            <w:r>
              <w:rPr>
                <w:rFonts w:hint="eastAsia" w:cs="Times New Roman" w:asciiTheme="minorEastAsia" w:hAnsiTheme="minorEastAsia" w:eastAsiaTheme="minorEastAsia"/>
                <w:szCs w:val="21"/>
              </w:rPr>
              <w:t>家确定方式：</w:t>
            </w:r>
            <w:r>
              <w:rPr>
                <w:rFonts w:hint="eastAsia" w:cs="Times New Roman" w:asciiTheme="minorEastAsia" w:hAnsiTheme="minorEastAsia" w:eastAsiaTheme="minorEastAsia"/>
                <w:szCs w:val="21"/>
                <w:lang w:eastAsia="zh-CN"/>
              </w:rPr>
              <w:t>陕西省专家库专家和招标人代表组成。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7.1.1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是否授权谈判小组确定成交供应商</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否，推荐的成交候选人数：3名。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7.1.4</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成交公告</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公告媒体：陕西政府采购网</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rPr>
            </w:pPr>
            <w:r>
              <w:rPr>
                <w:rFonts w:hint="eastAsia" w:asciiTheme="minorEastAsia" w:hAnsiTheme="minorEastAsia" w:eastAsiaTheme="minorEastAsia"/>
              </w:rPr>
              <w:t>7.3.1</w:t>
            </w:r>
          </w:p>
        </w:tc>
        <w:tc>
          <w:tcPr>
            <w:tcW w:w="2126"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rPr>
              <w:t>履约担保</w:t>
            </w:r>
          </w:p>
        </w:tc>
        <w:tc>
          <w:tcPr>
            <w:tcW w:w="63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不提供履约担保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57" w:type="dxa"/>
            <w:gridSpan w:val="4"/>
            <w:vAlign w:val="center"/>
          </w:tcPr>
          <w:p>
            <w:pPr>
              <w:spacing w:line="240" w:lineRule="auto"/>
              <w:jc w:val="left"/>
              <w:rPr>
                <w:rFonts w:asciiTheme="minorEastAsia" w:hAnsiTheme="minorEastAsia" w:eastAsiaTheme="minorEastAsia"/>
              </w:rPr>
            </w:pPr>
            <w:r>
              <w:rPr>
                <w:rFonts w:hint="eastAsia" w:asciiTheme="minorEastAsia" w:hAnsiTheme="minorEastAsia" w:eastAsiaTheme="minorEastAsia"/>
                <w:b/>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9357" w:type="dxa"/>
            <w:gridSpan w:val="4"/>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10.</w:t>
            </w:r>
            <w:r>
              <w:rPr>
                <w:rFonts w:asciiTheme="minorEastAsia" w:hAnsiTheme="minorEastAsia" w:eastAsiaTheme="minorEastAsia"/>
              </w:rPr>
              <w:t>1</w:t>
            </w:r>
            <w:r>
              <w:rPr>
                <w:rFonts w:hint="eastAsia" w:asciiTheme="minorEastAsia" w:hAnsiTheme="minorEastAsia" w:eastAsiaTheme="minorEastAsia"/>
              </w:rPr>
              <w:t>供应商代表出席竞争性谈判会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4"/>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供应商的法定代表人或其委托代理人应当按时参加竞争性谈判会，向采购人提交法定代表人身份证明文件或法定代表人授权委托书，出示本人身份证，以证明其出席。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4"/>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2</w:t>
            </w:r>
            <w:r>
              <w:rPr>
                <w:rFonts w:hint="eastAsia" w:asciiTheme="minorEastAsia" w:hAnsiTheme="minorEastAsia" w:eastAsiaTheme="minorEastAsia"/>
                <w:szCs w:val="21"/>
              </w:rPr>
              <w:t xml:space="preserve"> 竞争性谈判代理服务费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4"/>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确定成交供应商后3个工作日内，由成交供应商按国家计委颁发的《招标代理服务收费管理暂行办法》（计价格[2002]1980号）和国家发展改革委员会办公厅颁发的《关于招标代理服务收费有关问题的通知》（发改办价格[2003] 857号）的有关规定标准，向采购代理机构一次付清竞争性谈判代理服务费。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3</w:t>
            </w:r>
          </w:p>
        </w:tc>
        <w:tc>
          <w:tcPr>
            <w:tcW w:w="8403" w:type="dxa"/>
            <w:gridSpan w:val="2"/>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本竞争性谈判文件未明确的其他事项，按照有关法律、法规或省市有关规定执行。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vAlign w:val="center"/>
          </w:tcPr>
          <w:p>
            <w:pPr>
              <w:spacing w:line="400" w:lineRule="atLeast"/>
              <w:rPr>
                <w:rFonts w:asciiTheme="minorEastAsia" w:hAnsiTheme="minorEastAsia" w:eastAsiaTheme="minorEastAsia"/>
              </w:rPr>
            </w:pPr>
            <w:r>
              <w:rPr>
                <w:rFonts w:hint="eastAsia" w:asciiTheme="minorEastAsia" w:hAnsiTheme="minorEastAsia" w:eastAsiaTheme="minorEastAsia"/>
              </w:rPr>
              <w:t>10.4</w:t>
            </w:r>
          </w:p>
        </w:tc>
        <w:tc>
          <w:tcPr>
            <w:tcW w:w="8403" w:type="dxa"/>
            <w:gridSpan w:val="2"/>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不允许重大偏离。不满足以下</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个方面要求的，视为发生重大偏离，按无效标处理；其余偏离视为细微偏离，竞争性谈判人将通过澄清的方式对细微偏离进行澄清或修正。</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 竞争性谈判响应文件的符合性：</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1）文件组成内容完整、字迹清晰可辨；</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2）法定代表人的身份证明书或其授权代理人的授权委托书及身份证明符合要求；</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3）竞争性谈判响应文件由响应供应商法定代表人或其授权代理人签字并加盖公章；</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4）一份竞争性谈判响应文件只有一个谈判报价，出现两个报价未明确以哪个为准；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2．合同条件：</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1）供应商接受竞争性谈判文件规定的风险划分原则,未提出新的风险划分办法；</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2）供应商未增加发包人的责任范围,也未减少响应供应商义务；</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3）供应商未提出不同的货物验收、计量、支付办法；</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4）供应商未对合同纠纷、事故处理办法提出异议；</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5）供应商在投标过程中没有欺诈行为；</w:t>
            </w:r>
          </w:p>
          <w:p>
            <w:pPr>
              <w:spacing w:line="360" w:lineRule="exact"/>
              <w:rPr>
                <w:rFonts w:asciiTheme="minorEastAsia" w:hAnsiTheme="minorEastAsia" w:eastAsiaTheme="minorEastAsia"/>
              </w:rPr>
            </w:pPr>
            <w:r>
              <w:rPr>
                <w:rFonts w:hint="eastAsia" w:asciiTheme="minorEastAsia" w:hAnsiTheme="minorEastAsia" w:eastAsiaTheme="minorEastAsia"/>
                <w:szCs w:val="21"/>
              </w:rPr>
              <w:t>6）供应商对合同条款没有重要保留。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gridSpan w:val="2"/>
            <w:vAlign w:val="center"/>
          </w:tcPr>
          <w:p>
            <w:pPr>
              <w:spacing w:line="400" w:lineRule="atLeast"/>
              <w:rPr>
                <w:rFonts w:asciiTheme="minorEastAsia" w:hAnsiTheme="minorEastAsia" w:eastAsiaTheme="minorEastAsia"/>
              </w:rPr>
            </w:pPr>
            <w:r>
              <w:rPr>
                <w:rFonts w:hint="eastAsia" w:asciiTheme="minorEastAsia" w:hAnsiTheme="minorEastAsia" w:eastAsiaTheme="minorEastAsia"/>
              </w:rPr>
              <w:t>10.5</w:t>
            </w:r>
          </w:p>
        </w:tc>
        <w:tc>
          <w:tcPr>
            <w:tcW w:w="8403" w:type="dxa"/>
            <w:gridSpan w:val="2"/>
            <w:vAlign w:val="center"/>
          </w:tcPr>
          <w:p>
            <w:pPr>
              <w:spacing w:line="360" w:lineRule="exact"/>
              <w:rPr>
                <w:rFonts w:asciiTheme="minorEastAsia" w:hAnsiTheme="minorEastAsia" w:eastAsiaTheme="minorEastAsia"/>
              </w:rPr>
            </w:pPr>
            <w:r>
              <w:rPr>
                <w:rFonts w:asciiTheme="majorEastAsia" w:hAnsiTheme="majorEastAsia" w:eastAsiaTheme="majorEastAsia"/>
                <w:szCs w:val="21"/>
              </w:rPr>
              <w:t>按照《财政部关于在政府采购活动中查询及使用信用记录有关问题的通知》（财库〔2016〕125号）的要求，由采购人、采购代理机构根据开标当日“信用中国”网站（www.creditchina.gov.cn）、中国政府采购网（www.ccgp.gov.cn）的相关主体信用记录信息，对列入失信被执行人、重大税收违法案件当事人名单、政府采购严重违法失信行为记录名单及其他不符合《中华人民共和国政府采购法》第二十二条规定条件的供应商，拒绝参与政府采购活动。</w:t>
            </w:r>
          </w:p>
        </w:tc>
      </w:tr>
    </w:tbl>
    <w:p>
      <w:pPr>
        <w:pStyle w:val="3"/>
        <w:rPr>
          <w:rFonts w:asciiTheme="minorEastAsia" w:hAnsiTheme="minorEastAsia" w:eastAsiaTheme="minorEastAsia"/>
          <w:szCs w:val="24"/>
        </w:rPr>
      </w:pPr>
      <w:bookmarkStart w:id="7" w:name="_Toc321812010"/>
      <w:bookmarkStart w:id="8" w:name="_Toc324521807"/>
      <w:bookmarkStart w:id="9" w:name="_Toc290389698"/>
      <w:bookmarkStart w:id="10" w:name="_Toc184635071"/>
      <w:r>
        <w:rPr>
          <w:rFonts w:hint="eastAsia" w:asciiTheme="minorEastAsia" w:hAnsiTheme="minorEastAsia" w:eastAsiaTheme="minorEastAsia"/>
        </w:rPr>
        <w:br w:type="page"/>
      </w:r>
      <w:bookmarkStart w:id="11" w:name="_Toc16127"/>
      <w:bookmarkStart w:id="12" w:name="_Toc495674329"/>
      <w:r>
        <w:rPr>
          <w:rFonts w:hint="eastAsia" w:asciiTheme="minorEastAsia" w:hAnsiTheme="minorEastAsia" w:eastAsiaTheme="minorEastAsia"/>
          <w:szCs w:val="24"/>
        </w:rPr>
        <w:t>1.总则</w:t>
      </w:r>
      <w:bookmarkEnd w:id="7"/>
      <w:bookmarkEnd w:id="8"/>
      <w:bookmarkEnd w:id="9"/>
      <w:bookmarkEnd w:id="10"/>
      <w:bookmarkEnd w:id="11"/>
      <w:bookmarkEnd w:id="12"/>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 项目概况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1.1.1 根据《中华人民共和国政府采购法》等有关法律、法规和规章的规定，本采购项目己具备竞争性谈判条件，现对本项目进行竞争性谈判。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1.1.2 本竞争性谈判采购项目采购人：见响应供应商须知前附表。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1.1.3 本标段采购代理机构：见响应供应商须知前附表。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 本竞争性谈判采购项目名称：见响应供应商须知前附表。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1.1.5本竞争性谈判采购项目实施地点：见响应供应商须知前附表。</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 资金来源和落实情况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 本竞争性谈判采购项目的资金来源：见响应供应商须知前附表。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1.2.2 本竞争性谈判采购项目的出资比例：见响应供应商须知前附表。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1.2.3 本竞争性谈判采购项目的资金落实情况：见响应供应商须知前附表。</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1.3 竞争性谈判采购内容、计划工期和质量要求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1.3.1 本次竞争性谈判采购内容：见响应供应商须知前附表。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1.3.2 本标段的计划工期：见响应供应商须知前附表。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1.3.3 本标段的质量要求：见响应供应商须知前附表。</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1.4 供应商资格要求</w:t>
      </w:r>
      <w:bookmarkStart w:id="97" w:name="_GoBack"/>
      <w:bookmarkEnd w:id="97"/>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1.4.1 供应商应具备承担本项目的资格要求及条件</w:t>
      </w:r>
    </w:p>
    <w:p>
      <w:pPr>
        <w:spacing w:line="360" w:lineRule="auto"/>
        <w:ind w:firstLine="525" w:firstLineChars="25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（1）具有独立承担民事责任的能力；</w:t>
      </w:r>
    </w:p>
    <w:p>
      <w:pPr>
        <w:spacing w:line="360" w:lineRule="auto"/>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（2）具有良好的商业信誉和健全的财务会计制度；</w:t>
      </w:r>
    </w:p>
    <w:p>
      <w:pPr>
        <w:spacing w:line="360" w:lineRule="auto"/>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（3）具有履行合同所必需的设备和专业技术能力；</w:t>
      </w:r>
    </w:p>
    <w:p>
      <w:pPr>
        <w:spacing w:line="360" w:lineRule="auto"/>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（4）有依法缴纳税收和社会保障资金的良好记录；</w:t>
      </w:r>
    </w:p>
    <w:p>
      <w:pPr>
        <w:spacing w:line="360" w:lineRule="auto"/>
        <w:ind w:firstLine="525" w:firstLineChars="250"/>
        <w:rPr>
          <w:rFonts w:asciiTheme="minorEastAsia" w:hAnsiTheme="minorEastAsia" w:eastAsiaTheme="minorEastAsia"/>
          <w:strike/>
          <w:szCs w:val="21"/>
        </w:rPr>
      </w:pPr>
      <w:r>
        <w:rPr>
          <w:rFonts w:hint="eastAsia" w:cs="宋体" w:asciiTheme="minorEastAsia" w:hAnsiTheme="minorEastAsia" w:eastAsiaTheme="minorEastAsia"/>
          <w:szCs w:val="21"/>
        </w:rPr>
        <w:t>（5）参加政府采购活动前三年内，在经营活动中没有重大违法记录；</w:t>
      </w:r>
    </w:p>
    <w:p>
      <w:pPr>
        <w:spacing w:line="360" w:lineRule="auto"/>
        <w:ind w:firstLine="525" w:firstLineChars="250"/>
        <w:rPr>
          <w:rFonts w:asciiTheme="minorEastAsia" w:hAnsiTheme="minorEastAsia" w:eastAsiaTheme="minorEastAsia"/>
          <w:szCs w:val="21"/>
        </w:rPr>
      </w:pPr>
      <w:r>
        <w:rPr>
          <w:rFonts w:hint="eastAsia" w:cs="宋体" w:asciiTheme="minorEastAsia" w:hAnsiTheme="minorEastAsia" w:eastAsiaTheme="minorEastAsia"/>
          <w:szCs w:val="21"/>
        </w:rPr>
        <w:t>（6）</w:t>
      </w:r>
      <w:r>
        <w:rPr>
          <w:rFonts w:hint="eastAsia" w:asciiTheme="minorEastAsia" w:hAnsiTheme="minorEastAsia" w:eastAsiaTheme="minorEastAsia"/>
          <w:szCs w:val="21"/>
        </w:rPr>
        <w:t>中华人民共和国法律、行政法规规定的其他条件：见响应供应商须知前附表。</w:t>
      </w:r>
    </w:p>
    <w:p>
      <w:pPr>
        <w:spacing w:line="360" w:lineRule="auto"/>
        <w:ind w:firstLine="525" w:firstLineChars="250"/>
        <w:rPr>
          <w:rFonts w:asciiTheme="minorEastAsia" w:hAnsiTheme="minorEastAsia" w:eastAsiaTheme="minorEastAsia"/>
          <w:spacing w:val="-4"/>
          <w:szCs w:val="21"/>
        </w:rPr>
      </w:pPr>
      <w:r>
        <w:rPr>
          <w:rFonts w:hint="eastAsia" w:cs="宋体" w:asciiTheme="minorEastAsia" w:hAnsiTheme="minorEastAsia" w:eastAsiaTheme="minorEastAsia"/>
          <w:szCs w:val="21"/>
        </w:rPr>
        <w:t>（7）</w:t>
      </w:r>
      <w:r>
        <w:rPr>
          <w:rFonts w:hint="eastAsia" w:asciiTheme="minorEastAsia" w:hAnsiTheme="minorEastAsia" w:eastAsiaTheme="minorEastAsia"/>
          <w:spacing w:val="-4"/>
          <w:szCs w:val="21"/>
        </w:rPr>
        <w:t>根据本次采购项目的特殊要求，规定的供应商其他资格要求：见响应供应商须知前附表。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1.4.2 响应供应商须知前附表规定接受联合体投标的，除应符合本章第1.4.1项和响应供应商须知前附表的要求外，应遵守以下规定：</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(1）联合体各方应按竞争性谈判文件提供的格式签订联合体协议书，明确联合体牵头人和各方权利义务；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联合体形式参加投标的，联合体各方均应当符合政府采购法第二十二条第一款规定的条件。采购人根据采购项目的特殊要求规定供应商其他特定条件的，联合体各方中至少应当有一方符合采购人其他特定条件的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（3）由同一专业的单位组成的联合体，按照资质等级较低的单位确定资质等级；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（4）联合体各方不得再以自己名义单独或参加其他联合体在同一标段中投标。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1.4.3 供应商不得存在下列情形之一：</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（1）供应商不得直接或间接的与采购人、采购代理机构有任何关联关系，亦不得是采购人的附属机构。如果供应商在投标中隐瞒了上述关系，则该投标无效。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（2）单位负责人为同一人或者存在直接控股、管理关系的不同供应商，不得同时参加本项目同一标段的投标。如果供应商在投标中隐瞒了上述关系，则该投标无效。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1.4.4 竞争性谈判现场需携带的资格证件原件:见响应供应商须知前附表。</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1.5 费用承担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供应商准备和参加投标活动发生的费用自理。</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1.6 保密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参与竞争性谈判活动的各方应对竞争性谈判文件和竞争性谈判响应文件中的商业和技术等秘密保密，违者应对由此造成的后果承担法律责任。</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1.7 语言文字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除专用术语外，与竞争性谈判投标有关的语言均使用中文。必要时专用术语应附有中文注释。对不同文字文本竞争性谈判响应文件的解释发生异议的，以中文文本为准。</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1.8 计量单位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所有计量均采用中华人民共和国法定计量单位。</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1.9 踏勘现场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1.9.1 响应供应商须知前附表规定组织踏勘现场的，供应商按响应供应商须知前附表规定的时间、地点组织供应商踏勘项目现场。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1.9.2 供应商踏勘现场发生的费用自理。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1.9.3 除采购人的原因外，供应商自行负责在踏勘现场中所发生的人员伤亡和财产损失。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1.9.4 采购人在踏勘现场中介绍的工程场地和相关的周边环境情况，供应商在编制竞争性谈判响应文件时参考，采购人不对供应商据此做出的判断和决策负责。</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1.10 分包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本项目不允许分包。</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1.11 回避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在政府采购活动中，采购人员及相关人员与供应商有下列利害关系之一的，应当回避：</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（一）参加采购活动前3年内与供应商存在劳动关系；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（二）参加采购活动前3年内担任供应商的董事、监事；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（三）参加采购活动前3年内是供应商的控股股东或者实际控制人；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（四）与供应商的法定代表人或者负责人有夫妻、直系血亲、三代以内旁系血亲或者近姻亲关系；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（五）与供应商有其他可能影响政府采购活动公平、公正进行的关系。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相关人员，包括公开招标采购中评标委员会的组成人员，竞争性谈判采购中谈判小组的组成人员，询价采购中询价小组的组成人员等。</w:t>
      </w:r>
    </w:p>
    <w:p>
      <w:pPr>
        <w:pStyle w:val="5"/>
        <w:spacing w:before="60" w:after="60" w:line="360" w:lineRule="auto"/>
        <w:rPr>
          <w:rFonts w:asciiTheme="minorEastAsia" w:hAnsiTheme="minorEastAsia" w:eastAsiaTheme="minorEastAsia"/>
          <w:sz w:val="24"/>
          <w:szCs w:val="24"/>
        </w:rPr>
      </w:pPr>
      <w:bookmarkStart w:id="13" w:name="_Toc290389699"/>
      <w:bookmarkStart w:id="14" w:name="_Toc321812011"/>
      <w:bookmarkStart w:id="15" w:name="_Toc324521808"/>
      <w:bookmarkStart w:id="16" w:name="_Toc184635072"/>
      <w:r>
        <w:rPr>
          <w:rFonts w:hint="eastAsia" w:asciiTheme="minorEastAsia" w:hAnsiTheme="minorEastAsia" w:eastAsiaTheme="minorEastAsia"/>
          <w:sz w:val="24"/>
          <w:szCs w:val="24"/>
        </w:rPr>
        <w:t>2.竞争性谈判文件</w:t>
      </w:r>
      <w:bookmarkEnd w:id="13"/>
      <w:bookmarkEnd w:id="14"/>
      <w:bookmarkEnd w:id="15"/>
      <w:bookmarkEnd w:id="16"/>
    </w:p>
    <w:p>
      <w:pPr>
        <w:pStyle w:val="3"/>
        <w:rPr>
          <w:rFonts w:asciiTheme="minorEastAsia" w:hAnsiTheme="minorEastAsia" w:eastAsiaTheme="minorEastAsia"/>
        </w:rPr>
      </w:pPr>
      <w:bookmarkStart w:id="17" w:name="_Toc495674330"/>
      <w:bookmarkStart w:id="18" w:name="_Toc6749"/>
      <w:r>
        <w:rPr>
          <w:rFonts w:hint="eastAsia" w:asciiTheme="minorEastAsia" w:hAnsiTheme="minorEastAsia" w:eastAsiaTheme="minorEastAsia"/>
        </w:rPr>
        <w:t>2.1 竞争性谈判文件的组成</w:t>
      </w:r>
      <w:bookmarkEnd w:id="17"/>
      <w:bookmarkEnd w:id="18"/>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本竞争性谈判文件包括：</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 xml:space="preserve">(1) 竞争性谈判公告； </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(2) 竞争性谈判响应供应商须知；</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(3) 竞争性谈判方法；</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(4) 合同条款及格式；</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(5) 采购内容及技术标准和要求；</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(6) 竞争性谈判响应文件格式；</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2.2 竞争性谈判文件的澄清或修改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2.2.1采购人或者采购代理机构可以对已发出的竞争性谈判文件进行必要的澄清或者修改，竞争性谈判文件的澄清或修改将在响应供应商须知前附表规定的投标截止时间3个工作日前，在发布竞争性谈判公告的财政部门指定媒体上由采购代理机构发布更正公告，并以书面形式通知所有购买竞争性谈判文件的单位，但不指明澄清问题的来源。如果澄清或修改发出的时间距投标截止时间不足3个工作日，相应延长投标截止时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2.2.2 供应商在收到澄清或修改后，应以书面形式通知采购人，确认己收到该澄清或修改。当竞争性谈判文件、澄清(答疑)纪要、修改(补充)函件内容相互矛盾时，以最后发出的为准。</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2.3 竞争性谈判文件的询问或者质疑和答复</w:t>
      </w:r>
    </w:p>
    <w:p>
      <w:pPr>
        <w:spacing w:line="360" w:lineRule="auto"/>
        <w:ind w:firstLine="420" w:firstLineChars="200"/>
        <w:rPr>
          <w:rFonts w:asciiTheme="minorEastAsia" w:hAnsiTheme="minorEastAsia" w:eastAsiaTheme="minorEastAsia"/>
          <w:szCs w:val="21"/>
        </w:rPr>
      </w:pPr>
      <w:bookmarkStart w:id="19" w:name="_Toc184635073"/>
      <w:bookmarkStart w:id="20" w:name="_Toc324521809"/>
      <w:bookmarkStart w:id="21" w:name="_Toc290389700"/>
      <w:bookmarkStart w:id="22" w:name="_Toc321812012"/>
      <w:r>
        <w:rPr>
          <w:rFonts w:hint="eastAsia" w:asciiTheme="minorEastAsia" w:hAnsiTheme="minorEastAsia" w:eastAsiaTheme="minorEastAsia"/>
          <w:szCs w:val="21"/>
        </w:rPr>
        <w:t>2.3.1 已经购买竞争性谈判文件的供应商对竞争性谈判文件有疑问或者认为竞争性谈判文件使自己的权益受到损害的，应当在“响应供应商须知前附表”规定的时间内以书面形式向采购代理机构提出询问或者质疑，在此之后提出的询问或者质疑均为无效，采购代理机构不予受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2.3.2 对于在规定时间内收到的供应商依法提出的询问，采购代理机构将在在3个工作日内对供应商依法提出的询问作出答复。若对竞争性谈判文件做出实质性变动，则按照相关规定延长投标截止时间。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2.3.3 对于在规定时间内收到的供应商依法提出的质疑，采购人将在收到供应商的书面质疑后七个工作日内作出答复。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2.3.4 供应商提出质疑应当有明确的请求和必要的证明材料。</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2.4 投标截止时间和竞争性谈判时间的延长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投标截止时间三日前，采购代理机构可以视采购具体情况，延长投标截止时间和竞争性谈判时间。延长投标截止时间和竞争性谈判时间将在财政部门指定的媒体上发布变更公告，同时将变更时间书面通知所有购买竞争性谈判文件的单位。</w:t>
      </w:r>
    </w:p>
    <w:p>
      <w:pPr>
        <w:pStyle w:val="5"/>
        <w:spacing w:before="60" w:after="6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3.竞争性谈判响应文件</w:t>
      </w:r>
      <w:bookmarkEnd w:id="19"/>
      <w:bookmarkEnd w:id="20"/>
      <w:bookmarkEnd w:id="21"/>
      <w:bookmarkEnd w:id="22"/>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3.1 竞争性谈判响应文件的组成：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竞争性谈判响应文件由资格部分、技术和商务部分及响应供应商须知前附表规定的其他材料组成。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 竞争性谈判响应文件应包括下列内容：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资格部分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 法人代表授权书；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陕西省政府采购供应商拒绝政府采购领域商业贿赂承诺书；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资格证明文件；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4）谈判保证金。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技术和商务部分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谈判报价函；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产品技术参数、指标和配置；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质量保证；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售后服务；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其他材料。</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3.2 谈判报价</w:t>
      </w:r>
    </w:p>
    <w:p>
      <w:pPr>
        <w:spacing w:line="360" w:lineRule="auto"/>
        <w:ind w:firstLine="420" w:firstLineChars="200"/>
        <w:rPr>
          <w:rFonts w:asciiTheme="minorEastAsia" w:hAnsiTheme="minorEastAsia" w:eastAsiaTheme="minorEastAsia"/>
          <w:strike/>
          <w:szCs w:val="21"/>
        </w:rPr>
      </w:pPr>
      <w:r>
        <w:rPr>
          <w:rFonts w:hint="eastAsia" w:asciiTheme="minorEastAsia" w:hAnsiTheme="minorEastAsia" w:eastAsiaTheme="minorEastAsia"/>
          <w:szCs w:val="21"/>
        </w:rPr>
        <w:t>3.2.1 供应商应按第六章竞争性谈判响应文件格式的要求及响应供应商须知前附表的说明填报价格及费用。供应商应充分考虑国家现行规范要求，以及供应商自身情况，自主报价。谈判报价应是竞争性谈判范围内全部工作内容的价格体现。谈判报价一经提交，则将被视为发包内容的全部费用已经包含在谈判报价内，供应商没有填报的费用，采购人将不予支付，并认为此项费用已包括在谈判报价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采购人应结合现场实际情况，根据企业自身的管理水平和实力在保证不低于成本的基础上自主确定切合自身实力的竞争性谈判报价。</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3.3 投标有效期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 在响应供应商须知前附表规定的投标有效期内，供应商不得要求撤销或修改其竞争性谈判响应文件。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3.3.2 出现特殊情况需要延长投标有效期的，采购人以书面形式通知所有供应商延长投标有效期。供应商同意延长的，应相应延长其谈判保证金的有效期，但不得要求或被允许修改或撤销其竞争性谈判响应文件；供应商拒绝延长的，其投标失效，但供应商有权收回其谈判保证金。</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3.4 谈判保证金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3.4.1 供应商在递交竞争性谈判响应文件的同时，应按响应供应商须知前附表规定的金额递交谈判保证金，并作为其竞争性谈判响应文件的组成部分。谈判保证金有效期同投标有效期。</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重要提示：谈判保证金必须在投标截止时间之前交纳方为有效。请供应商考虑资金在银行之间的转账要求和时间成本，确保在投标截止时间之前</w:t>
      </w:r>
      <w:r>
        <w:rPr>
          <w:rFonts w:hint="eastAsia" w:asciiTheme="minorEastAsia" w:hAnsiTheme="minorEastAsia" w:eastAsiaTheme="minorEastAsia"/>
          <w:b/>
          <w:szCs w:val="21"/>
          <w:lang w:eastAsia="zh-CN"/>
        </w:rPr>
        <w:t>瑞信国际项目管理有限公司</w:t>
      </w:r>
      <w:r>
        <w:rPr>
          <w:rFonts w:hint="eastAsia" w:asciiTheme="minorEastAsia" w:hAnsiTheme="minorEastAsia" w:eastAsiaTheme="minorEastAsia"/>
          <w:b/>
          <w:szCs w:val="21"/>
        </w:rPr>
        <w:t>上述指定的账户能收到所交的谈判保证金，如果在投标截止时间之前</w:t>
      </w:r>
      <w:r>
        <w:rPr>
          <w:rFonts w:hint="eastAsia" w:asciiTheme="minorEastAsia" w:hAnsiTheme="minorEastAsia" w:eastAsiaTheme="minorEastAsia"/>
          <w:b/>
          <w:szCs w:val="21"/>
          <w:lang w:eastAsia="zh-CN"/>
        </w:rPr>
        <w:t>瑞信国际项目管理有限公司</w:t>
      </w:r>
      <w:r>
        <w:rPr>
          <w:rFonts w:hint="eastAsia" w:asciiTheme="minorEastAsia" w:hAnsiTheme="minorEastAsia" w:eastAsiaTheme="minorEastAsia"/>
          <w:b/>
          <w:szCs w:val="21"/>
        </w:rPr>
        <w:t>上述账户未能收到谈判保证金，则该投标为无效。</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响应供应商在缴纳谈判保证金及成交供应商缴纳履约保证金时可自愿选择通过担保机构保函的形式缴纳；成交供应商如果需要融资贷款服务的，可凭成交通知书、政府采购合同等相关资料，按照文件规定的程序申请办理，具体规定可登陆陕西省政府采购网(www.ccgp-shaanxi.gov.cn/)重要通知专栏中查询了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供应商不按本章第3.4.1 项要求提交谈判保证金的，按无效投标处理。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 谈判保证金退还：未成交供应商的谈判保证金，在成交通知书发出后五个工作日内退还；成交供应商的谈判保证金，在采购合同签订并按规定交纳竞争性谈判代理服务费后五个工作日内退还。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3.4.4 有下列情形之一的，谈判保证金将不予退还：</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（1）供应商在规定的投标有效期内撤销或修改其竞争性谈判响应文件；</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（2）成交供应商在收到成交通知书后，无正当理由拒签合同协议书或未按竞争性谈判文件规定提交履约担保。</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（3）供应商在竞争性谈判响应文件中提供虚假材料的；</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（4）供应商与采购人、其他供应商或者采购代理机构恶意串通的；</w:t>
      </w:r>
    </w:p>
    <w:p>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（5）成交供应商未能按规定交纳代理服务费的。</w:t>
      </w:r>
    </w:p>
    <w:p>
      <w:pPr>
        <w:pStyle w:val="6"/>
        <w:spacing w:before="0" w:after="0" w:line="360" w:lineRule="auto"/>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3.5 资格审查资料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3.5.1供应商在编制竞争性谈判响应文件时，应</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按本竞争性谈判文件第三章谈判办法及响应供应商须知前附表要求提供具备承担本项目的资格条件、能力和信誉的相关证明文件。</w:t>
      </w:r>
      <w:r>
        <w:rPr>
          <w:rFonts w:hint="eastAsia" w:asciiTheme="minorEastAsia" w:hAnsiTheme="minorEastAsia" w:eastAsiaTheme="minorEastAsia"/>
          <w:szCs w:val="21"/>
          <w:lang w:val="en-US" w:eastAsia="zh-CN"/>
        </w:rPr>
        <w:t>采购人</w:t>
      </w:r>
      <w:r>
        <w:rPr>
          <w:rFonts w:hint="eastAsia" w:asciiTheme="minorEastAsia" w:hAnsiTheme="minorEastAsia" w:eastAsiaTheme="minorEastAsia"/>
          <w:szCs w:val="21"/>
        </w:rPr>
        <w:t>根据供应商所提供的资格证明文件进行评审。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3.5.2采购人和采购代理机构不承担核查资格资料真实性的义务。由于供应商提供虚假的材料，导致竞争性谈判项目无法顺利进行或者失败，由此造成的后果及经济损失，由供应商承担全部法律责任。</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3.6 备选投标方案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响应供应商须知前附表另有规定外，供应商不得递交备选投标方案。允许供应商递交备选投标方案的，只有成交供应商所递交的备选投标方案方可予以考虑。谈判小组认为成交供应商的备选投标方案优于其按照竞争性谈判文件要求编制的投标方案的，采购人可以接受该备选投标方案。</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3.7 竞争性谈判响应文件的编制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 竞争性谈判响应文件应按第六章“竞争性谈判响应文件格式”进行编写，如有必要，可以增加附页，作为竞争性谈判响应文件的组成部分。其中，报价函附录在满足竞争性谈判文件实质性要求的基础上，可以提出比竞争性谈判文件要求更有利于采购人的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3.7.2 竞争性谈判响应文件应当对竞争性谈判文件有关服务期、投标有效期、质量要求、技术标准和要求、竞争性谈判范围等实质性内容做出响应。</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3.7.3 竞争性谈判响应文件应用不褪色的材料书写或打印，并由供应商的法定代表人或其委托代理人签字或盖单位章。委托代理人签字的，竞争性谈判响应文件应附法定代表人签署的授权委托书。竞争性谈判响应文件应尽量避免涂改、行间插字或删除。如果出现上述情况，改动之处应加盖单位章或由供应商的法定代表人或其授权的代理人签字确认。签字、盖章的具体要求见响应供应商须知前附表。未按本条规定办理的，视同签字、盖章不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3.7.4 竞争性谈判响应文件正本一份，副本份数见响应供应商须知前附表。正本和副本的封面上应清楚地标记“正本”或“副本”的字样。当副本和正本不一致时，以正本为准。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3.7.5 竞争性谈判响应文件的正本与副本应分别装订成册，并编制目录，具体装订要求见响应供应商须知前附表规定。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3.7.6 竞争性谈判响应文件的正本与副本均应正反面（双面）打印。</w:t>
      </w:r>
    </w:p>
    <w:p>
      <w:pPr>
        <w:pStyle w:val="5"/>
        <w:spacing w:before="60" w:after="60" w:line="360" w:lineRule="auto"/>
        <w:rPr>
          <w:rFonts w:asciiTheme="minorEastAsia" w:hAnsiTheme="minorEastAsia" w:eastAsiaTheme="minorEastAsia"/>
          <w:sz w:val="24"/>
          <w:szCs w:val="24"/>
        </w:rPr>
      </w:pPr>
      <w:bookmarkStart w:id="23" w:name="_Toc184635074"/>
      <w:bookmarkStart w:id="24" w:name="_Toc324521810"/>
      <w:bookmarkStart w:id="25" w:name="_Toc290389701"/>
      <w:bookmarkStart w:id="26" w:name="_Toc321812013"/>
      <w:r>
        <w:rPr>
          <w:rFonts w:hint="eastAsia" w:asciiTheme="minorEastAsia" w:hAnsiTheme="minorEastAsia" w:eastAsiaTheme="minorEastAsia"/>
          <w:sz w:val="24"/>
          <w:szCs w:val="24"/>
        </w:rPr>
        <w:t>4.投标</w:t>
      </w:r>
      <w:bookmarkEnd w:id="23"/>
      <w:bookmarkEnd w:id="24"/>
      <w:bookmarkEnd w:id="25"/>
      <w:bookmarkEnd w:id="26"/>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4.1 竞争性谈判响应文件的密封和标记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4.1.1 竞争性谈判响应文件的密封：按照响应供应商须知第3.1.1项规定的竞争性谈判响应文件组成内容，竞争性谈判响应文件的正本与副本</w:t>
      </w:r>
      <w:r>
        <w:rPr>
          <w:rFonts w:hint="eastAsia" w:asciiTheme="minorEastAsia" w:hAnsiTheme="minorEastAsia" w:eastAsiaTheme="minorEastAsia"/>
          <w:szCs w:val="21"/>
          <w:lang w:eastAsia="zh-CN"/>
        </w:rPr>
        <w:t>及电子版</w:t>
      </w:r>
      <w:r>
        <w:rPr>
          <w:rFonts w:hint="eastAsia" w:asciiTheme="minorEastAsia" w:hAnsiTheme="minorEastAsia" w:eastAsiaTheme="minorEastAsia"/>
          <w:szCs w:val="21"/>
        </w:rPr>
        <w:t>须分袋密封。密封袋正面注明“竞争性谈判响应文件”。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4.1.2 竞争性谈判响应文件封套的标记：封套上应写明的内容见响应供应商须知前附表，并在封面加盖供应商单位章。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4.1.3 未按本章第4.1.1 项要求密封的竞争性谈判响应文件，采购人不予受理。</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4.2 竞争性谈判响应文件的递交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4.2.1 供应商应在前附表第2.2.1项规定的投标截止时间前递交竞争性谈判响应文件。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4.2.2 供应商递交竞争性谈判响应文件的地点：见响应供应商须知前附表。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4.2.3 除响应供应商须知前附表另有规定外，供应商所递交的竞争性谈判响应文件不予退还。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4.2.4 采购人收到竞争性谈判响应文件后，向供应商出具签收凭证。但竞争性谈判会现场收到的竞争性谈判响应文件，供应商代表仅进行投标的签字登记，采购人不再向供应商出具签收凭证。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4.2.5 逾期送达的或者未送达指定地点的竞争性谈判响应文件，采购人不予受理。</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4.3 竞争性谈判响应文件的修改与撤回</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4.3.1 在前附表第2.2.1 项规定的投标截止时间前，供应商可以修改或撤回已递交的竞争性谈判响应文件，但应以书面形式通知采购人。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4.3.2 供应商修改或撤回已递交竞争性谈判响应文件的书面通知应按照本章第3.7.3 项的要求签字或盖章。采购人收到书面通知后，向供应商出具签收凭证。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4.3.3 修改的内容为竞争性谈判响应文件的组成部分。修改的竞争性谈判响应文件应按照本章第3 条、第4 条规定进行编制、密封、标记和递交，并标明“修改”字样。</w:t>
      </w:r>
    </w:p>
    <w:p>
      <w:pPr>
        <w:pStyle w:val="5"/>
        <w:spacing w:before="60" w:after="60" w:line="360" w:lineRule="auto"/>
        <w:rPr>
          <w:rFonts w:asciiTheme="minorEastAsia" w:hAnsiTheme="minorEastAsia" w:eastAsiaTheme="minorEastAsia"/>
          <w:sz w:val="24"/>
          <w:szCs w:val="24"/>
        </w:rPr>
      </w:pPr>
      <w:bookmarkStart w:id="27" w:name="_Toc321812014"/>
      <w:bookmarkStart w:id="28" w:name="_Toc324521811"/>
      <w:bookmarkStart w:id="29" w:name="_Toc290389702"/>
      <w:bookmarkStart w:id="30" w:name="_Toc184635075"/>
      <w:r>
        <w:rPr>
          <w:rFonts w:hint="eastAsia" w:asciiTheme="minorEastAsia" w:hAnsiTheme="minorEastAsia" w:eastAsiaTheme="minorEastAsia"/>
          <w:sz w:val="24"/>
          <w:szCs w:val="24"/>
        </w:rPr>
        <w:t>5.竞争性谈判</w:t>
      </w:r>
      <w:bookmarkEnd w:id="27"/>
      <w:bookmarkEnd w:id="28"/>
      <w:bookmarkEnd w:id="29"/>
      <w:bookmarkEnd w:id="30"/>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5.1 竞争性谈判时间和地点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采购人在前附表第2.2.1 项规定的投标截止时间（竞争性谈判时间）和响应供应商须知前附表规定的地点公开竞争性谈判，所有供应商的法定代表人或其委托代理人应准时参加。</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5.2 竞争性谈判程序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主持人按下列主要程序进行竞争性谈判：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(1)宣布竞争性谈判项目名称及竞争性谈判响应文件接收截止时间，终止一切竞争性谈判响应文件的接收工作，并宣布竞争性谈判会开始，同时开启录音录像设备。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(2)宣布竞争性谈判会议纪律。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(3)介绍竞争性谈判监督管理部门代表、采购人代表、采购代理机构代表和竞争性谈判工作人员。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(4)宣布参加本项目的响应供应商名单。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(5)按照须知前附表的规定核验供应商相关证件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(6)监标人组织各供应商的授权代表查验、确认竞争性谈判响应文件密封情况。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(7)谈判顺序按各供应商提交竞争性谈判响应文件时间。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)由监标人对竞争性谈判记录现场签字确认。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采购人</w:t>
      </w:r>
      <w:r>
        <w:rPr>
          <w:rFonts w:hint="eastAsia" w:asciiTheme="minorEastAsia" w:hAnsiTheme="minorEastAsia" w:eastAsiaTheme="minorEastAsia"/>
          <w:szCs w:val="21"/>
        </w:rPr>
        <w:t>对供应商资格</w:t>
      </w:r>
      <w:r>
        <w:rPr>
          <w:rFonts w:hint="eastAsia" w:asciiTheme="minorEastAsia" w:hAnsiTheme="minorEastAsia" w:eastAsiaTheme="minorEastAsia"/>
          <w:szCs w:val="21"/>
          <w:lang w:val="en-US" w:eastAsia="zh-CN"/>
        </w:rPr>
        <w:t>进行审核</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谈判小组对</w:t>
      </w:r>
      <w:r>
        <w:rPr>
          <w:rFonts w:hint="eastAsia" w:asciiTheme="minorEastAsia" w:hAnsiTheme="minorEastAsia" w:eastAsiaTheme="minorEastAsia"/>
          <w:szCs w:val="21"/>
        </w:rPr>
        <w:t>符合性进行评审，合格后，方可谈判。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(10)资格性、符合性评审合格的响应供应商按递交文件顺序单独与谈判小组成员就谈判响应文件的技术、商务等内容进行谈判，供应商法定代表人或其授权响应供应商代表需参加谈判并就谈判后进行第二轮报价。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(11)休会，竞争性谈判小组进行评审。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(12)退还响应供应商审查证件，公布成交结果公示媒介。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(13)宣布竞争性谈判会议结束。</w:t>
      </w:r>
    </w:p>
    <w:p>
      <w:pPr>
        <w:pStyle w:val="5"/>
        <w:keepNext w:val="0"/>
        <w:keepLines w:val="0"/>
        <w:spacing w:before="60" w:after="60" w:line="360" w:lineRule="auto"/>
        <w:rPr>
          <w:rFonts w:asciiTheme="minorEastAsia" w:hAnsiTheme="minorEastAsia" w:eastAsiaTheme="minorEastAsia"/>
          <w:sz w:val="24"/>
          <w:szCs w:val="24"/>
        </w:rPr>
      </w:pPr>
      <w:bookmarkStart w:id="31" w:name="_Toc321812015"/>
      <w:bookmarkStart w:id="32" w:name="_Toc324521812"/>
      <w:bookmarkStart w:id="33" w:name="_Toc290389703"/>
      <w:bookmarkStart w:id="34" w:name="_Toc184635076"/>
      <w:r>
        <w:rPr>
          <w:rFonts w:hint="eastAsia" w:asciiTheme="minorEastAsia" w:hAnsiTheme="minorEastAsia" w:eastAsiaTheme="minorEastAsia"/>
          <w:sz w:val="24"/>
          <w:szCs w:val="24"/>
        </w:rPr>
        <w:t>6.</w:t>
      </w:r>
      <w:bookmarkEnd w:id="31"/>
      <w:bookmarkEnd w:id="32"/>
      <w:bookmarkEnd w:id="33"/>
      <w:bookmarkEnd w:id="34"/>
      <w:r>
        <w:rPr>
          <w:rFonts w:hint="eastAsia" w:asciiTheme="minorEastAsia" w:hAnsiTheme="minorEastAsia" w:eastAsiaTheme="minorEastAsia"/>
          <w:sz w:val="24"/>
          <w:szCs w:val="24"/>
        </w:rPr>
        <w:t>谈判</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6.1 谈判小组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6.1.1按照《中华人民共和国政府采购法》、中华人民共和国2015年第658号国务院令--《中华人民共和国政府采购法实施条例》和中华人民共和国财政部2013年第74号令--《</w:t>
      </w:r>
      <w:r>
        <w:rPr>
          <w:rFonts w:hint="eastAsia" w:asciiTheme="minorEastAsia" w:hAnsiTheme="minorEastAsia" w:eastAsiaTheme="minorEastAsia"/>
          <w:shd w:val="clear" w:color="auto" w:fill="FFFFFF"/>
        </w:rPr>
        <w:t>政府采购非招标采购方式管理办法</w:t>
      </w:r>
      <w:r>
        <w:rPr>
          <w:rFonts w:hint="eastAsia" w:asciiTheme="minorEastAsia" w:hAnsiTheme="minorEastAsia" w:eastAsiaTheme="minorEastAsia"/>
          <w:szCs w:val="21"/>
        </w:rPr>
        <w:t>》的规定，谈判由采购人依法组建的谈判小组负责。谈判小组由熟悉相关业务的采购人代表，以及有关技术、经济等方面的专家组成。谈判小组成员人数以及技术、经济等方面专家的确定方式见响应供应商须知前附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6.1.2 谈判小组成员有下列情形之一的，应当回避：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（1）参加采购活动前3年内与供应商存在劳动关系；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（4）与供应商的法定代表人或者负责人有夫妻、直系血亲、三代以内旁系血亲或者近姻亲关系；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（5）项目主管部门或者行政监督部门的人员；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（6）采购人就竞争性谈判文件征询过意见的；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（7）与供应商有其他可能影响政府采购活动公平、公正进行的关系。</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6.2 谈判原则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谈判活动遵循客观、公正、审慎的原则。</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6.3 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6.3.1 谈判小组按照第三章“谈判方法”规定的方法、评审因素、标准和程序对竞争性谈判响应文件进行评审。第三章“谈判方法”没有规定的方法、评审因素和标准，不作为评审依据。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6.3.2 谈判小组成员和与采购活动有关的工作人员不得泄露有关竞争性谈判响应文件的评审和比较、成交候选人的推荐以及与谈判有关的其他情况。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6.3.3 在谈判过程中，如果供应商试图在竞争性谈判响应文件的评审和比较、成交候选人的推荐以及与评审有关的其他方面，向评审小组、采购人和采购代理机构施加任何影响，其谈判响应文件将按照无效投标处理。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6.3.4 在谈判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6.3.5 如果供应商在澄清规定期限内，未能答复或拒绝答复谈判小组提出的澄清要求，将由谈判小组根据其竞争性谈判响应文件按最大风险进行评审。</w:t>
      </w:r>
    </w:p>
    <w:p>
      <w:pPr>
        <w:pStyle w:val="5"/>
        <w:spacing w:before="60" w:after="60" w:line="360" w:lineRule="auto"/>
        <w:rPr>
          <w:rFonts w:asciiTheme="minorEastAsia" w:hAnsiTheme="minorEastAsia" w:eastAsiaTheme="minorEastAsia"/>
          <w:sz w:val="24"/>
          <w:szCs w:val="24"/>
        </w:rPr>
      </w:pPr>
      <w:bookmarkStart w:id="35" w:name="_Toc324521813"/>
      <w:bookmarkStart w:id="36" w:name="_Toc321812016"/>
      <w:bookmarkStart w:id="37" w:name="_Toc184635077"/>
      <w:bookmarkStart w:id="38" w:name="_Toc290389704"/>
      <w:r>
        <w:rPr>
          <w:rFonts w:hint="eastAsia" w:asciiTheme="minorEastAsia" w:hAnsiTheme="minorEastAsia" w:eastAsiaTheme="minorEastAsia"/>
          <w:sz w:val="24"/>
          <w:szCs w:val="24"/>
        </w:rPr>
        <w:t>7.合同授予</w:t>
      </w:r>
      <w:bookmarkEnd w:id="35"/>
      <w:bookmarkEnd w:id="36"/>
      <w:bookmarkEnd w:id="37"/>
      <w:bookmarkEnd w:id="38"/>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7.1 定标程序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7.1.1 谈判小组根据谈判方法的规定对供应商进行评审排序，推荐竞争性谈判响应供应商须知前附表规定数量的成交候选人，作为谈判结果。评审结果由全体谈判小组成员签字确认。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7.1.2</w:t>
      </w:r>
      <w:r>
        <w:rPr>
          <w:rFonts w:hint="eastAsia" w:asciiTheme="minorEastAsia" w:hAnsiTheme="minorEastAsia" w:eastAsiaTheme="minorEastAsia"/>
          <w:shd w:val="clear" w:color="auto" w:fill="FFFFFF"/>
        </w:rPr>
        <w:t>采购代理机构应当自评审结束之日起2个工作日内将评审报告送交采购人。采购人应当自收到评审报告之日起5个工作日内在评审报告推荐的成交候选人中按顺序确定成交供应商。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7.1.3 成交供应商确定之后，成交结果将在响应供应商须知前附表规定的媒体予以公告。</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7.1.4 供应商对成交公告有异议的，应当在成交公告发布之日起七个工作日内，以供应商授权代表签字并加盖供应商印章的质疑函向竞争性谈判采购单位提出质疑。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7.1.5 书面质疑材料应当包括下列内容：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（1）质疑人的名称、地址及有效联系方式；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（2）被质疑人的名称、地址及有效联系方式；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（3）质疑事项的基本事实；</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（4）相关请求及主张；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（5）有效线索和相关证明材料。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7.1.7 质疑材料必须由供应商法定代表人或者授权代表签字并加盖单位公章，并提供文件规定的相应证明材料，未按上述规定提交的质疑材料不予受理。供应商应保证提出的质疑内容及相应证明材料的真实性及来源的合法性，并承担相应的法律责任。</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7.2 成交通知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7.2.1 在本章第3.3 款规定的投标有效期内，成交公告发布之日，采购人以书面形式向成交供应商发出成交通知书，同时将成交结果通知未成交的供应商。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7.2.2 成交通知书对采购人和成交供应商具有同等法律效力。成交通知书发出之后，采购人改变成交结果，或者成交供应商放弃成交，应当承担相应的法律责任。</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7.3 履约担保</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不提供</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7.4 签订合同</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7.4.1 采购人和成交供应商应当自成交通知书发出之日起30天内，根据竞争性谈判文件和成交供应商的竞争性谈判响应文件订立书面合同。所签订的合同不得对竞争性谈判文件和成交供应商的竞争性谈判响应文件（包括谈判中形成的澄清文件）作实质性修改。成交供应商无正当理由拒签合同的，采购人取消其成交资格，其谈判保证金不予退还；给采购人造成的损失超过谈判保证金数额的，成交供应商还应当对超过部分予以赔偿。</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7.4.2 发出成交通知书后，采购人无正当理由拒签合同的，采购人向成交供应商退还谈判保证金；给成交供应商造成损失的，还应当赔偿损失。</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7.4.3采购人自政府采购合同签订之日起2个工作日内，将政府采购合同在省级以上人民政府财政部门指定的媒体上公告，但政府采购合同中涉及国家秘密、商业秘密的内容除外。</w:t>
      </w:r>
    </w:p>
    <w:p>
      <w:pPr>
        <w:pStyle w:val="6"/>
        <w:spacing w:before="0" w:after="0"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7.5 成交合同的履约验收</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7.5.1 采购人按照政府采购合同规定的技术、服务、安全标准组织对供应商履约情况进行验收，并出具验收书。验收书应当包括每一项技术、服务、安全标准的履约情况。</w:t>
      </w:r>
    </w:p>
    <w:p>
      <w:pPr>
        <w:pStyle w:val="5"/>
        <w:spacing w:before="60" w:after="60" w:line="420" w:lineRule="exact"/>
        <w:rPr>
          <w:rFonts w:asciiTheme="minorEastAsia" w:hAnsiTheme="minorEastAsia" w:eastAsiaTheme="minorEastAsia"/>
          <w:sz w:val="24"/>
          <w:szCs w:val="24"/>
        </w:rPr>
      </w:pPr>
      <w:bookmarkStart w:id="39" w:name="_Toc324521814"/>
      <w:bookmarkStart w:id="40" w:name="_Toc184635078"/>
      <w:bookmarkStart w:id="41" w:name="_Toc290389705"/>
      <w:bookmarkStart w:id="42" w:name="_Toc321812017"/>
      <w:r>
        <w:rPr>
          <w:rFonts w:hint="eastAsia" w:asciiTheme="minorEastAsia" w:hAnsiTheme="minorEastAsia" w:eastAsiaTheme="minorEastAsia"/>
          <w:sz w:val="24"/>
          <w:szCs w:val="24"/>
        </w:rPr>
        <w:t>8.重新竞争性谈判</w:t>
      </w:r>
      <w:bookmarkEnd w:id="39"/>
      <w:bookmarkEnd w:id="40"/>
      <w:bookmarkEnd w:id="41"/>
      <w:bookmarkEnd w:id="42"/>
      <w:r>
        <w:rPr>
          <w:rFonts w:hint="eastAsia" w:asciiTheme="minorEastAsia" w:hAnsiTheme="minorEastAsia" w:eastAsiaTheme="minorEastAsia"/>
          <w:sz w:val="24"/>
          <w:szCs w:val="24"/>
        </w:rPr>
        <w:t>或采用其他方式继续采购</w:t>
      </w:r>
    </w:p>
    <w:p>
      <w:pPr>
        <w:spacing w:line="420" w:lineRule="exact"/>
        <w:ind w:firstLine="420" w:firstLineChars="200"/>
        <w:rPr>
          <w:rFonts w:hint="eastAsia"/>
          <w:szCs w:val="21"/>
        </w:rPr>
      </w:pPr>
      <w:r>
        <w:rPr>
          <w:rFonts w:hint="eastAsia"/>
          <w:szCs w:val="21"/>
        </w:rPr>
        <w:t>根据《</w:t>
      </w:r>
      <w:r>
        <w:rPr>
          <w:bCs/>
          <w:szCs w:val="21"/>
        </w:rPr>
        <w:t>陕西省财政厅关于政府采购有关问题的通知</w:t>
      </w:r>
      <w:r>
        <w:rPr>
          <w:rFonts w:hint="eastAsia"/>
          <w:szCs w:val="21"/>
        </w:rPr>
        <w:t>》（</w:t>
      </w:r>
      <w:r>
        <w:rPr>
          <w:szCs w:val="21"/>
        </w:rPr>
        <w:t>陕财办采资[2016]53号</w:t>
      </w:r>
      <w:r>
        <w:rPr>
          <w:rFonts w:hint="eastAsia"/>
          <w:szCs w:val="21"/>
        </w:rPr>
        <w:t>），</w:t>
      </w:r>
      <w:r>
        <w:rPr>
          <w:szCs w:val="21"/>
        </w:rPr>
        <w:t>在采购过程中符合竞争要求的供应商不足3家的，且采购单位或谈判及询价小组不推荐的，须终止谈判、磋商及询价采购活动，发布项目终止公告并说明原因，重新开展采购活动。竞争性谈判项目重新开展采购活动时，若继续采用竞争性谈判方式的，实质性响应的供应商仍然不足3家，且只有2家的，采购单位、代理机构须报经财政部门批准后，可以继续与2家供应商进行竞争性谈判。</w:t>
      </w:r>
    </w:p>
    <w:p>
      <w:pPr>
        <w:pStyle w:val="5"/>
        <w:spacing w:before="60" w:after="60" w:line="420" w:lineRule="exact"/>
        <w:rPr>
          <w:rFonts w:asciiTheme="minorEastAsia" w:hAnsiTheme="minorEastAsia" w:eastAsiaTheme="minorEastAsia"/>
          <w:sz w:val="24"/>
          <w:szCs w:val="24"/>
        </w:rPr>
      </w:pPr>
      <w:bookmarkStart w:id="43" w:name="_Toc324521815"/>
      <w:bookmarkStart w:id="44" w:name="_Toc290389706"/>
      <w:bookmarkStart w:id="45" w:name="_Toc321812018"/>
      <w:bookmarkStart w:id="46" w:name="_Toc184635079"/>
      <w:r>
        <w:rPr>
          <w:rFonts w:hint="eastAsia" w:asciiTheme="minorEastAsia" w:hAnsiTheme="minorEastAsia" w:eastAsiaTheme="minorEastAsia"/>
          <w:sz w:val="24"/>
          <w:szCs w:val="24"/>
        </w:rPr>
        <w:t>9.纪律和监督</w:t>
      </w:r>
      <w:bookmarkEnd w:id="43"/>
      <w:bookmarkEnd w:id="44"/>
      <w:bookmarkEnd w:id="45"/>
      <w:bookmarkEnd w:id="46"/>
    </w:p>
    <w:p>
      <w:pPr>
        <w:pStyle w:val="6"/>
        <w:spacing w:before="0" w:after="0"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9.1 对采购人的纪律要求</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采购人不得泄漏竞争性谈判活动中应当保密的情况和资料，不得与供应商串通损害国家利益、社会公共利益或者他人合法权益。</w:t>
      </w:r>
    </w:p>
    <w:p>
      <w:pPr>
        <w:pStyle w:val="6"/>
        <w:spacing w:before="0" w:after="0"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9.2 对供应商的纪律要求</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供应商不得相互串通投标或者与采购人串通投标，不得向采购人或者谈判小组成员行贿谋取成交，不得以他人名义投标或者以其他方式弄虚作假骗取成交；供应商不得以任何方式干扰、影响谈判工作。</w:t>
      </w:r>
    </w:p>
    <w:p>
      <w:pPr>
        <w:pStyle w:val="6"/>
        <w:spacing w:before="0" w:after="0"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9.3 对谈判小组成员的纪律要求</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谈判小组成员不得收受他人的财物或者其他好处，不得向他人透漏对竞争性谈判响应文件的评审和比较、成交候选人的推荐情况以及谈判有关的其他情况。在谈判活动中，谈判小组成员不得擅离职守，影响谈判程序正常进行，不得使用第三章“谈判方法”没有规定的评审因素和标准进行评审。</w:t>
      </w:r>
    </w:p>
    <w:p>
      <w:pPr>
        <w:pStyle w:val="6"/>
        <w:spacing w:before="0" w:after="0"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9.4 对与竞争性谈判活动有关的工作人员的纪律要求</w:t>
      </w:r>
    </w:p>
    <w:p>
      <w:pPr>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谈判活动有关的工作人员不得收受他人的财物或者其他好处，不得向他人透漏对竞争性谈判响应文件的评审和比较、成交候选人的推荐情况以及谈判有关的其他情况。在谈判活动中，与谈判活动有关的工作人员不得擅离职守，影响谈判程序正常进行。</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9.5 质疑和投诉</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bookmarkStart w:id="47" w:name="_Toc184635080"/>
      <w:bookmarkStart w:id="48" w:name="_Toc324521816"/>
      <w:bookmarkStart w:id="49" w:name="_Toc321812019"/>
      <w:bookmarkStart w:id="50" w:name="_Toc290389707"/>
      <w:r>
        <w:rPr>
          <w:rFonts w:hint="eastAsia" w:cs="Times New Roman" w:asciiTheme="minorEastAsia" w:hAnsiTheme="minorEastAsia" w:eastAsiaTheme="minorEastAsia"/>
          <w:b w:val="0"/>
          <w:bCs w:val="0"/>
          <w:kern w:val="2"/>
          <w:sz w:val="21"/>
          <w:szCs w:val="21"/>
          <w:lang w:val="en-US" w:eastAsia="zh-CN" w:bidi="ar-SA"/>
        </w:rPr>
        <w:t>9.5.1 质疑。供应商认为采购文件、采购过程和中标、成交结果使自己的权益受到损害的，可以在知道或者应知其权益受到损害之日起七个工作日内，以书面形式向采购人提出质疑。采购人委托采购代理机构采购的，供应商可以向采购代理机构提出询问或者质疑。</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质疑函接收人：杜家勇</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电话：0913-2055255</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地址：陕西省渭南市高新区万达广场1号楼0901室</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    采购人或者采购代理机构应当在3个工作日内对供应商依法提出的询问作出答复。</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供应商应知其权益受到损害之日，是指：</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（1）对可以质疑的采购文件提出质疑的，为收到采购文件之日或者采购文件公告期限届满之日；</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（2）对采购过程提出质疑的，为各采购程序环节结束之日；</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（3）对中标或者成交结果提出质疑的，为中标或者成交结果公告期限届满之日。</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9.5.2 投诉。质疑供应商对采购人、采购代理机构的答复不满意或者采购人、采购代理机构未在规定的时间内作出答复的，可以在答复期满后十五个工作日内向同级政府采购监督管理部门投诉。政府采购监督管理部门应当在收到投诉后三十个工作日内，对投诉事项作出处理决定，并以书面形式通知投诉人和与投诉事项有关的当事人。</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9.5.3 供应商质疑、投诉应当有明确的请求和必要的证明材料。供应商投诉的事项不得超出已质疑事项的范围。</w:t>
      </w:r>
    </w:p>
    <w:p>
      <w:pPr>
        <w:pStyle w:val="5"/>
        <w:spacing w:before="60" w:after="60" w:line="360" w:lineRule="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10.需要补充的其他内容</w:t>
      </w:r>
      <w:bookmarkEnd w:id="47"/>
      <w:bookmarkEnd w:id="48"/>
      <w:bookmarkEnd w:id="49"/>
      <w:bookmarkEnd w:id="50"/>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需要补充的其他内容：见响应供应商须知前附表。</w:t>
      </w:r>
    </w:p>
    <w:p>
      <w:pPr>
        <w:bidi w:val="0"/>
        <w:rPr>
          <w:rFonts w:hint="eastAsia"/>
        </w:rPr>
      </w:pPr>
      <w:r>
        <w:rPr>
          <w:rFonts w:hint="eastAsia"/>
        </w:rPr>
        <w:br w:type="page"/>
      </w:r>
      <w:bookmarkStart w:id="51" w:name="_Toc495674331"/>
    </w:p>
    <w:p>
      <w:pPr>
        <w:bidi w:val="0"/>
        <w:rPr>
          <w:rFonts w:hint="eastAsia"/>
        </w:rPr>
      </w:pPr>
    </w:p>
    <w:p>
      <w:pPr>
        <w:pStyle w:val="3"/>
        <w:widowControl/>
        <w:jc w:val="center"/>
        <w:rPr>
          <w:rFonts w:asciiTheme="minorEastAsia" w:hAnsiTheme="minorEastAsia" w:eastAsiaTheme="minorEastAsia"/>
          <w:b w:val="0"/>
          <w:sz w:val="40"/>
          <w:szCs w:val="40"/>
        </w:rPr>
      </w:pPr>
      <w:bookmarkStart w:id="52" w:name="_Toc1984"/>
      <w:r>
        <w:rPr>
          <w:rFonts w:hint="eastAsia" w:asciiTheme="minorEastAsia" w:hAnsiTheme="minorEastAsia" w:eastAsiaTheme="minorEastAsia"/>
          <w:kern w:val="0"/>
          <w:sz w:val="36"/>
          <w:szCs w:val="36"/>
        </w:rPr>
        <w:t>第三章  谈判方法</w:t>
      </w:r>
      <w:bookmarkEnd w:id="51"/>
      <w:bookmarkEnd w:id="52"/>
    </w:p>
    <w:p>
      <w:pPr>
        <w:spacing w:line="520" w:lineRule="exact"/>
        <w:rPr>
          <w:rFonts w:asciiTheme="minorEastAsia" w:hAnsiTheme="minorEastAsia" w:eastAsiaTheme="minorEastAsia"/>
          <w:b/>
          <w:spacing w:val="4"/>
          <w:szCs w:val="21"/>
        </w:rPr>
      </w:pPr>
      <w:r>
        <w:rPr>
          <w:rFonts w:hint="eastAsia" w:asciiTheme="minorEastAsia" w:hAnsiTheme="minorEastAsia" w:eastAsiaTheme="minorEastAsia"/>
          <w:b/>
          <w:spacing w:val="4"/>
          <w:szCs w:val="21"/>
        </w:rPr>
        <w:t>一．谈判方法</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按照《中华人民共和国政府采购法》、中华人民共和国2015年第658号国务院令--《中华人民共和国政府采购法实施条例》和中华人民共和国财政部第74号令--《</w:t>
      </w:r>
      <w:r>
        <w:rPr>
          <w:rFonts w:hint="eastAsia" w:asciiTheme="minorEastAsia" w:hAnsiTheme="minorEastAsia" w:eastAsiaTheme="minorEastAsia"/>
          <w:shd w:val="clear" w:color="auto" w:fill="FFFFFF"/>
        </w:rPr>
        <w:t>政府采购非招标采购方式管理办法</w:t>
      </w:r>
      <w:r>
        <w:rPr>
          <w:rFonts w:hint="eastAsia" w:asciiTheme="minorEastAsia" w:hAnsiTheme="minorEastAsia" w:eastAsiaTheme="minorEastAsia"/>
          <w:szCs w:val="21"/>
        </w:rPr>
        <w:t>》的规定，本次评标采用经评审的最低价法，即在最大限度地满足竞争性谈判文件实质性要求前提下，以报价最低的供应商作为成交候选供应商并依次排序。</w:t>
      </w:r>
    </w:p>
    <w:p>
      <w:pPr>
        <w:spacing w:line="520" w:lineRule="exact"/>
        <w:rPr>
          <w:rFonts w:asciiTheme="minorEastAsia" w:hAnsiTheme="minorEastAsia" w:eastAsiaTheme="minorEastAsia"/>
          <w:b/>
          <w:spacing w:val="4"/>
          <w:szCs w:val="21"/>
        </w:rPr>
      </w:pPr>
      <w:r>
        <w:rPr>
          <w:rFonts w:hint="eastAsia" w:asciiTheme="minorEastAsia" w:hAnsiTheme="minorEastAsia" w:eastAsiaTheme="minorEastAsia"/>
          <w:b/>
          <w:spacing w:val="4"/>
          <w:szCs w:val="21"/>
        </w:rPr>
        <w:t>二．谈判程序</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按照竞争性谈判响应文件初审、澄清有关问题并进行谈判、比较与评价、推荐成交候选供应商名单的工作程序进行评审。</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1、竞争性谈判响应文件初审</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初审分为资格性检查和符合性检查。分别按照以下内容对竞争性谈判响应文件进行检查，一项不合格即按照无效投标处理。</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1.1资格性检查：</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1.1.1提供的资格证明文件是否符合国家法律法规和竞争性谈判文件投标须知第1.4.1条的要求，并且齐全、真实、有效。</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1.1.2是否按照竞争性谈判文件的要求提交了足额有效的谈判保证金。</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1.2符合性检查：</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1.2.1竞争性谈判响应文件的完整性审查。</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）投标内容是否有重大缺漏项。 </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1.2.2竞争性谈判响应文件的有效性审查。</w:t>
      </w:r>
    </w:p>
    <w:p>
      <w:pPr>
        <w:spacing w:line="5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（1）竞争性谈判响应文件的签署、加盖印章是否合格、有效。</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1.2.3竞争性谈判响应文件的响应性审查。</w:t>
      </w:r>
    </w:p>
    <w:p>
      <w:pPr>
        <w:spacing w:line="5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（1）谈判报价是否</w:t>
      </w:r>
      <w:r>
        <w:rPr>
          <w:rFonts w:hint="eastAsia" w:asciiTheme="minorEastAsia" w:hAnsiTheme="minorEastAsia" w:eastAsiaTheme="minorEastAsia"/>
          <w:szCs w:val="21"/>
          <w:lang w:eastAsia="zh-CN"/>
        </w:rPr>
        <w:t>未</w:t>
      </w:r>
      <w:r>
        <w:rPr>
          <w:rFonts w:hint="eastAsia" w:asciiTheme="minorEastAsia" w:hAnsiTheme="minorEastAsia" w:eastAsiaTheme="minorEastAsia"/>
          <w:szCs w:val="21"/>
        </w:rPr>
        <w:t>超过</w:t>
      </w:r>
      <w:r>
        <w:rPr>
          <w:rFonts w:hint="eastAsia" w:asciiTheme="minorEastAsia" w:hAnsiTheme="minorEastAsia" w:eastAsiaTheme="minorEastAsia"/>
          <w:szCs w:val="21"/>
          <w:lang w:eastAsia="zh-CN"/>
        </w:rPr>
        <w:t>最高限价</w:t>
      </w:r>
      <w:r>
        <w:rPr>
          <w:rFonts w:hint="eastAsia" w:asciiTheme="minorEastAsia" w:hAnsiTheme="minorEastAsia" w:eastAsiaTheme="minorEastAsia"/>
          <w:szCs w:val="21"/>
        </w:rPr>
        <w:t>；</w:t>
      </w:r>
    </w:p>
    <w:p>
      <w:pPr>
        <w:spacing w:line="5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（2）投标有效期是否符合竞争性谈判文件的要求；</w:t>
      </w:r>
    </w:p>
    <w:p>
      <w:pPr>
        <w:spacing w:line="5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供货期</w:t>
      </w:r>
      <w:r>
        <w:rPr>
          <w:rFonts w:hint="eastAsia" w:asciiTheme="minorEastAsia" w:hAnsiTheme="minorEastAsia" w:eastAsiaTheme="minorEastAsia"/>
          <w:szCs w:val="21"/>
        </w:rPr>
        <w:t>是否符合竞争性谈判文件的要求；</w:t>
      </w:r>
    </w:p>
    <w:p>
      <w:pPr>
        <w:spacing w:line="5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（4）质量标准是否符合竞争性谈判文件的要求；</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2、澄清有关问题并进行谈判：</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 对于可能出现的谈判报价不一致和文字文本差异按以下方法确认更正。</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2.1.1 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2.1.2 谈判小组将按照上述原则修正竞争性谈判响应文件中的报价，修正后的价格对供应商具有约束力。如果供应商不接受修正后的价格，其投标按照无效投标处理。</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对于竞争性谈判响应文件中的非重大偏离，如果出现含义不明确、同类问题表述不一致或者有明显文字和计算错误的内容，谈判小组可以书面形式（由谈判小组专家签字）要求供应商作出必要的澄清、说明或者纠正。供应商的澄清、说明或者补正应当采用书面形式，由其授权的投标代表签字，并不得超出竞争性谈判响应文件的范围或者改变竞争性谈判响应文件的实质性内容。</w:t>
      </w:r>
    </w:p>
    <w:p>
      <w:pPr>
        <w:spacing w:line="52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2.3 谈判小组对通过资格性、符合性评审的响应供应商进行单独谈判；谈判后，响应供应商进行第二轮谈判报价。</w:t>
      </w:r>
      <w:r>
        <w:rPr>
          <w:rFonts w:hint="eastAsia" w:asciiTheme="minorEastAsia" w:hAnsiTheme="minorEastAsia" w:eastAsiaTheme="minorEastAsia"/>
          <w:szCs w:val="21"/>
          <w:lang w:val="en-US" w:eastAsia="zh-CN"/>
        </w:rPr>
        <w:t>谈判小组有权与响应供应商进行多轮谈判。</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3、评审价格的确定：</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经初审合格的谈判文件，为有效谈判文件。对于所有有效谈判文件按照以下规则进行第二轮谈判报价评审价格的确定。</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3.1政策性价格优惠折扣规定</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3.1.1供应商为小型和微型企业（含联合体）的评审价计算规则：</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3.1.1.1本办法所称中小企业（含中型、小型、微型企业，下同）应当同时符合以下条件：</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（1）符合中小企业划分标准；</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（2）投标由本企业提供服务。</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3.1.1.2本规定所称中小企业划分标准，是指国务院有关部门根据企业从业人员、营业收入、资产总额等指标制定的中小企业划型标准（工信部联企业〔2011〕300号）；</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3.1.1.3小型、微型企业提供有中型企业制造的货物的，视同为中型企业；小型、微型、中型企业提供有大型企业制造的货物的，视同为大型企业。</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3.1.1.4</w:t>
      </w:r>
      <w:r>
        <w:rPr>
          <w:rFonts w:asciiTheme="minorEastAsia" w:hAnsiTheme="minorEastAsia" w:eastAsiaTheme="minorEastAsia"/>
          <w:szCs w:val="21"/>
        </w:rPr>
        <w:t>残疾人福利性单位视同小型、微型企业，享受预留份额、评审中价格扣除等促进中小企业发展的政府采购政策</w:t>
      </w:r>
      <w:r>
        <w:rPr>
          <w:rFonts w:hint="eastAsia" w:asciiTheme="minorEastAsia" w:hAnsiTheme="minorEastAsia" w:eastAsiaTheme="minorEastAsia"/>
          <w:szCs w:val="21"/>
        </w:rPr>
        <w:t>。</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3.1.1.5评审价的计算：</w:t>
      </w:r>
    </w:p>
    <w:p>
      <w:pPr>
        <w:spacing w:line="520" w:lineRule="exact"/>
        <w:ind w:firstLine="420" w:firstLineChars="200"/>
        <w:rPr>
          <w:rFonts w:ascii="宋体" w:hAnsi="宋体" w:eastAsia="宋体" w:cs="宋体"/>
          <w:szCs w:val="21"/>
        </w:rPr>
      </w:pPr>
      <w:r>
        <w:rPr>
          <w:rFonts w:hint="eastAsia" w:ascii="宋体" w:hAnsi="宋体" w:eastAsia="宋体" w:cs="宋体"/>
          <w:szCs w:val="21"/>
        </w:rPr>
        <w:t>（1）供应商为非联合体投标的情况：</w:t>
      </w:r>
    </w:p>
    <w:p>
      <w:pPr>
        <w:spacing w:line="520" w:lineRule="exact"/>
        <w:ind w:firstLine="420" w:firstLineChars="200"/>
        <w:rPr>
          <w:rFonts w:ascii="宋体" w:hAnsi="宋体" w:eastAsia="宋体" w:cs="宋体"/>
          <w:szCs w:val="21"/>
        </w:rPr>
      </w:pPr>
      <w:r>
        <w:rPr>
          <w:rFonts w:hint="eastAsia" w:ascii="宋体" w:hAnsi="宋体" w:eastAsia="宋体" w:cs="宋体"/>
          <w:szCs w:val="21"/>
        </w:rPr>
        <w:t>小型企业，其评标价=磋商报价*（1-</w:t>
      </w:r>
      <w:r>
        <w:rPr>
          <w:rFonts w:hint="eastAsia" w:ascii="宋体" w:hAnsi="宋体" w:eastAsia="宋体" w:cs="宋体"/>
          <w:szCs w:val="21"/>
          <w:lang w:val="en-US" w:eastAsia="zh-CN"/>
        </w:rPr>
        <w:t>10</w:t>
      </w:r>
      <w:r>
        <w:rPr>
          <w:rFonts w:hint="eastAsia" w:ascii="宋体" w:hAnsi="宋体" w:eastAsia="宋体" w:cs="宋体"/>
          <w:szCs w:val="21"/>
        </w:rPr>
        <w:t>%）；</w:t>
      </w:r>
    </w:p>
    <w:p>
      <w:pPr>
        <w:spacing w:line="520" w:lineRule="exact"/>
        <w:ind w:firstLine="420" w:firstLineChars="200"/>
        <w:rPr>
          <w:rFonts w:hint="eastAsia" w:ascii="宋体" w:hAnsi="宋体" w:eastAsia="宋体" w:cs="宋体"/>
          <w:szCs w:val="21"/>
        </w:rPr>
      </w:pPr>
      <w:r>
        <w:rPr>
          <w:rFonts w:hint="eastAsia" w:ascii="宋体" w:hAnsi="宋体" w:eastAsia="宋体" w:cs="宋体"/>
          <w:szCs w:val="21"/>
        </w:rPr>
        <w:t>微型企业，其评标价=磋商报价*（1-</w:t>
      </w:r>
      <w:r>
        <w:rPr>
          <w:rFonts w:hint="eastAsia" w:ascii="宋体" w:hAnsi="宋体" w:eastAsia="宋体" w:cs="宋体"/>
          <w:szCs w:val="21"/>
          <w:lang w:val="en-US" w:eastAsia="zh-CN"/>
        </w:rPr>
        <w:t>10</w:t>
      </w:r>
      <w:r>
        <w:rPr>
          <w:rFonts w:hint="eastAsia" w:ascii="宋体" w:hAnsi="宋体" w:eastAsia="宋体" w:cs="宋体"/>
          <w:szCs w:val="21"/>
        </w:rPr>
        <w:t>%）；</w:t>
      </w:r>
    </w:p>
    <w:p>
      <w:pPr>
        <w:spacing w:line="520" w:lineRule="exact"/>
        <w:ind w:firstLine="420" w:firstLineChars="200"/>
        <w:rPr>
          <w:rFonts w:ascii="宋体" w:hAnsi="宋体" w:eastAsia="宋体" w:cs="宋体"/>
          <w:szCs w:val="21"/>
        </w:rPr>
      </w:pPr>
      <w:r>
        <w:rPr>
          <w:rFonts w:hint="eastAsia" w:ascii="宋体" w:hAnsi="宋体" w:eastAsia="宋体" w:cs="宋体"/>
          <w:szCs w:val="21"/>
        </w:rPr>
        <w:t>（2）供应商为联合体投标且联合协议中约定小型、微型企业的协议合同金额占到联合体协议合同总金额30％以上的，按照以下规则进行评标价计算：</w:t>
      </w:r>
    </w:p>
    <w:p>
      <w:pPr>
        <w:spacing w:line="520" w:lineRule="exact"/>
        <w:ind w:firstLine="420" w:firstLineChars="200"/>
        <w:rPr>
          <w:rFonts w:ascii="宋体" w:hAnsi="宋体" w:eastAsia="宋体" w:cs="宋体"/>
          <w:szCs w:val="21"/>
        </w:rPr>
      </w:pPr>
      <w:r>
        <w:rPr>
          <w:rFonts w:hint="eastAsia" w:ascii="宋体" w:hAnsi="宋体" w:eastAsia="宋体" w:cs="宋体"/>
          <w:szCs w:val="21"/>
        </w:rPr>
        <w:t>与小型企业联合的，其评标价=磋商报价*（1-</w:t>
      </w:r>
      <w:r>
        <w:rPr>
          <w:rFonts w:hint="eastAsia" w:ascii="宋体" w:hAnsi="宋体" w:eastAsia="宋体" w:cs="宋体"/>
          <w:szCs w:val="21"/>
          <w:lang w:val="en-US" w:eastAsia="zh-CN"/>
        </w:rPr>
        <w:t>3</w:t>
      </w:r>
      <w:r>
        <w:rPr>
          <w:rFonts w:hint="eastAsia" w:ascii="宋体" w:hAnsi="宋体" w:eastAsia="宋体" w:cs="宋体"/>
          <w:szCs w:val="21"/>
        </w:rPr>
        <w:t>%）；</w:t>
      </w:r>
    </w:p>
    <w:p>
      <w:pPr>
        <w:spacing w:line="520" w:lineRule="exact"/>
        <w:ind w:firstLine="420" w:firstLineChars="200"/>
        <w:rPr>
          <w:rFonts w:ascii="宋体" w:hAnsi="宋体" w:eastAsia="宋体" w:cs="宋体"/>
          <w:szCs w:val="21"/>
        </w:rPr>
      </w:pPr>
      <w:r>
        <w:rPr>
          <w:rFonts w:hint="eastAsia" w:ascii="宋体" w:hAnsi="宋体" w:eastAsia="宋体" w:cs="宋体"/>
          <w:szCs w:val="21"/>
        </w:rPr>
        <w:t>与微型企业联合的，其评标价=磋商报价*（1-</w:t>
      </w:r>
      <w:r>
        <w:rPr>
          <w:rFonts w:hint="eastAsia" w:ascii="宋体" w:hAnsi="宋体" w:eastAsia="宋体" w:cs="宋体"/>
          <w:szCs w:val="21"/>
          <w:lang w:val="en-US" w:eastAsia="zh-CN"/>
        </w:rPr>
        <w:t>3</w:t>
      </w:r>
      <w:r>
        <w:rPr>
          <w:rFonts w:hint="eastAsia" w:ascii="宋体" w:hAnsi="宋体" w:eastAsia="宋体" w:cs="宋体"/>
          <w:szCs w:val="21"/>
        </w:rPr>
        <w:t>%）。</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3.1.2 供应商为监狱企业的评审价计算规则：</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3.1.2.1本办法所称监狱企业应当同时符合以下条件：</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（1）符合监狱划分标准；</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（2）投标由本企业提供服务。</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3.1.2.2本规定所称监狱企业划分标准，是依据财政部、司法部关于政府采购支持监狱企业发展有关问题的通知（财库〔2014〕68号）确定的企业；</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3.1.2.4评审价的计算：</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（1）供应商为非联合体投标的情况：</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监狱企业，其评审价=谈判报价*（1-6%）；</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3.1.3 环保、节能产品的评标计算规则</w:t>
      </w:r>
    </w:p>
    <w:p>
      <w:pPr>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参加政府采购活动的供应商若为环境标志产品，须符合财库〔2019〕9号文件中要求，提供公告媒体中国政府采购网（www.ccgp.gov.cn）截图及网页链接，经核实产品属于环境标志产品的，评审中价格扣除3%，用扣除后的价格参与评审。</w:t>
      </w:r>
    </w:p>
    <w:p>
      <w:pPr>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参加政府采购活动的供应商若为节能产品的，须符合财库〔2019〕9号文件中要求，提供公告媒体中国政府采购网（www.ccgp.gov.cn）截图及网页链接，经核实产品属于节能产品的，评审中价格扣除3%，用扣除后的价格参与评审。 </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3.2对于不享受以上政策性优惠价格调整的，其评审价=按照以上2.1条款修正后的谈判总价。</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4、比较与评价：</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对所有有效供应商第二轮谈判报价进行了评标价确认之后，由谈判小组各成员按照符合采购需求的前提下对第二轮谈判报价进行比较评审。 </w:t>
      </w:r>
    </w:p>
    <w:p>
      <w:pPr>
        <w:spacing w:line="5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5、推荐成交候选供应商名单：</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5.1竞争性谈判小组根据评审后的报价最由低至高顺序排列，推荐报价最低的响应供应商为成交供应商候选人。</w:t>
      </w:r>
    </w:p>
    <w:p>
      <w:pPr>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5.2.编写竞争性谈判报告。 </w:t>
      </w: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tabs>
          <w:tab w:val="left" w:pos="3915"/>
        </w:tabs>
        <w:spacing w:line="520" w:lineRule="exact"/>
        <w:ind w:firstLine="525" w:firstLineChars="250"/>
        <w:rPr>
          <w:rFonts w:asciiTheme="minorEastAsia" w:hAnsiTheme="minorEastAsia" w:eastAsiaTheme="minorEastAsia"/>
          <w:szCs w:val="21"/>
        </w:rPr>
      </w:pPr>
    </w:p>
    <w:p>
      <w:pPr>
        <w:rPr>
          <w:rFonts w:hint="eastAsia" w:asciiTheme="minorEastAsia" w:hAnsiTheme="minorEastAsia" w:eastAsiaTheme="minorEastAsia"/>
          <w:kern w:val="0"/>
          <w:sz w:val="32"/>
          <w:szCs w:val="32"/>
        </w:rPr>
      </w:pPr>
      <w:bookmarkStart w:id="53" w:name="_Toc495674332"/>
      <w:r>
        <w:rPr>
          <w:rFonts w:hint="eastAsia" w:asciiTheme="minorEastAsia" w:hAnsiTheme="minorEastAsia" w:eastAsiaTheme="minorEastAsia"/>
          <w:kern w:val="0"/>
          <w:sz w:val="32"/>
          <w:szCs w:val="32"/>
        </w:rPr>
        <w:br w:type="page"/>
      </w:r>
    </w:p>
    <w:p>
      <w:pPr>
        <w:pStyle w:val="3"/>
        <w:widowControl/>
        <w:jc w:val="center"/>
        <w:rPr>
          <w:rFonts w:asciiTheme="minorEastAsia" w:hAnsiTheme="minorEastAsia" w:eastAsiaTheme="minorEastAsia"/>
          <w:b w:val="0"/>
          <w:sz w:val="36"/>
          <w:szCs w:val="36"/>
        </w:rPr>
      </w:pPr>
      <w:bookmarkStart w:id="54" w:name="_Toc13265"/>
      <w:r>
        <w:rPr>
          <w:rFonts w:hint="eastAsia" w:asciiTheme="minorEastAsia" w:hAnsiTheme="minorEastAsia" w:eastAsiaTheme="minorEastAsia"/>
          <w:kern w:val="0"/>
          <w:sz w:val="36"/>
          <w:szCs w:val="36"/>
        </w:rPr>
        <w:t>第四章  合同条款及格式</w:t>
      </w:r>
      <w:bookmarkEnd w:id="53"/>
      <w:bookmarkEnd w:id="54"/>
    </w:p>
    <w:p>
      <w:pPr>
        <w:spacing w:line="440" w:lineRule="exact"/>
        <w:jc w:val="center"/>
        <w:rPr>
          <w:rFonts w:asciiTheme="minorEastAsia" w:hAnsiTheme="minorEastAsia" w:eastAsiaTheme="minorEastAsia"/>
          <w:b/>
          <w:sz w:val="44"/>
        </w:rPr>
      </w:pPr>
    </w:p>
    <w:p>
      <w:pPr>
        <w:snapToGrid w:val="0"/>
        <w:spacing w:beforeLines="50" w:afterLines="50"/>
        <w:jc w:val="center"/>
        <w:outlineLvl w:val="0"/>
        <w:rPr>
          <w:rFonts w:asciiTheme="minorEastAsia" w:hAnsiTheme="minorEastAsia" w:eastAsiaTheme="minorEastAsia"/>
          <w:b/>
          <w:bCs/>
          <w:sz w:val="30"/>
        </w:rPr>
      </w:pPr>
      <w:bookmarkStart w:id="55" w:name="_Toc495674333"/>
      <w:bookmarkStart w:id="56" w:name="_Toc15075"/>
      <w:r>
        <w:rPr>
          <w:rFonts w:hint="eastAsia" w:asciiTheme="minorEastAsia" w:hAnsiTheme="minorEastAsia" w:eastAsiaTheme="minorEastAsia"/>
          <w:b/>
          <w:sz w:val="30"/>
        </w:rPr>
        <w:t>采购合同（供参考）</w:t>
      </w:r>
      <w:bookmarkEnd w:id="55"/>
      <w:bookmarkEnd w:id="56"/>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项目名称：                                       项目编号：</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甲方：（买方）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乙方：（卖方）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甲、乙双方根据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w:t>
      </w:r>
      <w:r>
        <w:rPr>
          <w:rFonts w:asciiTheme="minorEastAsia" w:hAnsiTheme="minorEastAsia" w:eastAsiaTheme="minorEastAsia"/>
          <w:szCs w:val="21"/>
        </w:rPr>
        <w:t>项目</w:t>
      </w:r>
      <w:r>
        <w:rPr>
          <w:rFonts w:hint="eastAsia" w:asciiTheme="minorEastAsia" w:hAnsiTheme="minorEastAsia" w:eastAsiaTheme="minorEastAsia"/>
          <w:szCs w:val="21"/>
        </w:rPr>
        <w:t>竞争性谈判</w:t>
      </w:r>
      <w:r>
        <w:rPr>
          <w:rFonts w:asciiTheme="minorEastAsia" w:hAnsiTheme="minorEastAsia" w:eastAsiaTheme="minorEastAsia"/>
          <w:szCs w:val="21"/>
        </w:rPr>
        <w:t>的结果，签署本合同。</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一、货物内容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 货物名称：</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型号规格：</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技术参数：</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 xml:space="preserve"> 数量（单位）：</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二、合同金额</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本合同金额为（大写）：___________</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______________元（￥________</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_______元）人民币。</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三、技术资料</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乙方应按竞争性谈判文件规定的时间向甲方提供使用货物的有关技术资料。</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四、知识产权</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乙方应保证所提供的货物或其任何一部分均不会侵犯任何第三方的知识产权。</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五、产权担保</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乙方保证所交付的货物的所有权完全属于乙方且无任何抵押、查封等产权瑕疵。</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六、转包或分包</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.本合同范围的货物，应由</w:t>
      </w:r>
      <w:r>
        <w:rPr>
          <w:rFonts w:asciiTheme="minorEastAsia" w:hAnsiTheme="minorEastAsia" w:eastAsiaTheme="minorEastAsia"/>
          <w:szCs w:val="21"/>
        </w:rPr>
        <w:t>乙</w:t>
      </w:r>
      <w:r>
        <w:rPr>
          <w:rFonts w:hint="eastAsia" w:asciiTheme="minorEastAsia" w:hAnsiTheme="minorEastAsia" w:eastAsiaTheme="minorEastAsia"/>
          <w:szCs w:val="21"/>
        </w:rPr>
        <w:t>方直接供应，不得转让他人供应；</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.除非得到</w:t>
      </w:r>
      <w:r>
        <w:rPr>
          <w:rFonts w:asciiTheme="minorEastAsia" w:hAnsiTheme="minorEastAsia" w:eastAsiaTheme="minorEastAsia"/>
          <w:szCs w:val="21"/>
        </w:rPr>
        <w:t>甲</w:t>
      </w:r>
      <w:r>
        <w:rPr>
          <w:rFonts w:hint="eastAsia" w:asciiTheme="minorEastAsia" w:hAnsiTheme="minorEastAsia" w:eastAsiaTheme="minorEastAsia"/>
          <w:szCs w:val="21"/>
        </w:rPr>
        <w:t>方的书面同意，</w:t>
      </w:r>
      <w:r>
        <w:rPr>
          <w:rFonts w:asciiTheme="minorEastAsia" w:hAnsiTheme="minorEastAsia" w:eastAsiaTheme="minorEastAsia"/>
          <w:szCs w:val="21"/>
        </w:rPr>
        <w:t>乙</w:t>
      </w:r>
      <w:r>
        <w:rPr>
          <w:rFonts w:hint="eastAsia" w:asciiTheme="minorEastAsia" w:hAnsiTheme="minorEastAsia" w:eastAsiaTheme="minorEastAsia"/>
          <w:szCs w:val="21"/>
        </w:rPr>
        <w:t>方不得将本合同范围的货物全部或部分分包给他人供应；</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.如有转让和未经</w:t>
      </w:r>
      <w:r>
        <w:rPr>
          <w:rFonts w:asciiTheme="minorEastAsia" w:hAnsiTheme="minorEastAsia" w:eastAsiaTheme="minorEastAsia"/>
          <w:szCs w:val="21"/>
        </w:rPr>
        <w:t>甲</w:t>
      </w:r>
      <w:r>
        <w:rPr>
          <w:rFonts w:hint="eastAsia" w:asciiTheme="minorEastAsia" w:hAnsiTheme="minorEastAsia" w:eastAsiaTheme="minorEastAsia"/>
          <w:szCs w:val="21"/>
        </w:rPr>
        <w:t>方同意的分包行为，</w:t>
      </w:r>
      <w:r>
        <w:rPr>
          <w:rFonts w:asciiTheme="minorEastAsia" w:hAnsiTheme="minorEastAsia" w:eastAsiaTheme="minorEastAsia"/>
          <w:szCs w:val="21"/>
        </w:rPr>
        <w:t>甲</w:t>
      </w:r>
      <w:r>
        <w:rPr>
          <w:rFonts w:hint="eastAsia" w:asciiTheme="minorEastAsia" w:hAnsiTheme="minorEastAsia" w:eastAsiaTheme="minorEastAsia"/>
          <w:szCs w:val="21"/>
        </w:rPr>
        <w:t>方有权解除合同，没收履约保证金并追究乙方的违约责任。</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w:t>
      </w:r>
      <w:r>
        <w:rPr>
          <w:rFonts w:asciiTheme="minorEastAsia" w:hAnsiTheme="minorEastAsia" w:eastAsiaTheme="minorEastAsia"/>
          <w:szCs w:val="21"/>
        </w:rPr>
        <w:t>、质保期和质保金</w:t>
      </w:r>
    </w:p>
    <w:p>
      <w:pPr>
        <w:tabs>
          <w:tab w:val="left" w:pos="0"/>
          <w:tab w:val="left" w:pos="437"/>
          <w:tab w:val="left" w:pos="1311"/>
        </w:tabs>
        <w:adjustRightInd w:val="0"/>
        <w:snapToGrid w:val="0"/>
        <w:spacing w:line="52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质保</w:t>
      </w:r>
      <w:r>
        <w:rPr>
          <w:rFonts w:asciiTheme="minorEastAsia" w:hAnsiTheme="minorEastAsia" w:eastAsiaTheme="minorEastAsia"/>
          <w:szCs w:val="21"/>
          <w:highlight w:val="none"/>
        </w:rPr>
        <w:t>期</w:t>
      </w:r>
      <w:r>
        <w:rPr>
          <w:rFonts w:hint="eastAsia" w:asciiTheme="minorEastAsia" w:hAnsiTheme="minorEastAsia" w:eastAsiaTheme="minorEastAsia"/>
          <w:szCs w:val="21"/>
          <w:highlight w:val="none"/>
          <w:lang w:val="en-US" w:eastAsia="zh-CN"/>
        </w:rPr>
        <w:t>一</w:t>
      </w:r>
      <w:r>
        <w:rPr>
          <w:rFonts w:asciiTheme="minorEastAsia" w:hAnsiTheme="minorEastAsia" w:eastAsiaTheme="minorEastAsia"/>
          <w:szCs w:val="21"/>
          <w:highlight w:val="none"/>
        </w:rPr>
        <w:t>年</w:t>
      </w:r>
      <w:r>
        <w:rPr>
          <w:rFonts w:asciiTheme="minorEastAsia" w:hAnsiTheme="minorEastAsia" w:eastAsiaTheme="minorEastAsia"/>
          <w:szCs w:val="21"/>
        </w:rPr>
        <w:t>（自交货验收合格之日起计）</w:t>
      </w:r>
      <w:r>
        <w:rPr>
          <w:rFonts w:hint="eastAsia" w:asciiTheme="minorEastAsia" w:hAnsiTheme="minorEastAsia" w:eastAsiaTheme="minorEastAsia"/>
          <w:szCs w:val="21"/>
          <w:lang w:eastAsia="zh-CN"/>
        </w:rPr>
        <w:t>。</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w:t>
      </w:r>
      <w:r>
        <w:rPr>
          <w:rFonts w:asciiTheme="minorEastAsia" w:hAnsiTheme="minorEastAsia" w:eastAsiaTheme="minorEastAsia"/>
          <w:szCs w:val="21"/>
        </w:rPr>
        <w:t>、交货期、交货方式及交货地点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交货期：</w:t>
      </w:r>
      <w:r>
        <w:rPr>
          <w:rFonts w:hint="eastAsia" w:asciiTheme="minorEastAsia" w:hAnsiTheme="minorEastAsia" w:eastAsiaTheme="minorEastAsia"/>
          <w:szCs w:val="21"/>
          <w:highlight w:val="none"/>
        </w:rPr>
        <w:t>自合同</w:t>
      </w:r>
      <w:r>
        <w:rPr>
          <w:rFonts w:hint="eastAsia" w:asciiTheme="minorEastAsia" w:hAnsiTheme="minorEastAsia" w:eastAsiaTheme="minorEastAsia"/>
          <w:szCs w:val="21"/>
          <w:highlight w:val="none"/>
          <w:lang w:eastAsia="zh-CN"/>
        </w:rPr>
        <w:t>签订</w:t>
      </w:r>
      <w:r>
        <w:rPr>
          <w:rFonts w:hint="eastAsia" w:asciiTheme="minorEastAsia" w:hAnsiTheme="minorEastAsia" w:eastAsiaTheme="minorEastAsia"/>
          <w:szCs w:val="21"/>
          <w:highlight w:val="none"/>
        </w:rPr>
        <w:t>之日起</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日历天</w:t>
      </w:r>
      <w:r>
        <w:rPr>
          <w:rFonts w:hint="eastAsia" w:asciiTheme="minorEastAsia" w:hAnsiTheme="minorEastAsia" w:eastAsiaTheme="minorEastAsia"/>
          <w:szCs w:val="21"/>
          <w:highlight w:val="none"/>
          <w:lang w:eastAsia="zh-CN"/>
        </w:rPr>
        <w:t>完成供货。</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交货方式：</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 xml:space="preserve"> 交货地点：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w:t>
      </w:r>
      <w:r>
        <w:rPr>
          <w:rFonts w:asciiTheme="minorEastAsia" w:hAnsiTheme="minorEastAsia" w:eastAsiaTheme="minorEastAsia"/>
          <w:szCs w:val="21"/>
        </w:rPr>
        <w:t>、货款支付</w:t>
      </w:r>
    </w:p>
    <w:p>
      <w:pPr>
        <w:tabs>
          <w:tab w:val="left" w:pos="0"/>
          <w:tab w:val="left" w:pos="437"/>
          <w:tab w:val="left" w:pos="1311"/>
        </w:tabs>
        <w:adjustRightInd w:val="0"/>
        <w:snapToGrid w:val="0"/>
        <w:spacing w:line="520" w:lineRule="exact"/>
        <w:ind w:firstLine="420" w:firstLineChars="200"/>
        <w:rPr>
          <w:rFonts w:hint="eastAsia" w:cs="Times New Roman" w:asciiTheme="minorEastAsia" w:hAnsiTheme="minorEastAsia" w:eastAsiaTheme="minorEastAsia"/>
          <w:szCs w:val="21"/>
          <w:lang w:eastAsia="zh-CN"/>
        </w:rPr>
      </w:pPr>
      <w:r>
        <w:rPr>
          <w:rFonts w:cs="Times New Roman" w:asciiTheme="minorEastAsia" w:hAnsiTheme="minorEastAsia" w:eastAsiaTheme="minorEastAsia"/>
          <w:szCs w:val="21"/>
        </w:rPr>
        <w:t>1</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 xml:space="preserve"> 付款方式：</w:t>
      </w:r>
      <w:r>
        <w:rPr>
          <w:rFonts w:hint="eastAsia" w:cs="Times New Roman" w:asciiTheme="minorEastAsia" w:hAnsiTheme="minorEastAsia" w:eastAsiaTheme="minorEastAsia"/>
          <w:szCs w:val="21"/>
          <w:lang w:val="en-US" w:eastAsia="zh-CN"/>
        </w:rPr>
        <w:t>货物全部进场验收合格付后支付</w:t>
      </w:r>
      <w:r>
        <w:rPr>
          <w:rFonts w:hint="eastAsia" w:cs="Times New Roman" w:asciiTheme="minorEastAsia" w:hAnsiTheme="minorEastAsia" w:eastAsiaTheme="minorEastAsia"/>
          <w:szCs w:val="21"/>
        </w:rPr>
        <w:t>合同总价款</w:t>
      </w:r>
      <w:r>
        <w:rPr>
          <w:rFonts w:hint="eastAsia" w:cs="Times New Roman" w:asciiTheme="minorEastAsia" w:hAnsiTheme="minorEastAsia" w:eastAsiaTheme="minorEastAsia"/>
          <w:szCs w:val="21"/>
          <w:lang w:val="en-US" w:eastAsia="zh-CN"/>
        </w:rPr>
        <w:t>的40%，项目全部完工后支付</w:t>
      </w:r>
      <w:r>
        <w:rPr>
          <w:rFonts w:hint="eastAsia" w:cs="Times New Roman" w:asciiTheme="minorEastAsia" w:hAnsiTheme="minorEastAsia" w:eastAsiaTheme="minorEastAsia"/>
          <w:szCs w:val="21"/>
        </w:rPr>
        <w:t>合同总价款</w:t>
      </w:r>
      <w:r>
        <w:rPr>
          <w:rFonts w:hint="eastAsia" w:cs="Times New Roman" w:asciiTheme="minorEastAsia" w:hAnsiTheme="minorEastAsia" w:eastAsiaTheme="minorEastAsia"/>
          <w:szCs w:val="21"/>
          <w:lang w:val="en-US" w:eastAsia="zh-CN"/>
        </w:rPr>
        <w:t>的60%</w:t>
      </w:r>
      <w:r>
        <w:rPr>
          <w:rFonts w:hint="eastAsia" w:cs="Times New Roman" w:asciiTheme="minorEastAsia" w:hAnsiTheme="minorEastAsia" w:eastAsiaTheme="minorEastAsia"/>
          <w:szCs w:val="21"/>
        </w:rPr>
        <w:t>。</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当采购数量与实际使用数量不一致时，乙</w:t>
      </w:r>
      <w:r>
        <w:rPr>
          <w:rFonts w:hint="eastAsia" w:asciiTheme="minorEastAsia" w:hAnsiTheme="minorEastAsia" w:eastAsiaTheme="minorEastAsia"/>
          <w:szCs w:val="21"/>
        </w:rPr>
        <w:t>方</w:t>
      </w:r>
      <w:r>
        <w:rPr>
          <w:rFonts w:asciiTheme="minorEastAsia" w:hAnsiTheme="minorEastAsia" w:eastAsiaTheme="minorEastAsia"/>
          <w:szCs w:val="21"/>
        </w:rPr>
        <w:t>应根据实际使用量供货，合同的最终结算金额按实际使用量乘以成交单价进行计算。</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十、税费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本合同执行中相关的一切税费均由</w:t>
      </w:r>
      <w:r>
        <w:rPr>
          <w:rFonts w:asciiTheme="minorEastAsia" w:hAnsiTheme="minorEastAsia" w:eastAsiaTheme="minorEastAsia"/>
          <w:szCs w:val="21"/>
        </w:rPr>
        <w:t>乙</w:t>
      </w:r>
      <w:r>
        <w:rPr>
          <w:rFonts w:hint="eastAsia" w:asciiTheme="minorEastAsia" w:hAnsiTheme="minorEastAsia" w:eastAsiaTheme="minorEastAsia"/>
          <w:szCs w:val="21"/>
        </w:rPr>
        <w:t>方负担。</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一</w:t>
      </w:r>
      <w:r>
        <w:rPr>
          <w:rFonts w:asciiTheme="minorEastAsia" w:hAnsiTheme="minorEastAsia" w:eastAsiaTheme="minorEastAsia"/>
          <w:szCs w:val="21"/>
        </w:rPr>
        <w:t>、质量保证及售后服务</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乙方应按竞争性谈判文件规定的货物性能、技术要求、质量标准向甲方提供未经使用的全新产品。</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乙方提供的货物在质</w:t>
      </w:r>
      <w:r>
        <w:rPr>
          <w:rFonts w:hint="eastAsia" w:asciiTheme="minorEastAsia" w:hAnsiTheme="minorEastAsia" w:eastAsiaTheme="minorEastAsia"/>
          <w:szCs w:val="21"/>
        </w:rPr>
        <w:t>保</w:t>
      </w:r>
      <w:r>
        <w:rPr>
          <w:rFonts w:asciiTheme="minorEastAsia" w:hAnsiTheme="minorEastAsia" w:eastAsiaTheme="minorEastAsia"/>
          <w:szCs w:val="21"/>
        </w:rPr>
        <w:t>期内因货物本身的质量问题发生故障，乙方应负责免费更换。对达不到技术要求者，根据实际情况，经双方协商，可按以下办法处理：</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⑴更换：由乙方承担所发生的全部费用。</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⑵贬值处理：由甲乙双方合议定价。</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⑶退货处理：乙方应退还甲方支付的合同款，同时应承担该货物的直接费用（运输、保险、检验、货款利息及银行手续费等）。</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 xml:space="preserve"> 在质保期内，乙方应对货物出现的质量及安全问题负责处理解决并承担一切费用。</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二</w:t>
      </w:r>
      <w:r>
        <w:rPr>
          <w:rFonts w:asciiTheme="minorEastAsia" w:hAnsiTheme="minorEastAsia" w:eastAsiaTheme="minorEastAsia"/>
          <w:szCs w:val="21"/>
        </w:rPr>
        <w:t>、调试和验收</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甲方对乙方提交的货物依据竞争性谈判文件上的技术规格要求和国家有关质量标准进行现场初步验收，外观、说明书符合竞争性谈判文件技术要求的，给予签收，初步验收不合格的不予签收。</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乙方交货前应对产品作出全面检查和对验收文件进行整理，并列出清单，作为甲方收货验收和使用的技术条件依据，检验的结果应随货物交甲方。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 xml:space="preserve"> 甲方对乙方提供的货物在使用前进行调试时，乙方需负责安装并培训甲方的使用操作人员，并协助甲方一起调试，直到符合技术要求，甲方才做最终验收。</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 xml:space="preserve"> 验收时乙方必须在现场，验收完毕后作出验收结果报告；验收费用由乙方负责。</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三</w:t>
      </w:r>
      <w:r>
        <w:rPr>
          <w:rFonts w:asciiTheme="minorEastAsia" w:hAnsiTheme="minorEastAsia" w:eastAsiaTheme="minorEastAsia"/>
          <w:szCs w:val="21"/>
        </w:rPr>
        <w:t>、货物包装、发运及运输</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乙方应在货物发运前对其进行满足运输距离、防潮、防震、防锈和防破损装卸等要求包装，以保证货物安全运达甲方指定地点。</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使用说明书、质量检验证明书、随配附件和工具以及清单一并附于货物内。</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 xml:space="preserve"> 乙方在货物发运手续办理完毕后24小时内或货到甲方48小时前通知甲方，以准备接货。</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 xml:space="preserve"> 货物在交付甲方前发生的风险均由乙方负责。</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 xml:space="preserve"> 货物在规定的交付期限内由乙方送达甲方指定的地点视为交付，乙方同时需通知甲方货物已送达。</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四</w:t>
      </w:r>
      <w:r>
        <w:rPr>
          <w:rFonts w:asciiTheme="minorEastAsia" w:hAnsiTheme="minorEastAsia" w:eastAsiaTheme="minorEastAsia"/>
          <w:szCs w:val="21"/>
        </w:rPr>
        <w:t>、违约责任</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甲方无正当理由拒收货物的，甲方向乙方偿付拒收货款总值的百分之五违约金。</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甲方无故逾期验收和办理货款支付手续的,甲方应按逾期付款总额每日万分之五向乙方支付违约金。</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 xml:space="preserve"> 乙方逾期交付货物的，乙方应按逾期交货总额每日千分之</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 xml:space="preserve"> 乙方所交的货物品种、型号、规格、技术参数、质量不符合合同规定及竞争性谈判文件规定标准的，甲方有权拒收该货物，乙方愿意更换货物但逾期交货的，按乙方逾期交货处理。乙方拒绝更换货物的，甲方可单方面解除合同。</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乙方</w:t>
      </w:r>
      <w:r>
        <w:rPr>
          <w:rFonts w:hint="eastAsia" w:asciiTheme="minorEastAsia" w:hAnsiTheme="minorEastAsia" w:eastAsiaTheme="minorEastAsia"/>
          <w:szCs w:val="21"/>
        </w:rPr>
        <w:t>如提供售后服务和维修不到位的，</w:t>
      </w:r>
      <w:r>
        <w:rPr>
          <w:rFonts w:asciiTheme="minorEastAsia" w:hAnsiTheme="minorEastAsia" w:eastAsiaTheme="minorEastAsia"/>
          <w:szCs w:val="21"/>
        </w:rPr>
        <w:t>甲方</w:t>
      </w:r>
      <w:r>
        <w:rPr>
          <w:rFonts w:hint="eastAsia" w:asciiTheme="minorEastAsia" w:hAnsiTheme="minorEastAsia" w:eastAsiaTheme="minorEastAsia"/>
          <w:szCs w:val="21"/>
        </w:rPr>
        <w:t>将视情节没收质量保修金，并将情况报告县采购办进行处罚。</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五</w:t>
      </w:r>
      <w:r>
        <w:rPr>
          <w:rFonts w:asciiTheme="minorEastAsia" w:hAnsiTheme="minorEastAsia" w:eastAsiaTheme="minorEastAsia"/>
          <w:szCs w:val="21"/>
        </w:rPr>
        <w:t>、不可抗力事件处理</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在合同有效期内，任何一方因不可抗力事件导致不能履行合同，则合同履行</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期可延长，其延长期与不可抗力影响期相同。</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 xml:space="preserve"> 不可抗力事件发生后，应立即通知对方，并寄送有关权威机构出具的证明。</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 xml:space="preserve"> 不可抗力事件延续120天以上，双方应通过友好协商，确定是否继续履行合同。</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六</w:t>
      </w:r>
      <w:r>
        <w:rPr>
          <w:rFonts w:asciiTheme="minorEastAsia" w:hAnsiTheme="minorEastAsia" w:eastAsiaTheme="minorEastAsia"/>
          <w:szCs w:val="21"/>
        </w:rPr>
        <w:t>、诉讼</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双方在执行合同中所发生的一切争议，应通过协商解决。如协商不成，可向</w:t>
      </w:r>
      <w:r>
        <w:rPr>
          <w:rFonts w:hint="eastAsia" w:asciiTheme="minorEastAsia" w:hAnsiTheme="minorEastAsia" w:eastAsiaTheme="minorEastAsia"/>
          <w:szCs w:val="21"/>
        </w:rPr>
        <w:t>甲方所在</w:t>
      </w:r>
      <w:r>
        <w:rPr>
          <w:rFonts w:asciiTheme="minorEastAsia" w:hAnsiTheme="minorEastAsia" w:eastAsiaTheme="minorEastAsia"/>
          <w:szCs w:val="21"/>
        </w:rPr>
        <w:t>地法院起诉。</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十</w:t>
      </w:r>
      <w:r>
        <w:rPr>
          <w:rFonts w:hint="eastAsia" w:asciiTheme="minorEastAsia" w:hAnsiTheme="minorEastAsia" w:eastAsiaTheme="minorEastAsia"/>
          <w:szCs w:val="21"/>
        </w:rPr>
        <w:t>七</w:t>
      </w:r>
      <w:r>
        <w:rPr>
          <w:rFonts w:asciiTheme="minorEastAsia" w:hAnsiTheme="minorEastAsia" w:eastAsiaTheme="minorEastAsia"/>
          <w:szCs w:val="21"/>
        </w:rPr>
        <w:t>、合同生效及其它</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 xml:space="preserve"> 合同经双方法定代表人或授权代表签字并加盖单位公章后生效。</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合同执行中涉及采购资金和采购内容修改或补充的，须经财政部门审批，并签书面补充协议报政府采购监督管理部门备案，方可作为主合同不可分割的一部分。</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本合同未尽事宜，遵照《</w:t>
      </w:r>
      <w:r>
        <w:rPr>
          <w:rFonts w:hint="eastAsia" w:asciiTheme="minorEastAsia" w:hAnsiTheme="minorEastAsia" w:eastAsiaTheme="minorEastAsia"/>
          <w:szCs w:val="21"/>
          <w:lang w:val="en-US" w:eastAsia="zh-CN"/>
        </w:rPr>
        <w:t>民法典</w:t>
      </w:r>
      <w:r>
        <w:rPr>
          <w:rFonts w:asciiTheme="minorEastAsia" w:hAnsiTheme="minorEastAsia" w:eastAsiaTheme="minorEastAsia"/>
          <w:szCs w:val="21"/>
        </w:rPr>
        <w:t>》有关条文执行。</w:t>
      </w:r>
    </w:p>
    <w:p>
      <w:pPr>
        <w:tabs>
          <w:tab w:val="left" w:pos="0"/>
          <w:tab w:val="left" w:pos="437"/>
          <w:tab w:val="left" w:pos="1311"/>
        </w:tabs>
        <w:adjustRightInd w:val="0"/>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本合同正本一式</w:t>
      </w:r>
      <w:r>
        <w:rPr>
          <w:rFonts w:hint="eastAsia" w:asciiTheme="minorEastAsia" w:hAnsiTheme="minorEastAsia" w:eastAsiaTheme="minorEastAsia"/>
          <w:szCs w:val="21"/>
        </w:rPr>
        <w:t>四</w:t>
      </w:r>
      <w:r>
        <w:rPr>
          <w:rFonts w:asciiTheme="minorEastAsia" w:hAnsiTheme="minorEastAsia" w:eastAsiaTheme="minorEastAsia"/>
          <w:szCs w:val="21"/>
        </w:rPr>
        <w:t>份，具有同等法律效力，甲乙双方各执一份；</w:t>
      </w:r>
      <w:r>
        <w:rPr>
          <w:rFonts w:hint="eastAsia" w:asciiTheme="minorEastAsia" w:hAnsiTheme="minorEastAsia" w:eastAsiaTheme="minorEastAsia"/>
          <w:szCs w:val="21"/>
        </w:rPr>
        <w:t>采购办、采购中心各执一份。</w:t>
      </w:r>
    </w:p>
    <w:p>
      <w:pPr>
        <w:pStyle w:val="2"/>
      </w:pPr>
    </w:p>
    <w:p>
      <w:pPr>
        <w:spacing w:line="44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lang w:val="en-US" w:eastAsia="zh-CN"/>
        </w:rPr>
        <w:t>采购人</w:t>
      </w:r>
      <w:r>
        <w:rPr>
          <w:rFonts w:hint="eastAsia" w:asciiTheme="minorEastAsia" w:hAnsiTheme="minorEastAsia" w:eastAsiaTheme="minorEastAsia"/>
          <w:szCs w:val="21"/>
        </w:rPr>
        <w:t xml:space="preserve">（盖章）：                          </w:t>
      </w:r>
      <w:r>
        <w:rPr>
          <w:rFonts w:hint="eastAsia" w:asciiTheme="minorEastAsia" w:hAnsiTheme="minorEastAsia" w:eastAsiaTheme="minorEastAsia"/>
          <w:szCs w:val="21"/>
          <w:lang w:val="en-US" w:eastAsia="zh-CN"/>
        </w:rPr>
        <w:t>供应商</w:t>
      </w:r>
      <w:r>
        <w:rPr>
          <w:rFonts w:hint="eastAsia" w:asciiTheme="minorEastAsia" w:hAnsiTheme="minorEastAsia" w:eastAsiaTheme="minorEastAsia"/>
          <w:szCs w:val="21"/>
        </w:rPr>
        <w:t>（盖章）：</w:t>
      </w:r>
    </w:p>
    <w:p>
      <w:pPr>
        <w:spacing w:line="440" w:lineRule="exact"/>
        <w:ind w:firstLine="405"/>
        <w:rPr>
          <w:rFonts w:asciiTheme="minorEastAsia" w:hAnsiTheme="minorEastAsia" w:eastAsiaTheme="minorEastAsia"/>
          <w:szCs w:val="21"/>
        </w:rPr>
      </w:pPr>
    </w:p>
    <w:p>
      <w:pPr>
        <w:spacing w:line="440" w:lineRule="exact"/>
        <w:ind w:firstLine="105" w:firstLineChars="50"/>
      </w:pPr>
      <w:r>
        <w:rPr>
          <w:rFonts w:hint="eastAsia" w:asciiTheme="minorEastAsia" w:hAnsiTheme="minorEastAsia" w:eastAsiaTheme="minorEastAsia"/>
          <w:szCs w:val="21"/>
        </w:rPr>
        <w:t>委托代理人（或法定代表人）：               法定代表人（或法定代表人）：</w:t>
      </w:r>
    </w:p>
    <w:p>
      <w:pPr>
        <w:spacing w:line="440" w:lineRule="exact"/>
        <w:ind w:firstLine="105" w:firstLineChars="50"/>
        <w:rPr>
          <w:rFonts w:hint="eastAsia" w:cs="Times New Roman" w:asciiTheme="minorEastAsia" w:hAnsiTheme="minorEastAsia" w:eastAsiaTheme="minorEastAsia"/>
          <w:szCs w:val="21"/>
        </w:rPr>
      </w:pPr>
    </w:p>
    <w:p>
      <w:pPr>
        <w:spacing w:line="440" w:lineRule="exact"/>
        <w:ind w:firstLine="105" w:firstLineChars="5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银行</w:t>
      </w:r>
      <w:r>
        <w:rPr>
          <w:rFonts w:hint="eastAsia" w:cs="Times New Roman" w:asciiTheme="minorEastAsia" w:hAnsiTheme="minorEastAsia" w:eastAsiaTheme="minorEastAsia"/>
          <w:szCs w:val="21"/>
          <w:lang w:val="en-US" w:eastAsia="zh-CN"/>
        </w:rPr>
        <w:t>账号</w:t>
      </w:r>
      <w:r>
        <w:rPr>
          <w:rFonts w:hint="eastAsia" w:cs="Times New Roman" w:asciiTheme="minorEastAsia" w:hAnsiTheme="minorEastAsia" w:eastAsiaTheme="minorEastAsia"/>
          <w:szCs w:val="21"/>
        </w:rPr>
        <w:t>：                                 银行</w:t>
      </w:r>
      <w:r>
        <w:rPr>
          <w:rFonts w:hint="eastAsia" w:cs="Times New Roman" w:asciiTheme="minorEastAsia" w:hAnsiTheme="minorEastAsia" w:eastAsiaTheme="minorEastAsia"/>
          <w:szCs w:val="21"/>
          <w:lang w:val="en-US" w:eastAsia="zh-CN"/>
        </w:rPr>
        <w:t>账号</w:t>
      </w:r>
      <w:r>
        <w:rPr>
          <w:rFonts w:hint="eastAsia" w:cs="Times New Roman" w:asciiTheme="minorEastAsia" w:hAnsiTheme="minorEastAsia" w:eastAsiaTheme="minorEastAsia"/>
          <w:szCs w:val="21"/>
        </w:rPr>
        <w:t>：</w:t>
      </w:r>
    </w:p>
    <w:p>
      <w:pPr>
        <w:spacing w:line="440" w:lineRule="exact"/>
        <w:ind w:firstLine="105" w:firstLineChars="50"/>
        <w:rPr>
          <w:rFonts w:hint="eastAsia" w:cs="Times New Roman" w:asciiTheme="minorEastAsia" w:hAnsiTheme="minorEastAsia" w:eastAsiaTheme="minorEastAsia"/>
          <w:szCs w:val="21"/>
        </w:rPr>
      </w:pPr>
    </w:p>
    <w:p>
      <w:pPr>
        <w:spacing w:line="440" w:lineRule="exact"/>
        <w:ind w:firstLine="105" w:firstLineChars="5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开户银行：                                 开户银行：</w:t>
      </w:r>
    </w:p>
    <w:p>
      <w:pPr>
        <w:spacing w:line="440" w:lineRule="exact"/>
        <w:ind w:firstLine="105" w:firstLineChars="50"/>
        <w:rPr>
          <w:rFonts w:asciiTheme="minorEastAsia" w:hAnsiTheme="minorEastAsia" w:eastAsiaTheme="minorEastAsia"/>
          <w:szCs w:val="21"/>
        </w:rPr>
      </w:pPr>
    </w:p>
    <w:p>
      <w:pPr>
        <w:spacing w:line="44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联系电话：                                 联系电话：</w:t>
      </w:r>
    </w:p>
    <w:p>
      <w:pPr>
        <w:spacing w:line="440" w:lineRule="exact"/>
        <w:ind w:firstLine="105" w:firstLineChars="50"/>
        <w:rPr>
          <w:rFonts w:asciiTheme="minorEastAsia" w:hAnsiTheme="minorEastAsia" w:eastAsiaTheme="minorEastAsia"/>
          <w:szCs w:val="21"/>
        </w:rPr>
      </w:pPr>
    </w:p>
    <w:p>
      <w:pPr>
        <w:spacing w:line="440" w:lineRule="exact"/>
        <w:ind w:firstLine="105" w:firstLineChars="50"/>
        <w:rPr>
          <w:rFonts w:hint="eastAsia" w:asciiTheme="minorEastAsia" w:hAnsiTheme="minorEastAsia" w:eastAsiaTheme="minorEastAsia"/>
          <w:szCs w:val="21"/>
        </w:rPr>
        <w:sectPr>
          <w:footerReference r:id="rId6" w:type="first"/>
          <w:headerReference r:id="rId3" w:type="default"/>
          <w:footerReference r:id="rId4" w:type="default"/>
          <w:footerReference r:id="rId5" w:type="even"/>
          <w:pgSz w:w="11906" w:h="16838"/>
          <w:pgMar w:top="1134" w:right="1474" w:bottom="1134" w:left="1474" w:header="851" w:footer="992" w:gutter="0"/>
          <w:cols w:space="720" w:num="1"/>
          <w:docGrid w:type="lines" w:linePitch="312" w:charSpace="0"/>
        </w:sectPr>
      </w:pPr>
      <w:r>
        <w:rPr>
          <w:rFonts w:hint="eastAsia" w:asciiTheme="minorEastAsia" w:hAnsiTheme="minorEastAsia" w:eastAsiaTheme="minorEastAsia"/>
          <w:szCs w:val="21"/>
        </w:rPr>
        <w:t>签订日期：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rPr>
        <w:t>日</w:t>
      </w:r>
      <w:r>
        <w:rPr>
          <w:rFonts w:hint="eastAsia" w:asciiTheme="minorEastAsia" w:hAnsiTheme="minorEastAsia" w:eastAsiaTheme="minorEastAsia"/>
          <w:szCs w:val="21"/>
        </w:rPr>
        <w:t xml:space="preserve">         签订日期：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rPr>
        <w:t>日</w:t>
      </w:r>
      <w:bookmarkStart w:id="57" w:name="_Toc495674334"/>
    </w:p>
    <w:p>
      <w:pPr>
        <w:tabs>
          <w:tab w:val="left" w:pos="5783"/>
        </w:tabs>
        <w:spacing w:line="240" w:lineRule="auto"/>
        <w:rPr>
          <w:rFonts w:hint="eastAsia" w:asciiTheme="minorEastAsia" w:hAnsiTheme="minorEastAsia" w:eastAsiaTheme="minorEastAsia"/>
          <w:szCs w:val="21"/>
          <w:lang w:eastAsia="zh-CN"/>
        </w:rPr>
      </w:pPr>
    </w:p>
    <w:p>
      <w:pPr>
        <w:pStyle w:val="3"/>
        <w:numPr>
          <w:ilvl w:val="0"/>
          <w:numId w:val="3"/>
        </w:numPr>
        <w:spacing w:line="240" w:lineRule="auto"/>
        <w:jc w:val="center"/>
        <w:rPr>
          <w:rFonts w:hint="eastAsia" w:asciiTheme="minorEastAsia" w:hAnsiTheme="minorEastAsia" w:eastAsiaTheme="minorEastAsia"/>
          <w:kern w:val="0"/>
          <w:sz w:val="36"/>
          <w:szCs w:val="36"/>
        </w:rPr>
      </w:pPr>
      <w:r>
        <w:rPr>
          <w:rFonts w:hint="eastAsia" w:asciiTheme="minorEastAsia" w:hAnsiTheme="minorEastAsia" w:eastAsiaTheme="minorEastAsia"/>
          <w:kern w:val="0"/>
          <w:sz w:val="36"/>
          <w:szCs w:val="36"/>
        </w:rPr>
        <w:t xml:space="preserve"> </w:t>
      </w:r>
      <w:bookmarkStart w:id="58" w:name="_Toc3086"/>
      <w:r>
        <w:rPr>
          <w:rFonts w:hint="eastAsia" w:asciiTheme="minorEastAsia" w:hAnsiTheme="minorEastAsia" w:eastAsiaTheme="minorEastAsia"/>
          <w:kern w:val="0"/>
          <w:sz w:val="36"/>
          <w:szCs w:val="36"/>
        </w:rPr>
        <w:t>采购内容及技术标准和要求</w:t>
      </w:r>
      <w:bookmarkEnd w:id="57"/>
      <w:bookmarkEnd w:id="58"/>
    </w:p>
    <w:p>
      <w:pPr>
        <w:tabs>
          <w:tab w:val="right" w:pos="14570"/>
        </w:tabs>
        <w:bidi w:val="0"/>
        <w:jc w:val="left"/>
        <w:rPr>
          <w:rFonts w:hint="eastAsia"/>
          <w:lang w:val="en-US" w:eastAsia="zh-CN"/>
        </w:rPr>
      </w:pPr>
    </w:p>
    <w:p>
      <w:pPr>
        <w:numPr>
          <w:ilvl w:val="0"/>
          <w:numId w:val="0"/>
        </w:numPr>
        <w:spacing w:line="640" w:lineRule="exact"/>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采购数量</w:t>
      </w:r>
    </w:p>
    <w:tbl>
      <w:tblPr>
        <w:tblStyle w:val="27"/>
        <w:tblpPr w:leftFromText="180" w:rightFromText="180" w:vertAnchor="text" w:horzAnchor="page" w:tblpX="1597" w:tblpY="767"/>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2854"/>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601" w:type="dxa"/>
            <w:noWrap w:val="0"/>
            <w:vAlign w:val="center"/>
          </w:tcPr>
          <w:p>
            <w:pPr>
              <w:widowControl w:val="0"/>
              <w:numPr>
                <w:ilvl w:val="0"/>
                <w:numId w:val="0"/>
              </w:numPr>
              <w:spacing w:line="64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设备名称</w:t>
            </w:r>
          </w:p>
        </w:tc>
        <w:tc>
          <w:tcPr>
            <w:tcW w:w="2854" w:type="dxa"/>
            <w:noWrap w:val="0"/>
            <w:vAlign w:val="center"/>
          </w:tcPr>
          <w:p>
            <w:pPr>
              <w:widowControl w:val="0"/>
              <w:numPr>
                <w:ilvl w:val="0"/>
                <w:numId w:val="0"/>
              </w:numPr>
              <w:spacing w:line="64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数量</w:t>
            </w:r>
          </w:p>
        </w:tc>
        <w:tc>
          <w:tcPr>
            <w:tcW w:w="2403" w:type="dxa"/>
            <w:noWrap w:val="0"/>
            <w:vAlign w:val="center"/>
          </w:tcPr>
          <w:p>
            <w:pPr>
              <w:widowControl w:val="0"/>
              <w:numPr>
                <w:ilvl w:val="0"/>
                <w:numId w:val="0"/>
              </w:numPr>
              <w:spacing w:line="64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01" w:type="dxa"/>
            <w:noWrap w:val="0"/>
            <w:vAlign w:val="center"/>
          </w:tcPr>
          <w:p>
            <w:pPr>
              <w:widowControl w:val="0"/>
              <w:numPr>
                <w:ilvl w:val="0"/>
                <w:numId w:val="0"/>
              </w:numPr>
              <w:spacing w:line="240" w:lineRule="auto"/>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lang w:eastAsia="zh-CN"/>
              </w:rPr>
              <w:t>执法记录仪采集工作站</w:t>
            </w:r>
          </w:p>
        </w:tc>
        <w:tc>
          <w:tcPr>
            <w:tcW w:w="2854" w:type="dxa"/>
            <w:noWrap w:val="0"/>
            <w:vAlign w:val="center"/>
          </w:tcPr>
          <w:p>
            <w:pPr>
              <w:widowControl w:val="0"/>
              <w:numPr>
                <w:ilvl w:val="0"/>
                <w:numId w:val="0"/>
              </w:numPr>
              <w:spacing w:line="64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18台</w:t>
            </w:r>
          </w:p>
        </w:tc>
        <w:tc>
          <w:tcPr>
            <w:tcW w:w="2403" w:type="dxa"/>
            <w:noWrap w:val="0"/>
            <w:vAlign w:val="center"/>
          </w:tcPr>
          <w:p>
            <w:pPr>
              <w:widowControl w:val="0"/>
              <w:numPr>
                <w:ilvl w:val="0"/>
                <w:numId w:val="0"/>
              </w:numPr>
              <w:spacing w:line="640" w:lineRule="exact"/>
              <w:jc w:val="center"/>
              <w:rPr>
                <w:rFonts w:hint="eastAsia" w:ascii="宋体" w:hAnsi="宋体" w:eastAsia="宋体" w:cs="宋体"/>
                <w:b w:val="0"/>
                <w:bCs w:val="0"/>
                <w:color w:val="auto"/>
                <w:sz w:val="24"/>
                <w:szCs w:val="24"/>
                <w:vertAlign w:val="baseline"/>
              </w:rPr>
            </w:pPr>
          </w:p>
        </w:tc>
      </w:tr>
    </w:tbl>
    <w:p>
      <w:pPr>
        <w:numPr>
          <w:ilvl w:val="0"/>
          <w:numId w:val="0"/>
        </w:numPr>
        <w:spacing w:line="640" w:lineRule="exact"/>
        <w:rPr>
          <w:rFonts w:hint="eastAsia" w:ascii="宋体" w:hAnsi="宋体" w:eastAsia="宋体" w:cs="宋体"/>
          <w:sz w:val="32"/>
          <w:szCs w:val="32"/>
          <w:lang w:val="en-US" w:eastAsia="zh-CN"/>
        </w:rPr>
      </w:pPr>
    </w:p>
    <w:p>
      <w:pPr>
        <w:numPr>
          <w:ilvl w:val="0"/>
          <w:numId w:val="0"/>
        </w:numPr>
        <w:spacing w:line="640" w:lineRule="exact"/>
        <w:rPr>
          <w:rFonts w:hint="eastAsia" w:ascii="宋体" w:hAnsi="宋体" w:eastAsia="宋体" w:cs="宋体"/>
          <w:sz w:val="32"/>
          <w:szCs w:val="32"/>
          <w:lang w:val="en-US" w:eastAsia="zh-CN"/>
        </w:rPr>
      </w:pPr>
    </w:p>
    <w:p>
      <w:pPr>
        <w:numPr>
          <w:ilvl w:val="0"/>
          <w:numId w:val="0"/>
        </w:numPr>
        <w:spacing w:line="640" w:lineRule="exact"/>
        <w:rPr>
          <w:rFonts w:hint="default" w:ascii="宋体" w:hAnsi="宋体" w:eastAsia="宋体" w:cs="宋体"/>
          <w:sz w:val="32"/>
          <w:szCs w:val="32"/>
          <w:lang w:val="en-US"/>
        </w:rPr>
      </w:pPr>
      <w:r>
        <w:rPr>
          <w:rFonts w:hint="eastAsia" w:ascii="宋体" w:hAnsi="宋体" w:eastAsia="宋体" w:cs="宋体"/>
          <w:sz w:val="32"/>
          <w:szCs w:val="32"/>
          <w:lang w:val="en-US" w:eastAsia="zh-CN"/>
        </w:rPr>
        <w:t>二、技术参数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06"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1"/>
                <w:szCs w:val="21"/>
                <w:lang w:val="en-US" w:eastAsia="zh-CN"/>
              </w:rPr>
              <w:t>项目名称</w:t>
            </w:r>
          </w:p>
        </w:tc>
        <w:tc>
          <w:tcPr>
            <w:tcW w:w="7640"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1"/>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06" w:type="dxa"/>
            <w:noWrap w:val="0"/>
            <w:vAlign w:val="center"/>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1"/>
                <w:szCs w:val="21"/>
                <w:lang w:val="en-US" w:eastAsia="zh-CN"/>
              </w:rPr>
              <w:t>执法记录仪采集工作站</w:t>
            </w:r>
          </w:p>
        </w:tc>
        <w:tc>
          <w:tcPr>
            <w:tcW w:w="7640" w:type="dxa"/>
            <w:noWrap w:val="0"/>
            <w:vAlign w:val="center"/>
          </w:tcPr>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1.硬件结构:一体化结构，高强度钢材，采用一体式电阻触摸屏，显示屏尺寸≥19寸，分辨离≥1280*1024；CPU处理器:≥Intel 3260，内存：≥4GB，固态硬盘:≥64G。</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2.数据接口:可同时接入≥25个执法记录仪，支持USB接口用于数据导出。（以公安部检测报告内容为依据）。</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3.存储容量:≥4T的硬盘容量。</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4.存储扩展:★具有9个硬盘仓位。</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5.设备安全性:设备的安全防范报警设备的绝缘电阻、抗电强度和泄漏电流均要符合公安部警用电子产品的检测要求。</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6.指纹验证:（扩展功能）:★指纹验证，只有通过指纹验证才可以将执法仪插入或去除，并能够记录开锁闭锁时间</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7.硬盘盒功能:每块硬盘，具有单独的硬盘盒。</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8.密码安全:★可在后台设置不少于5组密码组，执法记录仪接入采集工作站时刻随机分配其中一组密码。防止因密码单一导致执法数据流出。</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9.系统升级:★当有新版本软件时，采集工作站软件可自动完成程序升级。</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10.设备接入系统：★能够与现有执法记录仪采集工作站平台系统无缝对接（提供承诺书）。</w:t>
            </w:r>
          </w:p>
          <w:p>
            <w:pPr>
              <w:spacing w:line="24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技术参数带★项为重要技术指标必须满足,有一项不满足按投标无效处理。评判依据为公安部检验中心出具的检验报告。</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现场提供所投产品公安部检验报告复印件并加盖生产厂家公章，交货时检验报告原件备查。提供本产品来源渠道合法的证明文件（包括但不限于原厂授权、销售协议、代理协议等）及厂家针对本项目的售后服务承诺原件。</w:t>
            </w:r>
          </w:p>
        </w:tc>
      </w:tr>
    </w:tbl>
    <w:p>
      <w:pPr>
        <w:bidi w:val="0"/>
        <w:rPr>
          <w:rFonts w:hint="eastAsia"/>
          <w:lang w:val="en-US" w:eastAsia="zh-CN"/>
        </w:rPr>
        <w:sectPr>
          <w:headerReference r:id="rId7" w:type="default"/>
          <w:pgSz w:w="11906" w:h="16838"/>
          <w:pgMar w:top="1134" w:right="1474" w:bottom="1134" w:left="1474" w:header="1191" w:footer="992" w:gutter="0"/>
          <w:cols w:space="720" w:num="1"/>
          <w:docGrid w:type="lines" w:linePitch="312" w:charSpace="0"/>
        </w:sectPr>
      </w:pPr>
    </w:p>
    <w:p>
      <w:pPr>
        <w:numPr>
          <w:ilvl w:val="0"/>
          <w:numId w:val="0"/>
        </w:numPr>
        <w:rPr>
          <w:rFonts w:hint="eastAsia" w:ascii="楷体" w:hAnsi="楷体" w:eastAsia="宋体" w:cs="楷体"/>
          <w:b/>
          <w:bCs/>
          <w:color w:val="auto"/>
          <w:sz w:val="28"/>
          <w:szCs w:val="28"/>
          <w:lang w:val="en-US" w:eastAsia="zh-CN"/>
        </w:rPr>
      </w:pPr>
      <w:r>
        <w:rPr>
          <w:rFonts w:hint="eastAsia" w:ascii="楷体" w:hAnsi="楷体" w:cs="楷体"/>
          <w:b/>
          <w:bCs/>
          <w:color w:val="auto"/>
          <w:sz w:val="28"/>
          <w:szCs w:val="28"/>
          <w:lang w:val="en-US" w:eastAsia="zh-CN"/>
        </w:rPr>
        <w:t>三、 采购</w:t>
      </w:r>
      <w:r>
        <w:rPr>
          <w:rFonts w:hint="eastAsia" w:ascii="楷体" w:hAnsi="楷体" w:eastAsia="宋体" w:cs="楷体"/>
          <w:b/>
          <w:bCs/>
          <w:color w:val="auto"/>
          <w:sz w:val="28"/>
          <w:szCs w:val="28"/>
          <w:lang w:val="en-US" w:eastAsia="zh-CN"/>
        </w:rPr>
        <w:t>要求</w:t>
      </w:r>
    </w:p>
    <w:p>
      <w:pPr>
        <w:spacing w:line="520" w:lineRule="exact"/>
        <w:ind w:firstLine="440" w:firstLineChars="200"/>
        <w:rPr>
          <w:rFonts w:hint="eastAsia"/>
          <w:sz w:val="22"/>
          <w:szCs w:val="22"/>
        </w:rPr>
      </w:pPr>
      <w:r>
        <w:rPr>
          <w:rFonts w:hint="eastAsia"/>
          <w:sz w:val="22"/>
          <w:szCs w:val="22"/>
        </w:rPr>
        <w:t>（1）货物为全新产品，无污染，无侵权行为、表面无划损、无任何缺陷隐患，在中国境内可依规安全合法使用。</w:t>
      </w:r>
    </w:p>
    <w:p>
      <w:pPr>
        <w:spacing w:line="520" w:lineRule="exact"/>
        <w:ind w:firstLine="440" w:firstLineChars="200"/>
        <w:rPr>
          <w:rFonts w:hint="eastAsia"/>
          <w:sz w:val="22"/>
          <w:szCs w:val="22"/>
        </w:rPr>
      </w:pPr>
      <w:r>
        <w:rPr>
          <w:rFonts w:hint="eastAsia"/>
          <w:sz w:val="22"/>
          <w:szCs w:val="22"/>
        </w:rPr>
        <w:t>（2）交付验收基本标准</w:t>
      </w:r>
    </w:p>
    <w:p>
      <w:pPr>
        <w:spacing w:line="520" w:lineRule="exact"/>
        <w:ind w:firstLine="440" w:firstLineChars="200"/>
        <w:rPr>
          <w:rFonts w:hint="eastAsia"/>
          <w:sz w:val="22"/>
          <w:szCs w:val="22"/>
        </w:rPr>
      </w:pPr>
      <w:r>
        <w:rPr>
          <w:rFonts w:hint="eastAsia"/>
          <w:sz w:val="22"/>
          <w:szCs w:val="22"/>
        </w:rPr>
        <w:t>依次序对照适用标准为：①符合中华人民共和国国家安全质量标准、环保标准或行业标准；</w:t>
      </w:r>
    </w:p>
    <w:p>
      <w:pPr>
        <w:spacing w:line="520" w:lineRule="exact"/>
        <w:ind w:firstLine="440" w:firstLineChars="200"/>
        <w:rPr>
          <w:rFonts w:hint="eastAsia"/>
          <w:sz w:val="22"/>
          <w:szCs w:val="22"/>
        </w:rPr>
      </w:pPr>
      <w:r>
        <w:rPr>
          <w:rFonts w:hint="eastAsia"/>
          <w:sz w:val="22"/>
          <w:szCs w:val="22"/>
        </w:rPr>
        <w:t>（3） 验收由供应商、采购人及相关部门</w:t>
      </w:r>
      <w:r>
        <w:rPr>
          <w:rFonts w:hint="eastAsia"/>
          <w:sz w:val="22"/>
          <w:szCs w:val="22"/>
          <w:lang w:val="en-US" w:eastAsia="zh-CN"/>
        </w:rPr>
        <w:t>或</w:t>
      </w:r>
      <w:r>
        <w:rPr>
          <w:rFonts w:hint="eastAsia"/>
          <w:sz w:val="22"/>
          <w:szCs w:val="22"/>
        </w:rPr>
        <w:t>相关专家依国家有关标准、合同及有关附件要求进行。供应商须为验收提供必需的相关条件及一切费用。</w:t>
      </w:r>
    </w:p>
    <w:p>
      <w:pPr>
        <w:spacing w:line="520" w:lineRule="exact"/>
        <w:ind w:firstLine="440" w:firstLineChars="200"/>
        <w:rPr>
          <w:rFonts w:hint="eastAsia"/>
          <w:sz w:val="22"/>
          <w:szCs w:val="22"/>
        </w:rPr>
      </w:pPr>
      <w:r>
        <w:rPr>
          <w:rFonts w:hint="eastAsia"/>
          <w:sz w:val="22"/>
          <w:szCs w:val="22"/>
        </w:rPr>
        <w:t>（4）技术资料</w:t>
      </w:r>
    </w:p>
    <w:p>
      <w:pPr>
        <w:spacing w:line="520" w:lineRule="exact"/>
        <w:ind w:firstLine="660" w:firstLineChars="300"/>
        <w:rPr>
          <w:rFonts w:hint="eastAsia"/>
          <w:sz w:val="22"/>
          <w:szCs w:val="22"/>
        </w:rPr>
      </w:pPr>
      <w:r>
        <w:rPr>
          <w:rFonts w:hint="eastAsia"/>
          <w:sz w:val="22"/>
          <w:szCs w:val="22"/>
        </w:rPr>
        <w:t>1）交货时，供应商应同时交付产品使用手册、质量检验证书（合格证）等相关资料。</w:t>
      </w:r>
    </w:p>
    <w:p>
      <w:pPr>
        <w:spacing w:line="520" w:lineRule="exact"/>
        <w:ind w:firstLine="660" w:firstLineChars="300"/>
        <w:rPr>
          <w:rFonts w:hint="eastAsia"/>
          <w:sz w:val="22"/>
          <w:szCs w:val="22"/>
        </w:rPr>
      </w:pPr>
      <w:r>
        <w:rPr>
          <w:rFonts w:hint="eastAsia"/>
          <w:sz w:val="22"/>
          <w:szCs w:val="22"/>
        </w:rPr>
        <w:t>2）验收后，中标人应向采购人提供验收报告。</w:t>
      </w:r>
    </w:p>
    <w:p>
      <w:pPr>
        <w:pStyle w:val="2"/>
        <w:rPr>
          <w:rFonts w:hint="eastAsia"/>
          <w:lang w:val="en-US" w:eastAsia="zh-CN"/>
        </w:rPr>
      </w:pPr>
    </w:p>
    <w:p>
      <w:pPr>
        <w:rPr>
          <w:rFonts w:hint="eastAsia"/>
          <w:lang w:val="en-US" w:eastAsia="zh-CN"/>
        </w:rPr>
        <w:sectPr>
          <w:headerReference r:id="rId8" w:type="default"/>
          <w:pgSz w:w="11906" w:h="16838"/>
          <w:pgMar w:top="1134" w:right="1474" w:bottom="1134" w:left="1474" w:header="850" w:footer="992" w:gutter="0"/>
          <w:cols w:space="720" w:num="1"/>
          <w:docGrid w:type="lines" w:linePitch="312" w:charSpace="0"/>
        </w:sect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 xml:space="preserve">           </w:t>
      </w:r>
    </w:p>
    <w:p>
      <w:pPr>
        <w:pStyle w:val="23"/>
        <w:numPr>
          <w:ilvl w:val="0"/>
          <w:numId w:val="3"/>
        </w:numPr>
        <w:ind w:left="0" w:leftChars="0" w:firstLine="0" w:firstLineChars="0"/>
      </w:pPr>
      <w:bookmarkStart w:id="59" w:name="_Toc495674335"/>
      <w:bookmarkStart w:id="60" w:name="_Toc3284"/>
      <w:r>
        <w:rPr>
          <w:rFonts w:hint="eastAsia" w:asciiTheme="minorEastAsia" w:hAnsiTheme="minorEastAsia" w:eastAsiaTheme="minorEastAsia"/>
          <w:kern w:val="0"/>
          <w:sz w:val="36"/>
          <w:szCs w:val="36"/>
        </w:rPr>
        <w:t xml:space="preserve"> 竞争性谈判响应文件格式</w:t>
      </w:r>
      <w:bookmarkEnd w:id="59"/>
      <w:bookmarkEnd w:id="60"/>
    </w:p>
    <w:p>
      <w:pPr>
        <w:jc w:val="center"/>
        <w:rPr>
          <w:rFonts w:hint="eastAsia" w:asciiTheme="minorEastAsia" w:hAnsiTheme="minorEastAsia" w:eastAsiaTheme="minorEastAsia"/>
          <w:b/>
          <w:bCs/>
          <w:sz w:val="36"/>
          <w:szCs w:val="36"/>
          <w:lang w:eastAsia="zh-CN"/>
        </w:rPr>
      </w:pPr>
    </w:p>
    <w:p>
      <w:pPr>
        <w:jc w:val="center"/>
        <w:rPr>
          <w:rFonts w:hint="default" w:asciiTheme="minorEastAsia" w:hAnsiTheme="minorEastAsia" w:eastAsiaTheme="minorEastAsia"/>
          <w:b/>
          <w:bCs/>
          <w:sz w:val="36"/>
          <w:szCs w:val="36"/>
          <w:lang w:val="en-US"/>
        </w:rPr>
      </w:pPr>
      <w:r>
        <w:rPr>
          <w:rFonts w:hint="eastAsia" w:asciiTheme="minorEastAsia" w:hAnsiTheme="minorEastAsia" w:eastAsiaTheme="minorEastAsia"/>
          <w:b/>
          <w:bCs/>
          <w:sz w:val="36"/>
          <w:szCs w:val="36"/>
          <w:lang w:eastAsia="zh-CN"/>
        </w:rPr>
        <w:t>渭南市公安局临渭分局采集工作站</w:t>
      </w:r>
      <w:r>
        <w:rPr>
          <w:rFonts w:hint="eastAsia" w:asciiTheme="minorEastAsia" w:hAnsiTheme="minorEastAsia" w:eastAsiaTheme="minorEastAsia"/>
          <w:b/>
          <w:bCs/>
          <w:sz w:val="36"/>
          <w:szCs w:val="36"/>
          <w:lang w:val="en-US" w:eastAsia="zh-CN"/>
        </w:rPr>
        <w:t>采购项目</w:t>
      </w:r>
    </w:p>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p>
    <w:p>
      <w:pPr>
        <w:pStyle w:val="23"/>
        <w:rPr>
          <w:rFonts w:asciiTheme="minorEastAsia" w:hAnsiTheme="minorEastAsia" w:eastAsiaTheme="minorEastAsia"/>
          <w:szCs w:val="52"/>
        </w:rPr>
      </w:pPr>
      <w:bookmarkStart w:id="61" w:name="_Toc21527"/>
      <w:bookmarkStart w:id="62" w:name="_Toc495674337"/>
      <w:r>
        <w:rPr>
          <w:rFonts w:hint="eastAsia" w:asciiTheme="minorEastAsia" w:hAnsiTheme="minorEastAsia" w:eastAsiaTheme="minorEastAsia"/>
          <w:szCs w:val="52"/>
        </w:rPr>
        <w:t>竞争性谈判响应文件</w:t>
      </w:r>
      <w:bookmarkEnd w:id="61"/>
      <w:bookmarkEnd w:id="62"/>
    </w:p>
    <w:p>
      <w:pPr>
        <w:bidi w:val="0"/>
      </w:pPr>
      <w:r>
        <w:rPr>
          <w:rFonts w:hint="eastAsia"/>
        </w:rPr>
        <w:t xml:space="preserve"> </w:t>
      </w:r>
    </w:p>
    <w:p>
      <w:pPr>
        <w:jc w:val="center"/>
        <w:rPr>
          <w:rFonts w:asciiTheme="minorEastAsia" w:hAnsiTheme="minorEastAsia" w:eastAsiaTheme="minorEastAsia"/>
          <w:b/>
          <w:sz w:val="36"/>
          <w:szCs w:val="36"/>
        </w:rPr>
      </w:pPr>
    </w:p>
    <w:p>
      <w:pPr>
        <w:jc w:val="center"/>
        <w:rPr>
          <w:rFonts w:asciiTheme="minorEastAsia" w:hAnsiTheme="minorEastAsia" w:eastAsiaTheme="minorEastAsia"/>
          <w:sz w:val="36"/>
          <w:szCs w:val="36"/>
        </w:rPr>
      </w:pPr>
    </w:p>
    <w:p>
      <w:pPr>
        <w:tabs>
          <w:tab w:val="left" w:pos="2628"/>
        </w:tabs>
        <w:spacing w:line="360" w:lineRule="auto"/>
        <w:ind w:left="2382" w:leftChars="401" w:hanging="1540" w:hangingChars="5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rPr>
        <w:tab/>
      </w:r>
    </w:p>
    <w:p>
      <w:pPr>
        <w:tabs>
          <w:tab w:val="left" w:pos="2628"/>
        </w:tabs>
        <w:spacing w:line="360" w:lineRule="auto"/>
        <w:ind w:left="843"/>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项目</w:t>
      </w:r>
      <w:r>
        <w:rPr>
          <w:rFonts w:hint="eastAsia" w:asciiTheme="minorEastAsia" w:hAnsiTheme="minorEastAsia" w:eastAsiaTheme="minorEastAsia"/>
          <w:sz w:val="28"/>
          <w:szCs w:val="28"/>
        </w:rPr>
        <w:t>编号：</w:t>
      </w:r>
    </w:p>
    <w:p>
      <w:pPr>
        <w:spacing w:line="360" w:lineRule="auto"/>
        <w:ind w:left="1080"/>
        <w:rPr>
          <w:rFonts w:asciiTheme="minorEastAsia" w:hAnsiTheme="minorEastAsia" w:eastAsiaTheme="minorEastAsia"/>
          <w:b/>
          <w:bCs/>
          <w:sz w:val="28"/>
          <w:szCs w:val="28"/>
        </w:rPr>
      </w:pPr>
      <w:r>
        <w:rPr>
          <w:rFonts w:hint="eastAsia" w:asciiTheme="minorEastAsia" w:hAnsiTheme="minorEastAsia" w:eastAsiaTheme="minorEastAsia"/>
          <w:sz w:val="28"/>
          <w:szCs w:val="28"/>
        </w:rPr>
        <w:t xml:space="preserve">    </w:t>
      </w: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供应商名称：</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（公章）</w:t>
      </w:r>
    </w:p>
    <w:p>
      <w:pPr>
        <w:ind w:firstLine="2094" w:firstLineChars="745"/>
        <w:rPr>
          <w:rFonts w:asciiTheme="minorEastAsia" w:hAnsiTheme="minorEastAsia" w:eastAsiaTheme="minorEastAsia"/>
          <w:b/>
          <w:sz w:val="28"/>
          <w:szCs w:val="28"/>
        </w:rPr>
      </w:pPr>
      <w:r>
        <w:rPr>
          <w:rFonts w:hint="eastAsia" w:asciiTheme="minorEastAsia" w:hAnsiTheme="minorEastAsia" w:eastAsiaTheme="minorEastAsia"/>
          <w:b/>
          <w:sz w:val="28"/>
          <w:szCs w:val="28"/>
        </w:rPr>
        <w:t>日 期：</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月</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日</w:t>
      </w:r>
    </w:p>
    <w:p>
      <w:pPr>
        <w:spacing w:line="360" w:lineRule="auto"/>
        <w:ind w:left="1524"/>
        <w:rPr>
          <w:rFonts w:asciiTheme="minorEastAsia" w:hAnsiTheme="minorEastAsia" w:eastAsiaTheme="minorEastAsia"/>
          <w:sz w:val="24"/>
          <w:szCs w:val="24"/>
        </w:rPr>
      </w:pPr>
    </w:p>
    <w:p>
      <w:pPr>
        <w:spacing w:line="360" w:lineRule="auto"/>
        <w:ind w:left="1524"/>
        <w:rPr>
          <w:rFonts w:asciiTheme="minorEastAsia" w:hAnsiTheme="minorEastAsia" w:eastAsiaTheme="minorEastAsia"/>
          <w:sz w:val="24"/>
          <w:szCs w:val="24"/>
        </w:rPr>
      </w:pPr>
    </w:p>
    <w:p>
      <w:pPr>
        <w:jc w:val="center"/>
        <w:rPr>
          <w:rFonts w:asciiTheme="minorEastAsia" w:hAnsiTheme="minorEastAsia" w:eastAsiaTheme="minorEastAsia"/>
          <w:sz w:val="36"/>
          <w:szCs w:val="36"/>
        </w:rPr>
      </w:pPr>
    </w:p>
    <w:p>
      <w:pPr>
        <w:jc w:val="center"/>
        <w:rPr>
          <w:rFonts w:hint="eastAsia" w:asciiTheme="minorEastAsia" w:hAnsiTheme="minorEastAsia" w:eastAsiaTheme="minorEastAsia"/>
          <w:b/>
          <w:bCs/>
          <w:sz w:val="36"/>
          <w:szCs w:val="36"/>
          <w:lang w:eastAsia="zh-CN"/>
        </w:rPr>
      </w:pPr>
    </w:p>
    <w:p>
      <w:pPr>
        <w:jc w:val="center"/>
        <w:rPr>
          <w:rFonts w:hint="eastAsia" w:asciiTheme="minorEastAsia" w:hAnsiTheme="minorEastAsia" w:eastAsiaTheme="minorEastAsia"/>
          <w:b/>
          <w:bCs/>
          <w:sz w:val="36"/>
          <w:szCs w:val="36"/>
          <w:lang w:eastAsia="zh-CN"/>
        </w:rPr>
      </w:pPr>
    </w:p>
    <w:p>
      <w:pPr>
        <w:jc w:val="center"/>
        <w:rPr>
          <w:rFonts w:hint="default" w:asciiTheme="minorEastAsia" w:hAnsiTheme="minorEastAsia" w:eastAsiaTheme="minorEastAsia"/>
          <w:b/>
          <w:sz w:val="52"/>
          <w:szCs w:val="52"/>
          <w:lang w:val="en-US"/>
        </w:rPr>
      </w:pPr>
      <w:r>
        <w:rPr>
          <w:rFonts w:hint="eastAsia" w:asciiTheme="minorEastAsia" w:hAnsiTheme="minorEastAsia" w:eastAsiaTheme="minorEastAsia"/>
          <w:b/>
          <w:bCs/>
          <w:sz w:val="36"/>
          <w:szCs w:val="36"/>
          <w:lang w:eastAsia="zh-CN"/>
        </w:rPr>
        <w:t>渭南市公安局临渭分局采集工作站</w:t>
      </w:r>
      <w:r>
        <w:rPr>
          <w:rFonts w:hint="eastAsia" w:asciiTheme="minorEastAsia" w:hAnsiTheme="minorEastAsia" w:eastAsiaTheme="minorEastAsia"/>
          <w:b/>
          <w:bCs/>
          <w:sz w:val="36"/>
          <w:szCs w:val="36"/>
          <w:lang w:val="en-US" w:eastAsia="zh-CN"/>
        </w:rPr>
        <w:t>采购项目</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竞争性谈判响应文件</w:t>
      </w: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w:t>
      </w:r>
    </w:p>
    <w:p>
      <w:pPr>
        <w:jc w:val="center"/>
        <w:rPr>
          <w:rFonts w:asciiTheme="minorEastAsia" w:hAnsiTheme="minorEastAsia" w:eastAsiaTheme="minorEastAsia"/>
          <w:b/>
          <w:sz w:val="36"/>
          <w:szCs w:val="36"/>
        </w:rPr>
      </w:pPr>
    </w:p>
    <w:p>
      <w:pPr>
        <w:pStyle w:val="23"/>
        <w:rPr>
          <w:rFonts w:asciiTheme="minorEastAsia" w:hAnsiTheme="minorEastAsia" w:eastAsiaTheme="minorEastAsia"/>
        </w:rPr>
      </w:pPr>
      <w:bookmarkStart w:id="63" w:name="_Toc495674338"/>
      <w:bookmarkStart w:id="64" w:name="_Toc14"/>
      <w:r>
        <w:rPr>
          <w:rFonts w:hint="eastAsia" w:asciiTheme="minorEastAsia" w:hAnsiTheme="minorEastAsia" w:eastAsiaTheme="minorEastAsia"/>
        </w:rPr>
        <w:t>（资格部分）</w:t>
      </w:r>
      <w:bookmarkEnd w:id="63"/>
      <w:bookmarkEnd w:id="64"/>
    </w:p>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p>
    <w:p>
      <w:pPr>
        <w:jc w:val="center"/>
        <w:rPr>
          <w:rFonts w:asciiTheme="minorEastAsia" w:hAnsiTheme="minorEastAsia" w:eastAsiaTheme="minorEastAsia"/>
          <w:sz w:val="36"/>
          <w:szCs w:val="36"/>
        </w:rPr>
      </w:pPr>
    </w:p>
    <w:p>
      <w:pPr>
        <w:tabs>
          <w:tab w:val="left" w:pos="2628"/>
        </w:tabs>
        <w:spacing w:line="360" w:lineRule="auto"/>
        <w:ind w:left="2382" w:leftChars="401" w:hanging="1540" w:hangingChars="5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rPr>
        <w:tab/>
      </w:r>
    </w:p>
    <w:p>
      <w:pPr>
        <w:tabs>
          <w:tab w:val="left" w:pos="2628"/>
        </w:tabs>
        <w:spacing w:line="360" w:lineRule="auto"/>
        <w:ind w:left="843"/>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项目</w:t>
      </w:r>
      <w:r>
        <w:rPr>
          <w:rFonts w:hint="eastAsia" w:asciiTheme="minorEastAsia" w:hAnsiTheme="minorEastAsia" w:eastAsiaTheme="minorEastAsia"/>
          <w:sz w:val="28"/>
          <w:szCs w:val="28"/>
        </w:rPr>
        <w:t>编号：</w:t>
      </w:r>
    </w:p>
    <w:p>
      <w:pPr>
        <w:spacing w:line="360" w:lineRule="auto"/>
        <w:ind w:left="1080"/>
        <w:rPr>
          <w:rFonts w:asciiTheme="minorEastAsia" w:hAnsiTheme="minorEastAsia" w:eastAsiaTheme="minorEastAsia"/>
          <w:b/>
          <w:bCs/>
          <w:sz w:val="28"/>
          <w:szCs w:val="28"/>
        </w:rPr>
      </w:pPr>
      <w:r>
        <w:rPr>
          <w:rFonts w:hint="eastAsia" w:asciiTheme="minorEastAsia" w:hAnsiTheme="minorEastAsia" w:eastAsiaTheme="minorEastAsia"/>
          <w:sz w:val="28"/>
          <w:szCs w:val="28"/>
        </w:rPr>
        <w:t xml:space="preserve">    </w:t>
      </w:r>
    </w:p>
    <w:p>
      <w:pPr>
        <w:jc w:val="center"/>
        <w:rPr>
          <w:rFonts w:asciiTheme="minorEastAsia" w:hAnsiTheme="minorEastAsia" w:eastAsiaTheme="minorEastAsia"/>
          <w:sz w:val="44"/>
          <w:szCs w:val="44"/>
        </w:rPr>
      </w:pPr>
    </w:p>
    <w:p>
      <w:pPr>
        <w:jc w:val="center"/>
        <w:rPr>
          <w:rFonts w:asciiTheme="minorEastAsia" w:hAnsiTheme="minorEastAsia" w:eastAsiaTheme="minorEastAsia"/>
          <w:sz w:val="44"/>
          <w:szCs w:val="44"/>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供应商名称：</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（公章）</w:t>
      </w:r>
    </w:p>
    <w:p>
      <w:pPr>
        <w:ind w:firstLine="2094" w:firstLineChars="745"/>
        <w:rPr>
          <w:rFonts w:asciiTheme="minorEastAsia" w:hAnsiTheme="minorEastAsia" w:eastAsiaTheme="minorEastAsia"/>
          <w:b/>
          <w:sz w:val="28"/>
          <w:szCs w:val="28"/>
        </w:rPr>
      </w:pPr>
      <w:r>
        <w:rPr>
          <w:rFonts w:hint="eastAsia" w:asciiTheme="minorEastAsia" w:hAnsiTheme="minorEastAsia" w:eastAsiaTheme="minorEastAsia"/>
          <w:b/>
          <w:sz w:val="28"/>
          <w:szCs w:val="28"/>
        </w:rPr>
        <w:t>日 期：</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月</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日</w:t>
      </w:r>
    </w:p>
    <w:p>
      <w:pPr>
        <w:spacing w:line="360" w:lineRule="auto"/>
        <w:ind w:left="1524"/>
        <w:rPr>
          <w:rFonts w:asciiTheme="minorEastAsia" w:hAnsiTheme="minorEastAsia" w:eastAsiaTheme="minorEastAsia"/>
          <w:sz w:val="24"/>
          <w:szCs w:val="24"/>
        </w:rPr>
      </w:pPr>
    </w:p>
    <w:p>
      <w:pPr>
        <w:spacing w:line="500" w:lineRule="exact"/>
        <w:jc w:val="center"/>
        <w:rPr>
          <w:rFonts w:asciiTheme="minorEastAsia" w:hAnsiTheme="minorEastAsia" w:eastAsiaTheme="minorEastAsia"/>
          <w:b/>
          <w:bCs/>
          <w:spacing w:val="4"/>
          <w:sz w:val="30"/>
          <w:szCs w:val="30"/>
        </w:rPr>
      </w:pPr>
    </w:p>
    <w:p>
      <w:pPr>
        <w:spacing w:line="500" w:lineRule="exact"/>
        <w:jc w:val="center"/>
        <w:rPr>
          <w:rFonts w:asciiTheme="minorEastAsia" w:hAnsiTheme="minorEastAsia" w:eastAsiaTheme="minorEastAsia"/>
          <w:b/>
          <w:bCs/>
          <w:spacing w:val="4"/>
          <w:sz w:val="36"/>
          <w:szCs w:val="36"/>
        </w:rPr>
      </w:pPr>
    </w:p>
    <w:p>
      <w:pPr>
        <w:spacing w:line="500" w:lineRule="exact"/>
        <w:jc w:val="center"/>
        <w:rPr>
          <w:rFonts w:asciiTheme="minorEastAsia" w:hAnsiTheme="minorEastAsia" w:eastAsiaTheme="minorEastAsia"/>
          <w:b/>
          <w:bCs/>
          <w:spacing w:val="4"/>
          <w:sz w:val="28"/>
          <w:szCs w:val="28"/>
        </w:rPr>
      </w:pPr>
    </w:p>
    <w:p>
      <w:pPr>
        <w:spacing w:line="500" w:lineRule="exact"/>
        <w:jc w:val="center"/>
        <w:rPr>
          <w:rFonts w:asciiTheme="minorEastAsia" w:hAnsiTheme="minorEastAsia" w:eastAsiaTheme="minorEastAsia"/>
          <w:b/>
          <w:bCs/>
          <w:spacing w:val="4"/>
          <w:sz w:val="28"/>
          <w:szCs w:val="28"/>
        </w:rPr>
      </w:pPr>
      <w:r>
        <w:rPr>
          <w:rFonts w:hint="eastAsia" w:asciiTheme="minorEastAsia" w:hAnsiTheme="minorEastAsia" w:eastAsiaTheme="minorEastAsia"/>
          <w:b/>
          <w:bCs/>
          <w:spacing w:val="4"/>
          <w:sz w:val="28"/>
          <w:szCs w:val="28"/>
        </w:rPr>
        <w:t>目 录</w:t>
      </w:r>
    </w:p>
    <w:p>
      <w:pPr>
        <w:spacing w:line="500" w:lineRule="exact"/>
        <w:jc w:val="center"/>
        <w:rPr>
          <w:rFonts w:asciiTheme="minorEastAsia" w:hAnsiTheme="minorEastAsia" w:eastAsiaTheme="minorEastAsia"/>
          <w:b/>
          <w:bCs/>
          <w:spacing w:val="4"/>
          <w:sz w:val="30"/>
          <w:szCs w:val="30"/>
        </w:rPr>
      </w:pPr>
    </w:p>
    <w:p>
      <w:pPr>
        <w:spacing w:line="480" w:lineRule="auto"/>
        <w:ind w:firstLine="1090" w:firstLineChars="500"/>
        <w:rPr>
          <w:rFonts w:asciiTheme="minorEastAsia" w:hAnsiTheme="minorEastAsia" w:eastAsiaTheme="minorEastAsia"/>
          <w:spacing w:val="4"/>
          <w:szCs w:val="21"/>
        </w:rPr>
      </w:pPr>
    </w:p>
    <w:p>
      <w:pPr>
        <w:spacing w:line="48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（一）法人代表授权书</w:t>
      </w:r>
    </w:p>
    <w:p>
      <w:pPr>
        <w:spacing w:line="48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（二）陕西省政府采购供应商拒绝政府采购领域商业贿赂承诺书</w:t>
      </w:r>
    </w:p>
    <w:p>
      <w:pPr>
        <w:spacing w:line="48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（三）资格证明文件</w:t>
      </w:r>
    </w:p>
    <w:p>
      <w:pPr>
        <w:spacing w:line="48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（四）谈判保证金</w:t>
      </w:r>
    </w:p>
    <w:p>
      <w:pPr>
        <w:pStyle w:val="23"/>
        <w:rPr>
          <w:rFonts w:asciiTheme="minorEastAsia" w:hAnsiTheme="minorEastAsia" w:eastAsiaTheme="minorEastAsia"/>
        </w:rPr>
      </w:pPr>
      <w:r>
        <w:rPr>
          <w:rFonts w:hint="eastAsia" w:asciiTheme="minorEastAsia" w:hAnsiTheme="minorEastAsia" w:eastAsiaTheme="minorEastAsia"/>
        </w:rPr>
        <w:br w:type="page"/>
      </w:r>
      <w:bookmarkStart w:id="65" w:name="_Toc12356"/>
      <w:bookmarkStart w:id="66" w:name="_Toc495674339"/>
      <w:r>
        <w:rPr>
          <w:rFonts w:hint="eastAsia" w:asciiTheme="minorEastAsia" w:hAnsiTheme="minorEastAsia" w:eastAsiaTheme="minorEastAsia"/>
        </w:rPr>
        <w:t>一、法人代表授权书</w:t>
      </w:r>
      <w:bookmarkEnd w:id="65"/>
      <w:bookmarkEnd w:id="66"/>
    </w:p>
    <w:p>
      <w:pPr>
        <w:spacing w:line="440" w:lineRule="exact"/>
        <w:ind w:left="-359" w:leftChars="-171" w:firstLine="496" w:firstLineChars="200"/>
        <w:jc w:val="center"/>
        <w:rPr>
          <w:rFonts w:asciiTheme="minorEastAsia" w:hAnsiTheme="minorEastAsia" w:eastAsiaTheme="minorEastAsia"/>
          <w:b/>
          <w:bCs/>
          <w:spacing w:val="4"/>
          <w:sz w:val="24"/>
          <w:szCs w:val="32"/>
        </w:rPr>
      </w:pPr>
      <w:r>
        <w:rPr>
          <w:rFonts w:hint="eastAsia" w:asciiTheme="minorEastAsia" w:hAnsiTheme="minorEastAsia" w:eastAsiaTheme="minorEastAsia"/>
          <w:spacing w:val="4"/>
          <w:sz w:val="24"/>
        </w:rPr>
        <w:t xml:space="preserve">      </w:t>
      </w:r>
      <w:r>
        <w:rPr>
          <w:rFonts w:hint="eastAsia" w:asciiTheme="minorEastAsia" w:hAnsiTheme="minorEastAsia" w:eastAsiaTheme="minorEastAsia"/>
          <w:spacing w:val="4"/>
          <w:sz w:val="24"/>
          <w:szCs w:val="32"/>
        </w:rPr>
        <w:t xml:space="preserve"> </w:t>
      </w:r>
    </w:p>
    <w:p>
      <w:pPr>
        <w:spacing w:line="440" w:lineRule="exact"/>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致：</w:t>
      </w:r>
      <w:r>
        <w:rPr>
          <w:rFonts w:hint="eastAsia" w:asciiTheme="minorEastAsia" w:hAnsiTheme="minorEastAsia" w:eastAsiaTheme="minorEastAsia"/>
          <w:spacing w:val="4"/>
          <w:szCs w:val="21"/>
          <w:u w:val="single"/>
        </w:rPr>
        <w:t xml:space="preserve">                        </w:t>
      </w:r>
      <w:r>
        <w:rPr>
          <w:rFonts w:hint="eastAsia" w:asciiTheme="minorEastAsia" w:hAnsiTheme="minorEastAsia" w:eastAsiaTheme="minorEastAsia"/>
          <w:szCs w:val="21"/>
        </w:rPr>
        <w:t>（采购人名称）</w:t>
      </w:r>
    </w:p>
    <w:p>
      <w:pPr>
        <w:spacing w:line="440" w:lineRule="exact"/>
        <w:ind w:firstLine="436" w:firstLineChars="200"/>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u w:val="single"/>
        </w:rPr>
        <w:t xml:space="preserve">(供应商名称) </w:t>
      </w:r>
      <w:r>
        <w:rPr>
          <w:rFonts w:hint="eastAsia" w:asciiTheme="minorEastAsia" w:hAnsiTheme="minorEastAsia" w:eastAsiaTheme="minorEastAsia"/>
          <w:spacing w:val="4"/>
          <w:szCs w:val="21"/>
        </w:rPr>
        <w:t>按中华人民共和国法律于</w:t>
      </w:r>
      <w:r>
        <w:rPr>
          <w:rFonts w:hint="eastAsia" w:asciiTheme="minorEastAsia" w:hAnsiTheme="minorEastAsia" w:eastAsiaTheme="minorEastAsia"/>
          <w:spacing w:val="4"/>
          <w:szCs w:val="21"/>
          <w:u w:val="single"/>
        </w:rPr>
        <w:t>（     年   月   日）</w:t>
      </w:r>
      <w:r>
        <w:rPr>
          <w:rFonts w:hint="eastAsia" w:asciiTheme="minorEastAsia" w:hAnsiTheme="minorEastAsia" w:eastAsiaTheme="minorEastAsia"/>
          <w:spacing w:val="4"/>
          <w:szCs w:val="21"/>
        </w:rPr>
        <w:t>成立。</w:t>
      </w:r>
      <w:r>
        <w:rPr>
          <w:rFonts w:hint="eastAsia" w:asciiTheme="minorEastAsia" w:hAnsiTheme="minorEastAsia" w:eastAsiaTheme="minorEastAsia"/>
          <w:spacing w:val="4"/>
          <w:szCs w:val="21"/>
          <w:u w:val="single"/>
        </w:rPr>
        <w:t xml:space="preserve"> (法定代表人姓名)</w:t>
      </w:r>
      <w:r>
        <w:rPr>
          <w:rFonts w:hint="eastAsia" w:asciiTheme="minorEastAsia" w:hAnsiTheme="minorEastAsia" w:eastAsiaTheme="minorEastAsia"/>
          <w:spacing w:val="4"/>
          <w:szCs w:val="21"/>
        </w:rPr>
        <w:t>特授权</w:t>
      </w:r>
      <w:r>
        <w:rPr>
          <w:rFonts w:hint="eastAsia" w:asciiTheme="minorEastAsia" w:hAnsiTheme="minorEastAsia" w:eastAsiaTheme="minorEastAsia"/>
          <w:spacing w:val="4"/>
          <w:szCs w:val="21"/>
          <w:u w:val="single"/>
        </w:rPr>
        <w:t>（被授权人姓名）</w:t>
      </w:r>
      <w:r>
        <w:rPr>
          <w:rFonts w:hint="eastAsia" w:asciiTheme="minorEastAsia" w:hAnsiTheme="minorEastAsia" w:eastAsiaTheme="minorEastAsia"/>
          <w:spacing w:val="4"/>
          <w:szCs w:val="21"/>
        </w:rPr>
        <w:t xml:space="preserve">代表我公司全权办理针对本次政府采购 </w:t>
      </w:r>
      <w:r>
        <w:rPr>
          <w:rFonts w:hint="eastAsia" w:asciiTheme="minorEastAsia" w:hAnsiTheme="minorEastAsia" w:eastAsiaTheme="minorEastAsia"/>
          <w:spacing w:val="4"/>
          <w:szCs w:val="21"/>
          <w:u w:val="single"/>
        </w:rPr>
        <w:t>（竞争性谈判项目名称和项目编号）</w:t>
      </w:r>
      <w:r>
        <w:rPr>
          <w:rFonts w:hint="eastAsia" w:asciiTheme="minorEastAsia" w:hAnsiTheme="minorEastAsia" w:eastAsiaTheme="minorEastAsia"/>
          <w:spacing w:val="4"/>
          <w:szCs w:val="21"/>
        </w:rPr>
        <w:t>项目的投标、谈判、签约等具体工作，并签署全部有关的文件、协议及合同。</w:t>
      </w:r>
    </w:p>
    <w:p>
      <w:pPr>
        <w:spacing w:line="440" w:lineRule="exact"/>
        <w:ind w:firstLine="436" w:firstLineChars="200"/>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我公司对被授权人的签名负全部责任。</w:t>
      </w:r>
    </w:p>
    <w:p>
      <w:pPr>
        <w:spacing w:line="440" w:lineRule="exact"/>
        <w:ind w:firstLine="436" w:firstLineChars="200"/>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本授权书于</w:t>
      </w:r>
      <w:r>
        <w:rPr>
          <w:rFonts w:hint="eastAsia" w:asciiTheme="minorEastAsia" w:hAnsiTheme="minorEastAsia" w:eastAsiaTheme="minorEastAsia"/>
          <w:spacing w:val="4"/>
          <w:szCs w:val="21"/>
          <w:u w:val="single"/>
        </w:rPr>
        <w:t xml:space="preserve">      年   月   </w:t>
      </w:r>
      <w:r>
        <w:rPr>
          <w:rFonts w:hint="eastAsia" w:asciiTheme="minorEastAsia" w:hAnsiTheme="minorEastAsia" w:eastAsiaTheme="minorEastAsia"/>
          <w:spacing w:val="4"/>
          <w:szCs w:val="21"/>
        </w:rPr>
        <w:t>日签字生效，</w:t>
      </w:r>
      <w:r>
        <w:rPr>
          <w:rFonts w:hint="eastAsia" w:asciiTheme="minorEastAsia" w:hAnsiTheme="minorEastAsia" w:eastAsiaTheme="minorEastAsia"/>
          <w:spacing w:val="4"/>
          <w:szCs w:val="21"/>
          <w:lang w:val="en-US" w:eastAsia="zh-CN"/>
        </w:rPr>
        <w:t>投标有效期</w:t>
      </w:r>
      <w:r>
        <w:rPr>
          <w:rFonts w:hint="eastAsia" w:ascii="宋体" w:hAnsi="宋体" w:eastAsia="宋体" w:cs="宋体"/>
          <w:szCs w:val="21"/>
        </w:rPr>
        <w:t>自投标截止之日算起</w:t>
      </w:r>
      <w:r>
        <w:rPr>
          <w:rFonts w:hint="eastAsia" w:asciiTheme="minorEastAsia" w:hAnsiTheme="minorEastAsia" w:eastAsiaTheme="minorEastAsia"/>
          <w:spacing w:val="4"/>
          <w:szCs w:val="21"/>
          <w:u w:val="single"/>
        </w:rPr>
        <w:t>90</w:t>
      </w:r>
      <w:r>
        <w:rPr>
          <w:rFonts w:hint="eastAsia" w:asciiTheme="minorEastAsia" w:hAnsiTheme="minorEastAsia" w:eastAsiaTheme="minorEastAsia"/>
          <w:spacing w:val="4"/>
          <w:szCs w:val="21"/>
        </w:rPr>
        <w:t>日历天，特此证明。</w:t>
      </w:r>
    </w:p>
    <w:p>
      <w:pPr>
        <w:spacing w:line="440" w:lineRule="exact"/>
        <w:ind w:firstLine="436" w:firstLineChars="200"/>
        <w:jc w:val="left"/>
        <w:rPr>
          <w:rFonts w:asciiTheme="minorEastAsia" w:hAnsiTheme="minorEastAsia" w:eastAsiaTheme="minorEastAsia"/>
          <w:spacing w:val="4"/>
          <w:szCs w:val="21"/>
        </w:rPr>
      </w:pPr>
    </w:p>
    <w:tbl>
      <w:tblPr>
        <w:tblStyle w:val="26"/>
        <w:tblW w:w="7889" w:type="dxa"/>
        <w:tblInd w:w="633" w:type="dxa"/>
        <w:tblLayout w:type="fixed"/>
        <w:tblCellMar>
          <w:top w:w="0" w:type="dxa"/>
          <w:left w:w="108" w:type="dxa"/>
          <w:bottom w:w="0" w:type="dxa"/>
          <w:right w:w="108" w:type="dxa"/>
        </w:tblCellMar>
      </w:tblPr>
      <w:tblGrid>
        <w:gridCol w:w="4045"/>
        <w:gridCol w:w="3844"/>
      </w:tblGrid>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被授权人签字：</w:t>
            </w:r>
          </w:p>
        </w:tc>
        <w:tc>
          <w:tcPr>
            <w:tcW w:w="3844" w:type="dxa"/>
          </w:tcPr>
          <w:p>
            <w:pPr>
              <w:spacing w:line="440" w:lineRule="exact"/>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法定代表人签字：</w:t>
            </w:r>
          </w:p>
        </w:tc>
      </w:tr>
      <w:tr>
        <w:tblPrEx>
          <w:tblCellMar>
            <w:top w:w="0" w:type="dxa"/>
            <w:left w:w="108" w:type="dxa"/>
            <w:bottom w:w="0" w:type="dxa"/>
            <w:right w:w="108" w:type="dxa"/>
          </w:tblCellMar>
        </w:tblPrEx>
        <w:trPr>
          <w:trHeight w:val="600" w:hRule="atLeast"/>
        </w:trPr>
        <w:tc>
          <w:tcPr>
            <w:tcW w:w="4045" w:type="dxa"/>
          </w:tcPr>
          <w:p>
            <w:pPr>
              <w:spacing w:line="440" w:lineRule="exact"/>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职务：</w:t>
            </w:r>
          </w:p>
        </w:tc>
        <w:tc>
          <w:tcPr>
            <w:tcW w:w="3844" w:type="dxa"/>
          </w:tcPr>
          <w:p>
            <w:pPr>
              <w:spacing w:line="440" w:lineRule="exact"/>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职务：</w:t>
            </w:r>
          </w:p>
        </w:tc>
      </w:tr>
      <w:tr>
        <w:tblPrEx>
          <w:tblCellMar>
            <w:top w:w="0" w:type="dxa"/>
            <w:left w:w="108" w:type="dxa"/>
            <w:bottom w:w="0" w:type="dxa"/>
            <w:right w:w="108" w:type="dxa"/>
          </w:tblCellMar>
        </w:tblPrEx>
        <w:trPr>
          <w:trHeight w:val="600" w:hRule="atLeast"/>
        </w:trPr>
        <w:tc>
          <w:tcPr>
            <w:tcW w:w="4045" w:type="dxa"/>
          </w:tcPr>
          <w:p>
            <w:pPr>
              <w:spacing w:line="440" w:lineRule="exact"/>
              <w:jc w:val="left"/>
              <w:rPr>
                <w:rFonts w:hint="default" w:asciiTheme="minorEastAsia" w:hAnsiTheme="minorEastAsia" w:eastAsiaTheme="minorEastAsia"/>
                <w:spacing w:val="4"/>
                <w:szCs w:val="21"/>
                <w:lang w:val="en-US" w:eastAsia="zh-CN"/>
              </w:rPr>
            </w:pPr>
            <w:r>
              <w:rPr>
                <w:rFonts w:hint="eastAsia" w:asciiTheme="minorEastAsia" w:hAnsiTheme="minorEastAsia" w:eastAsiaTheme="minorEastAsia"/>
                <w:spacing w:val="4"/>
                <w:szCs w:val="21"/>
                <w:lang w:val="en-US" w:eastAsia="zh-CN"/>
              </w:rPr>
              <w:t>联系电话：</w:t>
            </w:r>
          </w:p>
        </w:tc>
        <w:tc>
          <w:tcPr>
            <w:tcW w:w="3844" w:type="dxa"/>
          </w:tcPr>
          <w:p>
            <w:pPr>
              <w:spacing w:line="440" w:lineRule="exact"/>
              <w:jc w:val="left"/>
              <w:rPr>
                <w:rFonts w:asciiTheme="minorEastAsia" w:hAnsiTheme="minorEastAsia" w:eastAsiaTheme="minorEastAsia"/>
                <w:spacing w:val="4"/>
                <w:szCs w:val="21"/>
              </w:rPr>
            </w:pPr>
          </w:p>
        </w:tc>
      </w:tr>
    </w:tbl>
    <w:p>
      <w:pPr>
        <w:spacing w:line="440" w:lineRule="exact"/>
        <w:ind w:firstLine="436" w:firstLineChars="200"/>
        <w:jc w:val="left"/>
        <w:rPr>
          <w:rFonts w:asciiTheme="minorEastAsia" w:hAnsiTheme="minorEastAsia" w:eastAsiaTheme="minorEastAsia"/>
          <w:spacing w:val="4"/>
          <w:szCs w:val="21"/>
        </w:rPr>
      </w:pPr>
    </w:p>
    <w:p>
      <w:pPr>
        <w:spacing w:line="240" w:lineRule="auto"/>
        <w:ind w:firstLine="510"/>
        <w:rPr>
          <w:rFonts w:asciiTheme="minorEastAsia" w:hAnsiTheme="minorEastAsia" w:eastAsiaTheme="minorEastAsia"/>
          <w:spacing w:val="4"/>
          <w:szCs w:val="21"/>
        </w:rPr>
      </w:pPr>
      <w:r>
        <w:rPr>
          <w:rFonts w:hint="eastAsia" w:asciiTheme="minorEastAsia" w:hAnsiTheme="minorEastAsia" w:eastAsiaTheme="minorEastAsia"/>
          <w:spacing w:val="4"/>
          <w:szCs w:val="21"/>
        </w:rPr>
        <w:t>附：法定代表人、被授权人身份证复印件</w:t>
      </w:r>
    </w:p>
    <w:p>
      <w:pPr>
        <w:spacing w:line="240" w:lineRule="auto"/>
        <w:ind w:firstLine="510"/>
        <w:rPr>
          <w:rFonts w:asciiTheme="minorEastAsia" w:hAnsiTheme="minorEastAsia" w:eastAsiaTheme="minorEastAsia"/>
          <w:spacing w:val="4"/>
          <w:szCs w:val="21"/>
        </w:rPr>
      </w:pPr>
    </w:p>
    <w:p>
      <w:pPr>
        <w:spacing w:line="240" w:lineRule="auto"/>
        <w:rPr>
          <w:rFonts w:asciiTheme="minorEastAsia" w:hAnsiTheme="minorEastAsia" w:eastAsiaTheme="minorEastAsia"/>
          <w:spacing w:val="4"/>
          <w:szCs w:val="21"/>
        </w:rPr>
      </w:pPr>
    </w:p>
    <w:p>
      <w:pPr>
        <w:spacing w:line="240" w:lineRule="auto"/>
        <w:ind w:firstLine="545" w:firstLineChars="250"/>
      </w:pPr>
      <w:r>
        <w:rPr>
          <w:rFonts w:hint="eastAsia" w:asciiTheme="minorEastAsia" w:hAnsiTheme="minorEastAsia" w:eastAsiaTheme="minorEastAsia"/>
          <w:spacing w:val="4"/>
          <w:szCs w:val="21"/>
        </w:rPr>
        <w:t>供应商名称：</w:t>
      </w:r>
    </w:p>
    <w:p>
      <w:pPr>
        <w:spacing w:line="240" w:lineRule="auto"/>
        <w:ind w:firstLine="545" w:firstLineChars="250"/>
        <w:rPr>
          <w:rFonts w:hint="eastAsia" w:asciiTheme="minorEastAsia" w:hAnsiTheme="minorEastAsia" w:eastAsiaTheme="minorEastAsia"/>
          <w:spacing w:val="4"/>
          <w:szCs w:val="21"/>
        </w:rPr>
      </w:pPr>
    </w:p>
    <w:p>
      <w:pPr>
        <w:spacing w:line="240" w:lineRule="auto"/>
        <w:ind w:firstLine="545" w:firstLineChars="250"/>
        <w:rPr>
          <w:rFonts w:asciiTheme="minorEastAsia" w:hAnsiTheme="minorEastAsia" w:eastAsiaTheme="minorEastAsia"/>
          <w:spacing w:val="4"/>
          <w:szCs w:val="21"/>
        </w:rPr>
      </w:pPr>
      <w:r>
        <w:rPr>
          <w:rFonts w:hint="eastAsia" w:asciiTheme="minorEastAsia" w:hAnsiTheme="minorEastAsia" w:eastAsiaTheme="minorEastAsia"/>
          <w:spacing w:val="4"/>
          <w:szCs w:val="21"/>
        </w:rPr>
        <w:t>公章：</w:t>
      </w:r>
    </w:p>
    <w:p>
      <w:pPr>
        <w:spacing w:line="440" w:lineRule="exact"/>
        <w:ind w:firstLine="5250"/>
        <w:rPr>
          <w:rFonts w:asciiTheme="minorEastAsia" w:hAnsiTheme="minorEastAsia" w:eastAsiaTheme="minorEastAsia"/>
          <w:spacing w:val="4"/>
          <w:sz w:val="24"/>
          <w:szCs w:val="30"/>
        </w:rPr>
      </w:pPr>
    </w:p>
    <w:p>
      <w:pPr>
        <w:spacing w:line="240" w:lineRule="auto"/>
        <w:ind w:firstLine="545" w:firstLineChars="250"/>
        <w:rPr>
          <w:rFonts w:hint="default" w:cs="Times New Roman" w:asciiTheme="minorEastAsia" w:hAnsiTheme="minorEastAsia" w:eastAsiaTheme="minorEastAsia"/>
          <w:spacing w:val="4"/>
          <w:szCs w:val="21"/>
          <w:lang w:val="en-US" w:eastAsia="zh-CN"/>
        </w:rPr>
      </w:pPr>
      <w:r>
        <w:rPr>
          <w:rFonts w:hint="eastAsia" w:cs="Times New Roman" w:asciiTheme="minorEastAsia" w:hAnsiTheme="minorEastAsia" w:eastAsiaTheme="minorEastAsia"/>
          <w:spacing w:val="4"/>
          <w:szCs w:val="21"/>
          <w:lang w:val="en-US" w:eastAsia="zh-CN"/>
        </w:rPr>
        <w:t>日期：</w:t>
      </w:r>
    </w:p>
    <w:p>
      <w:pPr>
        <w:pStyle w:val="23"/>
        <w:jc w:val="center"/>
        <w:rPr>
          <w:rFonts w:asciiTheme="minorEastAsia" w:hAnsiTheme="minorEastAsia" w:eastAsiaTheme="minorEastAsia"/>
        </w:rPr>
      </w:pPr>
      <w:r>
        <w:rPr>
          <w:rFonts w:hint="eastAsia" w:asciiTheme="minorEastAsia" w:hAnsiTheme="minorEastAsia" w:eastAsiaTheme="minorEastAsia"/>
          <w:szCs w:val="36"/>
        </w:rPr>
        <w:br w:type="page"/>
      </w:r>
      <w:bookmarkStart w:id="67" w:name="_Toc495674340"/>
      <w:bookmarkStart w:id="68" w:name="_Toc21502"/>
      <w:r>
        <w:rPr>
          <w:rFonts w:hint="eastAsia" w:asciiTheme="minorEastAsia" w:hAnsiTheme="minorEastAsia" w:eastAsiaTheme="minorEastAsia"/>
        </w:rPr>
        <w:t>二、陕西省政府采购供应商</w:t>
      </w:r>
      <w:bookmarkEnd w:id="67"/>
      <w:bookmarkEnd w:id="68"/>
    </w:p>
    <w:p>
      <w:pPr>
        <w:pStyle w:val="23"/>
        <w:rPr>
          <w:rFonts w:asciiTheme="minorEastAsia" w:hAnsiTheme="minorEastAsia" w:eastAsiaTheme="minorEastAsia"/>
        </w:rPr>
      </w:pPr>
      <w:bookmarkStart w:id="69" w:name="_Toc6575"/>
      <w:bookmarkStart w:id="70" w:name="_Toc495674341"/>
      <w:r>
        <w:rPr>
          <w:rFonts w:hint="eastAsia" w:asciiTheme="minorEastAsia" w:hAnsiTheme="minorEastAsia" w:eastAsiaTheme="minorEastAsia"/>
        </w:rPr>
        <w:t>拒绝政府采购领域商业贿赂承诺书</w:t>
      </w:r>
      <w:bookmarkEnd w:id="69"/>
      <w:bookmarkEnd w:id="70"/>
    </w:p>
    <w:p>
      <w:pPr>
        <w:widowControl/>
        <w:spacing w:line="408" w:lineRule="auto"/>
        <w:ind w:left="239" w:leftChars="114" w:firstLine="470" w:firstLineChars="196"/>
        <w:jc w:val="left"/>
        <w:rPr>
          <w:rFonts w:cs="宋体" w:asciiTheme="minorEastAsia" w:hAnsiTheme="minorEastAsia" w:eastAsiaTheme="minorEastAsia"/>
          <w:kern w:val="0"/>
          <w:sz w:val="24"/>
        </w:rPr>
      </w:pPr>
    </w:p>
    <w:p>
      <w:pPr>
        <w:widowControl/>
        <w:spacing w:line="360" w:lineRule="auto"/>
        <w:ind w:left="239" w:leftChars="114" w:firstLine="411" w:firstLineChars="196"/>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为响应党中央、国务院关于治理政府采购领域商业贿赂行为的号召，我公司在此庄严承诺：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1、在参与政府采购活动中遵纪守法、诚信经营、公平竞标。</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2、不向政府采购人、采购代理机构和政府采购评审专家进行任何形式的商业贿赂以谋取交易机会。</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3、不向政府采购代理机构和采购人提供虚假资质文件或采用虚假应标方式参与政府采购市场竞争并谋取成交、成交。</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4、不采取“围标、陪标”等商业欺诈手段获得政府采购定单。</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5、不采取不正当手段诋毁、排挤其他供应商。</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6、不在提供商品和服务时“偷梁换柱、以次充好”损害采购人的合法权益。</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7、不与采购人、采购代理机构政府采购评审专家或其它供应商恶意串通，进行质疑和投诉，维护政府采购市场秩序。</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8、尊重和接受政府采购监督管理部门的监督和政府采购代理机构竞争性谈判采购要求，承担因违约行为给采购人造成的损失。</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9、不发生其他有悖于政府采购公开、公平、公正和诚信原则的行为。</w:t>
      </w:r>
      <w:r>
        <w:rPr>
          <w:rFonts w:hint="eastAsia" w:cs="宋体" w:asciiTheme="minorEastAsia" w:hAnsiTheme="minorEastAsia" w:eastAsiaTheme="minorEastAsia"/>
          <w:kern w:val="0"/>
          <w:szCs w:val="21"/>
        </w:rPr>
        <w:br w:type="textWrapping"/>
      </w:r>
    </w:p>
    <w:p>
      <w:pPr>
        <w:widowControl/>
        <w:spacing w:line="360" w:lineRule="auto"/>
        <w:ind w:left="239" w:leftChars="114" w:firstLine="411" w:firstLineChars="196"/>
        <w:jc w:val="left"/>
        <w:rPr>
          <w:rFonts w:cs="宋体" w:asciiTheme="minorEastAsia" w:hAnsiTheme="minorEastAsia" w:eastAsiaTheme="minorEastAsia"/>
          <w:kern w:val="0"/>
          <w:szCs w:val="21"/>
        </w:rPr>
      </w:pPr>
    </w:p>
    <w:p>
      <w:pPr>
        <w:spacing w:line="60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供应商名称：</w:t>
      </w:r>
    </w:p>
    <w:p>
      <w:pPr>
        <w:spacing w:line="600" w:lineRule="auto"/>
        <w:ind w:left="210" w:leftChars="0" w:firstLine="210" w:firstLineChars="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公章：</w:t>
      </w:r>
    </w:p>
    <w:p>
      <w:pPr>
        <w:spacing w:line="600" w:lineRule="auto"/>
        <w:ind w:left="420" w:left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授权代表人签字：</w:t>
      </w:r>
    </w:p>
    <w:p>
      <w:pPr>
        <w:bidi w:val="0"/>
        <w:ind w:firstLine="420" w:firstLineChars="200"/>
        <w:rPr>
          <w:rFonts w:hint="eastAsia" w:cs="宋体" w:asciiTheme="minorEastAsia" w:hAnsiTheme="minorEastAsia" w:eastAsiaTheme="minorEastAsia"/>
          <w:b w:val="0"/>
          <w:bCs w:val="0"/>
          <w:kern w:val="0"/>
          <w:sz w:val="21"/>
          <w:szCs w:val="21"/>
          <w:lang w:val="en-US" w:eastAsia="zh-CN" w:bidi="ar-SA"/>
        </w:rPr>
      </w:pPr>
    </w:p>
    <w:p>
      <w:pPr>
        <w:bidi w:val="0"/>
        <w:ind w:firstLine="420" w:firstLineChars="200"/>
        <w:rPr>
          <w:rFonts w:asciiTheme="minorEastAsia" w:hAnsiTheme="minorEastAsia" w:eastAsiaTheme="minorEastAsia"/>
        </w:rPr>
      </w:pPr>
      <w:r>
        <w:rPr>
          <w:rFonts w:hint="eastAsia" w:cs="宋体" w:asciiTheme="minorEastAsia" w:hAnsiTheme="minorEastAsia" w:eastAsiaTheme="minorEastAsia"/>
          <w:b w:val="0"/>
          <w:bCs w:val="0"/>
          <w:kern w:val="0"/>
          <w:sz w:val="21"/>
          <w:szCs w:val="21"/>
          <w:lang w:val="en-US" w:eastAsia="zh-CN" w:bidi="ar-SA"/>
        </w:rPr>
        <w:t>日期：</w:t>
      </w:r>
      <w:r>
        <w:rPr>
          <w:rFonts w:hint="eastAsia" w:cs="宋体" w:asciiTheme="minorEastAsia" w:hAnsiTheme="minorEastAsia" w:eastAsiaTheme="minorEastAsia"/>
          <w:kern w:val="0"/>
          <w:sz w:val="24"/>
        </w:rPr>
        <w:br w:type="page"/>
      </w:r>
      <w:bookmarkStart w:id="71" w:name="_Toc495674342"/>
      <w:bookmarkStart w:id="72" w:name="_Toc3117"/>
      <w:r>
        <w:rPr>
          <w:rFonts w:hint="eastAsia" w:asciiTheme="minorEastAsia" w:hAnsiTheme="minorEastAsia" w:eastAsiaTheme="minorEastAsia"/>
        </w:rPr>
        <w:t>三、资格证明文件</w:t>
      </w:r>
      <w:bookmarkEnd w:id="71"/>
      <w:bookmarkEnd w:id="72"/>
      <w:r>
        <w:rPr>
          <w:rFonts w:hint="eastAsia" w:asciiTheme="minorEastAsia" w:hAnsiTheme="minorEastAsia" w:eastAsiaTheme="minorEastAsia"/>
        </w:rPr>
        <w:t xml:space="preserve"> </w:t>
      </w:r>
    </w:p>
    <w:p>
      <w:pPr>
        <w:spacing w:before="240" w:afterLines="50" w:line="440" w:lineRule="exact"/>
        <w:rPr>
          <w:rFonts w:asciiTheme="minorEastAsia" w:hAnsiTheme="minorEastAsia" w:eastAsiaTheme="minorEastAsia"/>
          <w:b/>
          <w:szCs w:val="21"/>
        </w:rPr>
      </w:pPr>
      <w:r>
        <w:rPr>
          <w:rFonts w:hint="eastAsia" w:asciiTheme="minorEastAsia" w:hAnsiTheme="minorEastAsia" w:eastAsiaTheme="minorEastAsia"/>
          <w:b/>
          <w:szCs w:val="21"/>
        </w:rPr>
        <w:t>13.1 供应商资格证明文件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供应商根据竞争性谈判文件第二章响应供应商须知前附表第3.5.1的要求，提供所有资格证明文件的复印件并加盖单位公章。</w:t>
      </w:r>
    </w:p>
    <w:p>
      <w:pPr>
        <w:spacing w:before="240" w:line="440" w:lineRule="exact"/>
        <w:rPr>
          <w:rFonts w:hint="eastAsia" w:ascii="宋体" w:hAnsi="宋体" w:eastAsia="宋体" w:cs="宋体"/>
          <w:b/>
          <w:szCs w:val="21"/>
        </w:rPr>
      </w:pPr>
      <w:r>
        <w:rPr>
          <w:rFonts w:hint="eastAsia" w:ascii="宋体" w:hAnsi="宋体" w:eastAsia="宋体" w:cs="宋体"/>
          <w:b/>
          <w:szCs w:val="21"/>
        </w:rPr>
        <w:t>13.2 其他证明文件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1）以上资格证明文件供应商必须完全提供，一项不合格即按照无效投标处理。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2）除注明原件外，均为复印件并须加盖供应商公章。（注：以上要求供应商提供的资格证明文件，均为复印件并须加盖供应商公章。注明原件的，同时需要提交资格证明文件原件）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供应商应按照竞争性</w:t>
      </w:r>
      <w:r>
        <w:rPr>
          <w:rFonts w:hint="eastAsia" w:ascii="宋体" w:hAnsi="宋体" w:cs="宋体"/>
          <w:szCs w:val="21"/>
          <w:lang w:eastAsia="zh-CN"/>
        </w:rPr>
        <w:t>谈判</w:t>
      </w:r>
      <w:r>
        <w:rPr>
          <w:rFonts w:hint="eastAsia" w:ascii="宋体" w:hAnsi="宋体" w:eastAsia="宋体" w:cs="宋体"/>
          <w:szCs w:val="21"/>
        </w:rPr>
        <w:t>文件的要求自行准备以上证明文件并编目、封装。</w:t>
      </w:r>
    </w:p>
    <w:p>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提供未被列入“信用中国”网站(www.creditchina.gov.cn)、中国政府采购网(www.ccgp.gov.cn)等渠道的失信被执行人、重大税收违法案件当事人名单、政府采购严重违法失信行为记录名单，后附网页截图并加盖供应商公章（网页截图时间为竞争性</w:t>
      </w:r>
      <w:r>
        <w:rPr>
          <w:rFonts w:hint="eastAsia" w:ascii="宋体" w:hAnsi="宋体" w:cs="宋体"/>
          <w:szCs w:val="21"/>
          <w:lang w:eastAsia="zh-CN"/>
        </w:rPr>
        <w:t>谈判</w:t>
      </w:r>
      <w:r>
        <w:rPr>
          <w:rFonts w:hint="eastAsia" w:ascii="宋体" w:hAnsi="宋体" w:eastAsia="宋体" w:cs="宋体"/>
          <w:szCs w:val="21"/>
        </w:rPr>
        <w:t>文件发售之日起）</w:t>
      </w:r>
    </w:p>
    <w:p>
      <w:pPr>
        <w:pStyle w:val="2"/>
        <w:rPr>
          <w:rFonts w:hint="eastAsia"/>
        </w:rPr>
      </w:pPr>
    </w:p>
    <w:p>
      <w:pPr>
        <w:spacing w:line="360" w:lineRule="auto"/>
        <w:ind w:left="1"/>
        <w:rPr>
          <w:rFonts w:asciiTheme="minorEastAsia" w:hAnsiTheme="minorEastAsia" w:eastAsiaTheme="minorEastAsia"/>
          <w:b/>
          <w:sz w:val="36"/>
          <w:szCs w:val="36"/>
        </w:rPr>
      </w:pPr>
      <w:r>
        <w:rPr>
          <w:rFonts w:hint="eastAsia" w:asciiTheme="minorEastAsia" w:hAnsiTheme="minorEastAsia" w:eastAsiaTheme="minorEastAsia"/>
          <w:b/>
          <w:sz w:val="30"/>
          <w:szCs w:val="30"/>
        </w:rPr>
        <w:br w:type="page"/>
      </w:r>
      <w:r>
        <w:rPr>
          <w:rFonts w:hint="eastAsia" w:asciiTheme="minorEastAsia" w:hAnsiTheme="minorEastAsia" w:eastAsiaTheme="minorEastAsia"/>
          <w:b/>
          <w:sz w:val="24"/>
          <w:szCs w:val="24"/>
        </w:rPr>
        <w:t xml:space="preserve">附件1： </w:t>
      </w:r>
    </w:p>
    <w:p>
      <w:pPr>
        <w:spacing w:line="360" w:lineRule="auto"/>
        <w:ind w:left="1"/>
        <w:jc w:val="center"/>
        <w:rPr>
          <w:rFonts w:asciiTheme="minorEastAsia" w:hAnsiTheme="minorEastAsia" w:eastAsiaTheme="minorEastAsia"/>
          <w:b/>
          <w:sz w:val="36"/>
          <w:szCs w:val="36"/>
        </w:rPr>
      </w:pPr>
    </w:p>
    <w:p>
      <w:pPr>
        <w:pStyle w:val="23"/>
        <w:rPr>
          <w:rFonts w:asciiTheme="minorEastAsia" w:hAnsiTheme="minorEastAsia" w:eastAsiaTheme="minorEastAsia"/>
        </w:rPr>
      </w:pPr>
      <w:bookmarkStart w:id="73" w:name="_Toc495674343"/>
      <w:bookmarkStart w:id="74" w:name="_Toc10099"/>
      <w:r>
        <w:rPr>
          <w:rFonts w:hint="eastAsia" w:asciiTheme="minorEastAsia" w:hAnsiTheme="minorEastAsia" w:eastAsiaTheme="minorEastAsia"/>
        </w:rPr>
        <w:t>供应商无重大违法记录的书面声明</w:t>
      </w:r>
      <w:bookmarkEnd w:id="73"/>
      <w:bookmarkEnd w:id="74"/>
    </w:p>
    <w:p>
      <w:pPr>
        <w:bidi w:val="0"/>
      </w:pPr>
    </w:p>
    <w:p>
      <w:pPr>
        <w:spacing w:line="360" w:lineRule="auto"/>
        <w:rPr>
          <w:rFonts w:asciiTheme="minorEastAsia" w:hAnsiTheme="minorEastAsia" w:eastAsiaTheme="minorEastAsia"/>
          <w:spacing w:val="4"/>
          <w:szCs w:val="21"/>
        </w:rPr>
      </w:pPr>
      <w:r>
        <w:rPr>
          <w:rFonts w:hint="eastAsia" w:asciiTheme="minorEastAsia" w:hAnsiTheme="minorEastAsia" w:eastAsiaTheme="minorEastAsia"/>
          <w:spacing w:val="4"/>
          <w:szCs w:val="21"/>
        </w:rPr>
        <w:t>致：</w:t>
      </w:r>
      <w:r>
        <w:rPr>
          <w:rFonts w:hint="eastAsia" w:asciiTheme="minorEastAsia" w:hAnsiTheme="minorEastAsia" w:eastAsiaTheme="minorEastAsia"/>
          <w:spacing w:val="4"/>
          <w:szCs w:val="21"/>
          <w:u w:val="single"/>
        </w:rPr>
        <w:t xml:space="preserve">     （采购人名称）    </w:t>
      </w:r>
      <w:r>
        <w:rPr>
          <w:rFonts w:hint="eastAsia" w:asciiTheme="minorEastAsia" w:hAnsiTheme="minorEastAsia" w:eastAsiaTheme="minorEastAsia"/>
          <w:spacing w:val="4"/>
          <w:szCs w:val="21"/>
        </w:rPr>
        <w:t>：</w:t>
      </w:r>
    </w:p>
    <w:p>
      <w:pPr>
        <w:spacing w:beforeLines="100" w:afterLines="50" w:line="360" w:lineRule="auto"/>
        <w:rPr>
          <w:rFonts w:asciiTheme="minorEastAsia" w:hAnsiTheme="minorEastAsia" w:eastAsiaTheme="minorEastAsia"/>
          <w:spacing w:val="4"/>
          <w:szCs w:val="21"/>
        </w:rPr>
      </w:pPr>
      <w:r>
        <w:rPr>
          <w:rFonts w:hint="eastAsia" w:asciiTheme="minorEastAsia" w:hAnsiTheme="minorEastAsia" w:eastAsiaTheme="minorEastAsia"/>
          <w:spacing w:val="4"/>
          <w:szCs w:val="21"/>
        </w:rPr>
        <w:t xml:space="preserve">    （-------公司）为在中华人民共和国境内合法注册并经营的机构。在此郑重声明，我公司在参与本次政府采购活动前3年内（</w:t>
      </w:r>
      <w:r>
        <w:rPr>
          <w:rFonts w:hint="eastAsia" w:asciiTheme="minorEastAsia" w:hAnsiTheme="minorEastAsia" w:eastAsiaTheme="minorEastAsia"/>
          <w:spacing w:val="4"/>
          <w:szCs w:val="21"/>
          <w:lang w:eastAsia="zh-CN"/>
        </w:rPr>
        <w:t>201</w:t>
      </w:r>
      <w:r>
        <w:rPr>
          <w:rFonts w:hint="eastAsia" w:asciiTheme="minorEastAsia" w:hAnsiTheme="minorEastAsia" w:eastAsiaTheme="minorEastAsia"/>
          <w:spacing w:val="4"/>
          <w:szCs w:val="21"/>
          <w:lang w:val="en-US" w:eastAsia="zh-CN"/>
        </w:rPr>
        <w:t>9</w:t>
      </w:r>
      <w:r>
        <w:rPr>
          <w:rFonts w:hint="eastAsia" w:asciiTheme="minorEastAsia" w:hAnsiTheme="minorEastAsia" w:eastAsiaTheme="minorEastAsia"/>
          <w:spacing w:val="4"/>
          <w:szCs w:val="21"/>
          <w:lang w:eastAsia="zh-CN"/>
        </w:rPr>
        <w:t>年</w:t>
      </w:r>
      <w:r>
        <w:rPr>
          <w:rFonts w:hint="eastAsia" w:asciiTheme="minorEastAsia" w:hAnsiTheme="minorEastAsia" w:eastAsiaTheme="minorEastAsia"/>
          <w:spacing w:val="4"/>
          <w:szCs w:val="21"/>
          <w:lang w:val="en-US" w:eastAsia="zh-CN"/>
        </w:rPr>
        <w:t>6</w:t>
      </w:r>
      <w:r>
        <w:rPr>
          <w:rFonts w:hint="eastAsia" w:asciiTheme="minorEastAsia" w:hAnsiTheme="minorEastAsia" w:eastAsiaTheme="minorEastAsia"/>
          <w:spacing w:val="4"/>
          <w:szCs w:val="21"/>
          <w:lang w:eastAsia="zh-CN"/>
        </w:rPr>
        <w:t>月</w:t>
      </w:r>
      <w:r>
        <w:rPr>
          <w:rFonts w:hint="eastAsia" w:asciiTheme="minorEastAsia" w:hAnsiTheme="minorEastAsia" w:eastAsiaTheme="minorEastAsia"/>
          <w:spacing w:val="4"/>
          <w:szCs w:val="21"/>
        </w:rPr>
        <w:t>至今）在经营活动中没有重大违法记录。</w:t>
      </w:r>
    </w:p>
    <w:p>
      <w:pPr>
        <w:spacing w:beforeLines="100" w:afterLines="50" w:line="360" w:lineRule="auto"/>
        <w:ind w:firstLine="170"/>
        <w:rPr>
          <w:rFonts w:asciiTheme="minorEastAsia" w:hAnsiTheme="minorEastAsia" w:eastAsiaTheme="minorEastAsia"/>
          <w:spacing w:val="4"/>
          <w:szCs w:val="21"/>
        </w:rPr>
      </w:pPr>
    </w:p>
    <w:p>
      <w:pPr>
        <w:spacing w:beforeLines="100" w:afterLines="50" w:line="360" w:lineRule="auto"/>
        <w:ind w:firstLine="170"/>
        <w:rPr>
          <w:rFonts w:asciiTheme="minorEastAsia" w:hAnsiTheme="minorEastAsia" w:eastAsiaTheme="minorEastAsia"/>
          <w:spacing w:val="4"/>
          <w:szCs w:val="21"/>
        </w:rPr>
      </w:pPr>
    </w:p>
    <w:p>
      <w:pPr>
        <w:spacing w:beforeLines="100" w:afterLines="50" w:line="360" w:lineRule="auto"/>
        <w:ind w:firstLine="170"/>
        <w:rPr>
          <w:rFonts w:asciiTheme="minorEastAsia" w:hAnsiTheme="minorEastAsia" w:eastAsiaTheme="minorEastAsia"/>
          <w:spacing w:val="4"/>
          <w:szCs w:val="21"/>
        </w:rPr>
      </w:pPr>
    </w:p>
    <w:p>
      <w:pPr>
        <w:spacing w:beforeLines="100" w:afterLines="50" w:line="360" w:lineRule="auto"/>
        <w:ind w:firstLine="170"/>
        <w:rPr>
          <w:rFonts w:asciiTheme="minorEastAsia" w:hAnsiTheme="minorEastAsia" w:eastAsiaTheme="minorEastAsia"/>
          <w:spacing w:val="4"/>
          <w:szCs w:val="21"/>
        </w:rPr>
      </w:pPr>
    </w:p>
    <w:p>
      <w:pPr>
        <w:spacing w:beforeLines="100" w:afterLines="50" w:line="360" w:lineRule="auto"/>
        <w:ind w:firstLine="3270" w:firstLineChars="1500"/>
        <w:jc w:val="left"/>
        <w:rPr>
          <w:rFonts w:cs="宋体" w:asciiTheme="minorEastAsia" w:hAnsiTheme="minorEastAsia" w:eastAsiaTheme="minorEastAsia"/>
          <w:spacing w:val="14"/>
          <w:kern w:val="0"/>
          <w:szCs w:val="21"/>
        </w:rPr>
      </w:pPr>
      <w:r>
        <w:rPr>
          <w:rFonts w:hint="eastAsia" w:asciiTheme="minorEastAsia" w:hAnsiTheme="minorEastAsia" w:eastAsiaTheme="minorEastAsia"/>
          <w:spacing w:val="4"/>
          <w:szCs w:val="21"/>
        </w:rPr>
        <w:t>供应商名称（盖章）：</w:t>
      </w:r>
      <w:r>
        <w:rPr>
          <w:rFonts w:hint="eastAsia" w:asciiTheme="minorEastAsia" w:hAnsiTheme="minorEastAsia" w:eastAsiaTheme="minorEastAsia"/>
          <w:spacing w:val="4"/>
          <w:szCs w:val="21"/>
          <w:u w:val="single"/>
        </w:rPr>
        <w:t xml:space="preserve">             </w:t>
      </w:r>
      <w:r>
        <w:rPr>
          <w:rFonts w:hint="eastAsia" w:cs="宋体" w:asciiTheme="minorEastAsia" w:hAnsiTheme="minorEastAsia" w:eastAsiaTheme="minorEastAsia"/>
          <w:spacing w:val="14"/>
          <w:kern w:val="0"/>
          <w:szCs w:val="21"/>
          <w:u w:val="single"/>
        </w:rPr>
        <w:t>（单位全称</w:t>
      </w:r>
      <w:r>
        <w:rPr>
          <w:rFonts w:hint="eastAsia" w:cs="宋体" w:asciiTheme="minorEastAsia" w:hAnsiTheme="minorEastAsia" w:eastAsiaTheme="minorEastAsia"/>
          <w:spacing w:val="14"/>
          <w:kern w:val="0"/>
          <w:szCs w:val="21"/>
        </w:rPr>
        <w:t>）</w:t>
      </w:r>
    </w:p>
    <w:p>
      <w:pPr>
        <w:spacing w:beforeLines="100" w:afterLines="50" w:line="360" w:lineRule="auto"/>
        <w:ind w:firstLine="3379" w:firstLineChars="1550"/>
        <w:jc w:val="left"/>
        <w:rPr>
          <w:rFonts w:asciiTheme="minorEastAsia" w:hAnsiTheme="minorEastAsia" w:eastAsiaTheme="minorEastAsia"/>
          <w:spacing w:val="4"/>
          <w:szCs w:val="21"/>
        </w:rPr>
      </w:pPr>
      <w:r>
        <w:rPr>
          <w:rFonts w:hint="eastAsia" w:asciiTheme="minorEastAsia" w:hAnsiTheme="minorEastAsia" w:eastAsiaTheme="minorEastAsia"/>
          <w:spacing w:val="4"/>
          <w:szCs w:val="21"/>
        </w:rPr>
        <w:t>法定代表人（签字或盖章） ：</w:t>
      </w:r>
      <w:r>
        <w:rPr>
          <w:rFonts w:hint="eastAsia" w:asciiTheme="minorEastAsia" w:hAnsiTheme="minorEastAsia" w:eastAsiaTheme="minorEastAsia"/>
          <w:spacing w:val="4"/>
          <w:szCs w:val="21"/>
          <w:u w:val="single"/>
        </w:rPr>
        <w:t xml:space="preserve">                </w:t>
      </w:r>
    </w:p>
    <w:p>
      <w:pPr>
        <w:spacing w:line="360" w:lineRule="auto"/>
        <w:ind w:left="1"/>
        <w:jc w:val="center"/>
        <w:rPr>
          <w:rFonts w:asciiTheme="minorEastAsia" w:hAnsiTheme="minorEastAsia" w:eastAsiaTheme="minorEastAsia"/>
          <w:spacing w:val="4"/>
          <w:szCs w:val="21"/>
        </w:rPr>
      </w:pPr>
      <w:r>
        <w:rPr>
          <w:rFonts w:hint="eastAsia" w:asciiTheme="minorEastAsia" w:hAnsiTheme="minorEastAsia" w:eastAsiaTheme="minorEastAsia"/>
          <w:spacing w:val="4"/>
          <w:szCs w:val="21"/>
        </w:rPr>
        <w:t xml:space="preserve">                                    </w:t>
      </w:r>
    </w:p>
    <w:p>
      <w:pPr>
        <w:spacing w:line="360" w:lineRule="auto"/>
        <w:ind w:left="1"/>
        <w:jc w:val="center"/>
        <w:rPr>
          <w:rFonts w:asciiTheme="minorEastAsia" w:hAnsiTheme="minorEastAsia" w:eastAsiaTheme="minorEastAsia"/>
          <w:spacing w:val="4"/>
          <w:szCs w:val="21"/>
        </w:rPr>
      </w:pPr>
      <w:r>
        <w:rPr>
          <w:rFonts w:hint="eastAsia" w:asciiTheme="minorEastAsia" w:hAnsiTheme="minorEastAsia" w:eastAsiaTheme="minorEastAsia"/>
          <w:spacing w:val="4"/>
          <w:szCs w:val="21"/>
        </w:rPr>
        <w:t xml:space="preserve">        </w:t>
      </w:r>
      <w:r>
        <w:rPr>
          <w:rFonts w:hint="eastAsia" w:asciiTheme="minorEastAsia" w:hAnsiTheme="minorEastAsia" w:eastAsiaTheme="minorEastAsia"/>
          <w:spacing w:val="4"/>
          <w:szCs w:val="21"/>
          <w:lang w:val="en-US" w:eastAsia="zh-CN"/>
        </w:rPr>
        <w:t xml:space="preserve">  </w:t>
      </w:r>
      <w:r>
        <w:rPr>
          <w:rFonts w:hint="eastAsia" w:asciiTheme="minorEastAsia" w:hAnsiTheme="minorEastAsia" w:eastAsiaTheme="minorEastAsia"/>
          <w:spacing w:val="4"/>
          <w:szCs w:val="21"/>
        </w:rPr>
        <w:t xml:space="preserve">     </w:t>
      </w:r>
      <w:r>
        <w:rPr>
          <w:rFonts w:hint="eastAsia" w:asciiTheme="minorEastAsia" w:hAnsiTheme="minorEastAsia" w:eastAsiaTheme="minorEastAsia"/>
          <w:spacing w:val="4"/>
          <w:szCs w:val="21"/>
          <w:lang w:val="en-US" w:eastAsia="zh-CN"/>
        </w:rPr>
        <w:t xml:space="preserve">             </w:t>
      </w:r>
      <w:r>
        <w:rPr>
          <w:rFonts w:hint="eastAsia" w:asciiTheme="minorEastAsia" w:hAnsiTheme="minorEastAsia" w:eastAsiaTheme="minorEastAsia"/>
          <w:spacing w:val="4"/>
          <w:szCs w:val="21"/>
        </w:rPr>
        <w:t xml:space="preserve">           日期：   年     月    日</w:t>
      </w:r>
    </w:p>
    <w:p>
      <w:pPr>
        <w:spacing w:line="360" w:lineRule="auto"/>
        <w:ind w:left="1"/>
        <w:jc w:val="center"/>
        <w:rPr>
          <w:rFonts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br w:type="page"/>
      </w:r>
    </w:p>
    <w:p>
      <w:pPr>
        <w:spacing w:line="360" w:lineRule="auto"/>
        <w:ind w:left="1"/>
        <w:rPr>
          <w:rFonts w:hint="eastAsia" w:ascii="宋体" w:hAnsi="宋体" w:cs="宋体"/>
          <w:b/>
          <w:color w:val="auto"/>
          <w:sz w:val="30"/>
          <w:szCs w:val="30"/>
        </w:rPr>
      </w:pPr>
      <w:bookmarkStart w:id="75" w:name="_Toc495674346"/>
      <w:r>
        <w:rPr>
          <w:rFonts w:hint="eastAsia" w:ascii="宋体" w:hAnsi="宋体" w:cs="宋体"/>
          <w:b/>
          <w:color w:val="auto"/>
          <w:sz w:val="24"/>
          <w:szCs w:val="24"/>
        </w:rPr>
        <w:t>附件2：</w:t>
      </w:r>
    </w:p>
    <w:p>
      <w:pPr>
        <w:spacing w:line="360" w:lineRule="auto"/>
        <w:ind w:left="1"/>
        <w:jc w:val="center"/>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具有履行合同所必需的设备和专业技术能力的承诺</w:t>
      </w:r>
    </w:p>
    <w:p>
      <w:pPr>
        <w:spacing w:line="360" w:lineRule="auto"/>
        <w:ind w:left="1"/>
        <w:jc w:val="both"/>
        <w:rPr>
          <w:rFonts w:hint="eastAsia" w:ascii="宋体" w:hAnsi="宋体" w:cs="宋体"/>
          <w:b/>
          <w:color w:val="auto"/>
          <w:sz w:val="30"/>
          <w:szCs w:val="30"/>
          <w:lang w:val="en-US" w:eastAsia="zh-CN"/>
        </w:rPr>
      </w:pPr>
    </w:p>
    <w:p>
      <w:pPr>
        <w:bidi w:val="0"/>
        <w:rPr>
          <w:color w:val="auto"/>
        </w:rPr>
      </w:pPr>
      <w:r>
        <w:rPr>
          <w:rFonts w:hint="eastAsia"/>
          <w:color w:val="auto"/>
        </w:rPr>
        <w:t>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（采购人名称）：</w:t>
      </w:r>
    </w:p>
    <w:p>
      <w:pPr>
        <w:bidi w:val="0"/>
        <w:rPr>
          <w:rFonts w:hint="eastAsia"/>
          <w:color w:val="auto"/>
          <w:lang w:val="en-US" w:eastAsia="zh-CN"/>
        </w:rPr>
      </w:pPr>
    </w:p>
    <w:p>
      <w:pPr>
        <w:bidi w:val="0"/>
        <w:rPr>
          <w:rFonts w:hint="eastAsia"/>
          <w:color w:val="auto"/>
          <w:lang w:val="en-US" w:eastAsia="zh-CN"/>
        </w:rPr>
      </w:pPr>
    </w:p>
    <w:p>
      <w:pPr>
        <w:bidi w:val="0"/>
        <w:ind w:firstLine="420" w:firstLineChars="200"/>
        <w:rPr>
          <w:rFonts w:hint="default"/>
          <w:color w:val="auto"/>
          <w:lang w:val="en-US" w:eastAsia="zh-CN"/>
        </w:rPr>
      </w:pPr>
      <w:r>
        <w:rPr>
          <w:rFonts w:hint="eastAsia"/>
          <w:color w:val="auto"/>
          <w:lang w:val="en-US" w:eastAsia="zh-CN"/>
        </w:rPr>
        <w:t>我公司郑重承诺具备履行合同所必需的设备和专业技术能力。</w: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right"/>
        <w:rPr>
          <w:rFonts w:hint="eastAsia"/>
          <w:color w:val="auto"/>
          <w:lang w:val="en-US" w:eastAsia="zh-CN"/>
        </w:rPr>
      </w:pPr>
      <w:r>
        <w:rPr>
          <w:rFonts w:hint="eastAsia"/>
          <w:color w:val="auto"/>
          <w:lang w:val="en-US" w:eastAsia="zh-CN"/>
        </w:rPr>
        <w:t>供应商名称（盖章）：</w:t>
      </w:r>
      <w:r>
        <w:rPr>
          <w:rFonts w:hint="eastAsia"/>
          <w:color w:val="auto"/>
          <w:u w:val="single"/>
          <w:lang w:val="en-US" w:eastAsia="zh-CN"/>
        </w:rPr>
        <w:t xml:space="preserve">             </w:t>
      </w:r>
      <w:r>
        <w:rPr>
          <w:rFonts w:hint="eastAsia"/>
          <w:color w:val="auto"/>
          <w:lang w:val="en-US" w:eastAsia="zh-CN"/>
        </w:rPr>
        <w:t>（单位全称）</w:t>
      </w:r>
    </w:p>
    <w:p>
      <w:pPr>
        <w:pStyle w:val="8"/>
        <w:rPr>
          <w:rFonts w:hint="eastAsia"/>
          <w:color w:val="auto"/>
          <w:lang w:val="en-US" w:eastAsia="zh-CN"/>
        </w:rPr>
      </w:pPr>
    </w:p>
    <w:p>
      <w:pPr>
        <w:bidi w:val="0"/>
        <w:jc w:val="center"/>
        <w:rPr>
          <w:rFonts w:hint="eastAsia"/>
          <w:color w:val="auto"/>
          <w:u w:val="single"/>
          <w:lang w:val="en-US" w:eastAsia="zh-CN"/>
        </w:rPr>
      </w:pPr>
      <w:r>
        <w:rPr>
          <w:rFonts w:hint="eastAsia"/>
          <w:color w:val="auto"/>
          <w:lang w:val="en-US" w:eastAsia="zh-CN"/>
        </w:rPr>
        <w:t>法定代表人或被授权人（签字或盖章） ：</w:t>
      </w:r>
      <w:r>
        <w:rPr>
          <w:rFonts w:hint="eastAsia"/>
          <w:color w:val="auto"/>
          <w:u w:val="single"/>
          <w:lang w:val="en-US" w:eastAsia="zh-CN"/>
        </w:rPr>
        <w:t xml:space="preserve">                   </w:t>
      </w:r>
    </w:p>
    <w:p>
      <w:pPr>
        <w:bidi w:val="0"/>
        <w:rPr>
          <w:rFonts w:hint="eastAsia"/>
          <w:color w:val="auto"/>
          <w:lang w:val="en-US" w:eastAsia="zh-CN"/>
        </w:rPr>
      </w:pPr>
      <w:r>
        <w:rPr>
          <w:rFonts w:hint="eastAsia"/>
          <w:color w:val="auto"/>
          <w:lang w:val="en-US" w:eastAsia="zh-CN"/>
        </w:rPr>
        <w:t xml:space="preserve">                                    </w:t>
      </w:r>
    </w:p>
    <w:p>
      <w:pPr>
        <w:bidi w:val="0"/>
        <w:jc w:val="right"/>
        <w:rPr>
          <w:rFonts w:hint="eastAsia"/>
          <w:color w:val="auto"/>
          <w:lang w:val="en-US" w:eastAsia="zh-CN"/>
        </w:rPr>
      </w:pPr>
      <w:r>
        <w:rPr>
          <w:rFonts w:hint="eastAsia"/>
          <w:color w:val="auto"/>
          <w:lang w:val="en-US" w:eastAsia="zh-CN"/>
        </w:rPr>
        <w:t xml:space="preserve">                        日期：</w:t>
      </w:r>
      <w:r>
        <w:rPr>
          <w:rFonts w:hint="eastAsia"/>
          <w:color w:val="auto"/>
          <w:u w:val="single"/>
          <w:lang w:val="en-US" w:eastAsia="zh-CN"/>
        </w:rPr>
        <w:t xml:space="preserve">   </w:t>
      </w:r>
      <w:r>
        <w:rPr>
          <w:rFonts w:hint="eastAsia"/>
          <w:color w:val="auto"/>
          <w:lang w:val="en-US" w:eastAsia="zh-CN"/>
        </w:rPr>
        <w:t>年</w:t>
      </w:r>
      <w:r>
        <w:rPr>
          <w:rFonts w:hint="eastAsia"/>
          <w:color w:val="auto"/>
          <w:u w:val="single"/>
          <w:lang w:val="en-US" w:eastAsia="zh-CN"/>
        </w:rPr>
        <w:t xml:space="preserve">  </w:t>
      </w:r>
      <w:r>
        <w:rPr>
          <w:rFonts w:hint="eastAsia"/>
          <w:color w:val="auto"/>
          <w:lang w:val="en-US" w:eastAsia="zh-CN"/>
        </w:rPr>
        <w:t>月</w:t>
      </w:r>
      <w:r>
        <w:rPr>
          <w:rFonts w:hint="eastAsia"/>
          <w:color w:val="auto"/>
          <w:u w:val="single"/>
          <w:lang w:val="en-US" w:eastAsia="zh-CN"/>
        </w:rPr>
        <w:t xml:space="preserve">  </w:t>
      </w:r>
      <w:r>
        <w:rPr>
          <w:rFonts w:hint="eastAsia"/>
          <w:color w:val="auto"/>
          <w:lang w:val="en-US" w:eastAsia="zh-CN"/>
        </w:rPr>
        <w:t>日</w:t>
      </w:r>
    </w:p>
    <w:p>
      <w:pPr>
        <w:spacing w:line="360" w:lineRule="auto"/>
        <w:ind w:left="1"/>
        <w:rPr>
          <w:rFonts w:ascii="宋体" w:hAnsi="宋体" w:eastAsia="宋体" w:cs="宋体"/>
          <w:b/>
          <w:color w:val="auto"/>
          <w:sz w:val="30"/>
          <w:szCs w:val="30"/>
        </w:rPr>
      </w:pPr>
      <w:r>
        <w:rPr>
          <w:rFonts w:hint="eastAsia" w:ascii="宋体" w:hAnsi="宋体" w:cs="宋体"/>
          <w:color w:val="auto"/>
          <w:spacing w:val="4"/>
          <w:sz w:val="24"/>
          <w:szCs w:val="24"/>
        </w:rPr>
        <w:br w:type="page"/>
      </w:r>
      <w:r>
        <w:rPr>
          <w:rFonts w:hint="eastAsia" w:ascii="宋体" w:hAnsi="宋体" w:eastAsia="宋体" w:cs="宋体"/>
          <w:b/>
          <w:color w:val="auto"/>
        </w:rPr>
        <w:t>附件3：</w:t>
      </w:r>
    </w:p>
    <w:p>
      <w:pPr>
        <w:pStyle w:val="2"/>
        <w:keepNext w:val="0"/>
        <w:keepLines w:val="0"/>
        <w:pageBreakBefore w:val="0"/>
        <w:widowControl w:val="0"/>
        <w:kinsoku/>
        <w:wordWrap/>
        <w:overflowPunct/>
        <w:topLinePunct w:val="0"/>
        <w:autoSpaceDE/>
        <w:autoSpaceDN/>
        <w:bidi w:val="0"/>
        <w:adjustRightInd/>
        <w:snapToGrid/>
        <w:spacing w:line="520" w:lineRule="exact"/>
        <w:ind w:left="62" w:right="62"/>
        <w:jc w:val="center"/>
        <w:textAlignment w:val="auto"/>
        <w:rPr>
          <w:rFonts w:hint="eastAsia" w:ascii="宋体" w:hAnsi="宋体" w:eastAsia="宋体" w:cs="宋体"/>
          <w:b/>
          <w:color w:val="auto"/>
          <w:kern w:val="0"/>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20" w:lineRule="exact"/>
        <w:ind w:left="62" w:right="62"/>
        <w:jc w:val="center"/>
        <w:textAlignment w:val="auto"/>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不存在与参加本项目的其它投标单位负责人为同一人或者存</w:t>
      </w:r>
    </w:p>
    <w:p>
      <w:pPr>
        <w:pStyle w:val="2"/>
        <w:keepNext w:val="0"/>
        <w:keepLines w:val="0"/>
        <w:pageBreakBefore w:val="0"/>
        <w:widowControl w:val="0"/>
        <w:kinsoku/>
        <w:wordWrap/>
        <w:overflowPunct/>
        <w:topLinePunct w:val="0"/>
        <w:autoSpaceDE/>
        <w:autoSpaceDN/>
        <w:bidi w:val="0"/>
        <w:adjustRightInd/>
        <w:snapToGrid/>
        <w:spacing w:line="520" w:lineRule="exact"/>
        <w:ind w:left="62" w:right="62"/>
        <w:jc w:val="center"/>
        <w:textAlignment w:val="auto"/>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在直接控股、管理关系承诺书</w:t>
      </w:r>
    </w:p>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jc w:val="left"/>
        <w:textAlignment w:val="auto"/>
        <w:rPr>
          <w:rFonts w:hint="eastAsia" w:ascii="宋体" w:hAnsi="宋体" w:eastAsia="宋体" w:cs="宋体"/>
          <w:kern w:val="2"/>
          <w:sz w:val="24"/>
          <w:szCs w:val="24"/>
        </w:rPr>
      </w:pPr>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jc w:val="left"/>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rPr>
        <w:t>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w:t>
      </w:r>
      <w:r>
        <w:rPr>
          <w:rFonts w:hint="eastAsia" w:ascii="宋体" w:hAnsi="宋体" w:eastAsia="宋体" w:cs="宋体"/>
          <w:kern w:val="2"/>
          <w:sz w:val="24"/>
          <w:szCs w:val="24"/>
          <w:u w:val="single"/>
          <w:lang w:eastAsia="zh-CN"/>
        </w:rPr>
        <w:t>采购</w:t>
      </w:r>
      <w:r>
        <w:rPr>
          <w:rFonts w:hint="eastAsia" w:ascii="宋体" w:hAnsi="宋体" w:eastAsia="宋体" w:cs="宋体"/>
          <w:kern w:val="2"/>
          <w:sz w:val="24"/>
          <w:szCs w:val="24"/>
          <w:u w:val="single"/>
        </w:rPr>
        <w:t>人名称）</w:t>
      </w:r>
      <w:r>
        <w:rPr>
          <w:rFonts w:hint="eastAsia" w:ascii="宋体" w:hAnsi="宋体" w:eastAsia="宋体" w:cs="宋体"/>
          <w:kern w:val="2"/>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我公司参加贵</w:t>
      </w:r>
      <w:r>
        <w:rPr>
          <w:rFonts w:hint="eastAsia" w:ascii="宋体" w:hAnsi="宋体" w:eastAsia="宋体" w:cs="宋体"/>
          <w:sz w:val="24"/>
          <w:szCs w:val="24"/>
          <w:lang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竞争性磋商</w:t>
      </w:r>
      <w:r>
        <w:rPr>
          <w:rFonts w:hint="eastAsia" w:ascii="宋体" w:hAnsi="宋体" w:eastAsia="宋体" w:cs="宋体"/>
          <w:sz w:val="24"/>
          <w:szCs w:val="24"/>
        </w:rPr>
        <w:t>活动，郑重承诺：在参加本次活动不存在与参加本项目的其它投标单位负责人为同一人或者存在直接控股、管理关系。本公司对上述承诺的真实性负责。如有虚假，将依法承担相应责任。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spacing w:before="326" w:beforeLines="100" w:after="163" w:afterLines="50" w:line="360" w:lineRule="auto"/>
        <w:ind w:firstLine="2180" w:firstLineChars="1000"/>
        <w:rPr>
          <w:rFonts w:hint="eastAsia" w:ascii="宋体" w:hAnsi="宋体" w:eastAsia="宋体" w:cs="宋体"/>
          <w:color w:val="auto"/>
          <w:spacing w:val="4"/>
          <w:szCs w:val="21"/>
        </w:rPr>
      </w:pPr>
      <w:r>
        <w:rPr>
          <w:rFonts w:hint="eastAsia" w:ascii="宋体" w:hAnsi="宋体" w:eastAsia="宋体" w:cs="宋体"/>
          <w:color w:val="auto"/>
          <w:spacing w:val="4"/>
          <w:szCs w:val="21"/>
        </w:rPr>
        <w:t>供应商名称（盖章）：</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rPr>
        <w:t>（单位全称）</w:t>
      </w:r>
    </w:p>
    <w:p>
      <w:pPr>
        <w:spacing w:before="326" w:beforeLines="100" w:after="163" w:afterLines="50" w:line="360" w:lineRule="auto"/>
        <w:ind w:firstLine="2180" w:firstLineChars="1000"/>
        <w:rPr>
          <w:rFonts w:ascii="宋体" w:hAnsi="宋体" w:eastAsia="宋体" w:cs="宋体"/>
          <w:color w:val="auto"/>
          <w:spacing w:val="4"/>
          <w:szCs w:val="21"/>
        </w:rPr>
      </w:pPr>
      <w:r>
        <w:rPr>
          <w:rFonts w:hint="eastAsia" w:ascii="宋体" w:hAnsi="宋体" w:eastAsia="宋体" w:cs="宋体"/>
          <w:color w:val="auto"/>
          <w:spacing w:val="4"/>
          <w:szCs w:val="21"/>
        </w:rPr>
        <w:t>法定代表人或被授权人（签字或盖章） ：</w:t>
      </w:r>
      <w:r>
        <w:rPr>
          <w:rFonts w:hint="eastAsia" w:ascii="宋体" w:hAnsi="宋体" w:eastAsia="宋体" w:cs="宋体"/>
          <w:color w:val="auto"/>
          <w:spacing w:val="4"/>
          <w:szCs w:val="21"/>
          <w:u w:val="single"/>
          <w:lang w:val="en-US" w:eastAsia="zh-CN"/>
        </w:rPr>
        <w:t xml:space="preserve">     </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rPr>
        <w:t xml:space="preserve">             </w:t>
      </w:r>
    </w:p>
    <w:p>
      <w:pPr>
        <w:spacing w:line="360" w:lineRule="auto"/>
        <w:ind w:left="1"/>
        <w:jc w:val="center"/>
        <w:rPr>
          <w:rFonts w:ascii="宋体" w:hAnsi="宋体" w:eastAsia="宋体" w:cs="宋体"/>
          <w:color w:val="auto"/>
          <w:spacing w:val="4"/>
          <w:szCs w:val="21"/>
        </w:rPr>
      </w:pPr>
      <w:r>
        <w:rPr>
          <w:rFonts w:hint="eastAsia" w:ascii="宋体" w:hAnsi="宋体" w:eastAsia="宋体" w:cs="宋体"/>
          <w:color w:val="auto"/>
          <w:spacing w:val="4"/>
          <w:szCs w:val="21"/>
        </w:rPr>
        <w:t xml:space="preserve">                                    </w:t>
      </w:r>
    </w:p>
    <w:p>
      <w:pPr>
        <w:spacing w:line="360" w:lineRule="auto"/>
        <w:ind w:left="1"/>
        <w:jc w:val="center"/>
        <w:rPr>
          <w:rFonts w:ascii="宋体" w:hAnsi="宋体" w:eastAsia="宋体" w:cs="宋体"/>
          <w:color w:val="auto"/>
          <w:spacing w:val="4"/>
          <w:szCs w:val="21"/>
        </w:rPr>
      </w:pPr>
      <w:r>
        <w:rPr>
          <w:rFonts w:hint="eastAsia" w:ascii="宋体" w:hAnsi="宋体" w:eastAsia="宋体" w:cs="宋体"/>
          <w:color w:val="auto"/>
          <w:spacing w:val="4"/>
          <w:szCs w:val="21"/>
        </w:rPr>
        <w:t xml:space="preserve">                        日期：</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u w:val="single"/>
          <w:lang w:val="en-US" w:eastAsia="zh-CN"/>
        </w:rPr>
        <w:t xml:space="preserve">  </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rPr>
        <w:t>年</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u w:val="single"/>
          <w:lang w:val="en-US" w:eastAsia="zh-CN"/>
        </w:rPr>
        <w:t xml:space="preserve">   </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rPr>
        <w:t>月</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u w:val="single"/>
          <w:lang w:val="en-US" w:eastAsia="zh-CN"/>
        </w:rPr>
        <w:t xml:space="preserve">  </w:t>
      </w:r>
      <w:r>
        <w:rPr>
          <w:rFonts w:hint="eastAsia" w:ascii="宋体" w:hAnsi="宋体" w:eastAsia="宋体" w:cs="宋体"/>
          <w:color w:val="auto"/>
          <w:spacing w:val="4"/>
          <w:szCs w:val="21"/>
          <w:u w:val="single"/>
        </w:rPr>
        <w:t xml:space="preserve"> </w:t>
      </w:r>
      <w:r>
        <w:rPr>
          <w:rFonts w:hint="eastAsia" w:ascii="宋体" w:hAnsi="宋体" w:eastAsia="宋体" w:cs="宋体"/>
          <w:color w:val="auto"/>
          <w:spacing w:val="4"/>
          <w:szCs w:val="21"/>
        </w:rPr>
        <w:t>日</w:t>
      </w:r>
    </w:p>
    <w:p>
      <w:pPr>
        <w:rPr>
          <w:rFonts w:hint="eastAsia" w:ascii="宋体" w:hAnsi="宋体" w:eastAsia="宋体" w:cs="宋体"/>
          <w:b/>
          <w:color w:val="auto"/>
        </w:rPr>
      </w:pPr>
      <w:r>
        <w:rPr>
          <w:rFonts w:hint="eastAsia" w:ascii="宋体" w:hAnsi="宋体" w:eastAsia="宋体" w:cs="宋体"/>
          <w:b/>
          <w:color w:val="auto"/>
        </w:rPr>
        <w:br w:type="page"/>
      </w:r>
    </w:p>
    <w:p>
      <w:pPr>
        <w:spacing w:line="360" w:lineRule="auto"/>
        <w:ind w:left="1"/>
        <w:rPr>
          <w:rFonts w:hint="eastAsia" w:ascii="宋体" w:hAnsi="宋体" w:cs="宋体"/>
          <w:b/>
          <w:color w:val="auto"/>
          <w:sz w:val="30"/>
          <w:szCs w:val="30"/>
        </w:rPr>
      </w:pPr>
      <w:r>
        <w:rPr>
          <w:rFonts w:hint="eastAsia" w:ascii="宋体" w:hAnsi="宋体" w:cs="宋体"/>
          <w:b/>
          <w:color w:val="auto"/>
          <w:sz w:val="24"/>
          <w:szCs w:val="24"/>
        </w:rPr>
        <w:t>附件</w:t>
      </w:r>
      <w:r>
        <w:rPr>
          <w:rFonts w:hint="eastAsia" w:ascii="宋体" w:hAnsi="宋体" w:cs="宋体"/>
          <w:b/>
          <w:color w:val="auto"/>
          <w:sz w:val="24"/>
          <w:szCs w:val="24"/>
          <w:lang w:val="en-US" w:eastAsia="zh-CN"/>
        </w:rPr>
        <w:t>4</w:t>
      </w:r>
      <w:r>
        <w:rPr>
          <w:rFonts w:hint="eastAsia" w:ascii="宋体" w:hAnsi="宋体" w:cs="宋体"/>
          <w:b/>
          <w:color w:val="auto"/>
          <w:sz w:val="24"/>
          <w:szCs w:val="24"/>
        </w:rPr>
        <w:t>：</w:t>
      </w:r>
    </w:p>
    <w:p>
      <w:pPr>
        <w:spacing w:line="360" w:lineRule="auto"/>
        <w:ind w:left="1"/>
        <w:jc w:val="center"/>
        <w:rPr>
          <w:rFonts w:hint="eastAsia" w:ascii="宋体" w:hAnsi="宋体" w:eastAsia="宋体" w:cs="宋体"/>
          <w:b/>
          <w:color w:val="auto"/>
          <w:sz w:val="30"/>
          <w:szCs w:val="30"/>
          <w:lang w:eastAsia="zh-CN"/>
        </w:rPr>
      </w:pPr>
      <w:r>
        <w:rPr>
          <w:rFonts w:hint="eastAsia" w:ascii="宋体" w:hAnsi="宋体" w:cs="宋体"/>
          <w:b/>
          <w:color w:val="auto"/>
          <w:sz w:val="30"/>
          <w:szCs w:val="30"/>
        </w:rPr>
        <w:t>中小企业声明函</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货物</w:t>
      </w:r>
      <w:r>
        <w:rPr>
          <w:rFonts w:hint="eastAsia" w:ascii="宋体" w:hAnsi="宋体" w:cs="宋体"/>
          <w:b/>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r>
        <w:rPr>
          <w:rFonts w:hint="eastAsia" w:ascii="宋体" w:hAnsi="宋体" w:eastAsia="宋体"/>
          <w:color w:val="auto"/>
          <w:spacing w:val="4"/>
          <w:szCs w:val="21"/>
        </w:rPr>
        <w:t>本公司（联合体）郑重声明，根据《政府采购促进中小企业发展管理办法》（财库﹝2020﹞46 号）的规定，本公司（联合体）参加</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u w:val="single"/>
        </w:rPr>
        <w:t>（单位名称）</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 xml:space="preserve"> 的</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u w:val="single"/>
        </w:rPr>
        <w:t>（项目名称）</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r>
        <w:rPr>
          <w:rFonts w:hint="eastAsia" w:ascii="宋体" w:hAnsi="宋体" w:eastAsia="宋体"/>
          <w:color w:val="auto"/>
          <w:spacing w:val="4"/>
          <w:szCs w:val="21"/>
        </w:rPr>
        <w:t>1.</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u w:val="single"/>
        </w:rPr>
        <w:t>（标的名称）</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 xml:space="preserve"> ，属于</w:t>
      </w:r>
      <w:r>
        <w:rPr>
          <w:rFonts w:hint="eastAsia" w:ascii="宋体" w:hAnsi="宋体" w:eastAsia="宋体"/>
          <w:color w:val="auto"/>
          <w:spacing w:val="4"/>
          <w:szCs w:val="21"/>
          <w:u w:val="single"/>
        </w:rPr>
        <w:t xml:space="preserve"> （采购文件中明确的所属行业）</w:t>
      </w:r>
      <w:r>
        <w:rPr>
          <w:rFonts w:hint="eastAsia" w:ascii="宋体" w:hAnsi="宋体" w:eastAsia="宋体"/>
          <w:color w:val="auto"/>
          <w:spacing w:val="4"/>
          <w:szCs w:val="21"/>
        </w:rPr>
        <w:t xml:space="preserve">行业 ；制造商为 </w:t>
      </w:r>
      <w:r>
        <w:rPr>
          <w:rFonts w:hint="eastAsia" w:ascii="宋体" w:hAnsi="宋体" w:eastAsia="宋体"/>
          <w:color w:val="auto"/>
          <w:spacing w:val="4"/>
          <w:szCs w:val="21"/>
          <w:u w:val="single"/>
        </w:rPr>
        <w:t>（企业名称）</w:t>
      </w:r>
      <w:r>
        <w:rPr>
          <w:rFonts w:hint="eastAsia" w:ascii="宋体" w:hAnsi="宋体" w:eastAsia="宋体"/>
          <w:color w:val="auto"/>
          <w:spacing w:val="4"/>
          <w:szCs w:val="21"/>
        </w:rPr>
        <w:t xml:space="preserve"> ，从业人员</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rPr>
        <w:t>人，营业收入为</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万元，资产总额为</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万元 ，属于</w:t>
      </w:r>
      <w:r>
        <w:rPr>
          <w:rFonts w:hint="eastAsia" w:ascii="宋体" w:hAnsi="宋体" w:eastAsia="宋体"/>
          <w:color w:val="auto"/>
          <w:spacing w:val="4"/>
          <w:szCs w:val="21"/>
          <w:u w:val="single"/>
        </w:rPr>
        <w:t xml:space="preserve"> （中型企业、小型企业、微型企业） </w:t>
      </w:r>
      <w:r>
        <w:rPr>
          <w:rFonts w:hint="eastAsia" w:ascii="宋体" w:hAnsi="宋体" w:eastAsia="宋体"/>
          <w:color w:val="auto"/>
          <w:spacing w:val="4"/>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r>
        <w:rPr>
          <w:rFonts w:hint="eastAsia" w:ascii="宋体" w:hAnsi="宋体" w:eastAsia="宋体"/>
          <w:color w:val="auto"/>
          <w:spacing w:val="4"/>
          <w:szCs w:val="21"/>
        </w:rPr>
        <w:t xml:space="preserve">2.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u w:val="single"/>
        </w:rPr>
        <w:t>（标的名称）</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 xml:space="preserve"> ，属于</w:t>
      </w:r>
      <w:r>
        <w:rPr>
          <w:rFonts w:hint="eastAsia" w:ascii="宋体" w:hAnsi="宋体" w:eastAsia="宋体"/>
          <w:color w:val="auto"/>
          <w:spacing w:val="4"/>
          <w:szCs w:val="21"/>
          <w:u w:val="single"/>
        </w:rPr>
        <w:t xml:space="preserve"> （采购文件中明确的所属行业）</w:t>
      </w:r>
      <w:r>
        <w:rPr>
          <w:rFonts w:hint="eastAsia" w:ascii="宋体" w:hAnsi="宋体" w:eastAsia="宋体"/>
          <w:color w:val="auto"/>
          <w:spacing w:val="4"/>
          <w:szCs w:val="21"/>
        </w:rPr>
        <w:t xml:space="preserve">行业 ；制造商为 </w:t>
      </w:r>
      <w:r>
        <w:rPr>
          <w:rFonts w:hint="eastAsia" w:ascii="宋体" w:hAnsi="宋体" w:eastAsia="宋体"/>
          <w:color w:val="auto"/>
          <w:spacing w:val="4"/>
          <w:szCs w:val="21"/>
          <w:u w:val="single"/>
        </w:rPr>
        <w:t xml:space="preserve">（企业名称） </w:t>
      </w:r>
      <w:r>
        <w:rPr>
          <w:rFonts w:hint="eastAsia" w:ascii="宋体" w:hAnsi="宋体" w:eastAsia="宋体"/>
          <w:color w:val="auto"/>
          <w:spacing w:val="4"/>
          <w:szCs w:val="21"/>
        </w:rPr>
        <w:t>，从业人员</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人，营业收入为</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万元，资产总额为</w:t>
      </w:r>
      <w:r>
        <w:rPr>
          <w:rFonts w:hint="eastAsia" w:ascii="宋体" w:hAnsi="宋体" w:eastAsia="宋体"/>
          <w:color w:val="auto"/>
          <w:spacing w:val="4"/>
          <w:szCs w:val="21"/>
          <w:u w:val="single"/>
        </w:rPr>
        <w:t xml:space="preserve"> </w:t>
      </w:r>
      <w:r>
        <w:rPr>
          <w:rFonts w:hint="eastAsia" w:ascii="宋体" w:hAnsi="宋体" w:eastAsia="宋体"/>
          <w:color w:val="auto"/>
          <w:spacing w:val="4"/>
          <w:szCs w:val="21"/>
          <w:u w:val="single"/>
          <w:lang w:val="en-US" w:eastAsia="zh-CN"/>
        </w:rPr>
        <w:t xml:space="preserve">   </w:t>
      </w:r>
      <w:r>
        <w:rPr>
          <w:rFonts w:hint="eastAsia" w:ascii="宋体" w:hAnsi="宋体" w:eastAsia="宋体"/>
          <w:color w:val="auto"/>
          <w:spacing w:val="4"/>
          <w:szCs w:val="21"/>
        </w:rPr>
        <w:t>万元，属于</w:t>
      </w:r>
      <w:r>
        <w:rPr>
          <w:rFonts w:hint="eastAsia" w:ascii="宋体" w:hAnsi="宋体" w:eastAsia="宋体"/>
          <w:color w:val="auto"/>
          <w:spacing w:val="4"/>
          <w:szCs w:val="21"/>
          <w:u w:val="single"/>
        </w:rPr>
        <w:t xml:space="preserve"> （中型企业、小型企业、微型企业） </w:t>
      </w:r>
      <w:r>
        <w:rPr>
          <w:rFonts w:hint="eastAsia" w:ascii="宋体" w:hAnsi="宋体" w:eastAsia="宋体"/>
          <w:color w:val="auto"/>
          <w:spacing w:val="4"/>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r>
        <w:rPr>
          <w:rFonts w:hint="eastAsia" w:ascii="宋体" w:hAnsi="宋体" w:eastAsia="宋体"/>
          <w:color w:val="auto"/>
          <w:spacing w:val="4"/>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r>
        <w:rPr>
          <w:rFonts w:hint="eastAsia" w:ascii="宋体" w:hAnsi="宋体" w:eastAsia="宋体"/>
          <w:color w:val="auto"/>
          <w:spacing w:val="4"/>
          <w:szCs w:val="21"/>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eastAsia="宋体"/>
          <w:color w:val="auto"/>
          <w:spacing w:val="4"/>
          <w:szCs w:val="21"/>
        </w:rPr>
      </w:pPr>
      <w:r>
        <w:rPr>
          <w:rFonts w:hint="eastAsia" w:ascii="宋体" w:hAnsi="宋体" w:eastAsia="宋体"/>
          <w:color w:val="auto"/>
          <w:spacing w:val="4"/>
          <w:szCs w:val="21"/>
        </w:rPr>
        <w:t>本企业对上述声明内容的真实性负责。如有虚假，将依法承担相应责任。</w:t>
      </w:r>
    </w:p>
    <w:p>
      <w:pPr>
        <w:spacing w:line="360" w:lineRule="auto"/>
        <w:ind w:firstLine="170"/>
        <w:rPr>
          <w:rFonts w:hint="eastAsia" w:ascii="宋体" w:hAnsi="宋体" w:cs="宋体"/>
          <w:color w:val="auto"/>
          <w:spacing w:val="4"/>
          <w:szCs w:val="21"/>
        </w:rPr>
      </w:pPr>
      <w:r>
        <w:rPr>
          <w:rFonts w:hint="eastAsia" w:ascii="宋体" w:hAnsi="宋体" w:cs="宋体"/>
          <w:color w:val="auto"/>
          <w:spacing w:val="4"/>
          <w:szCs w:val="21"/>
        </w:rPr>
        <w:t xml:space="preserve">                             </w:t>
      </w:r>
    </w:p>
    <w:p>
      <w:pPr>
        <w:spacing w:before="312" w:beforeLines="100" w:after="156" w:afterLines="50" w:line="360" w:lineRule="auto"/>
        <w:rPr>
          <w:rFonts w:hint="eastAsia" w:ascii="宋体" w:hAnsi="宋体" w:cs="宋体"/>
          <w:color w:val="auto"/>
          <w:spacing w:val="4"/>
          <w:szCs w:val="21"/>
        </w:rPr>
      </w:pPr>
      <w:r>
        <w:rPr>
          <w:rFonts w:hint="eastAsia" w:ascii="宋体" w:hAnsi="宋体" w:cs="宋体"/>
          <w:color w:val="auto"/>
          <w:spacing w:val="4"/>
          <w:szCs w:val="21"/>
        </w:rPr>
        <w:t xml:space="preserve">        </w:t>
      </w:r>
    </w:p>
    <w:p>
      <w:pPr>
        <w:spacing w:before="312" w:beforeLines="100" w:after="156" w:afterLines="50" w:line="360" w:lineRule="auto"/>
        <w:ind w:firstLine="4796" w:firstLineChars="2200"/>
        <w:rPr>
          <w:rFonts w:hint="eastAsia" w:ascii="宋体" w:hAnsi="宋体" w:cs="宋体"/>
          <w:color w:val="auto"/>
          <w:spacing w:val="4"/>
          <w:szCs w:val="21"/>
        </w:rPr>
      </w:pPr>
      <w:r>
        <w:rPr>
          <w:rFonts w:hint="eastAsia" w:ascii="宋体" w:hAnsi="宋体" w:cs="宋体"/>
          <w:color w:val="auto"/>
          <w:spacing w:val="4"/>
          <w:szCs w:val="21"/>
        </w:rPr>
        <w:t xml:space="preserve">企业名称（盖章）： </w:t>
      </w:r>
    </w:p>
    <w:p>
      <w:pPr>
        <w:spacing w:before="312" w:beforeLines="100" w:after="156" w:afterLines="50" w:line="360" w:lineRule="auto"/>
        <w:ind w:firstLine="170"/>
        <w:rPr>
          <w:rFonts w:hint="eastAsia" w:ascii="宋体" w:hAnsi="宋体" w:cs="宋体"/>
          <w:color w:val="auto"/>
          <w:spacing w:val="4"/>
          <w:szCs w:val="21"/>
        </w:rPr>
      </w:pPr>
      <w:r>
        <w:rPr>
          <w:rFonts w:hint="eastAsia" w:ascii="宋体" w:hAnsi="宋体" w:cs="宋体"/>
          <w:color w:val="auto"/>
          <w:spacing w:val="4"/>
          <w:szCs w:val="21"/>
        </w:rPr>
        <w:t xml:space="preserve">                                         日  期：  </w:t>
      </w:r>
    </w:p>
    <w:p>
      <w:pPr>
        <w:spacing w:before="312" w:beforeLines="100" w:after="156" w:afterLines="50" w:line="360" w:lineRule="auto"/>
        <w:ind w:firstLine="170"/>
        <w:rPr>
          <w:rFonts w:hint="eastAsia" w:ascii="宋体" w:hAnsi="宋体" w:cs="宋体"/>
          <w:b/>
          <w:bCs/>
          <w:color w:val="auto"/>
          <w:spacing w:val="4"/>
          <w:szCs w:val="21"/>
        </w:rPr>
      </w:pPr>
      <w:r>
        <w:rPr>
          <w:rFonts w:hint="eastAsia" w:ascii="宋体" w:hAnsi="宋体" w:cs="宋体"/>
          <w:b/>
          <w:bCs/>
          <w:color w:val="auto"/>
          <w:spacing w:val="4"/>
          <w:szCs w:val="21"/>
          <w:lang w:val="en-US" w:eastAsia="zh-CN"/>
        </w:rPr>
        <w:t>注</w:t>
      </w:r>
      <w:r>
        <w:rPr>
          <w:rFonts w:hint="eastAsia" w:ascii="宋体" w:hAnsi="宋体" w:cs="宋体"/>
          <w:b/>
          <w:bCs/>
          <w:color w:val="auto"/>
          <w:spacing w:val="4"/>
          <w:szCs w:val="21"/>
        </w:rPr>
        <w:t>：非中、小、微企业可以不提供本声明函</w:t>
      </w:r>
    </w:p>
    <w:p>
      <w:pPr>
        <w:spacing w:before="312" w:beforeLines="100" w:after="156" w:afterLines="50" w:line="360" w:lineRule="auto"/>
        <w:ind w:firstLine="170"/>
        <w:rPr>
          <w:rFonts w:hint="eastAsia" w:ascii="宋体" w:hAnsi="宋体" w:cs="宋体"/>
          <w:color w:val="auto"/>
          <w:spacing w:val="4"/>
          <w:szCs w:val="21"/>
        </w:rPr>
      </w:pPr>
      <w:r>
        <w:rPr>
          <w:rFonts w:hint="eastAsia" w:ascii="宋体" w:hAnsi="宋体" w:cs="宋体"/>
          <w:b/>
          <w:color w:val="auto"/>
          <w:sz w:val="36"/>
          <w:szCs w:val="36"/>
        </w:rPr>
        <w:br w:type="page"/>
      </w:r>
      <w:r>
        <w:rPr>
          <w:rFonts w:hint="eastAsia" w:ascii="宋体" w:hAnsi="宋体" w:cs="宋体"/>
          <w:b/>
          <w:color w:val="auto"/>
          <w:sz w:val="24"/>
          <w:szCs w:val="24"/>
        </w:rPr>
        <w:t>附件</w:t>
      </w:r>
      <w:r>
        <w:rPr>
          <w:rFonts w:hint="eastAsia" w:ascii="宋体" w:hAnsi="宋体" w:cs="宋体"/>
          <w:b/>
          <w:color w:val="auto"/>
          <w:sz w:val="24"/>
          <w:szCs w:val="24"/>
          <w:lang w:val="en-US" w:eastAsia="zh-CN"/>
        </w:rPr>
        <w:t>5</w:t>
      </w:r>
      <w:r>
        <w:rPr>
          <w:rFonts w:hint="eastAsia" w:ascii="宋体" w:hAnsi="宋体" w:cs="宋体"/>
          <w:b/>
          <w:color w:val="auto"/>
          <w:sz w:val="24"/>
          <w:szCs w:val="24"/>
        </w:rPr>
        <w:t>：</w:t>
      </w:r>
    </w:p>
    <w:p>
      <w:pPr>
        <w:spacing w:line="360" w:lineRule="auto"/>
        <w:ind w:left="1"/>
        <w:jc w:val="center"/>
        <w:rPr>
          <w:rFonts w:hint="eastAsia" w:ascii="宋体" w:hAnsi="宋体" w:cs="宋体"/>
          <w:b/>
          <w:color w:val="auto"/>
          <w:sz w:val="30"/>
          <w:szCs w:val="30"/>
        </w:rPr>
      </w:pPr>
      <w:bookmarkStart w:id="76" w:name="OLE_LINK14"/>
      <w:bookmarkStart w:id="77" w:name="OLE_LINK13"/>
      <w:r>
        <w:rPr>
          <w:rFonts w:hint="eastAsia" w:ascii="宋体" w:hAnsi="宋体" w:cs="宋体"/>
          <w:b/>
          <w:color w:val="auto"/>
          <w:sz w:val="30"/>
          <w:szCs w:val="30"/>
        </w:rPr>
        <w:t>残疾人福利性单位声明函</w:t>
      </w:r>
    </w:p>
    <w:bookmarkEnd w:id="76"/>
    <w:bookmarkEnd w:id="77"/>
    <w:p>
      <w:pPr>
        <w:spacing w:line="588" w:lineRule="exact"/>
        <w:rPr>
          <w:rFonts w:hint="eastAsia" w:ascii="宋体" w:hAnsi="宋体" w:cs="宋体"/>
          <w:b/>
          <w:color w:val="auto"/>
          <w:spacing w:val="6"/>
          <w:sz w:val="30"/>
          <w:szCs w:val="30"/>
        </w:rPr>
      </w:pPr>
    </w:p>
    <w:p>
      <w:pPr>
        <w:spacing w:before="312" w:beforeLines="100" w:after="156" w:afterLines="50" w:line="360" w:lineRule="auto"/>
        <w:ind w:firstLine="436" w:firstLineChars="200"/>
        <w:rPr>
          <w:rFonts w:hint="eastAsia" w:ascii="宋体" w:hAnsi="宋体" w:cs="宋体"/>
          <w:color w:val="auto"/>
          <w:spacing w:val="4"/>
          <w:szCs w:val="21"/>
        </w:rPr>
      </w:pPr>
      <w:r>
        <w:rPr>
          <w:rFonts w:hint="eastAsia" w:ascii="宋体" w:hAnsi="宋体" w:cs="宋体"/>
          <w:color w:val="auto"/>
          <w:spacing w:val="4"/>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312" w:beforeLines="100" w:after="156" w:afterLines="50" w:line="360" w:lineRule="auto"/>
        <w:ind w:firstLine="436" w:firstLineChars="200"/>
        <w:rPr>
          <w:rFonts w:hint="eastAsia" w:ascii="宋体" w:hAnsi="宋体" w:cs="宋体"/>
          <w:color w:val="auto"/>
          <w:spacing w:val="6"/>
          <w:sz w:val="30"/>
          <w:szCs w:val="30"/>
        </w:rPr>
      </w:pPr>
      <w:r>
        <w:rPr>
          <w:rFonts w:hint="eastAsia" w:ascii="宋体" w:hAnsi="宋体" w:cs="宋体"/>
          <w:color w:val="auto"/>
          <w:spacing w:val="4"/>
          <w:szCs w:val="21"/>
        </w:rPr>
        <w:t>本单位对上述声明的真实性负责。如有虚假，将依法承担相应责任。</w:t>
      </w:r>
    </w:p>
    <w:p>
      <w:pPr>
        <w:spacing w:before="312" w:beforeLines="100" w:after="156" w:afterLines="50" w:line="360" w:lineRule="auto"/>
        <w:ind w:firstLine="170"/>
        <w:rPr>
          <w:rFonts w:hint="eastAsia" w:ascii="宋体" w:hAnsi="宋体" w:cs="宋体"/>
          <w:b/>
          <w:bCs/>
          <w:color w:val="auto"/>
          <w:spacing w:val="4"/>
          <w:szCs w:val="21"/>
        </w:rPr>
      </w:pPr>
      <w:r>
        <w:rPr>
          <w:rFonts w:hint="eastAsia" w:ascii="宋体" w:hAnsi="宋体" w:cs="宋体"/>
          <w:b/>
          <w:bCs/>
          <w:color w:val="auto"/>
          <w:spacing w:val="4"/>
          <w:szCs w:val="21"/>
          <w:lang w:val="en-US" w:eastAsia="zh-CN"/>
        </w:rPr>
        <w:t>注</w:t>
      </w:r>
      <w:r>
        <w:rPr>
          <w:rFonts w:hint="eastAsia" w:ascii="宋体" w:hAnsi="宋体" w:cs="宋体"/>
          <w:b/>
          <w:bCs/>
          <w:color w:val="auto"/>
          <w:spacing w:val="4"/>
          <w:szCs w:val="21"/>
        </w:rPr>
        <w:t>：非残疾人福利企业可以不提供本声明函</w:t>
      </w:r>
    </w:p>
    <w:p>
      <w:pPr>
        <w:spacing w:line="588" w:lineRule="exact"/>
        <w:ind w:firstLine="624" w:firstLineChars="200"/>
        <w:rPr>
          <w:rFonts w:hint="eastAsia" w:ascii="宋体" w:hAnsi="宋体" w:cs="宋体"/>
          <w:color w:val="auto"/>
          <w:spacing w:val="6"/>
          <w:sz w:val="30"/>
          <w:szCs w:val="30"/>
        </w:rPr>
      </w:pPr>
    </w:p>
    <w:p>
      <w:pPr>
        <w:spacing w:before="312" w:beforeLines="100" w:after="156" w:afterLines="50" w:line="360" w:lineRule="auto"/>
        <w:ind w:firstLine="4796" w:firstLineChars="2200"/>
        <w:rPr>
          <w:rFonts w:hint="eastAsia" w:ascii="宋体" w:hAnsi="宋体" w:cs="宋体"/>
          <w:color w:val="auto"/>
          <w:spacing w:val="4"/>
          <w:szCs w:val="21"/>
        </w:rPr>
      </w:pPr>
      <w:r>
        <w:rPr>
          <w:rFonts w:hint="eastAsia" w:ascii="宋体" w:hAnsi="宋体" w:cs="宋体"/>
          <w:color w:val="auto"/>
          <w:spacing w:val="4"/>
          <w:szCs w:val="21"/>
        </w:rPr>
        <w:t>单位名称（盖章）：</w:t>
      </w:r>
    </w:p>
    <w:p>
      <w:pPr>
        <w:spacing w:before="312" w:beforeLines="100" w:after="156" w:afterLines="50" w:line="360" w:lineRule="auto"/>
        <w:ind w:firstLine="3873" w:firstLineChars="1777"/>
        <w:rPr>
          <w:rFonts w:hint="eastAsia" w:ascii="宋体" w:hAnsi="宋体" w:cs="宋体"/>
          <w:color w:val="auto"/>
          <w:spacing w:val="4"/>
          <w:szCs w:val="21"/>
        </w:rPr>
      </w:pPr>
      <w:r>
        <w:rPr>
          <w:rFonts w:hint="eastAsia" w:ascii="宋体" w:hAnsi="宋体" w:cs="宋体"/>
          <w:color w:val="auto"/>
          <w:spacing w:val="4"/>
          <w:szCs w:val="21"/>
        </w:rPr>
        <w:t xml:space="preserve">         日   期：</w:t>
      </w:r>
    </w:p>
    <w:p>
      <w:pPr>
        <w:rPr>
          <w:rFonts w:asciiTheme="minorEastAsia" w:hAnsiTheme="minorEastAsia" w:eastAsiaTheme="minorEastAsia"/>
          <w:szCs w:val="36"/>
        </w:rPr>
      </w:pPr>
      <w:r>
        <w:rPr>
          <w:rFonts w:asciiTheme="minorEastAsia" w:hAnsiTheme="minorEastAsia" w:eastAsiaTheme="minorEastAsia"/>
          <w:szCs w:val="36"/>
        </w:rPr>
        <w:br w:type="page"/>
      </w:r>
    </w:p>
    <w:p/>
    <w:p>
      <w:pPr>
        <w:pStyle w:val="23"/>
        <w:rPr>
          <w:rFonts w:asciiTheme="minorEastAsia" w:hAnsiTheme="minorEastAsia" w:eastAsiaTheme="minorEastAsia"/>
          <w:szCs w:val="36"/>
        </w:rPr>
      </w:pPr>
      <w:bookmarkStart w:id="78" w:name="_Toc1302"/>
      <w:r>
        <w:rPr>
          <w:rFonts w:hint="eastAsia" w:asciiTheme="minorEastAsia" w:hAnsiTheme="minorEastAsia" w:eastAsiaTheme="minorEastAsia"/>
        </w:rPr>
        <w:t>四、谈判保证金</w:t>
      </w:r>
      <w:bookmarkEnd w:id="75"/>
      <w:bookmarkEnd w:id="78"/>
    </w:p>
    <w:p>
      <w:pPr>
        <w:spacing w:line="360" w:lineRule="auto"/>
        <w:ind w:left="1"/>
        <w:jc w:val="center"/>
        <w:rPr>
          <w:rFonts w:asciiTheme="minorEastAsia" w:hAnsiTheme="minorEastAsia" w:eastAsiaTheme="minorEastAsia"/>
          <w:b/>
          <w:sz w:val="36"/>
          <w:szCs w:val="36"/>
        </w:rPr>
      </w:pPr>
    </w:p>
    <w:p>
      <w:pPr>
        <w:spacing w:line="360" w:lineRule="auto"/>
        <w:ind w:left="1"/>
        <w:rPr>
          <w:rFonts w:asciiTheme="minorEastAsia" w:hAnsiTheme="minorEastAsia" w:eastAsiaTheme="minorEastAsia"/>
          <w:szCs w:val="21"/>
        </w:rPr>
      </w:pPr>
      <w:r>
        <w:rPr>
          <w:rFonts w:hint="eastAsia" w:asciiTheme="minorEastAsia" w:hAnsiTheme="minorEastAsia" w:eastAsiaTheme="minorEastAsia"/>
          <w:szCs w:val="21"/>
        </w:rPr>
        <w:t>注：</w:t>
      </w:r>
    </w:p>
    <w:p>
      <w:pPr>
        <w:numPr>
          <w:ilvl w:val="0"/>
          <w:numId w:val="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谈判保证金不接受现金或支票形式。谈判保证金缴纳凭证复印件粘贴或装订在此处。</w:t>
      </w:r>
    </w:p>
    <w:p>
      <w:pPr>
        <w:numPr>
          <w:ilvl w:val="0"/>
          <w:numId w:val="4"/>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提供投标担保函的请将原件装订在此处。</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p>
    <w:p>
      <w:pPr>
        <w:jc w:val="center"/>
        <w:rPr>
          <w:rFonts w:asciiTheme="minorEastAsia" w:hAnsiTheme="minorEastAsia" w:eastAsiaTheme="minorEastAsia"/>
          <w:sz w:val="24"/>
          <w:szCs w:val="24"/>
        </w:rPr>
      </w:pPr>
    </w:p>
    <w:p>
      <w:pPr>
        <w:jc w:val="center"/>
        <w:rPr>
          <w:rFonts w:hint="default" w:asciiTheme="minorEastAsia" w:hAnsiTheme="minorEastAsia" w:eastAsiaTheme="minorEastAsia"/>
          <w:b/>
          <w:sz w:val="52"/>
          <w:szCs w:val="52"/>
          <w:lang w:val="en-US"/>
        </w:rPr>
      </w:pPr>
      <w:r>
        <w:rPr>
          <w:rFonts w:hint="eastAsia" w:asciiTheme="minorEastAsia" w:hAnsiTheme="minorEastAsia" w:eastAsiaTheme="minorEastAsia"/>
          <w:b/>
          <w:sz w:val="36"/>
          <w:szCs w:val="36"/>
          <w:lang w:eastAsia="zh-CN"/>
        </w:rPr>
        <w:t>渭南市公安局临渭分局采集工作站</w:t>
      </w:r>
      <w:r>
        <w:rPr>
          <w:rFonts w:hint="eastAsia" w:asciiTheme="minorEastAsia" w:hAnsiTheme="minorEastAsia" w:eastAsiaTheme="minorEastAsia"/>
          <w:b/>
          <w:sz w:val="36"/>
          <w:szCs w:val="36"/>
          <w:lang w:val="en-US" w:eastAsia="zh-CN"/>
        </w:rPr>
        <w:t>采购项目</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竞争性谈判响应文件</w:t>
      </w:r>
    </w:p>
    <w:p>
      <w:pPr>
        <w:pStyle w:val="23"/>
        <w:rPr>
          <w:rFonts w:asciiTheme="minorEastAsia" w:hAnsiTheme="minorEastAsia" w:eastAsiaTheme="minorEastAsia"/>
        </w:rPr>
      </w:pPr>
      <w:bookmarkStart w:id="79" w:name="_Toc1723"/>
      <w:bookmarkStart w:id="80" w:name="_Toc495674347"/>
      <w:r>
        <w:rPr>
          <w:rFonts w:hint="eastAsia" w:asciiTheme="minorEastAsia" w:hAnsiTheme="minorEastAsia" w:eastAsiaTheme="minorEastAsia"/>
        </w:rPr>
        <w:t>（技术和商务部分）</w:t>
      </w:r>
      <w:bookmarkEnd w:id="79"/>
      <w:bookmarkEnd w:id="80"/>
    </w:p>
    <w:p>
      <w:pPr>
        <w:jc w:val="center"/>
        <w:rPr>
          <w:rFonts w:asciiTheme="minorEastAsia" w:hAnsiTheme="minorEastAsia" w:eastAsiaTheme="minorEastAsia"/>
          <w:b/>
          <w:sz w:val="30"/>
          <w:szCs w:val="30"/>
        </w:rPr>
      </w:pPr>
    </w:p>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p>
    <w:p>
      <w:pPr>
        <w:jc w:val="center"/>
        <w:rPr>
          <w:rFonts w:asciiTheme="minorEastAsia" w:hAnsiTheme="minorEastAsia" w:eastAsiaTheme="minorEastAsia"/>
          <w:sz w:val="72"/>
          <w:szCs w:val="72"/>
        </w:rPr>
      </w:pPr>
    </w:p>
    <w:p>
      <w:pPr>
        <w:tabs>
          <w:tab w:val="left" w:pos="2628"/>
        </w:tabs>
        <w:spacing w:line="360" w:lineRule="auto"/>
        <w:ind w:left="2382" w:leftChars="401" w:hanging="1540" w:hangingChars="5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p>
    <w:p>
      <w:pPr>
        <w:tabs>
          <w:tab w:val="left" w:pos="2628"/>
        </w:tabs>
        <w:spacing w:line="360" w:lineRule="auto"/>
        <w:ind w:left="2382" w:leftChars="401" w:hanging="1540" w:hangingChars="550"/>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项目</w:t>
      </w:r>
      <w:r>
        <w:rPr>
          <w:rFonts w:hint="eastAsia" w:asciiTheme="minorEastAsia" w:hAnsiTheme="minorEastAsia" w:eastAsiaTheme="minorEastAsia"/>
          <w:sz w:val="28"/>
          <w:szCs w:val="28"/>
        </w:rPr>
        <w:t>编号：</w:t>
      </w:r>
    </w:p>
    <w:p>
      <w:pPr>
        <w:spacing w:line="360" w:lineRule="auto"/>
        <w:ind w:left="1080"/>
        <w:rPr>
          <w:rFonts w:asciiTheme="minorEastAsia" w:hAnsiTheme="minorEastAsia" w:eastAsiaTheme="minorEastAsia"/>
          <w:sz w:val="30"/>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30"/>
        </w:rPr>
        <w:t xml:space="preserve">             </w:t>
      </w:r>
    </w:p>
    <w:p>
      <w:pPr>
        <w:spacing w:line="360" w:lineRule="auto"/>
        <w:ind w:left="1080"/>
        <w:rPr>
          <w:rFonts w:asciiTheme="minorEastAsia" w:hAnsiTheme="minorEastAsia" w:eastAsiaTheme="minorEastAsia"/>
          <w:sz w:val="30"/>
        </w:rPr>
      </w:pPr>
      <w:r>
        <w:rPr>
          <w:rFonts w:hint="eastAsia" w:asciiTheme="minorEastAsia" w:hAnsiTheme="minorEastAsia" w:eastAsiaTheme="minorEastAsia"/>
          <w:sz w:val="30"/>
        </w:rPr>
        <w:t xml:space="preserve">    </w:t>
      </w:r>
    </w:p>
    <w:p>
      <w:pPr>
        <w:spacing w:line="360" w:lineRule="auto"/>
        <w:ind w:left="1080"/>
        <w:rPr>
          <w:rFonts w:asciiTheme="minorEastAsia" w:hAnsiTheme="minorEastAsia" w:eastAsiaTheme="minorEastAsia"/>
          <w:sz w:val="30"/>
        </w:rPr>
      </w:pPr>
    </w:p>
    <w:p>
      <w:pPr>
        <w:spacing w:line="360" w:lineRule="auto"/>
        <w:ind w:left="1080"/>
        <w:rPr>
          <w:rFonts w:asciiTheme="minorEastAsia" w:hAnsiTheme="minorEastAsia" w:eastAsiaTheme="minorEastAsia"/>
          <w:sz w:val="44"/>
          <w:szCs w:val="44"/>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供应商名称：</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（公章）</w:t>
      </w:r>
    </w:p>
    <w:p>
      <w:pPr>
        <w:spacing w:line="5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28"/>
          <w:szCs w:val="28"/>
        </w:rPr>
        <w:t>日 期：</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月</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u w:val="single"/>
        </w:rPr>
        <w:t xml:space="preserve">  </w:t>
      </w:r>
      <w:r>
        <w:rPr>
          <w:rFonts w:hint="eastAsia" w:asciiTheme="minorEastAsia" w:hAnsiTheme="minorEastAsia" w:eastAsiaTheme="minorEastAsia"/>
          <w:b/>
          <w:sz w:val="28"/>
          <w:szCs w:val="28"/>
        </w:rPr>
        <w:t>日</w:t>
      </w:r>
      <w:r>
        <w:rPr>
          <w:rFonts w:hint="eastAsia" w:asciiTheme="minorEastAsia" w:hAnsiTheme="minorEastAsia" w:eastAsiaTheme="minorEastAsia"/>
          <w:b/>
          <w:sz w:val="36"/>
          <w:szCs w:val="36"/>
        </w:rPr>
        <w:br w:type="page"/>
      </w:r>
    </w:p>
    <w:p>
      <w:pPr>
        <w:spacing w:line="500" w:lineRule="exact"/>
        <w:jc w:val="center"/>
        <w:rPr>
          <w:rFonts w:asciiTheme="minorEastAsia" w:hAnsiTheme="minorEastAsia" w:eastAsiaTheme="minorEastAsia"/>
          <w:b/>
          <w:sz w:val="36"/>
          <w:szCs w:val="36"/>
        </w:rPr>
      </w:pPr>
    </w:p>
    <w:p>
      <w:pPr>
        <w:spacing w:line="500" w:lineRule="exact"/>
        <w:jc w:val="center"/>
        <w:rPr>
          <w:rFonts w:asciiTheme="minorEastAsia" w:hAnsiTheme="minorEastAsia" w:eastAsiaTheme="minorEastAsia"/>
          <w:b/>
          <w:bCs/>
          <w:spacing w:val="4"/>
          <w:sz w:val="32"/>
          <w:szCs w:val="32"/>
        </w:rPr>
      </w:pPr>
      <w:r>
        <w:rPr>
          <w:rFonts w:hint="eastAsia" w:asciiTheme="minorEastAsia" w:hAnsiTheme="minorEastAsia" w:eastAsiaTheme="minorEastAsia"/>
          <w:b/>
          <w:bCs/>
          <w:spacing w:val="4"/>
          <w:sz w:val="32"/>
          <w:szCs w:val="32"/>
        </w:rPr>
        <w:t>目 录</w:t>
      </w:r>
    </w:p>
    <w:p>
      <w:pPr>
        <w:spacing w:line="500" w:lineRule="exact"/>
        <w:jc w:val="center"/>
        <w:rPr>
          <w:rFonts w:asciiTheme="minorEastAsia" w:hAnsiTheme="minorEastAsia" w:eastAsiaTheme="minorEastAsia"/>
          <w:b/>
          <w:bCs/>
          <w:spacing w:val="4"/>
          <w:sz w:val="36"/>
          <w:szCs w:val="36"/>
        </w:rPr>
      </w:pPr>
    </w:p>
    <w:p>
      <w:pPr>
        <w:spacing w:before="120" w:line="36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（一）谈判报价函</w:t>
      </w:r>
    </w:p>
    <w:p>
      <w:pPr>
        <w:spacing w:before="120" w:line="36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（二）产品参数、技术指标和配置</w:t>
      </w:r>
    </w:p>
    <w:p>
      <w:pPr>
        <w:spacing w:before="120" w:line="36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（三）质量保证</w:t>
      </w:r>
    </w:p>
    <w:p>
      <w:pPr>
        <w:spacing w:before="120" w:line="36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（四）售后服务</w:t>
      </w:r>
    </w:p>
    <w:p>
      <w:pPr>
        <w:spacing w:before="120" w:line="360" w:lineRule="auto"/>
        <w:ind w:firstLine="1090" w:firstLineChars="500"/>
        <w:rPr>
          <w:rFonts w:asciiTheme="minorEastAsia" w:hAnsiTheme="minorEastAsia" w:eastAsiaTheme="minorEastAsia"/>
          <w:spacing w:val="4"/>
          <w:szCs w:val="21"/>
        </w:rPr>
      </w:pPr>
      <w:r>
        <w:rPr>
          <w:rFonts w:hint="eastAsia" w:asciiTheme="minorEastAsia" w:hAnsiTheme="minorEastAsia" w:eastAsiaTheme="minorEastAsia"/>
          <w:spacing w:val="4"/>
          <w:szCs w:val="21"/>
        </w:rPr>
        <w:t>（五）其他材料</w:t>
      </w:r>
    </w:p>
    <w:p>
      <w:pPr>
        <w:pStyle w:val="23"/>
        <w:spacing w:line="720" w:lineRule="auto"/>
        <w:rPr>
          <w:rFonts w:asciiTheme="minorEastAsia" w:hAnsiTheme="minorEastAsia" w:eastAsiaTheme="minorEastAsia"/>
          <w:sz w:val="28"/>
          <w:szCs w:val="28"/>
        </w:rPr>
      </w:pPr>
      <w:r>
        <w:rPr>
          <w:rFonts w:hint="eastAsia" w:asciiTheme="minorEastAsia" w:hAnsiTheme="minorEastAsia" w:eastAsiaTheme="minorEastAsia"/>
        </w:rPr>
        <w:br w:type="page"/>
      </w:r>
      <w:bookmarkStart w:id="81" w:name="_Toc30541"/>
      <w:bookmarkStart w:id="82" w:name="_Toc495674348"/>
      <w:r>
        <w:rPr>
          <w:rFonts w:hint="eastAsia" w:asciiTheme="minorEastAsia" w:hAnsiTheme="minorEastAsia" w:eastAsiaTheme="minorEastAsia"/>
          <w:sz w:val="28"/>
          <w:szCs w:val="28"/>
        </w:rPr>
        <w:t>一、谈判报价函</w:t>
      </w:r>
      <w:bookmarkEnd w:id="81"/>
      <w:bookmarkEnd w:id="82"/>
    </w:p>
    <w:p>
      <w:pPr>
        <w:spacing w:beforeLines="50" w:afterLines="50" w:line="51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（一）报价函</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（采购人名称）</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在考察现场并充分研究</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（竞争性谈判项目名称）（以下简称“本项目”）竞争性谈判文件的全部内容后，我方兹以：人民币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元（大写，人民币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元）承担</w:t>
      </w:r>
      <w:r>
        <w:rPr>
          <w:rFonts w:asciiTheme="minorEastAsia" w:hAnsiTheme="minorEastAsia" w:eastAsiaTheme="minorEastAsia"/>
          <w:szCs w:val="21"/>
        </w:rPr>
        <w:t>按照竞争性谈判文件中</w:t>
      </w:r>
      <w:r>
        <w:rPr>
          <w:rFonts w:hint="eastAsia" w:asciiTheme="minorEastAsia" w:hAnsiTheme="minorEastAsia" w:eastAsiaTheme="minorEastAsia"/>
          <w:szCs w:val="21"/>
        </w:rPr>
        <w:t>约定</w:t>
      </w:r>
      <w:r>
        <w:rPr>
          <w:rFonts w:asciiTheme="minorEastAsia" w:hAnsiTheme="minorEastAsia" w:eastAsiaTheme="minorEastAsia"/>
          <w:szCs w:val="21"/>
        </w:rPr>
        <w:t>的一切要求，提供竞争性谈判设备及技术服务，完成合同的责任和义务</w:t>
      </w:r>
      <w:r>
        <w:rPr>
          <w:rFonts w:hint="eastAsia" w:asciiTheme="minorEastAsia" w:hAnsiTheme="minorEastAsia" w:eastAsiaTheme="minorEastAsia"/>
          <w:szCs w:val="21"/>
        </w:rPr>
        <w:t>。</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如果我方成交，我方保证按照合同约定的日期开始本项目实施，</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天（日历日）内完成，并确保工程质量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u w:val="single"/>
        </w:rPr>
        <w:t>达到国家现行行业验收规范“合格”标准及第五章“</w:t>
      </w:r>
      <w:r>
        <w:rPr>
          <w:rFonts w:hint="eastAsia" w:asciiTheme="minorEastAsia" w:hAnsiTheme="minorEastAsia" w:eastAsiaTheme="minorEastAsia"/>
          <w:szCs w:val="21"/>
          <w:u w:val="single"/>
        </w:rPr>
        <w:t>采购内容及技术标准和要求”</w:t>
      </w:r>
      <w:r>
        <w:rPr>
          <w:rFonts w:hint="eastAsia" w:asciiTheme="minorEastAsia" w:hAnsiTheme="minorEastAsia" w:eastAsiaTheme="minorEastAsia"/>
          <w:szCs w:val="21"/>
        </w:rPr>
        <w:t>标准。我方同意本报价函在竞争性谈判文件规定的提交竞争性谈判响应文件截止时间后，在竞争性谈判文件规定的投标有效期期满前对我方具有约束力，且随时准备接受你方发出的成交通知书。</w:t>
      </w:r>
    </w:p>
    <w:p>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随本报价函递交的报价函附录是本报价函的组成部分，对我方构成约束力。</w:t>
      </w:r>
    </w:p>
    <w:p>
      <w:pPr>
        <w:spacing w:line="4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投标有效期自投标截止之日起90日历天。</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随同本报价函递交谈判保证金一份，金额为人民币（大写）：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元）。本次投标提交的谈判保证金从我公司账户转出。退还时，请退至我公司账户。</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在签署协议书之前，你方的成交通知书连同本报价函，包括报价函附录，对双方具有约束力。</w:t>
      </w:r>
    </w:p>
    <w:p>
      <w:pPr>
        <w:spacing w:line="480" w:lineRule="exact"/>
        <w:ind w:firstLine="420" w:firstLineChars="200"/>
        <w:rPr>
          <w:rFonts w:asciiTheme="minorEastAsia" w:hAnsiTheme="minorEastAsia" w:eastAsiaTheme="minorEastAsia"/>
          <w:szCs w:val="21"/>
        </w:rPr>
      </w:pPr>
    </w:p>
    <w:p>
      <w:pPr>
        <w:pStyle w:val="24"/>
      </w:pP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法人代表或委托代理人（签字或盖章）：</w:t>
      </w: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pStyle w:val="23"/>
        <w:spacing w:line="720" w:lineRule="auto"/>
        <w:rPr>
          <w:rFonts w:asciiTheme="minorEastAsia" w:hAnsiTheme="minorEastAsia" w:eastAsiaTheme="minorEastAsia"/>
          <w:b/>
          <w:sz w:val="40"/>
          <w:szCs w:val="22"/>
        </w:rPr>
      </w:pPr>
      <w:r>
        <w:rPr>
          <w:rFonts w:hint="eastAsia" w:asciiTheme="minorEastAsia" w:hAnsiTheme="minorEastAsia" w:eastAsiaTheme="minorEastAsia"/>
        </w:rPr>
        <w:br w:type="page"/>
      </w:r>
      <w:bookmarkStart w:id="83" w:name="_Toc13701"/>
      <w:bookmarkStart w:id="84" w:name="_Toc495674349"/>
      <w:r>
        <w:rPr>
          <w:rFonts w:hint="eastAsia" w:asciiTheme="minorEastAsia" w:hAnsiTheme="minorEastAsia" w:eastAsiaTheme="minorEastAsia"/>
          <w:sz w:val="28"/>
          <w:szCs w:val="28"/>
        </w:rPr>
        <w:t>（二）报价函附录</w:t>
      </w:r>
      <w:bookmarkEnd w:id="83"/>
      <w:bookmarkEnd w:id="84"/>
    </w:p>
    <w:p>
      <w:pPr>
        <w:rPr>
          <w:rFonts w:asciiTheme="minorEastAsia" w:hAnsiTheme="minorEastAsia" w:eastAsiaTheme="minorEastAsia"/>
          <w:szCs w:val="21"/>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项目编号</w:t>
      </w:r>
      <w:r>
        <w:rPr>
          <w:rFonts w:hint="eastAsia" w:asciiTheme="minorEastAsia" w:hAnsiTheme="minorEastAsia" w:eastAsiaTheme="minorEastAsia"/>
          <w:szCs w:val="21"/>
        </w:rPr>
        <w:t>）</w:t>
      </w:r>
    </w:p>
    <w:p>
      <w:pPr>
        <w:rPr>
          <w:rFonts w:asciiTheme="minorEastAsia" w:hAnsiTheme="minorEastAsia" w:eastAsiaTheme="minorEastAsia"/>
          <w:szCs w:val="21"/>
        </w:rPr>
      </w:pPr>
    </w:p>
    <w:tbl>
      <w:tblPr>
        <w:tblStyle w:val="2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竞争性谈判文件中规定的实质性要求和条件响应情况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898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完全响应招标文件规定的实质性要求和条件。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982" w:type="dxa"/>
            <w:vAlign w:val="center"/>
          </w:tcPr>
          <w:p>
            <w:pPr>
              <w:rPr>
                <w:rFonts w:asciiTheme="minorEastAsia" w:hAnsiTheme="minorEastAsia" w:eastAsiaTheme="minorEastAsia"/>
                <w:szCs w:val="21"/>
              </w:rPr>
            </w:pPr>
            <w:r>
              <w:rPr>
                <w:rFonts w:hint="eastAsia" w:asciiTheme="minorEastAsia" w:hAnsiTheme="minorEastAsia" w:eastAsiaTheme="minorEastAsia"/>
                <w:b/>
                <w:szCs w:val="21"/>
              </w:rPr>
              <w:t>备注：</w:t>
            </w:r>
            <w:r>
              <w:rPr>
                <w:rFonts w:hint="eastAsia" w:asciiTheme="minorEastAsia" w:hAnsiTheme="minorEastAsia" w:eastAsiaTheme="minorEastAsia"/>
                <w:szCs w:val="21"/>
              </w:rPr>
              <w:t>1、如供应商承诺响应竞争性谈判文件中规定的实质性要求和条件，上栏可不填写，但本页必须满足签字、盖章要求；</w:t>
            </w:r>
          </w:p>
          <w:p>
            <w:pPr>
              <w:rPr>
                <w:rFonts w:asciiTheme="minorEastAsia" w:hAnsiTheme="minorEastAsia" w:eastAsiaTheme="minorEastAsia"/>
                <w:szCs w:val="21"/>
              </w:rPr>
            </w:pPr>
            <w:r>
              <w:rPr>
                <w:rFonts w:hint="eastAsia" w:asciiTheme="minorEastAsia" w:hAnsiTheme="minorEastAsia" w:eastAsiaTheme="minorEastAsia"/>
                <w:szCs w:val="21"/>
              </w:rPr>
              <w:t>2、如供应商不仅承诺竞争性谈判文件中规定的实质性要求和条件，还有其他有利于采购人的承诺，则必须在上栏中予以具体说明；</w:t>
            </w:r>
          </w:p>
          <w:p>
            <w:pPr>
              <w:rPr>
                <w:rFonts w:asciiTheme="minorEastAsia" w:hAnsiTheme="minorEastAsia" w:eastAsiaTheme="minorEastAsia"/>
                <w:sz w:val="24"/>
              </w:rPr>
            </w:pPr>
            <w:r>
              <w:rPr>
                <w:rFonts w:hint="eastAsia" w:asciiTheme="minorEastAsia" w:hAnsiTheme="minorEastAsia" w:eastAsiaTheme="minorEastAsia"/>
                <w:szCs w:val="21"/>
              </w:rPr>
              <w:t>3、如供应商不承诺完全响应竞争性谈判文件中规定的实质性要求和条件，必须对不响应部分的内容予以具体说明。</w:t>
            </w:r>
          </w:p>
        </w:tc>
      </w:tr>
    </w:tbl>
    <w:p>
      <w:pPr>
        <w:spacing w:line="480" w:lineRule="auto"/>
        <w:ind w:firstLine="420" w:firstLineChars="200"/>
        <w:rPr>
          <w:rFonts w:hint="eastAsia" w:asciiTheme="minorEastAsia" w:hAnsiTheme="minorEastAsia" w:eastAsiaTheme="minorEastAsia"/>
          <w:szCs w:val="21"/>
        </w:rPr>
      </w:pP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法人代表或委托代理人（签字或盖章）：</w:t>
      </w:r>
    </w:p>
    <w:p>
      <w:pPr>
        <w:spacing w:line="60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bidi w:val="0"/>
      </w:pPr>
    </w:p>
    <w:p>
      <w:pPr>
        <w:bidi w:val="0"/>
      </w:pPr>
    </w:p>
    <w:p>
      <w:pPr>
        <w:bidi w:val="0"/>
      </w:pPr>
    </w:p>
    <w:p>
      <w:pPr>
        <w:bidi w:val="0"/>
        <w:rPr>
          <w:rFonts w:hint="eastAsia"/>
        </w:rPr>
      </w:pPr>
      <w:bookmarkStart w:id="85" w:name="_Toc495674350"/>
    </w:p>
    <w:p>
      <w:pPr>
        <w:rPr>
          <w:rFonts w:hint="eastAsia" w:asciiTheme="minorEastAsia" w:hAnsiTheme="minorEastAsia" w:eastAsiaTheme="minorEastAsia"/>
          <w:sz w:val="28"/>
          <w:szCs w:val="28"/>
        </w:rPr>
      </w:pPr>
      <w:bookmarkStart w:id="86" w:name="_Toc14793"/>
      <w:r>
        <w:rPr>
          <w:rFonts w:hint="eastAsia" w:asciiTheme="minorEastAsia" w:hAnsiTheme="minorEastAsia" w:eastAsiaTheme="minorEastAsia"/>
          <w:sz w:val="28"/>
          <w:szCs w:val="28"/>
        </w:rPr>
        <w:br w:type="page"/>
      </w:r>
    </w:p>
    <w:p>
      <w:pPr>
        <w:pStyle w:val="23"/>
        <w:spacing w:before="0" w:line="72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（三）谈判报价表</w:t>
      </w:r>
      <w:bookmarkEnd w:id="85"/>
      <w:bookmarkEnd w:id="86"/>
    </w:p>
    <w:tbl>
      <w:tblPr>
        <w:tblStyle w:val="26"/>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852"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4"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项目编号</w:t>
            </w:r>
          </w:p>
        </w:tc>
        <w:tc>
          <w:tcPr>
            <w:tcW w:w="6852" w:type="dxa"/>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19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谈判报价</w:t>
            </w:r>
          </w:p>
        </w:tc>
        <w:tc>
          <w:tcPr>
            <w:tcW w:w="6852" w:type="dxa"/>
            <w:vAlign w:val="center"/>
          </w:tcPr>
          <w:p>
            <w:pPr>
              <w:spacing w:line="360" w:lineRule="exact"/>
              <w:rPr>
                <w:rFonts w:hint="eastAsia"/>
                <w:lang w:val="en-US" w:eastAsia="zh-CN"/>
              </w:rPr>
            </w:pPr>
            <w:r>
              <w:rPr>
                <w:rFonts w:hint="eastAsia"/>
                <w:lang w:val="en-US" w:eastAsia="zh-CN"/>
              </w:rPr>
              <w:t>大写：</w:t>
            </w:r>
          </w:p>
          <w:p>
            <w:pPr>
              <w:pStyle w:val="67"/>
              <w:ind w:left="0" w:leftChars="0" w:firstLine="0" w:firstLineChars="0"/>
              <w:rPr>
                <w:rFonts w:hint="eastAsia"/>
                <w:lang w:val="en-US" w:eastAsia="zh-CN"/>
              </w:rPr>
            </w:pPr>
          </w:p>
          <w:p>
            <w:pPr>
              <w:pStyle w:val="67"/>
              <w:ind w:left="0" w:leftChars="0" w:firstLine="0" w:firstLineChars="0"/>
              <w:rPr>
                <w:rFonts w:hint="default"/>
                <w:lang w:val="en-US" w:eastAsia="zh-CN"/>
              </w:rPr>
            </w:pPr>
            <w:r>
              <w:rPr>
                <w:rFonts w:hint="eastAsia"/>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9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供货期</w:t>
            </w:r>
          </w:p>
        </w:tc>
        <w:tc>
          <w:tcPr>
            <w:tcW w:w="6852" w:type="dxa"/>
            <w:vAlign w:val="center"/>
          </w:tcPr>
          <w:p>
            <w:pPr>
              <w:spacing w:line="360" w:lineRule="exact"/>
              <w:ind w:firstLine="422" w:firstLineChars="200"/>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9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6852" w:type="dxa"/>
            <w:vAlign w:val="center"/>
          </w:tcPr>
          <w:p>
            <w:pPr>
              <w:spacing w:line="360" w:lineRule="exact"/>
              <w:ind w:firstLine="422" w:firstLineChars="200"/>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9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6852" w:type="dxa"/>
            <w:vAlign w:val="center"/>
          </w:tcPr>
          <w:p>
            <w:pPr>
              <w:jc w:val="center"/>
              <w:rPr>
                <w:rFonts w:asciiTheme="minorEastAsia" w:hAnsiTheme="minorEastAsia" w:eastAsiaTheme="minorEastAsia"/>
                <w:szCs w:val="21"/>
              </w:rPr>
            </w:pPr>
          </w:p>
        </w:tc>
      </w:tr>
    </w:tbl>
    <w:p>
      <w:pPr>
        <w:spacing w:line="480" w:lineRule="exact"/>
        <w:ind w:firstLine="420" w:firstLineChars="200"/>
        <w:rPr>
          <w:rFonts w:asciiTheme="minorEastAsia" w:hAnsiTheme="minorEastAsia" w:eastAsiaTheme="minorEastAsia"/>
          <w:szCs w:val="21"/>
        </w:rPr>
      </w:pP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法人代表或委托代理人（签字或盖章）：</w:t>
      </w:r>
    </w:p>
    <w:p>
      <w:pPr>
        <w:spacing w:line="60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bidi w:val="0"/>
        <w:rPr>
          <w:rFonts w:hint="eastAsia"/>
        </w:rPr>
      </w:pPr>
    </w:p>
    <w:p>
      <w:pPr>
        <w:bidi w:val="0"/>
        <w:rPr>
          <w:rFonts w:hint="eastAsia"/>
        </w:rPr>
      </w:pPr>
    </w:p>
    <w:p>
      <w:pPr>
        <w:bidi w:val="0"/>
        <w:rPr>
          <w:rFonts w:hint="eastAsia"/>
        </w:rPr>
      </w:pPr>
    </w:p>
    <w:p>
      <w:pPr>
        <w:bidi w:val="0"/>
        <w:rPr>
          <w:rFonts w:hint="eastAsia"/>
        </w:rPr>
      </w:pPr>
      <w:r>
        <w:rPr>
          <w:rFonts w:hint="eastAsia"/>
        </w:rPr>
        <w:br w:type="page"/>
      </w:r>
      <w:bookmarkStart w:id="87" w:name="_Toc495674351"/>
    </w:p>
    <w:p>
      <w:pPr>
        <w:pStyle w:val="23"/>
        <w:spacing w:line="720" w:lineRule="auto"/>
        <w:jc w:val="center"/>
        <w:rPr>
          <w:rFonts w:cs="仿宋" w:asciiTheme="minorEastAsia" w:hAnsiTheme="minorEastAsia" w:eastAsiaTheme="minorEastAsia"/>
          <w:b/>
          <w:bCs/>
          <w:sz w:val="40"/>
          <w:szCs w:val="40"/>
          <w:lang w:val="zh-CN"/>
        </w:rPr>
      </w:pPr>
      <w:bookmarkStart w:id="88" w:name="_Toc25639"/>
      <w:r>
        <w:rPr>
          <w:rFonts w:hint="eastAsia" w:asciiTheme="minorEastAsia" w:hAnsiTheme="minorEastAsia" w:eastAsiaTheme="minorEastAsia"/>
          <w:sz w:val="28"/>
          <w:szCs w:val="24"/>
        </w:rPr>
        <w:t>（四）分项报价表</w:t>
      </w:r>
      <w:bookmarkEnd w:id="87"/>
      <w:bookmarkEnd w:id="88"/>
    </w:p>
    <w:tbl>
      <w:tblPr>
        <w:tblStyle w:val="2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75"/>
        <w:gridCol w:w="936"/>
        <w:gridCol w:w="1390"/>
        <w:gridCol w:w="780"/>
        <w:gridCol w:w="925"/>
        <w:gridCol w:w="1085"/>
        <w:gridCol w:w="89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645"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275"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lang w:eastAsia="zh-CN"/>
              </w:rPr>
              <w:t>货物</w:t>
            </w:r>
            <w:r>
              <w:rPr>
                <w:rFonts w:hint="eastAsia" w:asciiTheme="minorEastAsia" w:hAnsiTheme="minorEastAsia" w:eastAsiaTheme="minorEastAsia"/>
                <w:b/>
                <w:bCs/>
                <w:szCs w:val="21"/>
              </w:rPr>
              <w:t>名称</w:t>
            </w:r>
          </w:p>
        </w:tc>
        <w:tc>
          <w:tcPr>
            <w:tcW w:w="936"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品牌</w:t>
            </w:r>
          </w:p>
        </w:tc>
        <w:tc>
          <w:tcPr>
            <w:tcW w:w="1390"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规格型号</w:t>
            </w:r>
          </w:p>
        </w:tc>
        <w:tc>
          <w:tcPr>
            <w:tcW w:w="780"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产地</w:t>
            </w:r>
          </w:p>
        </w:tc>
        <w:tc>
          <w:tcPr>
            <w:tcW w:w="925"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085"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892"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单价</w:t>
            </w:r>
          </w:p>
        </w:tc>
        <w:tc>
          <w:tcPr>
            <w:tcW w:w="914" w:type="dxa"/>
            <w:vAlign w:val="center"/>
          </w:tcPr>
          <w:p>
            <w:pPr>
              <w:spacing w:line="4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45" w:type="dxa"/>
            <w:vAlign w:val="center"/>
          </w:tcPr>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5" w:type="dxa"/>
            <w:vAlign w:val="center"/>
          </w:tcPr>
          <w:p>
            <w:pPr>
              <w:rPr>
                <w:rFonts w:asciiTheme="minorEastAsia" w:hAnsiTheme="minorEastAsia" w:eastAsiaTheme="minorEastAsia"/>
                <w:szCs w:val="21"/>
              </w:rPr>
            </w:pPr>
          </w:p>
        </w:tc>
        <w:tc>
          <w:tcPr>
            <w:tcW w:w="936" w:type="dxa"/>
            <w:vAlign w:val="center"/>
          </w:tcPr>
          <w:p>
            <w:pPr>
              <w:spacing w:line="480" w:lineRule="exact"/>
              <w:ind w:firstLine="420" w:firstLineChars="200"/>
              <w:jc w:val="center"/>
              <w:rPr>
                <w:rFonts w:asciiTheme="minorEastAsia" w:hAnsiTheme="minorEastAsia" w:eastAsiaTheme="minorEastAsia"/>
                <w:szCs w:val="21"/>
              </w:rPr>
            </w:pPr>
          </w:p>
        </w:tc>
        <w:tc>
          <w:tcPr>
            <w:tcW w:w="1390" w:type="dxa"/>
            <w:vAlign w:val="center"/>
          </w:tcPr>
          <w:p>
            <w:pPr>
              <w:spacing w:line="480" w:lineRule="exact"/>
              <w:ind w:firstLine="420" w:firstLineChars="200"/>
              <w:jc w:val="center"/>
              <w:rPr>
                <w:rFonts w:asciiTheme="minorEastAsia" w:hAnsiTheme="minorEastAsia" w:eastAsiaTheme="minorEastAsia"/>
                <w:szCs w:val="21"/>
              </w:rPr>
            </w:pPr>
          </w:p>
        </w:tc>
        <w:tc>
          <w:tcPr>
            <w:tcW w:w="780" w:type="dxa"/>
            <w:vAlign w:val="center"/>
          </w:tcPr>
          <w:p>
            <w:pPr>
              <w:spacing w:line="480" w:lineRule="exact"/>
              <w:ind w:firstLine="420" w:firstLineChars="200"/>
              <w:jc w:val="center"/>
              <w:rPr>
                <w:rFonts w:asciiTheme="minorEastAsia" w:hAnsiTheme="minorEastAsia" w:eastAsiaTheme="minorEastAsia"/>
                <w:szCs w:val="21"/>
              </w:rPr>
            </w:pPr>
          </w:p>
        </w:tc>
        <w:tc>
          <w:tcPr>
            <w:tcW w:w="925" w:type="dxa"/>
            <w:vAlign w:val="center"/>
          </w:tcPr>
          <w:p>
            <w:pPr>
              <w:spacing w:line="480" w:lineRule="exact"/>
              <w:ind w:firstLine="420" w:firstLineChars="200"/>
              <w:jc w:val="center"/>
              <w:rPr>
                <w:rFonts w:asciiTheme="minorEastAsia" w:hAnsiTheme="minorEastAsia" w:eastAsiaTheme="minorEastAsia"/>
                <w:szCs w:val="21"/>
              </w:rPr>
            </w:pPr>
          </w:p>
        </w:tc>
        <w:tc>
          <w:tcPr>
            <w:tcW w:w="1085" w:type="dxa"/>
            <w:vAlign w:val="center"/>
          </w:tcPr>
          <w:p>
            <w:pPr>
              <w:spacing w:line="480" w:lineRule="exact"/>
              <w:ind w:firstLine="420" w:firstLineChars="200"/>
              <w:jc w:val="center"/>
              <w:rPr>
                <w:rFonts w:asciiTheme="minorEastAsia" w:hAnsiTheme="minorEastAsia" w:eastAsiaTheme="minorEastAsia"/>
                <w:szCs w:val="21"/>
              </w:rPr>
            </w:pPr>
          </w:p>
        </w:tc>
        <w:tc>
          <w:tcPr>
            <w:tcW w:w="892" w:type="dxa"/>
            <w:vAlign w:val="center"/>
          </w:tcPr>
          <w:p>
            <w:pPr>
              <w:spacing w:line="480" w:lineRule="exact"/>
              <w:ind w:firstLine="420" w:firstLineChars="200"/>
              <w:jc w:val="center"/>
              <w:rPr>
                <w:rFonts w:asciiTheme="minorEastAsia" w:hAnsiTheme="minorEastAsia" w:eastAsiaTheme="minorEastAsia"/>
                <w:szCs w:val="21"/>
              </w:rPr>
            </w:pPr>
          </w:p>
        </w:tc>
        <w:tc>
          <w:tcPr>
            <w:tcW w:w="914" w:type="dxa"/>
            <w:vAlign w:val="center"/>
          </w:tcPr>
          <w:p>
            <w:pPr>
              <w:spacing w:line="480" w:lineRule="exact"/>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45" w:type="dxa"/>
            <w:vAlign w:val="center"/>
          </w:tcPr>
          <w:p>
            <w:pPr>
              <w:spacing w:line="4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1275" w:type="dxa"/>
            <w:vAlign w:val="center"/>
          </w:tcPr>
          <w:p>
            <w:pPr>
              <w:rPr>
                <w:rFonts w:asciiTheme="minorEastAsia" w:hAnsiTheme="minorEastAsia" w:eastAsiaTheme="minorEastAsia"/>
                <w:szCs w:val="21"/>
              </w:rPr>
            </w:pPr>
          </w:p>
        </w:tc>
        <w:tc>
          <w:tcPr>
            <w:tcW w:w="936" w:type="dxa"/>
            <w:vAlign w:val="center"/>
          </w:tcPr>
          <w:p>
            <w:pPr>
              <w:spacing w:line="480" w:lineRule="exact"/>
              <w:ind w:firstLine="420" w:firstLineChars="200"/>
              <w:jc w:val="center"/>
              <w:rPr>
                <w:rFonts w:asciiTheme="minorEastAsia" w:hAnsiTheme="minorEastAsia" w:eastAsiaTheme="minorEastAsia"/>
                <w:szCs w:val="21"/>
              </w:rPr>
            </w:pPr>
          </w:p>
        </w:tc>
        <w:tc>
          <w:tcPr>
            <w:tcW w:w="1390" w:type="dxa"/>
            <w:vAlign w:val="center"/>
          </w:tcPr>
          <w:p>
            <w:pPr>
              <w:spacing w:line="480" w:lineRule="exact"/>
              <w:ind w:firstLine="420" w:firstLineChars="200"/>
              <w:jc w:val="center"/>
              <w:rPr>
                <w:rFonts w:asciiTheme="minorEastAsia" w:hAnsiTheme="minorEastAsia" w:eastAsiaTheme="minorEastAsia"/>
                <w:szCs w:val="21"/>
              </w:rPr>
            </w:pPr>
          </w:p>
        </w:tc>
        <w:tc>
          <w:tcPr>
            <w:tcW w:w="780" w:type="dxa"/>
            <w:vAlign w:val="center"/>
          </w:tcPr>
          <w:p>
            <w:pPr>
              <w:spacing w:line="480" w:lineRule="exact"/>
              <w:ind w:firstLine="420" w:firstLineChars="200"/>
              <w:jc w:val="center"/>
              <w:rPr>
                <w:rFonts w:asciiTheme="minorEastAsia" w:hAnsiTheme="minorEastAsia" w:eastAsiaTheme="minorEastAsia"/>
                <w:szCs w:val="21"/>
              </w:rPr>
            </w:pPr>
          </w:p>
        </w:tc>
        <w:tc>
          <w:tcPr>
            <w:tcW w:w="925" w:type="dxa"/>
            <w:vAlign w:val="center"/>
          </w:tcPr>
          <w:p>
            <w:pPr>
              <w:spacing w:line="480" w:lineRule="exact"/>
              <w:ind w:firstLine="420" w:firstLineChars="200"/>
              <w:jc w:val="center"/>
              <w:rPr>
                <w:rFonts w:asciiTheme="minorEastAsia" w:hAnsiTheme="minorEastAsia" w:eastAsiaTheme="minorEastAsia"/>
                <w:szCs w:val="21"/>
              </w:rPr>
            </w:pPr>
          </w:p>
        </w:tc>
        <w:tc>
          <w:tcPr>
            <w:tcW w:w="1085" w:type="dxa"/>
            <w:vAlign w:val="center"/>
          </w:tcPr>
          <w:p>
            <w:pPr>
              <w:spacing w:line="480" w:lineRule="exact"/>
              <w:ind w:firstLine="420" w:firstLineChars="200"/>
              <w:jc w:val="center"/>
              <w:rPr>
                <w:rFonts w:asciiTheme="minorEastAsia" w:hAnsiTheme="minorEastAsia" w:eastAsiaTheme="minorEastAsia"/>
                <w:szCs w:val="21"/>
              </w:rPr>
            </w:pPr>
          </w:p>
        </w:tc>
        <w:tc>
          <w:tcPr>
            <w:tcW w:w="892" w:type="dxa"/>
            <w:vAlign w:val="center"/>
          </w:tcPr>
          <w:p>
            <w:pPr>
              <w:spacing w:line="480" w:lineRule="exact"/>
              <w:ind w:firstLine="420" w:firstLineChars="200"/>
              <w:jc w:val="center"/>
              <w:rPr>
                <w:rFonts w:asciiTheme="minorEastAsia" w:hAnsiTheme="minorEastAsia" w:eastAsiaTheme="minorEastAsia"/>
                <w:szCs w:val="21"/>
              </w:rPr>
            </w:pPr>
          </w:p>
        </w:tc>
        <w:tc>
          <w:tcPr>
            <w:tcW w:w="914" w:type="dxa"/>
            <w:vAlign w:val="center"/>
          </w:tcPr>
          <w:p>
            <w:pPr>
              <w:spacing w:line="480" w:lineRule="exact"/>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45" w:type="dxa"/>
            <w:vAlign w:val="center"/>
          </w:tcPr>
          <w:p>
            <w:pPr>
              <w:spacing w:line="4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w:t>
            </w:r>
          </w:p>
        </w:tc>
        <w:tc>
          <w:tcPr>
            <w:tcW w:w="1275" w:type="dxa"/>
            <w:vAlign w:val="center"/>
          </w:tcPr>
          <w:p>
            <w:pPr>
              <w:rPr>
                <w:rFonts w:asciiTheme="minorEastAsia" w:hAnsiTheme="minorEastAsia" w:eastAsiaTheme="minorEastAsia"/>
                <w:szCs w:val="21"/>
              </w:rPr>
            </w:pPr>
          </w:p>
        </w:tc>
        <w:tc>
          <w:tcPr>
            <w:tcW w:w="936" w:type="dxa"/>
            <w:vAlign w:val="center"/>
          </w:tcPr>
          <w:p>
            <w:pPr>
              <w:spacing w:line="480" w:lineRule="exact"/>
              <w:ind w:firstLine="420" w:firstLineChars="200"/>
              <w:jc w:val="center"/>
              <w:rPr>
                <w:rFonts w:asciiTheme="minorEastAsia" w:hAnsiTheme="minorEastAsia" w:eastAsiaTheme="minorEastAsia"/>
                <w:szCs w:val="21"/>
              </w:rPr>
            </w:pPr>
          </w:p>
        </w:tc>
        <w:tc>
          <w:tcPr>
            <w:tcW w:w="1390" w:type="dxa"/>
            <w:vAlign w:val="center"/>
          </w:tcPr>
          <w:p>
            <w:pPr>
              <w:spacing w:line="480" w:lineRule="exact"/>
              <w:ind w:firstLine="420" w:firstLineChars="200"/>
              <w:jc w:val="center"/>
              <w:rPr>
                <w:rFonts w:asciiTheme="minorEastAsia" w:hAnsiTheme="minorEastAsia" w:eastAsiaTheme="minorEastAsia"/>
                <w:szCs w:val="21"/>
              </w:rPr>
            </w:pPr>
          </w:p>
        </w:tc>
        <w:tc>
          <w:tcPr>
            <w:tcW w:w="780" w:type="dxa"/>
            <w:vAlign w:val="center"/>
          </w:tcPr>
          <w:p>
            <w:pPr>
              <w:spacing w:line="480" w:lineRule="exact"/>
              <w:ind w:firstLine="420" w:firstLineChars="200"/>
              <w:jc w:val="center"/>
              <w:rPr>
                <w:rFonts w:asciiTheme="minorEastAsia" w:hAnsiTheme="minorEastAsia" w:eastAsiaTheme="minorEastAsia"/>
                <w:szCs w:val="21"/>
              </w:rPr>
            </w:pPr>
          </w:p>
        </w:tc>
        <w:tc>
          <w:tcPr>
            <w:tcW w:w="925" w:type="dxa"/>
            <w:vAlign w:val="center"/>
          </w:tcPr>
          <w:p>
            <w:pPr>
              <w:spacing w:line="480" w:lineRule="exact"/>
              <w:ind w:firstLine="420" w:firstLineChars="200"/>
              <w:jc w:val="center"/>
              <w:rPr>
                <w:rFonts w:asciiTheme="minorEastAsia" w:hAnsiTheme="minorEastAsia" w:eastAsiaTheme="minorEastAsia"/>
                <w:szCs w:val="21"/>
              </w:rPr>
            </w:pPr>
          </w:p>
        </w:tc>
        <w:tc>
          <w:tcPr>
            <w:tcW w:w="1085" w:type="dxa"/>
            <w:vAlign w:val="center"/>
          </w:tcPr>
          <w:p>
            <w:pPr>
              <w:spacing w:line="480" w:lineRule="exact"/>
              <w:ind w:firstLine="420" w:firstLineChars="200"/>
              <w:jc w:val="center"/>
              <w:rPr>
                <w:rFonts w:asciiTheme="minorEastAsia" w:hAnsiTheme="minorEastAsia" w:eastAsiaTheme="minorEastAsia"/>
                <w:szCs w:val="21"/>
              </w:rPr>
            </w:pPr>
          </w:p>
        </w:tc>
        <w:tc>
          <w:tcPr>
            <w:tcW w:w="892" w:type="dxa"/>
            <w:vAlign w:val="center"/>
          </w:tcPr>
          <w:p>
            <w:pPr>
              <w:spacing w:line="480" w:lineRule="exact"/>
              <w:ind w:firstLine="420" w:firstLineChars="200"/>
              <w:jc w:val="center"/>
              <w:rPr>
                <w:rFonts w:asciiTheme="minorEastAsia" w:hAnsiTheme="minorEastAsia" w:eastAsiaTheme="minorEastAsia"/>
                <w:szCs w:val="21"/>
              </w:rPr>
            </w:pPr>
          </w:p>
        </w:tc>
        <w:tc>
          <w:tcPr>
            <w:tcW w:w="914" w:type="dxa"/>
            <w:vAlign w:val="center"/>
          </w:tcPr>
          <w:p>
            <w:pPr>
              <w:spacing w:line="480" w:lineRule="exact"/>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645" w:type="dxa"/>
            <w:vAlign w:val="center"/>
          </w:tcPr>
          <w:p>
            <w:pPr>
              <w:spacing w:line="480" w:lineRule="exact"/>
              <w:jc w:val="center"/>
              <w:rPr>
                <w:rFonts w:hint="default" w:asciiTheme="minorEastAsia" w:hAnsiTheme="minorEastAsia" w:eastAsiaTheme="minorEastAsia"/>
                <w:szCs w:val="21"/>
                <w:lang w:val="en-US" w:eastAsia="zh-CN"/>
              </w:rPr>
            </w:pPr>
            <w:r>
              <w:t>N</w:t>
            </w:r>
          </w:p>
        </w:tc>
        <w:tc>
          <w:tcPr>
            <w:tcW w:w="1275" w:type="dxa"/>
            <w:vAlign w:val="center"/>
          </w:tcPr>
          <w:p>
            <w:pPr>
              <w:rPr>
                <w:rFonts w:hint="eastAsia" w:ascii="宋体" w:hAnsi="宋体" w:eastAsia="宋体" w:cs="宋体"/>
                <w:sz w:val="22"/>
                <w:szCs w:val="22"/>
                <w:lang w:val="en-US" w:eastAsia="zh-CN"/>
              </w:rPr>
            </w:pPr>
          </w:p>
        </w:tc>
        <w:tc>
          <w:tcPr>
            <w:tcW w:w="936" w:type="dxa"/>
            <w:vAlign w:val="center"/>
          </w:tcPr>
          <w:p>
            <w:pPr>
              <w:spacing w:line="480" w:lineRule="exact"/>
              <w:ind w:firstLine="420" w:firstLineChars="200"/>
              <w:jc w:val="center"/>
              <w:rPr>
                <w:rFonts w:hint="eastAsia" w:asciiTheme="minorEastAsia" w:hAnsiTheme="minorEastAsia" w:eastAsiaTheme="minorEastAsia"/>
                <w:szCs w:val="21"/>
                <w:lang w:val="en-US" w:eastAsia="zh-CN"/>
              </w:rPr>
            </w:pPr>
          </w:p>
        </w:tc>
        <w:tc>
          <w:tcPr>
            <w:tcW w:w="1390" w:type="dxa"/>
            <w:vAlign w:val="center"/>
          </w:tcPr>
          <w:p>
            <w:pPr>
              <w:spacing w:line="480" w:lineRule="exact"/>
              <w:ind w:firstLine="420" w:firstLineChars="200"/>
              <w:jc w:val="center"/>
              <w:rPr>
                <w:rFonts w:asciiTheme="minorEastAsia" w:hAnsiTheme="minorEastAsia" w:eastAsiaTheme="minorEastAsia"/>
                <w:szCs w:val="21"/>
              </w:rPr>
            </w:pPr>
          </w:p>
        </w:tc>
        <w:tc>
          <w:tcPr>
            <w:tcW w:w="780" w:type="dxa"/>
            <w:vAlign w:val="center"/>
          </w:tcPr>
          <w:p>
            <w:pPr>
              <w:spacing w:line="480" w:lineRule="exact"/>
              <w:ind w:firstLine="420" w:firstLineChars="200"/>
              <w:jc w:val="center"/>
              <w:rPr>
                <w:rFonts w:asciiTheme="minorEastAsia" w:hAnsiTheme="minorEastAsia" w:eastAsiaTheme="minorEastAsia"/>
                <w:szCs w:val="21"/>
              </w:rPr>
            </w:pPr>
          </w:p>
        </w:tc>
        <w:tc>
          <w:tcPr>
            <w:tcW w:w="925" w:type="dxa"/>
            <w:vAlign w:val="center"/>
          </w:tcPr>
          <w:p>
            <w:pPr>
              <w:spacing w:line="480" w:lineRule="exact"/>
              <w:ind w:firstLine="420" w:firstLineChars="200"/>
              <w:jc w:val="center"/>
              <w:rPr>
                <w:rFonts w:asciiTheme="minorEastAsia" w:hAnsiTheme="minorEastAsia" w:eastAsiaTheme="minorEastAsia"/>
                <w:szCs w:val="21"/>
              </w:rPr>
            </w:pPr>
          </w:p>
        </w:tc>
        <w:tc>
          <w:tcPr>
            <w:tcW w:w="1085" w:type="dxa"/>
            <w:vAlign w:val="center"/>
          </w:tcPr>
          <w:p>
            <w:pPr>
              <w:spacing w:line="480" w:lineRule="exact"/>
              <w:ind w:firstLine="420" w:firstLineChars="200"/>
              <w:jc w:val="center"/>
              <w:rPr>
                <w:rFonts w:asciiTheme="minorEastAsia" w:hAnsiTheme="minorEastAsia" w:eastAsiaTheme="minorEastAsia"/>
                <w:szCs w:val="21"/>
              </w:rPr>
            </w:pPr>
          </w:p>
        </w:tc>
        <w:tc>
          <w:tcPr>
            <w:tcW w:w="892" w:type="dxa"/>
            <w:vAlign w:val="center"/>
          </w:tcPr>
          <w:p>
            <w:pPr>
              <w:spacing w:line="480" w:lineRule="exact"/>
              <w:ind w:firstLine="420" w:firstLineChars="200"/>
              <w:jc w:val="center"/>
              <w:rPr>
                <w:rFonts w:asciiTheme="minorEastAsia" w:hAnsiTheme="minorEastAsia" w:eastAsiaTheme="minorEastAsia"/>
                <w:szCs w:val="21"/>
              </w:rPr>
            </w:pPr>
          </w:p>
        </w:tc>
        <w:tc>
          <w:tcPr>
            <w:tcW w:w="914" w:type="dxa"/>
            <w:vAlign w:val="center"/>
          </w:tcPr>
          <w:p>
            <w:pPr>
              <w:spacing w:line="480" w:lineRule="exact"/>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842" w:type="dxa"/>
            <w:gridSpan w:val="9"/>
            <w:vAlign w:val="center"/>
          </w:tcPr>
          <w:p>
            <w:pPr>
              <w:spacing w:line="480" w:lineRule="exact"/>
              <w:ind w:firstLine="420" w:firstLineChars="200"/>
              <w:jc w:val="both"/>
              <w:rPr>
                <w:rFonts w:hint="eastAsia"/>
              </w:rPr>
            </w:pPr>
            <w:r>
              <w:rPr>
                <w:rFonts w:hint="eastAsia"/>
              </w:rPr>
              <w:t>总报价（人民币大写）：                     （￥</w:t>
            </w:r>
            <w:r>
              <w:rPr>
                <w:rFonts w:hint="eastAsia"/>
                <w:lang w:eastAsia="zh-CN"/>
              </w:rPr>
              <w:t>：</w:t>
            </w:r>
            <w:r>
              <w:rPr>
                <w:rFonts w:hint="eastAsia"/>
              </w:rPr>
              <w:t xml:space="preserve">                  </w:t>
            </w:r>
            <w:r>
              <w:rPr>
                <w:rFonts w:hint="eastAsia"/>
                <w:lang w:eastAsia="zh-CN"/>
              </w:rPr>
              <w:t>万</w:t>
            </w:r>
            <w:r>
              <w:rPr>
                <w:rFonts w:hint="eastAsia"/>
              </w:rPr>
              <w:t>元）</w:t>
            </w:r>
          </w:p>
          <w:p>
            <w:pPr>
              <w:pStyle w:val="2"/>
              <w:jc w:val="center"/>
              <w:rPr>
                <w:rFonts w:hint="default"/>
                <w:lang w:val="en-US"/>
              </w:rPr>
            </w:pPr>
            <w:r>
              <w:rPr>
                <w:rFonts w:hint="eastAsia" w:ascii="Times New Roman" w:hAnsi="Times New Roman" w:eastAsia="宋体" w:cs="Times New Roman"/>
                <w:kern w:val="2"/>
                <w:sz w:val="21"/>
                <w:szCs w:val="20"/>
                <w:lang w:val="en-US" w:eastAsia="zh-CN" w:bidi="ar-SA"/>
              </w:rPr>
              <w:t>(表内报价内容以万元为单位，保留至小数点后两位)</w:t>
            </w:r>
          </w:p>
        </w:tc>
      </w:tr>
    </w:tbl>
    <w:p>
      <w:pPr>
        <w:spacing w:line="360" w:lineRule="auto"/>
        <w:ind w:firstLine="422" w:firstLineChars="200"/>
        <w:rPr>
          <w:rFonts w:hint="eastAsia" w:ascii="楷体" w:hAnsi="楷体" w:cs="楷体"/>
          <w:b/>
        </w:rPr>
      </w:pPr>
    </w:p>
    <w:p>
      <w:pPr>
        <w:spacing w:line="360" w:lineRule="auto"/>
        <w:ind w:firstLine="422" w:firstLineChars="200"/>
        <w:rPr>
          <w:rFonts w:hint="eastAsia" w:cs="Times New Roman" w:asciiTheme="minorEastAsia" w:hAnsiTheme="minorEastAsia" w:eastAsiaTheme="minorEastAsia"/>
          <w:szCs w:val="21"/>
        </w:rPr>
      </w:pPr>
      <w:r>
        <w:rPr>
          <w:rFonts w:hint="eastAsia" w:ascii="楷体" w:hAnsi="楷体" w:cs="楷体"/>
          <w:b/>
        </w:rPr>
        <w:t>注：</w:t>
      </w:r>
      <w:r>
        <w:rPr>
          <w:rFonts w:hint="eastAsia" w:cs="Times New Roman" w:asciiTheme="minorEastAsia" w:hAnsiTheme="minorEastAsia" w:eastAsiaTheme="minorEastAsia"/>
          <w:szCs w:val="21"/>
        </w:rPr>
        <w:t>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如果不提供详细分项报价将视为没有实质性响应竞争性</w:t>
      </w:r>
      <w:r>
        <w:rPr>
          <w:rFonts w:hint="eastAsia" w:cs="Times New Roman" w:asciiTheme="minorEastAsia" w:hAnsiTheme="minorEastAsia" w:eastAsiaTheme="minorEastAsia"/>
          <w:szCs w:val="21"/>
          <w:lang w:eastAsia="zh-CN"/>
        </w:rPr>
        <w:t>谈判</w:t>
      </w:r>
      <w:r>
        <w:rPr>
          <w:rFonts w:hint="eastAsia" w:cs="Times New Roman" w:asciiTheme="minorEastAsia" w:hAnsiTheme="minorEastAsia" w:eastAsiaTheme="minorEastAsia"/>
          <w:szCs w:val="21"/>
        </w:rPr>
        <w:t>文件；</w:t>
      </w:r>
    </w:p>
    <w:p>
      <w:pPr>
        <w:spacing w:line="360" w:lineRule="auto"/>
        <w:ind w:left="420" w:leftChars="0" w:firstLine="420" w:firstLineChars="2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2</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分项报价表列出</w:t>
      </w:r>
      <w:r>
        <w:rPr>
          <w:rFonts w:hint="eastAsia" w:cs="Times New Roman" w:asciiTheme="minorEastAsia" w:hAnsiTheme="minorEastAsia" w:eastAsiaTheme="minorEastAsia"/>
          <w:szCs w:val="21"/>
          <w:lang w:eastAsia="zh-CN"/>
        </w:rPr>
        <w:t>谈判</w:t>
      </w:r>
      <w:r>
        <w:rPr>
          <w:rFonts w:hint="eastAsia" w:cs="Times New Roman" w:asciiTheme="minorEastAsia" w:hAnsiTheme="minorEastAsia" w:eastAsiaTheme="minorEastAsia"/>
          <w:szCs w:val="21"/>
        </w:rPr>
        <w:t>报价的</w:t>
      </w:r>
      <w:r>
        <w:rPr>
          <w:rFonts w:hint="eastAsia" w:cs="Times New Roman" w:asciiTheme="minorEastAsia" w:hAnsiTheme="minorEastAsia" w:eastAsiaTheme="minorEastAsia"/>
          <w:szCs w:val="21"/>
          <w:lang w:val="en-US" w:eastAsia="zh-CN"/>
        </w:rPr>
        <w:t>分项</w:t>
      </w:r>
      <w:r>
        <w:rPr>
          <w:rFonts w:hint="eastAsia" w:cs="Times New Roman" w:asciiTheme="minorEastAsia" w:hAnsiTheme="minorEastAsia" w:eastAsiaTheme="minorEastAsia"/>
          <w:szCs w:val="21"/>
        </w:rPr>
        <w:t>明细，明细合计应与</w:t>
      </w:r>
      <w:r>
        <w:rPr>
          <w:rFonts w:hint="eastAsia" w:cs="Times New Roman" w:asciiTheme="minorEastAsia" w:hAnsiTheme="minorEastAsia" w:eastAsiaTheme="minorEastAsia"/>
          <w:szCs w:val="21"/>
          <w:lang w:eastAsia="zh-CN"/>
        </w:rPr>
        <w:t>谈判</w:t>
      </w:r>
      <w:r>
        <w:rPr>
          <w:rFonts w:hint="eastAsia" w:cs="Times New Roman" w:asciiTheme="minorEastAsia" w:hAnsiTheme="minorEastAsia" w:eastAsiaTheme="minorEastAsia"/>
          <w:szCs w:val="21"/>
        </w:rPr>
        <w:t>报价一览表一致</w:t>
      </w:r>
      <w:r>
        <w:rPr>
          <w:rFonts w:hint="eastAsia" w:cs="Times New Roman" w:asciiTheme="minorEastAsia" w:hAnsiTheme="minorEastAsia" w:eastAsiaTheme="minorEastAsia"/>
          <w:szCs w:val="21"/>
          <w:lang w:eastAsia="zh-CN"/>
        </w:rPr>
        <w:t>；</w:t>
      </w:r>
    </w:p>
    <w:p>
      <w:pPr>
        <w:spacing w:line="360" w:lineRule="auto"/>
        <w:ind w:left="420" w:leftChars="0"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所有根据合同或其它原因应由供应商支付的税款和其它应交纳的费用都要包括在供应商提交的响应价格中；</w:t>
      </w:r>
    </w:p>
    <w:p>
      <w:pPr>
        <w:spacing w:line="360" w:lineRule="auto"/>
        <w:ind w:left="420" w:leftChars="0"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应包含服务与货物运至最终目的地的运输</w:t>
      </w:r>
      <w:r>
        <w:rPr>
          <w:rFonts w:hint="eastAsia" w:cs="Times New Roman" w:asciiTheme="minorEastAsia" w:hAnsiTheme="minorEastAsia" w:eastAsiaTheme="minorEastAsia"/>
          <w:spacing w:val="0"/>
          <w:sz w:val="21"/>
          <w:szCs w:val="21"/>
        </w:rPr>
        <w:t>、保险</w:t>
      </w:r>
      <w:r>
        <w:rPr>
          <w:rFonts w:hint="eastAsia" w:cs="Times New Roman" w:asciiTheme="minorEastAsia" w:hAnsiTheme="minorEastAsia" w:eastAsiaTheme="minorEastAsia"/>
          <w:spacing w:val="0"/>
          <w:sz w:val="21"/>
          <w:szCs w:val="21"/>
          <w:lang w:eastAsia="zh-CN"/>
        </w:rPr>
        <w:t>、</w:t>
      </w:r>
      <w:r>
        <w:rPr>
          <w:rFonts w:hint="eastAsia" w:cs="Times New Roman" w:asciiTheme="minorEastAsia" w:hAnsiTheme="minorEastAsia" w:eastAsiaTheme="minorEastAsia"/>
          <w:szCs w:val="21"/>
          <w:lang w:val="en-US" w:eastAsia="zh-CN"/>
        </w:rPr>
        <w:t>安装调试</w:t>
      </w:r>
      <w:r>
        <w:rPr>
          <w:rFonts w:hint="eastAsia" w:cs="Times New Roman" w:asciiTheme="minorEastAsia" w:hAnsiTheme="minorEastAsia" w:eastAsiaTheme="minorEastAsia"/>
          <w:szCs w:val="21"/>
        </w:rPr>
        <w:t>和伴随服务的其他所有费用。</w:t>
      </w:r>
    </w:p>
    <w:p>
      <w:pPr>
        <w:spacing w:line="480" w:lineRule="exact"/>
        <w:rPr>
          <w:rFonts w:asciiTheme="minorEastAsia" w:hAnsiTheme="minorEastAsia" w:eastAsiaTheme="minorEastAsia"/>
          <w:szCs w:val="21"/>
        </w:rPr>
      </w:pPr>
    </w:p>
    <w:p>
      <w:pPr>
        <w:spacing w:line="480" w:lineRule="exact"/>
        <w:ind w:firstLine="420" w:firstLineChars="200"/>
        <w:rPr>
          <w:rFonts w:asciiTheme="minorEastAsia" w:hAnsiTheme="minorEastAsia" w:eastAsiaTheme="minorEastAsia"/>
          <w:szCs w:val="21"/>
        </w:rPr>
      </w:pP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供应商（盖章）：</w:t>
      </w:r>
    </w:p>
    <w:p>
      <w:pPr>
        <w:spacing w:line="60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法人代表或委托代理人（签字或盖章）：</w:t>
      </w:r>
    </w:p>
    <w:p>
      <w:pPr>
        <w:spacing w:line="60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600" w:lineRule="exact"/>
        <w:ind w:firstLine="420" w:firstLineChars="200"/>
        <w:rPr>
          <w:rFonts w:asciiTheme="minorEastAsia" w:hAnsiTheme="minorEastAsia" w:eastAsiaTheme="minorEastAsia"/>
          <w:szCs w:val="21"/>
        </w:rPr>
      </w:pPr>
    </w:p>
    <w:p>
      <w:pPr>
        <w:spacing w:line="600" w:lineRule="exact"/>
        <w:ind w:firstLine="420" w:firstLineChars="200"/>
        <w:rPr>
          <w:rFonts w:asciiTheme="minorEastAsia" w:hAnsiTheme="minorEastAsia" w:eastAsiaTheme="minorEastAsia"/>
          <w:szCs w:val="21"/>
        </w:rPr>
      </w:pPr>
    </w:p>
    <w:p>
      <w:pPr>
        <w:spacing w:line="600" w:lineRule="exact"/>
        <w:ind w:firstLine="420" w:firstLineChars="200"/>
        <w:rPr>
          <w:rFonts w:asciiTheme="minorEastAsia" w:hAnsiTheme="minorEastAsia" w:eastAsiaTheme="minorEastAsia"/>
          <w:szCs w:val="21"/>
        </w:rPr>
      </w:pPr>
    </w:p>
    <w:p>
      <w:pPr>
        <w:spacing w:line="510" w:lineRule="exact"/>
        <w:jc w:val="both"/>
        <w:rPr>
          <w:rFonts w:hint="eastAsia" w:asciiTheme="minorEastAsia" w:hAnsiTheme="minorEastAsia" w:eastAsiaTheme="minorEastAsia"/>
          <w:b/>
          <w:bCs/>
        </w:rPr>
      </w:pPr>
    </w:p>
    <w:p>
      <w:pPr>
        <w:spacing w:before="312" w:beforeLines="100" w:after="156" w:afterLines="50" w:line="510" w:lineRule="exact"/>
        <w:jc w:val="center"/>
        <w:rPr>
          <w:rFonts w:hint="eastAsia" w:ascii="宋体" w:hAnsi="宋体" w:cs="宋体"/>
          <w:b/>
          <w:color w:val="auto"/>
          <w:szCs w:val="21"/>
        </w:rPr>
      </w:pPr>
      <w:r>
        <w:rPr>
          <w:rFonts w:hint="eastAsia" w:ascii="宋体" w:hAnsi="宋体" w:cs="宋体"/>
          <w:b/>
          <w:color w:val="auto"/>
          <w:szCs w:val="21"/>
        </w:rPr>
        <w:t>（五）商务偏离表</w:t>
      </w:r>
    </w:p>
    <w:p>
      <w:pPr>
        <w:rPr>
          <w:rFonts w:hint="eastAsia" w:ascii="宋体" w:hAnsi="宋体" w:cs="宋体"/>
          <w:b/>
          <w:color w:val="auto"/>
          <w:szCs w:val="21"/>
        </w:rPr>
      </w:pPr>
    </w:p>
    <w:p>
      <w:pPr>
        <w:rPr>
          <w:rFonts w:ascii="宋体" w:hAnsi="宋体" w:cs="宋体"/>
          <w:color w:val="auto"/>
          <w:szCs w:val="21"/>
        </w:rPr>
      </w:pPr>
      <w:r>
        <w:rPr>
          <w:rFonts w:hint="eastAsia" w:ascii="宋体" w:hAnsi="宋体" w:cs="宋体"/>
          <w:b/>
          <w:color w:val="auto"/>
          <w:szCs w:val="21"/>
        </w:rPr>
        <w:t>项目名称：</w:t>
      </w:r>
      <w:r>
        <w:rPr>
          <w:rFonts w:hint="eastAsia" w:ascii="宋体" w:hAnsi="宋体" w:cs="宋体"/>
          <w:color w:val="auto"/>
          <w:szCs w:val="21"/>
          <w:u w:val="single"/>
        </w:rPr>
        <w:t>（项目名称）</w:t>
      </w:r>
    </w:p>
    <w:p>
      <w:pPr>
        <w:rPr>
          <w:rFonts w:ascii="宋体" w:hAnsi="宋体" w:cs="宋体"/>
          <w:color w:val="auto"/>
          <w:szCs w:val="21"/>
        </w:rPr>
      </w:pPr>
    </w:p>
    <w:tbl>
      <w:tblPr>
        <w:tblStyle w:val="26"/>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335"/>
        <w:gridCol w:w="283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3335" w:type="dxa"/>
            <w:noWrap w:val="0"/>
            <w:vAlign w:val="center"/>
          </w:tcPr>
          <w:p>
            <w:pPr>
              <w:jc w:val="center"/>
              <w:rPr>
                <w:rFonts w:ascii="宋体" w:hAnsi="宋体" w:cs="宋体"/>
                <w:b/>
                <w:color w:val="auto"/>
                <w:szCs w:val="21"/>
              </w:rPr>
            </w:pPr>
            <w:r>
              <w:rPr>
                <w:rFonts w:hint="eastAsia" w:ascii="宋体" w:hAnsi="宋体" w:cs="宋体"/>
                <w:b/>
                <w:color w:val="auto"/>
                <w:szCs w:val="21"/>
              </w:rPr>
              <w:t>招标要求</w:t>
            </w:r>
          </w:p>
        </w:tc>
        <w:tc>
          <w:tcPr>
            <w:tcW w:w="2835" w:type="dxa"/>
            <w:noWrap w:val="0"/>
            <w:vAlign w:val="center"/>
          </w:tcPr>
          <w:p>
            <w:pPr>
              <w:jc w:val="center"/>
              <w:rPr>
                <w:rFonts w:ascii="宋体" w:hAnsi="宋体" w:cs="宋体"/>
                <w:b/>
                <w:color w:val="auto"/>
                <w:szCs w:val="21"/>
              </w:rPr>
            </w:pPr>
            <w:r>
              <w:rPr>
                <w:rFonts w:hint="eastAsia" w:ascii="宋体" w:hAnsi="宋体" w:cs="宋体"/>
                <w:b/>
                <w:color w:val="auto"/>
                <w:szCs w:val="21"/>
              </w:rPr>
              <w:t>投标规格</w:t>
            </w:r>
          </w:p>
        </w:tc>
        <w:tc>
          <w:tcPr>
            <w:tcW w:w="1807" w:type="dxa"/>
            <w:noWrap w:val="0"/>
            <w:vAlign w:val="center"/>
          </w:tcPr>
          <w:p>
            <w:pPr>
              <w:jc w:val="center"/>
              <w:rPr>
                <w:rFonts w:ascii="宋体" w:hAnsi="宋体" w:cs="宋体"/>
                <w:b/>
                <w:color w:val="auto"/>
                <w:szCs w:val="21"/>
              </w:rPr>
            </w:pPr>
            <w:r>
              <w:rPr>
                <w:rFonts w:hint="eastAsia" w:ascii="宋体" w:hAnsi="宋体" w:cs="宋体"/>
                <w:b/>
                <w:color w:val="auto"/>
                <w:szCs w:val="21"/>
              </w:rPr>
              <w:t>偏离</w:t>
            </w:r>
          </w:p>
          <w:p>
            <w:pPr>
              <w:jc w:val="center"/>
              <w:rPr>
                <w:rFonts w:ascii="宋体" w:hAnsi="宋体" w:cs="宋体"/>
                <w:b/>
                <w:color w:val="auto"/>
                <w:szCs w:val="21"/>
              </w:rPr>
            </w:pPr>
            <w:r>
              <w:rPr>
                <w:rFonts w:hint="eastAsia" w:ascii="宋体" w:hAnsi="宋体" w:cs="宋体"/>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1</w:t>
            </w:r>
          </w:p>
        </w:tc>
        <w:tc>
          <w:tcPr>
            <w:tcW w:w="3335" w:type="dxa"/>
            <w:noWrap w:val="0"/>
            <w:vAlign w:val="center"/>
          </w:tcPr>
          <w:p>
            <w:pPr>
              <w:jc w:val="center"/>
              <w:rPr>
                <w:rFonts w:ascii="宋体" w:hAnsi="宋体" w:cs="宋体"/>
                <w:bCs/>
                <w:color w:val="auto"/>
                <w:szCs w:val="21"/>
              </w:rPr>
            </w:pPr>
            <w:r>
              <w:rPr>
                <w:rFonts w:hint="eastAsia" w:ascii="宋体" w:hAnsi="宋体" w:cs="宋体"/>
                <w:bCs/>
                <w:color w:val="auto"/>
                <w:szCs w:val="21"/>
              </w:rPr>
              <w:t>供货期：</w:t>
            </w: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2</w:t>
            </w:r>
          </w:p>
        </w:tc>
        <w:tc>
          <w:tcPr>
            <w:tcW w:w="3335"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付款方式：</w:t>
            </w: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3</w:t>
            </w:r>
          </w:p>
        </w:tc>
        <w:tc>
          <w:tcPr>
            <w:tcW w:w="3335" w:type="dxa"/>
            <w:noWrap w:val="0"/>
            <w:vAlign w:val="center"/>
          </w:tcPr>
          <w:p>
            <w:pPr>
              <w:jc w:val="center"/>
              <w:rPr>
                <w:rFonts w:hint="eastAsia" w:ascii="宋体" w:hAnsi="宋体" w:cs="宋体"/>
                <w:bCs/>
                <w:color w:val="auto"/>
                <w:szCs w:val="21"/>
              </w:rPr>
            </w:pPr>
            <w:r>
              <w:rPr>
                <w:rFonts w:hint="eastAsia" w:ascii="宋体" w:hAnsi="宋体" w:cs="宋体"/>
                <w:bCs/>
                <w:color w:val="auto"/>
                <w:szCs w:val="21"/>
              </w:rPr>
              <w:t>质保期：</w:t>
            </w: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4</w:t>
            </w:r>
          </w:p>
        </w:tc>
        <w:tc>
          <w:tcPr>
            <w:tcW w:w="3335" w:type="dxa"/>
            <w:noWrap w:val="0"/>
            <w:vAlign w:val="center"/>
          </w:tcPr>
          <w:p>
            <w:pPr>
              <w:jc w:val="center"/>
              <w:rPr>
                <w:rFonts w:ascii="宋体" w:hAnsi="宋体" w:cs="宋体"/>
                <w:bCs/>
                <w:color w:val="auto"/>
                <w:szCs w:val="21"/>
              </w:rPr>
            </w:pPr>
            <w:r>
              <w:rPr>
                <w:rFonts w:hint="eastAsia" w:ascii="宋体" w:hAnsi="宋体" w:cs="宋体"/>
                <w:bCs/>
                <w:color w:val="auto"/>
                <w:szCs w:val="21"/>
              </w:rPr>
              <w:t>合同条款：</w:t>
            </w: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p>
        </w:tc>
        <w:tc>
          <w:tcPr>
            <w:tcW w:w="3335" w:type="dxa"/>
            <w:noWrap w:val="0"/>
            <w:vAlign w:val="center"/>
          </w:tcPr>
          <w:p>
            <w:pPr>
              <w:jc w:val="center"/>
              <w:rPr>
                <w:rFonts w:ascii="宋体" w:hAnsi="宋体" w:cs="宋体"/>
                <w:b/>
                <w:color w:val="auto"/>
                <w:szCs w:val="21"/>
              </w:rPr>
            </w:pPr>
            <w:r>
              <w:rPr>
                <w:rFonts w:hint="eastAsia" w:ascii="宋体" w:hAnsi="宋体" w:cs="宋体"/>
                <w:bCs/>
                <w:color w:val="auto"/>
                <w:szCs w:val="21"/>
              </w:rPr>
              <w:t>... ...</w:t>
            </w: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p>
        </w:tc>
        <w:tc>
          <w:tcPr>
            <w:tcW w:w="3335" w:type="dxa"/>
            <w:noWrap w:val="0"/>
            <w:vAlign w:val="center"/>
          </w:tcPr>
          <w:p>
            <w:pPr>
              <w:jc w:val="center"/>
              <w:rPr>
                <w:rFonts w:ascii="宋体" w:hAnsi="宋体" w:cs="宋体"/>
                <w:b/>
                <w:color w:val="auto"/>
                <w:szCs w:val="21"/>
              </w:rPr>
            </w:pP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p>
        </w:tc>
        <w:tc>
          <w:tcPr>
            <w:tcW w:w="3335" w:type="dxa"/>
            <w:noWrap w:val="0"/>
            <w:vAlign w:val="center"/>
          </w:tcPr>
          <w:p>
            <w:pPr>
              <w:jc w:val="center"/>
              <w:rPr>
                <w:rFonts w:ascii="宋体" w:hAnsi="宋体" w:cs="宋体"/>
                <w:b/>
                <w:color w:val="auto"/>
                <w:szCs w:val="21"/>
              </w:rPr>
            </w:pP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p>
        </w:tc>
        <w:tc>
          <w:tcPr>
            <w:tcW w:w="3335" w:type="dxa"/>
            <w:noWrap w:val="0"/>
            <w:vAlign w:val="center"/>
          </w:tcPr>
          <w:p>
            <w:pPr>
              <w:jc w:val="center"/>
              <w:rPr>
                <w:rFonts w:ascii="宋体" w:hAnsi="宋体" w:cs="宋体"/>
                <w:b/>
                <w:color w:val="auto"/>
                <w:szCs w:val="21"/>
              </w:rPr>
            </w:pP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p>
        </w:tc>
        <w:tc>
          <w:tcPr>
            <w:tcW w:w="3335" w:type="dxa"/>
            <w:noWrap w:val="0"/>
            <w:vAlign w:val="center"/>
          </w:tcPr>
          <w:p>
            <w:pPr>
              <w:jc w:val="center"/>
              <w:rPr>
                <w:rFonts w:ascii="宋体" w:hAnsi="宋体" w:cs="宋体"/>
                <w:b/>
                <w:color w:val="auto"/>
                <w:szCs w:val="21"/>
              </w:rPr>
            </w:pP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5" w:type="dxa"/>
            <w:noWrap w:val="0"/>
            <w:vAlign w:val="center"/>
          </w:tcPr>
          <w:p>
            <w:pPr>
              <w:jc w:val="center"/>
              <w:rPr>
                <w:rFonts w:ascii="宋体" w:hAnsi="宋体" w:cs="宋体"/>
                <w:b/>
                <w:color w:val="auto"/>
                <w:szCs w:val="21"/>
              </w:rPr>
            </w:pPr>
          </w:p>
        </w:tc>
        <w:tc>
          <w:tcPr>
            <w:tcW w:w="3335" w:type="dxa"/>
            <w:noWrap w:val="0"/>
            <w:vAlign w:val="center"/>
          </w:tcPr>
          <w:p>
            <w:pPr>
              <w:jc w:val="center"/>
              <w:rPr>
                <w:rFonts w:ascii="宋体" w:hAnsi="宋体" w:cs="宋体"/>
                <w:b/>
                <w:color w:val="auto"/>
                <w:szCs w:val="21"/>
              </w:rPr>
            </w:pPr>
          </w:p>
        </w:tc>
        <w:tc>
          <w:tcPr>
            <w:tcW w:w="2835" w:type="dxa"/>
            <w:noWrap w:val="0"/>
            <w:vAlign w:val="center"/>
          </w:tcPr>
          <w:p>
            <w:pPr>
              <w:jc w:val="center"/>
              <w:rPr>
                <w:rFonts w:ascii="宋体" w:hAnsi="宋体" w:cs="宋体"/>
                <w:b/>
                <w:color w:val="auto"/>
                <w:szCs w:val="21"/>
              </w:rPr>
            </w:pPr>
          </w:p>
        </w:tc>
        <w:tc>
          <w:tcPr>
            <w:tcW w:w="1807" w:type="dxa"/>
            <w:noWrap w:val="0"/>
            <w:vAlign w:val="center"/>
          </w:tcPr>
          <w:p>
            <w:pPr>
              <w:jc w:val="center"/>
              <w:rPr>
                <w:rFonts w:ascii="宋体" w:hAnsi="宋体" w:cs="宋体"/>
                <w:b/>
                <w:color w:val="auto"/>
                <w:szCs w:val="21"/>
              </w:rPr>
            </w:pPr>
          </w:p>
        </w:tc>
      </w:tr>
    </w:tbl>
    <w:p>
      <w:pPr>
        <w:pStyle w:val="8"/>
        <w:rPr>
          <w:rFonts w:hint="eastAsia"/>
          <w:b/>
          <w:bCs/>
          <w:color w:val="auto"/>
        </w:rPr>
      </w:pPr>
      <w:r>
        <w:rPr>
          <w:rFonts w:hint="eastAsia"/>
          <w:b/>
          <w:bCs/>
          <w:color w:val="auto"/>
        </w:rPr>
        <w:t>注：1.供应商根据招标文件的商务要求及合同条款填写此表。在偏离项，必须注明“正偏离”、“负偏离”或“完全响应”，并予以说明。</w:t>
      </w:r>
    </w:p>
    <w:p>
      <w:pPr>
        <w:pStyle w:val="8"/>
        <w:rPr>
          <w:b/>
          <w:bCs/>
          <w:color w:val="auto"/>
        </w:rPr>
      </w:pPr>
      <w:r>
        <w:rPr>
          <w:rFonts w:hint="eastAsia"/>
          <w:b/>
          <w:bCs/>
          <w:color w:val="auto"/>
        </w:rPr>
        <w:t> 2.响应文件实际存在偏离，但供应商未在偏离表中注明的，视为无偏离，应当按照磋商文件的规定执行。成交供应商在签订合同时，不得以任何理由进行抗辩。</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color w:val="auto"/>
        </w:rPr>
      </w:pPr>
      <w:r>
        <w:rPr>
          <w:rFonts w:hint="eastAsia" w:ascii="宋体" w:hAnsi="宋体" w:cs="宋体"/>
          <w:color w:val="auto"/>
          <w:szCs w:val="21"/>
        </w:rPr>
        <w:t>供应商（盖章）：</w:t>
      </w:r>
    </w:p>
    <w:p>
      <w:pPr>
        <w:snapToGrid w:val="0"/>
        <w:spacing w:line="360" w:lineRule="auto"/>
        <w:ind w:firstLine="420" w:firstLineChars="200"/>
        <w:rPr>
          <w:color w:val="auto"/>
        </w:rPr>
      </w:pPr>
      <w:r>
        <w:rPr>
          <w:rFonts w:hint="eastAsia" w:ascii="宋体" w:hAnsi="宋体" w:cs="宋体"/>
          <w:color w:val="auto"/>
          <w:szCs w:val="21"/>
        </w:rPr>
        <w:t>法人代表或委托代理人（签字或盖章）：</w:t>
      </w:r>
    </w:p>
    <w:p>
      <w:pPr>
        <w:spacing w:before="312" w:beforeLines="100" w:after="156" w:afterLines="50" w:line="510" w:lineRule="exact"/>
        <w:jc w:val="center"/>
        <w:rPr>
          <w:rFonts w:hint="eastAsia" w:ascii="宋体" w:hAnsi="宋体" w:cs="宋体"/>
          <w:b/>
          <w:color w:val="auto"/>
          <w:sz w:val="30"/>
        </w:rPr>
      </w:pPr>
      <w:r>
        <w:rPr>
          <w:rFonts w:hint="eastAsia" w:ascii="宋体" w:hAnsi="宋体" w:cs="宋体"/>
          <w:color w:val="auto"/>
          <w:spacing w:val="4"/>
          <w:szCs w:val="21"/>
        </w:rPr>
        <w:t>日  期：</w:t>
      </w:r>
      <w:r>
        <w:rPr>
          <w:rFonts w:hint="eastAsia" w:ascii="宋体" w:hAnsi="宋体" w:cs="宋体"/>
          <w:color w:val="auto"/>
          <w:spacing w:val="4"/>
          <w:szCs w:val="21"/>
          <w:u w:val="single"/>
        </w:rPr>
        <w:t xml:space="preserve">    </w:t>
      </w:r>
      <w:r>
        <w:rPr>
          <w:rFonts w:hint="eastAsia" w:ascii="宋体" w:hAnsi="宋体" w:cs="宋体"/>
          <w:color w:val="auto"/>
          <w:spacing w:val="4"/>
          <w:szCs w:val="21"/>
        </w:rPr>
        <w:t>年</w:t>
      </w:r>
      <w:r>
        <w:rPr>
          <w:rFonts w:hint="eastAsia" w:ascii="宋体" w:hAnsi="宋体" w:cs="宋体"/>
          <w:color w:val="auto"/>
          <w:spacing w:val="4"/>
          <w:szCs w:val="21"/>
          <w:u w:val="single"/>
        </w:rPr>
        <w:t xml:space="preserve">    </w:t>
      </w:r>
      <w:r>
        <w:rPr>
          <w:rFonts w:hint="eastAsia" w:ascii="宋体" w:hAnsi="宋体" w:cs="宋体"/>
          <w:color w:val="auto"/>
          <w:spacing w:val="4"/>
          <w:szCs w:val="21"/>
        </w:rPr>
        <w:t>月</w:t>
      </w:r>
      <w:r>
        <w:rPr>
          <w:rFonts w:hint="eastAsia" w:ascii="宋体" w:hAnsi="宋体" w:cs="宋体"/>
          <w:color w:val="auto"/>
          <w:spacing w:val="4"/>
          <w:szCs w:val="21"/>
          <w:u w:val="single"/>
        </w:rPr>
        <w:t xml:space="preserve">    </w:t>
      </w:r>
      <w:r>
        <w:rPr>
          <w:rFonts w:hint="eastAsia" w:ascii="宋体" w:hAnsi="宋体" w:cs="宋体"/>
          <w:color w:val="auto"/>
          <w:spacing w:val="4"/>
          <w:szCs w:val="21"/>
        </w:rPr>
        <w:t>日</w:t>
      </w:r>
    </w:p>
    <w:p>
      <w:pPr>
        <w:spacing w:before="312" w:beforeLines="100" w:after="156" w:afterLines="50" w:line="510" w:lineRule="exact"/>
        <w:rPr>
          <w:rFonts w:hint="eastAsia" w:ascii="宋体" w:hAnsi="宋体" w:cs="宋体"/>
          <w:b/>
          <w:color w:val="auto"/>
          <w:sz w:val="30"/>
        </w:rPr>
      </w:pPr>
    </w:p>
    <w:p>
      <w:pPr>
        <w:spacing w:before="312" w:beforeLines="100" w:after="156" w:afterLines="50" w:line="510" w:lineRule="exact"/>
        <w:jc w:val="center"/>
        <w:rPr>
          <w:rFonts w:hint="eastAsia" w:ascii="宋体" w:hAnsi="宋体" w:cs="宋体"/>
          <w:b/>
          <w:color w:val="auto"/>
          <w:szCs w:val="21"/>
        </w:rPr>
      </w:pPr>
      <w:r>
        <w:rPr>
          <w:rFonts w:ascii="宋体" w:hAnsi="宋体" w:cs="宋体"/>
          <w:b/>
          <w:color w:val="auto"/>
          <w:sz w:val="30"/>
        </w:rPr>
        <w:br w:type="page"/>
      </w:r>
      <w:r>
        <w:rPr>
          <w:rFonts w:hint="eastAsia" w:ascii="宋体" w:hAnsi="宋体" w:cs="宋体"/>
          <w:b/>
          <w:color w:val="auto"/>
          <w:szCs w:val="21"/>
        </w:rPr>
        <w:t>（六）技术偏离表</w:t>
      </w:r>
    </w:p>
    <w:p>
      <w:pPr>
        <w:rPr>
          <w:rFonts w:ascii="宋体" w:hAnsi="宋体" w:cs="宋体"/>
          <w:color w:val="auto"/>
          <w:szCs w:val="21"/>
          <w:u w:val="single"/>
        </w:rPr>
      </w:pPr>
      <w:r>
        <w:rPr>
          <w:rFonts w:hint="eastAsia" w:ascii="宋体" w:hAnsi="宋体" w:cs="宋体"/>
          <w:b/>
          <w:color w:val="auto"/>
          <w:szCs w:val="21"/>
        </w:rPr>
        <w:t>项目名称</w:t>
      </w:r>
      <w:r>
        <w:rPr>
          <w:rFonts w:hint="eastAsia" w:ascii="宋体" w:hAnsi="宋体" w:cs="宋体"/>
          <w:b/>
          <w:color w:val="auto"/>
          <w:szCs w:val="21"/>
          <w:u w:val="single"/>
        </w:rPr>
        <w:t>：</w:t>
      </w:r>
      <w:r>
        <w:rPr>
          <w:rFonts w:hint="eastAsia" w:ascii="宋体" w:hAnsi="宋体" w:cs="宋体"/>
          <w:color w:val="auto"/>
          <w:szCs w:val="21"/>
          <w:u w:val="single"/>
        </w:rPr>
        <w:t>（项目名称）</w:t>
      </w:r>
    </w:p>
    <w:p>
      <w:pPr>
        <w:rPr>
          <w:rFonts w:ascii="宋体" w:hAnsi="宋体" w:cs="宋体"/>
          <w:color w:val="auto"/>
          <w:szCs w:val="21"/>
        </w:rPr>
      </w:pPr>
    </w:p>
    <w:tbl>
      <w:tblPr>
        <w:tblStyle w:val="2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37"/>
        <w:gridCol w:w="3179"/>
        <w:gridCol w:w="304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037" w:type="dxa"/>
            <w:noWrap w:val="0"/>
            <w:vAlign w:val="center"/>
          </w:tcPr>
          <w:p>
            <w:pPr>
              <w:jc w:val="center"/>
              <w:rPr>
                <w:rFonts w:ascii="宋体" w:hAnsi="宋体" w:cs="宋体"/>
                <w:b/>
                <w:color w:val="auto"/>
                <w:szCs w:val="21"/>
              </w:rPr>
            </w:pPr>
            <w:r>
              <w:rPr>
                <w:rFonts w:hint="eastAsia" w:ascii="宋体" w:hAnsi="宋体" w:cs="宋体"/>
                <w:b/>
                <w:color w:val="auto"/>
                <w:szCs w:val="21"/>
              </w:rPr>
              <w:t>项目</w:t>
            </w:r>
          </w:p>
        </w:tc>
        <w:tc>
          <w:tcPr>
            <w:tcW w:w="3179" w:type="dxa"/>
            <w:noWrap w:val="0"/>
            <w:vAlign w:val="center"/>
          </w:tcPr>
          <w:p>
            <w:pPr>
              <w:jc w:val="center"/>
              <w:rPr>
                <w:rFonts w:ascii="宋体" w:hAnsi="宋体" w:cs="宋体"/>
                <w:b/>
                <w:color w:val="auto"/>
                <w:szCs w:val="21"/>
              </w:rPr>
            </w:pPr>
            <w:r>
              <w:rPr>
                <w:rFonts w:hint="eastAsia" w:ascii="宋体" w:hAnsi="宋体" w:cs="宋体"/>
                <w:b/>
                <w:color w:val="auto"/>
                <w:szCs w:val="21"/>
              </w:rPr>
              <w:t>招标要求</w:t>
            </w:r>
          </w:p>
        </w:tc>
        <w:tc>
          <w:tcPr>
            <w:tcW w:w="3045" w:type="dxa"/>
            <w:noWrap w:val="0"/>
            <w:vAlign w:val="center"/>
          </w:tcPr>
          <w:p>
            <w:pPr>
              <w:jc w:val="center"/>
              <w:rPr>
                <w:rFonts w:ascii="宋体" w:hAnsi="宋体" w:cs="宋体"/>
                <w:b/>
                <w:color w:val="auto"/>
                <w:szCs w:val="21"/>
              </w:rPr>
            </w:pPr>
            <w:r>
              <w:rPr>
                <w:rFonts w:hint="eastAsia" w:ascii="宋体" w:hAnsi="宋体" w:cs="宋体"/>
                <w:b/>
                <w:color w:val="auto"/>
                <w:szCs w:val="21"/>
              </w:rPr>
              <w:t>投标规格</w:t>
            </w:r>
          </w:p>
        </w:tc>
        <w:tc>
          <w:tcPr>
            <w:tcW w:w="1051" w:type="dxa"/>
            <w:noWrap w:val="0"/>
            <w:vAlign w:val="center"/>
          </w:tcPr>
          <w:p>
            <w:pPr>
              <w:jc w:val="center"/>
              <w:rPr>
                <w:rFonts w:ascii="宋体" w:hAnsi="宋体" w:cs="宋体"/>
                <w:b/>
                <w:color w:val="auto"/>
                <w:szCs w:val="21"/>
              </w:rPr>
            </w:pPr>
            <w:r>
              <w:rPr>
                <w:rFonts w:hint="eastAsia" w:ascii="宋体" w:hAnsi="宋体" w:cs="宋体"/>
                <w:b/>
                <w:color w:val="auto"/>
                <w:szCs w:val="21"/>
              </w:rPr>
              <w:t>偏离</w:t>
            </w:r>
          </w:p>
          <w:p>
            <w:pPr>
              <w:jc w:val="center"/>
              <w:rPr>
                <w:rFonts w:ascii="宋体" w:hAnsi="宋体" w:cs="宋体"/>
                <w:b/>
                <w:color w:val="auto"/>
                <w:szCs w:val="21"/>
              </w:rPr>
            </w:pPr>
            <w:r>
              <w:rPr>
                <w:rFonts w:hint="eastAsia" w:ascii="宋体" w:hAnsi="宋体" w:cs="宋体"/>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8" w:type="dxa"/>
            <w:noWrap w:val="0"/>
            <w:vAlign w:val="center"/>
          </w:tcPr>
          <w:p>
            <w:pPr>
              <w:jc w:val="center"/>
              <w:rPr>
                <w:rFonts w:ascii="宋体" w:hAnsi="宋体" w:cs="宋体"/>
                <w:b/>
                <w:color w:val="auto"/>
                <w:szCs w:val="21"/>
              </w:rPr>
            </w:pPr>
          </w:p>
        </w:tc>
        <w:tc>
          <w:tcPr>
            <w:tcW w:w="1037" w:type="dxa"/>
            <w:noWrap w:val="0"/>
            <w:vAlign w:val="center"/>
          </w:tcPr>
          <w:p>
            <w:pPr>
              <w:jc w:val="center"/>
              <w:rPr>
                <w:rFonts w:ascii="宋体" w:hAnsi="宋体" w:cs="宋体"/>
                <w:b/>
                <w:color w:val="auto"/>
                <w:szCs w:val="21"/>
              </w:rPr>
            </w:pPr>
          </w:p>
        </w:tc>
        <w:tc>
          <w:tcPr>
            <w:tcW w:w="3179" w:type="dxa"/>
            <w:noWrap w:val="0"/>
            <w:vAlign w:val="center"/>
          </w:tcPr>
          <w:p>
            <w:pPr>
              <w:jc w:val="center"/>
              <w:rPr>
                <w:rFonts w:ascii="宋体" w:hAnsi="宋体" w:cs="宋体"/>
                <w:b/>
                <w:color w:val="auto"/>
                <w:szCs w:val="21"/>
              </w:rPr>
            </w:pPr>
          </w:p>
        </w:tc>
        <w:tc>
          <w:tcPr>
            <w:tcW w:w="3045" w:type="dxa"/>
            <w:noWrap w:val="0"/>
            <w:vAlign w:val="center"/>
          </w:tcPr>
          <w:p>
            <w:pPr>
              <w:jc w:val="center"/>
              <w:rPr>
                <w:rFonts w:ascii="宋体" w:hAnsi="宋体" w:cs="宋体"/>
                <w:b/>
                <w:color w:val="auto"/>
                <w:szCs w:val="21"/>
              </w:rPr>
            </w:pPr>
          </w:p>
        </w:tc>
        <w:tc>
          <w:tcPr>
            <w:tcW w:w="1051" w:type="dxa"/>
            <w:noWrap w:val="0"/>
            <w:vAlign w:val="center"/>
          </w:tcPr>
          <w:p>
            <w:pPr>
              <w:jc w:val="center"/>
              <w:rPr>
                <w:rFonts w:ascii="宋体" w:hAnsi="宋体" w:cs="宋体"/>
                <w:b/>
                <w:color w:val="auto"/>
                <w:szCs w:val="21"/>
              </w:rPr>
            </w:pPr>
          </w:p>
        </w:tc>
      </w:tr>
    </w:tbl>
    <w:p>
      <w:pPr>
        <w:pStyle w:val="8"/>
        <w:rPr>
          <w:rFonts w:hint="eastAsia"/>
          <w:b/>
          <w:bCs/>
          <w:color w:val="auto"/>
        </w:rPr>
      </w:pPr>
      <w:r>
        <w:rPr>
          <w:rFonts w:hint="eastAsia"/>
          <w:b/>
          <w:bCs/>
          <w:color w:val="auto"/>
        </w:rPr>
        <w:t>注：1.供应商根据磋商文件的“采购内容及要求”填写此表。在偏离项，必须注明“正偏离”、“负偏离”或“完全响应”，并予以说明。</w:t>
      </w:r>
    </w:p>
    <w:p>
      <w:pPr>
        <w:pStyle w:val="8"/>
        <w:rPr>
          <w:b/>
          <w:bCs/>
          <w:color w:val="auto"/>
        </w:rPr>
      </w:pPr>
      <w:r>
        <w:rPr>
          <w:rFonts w:hint="eastAsia"/>
          <w:b/>
          <w:bCs/>
          <w:color w:val="auto"/>
        </w:rPr>
        <w:t> 2.响应文件实际存在偏离，但供应商未在偏离表中注明的，视为无偏离，应当按照磋商文件的规定执行。成交供应商在签订合同时，不得以任何理由进行抗辩。</w:t>
      </w:r>
    </w:p>
    <w:p>
      <w:pPr>
        <w:snapToGrid w:val="0"/>
        <w:spacing w:line="360" w:lineRule="auto"/>
        <w:ind w:firstLine="422" w:firstLineChars="200"/>
        <w:rPr>
          <w:rFonts w:ascii="宋体" w:hAnsi="宋体" w:cs="宋体"/>
          <w:b/>
          <w:bCs/>
          <w:color w:val="auto"/>
          <w:szCs w:val="21"/>
        </w:rPr>
      </w:pPr>
    </w:p>
    <w:p>
      <w:pPr>
        <w:snapToGrid w:val="0"/>
        <w:spacing w:line="360" w:lineRule="auto"/>
        <w:ind w:firstLine="420" w:firstLineChars="200"/>
        <w:rPr>
          <w:color w:val="auto"/>
        </w:rPr>
      </w:pPr>
      <w:r>
        <w:rPr>
          <w:rFonts w:hint="eastAsia" w:ascii="宋体" w:hAnsi="宋体" w:cs="宋体"/>
          <w:color w:val="auto"/>
          <w:szCs w:val="21"/>
        </w:rPr>
        <w:t xml:space="preserve">供应商（盖章）： </w:t>
      </w:r>
    </w:p>
    <w:p>
      <w:pPr>
        <w:snapToGrid w:val="0"/>
        <w:spacing w:line="360" w:lineRule="auto"/>
        <w:ind w:firstLine="420" w:firstLineChars="200"/>
        <w:rPr>
          <w:color w:val="auto"/>
        </w:rPr>
      </w:pPr>
      <w:r>
        <w:rPr>
          <w:rFonts w:hint="eastAsia" w:ascii="宋体" w:hAnsi="宋体" w:cs="宋体"/>
          <w:color w:val="auto"/>
          <w:szCs w:val="21"/>
        </w:rPr>
        <w:t>法人代表或委托代理人（签字或盖章）：</w:t>
      </w:r>
    </w:p>
    <w:p>
      <w:pPr>
        <w:snapToGrid w:val="0"/>
        <w:spacing w:line="360" w:lineRule="auto"/>
        <w:ind w:firstLine="436" w:firstLineChars="200"/>
        <w:rPr>
          <w:rFonts w:ascii="宋体" w:hAnsi="宋体" w:cs="宋体"/>
          <w:color w:val="auto"/>
          <w:szCs w:val="21"/>
        </w:rPr>
      </w:pPr>
      <w:r>
        <w:rPr>
          <w:rFonts w:hint="eastAsia" w:ascii="宋体" w:hAnsi="宋体" w:cs="宋体"/>
          <w:color w:val="auto"/>
          <w:spacing w:val="4"/>
          <w:szCs w:val="21"/>
        </w:rPr>
        <w:t>日  期：</w:t>
      </w:r>
      <w:r>
        <w:rPr>
          <w:rFonts w:hint="eastAsia" w:ascii="宋体" w:hAnsi="宋体" w:cs="宋体"/>
          <w:color w:val="auto"/>
          <w:spacing w:val="4"/>
          <w:szCs w:val="21"/>
          <w:u w:val="single"/>
        </w:rPr>
        <w:t xml:space="preserve">    </w:t>
      </w:r>
      <w:r>
        <w:rPr>
          <w:rFonts w:hint="eastAsia" w:ascii="宋体" w:hAnsi="宋体" w:cs="宋体"/>
          <w:color w:val="auto"/>
          <w:spacing w:val="4"/>
          <w:szCs w:val="21"/>
        </w:rPr>
        <w:t>年</w:t>
      </w:r>
      <w:r>
        <w:rPr>
          <w:rFonts w:hint="eastAsia" w:ascii="宋体" w:hAnsi="宋体" w:cs="宋体"/>
          <w:color w:val="auto"/>
          <w:spacing w:val="4"/>
          <w:szCs w:val="21"/>
          <w:u w:val="single"/>
        </w:rPr>
        <w:t xml:space="preserve">    </w:t>
      </w:r>
      <w:r>
        <w:rPr>
          <w:rFonts w:hint="eastAsia" w:ascii="宋体" w:hAnsi="宋体" w:cs="宋体"/>
          <w:color w:val="auto"/>
          <w:spacing w:val="4"/>
          <w:szCs w:val="21"/>
        </w:rPr>
        <w:t>月</w:t>
      </w:r>
      <w:r>
        <w:rPr>
          <w:rFonts w:hint="eastAsia" w:ascii="宋体" w:hAnsi="宋体" w:cs="宋体"/>
          <w:color w:val="auto"/>
          <w:spacing w:val="4"/>
          <w:szCs w:val="21"/>
          <w:u w:val="single"/>
        </w:rPr>
        <w:t xml:space="preserve">    </w:t>
      </w:r>
      <w:r>
        <w:rPr>
          <w:rFonts w:hint="eastAsia" w:ascii="宋体" w:hAnsi="宋体" w:cs="宋体"/>
          <w:color w:val="auto"/>
          <w:spacing w:val="4"/>
          <w:szCs w:val="21"/>
        </w:rPr>
        <w:t>日</w:t>
      </w:r>
    </w:p>
    <w:p>
      <w:pPr>
        <w:bidi w:val="0"/>
      </w:pPr>
      <w:r>
        <w:rPr>
          <w:rFonts w:hint="eastAsia"/>
        </w:rPr>
        <w:br w:type="page"/>
      </w:r>
    </w:p>
    <w:p>
      <w:pPr>
        <w:pStyle w:val="23"/>
        <w:spacing w:before="0" w:after="0" w:line="0" w:lineRule="atLeast"/>
        <w:outlineLvl w:val="9"/>
        <w:rPr>
          <w:rFonts w:asciiTheme="minorEastAsia" w:hAnsiTheme="minorEastAsia" w:eastAsiaTheme="minorEastAsia"/>
        </w:rPr>
      </w:pPr>
      <w:bookmarkStart w:id="89" w:name="_Toc495674352"/>
    </w:p>
    <w:p>
      <w:pPr>
        <w:pStyle w:val="23"/>
        <w:spacing w:before="0"/>
        <w:rPr>
          <w:rFonts w:asciiTheme="minorEastAsia" w:hAnsiTheme="minorEastAsia" w:eastAsiaTheme="minorEastAsia"/>
        </w:rPr>
      </w:pPr>
      <w:bookmarkStart w:id="90" w:name="_Toc9147"/>
      <w:r>
        <w:rPr>
          <w:rFonts w:hint="eastAsia" w:asciiTheme="minorEastAsia" w:hAnsiTheme="minorEastAsia" w:eastAsiaTheme="minorEastAsia"/>
        </w:rPr>
        <w:t>二、产品参数、技术指标和配置</w:t>
      </w:r>
      <w:bookmarkEnd w:id="89"/>
      <w:bookmarkEnd w:id="90"/>
    </w:p>
    <w:p>
      <w:pPr>
        <w:bidi w:val="0"/>
      </w:pPr>
    </w:p>
    <w:p>
      <w:pPr>
        <w:pStyle w:val="23"/>
        <w:rPr>
          <w:rFonts w:asciiTheme="minorEastAsia" w:hAnsiTheme="minorEastAsia" w:eastAsiaTheme="minorEastAsia"/>
          <w:sz w:val="30"/>
          <w:szCs w:val="30"/>
        </w:rPr>
      </w:pPr>
      <w:r>
        <w:rPr>
          <w:rFonts w:hint="eastAsia" w:asciiTheme="minorEastAsia" w:hAnsiTheme="minorEastAsia" w:eastAsiaTheme="minorEastAsia"/>
        </w:rPr>
        <w:br w:type="page"/>
      </w:r>
      <w:bookmarkStart w:id="91" w:name="_Toc15462"/>
      <w:bookmarkStart w:id="92" w:name="_Toc495674353"/>
      <w:r>
        <w:rPr>
          <w:rFonts w:hint="eastAsia" w:asciiTheme="minorEastAsia" w:hAnsiTheme="minorEastAsia" w:eastAsiaTheme="minorEastAsia"/>
        </w:rPr>
        <w:t>三、质量保证</w:t>
      </w:r>
      <w:bookmarkEnd w:id="91"/>
      <w:bookmarkEnd w:id="92"/>
    </w:p>
    <w:p>
      <w:pPr>
        <w:spacing w:line="440" w:lineRule="exact"/>
        <w:jc w:val="center"/>
        <w:rPr>
          <w:rFonts w:asciiTheme="minorEastAsia" w:hAnsiTheme="minorEastAsia" w:eastAsiaTheme="minorEastAsia"/>
          <w:b/>
          <w:spacing w:val="4"/>
          <w:sz w:val="30"/>
          <w:szCs w:val="30"/>
        </w:rPr>
      </w:pPr>
    </w:p>
    <w:p>
      <w:pPr>
        <w:pStyle w:val="23"/>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bookmarkStart w:id="93" w:name="_Toc495674354"/>
      <w:bookmarkStart w:id="94" w:name="_Toc29155"/>
      <w:r>
        <w:rPr>
          <w:rFonts w:hint="eastAsia" w:asciiTheme="minorEastAsia" w:hAnsiTheme="minorEastAsia" w:eastAsiaTheme="minorEastAsia"/>
        </w:rPr>
        <w:t>四、售后服务</w:t>
      </w:r>
      <w:bookmarkEnd w:id="93"/>
      <w:bookmarkEnd w:id="94"/>
    </w:p>
    <w:p>
      <w:pPr>
        <w:spacing w:beforeLines="50" w:line="440" w:lineRule="exact"/>
        <w:jc w:val="center"/>
        <w:rPr>
          <w:rFonts w:asciiTheme="minorEastAsia" w:hAnsiTheme="minorEastAsia" w:eastAsiaTheme="minorEastAsia"/>
          <w:b/>
          <w:spacing w:val="4"/>
          <w:sz w:val="30"/>
          <w:szCs w:val="30"/>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both"/>
        <w:rPr>
          <w:rFonts w:asciiTheme="minorEastAsia" w:hAnsiTheme="minorEastAsia" w:eastAsiaTheme="minorEastAsia"/>
          <w:b/>
          <w:spacing w:val="4"/>
          <w:sz w:val="28"/>
          <w:szCs w:val="28"/>
        </w:rPr>
      </w:pPr>
    </w:p>
    <w:p>
      <w:pPr>
        <w:pStyle w:val="23"/>
        <w:spacing w:line="720" w:lineRule="auto"/>
        <w:rPr>
          <w:rFonts w:asciiTheme="minorEastAsia" w:hAnsiTheme="minorEastAsia" w:eastAsiaTheme="minorEastAsia"/>
        </w:rPr>
      </w:pPr>
      <w:bookmarkStart w:id="95" w:name="_Toc480"/>
      <w:bookmarkStart w:id="96" w:name="_Toc495674355"/>
      <w:r>
        <w:rPr>
          <w:rFonts w:hint="eastAsia" w:asciiTheme="minorEastAsia" w:hAnsiTheme="minorEastAsia" w:eastAsiaTheme="minorEastAsia"/>
        </w:rPr>
        <w:t>五、其他材料</w:t>
      </w:r>
      <w:bookmarkEnd w:id="95"/>
      <w:bookmarkEnd w:id="96"/>
    </w:p>
    <w:p>
      <w:pPr>
        <w:pStyle w:val="23"/>
        <w:rPr>
          <w:rFonts w:asciiTheme="minorEastAsia" w:hAnsiTheme="minorEastAsia" w:eastAsiaTheme="minorEastAsia"/>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28"/>
          <w:szCs w:val="28"/>
        </w:rPr>
      </w:pPr>
    </w:p>
    <w:p>
      <w:pPr>
        <w:spacing w:beforeLines="50" w:line="440" w:lineRule="exact"/>
        <w:jc w:val="center"/>
        <w:rPr>
          <w:rFonts w:asciiTheme="minorEastAsia" w:hAnsiTheme="minorEastAsia" w:eastAsiaTheme="minorEastAsia"/>
          <w:b/>
          <w:spacing w:val="4"/>
          <w:sz w:val="30"/>
          <w:szCs w:val="30"/>
        </w:rPr>
      </w:pPr>
    </w:p>
    <w:p>
      <w:pPr>
        <w:spacing w:line="480" w:lineRule="auto"/>
        <w:jc w:val="center"/>
        <w:rPr>
          <w:rFonts w:asciiTheme="minorEastAsia" w:hAnsiTheme="minorEastAsia" w:eastAsiaTheme="minorEastAsia"/>
        </w:rPr>
      </w:pPr>
    </w:p>
    <w:sectPr>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54</w:t>
    </w:r>
    <w:r>
      <w:rPr>
        <w:b/>
        <w:sz w:val="24"/>
        <w:szCs w:val="24"/>
      </w:rPr>
      <w:fldChar w:fldCharType="end"/>
    </w:r>
  </w:p>
  <w:p>
    <w:pPr>
      <w:pStyle w:val="16"/>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88"/>
        <w:tab w:val="clear" w:pos="4153"/>
        <w:tab w:val="clear" w:pos="8306"/>
      </w:tabs>
      <w:ind w:right="-18"/>
      <w:rPr>
        <w:rStyle w:val="30"/>
        <w:rFonts w:ascii="楷体" w:hAnsi="楷体" w:eastAsia="楷体"/>
        <w:szCs w:val="21"/>
      </w:rPr>
    </w:pPr>
    <w:r>
      <w:rPr>
        <w:rStyle w:val="30"/>
        <w:rFonts w:ascii="楷体" w:hAnsi="楷体" w:eastAsia="楷体"/>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270"/>
      <w:jc w:val="both"/>
      <w:rPr>
        <w:rFonts w:hint="eastAsia" w:asciiTheme="minorEastAsia" w:hAnsiTheme="minorEastAsia" w:eastAsiaTheme="minorEastAsia"/>
        <w:sz w:val="18"/>
        <w:szCs w:val="18"/>
        <w:u w:val="non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270"/>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270"/>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EAA0A"/>
    <w:multiLevelType w:val="singleLevel"/>
    <w:tmpl w:val="10AEAA0A"/>
    <w:lvl w:ilvl="0" w:tentative="0">
      <w:start w:val="1"/>
      <w:numFmt w:val="decimal"/>
      <w:lvlText w:val="%1."/>
      <w:lvlJc w:val="left"/>
      <w:pPr>
        <w:tabs>
          <w:tab w:val="left" w:pos="312"/>
        </w:tabs>
      </w:pPr>
    </w:lvl>
  </w:abstractNum>
  <w:abstractNum w:abstractNumId="1">
    <w:nsid w:val="33C82E28"/>
    <w:multiLevelType w:val="multilevel"/>
    <w:tmpl w:val="33C82E28"/>
    <w:lvl w:ilvl="0" w:tentative="0">
      <w:start w:val="1"/>
      <w:numFmt w:val="decimal"/>
      <w:lvlText w:val="%1、"/>
      <w:lvlJc w:val="left"/>
      <w:pPr>
        <w:tabs>
          <w:tab w:val="left" w:pos="361"/>
        </w:tabs>
        <w:ind w:left="361" w:hanging="360"/>
      </w:pPr>
      <w:rPr>
        <w:rFonts w:hint="default"/>
      </w:rPr>
    </w:lvl>
    <w:lvl w:ilvl="1" w:tentative="0">
      <w:start w:val="1"/>
      <w:numFmt w:val="lowerLetter"/>
      <w:lvlText w:val="%2)"/>
      <w:lvlJc w:val="left"/>
      <w:pPr>
        <w:tabs>
          <w:tab w:val="left" w:pos="841"/>
        </w:tabs>
        <w:ind w:left="841" w:hanging="420"/>
      </w:pPr>
    </w:lvl>
    <w:lvl w:ilvl="2" w:tentative="0">
      <w:start w:val="1"/>
      <w:numFmt w:val="lowerRoman"/>
      <w:lvlText w:val="%3."/>
      <w:lvlJc w:val="right"/>
      <w:pPr>
        <w:tabs>
          <w:tab w:val="left" w:pos="1261"/>
        </w:tabs>
        <w:ind w:left="1261" w:hanging="420"/>
      </w:pPr>
    </w:lvl>
    <w:lvl w:ilvl="3" w:tentative="0">
      <w:start w:val="1"/>
      <w:numFmt w:val="decimal"/>
      <w:lvlText w:val="%4."/>
      <w:lvlJc w:val="left"/>
      <w:pPr>
        <w:tabs>
          <w:tab w:val="left" w:pos="1681"/>
        </w:tabs>
        <w:ind w:left="1681" w:hanging="420"/>
      </w:pPr>
    </w:lvl>
    <w:lvl w:ilvl="4" w:tentative="0">
      <w:start w:val="1"/>
      <w:numFmt w:val="lowerLetter"/>
      <w:lvlText w:val="%5)"/>
      <w:lvlJc w:val="left"/>
      <w:pPr>
        <w:tabs>
          <w:tab w:val="left" w:pos="2101"/>
        </w:tabs>
        <w:ind w:left="2101" w:hanging="420"/>
      </w:pPr>
    </w:lvl>
    <w:lvl w:ilvl="5" w:tentative="0">
      <w:start w:val="1"/>
      <w:numFmt w:val="lowerRoman"/>
      <w:lvlText w:val="%6."/>
      <w:lvlJc w:val="right"/>
      <w:pPr>
        <w:tabs>
          <w:tab w:val="left" w:pos="2521"/>
        </w:tabs>
        <w:ind w:left="2521" w:hanging="420"/>
      </w:pPr>
    </w:lvl>
    <w:lvl w:ilvl="6" w:tentative="0">
      <w:start w:val="1"/>
      <w:numFmt w:val="decimal"/>
      <w:lvlText w:val="%7."/>
      <w:lvlJc w:val="left"/>
      <w:pPr>
        <w:tabs>
          <w:tab w:val="left" w:pos="2941"/>
        </w:tabs>
        <w:ind w:left="2941" w:hanging="420"/>
      </w:pPr>
    </w:lvl>
    <w:lvl w:ilvl="7" w:tentative="0">
      <w:start w:val="1"/>
      <w:numFmt w:val="lowerLetter"/>
      <w:lvlText w:val="%8)"/>
      <w:lvlJc w:val="left"/>
      <w:pPr>
        <w:tabs>
          <w:tab w:val="left" w:pos="3361"/>
        </w:tabs>
        <w:ind w:left="3361" w:hanging="420"/>
      </w:pPr>
    </w:lvl>
    <w:lvl w:ilvl="8" w:tentative="0">
      <w:start w:val="1"/>
      <w:numFmt w:val="lowerRoman"/>
      <w:lvlText w:val="%9."/>
      <w:lvlJc w:val="right"/>
      <w:pPr>
        <w:tabs>
          <w:tab w:val="left" w:pos="3781"/>
        </w:tabs>
        <w:ind w:left="3781" w:hanging="420"/>
      </w:pPr>
    </w:lvl>
  </w:abstractNum>
  <w:abstractNum w:abstractNumId="2">
    <w:nsid w:val="344E796A"/>
    <w:multiLevelType w:val="singleLevel"/>
    <w:tmpl w:val="344E796A"/>
    <w:lvl w:ilvl="0" w:tentative="0">
      <w:start w:val="1"/>
      <w:numFmt w:val="chineseCounting"/>
      <w:suff w:val="space"/>
      <w:lvlText w:val="第%1章"/>
      <w:lvlJc w:val="left"/>
      <w:rPr>
        <w:rFonts w:hint="eastAsia"/>
      </w:rPr>
    </w:lvl>
  </w:abstractNum>
  <w:abstractNum w:abstractNumId="3">
    <w:nsid w:val="66A1689D"/>
    <w:multiLevelType w:val="singleLevel"/>
    <w:tmpl w:val="66A1689D"/>
    <w:lvl w:ilvl="0" w:tentative="0">
      <w:start w:val="5"/>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TkzMjU4MmYwNmFhNjg0ZDJmZWZmODNkMTNlNDQifQ=="/>
  </w:docVars>
  <w:rsids>
    <w:rsidRoot w:val="00FB25EC"/>
    <w:rsid w:val="0000130B"/>
    <w:rsid w:val="00002A00"/>
    <w:rsid w:val="00002B98"/>
    <w:rsid w:val="00002D91"/>
    <w:rsid w:val="00003ED1"/>
    <w:rsid w:val="0000467A"/>
    <w:rsid w:val="000048F5"/>
    <w:rsid w:val="00004B36"/>
    <w:rsid w:val="00005A5B"/>
    <w:rsid w:val="00007CFD"/>
    <w:rsid w:val="00007DA5"/>
    <w:rsid w:val="00011849"/>
    <w:rsid w:val="0001233E"/>
    <w:rsid w:val="000129C3"/>
    <w:rsid w:val="00014474"/>
    <w:rsid w:val="000153E7"/>
    <w:rsid w:val="00015D48"/>
    <w:rsid w:val="00016074"/>
    <w:rsid w:val="00016A75"/>
    <w:rsid w:val="000223BE"/>
    <w:rsid w:val="00023681"/>
    <w:rsid w:val="00023C67"/>
    <w:rsid w:val="00024A90"/>
    <w:rsid w:val="00024EF6"/>
    <w:rsid w:val="0002628F"/>
    <w:rsid w:val="00027B41"/>
    <w:rsid w:val="00027DC9"/>
    <w:rsid w:val="00030A03"/>
    <w:rsid w:val="00031BDF"/>
    <w:rsid w:val="00033A4B"/>
    <w:rsid w:val="000348A0"/>
    <w:rsid w:val="00034CBA"/>
    <w:rsid w:val="00034E54"/>
    <w:rsid w:val="00036010"/>
    <w:rsid w:val="000363DB"/>
    <w:rsid w:val="00037CF9"/>
    <w:rsid w:val="00041008"/>
    <w:rsid w:val="000418CD"/>
    <w:rsid w:val="000423AB"/>
    <w:rsid w:val="00042AB8"/>
    <w:rsid w:val="00043C34"/>
    <w:rsid w:val="00044975"/>
    <w:rsid w:val="00044E3C"/>
    <w:rsid w:val="000451EB"/>
    <w:rsid w:val="00045F29"/>
    <w:rsid w:val="0004613B"/>
    <w:rsid w:val="000468C6"/>
    <w:rsid w:val="000546AA"/>
    <w:rsid w:val="00054D22"/>
    <w:rsid w:val="0005565B"/>
    <w:rsid w:val="00055899"/>
    <w:rsid w:val="00056B70"/>
    <w:rsid w:val="00056DB2"/>
    <w:rsid w:val="00061719"/>
    <w:rsid w:val="0006212D"/>
    <w:rsid w:val="000623AB"/>
    <w:rsid w:val="00062839"/>
    <w:rsid w:val="00063822"/>
    <w:rsid w:val="00064A58"/>
    <w:rsid w:val="0006557E"/>
    <w:rsid w:val="00065781"/>
    <w:rsid w:val="000658B9"/>
    <w:rsid w:val="00067555"/>
    <w:rsid w:val="00067849"/>
    <w:rsid w:val="00070CCB"/>
    <w:rsid w:val="000714F3"/>
    <w:rsid w:val="000723E3"/>
    <w:rsid w:val="0007245B"/>
    <w:rsid w:val="00072D1E"/>
    <w:rsid w:val="00072DAB"/>
    <w:rsid w:val="0007404B"/>
    <w:rsid w:val="00075A82"/>
    <w:rsid w:val="000776A3"/>
    <w:rsid w:val="00080978"/>
    <w:rsid w:val="0008287A"/>
    <w:rsid w:val="00085C2E"/>
    <w:rsid w:val="00086F3B"/>
    <w:rsid w:val="0008717C"/>
    <w:rsid w:val="00087BEB"/>
    <w:rsid w:val="00091851"/>
    <w:rsid w:val="00097A8A"/>
    <w:rsid w:val="000A00AE"/>
    <w:rsid w:val="000A19F4"/>
    <w:rsid w:val="000A340C"/>
    <w:rsid w:val="000A5823"/>
    <w:rsid w:val="000A5EC2"/>
    <w:rsid w:val="000A6A34"/>
    <w:rsid w:val="000A6CDF"/>
    <w:rsid w:val="000A73D3"/>
    <w:rsid w:val="000A73EB"/>
    <w:rsid w:val="000A74C5"/>
    <w:rsid w:val="000A7CFE"/>
    <w:rsid w:val="000B0971"/>
    <w:rsid w:val="000B0EAE"/>
    <w:rsid w:val="000B11CA"/>
    <w:rsid w:val="000B17BE"/>
    <w:rsid w:val="000B1E4C"/>
    <w:rsid w:val="000B2000"/>
    <w:rsid w:val="000B23A3"/>
    <w:rsid w:val="000B298E"/>
    <w:rsid w:val="000B2B57"/>
    <w:rsid w:val="000B506C"/>
    <w:rsid w:val="000B6344"/>
    <w:rsid w:val="000B6760"/>
    <w:rsid w:val="000C059E"/>
    <w:rsid w:val="000C18DD"/>
    <w:rsid w:val="000C19DD"/>
    <w:rsid w:val="000C1C60"/>
    <w:rsid w:val="000C1D92"/>
    <w:rsid w:val="000C37ED"/>
    <w:rsid w:val="000C457C"/>
    <w:rsid w:val="000C46E6"/>
    <w:rsid w:val="000C5463"/>
    <w:rsid w:val="000C5D66"/>
    <w:rsid w:val="000D10AE"/>
    <w:rsid w:val="000D1280"/>
    <w:rsid w:val="000D1588"/>
    <w:rsid w:val="000D1B10"/>
    <w:rsid w:val="000D1D7C"/>
    <w:rsid w:val="000D36B1"/>
    <w:rsid w:val="000D43CF"/>
    <w:rsid w:val="000D451A"/>
    <w:rsid w:val="000D4713"/>
    <w:rsid w:val="000D66EC"/>
    <w:rsid w:val="000D6CDB"/>
    <w:rsid w:val="000D799B"/>
    <w:rsid w:val="000E2FB1"/>
    <w:rsid w:val="000E31DA"/>
    <w:rsid w:val="000E41C3"/>
    <w:rsid w:val="000E43CB"/>
    <w:rsid w:val="000E4596"/>
    <w:rsid w:val="000E4847"/>
    <w:rsid w:val="000E4A3F"/>
    <w:rsid w:val="000E5020"/>
    <w:rsid w:val="000E6A35"/>
    <w:rsid w:val="000F0DDA"/>
    <w:rsid w:val="000F2608"/>
    <w:rsid w:val="000F36B7"/>
    <w:rsid w:val="000F49F6"/>
    <w:rsid w:val="000F4EBF"/>
    <w:rsid w:val="000F5DC7"/>
    <w:rsid w:val="000F7403"/>
    <w:rsid w:val="000F7B51"/>
    <w:rsid w:val="000F7CEB"/>
    <w:rsid w:val="00100A91"/>
    <w:rsid w:val="00101AE8"/>
    <w:rsid w:val="00101DA2"/>
    <w:rsid w:val="00102060"/>
    <w:rsid w:val="0010240B"/>
    <w:rsid w:val="00102F0A"/>
    <w:rsid w:val="00103848"/>
    <w:rsid w:val="00103E86"/>
    <w:rsid w:val="00104A3E"/>
    <w:rsid w:val="00104DBB"/>
    <w:rsid w:val="00105458"/>
    <w:rsid w:val="00106808"/>
    <w:rsid w:val="00107B59"/>
    <w:rsid w:val="00110184"/>
    <w:rsid w:val="001101B9"/>
    <w:rsid w:val="00110E05"/>
    <w:rsid w:val="0011275E"/>
    <w:rsid w:val="001139F1"/>
    <w:rsid w:val="00113BBC"/>
    <w:rsid w:val="00113C3E"/>
    <w:rsid w:val="00114C16"/>
    <w:rsid w:val="00114F0C"/>
    <w:rsid w:val="00115AFB"/>
    <w:rsid w:val="00115F3E"/>
    <w:rsid w:val="00116585"/>
    <w:rsid w:val="00116596"/>
    <w:rsid w:val="0011696D"/>
    <w:rsid w:val="00116AC5"/>
    <w:rsid w:val="00117742"/>
    <w:rsid w:val="00121D46"/>
    <w:rsid w:val="00121E6F"/>
    <w:rsid w:val="0012328C"/>
    <w:rsid w:val="00123755"/>
    <w:rsid w:val="00123A24"/>
    <w:rsid w:val="001268B0"/>
    <w:rsid w:val="00126C2E"/>
    <w:rsid w:val="00127BE7"/>
    <w:rsid w:val="0013031D"/>
    <w:rsid w:val="0013085F"/>
    <w:rsid w:val="00130B03"/>
    <w:rsid w:val="0013291C"/>
    <w:rsid w:val="00134702"/>
    <w:rsid w:val="00134AA4"/>
    <w:rsid w:val="00134C00"/>
    <w:rsid w:val="00135568"/>
    <w:rsid w:val="0013699C"/>
    <w:rsid w:val="001411D2"/>
    <w:rsid w:val="001413DC"/>
    <w:rsid w:val="00141539"/>
    <w:rsid w:val="001419CF"/>
    <w:rsid w:val="00141A1E"/>
    <w:rsid w:val="0014368E"/>
    <w:rsid w:val="00145432"/>
    <w:rsid w:val="00145F12"/>
    <w:rsid w:val="001461FB"/>
    <w:rsid w:val="001467D5"/>
    <w:rsid w:val="00147780"/>
    <w:rsid w:val="00147BA8"/>
    <w:rsid w:val="001505D8"/>
    <w:rsid w:val="00150B16"/>
    <w:rsid w:val="00151F2D"/>
    <w:rsid w:val="00152E1A"/>
    <w:rsid w:val="0015560D"/>
    <w:rsid w:val="00155E97"/>
    <w:rsid w:val="00156B9A"/>
    <w:rsid w:val="0015704F"/>
    <w:rsid w:val="00157E7F"/>
    <w:rsid w:val="00157EF9"/>
    <w:rsid w:val="00160052"/>
    <w:rsid w:val="00161185"/>
    <w:rsid w:val="001613F8"/>
    <w:rsid w:val="00162180"/>
    <w:rsid w:val="00162848"/>
    <w:rsid w:val="001630FA"/>
    <w:rsid w:val="00164C1E"/>
    <w:rsid w:val="00165587"/>
    <w:rsid w:val="00166A16"/>
    <w:rsid w:val="00167F92"/>
    <w:rsid w:val="00170912"/>
    <w:rsid w:val="00170B81"/>
    <w:rsid w:val="00170BE1"/>
    <w:rsid w:val="00171A3D"/>
    <w:rsid w:val="00171D6E"/>
    <w:rsid w:val="00172EEC"/>
    <w:rsid w:val="00174AAB"/>
    <w:rsid w:val="00175264"/>
    <w:rsid w:val="00175695"/>
    <w:rsid w:val="0017717B"/>
    <w:rsid w:val="0017721E"/>
    <w:rsid w:val="001772C7"/>
    <w:rsid w:val="001775BD"/>
    <w:rsid w:val="0017768D"/>
    <w:rsid w:val="0018006A"/>
    <w:rsid w:val="001802A1"/>
    <w:rsid w:val="001824A5"/>
    <w:rsid w:val="00183213"/>
    <w:rsid w:val="00184062"/>
    <w:rsid w:val="00184130"/>
    <w:rsid w:val="00185773"/>
    <w:rsid w:val="00185A1A"/>
    <w:rsid w:val="001864F5"/>
    <w:rsid w:val="0018692C"/>
    <w:rsid w:val="00187C90"/>
    <w:rsid w:val="001909D2"/>
    <w:rsid w:val="00192646"/>
    <w:rsid w:val="00192A69"/>
    <w:rsid w:val="00192CF4"/>
    <w:rsid w:val="00193799"/>
    <w:rsid w:val="00193F00"/>
    <w:rsid w:val="00196562"/>
    <w:rsid w:val="001A0E3F"/>
    <w:rsid w:val="001A14B5"/>
    <w:rsid w:val="001A1D89"/>
    <w:rsid w:val="001A2510"/>
    <w:rsid w:val="001A27F2"/>
    <w:rsid w:val="001A4F21"/>
    <w:rsid w:val="001A5951"/>
    <w:rsid w:val="001A7B80"/>
    <w:rsid w:val="001B2AD6"/>
    <w:rsid w:val="001B32CC"/>
    <w:rsid w:val="001B37BD"/>
    <w:rsid w:val="001B4473"/>
    <w:rsid w:val="001B51EA"/>
    <w:rsid w:val="001B5872"/>
    <w:rsid w:val="001B5FA5"/>
    <w:rsid w:val="001B7757"/>
    <w:rsid w:val="001C05B0"/>
    <w:rsid w:val="001C0E05"/>
    <w:rsid w:val="001C0F78"/>
    <w:rsid w:val="001C389D"/>
    <w:rsid w:val="001C3F19"/>
    <w:rsid w:val="001C42B1"/>
    <w:rsid w:val="001C42DD"/>
    <w:rsid w:val="001C451E"/>
    <w:rsid w:val="001C5696"/>
    <w:rsid w:val="001C5E18"/>
    <w:rsid w:val="001C6A4E"/>
    <w:rsid w:val="001C6ED6"/>
    <w:rsid w:val="001C73F8"/>
    <w:rsid w:val="001D05E8"/>
    <w:rsid w:val="001D1AA9"/>
    <w:rsid w:val="001D23BA"/>
    <w:rsid w:val="001D25C0"/>
    <w:rsid w:val="001D4030"/>
    <w:rsid w:val="001D447B"/>
    <w:rsid w:val="001D5128"/>
    <w:rsid w:val="001D5EB4"/>
    <w:rsid w:val="001D7C71"/>
    <w:rsid w:val="001D7FB0"/>
    <w:rsid w:val="001E021A"/>
    <w:rsid w:val="001E0350"/>
    <w:rsid w:val="001E28F5"/>
    <w:rsid w:val="001E32A9"/>
    <w:rsid w:val="001E43D9"/>
    <w:rsid w:val="001E44DC"/>
    <w:rsid w:val="001E56BF"/>
    <w:rsid w:val="001E73B5"/>
    <w:rsid w:val="001E74B1"/>
    <w:rsid w:val="001E7825"/>
    <w:rsid w:val="001F0533"/>
    <w:rsid w:val="001F1126"/>
    <w:rsid w:val="001F1EDB"/>
    <w:rsid w:val="001F2B0F"/>
    <w:rsid w:val="001F3A62"/>
    <w:rsid w:val="001F3B34"/>
    <w:rsid w:val="001F65C6"/>
    <w:rsid w:val="002009C4"/>
    <w:rsid w:val="00200D3C"/>
    <w:rsid w:val="00200D4A"/>
    <w:rsid w:val="00200E74"/>
    <w:rsid w:val="00201D61"/>
    <w:rsid w:val="00202F21"/>
    <w:rsid w:val="00203D8F"/>
    <w:rsid w:val="00203E3D"/>
    <w:rsid w:val="00204ABE"/>
    <w:rsid w:val="00204C73"/>
    <w:rsid w:val="00205353"/>
    <w:rsid w:val="002058C3"/>
    <w:rsid w:val="00207E99"/>
    <w:rsid w:val="002108B6"/>
    <w:rsid w:val="00211E16"/>
    <w:rsid w:val="002123A5"/>
    <w:rsid w:val="00213665"/>
    <w:rsid w:val="00213EC5"/>
    <w:rsid w:val="00215310"/>
    <w:rsid w:val="002157DB"/>
    <w:rsid w:val="00215B1E"/>
    <w:rsid w:val="00217B64"/>
    <w:rsid w:val="00217E05"/>
    <w:rsid w:val="00217EC7"/>
    <w:rsid w:val="00221DDD"/>
    <w:rsid w:val="00222006"/>
    <w:rsid w:val="0022429F"/>
    <w:rsid w:val="0022439F"/>
    <w:rsid w:val="002259DC"/>
    <w:rsid w:val="002275EC"/>
    <w:rsid w:val="00227C7A"/>
    <w:rsid w:val="00227E45"/>
    <w:rsid w:val="002305EC"/>
    <w:rsid w:val="00231566"/>
    <w:rsid w:val="00231B44"/>
    <w:rsid w:val="002334A6"/>
    <w:rsid w:val="00234EA1"/>
    <w:rsid w:val="0023723D"/>
    <w:rsid w:val="00237BA8"/>
    <w:rsid w:val="00237E34"/>
    <w:rsid w:val="00240CE6"/>
    <w:rsid w:val="00241CC1"/>
    <w:rsid w:val="00242447"/>
    <w:rsid w:val="002427BD"/>
    <w:rsid w:val="00243C1A"/>
    <w:rsid w:val="00244497"/>
    <w:rsid w:val="0024578F"/>
    <w:rsid w:val="0024744A"/>
    <w:rsid w:val="002477D5"/>
    <w:rsid w:val="0025097C"/>
    <w:rsid w:val="00250D05"/>
    <w:rsid w:val="0025122B"/>
    <w:rsid w:val="00252202"/>
    <w:rsid w:val="00253808"/>
    <w:rsid w:val="0025577E"/>
    <w:rsid w:val="00255BBF"/>
    <w:rsid w:val="00261456"/>
    <w:rsid w:val="002627B2"/>
    <w:rsid w:val="00262E6C"/>
    <w:rsid w:val="00265F5B"/>
    <w:rsid w:val="0026624F"/>
    <w:rsid w:val="00266394"/>
    <w:rsid w:val="00266F98"/>
    <w:rsid w:val="00267F38"/>
    <w:rsid w:val="00270737"/>
    <w:rsid w:val="00272DCA"/>
    <w:rsid w:val="00273E03"/>
    <w:rsid w:val="002755E0"/>
    <w:rsid w:val="002766CB"/>
    <w:rsid w:val="00276ED5"/>
    <w:rsid w:val="00280454"/>
    <w:rsid w:val="0028107D"/>
    <w:rsid w:val="0028204F"/>
    <w:rsid w:val="00284DFB"/>
    <w:rsid w:val="002872BD"/>
    <w:rsid w:val="0028785C"/>
    <w:rsid w:val="002905E4"/>
    <w:rsid w:val="0029095C"/>
    <w:rsid w:val="0029190E"/>
    <w:rsid w:val="002932B6"/>
    <w:rsid w:val="0029353B"/>
    <w:rsid w:val="00293E21"/>
    <w:rsid w:val="00295D3C"/>
    <w:rsid w:val="00297303"/>
    <w:rsid w:val="0029732B"/>
    <w:rsid w:val="00297BB0"/>
    <w:rsid w:val="002A0604"/>
    <w:rsid w:val="002A0D8E"/>
    <w:rsid w:val="002A1111"/>
    <w:rsid w:val="002A16F8"/>
    <w:rsid w:val="002A28F1"/>
    <w:rsid w:val="002A2D0C"/>
    <w:rsid w:val="002A4A18"/>
    <w:rsid w:val="002A4CB1"/>
    <w:rsid w:val="002A4E1D"/>
    <w:rsid w:val="002A5091"/>
    <w:rsid w:val="002A56E6"/>
    <w:rsid w:val="002A6770"/>
    <w:rsid w:val="002A71B6"/>
    <w:rsid w:val="002A7291"/>
    <w:rsid w:val="002A7D7B"/>
    <w:rsid w:val="002B1ADF"/>
    <w:rsid w:val="002B2081"/>
    <w:rsid w:val="002B2394"/>
    <w:rsid w:val="002B2AF9"/>
    <w:rsid w:val="002B2E51"/>
    <w:rsid w:val="002B3EEA"/>
    <w:rsid w:val="002B4BDA"/>
    <w:rsid w:val="002B4C4B"/>
    <w:rsid w:val="002B5F2C"/>
    <w:rsid w:val="002B6670"/>
    <w:rsid w:val="002B67FE"/>
    <w:rsid w:val="002B7570"/>
    <w:rsid w:val="002B768F"/>
    <w:rsid w:val="002C0A88"/>
    <w:rsid w:val="002C105D"/>
    <w:rsid w:val="002C16DB"/>
    <w:rsid w:val="002C32C1"/>
    <w:rsid w:val="002C47E0"/>
    <w:rsid w:val="002C5C43"/>
    <w:rsid w:val="002C6038"/>
    <w:rsid w:val="002C62B9"/>
    <w:rsid w:val="002C63B6"/>
    <w:rsid w:val="002C7727"/>
    <w:rsid w:val="002D129C"/>
    <w:rsid w:val="002D209F"/>
    <w:rsid w:val="002D24F9"/>
    <w:rsid w:val="002D3911"/>
    <w:rsid w:val="002D3A69"/>
    <w:rsid w:val="002D438B"/>
    <w:rsid w:val="002D5BEB"/>
    <w:rsid w:val="002D6C5E"/>
    <w:rsid w:val="002D791C"/>
    <w:rsid w:val="002D7B33"/>
    <w:rsid w:val="002E0626"/>
    <w:rsid w:val="002E062F"/>
    <w:rsid w:val="002E2500"/>
    <w:rsid w:val="002E38B8"/>
    <w:rsid w:val="002E65F5"/>
    <w:rsid w:val="002E7075"/>
    <w:rsid w:val="002E7A50"/>
    <w:rsid w:val="002E7C7F"/>
    <w:rsid w:val="002F0D8A"/>
    <w:rsid w:val="002F0E33"/>
    <w:rsid w:val="002F200F"/>
    <w:rsid w:val="002F2449"/>
    <w:rsid w:val="002F28A8"/>
    <w:rsid w:val="002F4440"/>
    <w:rsid w:val="002F447F"/>
    <w:rsid w:val="002F63B0"/>
    <w:rsid w:val="00300403"/>
    <w:rsid w:val="00300BB4"/>
    <w:rsid w:val="00300BFD"/>
    <w:rsid w:val="00302B75"/>
    <w:rsid w:val="003030B1"/>
    <w:rsid w:val="003038CE"/>
    <w:rsid w:val="00304831"/>
    <w:rsid w:val="003055FC"/>
    <w:rsid w:val="003058E1"/>
    <w:rsid w:val="0030616F"/>
    <w:rsid w:val="00306A4D"/>
    <w:rsid w:val="00307C09"/>
    <w:rsid w:val="003104C8"/>
    <w:rsid w:val="0031088B"/>
    <w:rsid w:val="00311586"/>
    <w:rsid w:val="003126F0"/>
    <w:rsid w:val="00313BF6"/>
    <w:rsid w:val="00315534"/>
    <w:rsid w:val="00316A26"/>
    <w:rsid w:val="00320150"/>
    <w:rsid w:val="00320163"/>
    <w:rsid w:val="00321F1B"/>
    <w:rsid w:val="00322552"/>
    <w:rsid w:val="003229B4"/>
    <w:rsid w:val="003238A5"/>
    <w:rsid w:val="00323914"/>
    <w:rsid w:val="00324B35"/>
    <w:rsid w:val="00325227"/>
    <w:rsid w:val="003254F3"/>
    <w:rsid w:val="003255F9"/>
    <w:rsid w:val="00325A63"/>
    <w:rsid w:val="003264EF"/>
    <w:rsid w:val="0032662D"/>
    <w:rsid w:val="003269EE"/>
    <w:rsid w:val="00327908"/>
    <w:rsid w:val="00327F32"/>
    <w:rsid w:val="003307FD"/>
    <w:rsid w:val="0033182A"/>
    <w:rsid w:val="00332DF3"/>
    <w:rsid w:val="00333B56"/>
    <w:rsid w:val="00333D3F"/>
    <w:rsid w:val="00334947"/>
    <w:rsid w:val="00335521"/>
    <w:rsid w:val="003355C6"/>
    <w:rsid w:val="00335E49"/>
    <w:rsid w:val="00336857"/>
    <w:rsid w:val="00337624"/>
    <w:rsid w:val="0034057F"/>
    <w:rsid w:val="003405C4"/>
    <w:rsid w:val="00341419"/>
    <w:rsid w:val="00343082"/>
    <w:rsid w:val="003435F5"/>
    <w:rsid w:val="003438C0"/>
    <w:rsid w:val="00344AF1"/>
    <w:rsid w:val="00345495"/>
    <w:rsid w:val="003465D8"/>
    <w:rsid w:val="003469E7"/>
    <w:rsid w:val="00346BDE"/>
    <w:rsid w:val="0035015B"/>
    <w:rsid w:val="003504CF"/>
    <w:rsid w:val="00350919"/>
    <w:rsid w:val="00350CBD"/>
    <w:rsid w:val="00350F8C"/>
    <w:rsid w:val="00350FB2"/>
    <w:rsid w:val="00351E65"/>
    <w:rsid w:val="00352773"/>
    <w:rsid w:val="003546ED"/>
    <w:rsid w:val="00354EAE"/>
    <w:rsid w:val="003568E7"/>
    <w:rsid w:val="003575D8"/>
    <w:rsid w:val="00360318"/>
    <w:rsid w:val="0036035E"/>
    <w:rsid w:val="0036038A"/>
    <w:rsid w:val="0036097B"/>
    <w:rsid w:val="00361550"/>
    <w:rsid w:val="00361700"/>
    <w:rsid w:val="00361BCF"/>
    <w:rsid w:val="003631CA"/>
    <w:rsid w:val="003638B4"/>
    <w:rsid w:val="00364BF5"/>
    <w:rsid w:val="00364D61"/>
    <w:rsid w:val="00366D36"/>
    <w:rsid w:val="00366E10"/>
    <w:rsid w:val="003679F6"/>
    <w:rsid w:val="00367B77"/>
    <w:rsid w:val="00367D18"/>
    <w:rsid w:val="003745BD"/>
    <w:rsid w:val="00374B78"/>
    <w:rsid w:val="003758F0"/>
    <w:rsid w:val="0037712B"/>
    <w:rsid w:val="003773DB"/>
    <w:rsid w:val="0038059D"/>
    <w:rsid w:val="00382D27"/>
    <w:rsid w:val="0038333A"/>
    <w:rsid w:val="00383F52"/>
    <w:rsid w:val="003909EE"/>
    <w:rsid w:val="0039100B"/>
    <w:rsid w:val="003919C8"/>
    <w:rsid w:val="003924A2"/>
    <w:rsid w:val="00393610"/>
    <w:rsid w:val="00393EFE"/>
    <w:rsid w:val="003964B9"/>
    <w:rsid w:val="0039666E"/>
    <w:rsid w:val="003966DD"/>
    <w:rsid w:val="00397254"/>
    <w:rsid w:val="00397EB4"/>
    <w:rsid w:val="00397F6F"/>
    <w:rsid w:val="003A1398"/>
    <w:rsid w:val="003A2950"/>
    <w:rsid w:val="003A2C2A"/>
    <w:rsid w:val="003A577F"/>
    <w:rsid w:val="003A58E0"/>
    <w:rsid w:val="003A66D4"/>
    <w:rsid w:val="003A72C0"/>
    <w:rsid w:val="003A7D7C"/>
    <w:rsid w:val="003B0D07"/>
    <w:rsid w:val="003B11EB"/>
    <w:rsid w:val="003B13B2"/>
    <w:rsid w:val="003B141C"/>
    <w:rsid w:val="003B2146"/>
    <w:rsid w:val="003B2B23"/>
    <w:rsid w:val="003B31A2"/>
    <w:rsid w:val="003B4B4D"/>
    <w:rsid w:val="003B50E7"/>
    <w:rsid w:val="003B51B0"/>
    <w:rsid w:val="003B5682"/>
    <w:rsid w:val="003B64F8"/>
    <w:rsid w:val="003B6500"/>
    <w:rsid w:val="003B6F9C"/>
    <w:rsid w:val="003B6FA4"/>
    <w:rsid w:val="003B769A"/>
    <w:rsid w:val="003B7B28"/>
    <w:rsid w:val="003C0972"/>
    <w:rsid w:val="003C0D89"/>
    <w:rsid w:val="003C2D89"/>
    <w:rsid w:val="003C30BF"/>
    <w:rsid w:val="003C3630"/>
    <w:rsid w:val="003C3950"/>
    <w:rsid w:val="003C417B"/>
    <w:rsid w:val="003C56D6"/>
    <w:rsid w:val="003C5B32"/>
    <w:rsid w:val="003C6553"/>
    <w:rsid w:val="003C7439"/>
    <w:rsid w:val="003C7670"/>
    <w:rsid w:val="003C7C89"/>
    <w:rsid w:val="003C7D93"/>
    <w:rsid w:val="003D0591"/>
    <w:rsid w:val="003D0C90"/>
    <w:rsid w:val="003D27BF"/>
    <w:rsid w:val="003D3061"/>
    <w:rsid w:val="003D348C"/>
    <w:rsid w:val="003D39AB"/>
    <w:rsid w:val="003D3A73"/>
    <w:rsid w:val="003D7745"/>
    <w:rsid w:val="003D78DA"/>
    <w:rsid w:val="003E036E"/>
    <w:rsid w:val="003E0574"/>
    <w:rsid w:val="003E0E16"/>
    <w:rsid w:val="003E12CF"/>
    <w:rsid w:val="003E2413"/>
    <w:rsid w:val="003E2725"/>
    <w:rsid w:val="003E30D5"/>
    <w:rsid w:val="003E3484"/>
    <w:rsid w:val="003E3B4E"/>
    <w:rsid w:val="003E4B15"/>
    <w:rsid w:val="003E6217"/>
    <w:rsid w:val="003E7EBE"/>
    <w:rsid w:val="003F0885"/>
    <w:rsid w:val="003F0F21"/>
    <w:rsid w:val="003F147C"/>
    <w:rsid w:val="003F1B83"/>
    <w:rsid w:val="003F2E97"/>
    <w:rsid w:val="003F426D"/>
    <w:rsid w:val="003F42C2"/>
    <w:rsid w:val="003F53FA"/>
    <w:rsid w:val="003F66E6"/>
    <w:rsid w:val="003F7EFD"/>
    <w:rsid w:val="00401B72"/>
    <w:rsid w:val="00401BC9"/>
    <w:rsid w:val="00401D65"/>
    <w:rsid w:val="004035C4"/>
    <w:rsid w:val="00403861"/>
    <w:rsid w:val="00403A01"/>
    <w:rsid w:val="00404808"/>
    <w:rsid w:val="0040503E"/>
    <w:rsid w:val="00405595"/>
    <w:rsid w:val="00405C55"/>
    <w:rsid w:val="00406928"/>
    <w:rsid w:val="00411E23"/>
    <w:rsid w:val="004127CC"/>
    <w:rsid w:val="004136E8"/>
    <w:rsid w:val="004137D4"/>
    <w:rsid w:val="00414EFD"/>
    <w:rsid w:val="0041502E"/>
    <w:rsid w:val="004158A1"/>
    <w:rsid w:val="004167CC"/>
    <w:rsid w:val="00416992"/>
    <w:rsid w:val="004177BD"/>
    <w:rsid w:val="00417EAA"/>
    <w:rsid w:val="00421DF2"/>
    <w:rsid w:val="004221D6"/>
    <w:rsid w:val="00422EAE"/>
    <w:rsid w:val="0042320F"/>
    <w:rsid w:val="004246B6"/>
    <w:rsid w:val="00425E78"/>
    <w:rsid w:val="00425E7C"/>
    <w:rsid w:val="00426936"/>
    <w:rsid w:val="004278BE"/>
    <w:rsid w:val="00431E5F"/>
    <w:rsid w:val="004322DA"/>
    <w:rsid w:val="00432361"/>
    <w:rsid w:val="00433259"/>
    <w:rsid w:val="00434FE9"/>
    <w:rsid w:val="004353F8"/>
    <w:rsid w:val="004366C1"/>
    <w:rsid w:val="00436EB1"/>
    <w:rsid w:val="004374DF"/>
    <w:rsid w:val="00443B36"/>
    <w:rsid w:val="004444CE"/>
    <w:rsid w:val="0044529C"/>
    <w:rsid w:val="0044549F"/>
    <w:rsid w:val="004464D3"/>
    <w:rsid w:val="00447CFF"/>
    <w:rsid w:val="00447FBA"/>
    <w:rsid w:val="0045003F"/>
    <w:rsid w:val="00450836"/>
    <w:rsid w:val="00450E5C"/>
    <w:rsid w:val="00452872"/>
    <w:rsid w:val="00454365"/>
    <w:rsid w:val="004547CE"/>
    <w:rsid w:val="00454A80"/>
    <w:rsid w:val="00454E10"/>
    <w:rsid w:val="00456020"/>
    <w:rsid w:val="00456C08"/>
    <w:rsid w:val="00457252"/>
    <w:rsid w:val="004617D6"/>
    <w:rsid w:val="0046187C"/>
    <w:rsid w:val="0046204A"/>
    <w:rsid w:val="0046205B"/>
    <w:rsid w:val="00462A2F"/>
    <w:rsid w:val="00462EC8"/>
    <w:rsid w:val="004634B0"/>
    <w:rsid w:val="00463657"/>
    <w:rsid w:val="00463DE5"/>
    <w:rsid w:val="00464B48"/>
    <w:rsid w:val="00464D9F"/>
    <w:rsid w:val="004657FF"/>
    <w:rsid w:val="0047258D"/>
    <w:rsid w:val="004725AD"/>
    <w:rsid w:val="00472901"/>
    <w:rsid w:val="0047382C"/>
    <w:rsid w:val="00473AAB"/>
    <w:rsid w:val="00473EF9"/>
    <w:rsid w:val="00474146"/>
    <w:rsid w:val="0047496D"/>
    <w:rsid w:val="00474E08"/>
    <w:rsid w:val="00476A34"/>
    <w:rsid w:val="0047761C"/>
    <w:rsid w:val="00477D46"/>
    <w:rsid w:val="00480EE0"/>
    <w:rsid w:val="00482377"/>
    <w:rsid w:val="00484058"/>
    <w:rsid w:val="004841FC"/>
    <w:rsid w:val="00484341"/>
    <w:rsid w:val="004853B2"/>
    <w:rsid w:val="00485D66"/>
    <w:rsid w:val="004861C3"/>
    <w:rsid w:val="0048678D"/>
    <w:rsid w:val="004869AE"/>
    <w:rsid w:val="00486A4F"/>
    <w:rsid w:val="00486BEB"/>
    <w:rsid w:val="00490174"/>
    <w:rsid w:val="004902E6"/>
    <w:rsid w:val="00490586"/>
    <w:rsid w:val="00491450"/>
    <w:rsid w:val="00493FF3"/>
    <w:rsid w:val="00495ED2"/>
    <w:rsid w:val="0049625E"/>
    <w:rsid w:val="00496805"/>
    <w:rsid w:val="00497288"/>
    <w:rsid w:val="00497681"/>
    <w:rsid w:val="004A1C21"/>
    <w:rsid w:val="004A2777"/>
    <w:rsid w:val="004A4904"/>
    <w:rsid w:val="004A51C4"/>
    <w:rsid w:val="004A5435"/>
    <w:rsid w:val="004A5440"/>
    <w:rsid w:val="004A6071"/>
    <w:rsid w:val="004A6A6A"/>
    <w:rsid w:val="004A6C2B"/>
    <w:rsid w:val="004A709E"/>
    <w:rsid w:val="004A76C5"/>
    <w:rsid w:val="004A784D"/>
    <w:rsid w:val="004A7E63"/>
    <w:rsid w:val="004A7F39"/>
    <w:rsid w:val="004B01AA"/>
    <w:rsid w:val="004B1A3B"/>
    <w:rsid w:val="004B1A64"/>
    <w:rsid w:val="004B26EA"/>
    <w:rsid w:val="004B2AC1"/>
    <w:rsid w:val="004B34B6"/>
    <w:rsid w:val="004B3ED9"/>
    <w:rsid w:val="004B6188"/>
    <w:rsid w:val="004B62BA"/>
    <w:rsid w:val="004B6736"/>
    <w:rsid w:val="004B7A14"/>
    <w:rsid w:val="004C0C5F"/>
    <w:rsid w:val="004C2311"/>
    <w:rsid w:val="004C2484"/>
    <w:rsid w:val="004C2A22"/>
    <w:rsid w:val="004C3F92"/>
    <w:rsid w:val="004C4E0A"/>
    <w:rsid w:val="004C4F55"/>
    <w:rsid w:val="004C5B37"/>
    <w:rsid w:val="004C5EA2"/>
    <w:rsid w:val="004C64D4"/>
    <w:rsid w:val="004C6D7C"/>
    <w:rsid w:val="004D0A41"/>
    <w:rsid w:val="004D104C"/>
    <w:rsid w:val="004D1275"/>
    <w:rsid w:val="004D1A81"/>
    <w:rsid w:val="004D2E45"/>
    <w:rsid w:val="004D4273"/>
    <w:rsid w:val="004D434B"/>
    <w:rsid w:val="004D4955"/>
    <w:rsid w:val="004D54AA"/>
    <w:rsid w:val="004D5E9F"/>
    <w:rsid w:val="004E0F62"/>
    <w:rsid w:val="004E1E0D"/>
    <w:rsid w:val="004E1E47"/>
    <w:rsid w:val="004E409E"/>
    <w:rsid w:val="004E4B0D"/>
    <w:rsid w:val="004E5220"/>
    <w:rsid w:val="004E5B81"/>
    <w:rsid w:val="004E7959"/>
    <w:rsid w:val="004F0652"/>
    <w:rsid w:val="004F0C9D"/>
    <w:rsid w:val="004F1476"/>
    <w:rsid w:val="004F189B"/>
    <w:rsid w:val="004F1E4C"/>
    <w:rsid w:val="004F1EB8"/>
    <w:rsid w:val="004F2956"/>
    <w:rsid w:val="004F29E6"/>
    <w:rsid w:val="004F3785"/>
    <w:rsid w:val="004F3B90"/>
    <w:rsid w:val="004F6266"/>
    <w:rsid w:val="004F728F"/>
    <w:rsid w:val="004F73E2"/>
    <w:rsid w:val="004F74F5"/>
    <w:rsid w:val="00501086"/>
    <w:rsid w:val="00501F39"/>
    <w:rsid w:val="0050203A"/>
    <w:rsid w:val="0050285E"/>
    <w:rsid w:val="00504793"/>
    <w:rsid w:val="00504B9F"/>
    <w:rsid w:val="00504D6D"/>
    <w:rsid w:val="00506135"/>
    <w:rsid w:val="0050643D"/>
    <w:rsid w:val="005065B4"/>
    <w:rsid w:val="005107C4"/>
    <w:rsid w:val="00510AB6"/>
    <w:rsid w:val="00511859"/>
    <w:rsid w:val="00512359"/>
    <w:rsid w:val="005130C1"/>
    <w:rsid w:val="0051471C"/>
    <w:rsid w:val="005174AD"/>
    <w:rsid w:val="005177A8"/>
    <w:rsid w:val="00517A34"/>
    <w:rsid w:val="005201D2"/>
    <w:rsid w:val="005204A6"/>
    <w:rsid w:val="00520812"/>
    <w:rsid w:val="00521DD4"/>
    <w:rsid w:val="005226A4"/>
    <w:rsid w:val="00522F92"/>
    <w:rsid w:val="00523723"/>
    <w:rsid w:val="0052535E"/>
    <w:rsid w:val="00525702"/>
    <w:rsid w:val="0052629C"/>
    <w:rsid w:val="00527C1C"/>
    <w:rsid w:val="00527EEC"/>
    <w:rsid w:val="0053005D"/>
    <w:rsid w:val="00530774"/>
    <w:rsid w:val="00530C46"/>
    <w:rsid w:val="00531632"/>
    <w:rsid w:val="0053178C"/>
    <w:rsid w:val="00531833"/>
    <w:rsid w:val="00531CE1"/>
    <w:rsid w:val="00531E2C"/>
    <w:rsid w:val="00533044"/>
    <w:rsid w:val="00533561"/>
    <w:rsid w:val="00533603"/>
    <w:rsid w:val="00533631"/>
    <w:rsid w:val="00533746"/>
    <w:rsid w:val="00534945"/>
    <w:rsid w:val="00534E52"/>
    <w:rsid w:val="00535A64"/>
    <w:rsid w:val="00535D1C"/>
    <w:rsid w:val="00535D5B"/>
    <w:rsid w:val="00536248"/>
    <w:rsid w:val="00536A29"/>
    <w:rsid w:val="005371B9"/>
    <w:rsid w:val="00537343"/>
    <w:rsid w:val="0053750A"/>
    <w:rsid w:val="00537654"/>
    <w:rsid w:val="00540888"/>
    <w:rsid w:val="00540BAF"/>
    <w:rsid w:val="00541166"/>
    <w:rsid w:val="00541FA2"/>
    <w:rsid w:val="00542A11"/>
    <w:rsid w:val="00542DBD"/>
    <w:rsid w:val="005432A1"/>
    <w:rsid w:val="00545DAC"/>
    <w:rsid w:val="005460A6"/>
    <w:rsid w:val="00546600"/>
    <w:rsid w:val="00546C18"/>
    <w:rsid w:val="005473CD"/>
    <w:rsid w:val="00550CA9"/>
    <w:rsid w:val="005513FA"/>
    <w:rsid w:val="005520FC"/>
    <w:rsid w:val="005523BE"/>
    <w:rsid w:val="00553B92"/>
    <w:rsid w:val="005540CC"/>
    <w:rsid w:val="0055444F"/>
    <w:rsid w:val="00555248"/>
    <w:rsid w:val="00555A31"/>
    <w:rsid w:val="00555BA6"/>
    <w:rsid w:val="00557368"/>
    <w:rsid w:val="00560192"/>
    <w:rsid w:val="00560CD9"/>
    <w:rsid w:val="00561435"/>
    <w:rsid w:val="0056187E"/>
    <w:rsid w:val="00561BB7"/>
    <w:rsid w:val="00562BFF"/>
    <w:rsid w:val="005636DB"/>
    <w:rsid w:val="005643C6"/>
    <w:rsid w:val="00564FDB"/>
    <w:rsid w:val="00565411"/>
    <w:rsid w:val="00565565"/>
    <w:rsid w:val="00565A20"/>
    <w:rsid w:val="005660DC"/>
    <w:rsid w:val="00566DFB"/>
    <w:rsid w:val="005677E3"/>
    <w:rsid w:val="0057147C"/>
    <w:rsid w:val="00574D0F"/>
    <w:rsid w:val="00575F22"/>
    <w:rsid w:val="00580C6A"/>
    <w:rsid w:val="00581087"/>
    <w:rsid w:val="00581C22"/>
    <w:rsid w:val="005822C6"/>
    <w:rsid w:val="005827C8"/>
    <w:rsid w:val="00582A5F"/>
    <w:rsid w:val="00583637"/>
    <w:rsid w:val="00587051"/>
    <w:rsid w:val="005878DA"/>
    <w:rsid w:val="00587AB9"/>
    <w:rsid w:val="005907BF"/>
    <w:rsid w:val="005911EF"/>
    <w:rsid w:val="0059191B"/>
    <w:rsid w:val="00592A8B"/>
    <w:rsid w:val="005930EE"/>
    <w:rsid w:val="00593243"/>
    <w:rsid w:val="00593376"/>
    <w:rsid w:val="0059401D"/>
    <w:rsid w:val="00595DFD"/>
    <w:rsid w:val="005A0054"/>
    <w:rsid w:val="005A0976"/>
    <w:rsid w:val="005A1272"/>
    <w:rsid w:val="005A18EB"/>
    <w:rsid w:val="005A25B8"/>
    <w:rsid w:val="005A2D5C"/>
    <w:rsid w:val="005A3505"/>
    <w:rsid w:val="005A3D21"/>
    <w:rsid w:val="005A42BF"/>
    <w:rsid w:val="005A4543"/>
    <w:rsid w:val="005A6258"/>
    <w:rsid w:val="005A65D2"/>
    <w:rsid w:val="005A704F"/>
    <w:rsid w:val="005A7B03"/>
    <w:rsid w:val="005B0337"/>
    <w:rsid w:val="005B1808"/>
    <w:rsid w:val="005B1981"/>
    <w:rsid w:val="005B2B5D"/>
    <w:rsid w:val="005B31DE"/>
    <w:rsid w:val="005B461A"/>
    <w:rsid w:val="005B48B1"/>
    <w:rsid w:val="005B4A9A"/>
    <w:rsid w:val="005B5B60"/>
    <w:rsid w:val="005B5D31"/>
    <w:rsid w:val="005B7563"/>
    <w:rsid w:val="005C0984"/>
    <w:rsid w:val="005C1E1D"/>
    <w:rsid w:val="005C3393"/>
    <w:rsid w:val="005C4161"/>
    <w:rsid w:val="005C4BAD"/>
    <w:rsid w:val="005C5969"/>
    <w:rsid w:val="005C5DD2"/>
    <w:rsid w:val="005C5FAC"/>
    <w:rsid w:val="005C6ABC"/>
    <w:rsid w:val="005C6BC6"/>
    <w:rsid w:val="005D0520"/>
    <w:rsid w:val="005D1008"/>
    <w:rsid w:val="005D107F"/>
    <w:rsid w:val="005D17E5"/>
    <w:rsid w:val="005D2E5B"/>
    <w:rsid w:val="005D3B51"/>
    <w:rsid w:val="005D3EF2"/>
    <w:rsid w:val="005D42CB"/>
    <w:rsid w:val="005D4432"/>
    <w:rsid w:val="005D4442"/>
    <w:rsid w:val="005D449E"/>
    <w:rsid w:val="005D4D27"/>
    <w:rsid w:val="005D62C9"/>
    <w:rsid w:val="005D6498"/>
    <w:rsid w:val="005D7144"/>
    <w:rsid w:val="005D781D"/>
    <w:rsid w:val="005D7F96"/>
    <w:rsid w:val="005E0B73"/>
    <w:rsid w:val="005E1AAD"/>
    <w:rsid w:val="005E1CFA"/>
    <w:rsid w:val="005E1F21"/>
    <w:rsid w:val="005E2B54"/>
    <w:rsid w:val="005E2E4F"/>
    <w:rsid w:val="005E4755"/>
    <w:rsid w:val="005E4EE7"/>
    <w:rsid w:val="005E5478"/>
    <w:rsid w:val="005E55AD"/>
    <w:rsid w:val="005E7E3F"/>
    <w:rsid w:val="005F0861"/>
    <w:rsid w:val="005F12F0"/>
    <w:rsid w:val="005F1573"/>
    <w:rsid w:val="005F15DD"/>
    <w:rsid w:val="005F1F68"/>
    <w:rsid w:val="005F2F43"/>
    <w:rsid w:val="005F3C4C"/>
    <w:rsid w:val="005F4D0F"/>
    <w:rsid w:val="005F6E8D"/>
    <w:rsid w:val="005F7033"/>
    <w:rsid w:val="005F7410"/>
    <w:rsid w:val="006018E2"/>
    <w:rsid w:val="0060209F"/>
    <w:rsid w:val="00602516"/>
    <w:rsid w:val="0060276C"/>
    <w:rsid w:val="006028D1"/>
    <w:rsid w:val="006036D2"/>
    <w:rsid w:val="00603D7F"/>
    <w:rsid w:val="006048DB"/>
    <w:rsid w:val="00604A58"/>
    <w:rsid w:val="00604A9C"/>
    <w:rsid w:val="00604C44"/>
    <w:rsid w:val="0060610B"/>
    <w:rsid w:val="00607704"/>
    <w:rsid w:val="00607A6B"/>
    <w:rsid w:val="00607E83"/>
    <w:rsid w:val="006102BD"/>
    <w:rsid w:val="0061044A"/>
    <w:rsid w:val="00610A1E"/>
    <w:rsid w:val="00610A6B"/>
    <w:rsid w:val="00610BFF"/>
    <w:rsid w:val="006127CE"/>
    <w:rsid w:val="00612A49"/>
    <w:rsid w:val="00612F6E"/>
    <w:rsid w:val="0061367C"/>
    <w:rsid w:val="0061394F"/>
    <w:rsid w:val="00614743"/>
    <w:rsid w:val="006157BD"/>
    <w:rsid w:val="006161F5"/>
    <w:rsid w:val="00617C09"/>
    <w:rsid w:val="00617F5C"/>
    <w:rsid w:val="00620998"/>
    <w:rsid w:val="006225FD"/>
    <w:rsid w:val="00622E26"/>
    <w:rsid w:val="0062398C"/>
    <w:rsid w:val="00623EB5"/>
    <w:rsid w:val="006241D1"/>
    <w:rsid w:val="00624A93"/>
    <w:rsid w:val="00624C30"/>
    <w:rsid w:val="0062507A"/>
    <w:rsid w:val="00626295"/>
    <w:rsid w:val="006274E0"/>
    <w:rsid w:val="00627528"/>
    <w:rsid w:val="00630F53"/>
    <w:rsid w:val="00631BA7"/>
    <w:rsid w:val="0063349D"/>
    <w:rsid w:val="006336A2"/>
    <w:rsid w:val="0063409E"/>
    <w:rsid w:val="006345AC"/>
    <w:rsid w:val="00634D8A"/>
    <w:rsid w:val="00634FB2"/>
    <w:rsid w:val="00635728"/>
    <w:rsid w:val="006357D9"/>
    <w:rsid w:val="006359FD"/>
    <w:rsid w:val="00635B53"/>
    <w:rsid w:val="00635F59"/>
    <w:rsid w:val="00635F79"/>
    <w:rsid w:val="0064102E"/>
    <w:rsid w:val="006411AA"/>
    <w:rsid w:val="006427D3"/>
    <w:rsid w:val="006448A5"/>
    <w:rsid w:val="006452F2"/>
    <w:rsid w:val="00645807"/>
    <w:rsid w:val="00645872"/>
    <w:rsid w:val="00646098"/>
    <w:rsid w:val="0064682A"/>
    <w:rsid w:val="006469FC"/>
    <w:rsid w:val="006472C5"/>
    <w:rsid w:val="0064794D"/>
    <w:rsid w:val="00647A8B"/>
    <w:rsid w:val="00647F6E"/>
    <w:rsid w:val="006503B2"/>
    <w:rsid w:val="00653C91"/>
    <w:rsid w:val="00653D75"/>
    <w:rsid w:val="00654ACA"/>
    <w:rsid w:val="00654C2B"/>
    <w:rsid w:val="00655216"/>
    <w:rsid w:val="00656FC1"/>
    <w:rsid w:val="00657A9F"/>
    <w:rsid w:val="006609FD"/>
    <w:rsid w:val="00661139"/>
    <w:rsid w:val="00661BF4"/>
    <w:rsid w:val="00661D81"/>
    <w:rsid w:val="00662A34"/>
    <w:rsid w:val="006631BC"/>
    <w:rsid w:val="00664CAE"/>
    <w:rsid w:val="00667575"/>
    <w:rsid w:val="006703FF"/>
    <w:rsid w:val="00670D54"/>
    <w:rsid w:val="00670EF8"/>
    <w:rsid w:val="00671018"/>
    <w:rsid w:val="006720DA"/>
    <w:rsid w:val="00672437"/>
    <w:rsid w:val="006729E7"/>
    <w:rsid w:val="00673CE4"/>
    <w:rsid w:val="00674D93"/>
    <w:rsid w:val="006754CE"/>
    <w:rsid w:val="00675882"/>
    <w:rsid w:val="006768F3"/>
    <w:rsid w:val="00676E2B"/>
    <w:rsid w:val="00680868"/>
    <w:rsid w:val="0068088C"/>
    <w:rsid w:val="00680F57"/>
    <w:rsid w:val="0068156C"/>
    <w:rsid w:val="0068413F"/>
    <w:rsid w:val="00684AF8"/>
    <w:rsid w:val="00684E49"/>
    <w:rsid w:val="00686108"/>
    <w:rsid w:val="006861DE"/>
    <w:rsid w:val="006869BD"/>
    <w:rsid w:val="0068704F"/>
    <w:rsid w:val="0068739C"/>
    <w:rsid w:val="00687459"/>
    <w:rsid w:val="00687CAD"/>
    <w:rsid w:val="00690306"/>
    <w:rsid w:val="00690716"/>
    <w:rsid w:val="0069105C"/>
    <w:rsid w:val="00691331"/>
    <w:rsid w:val="00691DE0"/>
    <w:rsid w:val="00691F29"/>
    <w:rsid w:val="0069339B"/>
    <w:rsid w:val="006934CB"/>
    <w:rsid w:val="006943CB"/>
    <w:rsid w:val="0069578B"/>
    <w:rsid w:val="006961F2"/>
    <w:rsid w:val="00697938"/>
    <w:rsid w:val="006A1046"/>
    <w:rsid w:val="006A1650"/>
    <w:rsid w:val="006A1845"/>
    <w:rsid w:val="006A1926"/>
    <w:rsid w:val="006A1DC0"/>
    <w:rsid w:val="006A3205"/>
    <w:rsid w:val="006A456C"/>
    <w:rsid w:val="006A4CC8"/>
    <w:rsid w:val="006A654A"/>
    <w:rsid w:val="006A6B5E"/>
    <w:rsid w:val="006A798F"/>
    <w:rsid w:val="006B1252"/>
    <w:rsid w:val="006B1955"/>
    <w:rsid w:val="006B26D1"/>
    <w:rsid w:val="006B3191"/>
    <w:rsid w:val="006B353E"/>
    <w:rsid w:val="006B544B"/>
    <w:rsid w:val="006B55DE"/>
    <w:rsid w:val="006B67E8"/>
    <w:rsid w:val="006B69FA"/>
    <w:rsid w:val="006B6E76"/>
    <w:rsid w:val="006B7627"/>
    <w:rsid w:val="006B7756"/>
    <w:rsid w:val="006B7BE0"/>
    <w:rsid w:val="006C0CDD"/>
    <w:rsid w:val="006C36FE"/>
    <w:rsid w:val="006C4148"/>
    <w:rsid w:val="006C42F6"/>
    <w:rsid w:val="006C58EA"/>
    <w:rsid w:val="006C6496"/>
    <w:rsid w:val="006D0DA6"/>
    <w:rsid w:val="006D13C5"/>
    <w:rsid w:val="006D2C75"/>
    <w:rsid w:val="006D6BFD"/>
    <w:rsid w:val="006D6C9F"/>
    <w:rsid w:val="006E1231"/>
    <w:rsid w:val="006E20E8"/>
    <w:rsid w:val="006E326D"/>
    <w:rsid w:val="006E4ACA"/>
    <w:rsid w:val="006E52C1"/>
    <w:rsid w:val="006E63B0"/>
    <w:rsid w:val="006E6587"/>
    <w:rsid w:val="006E6701"/>
    <w:rsid w:val="006E7792"/>
    <w:rsid w:val="006E78E5"/>
    <w:rsid w:val="006F022E"/>
    <w:rsid w:val="006F0268"/>
    <w:rsid w:val="006F0646"/>
    <w:rsid w:val="006F0BB7"/>
    <w:rsid w:val="006F1E0B"/>
    <w:rsid w:val="006F1E69"/>
    <w:rsid w:val="006F2AC6"/>
    <w:rsid w:val="006F453C"/>
    <w:rsid w:val="006F592A"/>
    <w:rsid w:val="006F5F93"/>
    <w:rsid w:val="006F6419"/>
    <w:rsid w:val="007008A6"/>
    <w:rsid w:val="0070100D"/>
    <w:rsid w:val="00702A4C"/>
    <w:rsid w:val="00703362"/>
    <w:rsid w:val="00703417"/>
    <w:rsid w:val="007052F5"/>
    <w:rsid w:val="00705591"/>
    <w:rsid w:val="00707B05"/>
    <w:rsid w:val="007102A2"/>
    <w:rsid w:val="00712C02"/>
    <w:rsid w:val="00714638"/>
    <w:rsid w:val="0071518C"/>
    <w:rsid w:val="00716014"/>
    <w:rsid w:val="0071648A"/>
    <w:rsid w:val="00716C2F"/>
    <w:rsid w:val="007201A1"/>
    <w:rsid w:val="00721574"/>
    <w:rsid w:val="007236A4"/>
    <w:rsid w:val="007254CE"/>
    <w:rsid w:val="00725EC2"/>
    <w:rsid w:val="00726C21"/>
    <w:rsid w:val="0073051F"/>
    <w:rsid w:val="007310FC"/>
    <w:rsid w:val="00731100"/>
    <w:rsid w:val="00731133"/>
    <w:rsid w:val="00731454"/>
    <w:rsid w:val="00734106"/>
    <w:rsid w:val="00734B3F"/>
    <w:rsid w:val="00735BE8"/>
    <w:rsid w:val="0073600F"/>
    <w:rsid w:val="00736852"/>
    <w:rsid w:val="007404B3"/>
    <w:rsid w:val="00741A3E"/>
    <w:rsid w:val="00743620"/>
    <w:rsid w:val="00743845"/>
    <w:rsid w:val="0074409E"/>
    <w:rsid w:val="007461AA"/>
    <w:rsid w:val="00747702"/>
    <w:rsid w:val="00750C93"/>
    <w:rsid w:val="00752289"/>
    <w:rsid w:val="00752330"/>
    <w:rsid w:val="00752D51"/>
    <w:rsid w:val="00755182"/>
    <w:rsid w:val="00756A0C"/>
    <w:rsid w:val="00756AEA"/>
    <w:rsid w:val="00757FC4"/>
    <w:rsid w:val="00760172"/>
    <w:rsid w:val="00760F96"/>
    <w:rsid w:val="00762D25"/>
    <w:rsid w:val="00763918"/>
    <w:rsid w:val="00764961"/>
    <w:rsid w:val="00764BA2"/>
    <w:rsid w:val="00765445"/>
    <w:rsid w:val="00765467"/>
    <w:rsid w:val="00766C2E"/>
    <w:rsid w:val="00766DF1"/>
    <w:rsid w:val="0076718F"/>
    <w:rsid w:val="00771060"/>
    <w:rsid w:val="00771AA9"/>
    <w:rsid w:val="00773E5B"/>
    <w:rsid w:val="00774070"/>
    <w:rsid w:val="00774482"/>
    <w:rsid w:val="00774E35"/>
    <w:rsid w:val="00775575"/>
    <w:rsid w:val="007767ED"/>
    <w:rsid w:val="007775B4"/>
    <w:rsid w:val="007811C0"/>
    <w:rsid w:val="00782AF8"/>
    <w:rsid w:val="0078397F"/>
    <w:rsid w:val="00783E5F"/>
    <w:rsid w:val="00784310"/>
    <w:rsid w:val="00784380"/>
    <w:rsid w:val="007850AA"/>
    <w:rsid w:val="00785901"/>
    <w:rsid w:val="00785A81"/>
    <w:rsid w:val="00786641"/>
    <w:rsid w:val="00786AD6"/>
    <w:rsid w:val="0078752F"/>
    <w:rsid w:val="00791360"/>
    <w:rsid w:val="007936CB"/>
    <w:rsid w:val="00793E2D"/>
    <w:rsid w:val="00794C3E"/>
    <w:rsid w:val="0079666B"/>
    <w:rsid w:val="00796EEB"/>
    <w:rsid w:val="0079728D"/>
    <w:rsid w:val="00797666"/>
    <w:rsid w:val="007977E4"/>
    <w:rsid w:val="007977EC"/>
    <w:rsid w:val="007A029A"/>
    <w:rsid w:val="007A0AFE"/>
    <w:rsid w:val="007A0C78"/>
    <w:rsid w:val="007A15FD"/>
    <w:rsid w:val="007A34EB"/>
    <w:rsid w:val="007A4F75"/>
    <w:rsid w:val="007A61A0"/>
    <w:rsid w:val="007A7575"/>
    <w:rsid w:val="007A7DEC"/>
    <w:rsid w:val="007B1482"/>
    <w:rsid w:val="007B1B92"/>
    <w:rsid w:val="007B1F24"/>
    <w:rsid w:val="007B2417"/>
    <w:rsid w:val="007B4820"/>
    <w:rsid w:val="007B507A"/>
    <w:rsid w:val="007B5326"/>
    <w:rsid w:val="007B62A6"/>
    <w:rsid w:val="007B679D"/>
    <w:rsid w:val="007B6BDE"/>
    <w:rsid w:val="007B7230"/>
    <w:rsid w:val="007C0698"/>
    <w:rsid w:val="007C0799"/>
    <w:rsid w:val="007C1EAA"/>
    <w:rsid w:val="007C2B4C"/>
    <w:rsid w:val="007C494A"/>
    <w:rsid w:val="007C4C8F"/>
    <w:rsid w:val="007C6077"/>
    <w:rsid w:val="007C7930"/>
    <w:rsid w:val="007D13A4"/>
    <w:rsid w:val="007D24EF"/>
    <w:rsid w:val="007D27B0"/>
    <w:rsid w:val="007D2F8C"/>
    <w:rsid w:val="007D37B8"/>
    <w:rsid w:val="007D3C54"/>
    <w:rsid w:val="007D4006"/>
    <w:rsid w:val="007D53F3"/>
    <w:rsid w:val="007D686C"/>
    <w:rsid w:val="007D69C0"/>
    <w:rsid w:val="007D7B63"/>
    <w:rsid w:val="007E088D"/>
    <w:rsid w:val="007E199C"/>
    <w:rsid w:val="007E1FEB"/>
    <w:rsid w:val="007E2C7D"/>
    <w:rsid w:val="007E3987"/>
    <w:rsid w:val="007E3F1D"/>
    <w:rsid w:val="007E596A"/>
    <w:rsid w:val="007E6105"/>
    <w:rsid w:val="007E73E3"/>
    <w:rsid w:val="007E7D8E"/>
    <w:rsid w:val="007F22AB"/>
    <w:rsid w:val="007F2C3C"/>
    <w:rsid w:val="007F4656"/>
    <w:rsid w:val="007F4DBD"/>
    <w:rsid w:val="007F4F15"/>
    <w:rsid w:val="007F5811"/>
    <w:rsid w:val="007F799B"/>
    <w:rsid w:val="008015ED"/>
    <w:rsid w:val="00801795"/>
    <w:rsid w:val="00801DFC"/>
    <w:rsid w:val="008022AE"/>
    <w:rsid w:val="00802526"/>
    <w:rsid w:val="00802D2A"/>
    <w:rsid w:val="008031CB"/>
    <w:rsid w:val="008035E3"/>
    <w:rsid w:val="0080362E"/>
    <w:rsid w:val="008040E7"/>
    <w:rsid w:val="00805C7E"/>
    <w:rsid w:val="008061D0"/>
    <w:rsid w:val="00807C84"/>
    <w:rsid w:val="00807CD6"/>
    <w:rsid w:val="00807EDF"/>
    <w:rsid w:val="008111A9"/>
    <w:rsid w:val="00812BCF"/>
    <w:rsid w:val="00812EE8"/>
    <w:rsid w:val="00813B08"/>
    <w:rsid w:val="00813C93"/>
    <w:rsid w:val="00814272"/>
    <w:rsid w:val="00814CFE"/>
    <w:rsid w:val="008176F5"/>
    <w:rsid w:val="00817B1C"/>
    <w:rsid w:val="00817CDA"/>
    <w:rsid w:val="00817EF8"/>
    <w:rsid w:val="00820BBD"/>
    <w:rsid w:val="008210B1"/>
    <w:rsid w:val="008222DE"/>
    <w:rsid w:val="00822D0C"/>
    <w:rsid w:val="008243E6"/>
    <w:rsid w:val="008245CD"/>
    <w:rsid w:val="00824AA0"/>
    <w:rsid w:val="00825015"/>
    <w:rsid w:val="00825073"/>
    <w:rsid w:val="008259F7"/>
    <w:rsid w:val="008261BE"/>
    <w:rsid w:val="00827498"/>
    <w:rsid w:val="00827BAB"/>
    <w:rsid w:val="00830736"/>
    <w:rsid w:val="008328CA"/>
    <w:rsid w:val="00833AD1"/>
    <w:rsid w:val="008355FB"/>
    <w:rsid w:val="00835824"/>
    <w:rsid w:val="00837690"/>
    <w:rsid w:val="00841302"/>
    <w:rsid w:val="0084165E"/>
    <w:rsid w:val="00841831"/>
    <w:rsid w:val="00841CDC"/>
    <w:rsid w:val="00842237"/>
    <w:rsid w:val="0084398F"/>
    <w:rsid w:val="0084431E"/>
    <w:rsid w:val="00844CC2"/>
    <w:rsid w:val="00844CE7"/>
    <w:rsid w:val="00845D1A"/>
    <w:rsid w:val="0084610F"/>
    <w:rsid w:val="008465B2"/>
    <w:rsid w:val="00851452"/>
    <w:rsid w:val="008518A2"/>
    <w:rsid w:val="008530A3"/>
    <w:rsid w:val="00853291"/>
    <w:rsid w:val="00854B40"/>
    <w:rsid w:val="00855599"/>
    <w:rsid w:val="00855A9B"/>
    <w:rsid w:val="00855C7C"/>
    <w:rsid w:val="008566C0"/>
    <w:rsid w:val="00857476"/>
    <w:rsid w:val="00857816"/>
    <w:rsid w:val="00857B21"/>
    <w:rsid w:val="0086023E"/>
    <w:rsid w:val="008608C6"/>
    <w:rsid w:val="00860A69"/>
    <w:rsid w:val="0086135C"/>
    <w:rsid w:val="00862890"/>
    <w:rsid w:val="00862EB5"/>
    <w:rsid w:val="00864368"/>
    <w:rsid w:val="00865614"/>
    <w:rsid w:val="0086695F"/>
    <w:rsid w:val="00870393"/>
    <w:rsid w:val="00870765"/>
    <w:rsid w:val="0087100A"/>
    <w:rsid w:val="00871B65"/>
    <w:rsid w:val="00871DAB"/>
    <w:rsid w:val="00872DB8"/>
    <w:rsid w:val="0087360F"/>
    <w:rsid w:val="0087421D"/>
    <w:rsid w:val="0087634B"/>
    <w:rsid w:val="008763C4"/>
    <w:rsid w:val="00877559"/>
    <w:rsid w:val="0087794B"/>
    <w:rsid w:val="008802A8"/>
    <w:rsid w:val="008812F0"/>
    <w:rsid w:val="008813D9"/>
    <w:rsid w:val="0088264E"/>
    <w:rsid w:val="0088285B"/>
    <w:rsid w:val="008831D6"/>
    <w:rsid w:val="0088390E"/>
    <w:rsid w:val="00884B11"/>
    <w:rsid w:val="00885013"/>
    <w:rsid w:val="0088657D"/>
    <w:rsid w:val="008871E0"/>
    <w:rsid w:val="0088788C"/>
    <w:rsid w:val="00890D58"/>
    <w:rsid w:val="008916C1"/>
    <w:rsid w:val="00892B44"/>
    <w:rsid w:val="00895CCE"/>
    <w:rsid w:val="00895E9D"/>
    <w:rsid w:val="0089673C"/>
    <w:rsid w:val="008970D2"/>
    <w:rsid w:val="00897E1A"/>
    <w:rsid w:val="008A125D"/>
    <w:rsid w:val="008A1578"/>
    <w:rsid w:val="008A18AE"/>
    <w:rsid w:val="008A1EAC"/>
    <w:rsid w:val="008A2654"/>
    <w:rsid w:val="008A28E8"/>
    <w:rsid w:val="008A2913"/>
    <w:rsid w:val="008A35A6"/>
    <w:rsid w:val="008A3F22"/>
    <w:rsid w:val="008A4BF2"/>
    <w:rsid w:val="008A5985"/>
    <w:rsid w:val="008B029D"/>
    <w:rsid w:val="008B24BB"/>
    <w:rsid w:val="008B57C1"/>
    <w:rsid w:val="008B5822"/>
    <w:rsid w:val="008B6036"/>
    <w:rsid w:val="008B6E9C"/>
    <w:rsid w:val="008B7206"/>
    <w:rsid w:val="008C0266"/>
    <w:rsid w:val="008C10A9"/>
    <w:rsid w:val="008C1B4B"/>
    <w:rsid w:val="008C1E84"/>
    <w:rsid w:val="008C2521"/>
    <w:rsid w:val="008C2671"/>
    <w:rsid w:val="008C2EA1"/>
    <w:rsid w:val="008C36E7"/>
    <w:rsid w:val="008C381A"/>
    <w:rsid w:val="008C3CFF"/>
    <w:rsid w:val="008C4371"/>
    <w:rsid w:val="008C6A24"/>
    <w:rsid w:val="008C6FA6"/>
    <w:rsid w:val="008C75F2"/>
    <w:rsid w:val="008D1995"/>
    <w:rsid w:val="008D1D92"/>
    <w:rsid w:val="008D2594"/>
    <w:rsid w:val="008D629B"/>
    <w:rsid w:val="008D6AFA"/>
    <w:rsid w:val="008D7AC5"/>
    <w:rsid w:val="008D7B26"/>
    <w:rsid w:val="008E0EE2"/>
    <w:rsid w:val="008E1350"/>
    <w:rsid w:val="008E1756"/>
    <w:rsid w:val="008E1F78"/>
    <w:rsid w:val="008E220A"/>
    <w:rsid w:val="008E232A"/>
    <w:rsid w:val="008E2A69"/>
    <w:rsid w:val="008E348F"/>
    <w:rsid w:val="008E393E"/>
    <w:rsid w:val="008E3BBC"/>
    <w:rsid w:val="008E3EB8"/>
    <w:rsid w:val="008E44D0"/>
    <w:rsid w:val="008E4545"/>
    <w:rsid w:val="008E477F"/>
    <w:rsid w:val="008E510F"/>
    <w:rsid w:val="008E69C9"/>
    <w:rsid w:val="008E6F81"/>
    <w:rsid w:val="008F0251"/>
    <w:rsid w:val="008F0CA1"/>
    <w:rsid w:val="008F1E0F"/>
    <w:rsid w:val="008F1E2C"/>
    <w:rsid w:val="008F2016"/>
    <w:rsid w:val="008F262C"/>
    <w:rsid w:val="008F27DF"/>
    <w:rsid w:val="008F4E77"/>
    <w:rsid w:val="008F506C"/>
    <w:rsid w:val="008F5C82"/>
    <w:rsid w:val="008F6D0E"/>
    <w:rsid w:val="008F71EF"/>
    <w:rsid w:val="0090112A"/>
    <w:rsid w:val="009013F2"/>
    <w:rsid w:val="00901640"/>
    <w:rsid w:val="00901915"/>
    <w:rsid w:val="00903B2E"/>
    <w:rsid w:val="0090427A"/>
    <w:rsid w:val="00904A85"/>
    <w:rsid w:val="0090565D"/>
    <w:rsid w:val="00905B7E"/>
    <w:rsid w:val="00906DD7"/>
    <w:rsid w:val="009077F8"/>
    <w:rsid w:val="009078C9"/>
    <w:rsid w:val="00907A20"/>
    <w:rsid w:val="00907D64"/>
    <w:rsid w:val="00910E10"/>
    <w:rsid w:val="009122DF"/>
    <w:rsid w:val="0091392C"/>
    <w:rsid w:val="00914E7C"/>
    <w:rsid w:val="00914F82"/>
    <w:rsid w:val="00916C76"/>
    <w:rsid w:val="0091713A"/>
    <w:rsid w:val="00917824"/>
    <w:rsid w:val="00920EB4"/>
    <w:rsid w:val="00920F63"/>
    <w:rsid w:val="00921ABA"/>
    <w:rsid w:val="0092220A"/>
    <w:rsid w:val="00922D1D"/>
    <w:rsid w:val="00923A7C"/>
    <w:rsid w:val="00923C62"/>
    <w:rsid w:val="00924499"/>
    <w:rsid w:val="00924869"/>
    <w:rsid w:val="00925114"/>
    <w:rsid w:val="009257F1"/>
    <w:rsid w:val="00926EBB"/>
    <w:rsid w:val="009277D9"/>
    <w:rsid w:val="009308AA"/>
    <w:rsid w:val="00930F02"/>
    <w:rsid w:val="00931735"/>
    <w:rsid w:val="009329CD"/>
    <w:rsid w:val="00932BDE"/>
    <w:rsid w:val="00933114"/>
    <w:rsid w:val="0093325D"/>
    <w:rsid w:val="0093377F"/>
    <w:rsid w:val="00933FDA"/>
    <w:rsid w:val="00934E50"/>
    <w:rsid w:val="0093504D"/>
    <w:rsid w:val="009356F5"/>
    <w:rsid w:val="00936863"/>
    <w:rsid w:val="009374AB"/>
    <w:rsid w:val="00937690"/>
    <w:rsid w:val="00940EE7"/>
    <w:rsid w:val="00941EC7"/>
    <w:rsid w:val="0094219E"/>
    <w:rsid w:val="009429D2"/>
    <w:rsid w:val="009433C6"/>
    <w:rsid w:val="009439B6"/>
    <w:rsid w:val="009440FB"/>
    <w:rsid w:val="009444A0"/>
    <w:rsid w:val="00945A8A"/>
    <w:rsid w:val="0094617B"/>
    <w:rsid w:val="009462A9"/>
    <w:rsid w:val="009509F5"/>
    <w:rsid w:val="00950B63"/>
    <w:rsid w:val="00952653"/>
    <w:rsid w:val="00952C36"/>
    <w:rsid w:val="00952E1D"/>
    <w:rsid w:val="00953A32"/>
    <w:rsid w:val="009555B9"/>
    <w:rsid w:val="009559BE"/>
    <w:rsid w:val="00955DDA"/>
    <w:rsid w:val="00956637"/>
    <w:rsid w:val="009602D5"/>
    <w:rsid w:val="00960FDD"/>
    <w:rsid w:val="009616B3"/>
    <w:rsid w:val="00961BB7"/>
    <w:rsid w:val="00964057"/>
    <w:rsid w:val="00965936"/>
    <w:rsid w:val="00965AF9"/>
    <w:rsid w:val="00966BA5"/>
    <w:rsid w:val="009673D4"/>
    <w:rsid w:val="009702B2"/>
    <w:rsid w:val="00970717"/>
    <w:rsid w:val="009715BA"/>
    <w:rsid w:val="00971E35"/>
    <w:rsid w:val="009730C2"/>
    <w:rsid w:val="009743A3"/>
    <w:rsid w:val="009751C2"/>
    <w:rsid w:val="009757D7"/>
    <w:rsid w:val="0097618C"/>
    <w:rsid w:val="0097644D"/>
    <w:rsid w:val="00976AD5"/>
    <w:rsid w:val="00977DAF"/>
    <w:rsid w:val="00980030"/>
    <w:rsid w:val="00980A65"/>
    <w:rsid w:val="00981FEC"/>
    <w:rsid w:val="0098251F"/>
    <w:rsid w:val="0098316C"/>
    <w:rsid w:val="00983674"/>
    <w:rsid w:val="00983CA2"/>
    <w:rsid w:val="009847F8"/>
    <w:rsid w:val="00985176"/>
    <w:rsid w:val="00985D84"/>
    <w:rsid w:val="00987CC4"/>
    <w:rsid w:val="009909CD"/>
    <w:rsid w:val="00992170"/>
    <w:rsid w:val="0099298B"/>
    <w:rsid w:val="00993200"/>
    <w:rsid w:val="00993731"/>
    <w:rsid w:val="00993F99"/>
    <w:rsid w:val="0099453E"/>
    <w:rsid w:val="009949CD"/>
    <w:rsid w:val="00995138"/>
    <w:rsid w:val="00995238"/>
    <w:rsid w:val="00995B5B"/>
    <w:rsid w:val="00995BDD"/>
    <w:rsid w:val="00996963"/>
    <w:rsid w:val="009A0460"/>
    <w:rsid w:val="009A06EC"/>
    <w:rsid w:val="009A12A8"/>
    <w:rsid w:val="009A1456"/>
    <w:rsid w:val="009A1E39"/>
    <w:rsid w:val="009A281E"/>
    <w:rsid w:val="009A6CA8"/>
    <w:rsid w:val="009A7B3F"/>
    <w:rsid w:val="009B0755"/>
    <w:rsid w:val="009B1D18"/>
    <w:rsid w:val="009B1F84"/>
    <w:rsid w:val="009B321D"/>
    <w:rsid w:val="009B34D5"/>
    <w:rsid w:val="009B5B34"/>
    <w:rsid w:val="009B6F3A"/>
    <w:rsid w:val="009B72DE"/>
    <w:rsid w:val="009C0433"/>
    <w:rsid w:val="009C2C1C"/>
    <w:rsid w:val="009C2EEA"/>
    <w:rsid w:val="009C2EF4"/>
    <w:rsid w:val="009C3A20"/>
    <w:rsid w:val="009C4C23"/>
    <w:rsid w:val="009C4CE0"/>
    <w:rsid w:val="009C4D44"/>
    <w:rsid w:val="009C579D"/>
    <w:rsid w:val="009C5914"/>
    <w:rsid w:val="009C63D1"/>
    <w:rsid w:val="009C6AD5"/>
    <w:rsid w:val="009C7058"/>
    <w:rsid w:val="009C722D"/>
    <w:rsid w:val="009C7A23"/>
    <w:rsid w:val="009D0BEA"/>
    <w:rsid w:val="009D0EB0"/>
    <w:rsid w:val="009D18BB"/>
    <w:rsid w:val="009D1BE3"/>
    <w:rsid w:val="009D363C"/>
    <w:rsid w:val="009D3F74"/>
    <w:rsid w:val="009D41F2"/>
    <w:rsid w:val="009D6504"/>
    <w:rsid w:val="009D675B"/>
    <w:rsid w:val="009D73A4"/>
    <w:rsid w:val="009D7940"/>
    <w:rsid w:val="009E02E5"/>
    <w:rsid w:val="009E0461"/>
    <w:rsid w:val="009E14F8"/>
    <w:rsid w:val="009E1BD7"/>
    <w:rsid w:val="009E2767"/>
    <w:rsid w:val="009E3C71"/>
    <w:rsid w:val="009E410B"/>
    <w:rsid w:val="009E5765"/>
    <w:rsid w:val="009E6011"/>
    <w:rsid w:val="009F096D"/>
    <w:rsid w:val="009F15EB"/>
    <w:rsid w:val="009F1FC6"/>
    <w:rsid w:val="009F306D"/>
    <w:rsid w:val="009F4735"/>
    <w:rsid w:val="009F4758"/>
    <w:rsid w:val="009F51CA"/>
    <w:rsid w:val="009F53B6"/>
    <w:rsid w:val="009F5B4F"/>
    <w:rsid w:val="009F603C"/>
    <w:rsid w:val="009F7213"/>
    <w:rsid w:val="009F7920"/>
    <w:rsid w:val="00A004BA"/>
    <w:rsid w:val="00A01F33"/>
    <w:rsid w:val="00A0234D"/>
    <w:rsid w:val="00A02600"/>
    <w:rsid w:val="00A02C75"/>
    <w:rsid w:val="00A030A5"/>
    <w:rsid w:val="00A03B7B"/>
    <w:rsid w:val="00A04A1C"/>
    <w:rsid w:val="00A05478"/>
    <w:rsid w:val="00A06301"/>
    <w:rsid w:val="00A06BBA"/>
    <w:rsid w:val="00A06FDE"/>
    <w:rsid w:val="00A0728D"/>
    <w:rsid w:val="00A10101"/>
    <w:rsid w:val="00A10F93"/>
    <w:rsid w:val="00A11DB5"/>
    <w:rsid w:val="00A11E23"/>
    <w:rsid w:val="00A120D2"/>
    <w:rsid w:val="00A13EFD"/>
    <w:rsid w:val="00A143D6"/>
    <w:rsid w:val="00A14AEB"/>
    <w:rsid w:val="00A14C21"/>
    <w:rsid w:val="00A14D60"/>
    <w:rsid w:val="00A15976"/>
    <w:rsid w:val="00A15EF7"/>
    <w:rsid w:val="00A160E5"/>
    <w:rsid w:val="00A177C1"/>
    <w:rsid w:val="00A17E2B"/>
    <w:rsid w:val="00A20CDE"/>
    <w:rsid w:val="00A23695"/>
    <w:rsid w:val="00A25181"/>
    <w:rsid w:val="00A254A3"/>
    <w:rsid w:val="00A26E15"/>
    <w:rsid w:val="00A27702"/>
    <w:rsid w:val="00A3032A"/>
    <w:rsid w:val="00A30DFE"/>
    <w:rsid w:val="00A30F39"/>
    <w:rsid w:val="00A3124B"/>
    <w:rsid w:val="00A3294D"/>
    <w:rsid w:val="00A32D2D"/>
    <w:rsid w:val="00A3335B"/>
    <w:rsid w:val="00A33EBC"/>
    <w:rsid w:val="00A35870"/>
    <w:rsid w:val="00A378A6"/>
    <w:rsid w:val="00A37DA7"/>
    <w:rsid w:val="00A401C7"/>
    <w:rsid w:val="00A44252"/>
    <w:rsid w:val="00A444DE"/>
    <w:rsid w:val="00A45CAD"/>
    <w:rsid w:val="00A45F0D"/>
    <w:rsid w:val="00A47F16"/>
    <w:rsid w:val="00A50095"/>
    <w:rsid w:val="00A50A4E"/>
    <w:rsid w:val="00A50CC3"/>
    <w:rsid w:val="00A510F1"/>
    <w:rsid w:val="00A511F6"/>
    <w:rsid w:val="00A51B08"/>
    <w:rsid w:val="00A54FA7"/>
    <w:rsid w:val="00A55073"/>
    <w:rsid w:val="00A550EA"/>
    <w:rsid w:val="00A55DE3"/>
    <w:rsid w:val="00A567F2"/>
    <w:rsid w:val="00A573BC"/>
    <w:rsid w:val="00A57921"/>
    <w:rsid w:val="00A57B7E"/>
    <w:rsid w:val="00A604DD"/>
    <w:rsid w:val="00A60786"/>
    <w:rsid w:val="00A610D1"/>
    <w:rsid w:val="00A620DD"/>
    <w:rsid w:val="00A62860"/>
    <w:rsid w:val="00A63629"/>
    <w:rsid w:val="00A64C79"/>
    <w:rsid w:val="00A653EC"/>
    <w:rsid w:val="00A66FE2"/>
    <w:rsid w:val="00A66FF2"/>
    <w:rsid w:val="00A671B8"/>
    <w:rsid w:val="00A67DD2"/>
    <w:rsid w:val="00A707F0"/>
    <w:rsid w:val="00A71373"/>
    <w:rsid w:val="00A71526"/>
    <w:rsid w:val="00A71956"/>
    <w:rsid w:val="00A745F4"/>
    <w:rsid w:val="00A74767"/>
    <w:rsid w:val="00A75262"/>
    <w:rsid w:val="00A75294"/>
    <w:rsid w:val="00A752B0"/>
    <w:rsid w:val="00A8068B"/>
    <w:rsid w:val="00A80EAA"/>
    <w:rsid w:val="00A8193E"/>
    <w:rsid w:val="00A83002"/>
    <w:rsid w:val="00A83BDF"/>
    <w:rsid w:val="00A83C18"/>
    <w:rsid w:val="00A83ED6"/>
    <w:rsid w:val="00A844BD"/>
    <w:rsid w:val="00A84807"/>
    <w:rsid w:val="00A85684"/>
    <w:rsid w:val="00A856B7"/>
    <w:rsid w:val="00A85C14"/>
    <w:rsid w:val="00A864F3"/>
    <w:rsid w:val="00A8670C"/>
    <w:rsid w:val="00A8764A"/>
    <w:rsid w:val="00A905A4"/>
    <w:rsid w:val="00A90797"/>
    <w:rsid w:val="00A90AFC"/>
    <w:rsid w:val="00A90CBD"/>
    <w:rsid w:val="00A91031"/>
    <w:rsid w:val="00A917B2"/>
    <w:rsid w:val="00A92619"/>
    <w:rsid w:val="00A947FE"/>
    <w:rsid w:val="00A94A82"/>
    <w:rsid w:val="00A94F27"/>
    <w:rsid w:val="00A95043"/>
    <w:rsid w:val="00A95342"/>
    <w:rsid w:val="00A96ADF"/>
    <w:rsid w:val="00A97B58"/>
    <w:rsid w:val="00AA06B3"/>
    <w:rsid w:val="00AA0A68"/>
    <w:rsid w:val="00AA1840"/>
    <w:rsid w:val="00AA1CF0"/>
    <w:rsid w:val="00AA3F88"/>
    <w:rsid w:val="00AA414B"/>
    <w:rsid w:val="00AA4900"/>
    <w:rsid w:val="00AA4C8D"/>
    <w:rsid w:val="00AA4D57"/>
    <w:rsid w:val="00AA6716"/>
    <w:rsid w:val="00AA6B52"/>
    <w:rsid w:val="00AA79CD"/>
    <w:rsid w:val="00AB0D0A"/>
    <w:rsid w:val="00AB57E8"/>
    <w:rsid w:val="00AB6937"/>
    <w:rsid w:val="00AB7C8D"/>
    <w:rsid w:val="00AB7F50"/>
    <w:rsid w:val="00AC0C2B"/>
    <w:rsid w:val="00AC0DE8"/>
    <w:rsid w:val="00AC2E42"/>
    <w:rsid w:val="00AC367A"/>
    <w:rsid w:val="00AC5227"/>
    <w:rsid w:val="00AC5251"/>
    <w:rsid w:val="00AC53B4"/>
    <w:rsid w:val="00AC649D"/>
    <w:rsid w:val="00AC6A9A"/>
    <w:rsid w:val="00AC7A27"/>
    <w:rsid w:val="00AD1189"/>
    <w:rsid w:val="00AD192B"/>
    <w:rsid w:val="00AD2CFE"/>
    <w:rsid w:val="00AD4650"/>
    <w:rsid w:val="00AD4774"/>
    <w:rsid w:val="00AD49BD"/>
    <w:rsid w:val="00AD630E"/>
    <w:rsid w:val="00AD77A7"/>
    <w:rsid w:val="00AE185A"/>
    <w:rsid w:val="00AE2724"/>
    <w:rsid w:val="00AE2918"/>
    <w:rsid w:val="00AE2B13"/>
    <w:rsid w:val="00AE33F3"/>
    <w:rsid w:val="00AE4678"/>
    <w:rsid w:val="00AE46B7"/>
    <w:rsid w:val="00AE57A1"/>
    <w:rsid w:val="00AE5DC4"/>
    <w:rsid w:val="00AE6966"/>
    <w:rsid w:val="00AE789E"/>
    <w:rsid w:val="00AF031C"/>
    <w:rsid w:val="00AF16E5"/>
    <w:rsid w:val="00AF2D47"/>
    <w:rsid w:val="00AF2E33"/>
    <w:rsid w:val="00AF2F5B"/>
    <w:rsid w:val="00AF352A"/>
    <w:rsid w:val="00AF566C"/>
    <w:rsid w:val="00AF7501"/>
    <w:rsid w:val="00B0118C"/>
    <w:rsid w:val="00B017EF"/>
    <w:rsid w:val="00B01FA0"/>
    <w:rsid w:val="00B0220A"/>
    <w:rsid w:val="00B02781"/>
    <w:rsid w:val="00B02B95"/>
    <w:rsid w:val="00B036B4"/>
    <w:rsid w:val="00B068E7"/>
    <w:rsid w:val="00B06BF9"/>
    <w:rsid w:val="00B106D7"/>
    <w:rsid w:val="00B10949"/>
    <w:rsid w:val="00B10962"/>
    <w:rsid w:val="00B11692"/>
    <w:rsid w:val="00B11CC9"/>
    <w:rsid w:val="00B13A3C"/>
    <w:rsid w:val="00B13D23"/>
    <w:rsid w:val="00B145F4"/>
    <w:rsid w:val="00B16E56"/>
    <w:rsid w:val="00B2035A"/>
    <w:rsid w:val="00B22100"/>
    <w:rsid w:val="00B225E9"/>
    <w:rsid w:val="00B22F4F"/>
    <w:rsid w:val="00B232A7"/>
    <w:rsid w:val="00B23B6A"/>
    <w:rsid w:val="00B23E82"/>
    <w:rsid w:val="00B25234"/>
    <w:rsid w:val="00B25C21"/>
    <w:rsid w:val="00B25DEA"/>
    <w:rsid w:val="00B269ED"/>
    <w:rsid w:val="00B27AFF"/>
    <w:rsid w:val="00B305CF"/>
    <w:rsid w:val="00B30C08"/>
    <w:rsid w:val="00B31232"/>
    <w:rsid w:val="00B314E9"/>
    <w:rsid w:val="00B317C1"/>
    <w:rsid w:val="00B31A20"/>
    <w:rsid w:val="00B34712"/>
    <w:rsid w:val="00B34AFB"/>
    <w:rsid w:val="00B359AC"/>
    <w:rsid w:val="00B35D1C"/>
    <w:rsid w:val="00B35ED4"/>
    <w:rsid w:val="00B3616E"/>
    <w:rsid w:val="00B36305"/>
    <w:rsid w:val="00B36314"/>
    <w:rsid w:val="00B363BA"/>
    <w:rsid w:val="00B365CF"/>
    <w:rsid w:val="00B36E25"/>
    <w:rsid w:val="00B36F11"/>
    <w:rsid w:val="00B37A75"/>
    <w:rsid w:val="00B37DC6"/>
    <w:rsid w:val="00B41D44"/>
    <w:rsid w:val="00B420EE"/>
    <w:rsid w:val="00B42C75"/>
    <w:rsid w:val="00B42D87"/>
    <w:rsid w:val="00B44673"/>
    <w:rsid w:val="00B51484"/>
    <w:rsid w:val="00B518EB"/>
    <w:rsid w:val="00B521B0"/>
    <w:rsid w:val="00B52608"/>
    <w:rsid w:val="00B529D4"/>
    <w:rsid w:val="00B52A03"/>
    <w:rsid w:val="00B537FC"/>
    <w:rsid w:val="00B569EB"/>
    <w:rsid w:val="00B5727A"/>
    <w:rsid w:val="00B5737D"/>
    <w:rsid w:val="00B57E71"/>
    <w:rsid w:val="00B600F4"/>
    <w:rsid w:val="00B60BC3"/>
    <w:rsid w:val="00B61829"/>
    <w:rsid w:val="00B61B2F"/>
    <w:rsid w:val="00B621FA"/>
    <w:rsid w:val="00B6223F"/>
    <w:rsid w:val="00B622BF"/>
    <w:rsid w:val="00B62B3E"/>
    <w:rsid w:val="00B63221"/>
    <w:rsid w:val="00B63251"/>
    <w:rsid w:val="00B65FDE"/>
    <w:rsid w:val="00B67416"/>
    <w:rsid w:val="00B67521"/>
    <w:rsid w:val="00B676BF"/>
    <w:rsid w:val="00B678A3"/>
    <w:rsid w:val="00B7151A"/>
    <w:rsid w:val="00B71D68"/>
    <w:rsid w:val="00B71EA9"/>
    <w:rsid w:val="00B72D1F"/>
    <w:rsid w:val="00B72D83"/>
    <w:rsid w:val="00B732F4"/>
    <w:rsid w:val="00B73315"/>
    <w:rsid w:val="00B7408B"/>
    <w:rsid w:val="00B74BFD"/>
    <w:rsid w:val="00B74FC4"/>
    <w:rsid w:val="00B75361"/>
    <w:rsid w:val="00B756DE"/>
    <w:rsid w:val="00B7602A"/>
    <w:rsid w:val="00B77105"/>
    <w:rsid w:val="00B802F3"/>
    <w:rsid w:val="00B803D8"/>
    <w:rsid w:val="00B804D6"/>
    <w:rsid w:val="00B833D3"/>
    <w:rsid w:val="00B83414"/>
    <w:rsid w:val="00B83F04"/>
    <w:rsid w:val="00B8436B"/>
    <w:rsid w:val="00B86D92"/>
    <w:rsid w:val="00B87103"/>
    <w:rsid w:val="00B909FD"/>
    <w:rsid w:val="00B90BF6"/>
    <w:rsid w:val="00B90EBB"/>
    <w:rsid w:val="00B92436"/>
    <w:rsid w:val="00B9244D"/>
    <w:rsid w:val="00B92D58"/>
    <w:rsid w:val="00B93C8B"/>
    <w:rsid w:val="00B93E61"/>
    <w:rsid w:val="00B9436E"/>
    <w:rsid w:val="00B95056"/>
    <w:rsid w:val="00B95DB0"/>
    <w:rsid w:val="00B95F36"/>
    <w:rsid w:val="00B96C34"/>
    <w:rsid w:val="00B97D49"/>
    <w:rsid w:val="00B97EB7"/>
    <w:rsid w:val="00BA03C4"/>
    <w:rsid w:val="00BA0464"/>
    <w:rsid w:val="00BA1D55"/>
    <w:rsid w:val="00BA3F2B"/>
    <w:rsid w:val="00BA4419"/>
    <w:rsid w:val="00BA47F9"/>
    <w:rsid w:val="00BA5D3B"/>
    <w:rsid w:val="00BA67AC"/>
    <w:rsid w:val="00BA6828"/>
    <w:rsid w:val="00BA6EDB"/>
    <w:rsid w:val="00BA736C"/>
    <w:rsid w:val="00BB00C9"/>
    <w:rsid w:val="00BB4196"/>
    <w:rsid w:val="00BB4CBF"/>
    <w:rsid w:val="00BB633A"/>
    <w:rsid w:val="00BB698E"/>
    <w:rsid w:val="00BB7770"/>
    <w:rsid w:val="00BB7818"/>
    <w:rsid w:val="00BB7A45"/>
    <w:rsid w:val="00BB7C2B"/>
    <w:rsid w:val="00BB7FD4"/>
    <w:rsid w:val="00BC011F"/>
    <w:rsid w:val="00BC1CFC"/>
    <w:rsid w:val="00BC2E8F"/>
    <w:rsid w:val="00BC4303"/>
    <w:rsid w:val="00BC6F70"/>
    <w:rsid w:val="00BC7A91"/>
    <w:rsid w:val="00BD223C"/>
    <w:rsid w:val="00BD2CFE"/>
    <w:rsid w:val="00BD3071"/>
    <w:rsid w:val="00BD31F5"/>
    <w:rsid w:val="00BD4A45"/>
    <w:rsid w:val="00BD594C"/>
    <w:rsid w:val="00BD62FA"/>
    <w:rsid w:val="00BD65F7"/>
    <w:rsid w:val="00BD69B8"/>
    <w:rsid w:val="00BD7B4C"/>
    <w:rsid w:val="00BE00C7"/>
    <w:rsid w:val="00BE01D8"/>
    <w:rsid w:val="00BE0365"/>
    <w:rsid w:val="00BE3ACB"/>
    <w:rsid w:val="00BE3B4F"/>
    <w:rsid w:val="00BE47EF"/>
    <w:rsid w:val="00BE6A03"/>
    <w:rsid w:val="00BE711F"/>
    <w:rsid w:val="00BE7184"/>
    <w:rsid w:val="00BE727E"/>
    <w:rsid w:val="00BE769A"/>
    <w:rsid w:val="00BF1A26"/>
    <w:rsid w:val="00BF2127"/>
    <w:rsid w:val="00BF29AA"/>
    <w:rsid w:val="00BF3F4C"/>
    <w:rsid w:val="00BF4FB0"/>
    <w:rsid w:val="00BF50A7"/>
    <w:rsid w:val="00BF5498"/>
    <w:rsid w:val="00C00758"/>
    <w:rsid w:val="00C0275B"/>
    <w:rsid w:val="00C02D58"/>
    <w:rsid w:val="00C02DB9"/>
    <w:rsid w:val="00C03F9A"/>
    <w:rsid w:val="00C0651D"/>
    <w:rsid w:val="00C06652"/>
    <w:rsid w:val="00C068C0"/>
    <w:rsid w:val="00C10407"/>
    <w:rsid w:val="00C12706"/>
    <w:rsid w:val="00C12F50"/>
    <w:rsid w:val="00C155A5"/>
    <w:rsid w:val="00C15C08"/>
    <w:rsid w:val="00C16066"/>
    <w:rsid w:val="00C16593"/>
    <w:rsid w:val="00C20E53"/>
    <w:rsid w:val="00C222F3"/>
    <w:rsid w:val="00C223C7"/>
    <w:rsid w:val="00C22F36"/>
    <w:rsid w:val="00C23C33"/>
    <w:rsid w:val="00C2577E"/>
    <w:rsid w:val="00C25C7D"/>
    <w:rsid w:val="00C25F85"/>
    <w:rsid w:val="00C26018"/>
    <w:rsid w:val="00C27896"/>
    <w:rsid w:val="00C307B6"/>
    <w:rsid w:val="00C31BF8"/>
    <w:rsid w:val="00C329F9"/>
    <w:rsid w:val="00C334A9"/>
    <w:rsid w:val="00C34032"/>
    <w:rsid w:val="00C35187"/>
    <w:rsid w:val="00C36657"/>
    <w:rsid w:val="00C40206"/>
    <w:rsid w:val="00C4049E"/>
    <w:rsid w:val="00C42A12"/>
    <w:rsid w:val="00C44982"/>
    <w:rsid w:val="00C44DBB"/>
    <w:rsid w:val="00C470D0"/>
    <w:rsid w:val="00C47EB5"/>
    <w:rsid w:val="00C507E4"/>
    <w:rsid w:val="00C50C74"/>
    <w:rsid w:val="00C50F2C"/>
    <w:rsid w:val="00C52393"/>
    <w:rsid w:val="00C5380B"/>
    <w:rsid w:val="00C53C4B"/>
    <w:rsid w:val="00C55AEF"/>
    <w:rsid w:val="00C56690"/>
    <w:rsid w:val="00C568A1"/>
    <w:rsid w:val="00C600DC"/>
    <w:rsid w:val="00C62A8C"/>
    <w:rsid w:val="00C62B9C"/>
    <w:rsid w:val="00C6321F"/>
    <w:rsid w:val="00C63D86"/>
    <w:rsid w:val="00C647FD"/>
    <w:rsid w:val="00C666D2"/>
    <w:rsid w:val="00C67B5E"/>
    <w:rsid w:val="00C70CB0"/>
    <w:rsid w:val="00C70D30"/>
    <w:rsid w:val="00C70E99"/>
    <w:rsid w:val="00C71891"/>
    <w:rsid w:val="00C71F06"/>
    <w:rsid w:val="00C72530"/>
    <w:rsid w:val="00C7331F"/>
    <w:rsid w:val="00C7398E"/>
    <w:rsid w:val="00C744D9"/>
    <w:rsid w:val="00C74536"/>
    <w:rsid w:val="00C747F8"/>
    <w:rsid w:val="00C74905"/>
    <w:rsid w:val="00C75D00"/>
    <w:rsid w:val="00C7669D"/>
    <w:rsid w:val="00C77682"/>
    <w:rsid w:val="00C80096"/>
    <w:rsid w:val="00C8019C"/>
    <w:rsid w:val="00C80E8F"/>
    <w:rsid w:val="00C8103B"/>
    <w:rsid w:val="00C82E43"/>
    <w:rsid w:val="00C85979"/>
    <w:rsid w:val="00C85A3A"/>
    <w:rsid w:val="00C86346"/>
    <w:rsid w:val="00C8744E"/>
    <w:rsid w:val="00C875AF"/>
    <w:rsid w:val="00C87C52"/>
    <w:rsid w:val="00C9098D"/>
    <w:rsid w:val="00C90A0F"/>
    <w:rsid w:val="00C90DED"/>
    <w:rsid w:val="00C91B0E"/>
    <w:rsid w:val="00C91CA9"/>
    <w:rsid w:val="00C944CA"/>
    <w:rsid w:val="00C94611"/>
    <w:rsid w:val="00C958EB"/>
    <w:rsid w:val="00C967CD"/>
    <w:rsid w:val="00C96BB1"/>
    <w:rsid w:val="00C97D15"/>
    <w:rsid w:val="00CA0490"/>
    <w:rsid w:val="00CA0628"/>
    <w:rsid w:val="00CA12AC"/>
    <w:rsid w:val="00CA1AFA"/>
    <w:rsid w:val="00CA2196"/>
    <w:rsid w:val="00CA2BFF"/>
    <w:rsid w:val="00CA4B60"/>
    <w:rsid w:val="00CA56B7"/>
    <w:rsid w:val="00CA5F06"/>
    <w:rsid w:val="00CA5F5B"/>
    <w:rsid w:val="00CB36D6"/>
    <w:rsid w:val="00CB418C"/>
    <w:rsid w:val="00CB43A4"/>
    <w:rsid w:val="00CB5525"/>
    <w:rsid w:val="00CB5CE5"/>
    <w:rsid w:val="00CB6673"/>
    <w:rsid w:val="00CB6EE1"/>
    <w:rsid w:val="00CB78E8"/>
    <w:rsid w:val="00CC0195"/>
    <w:rsid w:val="00CC01C4"/>
    <w:rsid w:val="00CC06E5"/>
    <w:rsid w:val="00CC1255"/>
    <w:rsid w:val="00CC2779"/>
    <w:rsid w:val="00CC37FE"/>
    <w:rsid w:val="00CC44D2"/>
    <w:rsid w:val="00CC4643"/>
    <w:rsid w:val="00CC4902"/>
    <w:rsid w:val="00CC5D7A"/>
    <w:rsid w:val="00CC64D5"/>
    <w:rsid w:val="00CD07E8"/>
    <w:rsid w:val="00CD0DC7"/>
    <w:rsid w:val="00CD27B9"/>
    <w:rsid w:val="00CD307F"/>
    <w:rsid w:val="00CD3B05"/>
    <w:rsid w:val="00CD3B76"/>
    <w:rsid w:val="00CD427A"/>
    <w:rsid w:val="00CD453F"/>
    <w:rsid w:val="00CD45EA"/>
    <w:rsid w:val="00CD4AE2"/>
    <w:rsid w:val="00CD5C49"/>
    <w:rsid w:val="00CD5D2D"/>
    <w:rsid w:val="00CD5EEE"/>
    <w:rsid w:val="00CD6B2E"/>
    <w:rsid w:val="00CE02E9"/>
    <w:rsid w:val="00CE1D15"/>
    <w:rsid w:val="00CE2067"/>
    <w:rsid w:val="00CE2D82"/>
    <w:rsid w:val="00CE3480"/>
    <w:rsid w:val="00CE3A36"/>
    <w:rsid w:val="00CE3B2F"/>
    <w:rsid w:val="00CE5D55"/>
    <w:rsid w:val="00CE6027"/>
    <w:rsid w:val="00CE6408"/>
    <w:rsid w:val="00CE724C"/>
    <w:rsid w:val="00CF03F7"/>
    <w:rsid w:val="00CF17D8"/>
    <w:rsid w:val="00CF2081"/>
    <w:rsid w:val="00CF21D8"/>
    <w:rsid w:val="00CF279F"/>
    <w:rsid w:val="00CF2CC2"/>
    <w:rsid w:val="00CF32E8"/>
    <w:rsid w:val="00CF53C8"/>
    <w:rsid w:val="00CF5857"/>
    <w:rsid w:val="00CF59D5"/>
    <w:rsid w:val="00CF5B7A"/>
    <w:rsid w:val="00CF69CF"/>
    <w:rsid w:val="00D00EDC"/>
    <w:rsid w:val="00D0146A"/>
    <w:rsid w:val="00D023E6"/>
    <w:rsid w:val="00D02F08"/>
    <w:rsid w:val="00D033FA"/>
    <w:rsid w:val="00D04FDF"/>
    <w:rsid w:val="00D05A15"/>
    <w:rsid w:val="00D0690B"/>
    <w:rsid w:val="00D106EC"/>
    <w:rsid w:val="00D10E5B"/>
    <w:rsid w:val="00D13689"/>
    <w:rsid w:val="00D13CCB"/>
    <w:rsid w:val="00D13DE6"/>
    <w:rsid w:val="00D144AB"/>
    <w:rsid w:val="00D1773E"/>
    <w:rsid w:val="00D2044D"/>
    <w:rsid w:val="00D20D2C"/>
    <w:rsid w:val="00D2240E"/>
    <w:rsid w:val="00D22D92"/>
    <w:rsid w:val="00D23BE7"/>
    <w:rsid w:val="00D24D0C"/>
    <w:rsid w:val="00D254D7"/>
    <w:rsid w:val="00D2591A"/>
    <w:rsid w:val="00D2611C"/>
    <w:rsid w:val="00D269BC"/>
    <w:rsid w:val="00D26C7A"/>
    <w:rsid w:val="00D2786C"/>
    <w:rsid w:val="00D304B7"/>
    <w:rsid w:val="00D3336D"/>
    <w:rsid w:val="00D33BB1"/>
    <w:rsid w:val="00D3409A"/>
    <w:rsid w:val="00D34180"/>
    <w:rsid w:val="00D34737"/>
    <w:rsid w:val="00D41D45"/>
    <w:rsid w:val="00D42AF5"/>
    <w:rsid w:val="00D42B36"/>
    <w:rsid w:val="00D42E8A"/>
    <w:rsid w:val="00D43509"/>
    <w:rsid w:val="00D43BE6"/>
    <w:rsid w:val="00D43E68"/>
    <w:rsid w:val="00D44B3C"/>
    <w:rsid w:val="00D45217"/>
    <w:rsid w:val="00D46C7F"/>
    <w:rsid w:val="00D46EEE"/>
    <w:rsid w:val="00D46EFD"/>
    <w:rsid w:val="00D503A4"/>
    <w:rsid w:val="00D506CA"/>
    <w:rsid w:val="00D50BD6"/>
    <w:rsid w:val="00D50ED4"/>
    <w:rsid w:val="00D5177E"/>
    <w:rsid w:val="00D523C4"/>
    <w:rsid w:val="00D52413"/>
    <w:rsid w:val="00D52EB1"/>
    <w:rsid w:val="00D5546C"/>
    <w:rsid w:val="00D55B21"/>
    <w:rsid w:val="00D57328"/>
    <w:rsid w:val="00D5750B"/>
    <w:rsid w:val="00D61FAD"/>
    <w:rsid w:val="00D62618"/>
    <w:rsid w:val="00D62E2D"/>
    <w:rsid w:val="00D631E7"/>
    <w:rsid w:val="00D64D51"/>
    <w:rsid w:val="00D65178"/>
    <w:rsid w:val="00D65625"/>
    <w:rsid w:val="00D6562B"/>
    <w:rsid w:val="00D669E3"/>
    <w:rsid w:val="00D66A20"/>
    <w:rsid w:val="00D7113E"/>
    <w:rsid w:val="00D71851"/>
    <w:rsid w:val="00D72B0C"/>
    <w:rsid w:val="00D739A3"/>
    <w:rsid w:val="00D73F4D"/>
    <w:rsid w:val="00D74D2A"/>
    <w:rsid w:val="00D74EFD"/>
    <w:rsid w:val="00D751E9"/>
    <w:rsid w:val="00D752D6"/>
    <w:rsid w:val="00D76296"/>
    <w:rsid w:val="00D7668A"/>
    <w:rsid w:val="00D77998"/>
    <w:rsid w:val="00D80CC7"/>
    <w:rsid w:val="00D81949"/>
    <w:rsid w:val="00D8219D"/>
    <w:rsid w:val="00D825C6"/>
    <w:rsid w:val="00D827F1"/>
    <w:rsid w:val="00D83365"/>
    <w:rsid w:val="00D84E34"/>
    <w:rsid w:val="00D850C2"/>
    <w:rsid w:val="00D850DA"/>
    <w:rsid w:val="00D85E68"/>
    <w:rsid w:val="00D866DE"/>
    <w:rsid w:val="00D869D8"/>
    <w:rsid w:val="00D90ABA"/>
    <w:rsid w:val="00D91817"/>
    <w:rsid w:val="00D91C7E"/>
    <w:rsid w:val="00D93729"/>
    <w:rsid w:val="00D94695"/>
    <w:rsid w:val="00D94DBF"/>
    <w:rsid w:val="00D96FF4"/>
    <w:rsid w:val="00D97B72"/>
    <w:rsid w:val="00D97D81"/>
    <w:rsid w:val="00DA0CEC"/>
    <w:rsid w:val="00DA0E9F"/>
    <w:rsid w:val="00DA2B35"/>
    <w:rsid w:val="00DA3580"/>
    <w:rsid w:val="00DA3676"/>
    <w:rsid w:val="00DA440E"/>
    <w:rsid w:val="00DA4427"/>
    <w:rsid w:val="00DA4484"/>
    <w:rsid w:val="00DA49C0"/>
    <w:rsid w:val="00DA4D8A"/>
    <w:rsid w:val="00DA511C"/>
    <w:rsid w:val="00DA6609"/>
    <w:rsid w:val="00DB0A41"/>
    <w:rsid w:val="00DB0CF4"/>
    <w:rsid w:val="00DB0E8C"/>
    <w:rsid w:val="00DB1730"/>
    <w:rsid w:val="00DB198B"/>
    <w:rsid w:val="00DB2101"/>
    <w:rsid w:val="00DB3255"/>
    <w:rsid w:val="00DB4218"/>
    <w:rsid w:val="00DB4421"/>
    <w:rsid w:val="00DB7635"/>
    <w:rsid w:val="00DC0309"/>
    <w:rsid w:val="00DC0F23"/>
    <w:rsid w:val="00DC17BB"/>
    <w:rsid w:val="00DC21B3"/>
    <w:rsid w:val="00DC2B4B"/>
    <w:rsid w:val="00DC4780"/>
    <w:rsid w:val="00DC4DBA"/>
    <w:rsid w:val="00DC4DCE"/>
    <w:rsid w:val="00DC4E12"/>
    <w:rsid w:val="00DC648E"/>
    <w:rsid w:val="00DD0F50"/>
    <w:rsid w:val="00DD0F73"/>
    <w:rsid w:val="00DD283C"/>
    <w:rsid w:val="00DD32A8"/>
    <w:rsid w:val="00DD377B"/>
    <w:rsid w:val="00DD52D5"/>
    <w:rsid w:val="00DD6DFE"/>
    <w:rsid w:val="00DD7765"/>
    <w:rsid w:val="00DE02B9"/>
    <w:rsid w:val="00DE04EB"/>
    <w:rsid w:val="00DE0BAF"/>
    <w:rsid w:val="00DE1277"/>
    <w:rsid w:val="00DE1D84"/>
    <w:rsid w:val="00DE29B0"/>
    <w:rsid w:val="00DE2FD7"/>
    <w:rsid w:val="00DE3576"/>
    <w:rsid w:val="00DE3B35"/>
    <w:rsid w:val="00DE4730"/>
    <w:rsid w:val="00DE491F"/>
    <w:rsid w:val="00DE5434"/>
    <w:rsid w:val="00DE5517"/>
    <w:rsid w:val="00DE679F"/>
    <w:rsid w:val="00DE6858"/>
    <w:rsid w:val="00DE7886"/>
    <w:rsid w:val="00DF021B"/>
    <w:rsid w:val="00DF02F9"/>
    <w:rsid w:val="00DF342F"/>
    <w:rsid w:val="00DF3972"/>
    <w:rsid w:val="00DF5299"/>
    <w:rsid w:val="00DF53E3"/>
    <w:rsid w:val="00DF60B2"/>
    <w:rsid w:val="00DF6804"/>
    <w:rsid w:val="00E000A8"/>
    <w:rsid w:val="00E00751"/>
    <w:rsid w:val="00E0082D"/>
    <w:rsid w:val="00E00A10"/>
    <w:rsid w:val="00E011DC"/>
    <w:rsid w:val="00E02016"/>
    <w:rsid w:val="00E02D83"/>
    <w:rsid w:val="00E04CA8"/>
    <w:rsid w:val="00E05787"/>
    <w:rsid w:val="00E06522"/>
    <w:rsid w:val="00E068B3"/>
    <w:rsid w:val="00E068D7"/>
    <w:rsid w:val="00E0690C"/>
    <w:rsid w:val="00E07176"/>
    <w:rsid w:val="00E121A4"/>
    <w:rsid w:val="00E1233A"/>
    <w:rsid w:val="00E12663"/>
    <w:rsid w:val="00E139CD"/>
    <w:rsid w:val="00E14117"/>
    <w:rsid w:val="00E1488B"/>
    <w:rsid w:val="00E148B0"/>
    <w:rsid w:val="00E20BFE"/>
    <w:rsid w:val="00E20C46"/>
    <w:rsid w:val="00E22876"/>
    <w:rsid w:val="00E2334A"/>
    <w:rsid w:val="00E23440"/>
    <w:rsid w:val="00E23BEE"/>
    <w:rsid w:val="00E24039"/>
    <w:rsid w:val="00E2487E"/>
    <w:rsid w:val="00E25E10"/>
    <w:rsid w:val="00E30D5A"/>
    <w:rsid w:val="00E30F88"/>
    <w:rsid w:val="00E3257C"/>
    <w:rsid w:val="00E32AE3"/>
    <w:rsid w:val="00E335E9"/>
    <w:rsid w:val="00E33868"/>
    <w:rsid w:val="00E3423E"/>
    <w:rsid w:val="00E35D3D"/>
    <w:rsid w:val="00E374FD"/>
    <w:rsid w:val="00E37F03"/>
    <w:rsid w:val="00E403EF"/>
    <w:rsid w:val="00E4062C"/>
    <w:rsid w:val="00E406A4"/>
    <w:rsid w:val="00E4381D"/>
    <w:rsid w:val="00E43E07"/>
    <w:rsid w:val="00E44725"/>
    <w:rsid w:val="00E452FD"/>
    <w:rsid w:val="00E45931"/>
    <w:rsid w:val="00E46F22"/>
    <w:rsid w:val="00E477C2"/>
    <w:rsid w:val="00E500BC"/>
    <w:rsid w:val="00E50BC9"/>
    <w:rsid w:val="00E5104C"/>
    <w:rsid w:val="00E520E0"/>
    <w:rsid w:val="00E53D0D"/>
    <w:rsid w:val="00E5454E"/>
    <w:rsid w:val="00E54738"/>
    <w:rsid w:val="00E5550E"/>
    <w:rsid w:val="00E56194"/>
    <w:rsid w:val="00E56273"/>
    <w:rsid w:val="00E56BC9"/>
    <w:rsid w:val="00E57244"/>
    <w:rsid w:val="00E601BC"/>
    <w:rsid w:val="00E60559"/>
    <w:rsid w:val="00E6082B"/>
    <w:rsid w:val="00E6138A"/>
    <w:rsid w:val="00E615EC"/>
    <w:rsid w:val="00E61993"/>
    <w:rsid w:val="00E61B41"/>
    <w:rsid w:val="00E625DA"/>
    <w:rsid w:val="00E63042"/>
    <w:rsid w:val="00E635E1"/>
    <w:rsid w:val="00E63B7A"/>
    <w:rsid w:val="00E64AA0"/>
    <w:rsid w:val="00E65028"/>
    <w:rsid w:val="00E65222"/>
    <w:rsid w:val="00E6634F"/>
    <w:rsid w:val="00E67DA1"/>
    <w:rsid w:val="00E7122A"/>
    <w:rsid w:val="00E71B31"/>
    <w:rsid w:val="00E71FD9"/>
    <w:rsid w:val="00E7295A"/>
    <w:rsid w:val="00E72FEF"/>
    <w:rsid w:val="00E73854"/>
    <w:rsid w:val="00E73D76"/>
    <w:rsid w:val="00E73E0E"/>
    <w:rsid w:val="00E74992"/>
    <w:rsid w:val="00E75881"/>
    <w:rsid w:val="00E75FB9"/>
    <w:rsid w:val="00E763BC"/>
    <w:rsid w:val="00E8472B"/>
    <w:rsid w:val="00E8497A"/>
    <w:rsid w:val="00E84DD0"/>
    <w:rsid w:val="00E84E31"/>
    <w:rsid w:val="00E85F0A"/>
    <w:rsid w:val="00E8610C"/>
    <w:rsid w:val="00E8652F"/>
    <w:rsid w:val="00E86D92"/>
    <w:rsid w:val="00E87FF1"/>
    <w:rsid w:val="00E908CE"/>
    <w:rsid w:val="00E90EEC"/>
    <w:rsid w:val="00E925E3"/>
    <w:rsid w:val="00E95525"/>
    <w:rsid w:val="00E95867"/>
    <w:rsid w:val="00E95C25"/>
    <w:rsid w:val="00E95D7F"/>
    <w:rsid w:val="00E960A2"/>
    <w:rsid w:val="00E96C2A"/>
    <w:rsid w:val="00E97522"/>
    <w:rsid w:val="00EA00B8"/>
    <w:rsid w:val="00EA11ED"/>
    <w:rsid w:val="00EA13F9"/>
    <w:rsid w:val="00EA1CA0"/>
    <w:rsid w:val="00EA25B1"/>
    <w:rsid w:val="00EA2CF9"/>
    <w:rsid w:val="00EA3C4C"/>
    <w:rsid w:val="00EA45A2"/>
    <w:rsid w:val="00EA46A5"/>
    <w:rsid w:val="00EA522A"/>
    <w:rsid w:val="00EA58A6"/>
    <w:rsid w:val="00EA70CD"/>
    <w:rsid w:val="00EA77C5"/>
    <w:rsid w:val="00EA7B96"/>
    <w:rsid w:val="00EB02E2"/>
    <w:rsid w:val="00EB1FDB"/>
    <w:rsid w:val="00EB2099"/>
    <w:rsid w:val="00EB250E"/>
    <w:rsid w:val="00EB2B87"/>
    <w:rsid w:val="00EB2D75"/>
    <w:rsid w:val="00EB4823"/>
    <w:rsid w:val="00EB5473"/>
    <w:rsid w:val="00EB54F9"/>
    <w:rsid w:val="00EB7C16"/>
    <w:rsid w:val="00EC0778"/>
    <w:rsid w:val="00EC1650"/>
    <w:rsid w:val="00EC1791"/>
    <w:rsid w:val="00EC1D5B"/>
    <w:rsid w:val="00EC1DB1"/>
    <w:rsid w:val="00EC3028"/>
    <w:rsid w:val="00EC304B"/>
    <w:rsid w:val="00EC4498"/>
    <w:rsid w:val="00EC4CFB"/>
    <w:rsid w:val="00EC4FD1"/>
    <w:rsid w:val="00EC5032"/>
    <w:rsid w:val="00EC52CA"/>
    <w:rsid w:val="00EC56ED"/>
    <w:rsid w:val="00ED05E5"/>
    <w:rsid w:val="00ED0E62"/>
    <w:rsid w:val="00ED183B"/>
    <w:rsid w:val="00ED2B58"/>
    <w:rsid w:val="00ED2D6B"/>
    <w:rsid w:val="00ED2E34"/>
    <w:rsid w:val="00ED39E8"/>
    <w:rsid w:val="00ED3BA9"/>
    <w:rsid w:val="00ED4145"/>
    <w:rsid w:val="00ED4E3D"/>
    <w:rsid w:val="00ED5141"/>
    <w:rsid w:val="00ED5233"/>
    <w:rsid w:val="00ED5DC2"/>
    <w:rsid w:val="00ED6C78"/>
    <w:rsid w:val="00ED7698"/>
    <w:rsid w:val="00EE0BB2"/>
    <w:rsid w:val="00EE2A27"/>
    <w:rsid w:val="00EE31E4"/>
    <w:rsid w:val="00EE34C3"/>
    <w:rsid w:val="00EE3577"/>
    <w:rsid w:val="00EE4DA8"/>
    <w:rsid w:val="00EE52EC"/>
    <w:rsid w:val="00EE59E6"/>
    <w:rsid w:val="00EE6700"/>
    <w:rsid w:val="00EF13C5"/>
    <w:rsid w:val="00EF1D7F"/>
    <w:rsid w:val="00EF2853"/>
    <w:rsid w:val="00EF2ED4"/>
    <w:rsid w:val="00EF3D51"/>
    <w:rsid w:val="00EF4A16"/>
    <w:rsid w:val="00EF4EC0"/>
    <w:rsid w:val="00EF5A79"/>
    <w:rsid w:val="00EF652B"/>
    <w:rsid w:val="00F00441"/>
    <w:rsid w:val="00F00B51"/>
    <w:rsid w:val="00F01E74"/>
    <w:rsid w:val="00F01FD7"/>
    <w:rsid w:val="00F021A8"/>
    <w:rsid w:val="00F02D54"/>
    <w:rsid w:val="00F03296"/>
    <w:rsid w:val="00F053E4"/>
    <w:rsid w:val="00F06D65"/>
    <w:rsid w:val="00F117F4"/>
    <w:rsid w:val="00F12642"/>
    <w:rsid w:val="00F13D0C"/>
    <w:rsid w:val="00F144A6"/>
    <w:rsid w:val="00F14628"/>
    <w:rsid w:val="00F16866"/>
    <w:rsid w:val="00F17DEF"/>
    <w:rsid w:val="00F200A8"/>
    <w:rsid w:val="00F2061F"/>
    <w:rsid w:val="00F235EF"/>
    <w:rsid w:val="00F23FC5"/>
    <w:rsid w:val="00F2555F"/>
    <w:rsid w:val="00F25A57"/>
    <w:rsid w:val="00F26164"/>
    <w:rsid w:val="00F26210"/>
    <w:rsid w:val="00F26AAA"/>
    <w:rsid w:val="00F27BD3"/>
    <w:rsid w:val="00F30879"/>
    <w:rsid w:val="00F3090F"/>
    <w:rsid w:val="00F30D20"/>
    <w:rsid w:val="00F31D98"/>
    <w:rsid w:val="00F32391"/>
    <w:rsid w:val="00F32F62"/>
    <w:rsid w:val="00F335AF"/>
    <w:rsid w:val="00F359EE"/>
    <w:rsid w:val="00F35B13"/>
    <w:rsid w:val="00F3664D"/>
    <w:rsid w:val="00F3726B"/>
    <w:rsid w:val="00F401B2"/>
    <w:rsid w:val="00F40430"/>
    <w:rsid w:val="00F410E7"/>
    <w:rsid w:val="00F41129"/>
    <w:rsid w:val="00F41ED7"/>
    <w:rsid w:val="00F4607D"/>
    <w:rsid w:val="00F4625B"/>
    <w:rsid w:val="00F46801"/>
    <w:rsid w:val="00F47175"/>
    <w:rsid w:val="00F47630"/>
    <w:rsid w:val="00F47BCE"/>
    <w:rsid w:val="00F51270"/>
    <w:rsid w:val="00F52A58"/>
    <w:rsid w:val="00F537B9"/>
    <w:rsid w:val="00F55404"/>
    <w:rsid w:val="00F5547E"/>
    <w:rsid w:val="00F55C19"/>
    <w:rsid w:val="00F55D61"/>
    <w:rsid w:val="00F56D8B"/>
    <w:rsid w:val="00F57032"/>
    <w:rsid w:val="00F60B5E"/>
    <w:rsid w:val="00F6146D"/>
    <w:rsid w:val="00F6160E"/>
    <w:rsid w:val="00F62F01"/>
    <w:rsid w:val="00F63D75"/>
    <w:rsid w:val="00F6423B"/>
    <w:rsid w:val="00F65658"/>
    <w:rsid w:val="00F65B28"/>
    <w:rsid w:val="00F6684F"/>
    <w:rsid w:val="00F70D77"/>
    <w:rsid w:val="00F7124A"/>
    <w:rsid w:val="00F71481"/>
    <w:rsid w:val="00F71E35"/>
    <w:rsid w:val="00F72EF2"/>
    <w:rsid w:val="00F73A20"/>
    <w:rsid w:val="00F74CB6"/>
    <w:rsid w:val="00F76B25"/>
    <w:rsid w:val="00F7743D"/>
    <w:rsid w:val="00F8044D"/>
    <w:rsid w:val="00F82E1B"/>
    <w:rsid w:val="00F82F50"/>
    <w:rsid w:val="00F831C0"/>
    <w:rsid w:val="00F83C0A"/>
    <w:rsid w:val="00F84092"/>
    <w:rsid w:val="00F85621"/>
    <w:rsid w:val="00F8606E"/>
    <w:rsid w:val="00F86580"/>
    <w:rsid w:val="00F876DE"/>
    <w:rsid w:val="00F91025"/>
    <w:rsid w:val="00F911D0"/>
    <w:rsid w:val="00F93308"/>
    <w:rsid w:val="00F9431D"/>
    <w:rsid w:val="00F9512D"/>
    <w:rsid w:val="00F95EEC"/>
    <w:rsid w:val="00F96024"/>
    <w:rsid w:val="00F97137"/>
    <w:rsid w:val="00F97531"/>
    <w:rsid w:val="00FA00F2"/>
    <w:rsid w:val="00FA05DF"/>
    <w:rsid w:val="00FA067A"/>
    <w:rsid w:val="00FA171A"/>
    <w:rsid w:val="00FA182A"/>
    <w:rsid w:val="00FA1C3F"/>
    <w:rsid w:val="00FA3AFD"/>
    <w:rsid w:val="00FA47A8"/>
    <w:rsid w:val="00FA47F2"/>
    <w:rsid w:val="00FA4C7D"/>
    <w:rsid w:val="00FA584D"/>
    <w:rsid w:val="00FA58C6"/>
    <w:rsid w:val="00FA5992"/>
    <w:rsid w:val="00FA5A49"/>
    <w:rsid w:val="00FA676F"/>
    <w:rsid w:val="00FA6ABC"/>
    <w:rsid w:val="00FA6DF9"/>
    <w:rsid w:val="00FA7500"/>
    <w:rsid w:val="00FA79AE"/>
    <w:rsid w:val="00FB0FC4"/>
    <w:rsid w:val="00FB25EC"/>
    <w:rsid w:val="00FB338A"/>
    <w:rsid w:val="00FB3D16"/>
    <w:rsid w:val="00FB4898"/>
    <w:rsid w:val="00FB67F4"/>
    <w:rsid w:val="00FC0944"/>
    <w:rsid w:val="00FC2469"/>
    <w:rsid w:val="00FC263B"/>
    <w:rsid w:val="00FC285D"/>
    <w:rsid w:val="00FC2C27"/>
    <w:rsid w:val="00FC2CA6"/>
    <w:rsid w:val="00FC38B1"/>
    <w:rsid w:val="00FC3F26"/>
    <w:rsid w:val="00FC43AE"/>
    <w:rsid w:val="00FC4A88"/>
    <w:rsid w:val="00FC68EE"/>
    <w:rsid w:val="00FC7A12"/>
    <w:rsid w:val="00FD1B3F"/>
    <w:rsid w:val="00FD378B"/>
    <w:rsid w:val="00FD4835"/>
    <w:rsid w:val="00FD5A27"/>
    <w:rsid w:val="00FD7B8E"/>
    <w:rsid w:val="00FE029C"/>
    <w:rsid w:val="00FE1523"/>
    <w:rsid w:val="00FE1527"/>
    <w:rsid w:val="00FE154F"/>
    <w:rsid w:val="00FE25D3"/>
    <w:rsid w:val="00FE3928"/>
    <w:rsid w:val="00FE451F"/>
    <w:rsid w:val="00FE58E7"/>
    <w:rsid w:val="00FE6187"/>
    <w:rsid w:val="00FE665A"/>
    <w:rsid w:val="00FF050F"/>
    <w:rsid w:val="00FF08B7"/>
    <w:rsid w:val="00FF0DC3"/>
    <w:rsid w:val="00FF266E"/>
    <w:rsid w:val="00FF2847"/>
    <w:rsid w:val="00FF2E72"/>
    <w:rsid w:val="00FF51BF"/>
    <w:rsid w:val="00FF65F8"/>
    <w:rsid w:val="00FF6A38"/>
    <w:rsid w:val="00FF7C42"/>
    <w:rsid w:val="016C2301"/>
    <w:rsid w:val="018E2F6D"/>
    <w:rsid w:val="01E15D91"/>
    <w:rsid w:val="02131280"/>
    <w:rsid w:val="04A06481"/>
    <w:rsid w:val="06397D6B"/>
    <w:rsid w:val="066821A9"/>
    <w:rsid w:val="084A0EE4"/>
    <w:rsid w:val="094A48E0"/>
    <w:rsid w:val="0A0D5B86"/>
    <w:rsid w:val="0C072D69"/>
    <w:rsid w:val="0D971664"/>
    <w:rsid w:val="0F434152"/>
    <w:rsid w:val="0F4B5423"/>
    <w:rsid w:val="0F943CCD"/>
    <w:rsid w:val="114561F9"/>
    <w:rsid w:val="116419EC"/>
    <w:rsid w:val="12F65779"/>
    <w:rsid w:val="13F37F7A"/>
    <w:rsid w:val="141B3EB5"/>
    <w:rsid w:val="175E6BAE"/>
    <w:rsid w:val="17C91B0F"/>
    <w:rsid w:val="18E50745"/>
    <w:rsid w:val="1C452218"/>
    <w:rsid w:val="1F255448"/>
    <w:rsid w:val="1F284C4E"/>
    <w:rsid w:val="20B4525C"/>
    <w:rsid w:val="20D45975"/>
    <w:rsid w:val="21E35ADF"/>
    <w:rsid w:val="22530016"/>
    <w:rsid w:val="229A250C"/>
    <w:rsid w:val="243C1509"/>
    <w:rsid w:val="27F12E56"/>
    <w:rsid w:val="29BF7701"/>
    <w:rsid w:val="29C212D8"/>
    <w:rsid w:val="29D128FA"/>
    <w:rsid w:val="2AF210D1"/>
    <w:rsid w:val="2B480D53"/>
    <w:rsid w:val="2D051211"/>
    <w:rsid w:val="2D0D2D72"/>
    <w:rsid w:val="2E4A46F2"/>
    <w:rsid w:val="32F332BB"/>
    <w:rsid w:val="34E36A1F"/>
    <w:rsid w:val="360D638C"/>
    <w:rsid w:val="3A8E3D2D"/>
    <w:rsid w:val="3B912D82"/>
    <w:rsid w:val="3BF64EDA"/>
    <w:rsid w:val="3C9117C6"/>
    <w:rsid w:val="3D5127D7"/>
    <w:rsid w:val="3DD55912"/>
    <w:rsid w:val="3F2B602F"/>
    <w:rsid w:val="40691E22"/>
    <w:rsid w:val="446E36AC"/>
    <w:rsid w:val="44D550DE"/>
    <w:rsid w:val="44D87BCC"/>
    <w:rsid w:val="455628E6"/>
    <w:rsid w:val="469F5C86"/>
    <w:rsid w:val="47436F5A"/>
    <w:rsid w:val="47922210"/>
    <w:rsid w:val="48705FCA"/>
    <w:rsid w:val="4958770A"/>
    <w:rsid w:val="4A4065F6"/>
    <w:rsid w:val="4A4A6B36"/>
    <w:rsid w:val="4B1A1D05"/>
    <w:rsid w:val="4B9B20DF"/>
    <w:rsid w:val="4FCD1790"/>
    <w:rsid w:val="516228FB"/>
    <w:rsid w:val="550B6BAE"/>
    <w:rsid w:val="564A58B7"/>
    <w:rsid w:val="57430C4D"/>
    <w:rsid w:val="590B2309"/>
    <w:rsid w:val="59F906BC"/>
    <w:rsid w:val="5A055A8B"/>
    <w:rsid w:val="5B6B32E9"/>
    <w:rsid w:val="5C4D2AF7"/>
    <w:rsid w:val="5C92414E"/>
    <w:rsid w:val="5E51166A"/>
    <w:rsid w:val="5E5C3727"/>
    <w:rsid w:val="5EC4266B"/>
    <w:rsid w:val="605B2B3D"/>
    <w:rsid w:val="620C3FF1"/>
    <w:rsid w:val="6259203D"/>
    <w:rsid w:val="62C81FAF"/>
    <w:rsid w:val="634A1959"/>
    <w:rsid w:val="6419390A"/>
    <w:rsid w:val="6697729A"/>
    <w:rsid w:val="696D07F0"/>
    <w:rsid w:val="699A6164"/>
    <w:rsid w:val="6A16766C"/>
    <w:rsid w:val="6A411217"/>
    <w:rsid w:val="6B015689"/>
    <w:rsid w:val="70432C4D"/>
    <w:rsid w:val="716A3DDE"/>
    <w:rsid w:val="71D263E2"/>
    <w:rsid w:val="7227091C"/>
    <w:rsid w:val="72347C51"/>
    <w:rsid w:val="73BB6B21"/>
    <w:rsid w:val="74E165F3"/>
    <w:rsid w:val="74FE2159"/>
    <w:rsid w:val="782F108D"/>
    <w:rsid w:val="7856208C"/>
    <w:rsid w:val="79555E8B"/>
    <w:rsid w:val="7A561B61"/>
    <w:rsid w:val="7BAE5592"/>
    <w:rsid w:val="7DB7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left"/>
      <w:outlineLvl w:val="0"/>
    </w:pPr>
    <w:rPr>
      <w:b/>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line="360" w:lineRule="auto"/>
      <w:jc w:val="both"/>
    </w:pPr>
    <w:rPr>
      <w:rFonts w:ascii="仿宋_GB2312" w:eastAsia="仿宋_GB2312"/>
      <w:kern w:val="2"/>
      <w:sz w:val="28"/>
      <w:szCs w:val="20"/>
    </w:rPr>
  </w:style>
  <w:style w:type="paragraph" w:styleId="8">
    <w:name w:val="Normal Indent"/>
    <w:basedOn w:val="1"/>
    <w:qFormat/>
    <w:uiPriority w:val="0"/>
    <w:pPr>
      <w:ind w:firstLine="420"/>
    </w:pPr>
  </w:style>
  <w:style w:type="paragraph" w:styleId="9">
    <w:name w:val="Document Map"/>
    <w:basedOn w:val="1"/>
    <w:link w:val="56"/>
    <w:qFormat/>
    <w:uiPriority w:val="0"/>
    <w:rPr>
      <w:rFonts w:ascii="宋体"/>
      <w:sz w:val="18"/>
      <w:szCs w:val="18"/>
    </w:rPr>
  </w:style>
  <w:style w:type="paragraph" w:styleId="10">
    <w:name w:val="annotation text"/>
    <w:basedOn w:val="1"/>
    <w:link w:val="36"/>
    <w:qFormat/>
    <w:uiPriority w:val="0"/>
    <w:pPr>
      <w:adjustRightInd w:val="0"/>
      <w:spacing w:line="360" w:lineRule="atLeast"/>
      <w:jc w:val="left"/>
      <w:textAlignment w:val="baseline"/>
    </w:pPr>
    <w:rPr>
      <w:kern w:val="0"/>
      <w:sz w:val="24"/>
    </w:rPr>
  </w:style>
  <w:style w:type="paragraph" w:styleId="11">
    <w:name w:val="Body Text 3"/>
    <w:basedOn w:val="1"/>
    <w:qFormat/>
    <w:uiPriority w:val="0"/>
    <w:pPr>
      <w:spacing w:after="120"/>
    </w:pPr>
    <w:rPr>
      <w:sz w:val="16"/>
      <w:szCs w:val="16"/>
    </w:rPr>
  </w:style>
  <w:style w:type="paragraph" w:styleId="12">
    <w:name w:val="Body Text Indent"/>
    <w:basedOn w:val="1"/>
    <w:qFormat/>
    <w:uiPriority w:val="0"/>
    <w:pPr>
      <w:ind w:firstLine="552"/>
    </w:pPr>
    <w:rPr>
      <w:rFonts w:ascii="宋体"/>
      <w:sz w:val="28"/>
    </w:rPr>
  </w:style>
  <w:style w:type="paragraph" w:styleId="13">
    <w:name w:val="Plain Text"/>
    <w:basedOn w:val="1"/>
    <w:link w:val="44"/>
    <w:qFormat/>
    <w:uiPriority w:val="0"/>
    <w:rPr>
      <w:rFonts w:ascii="宋体" w:hAnsi="Courier New"/>
    </w:rPr>
  </w:style>
  <w:style w:type="paragraph" w:styleId="14">
    <w:name w:val="Date"/>
    <w:basedOn w:val="1"/>
    <w:next w:val="1"/>
    <w:qFormat/>
    <w:uiPriority w:val="0"/>
    <w:rPr>
      <w:rFonts w:ascii="宋体"/>
      <w:sz w:val="24"/>
    </w:rPr>
  </w:style>
  <w:style w:type="paragraph" w:styleId="15">
    <w:name w:val="Balloon Text"/>
    <w:basedOn w:val="1"/>
    <w:link w:val="48"/>
    <w:qFormat/>
    <w:uiPriority w:val="0"/>
    <w:rPr>
      <w:sz w:val="18"/>
      <w:szCs w:val="18"/>
    </w:rPr>
  </w:style>
  <w:style w:type="paragraph" w:styleId="16">
    <w:name w:val="footer"/>
    <w:basedOn w:val="1"/>
    <w:link w:val="34"/>
    <w:qFormat/>
    <w:uiPriority w:val="99"/>
    <w:pPr>
      <w:tabs>
        <w:tab w:val="center" w:pos="4153"/>
        <w:tab w:val="right" w:pos="8306"/>
      </w:tabs>
      <w:adjustRightInd w:val="0"/>
      <w:spacing w:line="240" w:lineRule="atLeast"/>
      <w:jc w:val="left"/>
      <w:textAlignment w:val="baseline"/>
    </w:pPr>
    <w:rPr>
      <w:kern w:val="0"/>
      <w:sz w:val="18"/>
    </w:rPr>
  </w:style>
  <w:style w:type="paragraph" w:styleId="17">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link w:val="46"/>
    <w:qFormat/>
    <w:uiPriority w:val="0"/>
    <w:pPr>
      <w:spacing w:after="120"/>
      <w:ind w:left="420" w:leftChars="200"/>
    </w:pPr>
    <w:rPr>
      <w:sz w:val="16"/>
      <w:szCs w:val="16"/>
    </w:rPr>
  </w:style>
  <w:style w:type="paragraph" w:styleId="20">
    <w:name w:val="toc 2"/>
    <w:basedOn w:val="1"/>
    <w:next w:val="1"/>
    <w:qFormat/>
    <w:uiPriority w:val="39"/>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55"/>
    <w:qFormat/>
    <w:uiPriority w:val="0"/>
    <w:pPr>
      <w:spacing w:before="240" w:after="60"/>
      <w:jc w:val="center"/>
      <w:outlineLvl w:val="0"/>
    </w:pPr>
    <w:rPr>
      <w:rFonts w:asciiTheme="majorHAnsi" w:hAnsiTheme="majorHAnsi" w:cstheme="majorBidi"/>
      <w:b/>
      <w:bCs/>
      <w:sz w:val="36"/>
      <w:szCs w:val="32"/>
    </w:rPr>
  </w:style>
  <w:style w:type="paragraph" w:styleId="24">
    <w:name w:val="Body Text First Indent"/>
    <w:basedOn w:val="2"/>
    <w:qFormat/>
    <w:uiPriority w:val="0"/>
    <w:pPr>
      <w:spacing w:line="312" w:lineRule="auto"/>
      <w:ind w:firstLine="420"/>
    </w:pPr>
  </w:style>
  <w:style w:type="paragraph" w:styleId="25">
    <w:name w:val="Body Text First Indent 2"/>
    <w:basedOn w:val="12"/>
    <w:unhideWhenUsed/>
    <w:qFormat/>
    <w:uiPriority w:val="0"/>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Emphasis"/>
    <w:basedOn w:val="28"/>
    <w:qFormat/>
    <w:uiPriority w:val="0"/>
  </w:style>
  <w:style w:type="character" w:styleId="33">
    <w:name w:val="Hyperlink"/>
    <w:qFormat/>
    <w:uiPriority w:val="99"/>
    <w:rPr>
      <w:color w:val="0000FF"/>
      <w:u w:val="single"/>
    </w:rPr>
  </w:style>
  <w:style w:type="character" w:customStyle="1" w:styleId="34">
    <w:name w:val="页脚 Char"/>
    <w:link w:val="16"/>
    <w:qFormat/>
    <w:locked/>
    <w:uiPriority w:val="99"/>
    <w:rPr>
      <w:rFonts w:eastAsia="宋体"/>
      <w:sz w:val="18"/>
      <w:lang w:val="en-US" w:eastAsia="zh-CN" w:bidi="ar-SA"/>
    </w:rPr>
  </w:style>
  <w:style w:type="character" w:customStyle="1" w:styleId="35">
    <w:name w:val="页脚 字符"/>
    <w:qFormat/>
    <w:uiPriority w:val="99"/>
  </w:style>
  <w:style w:type="character" w:customStyle="1" w:styleId="36">
    <w:name w:val="批注文字 Char"/>
    <w:link w:val="10"/>
    <w:qFormat/>
    <w:uiPriority w:val="0"/>
    <w:rPr>
      <w:sz w:val="24"/>
    </w:rPr>
  </w:style>
  <w:style w:type="character" w:customStyle="1" w:styleId="37">
    <w:name w:val="apple-converted-space"/>
    <w:qFormat/>
    <w:uiPriority w:val="0"/>
  </w:style>
  <w:style w:type="character" w:customStyle="1" w:styleId="38">
    <w:name w:val="Blockquote Char Char"/>
    <w:link w:val="39"/>
    <w:qFormat/>
    <w:uiPriority w:val="0"/>
    <w:rPr>
      <w:rFonts w:eastAsia="宋体"/>
      <w:sz w:val="24"/>
      <w:lang w:val="en-US" w:eastAsia="zh-CN" w:bidi="ar-SA"/>
    </w:rPr>
  </w:style>
  <w:style w:type="paragraph" w:customStyle="1" w:styleId="39">
    <w:name w:val="Blockquote"/>
    <w:basedOn w:val="1"/>
    <w:link w:val="38"/>
    <w:qFormat/>
    <w:uiPriority w:val="0"/>
    <w:pPr>
      <w:autoSpaceDE w:val="0"/>
      <w:autoSpaceDN w:val="0"/>
      <w:adjustRightInd w:val="0"/>
      <w:spacing w:before="100" w:after="100"/>
      <w:ind w:left="360" w:right="360"/>
      <w:jc w:val="left"/>
    </w:pPr>
    <w:rPr>
      <w:kern w:val="0"/>
      <w:sz w:val="24"/>
    </w:rPr>
  </w:style>
  <w:style w:type="paragraph" w:customStyle="1" w:styleId="40">
    <w:name w:val="Char2"/>
    <w:basedOn w:val="1"/>
    <w:qFormat/>
    <w:uiPriority w:val="0"/>
    <w:rPr>
      <w:rFonts w:ascii="Tahoma" w:hAnsi="Tahoma"/>
      <w:sz w:val="24"/>
    </w:rPr>
  </w:style>
  <w:style w:type="paragraph" w:customStyle="1" w:styleId="41">
    <w:name w:val="Char1"/>
    <w:basedOn w:val="1"/>
    <w:qFormat/>
    <w:uiPriority w:val="0"/>
    <w:pPr>
      <w:tabs>
        <w:tab w:val="left" w:pos="360"/>
      </w:tabs>
      <w:ind w:left="360" w:hanging="360" w:hangingChars="200"/>
    </w:pPr>
    <w:rPr>
      <w:sz w:val="24"/>
      <w:szCs w:val="24"/>
    </w:rPr>
  </w:style>
  <w:style w:type="paragraph" w:customStyle="1" w:styleId="42">
    <w:name w:val="_Style 1"/>
    <w:basedOn w:val="1"/>
    <w:qFormat/>
    <w:uiPriority w:val="0"/>
    <w:pPr>
      <w:ind w:firstLine="420" w:firstLineChars="200"/>
    </w:pPr>
    <w:rPr>
      <w:rFonts w:ascii="Calibri" w:hAnsi="Calibri"/>
      <w:szCs w:val="22"/>
    </w:rPr>
  </w:style>
  <w:style w:type="paragraph" w:customStyle="1" w:styleId="43">
    <w:name w:val="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44">
    <w:name w:val="纯文本 Char"/>
    <w:link w:val="13"/>
    <w:qFormat/>
    <w:uiPriority w:val="0"/>
    <w:rPr>
      <w:rFonts w:ascii="宋体" w:hAnsi="Courier New"/>
      <w:kern w:val="2"/>
      <w:sz w:val="21"/>
    </w:rPr>
  </w:style>
  <w:style w:type="paragraph" w:customStyle="1" w:styleId="45">
    <w:name w:val="缺省文本"/>
    <w:basedOn w:val="1"/>
    <w:qFormat/>
    <w:uiPriority w:val="0"/>
    <w:pPr>
      <w:autoSpaceDE w:val="0"/>
      <w:autoSpaceDN w:val="0"/>
      <w:adjustRightInd w:val="0"/>
      <w:spacing w:before="20" w:after="20" w:line="400" w:lineRule="exact"/>
      <w:ind w:firstLine="504"/>
      <w:jc w:val="left"/>
    </w:pPr>
    <w:rPr>
      <w:kern w:val="0"/>
      <w:sz w:val="24"/>
    </w:rPr>
  </w:style>
  <w:style w:type="character" w:customStyle="1" w:styleId="46">
    <w:name w:val="正文文本缩进 3 Char"/>
    <w:link w:val="19"/>
    <w:qFormat/>
    <w:uiPriority w:val="0"/>
    <w:rPr>
      <w:kern w:val="2"/>
      <w:sz w:val="16"/>
      <w:szCs w:val="16"/>
    </w:rPr>
  </w:style>
  <w:style w:type="character" w:customStyle="1" w:styleId="47">
    <w:name w:val="纯文本 Char1"/>
    <w:basedOn w:val="28"/>
    <w:qFormat/>
    <w:uiPriority w:val="0"/>
    <w:rPr>
      <w:rFonts w:ascii="宋体" w:hAnsi="Courier New" w:eastAsia="宋体" w:cs="Times New Roman"/>
      <w:szCs w:val="20"/>
    </w:rPr>
  </w:style>
  <w:style w:type="character" w:customStyle="1" w:styleId="48">
    <w:name w:val="批注框文本 Char"/>
    <w:basedOn w:val="28"/>
    <w:link w:val="15"/>
    <w:qFormat/>
    <w:uiPriority w:val="0"/>
    <w:rPr>
      <w:kern w:val="2"/>
      <w:sz w:val="18"/>
      <w:szCs w:val="18"/>
    </w:rPr>
  </w:style>
  <w:style w:type="character" w:customStyle="1" w:styleId="49">
    <w:name w:val="font41"/>
    <w:basedOn w:val="28"/>
    <w:qFormat/>
    <w:uiPriority w:val="0"/>
    <w:rPr>
      <w:rFonts w:hint="eastAsia" w:ascii="宋体" w:hAnsi="宋体" w:eastAsia="宋体" w:cs="宋体"/>
      <w:color w:val="000000"/>
      <w:sz w:val="22"/>
      <w:szCs w:val="22"/>
      <w:u w:val="none"/>
    </w:rPr>
  </w:style>
  <w:style w:type="character" w:customStyle="1" w:styleId="50">
    <w:name w:val="font11"/>
    <w:basedOn w:val="28"/>
    <w:qFormat/>
    <w:uiPriority w:val="0"/>
    <w:rPr>
      <w:rFonts w:hint="default" w:ascii="Times New Roman" w:hAnsi="Times New Roman" w:cs="Times New Roman"/>
      <w:color w:val="000000"/>
      <w:sz w:val="22"/>
      <w:szCs w:val="22"/>
      <w:u w:val="none"/>
      <w:vertAlign w:val="superscript"/>
    </w:rPr>
  </w:style>
  <w:style w:type="character" w:customStyle="1" w:styleId="51">
    <w:name w:val="font31"/>
    <w:basedOn w:val="28"/>
    <w:qFormat/>
    <w:uiPriority w:val="0"/>
    <w:rPr>
      <w:rFonts w:hint="default" w:ascii="Times New Roman" w:hAnsi="Times New Roman" w:cs="Times New Roman"/>
      <w:color w:val="000000"/>
      <w:sz w:val="22"/>
      <w:szCs w:val="22"/>
      <w:u w:val="none"/>
    </w:rPr>
  </w:style>
  <w:style w:type="character" w:customStyle="1" w:styleId="52">
    <w:name w:val="页眉 Char"/>
    <w:link w:val="17"/>
    <w:qFormat/>
    <w:uiPriority w:val="0"/>
    <w:rPr>
      <w:kern w:val="2"/>
      <w:sz w:val="18"/>
      <w:szCs w:val="18"/>
    </w:rPr>
  </w:style>
  <w:style w:type="character" w:customStyle="1" w:styleId="53">
    <w:name w:val="font01"/>
    <w:basedOn w:val="28"/>
    <w:qFormat/>
    <w:uiPriority w:val="0"/>
    <w:rPr>
      <w:rFonts w:hint="eastAsia" w:ascii="宋体" w:hAnsi="宋体" w:eastAsia="宋体" w:cs="宋体"/>
      <w:color w:val="000000"/>
      <w:sz w:val="22"/>
      <w:szCs w:val="22"/>
      <w:u w:val="none"/>
      <w:vertAlign w:val="superscript"/>
    </w:rPr>
  </w:style>
  <w:style w:type="paragraph" w:customStyle="1" w:styleId="54">
    <w:name w:val="标题 2（投标文件）"/>
    <w:basedOn w:val="4"/>
    <w:qFormat/>
    <w:uiPriority w:val="0"/>
    <w:pPr>
      <w:widowControl/>
      <w:spacing w:before="0" w:after="0" w:line="240" w:lineRule="auto"/>
      <w:jc w:val="center"/>
    </w:pPr>
    <w:rPr>
      <w:rFonts w:ascii="Cambria" w:hAnsi="Cambria" w:eastAsia="宋体"/>
    </w:rPr>
  </w:style>
  <w:style w:type="character" w:customStyle="1" w:styleId="55">
    <w:name w:val="标题 Char"/>
    <w:basedOn w:val="28"/>
    <w:link w:val="23"/>
    <w:qFormat/>
    <w:uiPriority w:val="0"/>
    <w:rPr>
      <w:rFonts w:asciiTheme="majorHAnsi" w:hAnsiTheme="majorHAnsi" w:cstheme="majorBidi"/>
      <w:b/>
      <w:bCs/>
      <w:kern w:val="2"/>
      <w:sz w:val="36"/>
      <w:szCs w:val="32"/>
    </w:rPr>
  </w:style>
  <w:style w:type="character" w:customStyle="1" w:styleId="56">
    <w:name w:val="文档结构图 Char"/>
    <w:basedOn w:val="28"/>
    <w:link w:val="9"/>
    <w:qFormat/>
    <w:uiPriority w:val="0"/>
    <w:rPr>
      <w:rFonts w:ascii="宋体"/>
      <w:kern w:val="2"/>
      <w:sz w:val="18"/>
      <w:szCs w:val="18"/>
    </w:rPr>
  </w:style>
  <w:style w:type="paragraph" w:styleId="57">
    <w:name w:val="List Paragraph"/>
    <w:basedOn w:val="1"/>
    <w:unhideWhenUsed/>
    <w:qFormat/>
    <w:uiPriority w:val="99"/>
    <w:pPr>
      <w:ind w:firstLine="420" w:firstLineChars="200"/>
    </w:pPr>
  </w:style>
  <w:style w:type="paragraph" w:customStyle="1" w:styleId="58">
    <w:name w:val="Heading4"/>
    <w:next w:val="1"/>
    <w:qFormat/>
    <w:uiPriority w:val="99"/>
    <w:pPr>
      <w:keepNext/>
      <w:keepLines/>
      <w:widowControl w:val="0"/>
      <w:spacing w:before="280" w:after="290" w:line="376" w:lineRule="auto"/>
      <w:jc w:val="both"/>
    </w:pPr>
    <w:rPr>
      <w:rFonts w:ascii="Arial" w:hAnsi="Arial" w:eastAsia="黑体" w:cs="Times New Roman"/>
      <w:b/>
      <w:bCs/>
      <w:kern w:val="2"/>
      <w:sz w:val="28"/>
      <w:szCs w:val="28"/>
      <w:lang w:val="en-US" w:eastAsia="zh-CN" w:bidi="ar-SA"/>
    </w:rPr>
  </w:style>
  <w:style w:type="character" w:customStyle="1" w:styleId="59">
    <w:name w:val="phone"/>
    <w:basedOn w:val="28"/>
    <w:qFormat/>
    <w:uiPriority w:val="0"/>
    <w:rPr>
      <w:color w:val="FF8833"/>
      <w:sz w:val="18"/>
      <w:szCs w:val="18"/>
    </w:rPr>
  </w:style>
  <w:style w:type="character" w:customStyle="1" w:styleId="60">
    <w:name w:val="proollist"/>
    <w:basedOn w:val="28"/>
    <w:qFormat/>
    <w:uiPriority w:val="0"/>
  </w:style>
  <w:style w:type="character" w:customStyle="1" w:styleId="61">
    <w:name w:val="number"/>
    <w:basedOn w:val="28"/>
    <w:qFormat/>
    <w:uiPriority w:val="0"/>
    <w:rPr>
      <w:color w:val="FF8833"/>
      <w:sz w:val="18"/>
      <w:szCs w:val="18"/>
    </w:rPr>
  </w:style>
  <w:style w:type="paragraph" w:customStyle="1" w:styleId="62">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63">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64">
    <w:name w:val="stclosebtn"/>
    <w:basedOn w:val="28"/>
    <w:qFormat/>
    <w:uiPriority w:val="0"/>
  </w:style>
  <w:style w:type="character" w:customStyle="1" w:styleId="65">
    <w:name w:val="beforeinfotext"/>
    <w:basedOn w:val="28"/>
    <w:qFormat/>
    <w:uiPriority w:val="0"/>
    <w:rPr>
      <w:color w:val="666666"/>
    </w:rPr>
  </w:style>
  <w:style w:type="paragraph" w:customStyle="1" w:styleId="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BodyText1I"/>
    <w:basedOn w:val="68"/>
    <w:qFormat/>
    <w:uiPriority w:val="0"/>
    <w:pPr>
      <w:spacing w:after="120"/>
      <w:ind w:firstLine="420" w:firstLineChars="100"/>
      <w:jc w:val="both"/>
      <w:textAlignment w:val="baseline"/>
    </w:pPr>
  </w:style>
  <w:style w:type="paragraph" w:customStyle="1" w:styleId="68">
    <w:name w:val="BodyText"/>
    <w:basedOn w:val="1"/>
    <w:next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0D5004-8B3C-41A8-B59C-F899BBB8C8A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22870</Words>
  <Characters>24371</Characters>
  <Lines>194</Lines>
  <Paragraphs>54</Paragraphs>
  <TotalTime>21</TotalTime>
  <ScaleCrop>false</ScaleCrop>
  <LinksUpToDate>false</LinksUpToDate>
  <CharactersWithSpaces>26058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2016-11-15T16:00:00Z</dcterms:created>
  <dc:creator>User</dc:creator>
  <cp:lastModifiedBy>Administrator</cp:lastModifiedBy>
  <cp:lastPrinted>2021-07-30T06:29:00Z</cp:lastPrinted>
  <dcterms:modified xsi:type="dcterms:W3CDTF">2022-08-01T08:35:51Z</dcterms:modified>
  <dc:title>政府采购货物和服务项目</dc:title>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4A480CEDCAD84A2EB710FB4B6B33DDEC</vt:lpwstr>
  </property>
</Properties>
</file>