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widowControl/>
        <w:spacing w:before="0" w:after="0"/>
        <w:ind w:firstLine="0"/>
        <w:jc w:val="both"/>
        <w:rPr>
          <w:rFonts w:ascii="仿宋" w:hAnsi="仿宋" w:eastAsia="仿宋" w:cs="仿宋"/>
          <w:b/>
          <w:sz w:val="32"/>
          <w:szCs w:val="32"/>
          <w:highlight w:val="none"/>
        </w:rPr>
      </w:pPr>
      <w:bookmarkStart w:id="0" w:name="_Toc342252860"/>
      <w:bookmarkStart w:id="1" w:name="_Toc341992627"/>
      <w:bookmarkStart w:id="2" w:name="_Toc341991041"/>
      <w:bookmarkStart w:id="3" w:name="_Toc337620797"/>
      <w:bookmarkStart w:id="4" w:name="_Toc341988481"/>
      <w:bookmarkStart w:id="5" w:name="_Toc342241484"/>
      <w:bookmarkStart w:id="6" w:name="_Toc337622980"/>
      <w:bookmarkStart w:id="7" w:name="_Toc341993112"/>
      <w:bookmarkStart w:id="8" w:name="_Toc341993786"/>
      <w:bookmarkStart w:id="9" w:name="_Toc341992707"/>
      <w:r>
        <w:rPr>
          <w:rFonts w:hint="eastAsia" w:ascii="仿宋" w:hAnsi="仿宋" w:eastAsia="仿宋" w:cs="仿宋"/>
          <w:b/>
          <w:sz w:val="32"/>
          <w:szCs w:val="32"/>
          <w:highlight w:val="none"/>
        </w:rPr>
        <w:t>政府采购项目</w:t>
      </w:r>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121</w:t>
      </w:r>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ZCSP-渭南市-202</w:t>
      </w: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lang w:eastAsia="zh-CN"/>
        </w:rPr>
        <w:t>-0</w:t>
      </w:r>
      <w:r>
        <w:rPr>
          <w:rFonts w:hint="eastAsia" w:ascii="仿宋" w:hAnsi="仿宋" w:eastAsia="仿宋" w:cs="仿宋"/>
          <w:b/>
          <w:sz w:val="32"/>
          <w:szCs w:val="32"/>
          <w:highlight w:val="none"/>
          <w:lang w:val="en-US" w:eastAsia="zh-CN"/>
        </w:rPr>
        <w:t>0912</w:t>
      </w:r>
    </w:p>
    <w:p>
      <w:pPr>
        <w:pStyle w:val="43"/>
        <w:widowControl/>
        <w:ind w:firstLine="0"/>
        <w:jc w:val="center"/>
        <w:rPr>
          <w:rFonts w:ascii="仿宋" w:hAnsi="仿宋" w:eastAsia="仿宋" w:cs="仿宋"/>
          <w:b/>
          <w:sz w:val="24"/>
          <w:highlight w:val="none"/>
        </w:rPr>
      </w:pPr>
    </w:p>
    <w:p>
      <w:pPr>
        <w:pStyle w:val="43"/>
        <w:widowControl/>
        <w:ind w:firstLine="0"/>
        <w:jc w:val="center"/>
        <w:rPr>
          <w:rFonts w:ascii="仿宋" w:hAnsi="仿宋" w:eastAsia="仿宋" w:cs="仿宋"/>
          <w:b/>
          <w:sz w:val="24"/>
          <w:highlight w:val="none"/>
        </w:rPr>
      </w:pPr>
    </w:p>
    <w:p>
      <w:pPr>
        <w:pStyle w:val="43"/>
        <w:widowControl/>
        <w:ind w:firstLine="0"/>
        <w:jc w:val="center"/>
        <w:rPr>
          <w:rFonts w:ascii="仿宋" w:hAnsi="仿宋" w:eastAsia="仿宋" w:cs="仿宋"/>
          <w:b/>
          <w:sz w:val="24"/>
          <w:highlight w:val="none"/>
        </w:rPr>
      </w:pPr>
    </w:p>
    <w:p>
      <w:pPr>
        <w:pStyle w:val="43"/>
        <w:widowControl/>
        <w:spacing w:before="0" w:after="0"/>
        <w:ind w:firstLine="0"/>
        <w:jc w:val="center"/>
        <w:rPr>
          <w:rFonts w:ascii="仿宋" w:hAnsi="仿宋" w:eastAsia="仿宋" w:cs="仿宋"/>
          <w:b/>
          <w:sz w:val="52"/>
          <w:szCs w:val="52"/>
          <w:highlight w:val="none"/>
        </w:rPr>
      </w:pPr>
      <w:r>
        <w:rPr>
          <w:rFonts w:hint="eastAsia" w:ascii="仿宋" w:hAnsi="仿宋" w:eastAsia="仿宋" w:cs="仿宋"/>
          <w:b/>
          <w:bCs/>
          <w:sz w:val="52"/>
          <w:szCs w:val="52"/>
          <w:lang w:eastAsia="zh-CN"/>
        </w:rPr>
        <w:t>渭南市人民检察院办案区（北区）中央空调采购</w:t>
      </w:r>
      <w:r>
        <w:rPr>
          <w:rFonts w:hint="eastAsia" w:ascii="仿宋" w:hAnsi="仿宋" w:eastAsia="仿宋" w:cs="仿宋"/>
          <w:b/>
          <w:bCs/>
          <w:sz w:val="52"/>
          <w:szCs w:val="52"/>
        </w:rPr>
        <w:t>项目</w:t>
      </w:r>
    </w:p>
    <w:p>
      <w:pPr>
        <w:pStyle w:val="43"/>
        <w:widowControl/>
        <w:spacing w:before="0" w:after="0"/>
        <w:ind w:firstLine="0"/>
        <w:jc w:val="both"/>
        <w:rPr>
          <w:rFonts w:ascii="仿宋" w:hAnsi="仿宋" w:eastAsia="仿宋" w:cs="仿宋"/>
          <w:b/>
          <w:sz w:val="24"/>
          <w:highlight w:val="none"/>
        </w:rPr>
      </w:pPr>
    </w:p>
    <w:p>
      <w:pPr>
        <w:pStyle w:val="43"/>
        <w:widowControl/>
        <w:spacing w:before="0" w:after="0"/>
        <w:ind w:firstLine="0"/>
        <w:jc w:val="both"/>
        <w:rPr>
          <w:rFonts w:ascii="仿宋" w:hAnsi="仿宋" w:eastAsia="仿宋" w:cs="仿宋"/>
          <w:b/>
          <w:sz w:val="24"/>
          <w:highlight w:val="none"/>
        </w:rPr>
      </w:pPr>
    </w:p>
    <w:p>
      <w:pPr>
        <w:pStyle w:val="43"/>
        <w:widowControl/>
        <w:spacing w:before="0" w:after="0"/>
        <w:ind w:firstLine="0"/>
        <w:jc w:val="both"/>
        <w:rPr>
          <w:rFonts w:ascii="仿宋" w:hAnsi="仿宋" w:eastAsia="仿宋" w:cs="仿宋"/>
          <w:b/>
          <w:sz w:val="24"/>
          <w:highlight w:val="none"/>
        </w:rPr>
      </w:pPr>
    </w:p>
    <w:p>
      <w:pPr>
        <w:pStyle w:val="43"/>
        <w:widowControl/>
        <w:spacing w:before="0" w:after="0"/>
        <w:ind w:firstLine="0"/>
        <w:jc w:val="both"/>
        <w:rPr>
          <w:rFonts w:ascii="仿宋" w:hAnsi="仿宋" w:eastAsia="仿宋" w:cs="仿宋"/>
          <w:b/>
          <w:sz w:val="24"/>
          <w:highlight w:val="none"/>
        </w:rPr>
      </w:pPr>
    </w:p>
    <w:p>
      <w:pPr>
        <w:pStyle w:val="43"/>
        <w:widowControl/>
        <w:ind w:firstLine="0"/>
        <w:jc w:val="center"/>
        <w:rPr>
          <w:rFonts w:ascii="仿宋" w:hAnsi="仿宋" w:eastAsia="仿宋" w:cs="仿宋"/>
          <w:b/>
          <w:sz w:val="72"/>
          <w:szCs w:val="72"/>
          <w:highlight w:val="none"/>
        </w:rPr>
      </w:pPr>
      <w:r>
        <w:rPr>
          <w:rFonts w:hint="eastAsia" w:ascii="仿宋" w:hAnsi="仿宋" w:eastAsia="仿宋" w:cs="仿宋"/>
          <w:b/>
          <w:sz w:val="72"/>
          <w:szCs w:val="72"/>
          <w:highlight w:val="none"/>
        </w:rPr>
        <w:t>招 标 文 件</w:t>
      </w:r>
    </w:p>
    <w:p>
      <w:pPr>
        <w:pStyle w:val="43"/>
        <w:widowControl/>
        <w:spacing w:before="0" w:after="0"/>
        <w:ind w:firstLine="0"/>
        <w:jc w:val="center"/>
        <w:rPr>
          <w:rFonts w:ascii="仿宋" w:hAnsi="仿宋" w:eastAsia="仿宋" w:cs="仿宋"/>
          <w:szCs w:val="28"/>
          <w:highlight w:val="none"/>
        </w:rPr>
      </w:pPr>
    </w:p>
    <w:p>
      <w:pPr>
        <w:pStyle w:val="43"/>
        <w:widowControl/>
        <w:spacing w:before="0" w:after="0"/>
        <w:ind w:firstLine="0"/>
        <w:jc w:val="both"/>
        <w:rPr>
          <w:rFonts w:ascii="仿宋" w:hAnsi="仿宋" w:eastAsia="仿宋" w:cs="仿宋"/>
          <w:szCs w:val="28"/>
          <w:highlight w:val="none"/>
        </w:rPr>
      </w:pPr>
    </w:p>
    <w:p>
      <w:pPr>
        <w:pStyle w:val="43"/>
        <w:widowControl/>
        <w:spacing w:before="0" w:after="0"/>
        <w:ind w:firstLine="0"/>
        <w:jc w:val="both"/>
        <w:rPr>
          <w:rFonts w:ascii="仿宋" w:hAnsi="仿宋" w:eastAsia="仿宋" w:cs="仿宋"/>
          <w:szCs w:val="28"/>
          <w:highlight w:val="none"/>
        </w:rPr>
      </w:pPr>
    </w:p>
    <w:p>
      <w:pPr>
        <w:pStyle w:val="43"/>
        <w:widowControl/>
        <w:spacing w:before="0" w:after="0"/>
        <w:ind w:firstLine="0"/>
        <w:jc w:val="both"/>
        <w:rPr>
          <w:rFonts w:ascii="仿宋" w:hAnsi="仿宋" w:eastAsia="仿宋" w:cs="仿宋"/>
          <w:szCs w:val="28"/>
          <w:highlight w:val="none"/>
        </w:rPr>
      </w:pPr>
    </w:p>
    <w:p>
      <w:pPr>
        <w:pStyle w:val="43"/>
        <w:widowControl/>
        <w:spacing w:before="0" w:after="0"/>
        <w:ind w:firstLine="0"/>
        <w:jc w:val="both"/>
        <w:rPr>
          <w:rFonts w:ascii="仿宋" w:hAnsi="仿宋" w:eastAsia="仿宋" w:cs="仿宋"/>
          <w:szCs w:val="28"/>
          <w:highlight w:val="none"/>
        </w:rPr>
      </w:pPr>
    </w:p>
    <w:p>
      <w:pPr>
        <w:spacing w:line="360" w:lineRule="auto"/>
        <w:rPr>
          <w:rFonts w:ascii="仿宋" w:hAnsi="仿宋" w:eastAsia="仿宋" w:cs="仿宋"/>
          <w:b/>
          <w:bCs/>
          <w:sz w:val="36"/>
          <w:szCs w:val="36"/>
          <w:highlight w:val="none"/>
        </w:rPr>
      </w:pPr>
      <w:bookmarkStart w:id="10" w:name="_Toc523127445"/>
      <w:bookmarkStart w:id="11" w:name="_Toc16938516"/>
      <w:bookmarkStart w:id="12" w:name="_Toc479757206"/>
      <w:bookmarkStart w:id="13" w:name="_Toc120614210"/>
      <w:bookmarkStart w:id="14" w:name="_Toc403986986"/>
      <w:bookmarkStart w:id="15" w:name="_Toc421604318"/>
      <w:bookmarkStart w:id="16" w:name="_Toc513029200"/>
      <w:bookmarkStart w:id="17" w:name="_Toc20823272"/>
      <w:bookmarkStart w:id="18" w:name="_Toc403987193"/>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西安欣华联建工程咨询有限公司</w:t>
      </w: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eastAsia="zh-CN"/>
        </w:rPr>
        <w:t>十一</w:t>
      </w:r>
      <w:r>
        <w:rPr>
          <w:rFonts w:hint="eastAsia" w:ascii="仿宋" w:hAnsi="仿宋" w:eastAsia="仿宋" w:cs="仿宋"/>
          <w:b/>
          <w:bCs/>
          <w:sz w:val="36"/>
          <w:szCs w:val="36"/>
          <w:highlight w:val="none"/>
        </w:rPr>
        <w:t>月</w:t>
      </w:r>
    </w:p>
    <w:p>
      <w:pPr>
        <w:adjustRightInd w:val="0"/>
        <w:spacing w:line="560" w:lineRule="exact"/>
        <w:jc w:val="center"/>
        <w:rPr>
          <w:rFonts w:hint="eastAsia" w:ascii="仿宋" w:hAnsi="仿宋" w:eastAsia="仿宋" w:cs="仿宋"/>
          <w:b/>
          <w:kern w:val="0"/>
          <w:sz w:val="48"/>
          <w:szCs w:val="48"/>
          <w:highlight w:val="none"/>
        </w:rPr>
        <w:sectPr>
          <w:headerReference r:id="rId3" w:type="default"/>
          <w:footerReference r:id="rId4" w:type="default"/>
          <w:pgSz w:w="11906" w:h="16838"/>
          <w:pgMar w:top="1440" w:right="1083" w:bottom="1440" w:left="1083" w:header="851" w:footer="964" w:gutter="0"/>
          <w:pgNumType w:fmt="decimal" w:start="1"/>
          <w:cols w:space="720" w:num="1"/>
          <w:docGrid w:type="lines" w:linePitch="312" w:charSpace="0"/>
        </w:sectPr>
      </w:pPr>
      <w:bookmarkStart w:id="19" w:name="_Toc1877"/>
      <w:bookmarkStart w:id="20" w:name="_Toc6491"/>
      <w:bookmarkStart w:id="21" w:name="_Toc21662"/>
      <w:bookmarkStart w:id="22" w:name="_Toc12930"/>
      <w:bookmarkStart w:id="23" w:name="_Toc24553"/>
      <w:bookmarkStart w:id="24" w:name="_Toc5650"/>
      <w:bookmarkStart w:id="25" w:name="_Toc91"/>
      <w:bookmarkStart w:id="26" w:name="_Toc2557"/>
    </w:p>
    <w:p>
      <w:pPr>
        <w:adjustRightInd w:val="0"/>
        <w:spacing w:line="560" w:lineRule="exact"/>
        <w:jc w:val="center"/>
        <w:rPr>
          <w:rFonts w:ascii="仿宋" w:hAnsi="仿宋" w:eastAsia="仿宋" w:cs="仿宋"/>
          <w:b/>
          <w:color w:val="auto"/>
          <w:kern w:val="0"/>
          <w:sz w:val="48"/>
          <w:szCs w:val="48"/>
          <w:highlight w:val="green"/>
        </w:rPr>
      </w:pPr>
      <w:r>
        <w:rPr>
          <w:rFonts w:hint="eastAsia" w:ascii="仿宋" w:hAnsi="仿宋" w:eastAsia="仿宋" w:cs="仿宋"/>
          <w:b/>
          <w:color w:val="auto"/>
          <w:kern w:val="0"/>
          <w:sz w:val="48"/>
          <w:szCs w:val="48"/>
          <w:highlight w:val="none"/>
        </w:rPr>
        <w:t>目  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0"/>
    <w:bookmarkEnd w:id="1"/>
    <w:bookmarkEnd w:id="2"/>
    <w:bookmarkEnd w:id="3"/>
    <w:bookmarkEnd w:id="4"/>
    <w:bookmarkEnd w:id="5"/>
    <w:bookmarkEnd w:id="6"/>
    <w:bookmarkEnd w:id="7"/>
    <w:bookmarkEnd w:id="8"/>
    <w:bookmarkEnd w:id="9"/>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_Toc3761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_Toc3761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_Toc3766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_Toc3766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_Toc23590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_Toc23590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_Toc21952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rPr>
        <w:t xml:space="preserve">第四章 </w:t>
      </w:r>
      <w:r>
        <w:rPr>
          <w:rFonts w:hint="eastAsia" w:ascii="仿宋" w:hAnsi="仿宋" w:eastAsia="仿宋" w:cs="仿宋"/>
          <w:b/>
          <w:bCs/>
          <w:kern w:val="0"/>
          <w:sz w:val="28"/>
          <w:szCs w:val="28"/>
          <w:highlight w:val="none"/>
        </w:rPr>
        <w:t>采购内容</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_Toc21952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_Toc20612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第五章  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_Toc20612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_Toc27743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第六章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_Toc27743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_Toc19912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_Toc19912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_Toc15953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_Toc15953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_Toc21336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_Toc21336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_Toc12684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_Toc12684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_Toc2950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_Toc2950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_Toc31365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_Toc31365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_Toc26294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业绩证明文件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_Toc26294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_Toc9927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投标方案说明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_Toc9927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_Toc2068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_Toc2068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_Toc12635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_Toc12635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_Toc30957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部分  附件（如有）</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_Toc30957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1"/>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_Toc5941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C 电子文档</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_Toc5941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20"/>
        <w:tabs>
          <w:tab w:val="right" w:leader="dot" w:pos="9740"/>
        </w:tabs>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_Toc24532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2"/>
          <w:sz w:val="28"/>
          <w:szCs w:val="28"/>
          <w:highlight w:val="none"/>
        </w:rPr>
        <w:t>第七章  投标保证金退还申请表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_Toc24532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bCs/>
          <w:kern w:val="0"/>
          <w:szCs w:val="28"/>
          <w:highlight w:val="none"/>
        </w:rPr>
      </w:pPr>
      <w:r>
        <w:rPr>
          <w:rFonts w:hint="eastAsia" w:ascii="仿宋" w:hAnsi="仿宋" w:eastAsia="仿宋" w:cs="仿宋"/>
          <w:bCs/>
          <w:kern w:val="0"/>
          <w:szCs w:val="28"/>
          <w:highlight w:val="none"/>
        </w:rPr>
        <w:fldChar w:fldCharType="end"/>
      </w:r>
      <w:bookmarkStart w:id="27" w:name="_Toc27530"/>
      <w:bookmarkStart w:id="28" w:name="_Toc1336_WPSOffice_Level1"/>
      <w:bookmarkStart w:id="29" w:name="_Toc14658"/>
    </w:p>
    <w:p>
      <w:pPr>
        <w:adjustRightInd w:val="0"/>
        <w:spacing w:line="560" w:lineRule="exact"/>
        <w:jc w:val="both"/>
        <w:outlineLvl w:val="0"/>
        <w:rPr>
          <w:rFonts w:hint="eastAsia" w:ascii="仿宋" w:hAnsi="仿宋" w:eastAsia="仿宋" w:cs="仿宋"/>
          <w:b/>
          <w:sz w:val="44"/>
          <w:szCs w:val="44"/>
          <w:highlight w:val="none"/>
        </w:rPr>
        <w:sectPr>
          <w:footerReference r:id="rId5" w:type="default"/>
          <w:pgSz w:w="11906" w:h="16838"/>
          <w:pgMar w:top="1440" w:right="1083" w:bottom="1440" w:left="1083" w:header="851" w:footer="964" w:gutter="0"/>
          <w:pgNumType w:fmt="decimal" w:start="1"/>
          <w:cols w:space="720" w:num="1"/>
          <w:docGrid w:type="lines" w:linePitch="312" w:charSpace="0"/>
        </w:sectPr>
      </w:pPr>
    </w:p>
    <w:p>
      <w:pPr>
        <w:adjustRightInd w:val="0"/>
        <w:spacing w:line="560" w:lineRule="exact"/>
        <w:jc w:val="center"/>
        <w:outlineLvl w:val="0"/>
        <w:rPr>
          <w:rFonts w:ascii="仿宋" w:hAnsi="仿宋" w:eastAsia="仿宋" w:cs="仿宋"/>
          <w:b/>
          <w:sz w:val="44"/>
          <w:szCs w:val="44"/>
          <w:highlight w:val="none"/>
        </w:rPr>
      </w:pPr>
      <w:bookmarkStart w:id="30" w:name="_Toc3761"/>
      <w:r>
        <w:rPr>
          <w:rFonts w:hint="eastAsia" w:ascii="仿宋" w:hAnsi="仿宋" w:eastAsia="仿宋" w:cs="仿宋"/>
          <w:b/>
          <w:sz w:val="44"/>
          <w:szCs w:val="44"/>
          <w:highlight w:val="none"/>
        </w:rPr>
        <w:t>第一章  招标公告</w:t>
      </w:r>
      <w:bookmarkEnd w:id="27"/>
      <w:bookmarkEnd w:id="28"/>
      <w:bookmarkEnd w:id="29"/>
      <w:bookmarkEnd w:id="30"/>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kern w:val="0"/>
          <w:sz w:val="36"/>
          <w:szCs w:val="36"/>
          <w:highlight w:val="none"/>
          <w:lang w:eastAsia="zh-CN"/>
        </w:rPr>
      </w:pPr>
      <w:bookmarkStart w:id="31" w:name="_Toc19097_WPSOffice_Level1"/>
      <w:bookmarkStart w:id="32" w:name="_Toc29842"/>
      <w:bookmarkStart w:id="33" w:name="_Toc11181"/>
      <w:bookmarkStart w:id="34" w:name="_Toc9486"/>
      <w:r>
        <w:rPr>
          <w:rFonts w:hint="eastAsia" w:ascii="仿宋" w:hAnsi="仿宋" w:eastAsia="仿宋" w:cs="仿宋"/>
          <w:b/>
          <w:bCs/>
          <w:kern w:val="0"/>
          <w:sz w:val="36"/>
          <w:szCs w:val="36"/>
          <w:highlight w:val="none"/>
          <w:lang w:eastAsia="zh-CN"/>
        </w:rPr>
        <w:t>渭南市人民检察院办案区（北区）中央空调采购项目</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招标公告</w:t>
      </w:r>
    </w:p>
    <w:p>
      <w:pPr>
        <w:pStyle w:val="2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shd w:val="clear" w:color="auto" w:fill="FFFFFF"/>
          <w:lang w:val="en-US" w:eastAsia="zh-CN"/>
        </w:rPr>
      </w:pPr>
      <w:r>
        <w:rPr>
          <w:rFonts w:hint="eastAsia" w:ascii="仿宋" w:hAnsi="仿宋" w:eastAsia="仿宋" w:cs="仿宋"/>
          <w:b/>
          <w:bCs/>
          <w:color w:val="auto"/>
          <w:sz w:val="28"/>
          <w:szCs w:val="28"/>
          <w:highlight w:val="none"/>
        </w:rPr>
        <w:t>项目概况</w:t>
      </w:r>
    </w:p>
    <w:p>
      <w:pPr>
        <w:pStyle w:val="2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办案区（北区）中央空调</w:t>
      </w:r>
      <w:r>
        <w:rPr>
          <w:rFonts w:hint="eastAsia" w:ascii="仿宋" w:hAnsi="仿宋" w:eastAsia="仿宋" w:cs="仿宋"/>
          <w:b/>
          <w:bCs/>
          <w:color w:val="auto"/>
          <w:sz w:val="28"/>
          <w:szCs w:val="28"/>
          <w:highlight w:val="none"/>
        </w:rPr>
        <w:t>采购项目的潜在</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应在西安市高新区科技二路71号竹园天寰国际14层1404室获取</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文件，并于202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29</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09</w:t>
      </w:r>
      <w:r>
        <w:rPr>
          <w:rFonts w:hint="eastAsia" w:ascii="仿宋" w:hAnsi="仿宋" w:eastAsia="仿宋" w:cs="仿宋"/>
          <w:b/>
          <w:bCs/>
          <w:color w:val="auto"/>
          <w:sz w:val="28"/>
          <w:szCs w:val="28"/>
          <w:highlight w:val="none"/>
          <w:lang w:eastAsia="zh-CN"/>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分（北京时间）前</w:t>
      </w:r>
      <w:r>
        <w:rPr>
          <w:rFonts w:hint="eastAsia" w:ascii="仿宋" w:hAnsi="仿宋" w:eastAsia="仿宋" w:cs="仿宋"/>
          <w:b/>
          <w:bCs/>
          <w:color w:val="auto"/>
          <w:sz w:val="28"/>
          <w:szCs w:val="28"/>
          <w:highlight w:val="none"/>
          <w:lang w:eastAsia="zh-CN"/>
        </w:rPr>
        <w:t>递</w:t>
      </w:r>
      <w:r>
        <w:rPr>
          <w:rFonts w:hint="eastAsia" w:ascii="仿宋" w:hAnsi="仿宋" w:eastAsia="仿宋" w:cs="仿宋"/>
          <w:b/>
          <w:bCs/>
          <w:color w:val="auto"/>
          <w:sz w:val="28"/>
          <w:szCs w:val="28"/>
          <w:highlight w:val="none"/>
        </w:rPr>
        <w:t>交</w:t>
      </w:r>
      <w:r>
        <w:rPr>
          <w:rFonts w:hint="eastAsia" w:ascii="仿宋" w:hAnsi="仿宋" w:eastAsia="仿宋" w:cs="仿宋"/>
          <w:b/>
          <w:bCs/>
          <w:color w:val="auto"/>
          <w:sz w:val="28"/>
          <w:szCs w:val="28"/>
          <w:highlight w:val="none"/>
          <w:lang w:eastAsia="zh-CN"/>
        </w:rPr>
        <w:t>投标</w:t>
      </w:r>
      <w:r>
        <w:rPr>
          <w:rFonts w:hint="eastAsia" w:ascii="仿宋" w:hAnsi="仿宋" w:eastAsia="仿宋" w:cs="仿宋"/>
          <w:b/>
          <w:bCs/>
          <w:color w:val="auto"/>
          <w:sz w:val="28"/>
          <w:szCs w:val="28"/>
          <w:highlight w:val="none"/>
        </w:rPr>
        <w:t>文件。</w:t>
      </w:r>
    </w:p>
    <w:p>
      <w:pPr>
        <w:pStyle w:val="24"/>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项目基本情况</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项目编号：ZCSP-</w:t>
      </w:r>
      <w:r>
        <w:rPr>
          <w:rFonts w:hint="eastAsia" w:ascii="仿宋" w:hAnsi="仿宋" w:eastAsia="仿宋" w:cs="仿宋"/>
          <w:color w:val="auto"/>
          <w:sz w:val="28"/>
          <w:szCs w:val="28"/>
          <w:highlight w:val="none"/>
          <w:lang w:eastAsia="zh-CN"/>
        </w:rPr>
        <w:t>渭南市</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0912</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WN</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3-121</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办案区（北区）中央空调</w:t>
      </w:r>
      <w:r>
        <w:rPr>
          <w:rFonts w:hint="eastAsia" w:ascii="仿宋" w:hAnsi="仿宋" w:eastAsia="仿宋" w:cs="仿宋"/>
          <w:color w:val="auto"/>
          <w:sz w:val="28"/>
          <w:szCs w:val="28"/>
          <w:highlight w:val="none"/>
        </w:rPr>
        <w:t>采购项目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eastAsia="zh-CN"/>
        </w:rPr>
        <w:t>公开招标</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1491900.00</w:t>
      </w:r>
      <w:r>
        <w:rPr>
          <w:rFonts w:hint="eastAsia" w:ascii="仿宋" w:hAnsi="仿宋" w:eastAsia="仿宋" w:cs="仿宋"/>
          <w:color w:val="auto"/>
          <w:sz w:val="28"/>
          <w:szCs w:val="28"/>
          <w:highlight w:val="none"/>
        </w:rPr>
        <w:t>元</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渭南市人民检察院办案区（北区）中央空调采购项目</w:t>
      </w:r>
      <w:r>
        <w:rPr>
          <w:rFonts w:hint="eastAsia" w:ascii="仿宋" w:hAnsi="仿宋" w:eastAsia="仿宋" w:cs="仿宋"/>
          <w:color w:val="auto"/>
          <w:sz w:val="28"/>
          <w:szCs w:val="28"/>
          <w:highlight w:val="none"/>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cyan"/>
        </w:rPr>
      </w:pPr>
      <w:r>
        <w:rPr>
          <w:rFonts w:hint="eastAsia" w:ascii="仿宋" w:hAnsi="仿宋" w:eastAsia="仿宋" w:cs="仿宋"/>
          <w:color w:val="auto"/>
          <w:sz w:val="28"/>
          <w:szCs w:val="28"/>
          <w:highlight w:val="none"/>
        </w:rPr>
        <w:t>合同包预算金额：</w:t>
      </w:r>
      <w:r>
        <w:rPr>
          <w:rFonts w:hint="eastAsia" w:ascii="仿宋" w:hAnsi="仿宋" w:eastAsia="仿宋" w:cs="仿宋"/>
          <w:color w:val="auto"/>
          <w:sz w:val="28"/>
          <w:szCs w:val="28"/>
          <w:highlight w:val="none"/>
          <w:lang w:val="en-US" w:eastAsia="zh-CN"/>
        </w:rPr>
        <w:t>1491900.00</w:t>
      </w:r>
      <w:r>
        <w:rPr>
          <w:rFonts w:hint="eastAsia" w:ascii="仿宋" w:hAnsi="仿宋" w:eastAsia="仿宋" w:cs="仿宋"/>
          <w:color w:val="auto"/>
          <w:sz w:val="28"/>
          <w:szCs w:val="28"/>
          <w:highlight w:val="none"/>
        </w:rPr>
        <w:t>元</w:t>
      </w:r>
    </w:p>
    <w:tbl>
      <w:tblPr>
        <w:tblStyle w:val="28"/>
        <w:tblW w:w="497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9"/>
        <w:gridCol w:w="1372"/>
        <w:gridCol w:w="2009"/>
        <w:gridCol w:w="1178"/>
        <w:gridCol w:w="1502"/>
        <w:gridCol w:w="1892"/>
        <w:gridCol w:w="10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品目号</w:t>
            </w:r>
          </w:p>
        </w:tc>
        <w:tc>
          <w:tcPr>
            <w:tcW w:w="6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品目名称</w:t>
            </w:r>
          </w:p>
        </w:tc>
        <w:tc>
          <w:tcPr>
            <w:tcW w:w="10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green"/>
                <w:lang w:val="en-US" w:eastAsia="zh-CN" w:bidi="ar"/>
              </w:rPr>
            </w:pPr>
            <w:r>
              <w:rPr>
                <w:rFonts w:hint="eastAsia" w:ascii="仿宋" w:hAnsi="仿宋" w:eastAsia="仿宋" w:cs="仿宋"/>
                <w:kern w:val="2"/>
                <w:sz w:val="24"/>
                <w:szCs w:val="24"/>
                <w:highlight w:val="none"/>
                <w:lang w:val="en-US" w:eastAsia="zh-CN" w:bidi="ar"/>
              </w:rPr>
              <w:t>采购标的</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（单位）</w:t>
            </w:r>
          </w:p>
        </w:tc>
        <w:tc>
          <w:tcPr>
            <w:tcW w:w="7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技术规格、参数及要求</w:t>
            </w:r>
          </w:p>
        </w:tc>
        <w:tc>
          <w:tcPr>
            <w:tcW w:w="9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(元)</w:t>
            </w:r>
          </w:p>
        </w:tc>
        <w:tc>
          <w:tcPr>
            <w:tcW w:w="5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1-1</w:t>
            </w:r>
          </w:p>
        </w:tc>
        <w:tc>
          <w:tcPr>
            <w:tcW w:w="6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仿宋"/>
                <w:kern w:val="2"/>
                <w:sz w:val="24"/>
                <w:szCs w:val="24"/>
                <w:highlight w:val="none"/>
                <w:lang w:val="en-US" w:eastAsia="zh-CN" w:bidi="ar"/>
              </w:rPr>
            </w:pPr>
            <w:r>
              <w:rPr>
                <w:rFonts w:hint="default" w:ascii="仿宋" w:hAnsi="仿宋" w:eastAsia="仿宋" w:cs="仿宋"/>
                <w:kern w:val="2"/>
                <w:sz w:val="24"/>
                <w:szCs w:val="24"/>
                <w:highlight w:val="none"/>
                <w:lang w:val="en-US" w:eastAsia="zh-CN" w:bidi="ar"/>
              </w:rPr>
              <w:t>专用制冷空调设备</w:t>
            </w:r>
          </w:p>
        </w:tc>
        <w:tc>
          <w:tcPr>
            <w:tcW w:w="10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办案区（北区）中央空调</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1(批)</w:t>
            </w:r>
          </w:p>
        </w:tc>
        <w:tc>
          <w:tcPr>
            <w:tcW w:w="7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详见采购文件</w:t>
            </w:r>
          </w:p>
        </w:tc>
        <w:tc>
          <w:tcPr>
            <w:tcW w:w="9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default"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14919</w:t>
            </w:r>
            <w:r>
              <w:rPr>
                <w:rFonts w:hint="default" w:ascii="仿宋" w:hAnsi="仿宋" w:eastAsia="仿宋" w:cs="仿宋"/>
                <w:kern w:val="2"/>
                <w:sz w:val="24"/>
                <w:szCs w:val="24"/>
                <w:highlight w:val="none"/>
                <w:lang w:val="en-US" w:eastAsia="zh-CN" w:bidi="ar"/>
              </w:rPr>
              <w:t>00.00</w:t>
            </w:r>
          </w:p>
        </w:tc>
        <w:tc>
          <w:tcPr>
            <w:tcW w:w="5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本合同包不接受联合体投标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default" w:ascii="仿宋" w:hAnsi="仿宋" w:eastAsia="仿宋" w:cs="仿宋"/>
          <w:color w:val="auto"/>
          <w:sz w:val="28"/>
          <w:szCs w:val="28"/>
          <w:highlight w:val="none"/>
          <w:lang w:val="en-US"/>
        </w:rPr>
      </w:pPr>
      <w:r>
        <w:rPr>
          <w:rFonts w:hint="eastAsia" w:ascii="仿宋" w:hAnsi="仿宋" w:eastAsia="仿宋" w:cs="仿宋"/>
          <w:kern w:val="2"/>
          <w:sz w:val="28"/>
          <w:szCs w:val="28"/>
          <w:highlight w:val="none"/>
          <w:lang w:val="en-US" w:eastAsia="zh-CN" w:bidi="ar"/>
        </w:rPr>
        <w:t>合同履行期限：</w:t>
      </w:r>
      <w:r>
        <w:rPr>
          <w:rFonts w:hint="eastAsia" w:ascii="仿宋" w:hAnsi="仿宋" w:eastAsia="仿宋" w:cs="仿宋"/>
          <w:b w:val="0"/>
          <w:bCs w:val="0"/>
          <w:sz w:val="28"/>
          <w:szCs w:val="28"/>
          <w:highlight w:val="none"/>
          <w:lang w:val="en-US" w:eastAsia="zh-CN"/>
        </w:rPr>
        <w:t>合同签订生效后10个日历日内交货完毕、安装调试完成。</w:t>
      </w:r>
    </w:p>
    <w:p>
      <w:pPr>
        <w:pStyle w:val="2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二、投标人的资格要求</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1、满足《中华人民共和国政府采购法》第二十二条规定</w:t>
      </w:r>
      <w:r>
        <w:rPr>
          <w:rFonts w:hint="eastAsia" w:ascii="仿宋" w:hAnsi="仿宋" w:eastAsia="仿宋" w:cs="仿宋"/>
          <w:sz w:val="28"/>
          <w:szCs w:val="28"/>
          <w:highlight w:val="none"/>
          <w:shd w:val="clear" w:color="auto" w:fill="FFFFFF"/>
          <w:lang w:eastAsia="zh-CN"/>
        </w:rPr>
        <w:t>；</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合同包1</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color w:val="auto"/>
          <w:sz w:val="28"/>
          <w:szCs w:val="28"/>
          <w:highlight w:val="none"/>
          <w:lang w:eastAsia="zh-CN"/>
        </w:rPr>
        <w:t>渭南市人民检察院办案区（北区）中央空调采购项目</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落实政府采购政策需满足的资格要求如下</w:t>
      </w:r>
      <w:r>
        <w:rPr>
          <w:rFonts w:hint="eastAsia" w:ascii="仿宋" w:hAnsi="仿宋" w:eastAsia="仿宋" w:cs="仿宋"/>
          <w:sz w:val="28"/>
          <w:szCs w:val="28"/>
          <w:highlight w:val="none"/>
          <w:shd w:val="clear" w:color="auto" w:fill="FFFFFF"/>
          <w:lang w:eastAsia="zh-CN"/>
        </w:rPr>
        <w:t>：</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（1）《财政部 发展改革委 生态环境部 市场监管总局关于调整优化节能产品、环境标志产品政府采购执行机制的通知》（财库〔2019〕9号）；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（2）《政府采购促进中小企业发展管理办法》（财库〔2020〕46号）；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（3）《财政部司法部关于政府采购支持监狱企业发展有关问题的通知》（财库〔2014〕68号）；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（4）《三部门联合发布关于促进残疾人就业政府采购政策的通知》（财库〔2017〕141号）；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（5）陕西省财政厅关于印发《陕西省中小企业政府采购信用融资办法》（陕财办采〔2018〕23号）；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（6）《关于运用政府采购政策支持乡村产业振兴的通知》（财库〔2021〕19号）；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（7）《财政部住房和城乡建设部关于政府采购支持绿色建材促进建筑品质提升试点工作的通知》（财库〔2020〕31号）；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（8）《陕西省财政厅关于进一步加强政府绿色采购有关问题的通知》（陕财办采〔2021〕29号）；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（9）《财政部关于在政府采购活动中落实平等对待内外资企业有关政策的通知》（财库〔2021〕35号）；</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（10）其他需要落实的政府采购政策。</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本项目的特定资格要求：</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合同包1</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lang w:eastAsia="zh-CN"/>
        </w:rPr>
        <w:t>渭南市人民检察院办案区（北区）中央空调采购项目</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特定资格要求如下</w:t>
      </w:r>
      <w:r>
        <w:rPr>
          <w:rFonts w:hint="eastAsia" w:ascii="仿宋" w:hAnsi="仿宋" w:eastAsia="仿宋" w:cs="仿宋"/>
          <w:color w:val="auto"/>
          <w:sz w:val="28"/>
          <w:szCs w:val="28"/>
          <w:highlight w:val="none"/>
          <w:shd w:val="clear" w:color="auto" w:fill="FFFFFF"/>
          <w:lang w:eastAsia="zh-CN"/>
        </w:rPr>
        <w:t>：</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（1）供应商应具有独立承担民事责任的能力且具备向采购人</w:t>
      </w:r>
      <w:r>
        <w:rPr>
          <w:rFonts w:hint="eastAsia" w:ascii="仿宋" w:hAnsi="仿宋" w:eastAsia="仿宋" w:cs="仿宋"/>
          <w:color w:val="auto"/>
          <w:sz w:val="28"/>
          <w:szCs w:val="28"/>
          <w:highlight w:val="none"/>
          <w:shd w:val="clear" w:color="auto" w:fill="FFFFFF"/>
          <w:lang w:eastAsia="zh-CN"/>
        </w:rPr>
        <w:t>提供相关货物及服务的企业法人、事业</w:t>
      </w:r>
      <w:r>
        <w:rPr>
          <w:rFonts w:hint="eastAsia" w:ascii="仿宋" w:hAnsi="仿宋" w:eastAsia="仿宋" w:cs="仿宋"/>
          <w:color w:val="auto"/>
          <w:sz w:val="28"/>
          <w:szCs w:val="28"/>
          <w:highlight w:val="none"/>
          <w:shd w:val="clear" w:color="auto" w:fill="FFFFFF"/>
        </w:rPr>
        <w:t>法人、其他组织或者自然人,企业法人应提供统一社会信用代码的营业执照；事业法人应提供统一社会信用代码的事业单位法人证；其他组织应提供合法证明文件；自然人提供身份证明文件；</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（2）法定代表人授权委托书（附法定代表人身份证复印件）及被授权委托人身份证（法定代表人参加</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只须提供法定代表人身份证）；</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（3）提供202</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年度经审计的财务报告或开标前六个月内其基本账户银行出具的资信证明或财政部门认可的政府采购专业担保机构出具的担保函；</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（4）提供202</w:t>
      </w: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月以来任意3个月</w:t>
      </w:r>
      <w:r>
        <w:rPr>
          <w:rFonts w:hint="eastAsia" w:ascii="仿宋" w:hAnsi="仿宋" w:eastAsia="仿宋" w:cs="仿宋"/>
          <w:sz w:val="28"/>
          <w:szCs w:val="28"/>
          <w:highlight w:val="none"/>
          <w:shd w:val="clear" w:color="auto" w:fill="FFFFFF"/>
          <w:lang w:eastAsia="zh-CN"/>
        </w:rPr>
        <w:t>依法缴纳税收和社会保险的相关证明材料；</w:t>
      </w:r>
      <w:r>
        <w:rPr>
          <w:rFonts w:hint="eastAsia" w:ascii="仿宋" w:hAnsi="仿宋" w:eastAsia="仿宋" w:cs="仿宋"/>
          <w:sz w:val="28"/>
          <w:szCs w:val="28"/>
          <w:highlight w:val="none"/>
          <w:shd w:val="clear" w:color="auto" w:fill="FFFFFF"/>
        </w:rPr>
        <w:t>注：依法免税或不需要缴纳社会保险的供应商提供相关部门出具的证明文件</w:t>
      </w:r>
      <w:r>
        <w:rPr>
          <w:rFonts w:hint="eastAsia" w:ascii="仿宋" w:hAnsi="仿宋" w:eastAsia="仿宋" w:cs="仿宋"/>
          <w:sz w:val="28"/>
          <w:szCs w:val="28"/>
          <w:highlight w:val="none"/>
          <w:shd w:val="clear" w:color="auto" w:fill="FFFFFF"/>
          <w:lang w:eastAsia="zh-CN"/>
        </w:rPr>
        <w:t>；</w:t>
      </w:r>
    </w:p>
    <w:p>
      <w:pPr>
        <w:pStyle w:val="24"/>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（5）提供具有履行合同所必需的设备和专业技术能力的承诺；</w:t>
      </w:r>
    </w:p>
    <w:p>
      <w:pPr>
        <w:pStyle w:val="24"/>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（6）提供参加政府采购活动前3年内在经营活动中没有重大违法记录的书面声明；</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（7）</w:t>
      </w:r>
      <w:r>
        <w:rPr>
          <w:rFonts w:hint="eastAsia" w:ascii="仿宋" w:hAnsi="仿宋" w:eastAsia="仿宋" w:cs="仿宋"/>
          <w:sz w:val="28"/>
          <w:szCs w:val="28"/>
          <w:highlight w:val="none"/>
          <w:shd w:val="clear" w:color="auto" w:fill="FFFFFF"/>
          <w:lang w:eastAsia="zh-CN"/>
        </w:rPr>
        <w:t>投标</w:t>
      </w:r>
      <w:r>
        <w:rPr>
          <w:rFonts w:hint="eastAsia" w:ascii="仿宋" w:hAnsi="仿宋" w:eastAsia="仿宋" w:cs="仿宋"/>
          <w:sz w:val="28"/>
          <w:szCs w:val="28"/>
          <w:highlight w:val="none"/>
          <w:shd w:val="clear" w:color="auto" w:fill="FFFFFF"/>
        </w:rPr>
        <w:t>保证金交纳凭证</w:t>
      </w:r>
      <w:r>
        <w:rPr>
          <w:rFonts w:hint="eastAsia" w:ascii="仿宋" w:hAnsi="仿宋" w:eastAsia="仿宋" w:cs="仿宋"/>
          <w:sz w:val="28"/>
          <w:szCs w:val="28"/>
          <w:highlight w:val="none"/>
          <w:shd w:val="clear" w:color="auto" w:fill="FFFFFF"/>
          <w:lang w:eastAsia="zh-CN"/>
        </w:rPr>
        <w:t>；</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）单位负责人为同一人或者存在直接控股、管理关系的不同供应商，不</w:t>
      </w:r>
      <w:r>
        <w:rPr>
          <w:rFonts w:hint="eastAsia" w:ascii="仿宋" w:hAnsi="仿宋" w:eastAsia="仿宋" w:cs="仿宋"/>
          <w:b w:val="0"/>
          <w:bCs w:val="0"/>
          <w:kern w:val="0"/>
          <w:sz w:val="28"/>
          <w:szCs w:val="28"/>
          <w:highlight w:val="none"/>
          <w:lang w:eastAsia="zh-CN"/>
        </w:rPr>
        <w:t>得参加同一合同项下的政府采购活动；</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lang w:eastAsia="zh-CN"/>
        </w:rPr>
        <w:t>）资质条件：</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9.1</w:t>
      </w:r>
      <w:r>
        <w:rPr>
          <w:rFonts w:hint="eastAsia" w:ascii="仿宋" w:hAnsi="仿宋" w:eastAsia="仿宋" w:cs="仿宋"/>
          <w:b w:val="0"/>
          <w:bCs w:val="0"/>
          <w:color w:val="auto"/>
          <w:kern w:val="0"/>
          <w:sz w:val="28"/>
          <w:szCs w:val="28"/>
          <w:highlight w:val="none"/>
          <w:lang w:eastAsia="zh-CN"/>
        </w:rPr>
        <w:t>）提供有效的建筑机电安装工程专业承包三级及以上资质；</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9.2</w:t>
      </w:r>
      <w:r>
        <w:rPr>
          <w:rFonts w:hint="eastAsia" w:ascii="仿宋" w:hAnsi="仿宋" w:eastAsia="仿宋" w:cs="仿宋"/>
          <w:b w:val="0"/>
          <w:bCs w:val="0"/>
          <w:color w:val="auto"/>
          <w:kern w:val="0"/>
          <w:sz w:val="28"/>
          <w:szCs w:val="28"/>
          <w:highlight w:val="none"/>
          <w:lang w:eastAsia="zh-CN"/>
        </w:rPr>
        <w:t>）提供有效的施工企业</w:t>
      </w:r>
      <w:bookmarkStart w:id="35" w:name="OLE_LINK53"/>
      <w:r>
        <w:rPr>
          <w:rFonts w:hint="eastAsia" w:ascii="仿宋" w:hAnsi="仿宋" w:eastAsia="仿宋" w:cs="仿宋"/>
          <w:b w:val="0"/>
          <w:bCs w:val="0"/>
          <w:color w:val="auto"/>
          <w:kern w:val="0"/>
          <w:sz w:val="28"/>
          <w:szCs w:val="28"/>
          <w:highlight w:val="none"/>
          <w:lang w:eastAsia="zh-CN"/>
        </w:rPr>
        <w:t>安全生产许可证</w:t>
      </w:r>
      <w:bookmarkEnd w:id="35"/>
      <w:r>
        <w:rPr>
          <w:rFonts w:hint="eastAsia" w:ascii="仿宋" w:hAnsi="仿宋" w:eastAsia="仿宋" w:cs="仿宋"/>
          <w:b w:val="0"/>
          <w:bCs w:val="0"/>
          <w:color w:val="auto"/>
          <w:kern w:val="0"/>
          <w:sz w:val="28"/>
          <w:szCs w:val="28"/>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9.3</w:t>
      </w:r>
      <w:r>
        <w:rPr>
          <w:rFonts w:hint="eastAsia" w:ascii="仿宋" w:hAnsi="仿宋" w:eastAsia="仿宋" w:cs="仿宋"/>
          <w:b w:val="0"/>
          <w:bCs w:val="0"/>
          <w:color w:val="auto"/>
          <w:kern w:val="0"/>
          <w:sz w:val="28"/>
          <w:szCs w:val="28"/>
          <w:highlight w:val="none"/>
          <w:lang w:eastAsia="zh-CN"/>
        </w:rPr>
        <w:t>）项目经理须具备机电工程专业二级及以上注册建造师证书，有效的安全生产考核合格证书（建安B证），提供无在建项目承诺。</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rPr>
        <w:t>获取</w:t>
      </w:r>
      <w:r>
        <w:rPr>
          <w:rFonts w:hint="eastAsia" w:ascii="仿宋" w:hAnsi="仿宋" w:eastAsia="仿宋" w:cs="仿宋"/>
          <w:b/>
          <w:bCs/>
          <w:color w:val="auto"/>
          <w:kern w:val="0"/>
          <w:sz w:val="28"/>
          <w:szCs w:val="28"/>
          <w:highlight w:val="none"/>
          <w:lang w:eastAsia="zh-CN"/>
        </w:rPr>
        <w:t>招标</w:t>
      </w:r>
      <w:r>
        <w:rPr>
          <w:rFonts w:hint="eastAsia" w:ascii="仿宋" w:hAnsi="仿宋" w:eastAsia="仿宋" w:cs="仿宋"/>
          <w:b/>
          <w:bCs/>
          <w:color w:val="auto"/>
          <w:kern w:val="0"/>
          <w:sz w:val="28"/>
          <w:szCs w:val="28"/>
          <w:highlight w:val="none"/>
        </w:rPr>
        <w:t>文件</w:t>
      </w:r>
    </w:p>
    <w:p>
      <w:pPr>
        <w:pStyle w:val="2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日，每天上午09:00:00至11:30:00，下午14:00:00至17:00:00（北京时间）</w:t>
      </w:r>
    </w:p>
    <w:p>
      <w:pPr>
        <w:pStyle w:val="2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途径</w:t>
      </w:r>
      <w:r>
        <w:rPr>
          <w:rFonts w:hint="eastAsia" w:ascii="仿宋" w:hAnsi="仿宋" w:eastAsia="仿宋" w:cs="仿宋"/>
          <w:color w:val="auto"/>
          <w:sz w:val="28"/>
          <w:szCs w:val="28"/>
          <w:highlight w:val="none"/>
        </w:rPr>
        <w:t>：西安市高新区科技二路71号竹园天寰国际14层1404室</w:t>
      </w:r>
    </w:p>
    <w:p>
      <w:pPr>
        <w:pStyle w:val="2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方式：现场获取</w:t>
      </w:r>
    </w:p>
    <w:p>
      <w:pPr>
        <w:pStyle w:val="2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Style w:val="31"/>
          <w:rFonts w:ascii="仿宋" w:hAnsi="仿宋" w:eastAsia="仿宋" w:cs="仿宋"/>
          <w:bCs/>
          <w:sz w:val="28"/>
          <w:szCs w:val="28"/>
          <w:highlight w:val="none"/>
          <w:shd w:val="clear" w:color="auto" w:fill="FFFFFF"/>
        </w:rPr>
      </w:pPr>
      <w:r>
        <w:rPr>
          <w:rFonts w:hint="eastAsia" w:ascii="仿宋" w:hAnsi="仿宋" w:eastAsia="仿宋" w:cs="仿宋"/>
          <w:color w:val="auto"/>
          <w:sz w:val="28"/>
          <w:szCs w:val="28"/>
          <w:highlight w:val="none"/>
        </w:rPr>
        <w:t>售价：500元</w:t>
      </w:r>
    </w:p>
    <w:p>
      <w:pPr>
        <w:pStyle w:val="24"/>
        <w:keepNext w:val="0"/>
        <w:keepLines w:val="0"/>
        <w:pageBreakBefore w:val="0"/>
        <w:widowControl w:val="0"/>
        <w:kinsoku/>
        <w:wordWrap/>
        <w:overflowPunct/>
        <w:topLinePunct w:val="0"/>
        <w:autoSpaceDE/>
        <w:autoSpaceDN/>
        <w:bidi w:val="0"/>
        <w:adjustRightInd/>
        <w:snapToGrid/>
        <w:spacing w:after="0" w:line="480" w:lineRule="exact"/>
        <w:textAlignment w:val="auto"/>
        <w:rPr>
          <w:rStyle w:val="31"/>
          <w:rFonts w:hint="eastAsia" w:ascii="仿宋" w:hAnsi="仿宋" w:eastAsia="仿宋" w:cs="仿宋"/>
          <w:sz w:val="28"/>
          <w:szCs w:val="28"/>
          <w:highlight w:val="none"/>
          <w:shd w:val="clear" w:color="auto" w:fill="FFFFFF"/>
        </w:rPr>
      </w:pPr>
      <w:r>
        <w:rPr>
          <w:rStyle w:val="31"/>
          <w:rFonts w:hint="eastAsia" w:ascii="仿宋" w:hAnsi="仿宋" w:eastAsia="仿宋" w:cs="仿宋"/>
          <w:sz w:val="28"/>
          <w:szCs w:val="28"/>
          <w:highlight w:val="none"/>
          <w:shd w:val="clear" w:color="auto" w:fill="FFFFFF"/>
        </w:rPr>
        <w:t>四、提交投标文件截止时间、开标时间和地点</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 （北京时间）</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提交投标文件</w:t>
      </w:r>
      <w:r>
        <w:rPr>
          <w:rFonts w:hint="eastAsia" w:ascii="仿宋" w:hAnsi="仿宋" w:eastAsia="仿宋" w:cs="仿宋"/>
          <w:kern w:val="0"/>
          <w:sz w:val="28"/>
          <w:szCs w:val="28"/>
          <w:highlight w:val="none"/>
          <w:lang w:eastAsia="zh-CN"/>
        </w:rPr>
        <w:t>地点：</w:t>
      </w:r>
      <w:r>
        <w:rPr>
          <w:rFonts w:hint="eastAsia" w:ascii="仿宋" w:hAnsi="仿宋" w:eastAsia="仿宋" w:cs="仿宋"/>
          <w:b w:val="0"/>
          <w:bCs/>
          <w:sz w:val="28"/>
          <w:szCs w:val="28"/>
          <w:highlight w:val="none"/>
          <w:lang w:eastAsia="zh-CN"/>
        </w:rPr>
        <w:t>渭南市行政中心西配楼开标室</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kern w:val="0"/>
          <w:sz w:val="28"/>
          <w:szCs w:val="28"/>
          <w:highlight w:val="none"/>
          <w:lang w:eastAsia="zh-CN"/>
        </w:rPr>
        <w:t>开标</w:t>
      </w:r>
      <w:r>
        <w:rPr>
          <w:rFonts w:hint="eastAsia" w:ascii="仿宋" w:hAnsi="仿宋" w:eastAsia="仿宋" w:cs="仿宋"/>
          <w:kern w:val="0"/>
          <w:sz w:val="28"/>
          <w:szCs w:val="28"/>
          <w:highlight w:val="none"/>
        </w:rPr>
        <w:t>地点：</w:t>
      </w:r>
      <w:r>
        <w:rPr>
          <w:rFonts w:hint="eastAsia" w:ascii="仿宋" w:hAnsi="仿宋" w:eastAsia="仿宋" w:cs="仿宋"/>
          <w:b w:val="0"/>
          <w:bCs/>
          <w:sz w:val="28"/>
          <w:szCs w:val="28"/>
          <w:highlight w:val="none"/>
          <w:lang w:eastAsia="zh-CN"/>
        </w:rPr>
        <w:t>渭南市行政中心西配楼开标室</w:t>
      </w:r>
    </w:p>
    <w:p>
      <w:pPr>
        <w:pStyle w:val="24"/>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、公告期限</w:t>
      </w:r>
    </w:p>
    <w:p>
      <w:pPr>
        <w:pStyle w:val="2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自本公告发布之日起</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其他补充事宜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kern w:val="0"/>
          <w:sz w:val="28"/>
          <w:szCs w:val="28"/>
          <w:highlight w:val="none"/>
          <w:lang w:val="en-US" w:eastAsia="zh-CN" w:bidi="ar"/>
        </w:rPr>
        <w:t>1.项目概况：中央空调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1批。</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2.本项目属于非专门面向中小企业采购。</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可以电子邮件形式发送采购文件，无需现场报名购买。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.采购文件费用采用转账形式缴纳，通过企业基本户转入我单位指定账户，转账时请备注“</w:t>
      </w: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文件费用”。</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.供应商填写并支付完成后，将报名登记表及文件购置费缴纳凭据扫描件发送至项目负责人邮箱（368380031@qq.com），并及时告知采购代理机构确认。待审核确认无误后通过邮箱向供应商发售采购文件，请及时查收。</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.请供应商按照陕西省财政厅关于政府采购供应商注册登记有关事项的通知中的要求，通过陕西省政府采购网（http://www.ccgp-shaanxi.gov.cn/）注册登记加入陕西省政府采购供应商库。</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七、凡</w:t>
      </w:r>
      <w:r>
        <w:rPr>
          <w:rFonts w:hint="eastAsia" w:ascii="仿宋" w:hAnsi="仿宋" w:eastAsia="仿宋" w:cs="仿宋"/>
          <w:b/>
          <w:color w:val="auto"/>
          <w:sz w:val="28"/>
          <w:szCs w:val="28"/>
          <w:highlight w:val="none"/>
        </w:rPr>
        <w:t>对本次采购提出询问，请按以下方式联系。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采购人信息</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rPr>
        <w:t>名称：</w:t>
      </w:r>
      <w:r>
        <w:rPr>
          <w:rFonts w:hint="eastAsia" w:ascii="仿宋" w:hAnsi="仿宋" w:eastAsia="仿宋" w:cs="仿宋"/>
          <w:color w:val="auto"/>
          <w:sz w:val="28"/>
          <w:szCs w:val="28"/>
          <w:highlight w:val="none"/>
          <w:lang w:eastAsia="zh-CN"/>
        </w:rPr>
        <w:t>渭南市人民检察院</w:t>
      </w:r>
    </w:p>
    <w:p>
      <w:pPr>
        <w:pStyle w:val="24"/>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地址：</w:t>
      </w:r>
      <w:r>
        <w:rPr>
          <w:rFonts w:hint="eastAsia" w:ascii="仿宋" w:hAnsi="仿宋" w:eastAsia="仿宋" w:cs="仿宋"/>
          <w:bCs/>
          <w:sz w:val="28"/>
          <w:szCs w:val="28"/>
          <w:highlight w:val="none"/>
          <w:lang w:eastAsia="zh-CN"/>
        </w:rPr>
        <w:t>渭南市临渭区新区东路</w:t>
      </w:r>
      <w:r>
        <w:rPr>
          <w:rFonts w:hint="eastAsia" w:ascii="仿宋" w:hAnsi="仿宋" w:eastAsia="仿宋" w:cs="仿宋"/>
          <w:bCs/>
          <w:sz w:val="28"/>
          <w:szCs w:val="28"/>
          <w:highlight w:val="none"/>
          <w:lang w:val="en-US" w:eastAsia="zh-CN"/>
        </w:rPr>
        <w:t>9号</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联系方式：0913-2105781</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p>
    <w:p>
      <w:pPr>
        <w:pStyle w:val="24"/>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名称：西安欣华联建工程咨询有限公司</w:t>
      </w:r>
    </w:p>
    <w:p>
      <w:pPr>
        <w:pStyle w:val="24"/>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w:t>
      </w:r>
      <w:r>
        <w:rPr>
          <w:rFonts w:hint="eastAsia" w:ascii="仿宋" w:hAnsi="仿宋" w:eastAsia="仿宋" w:cs="仿宋"/>
          <w:color w:val="auto"/>
          <w:sz w:val="28"/>
          <w:szCs w:val="28"/>
          <w:highlight w:val="none"/>
          <w:shd w:val="clear" w:color="auto" w:fill="FFFFFF"/>
        </w:rPr>
        <w:t>陕西省</w:t>
      </w:r>
      <w:r>
        <w:rPr>
          <w:rFonts w:hint="eastAsia" w:ascii="仿宋" w:hAnsi="仿宋" w:eastAsia="仿宋" w:cs="仿宋"/>
          <w:color w:val="auto"/>
          <w:kern w:val="0"/>
          <w:sz w:val="28"/>
          <w:szCs w:val="28"/>
          <w:highlight w:val="none"/>
        </w:rPr>
        <w:t>西安市高新区科技二路71号竹园天寰国际14层1404室</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联系方式</w:t>
      </w:r>
      <w:r>
        <w:rPr>
          <w:rFonts w:hint="eastAsia" w:ascii="仿宋" w:hAnsi="仿宋" w:eastAsia="仿宋" w:cs="仿宋"/>
          <w:bCs/>
          <w:color w:val="auto"/>
          <w:sz w:val="28"/>
          <w:szCs w:val="28"/>
          <w:highlight w:val="none"/>
        </w:rPr>
        <w:t>：</w:t>
      </w:r>
      <w:r>
        <w:rPr>
          <w:rFonts w:hint="eastAsia" w:ascii="仿宋" w:hAnsi="仿宋" w:eastAsia="仿宋" w:cs="仿宋"/>
          <w:bCs/>
          <w:sz w:val="28"/>
          <w:szCs w:val="28"/>
        </w:rPr>
        <w:t>029-82528801、029-89183511</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项目联系方式</w:t>
      </w:r>
    </w:p>
    <w:p>
      <w:pPr>
        <w:pStyle w:val="2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项目联系人：采购代理机构</w:t>
      </w:r>
      <w:r>
        <w:rPr>
          <w:rFonts w:hint="eastAsia" w:ascii="仿宋" w:hAnsi="仿宋" w:eastAsia="仿宋" w:cs="仿宋"/>
          <w:bCs/>
          <w:color w:val="auto"/>
          <w:sz w:val="28"/>
          <w:szCs w:val="28"/>
          <w:highlight w:val="none"/>
          <w:lang w:eastAsia="zh-CN"/>
        </w:rPr>
        <w:t>赵温馨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电话：</w:t>
      </w:r>
      <w:r>
        <w:rPr>
          <w:rFonts w:hint="eastAsia" w:ascii="仿宋" w:hAnsi="仿宋" w:eastAsia="仿宋" w:cs="仿宋"/>
          <w:bCs/>
          <w:sz w:val="28"/>
          <w:szCs w:val="28"/>
        </w:rPr>
        <w:t>029-82528801、029-89183511</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jc w:val="right"/>
        <w:textAlignment w:val="auto"/>
        <w:rPr>
          <w:rFonts w:hint="eastAsia" w:ascii="仿宋" w:hAnsi="仿宋" w:eastAsia="仿宋" w:cs="仿宋"/>
          <w:color w:val="auto"/>
          <w:kern w:val="0"/>
          <w:sz w:val="28"/>
          <w:szCs w:val="28"/>
          <w:highlight w:val="none"/>
        </w:rPr>
      </w:pPr>
    </w:p>
    <w:p>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jc w:val="righ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highlight w:val="green"/>
        </w:rPr>
      </w:pP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日</w:t>
      </w:r>
    </w:p>
    <w:p>
      <w:pPr>
        <w:spacing w:line="460" w:lineRule="exact"/>
        <w:jc w:val="center"/>
        <w:outlineLvl w:val="0"/>
        <w:rPr>
          <w:rFonts w:ascii="仿宋" w:hAnsi="仿宋" w:eastAsia="仿宋" w:cs="仿宋"/>
          <w:b/>
          <w:sz w:val="36"/>
          <w:szCs w:val="36"/>
          <w:highlight w:val="none"/>
        </w:rPr>
      </w:pPr>
      <w:r>
        <w:rPr>
          <w:rFonts w:hint="eastAsia"/>
          <w:highlight w:val="none"/>
        </w:rPr>
        <w:br w:type="page"/>
      </w:r>
      <w:bookmarkStart w:id="36" w:name="_Toc3766"/>
      <w:r>
        <w:rPr>
          <w:rFonts w:hint="eastAsia" w:ascii="仿宋" w:hAnsi="仿宋" w:eastAsia="仿宋" w:cs="仿宋"/>
          <w:b/>
          <w:sz w:val="44"/>
          <w:szCs w:val="44"/>
          <w:highlight w:val="none"/>
        </w:rPr>
        <w:t>第二章  供应商须知前附表</w:t>
      </w:r>
      <w:bookmarkEnd w:id="36"/>
    </w:p>
    <w:tbl>
      <w:tblPr>
        <w:tblStyle w:val="28"/>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78"/>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outlineLvl w:val="0"/>
              <w:rPr>
                <w:rFonts w:ascii="仿宋" w:hAnsi="仿宋" w:eastAsia="仿宋" w:cs="仿宋"/>
                <w:b/>
                <w:sz w:val="28"/>
                <w:szCs w:val="28"/>
                <w:highlight w:val="none"/>
              </w:rPr>
            </w:pPr>
            <w:bookmarkStart w:id="37" w:name="_Toc31809"/>
            <w:bookmarkStart w:id="38" w:name="_Toc23937"/>
            <w:bookmarkStart w:id="39" w:name="_Toc3791"/>
            <w:bookmarkStart w:id="40" w:name="_Toc22036"/>
            <w:bookmarkStart w:id="41" w:name="_Toc9085"/>
            <w:bookmarkStart w:id="42" w:name="_Toc27701"/>
            <w:bookmarkStart w:id="43" w:name="_Toc8500"/>
            <w:r>
              <w:rPr>
                <w:rFonts w:hint="eastAsia" w:ascii="仿宋" w:hAnsi="仿宋" w:eastAsia="仿宋" w:cs="仿宋"/>
                <w:b/>
                <w:sz w:val="28"/>
                <w:szCs w:val="28"/>
                <w:highlight w:val="none"/>
              </w:rPr>
              <w:t>序号</w:t>
            </w:r>
            <w:bookmarkEnd w:id="37"/>
            <w:bookmarkEnd w:id="38"/>
            <w:bookmarkEnd w:id="39"/>
            <w:bookmarkEnd w:id="40"/>
            <w:bookmarkEnd w:id="41"/>
            <w:bookmarkEnd w:id="42"/>
            <w:bookmarkEnd w:id="43"/>
          </w:p>
        </w:tc>
        <w:tc>
          <w:tcPr>
            <w:tcW w:w="2078" w:type="dxa"/>
            <w:vAlign w:val="center"/>
          </w:tcPr>
          <w:p>
            <w:pPr>
              <w:keepNext/>
              <w:topLinePunct/>
              <w:spacing w:line="500" w:lineRule="exact"/>
              <w:jc w:val="center"/>
              <w:outlineLvl w:val="0"/>
              <w:rPr>
                <w:rFonts w:ascii="仿宋" w:hAnsi="仿宋" w:eastAsia="仿宋" w:cs="仿宋"/>
                <w:b/>
                <w:sz w:val="28"/>
                <w:szCs w:val="28"/>
                <w:highlight w:val="none"/>
              </w:rPr>
            </w:pPr>
            <w:bookmarkStart w:id="44" w:name="_Toc20856"/>
            <w:bookmarkStart w:id="45" w:name="_Toc3249"/>
            <w:bookmarkStart w:id="46" w:name="_Toc20840"/>
            <w:bookmarkStart w:id="47" w:name="_Toc11841"/>
            <w:bookmarkStart w:id="48" w:name="_Toc29271"/>
            <w:bookmarkStart w:id="49" w:name="_Toc2766"/>
            <w:bookmarkStart w:id="50" w:name="_Toc25078"/>
            <w:r>
              <w:rPr>
                <w:rFonts w:hint="eastAsia" w:ascii="仿宋" w:hAnsi="仿宋" w:eastAsia="仿宋" w:cs="仿宋"/>
                <w:b/>
                <w:sz w:val="28"/>
                <w:szCs w:val="28"/>
                <w:highlight w:val="none"/>
              </w:rPr>
              <w:t>内 容</w:t>
            </w:r>
            <w:bookmarkEnd w:id="44"/>
            <w:bookmarkEnd w:id="45"/>
            <w:bookmarkEnd w:id="46"/>
            <w:bookmarkEnd w:id="47"/>
            <w:bookmarkEnd w:id="48"/>
            <w:bookmarkEnd w:id="49"/>
            <w:bookmarkEnd w:id="50"/>
          </w:p>
        </w:tc>
        <w:tc>
          <w:tcPr>
            <w:tcW w:w="7019" w:type="dxa"/>
            <w:vAlign w:val="center"/>
          </w:tcPr>
          <w:p>
            <w:pPr>
              <w:keepNext/>
              <w:topLinePunct/>
              <w:spacing w:line="500" w:lineRule="exact"/>
              <w:jc w:val="center"/>
              <w:outlineLvl w:val="0"/>
              <w:rPr>
                <w:rFonts w:ascii="仿宋" w:hAnsi="仿宋" w:eastAsia="仿宋" w:cs="仿宋"/>
                <w:b/>
                <w:sz w:val="28"/>
                <w:szCs w:val="28"/>
                <w:highlight w:val="none"/>
              </w:rPr>
            </w:pPr>
            <w:bookmarkStart w:id="51" w:name="_Toc18609"/>
            <w:bookmarkStart w:id="52" w:name="_Toc566"/>
            <w:bookmarkStart w:id="53" w:name="_Toc7568"/>
            <w:bookmarkStart w:id="54" w:name="_Toc16593"/>
            <w:bookmarkStart w:id="55" w:name="_Toc29661"/>
            <w:bookmarkStart w:id="56" w:name="_Toc7690"/>
            <w:bookmarkStart w:id="57" w:name="_Toc11892"/>
            <w:r>
              <w:rPr>
                <w:rFonts w:hint="eastAsia" w:ascii="仿宋" w:hAnsi="仿宋" w:eastAsia="仿宋" w:cs="仿宋"/>
                <w:b/>
                <w:sz w:val="28"/>
                <w:szCs w:val="28"/>
                <w:highlight w:val="none"/>
              </w:rPr>
              <w:t>说明与要求</w:t>
            </w:r>
            <w:bookmarkEnd w:id="51"/>
            <w:bookmarkEnd w:id="52"/>
            <w:bookmarkEnd w:id="53"/>
            <w:bookmarkEnd w:id="54"/>
            <w:bookmarkEnd w:id="55"/>
            <w:bookmarkEnd w:id="5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7019" w:type="dxa"/>
            <w:vAlign w:val="center"/>
          </w:tcPr>
          <w:p>
            <w:pPr>
              <w:pStyle w:val="44"/>
              <w:keepNext/>
              <w:widowControl/>
              <w:topLinePunct/>
              <w:spacing w:before="0" w:line="500" w:lineRule="exact"/>
              <w:rPr>
                <w:rFonts w:hint="default" w:ascii="仿宋" w:hAnsi="仿宋" w:eastAsia="仿宋" w:cs="仿宋"/>
                <w:b w:val="0"/>
                <w:kern w:val="2"/>
                <w:sz w:val="28"/>
                <w:szCs w:val="28"/>
                <w:highlight w:val="none"/>
                <w:lang w:val="en-US" w:eastAsia="zh-CN"/>
              </w:rPr>
            </w:pPr>
            <w:r>
              <w:rPr>
                <w:rFonts w:hint="eastAsia" w:ascii="仿宋" w:hAnsi="仿宋" w:eastAsia="仿宋" w:cs="仿宋"/>
                <w:b w:val="0"/>
                <w:kern w:val="2"/>
                <w:sz w:val="28"/>
                <w:szCs w:val="28"/>
                <w:highlight w:val="none"/>
                <w:lang w:val="en-US" w:eastAsia="zh-CN"/>
              </w:rPr>
              <w:t>渭南市人民检察院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78"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7019" w:type="dxa"/>
            <w:vAlign w:val="center"/>
          </w:tcPr>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赵温馨</w:t>
            </w:r>
          </w:p>
          <w:p>
            <w:pPr>
              <w:keepNext/>
              <w:topLinePunct/>
              <w:spacing w:line="500" w:lineRule="exact"/>
              <w:rPr>
                <w:rFonts w:hint="eastAsia" w:ascii="仿宋" w:hAnsi="仿宋" w:eastAsia="仿宋" w:cs="仿宋"/>
                <w:bCs/>
                <w:sz w:val="28"/>
                <w:szCs w:val="28"/>
              </w:rPr>
            </w:pPr>
            <w:r>
              <w:rPr>
                <w:rFonts w:hint="eastAsia" w:ascii="仿宋" w:hAnsi="仿宋" w:eastAsia="仿宋" w:cs="仿宋"/>
                <w:bCs/>
                <w:sz w:val="28"/>
                <w:szCs w:val="28"/>
              </w:rPr>
              <w:t>029-82528801、029-89183511</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7019" w:type="dxa"/>
            <w:vAlign w:val="center"/>
          </w:tcPr>
          <w:p>
            <w:pPr>
              <w:pStyle w:val="44"/>
              <w:keepNext/>
              <w:widowControl/>
              <w:topLinePunct/>
              <w:spacing w:before="0" w:line="500" w:lineRule="exact"/>
              <w:jc w:val="both"/>
              <w:rPr>
                <w:rFonts w:hint="eastAsia" w:ascii="仿宋" w:hAnsi="仿宋" w:eastAsia="仿宋" w:cs="仿宋"/>
                <w:b w:val="0"/>
                <w:sz w:val="28"/>
                <w:szCs w:val="28"/>
                <w:highlight w:val="none"/>
                <w:lang w:eastAsia="zh-CN"/>
              </w:rPr>
            </w:pPr>
            <w:r>
              <w:rPr>
                <w:rFonts w:hint="eastAsia" w:ascii="仿宋" w:hAnsi="仿宋" w:eastAsia="仿宋" w:cs="仿宋"/>
                <w:b w:val="0"/>
                <w:sz w:val="28"/>
                <w:szCs w:val="28"/>
                <w:highlight w:val="none"/>
                <w:lang w:eastAsia="zh-CN"/>
              </w:rPr>
              <w:t>渭南市人民检察院办案区（北区）中央空调采购项目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7019" w:type="dxa"/>
            <w:vAlign w:val="center"/>
          </w:tcPr>
          <w:p>
            <w:pPr>
              <w:keepNext/>
              <w:topLinePunct/>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color w:val="auto"/>
                <w:sz w:val="28"/>
                <w:szCs w:val="28"/>
                <w:highlight w:val="none"/>
              </w:rPr>
              <w:t>ZCSP-</w:t>
            </w:r>
            <w:r>
              <w:rPr>
                <w:rFonts w:hint="eastAsia" w:ascii="仿宋" w:hAnsi="仿宋" w:eastAsia="仿宋" w:cs="仿宋"/>
                <w:color w:val="auto"/>
                <w:sz w:val="28"/>
                <w:szCs w:val="28"/>
                <w:highlight w:val="none"/>
                <w:lang w:eastAsia="zh-CN"/>
              </w:rPr>
              <w:t>渭南市</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0912</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WN</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78" w:type="dxa"/>
            <w:vAlign w:val="center"/>
          </w:tcPr>
          <w:p>
            <w:pPr>
              <w:keepNext/>
              <w:topLinePunct/>
              <w:spacing w:line="50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7019" w:type="dxa"/>
            <w:vAlign w:val="center"/>
          </w:tcPr>
          <w:p>
            <w:pPr>
              <w:keepNext/>
              <w:topLinePunct/>
              <w:spacing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中央空调，</w:t>
            </w:r>
            <w:r>
              <w:rPr>
                <w:rFonts w:hint="eastAsia" w:ascii="仿宋" w:hAnsi="仿宋" w:eastAsia="仿宋" w:cs="仿宋"/>
                <w:color w:val="auto"/>
                <w:sz w:val="28"/>
                <w:szCs w:val="28"/>
                <w:highlight w:val="none"/>
                <w:lang w:val="en-US" w:eastAsia="zh-CN"/>
              </w:rPr>
              <w:t>1批</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2078" w:type="dxa"/>
            <w:vAlign w:val="center"/>
          </w:tcPr>
          <w:p>
            <w:pPr>
              <w:keepNext/>
              <w:topLinePunct/>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核心产品</w:t>
            </w:r>
          </w:p>
        </w:tc>
        <w:tc>
          <w:tcPr>
            <w:tcW w:w="7019" w:type="dxa"/>
            <w:vAlign w:val="center"/>
          </w:tcPr>
          <w:p>
            <w:pPr>
              <w:keepNext/>
              <w:topLinePunct/>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7019" w:type="dxa"/>
            <w:vAlign w:val="center"/>
          </w:tcPr>
          <w:p>
            <w:pPr>
              <w:keepNext w:val="0"/>
              <w:keepLines w:val="0"/>
              <w:pageBreakBefore w:val="0"/>
              <w:widowControl/>
              <w:kinsoku/>
              <w:wordWrap/>
              <w:overflowPunct/>
              <w:topLinePunct w:val="0"/>
              <w:autoSpaceDE/>
              <w:autoSpaceDN/>
              <w:bidi w:val="0"/>
              <w:snapToGrid/>
              <w:spacing w:line="500" w:lineRule="exact"/>
              <w:jc w:val="left"/>
              <w:textAlignment w:val="auto"/>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人民币壹佰肆拾玖万壹仟玖佰元整（¥</w:t>
            </w:r>
            <w:r>
              <w:rPr>
                <w:rFonts w:hint="eastAsia" w:ascii="仿宋" w:hAnsi="仿宋" w:eastAsia="仿宋" w:cs="仿宋"/>
                <w:color w:val="000000"/>
                <w:kern w:val="0"/>
                <w:sz w:val="28"/>
                <w:szCs w:val="28"/>
                <w:highlight w:val="none"/>
                <w:lang w:val="en-US" w:eastAsia="zh-CN"/>
              </w:rPr>
              <w:t>1491900.00</w:t>
            </w:r>
            <w:r>
              <w:rPr>
                <w:rFonts w:hint="eastAsia" w:ascii="仿宋" w:hAnsi="仿宋" w:eastAsia="仿宋" w:cs="仿宋"/>
                <w:color w:val="000000"/>
                <w:kern w:val="0"/>
                <w:sz w:val="28"/>
                <w:szCs w:val="28"/>
                <w:highlight w:val="none"/>
                <w:lang w:val="zh-CN"/>
              </w:rPr>
              <w:t>元）</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rPr>
              <w:t>财政</w:t>
            </w:r>
            <w:r>
              <w:rPr>
                <w:rFonts w:hint="eastAsia" w:ascii="仿宋" w:hAnsi="仿宋" w:eastAsia="仿宋" w:cs="仿宋"/>
                <w:color w:val="000000"/>
                <w:kern w:val="0"/>
                <w:sz w:val="28"/>
                <w:szCs w:val="28"/>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招标文件发售时间、地点</w:t>
            </w:r>
          </w:p>
        </w:tc>
        <w:tc>
          <w:tcPr>
            <w:tcW w:w="7019"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08</w:t>
            </w:r>
            <w:r>
              <w:rPr>
                <w:rFonts w:hint="eastAsia" w:ascii="仿宋" w:hAnsi="仿宋" w:eastAsia="仿宋" w:cs="仿宋"/>
                <w:kern w:val="0"/>
                <w:sz w:val="28"/>
                <w:szCs w:val="28"/>
                <w:highlight w:val="none"/>
              </w:rPr>
              <w:t>日至202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上午：9:00-11:30，下午：14:00-17:00（双休日及法定节假日除外）</w:t>
            </w:r>
          </w:p>
          <w:p>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地点：</w:t>
            </w:r>
            <w:r>
              <w:rPr>
                <w:rFonts w:hint="eastAsia" w:ascii="仿宋" w:hAnsi="仿宋" w:eastAsia="仿宋" w:cs="仿宋"/>
                <w:color w:val="auto"/>
                <w:kern w:val="0"/>
                <w:sz w:val="28"/>
                <w:szCs w:val="28"/>
                <w:highlight w:val="none"/>
              </w:rPr>
              <w:t>西安市高新区科技二路71号竹园天寰国际14层1404室</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招标文件售价：每套500元（人民币），售后不退。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7019" w:type="dxa"/>
            <w:vAlign w:val="center"/>
          </w:tcPr>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保证金：人民币</w:t>
            </w:r>
            <w:r>
              <w:rPr>
                <w:rFonts w:hint="eastAsia" w:ascii="仿宋" w:hAnsi="仿宋" w:eastAsia="仿宋" w:cs="仿宋"/>
                <w:sz w:val="28"/>
                <w:szCs w:val="28"/>
                <w:highlight w:val="none"/>
                <w:lang w:eastAsia="zh-CN"/>
              </w:rPr>
              <w:t>壹万元整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10000.00</w:t>
            </w:r>
            <w:r>
              <w:rPr>
                <w:rFonts w:hint="eastAsia" w:ascii="仿宋" w:hAnsi="仿宋" w:eastAsia="仿宋" w:cs="仿宋"/>
                <w:sz w:val="28"/>
                <w:szCs w:val="28"/>
                <w:highlight w:val="none"/>
              </w:rPr>
              <w:t>元）</w:t>
            </w:r>
          </w:p>
          <w:p>
            <w:pPr>
              <w:keepNext/>
              <w:keepLines/>
              <w:kinsoku w:val="0"/>
              <w:overflowPunct w:val="0"/>
              <w:topLinePunct/>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支付方式：转账、支票、本票、电汇或金融机构、担保机构出具的保函。</w:t>
            </w:r>
          </w:p>
          <w:p>
            <w:pPr>
              <w:pStyle w:val="45"/>
              <w:keepNext/>
              <w:keepLines/>
              <w:kinsoku w:val="0"/>
              <w:overflowPunct w:val="0"/>
              <w:topLinePunct/>
              <w:autoSpaceDE w:val="0"/>
              <w:autoSpaceDN w:val="0"/>
              <w:spacing w:line="500" w:lineRule="exact"/>
              <w:ind w:firstLine="0" w:firstLineChars="0"/>
              <w:rPr>
                <w:rFonts w:ascii="仿宋" w:hAnsi="仿宋" w:cs="仿宋"/>
                <w:b w:val="0"/>
                <w:bCs w:val="0"/>
                <w:color w:val="auto"/>
                <w:szCs w:val="28"/>
                <w:highlight w:val="none"/>
              </w:rPr>
            </w:pPr>
            <w:r>
              <w:rPr>
                <w:rFonts w:ascii="仿宋" w:hAnsi="仿宋" w:cs="仿宋"/>
                <w:color w:val="auto"/>
                <w:szCs w:val="28"/>
                <w:highlight w:val="none"/>
              </w:rPr>
              <w:t>请</w:t>
            </w:r>
            <w:r>
              <w:rPr>
                <w:rFonts w:ascii="仿宋" w:hAnsi="仿宋" w:cs="仿宋"/>
                <w:b w:val="0"/>
                <w:bCs w:val="0"/>
                <w:color w:val="auto"/>
                <w:szCs w:val="28"/>
                <w:highlight w:val="none"/>
              </w:rPr>
              <w:t>供应商严格按照招标文件规定的形式交纳保证金，本项目不接受其他形式的保证金。</w:t>
            </w:r>
          </w:p>
          <w:p>
            <w:pPr>
              <w:pStyle w:val="12"/>
              <w:pageBreakBefore w:val="0"/>
              <w:widowControl w:val="0"/>
              <w:wordWrap/>
              <w:bidi w:val="0"/>
              <w:adjustRightInd/>
              <w:snapToGrid/>
              <w:spacing w:after="0" w:line="500" w:lineRule="exact"/>
              <w:textAlignment w:val="auto"/>
              <w:rPr>
                <w:rFonts w:hint="default" w:ascii="仿宋" w:hAnsi="仿宋" w:cs="仿宋"/>
                <w:szCs w:val="28"/>
                <w:highlight w:val="none"/>
              </w:rPr>
            </w:pPr>
            <w:r>
              <w:rPr>
                <w:rFonts w:ascii="仿宋" w:hAnsi="仿宋" w:cs="仿宋"/>
                <w:b w:val="0"/>
                <w:bCs w:val="0"/>
                <w:color w:val="auto"/>
                <w:sz w:val="28"/>
                <w:szCs w:val="28"/>
                <w:highlight w:val="none"/>
                <w:lang w:val="zh-CN"/>
              </w:rPr>
              <w:t>以保函形式提交的必须是陕西省财政厅认定的具</w:t>
            </w:r>
            <w:r>
              <w:rPr>
                <w:rFonts w:ascii="仿宋" w:hAnsi="仿宋" w:cs="仿宋"/>
                <w:color w:val="auto"/>
                <w:sz w:val="28"/>
                <w:szCs w:val="28"/>
                <w:highlight w:val="none"/>
                <w:lang w:val="zh-CN"/>
              </w:rPr>
              <w:t>有开具保函资格的单位开具的保函</w:t>
            </w:r>
            <w:r>
              <w:rPr>
                <w:rFonts w:hint="eastAsia" w:ascii="仿宋" w:hAnsi="仿宋" w:cs="仿宋"/>
                <w:color w:val="auto"/>
                <w:sz w:val="28"/>
                <w:szCs w:val="28"/>
                <w:highlight w:val="none"/>
                <w:lang w:val="zh-CN"/>
              </w:rPr>
              <w:t>，且供应商须在开标前至采购代理机构</w:t>
            </w:r>
            <w:r>
              <w:rPr>
                <w:rFonts w:hint="eastAsia" w:ascii="仿宋" w:hAnsi="仿宋" w:eastAsia="仿宋" w:cs="仿宋"/>
                <w:b w:val="0"/>
                <w:bCs w:val="0"/>
                <w:color w:val="auto"/>
                <w:kern w:val="0"/>
                <w:sz w:val="28"/>
                <w:szCs w:val="28"/>
                <w:highlight w:val="none"/>
                <w:lang w:val="en-US" w:eastAsia="zh-CN" w:bidi="ar-SA"/>
              </w:rPr>
              <w:t>办理投标保证金收款凭证</w:t>
            </w:r>
            <w:r>
              <w:rPr>
                <w:rFonts w:hint="eastAsia" w:ascii="仿宋" w:hAnsi="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并在投标文件中附收款凭证复印件。此凭证是证明投标保证金交纳的唯一凭证。</w:t>
            </w:r>
          </w:p>
          <w:p>
            <w:pPr>
              <w:keepNext/>
              <w:keepLines/>
              <w:kinsoku w:val="0"/>
              <w:overflowPunct w:val="0"/>
              <w:topLinePunct/>
              <w:autoSpaceDE w:val="0"/>
              <w:autoSpaceDN w:val="0"/>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eastAsia="zh-CN"/>
              </w:rPr>
              <w:t>”</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保证金开户名称：西安欣华联建工程咨询有限公司</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开户银行：西安银行软件园支行</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账    号：9120</w:t>
            </w:r>
            <w:r>
              <w:rPr>
                <w:rFonts w:hint="eastAsia" w:ascii="仿宋" w:hAnsi="仿宋" w:eastAsia="仿宋" w:cs="仿宋"/>
                <w:sz w:val="28"/>
                <w:szCs w:val="28"/>
                <w:highlight w:val="none"/>
                <w:lang w:eastAsia="zh-CN"/>
              </w:rPr>
              <w:t>11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80000191348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投标文件递交截止时间及开标时间和地点</w:t>
            </w:r>
          </w:p>
        </w:tc>
        <w:tc>
          <w:tcPr>
            <w:tcW w:w="7019" w:type="dxa"/>
            <w:vAlign w:val="center"/>
          </w:tcPr>
          <w:p>
            <w:pPr>
              <w:widowControl/>
              <w:spacing w:line="500" w:lineRule="exact"/>
              <w:jc w:val="left"/>
              <w:rPr>
                <w:rFonts w:hint="default"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文件递交时间：</w:t>
            </w: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0-</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文件递交截止时间：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w:t>
            </w:r>
            <w:r>
              <w:rPr>
                <w:rFonts w:hint="eastAsia" w:ascii="仿宋" w:hAnsi="仿宋" w:eastAsia="仿宋" w:cs="仿宋"/>
                <w:kern w:val="0"/>
                <w:sz w:val="28"/>
                <w:szCs w:val="28"/>
                <w:highlight w:val="none"/>
              </w:rPr>
              <w:t>0</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TW"/>
              </w:rPr>
              <w:t>开标时间：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w:t>
            </w:r>
            <w:r>
              <w:rPr>
                <w:rFonts w:hint="eastAsia" w:ascii="仿宋" w:hAnsi="仿宋" w:eastAsia="仿宋" w:cs="仿宋"/>
                <w:kern w:val="0"/>
                <w:sz w:val="28"/>
                <w:szCs w:val="28"/>
                <w:highlight w:val="none"/>
              </w:rPr>
              <w:t>0</w:t>
            </w:r>
          </w:p>
          <w:p>
            <w:pPr>
              <w:pStyle w:val="24"/>
              <w:widowControl/>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TW"/>
              </w:rPr>
              <w:t>开标地点：渭南市行政中心西配楼开标室</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w:t>
            </w:r>
            <w:r>
              <w:rPr>
                <w:rFonts w:hint="eastAsia" w:ascii="仿宋" w:hAnsi="仿宋" w:eastAsia="仿宋" w:cs="仿宋"/>
                <w:b/>
                <w:bCs/>
                <w:sz w:val="28"/>
                <w:szCs w:val="28"/>
                <w:highlight w:val="none"/>
              </w:rPr>
              <w:t>邀请所有提交投标文件的供应商参加招标会议，</w:t>
            </w:r>
            <w:r>
              <w:rPr>
                <w:rFonts w:hint="eastAsia" w:ascii="仿宋" w:hAnsi="仿宋" w:eastAsia="仿宋" w:cs="仿宋"/>
                <w:b/>
                <w:bCs/>
                <w:sz w:val="28"/>
                <w:szCs w:val="28"/>
                <w:highlight w:val="none"/>
                <w:lang w:val="zh-TW"/>
              </w:rPr>
              <w:t>逾期送达的投标文件，采购代理机构拒收。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p>
        </w:tc>
        <w:tc>
          <w:tcPr>
            <w:tcW w:w="2078" w:type="dxa"/>
            <w:vAlign w:val="center"/>
          </w:tcPr>
          <w:p>
            <w:pPr>
              <w:keepNext/>
              <w:topLinePunct/>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份数</w:t>
            </w:r>
          </w:p>
        </w:tc>
        <w:tc>
          <w:tcPr>
            <w:tcW w:w="7019" w:type="dxa"/>
            <w:vAlign w:val="center"/>
          </w:tcPr>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商务及技术标：“正本”1份，“副本”3份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pPr>
              <w:keepLines/>
              <w:wordWrap w:val="0"/>
              <w:topLinePunct/>
              <w:spacing w:line="500" w:lineRule="exact"/>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2078" w:type="dxa"/>
            <w:vAlign w:val="center"/>
          </w:tcPr>
          <w:p>
            <w:pPr>
              <w:keepLines/>
              <w:pageBreakBefore w:val="0"/>
              <w:wordWrap w:val="0"/>
              <w:overflowPunct/>
              <w:topLinePunct/>
              <w:autoSpaceDE/>
              <w:autoSpaceDN/>
              <w:bidi w:val="0"/>
              <w:spacing w:line="50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w:t>
            </w:r>
          </w:p>
          <w:p>
            <w:pPr>
              <w:keepLines/>
              <w:pageBreakBefore w:val="0"/>
              <w:wordWrap w:val="0"/>
              <w:overflowPunct/>
              <w:topLinePunct/>
              <w:autoSpaceDE/>
              <w:autoSpaceDN/>
              <w:bidi w:val="0"/>
              <w:spacing w:line="5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密封</w:t>
            </w:r>
          </w:p>
        </w:tc>
        <w:tc>
          <w:tcPr>
            <w:tcW w:w="7019" w:type="dxa"/>
            <w:vAlign w:val="center"/>
          </w:tcPr>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r>
              <w:rPr>
                <w:rFonts w:hint="eastAsia" w:ascii="仿宋" w:hAnsi="仿宋" w:eastAsia="仿宋" w:cs="仿宋"/>
                <w:sz w:val="28"/>
                <w:szCs w:val="28"/>
                <w:highlight w:val="none"/>
                <w:lang w:eastAsia="zh-CN"/>
              </w:rPr>
              <w:t>。</w:t>
            </w:r>
          </w:p>
          <w:p>
            <w:pPr>
              <w:pStyle w:val="62"/>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hint="eastAsia" w:ascii="仿宋" w:hAnsi="仿宋" w:eastAsia="仿宋" w:cs="仿宋"/>
                <w:b/>
                <w:kern w:val="0"/>
                <w:sz w:val="28"/>
                <w:szCs w:val="28"/>
                <w:highlight w:val="none"/>
                <w:lang w:val="zh-TW" w:eastAsia="zh-CN" w:bidi="ar-SA"/>
              </w:rPr>
            </w:pPr>
            <w:bookmarkStart w:id="58" w:name="_Toc23536"/>
            <w:bookmarkStart w:id="59" w:name="_Toc10588"/>
            <w:bookmarkStart w:id="60" w:name="_Toc7230"/>
            <w:r>
              <w:rPr>
                <w:rFonts w:hint="eastAsia" w:cs="仿宋"/>
                <w:b w:val="0"/>
                <w:bCs/>
                <w:szCs w:val="28"/>
                <w:highlight w:val="none"/>
                <w:lang w:val="en-US"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hint="eastAsia" w:cs="仿宋"/>
                <w:b w:val="0"/>
                <w:bCs/>
                <w:szCs w:val="28"/>
                <w:highlight w:val="none"/>
              </w:rPr>
              <w:t>法定代表人</w:t>
            </w:r>
            <w:r>
              <w:rPr>
                <w:rFonts w:cs="仿宋"/>
                <w:b w:val="0"/>
                <w:bCs/>
                <w:szCs w:val="28"/>
                <w:highlight w:val="none"/>
              </w:rPr>
              <w:t>或被授权委托人签字或盖章</w:t>
            </w:r>
            <w:r>
              <w:rPr>
                <w:rFonts w:hint="eastAsia" w:cs="仿宋"/>
                <w:b w:val="0"/>
                <w:bCs/>
                <w:szCs w:val="28"/>
                <w:highlight w:val="none"/>
                <w:lang w:eastAsia="zh-CN"/>
              </w:rPr>
              <w:t>。</w:t>
            </w:r>
            <w:bookmarkEnd w:id="58"/>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2078"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密封袋（箱）</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rPr>
              <w:t>上写明</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项目编号：</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供应商全称（并加盖单位公章）：</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在202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2078" w:type="dxa"/>
            <w:vAlign w:val="center"/>
          </w:tcPr>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投标有效期</w:t>
            </w:r>
          </w:p>
        </w:tc>
        <w:tc>
          <w:tcPr>
            <w:tcW w:w="7019" w:type="dxa"/>
            <w:vAlign w:val="center"/>
          </w:tcPr>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90日历日（从提交投标文件的截止之日起）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2078" w:type="dxa"/>
            <w:vAlign w:val="center"/>
          </w:tcPr>
          <w:p>
            <w:pPr>
              <w:pageBreakBefore w:val="0"/>
              <w:wordWrap/>
              <w:bidi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整个项目</w:t>
            </w:r>
          </w:p>
          <w:p>
            <w:pPr>
              <w:pageBreakBefore w:val="0"/>
              <w:wordWrap/>
              <w:bidi w:val="0"/>
              <w:spacing w:line="500" w:lineRule="exact"/>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完成期限</w:t>
            </w:r>
          </w:p>
        </w:tc>
        <w:tc>
          <w:tcPr>
            <w:tcW w:w="7019" w:type="dxa"/>
            <w:vAlign w:val="center"/>
          </w:tcPr>
          <w:p>
            <w:pPr>
              <w:pageBreakBefore w:val="0"/>
              <w:wordWrap/>
              <w:bidi w:val="0"/>
              <w:spacing w:line="500" w:lineRule="exact"/>
              <w:textAlignment w:val="auto"/>
              <w:rPr>
                <w:rFonts w:hint="default" w:ascii="仿宋" w:hAnsi="仿宋" w:eastAsia="仿宋" w:cs="仿宋"/>
                <w:kern w:val="0"/>
                <w:sz w:val="28"/>
                <w:szCs w:val="28"/>
                <w:highlight w:val="none"/>
                <w:lang w:val="en-US" w:eastAsia="zh-CN" w:bidi="ar-SA"/>
              </w:rPr>
            </w:pPr>
            <w:r>
              <w:rPr>
                <w:rFonts w:hint="eastAsia" w:ascii="仿宋" w:hAnsi="仿宋" w:eastAsia="仿宋" w:cs="仿宋"/>
                <w:b w:val="0"/>
                <w:bCs w:val="0"/>
                <w:sz w:val="28"/>
                <w:szCs w:val="28"/>
                <w:lang w:val="en-US" w:eastAsia="zh-CN"/>
              </w:rPr>
              <w:t>合同签订生效后10个日历日内交货完毕、安装调试完成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评审方法</w:t>
            </w:r>
          </w:p>
        </w:tc>
        <w:tc>
          <w:tcPr>
            <w:tcW w:w="7019" w:type="dxa"/>
            <w:vAlign w:val="center"/>
          </w:tcPr>
          <w:p>
            <w:pPr>
              <w:keepNext/>
              <w:topLinePunct/>
              <w:spacing w:line="50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综合评分法,详见评分标准及办法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2078" w:type="dxa"/>
            <w:vAlign w:val="center"/>
          </w:tcPr>
          <w:p>
            <w:pPr>
              <w:keepNext/>
              <w:topLinePunct/>
              <w:spacing w:line="500" w:lineRule="exact"/>
              <w:jc w:val="center"/>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资格要求</w:t>
            </w:r>
          </w:p>
        </w:tc>
        <w:tc>
          <w:tcPr>
            <w:tcW w:w="7019" w:type="dxa"/>
          </w:tcPr>
          <w:p>
            <w:pPr>
              <w:pStyle w:val="2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rPr>
              <w:t>满足《中华人民共和国政府采购法》第二十二条规定；</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2、本项目的特定资格要求：</w:t>
            </w:r>
            <w:r>
              <w:rPr>
                <w:rFonts w:hint="eastAsia" w:ascii="仿宋" w:hAnsi="仿宋" w:eastAsia="仿宋" w:cs="仿宋"/>
                <w:sz w:val="28"/>
                <w:szCs w:val="28"/>
                <w:highlight w:val="none"/>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（2）法定代表人授权委托书（附法定代表人身份证复印件）及被授权委托人身份证（法定代表人参加投标只须提供法定代表人身份证）；</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（3）提供2022年度经审计的财务报告或开标前六个月内其基本账户银行出具的资信证明或财政部门认可的政府采购专业担保机构出具的担保函；</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（4）提供2023年1月以来任意3个月依法缴纳税收和社会保险的相关证明材料；注：依法免税或不需要缴纳社会保险的供应商提供相关部门出具的证明文件</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（5）提供具有履行合同所必需的设备和专业技术能力的承诺；</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（6）提供参加政府采购活动前3年内在经营活动中没有重大违法记录的书面声明；</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（7）投标保证金交纳凭证；</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lang w:eastAsia="zh-CN"/>
              </w:rPr>
              <w:t>）资质条件：</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9.1</w:t>
            </w:r>
            <w:r>
              <w:rPr>
                <w:rFonts w:hint="eastAsia" w:ascii="仿宋" w:hAnsi="仿宋" w:eastAsia="仿宋" w:cs="仿宋"/>
                <w:b w:val="0"/>
                <w:bCs w:val="0"/>
                <w:color w:val="auto"/>
                <w:kern w:val="0"/>
                <w:sz w:val="28"/>
                <w:szCs w:val="28"/>
                <w:highlight w:val="none"/>
                <w:lang w:eastAsia="zh-CN"/>
              </w:rPr>
              <w:t>）提供有效的建筑机电安装工程专业承包三级及以上资质；</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b w:val="0"/>
                <w:bCs w:val="0"/>
                <w:color w:val="auto"/>
                <w:kern w:val="0"/>
                <w:sz w:val="28"/>
                <w:szCs w:val="28"/>
                <w:highlight w:val="none"/>
                <w:lang w:eastAsia="zh-CN"/>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9.2</w:t>
            </w:r>
            <w:r>
              <w:rPr>
                <w:rFonts w:hint="eastAsia" w:ascii="仿宋" w:hAnsi="仿宋" w:eastAsia="仿宋" w:cs="仿宋"/>
                <w:b w:val="0"/>
                <w:bCs w:val="0"/>
                <w:color w:val="auto"/>
                <w:kern w:val="0"/>
                <w:sz w:val="28"/>
                <w:szCs w:val="28"/>
                <w:highlight w:val="none"/>
                <w:lang w:eastAsia="zh-CN"/>
              </w:rPr>
              <w:t>）提供有效的施工企业安全生产许可证；</w:t>
            </w:r>
          </w:p>
          <w:p>
            <w:pPr>
              <w:pStyle w:val="24"/>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9.3</w:t>
            </w:r>
            <w:r>
              <w:rPr>
                <w:rFonts w:hint="eastAsia" w:ascii="仿宋" w:hAnsi="仿宋" w:eastAsia="仿宋" w:cs="仿宋"/>
                <w:b w:val="0"/>
                <w:bCs w:val="0"/>
                <w:color w:val="auto"/>
                <w:kern w:val="0"/>
                <w:sz w:val="28"/>
                <w:szCs w:val="28"/>
                <w:highlight w:val="none"/>
                <w:lang w:eastAsia="zh-CN"/>
              </w:rPr>
              <w:t>）项目经理须具备机电工程专业二级及以上注册建造师证书，有效的安全生产考核合格证书（建安B证），提供无在建项目承诺。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7019" w:type="dxa"/>
            <w:vAlign w:val="center"/>
          </w:tcPr>
          <w:p>
            <w:pPr>
              <w:keepNext/>
              <w:widowControl/>
              <w:topLinePunct/>
              <w:spacing w:line="500" w:lineRule="exact"/>
              <w:jc w:val="left"/>
              <w:rPr>
                <w:rFonts w:hint="eastAsia" w:ascii="仿宋" w:hAnsi="仿宋" w:eastAsia="仿宋" w:cs="仿宋"/>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合同签订后支付合同总金额的30%；安装调试完成并验收合格后支付合同总金额的60%；试运行三个月无质量问题后支付剩余的10%。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7019" w:type="dxa"/>
            <w:vAlign w:val="center"/>
          </w:tcPr>
          <w:p>
            <w:pPr>
              <w:spacing w:line="500" w:lineRule="exact"/>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验收合格之日起提供18个月</w:t>
            </w:r>
            <w:r>
              <w:rPr>
                <w:rFonts w:hint="default" w:ascii="仿宋" w:hAnsi="仿宋" w:eastAsia="仿宋" w:cs="仿宋"/>
                <w:color w:val="000000"/>
                <w:kern w:val="0"/>
                <w:sz w:val="28"/>
                <w:szCs w:val="28"/>
                <w:highlight w:val="none"/>
                <w:lang w:val="en-US"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代理服务费</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由中标供应商支付代理服务费，代理服务费参照</w:t>
            </w:r>
            <w:r>
              <w:rPr>
                <w:rFonts w:hint="eastAsia" w:ascii="仿宋" w:hAnsi="仿宋" w:eastAsia="仿宋" w:cs="仿宋"/>
                <w:bCs/>
                <w:sz w:val="28"/>
                <w:szCs w:val="28"/>
                <w:highlight w:val="none"/>
                <w:lang w:bidi="ar"/>
              </w:rPr>
              <w:t>《国家计委关于印发&lt;招标代理服务收费管理暂行办法&gt;的通知》（计价格〔2002〕1980号）</w:t>
            </w:r>
            <w:r>
              <w:rPr>
                <w:rFonts w:hint="eastAsia" w:ascii="仿宋" w:hAnsi="仿宋" w:eastAsia="仿宋" w:cs="仿宋"/>
                <w:sz w:val="28"/>
                <w:szCs w:val="28"/>
                <w:highlight w:val="none"/>
              </w:rPr>
              <w:t>、《国家发展改革委员会办公厅关于招标代理服务收费有关问题的通知》（发改办价格〔2003〕857号）</w:t>
            </w:r>
            <w:r>
              <w:rPr>
                <w:rFonts w:hint="eastAsia" w:ascii="仿宋" w:hAnsi="仿宋" w:eastAsia="仿宋" w:cs="仿宋"/>
                <w:bCs/>
                <w:sz w:val="28"/>
                <w:szCs w:val="28"/>
                <w:highlight w:val="none"/>
                <w:lang w:bidi="ar"/>
              </w:rPr>
              <w:t>的规定标准执行，按差额定率累进法收取费用，100万以下按1.5%收取，100万-500万按</w:t>
            </w:r>
            <w:r>
              <w:rPr>
                <w:rFonts w:hint="eastAsia" w:ascii="仿宋" w:hAnsi="仿宋" w:eastAsia="仿宋" w:cs="仿宋"/>
                <w:bCs/>
                <w:sz w:val="28"/>
                <w:szCs w:val="28"/>
                <w:highlight w:val="none"/>
                <w:lang w:val="en-US" w:eastAsia="zh-CN" w:bidi="ar"/>
              </w:rPr>
              <w:t>1.1</w:t>
            </w:r>
            <w:r>
              <w:rPr>
                <w:rFonts w:hint="eastAsia" w:ascii="仿宋" w:hAnsi="仿宋" w:eastAsia="仿宋" w:cs="仿宋"/>
                <w:bCs/>
                <w:sz w:val="28"/>
                <w:szCs w:val="28"/>
                <w:highlight w:val="none"/>
                <w:lang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bookmarkStart w:id="61" w:name="_Toc20403"/>
            <w:bookmarkStart w:id="62" w:name="_Toc1654_WPSOffice_Level1"/>
            <w:bookmarkStart w:id="63" w:name="_Toc421604325"/>
            <w:bookmarkStart w:id="64" w:name="_Toc24383"/>
            <w:bookmarkStart w:id="65" w:name="_Toc24084"/>
            <w:bookmarkStart w:id="66" w:name="_Toc513029203"/>
            <w:bookmarkStart w:id="67" w:name="_Toc120614214"/>
            <w:bookmarkStart w:id="68" w:name="_Toc421604326"/>
            <w:bookmarkStart w:id="69" w:name="_Toc403987205"/>
            <w:bookmarkStart w:id="70" w:name="_Toc16938519"/>
            <w:bookmarkStart w:id="71" w:name="_Toc20823275"/>
            <w:r>
              <w:rPr>
                <w:rFonts w:hint="eastAsia" w:ascii="仿宋" w:hAnsi="仿宋" w:eastAsia="仿宋" w:cs="仿宋"/>
                <w:sz w:val="28"/>
                <w:szCs w:val="28"/>
                <w:highlight w:val="none"/>
                <w:lang w:val="en-US" w:eastAsia="zh-CN"/>
              </w:rPr>
              <w:t>21</w:t>
            </w:r>
          </w:p>
        </w:tc>
        <w:tc>
          <w:tcPr>
            <w:tcW w:w="2078"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lang w:val="en-US" w:eastAsia="zh-CN"/>
              </w:rPr>
              <w:t>联合体投标</w:t>
            </w:r>
          </w:p>
        </w:tc>
        <w:tc>
          <w:tcPr>
            <w:tcW w:w="7019" w:type="dxa"/>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仿宋" w:hAnsi="仿宋" w:eastAsia="仿宋" w:cs="仿宋"/>
                <w:szCs w:val="28"/>
                <w:highlight w:val="none"/>
              </w:rPr>
            </w:pPr>
            <w:r>
              <w:rPr>
                <w:rFonts w:hint="eastAsia" w:ascii="仿宋" w:hAnsi="仿宋" w:eastAsia="仿宋" w:cs="仿宋"/>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Cs/>
                <w:sz w:val="28"/>
                <w:szCs w:val="28"/>
                <w:highlight w:val="none"/>
              </w:rPr>
              <w:t>是否专门面向中小企业</w:t>
            </w:r>
            <w:r>
              <w:rPr>
                <w:rFonts w:hint="eastAsia" w:ascii="仿宋" w:hAnsi="仿宋" w:eastAsia="仿宋" w:cs="仿宋"/>
                <w:bCs/>
                <w:sz w:val="28"/>
                <w:szCs w:val="28"/>
                <w:highlight w:val="none"/>
                <w:lang w:eastAsia="zh-CN"/>
              </w:rPr>
              <w:t>采购</w:t>
            </w:r>
          </w:p>
        </w:tc>
        <w:tc>
          <w:tcPr>
            <w:tcW w:w="7019" w:type="dxa"/>
            <w:vAlign w:val="center"/>
          </w:tcPr>
          <w:p>
            <w:pPr>
              <w:keepLines/>
              <w:wordWrap w:val="0"/>
              <w:topLinePunct/>
              <w:spacing w:line="500" w:lineRule="exact"/>
              <w:rPr>
                <w:rFonts w:ascii="仿宋" w:hAnsi="仿宋" w:eastAsia="仿宋" w:cs="仿宋"/>
                <w:szCs w:val="28"/>
                <w:highlight w:val="none"/>
              </w:rPr>
            </w:pPr>
            <w:r>
              <w:rPr>
                <w:rFonts w:hint="eastAsia" w:ascii="仿宋" w:hAnsi="仿宋" w:eastAsia="仿宋" w:cs="仿宋"/>
                <w:sz w:val="28"/>
                <w:szCs w:val="2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是否提交</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7019" w:type="dxa"/>
            <w:vAlign w:val="center"/>
          </w:tcPr>
          <w:p>
            <w:pPr>
              <w:pStyle w:val="23"/>
              <w:spacing w:line="500" w:lineRule="exact"/>
              <w:rPr>
                <w:rFonts w:ascii="仿宋" w:hAnsi="仿宋" w:eastAsia="仿宋" w:cs="仿宋"/>
                <w:szCs w:val="28"/>
                <w:highlight w:val="none"/>
              </w:rPr>
            </w:pPr>
            <w:r>
              <w:rPr>
                <w:rFonts w:hint="eastAsia" w:ascii="仿宋" w:hAnsi="仿宋" w:eastAsia="仿宋" w:cs="仿宋"/>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采购标的对应的中小企业划分标准所属行业</w:t>
            </w:r>
          </w:p>
        </w:tc>
        <w:tc>
          <w:tcPr>
            <w:tcW w:w="7019" w:type="dxa"/>
            <w:vAlign w:val="center"/>
          </w:tcPr>
          <w:p>
            <w:pPr>
              <w:pStyle w:val="23"/>
              <w:spacing w:line="500" w:lineRule="exact"/>
              <w:jc w:val="both"/>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工业</w:t>
            </w:r>
          </w:p>
          <w:p>
            <w:pPr>
              <w:pStyle w:val="23"/>
              <w:spacing w:line="500" w:lineRule="exact"/>
              <w:jc w:val="both"/>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color w:val="auto"/>
                <w:szCs w:val="28"/>
                <w:highlight w:val="none"/>
                <w:lang w:eastAsia="zh-CN"/>
              </w:rPr>
              <w:t>参照《关于印发中小企业划型标准规定的通知》</w:t>
            </w:r>
            <w:r>
              <w:rPr>
                <w:rFonts w:hint="eastAsia" w:ascii="仿宋" w:hAnsi="仿宋" w:eastAsia="仿宋" w:cs="仿宋"/>
                <w:kern w:val="2"/>
                <w:sz w:val="28"/>
                <w:szCs w:val="28"/>
                <w:highlight w:val="none"/>
                <w:lang w:val="en-US" w:eastAsia="zh-CN" w:bidi="ar-SA"/>
              </w:rPr>
              <w:t>（</w:t>
            </w:r>
            <w:r>
              <w:rPr>
                <w:rFonts w:hint="eastAsia" w:ascii="仿宋" w:hAnsi="仿宋" w:eastAsia="仿宋" w:cs="仿宋"/>
                <w:color w:val="auto"/>
                <w:szCs w:val="28"/>
                <w:highlight w:val="none"/>
                <w:lang w:eastAsia="zh-CN"/>
              </w:rPr>
              <w:t>工信部联企业</w:t>
            </w:r>
            <w:r>
              <w:rPr>
                <w:rFonts w:hint="eastAsia" w:ascii="仿宋" w:hAnsi="仿宋" w:eastAsia="仿宋" w:cs="仿宋"/>
                <w:kern w:val="2"/>
                <w:sz w:val="28"/>
                <w:szCs w:val="28"/>
                <w:highlight w:val="none"/>
                <w:lang w:val="en-US" w:eastAsia="zh-CN" w:bidi="ar-SA"/>
              </w:rPr>
              <w:t>〔2011〕300号）文件标准划分。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信用担保和信用融资</w:t>
            </w:r>
          </w:p>
        </w:tc>
        <w:tc>
          <w:tcPr>
            <w:tcW w:w="7019" w:type="dxa"/>
            <w:vAlign w:val="center"/>
          </w:tcPr>
          <w:p>
            <w:pPr>
              <w:pStyle w:val="23"/>
              <w:spacing w:line="5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23"/>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ascii="仿宋" w:hAnsi="仿宋" w:eastAsia="仿宋" w:cs="仿宋"/>
                <w:szCs w:val="28"/>
                <w:highlight w:val="none"/>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信用信息查询</w:t>
            </w:r>
          </w:p>
        </w:tc>
        <w:tc>
          <w:tcPr>
            <w:tcW w:w="7019"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color w:val="auto"/>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、政府采购严重违法失信行为记录名单，其投标无效；采购代理机构将网站截图作为证据留存。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其他未尽事宜</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按照《中华人民共和国政府采购法》及相关法律法规执行。</w:t>
            </w:r>
          </w:p>
        </w:tc>
      </w:tr>
      <w:bookmarkEnd w:id="31"/>
      <w:bookmarkEnd w:id="32"/>
      <w:bookmarkEnd w:id="33"/>
      <w:bookmarkEnd w:id="34"/>
    </w:tbl>
    <w:p>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pPr>
        <w:pStyle w:val="2"/>
        <w:ind w:firstLine="3092" w:firstLineChars="700"/>
        <w:jc w:val="both"/>
        <w:rPr>
          <w:rFonts w:hint="default" w:ascii="仿宋" w:hAnsi="仿宋" w:eastAsia="仿宋" w:cs="仿宋"/>
          <w:sz w:val="44"/>
          <w:szCs w:val="44"/>
          <w:highlight w:val="none"/>
        </w:rPr>
      </w:pPr>
      <w:bookmarkStart w:id="72" w:name="_Toc23590"/>
      <w:r>
        <w:rPr>
          <w:rFonts w:ascii="仿宋" w:hAnsi="仿宋" w:eastAsia="仿宋" w:cs="仿宋"/>
          <w:sz w:val="44"/>
          <w:szCs w:val="44"/>
          <w:highlight w:val="none"/>
        </w:rPr>
        <w:t>第三章  供应商须知</w:t>
      </w:r>
      <w:bookmarkEnd w:id="61"/>
      <w:bookmarkEnd w:id="62"/>
      <w:bookmarkEnd w:id="63"/>
      <w:bookmarkEnd w:id="64"/>
      <w:bookmarkEnd w:id="65"/>
      <w:bookmarkEnd w:id="72"/>
    </w:p>
    <w:bookmarkEnd w:id="66"/>
    <w:bookmarkEnd w:id="67"/>
    <w:bookmarkEnd w:id="68"/>
    <w:bookmarkEnd w:id="69"/>
    <w:bookmarkEnd w:id="70"/>
    <w:bookmarkEnd w:id="71"/>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73" w:name="_Hlt16619475"/>
      <w:bookmarkEnd w:id="73"/>
      <w:bookmarkStart w:id="74" w:name="_Toc23412"/>
      <w:bookmarkStart w:id="75" w:name="_Toc421604327"/>
      <w:bookmarkStart w:id="76" w:name="_Toc15653"/>
      <w:bookmarkStart w:id="77" w:name="_Toc1532"/>
      <w:bookmarkStart w:id="78" w:name="_Toc4844"/>
      <w:bookmarkStart w:id="79" w:name="_Toc20465"/>
      <w:bookmarkStart w:id="80" w:name="_Toc26215"/>
      <w:bookmarkStart w:id="81" w:name="_Toc17068"/>
      <w:bookmarkStart w:id="82" w:name="_Toc11744"/>
      <w:bookmarkStart w:id="83" w:name="_Toc403987206"/>
      <w:bookmarkStart w:id="84" w:name="_Toc15003"/>
      <w:bookmarkStart w:id="85" w:name="_Toc12480"/>
      <w:bookmarkStart w:id="86" w:name="_Toc120614215"/>
      <w:bookmarkStart w:id="87" w:name="_Toc19750"/>
      <w:bookmarkStart w:id="88" w:name="_Toc513029209"/>
      <w:bookmarkStart w:id="89" w:name="_Toc20823281"/>
      <w:bookmarkStart w:id="90" w:name="_Toc2079"/>
      <w:bookmarkStart w:id="91" w:name="_Toc12607"/>
      <w:bookmarkStart w:id="92" w:name="_Toc31403"/>
      <w:bookmarkStart w:id="93" w:name="_Toc18417"/>
      <w:bookmarkStart w:id="94" w:name="_Toc12442"/>
      <w:bookmarkStart w:id="95" w:name="_Toc8649"/>
      <w:bookmarkStart w:id="96" w:name="_Toc22345"/>
      <w:bookmarkStart w:id="97" w:name="_Toc10080"/>
      <w:bookmarkStart w:id="98" w:name="_Toc990"/>
      <w:bookmarkStart w:id="99" w:name="_Toc22915"/>
      <w:bookmarkStart w:id="100" w:name="_Toc16938525"/>
      <w:r>
        <w:rPr>
          <w:rFonts w:hint="eastAsia" w:ascii="仿宋" w:hAnsi="仿宋" w:eastAsia="仿宋" w:cs="仿宋"/>
          <w:b/>
          <w:bCs/>
          <w:sz w:val="28"/>
          <w:szCs w:val="28"/>
          <w:highlight w:val="none"/>
        </w:rPr>
        <w:t>一、名词解释</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eastAsia" w:ascii="仿宋" w:hAnsi="仿宋" w:eastAsia="仿宋" w:cs="仿宋"/>
          <w:szCs w:val="28"/>
          <w:highlight w:val="none"/>
          <w:lang w:val="en-US" w:eastAsia="zh-CN"/>
        </w:rPr>
      </w:pPr>
      <w:r>
        <w:rPr>
          <w:rFonts w:ascii="仿宋" w:hAnsi="仿宋" w:cs="仿宋"/>
          <w:szCs w:val="28"/>
          <w:highlight w:val="none"/>
        </w:rPr>
        <w:t>1、采   购   人：</w:t>
      </w:r>
      <w:r>
        <w:rPr>
          <w:rFonts w:hint="eastAsia" w:ascii="仿宋" w:hAnsi="仿宋" w:cs="仿宋"/>
          <w:szCs w:val="28"/>
          <w:highlight w:val="none"/>
          <w:lang w:eastAsia="zh-CN"/>
        </w:rPr>
        <w:t>渭南市人民检察院</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2、采购管理机构：</w:t>
      </w:r>
      <w:r>
        <w:rPr>
          <w:rFonts w:hint="eastAsia" w:ascii="仿宋" w:hAnsi="仿宋" w:cs="仿宋"/>
          <w:color w:val="auto"/>
          <w:szCs w:val="28"/>
          <w:highlight w:val="none"/>
          <w:lang w:val="en-US" w:eastAsia="zh-CN"/>
        </w:rPr>
        <w:t>渭南市财政局</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3、采购代理机构：西安欣华联建工程咨询有限公司</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4、供   应   商：参加本次公开招标的供应商</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01" w:name="_Toc30676"/>
      <w:bookmarkStart w:id="102" w:name="_Toc120614216"/>
      <w:bookmarkStart w:id="103" w:name="_Toc3063"/>
      <w:bookmarkStart w:id="104" w:name="_Toc9916"/>
      <w:bookmarkStart w:id="105" w:name="_Toc13587"/>
      <w:bookmarkStart w:id="106" w:name="_Toc16941"/>
      <w:bookmarkStart w:id="107" w:name="_Toc513029213"/>
      <w:bookmarkStart w:id="108" w:name="_Toc19219"/>
      <w:bookmarkStart w:id="109" w:name="_Toc17271"/>
      <w:bookmarkStart w:id="110" w:name="_Toc421604328"/>
      <w:bookmarkStart w:id="111" w:name="_Toc22631"/>
      <w:bookmarkStart w:id="112" w:name="_Toc10059"/>
      <w:bookmarkStart w:id="113" w:name="_Toc403987207"/>
      <w:bookmarkStart w:id="114" w:name="_Toc26041"/>
      <w:bookmarkStart w:id="115" w:name="_Toc281"/>
      <w:bookmarkStart w:id="116" w:name="_Toc11939"/>
      <w:bookmarkStart w:id="117" w:name="_Toc16938529"/>
      <w:bookmarkStart w:id="118" w:name="_Toc17966"/>
      <w:bookmarkStart w:id="119" w:name="_Toc20823285"/>
      <w:bookmarkStart w:id="120" w:name="_Toc9523"/>
      <w:bookmarkStart w:id="121" w:name="_Toc462564072"/>
      <w:bookmarkStart w:id="122" w:name="_Toc9319"/>
      <w:bookmarkStart w:id="123" w:name="_Toc2709"/>
      <w:bookmarkStart w:id="124" w:name="_Toc5454"/>
      <w:bookmarkStart w:id="125" w:name="_Toc27354"/>
      <w:bookmarkStart w:id="126" w:name="_Toc25508"/>
      <w:bookmarkStart w:id="127" w:name="_Toc31727"/>
      <w:bookmarkStart w:id="128" w:name="_Toc23338"/>
      <w:r>
        <w:rPr>
          <w:rFonts w:hint="eastAsia" w:ascii="仿宋" w:hAnsi="仿宋" w:eastAsia="仿宋" w:cs="仿宋"/>
          <w:b/>
          <w:bCs/>
          <w:sz w:val="28"/>
          <w:szCs w:val="28"/>
          <w:highlight w:val="none"/>
        </w:rPr>
        <w:t>二、公开招标文件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1、招标文件的构成</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1.1要求提供的服务、货物、招标过程和合同条件在招标文件中均有说明；招标文件各章名称见目录。</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2、招标文件的澄清或者修改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2.1采购人或者采购代理机构可以对已发出的招标文件进行必要的澄清或者修改，澄清或者修改的内容为招标文件的组成部分；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澄清或者修改的内容可能影响投标文件编制的，采购人或者采购代理机构应当在投标截止时间至少15日前，以书面形式通知所有获取招标文件的潜在投标人；不足15日的，采购人或者采购代理机构应当根据项目实际情况决定是否顺延提交投标文件的截止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3、各供应商必须从采购代理机构购买招标文件，供应商自行转让或复制文件视为无效。招标文件一经售出，一律不退，仅作为本次招标使用。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4、本文件的解释权归采购人和采购代理机构。</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29" w:name="_Toc49090511"/>
      <w:bookmarkStart w:id="130" w:name="_Toc14577360"/>
      <w:r>
        <w:rPr>
          <w:rFonts w:hint="eastAsia" w:ascii="仿宋" w:hAnsi="仿宋" w:eastAsia="仿宋" w:cs="仿宋"/>
          <w:b/>
          <w:bCs/>
          <w:sz w:val="28"/>
          <w:szCs w:val="28"/>
          <w:highlight w:val="none"/>
        </w:rPr>
        <w:t>三、招标的内容要求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1、招标内容：</w:t>
      </w:r>
      <w:r>
        <w:rPr>
          <w:rFonts w:hint="eastAsia" w:ascii="仿宋" w:hAnsi="仿宋" w:eastAsia="仿宋" w:cs="仿宋"/>
          <w:sz w:val="28"/>
          <w:szCs w:val="28"/>
          <w:highlight w:val="none"/>
          <w:lang w:eastAsia="zh-CN"/>
        </w:rPr>
        <w:t>中央空调采购</w:t>
      </w:r>
      <w:r>
        <w:rPr>
          <w:rFonts w:hint="eastAsia" w:ascii="仿宋" w:hAnsi="仿宋" w:eastAsia="仿宋" w:cs="仿宋"/>
          <w:sz w:val="28"/>
          <w:szCs w:val="28"/>
          <w:highlight w:val="none"/>
        </w:rPr>
        <w:t>（详见第四章采购内容），供应商应对所有内容进行响应，不得在其中选项，否则按无效文件处理。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2、供应商资格：</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2.1满足《中华人民共和国政府采购法》第二十二条规定；</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2.2本项目的特定资格要求：</w:t>
      </w:r>
      <w:r>
        <w:rPr>
          <w:rFonts w:hint="eastAsia" w:ascii="仿宋" w:hAnsi="仿宋" w:eastAsia="仿宋" w:cs="仿宋"/>
          <w:sz w:val="28"/>
          <w:szCs w:val="28"/>
          <w:highlight w:val="none"/>
          <w:lang w:val="en-US" w:eastAsia="zh-CN"/>
        </w:rPr>
        <w:t>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提供具有履行合同所必需的设备和专业技术能力的承诺；</w:t>
      </w:r>
    </w:p>
    <w:p>
      <w:pPr>
        <w:pStyle w:val="24"/>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提供参加政府采购活动前3年内在经营活动中没有重大违法记录的书面声明；</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val="en-US" w:eastAsia="zh-CN"/>
        </w:rPr>
        <w:t>7）</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保证金交纳凭证</w:t>
      </w:r>
      <w:r>
        <w:rPr>
          <w:rFonts w:hint="eastAsia" w:ascii="仿宋" w:hAnsi="仿宋" w:eastAsia="仿宋" w:cs="仿宋"/>
          <w:sz w:val="28"/>
          <w:szCs w:val="28"/>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资质条件：</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default"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lang w:val="en-US" w:eastAsia="zh-CN"/>
        </w:rPr>
        <w:t>9.1</w:t>
      </w:r>
      <w:r>
        <w:rPr>
          <w:rFonts w:hint="eastAsia" w:ascii="仿宋" w:hAnsi="仿宋" w:eastAsia="仿宋" w:cs="仿宋"/>
          <w:kern w:val="0"/>
          <w:sz w:val="28"/>
          <w:szCs w:val="28"/>
          <w:highlight w:val="none"/>
          <w:lang w:val="en-US" w:eastAsia="zh-CN"/>
        </w:rPr>
        <w:t>）</w:t>
      </w:r>
      <w:r>
        <w:rPr>
          <w:rFonts w:hint="default" w:ascii="仿宋" w:hAnsi="仿宋" w:eastAsia="仿宋" w:cs="仿宋"/>
          <w:kern w:val="0"/>
          <w:sz w:val="28"/>
          <w:szCs w:val="28"/>
          <w:highlight w:val="none"/>
          <w:lang w:val="en-US" w:eastAsia="zh-CN"/>
        </w:rPr>
        <w:t>提供有效的建筑机电安装工程专业承包三级及以上资质；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default"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lang w:val="en-US" w:eastAsia="zh-CN"/>
        </w:rPr>
        <w:t>9.2</w:t>
      </w:r>
      <w:r>
        <w:rPr>
          <w:rFonts w:hint="eastAsia" w:ascii="仿宋" w:hAnsi="仿宋" w:eastAsia="仿宋" w:cs="仿宋"/>
          <w:kern w:val="0"/>
          <w:sz w:val="28"/>
          <w:szCs w:val="28"/>
          <w:highlight w:val="none"/>
          <w:lang w:val="en-US" w:eastAsia="zh-CN"/>
        </w:rPr>
        <w:t>）</w:t>
      </w:r>
      <w:r>
        <w:rPr>
          <w:rFonts w:hint="default" w:ascii="仿宋" w:hAnsi="仿宋" w:eastAsia="仿宋" w:cs="仿宋"/>
          <w:kern w:val="0"/>
          <w:sz w:val="28"/>
          <w:szCs w:val="28"/>
          <w:highlight w:val="none"/>
          <w:lang w:val="en-US" w:eastAsia="zh-CN"/>
        </w:rPr>
        <w:t>提供有效的施工企业安全生产许可证；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default"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lang w:val="en-US" w:eastAsia="zh-CN"/>
        </w:rPr>
        <w:t>9.3</w:t>
      </w:r>
      <w:r>
        <w:rPr>
          <w:rFonts w:hint="eastAsia" w:ascii="仿宋" w:hAnsi="仿宋" w:eastAsia="仿宋" w:cs="仿宋"/>
          <w:kern w:val="0"/>
          <w:sz w:val="28"/>
          <w:szCs w:val="28"/>
          <w:highlight w:val="none"/>
          <w:lang w:val="en-US" w:eastAsia="zh-CN"/>
        </w:rPr>
        <w:t>）</w:t>
      </w:r>
      <w:r>
        <w:rPr>
          <w:rFonts w:hint="default" w:ascii="仿宋" w:hAnsi="仿宋" w:eastAsia="仿宋" w:cs="仿宋"/>
          <w:kern w:val="0"/>
          <w:sz w:val="28"/>
          <w:szCs w:val="28"/>
          <w:highlight w:val="none"/>
          <w:lang w:val="en-US" w:eastAsia="zh-CN"/>
        </w:rPr>
        <w:t>项目经理须具备机电工程专业二级及以上注册建造师证书，有效的安全生产考核合格证书（建安B证），提供无在建项目承诺。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3、投标文件的编制：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3.1投标文件必须根据招标文件要求的格式编写，做出实质性响应。具体内容包括：</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①按照要求填写投标响应函格式；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②报价一览表；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③供应商按要求出具的资格证明文件，证明参加投标的供应商是合格的，中标后有能力履行合同，且产品来源渠道合法，质量有保证等；</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④各供应商按招标文件要求，完成本次采购任务，包含货物提供运输</w:t>
      </w:r>
      <w:r>
        <w:rPr>
          <w:rFonts w:hint="eastAsia" w:ascii="仿宋" w:hAnsi="仿宋" w:eastAsia="仿宋" w:cs="仿宋"/>
          <w:sz w:val="28"/>
          <w:szCs w:val="28"/>
          <w:highlight w:val="none"/>
          <w:lang w:eastAsia="zh-CN"/>
        </w:rPr>
        <w:t>、安装调试、</w:t>
      </w:r>
      <w:r>
        <w:rPr>
          <w:rFonts w:hint="eastAsia" w:ascii="仿宋" w:hAnsi="仿宋" w:eastAsia="仿宋" w:cs="仿宋"/>
          <w:sz w:val="28"/>
          <w:szCs w:val="28"/>
          <w:highlight w:val="none"/>
        </w:rPr>
        <w:t>验收、售后服务等服务内容。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3.2投标报价：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①各供应商应在投标文件中的报价一览表上，</w:t>
      </w:r>
      <w:r>
        <w:rPr>
          <w:rFonts w:hint="eastAsia" w:ascii="仿宋" w:hAnsi="仿宋" w:eastAsia="仿宋" w:cs="仿宋"/>
          <w:sz w:val="28"/>
          <w:szCs w:val="28"/>
          <w:highlight w:val="none"/>
          <w:u w:color="000000"/>
        </w:rPr>
        <w:t>标明总价、</w:t>
      </w:r>
      <w:r>
        <w:rPr>
          <w:rFonts w:hint="eastAsia" w:ascii="仿宋" w:hAnsi="仿宋" w:eastAsia="仿宋" w:cs="仿宋"/>
          <w:sz w:val="28"/>
          <w:szCs w:val="28"/>
          <w:highlight w:val="none"/>
          <w:lang w:val="en-US" w:eastAsia="zh-CN"/>
        </w:rPr>
        <w:t>整个项目完成期限</w:t>
      </w:r>
      <w:r>
        <w:rPr>
          <w:rFonts w:hint="eastAsia" w:ascii="仿宋" w:hAnsi="仿宋" w:eastAsia="仿宋" w:cs="仿宋"/>
          <w:sz w:val="28"/>
          <w:szCs w:val="28"/>
          <w:highlight w:val="none"/>
        </w:rPr>
        <w:t>、质量标准等项，在分项报价表中须标明单价，任何有选择的报价采购代理机构不予接受；</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u w:val="none"/>
        </w:rPr>
      </w:pPr>
      <w:r>
        <w:rPr>
          <w:rFonts w:hint="eastAsia" w:ascii="仿宋" w:hAnsi="仿宋" w:cs="仿宋"/>
          <w:sz w:val="28"/>
          <w:szCs w:val="28"/>
          <w:highlight w:val="none"/>
        </w:rPr>
        <w:t>②</w:t>
      </w:r>
      <w:r>
        <w:rPr>
          <w:rFonts w:hint="eastAsia" w:ascii="仿宋" w:hAnsi="仿宋" w:eastAsia="仿宋" w:cs="仿宋"/>
          <w:sz w:val="28"/>
          <w:szCs w:val="28"/>
          <w:highlight w:val="none"/>
        </w:rPr>
        <w:t>投标总价为包括完成本项目招标文件中所提出的工作范围及要求的全部内容，并达到国家及采购人验收标准而产生的所有费用，</w:t>
      </w:r>
      <w:r>
        <w:rPr>
          <w:rFonts w:hint="eastAsia" w:ascii="仿宋" w:hAnsi="仿宋" w:eastAsia="仿宋" w:cs="仿宋"/>
          <w:color w:val="auto"/>
          <w:sz w:val="28"/>
          <w:szCs w:val="28"/>
          <w:highlight w:val="none"/>
        </w:rPr>
        <w:t>包括</w:t>
      </w:r>
      <w:r>
        <w:rPr>
          <w:rFonts w:hint="eastAsia" w:ascii="仿宋" w:hAnsi="仿宋" w:eastAsia="仿宋" w:cs="仿宋"/>
          <w:b/>
          <w:bCs/>
          <w:color w:val="auto"/>
          <w:sz w:val="28"/>
          <w:szCs w:val="28"/>
          <w:highlight w:val="none"/>
        </w:rPr>
        <w:t>货物价款、人工费、</w:t>
      </w:r>
      <w:r>
        <w:rPr>
          <w:rFonts w:hint="eastAsia" w:ascii="仿宋" w:hAnsi="仿宋" w:eastAsia="仿宋" w:cs="仿宋"/>
          <w:b/>
          <w:bCs/>
          <w:color w:val="auto"/>
          <w:sz w:val="28"/>
          <w:szCs w:val="28"/>
          <w:highlight w:val="none"/>
          <w:lang w:eastAsia="zh-CN"/>
        </w:rPr>
        <w:t>安装调试费、资料费、运杂费（含保险</w:t>
      </w:r>
      <w:r>
        <w:rPr>
          <w:rFonts w:hint="eastAsia" w:ascii="仿宋" w:hAnsi="仿宋" w:eastAsia="仿宋" w:cs="仿宋"/>
          <w:b/>
          <w:bCs/>
          <w:color w:val="auto"/>
          <w:sz w:val="28"/>
          <w:szCs w:val="28"/>
          <w:highlight w:val="none"/>
          <w:u w:val="none"/>
          <w:lang w:eastAsia="zh-CN"/>
        </w:rPr>
        <w:t>费）、施工费、垃圾清运费、售后服务费、</w:t>
      </w:r>
      <w:r>
        <w:rPr>
          <w:rFonts w:hint="eastAsia" w:ascii="仿宋" w:hAnsi="仿宋" w:eastAsia="仿宋" w:cs="仿宋"/>
          <w:b/>
          <w:bCs/>
          <w:color w:val="auto"/>
          <w:sz w:val="28"/>
          <w:szCs w:val="28"/>
          <w:highlight w:val="none"/>
          <w:u w:val="none"/>
        </w:rPr>
        <w:t>验收费、税金及风险等所有费用</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sz w:val="28"/>
          <w:szCs w:val="28"/>
          <w:highlight w:val="none"/>
          <w:u w:val="none"/>
        </w:rPr>
        <w:t>任何错报、漏报由供应商自行负责；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u w:val="none"/>
        </w:rPr>
        <w:t>③凡因供应商对招标文件阅读不深、理解不透</w:t>
      </w:r>
      <w:r>
        <w:rPr>
          <w:rFonts w:hint="eastAsia" w:ascii="仿宋" w:hAnsi="仿宋" w:eastAsia="仿宋" w:cs="仿宋"/>
          <w:sz w:val="28"/>
          <w:szCs w:val="28"/>
          <w:highlight w:val="none"/>
        </w:rPr>
        <w:t>、误解、疏漏或因市场行情了解不清造成的后果和风险均由各供应商自负；</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④各供应商自行现场踏勘；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⑤最低报价不作为中标的唯一条件。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3.3保证金：</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壹</w:t>
      </w:r>
      <w:r>
        <w:rPr>
          <w:rFonts w:hint="eastAsia" w:ascii="仿宋" w:hAnsi="仿宋" w:eastAsia="仿宋" w:cs="仿宋"/>
          <w:sz w:val="28"/>
          <w:szCs w:val="28"/>
          <w:highlight w:val="none"/>
          <w:u w:val="single"/>
          <w:lang w:val="en-US" w:eastAsia="zh-CN"/>
        </w:rPr>
        <w:t>万元整</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10000.00</w:t>
      </w:r>
      <w:r>
        <w:rPr>
          <w:rFonts w:hint="eastAsia" w:ascii="仿宋" w:hAnsi="仿宋" w:eastAsia="仿宋" w:cs="仿宋"/>
          <w:sz w:val="28"/>
          <w:szCs w:val="28"/>
          <w:highlight w:val="none"/>
          <w:u w:val="single"/>
        </w:rPr>
        <w:t>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①供应商须在文件递交截止时间前向采购代理机构交纳投标保证金（以到账时间为准），</w:t>
      </w: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②各供应商应按招标文件规定的金额递交保证金，并作为其投标文件的组成部分。</w:t>
      </w:r>
    </w:p>
    <w:p>
      <w:pPr>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③保证金应为人民币，可采用下列任何一种形式支付：</w:t>
      </w:r>
    </w:p>
    <w:p>
      <w:pPr>
        <w:pStyle w:val="45"/>
        <w:widowControl/>
        <w:spacing w:line="500" w:lineRule="exact"/>
        <w:ind w:firstLine="560"/>
        <w:rPr>
          <w:rFonts w:hint="eastAsia" w:ascii="仿宋" w:hAnsi="仿宋" w:eastAsia="仿宋" w:cs="仿宋"/>
          <w:b w:val="0"/>
          <w:bCs w:val="0"/>
          <w:color w:val="auto"/>
          <w:kern w:val="0"/>
          <w:sz w:val="28"/>
          <w:szCs w:val="28"/>
          <w:highlight w:val="none"/>
          <w:lang w:val="en-US" w:eastAsia="zh-CN" w:bidi="ar-SA"/>
        </w:rPr>
      </w:pPr>
      <w:r>
        <w:rPr>
          <w:rFonts w:ascii="仿宋" w:hAnsi="仿宋" w:cs="仿宋"/>
          <w:color w:val="auto"/>
          <w:szCs w:val="28"/>
          <w:highlight w:val="none"/>
        </w:rPr>
        <w:t>转账、支票、本票、电汇或金融机构、担保机构出具的保函，</w:t>
      </w:r>
      <w:r>
        <w:rPr>
          <w:rFonts w:ascii="仿宋" w:hAnsi="仿宋" w:cs="仿宋"/>
          <w:b w:val="0"/>
          <w:bCs w:val="0"/>
          <w:color w:val="auto"/>
          <w:sz w:val="28"/>
          <w:szCs w:val="28"/>
          <w:highlight w:val="none"/>
          <w:lang w:val="zh-CN"/>
        </w:rPr>
        <w:t>以保函形式提交的必须是陕西省财政厅认定的具</w:t>
      </w:r>
      <w:r>
        <w:rPr>
          <w:rFonts w:ascii="仿宋" w:hAnsi="仿宋" w:cs="仿宋"/>
          <w:color w:val="auto"/>
          <w:sz w:val="28"/>
          <w:szCs w:val="28"/>
          <w:highlight w:val="none"/>
          <w:lang w:val="zh-CN"/>
        </w:rPr>
        <w:t>有开具保函资格的单位开具的保函</w:t>
      </w:r>
      <w:r>
        <w:rPr>
          <w:rFonts w:hint="eastAsia" w:ascii="仿宋" w:hAnsi="仿宋" w:cs="仿宋"/>
          <w:color w:val="auto"/>
          <w:sz w:val="28"/>
          <w:szCs w:val="28"/>
          <w:highlight w:val="none"/>
          <w:lang w:val="zh-CN"/>
        </w:rPr>
        <w:t>，且供应商须在开标前至采购代理机构</w:t>
      </w:r>
      <w:r>
        <w:rPr>
          <w:rFonts w:hint="eastAsia" w:ascii="仿宋" w:hAnsi="仿宋" w:eastAsia="仿宋" w:cs="仿宋"/>
          <w:b w:val="0"/>
          <w:bCs w:val="0"/>
          <w:color w:val="auto"/>
          <w:kern w:val="0"/>
          <w:sz w:val="28"/>
          <w:szCs w:val="28"/>
          <w:highlight w:val="none"/>
          <w:lang w:val="en-US" w:eastAsia="zh-CN" w:bidi="ar-SA"/>
        </w:rPr>
        <w:t>办理投标保证金收款凭证</w:t>
      </w:r>
      <w:r>
        <w:rPr>
          <w:rFonts w:hint="eastAsia" w:ascii="仿宋" w:hAnsi="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并在投标文件中附收款凭证复印件。此凭证是证明投标保证金交纳的唯一凭证</w:t>
      </w:r>
      <w:r>
        <w:rPr>
          <w:rFonts w:hint="eastAsia" w:ascii="仿宋" w:hAnsi="仿宋" w:cs="仿宋"/>
          <w:b w:val="0"/>
          <w:bCs w:val="0"/>
          <w:color w:val="auto"/>
          <w:kern w:val="0"/>
          <w:sz w:val="28"/>
          <w:szCs w:val="28"/>
          <w:highlight w:val="none"/>
          <w:lang w:val="en-US" w:eastAsia="zh-CN" w:bidi="ar-SA"/>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④凡没有随附保证金凭证的投标文件，视为非响应性投标，其投标文件无效；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⑤未中标单位的保证金，在中标通知书发出后五个工作日内,根据所提供的《投标保证金退还申请表》（格式见招标文件第七章）无息退还；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⑥中标单位的保证金，在合同签订后五个工作日内，根据所提供的《投标保证金退还申请表》（格式见招标文件第七章）无息退还；</w:t>
      </w:r>
      <w:r>
        <w:rPr>
          <w:rFonts w:hint="eastAsia" w:ascii="仿宋" w:hAnsi="仿宋" w:eastAsia="仿宋" w:cs="仿宋"/>
          <w:b/>
          <w:bCs/>
          <w:sz w:val="28"/>
          <w:szCs w:val="28"/>
          <w:highlight w:val="none"/>
        </w:rPr>
        <w:t>（合同签订后三个工作日内，须向采购代理机构提供两份合同原件，以便及时退还保证金）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因供应商自身原因导致未及时退还的，由供应商自行负责。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3.4下列情况发生（包括但不限于），保证金将不予退还：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①供应商提供虚假资格谋取中标的；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②有围标、串标现象，经查证属实的；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③供应商在该项目招投标期间擅自退出投标活动的；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④投标文件递交截止时间后供应商撤销投标文件的；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⑤中标供应商自行放弃中标资格的；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⑥中标供应商不在规定的时效内领取《中标通知书》的；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⑦中标供应商不按规定支付采购代理服务费的；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⑧中标供应商因自身原因未能在规定期限内与采购人签订合同的。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3.5投标文件有效期为从提交投标文件的截止之日起90日历日，中标供应商的投标文件有效期延长至合同执行完毕。</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四、投标文件的式样和签署</w:t>
      </w:r>
    </w:p>
    <w:p>
      <w:pPr>
        <w:pStyle w:val="45"/>
        <w:keepNext w:val="0"/>
        <w:keepLines w:val="0"/>
        <w:pageBreakBefore w:val="0"/>
        <w:widowControl/>
        <w:kinsoku/>
        <w:wordWrap/>
        <w:overflowPunct/>
        <w:topLinePunct w:val="0"/>
        <w:autoSpaceDE/>
        <w:autoSpaceDN/>
        <w:bidi w:val="0"/>
        <w:adjustRightInd w:val="0"/>
        <w:snapToGrid/>
        <w:spacing w:line="500" w:lineRule="exact"/>
        <w:ind w:left="0" w:leftChars="0" w:right="0" w:rightChars="0" w:firstLine="560"/>
        <w:textAlignment w:val="auto"/>
        <w:rPr>
          <w:sz w:val="28"/>
          <w:szCs w:val="28"/>
        </w:rPr>
      </w:pPr>
      <w:r>
        <w:rPr>
          <w:rFonts w:ascii="仿宋" w:hAnsi="仿宋" w:cs="仿宋"/>
          <w:sz w:val="28"/>
          <w:szCs w:val="28"/>
          <w:highlight w:val="none"/>
        </w:rPr>
        <w:t>1、各供应商应按照给定的式样，</w:t>
      </w:r>
      <w:r>
        <w:rPr>
          <w:rFonts w:ascii="仿宋" w:hAnsi="仿宋" w:cs="仿宋"/>
          <w:color w:val="auto"/>
          <w:sz w:val="28"/>
          <w:szCs w:val="28"/>
          <w:highlight w:val="none"/>
        </w:rPr>
        <w:t>准备</w:t>
      </w:r>
      <w:r>
        <w:rPr>
          <w:rFonts w:hint="eastAsia" w:ascii="仿宋" w:hAnsi="仿宋" w:cs="仿宋"/>
          <w:color w:val="auto"/>
          <w:sz w:val="28"/>
          <w:szCs w:val="28"/>
          <w:highlight w:val="none"/>
          <w:lang w:eastAsia="zh-CN"/>
        </w:rPr>
        <w:t>投标</w:t>
      </w:r>
      <w:r>
        <w:rPr>
          <w:rFonts w:ascii="仿宋" w:hAnsi="仿宋" w:cs="仿宋"/>
          <w:color w:val="auto"/>
          <w:sz w:val="28"/>
          <w:szCs w:val="28"/>
          <w:highlight w:val="none"/>
        </w:rPr>
        <w:t>文件</w:t>
      </w:r>
      <w:r>
        <w:rPr>
          <w:rFonts w:hint="eastAsia" w:ascii="仿宋" w:hAnsi="仿宋" w:cs="仿宋"/>
          <w:color w:val="auto"/>
          <w:sz w:val="28"/>
          <w:szCs w:val="28"/>
          <w:highlight w:val="none"/>
          <w:lang w:eastAsia="zh-CN"/>
        </w:rPr>
        <w:t>。资格标：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val="en-US" w:eastAsia="zh-CN"/>
        </w:rPr>
        <w:t>；商务及技术标：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eastAsia="zh-CN"/>
        </w:rPr>
        <w:t>；</w:t>
      </w:r>
      <w:r>
        <w:rPr>
          <w:rFonts w:ascii="仿宋" w:hAnsi="仿宋" w:cs="仿宋"/>
          <w:color w:val="auto"/>
          <w:sz w:val="28"/>
          <w:szCs w:val="28"/>
          <w:highlight w:val="none"/>
        </w:rPr>
        <w:t>电子文档一份</w:t>
      </w:r>
      <w:r>
        <w:rPr>
          <w:rFonts w:ascii="仿宋" w:hAnsi="仿宋" w:cs="仿宋"/>
          <w:sz w:val="28"/>
          <w:szCs w:val="28"/>
          <w:highlight w:val="none"/>
        </w:rPr>
        <w:t>，</w:t>
      </w:r>
      <w:r>
        <w:rPr>
          <w:rFonts w:ascii="仿宋" w:hAnsi="仿宋" w:cs="仿宋"/>
          <w:kern w:val="2"/>
          <w:sz w:val="28"/>
          <w:szCs w:val="28"/>
          <w:highlight w:val="none"/>
          <w:lang w:bidi="ar"/>
        </w:rPr>
        <w:t>分别密封，</w:t>
      </w:r>
      <w:r>
        <w:rPr>
          <w:rFonts w:ascii="仿宋" w:hAnsi="仿宋" w:cs="仿宋"/>
          <w:sz w:val="28"/>
          <w:szCs w:val="28"/>
          <w:highlight w:val="none"/>
        </w:rPr>
        <w:t>每套</w:t>
      </w:r>
      <w:r>
        <w:rPr>
          <w:rFonts w:hint="eastAsia" w:ascii="仿宋" w:hAnsi="仿宋" w:cs="仿宋"/>
          <w:sz w:val="28"/>
          <w:szCs w:val="28"/>
          <w:highlight w:val="none"/>
          <w:lang w:eastAsia="zh-CN"/>
        </w:rPr>
        <w:t>投标</w:t>
      </w:r>
      <w:r>
        <w:rPr>
          <w:rFonts w:ascii="仿宋" w:hAnsi="仿宋" w:cs="仿宋"/>
          <w:sz w:val="28"/>
          <w:szCs w:val="28"/>
          <w:highlight w:val="none"/>
        </w:rPr>
        <w:t>文件须清楚地标明“正本”“副本”及“电子文档”。一旦正本和副本不符，以正本为准。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2、投标文件的正本和所有的副本均需打印或用不褪色蓝（黑）墨水（汁）书写，统一胶装、编码，在每一页的正下方清楚标明页码。</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3、投标文件必须加盖单位公章、其法定代表人或被授权委托人签字或盖章。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4、投标文件除各供应商对错处做必要修改外，不得行间插字、涂改和增删，如有修改错漏处，必须由供应商法定代表人或被授权委托人签字并加盖单位公章。</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五、投标文件的密封及递交</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1、投标文件的密封：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1.1“资格标”正本单独密封，“资格标”副本单独密封，“商务及技术标”正本单独密封，“商务及技术标”副本单独密封，“电子文档”单独密封。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eastAsia="仿宋"/>
          <w:sz w:val="28"/>
          <w:szCs w:val="28"/>
          <w:lang w:val="en-US" w:eastAsia="zh-CN"/>
        </w:rPr>
      </w:pPr>
      <w:r>
        <w:rPr>
          <w:rFonts w:hint="eastAsia" w:ascii="仿宋" w:hAnsi="仿宋" w:eastAsia="仿宋" w:cs="仿宋"/>
          <w:sz w:val="28"/>
          <w:szCs w:val="28"/>
          <w:highlight w:val="none"/>
        </w:rPr>
        <w:t>1.2在密封袋（箱）封口处加盖单位公章并由法定代表人或被授权委托人签字或盖章；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highlight w:val="none"/>
        </w:rPr>
        <w:t>1.3在密封袋（箱）上应标明项目编号、项目名称、供应商全称（并加盖单位公章）、</w:t>
      </w:r>
      <w:r>
        <w:rPr>
          <w:rFonts w:hint="eastAsia" w:ascii="仿宋" w:hAnsi="仿宋" w:eastAsia="仿宋" w:cs="仿宋"/>
          <w:kern w:val="0"/>
          <w:sz w:val="28"/>
          <w:szCs w:val="28"/>
          <w:highlight w:val="none"/>
        </w:rPr>
        <w:t>在202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00</w:t>
      </w:r>
      <w:bookmarkStart w:id="261" w:name="_GoBack"/>
      <w:bookmarkEnd w:id="261"/>
      <w:r>
        <w:rPr>
          <w:rFonts w:hint="eastAsia" w:ascii="仿宋" w:hAnsi="仿宋" w:eastAsia="仿宋" w:cs="仿宋"/>
          <w:kern w:val="0"/>
          <w:sz w:val="28"/>
          <w:szCs w:val="28"/>
          <w:highlight w:val="none"/>
        </w:rPr>
        <w:t>前不得开启</w:t>
      </w:r>
      <w:r>
        <w:rPr>
          <w:rFonts w:hint="eastAsia" w:ascii="仿宋" w:hAnsi="仿宋" w:eastAsia="仿宋" w:cs="仿宋"/>
          <w:sz w:val="28"/>
          <w:szCs w:val="28"/>
          <w:highlight w:val="none"/>
        </w:rPr>
        <w:t>等内容；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1.4如果投标文件未按要求密封，采购代理机构拒绝接收。</w:t>
      </w:r>
    </w:p>
    <w:p>
      <w:pPr>
        <w:keepNext w:val="0"/>
        <w:keepLines w:val="0"/>
        <w:pageBreakBefore w:val="0"/>
        <w:kinsoku/>
        <w:wordWrap/>
        <w:overflowPunct/>
        <w:topLinePunct w:val="0"/>
        <w:autoSpaceDE/>
        <w:autoSpaceDN/>
        <w:bidi w:val="0"/>
        <w:spacing w:line="500" w:lineRule="exact"/>
        <w:ind w:firstLine="560" w:firstLineChars="200"/>
        <w:textAlignment w:val="auto"/>
        <w:rPr>
          <w:sz w:val="28"/>
          <w:szCs w:val="28"/>
          <w:highlight w:val="none"/>
        </w:rPr>
      </w:pPr>
      <w:r>
        <w:rPr>
          <w:rFonts w:hint="eastAsia" w:ascii="仿宋" w:hAnsi="仿宋" w:eastAsia="仿宋" w:cs="仿宋"/>
          <w:sz w:val="28"/>
          <w:szCs w:val="28"/>
          <w:highlight w:val="none"/>
        </w:rPr>
        <w:t>2、投标文件的递交：</w:t>
      </w:r>
    </w:p>
    <w:p>
      <w:pPr>
        <w:pStyle w:val="9"/>
        <w:keepNext w:val="0"/>
        <w:keepLines w:val="0"/>
        <w:pageBreakBefore w:val="0"/>
        <w:kinsoku/>
        <w:wordWrap/>
        <w:overflowPunct/>
        <w:topLinePunct w:val="0"/>
        <w:autoSpaceDE/>
        <w:autoSpaceDN/>
        <w:bidi w:val="0"/>
        <w:spacing w:before="0" w:line="500" w:lineRule="exact"/>
        <w:ind w:firstLine="560" w:firstLineChars="200"/>
        <w:textAlignment w:val="auto"/>
        <w:rPr>
          <w:rFonts w:eastAsia="仿宋"/>
          <w:b/>
          <w:bCs/>
          <w:sz w:val="28"/>
          <w:szCs w:val="28"/>
          <w:highlight w:val="none"/>
        </w:rPr>
      </w:pPr>
      <w:r>
        <w:rPr>
          <w:rFonts w:hint="eastAsia" w:ascii="仿宋" w:hAnsi="仿宋" w:eastAsia="仿宋" w:cs="仿宋"/>
          <w:sz w:val="28"/>
          <w:szCs w:val="28"/>
          <w:highlight w:val="none"/>
        </w:rPr>
        <w:t>2.1供应商应将投标文件的正本、副本、电子文档，分别递交，且在封面标明“正本”“副本”“电子文档”字样；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2.2在投标文件递交截止期后，采购代理机构拒绝接收供应商递交的任何资料和文件；</w:t>
      </w:r>
    </w:p>
    <w:p>
      <w:pPr>
        <w:pStyle w:val="12"/>
        <w:keepNext w:val="0"/>
        <w:keepLines w:val="0"/>
        <w:pageBreakBefore w:val="0"/>
        <w:kinsoku/>
        <w:wordWrap/>
        <w:overflowPunct/>
        <w:topLinePunct w:val="0"/>
        <w:autoSpaceDE/>
        <w:autoSpaceDN/>
        <w:bidi w:val="0"/>
        <w:spacing w:after="0" w:line="500" w:lineRule="exact"/>
        <w:ind w:firstLine="560" w:firstLineChars="200"/>
        <w:textAlignment w:val="auto"/>
        <w:rPr>
          <w:rFonts w:hint="default"/>
          <w:sz w:val="28"/>
          <w:szCs w:val="28"/>
          <w:highlight w:val="none"/>
        </w:rPr>
      </w:pPr>
      <w:r>
        <w:rPr>
          <w:rFonts w:ascii="仿宋" w:hAnsi="仿宋" w:cs="仿宋"/>
          <w:kern w:val="2"/>
          <w:sz w:val="28"/>
          <w:szCs w:val="28"/>
          <w:highlight w:val="none"/>
        </w:rPr>
        <w:t>2.3供应商在投标截止时间前，可以对所递交的投标文件进行补充、修改或者撤回，并书面通知采购人或者采购代理机构。补充、修改的内容应当按照招标文件要求签署、盖章、密封后，作为投标文件的组成部分；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2.4投标文件递交截止后供应商不得对其投标文件做任何修改；</w:t>
      </w:r>
    </w:p>
    <w:p>
      <w:pPr>
        <w:keepNext w:val="0"/>
        <w:keepLines w:val="0"/>
        <w:pageBreakBefore w:val="0"/>
        <w:kinsoku/>
        <w:wordWrap/>
        <w:overflowPunct/>
        <w:topLinePunct w:val="0"/>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rPr>
        <w:t>2.5在投标文件递交截止期后到投标规定的投标文件有效期满之间的这段时间内，供应商不得撤销其投标文件，否则将没收保证金，同时，还应按《中华人民共和国政府采购法》的有关规定处罚。</w:t>
      </w:r>
    </w:p>
    <w:bookmarkEnd w:id="129"/>
    <w:bookmarkEnd w:id="130"/>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31" w:name="_Toc15488"/>
      <w:bookmarkStart w:id="132" w:name="_Toc421604334"/>
      <w:bookmarkStart w:id="133" w:name="_Toc26554093"/>
      <w:bookmarkStart w:id="134" w:name="_Toc49090575"/>
      <w:bookmarkStart w:id="135" w:name="_Toc120614281"/>
      <w:bookmarkStart w:id="136" w:name="_Toc479757211"/>
      <w:bookmarkStart w:id="137" w:name="_Toc462564139"/>
      <w:r>
        <w:rPr>
          <w:rFonts w:hint="eastAsia" w:ascii="仿宋" w:hAnsi="仿宋" w:eastAsia="仿宋" w:cs="仿宋"/>
          <w:b/>
          <w:bCs/>
          <w:sz w:val="28"/>
          <w:szCs w:val="28"/>
          <w:highlight w:val="none"/>
        </w:rPr>
        <w:t>六、采购代理机构及评标委员会职能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1、采购代理机构职能：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1.1采购代理机构组织开标、评审工作，开标整个过程接受采购管理机构的监督和管理，参加投标的供应商、评标委员会、监督机构及采购人须签名报到以证明出席；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为确保招标工作公平、公正，根据《中华人民共和国政府采购法》《中华人民共和国政府采购法实施条例》及相关法律法规的规定成立评标委员会。评标委员会由采购人代表和评审专家组成，成员人数为5人以上单数，评审专家在政府采购专家库中随机抽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2、评标委员会的职能：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highlight w:val="none"/>
        </w:rPr>
        <w:t>2.1对各供应商就投标文件中（含澄清、说明或补正的内容）</w:t>
      </w:r>
      <w:r>
        <w:rPr>
          <w:rFonts w:hint="eastAsia" w:ascii="仿宋" w:hAnsi="仿宋" w:eastAsia="仿宋" w:cs="仿宋"/>
          <w:color w:val="auto"/>
          <w:sz w:val="28"/>
          <w:szCs w:val="28"/>
          <w:highlight w:val="none"/>
        </w:rPr>
        <w:t>投标报价、商务部分、技术响应、业绩证明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售后服务承诺等进行评审；</w:t>
      </w:r>
    </w:p>
    <w:p>
      <w:pPr>
        <w:pStyle w:val="1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 w:hAnsi="仿宋" w:cs="仿宋"/>
          <w:kern w:val="2"/>
          <w:sz w:val="28"/>
          <w:szCs w:val="28"/>
          <w:highlight w:val="none"/>
        </w:rPr>
      </w:pPr>
      <w:r>
        <w:rPr>
          <w:rFonts w:ascii="仿宋" w:hAnsi="仿宋" w:cs="仿宋"/>
          <w:kern w:val="2"/>
          <w:sz w:val="28"/>
          <w:szCs w:val="28"/>
          <w:highlight w:val="none"/>
        </w:rPr>
        <w:t>2.2对于投标文件中含义不明确、同类问题表述不一致或者有明显文字和计算错误的内容，评标委员会应当以书面形式要求投标人作出必要的澄清、说明或者补正；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2.3依据招标文件的要求和评审标准，确定进入最终评审的供应商；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2.4排序推荐中标候选供应商；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2.5协商处理开标过程中出现的其他相关问题。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3、评标委员会成员应当遵守并履行下列义务：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3.1遵纪守法，客观、公正、廉洁地履行职责，审查投标文件是否符合招标文件的要求，并做出评价；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3.2要求供应商对投标文件有关事项作出解释或者澄清；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3.3按照招标文件的要求和评审办法进行评审，推荐中标候选供应商名单，对评审意见承担个人责任；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3.4对评审过程和结果以及供应商的商业秘密保密；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3.5参与评标报告的起草；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3.6配合采购代理机构答复供应商提出的质疑；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3.7配合财政部门的投诉处理工作。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4、开标时，采购代理机构依据递交投标文件顺序的逆顺序，将各供应商的投标报价及有关内容进行公布。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5、开标后，直到与中标供应商签订合同为止，凡与审查、澄清、评价和比较各供应商的有关资料及意见等内容，评标委员会均不得向供应商及与投标无关的其他人透露。</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七、评审原则及程序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1、招标评审原则：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1.1评标委员会遵循“公平、公正、科学、择优”的原则；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1.2采用同一程序和标准对供应商进行评审。</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2、投标文件出现下列情况，修正原则为：</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kern w:val="2"/>
          <w:sz w:val="28"/>
          <w:szCs w:val="28"/>
          <w:highlight w:val="none"/>
        </w:rPr>
      </w:pPr>
      <w:r>
        <w:rPr>
          <w:rFonts w:ascii="仿宋" w:hAnsi="仿宋" w:cs="仿宋"/>
          <w:kern w:val="2"/>
          <w:sz w:val="28"/>
          <w:szCs w:val="28"/>
          <w:highlight w:val="none"/>
        </w:rPr>
        <w:t>2.1文字与图表不符以文字为准；</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2.2</w:t>
      </w:r>
      <w:r>
        <w:rPr>
          <w:rFonts w:ascii="仿宋" w:hAnsi="仿宋" w:cs="仿宋"/>
          <w:spacing w:val="-4"/>
          <w:sz w:val="28"/>
          <w:szCs w:val="28"/>
          <w:highlight w:val="none"/>
        </w:rPr>
        <w:t>正本与副本不符以正本为准；</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2.3</w:t>
      </w:r>
      <w:r>
        <w:rPr>
          <w:rFonts w:ascii="仿宋" w:hAnsi="仿宋" w:cs="仿宋"/>
          <w:spacing w:val="-4"/>
          <w:sz w:val="28"/>
          <w:szCs w:val="28"/>
          <w:highlight w:val="none"/>
        </w:rPr>
        <w:t>投标文件中报价一览表（报价表）内容与投标文件中相应内容不一致的，以报价一览表（报价表）为准；</w:t>
      </w:r>
    </w:p>
    <w:p>
      <w:pPr>
        <w:pStyle w:val="45"/>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2.4</w:t>
      </w:r>
      <w:r>
        <w:rPr>
          <w:rFonts w:ascii="仿宋" w:hAnsi="仿宋" w:cs="仿宋"/>
          <w:spacing w:val="-4"/>
          <w:sz w:val="28"/>
          <w:szCs w:val="28"/>
          <w:highlight w:val="none"/>
        </w:rPr>
        <w:t>大写金额和小写金额不一致的，以大写金额为准；</w:t>
      </w:r>
    </w:p>
    <w:p>
      <w:pPr>
        <w:pStyle w:val="45"/>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2.5</w:t>
      </w:r>
      <w:r>
        <w:rPr>
          <w:rFonts w:ascii="仿宋" w:hAnsi="仿宋" w:cs="仿宋"/>
          <w:spacing w:val="-4"/>
          <w:sz w:val="28"/>
          <w:szCs w:val="28"/>
          <w:highlight w:val="none"/>
        </w:rPr>
        <w:t>单价金额小数点或者百分比有明显错位的，以报价一览表的总价为准，并修改单价；</w:t>
      </w:r>
    </w:p>
    <w:p>
      <w:pPr>
        <w:pStyle w:val="45"/>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2.6</w:t>
      </w:r>
      <w:r>
        <w:rPr>
          <w:rFonts w:ascii="仿宋" w:hAnsi="仿宋" w:cs="仿宋"/>
          <w:spacing w:val="-4"/>
          <w:sz w:val="28"/>
          <w:szCs w:val="28"/>
          <w:highlight w:val="none"/>
        </w:rPr>
        <w:t>总价金额与按单价汇总金额不一致的，以单价金额计算结果为准。</w:t>
      </w:r>
    </w:p>
    <w:p>
      <w:pPr>
        <w:pStyle w:val="45"/>
        <w:keepNext w:val="0"/>
        <w:keepLines w:val="0"/>
        <w:pageBreakBefore w:val="0"/>
        <w:widowControl/>
        <w:kinsoku/>
        <w:wordWrap/>
        <w:overflowPunct/>
        <w:topLinePunct w:val="0"/>
        <w:autoSpaceDE/>
        <w:autoSpaceDN/>
        <w:bidi w:val="0"/>
        <w:adjustRightInd/>
        <w:spacing w:line="500" w:lineRule="exact"/>
        <w:ind w:firstLine="544"/>
        <w:textAlignment w:val="auto"/>
        <w:rPr>
          <w:rFonts w:hint="default" w:ascii="仿宋" w:hAnsi="仿宋" w:cs="仿宋"/>
          <w:spacing w:val="-4"/>
          <w:sz w:val="28"/>
          <w:szCs w:val="28"/>
          <w:highlight w:val="none"/>
        </w:rPr>
      </w:pPr>
      <w:r>
        <w:rPr>
          <w:rFonts w:ascii="仿宋" w:hAnsi="仿宋" w:cs="仿宋"/>
          <w:spacing w:val="-4"/>
          <w:sz w:val="28"/>
          <w:szCs w:val="28"/>
          <w:highlight w:val="none"/>
        </w:rPr>
        <w:t>同时出现两种以上不一致的，按照前款规定的顺序修正。修正后的报价经供应商确认后产生约束力，供应商不确认的，其投标无效。</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3、开标程序：</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开标的全过程分为：投标文件密封查验、公布投标报价、供应商资格审查、投标文件符合性审查、评审过程、评审专家评审结论等阶段。</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3.1投标文件密封查验：由供应商对投标文件密封情况进行查验；</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3.2公布投标报价：将各参加投标供应商的投标文件中的报价、</w:t>
      </w:r>
      <w:r>
        <w:rPr>
          <w:rFonts w:hint="eastAsia" w:ascii="仿宋" w:hAnsi="仿宋" w:eastAsia="仿宋" w:cs="仿宋"/>
          <w:spacing w:val="-4"/>
          <w:sz w:val="28"/>
          <w:szCs w:val="28"/>
          <w:highlight w:val="none"/>
          <w:lang w:eastAsia="zh-CN"/>
        </w:rPr>
        <w:t>整个项目完成期限</w:t>
      </w:r>
      <w:r>
        <w:rPr>
          <w:rFonts w:hint="eastAsia" w:ascii="仿宋" w:hAnsi="仿宋" w:eastAsia="仿宋" w:cs="仿宋"/>
          <w:spacing w:val="-4"/>
          <w:sz w:val="28"/>
          <w:szCs w:val="28"/>
          <w:highlight w:val="none"/>
        </w:rPr>
        <w:t>、质量等内容以公开宣读的形式予以公布；</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3.3供应商资格审查：由采购人对供应商资格进行审查；</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3.4投标文件符合性审查：由评标委员会对资格审查合格供应商的投标文件进行符合性审查。凡未通过符合性审查的投标文件即作为无效文件，不得进入后续评审工作。</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z w:val="28"/>
          <w:szCs w:val="28"/>
          <w:highlight w:val="none"/>
        </w:rPr>
      </w:pPr>
      <w:r>
        <w:rPr>
          <w:rFonts w:hint="eastAsia" w:ascii="仿宋" w:hAnsi="仿宋" w:eastAsia="仿宋" w:cs="仿宋"/>
          <w:spacing w:val="-4"/>
          <w:sz w:val="28"/>
          <w:szCs w:val="28"/>
          <w:highlight w:val="none"/>
        </w:rPr>
        <w:t>3.5评审过程：评标委员会在符合性评审的基础上对各供应商的投标文件认真阅读，并对采购内容、商务报价、产品性能等内容进行详细的评审。各供应商应评标委员会的要求对投标文件中的技术、商务价格、服务、所投产品的性能等内容按要求进行补充、完善、澄清、承诺，但补充完善的内容必须在其被授权范围内。评标委员会以补充、完善后的内容作为评审的依据。</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评标须知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有下列情形之一的，视为供应商串通投标，其投标无效：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不同供应商的投标文件由同一单位或者个人编制；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不同供应商委托同一单位或者个人办理投标事宜；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不同供应商的投标文件载明的项目管理成员或者联系人员为同一人；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不同供应商的投标文件异常一致或者投标报价呈规律性差异；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不同供应商的投标文件相互混装；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不同供应商的投标保证金从同一单位或者个人的账户转出。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评标委员会按照评分标准进行独立记名评分，其合计即为该供应商的综合得分，并汇总排序，选定得分最高者为第一中标候选人。</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、评审办法及内容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坚持公平、公正、科学、择优、合理低价、禁止不正当竞争。</w:t>
      </w:r>
    </w:p>
    <w:p>
      <w:pPr>
        <w:pStyle w:val="18"/>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cs="仿宋"/>
          <w:b/>
          <w:bCs/>
          <w:sz w:val="28"/>
          <w:szCs w:val="28"/>
          <w:highlight w:val="none"/>
          <w:lang w:val="en-US" w:eastAsia="zh-CN" w:bidi="ar"/>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cs="仿宋"/>
          <w:b/>
          <w:bCs/>
          <w:sz w:val="28"/>
          <w:szCs w:val="28"/>
          <w:highlight w:val="none"/>
          <w:lang w:val="en-US" w:eastAsia="zh-CN" w:bidi="ar"/>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cs="仿宋"/>
          <w:b/>
          <w:bCs/>
          <w:sz w:val="28"/>
          <w:szCs w:val="28"/>
          <w:highlight w:val="none"/>
          <w:lang w:val="en-US" w:eastAsia="zh-CN" w:bidi="ar"/>
        </w:rPr>
      </w:pPr>
    </w:p>
    <w:p>
      <w:pPr>
        <w:pStyle w:val="18"/>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cs="仿宋"/>
          <w:b/>
          <w:bCs/>
          <w:sz w:val="28"/>
          <w:szCs w:val="28"/>
          <w:highlight w:val="none"/>
          <w:lang w:val="en-US" w:eastAsia="zh-CN" w:bidi="ar"/>
        </w:rPr>
        <w:t>1、</w:t>
      </w:r>
      <w:r>
        <w:rPr>
          <w:rFonts w:hint="eastAsia" w:ascii="仿宋" w:hAnsi="仿宋" w:eastAsia="仿宋" w:cs="仿宋"/>
          <w:b/>
          <w:bCs/>
          <w:sz w:val="28"/>
          <w:szCs w:val="28"/>
          <w:highlight w:val="none"/>
          <w:lang w:bidi="ar"/>
        </w:rPr>
        <w:t>资格标审查</w:t>
      </w:r>
    </w:p>
    <w:tbl>
      <w:tblPr>
        <w:tblStyle w:val="28"/>
        <w:tblW w:w="95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2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b/>
                <w:bCs/>
                <w:sz w:val="28"/>
                <w:szCs w:val="28"/>
              </w:rPr>
              <w:t>序号</w:t>
            </w:r>
          </w:p>
        </w:tc>
        <w:tc>
          <w:tcPr>
            <w:tcW w:w="2426"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lang w:bidi="ar"/>
              </w:rPr>
            </w:pPr>
            <w:r>
              <w:rPr>
                <w:rFonts w:hint="eastAsia" w:ascii="仿宋" w:hAnsi="仿宋" w:eastAsia="仿宋" w:cs="仿宋"/>
                <w:b/>
                <w:bCs/>
                <w:sz w:val="28"/>
                <w:szCs w:val="28"/>
              </w:rPr>
              <w:t>审查内容</w:t>
            </w:r>
          </w:p>
        </w:tc>
        <w:tc>
          <w:tcPr>
            <w:tcW w:w="6223"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1</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具有独立承担民事责任的能力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供应商应具有独立承担民事责任的能力且具备向采购人提供</w:t>
            </w:r>
            <w:r>
              <w:rPr>
                <w:rFonts w:hint="eastAsia" w:ascii="仿宋" w:hAnsi="仿宋" w:eastAsia="仿宋" w:cs="仿宋"/>
                <w:sz w:val="28"/>
                <w:szCs w:val="28"/>
                <w:highlight w:val="none"/>
                <w:lang w:eastAsia="zh-CN"/>
              </w:rPr>
              <w:t>相关货物及服务</w:t>
            </w:r>
            <w:r>
              <w:rPr>
                <w:rFonts w:hint="eastAsia" w:ascii="仿宋" w:hAnsi="仿宋" w:eastAsia="仿宋" w:cs="仿宋"/>
                <w:sz w:val="28"/>
                <w:szCs w:val="28"/>
                <w:highlight w:val="none"/>
              </w:rPr>
              <w:t>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供应商授权合法的人员参加投标全过程</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具有良好的商业信誉和健全的财务会计制度</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color w:val="auto"/>
                <w:sz w:val="28"/>
                <w:szCs w:val="28"/>
                <w:highlight w:val="none"/>
                <w:lang w:eastAsia="zh-CN"/>
              </w:rPr>
              <w:t>提供2022年度</w:t>
            </w:r>
            <w:r>
              <w:rPr>
                <w:rFonts w:hint="eastAsia" w:ascii="仿宋" w:hAnsi="仿宋" w:eastAsia="仿宋" w:cs="仿宋"/>
                <w:color w:val="auto"/>
                <w:sz w:val="28"/>
                <w:szCs w:val="28"/>
                <w:highlight w:val="none"/>
              </w:rPr>
              <w:t>经审计的财务报告或开标前六个月内其基本账户银行出具的资信证明或财政部门认可的政府采购专业担保机构出具的担保函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有依法缴纳税收和社会保障资金的良好记录</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月以来任意3个月依法缴纳税收和社会保险的相关证明材料；</w:t>
            </w:r>
            <w:r>
              <w:rPr>
                <w:rFonts w:hint="eastAsia" w:ascii="仿宋" w:hAnsi="仿宋" w:eastAsia="仿宋" w:cs="仿宋"/>
                <w:color w:val="auto"/>
                <w:sz w:val="28"/>
                <w:szCs w:val="28"/>
                <w:highlight w:val="none"/>
              </w:rPr>
              <w:t>注：依法免税或不需要缴纳社会保险的供应商提供相关部门出具的证明文件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具有履行合同所必需的设备和专业技术能力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highlight w:val="none"/>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6</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参加政府采购活动前三年内</w:t>
            </w:r>
            <w:r>
              <w:rPr>
                <w:rFonts w:hint="eastAsia" w:ascii="仿宋" w:hAnsi="仿宋" w:eastAsia="仿宋" w:cs="仿宋"/>
                <w:b/>
                <w:bCs/>
                <w:sz w:val="28"/>
                <w:szCs w:val="28"/>
                <w:lang w:eastAsia="zh-CN"/>
              </w:rPr>
              <w:t>，</w:t>
            </w:r>
            <w:r>
              <w:rPr>
                <w:rFonts w:hint="eastAsia" w:ascii="仿宋" w:hAnsi="仿宋" w:eastAsia="仿宋" w:cs="仿宋"/>
                <w:b/>
                <w:bCs/>
                <w:sz w:val="28"/>
                <w:szCs w:val="28"/>
              </w:rPr>
              <w:t>在经营活动中没有重大违法记录</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7</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投标保证金交纳凭证</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投标保证金</w:t>
            </w:r>
            <w:r>
              <w:rPr>
                <w:rFonts w:hint="eastAsia" w:ascii="仿宋" w:hAnsi="仿宋" w:eastAsia="仿宋" w:cs="仿宋"/>
                <w:sz w:val="28"/>
                <w:szCs w:val="28"/>
                <w:highlight w:val="none"/>
              </w:rPr>
              <w:t>交纳凭证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w:t>
            </w:r>
          </w:p>
        </w:tc>
        <w:tc>
          <w:tcPr>
            <w:tcW w:w="2426" w:type="dxa"/>
            <w:noWrap w:val="0"/>
            <w:vAlign w:val="center"/>
          </w:tcPr>
          <w:p>
            <w:pPr>
              <w:keepNext w:val="0"/>
              <w:keepLines w:val="0"/>
              <w:pageBreakBefore w:val="0"/>
              <w:widowControl w:val="0"/>
              <w:kinsoku/>
              <w:wordWrap/>
              <w:overflowPunct/>
              <w:topLinePunct w:val="0"/>
              <w:bidi w:val="0"/>
              <w:snapToGrid/>
              <w:spacing w:line="500" w:lineRule="exact"/>
              <w:ind w:left="0" w:leftChars="0" w:right="0" w:rightChars="0" w:firstLine="0" w:firstLineChars="0"/>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val="0"/>
                <w:sz w:val="28"/>
                <w:szCs w:val="28"/>
                <w:highlight w:val="none"/>
                <w:lang w:val="en-US" w:eastAsia="zh-CN"/>
              </w:rPr>
              <w:t>投标承诺</w:t>
            </w:r>
          </w:p>
        </w:tc>
        <w:tc>
          <w:tcPr>
            <w:tcW w:w="6223" w:type="dxa"/>
            <w:noWrap w:val="0"/>
            <w:vAlign w:val="center"/>
          </w:tcPr>
          <w:p>
            <w:pPr>
              <w:keepNext w:val="0"/>
              <w:keepLines w:val="0"/>
              <w:pageBreakBefore w:val="0"/>
              <w:kinsoku/>
              <w:wordWrap/>
              <w:overflowPunct/>
              <w:topLinePunct w:val="0"/>
              <w:bidi w:val="0"/>
              <w:spacing w:line="500" w:lineRule="exact"/>
              <w:ind w:right="0" w:rightChars="0"/>
              <w:jc w:val="both"/>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单</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9</w:t>
            </w:r>
          </w:p>
        </w:tc>
        <w:tc>
          <w:tcPr>
            <w:tcW w:w="2426" w:type="dxa"/>
            <w:noWrap w:val="0"/>
            <w:vAlign w:val="center"/>
          </w:tcPr>
          <w:p>
            <w:pPr>
              <w:keepNext w:val="0"/>
              <w:keepLines w:val="0"/>
              <w:pageBreakBefore w:val="0"/>
              <w:widowControl w:val="0"/>
              <w:kinsoku/>
              <w:wordWrap/>
              <w:overflowPunct/>
              <w:topLinePunct w:val="0"/>
              <w:bidi w:val="0"/>
              <w:snapToGrid/>
              <w:spacing w:line="500" w:lineRule="exact"/>
              <w:ind w:left="0" w:leftChars="0" w:right="0" w:rightChars="0" w:firstLine="0" w:firstLineChars="0"/>
              <w:jc w:val="center"/>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资质条件</w:t>
            </w:r>
          </w:p>
        </w:tc>
        <w:tc>
          <w:tcPr>
            <w:tcW w:w="6223" w:type="dxa"/>
            <w:noWrap w:val="0"/>
            <w:vAlign w:val="center"/>
          </w:tcPr>
          <w:p>
            <w:pPr>
              <w:keepNext w:val="0"/>
              <w:keepLines w:val="0"/>
              <w:pageBreakBefore w:val="0"/>
              <w:kinsoku/>
              <w:wordWrap/>
              <w:overflowPunct/>
              <w:topLinePunct w:val="0"/>
              <w:bidi w:val="0"/>
              <w:spacing w:line="500" w:lineRule="exact"/>
              <w:ind w:right="0" w:rightChars="0"/>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9.1</w:t>
            </w:r>
            <w:r>
              <w:rPr>
                <w:rFonts w:hint="eastAsia" w:ascii="仿宋" w:hAnsi="仿宋" w:eastAsia="仿宋" w:cs="仿宋"/>
                <w:bCs/>
                <w:sz w:val="28"/>
                <w:szCs w:val="28"/>
                <w:highlight w:val="none"/>
                <w:lang w:eastAsia="zh-CN"/>
              </w:rPr>
              <w:t>提供有效的建筑机电安装工程专业承包三级及以上资质；</w:t>
            </w:r>
          </w:p>
          <w:p>
            <w:pPr>
              <w:keepNext w:val="0"/>
              <w:keepLines w:val="0"/>
              <w:pageBreakBefore w:val="0"/>
              <w:kinsoku/>
              <w:wordWrap/>
              <w:overflowPunct/>
              <w:topLinePunct w:val="0"/>
              <w:bidi w:val="0"/>
              <w:spacing w:line="500" w:lineRule="exact"/>
              <w:ind w:right="0" w:rightChars="0"/>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9.2</w:t>
            </w:r>
            <w:r>
              <w:rPr>
                <w:rFonts w:hint="eastAsia" w:ascii="仿宋" w:hAnsi="仿宋" w:eastAsia="仿宋" w:cs="仿宋"/>
                <w:bCs/>
                <w:sz w:val="28"/>
                <w:szCs w:val="28"/>
                <w:highlight w:val="none"/>
                <w:lang w:eastAsia="zh-CN"/>
              </w:rPr>
              <w:t>提供有效的施工企业安全生产许可证；</w:t>
            </w:r>
          </w:p>
          <w:p>
            <w:pPr>
              <w:keepNext w:val="0"/>
              <w:keepLines w:val="0"/>
              <w:pageBreakBefore w:val="0"/>
              <w:kinsoku/>
              <w:wordWrap/>
              <w:overflowPunct/>
              <w:topLinePunct w:val="0"/>
              <w:bidi w:val="0"/>
              <w:spacing w:line="500" w:lineRule="exact"/>
              <w:ind w:right="0" w:rightChars="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9.3</w:t>
            </w:r>
            <w:r>
              <w:rPr>
                <w:rFonts w:hint="eastAsia" w:ascii="仿宋" w:hAnsi="仿宋" w:eastAsia="仿宋" w:cs="仿宋"/>
                <w:bCs/>
                <w:sz w:val="28"/>
                <w:szCs w:val="28"/>
                <w:highlight w:val="none"/>
                <w:lang w:eastAsia="zh-CN"/>
              </w:rPr>
              <w:t>项目经理须具备机电工程专业二级及以上注册建造师证书，有效的安全生产考核合格证书（建安B证），提供无在建项目承诺。</w:t>
            </w:r>
          </w:p>
        </w:tc>
      </w:tr>
    </w:tbl>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eastAsia="zh-CN"/>
        </w:rPr>
      </w:pP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lang w:val="en-US" w:eastAsia="zh-CN"/>
        </w:rPr>
        <w:t>供应商对资格证明文件的真实性、合法性承担法律责任；</w:t>
      </w: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lang w:val="en-US" w:eastAsia="zh-CN"/>
        </w:rPr>
        <w:t>由采购人对上述资料进行审查，以上内容有一项不符合要求，则投标文件的资格标审查为不合格，投标文件无效，无资格进入后续评审阶段。</w:t>
      </w: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p>
    <w:p>
      <w:pPr>
        <w:numPr>
          <w:ilvl w:val="0"/>
          <w:numId w:val="0"/>
        </w:numPr>
        <w:rPr>
          <w:rFonts w:hint="eastAsia" w:ascii="仿宋" w:hAnsi="仿宋" w:eastAsia="仿宋" w:cs="仿宋"/>
          <w:b/>
          <w:bCs/>
          <w:sz w:val="28"/>
          <w:szCs w:val="28"/>
          <w:highlight w:val="none"/>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2、符合性审查</w:t>
      </w:r>
    </w:p>
    <w:tbl>
      <w:tblPr>
        <w:tblStyle w:val="28"/>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46"/>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top"/>
          </w:tcPr>
          <w:p>
            <w:pPr>
              <w:adjustRightInd w:val="0"/>
              <w:snapToGrid w:val="0"/>
              <w:spacing w:line="54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093"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rPr>
            </w:pPr>
            <w:r>
              <w:rPr>
                <w:rFonts w:hint="eastAsia" w:ascii="仿宋" w:hAnsi="仿宋" w:eastAsia="仿宋" w:cs="仿宋"/>
                <w:b/>
                <w:bCs/>
                <w:sz w:val="28"/>
                <w:szCs w:val="28"/>
              </w:rPr>
              <w:t>审查内容</w:t>
            </w:r>
          </w:p>
        </w:tc>
        <w:tc>
          <w:tcPr>
            <w:tcW w:w="1395"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文件无投标有效期或有效期达不到</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的要求</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货物</w:t>
            </w:r>
            <w:r>
              <w:rPr>
                <w:rFonts w:hint="eastAsia" w:ascii="仿宋" w:hAnsi="仿宋" w:eastAsia="仿宋" w:cs="仿宋"/>
                <w:sz w:val="28"/>
                <w:szCs w:val="28"/>
                <w:highlight w:val="none"/>
              </w:rPr>
              <w:t>递交两份或多份内容不同的</w:t>
            </w: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，未书面声明哪一份是有效的,出现选择性报价的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3" w:type="dxa"/>
            <w:noWrap w:val="0"/>
            <w:vAlign w:val="center"/>
          </w:tcPr>
          <w:p>
            <w:pPr>
              <w:adjustRightInd w:val="0"/>
              <w:snapToGrid w:val="0"/>
              <w:spacing w:line="500" w:lineRule="exact"/>
              <w:jc w:val="center"/>
              <w:rPr>
                <w:rFonts w:hint="eastAsia" w:ascii="仿宋" w:hAnsi="仿宋" w:eastAsia="仿宋" w:cs="仿宋"/>
                <w:color w:val="auto"/>
                <w:sz w:val="28"/>
                <w:szCs w:val="28"/>
                <w:highlight w:val="green"/>
                <w:lang w:val="en-US" w:eastAsia="zh-CN"/>
              </w:rPr>
            </w:pPr>
            <w:r>
              <w:rPr>
                <w:rFonts w:hint="eastAsia" w:ascii="仿宋" w:hAnsi="仿宋" w:eastAsia="仿宋" w:cs="仿宋"/>
                <w:sz w:val="28"/>
                <w:szCs w:val="28"/>
              </w:rPr>
              <w:t>5</w:t>
            </w:r>
          </w:p>
        </w:tc>
        <w:tc>
          <w:tcPr>
            <w:tcW w:w="6146" w:type="dxa"/>
            <w:noWrap w:val="0"/>
            <w:vAlign w:val="center"/>
          </w:tcPr>
          <w:p>
            <w:pPr>
              <w:adjustRightInd w:val="0"/>
              <w:snapToGrid w:val="0"/>
              <w:spacing w:line="500" w:lineRule="exact"/>
              <w:rPr>
                <w:rFonts w:hint="eastAsia" w:ascii="仿宋" w:hAnsi="仿宋" w:eastAsia="仿宋" w:cs="仿宋"/>
                <w:sz w:val="28"/>
                <w:szCs w:val="28"/>
                <w:highlight w:val="green"/>
                <w:lang w:eastAsia="zh-CN"/>
              </w:rPr>
            </w:pPr>
            <w:r>
              <w:rPr>
                <w:rFonts w:hint="eastAsia" w:ascii="仿宋" w:hAnsi="仿宋" w:eastAsia="仿宋" w:cs="仿宋"/>
                <w:sz w:val="28"/>
                <w:szCs w:val="28"/>
              </w:rPr>
              <w:t>明显不符合商务、技术要求，存在重大负偏离的</w:t>
            </w:r>
          </w:p>
        </w:tc>
        <w:tc>
          <w:tcPr>
            <w:tcW w:w="2773" w:type="dxa"/>
            <w:noWrap w:val="0"/>
            <w:vAlign w:val="center"/>
          </w:tcPr>
          <w:p>
            <w:pPr>
              <w:adjustRightInd w:val="0"/>
              <w:snapToGrid w:val="0"/>
              <w:spacing w:line="500" w:lineRule="exact"/>
              <w:jc w:val="center"/>
              <w:rPr>
                <w:rFonts w:hint="eastAsia" w:ascii="仿宋" w:hAnsi="仿宋" w:eastAsia="仿宋" w:cs="仿宋"/>
                <w:sz w:val="28"/>
                <w:szCs w:val="28"/>
                <w:highlight w:val="green"/>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附有采购人不能接受的条件的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不符合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规定的其他实质性要求的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违反《中华人民共和国政府采购法》和其他相关法律、法规的规定</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bl>
    <w:p>
      <w:pPr>
        <w:pStyle w:val="18"/>
        <w:rPr>
          <w:rFonts w:hint="eastAsia" w:ascii="仿宋" w:hAnsi="仿宋" w:eastAsia="仿宋" w:cs="仿宋"/>
          <w:b/>
          <w:bCs/>
          <w:sz w:val="28"/>
          <w:szCs w:val="28"/>
          <w:highlight w:val="none"/>
          <w:lang w:eastAsia="zh-CN"/>
        </w:rPr>
      </w:pPr>
    </w:p>
    <w:p>
      <w:pPr>
        <w:pStyle w:val="18"/>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rPr>
        <w:t>由</w:t>
      </w:r>
      <w:r>
        <w:rPr>
          <w:rFonts w:hint="eastAsia" w:ascii="仿宋" w:hAnsi="仿宋" w:cs="仿宋"/>
          <w:b/>
          <w:bCs/>
          <w:sz w:val="28"/>
          <w:szCs w:val="28"/>
          <w:lang w:eastAsia="zh-CN"/>
        </w:rPr>
        <w:t>评标委员会</w:t>
      </w:r>
      <w:r>
        <w:rPr>
          <w:rFonts w:hint="eastAsia" w:ascii="仿宋" w:hAnsi="仿宋" w:eastAsia="仿宋" w:cs="仿宋"/>
          <w:b/>
          <w:bCs/>
          <w:sz w:val="28"/>
          <w:szCs w:val="28"/>
        </w:rPr>
        <w:t>对上述资料进行审查，以上内容有一项不符合要求，则</w:t>
      </w:r>
      <w:r>
        <w:rPr>
          <w:rFonts w:hint="eastAsia" w:ascii="仿宋" w:hAnsi="仿宋" w:cs="仿宋"/>
          <w:b/>
          <w:bCs/>
          <w:sz w:val="28"/>
          <w:szCs w:val="28"/>
          <w:lang w:eastAsia="zh-CN"/>
        </w:rPr>
        <w:t>投标文件</w:t>
      </w:r>
      <w:r>
        <w:rPr>
          <w:rFonts w:hint="eastAsia" w:ascii="仿宋" w:hAnsi="仿宋" w:eastAsia="仿宋" w:cs="仿宋"/>
          <w:b/>
          <w:bCs/>
          <w:sz w:val="28"/>
          <w:szCs w:val="28"/>
        </w:rPr>
        <w:t>的符合性审查为不合格，</w:t>
      </w:r>
      <w:r>
        <w:rPr>
          <w:rFonts w:hint="eastAsia" w:ascii="仿宋" w:hAnsi="仿宋" w:cs="仿宋"/>
          <w:b/>
          <w:bCs/>
          <w:sz w:val="28"/>
          <w:szCs w:val="28"/>
          <w:lang w:eastAsia="zh-CN"/>
        </w:rPr>
        <w:t>投标文件</w:t>
      </w:r>
      <w:r>
        <w:rPr>
          <w:rFonts w:hint="eastAsia" w:ascii="仿宋" w:hAnsi="仿宋" w:eastAsia="仿宋" w:cs="仿宋"/>
          <w:b/>
          <w:bCs/>
          <w:sz w:val="28"/>
          <w:szCs w:val="28"/>
        </w:rPr>
        <w:t>无效，无资格进入后续评审阶段</w:t>
      </w:r>
      <w:r>
        <w:rPr>
          <w:rFonts w:hint="eastAsia" w:ascii="仿宋" w:hAnsi="仿宋" w:cs="仿宋"/>
          <w:b/>
          <w:bCs/>
          <w:sz w:val="28"/>
          <w:szCs w:val="28"/>
          <w:lang w:eastAsia="zh-CN"/>
        </w:rPr>
        <w:t>。</w:t>
      </w: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pStyle w:val="25"/>
        <w:outlineLvl w:val="9"/>
        <w:rPr>
          <w:rFonts w:hint="eastAsia" w:ascii="仿宋" w:hAnsi="仿宋" w:eastAsia="仿宋" w:cs="仿宋"/>
          <w:sz w:val="28"/>
          <w:szCs w:val="28"/>
          <w:highlight w:val="none"/>
        </w:rPr>
      </w:pPr>
    </w:p>
    <w:p>
      <w:pPr>
        <w:outlineLvl w:val="9"/>
        <w:rPr>
          <w:rFonts w:hint="eastAsia" w:ascii="仿宋" w:hAnsi="仿宋" w:eastAsia="仿宋" w:cs="仿宋"/>
          <w:sz w:val="28"/>
          <w:szCs w:val="28"/>
          <w:highlight w:val="none"/>
        </w:rPr>
      </w:pPr>
    </w:p>
    <w:p>
      <w:pPr>
        <w:pStyle w:val="25"/>
        <w:outlineLvl w:val="9"/>
        <w:rPr>
          <w:rFonts w:hint="eastAsia"/>
        </w:rPr>
      </w:pPr>
    </w:p>
    <w:p>
      <w:pPr>
        <w:pStyle w:val="12"/>
        <w:outlineLvl w:val="9"/>
        <w:rPr>
          <w:rFonts w:hint="eastAsia"/>
        </w:rPr>
      </w:pPr>
    </w:p>
    <w:p>
      <w:pPr>
        <w:spacing w:line="500" w:lineRule="exact"/>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lang w:val="en-US" w:eastAsia="zh-CN" w:bidi="ar"/>
        </w:rPr>
        <w:t>商务及技术</w:t>
      </w:r>
      <w:r>
        <w:rPr>
          <w:rFonts w:hint="eastAsia" w:ascii="仿宋" w:hAnsi="仿宋" w:eastAsia="仿宋" w:cs="仿宋"/>
          <w:b w:val="0"/>
          <w:bCs w:val="0"/>
          <w:sz w:val="28"/>
          <w:szCs w:val="28"/>
          <w:lang w:bidi="ar"/>
        </w:rPr>
        <w:t>标</w:t>
      </w:r>
      <w:r>
        <w:rPr>
          <w:rFonts w:hint="eastAsia" w:ascii="仿宋" w:hAnsi="仿宋" w:eastAsia="仿宋" w:cs="仿宋"/>
          <w:b w:val="0"/>
          <w:bCs w:val="0"/>
          <w:sz w:val="28"/>
          <w:szCs w:val="28"/>
          <w:highlight w:val="none"/>
        </w:rPr>
        <w:t>评分标准及办法</w:t>
      </w:r>
    </w:p>
    <w:p>
      <w:pPr>
        <w:spacing w:line="500" w:lineRule="exact"/>
        <w:ind w:firstLine="560" w:firstLineChars="200"/>
        <w:rPr>
          <w:highlight w:val="none"/>
        </w:rPr>
      </w:pPr>
      <w:r>
        <w:rPr>
          <w:rFonts w:hint="eastAsia" w:ascii="仿宋" w:hAnsi="仿宋" w:eastAsia="仿宋" w:cs="仿宋"/>
          <w:sz w:val="28"/>
          <w:szCs w:val="28"/>
          <w:highlight w:val="none"/>
          <w:lang w:bidi="ar"/>
        </w:rPr>
        <w:t>满分：100分，综合评分法。各分项分值分配如下：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3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79"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报价</w:t>
            </w:r>
          </w:p>
        </w:tc>
        <w:tc>
          <w:tcPr>
            <w:tcW w:w="830" w:type="dxa"/>
            <w:vAlign w:val="center"/>
          </w:tcPr>
          <w:p>
            <w:pPr>
              <w:spacing w:line="49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分</w:t>
            </w:r>
          </w:p>
        </w:tc>
        <w:tc>
          <w:tcPr>
            <w:tcW w:w="7611" w:type="dxa"/>
            <w:vAlign w:val="center"/>
          </w:tcPr>
          <w:p>
            <w:pPr>
              <w:spacing w:line="49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价格分采用低价优先法计算，即满足招标文件要求且投标报价最低的投标报价为评标基准价，其价格分为满分。其他供应商的价格分统一按照下列公式计算：</w:t>
            </w:r>
          </w:p>
          <w:p>
            <w:pPr>
              <w:spacing w:line="49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投标报价得分=（评标基准价/有效报价）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bidi="ar"/>
              </w:rPr>
              <w:t>价格权值（</w:t>
            </w:r>
            <w:r>
              <w:rPr>
                <w:rFonts w:hint="eastAsia" w:ascii="仿宋" w:hAnsi="仿宋" w:eastAsia="仿宋" w:cs="仿宋"/>
                <w:color w:val="auto"/>
                <w:sz w:val="28"/>
                <w:szCs w:val="28"/>
                <w:highlight w:val="none"/>
                <w:lang w:val="en-US" w:eastAsia="zh-CN" w:bidi="ar"/>
              </w:rPr>
              <w:t>50</w:t>
            </w:r>
            <w:r>
              <w:rPr>
                <w:rFonts w:hint="eastAsia" w:ascii="仿宋" w:hAnsi="仿宋" w:eastAsia="仿宋" w:cs="仿宋"/>
                <w:color w:val="auto"/>
                <w:sz w:val="28"/>
                <w:szCs w:val="28"/>
                <w:highlight w:val="none"/>
                <w:lang w:bidi="ar"/>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79"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商务</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部分</w:t>
            </w:r>
          </w:p>
        </w:tc>
        <w:tc>
          <w:tcPr>
            <w:tcW w:w="83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通过资格和符合性审查的供应商，对商务要求完全响应招标文件要求的得2分。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技术</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37</w:t>
            </w:r>
            <w:r>
              <w:rPr>
                <w:rFonts w:hint="eastAsia" w:ascii="仿宋" w:hAnsi="仿宋" w:eastAsia="仿宋" w:cs="仿宋"/>
                <w:sz w:val="28"/>
                <w:szCs w:val="28"/>
                <w:highlight w:val="none"/>
              </w:rPr>
              <w:t>分</w:t>
            </w:r>
          </w:p>
        </w:tc>
        <w:tc>
          <w:tcPr>
            <w:tcW w:w="761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1、提供所投产品技术参数指标，</w:t>
            </w:r>
            <w:r>
              <w:rPr>
                <w:rFonts w:hint="eastAsia" w:ascii="仿宋" w:hAnsi="仿宋" w:eastAsia="仿宋" w:cs="仿宋"/>
                <w:b/>
                <w:bCs/>
                <w:sz w:val="28"/>
                <w:szCs w:val="28"/>
                <w:highlight w:val="none"/>
                <w:lang w:val="en-US" w:eastAsia="zh-CN"/>
              </w:rPr>
              <w:t>本项满分15分</w:t>
            </w:r>
            <w:r>
              <w:rPr>
                <w:rFonts w:hint="eastAsia" w:ascii="仿宋" w:hAnsi="仿宋" w:eastAsia="仿宋" w:cs="仿宋"/>
                <w:sz w:val="28"/>
                <w:szCs w:val="28"/>
                <w:highlight w:val="none"/>
                <w:lang w:val="en-US" w:eastAsia="zh-CN"/>
              </w:rPr>
              <w:t>。所投产品技术参数、选型、配置、功能满足招标文件要求，性价比高、性能质量可靠性好、适应用户当前需要计10.1～15分；所投产品技术参数、选型、配置、功能基本满足，性价比、性能质量较好计计5.1～10分；所投产品性价比、性能质量一般计1～5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2、所投产品相关资料：投标产品附有详细的产品技术资料（包括但不限于产品来源渠道、产品说明书、产品质量检测报告等），</w:t>
            </w:r>
            <w:r>
              <w:rPr>
                <w:rFonts w:hint="eastAsia" w:ascii="仿宋" w:hAnsi="仿宋" w:eastAsia="仿宋" w:cs="仿宋"/>
                <w:b/>
                <w:bCs/>
                <w:color w:val="auto"/>
                <w:sz w:val="28"/>
                <w:szCs w:val="28"/>
                <w:highlight w:val="none"/>
                <w:lang w:val="en-US" w:eastAsia="zh-CN"/>
              </w:rPr>
              <w:t>本项满分8分</w:t>
            </w:r>
            <w:r>
              <w:rPr>
                <w:rFonts w:hint="eastAsia" w:ascii="仿宋" w:hAnsi="仿宋" w:eastAsia="仿宋" w:cs="仿宋"/>
                <w:color w:val="auto"/>
                <w:sz w:val="28"/>
                <w:szCs w:val="28"/>
                <w:highlight w:val="none"/>
                <w:lang w:val="en-US" w:eastAsia="zh-CN"/>
              </w:rPr>
              <w:t>。技术资料详细完整，计4.1～8分；技术资料较详细，计1～5分。</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3、针对本项</w:t>
            </w:r>
            <w:r>
              <w:rPr>
                <w:rFonts w:hint="eastAsia" w:ascii="仿宋" w:hAnsi="仿宋" w:eastAsia="仿宋" w:cs="仿宋"/>
                <w:b w:val="0"/>
                <w:bCs w:val="0"/>
                <w:color w:val="auto"/>
                <w:kern w:val="2"/>
                <w:sz w:val="28"/>
                <w:szCs w:val="28"/>
                <w:highlight w:val="none"/>
                <w:lang w:val="en-US" w:eastAsia="zh-CN" w:bidi="ar-SA"/>
              </w:rPr>
              <w:t>目特点制定整体实施方案，</w:t>
            </w:r>
            <w:r>
              <w:rPr>
                <w:rFonts w:hint="eastAsia" w:ascii="仿宋" w:hAnsi="仿宋" w:eastAsia="仿宋" w:cs="仿宋"/>
                <w:b/>
                <w:bCs/>
                <w:color w:val="auto"/>
                <w:kern w:val="2"/>
                <w:sz w:val="28"/>
                <w:szCs w:val="28"/>
                <w:highlight w:val="none"/>
                <w:lang w:val="en-US" w:eastAsia="zh-CN" w:bidi="ar-SA"/>
              </w:rPr>
              <w:t>本项满分</w:t>
            </w:r>
            <w:r>
              <w:rPr>
                <w:rFonts w:hint="eastAsia" w:ascii="仿宋" w:hAnsi="仿宋" w:cs="仿宋"/>
                <w:b/>
                <w:bCs/>
                <w:color w:val="auto"/>
                <w:kern w:val="2"/>
                <w:sz w:val="28"/>
                <w:szCs w:val="28"/>
                <w:highlight w:val="none"/>
                <w:lang w:val="en-US" w:eastAsia="zh-CN" w:bidi="ar-SA"/>
              </w:rPr>
              <w:t>6</w:t>
            </w:r>
            <w:r>
              <w:rPr>
                <w:rFonts w:hint="eastAsia" w:ascii="仿宋" w:hAnsi="仿宋" w:eastAsia="仿宋" w:cs="仿宋"/>
                <w:b/>
                <w:bCs/>
                <w:color w:val="auto"/>
                <w:kern w:val="2"/>
                <w:sz w:val="28"/>
                <w:szCs w:val="28"/>
                <w:highlight w:val="none"/>
                <w:lang w:val="en-US" w:eastAsia="zh-CN" w:bidi="ar-SA"/>
              </w:rPr>
              <w:t>分。</w:t>
            </w:r>
            <w:r>
              <w:rPr>
                <w:rFonts w:hint="eastAsia" w:ascii="仿宋" w:hAnsi="仿宋" w:eastAsia="仿宋" w:cs="仿宋"/>
                <w:b w:val="0"/>
                <w:bCs w:val="0"/>
                <w:color w:val="auto"/>
                <w:kern w:val="2"/>
                <w:sz w:val="28"/>
                <w:szCs w:val="28"/>
                <w:highlight w:val="none"/>
                <w:lang w:val="en-US" w:eastAsia="zh-CN" w:bidi="ar-SA"/>
              </w:rPr>
              <w:t>整体实施方案针对性强，对用户及项目了解全面，内容完整、可行性强；能够安全、保质、保量完成，计</w:t>
            </w:r>
            <w:r>
              <w:rPr>
                <w:rFonts w:hint="eastAsia" w:ascii="仿宋" w:hAnsi="仿宋" w:cs="仿宋"/>
                <w:b w:val="0"/>
                <w:bCs w:val="0"/>
                <w:color w:val="auto"/>
                <w:kern w:val="2"/>
                <w:sz w:val="28"/>
                <w:szCs w:val="28"/>
                <w:highlight w:val="none"/>
                <w:lang w:val="en-US" w:eastAsia="zh-CN" w:bidi="ar-SA"/>
              </w:rPr>
              <w:t>3.1</w:t>
            </w:r>
            <w:r>
              <w:rPr>
                <w:rFonts w:hint="eastAsia" w:ascii="仿宋" w:hAnsi="仿宋" w:eastAsia="仿宋" w:cs="仿宋"/>
                <w:b w:val="0"/>
                <w:bCs w:val="0"/>
                <w:color w:val="auto"/>
                <w:kern w:val="2"/>
                <w:sz w:val="28"/>
                <w:szCs w:val="28"/>
                <w:highlight w:val="none"/>
                <w:lang w:val="en-US" w:eastAsia="zh-CN" w:bidi="ar-SA"/>
              </w:rPr>
              <w:t>～6分；实施方案针对性不强，未考虑到物资特点及用户实际需求，质量保证措施一般，计1～3分</w:t>
            </w:r>
            <w:r>
              <w:rPr>
                <w:rFonts w:hint="eastAsia" w:ascii="仿宋" w:hAnsi="仿宋" w:eastAsia="仿宋" w:cs="仿宋"/>
                <w:sz w:val="28"/>
                <w:szCs w:val="28"/>
                <w:highlight w:val="none"/>
                <w:lang w:val="en-US" w:eastAsia="zh-CN"/>
              </w:rPr>
              <w:t>。</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color w:val="auto"/>
                <w:kern w:val="0"/>
                <w:sz w:val="28"/>
                <w:szCs w:val="28"/>
                <w:highlight w:val="none"/>
                <w:lang w:val="en-US" w:eastAsia="zh-CN" w:bidi="ar-SA"/>
              </w:rPr>
              <w:t>提供拟派本项目工作人员组成情况</w:t>
            </w:r>
            <w:r>
              <w:rPr>
                <w:rFonts w:hint="eastAsia" w:ascii="仿宋" w:hAnsi="仿宋" w:eastAsia="仿宋" w:cs="仿宋"/>
                <w:color w:val="auto"/>
                <w:kern w:val="0"/>
                <w:sz w:val="28"/>
                <w:szCs w:val="28"/>
                <w:highlight w:val="none"/>
                <w:lang w:val="zh-CN" w:eastAsia="zh-CN" w:bidi="ar-SA"/>
              </w:rPr>
              <w:t>（有具体成员名单，包括姓名、工作经验、工作职责、联系方式等）</w:t>
            </w:r>
            <w:r>
              <w:rPr>
                <w:rFonts w:hint="eastAsia" w:ascii="仿宋" w:hAnsi="仿宋" w:eastAsia="仿宋" w:cs="仿宋"/>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根据人</w:t>
            </w:r>
            <w:r>
              <w:rPr>
                <w:rFonts w:hint="eastAsia" w:ascii="仿宋" w:hAnsi="仿宋" w:eastAsia="仿宋" w:cs="仿宋"/>
                <w:color w:val="auto"/>
                <w:kern w:val="0"/>
                <w:sz w:val="28"/>
                <w:szCs w:val="28"/>
                <w:highlight w:val="none"/>
                <w:lang w:val="en-US" w:eastAsia="zh-CN" w:bidi="ar-SA"/>
              </w:rPr>
              <w:t>员配置、结构、分工等，计1～4分。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
                <w:lang w:eastAsia="zh-CN"/>
              </w:rPr>
            </w:pPr>
            <w:r>
              <w:rPr>
                <w:rFonts w:hint="eastAsia" w:ascii="仿宋" w:hAnsi="仿宋" w:eastAsia="仿宋" w:cs="仿宋"/>
                <w:b w:val="0"/>
                <w:bCs w:val="0"/>
                <w:color w:val="auto"/>
                <w:sz w:val="28"/>
                <w:szCs w:val="28"/>
                <w:highlight w:val="none"/>
                <w:lang w:val="en-US" w:eastAsia="zh-CN"/>
              </w:rPr>
              <w:t>5、提供</w:t>
            </w:r>
            <w:r>
              <w:rPr>
                <w:rFonts w:hint="eastAsia" w:ascii="仿宋" w:hAnsi="仿宋" w:eastAsia="仿宋" w:cs="仿宋"/>
                <w:b w:val="0"/>
                <w:bCs w:val="0"/>
                <w:sz w:val="28"/>
                <w:szCs w:val="28"/>
                <w:highlight w:val="none"/>
              </w:rPr>
              <w:t>确保工程质量、安全生产、文明施工及环</w:t>
            </w:r>
            <w:r>
              <w:rPr>
                <w:rFonts w:hint="eastAsia" w:ascii="仿宋" w:hAnsi="仿宋" w:eastAsia="仿宋" w:cs="仿宋"/>
                <w:b w:val="0"/>
                <w:bCs w:val="0"/>
                <w:sz w:val="28"/>
                <w:szCs w:val="28"/>
                <w:highlight w:val="none"/>
                <w:lang w:eastAsia="zh-CN"/>
              </w:rPr>
              <w:t>境保护</w:t>
            </w:r>
            <w:r>
              <w:rPr>
                <w:rFonts w:hint="eastAsia" w:ascii="仿宋" w:hAnsi="仿宋" w:eastAsia="仿宋" w:cs="仿宋"/>
                <w:b w:val="0"/>
                <w:bCs w:val="0"/>
                <w:sz w:val="28"/>
                <w:szCs w:val="28"/>
                <w:highlight w:val="none"/>
              </w:rPr>
              <w:t>的技术组织措施，</w:t>
            </w:r>
            <w:r>
              <w:rPr>
                <w:rFonts w:hint="eastAsia" w:ascii="仿宋" w:hAnsi="仿宋" w:eastAsia="仿宋" w:cs="仿宋"/>
                <w:b w:val="0"/>
                <w:bCs w:val="0"/>
                <w:sz w:val="28"/>
                <w:szCs w:val="28"/>
                <w:highlight w:val="none"/>
                <w:lang w:eastAsia="zh-CN"/>
              </w:rPr>
              <w:t>根据</w:t>
            </w:r>
            <w:r>
              <w:rPr>
                <w:rFonts w:hint="eastAsia" w:ascii="仿宋" w:hAnsi="仿宋" w:eastAsia="仿宋" w:cs="仿宋"/>
                <w:b w:val="0"/>
                <w:bCs w:val="0"/>
                <w:sz w:val="28"/>
                <w:szCs w:val="28"/>
                <w:highlight w:val="none"/>
              </w:rPr>
              <w:t>技术组织措施</w:t>
            </w:r>
            <w:r>
              <w:rPr>
                <w:rFonts w:hint="eastAsia" w:ascii="仿宋" w:hAnsi="仿宋" w:eastAsia="仿宋" w:cs="仿宋"/>
                <w:b w:val="0"/>
                <w:bCs w:val="0"/>
                <w:sz w:val="28"/>
                <w:szCs w:val="28"/>
                <w:highlight w:val="none"/>
                <w:lang w:val="en-US" w:eastAsia="zh-CN"/>
              </w:rPr>
              <w:t>内容计1</w:t>
            </w:r>
            <w:r>
              <w:rPr>
                <w:rFonts w:hint="eastAsia" w:ascii="仿宋" w:hAnsi="仿宋" w:eastAsia="仿宋" w:cs="仿宋"/>
                <w:b w:val="0"/>
                <w:bCs w:val="0"/>
                <w:color w:val="auto"/>
                <w:kern w:val="0"/>
                <w:sz w:val="28"/>
                <w:szCs w:val="28"/>
                <w:highlight w:val="none"/>
                <w:lang w:val="en-US" w:eastAsia="zh-CN" w:bidi="ar-SA"/>
              </w:rPr>
              <w:t>～4分</w:t>
            </w:r>
            <w:r>
              <w:rPr>
                <w:rFonts w:hint="eastAsia" w:ascii="仿宋" w:hAnsi="仿宋" w:cs="仿宋"/>
                <w:b w:val="0"/>
                <w:bCs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9"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业绩</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证明</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color w:val="auto"/>
                <w:sz w:val="28"/>
                <w:szCs w:val="28"/>
                <w:highlight w:val="none"/>
                <w:lang w:eastAsia="zh-CN"/>
              </w:rPr>
              <w:t>提供20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lang w:eastAsia="zh-CN"/>
              </w:rPr>
              <w:t>年1月1日以来供应商类似</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eastAsia="zh-CN"/>
              </w:rPr>
              <w:t>的业绩合同（以合同签订日期为准），附业绩合同复印件加盖公章</w:t>
            </w:r>
            <w:r>
              <w:rPr>
                <w:rFonts w:hint="eastAsia" w:ascii="仿宋" w:hAnsi="仿宋" w:eastAsia="仿宋" w:cs="仿宋"/>
                <w:color w:val="auto"/>
                <w:sz w:val="28"/>
                <w:szCs w:val="28"/>
                <w:highlight w:val="none"/>
              </w:rPr>
              <w:t>，每份</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79" w:type="dxa"/>
            <w:vAlign w:val="center"/>
          </w:tcPr>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w:t>
            </w:r>
          </w:p>
          <w:p>
            <w:pPr>
              <w:spacing w:line="49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eastAsia="zh-CN"/>
              </w:rPr>
              <w:t>承诺</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p>
        </w:tc>
        <w:tc>
          <w:tcPr>
            <w:tcW w:w="7611" w:type="dxa"/>
          </w:tcPr>
          <w:p>
            <w:pPr>
              <w:keepNext w:val="0"/>
              <w:keepLines w:val="0"/>
              <w:pageBreakBefore w:val="0"/>
              <w:widowControl w:val="0"/>
              <w:kinsoku/>
              <w:wordWrap/>
              <w:overflowPunct/>
              <w:topLinePunct w:val="0"/>
              <w:autoSpaceDE/>
              <w:autoSpaceDN/>
              <w:bidi w:val="0"/>
              <w:adjustRightInd/>
              <w:snapToGrid/>
              <w:spacing w:line="490" w:lineRule="exact"/>
              <w:jc w:val="both"/>
              <w:textAlignment w:val="auto"/>
              <w:rPr>
                <w:highlight w:val="none"/>
              </w:rPr>
            </w:pPr>
            <w:r>
              <w:rPr>
                <w:rFonts w:hint="default" w:ascii="仿宋" w:hAnsi="仿宋" w:eastAsia="仿宋" w:cs="仿宋"/>
                <w:color w:val="auto"/>
                <w:sz w:val="28"/>
                <w:szCs w:val="28"/>
                <w:highlight w:val="none"/>
                <w:lang w:val="en-US" w:eastAsia="zh-CN"/>
              </w:rPr>
              <w:t>完全承诺招标文件的要求，并针对本项目实际需求提供实质性承诺，包括售后</w:t>
            </w:r>
            <w:r>
              <w:rPr>
                <w:rFonts w:hint="default" w:ascii="仿宋" w:hAnsi="仿宋" w:eastAsia="仿宋" w:cs="仿宋"/>
                <w:color w:val="auto"/>
                <w:sz w:val="28"/>
                <w:szCs w:val="28"/>
                <w:highlight w:val="none"/>
                <w:lang w:val="en-US"/>
              </w:rPr>
              <w:t>服务措施、维修响应时间、零配件及易损件储备</w:t>
            </w:r>
            <w:r>
              <w:rPr>
                <w:rFonts w:hint="default" w:ascii="仿宋" w:hAnsi="仿宋" w:eastAsia="仿宋" w:cs="仿宋"/>
                <w:color w:val="auto"/>
                <w:sz w:val="28"/>
                <w:szCs w:val="28"/>
                <w:highlight w:val="none"/>
                <w:lang w:val="en-US" w:eastAsia="zh-CN"/>
              </w:rPr>
              <w:t>、发生故障后的补救措施等方面，根据响应程度</w:t>
            </w:r>
            <w:r>
              <w:rPr>
                <w:rFonts w:hint="default" w:ascii="仿宋" w:hAnsi="仿宋" w:eastAsia="仿宋" w:cs="仿宋"/>
                <w:color w:val="auto"/>
                <w:sz w:val="28"/>
                <w:szCs w:val="28"/>
                <w:highlight w:val="none"/>
                <w:lang w:val="en-US"/>
              </w:rPr>
              <w:t>计</w:t>
            </w:r>
            <w:r>
              <w:rPr>
                <w:rFonts w:hint="default"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rPr>
              <w:t>分</w:t>
            </w:r>
            <w:r>
              <w:rPr>
                <w:rFonts w:hint="eastAsia" w:ascii="仿宋" w:hAnsi="仿宋" w:eastAsia="仿宋" w:cs="仿宋"/>
                <w:color w:val="auto"/>
                <w:sz w:val="28"/>
                <w:szCs w:val="28"/>
                <w:highlight w:val="none"/>
                <w:lang w:val="en-US" w:eastAsia="zh-CN"/>
              </w:rPr>
              <w:t>。</w:t>
            </w:r>
          </w:p>
        </w:tc>
      </w:tr>
    </w:tbl>
    <w:p>
      <w:pPr>
        <w:keepNext w:val="0"/>
        <w:keepLines w:val="0"/>
        <w:pageBreakBefore w:val="0"/>
        <w:wordWrap/>
        <w:overflowPunct/>
        <w:autoSpaceDE/>
        <w:autoSpaceDN/>
        <w:bidi w:val="0"/>
        <w:spacing w:line="50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auto"/>
          <w:sz w:val="28"/>
          <w:szCs w:val="28"/>
          <w:highlight w:val="none"/>
        </w:rPr>
        <w:t>提供相同品牌产品</w:t>
      </w:r>
      <w:r>
        <w:rPr>
          <w:rFonts w:hint="eastAsia" w:ascii="仿宋" w:hAnsi="仿宋" w:eastAsia="仿宋" w:cs="仿宋"/>
          <w:color w:val="auto"/>
          <w:sz w:val="28"/>
          <w:szCs w:val="28"/>
          <w:highlight w:val="none"/>
          <w:lang w:eastAsia="zh-CN"/>
        </w:rPr>
        <w:t>（核心产品）</w:t>
      </w:r>
      <w:r>
        <w:rPr>
          <w:rFonts w:hint="eastAsia" w:ascii="仿宋" w:hAnsi="仿宋" w:eastAsia="仿宋" w:cs="仿宋"/>
          <w:sz w:val="28"/>
          <w:szCs w:val="28"/>
          <w:highlight w:val="none"/>
        </w:rPr>
        <w:t>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其他同品牌供应商不作为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（2）评委打分超过得分界限或未按本方法赋分时，该评委的打分按废票处理；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（3）各种计算数字均保留两位小数，第三位“四舍五入”；</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（4）评标委员会根据以上内容打分，由高到低进行，推荐出中标候选单位。评标委员会依据评审结果写出评标报告，送采购人审定。</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采购代理机构在整个评标工作结束后，将把售标、开标、评标及推荐中标全过程的情况以书面形式（评标报告）报送采购人审核，同时报监督管理机构审核备案。</w:t>
      </w:r>
    </w:p>
    <w:p>
      <w:pPr>
        <w:pStyle w:val="62"/>
        <w:keepNext w:val="0"/>
        <w:keepLines w:val="0"/>
        <w:pageBreakBefore w:val="0"/>
        <w:numPr>
          <w:ilvl w:val="0"/>
          <w:numId w:val="0"/>
        </w:numPr>
        <w:tabs>
          <w:tab w:val="clear" w:pos="851"/>
        </w:tabs>
        <w:wordWrap/>
        <w:overflowPunct/>
        <w:autoSpaceDE/>
        <w:autoSpaceDN/>
        <w:bidi w:val="0"/>
        <w:spacing w:line="500" w:lineRule="exact"/>
        <w:textAlignment w:val="auto"/>
        <w:outlineLvl w:val="9"/>
        <w:rPr>
          <w:rFonts w:hint="default" w:cs="仿宋"/>
          <w:szCs w:val="28"/>
          <w:highlight w:val="none"/>
        </w:rPr>
      </w:pPr>
      <w:bookmarkStart w:id="138" w:name="_Toc17238"/>
      <w:bookmarkStart w:id="139" w:name="_Toc20432"/>
      <w:bookmarkStart w:id="140" w:name="_Toc28539"/>
      <w:r>
        <w:rPr>
          <w:rFonts w:hint="eastAsia" w:cs="仿宋"/>
          <w:bCs/>
          <w:szCs w:val="28"/>
          <w:highlight w:val="none"/>
          <w:lang w:eastAsia="zh-CN"/>
        </w:rPr>
        <w:t>十</w:t>
      </w:r>
      <w:r>
        <w:rPr>
          <w:rFonts w:cs="仿宋"/>
          <w:bCs/>
          <w:szCs w:val="28"/>
          <w:highlight w:val="none"/>
        </w:rPr>
        <w:t>、</w:t>
      </w:r>
      <w:r>
        <w:rPr>
          <w:rFonts w:cs="仿宋"/>
          <w:szCs w:val="28"/>
          <w:highlight w:val="none"/>
        </w:rPr>
        <w:t>政策功能</w:t>
      </w:r>
      <w:bookmarkEnd w:id="138"/>
      <w:bookmarkEnd w:id="139"/>
      <w:bookmarkEnd w:id="140"/>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（1）小微企业</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在本项目中若提供的货物全部由符合政策要求的小微企业制造，</w:t>
      </w:r>
      <w:r>
        <w:rPr>
          <w:rFonts w:hint="eastAsia" w:ascii="仿宋" w:hAnsi="仿宋" w:eastAsia="仿宋" w:cs="仿宋"/>
          <w:color w:val="auto"/>
          <w:sz w:val="28"/>
          <w:szCs w:val="28"/>
          <w:highlight w:val="none"/>
          <w:lang w:val="zh-CN" w:eastAsia="zh-CN"/>
        </w:rPr>
        <w:t>报价给予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val="zh-CN" w:eastAsia="zh-CN"/>
        </w:rPr>
        <w:t>%的扣除，用扣除后的价格参加评审。</w:t>
      </w:r>
    </w:p>
    <w:p>
      <w:pPr>
        <w:pStyle w:val="24"/>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pPr>
        <w:pStyle w:val="27"/>
        <w:keepNext w:val="0"/>
        <w:keepLines w:val="0"/>
        <w:pageBreakBefore w:val="0"/>
        <w:widowControl w:val="0"/>
        <w:kinsoku/>
        <w:wordWrap/>
        <w:overflowPunct/>
        <w:topLinePunct w:val="0"/>
        <w:autoSpaceDE/>
        <w:autoSpaceDN/>
        <w:bidi w:val="0"/>
        <w:adjustRightInd w:val="0"/>
        <w:snapToGrid/>
        <w:spacing w:after="0" w:line="50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cs="仿宋"/>
          <w:b w:val="0"/>
          <w:bCs w:val="0"/>
          <w:kern w:val="2"/>
          <w:sz w:val="28"/>
          <w:szCs w:val="28"/>
          <w:highlight w:val="none"/>
          <w:lang w:val="en-US" w:eastAsia="zh-CN" w:bidi="ar-SA"/>
        </w:rPr>
        <w:t>③</w:t>
      </w:r>
      <w:r>
        <w:rPr>
          <w:rFonts w:hint="eastAsia" w:ascii="仿宋" w:hAnsi="仿宋" w:eastAsia="仿宋" w:cs="仿宋"/>
          <w:b w:val="0"/>
          <w:bCs w:val="0"/>
          <w:kern w:val="2"/>
          <w:sz w:val="28"/>
          <w:szCs w:val="28"/>
          <w:highlight w:val="none"/>
          <w:lang w:val="en-US" w:eastAsia="zh-CN" w:bidi="ar-SA"/>
        </w:rPr>
        <w:t>根据《政府采购促进中小企业发展管理办法》（财库〔2020〕46号）</w:t>
      </w:r>
      <w:r>
        <w:rPr>
          <w:rFonts w:hint="eastAsia" w:ascii="仿宋" w:hAnsi="仿宋" w:cs="仿宋"/>
          <w:b w:val="0"/>
          <w:bCs w:val="0"/>
          <w:kern w:val="2"/>
          <w:sz w:val="28"/>
          <w:szCs w:val="28"/>
          <w:highlight w:val="none"/>
          <w:lang w:val="en-US" w:eastAsia="zh-CN" w:bidi="ar-SA"/>
        </w:rPr>
        <w:t>的</w:t>
      </w:r>
      <w:r>
        <w:rPr>
          <w:rFonts w:hint="eastAsia" w:ascii="仿宋" w:hAnsi="仿宋" w:eastAsia="仿宋" w:cs="仿宋"/>
          <w:b w:val="0"/>
          <w:bCs w:val="0"/>
          <w:kern w:val="2"/>
          <w:sz w:val="28"/>
          <w:szCs w:val="28"/>
          <w:highlight w:val="none"/>
          <w:lang w:val="en-US" w:eastAsia="zh-CN" w:bidi="ar-SA"/>
        </w:rPr>
        <w:t>规定</w:t>
      </w:r>
      <w:r>
        <w:rPr>
          <w:rFonts w:hint="eastAsia" w:ascii="仿宋" w:hAnsi="仿宋" w:cs="仿宋"/>
          <w:b w:val="0"/>
          <w:bCs w:val="0"/>
          <w:kern w:val="2"/>
          <w:sz w:val="28"/>
          <w:szCs w:val="28"/>
          <w:highlight w:val="none"/>
          <w:lang w:val="en-US" w:eastAsia="zh-CN" w:bidi="ar-SA"/>
        </w:rPr>
        <w:t>，</w:t>
      </w:r>
      <w:r>
        <w:rPr>
          <w:rFonts w:hint="eastAsia" w:ascii="仿宋" w:hAnsi="仿宋" w:eastAsia="仿宋" w:cs="仿宋"/>
          <w:b w:val="0"/>
          <w:bCs w:val="0"/>
          <w:kern w:val="2"/>
          <w:sz w:val="28"/>
          <w:szCs w:val="28"/>
          <w:highlight w:val="none"/>
          <w:lang w:val="en-US" w:eastAsia="zh-CN" w:bidi="ar-SA"/>
        </w:rPr>
        <w:t>享受扶持政策获得政府采购合同的，小微企业不得将合同分包给大中型企业，中型企业不得将合同分包给大型企业</w:t>
      </w:r>
      <w:r>
        <w:rPr>
          <w:rFonts w:hint="eastAsia" w:ascii="仿宋" w:hAnsi="仿宋" w:cs="仿宋"/>
          <w:b w:val="0"/>
          <w:bCs w:val="0"/>
          <w:kern w:val="2"/>
          <w:sz w:val="28"/>
          <w:szCs w:val="28"/>
          <w:highlight w:val="none"/>
          <w:lang w:val="en-US" w:eastAsia="zh-CN" w:bidi="ar-SA"/>
        </w:rPr>
        <w:t>。</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textAlignment w:val="auto"/>
        <w:rPr>
          <w:rFonts w:hint="default" w:ascii="仿宋" w:hAnsi="仿宋" w:eastAsia="仿宋" w:cs="仿宋"/>
          <w:sz w:val="28"/>
          <w:szCs w:val="28"/>
          <w:lang w:val="en-US" w:eastAsia="zh-CN"/>
        </w:rPr>
      </w:pPr>
      <w:r>
        <w:rPr>
          <w:rFonts w:hint="eastAsia" w:ascii="仿宋" w:hAnsi="仿宋" w:eastAsia="仿宋" w:cs="仿宋"/>
          <w:i w:val="0"/>
          <w:iCs w:val="0"/>
          <w:caps w:val="0"/>
          <w:spacing w:val="0"/>
          <w:sz w:val="28"/>
          <w:szCs w:val="28"/>
          <w:shd w:val="clear" w:color="auto" w:fill="FFFFFF"/>
        </w:rPr>
        <w:t>未签订采购合同申请流程</w:t>
      </w:r>
    </w:p>
    <w:p>
      <w:pPr>
        <w:rPr>
          <w:rFonts w:hint="eastAsia" w:ascii="仿宋" w:hAnsi="仿宋" w:eastAsia="仿宋" w:cs="仿宋"/>
          <w:i w:val="0"/>
          <w:iCs w:val="0"/>
          <w:caps w:val="0"/>
          <w:spacing w:val="0"/>
          <w:sz w:val="28"/>
          <w:szCs w:val="28"/>
          <w:shd w:val="clear" w:color="auto" w:fill="FFFFFF"/>
        </w:rPr>
      </w:pPr>
      <w:r>
        <w:rPr>
          <w:rFonts w:hint="default"/>
          <w:lang w:val="en-US" w:eastAsia="zh-CN"/>
        </w:rPr>
        <w:drawing>
          <wp:inline distT="0" distB="0" distL="114300" distR="114300">
            <wp:extent cx="6181725" cy="3486150"/>
            <wp:effectExtent l="0" t="0" r="9525" b="0"/>
            <wp:docPr id="12"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202105081846_1620470769847_2270"/>
                    <pic:cNvPicPr>
                      <a:picLocks noChangeAspect="1"/>
                    </pic:cNvPicPr>
                  </pic:nvPicPr>
                  <pic:blipFill>
                    <a:blip r:embed="rId16"/>
                    <a:stretch>
                      <a:fillRect/>
                    </a:stretch>
                  </pic:blipFill>
                  <pic:spPr>
                    <a:xfrm>
                      <a:off x="0" y="0"/>
                      <a:ext cx="6181725" cy="3486150"/>
                    </a:xfrm>
                    <a:prstGeom prst="rect">
                      <a:avLst/>
                    </a:prstGeom>
                    <a:noFill/>
                    <a:ln>
                      <a:noFill/>
                    </a:ln>
                  </pic:spPr>
                </pic:pic>
              </a:graphicData>
            </a:graphic>
          </wp:inline>
        </w:drawing>
      </w:r>
    </w:p>
    <w:p>
      <w:pPr>
        <w:rPr>
          <w:rFonts w:hint="eastAsia" w:ascii="仿宋" w:hAnsi="仿宋" w:eastAsia="仿宋" w:cs="仿宋"/>
          <w:i w:val="0"/>
          <w:iCs w:val="0"/>
          <w:caps w:val="0"/>
          <w:spacing w:val="0"/>
          <w:sz w:val="28"/>
          <w:szCs w:val="28"/>
          <w:shd w:val="clear" w:color="auto" w:fill="FFFFFF"/>
        </w:rPr>
      </w:pPr>
      <w:r>
        <w:rPr>
          <w:rFonts w:hint="eastAsia" w:ascii="仿宋" w:hAnsi="仿宋" w:eastAsia="仿宋" w:cs="仿宋"/>
          <w:i w:val="0"/>
          <w:iCs w:val="0"/>
          <w:caps w:val="0"/>
          <w:spacing w:val="0"/>
          <w:sz w:val="28"/>
          <w:szCs w:val="28"/>
          <w:shd w:val="clear" w:color="auto" w:fill="FFFFFF"/>
        </w:rPr>
        <w:br w:type="page"/>
      </w:r>
    </w:p>
    <w:p>
      <w:pPr>
        <w:pStyle w:val="2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spacing w:val="0"/>
          <w:sz w:val="28"/>
          <w:szCs w:val="28"/>
          <w:shd w:val="clear" w:color="auto" w:fill="FFFFFF"/>
        </w:rPr>
      </w:pPr>
      <w:r>
        <w:rPr>
          <w:rFonts w:hint="eastAsia" w:ascii="仿宋" w:hAnsi="仿宋" w:eastAsia="仿宋" w:cs="仿宋"/>
          <w:i w:val="0"/>
          <w:iCs w:val="0"/>
          <w:caps w:val="0"/>
          <w:spacing w:val="0"/>
          <w:sz w:val="28"/>
          <w:szCs w:val="28"/>
          <w:shd w:val="clear" w:color="auto" w:fill="FFFFFF"/>
        </w:rPr>
        <w:t>已签订采购合同申请流程</w:t>
      </w:r>
    </w:p>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drawing>
          <wp:inline distT="0" distB="0" distL="114300" distR="114300">
            <wp:extent cx="6223000" cy="3514725"/>
            <wp:effectExtent l="0" t="0" r="6350" b="952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7"/>
                    <a:stretch>
                      <a:fillRect/>
                    </a:stretch>
                  </pic:blipFill>
                  <pic:spPr>
                    <a:xfrm>
                      <a:off x="0" y="0"/>
                      <a:ext cx="6223000" cy="3514725"/>
                    </a:xfrm>
                    <a:prstGeom prst="rect">
                      <a:avLst/>
                    </a:prstGeom>
                  </pic:spPr>
                </pic:pic>
              </a:graphicData>
            </a:graphic>
          </wp:inline>
        </w:drawing>
      </w:r>
    </w:p>
    <w:p>
      <w:pPr>
        <w:pStyle w:val="24"/>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渭南市</w:t>
      </w:r>
      <w:r>
        <w:rPr>
          <w:rFonts w:hint="eastAsia" w:ascii="仿宋" w:hAnsi="仿宋" w:eastAsia="仿宋" w:cs="仿宋"/>
          <w:sz w:val="28"/>
          <w:szCs w:val="28"/>
        </w:rPr>
        <w:t>政府采购信用融资合作机构联系名单</w:t>
      </w:r>
    </w:p>
    <w:tbl>
      <w:tblPr>
        <w:tblStyle w:val="28"/>
        <w:tblW w:w="9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5325"/>
        <w:gridCol w:w="1650"/>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序号</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单位名称</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参会人员</w:t>
            </w:r>
          </w:p>
        </w:tc>
        <w:tc>
          <w:tcPr>
            <w:tcW w:w="19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中国建设银行股份有限公司渭南分行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田宇</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17791059890       0913-2083572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上海浦东发展银行股份有限公司渭南分行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孙哲龙</w:t>
            </w:r>
          </w:p>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蒙波</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13892383911</w:t>
            </w:r>
          </w:p>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15249035320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中信银行股份有限公司渭南分行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杨洋</w:t>
            </w:r>
          </w:p>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耿浩</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18191815559</w:t>
            </w:r>
          </w:p>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13193388328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兴业银行股份有限公司渭南分行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权奥星</w:t>
            </w:r>
          </w:p>
        </w:tc>
        <w:tc>
          <w:tcPr>
            <w:tcW w:w="19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15706090239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中国工商银行股份有限公司渭南分行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张欢</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15229730006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w:t>
            </w:r>
          </w:p>
        </w:tc>
        <w:tc>
          <w:tcPr>
            <w:tcW w:w="53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长安银行股份有限公司渭南分行</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李华</w:t>
            </w:r>
          </w:p>
        </w:tc>
        <w:tc>
          <w:tcPr>
            <w:tcW w:w="19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13335331958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kern w:val="2"/>
                <w:sz w:val="28"/>
                <w:szCs w:val="28"/>
                <w:highlight w:val="none"/>
                <w:lang w:val="en-US" w:eastAsia="zh-CN" w:bidi="ar-SA"/>
              </w:rPr>
            </w:pPr>
          </w:p>
        </w:tc>
        <w:tc>
          <w:tcPr>
            <w:tcW w:w="532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c>
          <w:tcPr>
            <w:tcW w:w="19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w:t>
            </w:r>
          </w:p>
        </w:tc>
        <w:tc>
          <w:tcPr>
            <w:tcW w:w="5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中国邮政储蓄银行渭南市分行</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张萱</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13028431555</w:t>
            </w:r>
            <w:r>
              <w:rPr>
                <w:rFonts w:hint="eastAsia" w:ascii="仿宋" w:hAnsi="仿宋" w:eastAsia="仿宋" w:cs="仿宋"/>
                <w:color w:val="auto"/>
                <w:kern w:val="2"/>
                <w:sz w:val="28"/>
                <w:szCs w:val="28"/>
                <w:highlight w:val="none"/>
                <w:lang w:val="en-US" w:eastAsia="zh-CN" w:bidi="ar-SA"/>
              </w:rPr>
              <w:br w:type="textWrapping"/>
            </w:r>
            <w:r>
              <w:rPr>
                <w:rFonts w:hint="eastAsia" w:ascii="仿宋" w:hAnsi="仿宋" w:eastAsia="仿宋" w:cs="仿宋"/>
                <w:color w:val="auto"/>
                <w:kern w:val="2"/>
                <w:sz w:val="28"/>
                <w:szCs w:val="28"/>
                <w:highlight w:val="none"/>
                <w:lang w:val="en-US" w:eastAsia="zh-CN" w:bidi="ar-SA"/>
              </w:rPr>
              <w:t>18091365182</w:t>
            </w:r>
          </w:p>
        </w:tc>
      </w:tr>
    </w:tbl>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pStyle w:val="24"/>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、特殊情况处理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1、若出现综合得分并列时，投标报价得分高者为第一中标候选人，若投标报价和技术得分两项得分相同，则由全体评标委员会成员无记名投票，得票高者为第一中标候选人。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2、评标过程中，若出现合格供应商少于三家时，本项目按废标处理并报监督管理机构批准重新组织招标。</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、中标、询问及质疑</w:t>
      </w:r>
    </w:p>
    <w:p>
      <w:pPr>
        <w:keepNext w:val="0"/>
        <w:keepLines w:val="0"/>
        <w:pageBreakBefore w:val="0"/>
        <w:wordWrap/>
        <w:overflowPunct/>
        <w:autoSpaceDE/>
        <w:autoSpaceDN/>
        <w:bidi w:val="0"/>
        <w:spacing w:line="500" w:lineRule="exact"/>
        <w:ind w:firstLine="560" w:firstLineChars="200"/>
        <w:textAlignment w:val="auto"/>
        <w:rPr>
          <w:rFonts w:ascii="仿宋" w:hAnsi="仿宋" w:cs="仿宋"/>
          <w:szCs w:val="28"/>
          <w:highlight w:val="none"/>
        </w:rPr>
      </w:pPr>
      <w:r>
        <w:rPr>
          <w:rFonts w:hint="eastAsia" w:ascii="仿宋" w:hAnsi="仿宋" w:eastAsia="仿宋" w:cs="仿宋"/>
          <w:sz w:val="28"/>
          <w:szCs w:val="28"/>
          <w:highlight w:val="none"/>
        </w:rPr>
        <w:t>1、确定中标人</w:t>
      </w:r>
    </w:p>
    <w:p>
      <w:pPr>
        <w:pStyle w:val="45"/>
        <w:keepNext w:val="0"/>
        <w:keepLines w:val="0"/>
        <w:pageBreakBefore w:val="0"/>
        <w:kinsoku w:val="0"/>
        <w:wordWrap/>
        <w:overflowPunct/>
        <w:topLinePunct/>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1.1采购代理机构在评标结束后2个工作日内将评标报告送采购人确认。采购人在收到评标报告后5个工作日内，从评标报告提出的中标候选供应商中，按照排序由高到低的原则确定中标供应商；</w:t>
      </w:r>
    </w:p>
    <w:p>
      <w:pPr>
        <w:pStyle w:val="45"/>
        <w:keepNext w:val="0"/>
        <w:keepLines w:val="0"/>
        <w:pageBreakBefore w:val="0"/>
        <w:wordWrap/>
        <w:overflowPunct/>
        <w:autoSpaceDE/>
        <w:autoSpaceDN/>
        <w:bidi w:val="0"/>
        <w:spacing w:line="500" w:lineRule="exact"/>
        <w:ind w:firstLine="560"/>
        <w:textAlignment w:val="auto"/>
        <w:rPr>
          <w:rFonts w:hint="default"/>
          <w:highlight w:val="none"/>
        </w:rPr>
      </w:pPr>
      <w:r>
        <w:rPr>
          <w:rFonts w:ascii="仿宋" w:hAnsi="仿宋" w:cs="仿宋"/>
          <w:szCs w:val="28"/>
          <w:highlight w:val="none"/>
        </w:rPr>
        <w:t>1.2采购代理机构在中标供应商确定后2个工作日内在陕西省政府采购网公告中标结果并发放《中标通知书》。</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45"/>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（1）质疑函应以书面方式递交；（格式见陕西省政府采购网政府采购供应商质疑函范本）</w:t>
      </w:r>
    </w:p>
    <w:p>
      <w:pPr>
        <w:pStyle w:val="45"/>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（2）质疑函递交联系方式：</w:t>
      </w:r>
    </w:p>
    <w:p>
      <w:pPr>
        <w:pStyle w:val="45"/>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highlight w:val="none"/>
        </w:rPr>
      </w:pPr>
      <w:r>
        <w:rPr>
          <w:rFonts w:ascii="仿宋" w:hAnsi="仿宋" w:cs="仿宋"/>
          <w:highlight w:val="none"/>
        </w:rPr>
        <w:t>采购代理机构名称：西安欣华联建工程咨询有限公司</w:t>
      </w:r>
    </w:p>
    <w:p>
      <w:pPr>
        <w:pStyle w:val="45"/>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eastAsia="仿宋" w:cs="仿宋"/>
          <w:highlight w:val="none"/>
          <w:lang w:val="en-US" w:eastAsia="zh-CN"/>
        </w:rPr>
      </w:pPr>
      <w:r>
        <w:rPr>
          <w:rFonts w:ascii="仿宋" w:hAnsi="仿宋" w:cs="仿宋"/>
          <w:highlight w:val="none"/>
        </w:rPr>
        <w:t>电话：</w:t>
      </w:r>
      <w:r>
        <w:rPr>
          <w:rFonts w:hint="eastAsia" w:ascii="仿宋" w:hAnsi="仿宋" w:eastAsia="仿宋" w:cs="仿宋"/>
          <w:bCs/>
          <w:sz w:val="28"/>
          <w:szCs w:val="28"/>
        </w:rPr>
        <w:t>029-82528801、029-89183511</w:t>
      </w:r>
    </w:p>
    <w:p>
      <w:pPr>
        <w:pStyle w:val="45"/>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3、采购代理机构不做未中标原因的解释。</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、合同授予</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1、中标通知书是合同的重要组成部分。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2、招标文件、中标人的投标文件及评审过程中有关的澄清文件均作为合同附件。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3、签订合同</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与中标供应商应当在中标通知书发出之日起三十日内，按照采购文件确定的事项签订政府采购合同。中标供应商拒绝与采购人签订合同的，采购人可以按照评标报告推荐的中标候选人名单排序，确定下一候选人为中标供应商，也可以重新开展政府采购活动。</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bookmarkStart w:id="141" w:name="_Toc193126874"/>
      <w:bookmarkStart w:id="142" w:name="_Toc194663910"/>
      <w:bookmarkStart w:id="143" w:name="_Toc193187089"/>
      <w:bookmarkStart w:id="144" w:name="_Toc188808820"/>
      <w:r>
        <w:rPr>
          <w:rFonts w:hint="eastAsia" w:ascii="仿宋" w:hAnsi="仿宋" w:eastAsia="仿宋" w:cs="仿宋"/>
          <w:bCs/>
          <w:sz w:val="28"/>
          <w:szCs w:val="28"/>
          <w:highlight w:val="none"/>
          <w:lang w:bidi="ar"/>
        </w:rPr>
        <w:t>1、中标供应商在领取中标通知书时须</w:t>
      </w:r>
      <w:r>
        <w:rPr>
          <w:rFonts w:hint="eastAsia" w:ascii="仿宋" w:hAnsi="仿宋" w:eastAsia="仿宋" w:cs="仿宋"/>
          <w:sz w:val="28"/>
          <w:szCs w:val="28"/>
          <w:highlight w:val="none"/>
          <w:lang w:bidi="ar"/>
        </w:rPr>
        <w:t>向采购代理机构支付</w:t>
      </w:r>
      <w:r>
        <w:rPr>
          <w:rFonts w:hint="eastAsia" w:ascii="仿宋" w:hAnsi="仿宋" w:eastAsia="仿宋" w:cs="仿宋"/>
          <w:bCs/>
          <w:kern w:val="0"/>
          <w:sz w:val="28"/>
          <w:szCs w:val="28"/>
          <w:highlight w:val="none"/>
          <w:lang w:bidi="ar"/>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lang w:bidi="ar"/>
        </w:rPr>
        <w:t>2、代理服务费：</w:t>
      </w:r>
      <w:r>
        <w:rPr>
          <w:rFonts w:hint="eastAsia" w:ascii="仿宋" w:hAnsi="仿宋" w:eastAsia="仿宋" w:cs="仿宋"/>
          <w:sz w:val="28"/>
          <w:szCs w:val="28"/>
          <w:highlight w:val="none"/>
        </w:rPr>
        <w:t>参照</w:t>
      </w:r>
      <w:r>
        <w:rPr>
          <w:rFonts w:hint="eastAsia" w:ascii="仿宋" w:hAnsi="仿宋" w:eastAsia="仿宋" w:cs="仿宋"/>
          <w:bCs/>
          <w:sz w:val="28"/>
          <w:szCs w:val="28"/>
          <w:highlight w:val="none"/>
          <w:lang w:bidi="ar"/>
        </w:rPr>
        <w:t>《国家计委关于印发&lt;招标代理服务收费管理暂行办法&gt;的通知》（计价格〔2002〕1980号）、《国家发展改革委员会办公厅关于招标代理服务收费有关问题的通知》（发改办价格〔2003〕857号）的规定标准执行，按差额定率累进法收取费用</w:t>
      </w:r>
      <w:r>
        <w:rPr>
          <w:rFonts w:hint="eastAsia" w:ascii="仿宋" w:hAnsi="仿宋" w:eastAsia="仿宋" w:cs="仿宋"/>
          <w:bCs/>
          <w:color w:val="auto"/>
          <w:sz w:val="28"/>
          <w:szCs w:val="28"/>
          <w:highlight w:val="none"/>
          <w:lang w:bidi="ar"/>
        </w:rPr>
        <w:t>，100万以下按1.5%收取，100万-500万按1.1%收取。</w:t>
      </w:r>
    </w:p>
    <w:p>
      <w:pPr>
        <w:keepNext w:val="0"/>
        <w:keepLines w:val="0"/>
        <w:pageBreakBefore w:val="0"/>
        <w:tabs>
          <w:tab w:val="left" w:pos="2700"/>
        </w:tabs>
        <w:wordWrap/>
        <w:overflowPunct/>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lang w:bidi="ar"/>
        </w:rPr>
        <w:t>中标供应商如未按上述规定办理，其投标保证金不予退还。</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、其他</w:t>
      </w:r>
      <w:bookmarkEnd w:id="141"/>
      <w:bookmarkEnd w:id="142"/>
      <w:bookmarkEnd w:id="143"/>
      <w:bookmarkEnd w:id="144"/>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1、如果发生下列情况本项目按废标处理并报监督管理机构批准重新组织招标：</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1.1有效供应商不足三家；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1.2所有供应商的报价均超出预算金额，采购人不能支付的；</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1.3评标委员会三分之二以上评委认定所有投标报价存在价格不实的现象；</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1.4有证据证明有围标现象的发生。</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2、拒绝商业贿赂</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2.1遵照陕西省财政厅的规定，采购人、采购代理机构、供应商和评标委员会在招投标活动中，都要签订相应的《拒绝政府采购领域商业贿赂承诺书》，并对违反承诺的行为承担全部责任；</w:t>
      </w:r>
    </w:p>
    <w:p>
      <w:pPr>
        <w:keepNext w:val="0"/>
        <w:keepLines w:val="0"/>
        <w:pageBreakBefore w:val="0"/>
        <w:wordWrap/>
        <w:overflowPunct/>
        <w:autoSpaceDE/>
        <w:autoSpaceDN/>
        <w:bidi w:val="0"/>
        <w:snapToGrid w:val="0"/>
        <w:spacing w:line="500" w:lineRule="exact"/>
        <w:ind w:firstLine="560"/>
        <w:textAlignment w:val="auto"/>
        <w:rPr>
          <w:rFonts w:hint="eastAsia" w:ascii="仿宋" w:hAnsi="仿宋" w:eastAsia="仿宋" w:cs="仿宋"/>
          <w:b/>
          <w:bCs/>
          <w:kern w:val="0"/>
          <w:sz w:val="44"/>
          <w:szCs w:val="44"/>
          <w:highlight w:val="none"/>
        </w:rPr>
        <w:sectPr>
          <w:headerReference r:id="rId6" w:type="default"/>
          <w:footerReference r:id="rId7" w:type="default"/>
          <w:pgSz w:w="11906" w:h="16838"/>
          <w:pgMar w:top="1440" w:right="1083" w:bottom="1440" w:left="1083" w:header="851" w:footer="964" w:gutter="0"/>
          <w:pgNumType w:start="1"/>
          <w:cols w:space="720" w:num="1"/>
          <w:docGrid w:type="lines" w:linePitch="312" w:charSpace="0"/>
        </w:sectPr>
      </w:pPr>
      <w:r>
        <w:rPr>
          <w:rFonts w:hint="eastAsia" w:ascii="仿宋" w:hAnsi="仿宋" w:eastAsia="仿宋" w:cs="仿宋"/>
          <w:sz w:val="28"/>
          <w:szCs w:val="28"/>
          <w:highlight w:val="none"/>
        </w:rPr>
        <w:t>2.2供应商必须填写一份《拒绝政府采购领域商业贿赂承诺书》（附件），应保证投标文件正、副本中均有且一致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lang w:val="en-US" w:eastAsia="zh-CN"/>
        </w:rPr>
        <w:t xml:space="preserve">第四章  </w:t>
      </w:r>
      <w:r>
        <w:rPr>
          <w:rFonts w:hint="eastAsia" w:ascii="仿宋" w:hAnsi="仿宋" w:eastAsia="仿宋" w:cs="仿宋"/>
          <w:b/>
          <w:bCs/>
          <w:kern w:val="0"/>
          <w:sz w:val="44"/>
          <w:szCs w:val="44"/>
          <w:highlight w:val="none"/>
        </w:rPr>
        <w:t xml:space="preserve"> </w:t>
      </w:r>
      <w:bookmarkStart w:id="145" w:name="_Toc21952"/>
      <w:r>
        <w:rPr>
          <w:rFonts w:hint="eastAsia" w:ascii="仿宋" w:hAnsi="仿宋" w:eastAsia="仿宋" w:cs="仿宋"/>
          <w:b/>
          <w:bCs/>
          <w:kern w:val="0"/>
          <w:sz w:val="44"/>
          <w:szCs w:val="44"/>
          <w:highlight w:val="none"/>
        </w:rPr>
        <w:t>采购内容</w:t>
      </w:r>
      <w:bookmarkEnd w:id="145"/>
    </w:p>
    <w:tbl>
      <w:tblPr>
        <w:tblStyle w:val="28"/>
        <w:tblW w:w="14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6"/>
        <w:gridCol w:w="3240"/>
        <w:gridCol w:w="6215"/>
        <w:gridCol w:w="1417"/>
        <w:gridCol w:w="119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49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32"/>
                <w:szCs w:val="32"/>
                <w:u w:val="none"/>
                <w:lang w:val="en-US" w:eastAsia="zh-CN" w:bidi="ar"/>
              </w:rPr>
              <w:t>中央空调、新排风参数以及安装要求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项 目</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参数</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数量</w:t>
            </w:r>
          </w:p>
        </w:tc>
        <w:tc>
          <w:tcPr>
            <w:tcW w:w="11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单位</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一</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空调设备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空调单模块室外机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制冷量：≥45.0KW   制热量：≥50.0KW   噪音：≤63 dB(A)                 制冷/热输入功率：≤14.5/15.0KW   风量：≥14000m³/h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空调单模块室外机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制冷量：≥50.4KW   制热量：≥56.5KW   噪音：≤64 dB(A)              制冷/热输入功率：≤19/18KW   风量：≥16000m³/h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空调单模块室外机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制冷量：≥56.0KW   制热量：≥63.0KW   噪音：≤65 dB(A)               制冷/热输入功率：≤19/20KW   风量：≥16000m³/h  </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空调组合式室外机        </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制冷量：≥50.4KW   制热量：≥56.5KW   噪音：≤64 dB(A)               制冷/热输入功率：≤19/18KW   风量：≥16000m³/h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制冷量：≥61.5KW   制热量：≥69.0KW   噪音：≤64 dB(A)               制冷/热输入功率：≤23.5/23.0KW   风量：≥16000m³/h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制冷量：≥2.5KW   制热量：≥2.8KW   噪音：≤30 dB(A)                制冷/热输入功率：≤0.03KW   风量：200-500m³/h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制冷量：≥3.2KW   制热量：≥3.6KW   噪音：≤32 dB(A)                 制冷/热输入功率：≤0.04KW   风量：300-600m³/h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制冷量：≥4.5KW   制热量：≥5.0KW   噪音：≤34 dB(A)                 制冷/热输入功率：≤0.04KW   风量：400-800m³/h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制冷量：≥5.0KW   制热量：≥5.6KW   噪音：≤34 dB(A)                制冷/热输入功率：≤0.04KW   风量：400-800m³/h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制冷量：≥5.6KW   制热量：≥6.3KW   噪音：≤37 dB(A)                 制冷/热输入功率：≤0.06KW   风量：500-900m³/h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制冷量：≥7.1KW   制热量：≥8.0KW   噪音：≤38 dB(A)                制冷/热输入功率：≤0.06KW   风量：600-1200m³/h </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高效中静压风管式室内机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制冷量：≥10.0KW   制热量：≥11.2KW   噪音：≤42 dB(A)               制冷/热输入功率：≤0.12KW   风量：1100-1800m³/h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高效中静压风管式室内机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制冷量：≥12.5KW   制热量：≥14.0KW   噪音：≤43 dB(A)               制冷/热输入功率：≤0.18KW   风量：1300-2000m³/h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一拖一风管式室内外套机</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制冷量：≥14.0KW   制热量：≥15.5KW   室内机噪音：≤45 dB(A)        制冷/热输入功率：≤5.0KW   风量：≥2200m³/h</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二</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空调辅材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空调室内机控制开关</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标准型(满足装修风格）</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空调室内机系统分歧管</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标准型</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116.00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空调室外机系统分歧管</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标准型</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冷媒管</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国标厚壁铜管，￠6.35*0.8mm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1320.00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国标厚壁铜管，￠9.53*0.8mm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816.00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国标厚壁铜管，￠12.70*0.8mm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1369.50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国标厚壁铜管，￠15.88*1.0mm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307.50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国标厚壁铜管，￠19.05*1.0mm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640.50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国标厚壁铜管，￠22.23*1.0mm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232.50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国标厚壁铜管，￠25.40*1.0mm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232.50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国标厚壁铜管，￠28.58*1.0mm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292.50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国标厚壁铜管，￠31.80*1.1mm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195.00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国标厚壁铜管，￠38.10*1.2mm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105.00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国标厚壁铜管，￠41.30*1.3mm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165.00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冷媒管保温</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国标厚壁铜管保温，￠6.35*15mm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1320.00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国标厚壁铜管保温，￠9.53*15mm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816.00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国标厚壁铜管保温，￠12.70*15mm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1369.50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国标厚壁铜管保温，￠15.88*15mm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307.50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国标厚壁铜管保温，￠19.05*20mm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640.50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国标厚壁铜管保温，￠22.23*20mm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232.50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国标厚壁铜管保温，￠25.40*20mm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232.50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国标厚壁铜管保温，￠28.58*20mm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292.50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国标厚壁铜管保温，￠31.80*20mm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195.00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国标厚壁铜管保温，￠38.10*20mm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国标厚壁铜管保温，￠41.30*25mm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165.00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冷凝水管道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国标加厚加硬，DN25（符合生产品牌安装规范）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1185.80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国标加厚加硬，DN32（符合生产品牌安装规范）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224.00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国标加厚加硬，DN40（符合生产品牌安装规范）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259.00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冷凝水保温</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铜管￠25*13mm（符合生产品牌安装规范）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1185.80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铜管￠32*13mm（符合生产品牌安装规范）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224.00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铜管￠43*13mm（符合生产品牌安装规范）</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259.00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空调送风静压箱（含保温）</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镀锌铁皮（厚度：符合国家标准）、河北华美保温</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加工定做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空调送风道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加工定做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空调室内机送回风口</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ABS材质，符合国家标准</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加工定做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氮气</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吹扫、保压</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辅材/辅料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氧气</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铜管焊接</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辅材/辅料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R410A环保冷媒</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冷媒补充</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259.11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KG</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安装辅材</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国标配件：焊条、焊具、螺栓等</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室外机铜管桥架</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400mmX100mm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国标1.2灰色烤漆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室内外机安装</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人工费，符合国家标准</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128.00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室外机机组吊装费用</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吊装费用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系统调试</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空调工程系统调试</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135.00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空调系统打孔费用</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系统打孔费用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项目设备、主辅材运输费用</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运杂费用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空调室内外机基础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室外机基础安装</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材料费、人工费，符合国家标准</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室内机固定吊架安装</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材料费、人工费，符合国家标准</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冷媒管及冷凝管吊装滑杆组件套</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五件套等</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四</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空调安装吊顶恢复工程量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空调吊顶</w:t>
            </w:r>
          </w:p>
        </w:tc>
        <w:tc>
          <w:tcPr>
            <w:tcW w:w="6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尺寸：3500mm*300mm*600mm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416.50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矿棉板吊顶</w:t>
            </w:r>
          </w:p>
        </w:tc>
        <w:tc>
          <w:tcPr>
            <w:tcW w:w="6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尺寸：30000mm*2000mm</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240.00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基层腻子处理</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基层清理干净，用嵌缝石膏修补裂缝或板缝破损处，破损处干燥后，依据现场情况做防裂处理，先将阴阳角用石膏找直，腻子刮两遍，第一遍与第二遍垂直批刮，干燥后用120目砂纸打磨。</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乳胶漆</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用200W光源灯具侧照墙面或天棚 面用细 砂纸打磨平整光滑为准；清理粉尘，先滚涂乳胶漆一遍，然后阴角使用羊毛刷刷涂1-2遍，再滚涂乳胶漆第二遍。</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垃圾处理</w:t>
            </w:r>
          </w:p>
        </w:tc>
        <w:tc>
          <w:tcPr>
            <w:tcW w:w="6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清理卫生</w:t>
            </w:r>
          </w:p>
        </w:tc>
        <w:tc>
          <w:tcPr>
            <w:tcW w:w="6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施工现场清理</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五</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空调室内机配线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电气配线系统</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2.导线型号、材质、规格:BV-3*2.5mm2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3993.00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2.规格:KBG20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910.00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镀锌管KBG-20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控制线配线系统</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控制线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2.导线型号、材质、规格:RVV2*0.75mm2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5863.00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2.规格:KBG20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1500.00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镀锌管KBG-20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9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施工人工费-室内电源线、控制线</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94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空调室内机配线系统辅材</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121.00 </w:t>
            </w:r>
          </w:p>
        </w:tc>
        <w:tc>
          <w:tcPr>
            <w:tcW w:w="11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六</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b/>
                <w:i w:val="0"/>
                <w:color w:val="000000"/>
                <w:kern w:val="0"/>
                <w:sz w:val="28"/>
                <w:szCs w:val="28"/>
                <w:u w:val="none"/>
                <w:lang w:val="en-US" w:eastAsia="zh-CN" w:bidi="ar"/>
              </w:rPr>
              <w:t>空调室外机配线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南楼一、二层</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2.导线型号、材质、规格:YJY-3x35+2x16mm2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2.导线型号、材质、规格:YJY-3x25+2x16mm2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70.00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南楼三层</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2.导线型号、材质、规格:YJY-3x35+2x16mm2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南楼四、五层</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2.导线型号、材质、规格:YJY-3x35+2x16mm2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2.导线型号、材质、规格:YJY-3x25+2x16mm2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西楼一层、二层</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2.导线型号、材质、规格:YJY-3x25+2x16mm2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东楼一层、二层</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2.导线型号、材质、规格:YJY-3x25+2x16mm2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30.00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北面餐厅</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1.配线形式:配线</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2.导线型号、材质、规格:YJY-5X6mm2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电气配管</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1.名称:焊接镀锌钢管</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配电箱1</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配电箱主空开：NM1-225S/3300   160A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配电箱室外机空开：NM1-225S/3300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配电箱2</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配电箱3</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配电箱主空开：NM1-225S/3300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配电箱室外机空开：NM1-225S/3300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配电箱4</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配电箱主空开：NM1-225S/3300   160A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配电箱室外机空开：NM1-225S/3300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22.00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配电箱5</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配电箱6</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配电箱主空开：NM1-225S/3300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配电箱室外机空开：NM1-225S/3300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配电箱7</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配电箱8</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配电箱主空开：NM1-225S/3300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配电箱室外机空开：NM1-225S/3300   125A</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3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配电箱9</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配电箱尺寸：500*600*200</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3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配电箱室内机空开：NB1-63C16/1P</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3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施工人工费-室外机主电缆</w:t>
            </w:r>
          </w:p>
        </w:tc>
        <w:tc>
          <w:tcPr>
            <w:tcW w:w="6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410.00 </w:t>
            </w:r>
          </w:p>
        </w:tc>
        <w:tc>
          <w:tcPr>
            <w:tcW w:w="11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七</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新排风设备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全热交换新风换气机组</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风量（低-高-超高档）：660-800-800m³/h   噪音：35-40-45dB(A)          耗电功率（低-高-超高档）：460-570-650W     机外静压：90-130-130Pa   温度交换效率：制冷/热：57-65% /75-81%  有效换气率：≥90%             运行范围：-15℃-50℃DB,相对湿度≤80%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全热交换新风换气机组控制开关</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八</w:t>
            </w:r>
          </w:p>
        </w:tc>
        <w:tc>
          <w:tcPr>
            <w:tcW w:w="141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新排风辅材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送风系统分风箱体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件</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新风送风管道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PE管道￠110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新风送风管道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PE管道￠160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95.00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风系统管道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PVC管道 ￠200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75.00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风系统管道</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PVC管道 ￠250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140.00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米</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回风口</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风系统软接</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￠110-250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1.00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防雨百叶（含防虫滤网）</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8.00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新排风系统管道加固支吊架费用</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新排风机组控制开关系统</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新排风系统风管辅材辅料</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全热交换新风换气机组安装人工费</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全热交换新风换气管道系统安装人工费</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3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全热交换新风换气系统调试人工费</w:t>
            </w:r>
          </w:p>
        </w:tc>
        <w:tc>
          <w:tcPr>
            <w:tcW w:w="6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4.00 </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2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人工费</w:t>
            </w:r>
          </w:p>
        </w:tc>
      </w:tr>
    </w:tbl>
    <w:p>
      <w:pPr>
        <w:keepNext w:val="0"/>
        <w:keepLines w:val="0"/>
        <w:pageBreakBefore w:val="0"/>
        <w:wordWrap/>
        <w:overflowPunct/>
        <w:autoSpaceDE/>
        <w:autoSpaceDN/>
        <w:bidi w:val="0"/>
        <w:spacing w:line="500" w:lineRule="exact"/>
        <w:textAlignment w:val="auto"/>
        <w:rPr>
          <w:rFonts w:hint="eastAsia"/>
          <w:highlight w:val="none"/>
        </w:rPr>
      </w:pPr>
    </w:p>
    <w:p>
      <w:pPr>
        <w:pStyle w:val="18"/>
        <w:rPr>
          <w:rFonts w:hint="eastAsia"/>
        </w:rPr>
      </w:pPr>
    </w:p>
    <w:p>
      <w:pPr>
        <w:pStyle w:val="18"/>
        <w:rPr>
          <w:rFonts w:hint="eastAsia"/>
        </w:rPr>
      </w:pPr>
    </w:p>
    <w:p>
      <w:pPr>
        <w:pStyle w:val="18"/>
        <w:rPr>
          <w:rFonts w:hint="eastAsia"/>
        </w:rPr>
      </w:pPr>
      <w:r>
        <w:rPr>
          <w:rFonts w:hint="eastAsia" w:ascii="仿宋" w:hAnsi="仿宋" w:eastAsia="仿宋" w:cs="仿宋"/>
          <w:b/>
          <w:bCs/>
          <w:sz w:val="28"/>
          <w:szCs w:val="28"/>
          <w:highlight w:val="none"/>
        </w:rPr>
        <w:t>注：</w:t>
      </w:r>
      <w:r>
        <w:rPr>
          <w:rFonts w:hint="eastAsia" w:ascii="仿宋" w:hAnsi="仿宋" w:eastAsia="仿宋" w:cs="仿宋"/>
          <w:b/>
          <w:bCs/>
          <w:color w:val="auto"/>
          <w:sz w:val="28"/>
          <w:szCs w:val="28"/>
          <w:highlight w:val="none"/>
          <w:lang w:val="en-US" w:eastAsia="zh-CN"/>
        </w:rPr>
        <w:t>采购标的对应的中小企业划分标准所属行业为：工业。</w:t>
      </w:r>
    </w:p>
    <w:p>
      <w:pPr>
        <w:pStyle w:val="18"/>
        <w:rPr>
          <w:rFonts w:hint="eastAsia"/>
        </w:rPr>
      </w:pPr>
    </w:p>
    <w:p>
      <w:pPr>
        <w:pStyle w:val="18"/>
        <w:rPr>
          <w:rFonts w:hint="eastAsia"/>
        </w:rPr>
      </w:pPr>
    </w:p>
    <w:p>
      <w:pPr>
        <w:pStyle w:val="18"/>
        <w:rPr>
          <w:rFonts w:hint="eastAsia"/>
        </w:rPr>
        <w:sectPr>
          <w:headerReference r:id="rId8" w:type="default"/>
          <w:footerReference r:id="rId9" w:type="default"/>
          <w:pgSz w:w="16838" w:h="11906" w:orient="landscape"/>
          <w:pgMar w:top="1083" w:right="1440" w:bottom="1083" w:left="1440" w:header="851" w:footer="964" w:gutter="0"/>
          <w:cols w:space="720" w:num="1"/>
          <w:docGrid w:type="lines" w:linePitch="312" w:charSpace="0"/>
        </w:sectPr>
      </w:pPr>
    </w:p>
    <w:bookmarkEnd w:id="131"/>
    <w:bookmarkEnd w:id="132"/>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Cs w:val="28"/>
          <w:highlight w:val="none"/>
        </w:rPr>
      </w:pPr>
      <w:bookmarkStart w:id="146" w:name="_Toc24325"/>
      <w:bookmarkStart w:id="147" w:name="_Toc20612"/>
      <w:bookmarkStart w:id="148" w:name="_Toc15896"/>
      <w:bookmarkStart w:id="149" w:name="_Toc2621_WPSOffice_Level1"/>
      <w:bookmarkStart w:id="150" w:name="_Toc713"/>
      <w:bookmarkStart w:id="151" w:name="OLE_LINK2"/>
      <w:bookmarkStart w:id="152" w:name="OLE_LINK1"/>
      <w:r>
        <w:rPr>
          <w:rFonts w:hint="eastAsia" w:ascii="仿宋" w:hAnsi="仿宋" w:eastAsia="仿宋" w:cs="仿宋"/>
          <w:b/>
          <w:sz w:val="44"/>
          <w:szCs w:val="44"/>
          <w:highlight w:val="none"/>
        </w:rPr>
        <w:t>第五章  合同</w:t>
      </w:r>
      <w:bookmarkEnd w:id="146"/>
      <w:bookmarkStart w:id="153" w:name="_Toc16938559"/>
      <w:bookmarkStart w:id="154" w:name="_Toc20823315"/>
      <w:bookmarkStart w:id="155" w:name="_Toc513029243"/>
      <w:r>
        <w:rPr>
          <w:rFonts w:hint="eastAsia" w:ascii="仿宋" w:hAnsi="仿宋" w:eastAsia="仿宋" w:cs="仿宋"/>
          <w:b/>
          <w:sz w:val="44"/>
          <w:szCs w:val="44"/>
          <w:highlight w:val="none"/>
        </w:rPr>
        <w:t>范本</w:t>
      </w:r>
      <w:bookmarkEnd w:id="147"/>
      <w:bookmarkEnd w:id="148"/>
      <w:bookmarkEnd w:id="149"/>
      <w:bookmarkEnd w:id="150"/>
      <w:bookmarkEnd w:id="153"/>
      <w:bookmarkEnd w:id="154"/>
      <w:bookmarkEnd w:id="155"/>
    </w:p>
    <w:p>
      <w:pPr>
        <w:pStyle w:val="43"/>
        <w:widowControl/>
        <w:spacing w:line="600" w:lineRule="exact"/>
        <w:ind w:firstLine="0"/>
        <w:jc w:val="both"/>
        <w:rPr>
          <w:rFonts w:ascii="仿宋" w:hAnsi="仿宋" w:eastAsia="仿宋" w:cs="仿宋"/>
          <w:b/>
          <w:sz w:val="24"/>
          <w:highlight w:val="none"/>
        </w:rPr>
      </w:pPr>
    </w:p>
    <w:p>
      <w:pPr>
        <w:pStyle w:val="43"/>
        <w:keepNext w:val="0"/>
        <w:keepLines w:val="0"/>
        <w:pageBreakBefore w:val="0"/>
        <w:widowControl/>
        <w:kinsoku/>
        <w:wordWrap/>
        <w:overflowPunct/>
        <w:topLinePunct w:val="0"/>
        <w:autoSpaceDE/>
        <w:autoSpaceDN/>
        <w:bidi w:val="0"/>
        <w:adjustRightInd w:val="0"/>
        <w:snapToGrid/>
        <w:spacing w:line="480" w:lineRule="exact"/>
        <w:ind w:firstLine="0"/>
        <w:jc w:val="both"/>
        <w:textAlignment w:val="auto"/>
        <w:rPr>
          <w:rFonts w:ascii="仿宋" w:hAnsi="仿宋" w:eastAsia="仿宋" w:cs="仿宋"/>
          <w:b/>
          <w:sz w:val="24"/>
          <w:highlight w:val="none"/>
        </w:rPr>
      </w:pPr>
    </w:p>
    <w:p>
      <w:pPr>
        <w:pStyle w:val="43"/>
        <w:keepNext w:val="0"/>
        <w:keepLines w:val="0"/>
        <w:pageBreakBefore w:val="0"/>
        <w:widowControl/>
        <w:kinsoku/>
        <w:wordWrap/>
        <w:overflowPunct/>
        <w:topLinePunct w:val="0"/>
        <w:autoSpaceDE/>
        <w:autoSpaceDN/>
        <w:bidi w:val="0"/>
        <w:adjustRightInd w:val="0"/>
        <w:snapToGrid/>
        <w:spacing w:line="480" w:lineRule="exact"/>
        <w:ind w:firstLine="0"/>
        <w:jc w:val="both"/>
        <w:textAlignment w:val="auto"/>
        <w:rPr>
          <w:rFonts w:ascii="仿宋" w:hAnsi="仿宋" w:eastAsia="仿宋" w:cs="仿宋"/>
          <w:b/>
          <w:sz w:val="24"/>
          <w:highlight w:val="none"/>
        </w:rPr>
      </w:pPr>
    </w:p>
    <w:bookmarkEnd w:id="133"/>
    <w:bookmarkEnd w:id="134"/>
    <w:bookmarkEnd w:id="135"/>
    <w:bookmarkEnd w:id="151"/>
    <w:bookmarkEnd w:id="152"/>
    <w:p>
      <w:pPr>
        <w:pStyle w:val="43"/>
        <w:widowControl/>
        <w:spacing w:before="0" w:after="0"/>
        <w:ind w:firstLine="0"/>
        <w:jc w:val="center"/>
        <w:rPr>
          <w:rFonts w:ascii="仿宋" w:hAnsi="仿宋" w:eastAsia="仿宋" w:cs="仿宋"/>
          <w:b/>
          <w:sz w:val="52"/>
          <w:szCs w:val="52"/>
          <w:highlight w:val="none"/>
        </w:rPr>
      </w:pPr>
      <w:bookmarkStart w:id="156" w:name="_Toc421604335"/>
      <w:r>
        <w:rPr>
          <w:rFonts w:hint="eastAsia" w:ascii="仿宋" w:hAnsi="仿宋" w:eastAsia="仿宋" w:cs="仿宋"/>
          <w:b/>
          <w:sz w:val="52"/>
          <w:szCs w:val="52"/>
          <w:highlight w:val="none"/>
          <w:lang w:eastAsia="zh-CN"/>
        </w:rPr>
        <w:t>渭南市人民检察院办案区（北区）中央空调采购项目</w:t>
      </w:r>
    </w:p>
    <w:p>
      <w:pPr>
        <w:pStyle w:val="18"/>
        <w:rPr>
          <w:rFonts w:hint="default"/>
        </w:rPr>
      </w:pPr>
    </w:p>
    <w:p>
      <w:pPr>
        <w:pStyle w:val="18"/>
        <w:rPr>
          <w:rFonts w:hint="default"/>
        </w:rPr>
      </w:pPr>
    </w:p>
    <w:p>
      <w:pPr>
        <w:pStyle w:val="18"/>
        <w:rPr>
          <w:rFonts w:hint="default"/>
        </w:rPr>
      </w:pPr>
    </w:p>
    <w:p>
      <w:pPr>
        <w:pStyle w:val="12"/>
        <w:rPr>
          <w:rFonts w:hint="default"/>
          <w:highlight w:val="none"/>
        </w:rPr>
      </w:pPr>
    </w:p>
    <w:p>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52"/>
          <w:szCs w:val="52"/>
          <w:highlight w:val="none"/>
        </w:rPr>
        <w:t>合 同 书</w:t>
      </w:r>
    </w:p>
    <w:p>
      <w:pPr>
        <w:pStyle w:val="12"/>
        <w:jc w:val="center"/>
        <w:rPr>
          <w:rFonts w:hint="eastAsia" w:eastAsia="仿宋"/>
          <w:highlight w:val="none"/>
          <w:lang w:eastAsia="zh-CN"/>
        </w:rPr>
      </w:pPr>
      <w:r>
        <w:rPr>
          <w:rFonts w:hint="eastAsia"/>
          <w:sz w:val="28"/>
          <w:szCs w:val="22"/>
          <w:highlight w:val="none"/>
          <w:lang w:eastAsia="zh-CN"/>
        </w:rPr>
        <w:t>（</w:t>
      </w:r>
      <w:r>
        <w:rPr>
          <w:rFonts w:hint="eastAsia"/>
          <w:sz w:val="28"/>
          <w:szCs w:val="22"/>
          <w:highlight w:val="none"/>
          <w:lang w:val="en-US" w:eastAsia="zh-CN"/>
        </w:rPr>
        <w:t>本格式条款为合同基础条款，甲乙双方可根据项目实际情况增加条款和内容</w:t>
      </w:r>
      <w:r>
        <w:rPr>
          <w:rFonts w:hint="eastAsia"/>
          <w:sz w:val="28"/>
          <w:szCs w:val="22"/>
          <w:highlight w:val="none"/>
          <w:lang w:eastAsia="zh-CN"/>
        </w:rPr>
        <w:t>）</w:t>
      </w:r>
    </w:p>
    <w:p>
      <w:pPr>
        <w:pStyle w:val="23"/>
        <w:rPr>
          <w:rFonts w:hint="default"/>
        </w:rPr>
      </w:pPr>
    </w:p>
    <w:p>
      <w:pPr>
        <w:rPr>
          <w:rFonts w:hint="default"/>
        </w:rPr>
      </w:pPr>
    </w:p>
    <w:p>
      <w:pPr>
        <w:rPr>
          <w:rFonts w:hint="default"/>
        </w:rPr>
      </w:pPr>
    </w:p>
    <w:p>
      <w:pPr>
        <w:spacing w:line="560" w:lineRule="exac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合同编号：XXXX</w:t>
      </w:r>
    </w:p>
    <w:p>
      <w:pPr>
        <w:spacing w:line="560" w:lineRule="exact"/>
        <w:rPr>
          <w:rFonts w:ascii="仿宋" w:hAnsi="仿宋" w:eastAsia="仿宋" w:cs="仿宋"/>
          <w:b/>
          <w:highlight w:val="none"/>
        </w:rPr>
      </w:pPr>
    </w:p>
    <w:p>
      <w:pPr>
        <w:rPr>
          <w:highlight w:val="none"/>
        </w:rPr>
      </w:pPr>
    </w:p>
    <w:p>
      <w:pPr>
        <w:pStyle w:val="15"/>
        <w:ind w:left="0" w:leftChars="0" w:right="1470" w:firstLine="0" w:firstLineChars="0"/>
        <w:rPr>
          <w:highlight w:val="none"/>
        </w:rPr>
      </w:pPr>
    </w:p>
    <w:p>
      <w:pPr>
        <w:pStyle w:val="15"/>
        <w:ind w:left="0" w:leftChars="0" w:right="1470" w:firstLine="0" w:firstLineChars="0"/>
        <w:rPr>
          <w:highlight w:val="none"/>
        </w:rPr>
      </w:pPr>
    </w:p>
    <w:p>
      <w:pPr>
        <w:pStyle w:val="15"/>
        <w:ind w:left="0" w:leftChars="0" w:right="1470" w:firstLine="0" w:firstLineChars="0"/>
        <w:rPr>
          <w:highlight w:val="none"/>
        </w:rPr>
      </w:pPr>
    </w:p>
    <w:p>
      <w:pPr>
        <w:pStyle w:val="15"/>
        <w:ind w:right="1470"/>
        <w:rPr>
          <w:highlight w:val="none"/>
        </w:rPr>
      </w:pPr>
    </w:p>
    <w:p>
      <w:pPr>
        <w:pStyle w:val="15"/>
        <w:ind w:right="1470"/>
        <w:rPr>
          <w:highlight w:val="none"/>
        </w:rPr>
      </w:pPr>
    </w:p>
    <w:p>
      <w:pPr>
        <w:pStyle w:val="15"/>
        <w:ind w:left="1470" w:right="1470"/>
        <w:rPr>
          <w:highlight w:val="none"/>
        </w:rPr>
      </w:pPr>
    </w:p>
    <w:p>
      <w:pPr>
        <w:pStyle w:val="15"/>
        <w:ind w:left="1470" w:right="1470"/>
        <w:rPr>
          <w:highlight w:val="none"/>
        </w:rPr>
      </w:pPr>
    </w:p>
    <w:p>
      <w:pPr>
        <w:rPr>
          <w:highlight w:val="none"/>
        </w:rPr>
      </w:pP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highlight w:val="none"/>
        </w:rPr>
        <w:fldChar w:fldCharType="begin"/>
      </w:r>
      <w:r>
        <w:rPr>
          <w:highlight w:val="none"/>
        </w:rPr>
        <w:instrText xml:space="preserve"> HYPERLINK "http://set2.mail.qq.com/cgi-bin/mail_spam?action=check_link&amp;spam=0&amp;url=http://www.baidu.com/s?wd=%E9%87%87%E8%B4%AD%E5%8D%95&amp;hl_tag=textlink&amp;tn=SE_hldp01350_v6v6zkg6" </w:instrText>
      </w:r>
      <w:r>
        <w:rPr>
          <w:highlight w:val="none"/>
        </w:rPr>
        <w:fldChar w:fldCharType="separate"/>
      </w:r>
      <w:r>
        <w:rPr>
          <w:rStyle w:val="35"/>
          <w:rFonts w:hint="default" w:ascii="仿宋" w:hAnsi="仿宋" w:eastAsia="仿宋" w:cs="仿宋"/>
          <w:b/>
          <w:color w:val="auto"/>
          <w:spacing w:val="23"/>
          <w:sz w:val="32"/>
          <w:szCs w:val="32"/>
          <w:highlight w:val="none"/>
        </w:rPr>
        <w:t>采购人</w:t>
      </w:r>
      <w:r>
        <w:rPr>
          <w:rStyle w:val="35"/>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w:t>
      </w:r>
      <w:r>
        <w:rPr>
          <w:highlight w:val="none"/>
        </w:rPr>
        <w:fldChar w:fldCharType="begin"/>
      </w:r>
      <w:r>
        <w:rPr>
          <w:highlight w:val="none"/>
        </w:rPr>
        <w:instrText xml:space="preserve"> HYPERLINK "http://set2.mail.qq.com/cgi-bin/mail_spam?action=check_link&amp;spam=0&amp;url=http://www.baidu.com/s?wd=%E4%B9%99%E6%96%B9&amp;hl_tag=textlink&amp;tn=SE_hldp01350_v6v6zkg6" </w:instrText>
      </w:r>
      <w:r>
        <w:rPr>
          <w:highlight w:val="none"/>
        </w:rPr>
        <w:fldChar w:fldCharType="separate"/>
      </w:r>
      <w:r>
        <w:rPr>
          <w:rStyle w:val="35"/>
          <w:rFonts w:hint="default" w:ascii="仿宋" w:hAnsi="仿宋" w:eastAsia="仿宋" w:cs="仿宋"/>
          <w:b/>
          <w:color w:val="auto"/>
          <w:spacing w:val="23"/>
          <w:sz w:val="32"/>
          <w:szCs w:val="32"/>
          <w:highlight w:val="none"/>
        </w:rPr>
        <w:t>乙方</w:t>
      </w:r>
      <w:r>
        <w:rPr>
          <w:rStyle w:val="35"/>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pStyle w:val="24"/>
        <w:widowControl/>
        <w:adjustRightInd w:val="0"/>
        <w:spacing w:line="560" w:lineRule="exact"/>
        <w:rPr>
          <w:rFonts w:hint="eastAsia" w:ascii="仿宋" w:hAnsi="仿宋" w:eastAsia="仿宋" w:cs="仿宋"/>
          <w:b/>
          <w:sz w:val="32"/>
          <w:szCs w:val="32"/>
          <w:highlight w:val="none"/>
          <w:lang w:bidi="ar"/>
        </w:rPr>
      </w:pPr>
      <w:r>
        <w:rPr>
          <w:rFonts w:hint="eastAsia" w:ascii="仿宋" w:hAnsi="仿宋" w:eastAsia="仿宋" w:cs="仿宋"/>
          <w:b/>
          <w:spacing w:val="23"/>
          <w:kern w:val="0"/>
          <w:sz w:val="32"/>
          <w:szCs w:val="32"/>
          <w:highlight w:val="none"/>
          <w:lang w:bidi="ar"/>
        </w:rPr>
        <w:t xml:space="preserve">          签订时间：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月</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日</w:t>
      </w:r>
      <w:bookmarkStart w:id="157" w:name="_Toc26903"/>
    </w:p>
    <w:p>
      <w:pPr>
        <w:widowControl/>
        <w:spacing w:line="520" w:lineRule="exact"/>
        <w:jc w:val="center"/>
        <w:rPr>
          <w:rFonts w:ascii="仿宋" w:hAnsi="仿宋" w:eastAsia="仿宋" w:cs="仿宋"/>
          <w:b/>
          <w:sz w:val="32"/>
          <w:szCs w:val="32"/>
          <w:highlight w:val="none"/>
          <w:lang w:bidi="ar"/>
        </w:rPr>
      </w:pPr>
      <w:r>
        <w:rPr>
          <w:rFonts w:hint="eastAsia" w:ascii="仿宋" w:hAnsi="仿宋" w:eastAsia="仿宋" w:cs="仿宋"/>
          <w:b/>
          <w:sz w:val="32"/>
          <w:szCs w:val="32"/>
          <w:highlight w:val="none"/>
          <w:lang w:bidi="ar"/>
        </w:rPr>
        <w:t>合同范本</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采购人</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乙方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供应商</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甲乙双方根据</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lang w:bidi="ar"/>
        </w:rPr>
        <w:t>政府采购招标项目</w:t>
      </w:r>
      <w:r>
        <w:rPr>
          <w:rFonts w:hint="eastAsia" w:ascii="仿宋" w:hAnsi="仿宋" w:eastAsia="仿宋" w:cs="仿宋"/>
          <w:b w:val="0"/>
          <w:bCs/>
          <w:color w:val="auto"/>
          <w:sz w:val="28"/>
          <w:szCs w:val="28"/>
          <w:highlight w:val="none"/>
          <w:lang w:eastAsia="zh-CN" w:bidi="ar"/>
        </w:rPr>
        <w:t>（项目编号：</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采购结果及相关招投标文件，经协商一致，订立本合同，供双方共同遵守：</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bidi="ar"/>
        </w:rPr>
      </w:pPr>
      <w:r>
        <w:rPr>
          <w:rFonts w:hint="eastAsia" w:ascii="仿宋" w:hAnsi="仿宋" w:eastAsia="仿宋" w:cs="仿宋"/>
          <w:b/>
          <w:bCs w:val="0"/>
          <w:color w:val="auto"/>
          <w:sz w:val="28"/>
          <w:szCs w:val="28"/>
          <w:highlight w:val="none"/>
          <w:lang w:bidi="ar"/>
        </w:rPr>
        <w:t xml:space="preserve">第一条  </w:t>
      </w:r>
      <w:r>
        <w:rPr>
          <w:rFonts w:hint="eastAsia" w:ascii="仿宋" w:hAnsi="仿宋" w:eastAsia="仿宋" w:cs="仿宋"/>
          <w:b/>
          <w:color w:val="auto"/>
          <w:sz w:val="28"/>
          <w:szCs w:val="28"/>
          <w:highlight w:val="none"/>
          <w:lang w:bidi="ar"/>
        </w:rPr>
        <w:t>甲方采购的物品内容和含税价格</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货物名称 ____________________</w:t>
      </w:r>
      <w:r>
        <w:rPr>
          <w:rFonts w:hint="eastAsia" w:ascii="仿宋" w:hAnsi="仿宋" w:eastAsia="仿宋" w:cs="仿宋"/>
          <w:b w:val="0"/>
          <w:bCs/>
          <w:color w:val="auto"/>
          <w:sz w:val="28"/>
          <w:szCs w:val="28"/>
          <w:highlight w:val="none"/>
          <w:lang w:eastAsia="zh-CN" w:bidi="ar"/>
        </w:rPr>
        <w:t>（后附采购清单）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货物型号 ____________________</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 xml:space="preserve">数    量____________________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合    计____________________ （金额单位：人民币元)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采购货物由乙方免费配送，甲方不再另付任何费用。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eastAsia="zh-CN" w:bidi="ar"/>
        </w:rPr>
        <w:t>第二条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 xml:space="preserve"> 货物的质量</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技术标准</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乙方</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售后服务及</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损害赔偿</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bidi="ar"/>
        </w:rPr>
        <w:t>1、货物的质量</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按国家法律法规规定的合格标准、</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eastAsia="zh-CN" w:bidi="ar"/>
        </w:rPr>
        <w:t>招标</w:t>
      </w:r>
      <w:r>
        <w:rPr>
          <w:rFonts w:hint="eastAsia" w:ascii="仿宋" w:hAnsi="仿宋" w:eastAsia="仿宋" w:cs="仿宋"/>
          <w:bCs/>
          <w:color w:val="auto"/>
          <w:kern w:val="0"/>
          <w:sz w:val="28"/>
          <w:szCs w:val="28"/>
          <w:highlight w:val="none"/>
          <w:lang w:bidi="ar"/>
        </w:rPr>
        <w:t>文件</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要求的</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执行。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val="en-US" w:eastAsia="zh-CN" w:bidi="ar"/>
        </w:rPr>
        <w:t>2、</w:t>
      </w:r>
      <w:r>
        <w:rPr>
          <w:rFonts w:hint="eastAsia" w:ascii="仿宋" w:hAnsi="仿宋" w:eastAsia="仿宋" w:cs="仿宋"/>
          <w:bCs/>
          <w:color w:val="auto"/>
          <w:kern w:val="0"/>
          <w:sz w:val="28"/>
          <w:szCs w:val="28"/>
          <w:highlight w:val="none"/>
          <w:lang w:bidi="ar"/>
        </w:rPr>
        <w:t>乙方从项目验收合格之日起，产品提供</w:t>
      </w:r>
      <w:r>
        <w:rPr>
          <w:rFonts w:hint="eastAsia" w:ascii="仿宋" w:hAnsi="仿宋" w:eastAsia="仿宋" w:cs="仿宋"/>
          <w:bCs/>
          <w:color w:val="auto"/>
          <w:kern w:val="0"/>
          <w:sz w:val="28"/>
          <w:szCs w:val="28"/>
          <w:highlight w:val="none"/>
          <w:u w:val="single"/>
          <w:lang w:val="en-US" w:eastAsia="zh-CN" w:bidi="ar"/>
        </w:rPr>
        <w:t xml:space="preserve">      </w:t>
      </w:r>
      <w:r>
        <w:rPr>
          <w:rFonts w:hint="default" w:ascii="仿宋" w:hAnsi="仿宋" w:eastAsia="仿宋" w:cs="仿宋"/>
          <w:color w:val="000000"/>
          <w:kern w:val="0"/>
          <w:sz w:val="28"/>
          <w:szCs w:val="28"/>
          <w:highlight w:val="none"/>
          <w:lang w:val="en-US" w:eastAsia="zh-CN"/>
        </w:rPr>
        <w:t>质保</w:t>
      </w:r>
      <w:r>
        <w:rPr>
          <w:rFonts w:hint="eastAsia" w:ascii="仿宋" w:hAnsi="仿宋" w:eastAsia="仿宋" w:cs="仿宋"/>
          <w:bCs/>
          <w:color w:val="auto"/>
          <w:kern w:val="0"/>
          <w:sz w:val="28"/>
          <w:szCs w:val="28"/>
          <w:highlight w:val="none"/>
          <w:lang w:bidi="ar"/>
        </w:rPr>
        <w:t>，质保期内出现质量问题予以免费调换。</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kern w:val="0"/>
          <w:sz w:val="28"/>
          <w:szCs w:val="28"/>
          <w:highlight w:val="none"/>
          <w:lang w:val="en-US" w:eastAsia="zh-CN" w:bidi="ar"/>
        </w:rPr>
        <w:t>3、</w:t>
      </w:r>
      <w:r>
        <w:rPr>
          <w:rFonts w:hint="eastAsia" w:ascii="仿宋" w:hAnsi="仿宋" w:eastAsia="仿宋" w:cs="仿宋"/>
          <w:bCs/>
          <w:color w:val="auto"/>
          <w:sz w:val="28"/>
          <w:szCs w:val="28"/>
          <w:highlight w:val="none"/>
          <w:lang w:bidi="ar"/>
        </w:rPr>
        <w:t>乙方售后服务</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响应时间</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每天24小时及时响应，4小时内到现场处理相关问题，费用由乙方负责。如乙方在接到通知工作日的24小时内没有答复和处理问题，则视为乙方承认质量问题并承担由此而发生的一切费用。质保期间因产品的任何质量问题原因造成的直接经济损失应全部由乙方自行负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、如因乙方货物质量问题的原因，导致甲方损失，乙方应予以赔偿。</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val="en-US" w:eastAsia="zh-CN" w:bidi="ar"/>
        </w:rPr>
      </w:pPr>
      <w:r>
        <w:rPr>
          <w:rFonts w:hint="eastAsia" w:ascii="仿宋" w:hAnsi="仿宋" w:eastAsia="仿宋" w:cs="仿宋"/>
          <w:b/>
          <w:bCs w:val="0"/>
          <w:color w:val="auto"/>
          <w:sz w:val="28"/>
          <w:szCs w:val="28"/>
          <w:highlight w:val="none"/>
          <w:lang w:eastAsia="zh-CN" w:bidi="ar"/>
        </w:rPr>
        <w:t>第三条</w:t>
      </w:r>
      <w:r>
        <w:rPr>
          <w:rFonts w:hint="eastAsia" w:ascii="仿宋" w:hAnsi="仿宋" w:eastAsia="仿宋" w:cs="仿宋"/>
          <w:b/>
          <w:bCs w:val="0"/>
          <w:color w:val="auto"/>
          <w:sz w:val="28"/>
          <w:szCs w:val="28"/>
          <w:highlight w:val="none"/>
          <w:lang w:val="en-US" w:eastAsia="zh-CN" w:bidi="ar"/>
        </w:rPr>
        <w:t xml:space="preserve">  技术培训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color w:val="auto"/>
        </w:rPr>
      </w:pPr>
      <w:r>
        <w:rPr>
          <w:rFonts w:hint="eastAsia" w:ascii="仿宋" w:hAnsi="仿宋" w:eastAsia="仿宋" w:cs="仿宋"/>
          <w:bCs/>
          <w:color w:val="auto"/>
          <w:sz w:val="28"/>
          <w:szCs w:val="28"/>
          <w:lang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投标产品需在培训基地培训的，乙方应按要求履行，培训产生的交通费、食宿费、培训费等均由乙方承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条  安全施工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乙方应遵守工程建设安全生产有关管理规定，严格按安全标准组织施工，采取必要的安全防护措施，消除事故隐患。由于乙方安全措施不力造成事故的责任和因此发生的费用，由乙方承担。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五</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交货</w:t>
      </w:r>
      <w:r>
        <w:rPr>
          <w:rFonts w:hint="eastAsia" w:ascii="仿宋" w:hAnsi="仿宋" w:eastAsia="仿宋" w:cs="仿宋"/>
          <w:b/>
          <w:color w:val="auto"/>
          <w:sz w:val="28"/>
          <w:szCs w:val="28"/>
          <w:highlight w:val="none"/>
          <w:lang w:bidi="ar"/>
        </w:rPr>
        <w:t>和验收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bCs/>
          <w:color w:val="auto"/>
          <w:sz w:val="28"/>
          <w:szCs w:val="28"/>
          <w:highlight w:val="none"/>
          <w:u w:val="none"/>
          <w:lang w:val="en-US" w:eastAsia="zh-CN" w:bidi="ar"/>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sz w:val="28"/>
          <w:szCs w:val="28"/>
          <w:highlight w:val="none"/>
          <w:lang w:eastAsia="zh-CN"/>
        </w:rPr>
        <w:t>整个项目完成期限</w:t>
      </w:r>
      <w:r>
        <w:rPr>
          <w:rFonts w:hint="eastAsia" w:ascii="仿宋" w:hAnsi="仿宋" w:eastAsia="仿宋" w:cs="仿宋"/>
          <w:bCs/>
          <w:color w:val="auto"/>
          <w:sz w:val="28"/>
          <w:szCs w:val="28"/>
          <w:highlight w:val="none"/>
          <w:lang w:eastAsia="zh-CN" w:bidi="ar"/>
        </w:rPr>
        <w:t>：</w:t>
      </w:r>
      <w:r>
        <w:rPr>
          <w:rFonts w:hint="eastAsia" w:ascii="仿宋" w:hAnsi="仿宋" w:eastAsia="仿宋" w:cs="仿宋"/>
          <w:b w:val="0"/>
          <w:bCs w:val="0"/>
          <w:sz w:val="28"/>
          <w:szCs w:val="28"/>
          <w:lang w:val="en-US" w:eastAsia="zh-CN"/>
        </w:rPr>
        <w:t>合同签订生效后</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 xml:space="preserve"> 个日历日内交货完毕、安装调试完成</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 xml:space="preserve">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交付地点：甲方指定地点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2、乙方负责货物的运输</w:t>
      </w:r>
      <w:r>
        <w:rPr>
          <w:rFonts w:hint="eastAsia" w:ascii="仿宋" w:hAnsi="仿宋" w:eastAsia="仿宋" w:cs="仿宋"/>
          <w:bCs/>
          <w:color w:val="auto"/>
          <w:sz w:val="28"/>
          <w:szCs w:val="28"/>
          <w:highlight w:val="none"/>
          <w:lang w:eastAsia="zh-CN" w:bidi="ar"/>
        </w:rPr>
        <w:t>、安装、调试，</w:t>
      </w:r>
      <w:r>
        <w:rPr>
          <w:rFonts w:hint="eastAsia" w:ascii="仿宋" w:hAnsi="仿宋" w:eastAsia="仿宋" w:cs="仿宋"/>
          <w:bCs/>
          <w:color w:val="auto"/>
          <w:sz w:val="28"/>
          <w:szCs w:val="28"/>
          <w:highlight w:val="none"/>
          <w:lang w:bidi="ar"/>
        </w:rPr>
        <w:t>提供货物合格证等相关资料；并承担由此产生的全部费用。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3、验收标准</w:t>
      </w:r>
    </w:p>
    <w:p>
      <w:pPr>
        <w:widowControl/>
        <w:spacing w:line="50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应有产品合格证、检测报告、产品说明书、保修证明以及相应产品的检定证书和其他应具有的单证；</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val="en-US" w:eastAsia="zh-CN" w:bidi="ar"/>
        </w:rPr>
        <w:t>2</w:t>
      </w:r>
      <w:r>
        <w:rPr>
          <w:rFonts w:hint="eastAsia" w:ascii="仿宋" w:hAnsi="仿宋" w:eastAsia="仿宋" w:cs="仿宋"/>
          <w:bCs/>
          <w:color w:val="auto"/>
          <w:sz w:val="28"/>
          <w:szCs w:val="28"/>
          <w:highlight w:val="none"/>
          <w:lang w:bidi="ar"/>
        </w:rPr>
        <w:t>）质量符合国家法律法规规定的合格标准、</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文件的要求。</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六</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价款</w:t>
      </w:r>
      <w:r>
        <w:rPr>
          <w:rFonts w:hint="eastAsia" w:ascii="仿宋" w:hAnsi="仿宋" w:eastAsia="仿宋" w:cs="仿宋"/>
          <w:b/>
          <w:color w:val="auto"/>
          <w:sz w:val="28"/>
          <w:szCs w:val="28"/>
          <w:highlight w:val="none"/>
          <w:lang w:bidi="ar"/>
        </w:rPr>
        <w:t>的结算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1、结算依据：</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采购合同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销售发票</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、甲方出具的验收报告。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结算方式</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合同签订后支付合同总金额的</w:t>
      </w:r>
      <w:r>
        <w:rPr>
          <w:rFonts w:hint="eastAsia" w:ascii="仿宋" w:hAnsi="仿宋" w:eastAsia="仿宋" w:cs="仿宋"/>
          <w:bCs/>
          <w:color w:val="auto"/>
          <w:sz w:val="28"/>
          <w:szCs w:val="28"/>
          <w:highlight w:val="none"/>
          <w:lang w:val="en-US" w:eastAsia="zh-CN" w:bidi="ar"/>
        </w:rPr>
        <w:t>30%；安装调试完成并验收合格后</w:t>
      </w:r>
      <w:r>
        <w:rPr>
          <w:rFonts w:hint="eastAsia" w:ascii="仿宋" w:hAnsi="仿宋" w:eastAsia="仿宋" w:cs="仿宋"/>
          <w:bCs/>
          <w:color w:val="auto"/>
          <w:sz w:val="28"/>
          <w:szCs w:val="28"/>
          <w:highlight w:val="none"/>
          <w:lang w:eastAsia="zh-CN" w:bidi="ar"/>
        </w:rPr>
        <w:t>支付合同总金额的</w:t>
      </w:r>
      <w:r>
        <w:rPr>
          <w:rFonts w:hint="eastAsia" w:ascii="仿宋" w:hAnsi="仿宋" w:eastAsia="仿宋" w:cs="仿宋"/>
          <w:bCs/>
          <w:color w:val="auto"/>
          <w:sz w:val="28"/>
          <w:szCs w:val="28"/>
          <w:highlight w:val="none"/>
          <w:lang w:val="en-US" w:eastAsia="zh-CN" w:bidi="ar"/>
        </w:rPr>
        <w:t>60%；试运行三个月无质量问题后支付剩余的10%。</w:t>
      </w:r>
    </w:p>
    <w:p>
      <w:pPr>
        <w:keepNext w:val="0"/>
        <w:keepLines w:val="0"/>
        <w:pageBreakBefore w:val="0"/>
        <w:widowControl w:val="0"/>
        <w:tabs>
          <w:tab w:val="left" w:pos="6176"/>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eastAsia="zh-CN"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甲</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kern w:val="0"/>
          <w:sz w:val="28"/>
          <w:szCs w:val="28"/>
          <w:highlight w:val="none"/>
        </w:rPr>
        <w:t>甲方逾期付款，</w:t>
      </w:r>
      <w:r>
        <w:rPr>
          <w:rFonts w:hint="eastAsia" w:ascii="仿宋" w:hAnsi="仿宋" w:eastAsia="仿宋" w:cs="仿宋"/>
          <w:color w:val="auto"/>
          <w:kern w:val="0"/>
          <w:sz w:val="28"/>
          <w:szCs w:val="28"/>
          <w:highlight w:val="none"/>
          <w:lang w:val="en-US" w:eastAsia="zh-CN"/>
        </w:rPr>
        <w:t>应就逾期部分向乙方支付按照中国人民银行规定的同期贷款基准利率计算的逾期付款违约金。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2、甲方违反合同规定拒绝接货的，应当承担由此对乙方造成的损失。</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八</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乙</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1、乙方不能按期</w:t>
      </w:r>
      <w:r>
        <w:rPr>
          <w:rFonts w:hint="eastAsia" w:ascii="仿宋" w:hAnsi="仿宋" w:eastAsia="仿宋" w:cs="仿宋"/>
          <w:bCs/>
          <w:color w:val="auto"/>
          <w:sz w:val="28"/>
          <w:szCs w:val="28"/>
          <w:highlight w:val="none"/>
          <w:lang w:eastAsia="zh-CN" w:bidi="ar"/>
        </w:rPr>
        <w:t>交货</w:t>
      </w:r>
      <w:r>
        <w:rPr>
          <w:rFonts w:hint="eastAsia" w:ascii="仿宋" w:hAnsi="仿宋" w:eastAsia="仿宋" w:cs="仿宋"/>
          <w:bCs/>
          <w:color w:val="auto"/>
          <w:sz w:val="28"/>
          <w:szCs w:val="28"/>
          <w:highlight w:val="none"/>
          <w:lang w:bidi="ar"/>
        </w:rPr>
        <w:t>的，每逾期1日，乙方应向甲方赔付合同总价的0.1%作为违约金。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2、乙方所交货物不符合国家法律法规和合同规定的，甲方有权拒收，并由乙方承担一切费用。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九</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不可抗力</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甲乙双方任何一方由于</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不可抗力</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原因不能履行合同时，应及时向对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"http://set2.mail.qq.com/cgi-bin/mail_spam?action=check_link&amp;spam=0&amp;url=http%3A%2F%2Fwww%2Ebaidu%2Ecom%2Fs%3Fwd%3D%25E6%2596%25B9%25E9%2580%259A%26hl_tag%3Dtextlink%26tn%3DSE_hldp01350_v6v6zkg6"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方通</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违约责任</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十</w:t>
      </w:r>
      <w:r>
        <w:rPr>
          <w:rFonts w:hint="eastAsia" w:ascii="仿宋" w:hAnsi="仿宋" w:eastAsia="仿宋" w:cs="仿宋"/>
          <w:b/>
          <w:color w:val="auto"/>
          <w:sz w:val="28"/>
          <w:szCs w:val="28"/>
          <w:highlight w:val="none"/>
          <w:lang w:bidi="ar"/>
        </w:rPr>
        <w:t>条  争议解决</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双方本着友好合作的态度,对合同履行过程中发生的纠纷应及时协商解决，协商不成的，向甲方所在地有管辖权的人民法院诉讼解决。</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十一</w:t>
      </w:r>
      <w:r>
        <w:rPr>
          <w:rFonts w:hint="eastAsia" w:ascii="仿宋" w:hAnsi="仿宋" w:eastAsia="仿宋" w:cs="仿宋"/>
          <w:b/>
          <w:color w:val="auto"/>
          <w:sz w:val="28"/>
          <w:szCs w:val="28"/>
          <w:highlight w:val="none"/>
          <w:lang w:bidi="ar"/>
        </w:rPr>
        <w:t>条  监督和管理</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2、甲乙双方均应自觉配合有关监督管理部门对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"http://set2.mail.qq.com/cgi-bin/mail_spam?action=check_link&amp;spam=0&amp;url=http%3A%2F%2Fwww%2Ebaidu%2Ecom%2Fs%3Fwd%3D%25E5%2590%2588%25E5%2590%258C%25E5%25B1%25A5%25E8%25A1%258C%26hl_tag%3Dtextlink%26tn%3DSE_hldp01350_v6v6zkg6"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合同履行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情况的监督检查，如实反映情况，提供有关资料；否则，将对有关单位、当事人按照有关规定予以处罚。</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eastAsia="zh-CN" w:bidi="ar"/>
        </w:rPr>
        <w:t>二</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"http://set2.mail.qq.com/cgi-bin/mail_spam?action=check_link&amp;spam=0&amp;url=http%3A%2F%2Fwww%2Ebaidu%2Ecom%2Fs%3Fwd%3D%25E6%2597%25A0%25E6%2595%2588%25E5%2590%2588%25E5%2590%258C%26hl_tag%3Dtextlink%26tn%3DSE_hldp01350_v6v6zkg6"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无效合同</w:t>
      </w:r>
      <w:r>
        <w:rPr>
          <w:rFonts w:hint="eastAsia" w:ascii="仿宋" w:hAnsi="仿宋" w:eastAsia="仿宋" w:cs="仿宋"/>
          <w:b/>
          <w:color w:val="auto"/>
          <w:sz w:val="28"/>
          <w:szCs w:val="28"/>
          <w:highlight w:val="none"/>
          <w:lang w:bidi="ar"/>
        </w:rPr>
        <w:fldChar w:fldCharType="end"/>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甲乙双方如因违反政府采购法及相关法律法规的规定，被宣告</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"http://set2.mail.qq.com/cgi-bin/mail_spam?action=check_link&amp;spam=0&amp;url=http%3A%2F%2Fwww%2Ebaidu%2Ecom%2Fs%3Fwd%3D%25E5%2590%2588%25E5%2590%258C%25E6%2597%25A0%25E6%2595%2588%26hl_tag%3Dtextlink%26tn%3DSE_hldp01350_v6v6zkg6"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合同无效</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的，一切责任概由过错方自行承担。</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val="en-US" w:eastAsia="zh-CN" w:bidi="ar"/>
        </w:rPr>
        <w:t>三</w:t>
      </w:r>
      <w:r>
        <w:rPr>
          <w:rFonts w:hint="eastAsia" w:ascii="仿宋" w:hAnsi="仿宋" w:eastAsia="仿宋" w:cs="仿宋"/>
          <w:b/>
          <w:sz w:val="28"/>
          <w:szCs w:val="28"/>
          <w:highlight w:val="none"/>
          <w:lang w:bidi="ar"/>
        </w:rPr>
        <w:t>条附则</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项目（项目编号：</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）的</w:t>
      </w:r>
      <w:r>
        <w:rPr>
          <w:highlight w:val="none"/>
        </w:rPr>
        <w:fldChar w:fldCharType="begin"/>
      </w:r>
      <w:r>
        <w:rPr>
          <w:highlight w:val="none"/>
        </w:rPr>
        <w:instrText xml:space="preserve"> HYPERLINK "http://set2.mail.qq.com/cgi-bin/mail_spam?action=check_link&amp;spam=0&amp;url=http%3A%2F%2Fwww%2Ebaidu%2Ecom%2Fs%3Fwd%3D%25E6%258B%259B%25E6%25A0%2587%25E6%2596%2587%25E4%25BB%25B6%26hl_tag%3Dtextlink%26tn%3DSE_hldp01350_v6v6zkg6" </w:instrText>
      </w:r>
      <w:r>
        <w:rPr>
          <w:highlight w:val="none"/>
        </w:rPr>
        <w:fldChar w:fldCharType="separate"/>
      </w:r>
      <w:r>
        <w:rPr>
          <w:rFonts w:hint="eastAsia" w:ascii="仿宋" w:hAnsi="仿宋" w:eastAsia="仿宋" w:cs="仿宋"/>
          <w:bCs/>
          <w:sz w:val="28"/>
          <w:szCs w:val="28"/>
          <w:highlight w:val="none"/>
          <w:lang w:bidi="ar"/>
        </w:rPr>
        <w:t>招标文件</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、中标通知书、乙方投标文件及澄清说明文件都是本合同的组成部分，甲、乙双方必须全面遵守，如有违反，应承担违约责任。</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2、本合同一式六份,甲乙双方各执两份,政府采购代理机构两份。</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3、本合同自签字盖章之日起生效。</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4、附件：</w:t>
      </w:r>
      <w:r>
        <w:rPr>
          <w:rFonts w:hint="eastAsia" w:ascii="仿宋" w:hAnsi="仿宋" w:eastAsia="仿宋" w:cs="仿宋"/>
          <w:sz w:val="28"/>
          <w:szCs w:val="28"/>
          <w:highlight w:val="none"/>
        </w:rPr>
        <w:t>（包含但不限于供货</w:t>
      </w:r>
      <w:r>
        <w:rPr>
          <w:rFonts w:hint="eastAsia" w:ascii="仿宋" w:hAnsi="仿宋" w:eastAsia="仿宋" w:cs="仿宋"/>
          <w:kern w:val="0"/>
          <w:sz w:val="28"/>
          <w:szCs w:val="28"/>
          <w:highlight w:val="none"/>
        </w:rPr>
        <w:t>清单</w:t>
      </w:r>
      <w:r>
        <w:rPr>
          <w:rFonts w:hint="eastAsia" w:ascii="仿宋" w:hAnsi="仿宋" w:eastAsia="仿宋" w:cs="仿宋"/>
          <w:kern w:val="0"/>
          <w:sz w:val="28"/>
          <w:szCs w:val="28"/>
          <w:highlight w:val="none"/>
          <w:lang w:eastAsia="zh-CN"/>
        </w:rPr>
        <w:t>和</w:t>
      </w:r>
      <w:r>
        <w:rPr>
          <w:rFonts w:hint="eastAsia" w:ascii="仿宋" w:hAnsi="仿宋" w:eastAsia="仿宋" w:cs="仿宋"/>
          <w:kern w:val="0"/>
          <w:sz w:val="28"/>
          <w:szCs w:val="28"/>
          <w:highlight w:val="none"/>
        </w:rPr>
        <w:t>货物详细技术参数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采购人(甲方)：供应商(乙方)：</w:t>
      </w:r>
    </w:p>
    <w:p>
      <w:pPr>
        <w:keepNext w:val="0"/>
        <w:keepLines w:val="0"/>
        <w:pageBreakBefore w:val="0"/>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账    号：账    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电    话：电    话：</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地    址：地    址：</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
          <w:bCs/>
          <w:sz w:val="44"/>
          <w:szCs w:val="44"/>
          <w:highlight w:val="none"/>
        </w:rPr>
      </w:pPr>
      <w:r>
        <w:rPr>
          <w:rFonts w:hint="eastAsia" w:ascii="仿宋" w:hAnsi="仿宋" w:eastAsia="仿宋" w:cs="仿宋"/>
          <w:bCs/>
          <w:sz w:val="28"/>
          <w:szCs w:val="28"/>
          <w:highlight w:val="none"/>
          <w:lang w:bidi="ar"/>
        </w:rPr>
        <w:t>时    间：  年月日    时    间： 年月日</w:t>
      </w:r>
    </w:p>
    <w:p>
      <w:pPr>
        <w:rPr>
          <w:highlight w:val="none"/>
        </w:rPr>
      </w:pPr>
    </w:p>
    <w:p>
      <w:pPr>
        <w:widowControl/>
        <w:spacing w:line="360" w:lineRule="auto"/>
        <w:jc w:val="center"/>
        <w:outlineLvl w:val="0"/>
        <w:rPr>
          <w:rFonts w:ascii="仿宋" w:hAnsi="仿宋" w:eastAsia="仿宋" w:cs="仿宋"/>
          <w:b/>
          <w:sz w:val="44"/>
          <w:szCs w:val="44"/>
          <w:highlight w:val="none"/>
        </w:rPr>
      </w:pPr>
      <w:r>
        <w:rPr>
          <w:rFonts w:hint="eastAsia" w:ascii="仿宋" w:hAnsi="仿宋" w:eastAsia="仿宋" w:cs="仿宋"/>
          <w:kern w:val="0"/>
          <w:sz w:val="28"/>
          <w:szCs w:val="28"/>
          <w:highlight w:val="none"/>
        </w:rPr>
        <w:br w:type="page"/>
      </w:r>
      <w:bookmarkStart w:id="158" w:name="_Toc3645"/>
      <w:bookmarkStart w:id="159" w:name="_Toc31522_WPSOffice_Level1"/>
      <w:bookmarkStart w:id="160" w:name="_Toc12275"/>
      <w:bookmarkStart w:id="161" w:name="_Toc27743"/>
      <w:r>
        <w:rPr>
          <w:rFonts w:hint="eastAsia" w:ascii="仿宋" w:hAnsi="仿宋" w:eastAsia="仿宋" w:cs="仿宋"/>
          <w:b/>
          <w:bCs/>
          <w:kern w:val="0"/>
          <w:sz w:val="44"/>
          <w:szCs w:val="44"/>
          <w:highlight w:val="none"/>
        </w:rPr>
        <w:t>第六章  投标文件格式</w:t>
      </w:r>
      <w:bookmarkEnd w:id="156"/>
      <w:bookmarkEnd w:id="157"/>
      <w:bookmarkEnd w:id="158"/>
      <w:bookmarkEnd w:id="159"/>
      <w:bookmarkEnd w:id="160"/>
      <w:bookmarkEnd w:id="161"/>
      <w:bookmarkStart w:id="162" w:name="_Toc49090576"/>
      <w:bookmarkStart w:id="163" w:name="_Toc26554094"/>
      <w:bookmarkStart w:id="164" w:name="_Toc120614282"/>
    </w:p>
    <w:tbl>
      <w:tblPr>
        <w:tblStyle w:val="28"/>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165" w:name="_Toc2950_WPSOffice_Level1"/>
            <w:bookmarkStart w:id="166" w:name="_Toc19647_WPSOffice_Level1"/>
            <w:r>
              <w:rPr>
                <w:rFonts w:hint="eastAsia" w:ascii="仿宋" w:hAnsi="仿宋" w:eastAsia="仿宋" w:cs="仿宋"/>
                <w:b/>
                <w:sz w:val="40"/>
                <w:szCs w:val="44"/>
                <w:highlight w:val="none"/>
              </w:rPr>
              <w:t>正/副本</w:t>
            </w:r>
          </w:p>
        </w:tc>
      </w:tr>
    </w:tbl>
    <w:p>
      <w:pPr>
        <w:pStyle w:val="45"/>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67" w:name="_Toc26032"/>
      <w:bookmarkStart w:id="168" w:name="_Toc19912"/>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167"/>
      <w:bookmarkEnd w:id="168"/>
    </w:p>
    <w:bookmarkEnd w:id="165"/>
    <w:bookmarkEnd w:id="166"/>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121</w:t>
      </w:r>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ZCSP-渭南市-202</w:t>
      </w: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lang w:eastAsia="zh-CN"/>
        </w:rPr>
        <w:t>-0</w:t>
      </w:r>
      <w:r>
        <w:rPr>
          <w:rFonts w:hint="eastAsia" w:ascii="仿宋" w:hAnsi="仿宋" w:eastAsia="仿宋" w:cs="仿宋"/>
          <w:b/>
          <w:sz w:val="32"/>
          <w:szCs w:val="32"/>
          <w:highlight w:val="none"/>
          <w:lang w:val="en-US" w:eastAsia="zh-CN"/>
        </w:rPr>
        <w:t>0912</w:t>
      </w:r>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2349" w:firstLineChars="650"/>
        <w:textAlignment w:val="auto"/>
        <w:rPr>
          <w:rFonts w:hint="default" w:ascii="仿宋" w:hAnsi="仿宋" w:eastAsia="仿宋" w:cs="仿宋"/>
          <w:b/>
          <w:sz w:val="36"/>
          <w:szCs w:val="36"/>
          <w:highlight w:val="none"/>
          <w:lang w:val="en-US"/>
        </w:rPr>
      </w:pPr>
    </w:p>
    <w:p>
      <w:pPr>
        <w:pStyle w:val="43"/>
        <w:widowControl/>
        <w:spacing w:before="0" w:after="0"/>
        <w:ind w:firstLine="0"/>
        <w:jc w:val="both"/>
        <w:rPr>
          <w:rFonts w:ascii="仿宋" w:hAnsi="仿宋" w:eastAsia="仿宋" w:cs="仿宋"/>
          <w:b/>
          <w:sz w:val="48"/>
          <w:szCs w:val="48"/>
          <w:highlight w:val="none"/>
        </w:rPr>
      </w:pPr>
    </w:p>
    <w:p>
      <w:pPr>
        <w:pStyle w:val="43"/>
        <w:keepNext w:val="0"/>
        <w:keepLines w:val="0"/>
        <w:pageBreakBefore w:val="0"/>
        <w:widowControl/>
        <w:kinsoku/>
        <w:wordWrap/>
        <w:overflowPunct/>
        <w:topLinePunct w:val="0"/>
        <w:autoSpaceDE/>
        <w:autoSpaceDN/>
        <w:bidi w:val="0"/>
        <w:adjustRightInd w:val="0"/>
        <w:snapToGrid/>
        <w:spacing w:before="0" w:after="0" w:line="360" w:lineRule="auto"/>
        <w:ind w:firstLine="0"/>
        <w:jc w:val="both"/>
        <w:textAlignment w:val="auto"/>
        <w:rPr>
          <w:rFonts w:ascii="仿宋" w:hAnsi="仿宋" w:eastAsia="仿宋" w:cs="仿宋"/>
          <w:b/>
          <w:sz w:val="44"/>
          <w:szCs w:val="44"/>
          <w:highlight w:val="none"/>
        </w:rPr>
      </w:pPr>
    </w:p>
    <w:p>
      <w:pPr>
        <w:pStyle w:val="45"/>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ascii="仿宋" w:hAnsi="仿宋" w:cs="仿宋"/>
          <w:b/>
          <w:sz w:val="52"/>
          <w:szCs w:val="52"/>
          <w:highlight w:val="none"/>
        </w:rPr>
      </w:pPr>
      <w:bookmarkStart w:id="169" w:name="_Toc6284_WPSOffice_Level1"/>
      <w:bookmarkStart w:id="170" w:name="_Toc17020_WPSOffice_Level1"/>
      <w:r>
        <w:rPr>
          <w:rFonts w:hint="default" w:ascii="仿宋" w:hAnsi="仿宋" w:cs="仿宋"/>
          <w:b/>
          <w:sz w:val="52"/>
          <w:szCs w:val="52"/>
          <w:highlight w:val="none"/>
          <w:lang w:eastAsia="zh-CN"/>
        </w:rPr>
        <w:t>渭南市人民检察院办案区（北区）中央空调采购项目</w:t>
      </w:r>
    </w:p>
    <w:p>
      <w:pPr>
        <w:pStyle w:val="45"/>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240" w:lineRule="exact"/>
        <w:ind w:firstLine="0" w:firstLineChars="0"/>
        <w:jc w:val="both"/>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pPr>
        <w:pStyle w:val="45"/>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bookmarkEnd w:id="169"/>
      <w:bookmarkEnd w:id="170"/>
    </w:p>
    <w:p>
      <w:pPr>
        <w:pStyle w:val="45"/>
        <w:widowControl/>
        <w:spacing w:line="480" w:lineRule="auto"/>
        <w:ind w:firstLine="0" w:firstLineChars="0"/>
        <w:jc w:val="center"/>
        <w:rPr>
          <w:rFonts w:ascii="仿宋" w:hAnsi="仿宋" w:eastAsia="仿宋" w:cs="仿宋"/>
          <w:b/>
          <w:spacing w:val="8"/>
          <w:sz w:val="28"/>
          <w:szCs w:val="28"/>
          <w:highlight w:val="none"/>
          <w:u w:val="single"/>
        </w:rPr>
      </w:pPr>
      <w:bookmarkStart w:id="171" w:name="_Toc17469_WPSOffice_Level1"/>
      <w:bookmarkStart w:id="172" w:name="_Toc24484_WPSOffice_Level1"/>
      <w:r>
        <w:rPr>
          <w:rFonts w:ascii="仿宋" w:hAnsi="仿宋" w:cs="仿宋"/>
          <w:b/>
          <w:sz w:val="52"/>
          <w:szCs w:val="52"/>
          <w:highlight w:val="none"/>
        </w:rPr>
        <w:t>（格式）</w:t>
      </w:r>
      <w:bookmarkEnd w:id="136"/>
      <w:bookmarkEnd w:id="137"/>
      <w:bookmarkEnd w:id="162"/>
      <w:bookmarkEnd w:id="163"/>
      <w:bookmarkEnd w:id="164"/>
      <w:bookmarkEnd w:id="171"/>
      <w:bookmarkEnd w:id="172"/>
      <w:bookmarkStart w:id="173" w:name="_Toc4511"/>
    </w:p>
    <w:p>
      <w:pPr>
        <w:pStyle w:val="39"/>
        <w:rPr>
          <w:highlight w:val="none"/>
        </w:rPr>
      </w:pPr>
    </w:p>
    <w:p>
      <w:pPr>
        <w:rPr>
          <w:highlight w:val="none"/>
        </w:rPr>
      </w:pPr>
    </w:p>
    <w:p>
      <w:pPr>
        <w:pStyle w:val="12"/>
      </w:pPr>
    </w:p>
    <w:p/>
    <w:p>
      <w:pPr>
        <w:pStyle w:val="12"/>
        <w:rPr>
          <w:rFonts w:hint="default"/>
          <w:highlight w:val="none"/>
        </w:rPr>
      </w:pPr>
    </w:p>
    <w:p>
      <w:pPr>
        <w:rPr>
          <w:highlight w:val="none"/>
        </w:rPr>
      </w:pPr>
    </w:p>
    <w:p>
      <w:pPr>
        <w:pStyle w:val="26"/>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u w:val="single"/>
          <w:lang w:val="en-US" w:eastAsia="zh-CN"/>
        </w:rPr>
      </w:pPr>
      <w:r>
        <w:rPr>
          <w:rFonts w:hint="eastAsia" w:ascii="仿宋" w:hAnsi="仿宋" w:cs="仿宋"/>
          <w:b/>
          <w:bCs/>
          <w:sz w:val="28"/>
          <w:szCs w:val="28"/>
          <w:lang w:eastAsia="zh-CN"/>
        </w:rPr>
        <w:t>投标文件内容：</w:t>
      </w:r>
      <w:r>
        <w:rPr>
          <w:rFonts w:hint="eastAsia" w:ascii="仿宋" w:hAnsi="仿宋" w:cs="仿宋"/>
          <w:b/>
          <w:bCs/>
          <w:sz w:val="28"/>
          <w:szCs w:val="28"/>
          <w:u w:val="single"/>
          <w:lang w:val="en-US" w:eastAsia="zh-CN"/>
        </w:rPr>
        <w:t xml:space="preserve">    资 格 标    </w:t>
      </w:r>
    </w:p>
    <w:p>
      <w:pPr>
        <w:pStyle w:val="2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spacing w:line="480" w:lineRule="atLeast"/>
        <w:jc w:val="center"/>
        <w:outlineLvl w:val="2"/>
        <w:rPr>
          <w:rFonts w:ascii="仿宋" w:hAnsi="仿宋" w:eastAsia="仿宋" w:cs="仿宋"/>
          <w:b/>
          <w:bCs/>
          <w:sz w:val="36"/>
          <w:szCs w:val="36"/>
          <w:highlight w:val="none"/>
        </w:rPr>
      </w:pPr>
      <w:bookmarkStart w:id="174" w:name="_Toc1595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174"/>
    </w:p>
    <w:tbl>
      <w:tblPr>
        <w:tblStyle w:val="28"/>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140" w:type="dxa"/>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bl>
    <w:p>
      <w:pPr>
        <w:pStyle w:val="45"/>
        <w:widowControl/>
        <w:spacing w:line="500" w:lineRule="exact"/>
        <w:ind w:firstLine="560"/>
        <w:rPr>
          <w:rFonts w:hint="default" w:ascii="仿宋" w:hAnsi="仿宋" w:cs="仿宋"/>
          <w:szCs w:val="28"/>
          <w:highlight w:val="none"/>
        </w:rPr>
      </w:pPr>
    </w:p>
    <w:p>
      <w:pPr>
        <w:pStyle w:val="45"/>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45"/>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45"/>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45"/>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45"/>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spacing w:line="500" w:lineRule="atLeast"/>
        <w:jc w:val="center"/>
        <w:outlineLvl w:val="2"/>
        <w:rPr>
          <w:rFonts w:ascii="仿宋" w:hAnsi="仿宋" w:eastAsia="仿宋" w:cs="仿宋"/>
          <w:b/>
          <w:bCs/>
          <w:sz w:val="36"/>
          <w:szCs w:val="36"/>
          <w:highlight w:val="none"/>
        </w:rPr>
      </w:pPr>
      <w:bookmarkStart w:id="175" w:name="_Toc21336"/>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175"/>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pPr>
        <w:pStyle w:val="24"/>
        <w:keepNext w:val="0"/>
        <w:keepLines w:val="0"/>
        <w:pageBreakBefore w:val="0"/>
        <w:widowControl/>
        <w:numPr>
          <w:ilvl w:val="0"/>
          <w:numId w:val="6"/>
        </w:numPr>
        <w:kinsoku/>
        <w:wordWrap/>
        <w:overflowPunct/>
        <w:topLinePunct w:val="0"/>
        <w:autoSpaceDE/>
        <w:autoSpaceDN/>
        <w:bidi w:val="0"/>
        <w:adjustRightInd/>
        <w:snapToGrid/>
        <w:spacing w:before="0" w:after="0" w:line="440" w:lineRule="exact"/>
        <w:ind w:left="0" w:leftChars="0" w:firstLine="560" w:firstLineChars="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满足《中华人民共和国政府采购法》第二十二条规定；</w:t>
      </w:r>
    </w:p>
    <w:p>
      <w:pPr>
        <w:pStyle w:val="24"/>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left="0"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numPr>
          <w:ilvl w:val="0"/>
          <w:numId w:val="0"/>
        </w:numPr>
        <w:tabs>
          <w:tab w:val="left" w:pos="1834"/>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提供2022年度</w:t>
      </w:r>
      <w:r>
        <w:rPr>
          <w:rFonts w:hint="eastAsia" w:ascii="仿宋" w:hAnsi="仿宋" w:eastAsia="仿宋" w:cs="仿宋"/>
          <w:color w:val="auto"/>
          <w:kern w:val="0"/>
          <w:sz w:val="28"/>
          <w:szCs w:val="28"/>
          <w:highlight w:val="none"/>
        </w:rPr>
        <w:t>经审计的财务报告或开标前六个月内其基本账户银行出具的资信证明或财政部门认可的政府采购专业担保机构出具的担保函；</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提供202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月以来任意3个月依法缴纳税收和社会保险的相关证明材料；</w:t>
      </w:r>
      <w:r>
        <w:rPr>
          <w:rFonts w:hint="eastAsia" w:ascii="仿宋" w:hAnsi="仿宋" w:eastAsia="仿宋" w:cs="仿宋"/>
          <w:color w:val="auto"/>
          <w:kern w:val="0"/>
          <w:sz w:val="28"/>
          <w:szCs w:val="28"/>
          <w:highlight w:val="none"/>
        </w:rPr>
        <w:t>注：依法免税或不需要缴纳社会保险的供应商提供相关部门出具的证明文件;</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w:t>
      </w:r>
      <w:r>
        <w:rPr>
          <w:rFonts w:hint="eastAsia" w:ascii="仿宋" w:hAnsi="仿宋" w:cs="仿宋"/>
          <w:sz w:val="28"/>
          <w:szCs w:val="28"/>
          <w:highlight w:val="none"/>
          <w:lang w:eastAsia="zh-CN"/>
        </w:rPr>
        <w:t>投标</w:t>
      </w:r>
      <w:r>
        <w:rPr>
          <w:rFonts w:hint="eastAsia" w:ascii="仿宋" w:hAnsi="仿宋" w:eastAsia="仿宋" w:cs="仿宋"/>
          <w:sz w:val="28"/>
          <w:szCs w:val="28"/>
          <w:highlight w:val="none"/>
          <w:lang w:eastAsia="zh-CN"/>
        </w:rPr>
        <w:t>保证金交纳凭证；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）资质条件：</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9.1</w:t>
      </w:r>
      <w:r>
        <w:rPr>
          <w:rFonts w:hint="eastAsia" w:ascii="仿宋" w:hAnsi="仿宋" w:eastAsia="仿宋" w:cs="仿宋"/>
          <w:kern w:val="0"/>
          <w:sz w:val="28"/>
          <w:szCs w:val="28"/>
          <w:highlight w:val="none"/>
          <w:lang w:eastAsia="zh-CN"/>
        </w:rPr>
        <w:t>）提供有效的建筑机电安装工程专业承包三级及以上资质；</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9.2</w:t>
      </w:r>
      <w:r>
        <w:rPr>
          <w:rFonts w:hint="eastAsia" w:ascii="仿宋" w:hAnsi="仿宋" w:eastAsia="仿宋" w:cs="仿宋"/>
          <w:kern w:val="0"/>
          <w:sz w:val="28"/>
          <w:szCs w:val="28"/>
          <w:highlight w:val="none"/>
          <w:lang w:eastAsia="zh-CN"/>
        </w:rPr>
        <w:t>）提供有效的施工企业安全生产许可证；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9.3</w:t>
      </w:r>
      <w:r>
        <w:rPr>
          <w:rFonts w:hint="eastAsia" w:ascii="仿宋" w:hAnsi="仿宋" w:eastAsia="仿宋" w:cs="仿宋"/>
          <w:kern w:val="0"/>
          <w:sz w:val="28"/>
          <w:szCs w:val="28"/>
          <w:highlight w:val="none"/>
          <w:lang w:eastAsia="zh-CN"/>
        </w:rPr>
        <w:t>）项目经理须具备机电工程专业二级及以上注册建造师证书，有效的安全生产考核合格证书（建安B证），提供无在建项目承诺；</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lang w:eastAsia="zh-CN"/>
        </w:rPr>
        <w:t>）</w:t>
      </w:r>
      <w:r>
        <w:rPr>
          <w:rFonts w:hint="eastAsia" w:ascii="仿宋" w:hAnsi="仿宋" w:eastAsia="仿宋" w:cs="仿宋"/>
          <w:sz w:val="28"/>
          <w:szCs w:val="28"/>
          <w:highlight w:val="none"/>
          <w:lang w:eastAsia="zh-CN"/>
        </w:rPr>
        <w:t>供应商认为有必要提供而增加其竞争性的其它资料</w:t>
      </w:r>
      <w:r>
        <w:rPr>
          <w:rFonts w:hint="eastAsia" w:ascii="仿宋" w:hAnsi="仿宋" w:eastAsia="仿宋" w:cs="仿宋"/>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kern w:val="0"/>
          <w:sz w:val="28"/>
          <w:szCs w:val="28"/>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pPr>
        <w:pStyle w:val="18"/>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kern w:val="0"/>
          <w:sz w:val="28"/>
          <w:szCs w:val="28"/>
          <w:highlight w:val="green"/>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p>
    <w:p>
      <w:pPr>
        <w:pStyle w:val="43"/>
        <w:keepNext w:val="0"/>
        <w:keepLines w:val="0"/>
        <w:pageBreakBefore w:val="0"/>
        <w:widowControl/>
        <w:kinsoku/>
        <w:wordWrap/>
        <w:overflowPunct/>
        <w:topLinePunct w:val="0"/>
        <w:autoSpaceDE/>
        <w:autoSpaceDN/>
        <w:bidi w:val="0"/>
        <w:adjustRightInd w:val="0"/>
        <w:snapToGrid/>
        <w:spacing w:before="0" w:after="0" w:line="500" w:lineRule="exact"/>
        <w:ind w:firstLine="0"/>
        <w:jc w:val="center"/>
        <w:textAlignment w:val="auto"/>
        <w:outlineLvl w:val="3"/>
        <w:rPr>
          <w:rFonts w:hint="eastAsia" w:ascii="仿宋" w:hAnsi="仿宋" w:eastAsia="仿宋" w:cs="仿宋"/>
          <w:sz w:val="30"/>
          <w:szCs w:val="30"/>
        </w:rPr>
      </w:pPr>
      <w:bookmarkStart w:id="176" w:name="_Toc8220"/>
      <w:bookmarkStart w:id="177" w:name="_Toc16146"/>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_Toc19385 </w:instrText>
      </w:r>
      <w:r>
        <w:rPr>
          <w:rFonts w:hint="eastAsia" w:ascii="仿宋" w:hAnsi="仿宋" w:eastAsia="仿宋" w:cs="仿宋"/>
          <w:sz w:val="30"/>
          <w:szCs w:val="30"/>
        </w:rPr>
        <w:fldChar w:fldCharType="separate"/>
      </w:r>
      <w:r>
        <w:rPr>
          <w:rFonts w:hint="eastAsia" w:ascii="仿宋" w:hAnsi="仿宋" w:eastAsia="仿宋" w:cs="仿宋"/>
          <w:b/>
          <w:bCs/>
          <w:sz w:val="28"/>
          <w:szCs w:val="28"/>
          <w:lang w:val="en-US" w:eastAsia="zh-CN"/>
        </w:rPr>
        <w:t>1、供应商</w:t>
      </w:r>
      <w:r>
        <w:rPr>
          <w:rFonts w:hint="eastAsia" w:ascii="仿宋" w:hAnsi="仿宋" w:eastAsia="仿宋" w:cs="仿宋"/>
          <w:b/>
          <w:bCs/>
          <w:sz w:val="28"/>
          <w:szCs w:val="28"/>
        </w:rPr>
        <w:t>具有独立承担民事责任的能力</w:t>
      </w:r>
      <w:r>
        <w:rPr>
          <w:rFonts w:hint="eastAsia" w:ascii="仿宋" w:hAnsi="仿宋" w:eastAsia="仿宋" w:cs="仿宋"/>
          <w:sz w:val="30"/>
          <w:szCs w:val="30"/>
        </w:rPr>
        <w:fldChar w:fldCharType="end"/>
      </w:r>
      <w:bookmarkEnd w:id="176"/>
      <w:bookmarkEnd w:id="177"/>
    </w:p>
    <w:p>
      <w:pPr>
        <w:pStyle w:val="43"/>
        <w:keepNext w:val="0"/>
        <w:keepLines w:val="0"/>
        <w:pageBreakBefore w:val="0"/>
        <w:widowControl/>
        <w:kinsoku/>
        <w:wordWrap/>
        <w:overflowPunct/>
        <w:topLinePunct w:val="0"/>
        <w:autoSpaceDE/>
        <w:autoSpaceDN/>
        <w:bidi w:val="0"/>
        <w:adjustRightInd w:val="0"/>
        <w:snapToGrid/>
        <w:spacing w:before="0" w:after="0" w:line="500" w:lineRule="exact"/>
        <w:ind w:firstLine="560" w:firstLineChars="200"/>
        <w:jc w:val="both"/>
        <w:textAlignment w:val="auto"/>
        <w:rPr>
          <w:rFonts w:hint="eastAsia" w:eastAsia="仿宋"/>
          <w:lang w:eastAsia="zh-CN"/>
        </w:rPr>
        <w:sectPr>
          <w:headerReference r:id="rId10" w:type="default"/>
          <w:footerReference r:id="rId11" w:type="default"/>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Cs w:val="28"/>
          <w:highlight w:val="none"/>
        </w:rPr>
        <w:t>供应商应具有独立承担民事责任的能力且具备向采购人提供相关货物</w:t>
      </w:r>
      <w:r>
        <w:rPr>
          <w:rFonts w:hint="eastAsia" w:ascii="仿宋" w:hAnsi="仿宋" w:eastAsia="仿宋" w:cs="仿宋"/>
          <w:szCs w:val="28"/>
          <w:highlight w:val="none"/>
          <w:lang w:eastAsia="zh-CN"/>
        </w:rPr>
        <w:t>及服务</w:t>
      </w:r>
      <w:r>
        <w:rPr>
          <w:rFonts w:hint="eastAsia" w:ascii="仿宋" w:hAnsi="仿宋" w:eastAsia="仿宋" w:cs="仿宋"/>
          <w:szCs w:val="28"/>
          <w:highlight w:val="none"/>
        </w:rPr>
        <w:t>的企业法人、事业法人、其他组织或者自然人,企业法人应提供统一社会信用代码的营业执照；事业法人应提供统一社会信用代码的事业单位法人证</w:t>
      </w:r>
      <w:r>
        <w:rPr>
          <w:rFonts w:hint="eastAsia" w:ascii="仿宋" w:hAnsi="仿宋" w:eastAsia="仿宋" w:cs="仿宋"/>
          <w:szCs w:val="28"/>
        </w:rPr>
        <w:t>；其他组织应提供合法证明文件；自然人提供身份证明文件</w:t>
      </w:r>
      <w:r>
        <w:rPr>
          <w:rFonts w:hint="eastAsia" w:ascii="仿宋" w:hAnsi="仿宋" w:eastAsia="仿宋" w:cs="仿宋"/>
          <w:szCs w:val="28"/>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fldChar w:fldCharType="begin"/>
      </w:r>
      <w:r>
        <w:rPr>
          <w:rFonts w:hint="eastAsia" w:ascii="仿宋" w:hAnsi="仿宋" w:eastAsia="仿宋" w:cs="仿宋"/>
          <w:b/>
          <w:bCs/>
          <w:sz w:val="28"/>
          <w:szCs w:val="28"/>
          <w:highlight w:val="yellow"/>
          <w:lang w:val="en-US" w:eastAsia="zh-CN"/>
        </w:rPr>
        <w:instrText xml:space="preserve"> HYPERLINK \l _Toc3988 </w:instrText>
      </w:r>
      <w:r>
        <w:rPr>
          <w:rFonts w:hint="eastAsia" w:ascii="仿宋" w:hAnsi="仿宋" w:eastAsia="仿宋" w:cs="仿宋"/>
          <w:b/>
          <w:bCs/>
          <w:sz w:val="28"/>
          <w:szCs w:val="28"/>
          <w:highlight w:val="yellow"/>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w:t>
      </w:r>
      <w:r>
        <w:rPr>
          <w:rFonts w:hint="eastAsia" w:ascii="仿宋" w:hAnsi="仿宋" w:eastAsia="仿宋" w:cs="仿宋"/>
          <w:b/>
          <w:bCs/>
          <w:sz w:val="28"/>
          <w:szCs w:val="28"/>
          <w:lang w:eastAsia="zh-CN"/>
        </w:rPr>
        <w:t>应商授权合法的人员参加投标全过程</w:t>
      </w:r>
      <w:r>
        <w:rPr>
          <w:rFonts w:hint="eastAsia" w:ascii="仿宋" w:hAnsi="仿宋" w:eastAsia="仿宋" w:cs="仿宋"/>
          <w:b/>
          <w:bCs/>
          <w:sz w:val="28"/>
          <w:szCs w:val="28"/>
          <w:highlight w:val="yellow"/>
          <w:lang w:val="en-US" w:eastAsia="zh-CN"/>
        </w:rPr>
        <w:fldChar w:fldCharType="end"/>
      </w:r>
    </w:p>
    <w:p>
      <w:pPr>
        <w:pStyle w:val="48"/>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法定代表人身份证明书</w:t>
      </w:r>
    </w:p>
    <w:p>
      <w:pPr>
        <w:pStyle w:val="48"/>
        <w:spacing w:line="500" w:lineRule="atLeas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 </w:t>
      </w:r>
    </w:p>
    <w:p>
      <w:pPr>
        <w:pStyle w:val="48"/>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 </w:t>
      </w:r>
    </w:p>
    <w:p>
      <w:pPr>
        <w:pStyle w:val="48"/>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 </w:t>
      </w:r>
    </w:p>
    <w:p>
      <w:pPr>
        <w:pStyle w:val="48"/>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8"/>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pStyle w:val="48"/>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         </w:t>
      </w:r>
    </w:p>
    <w:p>
      <w:pPr>
        <w:pStyle w:val="48"/>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pStyle w:val="4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pStyle w:val="48"/>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8"/>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u w:val="single"/>
              </w:rPr>
            </w:pPr>
            <w:r>
              <w:rPr>
                <w:rFonts w:hint="eastAsia" w:ascii="仿宋" w:hAnsi="仿宋" w:eastAsia="仿宋" w:cs="仿宋"/>
                <w:sz w:val="28"/>
                <w:szCs w:val="28"/>
              </w:rPr>
              <w:t>正反面</w:t>
            </w:r>
          </w:p>
        </w:tc>
      </w:tr>
    </w:tbl>
    <w:p>
      <w:pPr>
        <w:pStyle w:val="48"/>
        <w:spacing w:line="500" w:lineRule="atLeast"/>
        <w:rPr>
          <w:rFonts w:hint="eastAsia" w:ascii="仿宋" w:hAnsi="仿宋" w:eastAsia="仿宋" w:cs="仿宋"/>
          <w:sz w:val="28"/>
          <w:szCs w:val="28"/>
        </w:rPr>
      </w:pPr>
    </w:p>
    <w:p>
      <w:pPr>
        <w:pStyle w:val="48"/>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48"/>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atLeast"/>
        <w:jc w:val="center"/>
        <w:rPr>
          <w:rFonts w:hint="eastAsia" w:ascii="仿宋" w:hAnsi="仿宋" w:eastAsia="仿宋" w:cs="仿宋"/>
          <w:b/>
          <w:bCs/>
          <w:sz w:val="28"/>
          <w:szCs w:val="28"/>
        </w:rPr>
      </w:pPr>
    </w:p>
    <w:p>
      <w:pPr>
        <w:pStyle w:val="9"/>
        <w:rPr>
          <w:rFonts w:hint="eastAsia"/>
        </w:rPr>
      </w:pPr>
    </w:p>
    <w:p>
      <w:pPr>
        <w:spacing w:line="50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法定代表人授权委托书</w:t>
      </w:r>
    </w:p>
    <w:p>
      <w:pPr>
        <w:adjustRightInd w:val="0"/>
        <w:snapToGrid w:val="0"/>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注册于</w:t>
      </w:r>
      <w:r>
        <w:rPr>
          <w:rFonts w:hint="eastAsia" w:ascii="仿宋" w:hAnsi="仿宋" w:eastAsia="仿宋" w:cs="仿宋"/>
          <w:sz w:val="28"/>
          <w:szCs w:val="28"/>
          <w:u w:val="single"/>
        </w:rPr>
        <w:t>（工商行政管理局名称）</w:t>
      </w:r>
      <w:r>
        <w:rPr>
          <w:rFonts w:hint="eastAsia" w:ascii="仿宋" w:hAnsi="仿宋" w:eastAsia="仿宋" w:cs="仿宋"/>
          <w:sz w:val="28"/>
          <w:szCs w:val="28"/>
        </w:rPr>
        <w:t>之</w:t>
      </w:r>
      <w:r>
        <w:rPr>
          <w:rFonts w:hint="eastAsia" w:ascii="仿宋" w:hAnsi="仿宋" w:eastAsia="仿宋" w:cs="仿宋"/>
          <w:sz w:val="28"/>
          <w:szCs w:val="28"/>
          <w:u w:val="single"/>
        </w:rPr>
        <w:t>（供应商全称）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（被授权委托人姓名、职务）</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（项目名称）</w:t>
      </w:r>
      <w:r>
        <w:rPr>
          <w:rFonts w:hint="eastAsia" w:ascii="仿宋" w:hAnsi="仿宋" w:eastAsia="仿宋" w:cs="仿宋"/>
          <w:sz w:val="28"/>
          <w:szCs w:val="28"/>
        </w:rPr>
        <w:t>的</w:t>
      </w:r>
      <w:r>
        <w:rPr>
          <w:rFonts w:hint="eastAsia" w:ascii="仿宋" w:hAnsi="仿宋" w:eastAsia="仿宋" w:cs="仿宋"/>
          <w:sz w:val="28"/>
          <w:szCs w:val="28"/>
          <w:lang w:eastAsia="zh-CN"/>
        </w:rPr>
        <w:t>投标</w:t>
      </w:r>
      <w:r>
        <w:rPr>
          <w:rFonts w:hint="eastAsia" w:ascii="仿宋" w:hAnsi="仿宋" w:eastAsia="仿宋" w:cs="仿宋"/>
          <w:sz w:val="28"/>
          <w:szCs w:val="28"/>
        </w:rPr>
        <w:t>及合同的执行和完成，以本公司的名义处理一切与之有关的事宜。</w:t>
      </w:r>
    </w:p>
    <w:p>
      <w:pPr>
        <w:adjustRightInd w:val="0"/>
        <w:snapToGrid w:val="0"/>
        <w:spacing w:line="500" w:lineRule="atLeast"/>
        <w:rPr>
          <w:rFonts w:hint="eastAsia" w:ascii="仿宋" w:hAnsi="仿宋" w:eastAsia="仿宋" w:cs="仿宋"/>
          <w:sz w:val="28"/>
          <w:szCs w:val="28"/>
          <w:u w:val="single"/>
        </w:rPr>
      </w:pPr>
      <w:r>
        <w:rPr>
          <w:rFonts w:hint="eastAsia" w:ascii="仿宋" w:hAnsi="仿宋" w:eastAsia="仿宋" w:cs="仿宋"/>
          <w:sz w:val="28"/>
          <w:szCs w:val="28"/>
        </w:rPr>
        <w:t>附：被授权委托人姓名：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职    务：</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rPr>
        <w:t>被授权委托人身份证复印件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c>
          <w:tcPr>
            <w:tcW w:w="4721"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被授权委托人身份证复印件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r>
    </w:tbl>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（公      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被授权委托人：</w:t>
      </w:r>
      <w:r>
        <w:rPr>
          <w:rFonts w:hint="eastAsia" w:ascii="仿宋" w:hAnsi="仿宋" w:eastAsia="仿宋" w:cs="仿宋"/>
          <w:sz w:val="28"/>
          <w:szCs w:val="28"/>
          <w:u w:val="single"/>
        </w:rPr>
        <w:t xml:space="preserve">                            </w:t>
      </w:r>
      <w:r>
        <w:rPr>
          <w:rFonts w:hint="eastAsia" w:ascii="仿宋" w:hAnsi="仿宋" w:eastAsia="仿宋" w:cs="仿宋"/>
          <w:sz w:val="28"/>
          <w:szCs w:val="28"/>
        </w:rPr>
        <w:t>（签      字）</w:t>
      </w:r>
    </w:p>
    <w:p>
      <w:pPr>
        <w:spacing w:line="500" w:lineRule="atLeas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授权日期：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
      <w:pPr>
        <w:jc w:val="center"/>
        <w:rPr>
          <w:rFonts w:hint="eastAsia" w:ascii="仿宋" w:hAnsi="仿宋" w:eastAsia="仿宋" w:cs="仿宋"/>
        </w:rPr>
      </w:pPr>
      <w:r>
        <w:rPr>
          <w:rFonts w:hint="eastAsia" w:ascii="仿宋" w:hAnsi="仿宋" w:eastAsia="仿宋" w:cs="仿宋"/>
          <w:b/>
          <w:bCs/>
          <w:sz w:val="28"/>
          <w:szCs w:val="28"/>
        </w:rPr>
        <w:t>（注：本授权有效期为自授权之日起至投标有效期结束之日止）</w:t>
      </w:r>
    </w:p>
    <w:p>
      <w:pPr>
        <w:rPr>
          <w:rFonts w:hint="eastAsia"/>
        </w:rPr>
        <w:sectPr>
          <w:footerReference r:id="rId12" w:type="default"/>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3、供应商具有良好的商业信誉和健全的财务会计制度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4、供应商有依法缴纳税收和社会保障资金的良好记录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pPr>
        <w:rPr>
          <w:rFonts w:hint="eastAsia"/>
        </w:rPr>
        <w:sectPr>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5、供应商具有履行合同所必需的设备和专业技术能力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6、供应商参加政府采购活动前三年内，在经营活动中没有重大违法记录</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560" w:firstLineChars="200"/>
        <w:textAlignment w:val="auto"/>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7、供应商</w:t>
      </w:r>
      <w:r>
        <w:rPr>
          <w:rFonts w:hint="eastAsia" w:ascii="仿宋" w:hAnsi="仿宋" w:eastAsia="仿宋" w:cs="仿宋"/>
          <w:b/>
          <w:bCs/>
          <w:sz w:val="28"/>
          <w:szCs w:val="28"/>
          <w:highlight w:val="none"/>
          <w:lang w:eastAsia="zh-CN"/>
        </w:rPr>
        <w:t>投标保证金交纳凭证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鉴于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项目的</w:t>
      </w:r>
      <w:r>
        <w:rPr>
          <w:rFonts w:hint="eastAsia" w:ascii="仿宋" w:hAnsi="仿宋" w:eastAsia="仿宋" w:cs="仿宋"/>
          <w:sz w:val="28"/>
          <w:szCs w:val="28"/>
          <w:lang w:eastAsia="zh-CN"/>
        </w:rPr>
        <w:t>公开招标</w:t>
      </w:r>
      <w:r>
        <w:rPr>
          <w:rFonts w:hint="eastAsia" w:ascii="仿宋" w:hAnsi="仿宋" w:eastAsia="仿宋" w:cs="仿宋"/>
          <w:sz w:val="28"/>
          <w:szCs w:val="28"/>
        </w:rPr>
        <w:t>。供应商在此承担向采购代理机构交纳金额</w:t>
      </w:r>
      <w:r>
        <w:rPr>
          <w:rFonts w:hint="eastAsia" w:ascii="仿宋" w:hAnsi="仿宋" w:eastAsia="仿宋" w:cs="仿宋"/>
          <w:sz w:val="28"/>
          <w:szCs w:val="28"/>
          <w:u w:val="single"/>
        </w:rPr>
        <w:t xml:space="preserve">        </w:t>
      </w:r>
      <w:r>
        <w:rPr>
          <w:rFonts w:hint="eastAsia" w:ascii="仿宋" w:hAnsi="仿宋" w:eastAsia="仿宋" w:cs="仿宋"/>
          <w:sz w:val="28"/>
          <w:szCs w:val="28"/>
        </w:rPr>
        <w:t>元的责任。</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保证金在投标有效期内保持有效。</w:t>
      </w:r>
    </w:p>
    <w:p>
      <w:pPr>
        <w:spacing w:line="500" w:lineRule="atLeast"/>
        <w:ind w:firstLine="570"/>
        <w:jc w:val="center"/>
        <w:rPr>
          <w:rFonts w:hint="eastAsia" w:ascii="仿宋" w:hAnsi="仿宋" w:eastAsia="仿宋" w:cs="仿宋"/>
          <w:sz w:val="28"/>
          <w:szCs w:val="28"/>
        </w:rPr>
      </w:pPr>
    </w:p>
    <w:tbl>
      <w:tblPr>
        <w:tblStyle w:val="28"/>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spacing w:line="500" w:lineRule="atLeast"/>
              <w:ind w:firstLine="570"/>
              <w:jc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保证金证明（供应商交纳凭证复印件）</w:t>
            </w:r>
          </w:p>
        </w:tc>
      </w:tr>
    </w:tbl>
    <w:p>
      <w:pPr>
        <w:spacing w:line="500" w:lineRule="atLeast"/>
        <w:ind w:firstLine="570"/>
        <w:jc w:val="center"/>
        <w:rPr>
          <w:rFonts w:hint="eastAsia" w:ascii="仿宋" w:hAnsi="仿宋" w:eastAsia="仿宋" w:cs="仿宋"/>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rPr>
          <w:rFonts w:hint="eastAsia" w:ascii="仿宋" w:hAnsi="仿宋" w:eastAsia="仿宋" w:cs="仿宋"/>
          <w:color w:val="FF0000"/>
          <w:sz w:val="28"/>
          <w:szCs w:val="28"/>
        </w:rPr>
      </w:pPr>
    </w:p>
    <w:p>
      <w:pPr>
        <w:pStyle w:val="1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8、投标承诺：单位负责人为同一人或者存在直接控股、管理关系的不同供应商，不得参加同一合同项下的政府采购活动；</w:t>
      </w:r>
    </w:p>
    <w:p>
      <w:pPr>
        <w:bidi w:val="0"/>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3"/>
        <w:rPr>
          <w:rFonts w:hint="eastAsia" w:ascii="仿宋" w:hAnsi="仿宋" w:cs="仿宋"/>
          <w:b/>
          <w:bCs/>
          <w:color w:val="auto"/>
          <w:sz w:val="28"/>
          <w:szCs w:val="28"/>
          <w:lang w:val="en-US" w:eastAsia="zh-CN"/>
        </w:rPr>
      </w:pPr>
      <w:r>
        <w:rPr>
          <w:rFonts w:hint="eastAsia" w:ascii="仿宋" w:hAnsi="仿宋" w:cs="仿宋"/>
          <w:b/>
          <w:bCs/>
          <w:color w:val="auto"/>
          <w:sz w:val="28"/>
          <w:szCs w:val="28"/>
          <w:lang w:val="en-US" w:eastAsia="zh-CN"/>
        </w:rPr>
        <w:t>资质条件</w:t>
      </w: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仿宋" w:hAnsi="仿宋" w:cs="仿宋"/>
          <w:b/>
          <w:bCs/>
          <w:color w:val="auto"/>
          <w:sz w:val="28"/>
          <w:szCs w:val="28"/>
          <w:lang w:val="en-US" w:eastAsia="zh-CN"/>
        </w:rPr>
      </w:pPr>
      <w:r>
        <w:rPr>
          <w:rFonts w:hint="eastAsia" w:ascii="仿宋" w:hAnsi="仿宋" w:cs="仿宋"/>
          <w:b w:val="0"/>
          <w:bCs w:val="0"/>
          <w:color w:val="auto"/>
          <w:sz w:val="28"/>
          <w:szCs w:val="28"/>
          <w:lang w:val="en-US" w:eastAsia="zh-CN"/>
        </w:rPr>
        <w:t>（9.1）提供有效的建筑机电安装工程专业承包三级及以上资质；</w:t>
      </w: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仿宋" w:hAnsi="仿宋" w:cs="仿宋"/>
          <w:b/>
          <w:bCs/>
          <w:color w:val="auto"/>
          <w:sz w:val="28"/>
          <w:szCs w:val="28"/>
          <w:lang w:val="en-US" w:eastAsia="zh-CN"/>
        </w:rPr>
      </w:pPr>
      <w:r>
        <w:rPr>
          <w:rFonts w:hint="eastAsia" w:ascii="仿宋" w:hAnsi="仿宋" w:cs="仿宋"/>
          <w:b w:val="0"/>
          <w:bCs w:val="0"/>
          <w:color w:val="auto"/>
          <w:sz w:val="28"/>
          <w:szCs w:val="28"/>
          <w:lang w:val="en-US" w:eastAsia="zh-CN"/>
        </w:rPr>
        <w:t>（9.2）提供有效的施工企业安全生产许可证；</w:t>
      </w: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cs="仿宋"/>
          <w:b/>
          <w:bCs/>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仿宋" w:hAnsi="仿宋" w:cs="仿宋"/>
          <w:b w:val="0"/>
          <w:bCs w:val="0"/>
          <w:color w:val="auto"/>
          <w:sz w:val="28"/>
          <w:szCs w:val="28"/>
          <w:lang w:val="en-US" w:eastAsia="zh-CN"/>
        </w:rPr>
      </w:pPr>
      <w:r>
        <w:rPr>
          <w:rFonts w:hint="eastAsia" w:ascii="仿宋" w:hAnsi="仿宋" w:cs="仿宋"/>
          <w:b w:val="0"/>
          <w:bCs w:val="0"/>
          <w:color w:val="auto"/>
          <w:sz w:val="28"/>
          <w:szCs w:val="28"/>
          <w:lang w:val="en-US" w:eastAsia="zh-CN"/>
        </w:rPr>
        <w:t>（9.3）项目经理须具备机电工程专业二级及以上注册建造师证书，有效的安全生产考核合格证书（建安B证），提供无在建项目承诺</w:t>
      </w: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cs="仿宋"/>
          <w:b w:val="0"/>
          <w:bCs w:val="0"/>
          <w:color w:val="auto"/>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仿宋" w:hAnsi="仿宋" w:eastAsia="仿宋" w:cs="仿宋"/>
          <w:b/>
          <w:bCs/>
          <w:kern w:val="0"/>
          <w:sz w:val="28"/>
          <w:szCs w:val="28"/>
          <w:highlight w:val="none"/>
          <w:lang w:eastAsia="zh-CN"/>
        </w:rPr>
      </w:pPr>
      <w:r>
        <w:rPr>
          <w:rFonts w:hint="eastAsia" w:ascii="仿宋" w:hAnsi="仿宋" w:cs="仿宋"/>
          <w:b/>
          <w:bCs/>
          <w:color w:val="auto"/>
          <w:sz w:val="28"/>
          <w:szCs w:val="28"/>
          <w:highlight w:val="none"/>
          <w:lang w:val="en-US" w:eastAsia="zh-CN"/>
        </w:rPr>
        <w:t>10、供应商认为有必要提</w:t>
      </w:r>
      <w:r>
        <w:rPr>
          <w:rFonts w:hint="eastAsia" w:ascii="仿宋" w:hAnsi="仿宋" w:cs="仿宋"/>
          <w:b/>
          <w:bCs/>
          <w:color w:val="auto"/>
          <w:sz w:val="28"/>
          <w:szCs w:val="28"/>
          <w:lang w:val="en-US" w:eastAsia="zh-CN"/>
        </w:rPr>
        <w:t>供而增加其竞争性的其它资料</w:t>
      </w: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eastAsia="仿宋" w:cs="仿宋"/>
          <w:b/>
          <w:kern w:val="0"/>
          <w:sz w:val="44"/>
          <w:szCs w:val="44"/>
          <w:highlight w:val="none"/>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p>
      <w:pPr>
        <w:pStyle w:val="18"/>
        <w:rPr>
          <w:rFonts w:hint="eastAsia" w:ascii="仿宋" w:hAnsi="仿宋" w:cs="仿宋"/>
          <w:b/>
          <w:kern w:val="0"/>
          <w:sz w:val="44"/>
          <w:szCs w:val="44"/>
          <w:highlight w:val="none"/>
          <w:lang w:eastAsia="zh-CN"/>
        </w:rPr>
      </w:pPr>
    </w:p>
    <w:bookmarkEnd w:id="173"/>
    <w:p>
      <w:pPr>
        <w:rPr>
          <w:highlight w:val="none"/>
        </w:rPr>
      </w:pPr>
      <w:bookmarkStart w:id="178" w:name="_Toc5680"/>
      <w:bookmarkStart w:id="179" w:name="_Toc3443"/>
      <w:bookmarkStart w:id="180" w:name="_Toc25352_WPSOffice_Level1"/>
      <w:bookmarkStart w:id="181" w:name="_Toc19526"/>
      <w:bookmarkStart w:id="182" w:name="_Toc438541313"/>
      <w:bookmarkStart w:id="183" w:name="_Toc13405_WPSOffice_Level1"/>
      <w:bookmarkStart w:id="184" w:name="_Toc204524343"/>
      <w:bookmarkStart w:id="185" w:name="_Toc120614284"/>
    </w:p>
    <w:p>
      <w:pPr>
        <w:pStyle w:val="18"/>
        <w:rPr>
          <w:highlight w:val="none"/>
        </w:rPr>
      </w:pPr>
    </w:p>
    <w:p>
      <w:pPr>
        <w:pStyle w:val="18"/>
        <w:rPr>
          <w:highlight w:val="none"/>
        </w:rPr>
      </w:pPr>
    </w:p>
    <w:p>
      <w:pPr>
        <w:pStyle w:val="18"/>
        <w:rPr>
          <w:highlight w:val="none"/>
        </w:rPr>
      </w:pPr>
    </w:p>
    <w:tbl>
      <w:tblPr>
        <w:tblStyle w:val="28"/>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pPr>
        <w:pStyle w:val="45"/>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86" w:name="_Toc12684"/>
      <w:r>
        <w:rPr>
          <w:rFonts w:hint="eastAsia" w:ascii="仿宋" w:hAnsi="仿宋" w:cs="仿宋"/>
          <w:b/>
          <w:kern w:val="0"/>
          <w:sz w:val="32"/>
          <w:szCs w:val="32"/>
          <w:highlight w:val="none"/>
          <w:lang w:val="en-US" w:eastAsia="zh-CN" w:bidi="ar-SA"/>
        </w:rPr>
        <w:t>B 商务及技术标</w:t>
      </w:r>
      <w:bookmarkEnd w:id="186"/>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121</w:t>
      </w:r>
    </w:p>
    <w:p>
      <w:pPr>
        <w:pStyle w:val="43"/>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ZCSP-渭南市-202</w:t>
      </w: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lang w:eastAsia="zh-CN"/>
        </w:rPr>
        <w:t>-0</w:t>
      </w:r>
      <w:r>
        <w:rPr>
          <w:rFonts w:hint="eastAsia" w:ascii="仿宋" w:hAnsi="仿宋" w:eastAsia="仿宋" w:cs="仿宋"/>
          <w:b/>
          <w:sz w:val="32"/>
          <w:szCs w:val="32"/>
          <w:highlight w:val="none"/>
          <w:lang w:val="en-US" w:eastAsia="zh-CN"/>
        </w:rPr>
        <w:t>0912</w:t>
      </w:r>
    </w:p>
    <w:p>
      <w:pPr>
        <w:pStyle w:val="43"/>
        <w:widowControl/>
        <w:spacing w:before="0" w:after="0"/>
        <w:ind w:firstLine="0"/>
        <w:jc w:val="both"/>
        <w:rPr>
          <w:rFonts w:ascii="仿宋" w:hAnsi="仿宋" w:eastAsia="仿宋" w:cs="仿宋"/>
          <w:b/>
          <w:sz w:val="48"/>
          <w:szCs w:val="48"/>
          <w:highlight w:val="none"/>
        </w:rPr>
      </w:pPr>
    </w:p>
    <w:p>
      <w:pPr>
        <w:pStyle w:val="43"/>
        <w:widowControl/>
        <w:spacing w:before="0" w:after="0" w:line="600" w:lineRule="exact"/>
        <w:ind w:firstLine="0"/>
        <w:jc w:val="center"/>
        <w:rPr>
          <w:rFonts w:ascii="仿宋" w:hAnsi="仿宋" w:eastAsia="仿宋" w:cs="仿宋"/>
          <w:b/>
          <w:sz w:val="36"/>
          <w:szCs w:val="36"/>
          <w:highlight w:val="none"/>
        </w:rPr>
      </w:pPr>
    </w:p>
    <w:p>
      <w:pPr>
        <w:pStyle w:val="43"/>
        <w:widowControl/>
        <w:spacing w:before="0" w:after="0" w:line="600" w:lineRule="exact"/>
        <w:ind w:firstLine="0"/>
        <w:jc w:val="center"/>
        <w:rPr>
          <w:rFonts w:ascii="仿宋" w:hAnsi="仿宋" w:eastAsia="仿宋" w:cs="仿宋"/>
          <w:b/>
          <w:sz w:val="44"/>
          <w:szCs w:val="44"/>
          <w:highlight w:val="none"/>
        </w:rPr>
      </w:pPr>
    </w:p>
    <w:p>
      <w:pPr>
        <w:pStyle w:val="43"/>
        <w:widowControl/>
        <w:spacing w:before="0" w:after="0"/>
        <w:ind w:firstLine="0"/>
        <w:jc w:val="center"/>
        <w:rPr>
          <w:rFonts w:ascii="仿宋" w:hAnsi="仿宋" w:eastAsia="仿宋" w:cs="仿宋"/>
          <w:b/>
          <w:sz w:val="52"/>
          <w:szCs w:val="52"/>
          <w:highlight w:val="none"/>
        </w:rPr>
      </w:pPr>
      <w:r>
        <w:rPr>
          <w:rFonts w:hint="eastAsia" w:ascii="仿宋" w:hAnsi="仿宋" w:eastAsia="仿宋" w:cs="仿宋"/>
          <w:b/>
          <w:sz w:val="52"/>
          <w:szCs w:val="52"/>
          <w:highlight w:val="none"/>
          <w:lang w:eastAsia="zh-CN"/>
        </w:rPr>
        <w:t>渭南市人民检察院办案区（北区）中央空调采购项目</w:t>
      </w:r>
    </w:p>
    <w:p>
      <w:pPr>
        <w:pStyle w:val="45"/>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pPr>
        <w:pStyle w:val="45"/>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pPr>
        <w:pStyle w:val="45"/>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p>
    <w:p>
      <w:pPr>
        <w:pStyle w:val="45"/>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pPr>
        <w:spacing w:line="480" w:lineRule="auto"/>
        <w:jc w:val="center"/>
        <w:rPr>
          <w:rFonts w:ascii="仿宋" w:hAnsi="仿宋" w:eastAsia="仿宋" w:cs="仿宋"/>
          <w:b/>
          <w:spacing w:val="8"/>
          <w:sz w:val="28"/>
          <w:szCs w:val="28"/>
          <w:highlight w:val="none"/>
          <w:u w:val="single"/>
        </w:rPr>
      </w:pPr>
    </w:p>
    <w:p>
      <w:pPr>
        <w:pStyle w:val="12"/>
      </w:pPr>
    </w:p>
    <w:p>
      <w:pPr>
        <w:pStyle w:val="39"/>
        <w:rPr>
          <w:highlight w:val="none"/>
        </w:rPr>
      </w:pPr>
    </w:p>
    <w:p>
      <w:pPr>
        <w:rPr>
          <w:highlight w:val="none"/>
        </w:rPr>
      </w:pPr>
    </w:p>
    <w:p>
      <w:pPr>
        <w:pStyle w:val="25"/>
        <w:outlineLvl w:val="9"/>
      </w:pPr>
    </w:p>
    <w:p>
      <w:pPr>
        <w:pStyle w:val="12"/>
        <w:rPr>
          <w:rFonts w:hint="default"/>
          <w:highlight w:val="none"/>
        </w:rPr>
      </w:pPr>
    </w:p>
    <w:p>
      <w:pPr>
        <w:rPr>
          <w:highlight w:val="none"/>
        </w:rPr>
      </w:pPr>
    </w:p>
    <w:p>
      <w:pPr>
        <w:ind w:firstLine="1687" w:firstLineChars="600"/>
        <w:jc w:val="both"/>
        <w:rPr>
          <w:rFonts w:hint="default" w:ascii="仿宋" w:hAnsi="仿宋" w:eastAsia="仿宋" w:cs="仿宋"/>
          <w:b/>
          <w:bCs/>
          <w:sz w:val="28"/>
          <w:szCs w:val="24"/>
          <w:u w:val="single"/>
          <w:lang w:val="en-US" w:eastAsia="zh-CN"/>
        </w:rPr>
      </w:pPr>
      <w:r>
        <w:rPr>
          <w:rFonts w:hint="eastAsia" w:ascii="仿宋" w:hAnsi="仿宋" w:eastAsia="仿宋" w:cs="仿宋"/>
          <w:b/>
          <w:bCs/>
          <w:sz w:val="28"/>
          <w:szCs w:val="24"/>
          <w:u w:val="none"/>
          <w:lang w:eastAsia="zh-CN"/>
        </w:rPr>
        <w:t>投标文件内容：</w:t>
      </w:r>
      <w:r>
        <w:rPr>
          <w:rFonts w:hint="eastAsia" w:ascii="仿宋" w:hAnsi="仿宋" w:eastAsia="仿宋" w:cs="仿宋"/>
          <w:b/>
          <w:bCs/>
          <w:sz w:val="28"/>
          <w:szCs w:val="24"/>
          <w:u w:val="single"/>
          <w:lang w:val="en-US" w:eastAsia="zh-CN"/>
        </w:rPr>
        <w:t xml:space="preserve">    商务及技术标    </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供应商名称：</w:t>
      </w:r>
      <w:r>
        <w:rPr>
          <w:rFonts w:hint="eastAsia" w:ascii="仿宋" w:hAnsi="仿宋" w:eastAsia="仿宋" w:cs="仿宋"/>
          <w:b/>
          <w:bCs/>
          <w:sz w:val="28"/>
          <w:szCs w:val="24"/>
          <w:u w:val="single"/>
        </w:rPr>
        <w:t xml:space="preserve">              </w:t>
      </w:r>
      <w:r>
        <w:rPr>
          <w:rFonts w:hint="eastAsia" w:ascii="仿宋" w:hAnsi="仿宋" w:eastAsia="仿宋" w:cs="仿宋"/>
          <w:b/>
          <w:bCs/>
          <w:sz w:val="28"/>
          <w:szCs w:val="24"/>
          <w:u w:val="single"/>
          <w:lang w:val="en-US" w:eastAsia="zh-CN"/>
        </w:rPr>
        <w:t xml:space="preserve">   </w:t>
      </w:r>
      <w:r>
        <w:rPr>
          <w:rFonts w:hint="eastAsia" w:ascii="仿宋" w:hAnsi="仿宋" w:eastAsia="仿宋" w:cs="仿宋"/>
          <w:b/>
          <w:bCs/>
          <w:sz w:val="28"/>
          <w:szCs w:val="24"/>
          <w:u w:val="single"/>
        </w:rPr>
        <w:t xml:space="preserve">    （公     章）</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法定代表人或被授权委托人</w:t>
      </w:r>
      <w:r>
        <w:rPr>
          <w:rFonts w:hint="eastAsia" w:ascii="仿宋" w:hAnsi="仿宋" w:eastAsia="仿宋" w:cs="仿宋"/>
          <w:b/>
          <w:bCs/>
          <w:sz w:val="28"/>
          <w:szCs w:val="24"/>
          <w:u w:val="none"/>
          <w:lang w:eastAsia="zh-CN"/>
        </w:rPr>
        <w:t>：</w:t>
      </w:r>
      <w:r>
        <w:rPr>
          <w:rFonts w:hint="eastAsia" w:ascii="仿宋" w:hAnsi="仿宋" w:eastAsia="仿宋" w:cs="仿宋"/>
          <w:b/>
          <w:bCs/>
          <w:sz w:val="28"/>
          <w:szCs w:val="24"/>
          <w:u w:val="single"/>
        </w:rPr>
        <w:t xml:space="preserve">      （签字或盖章）</w:t>
      </w:r>
    </w:p>
    <w:p>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u w:val="none"/>
        </w:rPr>
        <w:t>时      间：</w:t>
      </w:r>
      <w:r>
        <w:rPr>
          <w:rFonts w:hint="eastAsia" w:ascii="仿宋" w:hAnsi="仿宋" w:eastAsia="仿宋" w:cs="仿宋"/>
          <w:b/>
          <w:bCs/>
          <w:sz w:val="28"/>
          <w:szCs w:val="24"/>
          <w:u w:val="singl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 （页码）</w:t>
      </w:r>
    </w:p>
    <w:p>
      <w:pPr>
        <w:pStyle w:val="12"/>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default" w:ascii="仿宋" w:hAnsi="仿宋" w:cs="仿宋"/>
          <w:sz w:val="28"/>
          <w:szCs w:val="28"/>
          <w:highlight w:val="none"/>
        </w:rPr>
      </w:pPr>
      <w:r>
        <w:rPr>
          <w:rFonts w:ascii="仿宋" w:hAnsi="仿宋" w:cs="仿宋"/>
          <w:b/>
          <w:bCs/>
          <w:kern w:val="2"/>
          <w:sz w:val="28"/>
          <w:szCs w:val="28"/>
          <w:highlight w:val="none"/>
        </w:rPr>
        <w:t>第</w:t>
      </w:r>
      <w:r>
        <w:rPr>
          <w:rFonts w:hint="eastAsia" w:ascii="仿宋" w:hAnsi="仿宋" w:cs="仿宋"/>
          <w:b/>
          <w:bCs/>
          <w:kern w:val="2"/>
          <w:sz w:val="28"/>
          <w:szCs w:val="28"/>
          <w:highlight w:val="none"/>
          <w:lang w:eastAsia="zh-CN"/>
        </w:rPr>
        <w:t>七</w:t>
      </w:r>
      <w:r>
        <w:rPr>
          <w:rFonts w:ascii="仿宋" w:hAnsi="仿宋" w:cs="仿宋"/>
          <w:b/>
          <w:bCs/>
          <w:kern w:val="2"/>
          <w:sz w:val="28"/>
          <w:szCs w:val="28"/>
          <w:highlight w:val="none"/>
        </w:rPr>
        <w:t xml:space="preserve">部分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附件（如有）                                 </w:t>
      </w:r>
      <w:r>
        <w:rPr>
          <w:rFonts w:ascii="仿宋" w:hAnsi="仿宋" w:cs="仿宋"/>
          <w:b/>
          <w:bCs/>
          <w:sz w:val="28"/>
          <w:szCs w:val="28"/>
          <w:highlight w:val="none"/>
        </w:rPr>
        <w:t>（页码）</w:t>
      </w:r>
    </w:p>
    <w:p>
      <w:pPr>
        <w:pStyle w:val="12"/>
        <w:spacing w:line="500" w:lineRule="exact"/>
        <w:rPr>
          <w:rFonts w:hint="default" w:ascii="仿宋" w:hAnsi="仿宋" w:cs="仿宋"/>
          <w:sz w:val="28"/>
          <w:szCs w:val="28"/>
          <w:highlight w:val="none"/>
        </w:rPr>
      </w:pPr>
    </w:p>
    <w:p>
      <w:pPr>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8"/>
        <w:rPr>
          <w:rFonts w:hint="default" w:ascii="仿宋" w:hAnsi="仿宋" w:cs="仿宋"/>
          <w:sz w:val="28"/>
          <w:szCs w:val="28"/>
          <w:highlight w:val="none"/>
        </w:rPr>
      </w:pPr>
    </w:p>
    <w:p>
      <w:pPr>
        <w:pStyle w:val="12"/>
        <w:spacing w:line="500" w:lineRule="exact"/>
        <w:jc w:val="center"/>
        <w:outlineLvl w:val="2"/>
        <w:rPr>
          <w:rFonts w:hint="default" w:ascii="仿宋" w:hAnsi="仿宋" w:cs="仿宋"/>
          <w:b/>
          <w:bCs/>
          <w:sz w:val="44"/>
          <w:szCs w:val="44"/>
          <w:highlight w:val="none"/>
        </w:rPr>
      </w:pPr>
      <w:bookmarkStart w:id="187" w:name="_Toc2950"/>
      <w:r>
        <w:rPr>
          <w:rFonts w:ascii="仿宋" w:hAnsi="仿宋" w:cs="仿宋"/>
          <w:b/>
          <w:bCs/>
          <w:sz w:val="36"/>
          <w:szCs w:val="36"/>
          <w:highlight w:val="none"/>
        </w:rPr>
        <w:t>第一部分  投标响应函</w:t>
      </w:r>
      <w:bookmarkEnd w:id="178"/>
      <w:bookmarkEnd w:id="179"/>
      <w:bookmarkEnd w:id="180"/>
      <w:bookmarkEnd w:id="181"/>
      <w:bookmarkEnd w:id="182"/>
      <w:bookmarkEnd w:id="183"/>
      <w:bookmarkEnd w:id="187"/>
    </w:p>
    <w:p>
      <w:pPr>
        <w:spacing w:line="500" w:lineRule="exact"/>
        <w:rPr>
          <w:rFonts w:ascii="仿宋" w:hAnsi="仿宋" w:eastAsia="仿宋" w:cs="仿宋"/>
          <w:b/>
          <w:bCs/>
          <w:sz w:val="28"/>
          <w:szCs w:val="28"/>
          <w:highlight w:val="none"/>
        </w:rPr>
      </w:pPr>
      <w:bookmarkStart w:id="188" w:name="_Toc1669_WPSOffice_Level1"/>
      <w:bookmarkStart w:id="189" w:name="_Toc438541314"/>
      <w:bookmarkStart w:id="190" w:name="_Toc21079"/>
      <w:bookmarkStart w:id="191" w:name="_Toc17278"/>
      <w:bookmarkStart w:id="192" w:name="_Toc8963_WPSOffice_Level1"/>
      <w:bookmarkStart w:id="193" w:name="_Toc27691"/>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sz w:val="28"/>
          <w:szCs w:val="28"/>
          <w:highlight w:val="none"/>
        </w:rPr>
      </w:pPr>
      <w:r>
        <w:rPr>
          <w:rFonts w:hint="eastAsia" w:ascii="仿宋" w:hAnsi="仿宋" w:eastAsia="仿宋" w:cs="仿宋"/>
          <w:sz w:val="28"/>
          <w:szCs w:val="28"/>
          <w:highlight w:val="none"/>
        </w:rPr>
        <w:t>1、愿意按照招标文件中的一切要求，提供货物及服务，完成合同的责任和义务。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_____年_____月_____日</w:t>
      </w:r>
    </w:p>
    <w:p>
      <w:pPr>
        <w:pStyle w:val="39"/>
        <w:rPr>
          <w:rFonts w:hint="eastAsia"/>
        </w:rPr>
      </w:pPr>
    </w:p>
    <w:p>
      <w:pPr>
        <w:spacing w:line="500" w:lineRule="atLeast"/>
        <w:jc w:val="center"/>
        <w:outlineLvl w:val="2"/>
        <w:rPr>
          <w:rFonts w:ascii="仿宋" w:hAnsi="仿宋" w:eastAsia="仿宋" w:cs="仿宋"/>
          <w:b/>
          <w:bCs/>
          <w:sz w:val="36"/>
          <w:szCs w:val="36"/>
          <w:highlight w:val="none"/>
        </w:rPr>
      </w:pPr>
      <w:bookmarkStart w:id="194" w:name="_Toc31365"/>
      <w:r>
        <w:rPr>
          <w:rFonts w:hint="eastAsia" w:ascii="仿宋" w:hAnsi="仿宋" w:eastAsia="仿宋" w:cs="仿宋"/>
          <w:b/>
          <w:bCs/>
          <w:sz w:val="36"/>
          <w:szCs w:val="36"/>
          <w:highlight w:val="none"/>
        </w:rPr>
        <w:t>第二部分  报价一览表</w:t>
      </w:r>
      <w:bookmarkEnd w:id="188"/>
      <w:bookmarkEnd w:id="189"/>
      <w:bookmarkEnd w:id="190"/>
      <w:bookmarkEnd w:id="191"/>
      <w:bookmarkEnd w:id="192"/>
      <w:bookmarkEnd w:id="193"/>
      <w:bookmarkEnd w:id="194"/>
    </w:p>
    <w:p>
      <w:pPr>
        <w:pStyle w:val="12"/>
        <w:rPr>
          <w:rFonts w:hint="default"/>
          <w:highlight w:val="none"/>
        </w:rPr>
      </w:pPr>
    </w:p>
    <w:p>
      <w:pPr>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渭南市人民检察院办案区（北区）中央空调采购项目</w:t>
      </w:r>
    </w:p>
    <w:p>
      <w:pPr>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ZCSP-</w:t>
      </w:r>
      <w:r>
        <w:rPr>
          <w:rFonts w:hint="eastAsia" w:ascii="仿宋" w:hAnsi="仿宋" w:eastAsia="仿宋" w:cs="仿宋"/>
          <w:color w:val="auto"/>
          <w:sz w:val="28"/>
          <w:szCs w:val="28"/>
          <w:highlight w:val="none"/>
          <w:lang w:eastAsia="zh-CN"/>
        </w:rPr>
        <w:t>渭南市</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0912</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WN</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3-121</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报价单位：人民币  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11"/>
        <w:gridCol w:w="2284"/>
        <w:gridCol w:w="23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258" w:type="dxa"/>
            <w:vAlign w:val="center"/>
          </w:tcPr>
          <w:p>
            <w:pPr>
              <w:pStyle w:val="46"/>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1911" w:type="dxa"/>
            <w:vAlign w:val="center"/>
          </w:tcPr>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总报价</w:t>
            </w:r>
          </w:p>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 w:val="0"/>
                <w:kern w:val="2"/>
                <w:sz w:val="28"/>
                <w:szCs w:val="28"/>
                <w:highlight w:val="none"/>
                <w:lang w:val="zh-CN"/>
              </w:rPr>
            </w:pPr>
            <w:r>
              <w:rPr>
                <w:rFonts w:hint="eastAsia" w:ascii="仿宋" w:hAnsi="仿宋" w:eastAsia="仿宋" w:cs="仿宋"/>
                <w:b w:val="0"/>
                <w:color w:val="auto"/>
                <w:kern w:val="2"/>
                <w:sz w:val="28"/>
                <w:szCs w:val="28"/>
                <w:highlight w:val="none"/>
                <w:lang w:val="zh-CN"/>
              </w:rPr>
              <w:t>（元）</w:t>
            </w:r>
          </w:p>
        </w:tc>
        <w:tc>
          <w:tcPr>
            <w:tcW w:w="2284" w:type="dxa"/>
            <w:vAlign w:val="center"/>
          </w:tcPr>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整个项目</w:t>
            </w:r>
          </w:p>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完成期限</w:t>
            </w:r>
          </w:p>
        </w:tc>
        <w:tc>
          <w:tcPr>
            <w:tcW w:w="2322" w:type="dxa"/>
            <w:vAlign w:val="center"/>
          </w:tcPr>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kern w:val="2"/>
                <w:sz w:val="28"/>
                <w:szCs w:val="28"/>
                <w:highlight w:val="none"/>
                <w:lang w:val="zh-CN"/>
              </w:rPr>
            </w:pPr>
            <w:r>
              <w:rPr>
                <w:rFonts w:hint="eastAsia" w:ascii="仿宋" w:hAnsi="仿宋" w:eastAsia="仿宋" w:cs="仿宋"/>
                <w:b w:val="0"/>
                <w:bCs/>
                <w:color w:val="auto"/>
                <w:kern w:val="2"/>
                <w:sz w:val="28"/>
                <w:szCs w:val="28"/>
                <w:highlight w:val="none"/>
                <w:lang w:val="zh-CN"/>
              </w:rPr>
              <w:t>质量标准</w:t>
            </w:r>
          </w:p>
          <w:p>
            <w:pPr>
              <w:pStyle w:val="46"/>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 w:val="0"/>
                <w:kern w:val="2"/>
                <w:sz w:val="28"/>
                <w:szCs w:val="28"/>
                <w:highlight w:val="none"/>
                <w:lang w:val="zh-CN"/>
              </w:rPr>
            </w:pPr>
            <w:r>
              <w:rPr>
                <w:rFonts w:hint="eastAsia" w:ascii="仿宋" w:hAnsi="仿宋" w:eastAsia="仿宋" w:cs="仿宋"/>
                <w:b w:val="0"/>
                <w:bCs/>
                <w:color w:val="auto"/>
                <w:kern w:val="2"/>
                <w:sz w:val="28"/>
                <w:szCs w:val="28"/>
                <w:highlight w:val="none"/>
                <w:lang w:val="zh-CN"/>
              </w:rPr>
              <w:t>（合格</w:t>
            </w:r>
            <w:r>
              <w:rPr>
                <w:rFonts w:hint="eastAsia" w:ascii="仿宋" w:hAnsi="仿宋" w:eastAsia="仿宋" w:cs="仿宋"/>
                <w:b w:val="0"/>
                <w:bCs/>
                <w:color w:val="auto"/>
                <w:kern w:val="2"/>
                <w:sz w:val="28"/>
                <w:szCs w:val="28"/>
                <w:highlight w:val="none"/>
              </w:rPr>
              <w:t>/不合格）</w:t>
            </w:r>
          </w:p>
        </w:tc>
        <w:tc>
          <w:tcPr>
            <w:tcW w:w="1187" w:type="dxa"/>
            <w:vAlign w:val="center"/>
          </w:tcPr>
          <w:p>
            <w:pPr>
              <w:pStyle w:val="46"/>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258" w:type="dxa"/>
            <w:vAlign w:val="center"/>
          </w:tcPr>
          <w:p>
            <w:pPr>
              <w:pStyle w:val="46"/>
              <w:spacing w:line="500" w:lineRule="atLeast"/>
              <w:rPr>
                <w:rFonts w:ascii="仿宋" w:hAnsi="仿宋" w:eastAsia="仿宋" w:cs="仿宋"/>
                <w:b w:val="0"/>
                <w:kern w:val="2"/>
                <w:sz w:val="28"/>
                <w:szCs w:val="28"/>
                <w:highlight w:val="none"/>
                <w:lang w:val="zh-CN"/>
              </w:rPr>
            </w:pPr>
          </w:p>
        </w:tc>
        <w:tc>
          <w:tcPr>
            <w:tcW w:w="1911" w:type="dxa"/>
            <w:vAlign w:val="center"/>
          </w:tcPr>
          <w:p>
            <w:pPr>
              <w:pStyle w:val="46"/>
              <w:spacing w:line="500" w:lineRule="atLeast"/>
              <w:rPr>
                <w:rFonts w:ascii="仿宋" w:hAnsi="仿宋" w:eastAsia="仿宋" w:cs="仿宋"/>
                <w:b w:val="0"/>
                <w:kern w:val="2"/>
                <w:sz w:val="28"/>
                <w:szCs w:val="28"/>
                <w:highlight w:val="none"/>
                <w:lang w:val="zh-CN"/>
              </w:rPr>
            </w:pPr>
          </w:p>
        </w:tc>
        <w:tc>
          <w:tcPr>
            <w:tcW w:w="2284" w:type="dxa"/>
            <w:vAlign w:val="center"/>
          </w:tcPr>
          <w:p>
            <w:pPr>
              <w:pStyle w:val="46"/>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kern w:val="2"/>
                <w:sz w:val="28"/>
                <w:szCs w:val="28"/>
                <w:highlight w:val="green"/>
                <w:lang w:val="zh-CN"/>
              </w:rPr>
            </w:pPr>
          </w:p>
        </w:tc>
        <w:tc>
          <w:tcPr>
            <w:tcW w:w="2322" w:type="dxa"/>
            <w:vAlign w:val="center"/>
          </w:tcPr>
          <w:p>
            <w:pPr>
              <w:pStyle w:val="46"/>
              <w:spacing w:line="500" w:lineRule="atLeast"/>
              <w:rPr>
                <w:rFonts w:ascii="仿宋" w:hAnsi="仿宋" w:eastAsia="仿宋" w:cs="仿宋"/>
                <w:b w:val="0"/>
                <w:kern w:val="2"/>
                <w:sz w:val="28"/>
                <w:szCs w:val="28"/>
                <w:highlight w:val="none"/>
                <w:lang w:val="zh-CN"/>
              </w:rPr>
            </w:pPr>
          </w:p>
        </w:tc>
        <w:tc>
          <w:tcPr>
            <w:tcW w:w="1187" w:type="dxa"/>
            <w:vAlign w:val="center"/>
          </w:tcPr>
          <w:p>
            <w:pPr>
              <w:pStyle w:val="46"/>
              <w:spacing w:line="500" w:lineRule="atLeast"/>
              <w:rPr>
                <w:rFonts w:ascii="仿宋" w:hAnsi="仿宋" w:eastAsia="仿宋" w:cs="仿宋"/>
                <w:b w:val="0"/>
                <w:kern w:val="2"/>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62" w:type="dxa"/>
            <w:gridSpan w:val="5"/>
          </w:tcPr>
          <w:p>
            <w:pPr>
              <w:pStyle w:val="46"/>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pPr>
        <w:spacing w:line="50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rPr>
        <w:t>注：总价包括</w:t>
      </w:r>
      <w:r>
        <w:rPr>
          <w:rFonts w:hint="eastAsia" w:ascii="仿宋" w:hAnsi="仿宋" w:eastAsia="仿宋" w:cs="仿宋"/>
          <w:b/>
          <w:bCs/>
          <w:color w:val="auto"/>
          <w:sz w:val="28"/>
          <w:szCs w:val="28"/>
          <w:highlight w:val="none"/>
        </w:rPr>
        <w:t>货物价款、人工费、</w:t>
      </w:r>
      <w:r>
        <w:rPr>
          <w:rFonts w:hint="eastAsia" w:ascii="仿宋" w:hAnsi="仿宋" w:eastAsia="仿宋" w:cs="仿宋"/>
          <w:b/>
          <w:bCs/>
          <w:color w:val="auto"/>
          <w:sz w:val="28"/>
          <w:szCs w:val="28"/>
          <w:highlight w:val="none"/>
          <w:lang w:eastAsia="zh-CN"/>
        </w:rPr>
        <w:t>安装调试费、资料费、运杂费（含保险费）、施工费、垃圾清运费、售后服务费、</w:t>
      </w:r>
      <w:r>
        <w:rPr>
          <w:rFonts w:hint="eastAsia" w:ascii="仿宋" w:hAnsi="仿宋" w:eastAsia="仿宋" w:cs="仿宋"/>
          <w:b/>
          <w:bCs/>
          <w:color w:val="auto"/>
          <w:sz w:val="28"/>
          <w:szCs w:val="28"/>
          <w:highlight w:val="none"/>
        </w:rPr>
        <w:t>验收费、税金及风险等所有费用</w:t>
      </w:r>
      <w:r>
        <w:rPr>
          <w:rFonts w:hint="eastAsia" w:ascii="仿宋" w:hAnsi="仿宋" w:eastAsia="仿宋" w:cs="仿宋"/>
          <w:b/>
          <w:bCs/>
          <w:color w:val="auto"/>
          <w:sz w:val="28"/>
          <w:szCs w:val="28"/>
          <w:highlight w:val="none"/>
          <w:lang w:eastAsia="zh-CN"/>
        </w:rPr>
        <w:t>。</w:t>
      </w:r>
    </w:p>
    <w:p>
      <w:pPr>
        <w:pStyle w:val="12"/>
      </w:pP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195" w:name="_Toc438541316"/>
      <w:bookmarkStart w:id="196" w:name="_Toc12941"/>
      <w:bookmarkStart w:id="197" w:name="_Toc16561"/>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pStyle w:val="46"/>
        <w:spacing w:line="500" w:lineRule="exact"/>
        <w:rPr>
          <w:rFonts w:ascii="仿宋" w:hAnsi="仿宋" w:eastAsia="仿宋" w:cs="仿宋"/>
          <w:bCs/>
          <w:sz w:val="32"/>
          <w:szCs w:val="32"/>
          <w:highlight w:val="none"/>
        </w:rPr>
      </w:pPr>
      <w:r>
        <w:rPr>
          <w:rFonts w:hint="eastAsia" w:ascii="仿宋" w:hAnsi="仿宋" w:eastAsia="仿宋" w:cs="仿宋"/>
          <w:bCs/>
          <w:sz w:val="32"/>
          <w:szCs w:val="32"/>
          <w:highlight w:val="none"/>
        </w:rPr>
        <w:t>分项报价表</w:t>
      </w:r>
    </w:p>
    <w:p>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77"/>
        <w:gridCol w:w="1214"/>
        <w:gridCol w:w="1480"/>
        <w:gridCol w:w="1386"/>
        <w:gridCol w:w="30"/>
        <w:gridCol w:w="704"/>
        <w:gridCol w:w="21"/>
        <w:gridCol w:w="830"/>
        <w:gridCol w:w="210"/>
        <w:gridCol w:w="555"/>
        <w:gridCol w:w="450"/>
        <w:gridCol w:w="31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pStyle w:val="18"/>
              <w:jc w:val="center"/>
              <w:rPr>
                <w:rFonts w:hint="default" w:eastAsia="仿宋"/>
                <w:lang w:val="en-US" w:eastAsia="zh-CN"/>
              </w:rPr>
            </w:pPr>
            <w:r>
              <w:rPr>
                <w:rFonts w:hint="eastAsia" w:ascii="仿宋" w:hAnsi="仿宋" w:eastAsia="仿宋" w:cs="仿宋"/>
                <w:b/>
                <w:bCs/>
                <w:kern w:val="0"/>
                <w:sz w:val="24"/>
                <w:szCs w:val="24"/>
                <w:highlight w:val="none"/>
                <w:lang w:val="en-US" w:eastAsia="zh-CN" w:bidi="ar-SA"/>
              </w:rPr>
              <w:t>序号</w:t>
            </w:r>
          </w:p>
        </w:tc>
        <w:tc>
          <w:tcPr>
            <w:tcW w:w="97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名称</w:t>
            </w:r>
          </w:p>
        </w:tc>
        <w:tc>
          <w:tcPr>
            <w:tcW w:w="121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生产厂家</w:t>
            </w:r>
          </w:p>
        </w:tc>
        <w:tc>
          <w:tcPr>
            <w:tcW w:w="1480"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品牌、型号</w:t>
            </w:r>
          </w:p>
        </w:tc>
        <w:tc>
          <w:tcPr>
            <w:tcW w:w="138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规格、产地</w:t>
            </w:r>
          </w:p>
        </w:tc>
        <w:tc>
          <w:tcPr>
            <w:tcW w:w="734"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51"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65"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单价</w:t>
            </w:r>
          </w:p>
        </w:tc>
        <w:tc>
          <w:tcPr>
            <w:tcW w:w="765"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合价</w:t>
            </w:r>
          </w:p>
        </w:tc>
        <w:tc>
          <w:tcPr>
            <w:tcW w:w="81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51"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51"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51"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bCs/>
                <w:kern w:val="0"/>
                <w:sz w:val="24"/>
                <w:szCs w:val="24"/>
                <w:highlight w:val="none"/>
                <w:lang w:val="en-US" w:eastAsia="zh-CN"/>
              </w:rPr>
              <w:t>...</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51"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jc w:val="center"/>
              <w:rPr>
                <w:rFonts w:ascii="仿宋" w:hAnsi="仿宋" w:eastAsia="仿宋" w:cs="仿宋"/>
                <w:kern w:val="0"/>
                <w:sz w:val="24"/>
                <w:szCs w:val="24"/>
                <w:highlight w:val="none"/>
              </w:rPr>
            </w:pPr>
          </w:p>
        </w:tc>
        <w:tc>
          <w:tcPr>
            <w:tcW w:w="765" w:type="dxa"/>
            <w:gridSpan w:val="2"/>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val="0"/>
                <w:bCs w:val="0"/>
                <w:kern w:val="0"/>
                <w:sz w:val="22"/>
                <w:szCs w:val="22"/>
                <w:lang w:val="en-US" w:eastAsia="zh-CN"/>
              </w:rPr>
              <w:t>合计</w:t>
            </w:r>
          </w:p>
        </w:tc>
        <w:tc>
          <w:tcPr>
            <w:tcW w:w="8988" w:type="dxa"/>
            <w:gridSpan w:val="13"/>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大写：人民币                               （小写：</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kern w:val="0"/>
                <w:sz w:val="24"/>
                <w:szCs w:val="24"/>
                <w:highlight w:val="none"/>
                <w:lang w:val="en-US" w:eastAsia="zh-CN"/>
              </w:rPr>
            </w:pPr>
            <w:r>
              <w:rPr>
                <w:rFonts w:hint="eastAsia" w:ascii="仿宋" w:hAnsi="仿宋" w:eastAsia="仿宋" w:cs="仿宋"/>
                <w:b/>
                <w:bCs/>
                <w:kern w:val="0"/>
                <w:sz w:val="24"/>
                <w:szCs w:val="24"/>
              </w:rPr>
              <w:t>序号</w:t>
            </w:r>
          </w:p>
        </w:tc>
        <w:tc>
          <w:tcPr>
            <w:tcW w:w="367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费用组成</w:t>
            </w:r>
          </w:p>
        </w:tc>
        <w:tc>
          <w:tcPr>
            <w:tcW w:w="138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单位</w:t>
            </w:r>
          </w:p>
        </w:tc>
        <w:tc>
          <w:tcPr>
            <w:tcW w:w="734"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数量</w:t>
            </w:r>
          </w:p>
        </w:tc>
        <w:tc>
          <w:tcPr>
            <w:tcW w:w="106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（元）</w:t>
            </w:r>
          </w:p>
        </w:tc>
        <w:tc>
          <w:tcPr>
            <w:tcW w:w="100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合价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（元）</w:t>
            </w:r>
          </w:p>
        </w:tc>
        <w:tc>
          <w:tcPr>
            <w:tcW w:w="113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5" w:type="dxa"/>
            <w:gridSpan w:val="14"/>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rPr>
              <w:t>1</w:t>
            </w:r>
          </w:p>
        </w:tc>
        <w:tc>
          <w:tcPr>
            <w:tcW w:w="367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41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72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4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0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13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rPr>
              <w:t>2</w:t>
            </w:r>
          </w:p>
        </w:tc>
        <w:tc>
          <w:tcPr>
            <w:tcW w:w="367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141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72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4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0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13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rPr>
              <w:t>3</w:t>
            </w:r>
          </w:p>
        </w:tc>
        <w:tc>
          <w:tcPr>
            <w:tcW w:w="367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141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72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4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0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13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bCs/>
                <w:kern w:val="0"/>
                <w:sz w:val="24"/>
                <w:szCs w:val="24"/>
                <w:highlight w:val="none"/>
                <w:lang w:val="en-US" w:eastAsia="zh-CN"/>
              </w:rPr>
              <w:t>...</w:t>
            </w:r>
          </w:p>
        </w:tc>
        <w:tc>
          <w:tcPr>
            <w:tcW w:w="367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141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p>
        </w:tc>
        <w:tc>
          <w:tcPr>
            <w:tcW w:w="72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4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00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c>
          <w:tcPr>
            <w:tcW w:w="113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kern w:val="0"/>
                <w:sz w:val="24"/>
                <w:szCs w:val="24"/>
                <w:highlight w:val="none"/>
                <w:lang w:val="en-US" w:eastAsia="zh-CN"/>
              </w:rPr>
            </w:pPr>
            <w:r>
              <w:rPr>
                <w:rFonts w:hint="eastAsia" w:ascii="仿宋" w:hAnsi="仿宋" w:eastAsia="仿宋" w:cs="仿宋"/>
                <w:kern w:val="0"/>
                <w:sz w:val="24"/>
                <w:szCs w:val="24"/>
                <w:highlight w:val="none"/>
                <w:lang w:val="en-US" w:eastAsia="zh-CN"/>
              </w:rPr>
              <w:t>合计</w:t>
            </w:r>
          </w:p>
        </w:tc>
        <w:tc>
          <w:tcPr>
            <w:tcW w:w="8988" w:type="dxa"/>
            <w:gridSpan w:val="1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大写：人民币                               （小写：</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总价</w:t>
            </w:r>
          </w:p>
        </w:tc>
        <w:tc>
          <w:tcPr>
            <w:tcW w:w="8988" w:type="dxa"/>
            <w:gridSpan w:val="13"/>
            <w:vAlign w:val="center"/>
          </w:tcPr>
          <w:p>
            <w:pP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大写：人民币                              （小写：</w:t>
            </w:r>
            <w:r>
              <w:rPr>
                <w:rFonts w:hint="eastAsia" w:ascii="仿宋" w:hAnsi="仿宋" w:eastAsia="仿宋" w:cs="仿宋"/>
                <w:b/>
                <w:bCs/>
                <w:kern w:val="0"/>
                <w:sz w:val="28"/>
                <w:szCs w:val="28"/>
                <w:highlight w:val="none"/>
                <w:lang w:val="zh-CN"/>
              </w:rPr>
              <w:t>¥</w:t>
            </w:r>
            <w:r>
              <w:rPr>
                <w:rFonts w:hint="eastAsia" w:ascii="仿宋" w:hAnsi="仿宋" w:eastAsia="仿宋" w:cs="仿宋"/>
                <w:b/>
                <w:bCs/>
                <w:kern w:val="0"/>
                <w:sz w:val="28"/>
                <w:szCs w:val="28"/>
                <w:highlight w:val="none"/>
              </w:rPr>
              <w:t xml:space="preserve">    元）</w:t>
            </w:r>
          </w:p>
        </w:tc>
      </w:tr>
    </w:tbl>
    <w:p>
      <w:pPr>
        <w:spacing w:line="500" w:lineRule="atLeast"/>
        <w:jc w:val="left"/>
        <w:rPr>
          <w:rFonts w:ascii="仿宋" w:hAnsi="仿宋" w:eastAsia="仿宋" w:cs="仿宋"/>
          <w:sz w:val="28"/>
          <w:szCs w:val="28"/>
          <w:highlight w:val="none"/>
        </w:rPr>
      </w:pPr>
      <w:r>
        <w:rPr>
          <w:rFonts w:hint="eastAsia" w:ascii="仿宋" w:hAnsi="仿宋" w:eastAsia="仿宋" w:cs="仿宋"/>
          <w:sz w:val="28"/>
          <w:szCs w:val="28"/>
          <w:highlight w:val="none"/>
        </w:rPr>
        <w:t>注：1.若表格不够用，各供应商可按此表复制。</w:t>
      </w:r>
    </w:p>
    <w:p>
      <w:pPr>
        <w:spacing w:line="500" w:lineRule="atLeas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2.名称同第四章采购内容。</w:t>
      </w:r>
    </w:p>
    <w:p>
      <w:pPr>
        <w:spacing w:line="500" w:lineRule="exact"/>
        <w:rPr>
          <w:rFonts w:ascii="仿宋" w:hAnsi="仿宋" w:eastAsia="仿宋" w:cs="仿宋"/>
          <w:sz w:val="28"/>
          <w:szCs w:val="28"/>
          <w:highlight w:val="none"/>
        </w:rPr>
      </w:pPr>
    </w:p>
    <w:p>
      <w:pPr>
        <w:pStyle w:val="18"/>
        <w:rPr>
          <w:rFonts w:ascii="仿宋" w:hAnsi="仿宋" w:eastAsia="仿宋" w:cs="仿宋"/>
          <w:sz w:val="28"/>
          <w:szCs w:val="28"/>
          <w:highlight w:val="none"/>
        </w:rPr>
      </w:pPr>
    </w:p>
    <w:p>
      <w:pPr>
        <w:pStyle w:val="18"/>
        <w:rPr>
          <w:rFonts w:ascii="仿宋" w:hAnsi="仿宋" w:eastAsia="仿宋" w:cs="仿宋"/>
          <w:sz w:val="28"/>
          <w:szCs w:val="28"/>
          <w:highlight w:val="none"/>
        </w:rPr>
      </w:pPr>
    </w:p>
    <w:p>
      <w:pPr>
        <w:pStyle w:val="46"/>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6"/>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6"/>
        <w:spacing w:line="500" w:lineRule="exact"/>
        <w:ind w:firstLine="2660" w:firstLineChars="950"/>
        <w:jc w:val="both"/>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jc w:val="both"/>
        <w:rPr>
          <w:rFonts w:hint="eastAsia"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技术要求响应表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bl>
    <w:p>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pPr>
        <w:pStyle w:val="12"/>
        <w:rPr>
          <w:rFonts w:hint="default"/>
          <w:highlight w:val="none"/>
        </w:rPr>
      </w:pPr>
    </w:p>
    <w:p>
      <w:pPr>
        <w:pStyle w:val="46"/>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6"/>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6"/>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rPr>
          <w:rFonts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1684"/>
        <w:gridCol w:w="3768"/>
        <w:gridCol w:w="2373"/>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684"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3768"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373"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684" w:type="dxa"/>
            <w:vAlign w:val="center"/>
          </w:tcPr>
          <w:p>
            <w:pPr>
              <w:spacing w:line="5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整个项目</w:t>
            </w:r>
          </w:p>
          <w:p>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完成期限</w:t>
            </w:r>
          </w:p>
        </w:tc>
        <w:tc>
          <w:tcPr>
            <w:tcW w:w="3768" w:type="dxa"/>
            <w:vAlign w:val="center"/>
          </w:tcPr>
          <w:p>
            <w:pPr>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sz w:val="28"/>
                <w:szCs w:val="28"/>
                <w:lang w:val="en-US" w:eastAsia="zh-CN"/>
              </w:rPr>
              <w:t>合同签订生效后10个日历日内交货完毕、安装调试完成</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68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376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合格</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061"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68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付款方式</w:t>
            </w:r>
          </w:p>
        </w:tc>
        <w:tc>
          <w:tcPr>
            <w:tcW w:w="3768" w:type="dxa"/>
            <w:vAlign w:val="center"/>
          </w:tcPr>
          <w:p>
            <w:pPr>
              <w:spacing w:line="500" w:lineRule="exact"/>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合同签订后支付合同总金额的</w:t>
            </w:r>
            <w:r>
              <w:rPr>
                <w:rFonts w:hint="eastAsia" w:ascii="仿宋" w:hAnsi="仿宋" w:eastAsia="仿宋" w:cs="仿宋"/>
                <w:sz w:val="28"/>
                <w:szCs w:val="28"/>
                <w:highlight w:val="none"/>
                <w:lang w:val="en-US" w:eastAsia="zh-CN"/>
              </w:rPr>
              <w:t>30%；安装调试完成并验收合格后</w:t>
            </w:r>
            <w:r>
              <w:rPr>
                <w:rFonts w:hint="eastAsia" w:ascii="仿宋" w:hAnsi="仿宋" w:eastAsia="仿宋" w:cs="仿宋"/>
                <w:sz w:val="28"/>
                <w:szCs w:val="28"/>
                <w:highlight w:val="none"/>
                <w:lang w:eastAsia="zh-CN"/>
              </w:rPr>
              <w:t>支付合同总金额的</w:t>
            </w:r>
            <w:r>
              <w:rPr>
                <w:rFonts w:hint="eastAsia" w:ascii="仿宋" w:hAnsi="仿宋" w:eastAsia="仿宋" w:cs="仿宋"/>
                <w:sz w:val="28"/>
                <w:szCs w:val="28"/>
                <w:highlight w:val="none"/>
                <w:lang w:val="en-US" w:eastAsia="zh-CN"/>
              </w:rPr>
              <w:t>60%；试运行三个月无质量问题后支付剩余的10%。</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68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质保期</w:t>
            </w:r>
          </w:p>
        </w:tc>
        <w:tc>
          <w:tcPr>
            <w:tcW w:w="3768" w:type="dxa"/>
            <w:vAlign w:val="center"/>
          </w:tcPr>
          <w:p>
            <w:pPr>
              <w:spacing w:line="500" w:lineRule="exact"/>
              <w:jc w:val="center"/>
              <w:rPr>
                <w:rFonts w:hint="default" w:ascii="仿宋" w:hAnsi="仿宋" w:eastAsia="仿宋" w:cs="仿宋"/>
                <w:bCs/>
                <w:sz w:val="28"/>
                <w:szCs w:val="28"/>
                <w:highlight w:val="none"/>
                <w:lang w:val="en-US" w:eastAsia="zh-CN" w:bidi="ar"/>
              </w:rPr>
            </w:pPr>
            <w:r>
              <w:rPr>
                <w:rFonts w:hint="default" w:ascii="仿宋" w:hAnsi="仿宋" w:eastAsia="仿宋" w:cs="仿宋"/>
                <w:bCs/>
                <w:sz w:val="28"/>
                <w:szCs w:val="28"/>
                <w:highlight w:val="none"/>
                <w:lang w:val="en-US" w:eastAsia="zh-CN" w:bidi="ar"/>
              </w:rPr>
              <w:t>验收合格之日起</w:t>
            </w:r>
            <w:r>
              <w:rPr>
                <w:rFonts w:hint="eastAsia" w:ascii="仿宋" w:hAnsi="仿宋" w:eastAsia="仿宋" w:cs="仿宋"/>
                <w:bCs/>
                <w:sz w:val="28"/>
                <w:szCs w:val="28"/>
                <w:highlight w:val="none"/>
                <w:lang w:val="en-US" w:eastAsia="zh-CN" w:bidi="ar"/>
              </w:rPr>
              <w:t>提供18个月</w:t>
            </w:r>
            <w:r>
              <w:rPr>
                <w:rFonts w:hint="default" w:ascii="仿宋" w:hAnsi="仿宋" w:eastAsia="仿宋" w:cs="仿宋"/>
                <w:bCs/>
                <w:sz w:val="28"/>
                <w:szCs w:val="28"/>
                <w:highlight w:val="none"/>
                <w:lang w:val="en-US" w:eastAsia="zh-CN" w:bidi="ar"/>
              </w:rPr>
              <w:t>质保</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68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376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第五章  合同范本</w:t>
            </w:r>
          </w:p>
        </w:tc>
        <w:tc>
          <w:tcPr>
            <w:tcW w:w="2373" w:type="dxa"/>
            <w:vAlign w:val="center"/>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1684"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3768" w:type="dxa"/>
            <w:vAlign w:val="center"/>
          </w:tcPr>
          <w:p>
            <w:pPr>
              <w:spacing w:line="500" w:lineRule="exact"/>
              <w:jc w:val="center"/>
              <w:rPr>
                <w:rFonts w:ascii="仿宋" w:hAnsi="仿宋" w:eastAsia="仿宋" w:cs="仿宋"/>
                <w:sz w:val="28"/>
                <w:szCs w:val="28"/>
                <w:highlight w:val="none"/>
              </w:rPr>
            </w:pPr>
          </w:p>
        </w:tc>
        <w:tc>
          <w:tcPr>
            <w:tcW w:w="2373" w:type="dxa"/>
            <w:vAlign w:val="center"/>
          </w:tcPr>
          <w:p>
            <w:pPr>
              <w:spacing w:line="500" w:lineRule="exact"/>
              <w:jc w:val="center"/>
              <w:rPr>
                <w:rFonts w:ascii="仿宋" w:hAnsi="仿宋" w:eastAsia="仿宋" w:cs="仿宋"/>
                <w:sz w:val="28"/>
                <w:szCs w:val="28"/>
                <w:highlight w:val="none"/>
              </w:rPr>
            </w:pPr>
          </w:p>
        </w:tc>
        <w:tc>
          <w:tcPr>
            <w:tcW w:w="987" w:type="dxa"/>
            <w:vAlign w:val="center"/>
          </w:tcPr>
          <w:p>
            <w:pPr>
              <w:spacing w:line="500" w:lineRule="exact"/>
              <w:jc w:val="center"/>
              <w:rPr>
                <w:rFonts w:ascii="仿宋" w:hAnsi="仿宋" w:eastAsia="仿宋" w:cs="仿宋"/>
                <w:sz w:val="28"/>
                <w:szCs w:val="28"/>
                <w:highlight w:val="none"/>
              </w:rPr>
            </w:pPr>
          </w:p>
        </w:tc>
      </w:tr>
    </w:tbl>
    <w:p>
      <w:pPr>
        <w:spacing w:line="500" w:lineRule="exact"/>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pPr>
        <w:pStyle w:val="22"/>
        <w:ind w:left="0" w:leftChars="0"/>
        <w:rPr>
          <w:highlight w:val="none"/>
        </w:rPr>
      </w:pPr>
    </w:p>
    <w:p>
      <w:pPr>
        <w:rPr>
          <w:highlight w:val="none"/>
        </w:rPr>
      </w:pPr>
    </w:p>
    <w:p>
      <w:pPr>
        <w:pStyle w:val="46"/>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6"/>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6"/>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195"/>
    <w:bookmarkEnd w:id="196"/>
    <w:bookmarkEnd w:id="197"/>
    <w:p>
      <w:pPr>
        <w:rPr>
          <w:rFonts w:ascii="仿宋" w:hAnsi="仿宋" w:cs="仿宋"/>
          <w:szCs w:val="28"/>
          <w:highlight w:val="none"/>
        </w:rPr>
      </w:pPr>
      <w:r>
        <w:rPr>
          <w:rFonts w:ascii="仿宋" w:hAnsi="仿宋" w:cs="仿宋"/>
          <w:szCs w:val="28"/>
          <w:highlight w:val="none"/>
        </w:rPr>
        <w:br w:type="page"/>
      </w:r>
    </w:p>
    <w:p>
      <w:pPr>
        <w:spacing w:line="500" w:lineRule="atLeast"/>
        <w:jc w:val="center"/>
        <w:outlineLvl w:val="2"/>
        <w:rPr>
          <w:rFonts w:ascii="仿宋" w:hAnsi="仿宋" w:eastAsia="仿宋" w:cs="仿宋"/>
          <w:b/>
          <w:bCs/>
          <w:sz w:val="36"/>
          <w:szCs w:val="36"/>
          <w:highlight w:val="none"/>
        </w:rPr>
      </w:pPr>
      <w:bookmarkStart w:id="198" w:name="_Toc14381_WPSOffice_Level1"/>
      <w:bookmarkStart w:id="199" w:name="_Toc438541323"/>
      <w:bookmarkStart w:id="200" w:name="_Toc26294"/>
      <w:bookmarkStart w:id="201" w:name="_Toc28061"/>
      <w:bookmarkStart w:id="202" w:name="_Toc11782"/>
      <w:bookmarkStart w:id="203" w:name="_Toc18268_WPSOffice_Level1"/>
      <w:bookmarkStart w:id="204" w:name="_Toc14488"/>
      <w:bookmarkStart w:id="205" w:name="_Toc18984"/>
      <w:bookmarkStart w:id="206" w:name="_Toc438541320"/>
      <w:bookmarkStart w:id="207" w:name="_Toc5608"/>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198"/>
      <w:bookmarkEnd w:id="199"/>
      <w:bookmarkEnd w:id="200"/>
      <w:bookmarkEnd w:id="201"/>
      <w:bookmarkEnd w:id="202"/>
      <w:bookmarkEnd w:id="203"/>
      <w:bookmarkEnd w:id="204"/>
      <w:bookmarkEnd w:id="205"/>
    </w:p>
    <w:p>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203"/>
        <w:gridCol w:w="931"/>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554"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项目名称</w:t>
            </w:r>
          </w:p>
        </w:tc>
        <w:tc>
          <w:tcPr>
            <w:tcW w:w="2697"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项目内容</w:t>
            </w:r>
          </w:p>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类似</w:t>
            </w:r>
            <w:r>
              <w:rPr>
                <w:rFonts w:hint="eastAsia" w:ascii="仿宋" w:hAnsi="仿宋" w:eastAsia="仿宋" w:cs="仿宋"/>
                <w:b/>
                <w:bCs/>
                <w:sz w:val="24"/>
                <w:highlight w:val="none"/>
              </w:rPr>
              <w:t>项目）</w:t>
            </w: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完成日期</w:t>
            </w:r>
          </w:p>
        </w:tc>
        <w:tc>
          <w:tcPr>
            <w:tcW w:w="120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质量</w:t>
            </w:r>
          </w:p>
        </w:tc>
        <w:tc>
          <w:tcPr>
            <w:tcW w:w="93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金额</w:t>
            </w:r>
          </w:p>
        </w:tc>
        <w:tc>
          <w:tcPr>
            <w:tcW w:w="1579"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vAlign w:val="center"/>
          </w:tcPr>
          <w:p>
            <w:pPr>
              <w:spacing w:line="500" w:lineRule="exact"/>
              <w:jc w:val="center"/>
              <w:rPr>
                <w:rFonts w:ascii="仿宋" w:hAnsi="仿宋" w:eastAsia="仿宋" w:cs="仿宋"/>
                <w:sz w:val="24"/>
                <w:highlight w:val="none"/>
              </w:rPr>
            </w:pPr>
          </w:p>
        </w:tc>
        <w:tc>
          <w:tcPr>
            <w:tcW w:w="1579" w:type="dxa"/>
            <w:vAlign w:val="center"/>
          </w:tcPr>
          <w:p>
            <w:pPr>
              <w:spacing w:line="500" w:lineRule="exact"/>
              <w:jc w:val="center"/>
              <w:rPr>
                <w:rFonts w:ascii="仿宋" w:hAnsi="仿宋" w:eastAsia="仿宋" w:cs="仿宋"/>
                <w:sz w:val="24"/>
                <w:highlight w:val="none"/>
              </w:rPr>
            </w:pPr>
          </w:p>
        </w:tc>
      </w:tr>
    </w:tbl>
    <w:p>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年1月1日以来供应商</w:t>
      </w:r>
      <w:r>
        <w:rPr>
          <w:rFonts w:hint="eastAsia" w:ascii="仿宋" w:hAnsi="仿宋" w:eastAsia="仿宋" w:cs="仿宋"/>
          <w:sz w:val="28"/>
          <w:szCs w:val="28"/>
          <w:highlight w:val="none"/>
          <w:lang w:eastAsia="zh-CN"/>
        </w:rPr>
        <w:t>类似</w:t>
      </w:r>
      <w:r>
        <w:rPr>
          <w:rFonts w:hint="eastAsia" w:ascii="仿宋" w:hAnsi="仿宋" w:eastAsia="仿宋" w:cs="仿宋"/>
          <w:sz w:val="28"/>
          <w:szCs w:val="28"/>
          <w:highlight w:val="none"/>
        </w:rPr>
        <w:t>项目的业绩合同（以合同签订日期为准），附业绩合同复印件加盖公章。</w:t>
      </w:r>
    </w:p>
    <w:p>
      <w:pPr>
        <w:pStyle w:val="12"/>
        <w:rPr>
          <w:rFonts w:hint="default"/>
          <w:highlight w:val="none"/>
        </w:rPr>
      </w:pPr>
    </w:p>
    <w:p>
      <w:pPr>
        <w:rPr>
          <w:highlight w:val="none"/>
        </w:rPr>
      </w:pP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spacing w:line="500" w:lineRule="exact"/>
        <w:ind w:firstLine="560"/>
        <w:jc w:val="center"/>
        <w:rPr>
          <w:highlight w:val="none"/>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Start w:id="208" w:name="_Toc12154"/>
      <w:bookmarkStart w:id="209" w:name="_Toc21147_WPSOffice_Level1"/>
      <w:bookmarkStart w:id="210" w:name="_Toc3626"/>
      <w:bookmarkStart w:id="211" w:name="_Toc22077_WPSOffice_Level1"/>
    </w:p>
    <w:bookmarkEnd w:id="206"/>
    <w:bookmarkEnd w:id="207"/>
    <w:bookmarkEnd w:id="208"/>
    <w:bookmarkEnd w:id="209"/>
    <w:bookmarkEnd w:id="210"/>
    <w:bookmarkEnd w:id="211"/>
    <w:p>
      <w:pPr>
        <w:pStyle w:val="12"/>
        <w:rPr>
          <w:rFonts w:hint="default"/>
          <w:highlight w:val="none"/>
        </w:rPr>
      </w:pPr>
      <w:bookmarkStart w:id="212" w:name="_Toc438541322"/>
    </w:p>
    <w:p>
      <w:pPr>
        <w:spacing w:line="500" w:lineRule="atLeast"/>
        <w:jc w:val="center"/>
        <w:outlineLvl w:val="2"/>
        <w:rPr>
          <w:rFonts w:ascii="仿宋" w:hAnsi="仿宋" w:eastAsia="仿宋" w:cs="仿宋"/>
          <w:b/>
          <w:bCs/>
          <w:sz w:val="36"/>
          <w:szCs w:val="36"/>
          <w:highlight w:val="none"/>
        </w:rPr>
      </w:pPr>
      <w:bookmarkStart w:id="213" w:name="_Toc2574"/>
      <w:bookmarkStart w:id="214" w:name="_Toc13736"/>
      <w:bookmarkStart w:id="215" w:name="_Toc24582"/>
      <w:bookmarkStart w:id="216" w:name="_Toc26416_WPSOffice_Level1"/>
      <w:bookmarkStart w:id="217" w:name="_Toc18258_WPSOffice_Level1"/>
      <w:bookmarkStart w:id="218" w:name="_Toc992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12"/>
      <w:bookmarkEnd w:id="213"/>
      <w:bookmarkEnd w:id="214"/>
      <w:bookmarkEnd w:id="215"/>
      <w:bookmarkEnd w:id="216"/>
      <w:bookmarkEnd w:id="217"/>
      <w:r>
        <w:rPr>
          <w:rFonts w:hint="eastAsia" w:ascii="仿宋" w:hAnsi="仿宋" w:eastAsia="仿宋" w:cs="仿宋"/>
          <w:b/>
          <w:bCs/>
          <w:sz w:val="36"/>
          <w:szCs w:val="36"/>
          <w:highlight w:val="none"/>
        </w:rPr>
        <w:t>方案说明</w:t>
      </w:r>
      <w:bookmarkEnd w:id="218"/>
    </w:p>
    <w:p>
      <w:pPr>
        <w:pStyle w:val="12"/>
        <w:rPr>
          <w:rFonts w:hint="default"/>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bookmarkStart w:id="219" w:name="_Toc1371_WPSOffice_Level1"/>
      <w:bookmarkStart w:id="220" w:name="_Toc20394"/>
      <w:bookmarkStart w:id="221" w:name="_Toc8829_WPSOffice_Level1"/>
      <w:bookmarkStart w:id="222" w:name="_Toc29179"/>
      <w:bookmarkStart w:id="223" w:name="_Toc438541324"/>
      <w:bookmarkStart w:id="224" w:name="_Toc27627"/>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供应商企业简介；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商务部分响应；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3、技术部分响应：</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（1）所投产品技术参数指标；</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（2）所投产品相关资料；</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（3）针对本项目特点制定整体实施方案；</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（4）拟派本项目工作人员组成情况</w:t>
      </w:r>
      <w:r>
        <w:rPr>
          <w:rFonts w:hint="eastAsia" w:ascii="仿宋" w:hAnsi="仿宋" w:eastAsia="仿宋" w:cs="仿宋"/>
          <w:color w:val="auto"/>
          <w:sz w:val="28"/>
          <w:szCs w:val="28"/>
          <w:highlight w:val="none"/>
          <w:lang w:val="zh-CN" w:eastAsia="zh-CN"/>
        </w:rPr>
        <w:t>（有具体成员名单，包括姓名、工作经验、工作职责、联系方式等）；</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（5）确保工程质量、安全生产、文明施工及环境保护的技术组织措施；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4、售后服务承诺：针对本项目实际需求提供实质性承诺；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供应商认为有必要提供而增加其竞争性的其它资料。</w:t>
      </w:r>
    </w:p>
    <w:p>
      <w:pPr>
        <w:rPr>
          <w:rFonts w:ascii="仿宋" w:hAnsi="仿宋" w:eastAsia="仿宋" w:cs="仿宋"/>
          <w:b/>
          <w:bCs/>
          <w:sz w:val="36"/>
          <w:szCs w:val="36"/>
          <w:highlight w:val="yellow"/>
        </w:rPr>
      </w:pPr>
      <w:r>
        <w:rPr>
          <w:rFonts w:hint="eastAsia" w:ascii="仿宋" w:hAnsi="仿宋" w:eastAsia="仿宋" w:cs="仿宋"/>
          <w:b/>
          <w:bCs/>
          <w:sz w:val="36"/>
          <w:szCs w:val="36"/>
          <w:highlight w:val="yellow"/>
        </w:rPr>
        <w:br w:type="page"/>
      </w:r>
    </w:p>
    <w:p>
      <w:pPr>
        <w:spacing w:line="500" w:lineRule="atLeast"/>
        <w:jc w:val="center"/>
        <w:outlineLvl w:val="2"/>
        <w:rPr>
          <w:rFonts w:ascii="仿宋" w:hAnsi="仿宋" w:eastAsia="仿宋" w:cs="仿宋"/>
          <w:sz w:val="28"/>
          <w:szCs w:val="28"/>
          <w:highlight w:val="none"/>
        </w:rPr>
      </w:pPr>
      <w:bookmarkStart w:id="225" w:name="_Toc2068"/>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19"/>
      <w:bookmarkEnd w:id="220"/>
      <w:bookmarkEnd w:id="221"/>
      <w:bookmarkEnd w:id="222"/>
      <w:bookmarkEnd w:id="223"/>
      <w:bookmarkEnd w:id="224"/>
      <w:r>
        <w:rPr>
          <w:rFonts w:hint="eastAsia" w:ascii="仿宋" w:hAnsi="仿宋" w:eastAsia="仿宋" w:cs="仿宋"/>
          <w:b/>
          <w:bCs/>
          <w:sz w:val="36"/>
          <w:szCs w:val="36"/>
          <w:highlight w:val="none"/>
        </w:rPr>
        <w:t>供应商承诺书</w:t>
      </w:r>
      <w:bookmarkEnd w:id="225"/>
    </w:p>
    <w:p>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pPr>
        <w:spacing w:line="500" w:lineRule="atLeast"/>
        <w:rPr>
          <w:rFonts w:ascii="仿宋" w:hAnsi="仿宋" w:eastAsia="仿宋" w:cs="仿宋"/>
          <w:sz w:val="28"/>
          <w:szCs w:val="28"/>
          <w:highlight w:val="none"/>
        </w:rPr>
      </w:pPr>
    </w:p>
    <w:p>
      <w:pPr>
        <w:pStyle w:val="12"/>
        <w:rPr>
          <w:rFonts w:hint="default" w:ascii="仿宋" w:hAnsi="仿宋" w:cs="仿宋"/>
          <w:sz w:val="28"/>
          <w:szCs w:val="28"/>
          <w:highlight w:val="none"/>
        </w:rPr>
      </w:pPr>
    </w:p>
    <w:p>
      <w:pPr>
        <w:pStyle w:val="12"/>
        <w:rPr>
          <w:rFonts w:hint="default" w:ascii="仿宋" w:hAnsi="仿宋" w:cs="仿宋"/>
          <w:sz w:val="28"/>
          <w:szCs w:val="28"/>
          <w:highlight w:val="none"/>
        </w:rPr>
      </w:pPr>
    </w:p>
    <w:p>
      <w:pPr>
        <w:pStyle w:val="46"/>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6"/>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6"/>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tabs>
          <w:tab w:val="left" w:pos="1755"/>
        </w:tabs>
        <w:spacing w:line="500" w:lineRule="exact"/>
        <w:jc w:val="center"/>
        <w:outlineLvl w:val="2"/>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26" w:name="_Toc438541325"/>
      <w:bookmarkStart w:id="227" w:name="_Toc24209"/>
      <w:bookmarkStart w:id="228" w:name="_Toc31068"/>
      <w:bookmarkStart w:id="229" w:name="_Toc6166_WPSOffice_Level1"/>
      <w:bookmarkStart w:id="230" w:name="_Toc31299"/>
      <w:bookmarkStart w:id="231" w:name="_Toc31198"/>
      <w:bookmarkStart w:id="232" w:name="_Toc22372_WPSOffice_Level1"/>
      <w:bookmarkStart w:id="233" w:name="_Toc12635"/>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26"/>
      <w:bookmarkEnd w:id="227"/>
      <w:bookmarkEnd w:id="228"/>
      <w:bookmarkStart w:id="234" w:name="_Toc437247481"/>
      <w:bookmarkStart w:id="235" w:name="_Toc437425973"/>
      <w:bookmarkStart w:id="236" w:name="_Toc28167"/>
      <w:bookmarkStart w:id="237" w:name="_Toc438541326"/>
      <w:bookmarkStart w:id="238" w:name="_Toc435777821"/>
      <w:r>
        <w:rPr>
          <w:rFonts w:hint="eastAsia" w:ascii="仿宋" w:hAnsi="仿宋" w:eastAsia="仿宋" w:cs="仿宋"/>
          <w:b/>
          <w:bCs/>
          <w:sz w:val="32"/>
          <w:szCs w:val="32"/>
          <w:highlight w:val="none"/>
        </w:rPr>
        <w:t>领域</w:t>
      </w:r>
      <w:bookmarkStart w:id="239" w:name="_Toc435777721"/>
      <w:bookmarkStart w:id="240" w:name="_Toc435776434"/>
      <w:r>
        <w:rPr>
          <w:rFonts w:hint="eastAsia" w:ascii="仿宋" w:hAnsi="仿宋" w:eastAsia="仿宋" w:cs="仿宋"/>
          <w:b/>
          <w:bCs/>
          <w:sz w:val="32"/>
          <w:szCs w:val="32"/>
          <w:highlight w:val="none"/>
        </w:rPr>
        <w:t>商业</w:t>
      </w:r>
      <w:bookmarkEnd w:id="234"/>
      <w:bookmarkEnd w:id="235"/>
      <w:bookmarkEnd w:id="236"/>
      <w:bookmarkEnd w:id="237"/>
      <w:bookmarkEnd w:id="238"/>
      <w:bookmarkEnd w:id="239"/>
      <w:bookmarkEnd w:id="240"/>
      <w:r>
        <w:rPr>
          <w:rFonts w:hint="eastAsia" w:ascii="仿宋" w:hAnsi="仿宋" w:eastAsia="仿宋" w:cs="仿宋"/>
          <w:b/>
          <w:bCs/>
          <w:sz w:val="32"/>
          <w:szCs w:val="32"/>
          <w:highlight w:val="none"/>
        </w:rPr>
        <w:t>贿赂承诺书</w:t>
      </w:r>
      <w:bookmarkEnd w:id="184"/>
      <w:bookmarkEnd w:id="185"/>
      <w:bookmarkEnd w:id="229"/>
      <w:bookmarkEnd w:id="230"/>
      <w:bookmarkEnd w:id="231"/>
      <w:bookmarkEnd w:id="232"/>
      <w:bookmarkEnd w:id="233"/>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numPr>
          <w:ilvl w:val="0"/>
          <w:numId w:val="8"/>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spacing w:line="500" w:lineRule="atLeast"/>
        <w:ind w:firstLine="2240" w:firstLineChars="800"/>
        <w:rPr>
          <w:rFonts w:ascii="仿宋" w:hAnsi="仿宋" w:eastAsia="仿宋" w:cs="仿宋"/>
          <w:kern w:val="0"/>
          <w:sz w:val="24"/>
          <w:szCs w:val="24"/>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tabs>
          <w:tab w:val="left" w:pos="1755"/>
        </w:tabs>
        <w:spacing w:line="500" w:lineRule="exact"/>
        <w:jc w:val="center"/>
        <w:outlineLvl w:val="2"/>
        <w:rPr>
          <w:rFonts w:ascii="仿宋" w:hAnsi="仿宋" w:eastAsia="仿宋" w:cs="仿宋"/>
          <w:b/>
          <w:bCs/>
          <w:sz w:val="36"/>
          <w:szCs w:val="36"/>
          <w:highlight w:val="none"/>
        </w:rPr>
      </w:pPr>
      <w:bookmarkStart w:id="241" w:name="_Toc20090_WPSOffice_Level1"/>
      <w:bookmarkStart w:id="242" w:name="_Toc21078"/>
      <w:bookmarkStart w:id="243" w:name="_Toc25411"/>
      <w:bookmarkStart w:id="244" w:name="_Toc14162_WPSOffice_Level1"/>
      <w:bookmarkStart w:id="245" w:name="_Toc28493"/>
      <w:bookmarkStart w:id="246" w:name="_Toc3095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部分  附件</w:t>
      </w:r>
      <w:bookmarkEnd w:id="241"/>
      <w:bookmarkEnd w:id="242"/>
      <w:bookmarkEnd w:id="243"/>
      <w:bookmarkEnd w:id="244"/>
      <w:bookmarkEnd w:id="245"/>
      <w:r>
        <w:rPr>
          <w:rFonts w:hint="eastAsia" w:ascii="仿宋" w:hAnsi="仿宋" w:eastAsia="仿宋" w:cs="仿宋"/>
          <w:b/>
          <w:bCs/>
          <w:sz w:val="36"/>
          <w:szCs w:val="36"/>
          <w:highlight w:val="none"/>
        </w:rPr>
        <w:t>（如有）</w:t>
      </w:r>
      <w:bookmarkEnd w:id="246"/>
    </w:p>
    <w:p>
      <w:pPr>
        <w:spacing w:line="500" w:lineRule="atLeast"/>
        <w:jc w:val="center"/>
        <w:outlineLvl w:val="3"/>
        <w:rPr>
          <w:rFonts w:ascii="仿宋" w:hAnsi="仿宋" w:eastAsia="仿宋" w:cs="仿宋"/>
          <w:b/>
          <w:bCs/>
          <w:kern w:val="0"/>
          <w:sz w:val="32"/>
          <w:szCs w:val="32"/>
          <w:highlight w:val="none"/>
        </w:rPr>
      </w:pPr>
      <w:bookmarkStart w:id="247" w:name="_Toc20607"/>
      <w:bookmarkStart w:id="248" w:name="_Toc24063"/>
      <w:bookmarkStart w:id="249" w:name="_Toc8639"/>
      <w:bookmarkStart w:id="250" w:name="_Toc5558"/>
      <w:bookmarkStart w:id="251" w:name="_Toc30274"/>
      <w:bookmarkStart w:id="252" w:name="_Toc13622"/>
      <w:r>
        <w:rPr>
          <w:rFonts w:hint="eastAsia" w:ascii="仿宋" w:hAnsi="仿宋" w:eastAsia="仿宋" w:cs="仿宋"/>
          <w:b/>
          <w:bCs/>
          <w:kern w:val="0"/>
          <w:sz w:val="32"/>
          <w:szCs w:val="32"/>
          <w:highlight w:val="none"/>
        </w:rPr>
        <w:t>一、</w:t>
      </w:r>
      <w:bookmarkEnd w:id="247"/>
      <w:bookmarkEnd w:id="248"/>
      <w:r>
        <w:rPr>
          <w:rFonts w:hint="eastAsia" w:ascii="仿宋" w:hAnsi="仿宋" w:eastAsia="仿宋" w:cs="仿宋"/>
          <w:b/>
          <w:bCs/>
          <w:kern w:val="0"/>
          <w:sz w:val="32"/>
          <w:szCs w:val="32"/>
          <w:highlight w:val="none"/>
        </w:rPr>
        <w:t>中小企业声明函</w:t>
      </w:r>
      <w:bookmarkEnd w:id="249"/>
      <w:bookmarkEnd w:id="250"/>
      <w:bookmarkEnd w:id="251"/>
      <w:bookmarkEnd w:id="252"/>
    </w:p>
    <w:p>
      <w:pPr>
        <w:pStyle w:val="12"/>
        <w:rPr>
          <w:rFonts w:hint="default"/>
          <w:highlight w:val="none"/>
        </w:rPr>
      </w:pP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2"/>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pPr>
        <w:pStyle w:val="26"/>
        <w:ind w:firstLine="0" w:firstLineChars="0"/>
        <w:rPr>
          <w:rFonts w:hint="default"/>
          <w:highlight w:val="none"/>
        </w:rPr>
      </w:pPr>
    </w:p>
    <w:p>
      <w:pPr>
        <w:pStyle w:val="26"/>
        <w:ind w:firstLine="0" w:firstLineChars="0"/>
        <w:rPr>
          <w:rFonts w:hint="default" w:ascii="仿宋" w:hAnsi="仿宋" w:cs="仿宋"/>
          <w:b/>
          <w:bCs/>
          <w:sz w:val="28"/>
          <w:szCs w:val="28"/>
          <w:highlight w:val="none"/>
        </w:rPr>
      </w:pPr>
    </w:p>
    <w:p>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253" w:name="_Toc32499"/>
      <w:bookmarkStart w:id="254" w:name="_Toc26990"/>
      <w:bookmarkStart w:id="255" w:name="_Toc13115"/>
    </w:p>
    <w:p>
      <w:pPr>
        <w:tabs>
          <w:tab w:val="left" w:pos="1755"/>
        </w:tabs>
        <w:spacing w:line="500" w:lineRule="atLeast"/>
        <w:ind w:left="-120"/>
        <w:jc w:val="center"/>
        <w:outlineLvl w:val="3"/>
        <w:rPr>
          <w:rFonts w:ascii="仿宋" w:hAnsi="仿宋" w:eastAsia="仿宋" w:cs="仿宋"/>
          <w:b/>
          <w:bCs/>
          <w:sz w:val="32"/>
          <w:szCs w:val="32"/>
          <w:highlight w:val="none"/>
        </w:rPr>
      </w:pPr>
      <w:r>
        <w:rPr>
          <w:rFonts w:hint="eastAsia" w:ascii="仿宋" w:hAnsi="仿宋" w:eastAsia="仿宋" w:cs="仿宋"/>
          <w:b/>
          <w:bCs/>
          <w:sz w:val="32"/>
          <w:szCs w:val="32"/>
          <w:highlight w:val="none"/>
        </w:rPr>
        <w:t>二、监狱企业相关资格证明材料</w:t>
      </w:r>
      <w:bookmarkEnd w:id="253"/>
      <w:bookmarkEnd w:id="254"/>
      <w:bookmarkEnd w:id="255"/>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pStyle w:val="12"/>
        <w:spacing w:line="500" w:lineRule="exact"/>
        <w:ind w:left="-119"/>
        <w:jc w:val="center"/>
        <w:rPr>
          <w:rFonts w:hint="default"/>
          <w:highlight w:val="none"/>
        </w:rPr>
      </w:pPr>
    </w:p>
    <w:p>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2"/>
        <w:spacing w:line="500" w:lineRule="exact"/>
        <w:ind w:left="-119"/>
        <w:jc w:val="center"/>
        <w:outlineLvl w:val="3"/>
        <w:rPr>
          <w:rFonts w:hint="default"/>
          <w:b/>
          <w:bCs/>
          <w:sz w:val="32"/>
          <w:szCs w:val="24"/>
          <w:highlight w:val="none"/>
        </w:rPr>
      </w:pPr>
      <w:r>
        <w:rPr>
          <w:highlight w:val="none"/>
        </w:rPr>
        <w:br w:type="page"/>
      </w:r>
      <w:r>
        <w:rPr>
          <w:b/>
          <w:bCs/>
          <w:sz w:val="32"/>
          <w:szCs w:val="24"/>
          <w:highlight w:val="none"/>
        </w:rPr>
        <w:t>三、残疾人福利性单位声明函</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spacing w:line="500" w:lineRule="exact"/>
        <w:ind w:firstLine="584" w:firstLineChars="200"/>
        <w:rPr>
          <w:rFonts w:ascii="仿宋" w:hAnsi="仿宋" w:eastAsia="仿宋" w:cs="仿宋"/>
          <w:spacing w:val="6"/>
          <w:sz w:val="28"/>
          <w:szCs w:val="28"/>
          <w:highlight w:val="none"/>
        </w:rPr>
      </w:pPr>
    </w:p>
    <w:p>
      <w:pPr>
        <w:spacing w:line="500" w:lineRule="exact"/>
        <w:ind w:firstLine="584" w:firstLineChars="200"/>
        <w:rPr>
          <w:rFonts w:ascii="仿宋" w:hAnsi="仿宋" w:eastAsia="仿宋" w:cs="仿宋"/>
          <w:spacing w:val="6"/>
          <w:sz w:val="28"/>
          <w:szCs w:val="28"/>
          <w:highlight w:val="none"/>
        </w:rPr>
      </w:pP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spacing w:line="500" w:lineRule="exact"/>
        <w:jc w:val="center"/>
        <w:rPr>
          <w:rFonts w:ascii="仿宋" w:hAnsi="仿宋" w:eastAsia="仿宋" w:cs="仿宋"/>
          <w:b/>
          <w:bCs/>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Style w:val="50"/>
          <w:rFonts w:hint="default" w:ascii="仿宋" w:hAnsi="仿宋" w:eastAsia="仿宋" w:cs="仿宋"/>
          <w:sz w:val="24"/>
          <w:szCs w:val="24"/>
          <w:highlight w:val="none"/>
        </w:rPr>
      </w:pPr>
    </w:p>
    <w:p>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spacing w:line="500" w:lineRule="exact"/>
        <w:jc w:val="center"/>
        <w:rPr>
          <w:rStyle w:val="50"/>
          <w:rFonts w:hint="default" w:ascii="仿宋" w:hAnsi="仿宋" w:eastAsia="仿宋" w:cs="仿宋"/>
          <w:sz w:val="24"/>
          <w:szCs w:val="24"/>
          <w:highlight w:val="none"/>
        </w:rPr>
      </w:pPr>
    </w:p>
    <w:p>
      <w:pPr>
        <w:pStyle w:val="12"/>
        <w:spacing w:line="500" w:lineRule="exact"/>
        <w:rPr>
          <w:rFonts w:hint="default" w:ascii="仿宋" w:hAnsi="仿宋" w:cs="仿宋"/>
          <w:sz w:val="28"/>
          <w:szCs w:val="28"/>
          <w:highlight w:val="none"/>
        </w:rPr>
      </w:pPr>
    </w:p>
    <w:p>
      <w:pPr>
        <w:pStyle w:val="12"/>
        <w:spacing w:line="500" w:lineRule="exact"/>
        <w:rPr>
          <w:rFonts w:hint="default" w:ascii="仿宋" w:hAnsi="仿宋" w:cs="仿宋"/>
          <w:sz w:val="28"/>
          <w:szCs w:val="28"/>
          <w:highlight w:val="none"/>
        </w:rPr>
      </w:pPr>
    </w:p>
    <w:p>
      <w:pPr>
        <w:pStyle w:val="12"/>
        <w:spacing w:line="500" w:lineRule="exact"/>
        <w:rPr>
          <w:rFonts w:hint="default" w:ascii="仿宋" w:hAnsi="仿宋" w:cs="仿宋"/>
          <w:sz w:val="28"/>
          <w:szCs w:val="28"/>
          <w:highlight w:val="none"/>
        </w:rPr>
      </w:pPr>
    </w:p>
    <w:p>
      <w:pPr>
        <w:rPr>
          <w:rFonts w:ascii="仿宋" w:hAnsi="仿宋" w:eastAsia="仿宋" w:cs="仿宋"/>
          <w:kern w:val="0"/>
          <w:sz w:val="28"/>
          <w:szCs w:val="28"/>
          <w:highlight w:val="none"/>
        </w:rPr>
      </w:pPr>
    </w:p>
    <w:p>
      <w:pPr>
        <w:pStyle w:val="12"/>
        <w:rPr>
          <w:rFonts w:hint="default"/>
          <w:highlight w:val="none"/>
        </w:rPr>
      </w:pPr>
    </w:p>
    <w:p>
      <w:pPr>
        <w:rPr>
          <w:rFonts w:hint="default"/>
          <w:highlight w:val="none"/>
        </w:rPr>
      </w:pPr>
    </w:p>
    <w:p>
      <w:pPr>
        <w:pStyle w:val="18"/>
        <w:rPr>
          <w:rFonts w:hint="default"/>
          <w:highlight w:val="none"/>
        </w:rPr>
      </w:pPr>
    </w:p>
    <w:p>
      <w:pPr>
        <w:pStyle w:val="18"/>
        <w:rPr>
          <w:rFonts w:hint="default"/>
          <w:highlight w:val="none"/>
        </w:rPr>
      </w:pPr>
    </w:p>
    <w:p>
      <w:pPr>
        <w:pStyle w:val="12"/>
        <w:spacing w:line="500" w:lineRule="exact"/>
        <w:rPr>
          <w:rFonts w:hint="default" w:ascii="仿宋" w:hAnsi="仿宋" w:cs="仿宋"/>
          <w:sz w:val="28"/>
          <w:szCs w:val="28"/>
          <w:highlight w:val="none"/>
        </w:rPr>
      </w:pPr>
    </w:p>
    <w:p>
      <w:pPr>
        <w:pStyle w:val="12"/>
        <w:spacing w:line="500" w:lineRule="exact"/>
        <w:rPr>
          <w:rFonts w:hint="default" w:ascii="仿宋" w:hAnsi="仿宋" w:cs="仿宋"/>
          <w:sz w:val="28"/>
          <w:szCs w:val="28"/>
          <w:highlight w:val="none"/>
        </w:rPr>
      </w:pPr>
    </w:p>
    <w:p>
      <w:pPr>
        <w:pStyle w:val="15"/>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256" w:name="_Toc26174"/>
      <w:bookmarkStart w:id="257" w:name="_Toc22499"/>
      <w:bookmarkStart w:id="258" w:name="_Toc5941"/>
      <w:bookmarkStart w:id="259" w:name="_Toc26999"/>
      <w:r>
        <w:rPr>
          <w:rFonts w:hint="eastAsia" w:ascii="仿宋" w:hAnsi="仿宋" w:eastAsia="仿宋" w:cs="仿宋"/>
          <w:b/>
          <w:bCs/>
          <w:sz w:val="32"/>
          <w:szCs w:val="28"/>
          <w:highlight w:val="none"/>
          <w:lang w:val="en-US" w:eastAsia="zh-CN"/>
        </w:rPr>
        <w:t>C 电子文档</w:t>
      </w:r>
      <w:bookmarkEnd w:id="256"/>
      <w:bookmarkEnd w:id="257"/>
      <w:bookmarkEnd w:id="258"/>
    </w:p>
    <w:p>
      <w:pPr>
        <w:pStyle w:val="1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eastAsia="zh-CN"/>
        </w:rPr>
      </w:pPr>
      <w:r>
        <w:rPr>
          <w:rFonts w:hint="eastAsia" w:ascii="仿宋" w:hAnsi="仿宋" w:cs="仿宋"/>
          <w:b/>
          <w:bCs/>
          <w:sz w:val="28"/>
          <w:szCs w:val="28"/>
          <w:highlight w:val="none"/>
        </w:rPr>
        <w:t>电子文档</w:t>
      </w:r>
      <w:r>
        <w:rPr>
          <w:rFonts w:hint="eastAsia" w:ascii="仿宋" w:hAnsi="仿宋" w:cs="仿宋"/>
          <w:b/>
          <w:bCs/>
          <w:sz w:val="28"/>
          <w:szCs w:val="28"/>
          <w:highlight w:val="none"/>
          <w:lang w:eastAsia="zh-CN"/>
        </w:rPr>
        <w:t>要求：</w:t>
      </w:r>
      <w:r>
        <w:rPr>
          <w:rFonts w:hint="eastAsia" w:ascii="仿宋" w:hAnsi="仿宋" w:cs="仿宋"/>
          <w:b/>
          <w:bCs/>
          <w:sz w:val="28"/>
          <w:szCs w:val="28"/>
          <w:highlight w:val="none"/>
          <w:lang w:val="en-US" w:eastAsia="zh-CN"/>
        </w:rPr>
        <w:t>1、</w:t>
      </w:r>
      <w:r>
        <w:rPr>
          <w:rFonts w:hint="eastAsia" w:ascii="仿宋" w:hAnsi="仿宋" w:cs="仿宋"/>
          <w:b/>
          <w:bCs/>
          <w:sz w:val="28"/>
          <w:szCs w:val="28"/>
          <w:highlight w:val="none"/>
        </w:rPr>
        <w:t>供应商所提供的电子版</w:t>
      </w:r>
      <w:r>
        <w:rPr>
          <w:rFonts w:hint="eastAsia" w:ascii="仿宋" w:hAnsi="仿宋" w:cs="仿宋"/>
          <w:b/>
          <w:bCs/>
          <w:sz w:val="28"/>
          <w:szCs w:val="28"/>
          <w:highlight w:val="none"/>
          <w:lang w:eastAsia="zh-CN"/>
        </w:rPr>
        <w:t>投标</w:t>
      </w:r>
      <w:r>
        <w:rPr>
          <w:rFonts w:hint="eastAsia" w:ascii="仿宋" w:hAnsi="仿宋" w:cs="仿宋"/>
          <w:b/>
          <w:bCs/>
          <w:sz w:val="28"/>
          <w:szCs w:val="28"/>
          <w:highlight w:val="none"/>
        </w:rPr>
        <w:t>文件必须能够打开，内容必须与文字</w:t>
      </w:r>
      <w:r>
        <w:rPr>
          <w:rFonts w:hint="eastAsia" w:ascii="仿宋" w:hAnsi="仿宋" w:cs="仿宋"/>
          <w:b/>
          <w:bCs/>
          <w:sz w:val="28"/>
          <w:szCs w:val="28"/>
          <w:highlight w:val="none"/>
          <w:lang w:eastAsia="zh-CN"/>
        </w:rPr>
        <w:t>版投标</w:t>
      </w:r>
      <w:r>
        <w:rPr>
          <w:rFonts w:hint="eastAsia" w:ascii="仿宋" w:hAnsi="仿宋" w:cs="仿宋"/>
          <w:b/>
          <w:bCs/>
          <w:sz w:val="28"/>
          <w:szCs w:val="28"/>
          <w:highlight w:val="none"/>
        </w:rPr>
        <w:t>文件内容一致</w:t>
      </w:r>
      <w:r>
        <w:rPr>
          <w:rFonts w:hint="eastAsia" w:ascii="仿宋" w:hAnsi="仿宋" w:cs="仿宋"/>
          <w:b/>
          <w:bCs/>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val="en-US" w:eastAsia="zh-CN"/>
        </w:rPr>
      </w:pPr>
      <w:r>
        <w:rPr>
          <w:rFonts w:hint="eastAsia" w:ascii="仿宋" w:hAnsi="仿宋" w:cs="仿宋"/>
          <w:b/>
          <w:bCs/>
          <w:sz w:val="28"/>
          <w:szCs w:val="28"/>
          <w:highlight w:val="none"/>
          <w:lang w:val="en-US" w:eastAsia="zh-CN"/>
        </w:rPr>
        <w:t>2、</w:t>
      </w:r>
      <w:r>
        <w:rPr>
          <w:rFonts w:hint="eastAsia" w:ascii="仿宋" w:hAnsi="仿宋" w:cs="仿宋"/>
          <w:b/>
          <w:bCs/>
          <w:sz w:val="28"/>
          <w:szCs w:val="28"/>
          <w:highlight w:val="none"/>
          <w:lang w:eastAsia="zh-CN"/>
        </w:rPr>
        <w:t>格式要求为：</w:t>
      </w:r>
      <w:r>
        <w:rPr>
          <w:rFonts w:hint="eastAsia" w:ascii="仿宋" w:hAnsi="仿宋" w:cs="仿宋"/>
          <w:b/>
          <w:bCs/>
          <w:sz w:val="28"/>
          <w:szCs w:val="28"/>
          <w:highlight w:val="none"/>
          <w:lang w:val="en-US" w:eastAsia="zh-CN"/>
        </w:rPr>
        <w:t>word版及pdf</w:t>
      </w:r>
      <w:r>
        <w:rPr>
          <w:rFonts w:hint="eastAsia" w:ascii="仿宋" w:hAnsi="仿宋" w:cs="仿宋"/>
          <w:b/>
          <w:bCs/>
          <w:sz w:val="28"/>
          <w:szCs w:val="28"/>
          <w:highlight w:val="none"/>
          <w:lang w:eastAsia="zh-CN"/>
        </w:rPr>
        <w:t>（签字盖章齐全）</w:t>
      </w:r>
      <w:r>
        <w:rPr>
          <w:rFonts w:hint="eastAsia" w:ascii="仿宋" w:hAnsi="仿宋" w:cs="仿宋"/>
          <w:b/>
          <w:bCs/>
          <w:sz w:val="28"/>
          <w:szCs w:val="28"/>
          <w:highlight w:val="none"/>
          <w:lang w:val="en-US" w:eastAsia="zh-CN"/>
        </w:rPr>
        <w:t>各一份。</w:t>
      </w:r>
    </w:p>
    <w:p>
      <w:pPr>
        <w:widowControl w:val="0"/>
        <w:numPr>
          <w:ilvl w:val="0"/>
          <w:numId w:val="0"/>
        </w:numPr>
        <w:jc w:val="both"/>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2"/>
        <w:rPr>
          <w:rFonts w:hint="default" w:ascii="仿宋" w:hAnsi="仿宋" w:cs="仿宋"/>
          <w:sz w:val="28"/>
          <w:szCs w:val="28"/>
          <w:highlight w:val="none"/>
        </w:rPr>
      </w:pPr>
    </w:p>
    <w:p>
      <w:pPr>
        <w:pStyle w:val="12"/>
        <w:jc w:val="center"/>
        <w:outlineLvl w:val="0"/>
        <w:rPr>
          <w:rFonts w:hint="default" w:ascii="仿宋" w:hAnsi="仿宋" w:cs="仿宋"/>
          <w:b/>
          <w:kern w:val="2"/>
          <w:sz w:val="36"/>
          <w:szCs w:val="36"/>
          <w:highlight w:val="none"/>
        </w:rPr>
      </w:pPr>
      <w:bookmarkStart w:id="260" w:name="_Toc24532"/>
      <w:r>
        <w:rPr>
          <w:rFonts w:ascii="仿宋" w:hAnsi="仿宋" w:cs="仿宋"/>
          <w:b/>
          <w:kern w:val="2"/>
          <w:sz w:val="36"/>
          <w:szCs w:val="36"/>
          <w:highlight w:val="none"/>
        </w:rPr>
        <w:t>第七章  投标保证金退还申请表</w:t>
      </w:r>
      <w:bookmarkEnd w:id="259"/>
      <w:bookmarkEnd w:id="260"/>
    </w:p>
    <w:tbl>
      <w:tblPr>
        <w:tblStyle w:val="28"/>
        <w:tblW w:w="1002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Merge w:val="restart"/>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6" w:type="dxa"/>
            <w:vMerge w:val="continue"/>
            <w:vAlign w:val="center"/>
          </w:tcPr>
          <w:p>
            <w:pPr>
              <w:spacing w:line="500" w:lineRule="exact"/>
              <w:jc w:val="center"/>
              <w:outlineLvl w:val="5"/>
              <w:rPr>
                <w:rFonts w:ascii="仿宋" w:hAnsi="仿宋" w:eastAsia="仿宋" w:cs="仿宋"/>
                <w:b/>
                <w:sz w:val="24"/>
                <w:szCs w:val="24"/>
                <w:highlight w:val="none"/>
              </w:rPr>
            </w:pP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454" w:type="dxa"/>
            <w:vAlign w:val="center"/>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0020" w:type="dxa"/>
            <w:gridSpan w:val="2"/>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注：1.本表仅用于供应商退还保证金时使用。</w:t>
            </w:r>
          </w:p>
          <w:p>
            <w:pPr>
              <w:spacing w:line="500" w:lineRule="exact"/>
              <w:ind w:firstLine="482" w:firstLineChars="200"/>
              <w:jc w:val="left"/>
              <w:outlineLvl w:val="5"/>
              <w:rPr>
                <w:rFonts w:ascii="仿宋" w:hAnsi="仿宋" w:eastAsia="仿宋" w:cs="仿宋"/>
                <w:b/>
                <w:sz w:val="24"/>
                <w:szCs w:val="24"/>
                <w:highlight w:val="none"/>
              </w:rPr>
            </w:pPr>
            <w:r>
              <w:rPr>
                <w:rFonts w:hint="eastAsia" w:ascii="仿宋" w:hAnsi="仿宋" w:eastAsia="仿宋" w:cs="仿宋"/>
                <w:b/>
                <w:sz w:val="24"/>
                <w:szCs w:val="24"/>
                <w:highlight w:val="none"/>
              </w:rPr>
              <w:t>2.请供应商在递交投标文件的同时向采购代理机构工作人员单独递交本表，以便尽快退还供应商的保证金。</w:t>
            </w:r>
          </w:p>
        </w:tc>
      </w:tr>
    </w:tbl>
    <w:p>
      <w:pPr>
        <w:pStyle w:val="15"/>
        <w:ind w:left="0" w:leftChars="0" w:right="1470"/>
        <w:rPr>
          <w:highlight w:val="none"/>
        </w:rPr>
      </w:pPr>
    </w:p>
    <w:p>
      <w:pPr>
        <w:pStyle w:val="15"/>
        <w:ind w:left="0" w:leftChars="0" w:right="1470"/>
        <w:rPr>
          <w:highlight w:val="none"/>
        </w:rPr>
      </w:pPr>
    </w:p>
    <w:p>
      <w:pPr>
        <w:pStyle w:val="15"/>
        <w:ind w:left="0" w:leftChars="0" w:right="1470"/>
        <w:rPr>
          <w:highlight w:val="none"/>
        </w:rPr>
      </w:pPr>
    </w:p>
    <w:p>
      <w:pPr>
        <w:pStyle w:val="15"/>
        <w:ind w:left="0" w:leftChars="0" w:right="1470"/>
        <w:rPr>
          <w:rFonts w:hint="eastAsia" w:eastAsia="宋体"/>
          <w:highlight w:val="none"/>
          <w:lang w:eastAsia="zh-CN"/>
        </w:rPr>
      </w:pPr>
    </w:p>
    <w:sectPr>
      <w:headerReference r:id="rId13" w:type="default"/>
      <w:footerReference r:id="rId1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仿宋" w:hAnsi="仿宋" w:cs="仿宋"/>
      </w:rPr>
    </w:pPr>
    <w:r>
      <w:rPr>
        <w:rFonts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5926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RDFQ3vABAADbAwAADgAAAGRycy9lMm9Eb2MueG1srVNLjhMx&#10;EN0jcQfLe9JJ0ExmWunMYsKwQRAJOEDFdqct+SeXJ51cggsgsYMVS/bchuEYlN0h82GTBb1wl8tV&#10;r+o9l+dXO2vYVkXU3jV8MhpzppzwUrtNwz9+uHlxwRkmcBKMd6rhe4X8avH82bwPtZr6zhupIiMQ&#10;h3UfGt6lFOqqQtEpCzjyQTk6bH20kGgbN5WM0BO6NdV0PD6veh9liF4oRPIuh0N+QIynAPq21UIt&#10;vbi1yqUBNSoDiShhpwPyRem2bZVI79oWVWKm4cQ0lZWKkL3Oa7WYQ72JEDotDi3AKS084WRBOyp6&#10;hFpCAnYb9T9QVovo0bdpJLytBiJFEWIxGT/R5n0HQRUuJDWGo+j4/2DF2+0qMi0bPuPMgaULv/v8&#10;49enr79/fqH17vs3Nssi9QFrir12q3jYYVjFzHjXRpv/xIXtirD7o7Bql5gg5/lkNp5ennEm6Ozl&#10;xaToXt3nhojptfKWZaPhRrtMG2rYvsFE9Sj0b0h2G8f6hl+eTTMi0Ay2dPdk2kA80G1KLnqj5Y02&#10;Jmdg3KyvTWRbyHNQvsyKcB+F5SJLwG6IK0fDhHQK5CsnWdoHUsjRw+C5BaskZ0bRO8oWAUKdQJtT&#10;Iqm0cdRBFnaQMltrL/dF4eKnOy89HuYzD9XDfcm+f5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agQrVAAAABgEAAA8AAAAAAAAAAQAgAAAAIgAAAGRycy9kb3ducmV2LnhtbFBLAQIUABQAAAAI&#10;AIdO4kBEMVDe8AEAANsDAAAOAAAAAAAAAAEAIAAAACQBAABkcnMvZTJvRG9jLnhtbFBLBQYAAAAA&#10;BgAGAFkBAACG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438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i79U4/EBAADbAwAADgAAAGRycy9lMm9Eb2MueG1srVPNbhMx&#10;EL4j8Q6W72SToIZ2lU0PDeWCIBL0ASa2N2vJf/K42eQleAEkbnDiyJ23aXmMjr0hhXLJgT14x+OZ&#10;b+b7PJ5f7qxhWxVRe9fwyWjMmXLCS+02Db/5eP3inDNM4CQY71TD9wr55eL5s3kfajX1nTdSRUYg&#10;Dus+NLxLKdRVhaJTFnDkg3J02PpoIdE2bioZoSd0a6rpeDyreh9liF4oRPIuh0N+QIynAPq21UIt&#10;vbi1yqUBNSoDiShhpwPyRem2bZVI79sWVWKm4cQ0lZWKkL3Oa7WYQ72JEDotDi3AKS084WRBOyp6&#10;hFpCAnYb9T9QVovo0bdpJLytBiJFEWIxGT/R5kMHQRUuJDWGo+j4/2DFu+0qMi0bPuPMgaULv//8&#10;4+7T118/v9B6//0bm2WR+oA1xV65VTzsMKxiZrxro81/4sJ2Rdj9UVi1S0yQczZ5NZ5enHEm6Ozl&#10;+aToXj3mhojpjfKWZaPhRrtMG2rYvsVE9Sj0d0h2G8f6hl+cTTMi0Ay2dPdk2kA80G1KLnqj5bU2&#10;Jmdg3KyvTGRbyHNQvsyKcP8Ky0WWgN0QV46GCekUyNdOsrQPpJCjh8FzC1ZJzoyid5QtAoQ6gTan&#10;RFJp46iDLOwgZbbWXu6LwsVPd156PMxnHqo/9yX78U0u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i79U4/EBAADb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4.2pt;height:0.3pt;width:485.85pt;z-index:251660288;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Ls+TLPkBAADnAwAADgAAAGRycy9lMm9Eb2MueG1srVPNjtMw&#10;EL4j8Q6W7zRN0S7dqOketiwXBJWAB5g6TmLJf/K4TfsSvAASNzhx5M7b7PIYjJ3SheXSAzk4Y8/4&#10;m/m+GS+u90aznQyonK15OZlyJq1wjbJdzT+8v3025wwj2Aa0s7LmB4n8evn0yWLwlZy53ulGBkYg&#10;FqvB17yP0VdFgaKXBnDivLTkbF0wEGkbuqIJMBC60cVsOr0sBhcaH5yQiHS6Gp38iBjOAXRtq4Rc&#10;ObE10sYRNUgNkShhrzzyZa62baWIb9sWZWS65sQ05pWSkL1Ja7FcQNUF8L0SxxLgnBIecTKgLCU9&#10;Qa0gAtsG9Q+UUSI4dG2cCGeKkUhWhFiU00favOvBy8yFpEZ/Eh3/H6x4s1sHppqaU9stGGr4/afv&#10;dx+//Pzxmdb7b1/ZPIk0eKwo9sauw3GHfh0S430bTPoTF7bPwh5Owsp9ZIIOL8sX09nVBWeCfM/n&#10;Zda9eLjrA8ZX0hmWjJprZRNtqGD3GiPlo9DfIelYWzbU/OpilhCBZrCl3pNpPPFA2+W76LRqbpXW&#10;6QaGbnOjA9tBmoP8JVaE+1dYSrIC7Me47BonpJfQvLQNiwdPCll6GDyVYGTDmZb0jpJFgFBFUPqc&#10;SEqtLVWQhB2lTNbGNQfqx9YH1fWkRJm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agQrVAAAABgEAAA8AAAAAAAAAAQAgAAAAIgAAAGRycy9kb3ducmV2LnhtbFBL&#10;AQIUABQAAAAIAIdO4kAuz5Ms+QEAAOcDAAAOAAAAAAAAAAEAIAAAACQBAABkcnMvZTJvRG9jLnht&#10;bFBLBQYAAAAABgAGAFkBAACPBQAAAAA=&#10;">
              <v:fill on="f" focussize="0,0"/>
              <v:stroke color="#000000"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1312"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1312;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TMnK3M8BAACZAwAADgAAAGRycy9lMm9Eb2MueG1srVNLbtsw&#10;EN0X6B0I7mtaQdw0guUghZGiQNEWSHoAmqIsAvyBQ1vyBdobdNVN9z2Xz5EhJTlNsskiG2o0HL15&#10;781oedUbTfYygHK2osVsTom0wtXKbiv64+7m3QdKIHJbc+2srOhBAr1avX2z7Hwpz1zrdC0DQRAL&#10;Zecr2sboS8ZAtNJwmDkvLV42Lhge8TVsWR14h+hGs7P5/D3rXKh9cEICYHY9XNIRMbwE0DWNEnLt&#10;xM5IGwfUIDWPKAla5YGuMtumkSJ+axqQkeiKotKYT2yC8SadbLXk5TZw3yoxUuAvofBEk+HKYtMT&#10;1JpHTnZBPYMySgQHrokz4QwbhGRHUEUxf+LNbcu9zFrQavAn0+H1YMXX/fdAVI2bUFBiucGJH3//&#10;Ov75d/z7k2AODeo8lFh367Ey9h9dj8VTHjCZdPdNMOmJigjeo72Hk72yj0Rg8nxxgQtAicCr4vzi&#10;crFIKOzhYx8gfpLOkBRUNOD0sql8/wXiUDqVpF7W3Sit8wS1fZRAzJRhifnAMEWx3/SjnI2rD6im&#10;w8FX1OKeU6I/W/Q17cgUhCnYTMHOB7VtkVqReYG/3kUkkbmlDgPs2BgnltWN25VW4v/3XPXwR6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Uoj/VAAAACQEAAA8AAAAAAAAAAQAgAAAAIgAAAGRy&#10;cy9kb3ducmV2LnhtbFBLAQIUABQAAAAIAIdO4kBMycrczwEAAJkDAAAOAAAAAAAAAAEAIAAAACQB&#10;AABkcnMvZTJvRG9jLnhtbFBLBQYAAAAABgAGAFkBAABlBQ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r>
      <w:rPr>
        <w:rFonts w:ascii="仿宋" w:hAnsi="仿宋" w:cs="仿宋"/>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cs="仿宋"/>
      </w:rPr>
    </w:pPr>
    <w:r>
      <w:rPr>
        <w:rFonts w:ascii="仿宋" w:hAnsi="仿宋" w:cs="仿宋"/>
      </w:rPr>
      <mc:AlternateContent>
        <mc:Choice Requires="wps">
          <w:drawing>
            <wp:anchor distT="0" distB="0" distL="114300" distR="114300" simplePos="0" relativeHeight="251666432" behindDoc="0" locked="0" layoutInCell="1" allowOverlap="1">
              <wp:simplePos x="0" y="0"/>
              <wp:positionH relativeFrom="margin">
                <wp:posOffset>4227830</wp:posOffset>
              </wp:positionH>
              <wp:positionV relativeFrom="paragraph">
                <wp:posOffset>295275</wp:posOffset>
              </wp:positionV>
              <wp:extent cx="457200" cy="1479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332.9pt;margin-top:23.25pt;height:11.65pt;width:36pt;mso-position-horizontal-relative:margin;mso-wrap-style:none;z-index:251666432;mso-width-relative:page;mso-height-relative:page;" filled="f" stroked="f" coordsize="21600,21600" o:gfxdata="UEsDBAoAAAAAAIdO4kAAAAAAAAAAAAAAAAAEAAAAZHJzL1BLAwQUAAAACACHTuJA7gtfLtYAAAAJ&#10;AQAADwAAAGRycy9kb3ducmV2LnhtbE2PwU7DMBBE70j8g7VI3KhToElI4/RQiQs3CkLi5sbbOGq8&#10;jmw3Tf6e5QTH2RnNvK13sxvEhCH2nhSsVxkIpNabnjoFnx+vDyWImDQZPXhCBQtG2DW3N7WujL/S&#10;O06H1AkuoVhpBTalsZIythadjis/IrF38sHpxDJ00gR95XI3yMcsy6XTPfGC1SPuLbbnw8UpKOYv&#10;j2PEPX6fpjbYfimHt0Wp+7t1tgWRcE5/YfjFZ3RomOnoL2SiGBTk+YbRk4LnfAOCA8VTwYcjOy8l&#10;yKaW/z9ofgBQSwMEFAAAAAgAh07iQLunzWXPAQAAmQMAAA4AAABkcnMvZTJvRG9jLnhtbK1TzY7T&#10;MBC+I/EOlu/U7WrLQtR0BaoWISFAWngA17EbS/6Tx23SF4A34MSFO8/V59ixk3TZ3cseuDiT8eSb&#10;7/tmsrrurSEHGUF7V9PFbE6JdMI32u1q+v3bzas3lEDiruHGO1nTowR6vX75YtWFSl741ptGRoIg&#10;Dqou1LRNKVSMgWil5TDzQTq8VD5anvA17lgTeYfo1rCL+fw163xsQvRCAmB2M1zSETE+B9ArpYXc&#10;eLG30qUBNUrDE0qCVgeg68JWKSnSF6VAJmJqikpTObEJxtt8svWKV7vIQ6vFSIE/h8IjTZZrh03P&#10;UBueONlH/QTKahE9eJVmwls2CCmOoIrF/JE3ty0PsmhBqyGcTYf/Bys+H75GohvchCUljluc+OnX&#10;z9Pvv6c/Pwjm0KAuQIV1twErU//e91g85QGTWXevos1PVETwHu09nu2VfSICk5fLK1wASgReLS6v&#10;3i4LOrv/OERIH6S3JAc1jTi9Yio/fIKERLB0Ksm9nL/RxpQJGvcggYU5wzLzgWGOUr/tRzlb3xxR&#10;TYeDr6nDPafEfHToa96RKYhTsJ2CfYh61yK1ReEF4d0+IYnCLXcYYMfGOLFCedyuvBL/vpeq+z9q&#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C18u1gAAAAkBAAAPAAAAAAAAAAEAIAAAACIAAABk&#10;cnMvZG93bnJldi54bWxQSwECFAAUAAAACACHTuJAu6fNZc8BAACZAwAADgAAAAAAAAABACAAAAAl&#10;AQAAZHJzL2Uyb0RvYy54bWxQSwUGAAAAAAYABgBZAQAAZgU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-53340</wp:posOffset>
              </wp:positionV>
              <wp:extent cx="8903335" cy="698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90333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4.2pt;height:0.55pt;width:701.05pt;z-index:251665408;mso-width-relative:page;mso-height-relative:page;" filled="f" stroked="t" coordsize="21600,21600" o:gfxdata="UEsDBAoAAAAAAIdO4kAAAAAAAAAAAAAAAAAEAAAAZHJzL1BLAwQUAAAACACHTuJAdoH++tMAAAAH&#10;AQAADwAAAGRycy9kb3ducmV2LnhtbE2OO2/CMBSF90r9D9atxILAJqCC0jgMLdlYCq26XuJLEjW+&#10;DrF59dfXmdrxPHTOl61vthUX6n3jWMNsqkAQl840XGn42BeTFQgfkA22jknDnTys88eHDFPjrvxO&#10;l12oRBxhn6KGOoQuldKXNVn0U9cRx+zoeoshyr6SpsdrHLetTJR6lhYbjg81dvRaU/m9O1sNvvik&#10;U/EzLsfqa145Sk5v2w1qPXqaqRcQgW7hrwwDfkSHPDId3JmNF+2gRdAwWS1ADOlCJQmIQ3SWc5B5&#10;Jv/z579QSwMEFAAAAAgAh07iQKSK6cD4AQAA6QMAAA4AAABkcnMvZTJvRG9jLnhtbK1TS44TMRDd&#10;I3EHy3vS+SijTCudWUwYNggiAQeouN3dlvyTy0knl+ACSOxgxZI9t2HmGJTdIQPDJgt64S67np/r&#10;PZeXNwej2V4GVM5WfDIacyatcLWybcU/vL97seAMI9gatLOy4keJ/Gb1/Nmy96Wcus7pWgZGJBbL&#10;3le8i9GXRYGikwZw5Ly0lGxcMBBpGtqiDtATu9HFdDy+KnoXah+ckIi0uh6S/MQYLiF0TaOEXDux&#10;M9LGgTVIDZEkYac88lWutmmkiG+bBmVkuuKkNOaRDqF4m8ZitYSyDeA7JU4lwCUlPNFkQFk69Ey1&#10;hghsF9Q/VEaJ4NA1cSScKQYh2RFSMRk/8eZdB15mLWQ1+rPp+P9oxZv9JjBVUyfMOLNg6MbvP33/&#10;+fHLw4/PNN5/+8ooQzb1HktC39pNOM3Qb0LSfGiCSX9Sww7Z2uPZWnmITNDi4no8m83mnAnKXV0v&#10;5omyeNzrA8ZX0hmWgoprZZNwKGH/GuMA/Q1Jy9qyvuLX82liBOrChm6fQuNJCdo270WnVX2ntE47&#10;MLTbWx3YHlIn5O9Uwl+wdMgasBtwOZVgUHYS6pe2ZvHoySJLT4OnEoysOdOSXlKKMjKC0pcgSb22&#10;ZEIydrAyRVtXH+lGdj6otiMnJrnKlKEOyJadujW12J/zzPT4Q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aB/vrTAAAABwEAAA8AAAAAAAAAAQAgAAAAIgAAAGRycy9kb3ducmV2LnhtbFBLAQIU&#10;ABQAAAAIAIdO4kCkiunA+AEAAOkDAAAOAAAAAAAAAAEAIAAAACIBAABkcnMvZTJvRG9jLnhtbFBL&#10;BQYAAAAABgAGAFkBAACMBQ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1312;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VxlqN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1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cs="仿宋"/>
      </w:rPr>
    </w:pP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2336;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3360;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XGWo1wAAAAo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1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3360;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2336;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hGdweM4BAACXAwAADgAAAGRycy9lMm9Eb2MueG1srVPNjtMw&#10;EL4j8Q6W79Tt7paFqOkKVC1CQoC08ACuYzeW/CeP26QvAG/AiQt3nqvPsWMn6cJy2QMXZzKefPN9&#10;30xWN7015CAjaO9qupjNKZFO+Ea7XU2/frl98YoSSNw13Hgna3qUQG/Wz5+tulDJC99608hIEMRB&#10;1YWatimFijEQrbQcZj5Ih5fKR8sTvsYdayLvEN0adjGfv2Sdj02IXkgAzG6GSzoixqcAeqW0kBsv&#10;9la6NKBGaXhCSdDqAHRd2ColRfqkFMhETE1RaSonNsF4m0+2XvFqF3lotRgp8KdQeKTJcu2w6Rlq&#10;wxMn+6j/gbJaRA9epZnwlg1CiiOoYjF/5M1dy4MsWtBqCGfT4f/Bio+Hz5HopqaXlDhuceCnH99P&#10;P3+ffn0jl9meLkCFVXcB61L/1ve4NFMeMJlV9yra/EQ9BO/R3OPZXNknIjB5tbzG8VMi8Gpxdf16&#10;ucwo7OHjECG9k96SHNQ04uyKpfzwAdJQOpXkXs7famPK/Iz7K4GYOcMy84FhjlK/7Uc5W98cUU2H&#10;Y6+pwy2nxLx36GrekCmIU7Cdgn2IetcitUXhBeHNPiGJwi13GGDHxjivom7crbwQf76Xqof/a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SiP9UAAAAJAQAADwAAAAAAAAABACAAAAAiAAAAZHJz&#10;L2Rvd25yZXYueG1sUEsBAhQAFAAAAAgAh07iQIRncHjOAQAAlwMAAA4AAAAAAAAAAQAgAAAAJAEA&#10;AGRycy9lMm9Eb2MueG1sUEsFBgAAAAAGAAYAWQEAAGQFA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keepNext w:val="0"/>
      <w:keepLines w:val="0"/>
      <w:pageBreakBefore w:val="0"/>
      <w:widowControl/>
      <w:kinsoku/>
      <w:wordWrap/>
      <w:overflowPunct/>
      <w:topLinePunct w:val="0"/>
      <w:autoSpaceDE/>
      <w:autoSpaceDN/>
      <w:bidi w:val="0"/>
      <w:snapToGrid/>
      <w:spacing w:before="0" w:after="0" w:line="360" w:lineRule="auto"/>
      <w:ind w:firstLine="0"/>
      <w:jc w:val="center"/>
      <w:textAlignment w:val="auto"/>
      <w:rPr>
        <w:rFonts w:hint="default"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渭南市人民检察院办案区（北区）中央空调采购项目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项目编号：XHLJZC-WN2023-</w:t>
    </w:r>
    <w:r>
      <w:rPr>
        <w:rFonts w:hint="eastAsia" w:ascii="仿宋" w:hAnsi="仿宋" w:eastAsia="仿宋" w:cs="仿宋"/>
        <w:sz w:val="18"/>
        <w:szCs w:val="18"/>
        <w:u w:val="single"/>
        <w:lang w:val="en-US" w:eastAsia="zh-CN"/>
      </w:rPr>
      <w:t>121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渭南市人民检察院办案区（北区）中央空调采购项目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项目编号：XHLJZC-WN2023-</w:t>
    </w:r>
    <w:r>
      <w:rPr>
        <w:rFonts w:hint="eastAsia" w:ascii="仿宋" w:hAnsi="仿宋" w:eastAsia="仿宋" w:cs="仿宋"/>
        <w:sz w:val="18"/>
        <w:szCs w:val="18"/>
        <w:u w:val="single"/>
        <w:lang w:val="en-US" w:eastAsia="zh-CN"/>
      </w:rPr>
      <w:t>121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渭南市人民检察院办案区（北区）中央空调采购项目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项目编号：XHLJZC-WN2023-</w:t>
    </w:r>
    <w:r>
      <w:rPr>
        <w:rFonts w:hint="eastAsia" w:ascii="仿宋" w:hAnsi="仿宋" w:eastAsia="仿宋" w:cs="仿宋"/>
        <w:sz w:val="18"/>
        <w:szCs w:val="18"/>
        <w:u w:val="single"/>
        <w:lang w:val="en-US" w:eastAsia="zh-CN"/>
      </w:rPr>
      <w:t>121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渭南市人民检察院办案区（北区）中央空调采购项目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项目编号：XHLJZC-WN2023-</w:t>
    </w:r>
    <w:r>
      <w:rPr>
        <w:rFonts w:hint="eastAsia" w:ascii="仿宋" w:hAnsi="仿宋" w:eastAsia="仿宋" w:cs="仿宋"/>
        <w:sz w:val="18"/>
        <w:szCs w:val="18"/>
        <w:u w:val="single"/>
        <w:lang w:val="en-US" w:eastAsia="zh-CN"/>
      </w:rPr>
      <w:t>121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渭南市人民检察院办案区（北区）中央空调采购项目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项目编号：XHLJZC-WN2023-</w:t>
    </w:r>
    <w:r>
      <w:rPr>
        <w:rFonts w:hint="eastAsia" w:ascii="仿宋" w:hAnsi="仿宋" w:eastAsia="仿宋" w:cs="仿宋"/>
        <w:sz w:val="18"/>
        <w:szCs w:val="18"/>
        <w:u w:val="single"/>
        <w:lang w:val="en-US" w:eastAsia="zh-CN"/>
      </w:rPr>
      <w:t>121</w:t>
    </w:r>
  </w:p>
  <w:p>
    <w:pPr>
      <w:pStyle w:val="1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CDE5E"/>
    <w:multiLevelType w:val="singleLevel"/>
    <w:tmpl w:val="B94CDE5E"/>
    <w:lvl w:ilvl="0" w:tentative="0">
      <w:start w:val="9"/>
      <w:numFmt w:val="decimal"/>
      <w:suff w:val="nothing"/>
      <w:lvlText w:val="%1、"/>
      <w:lvlJc w:val="left"/>
    </w:lvl>
  </w:abstractNum>
  <w:abstractNum w:abstractNumId="1">
    <w:nsid w:val="DFC74EC8"/>
    <w:multiLevelType w:val="singleLevel"/>
    <w:tmpl w:val="DFC74EC8"/>
    <w:lvl w:ilvl="0" w:tentative="0">
      <w:start w:val="1"/>
      <w:numFmt w:val="decimal"/>
      <w:suff w:val="nothing"/>
      <w:lvlText w:val="%1、"/>
      <w:lvlJc w:val="left"/>
      <w:pPr>
        <w:ind w:left="68"/>
      </w:pPr>
    </w:lvl>
  </w:abstractNum>
  <w:abstractNum w:abstractNumId="2">
    <w:nsid w:val="E8AA69F8"/>
    <w:multiLevelType w:val="singleLevel"/>
    <w:tmpl w:val="E8AA69F8"/>
    <w:lvl w:ilvl="0" w:tentative="0">
      <w:start w:val="1"/>
      <w:numFmt w:val="decimal"/>
      <w:suff w:val="nothing"/>
      <w:lvlText w:val="%1、"/>
      <w:lvlJc w:val="left"/>
    </w:lvl>
  </w:abstractNum>
  <w:abstractNum w:abstractNumId="3">
    <w:nsid w:val="F701290B"/>
    <w:multiLevelType w:val="singleLevel"/>
    <w:tmpl w:val="F701290B"/>
    <w:lvl w:ilvl="0" w:tentative="0">
      <w:start w:val="1"/>
      <w:numFmt w:val="bullet"/>
      <w:pStyle w:val="8"/>
      <w:lvlText w:val=""/>
      <w:lvlJc w:val="left"/>
      <w:pPr>
        <w:tabs>
          <w:tab w:val="left" w:pos="360"/>
        </w:tabs>
        <w:ind w:left="360" w:hanging="360"/>
      </w:pPr>
      <w:rPr>
        <w:rFonts w:hint="default" w:ascii="Wingdings" w:hAnsi="Wingdings"/>
      </w:rPr>
    </w:lvl>
  </w:abstractNum>
  <w:abstractNum w:abstractNumId="4">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6"/>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5">
    <w:nsid w:val="40A312F8"/>
    <w:multiLevelType w:val="multilevel"/>
    <w:tmpl w:val="40A312F8"/>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pStyle w:val="3"/>
      <w:lvlText w:val="%2."/>
      <w:lvlJc w:val="left"/>
      <w:pPr>
        <w:ind w:left="575" w:hanging="575"/>
      </w:pPr>
      <w:rPr>
        <w:rFonts w:hint="eastAsia" w:ascii="宋体" w:hAnsi="宋体" w:eastAsia="宋体" w:cs="宋体"/>
      </w:rPr>
    </w:lvl>
    <w:lvl w:ilvl="2" w:tentative="0">
      <w:start w:val="1"/>
      <w:numFmt w:val="decimal"/>
      <w:pStyle w:val="4"/>
      <w:lvlText w:val="%2.%3."/>
      <w:lvlJc w:val="left"/>
      <w:pPr>
        <w:ind w:left="800" w:hanging="720"/>
      </w:pPr>
      <w:rPr>
        <w:rFonts w:hint="eastAsia" w:ascii="宋体" w:hAnsi="宋体" w:eastAsia="宋体" w:cs="宋体"/>
      </w:rPr>
    </w:lvl>
    <w:lvl w:ilvl="3" w:tentative="0">
      <w:start w:val="1"/>
      <w:numFmt w:val="decimal"/>
      <w:lvlText w:val="%2.%3.%4."/>
      <w:lvlJc w:val="left"/>
      <w:pPr>
        <w:ind w:left="862" w:hanging="864"/>
      </w:pPr>
      <w:rPr>
        <w:rFonts w:hint="eastAsia" w:ascii="宋体" w:hAnsi="宋体" w:eastAsia="宋体" w:cs="宋体"/>
      </w:rPr>
    </w:lvl>
    <w:lvl w:ilvl="4" w:tentative="0">
      <w:start w:val="1"/>
      <w:numFmt w:val="decimal"/>
      <w:lvlText w:val="%2.%3.%4.%5."/>
      <w:lvlJc w:val="left"/>
      <w:pPr>
        <w:ind w:left="1008" w:hanging="1008"/>
      </w:pPr>
      <w:rPr>
        <w:rFonts w:hint="eastAsia" w:ascii="宋体" w:hAnsi="宋体" w:eastAsia="宋体" w:cs="宋体"/>
      </w:rPr>
    </w:lvl>
    <w:lvl w:ilvl="5" w:tentative="0">
      <w:start w:val="1"/>
      <w:numFmt w:val="decimal"/>
      <w:lvlText w:val="%2.%3.%4.%5.%6."/>
      <w:lvlJc w:val="left"/>
      <w:pPr>
        <w:ind w:left="1151" w:hanging="1151"/>
      </w:pPr>
      <w:rPr>
        <w:rFonts w:hint="eastAsia" w:ascii="宋体" w:hAnsi="宋体" w:eastAsia="宋体" w:cs="宋体"/>
      </w:rPr>
    </w:lvl>
    <w:lvl w:ilvl="6" w:tentative="0">
      <w:start w:val="1"/>
      <w:numFmt w:val="decimal"/>
      <w:lvlText w:val="%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45284EC1"/>
    <w:multiLevelType w:val="singleLevel"/>
    <w:tmpl w:val="45284EC1"/>
    <w:lvl w:ilvl="0" w:tentative="0">
      <w:start w:val="1"/>
      <w:numFmt w:val="chineseCounting"/>
      <w:suff w:val="nothing"/>
      <w:lvlText w:val="%1、"/>
      <w:lvlJc w:val="left"/>
      <w:rPr>
        <w:rFonts w:hint="eastAsia"/>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2"/>
      <w:isLgl/>
      <w:lvlText w:val="%1.%2"/>
      <w:lvlJc w:val="left"/>
      <w:pPr>
        <w:tabs>
          <w:tab w:val="left" w:pos="851"/>
        </w:tabs>
        <w:ind w:left="0" w:firstLine="0"/>
      </w:pPr>
    </w:lvl>
    <w:lvl w:ilvl="2" w:tentative="0">
      <w:start w:val="1"/>
      <w:numFmt w:val="decimal"/>
      <w:pStyle w:val="63"/>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5"/>
  </w:num>
  <w:num w:numId="2">
    <w:abstractNumId w:val="4"/>
  </w:num>
  <w:num w:numId="3">
    <w:abstractNumId w:val="3"/>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MDU4MGNkNGE2ZmRhZTFmMTRiNzBkNzQ4MGU0OGQifQ=="/>
  </w:docVars>
  <w:rsids>
    <w:rsidRoot w:val="33AC38C4"/>
    <w:rsid w:val="00125861"/>
    <w:rsid w:val="00177A77"/>
    <w:rsid w:val="002A00D3"/>
    <w:rsid w:val="00305807"/>
    <w:rsid w:val="00356A16"/>
    <w:rsid w:val="003F1F6D"/>
    <w:rsid w:val="00A30AAE"/>
    <w:rsid w:val="00D05FF6"/>
    <w:rsid w:val="00D17E27"/>
    <w:rsid w:val="016775C2"/>
    <w:rsid w:val="01C031A2"/>
    <w:rsid w:val="01D32DCE"/>
    <w:rsid w:val="02125666"/>
    <w:rsid w:val="021D3BB1"/>
    <w:rsid w:val="02C170CB"/>
    <w:rsid w:val="02CF7A3A"/>
    <w:rsid w:val="030E077B"/>
    <w:rsid w:val="03326067"/>
    <w:rsid w:val="037A095A"/>
    <w:rsid w:val="03895AEB"/>
    <w:rsid w:val="038D6E90"/>
    <w:rsid w:val="03B15486"/>
    <w:rsid w:val="03CA45C3"/>
    <w:rsid w:val="03E0629E"/>
    <w:rsid w:val="04364B0E"/>
    <w:rsid w:val="046F5689"/>
    <w:rsid w:val="047C5B7F"/>
    <w:rsid w:val="049E0E2B"/>
    <w:rsid w:val="04C17856"/>
    <w:rsid w:val="04C62F3B"/>
    <w:rsid w:val="04CE504D"/>
    <w:rsid w:val="04D052A8"/>
    <w:rsid w:val="04D07A99"/>
    <w:rsid w:val="050044AB"/>
    <w:rsid w:val="05B514BE"/>
    <w:rsid w:val="06171836"/>
    <w:rsid w:val="06333633"/>
    <w:rsid w:val="0641082C"/>
    <w:rsid w:val="06832FA6"/>
    <w:rsid w:val="069A0A43"/>
    <w:rsid w:val="06E12F07"/>
    <w:rsid w:val="06E423FD"/>
    <w:rsid w:val="06E720CD"/>
    <w:rsid w:val="06FF117C"/>
    <w:rsid w:val="074845D4"/>
    <w:rsid w:val="075C5614"/>
    <w:rsid w:val="078D0A46"/>
    <w:rsid w:val="07AF47BC"/>
    <w:rsid w:val="07FA6991"/>
    <w:rsid w:val="080C0DE8"/>
    <w:rsid w:val="082822EA"/>
    <w:rsid w:val="082F264E"/>
    <w:rsid w:val="083926E5"/>
    <w:rsid w:val="083A0B3E"/>
    <w:rsid w:val="08435176"/>
    <w:rsid w:val="08857482"/>
    <w:rsid w:val="08A75568"/>
    <w:rsid w:val="08B53E4F"/>
    <w:rsid w:val="08B551C5"/>
    <w:rsid w:val="08D54A99"/>
    <w:rsid w:val="090B4355"/>
    <w:rsid w:val="09675249"/>
    <w:rsid w:val="09CE6635"/>
    <w:rsid w:val="09EB05FC"/>
    <w:rsid w:val="0A4555E4"/>
    <w:rsid w:val="0A573F70"/>
    <w:rsid w:val="0AC84FF5"/>
    <w:rsid w:val="0AE20644"/>
    <w:rsid w:val="0B997ABD"/>
    <w:rsid w:val="0BC33EB3"/>
    <w:rsid w:val="0BE605C9"/>
    <w:rsid w:val="0BEF517C"/>
    <w:rsid w:val="0C19404B"/>
    <w:rsid w:val="0C1A3FB2"/>
    <w:rsid w:val="0C210B2D"/>
    <w:rsid w:val="0C6A5094"/>
    <w:rsid w:val="0C6F6D18"/>
    <w:rsid w:val="0C7B0574"/>
    <w:rsid w:val="0C7B131D"/>
    <w:rsid w:val="0CAA5073"/>
    <w:rsid w:val="0CC37F8B"/>
    <w:rsid w:val="0CD13905"/>
    <w:rsid w:val="0CE67188"/>
    <w:rsid w:val="0D0758FB"/>
    <w:rsid w:val="0D693ECA"/>
    <w:rsid w:val="0D707DB3"/>
    <w:rsid w:val="0D797BC8"/>
    <w:rsid w:val="0D98030B"/>
    <w:rsid w:val="0DA20D97"/>
    <w:rsid w:val="0DA60ECE"/>
    <w:rsid w:val="0DAD0977"/>
    <w:rsid w:val="0DCF2C5E"/>
    <w:rsid w:val="0DD92C16"/>
    <w:rsid w:val="0E004658"/>
    <w:rsid w:val="0F104295"/>
    <w:rsid w:val="0F404305"/>
    <w:rsid w:val="0F5A7624"/>
    <w:rsid w:val="0F652C69"/>
    <w:rsid w:val="0FC41115"/>
    <w:rsid w:val="0FFA2A12"/>
    <w:rsid w:val="10195214"/>
    <w:rsid w:val="102F5835"/>
    <w:rsid w:val="103C6344"/>
    <w:rsid w:val="103D6409"/>
    <w:rsid w:val="105E790B"/>
    <w:rsid w:val="108B10B0"/>
    <w:rsid w:val="10B714E3"/>
    <w:rsid w:val="10D06E87"/>
    <w:rsid w:val="117E0F7D"/>
    <w:rsid w:val="11B31BB8"/>
    <w:rsid w:val="11BF1C0B"/>
    <w:rsid w:val="11D7042A"/>
    <w:rsid w:val="11EA6418"/>
    <w:rsid w:val="11FF222F"/>
    <w:rsid w:val="1256784C"/>
    <w:rsid w:val="126D2A4F"/>
    <w:rsid w:val="12747D73"/>
    <w:rsid w:val="12861559"/>
    <w:rsid w:val="12965A4B"/>
    <w:rsid w:val="129B58F9"/>
    <w:rsid w:val="12B75F6D"/>
    <w:rsid w:val="12D45DCF"/>
    <w:rsid w:val="12DF61CE"/>
    <w:rsid w:val="12ED1816"/>
    <w:rsid w:val="13022C38"/>
    <w:rsid w:val="13412693"/>
    <w:rsid w:val="13670C33"/>
    <w:rsid w:val="13AB5CA8"/>
    <w:rsid w:val="14081E2D"/>
    <w:rsid w:val="148F405C"/>
    <w:rsid w:val="14AD4931"/>
    <w:rsid w:val="14FB46BE"/>
    <w:rsid w:val="15225472"/>
    <w:rsid w:val="153674A4"/>
    <w:rsid w:val="156D60D7"/>
    <w:rsid w:val="15797624"/>
    <w:rsid w:val="157A515D"/>
    <w:rsid w:val="15B92641"/>
    <w:rsid w:val="16465EFC"/>
    <w:rsid w:val="164715FF"/>
    <w:rsid w:val="16A42720"/>
    <w:rsid w:val="172F064F"/>
    <w:rsid w:val="178C7F6A"/>
    <w:rsid w:val="178E63E4"/>
    <w:rsid w:val="17B11C21"/>
    <w:rsid w:val="18063E8D"/>
    <w:rsid w:val="18161EDA"/>
    <w:rsid w:val="185B1FE2"/>
    <w:rsid w:val="18722EE9"/>
    <w:rsid w:val="18821758"/>
    <w:rsid w:val="189B2498"/>
    <w:rsid w:val="18B76B4E"/>
    <w:rsid w:val="18E66411"/>
    <w:rsid w:val="192A099B"/>
    <w:rsid w:val="192F5A09"/>
    <w:rsid w:val="19377D46"/>
    <w:rsid w:val="19390DD6"/>
    <w:rsid w:val="195833A8"/>
    <w:rsid w:val="19DD0D97"/>
    <w:rsid w:val="19FE3922"/>
    <w:rsid w:val="1AD42CA8"/>
    <w:rsid w:val="1AE1170F"/>
    <w:rsid w:val="1AF328E2"/>
    <w:rsid w:val="1AF3324A"/>
    <w:rsid w:val="1AF52A73"/>
    <w:rsid w:val="1B2823B3"/>
    <w:rsid w:val="1B4C6E45"/>
    <w:rsid w:val="1BA82DA5"/>
    <w:rsid w:val="1BE774DC"/>
    <w:rsid w:val="1C0D58A7"/>
    <w:rsid w:val="1C161137"/>
    <w:rsid w:val="1C4346E1"/>
    <w:rsid w:val="1C8A5169"/>
    <w:rsid w:val="1CAD43F5"/>
    <w:rsid w:val="1CBD245A"/>
    <w:rsid w:val="1CD026E5"/>
    <w:rsid w:val="1D607FF8"/>
    <w:rsid w:val="1D894463"/>
    <w:rsid w:val="1DAE63EC"/>
    <w:rsid w:val="1DE725CD"/>
    <w:rsid w:val="1E50465B"/>
    <w:rsid w:val="1E5B4B8E"/>
    <w:rsid w:val="1EB124AC"/>
    <w:rsid w:val="1EC024D4"/>
    <w:rsid w:val="1ED8781E"/>
    <w:rsid w:val="1F022AED"/>
    <w:rsid w:val="1F27545C"/>
    <w:rsid w:val="1F6054B8"/>
    <w:rsid w:val="1F800B2C"/>
    <w:rsid w:val="1FD20E64"/>
    <w:rsid w:val="20051926"/>
    <w:rsid w:val="20120B0E"/>
    <w:rsid w:val="20516960"/>
    <w:rsid w:val="20AC7F05"/>
    <w:rsid w:val="20B449AA"/>
    <w:rsid w:val="20FB1D7B"/>
    <w:rsid w:val="21123BCD"/>
    <w:rsid w:val="211516EB"/>
    <w:rsid w:val="21380D2B"/>
    <w:rsid w:val="21661111"/>
    <w:rsid w:val="21804DB8"/>
    <w:rsid w:val="21CB366A"/>
    <w:rsid w:val="21CD3DC1"/>
    <w:rsid w:val="22386EB8"/>
    <w:rsid w:val="225676E8"/>
    <w:rsid w:val="22A664AE"/>
    <w:rsid w:val="22D96755"/>
    <w:rsid w:val="22F02194"/>
    <w:rsid w:val="233A5D99"/>
    <w:rsid w:val="23BE00B4"/>
    <w:rsid w:val="23C65C05"/>
    <w:rsid w:val="23CB1530"/>
    <w:rsid w:val="241857A2"/>
    <w:rsid w:val="24186728"/>
    <w:rsid w:val="24391FCC"/>
    <w:rsid w:val="243A09BA"/>
    <w:rsid w:val="245C416B"/>
    <w:rsid w:val="24665464"/>
    <w:rsid w:val="248A652F"/>
    <w:rsid w:val="24A4303F"/>
    <w:rsid w:val="24A85F4F"/>
    <w:rsid w:val="25244A61"/>
    <w:rsid w:val="259B2DFF"/>
    <w:rsid w:val="25DC4787"/>
    <w:rsid w:val="261C2345"/>
    <w:rsid w:val="263673B2"/>
    <w:rsid w:val="26475F42"/>
    <w:rsid w:val="264C5FA4"/>
    <w:rsid w:val="264F2CFF"/>
    <w:rsid w:val="268B0DAE"/>
    <w:rsid w:val="26A02BC0"/>
    <w:rsid w:val="26F95449"/>
    <w:rsid w:val="276F005E"/>
    <w:rsid w:val="2799560A"/>
    <w:rsid w:val="286208D7"/>
    <w:rsid w:val="286A6ED2"/>
    <w:rsid w:val="28757F59"/>
    <w:rsid w:val="29080D00"/>
    <w:rsid w:val="290D0804"/>
    <w:rsid w:val="29236F71"/>
    <w:rsid w:val="29343186"/>
    <w:rsid w:val="29C553E2"/>
    <w:rsid w:val="29E637CA"/>
    <w:rsid w:val="2A03190E"/>
    <w:rsid w:val="2A853B8B"/>
    <w:rsid w:val="2A8C2A8A"/>
    <w:rsid w:val="2A8E16D9"/>
    <w:rsid w:val="2AB91A60"/>
    <w:rsid w:val="2AC1125F"/>
    <w:rsid w:val="2AD748CF"/>
    <w:rsid w:val="2AE02402"/>
    <w:rsid w:val="2AE850A9"/>
    <w:rsid w:val="2B144BD4"/>
    <w:rsid w:val="2B17490F"/>
    <w:rsid w:val="2B7B0336"/>
    <w:rsid w:val="2BAE1743"/>
    <w:rsid w:val="2BD355F5"/>
    <w:rsid w:val="2C1A76C8"/>
    <w:rsid w:val="2C326C88"/>
    <w:rsid w:val="2C4C0E86"/>
    <w:rsid w:val="2C725028"/>
    <w:rsid w:val="2C864C64"/>
    <w:rsid w:val="2C8E0F3F"/>
    <w:rsid w:val="2C973F8A"/>
    <w:rsid w:val="2CB52F4D"/>
    <w:rsid w:val="2CFD76BC"/>
    <w:rsid w:val="2D006ED4"/>
    <w:rsid w:val="2D3C68B7"/>
    <w:rsid w:val="2D445CBE"/>
    <w:rsid w:val="2D9E60D7"/>
    <w:rsid w:val="2DDE64D3"/>
    <w:rsid w:val="2E0D2351"/>
    <w:rsid w:val="2E5346AA"/>
    <w:rsid w:val="2E6B5FB9"/>
    <w:rsid w:val="2EBF0997"/>
    <w:rsid w:val="2F375C5E"/>
    <w:rsid w:val="2F3D6450"/>
    <w:rsid w:val="2F3E6E42"/>
    <w:rsid w:val="2F66122A"/>
    <w:rsid w:val="2F78470D"/>
    <w:rsid w:val="2F9F3CF3"/>
    <w:rsid w:val="2FD83198"/>
    <w:rsid w:val="2FE6203B"/>
    <w:rsid w:val="2FEB069A"/>
    <w:rsid w:val="2FF275D2"/>
    <w:rsid w:val="302D6332"/>
    <w:rsid w:val="303D1AEB"/>
    <w:rsid w:val="30502980"/>
    <w:rsid w:val="30A17D94"/>
    <w:rsid w:val="30B579BF"/>
    <w:rsid w:val="30F05D12"/>
    <w:rsid w:val="30FE0FDD"/>
    <w:rsid w:val="30FF49EA"/>
    <w:rsid w:val="31191854"/>
    <w:rsid w:val="317A2AC0"/>
    <w:rsid w:val="3185533B"/>
    <w:rsid w:val="320100F1"/>
    <w:rsid w:val="321B1917"/>
    <w:rsid w:val="32952294"/>
    <w:rsid w:val="32B657F8"/>
    <w:rsid w:val="32DE11F7"/>
    <w:rsid w:val="33247082"/>
    <w:rsid w:val="336A6FAF"/>
    <w:rsid w:val="33775400"/>
    <w:rsid w:val="33AC38C4"/>
    <w:rsid w:val="33B57CD6"/>
    <w:rsid w:val="33C40F21"/>
    <w:rsid w:val="33E51D62"/>
    <w:rsid w:val="341944A9"/>
    <w:rsid w:val="345D61A1"/>
    <w:rsid w:val="345D63A4"/>
    <w:rsid w:val="350B42B9"/>
    <w:rsid w:val="35103416"/>
    <w:rsid w:val="352B6A18"/>
    <w:rsid w:val="355A21C6"/>
    <w:rsid w:val="361909F0"/>
    <w:rsid w:val="36191901"/>
    <w:rsid w:val="36203BF5"/>
    <w:rsid w:val="36255C44"/>
    <w:rsid w:val="36285FDD"/>
    <w:rsid w:val="36382F77"/>
    <w:rsid w:val="366C6F37"/>
    <w:rsid w:val="36D3009B"/>
    <w:rsid w:val="36EA6E66"/>
    <w:rsid w:val="37656976"/>
    <w:rsid w:val="377B3BDF"/>
    <w:rsid w:val="379C71E3"/>
    <w:rsid w:val="37B75FCB"/>
    <w:rsid w:val="380F07E5"/>
    <w:rsid w:val="384321A7"/>
    <w:rsid w:val="389F0D88"/>
    <w:rsid w:val="38A66030"/>
    <w:rsid w:val="38FF472E"/>
    <w:rsid w:val="3942200C"/>
    <w:rsid w:val="39567866"/>
    <w:rsid w:val="39696C18"/>
    <w:rsid w:val="39706B79"/>
    <w:rsid w:val="3972255F"/>
    <w:rsid w:val="39961511"/>
    <w:rsid w:val="39FE7232"/>
    <w:rsid w:val="3A167A64"/>
    <w:rsid w:val="3A1C285D"/>
    <w:rsid w:val="3A383F90"/>
    <w:rsid w:val="3AA233B0"/>
    <w:rsid w:val="3AC726B8"/>
    <w:rsid w:val="3AE30638"/>
    <w:rsid w:val="3AE60359"/>
    <w:rsid w:val="3B2918C2"/>
    <w:rsid w:val="3B464036"/>
    <w:rsid w:val="3B8530B5"/>
    <w:rsid w:val="3BC22A08"/>
    <w:rsid w:val="3BD648D2"/>
    <w:rsid w:val="3C125738"/>
    <w:rsid w:val="3C21415B"/>
    <w:rsid w:val="3C281A27"/>
    <w:rsid w:val="3C3A0550"/>
    <w:rsid w:val="3C8A7392"/>
    <w:rsid w:val="3CBD429C"/>
    <w:rsid w:val="3D2C23B6"/>
    <w:rsid w:val="3D8A6036"/>
    <w:rsid w:val="3DBE7E92"/>
    <w:rsid w:val="3DCB380D"/>
    <w:rsid w:val="3DCC58DF"/>
    <w:rsid w:val="3DCE22E0"/>
    <w:rsid w:val="3E49086C"/>
    <w:rsid w:val="3EE377F9"/>
    <w:rsid w:val="3F0B2310"/>
    <w:rsid w:val="3F5D7BA0"/>
    <w:rsid w:val="3F7352B7"/>
    <w:rsid w:val="3F963307"/>
    <w:rsid w:val="3FED42B6"/>
    <w:rsid w:val="401C0BE4"/>
    <w:rsid w:val="406B603B"/>
    <w:rsid w:val="407C4D82"/>
    <w:rsid w:val="40816CD3"/>
    <w:rsid w:val="408D2CE0"/>
    <w:rsid w:val="40A94E35"/>
    <w:rsid w:val="40E702D3"/>
    <w:rsid w:val="40F47DD2"/>
    <w:rsid w:val="413D2FBF"/>
    <w:rsid w:val="41500F3C"/>
    <w:rsid w:val="41730511"/>
    <w:rsid w:val="41CE7927"/>
    <w:rsid w:val="42175DE6"/>
    <w:rsid w:val="42192CE3"/>
    <w:rsid w:val="42197AF1"/>
    <w:rsid w:val="42294680"/>
    <w:rsid w:val="42504AB8"/>
    <w:rsid w:val="4254669C"/>
    <w:rsid w:val="42B0369E"/>
    <w:rsid w:val="430A7413"/>
    <w:rsid w:val="43173315"/>
    <w:rsid w:val="434626F9"/>
    <w:rsid w:val="43635059"/>
    <w:rsid w:val="43EC18AA"/>
    <w:rsid w:val="43EE5D8E"/>
    <w:rsid w:val="441D629E"/>
    <w:rsid w:val="44315157"/>
    <w:rsid w:val="443835DA"/>
    <w:rsid w:val="44420495"/>
    <w:rsid w:val="44972AB2"/>
    <w:rsid w:val="44E110EC"/>
    <w:rsid w:val="451F1AC5"/>
    <w:rsid w:val="458324DC"/>
    <w:rsid w:val="458A7B18"/>
    <w:rsid w:val="45A879D2"/>
    <w:rsid w:val="46036683"/>
    <w:rsid w:val="46695C48"/>
    <w:rsid w:val="46972647"/>
    <w:rsid w:val="469A6FE4"/>
    <w:rsid w:val="46C344C2"/>
    <w:rsid w:val="46DE7DD9"/>
    <w:rsid w:val="479F3B90"/>
    <w:rsid w:val="47B37D20"/>
    <w:rsid w:val="47C02A7A"/>
    <w:rsid w:val="47D06A35"/>
    <w:rsid w:val="48527724"/>
    <w:rsid w:val="48917A25"/>
    <w:rsid w:val="48A73A31"/>
    <w:rsid w:val="48AB5C8A"/>
    <w:rsid w:val="48FE35AC"/>
    <w:rsid w:val="491311E3"/>
    <w:rsid w:val="492E4B02"/>
    <w:rsid w:val="494E3998"/>
    <w:rsid w:val="495A59A0"/>
    <w:rsid w:val="49695B1C"/>
    <w:rsid w:val="49B44FD0"/>
    <w:rsid w:val="4A4D3308"/>
    <w:rsid w:val="4A781DF1"/>
    <w:rsid w:val="4A8D192B"/>
    <w:rsid w:val="4A9A20BA"/>
    <w:rsid w:val="4AFA296E"/>
    <w:rsid w:val="4B4B7D18"/>
    <w:rsid w:val="4B656869"/>
    <w:rsid w:val="4B7440C2"/>
    <w:rsid w:val="4B8B5559"/>
    <w:rsid w:val="4BBF1C15"/>
    <w:rsid w:val="4BE71B31"/>
    <w:rsid w:val="4BF13283"/>
    <w:rsid w:val="4C10363E"/>
    <w:rsid w:val="4C2655CA"/>
    <w:rsid w:val="4C2A466B"/>
    <w:rsid w:val="4C2B6930"/>
    <w:rsid w:val="4CB80080"/>
    <w:rsid w:val="4CCA52F1"/>
    <w:rsid w:val="4CD96F48"/>
    <w:rsid w:val="4CF055EE"/>
    <w:rsid w:val="4CF45063"/>
    <w:rsid w:val="4D1214E6"/>
    <w:rsid w:val="4D6B7310"/>
    <w:rsid w:val="4D863560"/>
    <w:rsid w:val="4D924CCF"/>
    <w:rsid w:val="4D9D2EC2"/>
    <w:rsid w:val="4DA11DD8"/>
    <w:rsid w:val="4DAD7DED"/>
    <w:rsid w:val="4DDF2D40"/>
    <w:rsid w:val="4E0C4693"/>
    <w:rsid w:val="4E11227A"/>
    <w:rsid w:val="4E141781"/>
    <w:rsid w:val="4E353A96"/>
    <w:rsid w:val="4E6F45A6"/>
    <w:rsid w:val="4EE3431C"/>
    <w:rsid w:val="4EF7365C"/>
    <w:rsid w:val="4F2A03A3"/>
    <w:rsid w:val="4F9F29BD"/>
    <w:rsid w:val="4FC6772C"/>
    <w:rsid w:val="4FCF54F6"/>
    <w:rsid w:val="502D6AE4"/>
    <w:rsid w:val="50A65E90"/>
    <w:rsid w:val="50CD548F"/>
    <w:rsid w:val="50D51569"/>
    <w:rsid w:val="512D2052"/>
    <w:rsid w:val="51477D68"/>
    <w:rsid w:val="517C4963"/>
    <w:rsid w:val="51A11B6E"/>
    <w:rsid w:val="51DA4902"/>
    <w:rsid w:val="51FF1C32"/>
    <w:rsid w:val="520C1704"/>
    <w:rsid w:val="520F5A57"/>
    <w:rsid w:val="52805540"/>
    <w:rsid w:val="5284715E"/>
    <w:rsid w:val="52BE224F"/>
    <w:rsid w:val="52CF1307"/>
    <w:rsid w:val="52D77C43"/>
    <w:rsid w:val="52D82ACF"/>
    <w:rsid w:val="5304612E"/>
    <w:rsid w:val="531347D3"/>
    <w:rsid w:val="53146793"/>
    <w:rsid w:val="532F3584"/>
    <w:rsid w:val="53483599"/>
    <w:rsid w:val="53537745"/>
    <w:rsid w:val="53B22829"/>
    <w:rsid w:val="541E1A5F"/>
    <w:rsid w:val="543F0CB3"/>
    <w:rsid w:val="545F361A"/>
    <w:rsid w:val="54777795"/>
    <w:rsid w:val="54A22597"/>
    <w:rsid w:val="54CB2162"/>
    <w:rsid w:val="54E112D4"/>
    <w:rsid w:val="55260101"/>
    <w:rsid w:val="55AC1D61"/>
    <w:rsid w:val="564776D2"/>
    <w:rsid w:val="564D747D"/>
    <w:rsid w:val="56A45CFA"/>
    <w:rsid w:val="56AA6EF5"/>
    <w:rsid w:val="57372FBE"/>
    <w:rsid w:val="574D4685"/>
    <w:rsid w:val="57B32A0E"/>
    <w:rsid w:val="57D7497F"/>
    <w:rsid w:val="57DF0403"/>
    <w:rsid w:val="57E53AE8"/>
    <w:rsid w:val="57EE710F"/>
    <w:rsid w:val="58526DEF"/>
    <w:rsid w:val="58934F0F"/>
    <w:rsid w:val="589D2963"/>
    <w:rsid w:val="58AC28C3"/>
    <w:rsid w:val="58B30533"/>
    <w:rsid w:val="58E722DE"/>
    <w:rsid w:val="58FC29ED"/>
    <w:rsid w:val="59D40B47"/>
    <w:rsid w:val="59E06FAB"/>
    <w:rsid w:val="59EE244B"/>
    <w:rsid w:val="59F22AD8"/>
    <w:rsid w:val="5A12004C"/>
    <w:rsid w:val="5A2B266A"/>
    <w:rsid w:val="5A4C4641"/>
    <w:rsid w:val="5A543D99"/>
    <w:rsid w:val="5A6058D2"/>
    <w:rsid w:val="5AEE2378"/>
    <w:rsid w:val="5AFA5020"/>
    <w:rsid w:val="5B37645A"/>
    <w:rsid w:val="5B55074A"/>
    <w:rsid w:val="5B711CD4"/>
    <w:rsid w:val="5B7855EB"/>
    <w:rsid w:val="5B950086"/>
    <w:rsid w:val="5BCB3845"/>
    <w:rsid w:val="5BE6384E"/>
    <w:rsid w:val="5C2417CB"/>
    <w:rsid w:val="5C4307BC"/>
    <w:rsid w:val="5CAE35A5"/>
    <w:rsid w:val="5CB9053C"/>
    <w:rsid w:val="5CD66177"/>
    <w:rsid w:val="5CE9729B"/>
    <w:rsid w:val="5D0651A6"/>
    <w:rsid w:val="5D5E4DB7"/>
    <w:rsid w:val="5DB3513E"/>
    <w:rsid w:val="5DC170F4"/>
    <w:rsid w:val="5DCB13D2"/>
    <w:rsid w:val="5DE828D3"/>
    <w:rsid w:val="5DEA7DC3"/>
    <w:rsid w:val="5DEC0485"/>
    <w:rsid w:val="5E1967BC"/>
    <w:rsid w:val="5E1A21F8"/>
    <w:rsid w:val="5E1B7C3C"/>
    <w:rsid w:val="5E5105EC"/>
    <w:rsid w:val="5E554C1E"/>
    <w:rsid w:val="5EC46585"/>
    <w:rsid w:val="5ECA5B63"/>
    <w:rsid w:val="5EE82966"/>
    <w:rsid w:val="5F226AC0"/>
    <w:rsid w:val="5F4F0E5B"/>
    <w:rsid w:val="5F8E4ADB"/>
    <w:rsid w:val="5F9D5229"/>
    <w:rsid w:val="5FAC017D"/>
    <w:rsid w:val="5FB6394F"/>
    <w:rsid w:val="5FD20EE7"/>
    <w:rsid w:val="600663C8"/>
    <w:rsid w:val="601E082E"/>
    <w:rsid w:val="604E1113"/>
    <w:rsid w:val="60611CC1"/>
    <w:rsid w:val="60A71681"/>
    <w:rsid w:val="60EE1A26"/>
    <w:rsid w:val="612D4845"/>
    <w:rsid w:val="612E1B66"/>
    <w:rsid w:val="61701AC5"/>
    <w:rsid w:val="61730824"/>
    <w:rsid w:val="61920181"/>
    <w:rsid w:val="61A84853"/>
    <w:rsid w:val="62016730"/>
    <w:rsid w:val="621C0D9D"/>
    <w:rsid w:val="627B7E9F"/>
    <w:rsid w:val="628E7151"/>
    <w:rsid w:val="62A86574"/>
    <w:rsid w:val="62BE2FF3"/>
    <w:rsid w:val="62C56F87"/>
    <w:rsid w:val="62CD613F"/>
    <w:rsid w:val="62CF1F70"/>
    <w:rsid w:val="62DD1F8C"/>
    <w:rsid w:val="62E5083A"/>
    <w:rsid w:val="62F3141D"/>
    <w:rsid w:val="62FF6656"/>
    <w:rsid w:val="63B95F87"/>
    <w:rsid w:val="640B2635"/>
    <w:rsid w:val="642F3031"/>
    <w:rsid w:val="643A741C"/>
    <w:rsid w:val="64577D85"/>
    <w:rsid w:val="645A4966"/>
    <w:rsid w:val="647903A5"/>
    <w:rsid w:val="64B81FCE"/>
    <w:rsid w:val="64EB0066"/>
    <w:rsid w:val="64F977F6"/>
    <w:rsid w:val="652272FB"/>
    <w:rsid w:val="655F7541"/>
    <w:rsid w:val="65646CE3"/>
    <w:rsid w:val="65BE010D"/>
    <w:rsid w:val="66200F59"/>
    <w:rsid w:val="66205B10"/>
    <w:rsid w:val="66471A99"/>
    <w:rsid w:val="66591E7D"/>
    <w:rsid w:val="66696848"/>
    <w:rsid w:val="66D10C23"/>
    <w:rsid w:val="66D432C5"/>
    <w:rsid w:val="671C645D"/>
    <w:rsid w:val="672577A4"/>
    <w:rsid w:val="67722252"/>
    <w:rsid w:val="67831661"/>
    <w:rsid w:val="67D35D1D"/>
    <w:rsid w:val="67F05B9A"/>
    <w:rsid w:val="683227BF"/>
    <w:rsid w:val="68374AD9"/>
    <w:rsid w:val="68625A60"/>
    <w:rsid w:val="688356D2"/>
    <w:rsid w:val="689B28FB"/>
    <w:rsid w:val="68C1269E"/>
    <w:rsid w:val="68FB170C"/>
    <w:rsid w:val="69440852"/>
    <w:rsid w:val="695074F0"/>
    <w:rsid w:val="69A16757"/>
    <w:rsid w:val="69B71022"/>
    <w:rsid w:val="69D26857"/>
    <w:rsid w:val="69EE4C85"/>
    <w:rsid w:val="6A4E534E"/>
    <w:rsid w:val="6A5827AD"/>
    <w:rsid w:val="6A6E23B2"/>
    <w:rsid w:val="6AE70738"/>
    <w:rsid w:val="6AED6D06"/>
    <w:rsid w:val="6AF61231"/>
    <w:rsid w:val="6B56531F"/>
    <w:rsid w:val="6B647ABE"/>
    <w:rsid w:val="6BAF67DE"/>
    <w:rsid w:val="6BD04C1C"/>
    <w:rsid w:val="6C1A6FA4"/>
    <w:rsid w:val="6C2860BB"/>
    <w:rsid w:val="6C2E3BA6"/>
    <w:rsid w:val="6C3B3902"/>
    <w:rsid w:val="6C4312E5"/>
    <w:rsid w:val="6C526C75"/>
    <w:rsid w:val="6C894C5E"/>
    <w:rsid w:val="6C9436BB"/>
    <w:rsid w:val="6CAE77F3"/>
    <w:rsid w:val="6CCB6DCB"/>
    <w:rsid w:val="6CD05E9D"/>
    <w:rsid w:val="6CEA12BE"/>
    <w:rsid w:val="6CEE2283"/>
    <w:rsid w:val="6D1763FC"/>
    <w:rsid w:val="6D2106FC"/>
    <w:rsid w:val="6D263819"/>
    <w:rsid w:val="6DAB69A9"/>
    <w:rsid w:val="6DB84779"/>
    <w:rsid w:val="6DDD6884"/>
    <w:rsid w:val="6E1F4345"/>
    <w:rsid w:val="6E462E06"/>
    <w:rsid w:val="6E6A2D9D"/>
    <w:rsid w:val="6EA22A4F"/>
    <w:rsid w:val="6ECB392F"/>
    <w:rsid w:val="6ED0600D"/>
    <w:rsid w:val="6EDA6084"/>
    <w:rsid w:val="6EED3168"/>
    <w:rsid w:val="6F6124E5"/>
    <w:rsid w:val="6F630851"/>
    <w:rsid w:val="6F895208"/>
    <w:rsid w:val="6F996B23"/>
    <w:rsid w:val="701745B2"/>
    <w:rsid w:val="7036485C"/>
    <w:rsid w:val="704B7175"/>
    <w:rsid w:val="704D703F"/>
    <w:rsid w:val="704E3DEE"/>
    <w:rsid w:val="70844E4F"/>
    <w:rsid w:val="709F442B"/>
    <w:rsid w:val="70A83304"/>
    <w:rsid w:val="70DC1F64"/>
    <w:rsid w:val="7132025E"/>
    <w:rsid w:val="713E6AA6"/>
    <w:rsid w:val="714E6684"/>
    <w:rsid w:val="718A139B"/>
    <w:rsid w:val="71A05F1C"/>
    <w:rsid w:val="72002232"/>
    <w:rsid w:val="72060891"/>
    <w:rsid w:val="7217111C"/>
    <w:rsid w:val="722F2815"/>
    <w:rsid w:val="727B1415"/>
    <w:rsid w:val="72D319A8"/>
    <w:rsid w:val="72F02F4D"/>
    <w:rsid w:val="7326711B"/>
    <w:rsid w:val="73337CF4"/>
    <w:rsid w:val="73357F10"/>
    <w:rsid w:val="73563865"/>
    <w:rsid w:val="735710F7"/>
    <w:rsid w:val="736C38A3"/>
    <w:rsid w:val="73A723E2"/>
    <w:rsid w:val="73C46132"/>
    <w:rsid w:val="74017DE6"/>
    <w:rsid w:val="740622CB"/>
    <w:rsid w:val="74512B28"/>
    <w:rsid w:val="749F4526"/>
    <w:rsid w:val="74DD759C"/>
    <w:rsid w:val="74FC2155"/>
    <w:rsid w:val="75C8506C"/>
    <w:rsid w:val="75F83D8F"/>
    <w:rsid w:val="75FE70F2"/>
    <w:rsid w:val="76663335"/>
    <w:rsid w:val="766E7FC7"/>
    <w:rsid w:val="769C6556"/>
    <w:rsid w:val="76A73F43"/>
    <w:rsid w:val="76EB3C4C"/>
    <w:rsid w:val="7739189D"/>
    <w:rsid w:val="777F205E"/>
    <w:rsid w:val="7792638A"/>
    <w:rsid w:val="77972F27"/>
    <w:rsid w:val="77C55F12"/>
    <w:rsid w:val="77CB499F"/>
    <w:rsid w:val="7812483A"/>
    <w:rsid w:val="787349AA"/>
    <w:rsid w:val="787F1801"/>
    <w:rsid w:val="78A27DF6"/>
    <w:rsid w:val="78AD196E"/>
    <w:rsid w:val="78BB4F9B"/>
    <w:rsid w:val="78ED79E5"/>
    <w:rsid w:val="78FC150D"/>
    <w:rsid w:val="792328DC"/>
    <w:rsid w:val="795E7133"/>
    <w:rsid w:val="796079BE"/>
    <w:rsid w:val="7999568C"/>
    <w:rsid w:val="79AB41EE"/>
    <w:rsid w:val="79FF4DD4"/>
    <w:rsid w:val="7A147910"/>
    <w:rsid w:val="7A7253C9"/>
    <w:rsid w:val="7A785DFA"/>
    <w:rsid w:val="7A9A52DD"/>
    <w:rsid w:val="7AAA19D8"/>
    <w:rsid w:val="7ABA0445"/>
    <w:rsid w:val="7AC92062"/>
    <w:rsid w:val="7AE676AE"/>
    <w:rsid w:val="7AF366E7"/>
    <w:rsid w:val="7B00752A"/>
    <w:rsid w:val="7B166879"/>
    <w:rsid w:val="7B1B78A1"/>
    <w:rsid w:val="7B44077B"/>
    <w:rsid w:val="7B4D5BE4"/>
    <w:rsid w:val="7BA1607D"/>
    <w:rsid w:val="7C07477E"/>
    <w:rsid w:val="7C0C1942"/>
    <w:rsid w:val="7C154AF9"/>
    <w:rsid w:val="7C931E40"/>
    <w:rsid w:val="7CC145C3"/>
    <w:rsid w:val="7CC768D5"/>
    <w:rsid w:val="7D2B0E84"/>
    <w:rsid w:val="7D951D3B"/>
    <w:rsid w:val="7DAE78D2"/>
    <w:rsid w:val="7DD41378"/>
    <w:rsid w:val="7DE37223"/>
    <w:rsid w:val="7DF033B2"/>
    <w:rsid w:val="7E151294"/>
    <w:rsid w:val="7E2D0FFC"/>
    <w:rsid w:val="7E7A5B1D"/>
    <w:rsid w:val="7E9523FA"/>
    <w:rsid w:val="7EC37F3C"/>
    <w:rsid w:val="7F110DF1"/>
    <w:rsid w:val="7F665379"/>
    <w:rsid w:val="7F841E3E"/>
    <w:rsid w:val="7FD74225"/>
    <w:rsid w:val="7FE1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numPr>
        <w:ilvl w:val="1"/>
        <w:numId w:val="1"/>
      </w:numPr>
      <w:spacing w:line="360" w:lineRule="auto"/>
      <w:ind w:left="0" w:firstLine="480"/>
      <w:outlineLvl w:val="1"/>
    </w:pPr>
    <w:rPr>
      <w:rFonts w:ascii="Arial" w:hAnsi="Arial"/>
      <w:b/>
      <w:sz w:val="30"/>
    </w:rPr>
  </w:style>
  <w:style w:type="paragraph" w:styleId="4">
    <w:name w:val="heading 3"/>
    <w:basedOn w:val="1"/>
    <w:next w:val="1"/>
    <w:qFormat/>
    <w:uiPriority w:val="0"/>
    <w:pPr>
      <w:keepNext/>
      <w:keepLines/>
      <w:numPr>
        <w:ilvl w:val="2"/>
        <w:numId w:val="1"/>
      </w:numPr>
      <w:adjustRightInd w:val="0"/>
      <w:spacing w:line="360" w:lineRule="auto"/>
      <w:ind w:left="0" w:firstLine="480"/>
      <w:outlineLvl w:val="2"/>
    </w:pPr>
    <w:rPr>
      <w:b/>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kern w:val="0"/>
      <w:sz w:val="28"/>
      <w:szCs w:val="28"/>
    </w:rPr>
  </w:style>
  <w:style w:type="paragraph" w:styleId="6">
    <w:name w:val="heading 5"/>
    <w:basedOn w:val="1"/>
    <w:next w:val="1"/>
    <w:qFormat/>
    <w:uiPriority w:val="0"/>
    <w:pPr>
      <w:keepNext/>
      <w:keepLines/>
      <w:numPr>
        <w:ilvl w:val="4"/>
        <w:numId w:val="2"/>
      </w:numPr>
      <w:outlineLvl w:val="4"/>
    </w:pPr>
    <w:rPr>
      <w:rFonts w:hint="eastAsia" w:ascii="Book Antiqua" w:hAnsi="Book Antiqua" w:eastAsia="黑体" w:cs="宋体"/>
      <w:kern w:val="0"/>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List Bullet"/>
    <w:basedOn w:val="1"/>
    <w:qFormat/>
    <w:uiPriority w:val="0"/>
    <w:pPr>
      <w:numPr>
        <w:ilvl w:val="0"/>
        <w:numId w:val="3"/>
      </w:numPr>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unhideWhenUsed/>
    <w:qFormat/>
    <w:uiPriority w:val="0"/>
    <w:pPr>
      <w:spacing w:after="120"/>
    </w:pPr>
    <w:rPr>
      <w:rFonts w:hint="eastAsia" w:ascii="宋体" w:hAnsi="宋体" w:eastAsia="仿宋" w:cs="宋体"/>
      <w:kern w:val="0"/>
      <w:sz w:val="24"/>
      <w:szCs w:val="21"/>
    </w:rPr>
  </w:style>
  <w:style w:type="paragraph" w:styleId="13">
    <w:name w:val="Body Text Indent"/>
    <w:basedOn w:val="1"/>
    <w:next w:val="14"/>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4">
    <w:name w:val="annotation subject"/>
    <w:basedOn w:val="10"/>
    <w:next w:val="1"/>
    <w:qFormat/>
    <w:uiPriority w:val="0"/>
    <w:rPr>
      <w:b/>
      <w:bCs/>
    </w:rPr>
  </w:style>
  <w:style w:type="paragraph" w:styleId="15">
    <w:name w:val="Block Text"/>
    <w:basedOn w:val="1"/>
    <w:unhideWhenUsed/>
    <w:qFormat/>
    <w:uiPriority w:val="99"/>
    <w:pPr>
      <w:ind w:left="1440" w:leftChars="700" w:right="700" w:rightChars="700"/>
    </w:pPr>
  </w:style>
  <w:style w:type="paragraph" w:styleId="16">
    <w:name w:val="toc 3"/>
    <w:basedOn w:val="1"/>
    <w:next w:val="1"/>
    <w:unhideWhenUsed/>
    <w:qFormat/>
    <w:uiPriority w:val="39"/>
    <w:pPr>
      <w:ind w:left="840" w:leftChars="400"/>
    </w:pPr>
  </w:style>
  <w:style w:type="paragraph" w:styleId="17">
    <w:name w:val="Plain Text"/>
    <w:basedOn w:val="1"/>
    <w:qFormat/>
    <w:uiPriority w:val="99"/>
    <w:rPr>
      <w:rFonts w:ascii="宋体"/>
      <w:color w:val="000000"/>
      <w:szCs w:val="20"/>
      <w:u w:val="none" w:color="000000"/>
    </w:rPr>
  </w:style>
  <w:style w:type="paragraph" w:styleId="18">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style>
  <w:style w:type="paragraph" w:styleId="21">
    <w:name w:val="toc 2"/>
    <w:basedOn w:val="1"/>
    <w:next w:val="1"/>
    <w:qFormat/>
    <w:uiPriority w:val="0"/>
    <w:pPr>
      <w:ind w:left="420" w:leftChars="200"/>
    </w:pPr>
  </w:style>
  <w:style w:type="paragraph" w:styleId="22">
    <w:name w:val="toc 9"/>
    <w:basedOn w:val="1"/>
    <w:next w:val="1"/>
    <w:qFormat/>
    <w:uiPriority w:val="0"/>
    <w:pPr>
      <w:tabs>
        <w:tab w:val="left" w:pos="0"/>
      </w:tabs>
      <w:ind w:left="3360" w:leftChars="16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paragraph" w:styleId="25">
    <w:name w:val="Title"/>
    <w:basedOn w:val="1"/>
    <w:next w:val="1"/>
    <w:qFormat/>
    <w:uiPriority w:val="0"/>
    <w:pPr>
      <w:spacing w:before="240" w:after="60"/>
      <w:jc w:val="center"/>
      <w:outlineLvl w:val="0"/>
    </w:pPr>
    <w:rPr>
      <w:rFonts w:ascii="Cambria" w:hAnsi="Cambria"/>
      <w:b/>
      <w:bCs/>
      <w:szCs w:val="32"/>
    </w:rPr>
  </w:style>
  <w:style w:type="paragraph" w:styleId="26">
    <w:name w:val="Body Text First Indent"/>
    <w:basedOn w:val="12"/>
    <w:next w:val="1"/>
    <w:qFormat/>
    <w:uiPriority w:val="0"/>
    <w:pPr>
      <w:ind w:firstLine="420" w:firstLineChars="100"/>
    </w:pPr>
    <w:rPr>
      <w:rFonts w:ascii="Times New Roman" w:hAnsi="Times New Roman"/>
      <w:sz w:val="18"/>
      <w:szCs w:val="18"/>
    </w:rPr>
  </w:style>
  <w:style w:type="paragraph" w:styleId="27">
    <w:name w:val="Body Text First Indent 2"/>
    <w:basedOn w:val="13"/>
    <w:next w:val="1"/>
    <w:qFormat/>
    <w:uiPriority w:val="0"/>
    <w:pPr>
      <w:ind w:left="0" w:leftChars="0" w:firstLine="420"/>
    </w:pPr>
    <w:rPr>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rFonts w:ascii="Times New Roman" w:hAnsi="Times New Roman" w:eastAsia="宋体" w:cs="Times New Roman"/>
      <w:b/>
    </w:rPr>
  </w:style>
  <w:style w:type="character" w:styleId="32">
    <w:name w:val="FollowedHyperlink"/>
    <w:basedOn w:val="30"/>
    <w:qFormat/>
    <w:uiPriority w:val="0"/>
    <w:rPr>
      <w:color w:val="333333"/>
      <w:u w:val="none"/>
    </w:rPr>
  </w:style>
  <w:style w:type="character" w:styleId="33">
    <w:name w:val="Emphasis"/>
    <w:basedOn w:val="30"/>
    <w:qFormat/>
    <w:uiPriority w:val="0"/>
  </w:style>
  <w:style w:type="character" w:styleId="34">
    <w:name w:val="HTML Definition"/>
    <w:basedOn w:val="30"/>
    <w:qFormat/>
    <w:uiPriority w:val="0"/>
    <w:rPr>
      <w:i/>
      <w:iCs/>
    </w:rPr>
  </w:style>
  <w:style w:type="character" w:styleId="35">
    <w:name w:val="Hyperlink"/>
    <w:basedOn w:val="30"/>
    <w:unhideWhenUsed/>
    <w:qFormat/>
    <w:uiPriority w:val="99"/>
    <w:rPr>
      <w:rFonts w:hint="eastAsia" w:ascii="宋体" w:hAnsi="宋体" w:eastAsia="宋体" w:cs="宋体"/>
      <w:color w:val="000000"/>
      <w:sz w:val="14"/>
      <w:szCs w:val="14"/>
      <w:u w:val="none"/>
    </w:rPr>
  </w:style>
  <w:style w:type="character" w:styleId="36">
    <w:name w:val="HTML Code"/>
    <w:basedOn w:val="30"/>
    <w:qFormat/>
    <w:uiPriority w:val="0"/>
    <w:rPr>
      <w:rFonts w:hint="default" w:ascii="Consolas" w:hAnsi="Consolas" w:eastAsia="Consolas" w:cs="Consolas"/>
      <w:color w:val="C7254E"/>
      <w:sz w:val="21"/>
      <w:szCs w:val="21"/>
      <w:shd w:val="clear" w:color="auto" w:fill="F9F2F4"/>
    </w:rPr>
  </w:style>
  <w:style w:type="character" w:styleId="37">
    <w:name w:val="HTML Keyboard"/>
    <w:basedOn w:val="30"/>
    <w:qFormat/>
    <w:uiPriority w:val="0"/>
    <w:rPr>
      <w:rFonts w:ascii="Consolas" w:hAnsi="Consolas" w:eastAsia="Consolas" w:cs="Consolas"/>
      <w:color w:val="FFFFFF"/>
      <w:sz w:val="21"/>
      <w:szCs w:val="21"/>
      <w:shd w:val="clear" w:color="auto" w:fill="333333"/>
    </w:rPr>
  </w:style>
  <w:style w:type="character" w:styleId="38">
    <w:name w:val="HTML Sample"/>
    <w:basedOn w:val="30"/>
    <w:qFormat/>
    <w:uiPriority w:val="0"/>
    <w:rPr>
      <w:rFonts w:hint="default" w:ascii="Consolas" w:hAnsi="Consolas" w:eastAsia="Consolas" w:cs="Consolas"/>
      <w:sz w:val="21"/>
      <w:szCs w:val="21"/>
    </w:rPr>
  </w:style>
  <w:style w:type="paragraph" w:customStyle="1" w:styleId="3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41">
    <w:name w:val="正文缩进1"/>
    <w:basedOn w:val="1"/>
    <w:qFormat/>
    <w:uiPriority w:val="0"/>
    <w:pPr>
      <w:ind w:firstLine="420" w:firstLineChars="200"/>
    </w:pPr>
  </w:style>
  <w:style w:type="paragraph" w:customStyle="1" w:styleId="42">
    <w:name w:val="BodyText"/>
    <w:basedOn w:val="1"/>
    <w:next w:val="1"/>
    <w:qFormat/>
    <w:uiPriority w:val="0"/>
    <w:pPr>
      <w:spacing w:after="120"/>
      <w:textAlignment w:val="baseline"/>
    </w:pPr>
    <w:rPr>
      <w:rFonts w:ascii="宋体" w:hAnsi="宋体" w:eastAsia="仿宋"/>
      <w:kern w:val="0"/>
      <w:sz w:val="24"/>
      <w:szCs w:val="21"/>
    </w:rPr>
  </w:style>
  <w:style w:type="paragraph" w:customStyle="1" w:styleId="43">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4">
    <w:name w:val="title11"/>
    <w:basedOn w:val="1"/>
    <w:qFormat/>
    <w:uiPriority w:val="0"/>
    <w:pPr>
      <w:spacing w:before="150" w:line="450" w:lineRule="atLeast"/>
      <w:jc w:val="left"/>
    </w:pPr>
    <w:rPr>
      <w:b/>
      <w:kern w:val="0"/>
      <w:sz w:val="24"/>
      <w:szCs w:val="24"/>
    </w:rPr>
  </w:style>
  <w:style w:type="paragraph" w:customStyle="1" w:styleId="45">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6">
    <w:name w:val="目录"/>
    <w:basedOn w:val="1"/>
    <w:qFormat/>
    <w:uiPriority w:val="0"/>
    <w:pPr>
      <w:widowControl/>
      <w:jc w:val="center"/>
    </w:pPr>
    <w:rPr>
      <w:rFonts w:ascii="宋体"/>
      <w:b/>
      <w:kern w:val="0"/>
      <w:sz w:val="36"/>
    </w:rPr>
  </w:style>
  <w:style w:type="paragraph" w:customStyle="1" w:styleId="4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样式9 Char"/>
    <w:basedOn w:val="1"/>
    <w:qFormat/>
    <w:uiPriority w:val="0"/>
    <w:pPr>
      <w:widowControl/>
      <w:spacing w:line="440" w:lineRule="exact"/>
      <w:ind w:firstLine="200" w:firstLineChars="200"/>
      <w:jc w:val="left"/>
    </w:pPr>
    <w:rPr>
      <w:spacing w:val="6"/>
      <w:kern w:val="0"/>
      <w:sz w:val="24"/>
    </w:rPr>
  </w:style>
  <w:style w:type="character" w:customStyle="1" w:styleId="50">
    <w:name w:val="标题 1 字符"/>
    <w:link w:val="2"/>
    <w:qFormat/>
    <w:uiPriority w:val="99"/>
    <w:rPr>
      <w:rFonts w:hint="eastAsia" w:ascii="宋体" w:hAnsi="宋体" w:eastAsia="宋体" w:cs="宋体"/>
      <w:b/>
      <w:kern w:val="44"/>
      <w:sz w:val="48"/>
      <w:szCs w:val="48"/>
      <w:lang w:val="en-US" w:eastAsia="zh-CN" w:bidi="ar"/>
    </w:rPr>
  </w:style>
  <w:style w:type="character" w:customStyle="1" w:styleId="51">
    <w:name w:val="button"/>
    <w:basedOn w:val="30"/>
    <w:qFormat/>
    <w:uiPriority w:val="0"/>
  </w:style>
  <w:style w:type="character" w:customStyle="1" w:styleId="52">
    <w:name w:val="hover3"/>
    <w:basedOn w:val="30"/>
    <w:qFormat/>
    <w:uiPriority w:val="0"/>
    <w:rPr>
      <w:shd w:val="clear" w:color="auto" w:fill="EEEEEE"/>
    </w:rPr>
  </w:style>
  <w:style w:type="character" w:customStyle="1" w:styleId="53">
    <w:name w:val="old"/>
    <w:basedOn w:val="30"/>
    <w:qFormat/>
    <w:uiPriority w:val="0"/>
    <w:rPr>
      <w:color w:val="999999"/>
    </w:rPr>
  </w:style>
  <w:style w:type="character" w:customStyle="1" w:styleId="54">
    <w:name w:val="hour_am"/>
    <w:basedOn w:val="30"/>
    <w:qFormat/>
    <w:uiPriority w:val="0"/>
  </w:style>
  <w:style w:type="character" w:customStyle="1" w:styleId="55">
    <w:name w:val="hour_pm"/>
    <w:basedOn w:val="30"/>
    <w:qFormat/>
    <w:uiPriority w:val="0"/>
  </w:style>
  <w:style w:type="character" w:customStyle="1" w:styleId="56">
    <w:name w:val="glyphicon4"/>
    <w:basedOn w:val="30"/>
    <w:qFormat/>
    <w:uiPriority w:val="0"/>
  </w:style>
  <w:style w:type="character" w:customStyle="1" w:styleId="57">
    <w:name w:val="indent"/>
    <w:basedOn w:val="30"/>
    <w:qFormat/>
    <w:uiPriority w:val="0"/>
  </w:style>
  <w:style w:type="character" w:customStyle="1" w:styleId="58">
    <w:name w:val="tmpztreemove_arrow"/>
    <w:basedOn w:val="30"/>
    <w:qFormat/>
    <w:uiPriority w:val="0"/>
    <w:rPr>
      <w:shd w:val="clear" w:color="auto" w:fill="FFFFFF"/>
    </w:rPr>
  </w:style>
  <w:style w:type="character" w:customStyle="1" w:styleId="59">
    <w:name w:val="glyphicon"/>
    <w:basedOn w:val="30"/>
    <w:qFormat/>
    <w:uiPriority w:val="0"/>
  </w:style>
  <w:style w:type="character" w:customStyle="1" w:styleId="60">
    <w:name w:val="hover2"/>
    <w:basedOn w:val="30"/>
    <w:qFormat/>
    <w:uiPriority w:val="0"/>
    <w:rPr>
      <w:shd w:val="clear" w:color="auto" w:fill="EEEEEE"/>
    </w:rPr>
  </w:style>
  <w:style w:type="character" w:customStyle="1" w:styleId="61">
    <w:name w:val="hover"/>
    <w:basedOn w:val="30"/>
    <w:qFormat/>
    <w:uiPriority w:val="0"/>
    <w:rPr>
      <w:shd w:val="clear" w:color="auto" w:fill="EEEEEE"/>
    </w:rPr>
  </w:style>
  <w:style w:type="paragraph" w:customStyle="1" w:styleId="62">
    <w:name w:val="正文 1.1"/>
    <w:basedOn w:val="1"/>
    <w:next w:val="63"/>
    <w:qFormat/>
    <w:uiPriority w:val="0"/>
    <w:pPr>
      <w:numPr>
        <w:ilvl w:val="1"/>
        <w:numId w:val="4"/>
      </w:numPr>
      <w:adjustRightInd w:val="0"/>
      <w:spacing w:line="360" w:lineRule="auto"/>
      <w:outlineLvl w:val="1"/>
    </w:pPr>
    <w:rPr>
      <w:rFonts w:hint="eastAsia" w:ascii="仿宋" w:hAnsi="仿宋" w:eastAsia="仿宋"/>
      <w:b/>
      <w:kern w:val="0"/>
      <w:sz w:val="28"/>
      <w:szCs w:val="21"/>
    </w:rPr>
  </w:style>
  <w:style w:type="paragraph" w:customStyle="1" w:styleId="63">
    <w:name w:val="正文 1.1.1"/>
    <w:basedOn w:val="1"/>
    <w:next w:val="1"/>
    <w:qFormat/>
    <w:uiPriority w:val="0"/>
    <w:pPr>
      <w:numPr>
        <w:ilvl w:val="2"/>
        <w:numId w:val="4"/>
      </w:numPr>
      <w:adjustRightInd w:val="0"/>
      <w:spacing w:line="360" w:lineRule="auto"/>
      <w:outlineLvl w:val="2"/>
    </w:pPr>
    <w:rPr>
      <w:rFonts w:hint="eastAsia" w:ascii="宋体" w:hAnsi="宋体"/>
      <w:color w:val="FF0000"/>
      <w:kern w:val="0"/>
      <w:sz w:val="28"/>
      <w:szCs w:val="21"/>
    </w:rPr>
  </w:style>
  <w:style w:type="paragraph" w:styleId="64">
    <w:name w:val="List Paragraph"/>
    <w:basedOn w:val="1"/>
    <w:qFormat/>
    <w:uiPriority w:val="34"/>
    <w:pPr>
      <w:ind w:firstLine="420" w:firstLineChars="200"/>
    </w:pPr>
  </w:style>
  <w:style w:type="character" w:customStyle="1" w:styleId="65">
    <w:name w:val="font112"/>
    <w:basedOn w:val="30"/>
    <w:qFormat/>
    <w:uiPriority w:val="0"/>
    <w:rPr>
      <w:rFonts w:hint="eastAsia" w:ascii="宋体" w:hAnsi="宋体" w:eastAsia="宋体" w:cs="宋体"/>
      <w:color w:val="000000"/>
      <w:sz w:val="21"/>
      <w:szCs w:val="21"/>
      <w:u w:val="none"/>
    </w:rPr>
  </w:style>
  <w:style w:type="character" w:customStyle="1" w:styleId="66">
    <w:name w:val="nth-of-type(8)"/>
    <w:basedOn w:val="30"/>
    <w:qFormat/>
    <w:uiPriority w:val="0"/>
  </w:style>
  <w:style w:type="character" w:customStyle="1" w:styleId="67">
    <w:name w:val="nth-of-type(5)"/>
    <w:basedOn w:val="30"/>
    <w:qFormat/>
    <w:uiPriority w:val="0"/>
  </w:style>
  <w:style w:type="character" w:customStyle="1" w:styleId="68">
    <w:name w:val="nth-of-type(5)1"/>
    <w:basedOn w:val="30"/>
    <w:qFormat/>
    <w:uiPriority w:val="0"/>
  </w:style>
  <w:style w:type="character" w:customStyle="1" w:styleId="69">
    <w:name w:val="nth-of-type(5)2"/>
    <w:basedOn w:val="30"/>
    <w:qFormat/>
    <w:uiPriority w:val="0"/>
  </w:style>
  <w:style w:type="character" w:customStyle="1" w:styleId="70">
    <w:name w:val="nth-of-type(5)3"/>
    <w:basedOn w:val="30"/>
    <w:qFormat/>
    <w:uiPriority w:val="0"/>
  </w:style>
  <w:style w:type="character" w:customStyle="1" w:styleId="71">
    <w:name w:val="nth-of-type(5)4"/>
    <w:basedOn w:val="30"/>
    <w:qFormat/>
    <w:uiPriority w:val="0"/>
  </w:style>
  <w:style w:type="character" w:customStyle="1" w:styleId="72">
    <w:name w:val="nth-of-type(5)5"/>
    <w:basedOn w:val="30"/>
    <w:qFormat/>
    <w:uiPriority w:val="0"/>
    <w:rPr>
      <w:sz w:val="21"/>
      <w:szCs w:val="21"/>
    </w:rPr>
  </w:style>
  <w:style w:type="character" w:customStyle="1" w:styleId="73">
    <w:name w:val="nth-of-type(5)6"/>
    <w:basedOn w:val="30"/>
    <w:qFormat/>
    <w:uiPriority w:val="0"/>
  </w:style>
  <w:style w:type="character" w:customStyle="1" w:styleId="74">
    <w:name w:val="nth-of-type(4)"/>
    <w:basedOn w:val="30"/>
    <w:qFormat/>
    <w:uiPriority w:val="0"/>
  </w:style>
  <w:style w:type="character" w:customStyle="1" w:styleId="75">
    <w:name w:val="nth-of-type(1)"/>
    <w:basedOn w:val="30"/>
    <w:qFormat/>
    <w:uiPriority w:val="0"/>
  </w:style>
  <w:style w:type="character" w:customStyle="1" w:styleId="76">
    <w:name w:val="nth-of-type(1)1"/>
    <w:basedOn w:val="30"/>
    <w:qFormat/>
    <w:uiPriority w:val="0"/>
  </w:style>
  <w:style w:type="character" w:customStyle="1" w:styleId="77">
    <w:name w:val="nth-of-type(1)2"/>
    <w:basedOn w:val="30"/>
    <w:qFormat/>
    <w:uiPriority w:val="0"/>
    <w:rPr>
      <w:rFonts w:ascii="SourceHanSansCN-Regular" w:hAnsi="SourceHanSansCN-Regular" w:eastAsia="SourceHanSansCN-Regular" w:cs="SourceHanSansCN-Regular"/>
      <w:color w:val="FB560A"/>
      <w:sz w:val="21"/>
      <w:szCs w:val="21"/>
    </w:rPr>
  </w:style>
  <w:style w:type="character" w:customStyle="1" w:styleId="78">
    <w:name w:val="nth-of-type(1)3"/>
    <w:basedOn w:val="30"/>
    <w:qFormat/>
    <w:uiPriority w:val="0"/>
  </w:style>
  <w:style w:type="character" w:customStyle="1" w:styleId="79">
    <w:name w:val="nth-of-type(1)4"/>
    <w:basedOn w:val="30"/>
    <w:qFormat/>
    <w:uiPriority w:val="0"/>
  </w:style>
  <w:style w:type="character" w:customStyle="1" w:styleId="80">
    <w:name w:val="nth-of-type(1)5"/>
    <w:basedOn w:val="30"/>
    <w:qFormat/>
    <w:uiPriority w:val="0"/>
  </w:style>
  <w:style w:type="character" w:customStyle="1" w:styleId="81">
    <w:name w:val="nth-of-type(1)6"/>
    <w:basedOn w:val="30"/>
    <w:qFormat/>
    <w:uiPriority w:val="0"/>
  </w:style>
  <w:style w:type="character" w:customStyle="1" w:styleId="82">
    <w:name w:val="nth-of-type(1)7"/>
    <w:basedOn w:val="30"/>
    <w:qFormat/>
    <w:uiPriority w:val="0"/>
  </w:style>
  <w:style w:type="character" w:customStyle="1" w:styleId="83">
    <w:name w:val="nth-of-type(1)8"/>
    <w:basedOn w:val="30"/>
    <w:qFormat/>
    <w:uiPriority w:val="0"/>
  </w:style>
  <w:style w:type="character" w:customStyle="1" w:styleId="84">
    <w:name w:val="nth-of-type(1)9"/>
    <w:basedOn w:val="30"/>
    <w:qFormat/>
    <w:uiPriority w:val="0"/>
  </w:style>
  <w:style w:type="character" w:customStyle="1" w:styleId="85">
    <w:name w:val="nth-of-type(1)10"/>
    <w:basedOn w:val="30"/>
    <w:qFormat/>
    <w:uiPriority w:val="0"/>
  </w:style>
  <w:style w:type="character" w:customStyle="1" w:styleId="86">
    <w:name w:val="nth-of-type(1)11"/>
    <w:basedOn w:val="30"/>
    <w:qFormat/>
    <w:uiPriority w:val="0"/>
  </w:style>
  <w:style w:type="character" w:customStyle="1" w:styleId="87">
    <w:name w:val="nth-of-type(1)12"/>
    <w:basedOn w:val="30"/>
    <w:qFormat/>
    <w:uiPriority w:val="0"/>
  </w:style>
  <w:style w:type="character" w:customStyle="1" w:styleId="88">
    <w:name w:val="nth-of-type(1)13"/>
    <w:basedOn w:val="30"/>
    <w:qFormat/>
    <w:uiPriority w:val="0"/>
  </w:style>
  <w:style w:type="character" w:customStyle="1" w:styleId="89">
    <w:name w:val="nth-of-type(1)14"/>
    <w:basedOn w:val="30"/>
    <w:qFormat/>
    <w:uiPriority w:val="0"/>
  </w:style>
  <w:style w:type="character" w:customStyle="1" w:styleId="90">
    <w:name w:val="nth-of-type(1)15"/>
    <w:basedOn w:val="30"/>
    <w:qFormat/>
    <w:uiPriority w:val="0"/>
  </w:style>
  <w:style w:type="character" w:customStyle="1" w:styleId="91">
    <w:name w:val="nth-of-type(1)16"/>
    <w:basedOn w:val="30"/>
    <w:qFormat/>
    <w:uiPriority w:val="0"/>
  </w:style>
  <w:style w:type="character" w:customStyle="1" w:styleId="92">
    <w:name w:val="nth-of-type(1)17"/>
    <w:basedOn w:val="30"/>
    <w:qFormat/>
    <w:uiPriority w:val="0"/>
    <w:rPr>
      <w:sz w:val="21"/>
      <w:szCs w:val="21"/>
    </w:rPr>
  </w:style>
  <w:style w:type="character" w:customStyle="1" w:styleId="93">
    <w:name w:val="nth-of-type(1)18"/>
    <w:basedOn w:val="30"/>
    <w:qFormat/>
    <w:uiPriority w:val="0"/>
  </w:style>
  <w:style w:type="character" w:customStyle="1" w:styleId="94">
    <w:name w:val="nth-of-type(3)"/>
    <w:basedOn w:val="30"/>
    <w:qFormat/>
    <w:uiPriority w:val="0"/>
  </w:style>
  <w:style w:type="character" w:customStyle="1" w:styleId="95">
    <w:name w:val="nth-of-type(3)1"/>
    <w:basedOn w:val="30"/>
    <w:qFormat/>
    <w:uiPriority w:val="0"/>
  </w:style>
  <w:style w:type="character" w:customStyle="1" w:styleId="96">
    <w:name w:val="nth-of-type(3)2"/>
    <w:basedOn w:val="30"/>
    <w:qFormat/>
    <w:uiPriority w:val="0"/>
  </w:style>
  <w:style w:type="character" w:customStyle="1" w:styleId="97">
    <w:name w:val="nth-of-type(3)3"/>
    <w:basedOn w:val="30"/>
    <w:qFormat/>
    <w:uiPriority w:val="0"/>
  </w:style>
  <w:style w:type="character" w:customStyle="1" w:styleId="98">
    <w:name w:val="nth-of-type(3)4"/>
    <w:basedOn w:val="30"/>
    <w:qFormat/>
    <w:uiPriority w:val="0"/>
  </w:style>
  <w:style w:type="character" w:customStyle="1" w:styleId="99">
    <w:name w:val="nth-of-type(3)5"/>
    <w:basedOn w:val="30"/>
    <w:qFormat/>
    <w:uiPriority w:val="0"/>
  </w:style>
  <w:style w:type="character" w:customStyle="1" w:styleId="100">
    <w:name w:val="nth-of-type(3)6"/>
    <w:basedOn w:val="30"/>
    <w:qFormat/>
    <w:uiPriority w:val="0"/>
    <w:rPr>
      <w:sz w:val="21"/>
      <w:szCs w:val="21"/>
    </w:rPr>
  </w:style>
  <w:style w:type="character" w:customStyle="1" w:styleId="101">
    <w:name w:val="nth-of-type(3)7"/>
    <w:basedOn w:val="30"/>
    <w:qFormat/>
    <w:uiPriority w:val="0"/>
  </w:style>
  <w:style w:type="character" w:customStyle="1" w:styleId="102">
    <w:name w:val="nth-of-type(2)"/>
    <w:basedOn w:val="30"/>
    <w:qFormat/>
    <w:uiPriority w:val="0"/>
  </w:style>
  <w:style w:type="character" w:customStyle="1" w:styleId="103">
    <w:name w:val="nth-of-type(2)1"/>
    <w:basedOn w:val="30"/>
    <w:qFormat/>
    <w:uiPriority w:val="0"/>
  </w:style>
  <w:style w:type="character" w:customStyle="1" w:styleId="104">
    <w:name w:val="nth-of-type(2)2"/>
    <w:basedOn w:val="30"/>
    <w:qFormat/>
    <w:uiPriority w:val="0"/>
  </w:style>
  <w:style w:type="character" w:customStyle="1" w:styleId="105">
    <w:name w:val="nth-of-type(2)3"/>
    <w:basedOn w:val="30"/>
    <w:qFormat/>
    <w:uiPriority w:val="0"/>
  </w:style>
  <w:style w:type="character" w:customStyle="1" w:styleId="106">
    <w:name w:val="nth-of-type(2)4"/>
    <w:basedOn w:val="30"/>
    <w:qFormat/>
    <w:uiPriority w:val="0"/>
  </w:style>
  <w:style w:type="character" w:customStyle="1" w:styleId="107">
    <w:name w:val="nth-of-type(2)5"/>
    <w:basedOn w:val="30"/>
    <w:qFormat/>
    <w:uiPriority w:val="0"/>
  </w:style>
  <w:style w:type="character" w:customStyle="1" w:styleId="108">
    <w:name w:val="nth-of-type(2)6"/>
    <w:basedOn w:val="30"/>
    <w:qFormat/>
    <w:uiPriority w:val="0"/>
  </w:style>
  <w:style w:type="character" w:customStyle="1" w:styleId="109">
    <w:name w:val="nth-of-type(2)7"/>
    <w:basedOn w:val="30"/>
    <w:qFormat/>
    <w:uiPriority w:val="0"/>
  </w:style>
  <w:style w:type="character" w:customStyle="1" w:styleId="110">
    <w:name w:val="nth-of-type(2)8"/>
    <w:basedOn w:val="30"/>
    <w:qFormat/>
    <w:uiPriority w:val="0"/>
  </w:style>
  <w:style w:type="character" w:customStyle="1" w:styleId="111">
    <w:name w:val="nth-of-type(2)9"/>
    <w:basedOn w:val="30"/>
    <w:qFormat/>
    <w:uiPriority w:val="0"/>
  </w:style>
  <w:style w:type="character" w:customStyle="1" w:styleId="112">
    <w:name w:val="nth-of-type(2)10"/>
    <w:basedOn w:val="30"/>
    <w:qFormat/>
    <w:uiPriority w:val="0"/>
  </w:style>
  <w:style w:type="character" w:customStyle="1" w:styleId="113">
    <w:name w:val="nth-of-type(2)11"/>
    <w:basedOn w:val="30"/>
    <w:qFormat/>
    <w:uiPriority w:val="0"/>
  </w:style>
  <w:style w:type="character" w:customStyle="1" w:styleId="114">
    <w:name w:val="nth-of-type(2)12"/>
    <w:basedOn w:val="30"/>
    <w:qFormat/>
    <w:uiPriority w:val="0"/>
  </w:style>
  <w:style w:type="character" w:customStyle="1" w:styleId="115">
    <w:name w:val="nth-of-type(2)13"/>
    <w:basedOn w:val="30"/>
    <w:qFormat/>
    <w:uiPriority w:val="0"/>
    <w:rPr>
      <w:sz w:val="21"/>
      <w:szCs w:val="21"/>
    </w:rPr>
  </w:style>
  <w:style w:type="character" w:customStyle="1" w:styleId="116">
    <w:name w:val="nth-of-type(2)14"/>
    <w:basedOn w:val="30"/>
    <w:qFormat/>
    <w:uiPriority w:val="0"/>
  </w:style>
  <w:style w:type="character" w:customStyle="1" w:styleId="117">
    <w:name w:val="nth-of-type(9)"/>
    <w:basedOn w:val="30"/>
    <w:qFormat/>
    <w:uiPriority w:val="0"/>
  </w:style>
  <w:style w:type="character" w:customStyle="1" w:styleId="118">
    <w:name w:val="nth-child(1)"/>
    <w:basedOn w:val="30"/>
    <w:qFormat/>
    <w:uiPriority w:val="0"/>
  </w:style>
  <w:style w:type="character" w:customStyle="1" w:styleId="119">
    <w:name w:val="lineshow"/>
    <w:basedOn w:val="30"/>
    <w:qFormat/>
    <w:uiPriority w:val="0"/>
  </w:style>
  <w:style w:type="character" w:customStyle="1" w:styleId="120">
    <w:name w:val="lineshow1"/>
    <w:basedOn w:val="30"/>
    <w:qFormat/>
    <w:uiPriority w:val="0"/>
  </w:style>
  <w:style w:type="character" w:customStyle="1" w:styleId="121">
    <w:name w:val="titleshow"/>
    <w:basedOn w:val="30"/>
    <w:qFormat/>
    <w:uiPriority w:val="0"/>
    <w:rPr>
      <w:color w:val="3E464C"/>
    </w:rPr>
  </w:style>
  <w:style w:type="character" w:customStyle="1" w:styleId="122">
    <w:name w:val="first-child1"/>
    <w:basedOn w:val="30"/>
    <w:qFormat/>
    <w:uiPriority w:val="0"/>
  </w:style>
  <w:style w:type="character" w:customStyle="1" w:styleId="123">
    <w:name w:val="first-child2"/>
    <w:basedOn w:val="30"/>
    <w:qFormat/>
    <w:uiPriority w:val="0"/>
  </w:style>
  <w:style w:type="character" w:customStyle="1" w:styleId="124">
    <w:name w:val="first-child3"/>
    <w:basedOn w:val="30"/>
    <w:qFormat/>
    <w:uiPriority w:val="0"/>
  </w:style>
  <w:style w:type="character" w:customStyle="1" w:styleId="125">
    <w:name w:val="nth-of-type(7)"/>
    <w:basedOn w:val="30"/>
    <w:qFormat/>
    <w:uiPriority w:val="0"/>
  </w:style>
  <w:style w:type="character" w:customStyle="1" w:styleId="126">
    <w:name w:val="last-child1"/>
    <w:basedOn w:val="30"/>
    <w:qFormat/>
    <w:uiPriority w:val="0"/>
    <w:rPr>
      <w:color w:val="FFFFFF"/>
    </w:rPr>
  </w:style>
  <w:style w:type="character" w:customStyle="1" w:styleId="127">
    <w:name w:val="last-child2"/>
    <w:basedOn w:val="30"/>
    <w:qFormat/>
    <w:uiPriority w:val="0"/>
  </w:style>
  <w:style w:type="character" w:customStyle="1" w:styleId="128">
    <w:name w:val="last-child3"/>
    <w:basedOn w:val="30"/>
    <w:qFormat/>
    <w:uiPriority w:val="0"/>
  </w:style>
  <w:style w:type="character" w:customStyle="1" w:styleId="129">
    <w:name w:val="nth-child(2)"/>
    <w:basedOn w:val="30"/>
    <w:qFormat/>
    <w:uiPriority w:val="0"/>
  </w:style>
  <w:style w:type="character" w:customStyle="1" w:styleId="130">
    <w:name w:val="nth-child(3)"/>
    <w:basedOn w:val="30"/>
    <w:qFormat/>
    <w:uiPriority w:val="0"/>
  </w:style>
  <w:style w:type="character" w:customStyle="1" w:styleId="131">
    <w:name w:val="layui-laypage-curr"/>
    <w:basedOn w:val="30"/>
    <w:qFormat/>
    <w:uiPriority w:val="0"/>
  </w:style>
  <w:style w:type="character" w:customStyle="1" w:styleId="132">
    <w:name w:val="nth-of-type(6)"/>
    <w:basedOn w:val="30"/>
    <w:qFormat/>
    <w:uiPriority w:val="0"/>
  </w:style>
  <w:style w:type="character" w:customStyle="1" w:styleId="133">
    <w:name w:val="nth-of-type(6)1"/>
    <w:basedOn w:val="30"/>
    <w:qFormat/>
    <w:uiPriority w:val="0"/>
  </w:style>
  <w:style w:type="character" w:customStyle="1" w:styleId="134">
    <w:name w:val="nth-of-type(6)2"/>
    <w:basedOn w:val="30"/>
    <w:qFormat/>
    <w:uiPriority w:val="0"/>
    <w:rPr>
      <w:color w:val="0082DF"/>
    </w:rPr>
  </w:style>
  <w:style w:type="character" w:customStyle="1" w:styleId="135">
    <w:name w:val="nth-of-type(6)3"/>
    <w:basedOn w:val="30"/>
    <w:qFormat/>
    <w:uiPriority w:val="0"/>
  </w:style>
  <w:style w:type="character" w:customStyle="1" w:styleId="136">
    <w:name w:val="nth-of-type(6)4"/>
    <w:basedOn w:val="30"/>
    <w:qFormat/>
    <w:uiPriority w:val="0"/>
  </w:style>
  <w:style w:type="character" w:customStyle="1" w:styleId="137">
    <w:name w:val="nth-of-type(6)5"/>
    <w:basedOn w:val="30"/>
    <w:qFormat/>
    <w:uiPriority w:val="0"/>
  </w:style>
  <w:style w:type="character" w:customStyle="1" w:styleId="138">
    <w:name w:val="before"/>
    <w:basedOn w:val="30"/>
    <w:qFormat/>
    <w:uiPriority w:val="0"/>
    <w:rPr>
      <w:shd w:val="clear" w:fill="C20E0C"/>
    </w:rPr>
  </w:style>
  <w:style w:type="character" w:customStyle="1" w:styleId="139">
    <w:name w:val="hover23"/>
    <w:basedOn w:val="30"/>
    <w:qFormat/>
    <w:uiPriority w:val="0"/>
    <w:rPr>
      <w:color w:val="167AE0"/>
    </w:rPr>
  </w:style>
  <w:style w:type="character" w:customStyle="1" w:styleId="140">
    <w:name w:val="nth-of-type(10)"/>
    <w:basedOn w:val="30"/>
    <w:qFormat/>
    <w:uiPriority w:val="0"/>
  </w:style>
  <w:style w:type="character" w:customStyle="1" w:styleId="141">
    <w:name w:val="nth-of-type(4)1"/>
    <w:basedOn w:val="30"/>
    <w:qFormat/>
    <w:uiPriority w:val="0"/>
  </w:style>
  <w:style w:type="character" w:customStyle="1" w:styleId="142">
    <w:name w:val="nth-of-type(4)2"/>
    <w:basedOn w:val="30"/>
    <w:qFormat/>
    <w:uiPriority w:val="0"/>
  </w:style>
  <w:style w:type="character" w:customStyle="1" w:styleId="143">
    <w:name w:val="nth-of-type(4)3"/>
    <w:basedOn w:val="30"/>
    <w:qFormat/>
    <w:uiPriority w:val="0"/>
  </w:style>
  <w:style w:type="character" w:customStyle="1" w:styleId="144">
    <w:name w:val="nth-of-type(4)4"/>
    <w:basedOn w:val="30"/>
    <w:qFormat/>
    <w:uiPriority w:val="0"/>
  </w:style>
  <w:style w:type="character" w:customStyle="1" w:styleId="145">
    <w:name w:val="nth-of-type(4)5"/>
    <w:basedOn w:val="30"/>
    <w:qFormat/>
    <w:uiPriority w:val="0"/>
  </w:style>
  <w:style w:type="character" w:customStyle="1" w:styleId="146">
    <w:name w:val="nth-of-type(4)6"/>
    <w:basedOn w:val="30"/>
    <w:qFormat/>
    <w:uiPriority w:val="0"/>
  </w:style>
  <w:style w:type="character" w:customStyle="1" w:styleId="147">
    <w:name w:val="nth-of-type(4)7"/>
    <w:basedOn w:val="30"/>
    <w:qFormat/>
    <w:uiPriority w:val="0"/>
    <w:rPr>
      <w:sz w:val="21"/>
      <w:szCs w:val="21"/>
    </w:rPr>
  </w:style>
  <w:style w:type="character" w:customStyle="1" w:styleId="148">
    <w:name w:val="nth-of-type(4)8"/>
    <w:basedOn w:val="30"/>
    <w:qFormat/>
    <w:uiPriority w:val="0"/>
  </w:style>
  <w:style w:type="character" w:customStyle="1" w:styleId="149">
    <w:name w:val="layui-this4"/>
    <w:basedOn w:val="30"/>
    <w:qFormat/>
    <w:uiPriority w:val="0"/>
    <w:rPr>
      <w:bdr w:val="single" w:color="EEEEEE" w:sz="6" w:space="0"/>
      <w:shd w:val="clear" w:fill="FFFFFF"/>
    </w:rPr>
  </w:style>
  <w:style w:type="character" w:customStyle="1" w:styleId="150">
    <w:name w:val="first-child4"/>
    <w:basedOn w:val="30"/>
    <w:qFormat/>
    <w:uiPriority w:val="0"/>
  </w:style>
  <w:style w:type="character" w:customStyle="1" w:styleId="151">
    <w:name w:val="hover25"/>
    <w:basedOn w:val="30"/>
    <w:qFormat/>
    <w:uiPriority w:val="0"/>
    <w:rPr>
      <w:color w:val="167AE0"/>
    </w:rPr>
  </w:style>
  <w:style w:type="character" w:customStyle="1" w:styleId="152">
    <w:name w:val="before2"/>
    <w:basedOn w:val="30"/>
    <w:qFormat/>
    <w:uiPriority w:val="0"/>
    <w:rPr>
      <w:shd w:val="clear" w:fill="C20E0C"/>
    </w:rPr>
  </w:style>
  <w:style w:type="paragraph" w:customStyle="1" w:styleId="153">
    <w:name w:val="表格123"/>
    <w:basedOn w:val="1"/>
    <w:qFormat/>
    <w:uiPriority w:val="0"/>
    <w:pPr>
      <w:ind w:firstLine="0" w:firstLineChars="0"/>
      <w:jc w:val="left"/>
    </w:pPr>
    <w:rPr>
      <w:rFonts w:hint="eastAsia"/>
      <w:kern w:val="0"/>
      <w:szCs w:val="21"/>
    </w:rPr>
  </w:style>
  <w:style w:type="paragraph" w:customStyle="1" w:styleId="154">
    <w:name w:val="样式 首行缩进:  2 字符"/>
    <w:basedOn w:val="1"/>
    <w:qFormat/>
    <w:uiPriority w:val="0"/>
    <w:pPr>
      <w:ind w:firstLine="560"/>
    </w:pPr>
    <w:rPr>
      <w:rFonts w:eastAsia="仿宋_GB2312" w:cs="宋体"/>
      <w:sz w:val="24"/>
      <w:szCs w:val="2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方案正文"/>
    <w:basedOn w:val="1"/>
    <w:qFormat/>
    <w:uiPriority w:val="0"/>
    <w:pPr>
      <w:spacing w:line="312" w:lineRule="auto"/>
      <w:ind w:firstLine="200" w:firstLineChars="200"/>
    </w:pPr>
    <w:rPr>
      <w:rFonts w:ascii="@仿宋_GB2312" w:hAnsi="@仿宋_GB2312" w:cs="@仿宋_GB2312"/>
      <w:szCs w:val="24"/>
    </w:rPr>
  </w:style>
  <w:style w:type="paragraph" w:customStyle="1" w:styleId="157">
    <w:name w:val="段落正文"/>
    <w:basedOn w:val="1"/>
    <w:qFormat/>
    <w:uiPriority w:val="0"/>
    <w:pPr>
      <w:widowControl w:val="0"/>
      <w:ind w:firstLine="200"/>
    </w:pPr>
    <w:rPr>
      <w:lang w:eastAsia="en-US" w:bidi="en-US"/>
    </w:rPr>
  </w:style>
  <w:style w:type="character" w:customStyle="1" w:styleId="158">
    <w:name w:val="font21"/>
    <w:basedOn w:val="30"/>
    <w:qFormat/>
    <w:uiPriority w:val="0"/>
    <w:rPr>
      <w:rFonts w:hint="eastAsia" w:ascii="宋体" w:hAnsi="宋体" w:eastAsia="宋体" w:cs="宋体"/>
      <w:color w:val="000000"/>
      <w:sz w:val="20"/>
      <w:szCs w:val="20"/>
      <w:u w:val="none"/>
    </w:rPr>
  </w:style>
  <w:style w:type="character" w:customStyle="1" w:styleId="159">
    <w:name w:val="font11"/>
    <w:basedOn w:val="30"/>
    <w:qFormat/>
    <w:uiPriority w:val="0"/>
    <w:rPr>
      <w:rFonts w:hint="eastAsia" w:ascii="宋体" w:hAnsi="宋体" w:eastAsia="宋体" w:cs="宋体"/>
      <w:color w:val="000000"/>
      <w:sz w:val="20"/>
      <w:szCs w:val="20"/>
      <w:u w:val="none"/>
    </w:rPr>
  </w:style>
  <w:style w:type="paragraph" w:customStyle="1" w:styleId="160">
    <w:name w:val="Char"/>
    <w:basedOn w:val="1"/>
    <w:qFormat/>
    <w:uiPriority w:val="0"/>
    <w:pPr>
      <w:tabs>
        <w:tab w:val="left" w:pos="360"/>
      </w:tabs>
    </w:pPr>
    <w:rPr>
      <w:rFonts w:ascii="Calibri" w:hAnsi="Calibri"/>
      <w:sz w:val="24"/>
    </w:rPr>
  </w:style>
  <w:style w:type="paragraph" w:customStyle="1" w:styleId="161">
    <w:name w:val="表格文字"/>
    <w:basedOn w:val="1"/>
    <w:qFormat/>
    <w:uiPriority w:val="0"/>
    <w:pPr>
      <w:widowControl w:val="0"/>
      <w:adjustRightInd/>
      <w:snapToGrid/>
      <w:spacing w:before="25" w:after="25"/>
    </w:pPr>
    <w:rPr>
      <w:rFonts w:ascii="Times New Roman" w:hAnsi="Times New Roman" w:eastAsia="宋体"/>
      <w:bCs/>
      <w:spacing w:val="10"/>
      <w:sz w:val="24"/>
      <w:szCs w:val="20"/>
    </w:rPr>
  </w:style>
  <w:style w:type="character" w:customStyle="1" w:styleId="162">
    <w:name w:val="font61"/>
    <w:basedOn w:val="30"/>
    <w:qFormat/>
    <w:uiPriority w:val="0"/>
    <w:rPr>
      <w:rFonts w:hint="eastAsia" w:ascii="华文中宋" w:hAnsi="华文中宋" w:eastAsia="华文中宋" w:cs="华文中宋"/>
      <w:color w:val="000000"/>
      <w:sz w:val="22"/>
      <w:szCs w:val="22"/>
      <w:u w:val="none"/>
    </w:rPr>
  </w:style>
  <w:style w:type="character" w:customStyle="1" w:styleId="163">
    <w:name w:val="font41"/>
    <w:basedOn w:val="30"/>
    <w:qFormat/>
    <w:uiPriority w:val="0"/>
    <w:rPr>
      <w:rFonts w:hint="eastAsia" w:ascii="华文中宋" w:hAnsi="华文中宋" w:eastAsia="华文中宋" w:cs="华文中宋"/>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22477</Words>
  <Characters>24545</Characters>
  <Lines>394</Lines>
  <Paragraphs>110</Paragraphs>
  <TotalTime>1</TotalTime>
  <ScaleCrop>false</ScaleCrop>
  <LinksUpToDate>false</LinksUpToDate>
  <CharactersWithSpaces>27133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Passive</cp:lastModifiedBy>
  <cp:lastPrinted>2022-04-18T03:14:00Z</cp:lastPrinted>
  <dcterms:modified xsi:type="dcterms:W3CDTF">2023-11-28T01:03:27Z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F8133A0BA75143E4858859A7C1C35C08_13</vt:lpwstr>
  </property>
  <property fmtid="{D5CDD505-2E9C-101B-9397-08002B2CF9AE}" pid="4" name="commondata">
    <vt:lpwstr>eyJoZGlkIjoiMjE0NDAzOWQ0YWJiNGQ5NTdlMmUzZWI1ZGRkOTVkMDEifQ==</vt:lpwstr>
  </property>
</Properties>
</file>