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b/>
          <w:bCs/>
        </w:rPr>
      </w:pPr>
      <w:r>
        <w:rPr>
          <w:rFonts w:hint="eastAsia" w:ascii="方正小标宋简体" w:hAnsi="方正小标宋简体" w:eastAsia="方正小标宋简体" w:cs="方正小标宋简体"/>
          <w:sz w:val="36"/>
          <w:szCs w:val="36"/>
          <w:lang w:val="en-US" w:eastAsia="zh-CN"/>
        </w:rPr>
        <w:t>渭南市网络安全检查技术服务</w:t>
      </w:r>
      <w:r>
        <w:rPr>
          <w:rFonts w:hint="eastAsia" w:ascii="方正小标宋简体" w:hAnsi="方正小标宋简体" w:eastAsia="方正小标宋简体" w:cs="方正小标宋简体"/>
          <w:b/>
          <w:bCs/>
          <w:sz w:val="36"/>
          <w:szCs w:val="36"/>
          <w:lang w:val="en-US" w:eastAsia="zh-CN"/>
        </w:rPr>
        <w:t>需求</w:t>
      </w:r>
    </w:p>
    <w:p>
      <w:pPr>
        <w:rPr>
          <w:b/>
          <w:bCs/>
        </w:rPr>
      </w:pPr>
    </w:p>
    <w:p>
      <w:pPr>
        <w:spacing w:line="6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一、基本要求</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1、功能要求：</w:t>
      </w:r>
      <w:r>
        <w:rPr>
          <w:rFonts w:hint="eastAsia" w:ascii="仿宋" w:hAnsi="仿宋" w:eastAsia="仿宋" w:cs="仿宋"/>
          <w:sz w:val="28"/>
          <w:szCs w:val="28"/>
          <w:lang w:eastAsia="zh-CN"/>
        </w:rPr>
        <w:t>本项目需分为远程技术检测、现场督导检查、机房威胁评估三种方式。远程技术检测需要对100余个互联网系统（含网站）进行互联网信息收集、手工渗透，发现安全问题，并按照单位要求编写技术检测报告。现场抽查需要对单位进行现场检查工作和检查数据分析及报告整理编写。对机房内网开展技术检测，发现安全问题，并现场提供技术指导，按照单位要求编写技术检测报告。</w:t>
      </w:r>
    </w:p>
    <w:tbl>
      <w:tblPr>
        <w:tblStyle w:val="3"/>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805"/>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502" w:type="pct"/>
            <w:shd w:val="clear" w:color="000000" w:fill="D0CEC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序号</w:t>
            </w:r>
          </w:p>
        </w:tc>
        <w:tc>
          <w:tcPr>
            <w:tcW w:w="1053" w:type="pct"/>
            <w:shd w:val="clear" w:color="000000" w:fill="D0CEC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内容</w:t>
            </w:r>
          </w:p>
        </w:tc>
        <w:tc>
          <w:tcPr>
            <w:tcW w:w="3444" w:type="pct"/>
            <w:shd w:val="clear" w:color="000000" w:fill="D0CEC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1</w:t>
            </w:r>
          </w:p>
        </w:tc>
        <w:tc>
          <w:tcPr>
            <w:tcW w:w="105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全市网络安全技术检测</w:t>
            </w: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针对我市党政机关互联网业务系统（含网站）进行技术平台检测。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p>
        </w:tc>
        <w:tc>
          <w:tcPr>
            <w:tcW w:w="105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前期信息收集统计、人工漏洞挖掘、漏洞分析。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p>
        </w:tc>
        <w:tc>
          <w:tcPr>
            <w:tcW w:w="105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lang w:val="en-US" w:eastAsia="zh-CN"/>
              </w:rPr>
            </w:pPr>
            <w:r>
              <w:rPr>
                <w:rFonts w:hint="eastAsia" w:ascii="仿宋_GB2312" w:hAnsi="仿宋" w:cs="宋体"/>
                <w:color w:val="000000"/>
                <w:kern w:val="0"/>
                <w:sz w:val="24"/>
                <w:szCs w:val="24"/>
                <w:lang w:val="en-US" w:eastAsia="zh-CN"/>
              </w:rPr>
              <w:t>汇总</w:t>
            </w:r>
            <w:r>
              <w:rPr>
                <w:rFonts w:hint="eastAsia" w:ascii="仿宋_GB2312" w:hAnsi="仿宋" w:eastAsia="仿宋_GB2312" w:cs="宋体"/>
                <w:color w:val="000000"/>
                <w:kern w:val="0"/>
                <w:sz w:val="24"/>
                <w:szCs w:val="24"/>
                <w:lang w:val="en-US" w:eastAsia="zh-CN"/>
              </w:rPr>
              <w:t>形成</w:t>
            </w:r>
            <w:r>
              <w:rPr>
                <w:rFonts w:hint="eastAsia" w:ascii="仿宋_GB2312" w:hAnsi="仿宋" w:eastAsia="仿宋_GB2312" w:cs="宋体"/>
                <w:color w:val="000000"/>
                <w:kern w:val="0"/>
                <w:sz w:val="24"/>
                <w:szCs w:val="24"/>
              </w:rPr>
              <w:t>漏洞整改建议和检测结果报告</w:t>
            </w:r>
            <w:r>
              <w:rPr>
                <w:rFonts w:hint="eastAsia" w:ascii="仿宋_GB2312" w:hAnsi="仿宋"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0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2</w:t>
            </w:r>
          </w:p>
        </w:tc>
        <w:tc>
          <w:tcPr>
            <w:tcW w:w="105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机房内网安全监测</w:t>
            </w: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监测</w:t>
            </w:r>
            <w:r>
              <w:rPr>
                <w:rFonts w:hint="eastAsia" w:ascii="仿宋_GB2312" w:hAnsi="仿宋" w:eastAsia="仿宋_GB2312" w:cs="宋体"/>
                <w:color w:val="000000"/>
                <w:kern w:val="0"/>
                <w:sz w:val="24"/>
                <w:szCs w:val="24"/>
              </w:rPr>
              <w:t>网络流量中病毒、木马、蠕虫、僵尸网络，缓冲区溢出攻击、DDOS、扫描探测、欺骗劫持、SQL注入、XSS、网站挂马、异常流量、隐蔽通道、AET逃逸攻击等。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3</w:t>
            </w:r>
          </w:p>
        </w:tc>
        <w:tc>
          <w:tcPr>
            <w:tcW w:w="105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现场检查</w:t>
            </w: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rPr>
              <w:t>深入县区对部分内网系统进行专项技术抽查</w:t>
            </w:r>
            <w:r>
              <w:rPr>
                <w:rFonts w:hint="eastAsia" w:ascii="仿宋_GB2312" w:hAnsi="仿宋" w:eastAsia="仿宋_GB2312"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p>
        </w:tc>
        <w:tc>
          <w:tcPr>
            <w:tcW w:w="105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根据技术检测结果，对于问题严重的区县进行现场</w:t>
            </w:r>
            <w:r>
              <w:rPr>
                <w:rFonts w:hint="eastAsia" w:ascii="仿宋_GB2312" w:hAnsi="仿宋" w:eastAsia="仿宋_GB2312" w:cs="宋体"/>
                <w:color w:val="000000"/>
                <w:kern w:val="0"/>
                <w:sz w:val="24"/>
                <w:szCs w:val="24"/>
                <w:lang w:val="en-US" w:eastAsia="zh-CN"/>
              </w:rPr>
              <w:t>访谈</w:t>
            </w:r>
            <w:r>
              <w:rPr>
                <w:rFonts w:hint="eastAsia" w:ascii="仿宋_GB2312" w:hAnsi="仿宋" w:eastAsia="仿宋_GB2312"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rPr>
            </w:pPr>
          </w:p>
        </w:tc>
        <w:tc>
          <w:tcPr>
            <w:tcW w:w="105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rPr>
            </w:pP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lang w:eastAsia="zh-CN"/>
              </w:rPr>
              <w:t>配合网信办根据检测及访谈结果进行现场反馈，现场根据各单位实际情况进行技术指导</w:t>
            </w:r>
            <w:r>
              <w:rPr>
                <w:rFonts w:hint="eastAsia" w:ascii="仿宋_GB2312" w:hAnsi="仿宋"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4</w:t>
            </w:r>
          </w:p>
        </w:tc>
        <w:tc>
          <w:tcPr>
            <w:tcW w:w="105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rPr>
              <w:t>协助整改验证</w:t>
            </w: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根据检查结果对存在问题单位的情况进行跟踪，验证整改结果及有效性，并将整改结果、进度报市委网信办。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5</w:t>
            </w:r>
          </w:p>
        </w:tc>
        <w:tc>
          <w:tcPr>
            <w:tcW w:w="105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应急保障</w:t>
            </w: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重要敏感时期加强对渭南市重要网站和系统的监测防护，建立应急值班制度，并派至少2名工程师现场7*24小时驻守，及时稳妥应对处置突发网络安全事件。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lang w:val="en-US" w:eastAsia="zh-CN"/>
              </w:rPr>
              <w:t>6</w:t>
            </w:r>
          </w:p>
        </w:tc>
        <w:tc>
          <w:tcPr>
            <w:tcW w:w="105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 w:eastAsia="仿宋_GB2312" w:cs="宋体"/>
                <w:color w:val="000000"/>
                <w:kern w:val="0"/>
                <w:sz w:val="24"/>
                <w:szCs w:val="24"/>
                <w:lang w:val="en-US" w:eastAsia="zh-CN"/>
              </w:rPr>
            </w:pPr>
            <w:r>
              <w:rPr>
                <w:rFonts w:hint="eastAsia" w:ascii="仿宋_GB2312" w:hAnsi="仿宋" w:eastAsia="仿宋_GB2312" w:cs="宋体"/>
                <w:color w:val="000000"/>
                <w:kern w:val="0"/>
                <w:sz w:val="24"/>
                <w:szCs w:val="24"/>
              </w:rPr>
              <w:t>编制报告</w:t>
            </w:r>
          </w:p>
        </w:tc>
        <w:tc>
          <w:tcPr>
            <w:tcW w:w="3444"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将网络安全自查、网络安全抽查结果进行分析汇总，编制检查结果报告，并按照市委网信办领导要求进行修改完善。</w:t>
            </w:r>
          </w:p>
        </w:tc>
      </w:tr>
    </w:tbl>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NDZlOGE4YzBiODhkNTY3NTdiYjNiMTljZmEwZTcifQ=="/>
  </w:docVars>
  <w:rsids>
    <w:rsidRoot w:val="00000000"/>
    <w:rsid w:val="5A44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2022-12-22T03:41:59Z</dcterms:created>
  <dc:creator>DELL</dc:creator>
  <cp:lastModifiedBy>zl</cp:lastModifiedBy>
  <dcterms:modified xsi:type="dcterms:W3CDTF">2022-12-22T03:43:38Z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83A84B793D7F43C096BE4A4AD81112D7</vt:lpwstr>
  </property>
</Properties>
</file>