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 w:hAnsi="仿宋" w:eastAsia="仿宋" w:cs="仿宋"/>
          <w:color w:val="000000" w:themeColor="text1"/>
          <w:highlight w:val="none"/>
          <w14:textFill>
            <w14:solidFill>
              <w14:schemeClr w14:val="tx1"/>
            </w14:solidFill>
          </w14:textFill>
        </w:rPr>
      </w:pPr>
      <w:bookmarkStart w:id="0" w:name="_Toc426378982"/>
      <w:r>
        <w:rPr>
          <w:rFonts w:hint="eastAsia" w:ascii="仿宋" w:hAnsi="仿宋" w:eastAsia="仿宋" w:cs="仿宋"/>
          <w:b/>
          <w:color w:val="000000" w:themeColor="text1"/>
          <w:sz w:val="32"/>
          <w:highlight w:val="none"/>
          <w:bdr w:val="single" w:color="auto" w:sz="4" w:space="0"/>
          <w14:textFill>
            <w14:solidFill>
              <w14:schemeClr w14:val="tx1"/>
            </w14:solidFill>
          </w14:textFill>
        </w:rPr>
        <w:t>政府采购</w:t>
      </w: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kern w:val="0"/>
          <w:sz w:val="52"/>
          <w:szCs w:val="52"/>
          <w:highlight w:val="none"/>
          <w14:textFill>
            <w14:solidFill>
              <w14:schemeClr w14:val="tx1"/>
            </w14:solidFill>
          </w14:textFill>
        </w:rPr>
      </w:pPr>
      <w:r>
        <w:rPr>
          <w:rFonts w:hint="eastAsia" w:ascii="仿宋" w:hAnsi="仿宋" w:eastAsia="仿宋" w:cs="仿宋"/>
          <w:b/>
          <w:color w:val="000000" w:themeColor="text1"/>
          <w:kern w:val="0"/>
          <w:sz w:val="52"/>
          <w:szCs w:val="52"/>
          <w:highlight w:val="none"/>
          <w14:textFill>
            <w14:solidFill>
              <w14:schemeClr w14:val="tx1"/>
            </w14:solidFill>
          </w14:textFill>
        </w:rPr>
        <w:t>渭南市交通环境空气质量自动监测站建设项目</w:t>
      </w: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jc w:val="center"/>
        <w:rPr>
          <w:rFonts w:hint="eastAsia" w:ascii="仿宋" w:hAnsi="仿宋" w:eastAsia="仿宋" w:cs="仿宋"/>
          <w:b/>
          <w:color w:val="000000" w:themeColor="text1"/>
          <w:kern w:val="0"/>
          <w:sz w:val="72"/>
          <w:szCs w:val="72"/>
          <w:highlight w:val="none"/>
          <w14:textFill>
            <w14:solidFill>
              <w14:schemeClr w14:val="tx1"/>
            </w14:solidFill>
          </w14:textFill>
        </w:rPr>
      </w:pPr>
      <w:r>
        <w:rPr>
          <w:rFonts w:hint="eastAsia" w:ascii="仿宋" w:hAnsi="仿宋" w:eastAsia="仿宋" w:cs="仿宋"/>
          <w:b/>
          <w:color w:val="000000" w:themeColor="text1"/>
          <w:kern w:val="0"/>
          <w:sz w:val="72"/>
          <w:szCs w:val="72"/>
          <w:highlight w:val="none"/>
          <w14:textFill>
            <w14:solidFill>
              <w14:schemeClr w14:val="tx1"/>
            </w14:solidFill>
          </w14:textFill>
        </w:rPr>
        <w:t>招 标 文 件</w:t>
      </w:r>
    </w:p>
    <w:p>
      <w:pPr>
        <w:jc w:val="center"/>
        <w:rPr>
          <w:rFonts w:hint="eastAsia" w:ascii="仿宋" w:hAnsi="仿宋" w:eastAsia="仿宋" w:cs="仿宋"/>
          <w:b/>
          <w:color w:val="000000" w:themeColor="text1"/>
          <w:sz w:val="32"/>
          <w:szCs w:val="21"/>
          <w:highlight w:val="none"/>
          <w14:textFill>
            <w14:solidFill>
              <w14:schemeClr w14:val="tx1"/>
            </w14:solidFill>
          </w14:textFill>
        </w:rPr>
      </w:pPr>
    </w:p>
    <w:p>
      <w:pPr>
        <w:jc w:val="center"/>
        <w:rPr>
          <w:rFonts w:hint="eastAsia" w:ascii="仿宋" w:hAnsi="仿宋" w:eastAsia="仿宋" w:cs="仿宋"/>
          <w:color w:val="000000" w:themeColor="text1"/>
          <w:sz w:val="18"/>
          <w:szCs w:val="16"/>
          <w:highlight w:val="none"/>
          <w:lang w:val="en-US" w:eastAsia="zh-CN"/>
          <w14:textFill>
            <w14:solidFill>
              <w14:schemeClr w14:val="tx1"/>
            </w14:solidFill>
          </w14:textFill>
        </w:rPr>
      </w:pPr>
      <w:bookmarkStart w:id="154" w:name="_GoBack"/>
      <w:r>
        <w:rPr>
          <w:rFonts w:hint="eastAsia" w:ascii="仿宋" w:hAnsi="仿宋" w:eastAsia="仿宋" w:cs="仿宋"/>
          <w:b/>
          <w:color w:val="000000" w:themeColor="text1"/>
          <w:sz w:val="32"/>
          <w:szCs w:val="20"/>
          <w:highlight w:val="none"/>
          <w14:textFill>
            <w14:solidFill>
              <w14:schemeClr w14:val="tx1"/>
            </w14:solidFill>
          </w14:textFill>
        </w:rPr>
        <w:t>陕利招字【2022】-1</w:t>
      </w:r>
      <w:r>
        <w:rPr>
          <w:rFonts w:hint="eastAsia" w:ascii="仿宋" w:hAnsi="仿宋" w:eastAsia="仿宋" w:cs="仿宋"/>
          <w:b/>
          <w:color w:val="000000" w:themeColor="text1"/>
          <w:sz w:val="32"/>
          <w:szCs w:val="20"/>
          <w:highlight w:val="none"/>
          <w:lang w:val="en-US" w:eastAsia="zh-CN"/>
          <w14:textFill>
            <w14:solidFill>
              <w14:schemeClr w14:val="tx1"/>
            </w14:solidFill>
          </w14:textFill>
        </w:rPr>
        <w:t>2</w:t>
      </w:r>
      <w:r>
        <w:rPr>
          <w:rFonts w:hint="eastAsia" w:ascii="仿宋" w:hAnsi="仿宋" w:eastAsia="仿宋" w:cs="仿宋"/>
          <w:b/>
          <w:color w:val="000000" w:themeColor="text1"/>
          <w:sz w:val="32"/>
          <w:szCs w:val="20"/>
          <w:highlight w:val="none"/>
          <w14:textFill>
            <w14:solidFill>
              <w14:schemeClr w14:val="tx1"/>
            </w14:solidFill>
          </w14:textFill>
        </w:rPr>
        <w:t>-0</w:t>
      </w:r>
      <w:r>
        <w:rPr>
          <w:rFonts w:hint="eastAsia" w:ascii="仿宋" w:hAnsi="仿宋" w:eastAsia="仿宋" w:cs="仿宋"/>
          <w:b/>
          <w:color w:val="000000" w:themeColor="text1"/>
          <w:sz w:val="32"/>
          <w:szCs w:val="20"/>
          <w:highlight w:val="none"/>
          <w:lang w:val="en-US" w:eastAsia="zh-CN"/>
          <w14:textFill>
            <w14:solidFill>
              <w14:schemeClr w14:val="tx1"/>
            </w14:solidFill>
          </w14:textFill>
        </w:rPr>
        <w:t>3</w:t>
      </w:r>
    </w:p>
    <w:bookmarkEnd w:id="154"/>
    <w:p>
      <w:pPr>
        <w:rPr>
          <w:rFonts w:hint="eastAsia" w:ascii="仿宋" w:hAnsi="仿宋" w:eastAsia="仿宋" w:cs="仿宋"/>
          <w:b/>
          <w:color w:val="000000" w:themeColor="text1"/>
          <w:kern w:val="0"/>
          <w:sz w:val="28"/>
          <w:szCs w:val="28"/>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1"/>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1"/>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1"/>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highlight w:val="none"/>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kern w:val="0"/>
          <w:sz w:val="40"/>
          <w:szCs w:val="40"/>
          <w:highlight w:val="none"/>
          <w14:textFill>
            <w14:solidFill>
              <w14:schemeClr w14:val="tx1"/>
            </w14:solidFill>
          </w14:textFill>
        </w:rPr>
      </w:pPr>
      <w:r>
        <w:rPr>
          <w:rFonts w:hint="eastAsia" w:ascii="仿宋" w:hAnsi="仿宋" w:eastAsia="仿宋" w:cs="仿宋"/>
          <w:b/>
          <w:color w:val="000000" w:themeColor="text1"/>
          <w:kern w:val="0"/>
          <w:sz w:val="40"/>
          <w:szCs w:val="40"/>
          <w:highlight w:val="none"/>
          <w14:textFill>
            <w14:solidFill>
              <w14:schemeClr w14:val="tx1"/>
            </w14:solidFill>
          </w14:textFill>
        </w:rPr>
        <w:t>陕西利隆建设项目管理有限公司</w:t>
      </w:r>
    </w:p>
    <w:p>
      <w:pPr>
        <w:spacing w:line="360" w:lineRule="auto"/>
        <w:jc w:val="center"/>
        <w:rPr>
          <w:rFonts w:hint="eastAsia" w:ascii="仿宋" w:hAnsi="仿宋" w:eastAsia="仿宋" w:cs="仿宋"/>
          <w:b/>
          <w:color w:val="000000" w:themeColor="text1"/>
          <w:kern w:val="0"/>
          <w:sz w:val="40"/>
          <w:szCs w:val="40"/>
          <w:highlight w:val="none"/>
          <w14:textFill>
            <w14:solidFill>
              <w14:schemeClr w14:val="tx1"/>
            </w14:solidFill>
          </w14:textFill>
        </w:rPr>
      </w:pPr>
      <w:r>
        <w:rPr>
          <w:rFonts w:hint="eastAsia" w:ascii="仿宋" w:hAnsi="仿宋" w:eastAsia="仿宋" w:cs="仿宋"/>
          <w:b/>
          <w:color w:val="000000" w:themeColor="text1"/>
          <w:kern w:val="0"/>
          <w:sz w:val="40"/>
          <w:szCs w:val="40"/>
          <w:highlight w:val="none"/>
          <w14:textFill>
            <w14:solidFill>
              <w14:schemeClr w14:val="tx1"/>
            </w14:solidFill>
          </w14:textFill>
        </w:rPr>
        <w:t>2022年</w:t>
      </w:r>
      <w:r>
        <w:rPr>
          <w:rFonts w:hint="eastAsia" w:ascii="仿宋" w:hAnsi="仿宋" w:eastAsia="仿宋" w:cs="仿宋"/>
          <w:b/>
          <w:color w:val="000000" w:themeColor="text1"/>
          <w:kern w:val="0"/>
          <w:sz w:val="40"/>
          <w:szCs w:val="40"/>
          <w:highlight w:val="none"/>
          <w:lang w:val="en-US" w:eastAsia="zh-CN"/>
          <w14:textFill>
            <w14:solidFill>
              <w14:schemeClr w14:val="tx1"/>
            </w14:solidFill>
          </w14:textFill>
        </w:rPr>
        <w:t>12</w:t>
      </w:r>
      <w:r>
        <w:rPr>
          <w:rFonts w:hint="eastAsia" w:ascii="仿宋" w:hAnsi="仿宋" w:eastAsia="仿宋" w:cs="仿宋"/>
          <w:b/>
          <w:color w:val="000000" w:themeColor="text1"/>
          <w:kern w:val="0"/>
          <w:sz w:val="40"/>
          <w:szCs w:val="40"/>
          <w:highlight w:val="none"/>
          <w14:textFill>
            <w14:solidFill>
              <w14:schemeClr w14:val="tx1"/>
            </w14:solidFill>
          </w14:textFill>
        </w:rPr>
        <w:t>月</w:t>
      </w:r>
    </w:p>
    <w:p>
      <w:pPr>
        <w:rPr>
          <w:rFonts w:hint="eastAsia" w:ascii="仿宋" w:hAnsi="仿宋" w:eastAsia="仿宋" w:cs="仿宋"/>
          <w:b/>
          <w:sz w:val="40"/>
          <w:szCs w:val="24"/>
          <w:highlight w:val="none"/>
          <w:lang w:val="zh-CN"/>
        </w:rPr>
      </w:pPr>
    </w:p>
    <w:p>
      <w:pPr>
        <w:pStyle w:val="86"/>
        <w:spacing w:before="120" w:beforeLines="50" w:after="120" w:afterLines="50" w:line="360" w:lineRule="auto"/>
        <w:jc w:val="center"/>
        <w:rPr>
          <w:rFonts w:hint="eastAsia" w:ascii="仿宋" w:hAnsi="仿宋" w:eastAsia="仿宋" w:cs="仿宋"/>
          <w:b/>
          <w:color w:val="auto"/>
          <w:sz w:val="40"/>
          <w:szCs w:val="24"/>
          <w:highlight w:val="none"/>
        </w:rPr>
      </w:pPr>
      <w:r>
        <w:rPr>
          <w:rFonts w:hint="eastAsia" w:ascii="仿宋" w:hAnsi="仿宋" w:eastAsia="仿宋" w:cs="仿宋"/>
          <w:b/>
          <w:color w:val="auto"/>
          <w:sz w:val="40"/>
          <w:szCs w:val="24"/>
          <w:highlight w:val="none"/>
          <w:lang w:val="zh-CN"/>
        </w:rPr>
        <w:t>目 录</w:t>
      </w:r>
    </w:p>
    <w:p>
      <w:pPr>
        <w:pStyle w:val="33"/>
        <w:tabs>
          <w:tab w:val="right" w:leader="hyphen" w:pos="9072"/>
          <w:tab w:val="clear" w:pos="8296"/>
        </w:tabs>
        <w:spacing w:before="120" w:after="120"/>
        <w:ind w:firstLine="0" w:firstLineChars="0"/>
        <w:rPr>
          <w:rFonts w:hint="eastAsia" w:ascii="仿宋" w:hAnsi="仿宋" w:eastAsia="仿宋" w:cs="仿宋"/>
          <w:bCs/>
          <w:szCs w:val="44"/>
          <w:highlight w:val="none"/>
          <w:lang w:val="zh-CN"/>
        </w:rPr>
      </w:pPr>
      <w:r>
        <w:rPr>
          <w:rFonts w:hint="eastAsia" w:ascii="仿宋" w:hAnsi="仿宋" w:eastAsia="仿宋" w:cs="仿宋"/>
          <w:b/>
          <w:bCs/>
          <w:sz w:val="40"/>
          <w:szCs w:val="48"/>
          <w:highlight w:val="none"/>
        </w:rPr>
        <w:fldChar w:fldCharType="begin"/>
      </w:r>
      <w:r>
        <w:rPr>
          <w:rFonts w:hint="eastAsia" w:ascii="仿宋" w:hAnsi="仿宋" w:eastAsia="仿宋" w:cs="仿宋"/>
          <w:b/>
          <w:bCs/>
          <w:sz w:val="40"/>
          <w:szCs w:val="48"/>
          <w:highlight w:val="none"/>
        </w:rPr>
        <w:instrText xml:space="preserve"> TOC \o "1-3" \h \z \u </w:instrText>
      </w:r>
      <w:r>
        <w:rPr>
          <w:rFonts w:hint="eastAsia" w:ascii="仿宋" w:hAnsi="仿宋" w:eastAsia="仿宋" w:cs="仿宋"/>
          <w:b/>
          <w:bCs/>
          <w:sz w:val="40"/>
          <w:szCs w:val="48"/>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"_Toc7425" </w:instrText>
      </w:r>
      <w:r>
        <w:rPr>
          <w:rFonts w:hint="eastAsia" w:ascii="仿宋" w:hAnsi="仿宋" w:eastAsia="仿宋" w:cs="仿宋"/>
          <w:highlight w:val="none"/>
        </w:rPr>
        <w:fldChar w:fldCharType="separate"/>
      </w:r>
      <w:r>
        <w:rPr>
          <w:rFonts w:hint="eastAsia" w:ascii="仿宋" w:hAnsi="仿宋" w:eastAsia="仿宋" w:cs="仿宋"/>
          <w:bCs/>
          <w:szCs w:val="44"/>
          <w:highlight w:val="none"/>
          <w:lang w:val="zh-CN"/>
        </w:rPr>
        <w:t>第一部分 招标公告</w:t>
      </w:r>
      <w:r>
        <w:rPr>
          <w:rFonts w:hint="eastAsia" w:ascii="仿宋" w:hAnsi="仿宋" w:eastAsia="仿宋" w:cs="仿宋"/>
          <w:bCs/>
          <w:szCs w:val="44"/>
          <w:highlight w:val="none"/>
          <w:lang w:val="zh-CN"/>
        </w:rPr>
        <w:tab/>
      </w:r>
      <w:r>
        <w:rPr>
          <w:rFonts w:hint="eastAsia" w:ascii="仿宋" w:hAnsi="仿宋" w:eastAsia="仿宋" w:cs="仿宋"/>
          <w:bCs/>
          <w:szCs w:val="44"/>
          <w:highlight w:val="none"/>
          <w:lang w:val="zh-CN"/>
        </w:rPr>
        <w:fldChar w:fldCharType="begin"/>
      </w:r>
      <w:r>
        <w:rPr>
          <w:rFonts w:hint="eastAsia" w:ascii="仿宋" w:hAnsi="仿宋" w:eastAsia="仿宋" w:cs="仿宋"/>
          <w:bCs/>
          <w:szCs w:val="44"/>
          <w:highlight w:val="none"/>
          <w:lang w:val="zh-CN"/>
        </w:rPr>
        <w:instrText xml:space="preserve"> PAGEREF _Toc7425 \h </w:instrText>
      </w:r>
      <w:r>
        <w:rPr>
          <w:rFonts w:hint="eastAsia" w:ascii="仿宋" w:hAnsi="仿宋" w:eastAsia="仿宋" w:cs="仿宋"/>
          <w:bCs/>
          <w:szCs w:val="44"/>
          <w:highlight w:val="none"/>
          <w:lang w:val="zh-CN"/>
        </w:rPr>
        <w:fldChar w:fldCharType="separate"/>
      </w:r>
      <w:r>
        <w:rPr>
          <w:rFonts w:hint="eastAsia" w:ascii="仿宋" w:hAnsi="仿宋" w:eastAsia="仿宋" w:cs="仿宋"/>
          <w:bCs/>
          <w:szCs w:val="44"/>
          <w:highlight w:val="none"/>
          <w:lang w:val="zh-CN"/>
        </w:rPr>
        <w:t>1</w:t>
      </w:r>
      <w:r>
        <w:rPr>
          <w:rFonts w:hint="eastAsia" w:ascii="仿宋" w:hAnsi="仿宋" w:eastAsia="仿宋" w:cs="仿宋"/>
          <w:bCs/>
          <w:szCs w:val="44"/>
          <w:highlight w:val="none"/>
          <w:lang w:val="zh-CN"/>
        </w:rPr>
        <w:fldChar w:fldCharType="end"/>
      </w:r>
      <w:r>
        <w:rPr>
          <w:rFonts w:hint="eastAsia" w:ascii="仿宋" w:hAnsi="仿宋" w:eastAsia="仿宋" w:cs="仿宋"/>
          <w:bCs/>
          <w:szCs w:val="44"/>
          <w:highlight w:val="none"/>
          <w:lang w:val="zh-CN"/>
        </w:rPr>
        <w:fldChar w:fldCharType="end"/>
      </w:r>
    </w:p>
    <w:p>
      <w:pPr>
        <w:pStyle w:val="33"/>
        <w:tabs>
          <w:tab w:val="right" w:leader="hyphen" w:pos="9072"/>
          <w:tab w:val="clear" w:pos="8296"/>
        </w:tabs>
        <w:spacing w:before="120" w:after="120"/>
        <w:ind w:firstLine="0" w:firstLineChars="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"_Toc8587"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第二部分 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_Toc8587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3"/>
        <w:tabs>
          <w:tab w:val="right" w:leader="hyphen" w:pos="9072"/>
          <w:tab w:val="clear" w:pos="8296"/>
        </w:tabs>
        <w:spacing w:before="120" w:after="120"/>
        <w:ind w:firstLine="0" w:firstLineChars="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"_Toc16167"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第三部分 技术要求与商务要求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_Toc16167 \h </w:instrText>
      </w:r>
      <w:r>
        <w:rPr>
          <w:rFonts w:hint="eastAsia" w:ascii="仿宋" w:hAnsi="仿宋" w:eastAsia="仿宋" w:cs="仿宋"/>
          <w:highlight w:val="none"/>
        </w:rPr>
        <w:fldChar w:fldCharType="separate"/>
      </w:r>
      <w:r>
        <w:rPr>
          <w:rFonts w:hint="eastAsia" w:ascii="仿宋" w:hAnsi="仿宋" w:eastAsia="仿宋" w:cs="仿宋"/>
          <w:highlight w:val="none"/>
        </w:rPr>
        <w:t>18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3"/>
        <w:tabs>
          <w:tab w:val="right" w:leader="hyphen" w:pos="9072"/>
          <w:tab w:val="clear" w:pos="8296"/>
        </w:tabs>
        <w:spacing w:before="120" w:after="120"/>
        <w:ind w:firstLine="0" w:firstLineChars="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"_Toc31685"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第四部分 评标方法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_Toc31685 \h </w:instrText>
      </w:r>
      <w:r>
        <w:rPr>
          <w:rFonts w:hint="eastAsia" w:ascii="仿宋" w:hAnsi="仿宋" w:eastAsia="仿宋" w:cs="仿宋"/>
          <w:highlight w:val="none"/>
        </w:rPr>
        <w:fldChar w:fldCharType="separate"/>
      </w:r>
      <w:r>
        <w:rPr>
          <w:rFonts w:hint="eastAsia" w:ascii="仿宋" w:hAnsi="仿宋" w:eastAsia="仿宋" w:cs="仿宋"/>
          <w:highlight w:val="none"/>
        </w:rPr>
        <w:t>33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3"/>
        <w:tabs>
          <w:tab w:val="right" w:leader="hyphen" w:pos="9072"/>
          <w:tab w:val="clear" w:pos="8296"/>
        </w:tabs>
        <w:spacing w:before="120" w:after="120"/>
        <w:ind w:firstLine="0" w:firstLineChars="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"_Toc29375"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第五部分 合同格式（参考文本）</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_Toc29375 \h </w:instrText>
      </w:r>
      <w:r>
        <w:rPr>
          <w:rFonts w:hint="eastAsia" w:ascii="仿宋" w:hAnsi="仿宋" w:eastAsia="仿宋" w:cs="仿宋"/>
          <w:highlight w:val="none"/>
        </w:rPr>
        <w:fldChar w:fldCharType="separate"/>
      </w:r>
      <w:r>
        <w:rPr>
          <w:rFonts w:hint="eastAsia" w:ascii="仿宋" w:hAnsi="仿宋" w:eastAsia="仿宋" w:cs="仿宋"/>
          <w:highlight w:val="none"/>
        </w:rPr>
        <w:t>39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3"/>
        <w:tabs>
          <w:tab w:val="right" w:leader="hyphen" w:pos="9072"/>
          <w:tab w:val="clear" w:pos="8296"/>
        </w:tabs>
        <w:spacing w:before="120" w:after="120"/>
        <w:ind w:firstLine="0" w:firstLineChars="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"_Toc30408"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第六部分 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_Toc30408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spacing w:line="360" w:lineRule="auto"/>
        <w:rPr>
          <w:rFonts w:hint="eastAsia" w:ascii="仿宋" w:hAnsi="仿宋" w:eastAsia="仿宋" w:cs="仿宋"/>
          <w:highlight w:val="none"/>
        </w:rPr>
      </w:pPr>
      <w:r>
        <w:rPr>
          <w:rFonts w:hint="eastAsia" w:ascii="仿宋" w:hAnsi="仿宋" w:eastAsia="仿宋" w:cs="仿宋"/>
          <w:bCs/>
          <w:szCs w:val="44"/>
          <w:highlight w:val="none"/>
          <w:lang w:val="zh-CN"/>
        </w:rPr>
        <w:fldChar w:fldCharType="end"/>
      </w:r>
    </w:p>
    <w:p>
      <w:pPr>
        <w:adjustRightInd w:val="0"/>
        <w:snapToGrid w:val="0"/>
        <w:spacing w:after="120" w:afterLines="50" w:line="500" w:lineRule="exact"/>
        <w:jc w:val="center"/>
        <w:outlineLvl w:val="0"/>
        <w:rPr>
          <w:rFonts w:hint="eastAsia" w:ascii="仿宋" w:hAnsi="仿宋" w:eastAsia="仿宋" w:cs="仿宋"/>
          <w:b/>
          <w:sz w:val="36"/>
          <w:szCs w:val="36"/>
          <w:highlight w:val="none"/>
        </w:rPr>
        <w:sectPr>
          <w:headerReference r:id="rId3" w:type="default"/>
          <w:footerReference r:id="rId4" w:type="default"/>
          <w:pgSz w:w="11906" w:h="16838"/>
          <w:pgMar w:top="1417" w:right="1417" w:bottom="1417" w:left="1417" w:header="851" w:footer="850" w:gutter="0"/>
          <w:cols w:space="720" w:num="1"/>
          <w:titlePg/>
          <w:docGrid w:linePitch="312" w:charSpace="0"/>
        </w:sectPr>
      </w:pPr>
    </w:p>
    <w:p>
      <w:pPr>
        <w:adjustRightInd w:val="0"/>
        <w:snapToGrid w:val="0"/>
        <w:spacing w:after="120" w:afterLines="50" w:line="500" w:lineRule="exact"/>
        <w:jc w:val="center"/>
        <w:outlineLvl w:val="0"/>
        <w:rPr>
          <w:rFonts w:hint="eastAsia" w:ascii="仿宋" w:hAnsi="仿宋" w:eastAsia="仿宋" w:cs="仿宋"/>
          <w:b/>
          <w:sz w:val="36"/>
          <w:szCs w:val="36"/>
          <w:highlight w:val="none"/>
        </w:rPr>
      </w:pPr>
      <w:bookmarkStart w:id="1" w:name="_Toc7425"/>
      <w:r>
        <w:rPr>
          <w:rFonts w:hint="eastAsia" w:ascii="仿宋" w:hAnsi="仿宋" w:eastAsia="仿宋" w:cs="仿宋"/>
          <w:b/>
          <w:sz w:val="36"/>
          <w:szCs w:val="36"/>
          <w:highlight w:val="none"/>
        </w:rPr>
        <w:t xml:space="preserve">第一部分 </w:t>
      </w:r>
      <w:bookmarkEnd w:id="0"/>
      <w:r>
        <w:rPr>
          <w:rFonts w:hint="eastAsia" w:ascii="仿宋" w:hAnsi="仿宋" w:eastAsia="仿宋" w:cs="仿宋"/>
          <w:b/>
          <w:sz w:val="36"/>
          <w:szCs w:val="36"/>
          <w:highlight w:val="none"/>
        </w:rPr>
        <w:t>招标公告</w:t>
      </w:r>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line="360" w:lineRule="auto"/>
        <w:ind w:left="0" w:firstLine="0"/>
        <w:jc w:val="center"/>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渭南市环境保护监测站渭南市交通环境空气质量自动监测站建设项目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line="360" w:lineRule="auto"/>
        <w:ind w:left="0" w:firstLine="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val="en-US" w:eastAsia="zh-CN" w:bidi="ar"/>
        </w:rPr>
        <w:t>招标公告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color w:val="auto"/>
          <w:sz w:val="21"/>
          <w:szCs w:val="21"/>
          <w:highlight w:val="none"/>
        </w:rPr>
      </w:pPr>
      <w:r>
        <w:rPr>
          <w:rStyle w:val="53"/>
          <w:rFonts w:hint="eastAsia" w:ascii="仿宋" w:hAnsi="仿宋" w:eastAsia="仿宋" w:cs="仿宋"/>
          <w:b/>
          <w:bCs/>
          <w:i w:val="0"/>
          <w:iCs w:val="0"/>
          <w:caps w:val="0"/>
          <w:color w:val="auto"/>
          <w:spacing w:val="0"/>
          <w:sz w:val="21"/>
          <w:szCs w:val="21"/>
          <w:highlight w:val="none"/>
          <w:shd w:val="clear" w:color="auto" w:fill="FFFFFF"/>
        </w:rPr>
        <w:t>项目概况</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i w:val="0"/>
          <w:iCs w:val="0"/>
          <w:caps w:val="0"/>
          <w:color w:val="auto"/>
          <w:spacing w:val="0"/>
          <w:sz w:val="21"/>
          <w:szCs w:val="21"/>
          <w:highlight w:val="none"/>
          <w:shd w:val="clear" w:color="auto" w:fill="FFFFFF"/>
        </w:rPr>
        <w:t>渭南市交通环境空气质量自动监测站建设项目招标项目的潜在投标人应在陕西利隆建设项目管理有限公司（渭南市临渭区朝阳大街与西四路十字审计小区东座301室）获取招标文件，并于2022年</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12 </w:t>
      </w:r>
      <w:r>
        <w:rPr>
          <w:rFonts w:hint="eastAsia" w:ascii="仿宋" w:hAnsi="仿宋" w:eastAsia="仿宋" w:cs="仿宋"/>
          <w:i w:val="0"/>
          <w:iCs w:val="0"/>
          <w:caps w:val="0"/>
          <w:color w:val="auto"/>
          <w:spacing w:val="0"/>
          <w:sz w:val="21"/>
          <w:szCs w:val="21"/>
          <w:highlight w:val="none"/>
          <w:shd w:val="clear" w:color="auto" w:fill="FFFFFF"/>
        </w:rPr>
        <w:t>月</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27 </w:t>
      </w:r>
      <w:r>
        <w:rPr>
          <w:rFonts w:hint="eastAsia" w:ascii="仿宋" w:hAnsi="仿宋" w:eastAsia="仿宋" w:cs="仿宋"/>
          <w:i w:val="0"/>
          <w:iCs w:val="0"/>
          <w:caps w:val="0"/>
          <w:color w:val="auto"/>
          <w:spacing w:val="0"/>
          <w:sz w:val="21"/>
          <w:szCs w:val="21"/>
          <w:highlight w:val="none"/>
          <w:shd w:val="clear" w:color="auto" w:fill="FFFFFF"/>
        </w:rPr>
        <w:t>日</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9  </w:t>
      </w:r>
      <w:r>
        <w:rPr>
          <w:rFonts w:hint="eastAsia" w:ascii="仿宋" w:hAnsi="仿宋" w:eastAsia="仿宋" w:cs="仿宋"/>
          <w:i w:val="0"/>
          <w:iCs w:val="0"/>
          <w:caps w:val="0"/>
          <w:color w:val="auto"/>
          <w:spacing w:val="0"/>
          <w:sz w:val="21"/>
          <w:szCs w:val="21"/>
          <w:highlight w:val="none"/>
          <w:shd w:val="clear" w:color="auto" w:fill="FFFFFF"/>
        </w:rPr>
        <w:t>时</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00 </w:t>
      </w:r>
      <w:r>
        <w:rPr>
          <w:rFonts w:hint="eastAsia" w:ascii="仿宋" w:hAnsi="仿宋" w:eastAsia="仿宋" w:cs="仿宋"/>
          <w:i w:val="0"/>
          <w:iCs w:val="0"/>
          <w:caps w:val="0"/>
          <w:color w:val="auto"/>
          <w:spacing w:val="0"/>
          <w:sz w:val="21"/>
          <w:szCs w:val="21"/>
          <w:highlight w:val="none"/>
          <w:shd w:val="clear" w:color="auto" w:fill="FFFFFF"/>
        </w:rPr>
        <w:t>分（北京时间）前递交投标文件。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highlight w:val="none"/>
        </w:rPr>
      </w:pPr>
      <w:r>
        <w:rPr>
          <w:rStyle w:val="53"/>
          <w:rFonts w:hint="eastAsia" w:ascii="仿宋" w:hAnsi="仿宋" w:eastAsia="仿宋" w:cs="仿宋"/>
          <w:b/>
          <w:bCs/>
          <w:i w:val="0"/>
          <w:iCs w:val="0"/>
          <w:caps w:val="0"/>
          <w:color w:val="auto"/>
          <w:spacing w:val="0"/>
          <w:sz w:val="21"/>
          <w:szCs w:val="21"/>
          <w:highlight w:val="none"/>
          <w:shd w:val="clear" w:color="auto" w:fill="FFFFFF"/>
        </w:rPr>
        <w:t>一、项目基本情况</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项目编号：陕利招字【2022】-12-03</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项目名称：渭南市交通环境空气质量自动监测站建设项目</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采购方式：公开招标</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预算金额：2,435,000.00元</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采购需求：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合同包1(渭南市交通环境空气质量自动监测站建设项目):</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合同包预算金额：2,435,000.00元</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合同包最高限价：2,435,000.00元</w:t>
      </w:r>
    </w:p>
    <w:tbl>
      <w:tblPr>
        <w:tblStyle w:val="47"/>
        <w:tblW w:w="94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81"/>
        <w:gridCol w:w="1455"/>
        <w:gridCol w:w="1185"/>
        <w:gridCol w:w="1425"/>
        <w:gridCol w:w="1305"/>
        <w:gridCol w:w="1564"/>
        <w:gridCol w:w="15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7" w:hRule="atLeast"/>
          <w:tblHeader/>
        </w:trPr>
        <w:tc>
          <w:tcPr>
            <w:tcW w:w="98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bidi="ar"/>
              </w:rPr>
              <w:t>品目号</w:t>
            </w:r>
          </w:p>
        </w:tc>
        <w:tc>
          <w:tcPr>
            <w:tcW w:w="145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bidi="ar"/>
              </w:rPr>
              <w:t>品目名称</w:t>
            </w:r>
          </w:p>
        </w:tc>
        <w:tc>
          <w:tcPr>
            <w:tcW w:w="118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bidi="ar"/>
              </w:rPr>
              <w:t>采购标的</w:t>
            </w:r>
          </w:p>
        </w:tc>
        <w:tc>
          <w:tcPr>
            <w:tcW w:w="142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bidi="ar"/>
              </w:rPr>
              <w:t>数量（单位）</w:t>
            </w:r>
          </w:p>
        </w:tc>
        <w:tc>
          <w:tcPr>
            <w:tcW w:w="130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bidi="ar"/>
              </w:rPr>
              <w:t>技术规格、参数及要求</w:t>
            </w:r>
          </w:p>
        </w:tc>
        <w:tc>
          <w:tcPr>
            <w:tcW w:w="156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bidi="ar"/>
              </w:rPr>
              <w:t>品目预算(元)</w:t>
            </w:r>
          </w:p>
        </w:tc>
        <w:tc>
          <w:tcPr>
            <w:tcW w:w="158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6" w:hRule="atLeast"/>
        </w:trPr>
        <w:tc>
          <w:tcPr>
            <w:tcW w:w="98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1-1</w:t>
            </w:r>
          </w:p>
        </w:tc>
        <w:tc>
          <w:tcPr>
            <w:tcW w:w="145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环保监测设备</w:t>
            </w:r>
          </w:p>
        </w:tc>
        <w:tc>
          <w:tcPr>
            <w:tcW w:w="118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2435000</w:t>
            </w:r>
          </w:p>
        </w:tc>
        <w:tc>
          <w:tcPr>
            <w:tcW w:w="142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1(套)</w:t>
            </w:r>
          </w:p>
        </w:tc>
        <w:tc>
          <w:tcPr>
            <w:tcW w:w="130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详见采购文件</w:t>
            </w:r>
          </w:p>
        </w:tc>
        <w:tc>
          <w:tcPr>
            <w:tcW w:w="156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jc w:val="righ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2,435,000.00</w:t>
            </w:r>
          </w:p>
        </w:tc>
        <w:tc>
          <w:tcPr>
            <w:tcW w:w="158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jc w:val="righ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2,435,000.00</w:t>
            </w:r>
          </w:p>
        </w:tc>
      </w:tr>
    </w:tbl>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本合同包不接受联合体投标</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合同履行期限：合同签订生效后120天内需要交货完毕、安装调试完成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highlight w:val="none"/>
        </w:rPr>
      </w:pPr>
      <w:r>
        <w:rPr>
          <w:rStyle w:val="53"/>
          <w:rFonts w:hint="eastAsia" w:ascii="仿宋" w:hAnsi="仿宋" w:eastAsia="仿宋" w:cs="仿宋"/>
          <w:b/>
          <w:bCs/>
          <w:i w:val="0"/>
          <w:iCs w:val="0"/>
          <w:caps w:val="0"/>
          <w:color w:val="auto"/>
          <w:spacing w:val="0"/>
          <w:sz w:val="21"/>
          <w:szCs w:val="21"/>
          <w:highlight w:val="none"/>
          <w:shd w:val="clear" w:color="auto" w:fill="FFFFFF"/>
        </w:rPr>
        <w:t>二、申请人的资格要求：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1.满足《中华人民共和国政府采购法》第二十二条规定;</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2.落实政府采购政策需满足的资格要求：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合同包1(渭南市交通环境空气质量自动监测站建设项目)落实政府采购政策需满足的资格要求如下: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本项目专门面向中小企业采购</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（1）《政府采购促进中小企业发展管理办法》(财库〔2020〕46号)；</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（2）《财政部关于进一步加大政府采购支持中小企业力度的通知》（财库〔2022〕19号）</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（3）《财政部司法部关于政府采购支持监狱企业发展有关问题的通知》--财 [2014]68号；</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（4）《国务院办公厅关于建立政府强制采购节能产品制度的通知》--国办发[2007]51号；</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（5）《节能产品政府采购实施意见》--财库[2004]185号；</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shd w:val="clear" w:color="auto" w:fill="FFFFFF"/>
          <w:lang w:eastAsia="zh-CN"/>
        </w:rPr>
      </w:pPr>
      <w:r>
        <w:rPr>
          <w:rFonts w:hint="eastAsia" w:ascii="仿宋" w:hAnsi="仿宋" w:eastAsia="仿宋" w:cs="仿宋"/>
          <w:i w:val="0"/>
          <w:iCs w:val="0"/>
          <w:caps w:val="0"/>
          <w:color w:val="auto"/>
          <w:spacing w:val="0"/>
          <w:sz w:val="21"/>
          <w:szCs w:val="21"/>
          <w:highlight w:val="none"/>
          <w:shd w:val="clear" w:color="auto" w:fill="FFFFFF"/>
        </w:rPr>
        <w:t>（6）《环境标志产品政府采购实施的意见》--财库[2006]90号</w:t>
      </w:r>
      <w:r>
        <w:rPr>
          <w:rFonts w:hint="eastAsia" w:ascii="仿宋" w:hAnsi="仿宋" w:eastAsia="仿宋" w:cs="仿宋"/>
          <w:i w:val="0"/>
          <w:iCs w:val="0"/>
          <w:caps w:val="0"/>
          <w:color w:val="auto"/>
          <w:spacing w:val="0"/>
          <w:sz w:val="21"/>
          <w:szCs w:val="21"/>
          <w:highlight w:val="none"/>
          <w:shd w:val="clear" w:color="auto" w:fill="FFFFFF"/>
          <w:lang w:eastAsia="zh-CN"/>
        </w:rPr>
        <w:t>；</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（7）《财政部民政部中国残疾人联合会关于促进残疾人就业政府采购政策的通知》（财库〔2017〕141号）；</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（8）《财政部 发展改革委 生态环境部 市场监管总局关于调整优化节能产品、环境标志产品政府采购执行机制的通知》（财库〔2019〕9号）。</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3.本项目的特定资格要求：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合同包1(渭南市交通环境空气质量自动监测站建设项目)特定资格要求如下: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（1）具有独立承担民事责任能力的法人、其他组织或自然人，并出具合法有效的统一社会信用代码的营业执照或事业单位法人证书等国家规定的相关证明，自然人参与的提供其身份证明；</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（2）法定代表人授权书及被授权人身份证（法人参加只需提供身份证原件）；</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3）财务状况报告：提供上一年度的财务审计报告（至少包括资产负债表和利润表，成立时间至提交投标文件截止时间不足一年的可提供成立后任意时段的资产负债表），或提供投标截止时间前三个月内其基本开户银行出具的资信证明及基本账户开户许可证或政府采购信用担保机构出具的担保函；</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（4）税收缴纳证明：提供已缴纳的本年度连续三个月的缴税凭证，依法免税的应提供相关文件证明； </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（5）社会保障资金缴纳证明：提供已缴纳的本年度连续三个月的社会保障资金缴存单据或社保机构开具的社会保险参保缴费情况证明，依法不需要缴纳社会保障资金的单位应提供相关证明材料； </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lang w:eastAsia="zh-CN"/>
        </w:rPr>
      </w:pPr>
      <w:r>
        <w:rPr>
          <w:rFonts w:hint="eastAsia" w:ascii="仿宋" w:hAnsi="仿宋" w:eastAsia="仿宋" w:cs="仿宋"/>
          <w:i w:val="0"/>
          <w:iCs w:val="0"/>
          <w:caps w:val="0"/>
          <w:color w:val="auto"/>
          <w:spacing w:val="0"/>
          <w:sz w:val="21"/>
          <w:szCs w:val="21"/>
          <w:highlight w:val="none"/>
          <w:shd w:val="clear" w:color="auto" w:fill="FFFFFF"/>
        </w:rPr>
        <w:t>（6）提供保证金交纳凭证（截图加盖供应商公章）或担保机构出具的保函</w:t>
      </w:r>
      <w:r>
        <w:rPr>
          <w:rFonts w:hint="eastAsia" w:ascii="仿宋" w:hAnsi="仿宋" w:eastAsia="仿宋" w:cs="仿宋"/>
          <w:i w:val="0"/>
          <w:iCs w:val="0"/>
          <w:caps w:val="0"/>
          <w:color w:val="auto"/>
          <w:spacing w:val="0"/>
          <w:sz w:val="21"/>
          <w:szCs w:val="21"/>
          <w:highlight w:val="none"/>
          <w:shd w:val="clear" w:color="auto" w:fill="FFFFFF"/>
          <w:lang w:eastAsia="zh-CN"/>
        </w:rPr>
        <w:t>；</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7）投标供应商不得为“信用中国”网站（www.creditchina.gov.cn）中列入失信被执行人和重大税收违法失信主体的投标供应商，不得为中国政府采购网（www.ccgp.gov.cn）政府采购严重违法失信行为记录名单中被财政部门禁止参加政府采购活动的投标供应商； </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（8）供应商应出具参加政府采购活动前3年内在经营活动中没有重大违法记录的书面声明；</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（9）提供具有履行合同所必需的设备和专业技术能力；</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（10）本项目专门面向中小企业采购；</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（11）本项目不接受联合体。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highlight w:val="none"/>
        </w:rPr>
      </w:pPr>
      <w:r>
        <w:rPr>
          <w:rStyle w:val="53"/>
          <w:rFonts w:hint="eastAsia" w:ascii="仿宋" w:hAnsi="仿宋" w:eastAsia="仿宋" w:cs="仿宋"/>
          <w:b/>
          <w:bCs/>
          <w:i w:val="0"/>
          <w:iCs w:val="0"/>
          <w:caps w:val="0"/>
          <w:color w:val="auto"/>
          <w:spacing w:val="0"/>
          <w:sz w:val="21"/>
          <w:szCs w:val="21"/>
          <w:highlight w:val="none"/>
          <w:shd w:val="clear" w:color="auto" w:fill="FFFFFF"/>
        </w:rPr>
        <w:t>三、获取招标文件</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时间：2022年</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12 </w:t>
      </w:r>
      <w:r>
        <w:rPr>
          <w:rFonts w:hint="eastAsia" w:ascii="仿宋" w:hAnsi="仿宋" w:eastAsia="仿宋" w:cs="仿宋"/>
          <w:i w:val="0"/>
          <w:iCs w:val="0"/>
          <w:caps w:val="0"/>
          <w:color w:val="auto"/>
          <w:spacing w:val="0"/>
          <w:sz w:val="21"/>
          <w:szCs w:val="21"/>
          <w:highlight w:val="none"/>
          <w:shd w:val="clear" w:color="auto" w:fill="FFFFFF"/>
        </w:rPr>
        <w:t>月</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06 </w:t>
      </w:r>
      <w:r>
        <w:rPr>
          <w:rFonts w:hint="eastAsia" w:ascii="仿宋" w:hAnsi="仿宋" w:eastAsia="仿宋" w:cs="仿宋"/>
          <w:i w:val="0"/>
          <w:iCs w:val="0"/>
          <w:caps w:val="0"/>
          <w:color w:val="auto"/>
          <w:spacing w:val="0"/>
          <w:sz w:val="21"/>
          <w:szCs w:val="21"/>
          <w:highlight w:val="none"/>
          <w:shd w:val="clear" w:color="auto" w:fill="FFFFFF"/>
        </w:rPr>
        <w:t>日至2022年</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12 </w:t>
      </w:r>
      <w:r>
        <w:rPr>
          <w:rFonts w:hint="eastAsia" w:ascii="仿宋" w:hAnsi="仿宋" w:eastAsia="仿宋" w:cs="仿宋"/>
          <w:i w:val="0"/>
          <w:iCs w:val="0"/>
          <w:caps w:val="0"/>
          <w:color w:val="auto"/>
          <w:spacing w:val="0"/>
          <w:sz w:val="21"/>
          <w:szCs w:val="21"/>
          <w:highlight w:val="none"/>
          <w:shd w:val="clear" w:color="auto" w:fill="FFFFFF"/>
        </w:rPr>
        <w:t>月</w:t>
      </w:r>
      <w:r>
        <w:rPr>
          <w:rFonts w:hint="eastAsia" w:ascii="仿宋" w:hAnsi="仿宋" w:eastAsia="仿宋" w:cs="仿宋"/>
          <w:i w:val="0"/>
          <w:iCs w:val="0"/>
          <w:caps w:val="0"/>
          <w:color w:val="auto"/>
          <w:spacing w:val="0"/>
          <w:sz w:val="21"/>
          <w:szCs w:val="21"/>
          <w:highlight w:val="none"/>
          <w:shd w:val="clear" w:color="auto" w:fill="FFFFFF"/>
          <w:lang w:val="en-US" w:eastAsia="zh-CN"/>
        </w:rPr>
        <w:t xml:space="preserve"> </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12 </w:t>
      </w:r>
      <w:r>
        <w:rPr>
          <w:rFonts w:hint="eastAsia" w:ascii="仿宋" w:hAnsi="仿宋" w:eastAsia="仿宋" w:cs="仿宋"/>
          <w:i w:val="0"/>
          <w:iCs w:val="0"/>
          <w:caps w:val="0"/>
          <w:color w:val="auto"/>
          <w:spacing w:val="0"/>
          <w:sz w:val="21"/>
          <w:szCs w:val="21"/>
          <w:highlight w:val="none"/>
          <w:shd w:val="clear" w:color="auto" w:fill="FFFFFF"/>
        </w:rPr>
        <w:t>日，每天上午09:00:00至12:00:00，下午</w:t>
      </w:r>
      <w:r>
        <w:rPr>
          <w:rFonts w:hint="eastAsia" w:ascii="仿宋" w:hAnsi="仿宋" w:eastAsia="仿宋" w:cs="仿宋"/>
          <w:i w:val="0"/>
          <w:iCs w:val="0"/>
          <w:caps w:val="0"/>
          <w:color w:val="auto"/>
          <w:spacing w:val="0"/>
          <w:sz w:val="21"/>
          <w:szCs w:val="21"/>
          <w:highlight w:val="none"/>
          <w:shd w:val="clear" w:color="auto" w:fill="FFFFFF"/>
          <w:lang w:val="en-US" w:eastAsia="zh-CN"/>
        </w:rPr>
        <w:t>14</w:t>
      </w:r>
      <w:r>
        <w:rPr>
          <w:rFonts w:hint="eastAsia" w:ascii="仿宋" w:hAnsi="仿宋" w:eastAsia="仿宋" w:cs="仿宋"/>
          <w:i w:val="0"/>
          <w:iCs w:val="0"/>
          <w:caps w:val="0"/>
          <w:color w:val="auto"/>
          <w:spacing w:val="0"/>
          <w:sz w:val="21"/>
          <w:szCs w:val="21"/>
          <w:highlight w:val="none"/>
          <w:shd w:val="clear" w:color="auto" w:fill="FFFFFF"/>
        </w:rPr>
        <w:t>:00:00至 17:00:00 （北京时间）</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途径：陕西利隆建设项目管理有限公司（渭南市临渭区朝阳大街与西四路十字审计小区东座301室）</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方式：现场获取</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售价：500元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highlight w:val="none"/>
        </w:rPr>
      </w:pPr>
      <w:r>
        <w:rPr>
          <w:rStyle w:val="53"/>
          <w:rFonts w:hint="eastAsia" w:ascii="仿宋" w:hAnsi="仿宋" w:eastAsia="仿宋" w:cs="仿宋"/>
          <w:b/>
          <w:bCs/>
          <w:i w:val="0"/>
          <w:iCs w:val="0"/>
          <w:caps w:val="0"/>
          <w:color w:val="auto"/>
          <w:spacing w:val="0"/>
          <w:sz w:val="21"/>
          <w:szCs w:val="21"/>
          <w:highlight w:val="none"/>
          <w:shd w:val="clear" w:color="auto" w:fill="FFFFFF"/>
        </w:rPr>
        <w:t>四、提交投标文件截止时间、开标时间和地点</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时间：2022年</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12 </w:t>
      </w:r>
      <w:r>
        <w:rPr>
          <w:rFonts w:hint="eastAsia" w:ascii="仿宋" w:hAnsi="仿宋" w:eastAsia="仿宋" w:cs="仿宋"/>
          <w:i w:val="0"/>
          <w:iCs w:val="0"/>
          <w:caps w:val="0"/>
          <w:color w:val="auto"/>
          <w:spacing w:val="0"/>
          <w:sz w:val="21"/>
          <w:szCs w:val="21"/>
          <w:highlight w:val="none"/>
          <w:shd w:val="clear" w:color="auto" w:fill="FFFFFF"/>
        </w:rPr>
        <w:t>月</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27 </w:t>
      </w:r>
      <w:r>
        <w:rPr>
          <w:rFonts w:hint="eastAsia" w:ascii="仿宋" w:hAnsi="仿宋" w:eastAsia="仿宋" w:cs="仿宋"/>
          <w:i w:val="0"/>
          <w:iCs w:val="0"/>
          <w:caps w:val="0"/>
          <w:color w:val="auto"/>
          <w:spacing w:val="0"/>
          <w:sz w:val="21"/>
          <w:szCs w:val="21"/>
          <w:highlight w:val="none"/>
          <w:shd w:val="clear" w:color="auto" w:fill="FFFFFF"/>
        </w:rPr>
        <w:t>日</w:t>
      </w:r>
      <w:r>
        <w:rPr>
          <w:rFonts w:hint="eastAsia" w:ascii="仿宋" w:hAnsi="仿宋" w:eastAsia="仿宋" w:cs="仿宋"/>
          <w:i w:val="0"/>
          <w:iCs w:val="0"/>
          <w:caps w:val="0"/>
          <w:color w:val="auto"/>
          <w:spacing w:val="0"/>
          <w:sz w:val="21"/>
          <w:szCs w:val="21"/>
          <w:highlight w:val="none"/>
          <w:u w:val="single"/>
          <w:shd w:val="clear" w:color="auto" w:fill="FFFFFF"/>
        </w:rPr>
        <w:t xml:space="preserve"> </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9  </w:t>
      </w:r>
      <w:r>
        <w:rPr>
          <w:rFonts w:hint="eastAsia" w:ascii="仿宋" w:hAnsi="仿宋" w:eastAsia="仿宋" w:cs="仿宋"/>
          <w:i w:val="0"/>
          <w:iCs w:val="0"/>
          <w:caps w:val="0"/>
          <w:color w:val="auto"/>
          <w:spacing w:val="0"/>
          <w:sz w:val="21"/>
          <w:szCs w:val="21"/>
          <w:highlight w:val="none"/>
          <w:shd w:val="clear" w:color="auto" w:fill="FFFFFF"/>
        </w:rPr>
        <w:t>时</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00 </w:t>
      </w:r>
      <w:r>
        <w:rPr>
          <w:rFonts w:hint="eastAsia" w:ascii="仿宋" w:hAnsi="仿宋" w:eastAsia="仿宋" w:cs="仿宋"/>
          <w:i w:val="0"/>
          <w:iCs w:val="0"/>
          <w:caps w:val="0"/>
          <w:color w:val="auto"/>
          <w:spacing w:val="0"/>
          <w:sz w:val="21"/>
          <w:szCs w:val="21"/>
          <w:highlight w:val="none"/>
          <w:shd w:val="clear" w:color="auto" w:fill="FFFFFF"/>
        </w:rPr>
        <w:t>分</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00  </w:t>
      </w:r>
      <w:r>
        <w:rPr>
          <w:rFonts w:hint="eastAsia" w:ascii="仿宋" w:hAnsi="仿宋" w:eastAsia="仿宋" w:cs="仿宋"/>
          <w:i w:val="0"/>
          <w:iCs w:val="0"/>
          <w:caps w:val="0"/>
          <w:color w:val="auto"/>
          <w:spacing w:val="0"/>
          <w:sz w:val="21"/>
          <w:szCs w:val="21"/>
          <w:highlight w:val="none"/>
          <w:shd w:val="clear" w:color="auto" w:fill="FFFFFF"/>
        </w:rPr>
        <w:t>秒（北京时间）</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提交投标文件地点：渭南市市民综合服务中心西配楼一楼公共资源交易中心开标</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四 </w:t>
      </w:r>
      <w:r>
        <w:rPr>
          <w:rFonts w:hint="eastAsia" w:ascii="仿宋" w:hAnsi="仿宋" w:eastAsia="仿宋" w:cs="仿宋"/>
          <w:i w:val="0"/>
          <w:iCs w:val="0"/>
          <w:caps w:val="0"/>
          <w:color w:val="auto"/>
          <w:spacing w:val="0"/>
          <w:sz w:val="21"/>
          <w:szCs w:val="21"/>
          <w:highlight w:val="none"/>
          <w:shd w:val="clear" w:color="auto" w:fill="FFFFFF"/>
        </w:rPr>
        <w:t>室</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开标地点：渭南市市民综合服务中心西配楼一楼公共资源交易中心开标</w:t>
      </w:r>
      <w:r>
        <w:rPr>
          <w:rFonts w:hint="eastAsia" w:ascii="仿宋" w:hAnsi="仿宋" w:eastAsia="仿宋" w:cs="仿宋"/>
          <w:i w:val="0"/>
          <w:iCs w:val="0"/>
          <w:caps w:val="0"/>
          <w:color w:val="auto"/>
          <w:spacing w:val="0"/>
          <w:sz w:val="21"/>
          <w:szCs w:val="21"/>
          <w:highlight w:val="none"/>
          <w:u w:val="single"/>
          <w:shd w:val="clear" w:color="auto" w:fill="FFFFFF"/>
          <w:lang w:val="en-US" w:eastAsia="zh-CN"/>
        </w:rPr>
        <w:t xml:space="preserve"> 四 </w:t>
      </w:r>
      <w:r>
        <w:rPr>
          <w:rFonts w:hint="eastAsia" w:ascii="仿宋" w:hAnsi="仿宋" w:eastAsia="仿宋" w:cs="仿宋"/>
          <w:i w:val="0"/>
          <w:iCs w:val="0"/>
          <w:caps w:val="0"/>
          <w:color w:val="auto"/>
          <w:spacing w:val="0"/>
          <w:sz w:val="21"/>
          <w:szCs w:val="21"/>
          <w:highlight w:val="none"/>
          <w:shd w:val="clear" w:color="auto" w:fill="FFFFFF"/>
        </w:rPr>
        <w:t>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highlight w:val="none"/>
        </w:rPr>
      </w:pPr>
      <w:r>
        <w:rPr>
          <w:rStyle w:val="53"/>
          <w:rFonts w:hint="eastAsia" w:ascii="仿宋" w:hAnsi="仿宋" w:eastAsia="仿宋" w:cs="仿宋"/>
          <w:b/>
          <w:bCs/>
          <w:i w:val="0"/>
          <w:iCs w:val="0"/>
          <w:caps w:val="0"/>
          <w:color w:val="auto"/>
          <w:spacing w:val="0"/>
          <w:sz w:val="21"/>
          <w:szCs w:val="21"/>
          <w:highlight w:val="none"/>
          <w:shd w:val="clear" w:color="auto" w:fill="FFFFFF"/>
        </w:rPr>
        <w:t>五、公告期限</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自本公告发布之日起5个工作日。</w:t>
      </w:r>
    </w:p>
    <w:p>
      <w:pPr>
        <w:rPr>
          <w:rFonts w:hint="eastAsia" w:ascii="仿宋" w:hAnsi="仿宋" w:eastAsia="仿宋" w:cs="仿宋"/>
          <w:b/>
          <w:sz w:val="36"/>
          <w:szCs w:val="36"/>
          <w:highlight w:val="none"/>
        </w:rPr>
      </w:pPr>
      <w:bookmarkStart w:id="2" w:name="_Toc8587"/>
      <w:r>
        <w:rPr>
          <w:rFonts w:hint="eastAsia" w:ascii="仿宋" w:hAnsi="仿宋" w:eastAsia="仿宋" w:cs="仿宋"/>
          <w:b/>
          <w:sz w:val="36"/>
          <w:szCs w:val="36"/>
          <w:highlight w:val="none"/>
        </w:rPr>
        <w:br w:type="page"/>
      </w:r>
    </w:p>
    <w:p>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第二部分 供应商须知</w:t>
      </w:r>
      <w:bookmarkEnd w:id="2"/>
    </w:p>
    <w:p>
      <w:pPr>
        <w:pStyle w:val="6"/>
        <w:spacing w:before="0" w:after="0" w:line="360" w:lineRule="auto"/>
        <w:jc w:val="center"/>
        <w:rPr>
          <w:rFonts w:hint="eastAsia" w:ascii="仿宋" w:hAnsi="仿宋" w:eastAsia="仿宋" w:cs="仿宋"/>
          <w:sz w:val="28"/>
          <w:szCs w:val="28"/>
          <w:highlight w:val="none"/>
        </w:rPr>
      </w:pPr>
      <w:bookmarkStart w:id="3" w:name="_Toc14506"/>
      <w:bookmarkStart w:id="4" w:name="_Toc458617454"/>
      <w:bookmarkStart w:id="5" w:name="_Toc458617731"/>
      <w:bookmarkStart w:id="6" w:name="_Toc24891"/>
      <w:bookmarkStart w:id="7" w:name="_Toc2221"/>
      <w:bookmarkStart w:id="8" w:name="_Toc512327606"/>
      <w:bookmarkStart w:id="9" w:name="_Toc22886"/>
      <w:bookmarkStart w:id="10" w:name="_Toc532377910"/>
      <w:bookmarkStart w:id="11" w:name="_Toc527921943"/>
      <w:bookmarkStart w:id="12" w:name="_Toc528079666"/>
      <w:bookmarkStart w:id="13" w:name="_Toc10101819"/>
      <w:r>
        <w:rPr>
          <w:rFonts w:hint="eastAsia" w:ascii="仿宋" w:hAnsi="仿宋" w:eastAsia="仿宋" w:cs="仿宋"/>
          <w:sz w:val="28"/>
          <w:szCs w:val="28"/>
          <w:highlight w:val="none"/>
        </w:rPr>
        <w:t>投标供应商须知前附表</w:t>
      </w:r>
      <w:bookmarkEnd w:id="3"/>
      <w:bookmarkEnd w:id="4"/>
      <w:bookmarkEnd w:id="5"/>
      <w:bookmarkEnd w:id="6"/>
      <w:bookmarkEnd w:id="7"/>
      <w:bookmarkEnd w:id="8"/>
      <w:bookmarkEnd w:id="9"/>
    </w:p>
    <w:p>
      <w:pPr>
        <w:jc w:val="center"/>
        <w:rPr>
          <w:rFonts w:hint="eastAsia" w:ascii="仿宋" w:hAnsi="仿宋" w:eastAsia="仿宋" w:cs="仿宋"/>
          <w:b/>
          <w:sz w:val="15"/>
          <w:szCs w:val="15"/>
          <w:highlight w:val="none"/>
        </w:rPr>
      </w:pPr>
    </w:p>
    <w:tbl>
      <w:tblPr>
        <w:tblStyle w:val="47"/>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552"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条款名称</w:t>
            </w:r>
          </w:p>
        </w:tc>
        <w:tc>
          <w:tcPr>
            <w:tcW w:w="6520"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p>
        </w:tc>
        <w:tc>
          <w:tcPr>
            <w:tcW w:w="6520" w:type="dxa"/>
          </w:tcPr>
          <w:p>
            <w:pPr>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r>
              <w:rPr>
                <w:rFonts w:hint="eastAsia" w:ascii="仿宋" w:hAnsi="仿宋" w:eastAsia="仿宋" w:cs="仿宋"/>
                <w:kern w:val="0"/>
                <w:sz w:val="24"/>
                <w:szCs w:val="24"/>
                <w:highlight w:val="none"/>
              </w:rPr>
              <w:t>渭南市环境保护监测站</w:t>
            </w:r>
          </w:p>
          <w:p>
            <w:pPr>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地址：渭南市临渭区站北大街9号</w:t>
            </w:r>
          </w:p>
          <w:p>
            <w:pPr>
              <w:spacing w:line="42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联</w:t>
            </w:r>
            <w:r>
              <w:rPr>
                <w:rFonts w:hint="eastAsia" w:ascii="仿宋" w:hAnsi="仿宋" w:eastAsia="仿宋" w:cs="仿宋"/>
                <w:kern w:val="0"/>
                <w:sz w:val="24"/>
                <w:szCs w:val="24"/>
                <w:highlight w:val="none"/>
              </w:rPr>
              <w:t>系人：侯工</w:t>
            </w:r>
          </w:p>
          <w:p>
            <w:pPr>
              <w:spacing w:line="420" w:lineRule="exac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联系方式：0913-2368068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w:t>
            </w:r>
          </w:p>
        </w:tc>
        <w:tc>
          <w:tcPr>
            <w:tcW w:w="6520" w:type="dxa"/>
          </w:tcPr>
          <w:p>
            <w:pPr>
              <w:spacing w:line="42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名称：陕西利隆建设项目管理有限公司</w:t>
            </w:r>
          </w:p>
          <w:p>
            <w:pPr>
              <w:spacing w:line="42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地址：渭南市朝阳大街与西四路十字审计小区东座301室</w:t>
            </w:r>
          </w:p>
          <w:p>
            <w:pPr>
              <w:spacing w:line="42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联系人：郭先生</w:t>
            </w:r>
          </w:p>
          <w:p>
            <w:pPr>
              <w:spacing w:line="420" w:lineRule="exac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联系方式：0913-2056859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监督管理机构</w:t>
            </w:r>
          </w:p>
        </w:tc>
        <w:tc>
          <w:tcPr>
            <w:tcW w:w="6520" w:type="dxa"/>
          </w:tcPr>
          <w:p>
            <w:pPr>
              <w:pStyle w:val="279"/>
              <w:spacing w:before="0"/>
              <w:rPr>
                <w:rFonts w:hint="eastAsia" w:ascii="仿宋" w:hAnsi="仿宋" w:eastAsia="仿宋" w:cs="仿宋"/>
                <w:kern w:val="2"/>
                <w:highlight w:val="none"/>
              </w:rPr>
            </w:pPr>
            <w:r>
              <w:rPr>
                <w:rFonts w:hint="eastAsia" w:ascii="仿宋" w:hAnsi="仿宋" w:eastAsia="仿宋" w:cs="仿宋"/>
                <w:kern w:val="2"/>
                <w:highlight w:val="none"/>
              </w:rPr>
              <w:t>渭南市财政局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552" w:type="dxa"/>
            <w:vAlign w:val="center"/>
          </w:tcPr>
          <w:p>
            <w:pPr>
              <w:spacing w:line="4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6520" w:type="dxa"/>
          </w:tcPr>
          <w:p>
            <w:pPr>
              <w:spacing w:line="42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陕利招字【2022】-12-03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资金性质</w:t>
            </w:r>
          </w:p>
        </w:tc>
        <w:tc>
          <w:tcPr>
            <w:tcW w:w="6520" w:type="dxa"/>
          </w:tcPr>
          <w:p>
            <w:pPr>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552" w:type="dxa"/>
            <w:vAlign w:val="center"/>
          </w:tcPr>
          <w:p>
            <w:pPr>
              <w:spacing w:line="4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预算总金额</w:t>
            </w:r>
          </w:p>
        </w:tc>
        <w:tc>
          <w:tcPr>
            <w:tcW w:w="6520" w:type="dxa"/>
          </w:tcPr>
          <w:p>
            <w:pPr>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243.50万元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项目用途</w:t>
            </w:r>
          </w:p>
        </w:tc>
        <w:tc>
          <w:tcPr>
            <w:tcW w:w="6520" w:type="dxa"/>
          </w:tcPr>
          <w:p>
            <w:pPr>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交通环境空气质量自动监测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2552" w:type="dxa"/>
            <w:vAlign w:val="center"/>
          </w:tcPr>
          <w:p>
            <w:pPr>
              <w:spacing w:line="4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采购内容和要求</w:t>
            </w:r>
          </w:p>
        </w:tc>
        <w:tc>
          <w:tcPr>
            <w:tcW w:w="6520" w:type="dxa"/>
          </w:tcPr>
          <w:p>
            <w:pPr>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详细参数见第三部分采购内容及技术要求。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2552" w:type="dxa"/>
            <w:vAlign w:val="center"/>
          </w:tcPr>
          <w:p>
            <w:pPr>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投标供应商</w:t>
            </w:r>
          </w:p>
        </w:tc>
        <w:tc>
          <w:tcPr>
            <w:tcW w:w="6520" w:type="dxa"/>
          </w:tcPr>
          <w:p>
            <w:pPr>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响应</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"http://baike.baidu.com/view/8707.htm" \t "_blank"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招标</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并且符合招标文件规定资格条件的投标供应商。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2552" w:type="dxa"/>
            <w:vAlign w:val="center"/>
          </w:tcPr>
          <w:p>
            <w:pPr>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投标供应商资格要求</w:t>
            </w:r>
          </w:p>
        </w:tc>
        <w:tc>
          <w:tcPr>
            <w:tcW w:w="6520" w:type="dxa"/>
          </w:tcPr>
          <w:p>
            <w:pPr>
              <w:spacing w:line="420" w:lineRule="exact"/>
              <w:rPr>
                <w:rFonts w:hint="eastAsia" w:ascii="仿宋" w:hAnsi="仿宋" w:eastAsia="仿宋" w:cs="仿宋"/>
                <w:highlight w:val="none"/>
              </w:rPr>
            </w:pPr>
            <w:r>
              <w:rPr>
                <w:rFonts w:hint="eastAsia" w:ascii="仿宋" w:hAnsi="仿宋" w:eastAsia="仿宋" w:cs="仿宋"/>
                <w:highlight w:val="none"/>
              </w:rPr>
              <w:t>1.满足《中华人民共和国政府采购法》第二十二条规定;</w:t>
            </w:r>
          </w:p>
          <w:p>
            <w:pPr>
              <w:spacing w:line="420" w:lineRule="exact"/>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.本项目的特定资格要求：</w:t>
            </w:r>
          </w:p>
          <w:p>
            <w:pPr>
              <w:spacing w:line="420" w:lineRule="exact"/>
              <w:rPr>
                <w:rFonts w:hint="eastAsia" w:ascii="仿宋" w:hAnsi="仿宋" w:eastAsia="仿宋" w:cs="仿宋"/>
                <w:highlight w:val="none"/>
              </w:rPr>
            </w:pPr>
            <w:r>
              <w:rPr>
                <w:rFonts w:hint="eastAsia" w:ascii="仿宋" w:hAnsi="仿宋" w:eastAsia="仿宋" w:cs="仿宋"/>
                <w:highlight w:val="none"/>
              </w:rPr>
              <w:t>合同包1(渭南市交通环境空气质量自动监测站建设项目)特定资格要求如下:</w:t>
            </w:r>
          </w:p>
          <w:p>
            <w:pPr>
              <w:spacing w:line="420" w:lineRule="exact"/>
              <w:rPr>
                <w:rFonts w:hint="eastAsia" w:ascii="仿宋" w:hAnsi="仿宋" w:eastAsia="仿宋" w:cs="仿宋"/>
                <w:highlight w:val="none"/>
              </w:rPr>
            </w:pPr>
            <w:r>
              <w:rPr>
                <w:rFonts w:hint="eastAsia" w:ascii="仿宋" w:hAnsi="仿宋" w:eastAsia="仿宋" w:cs="仿宋"/>
                <w:highlight w:val="none"/>
              </w:rPr>
              <w:t>（1）具有独立承担民事责任能力的法人、其他组织或自然人，并出具合法有效的统一社会信用代码的营业执照或事业单位法人证书等国家规定的相关证明，自然人参与的提供其身份证明；</w:t>
            </w:r>
          </w:p>
          <w:p>
            <w:pPr>
              <w:spacing w:line="420" w:lineRule="exact"/>
              <w:rPr>
                <w:rFonts w:hint="eastAsia" w:ascii="仿宋" w:hAnsi="仿宋" w:eastAsia="仿宋" w:cs="仿宋"/>
                <w:highlight w:val="none"/>
              </w:rPr>
            </w:pPr>
            <w:r>
              <w:rPr>
                <w:rFonts w:hint="eastAsia" w:ascii="仿宋" w:hAnsi="仿宋" w:eastAsia="仿宋" w:cs="仿宋"/>
                <w:highlight w:val="none"/>
              </w:rPr>
              <w:t>（2）法定代表人授权书及被授权人身份证（法人参加只需提供身份证原件）；</w:t>
            </w:r>
          </w:p>
          <w:p>
            <w:pPr>
              <w:spacing w:line="420" w:lineRule="exact"/>
              <w:rPr>
                <w:rFonts w:hint="eastAsia" w:ascii="仿宋" w:hAnsi="仿宋" w:eastAsia="仿宋" w:cs="仿宋"/>
                <w:highlight w:val="none"/>
              </w:rPr>
            </w:pPr>
            <w:r>
              <w:rPr>
                <w:rFonts w:hint="eastAsia" w:ascii="仿宋" w:hAnsi="仿宋" w:eastAsia="仿宋" w:cs="仿宋"/>
                <w:highlight w:val="none"/>
              </w:rPr>
              <w:t>（3）财务状况报告：提供上一年度的财务审计报告（至少包括资产负债表和利润表，成立时间至提交投标文件截止时间不足一年的可提供成立后任意时段的资产负债表），或提供投标截止时间前三个月内其基本开户银行出具的资信证明及基本账户开户许可证或政府采购信用担保机构出具的担保函；</w:t>
            </w:r>
          </w:p>
          <w:p>
            <w:pPr>
              <w:spacing w:line="420" w:lineRule="exact"/>
              <w:rPr>
                <w:rFonts w:hint="eastAsia" w:ascii="仿宋" w:hAnsi="仿宋" w:eastAsia="仿宋" w:cs="仿宋"/>
                <w:highlight w:val="none"/>
              </w:rPr>
            </w:pPr>
            <w:r>
              <w:rPr>
                <w:rFonts w:hint="eastAsia" w:ascii="仿宋" w:hAnsi="仿宋" w:eastAsia="仿宋" w:cs="仿宋"/>
                <w:highlight w:val="none"/>
              </w:rPr>
              <w:t>（4）税收缴纳证明：提供已缴纳的本年度连续三个月的缴税凭证，依法免税的应提供相关文件证明； </w:t>
            </w:r>
          </w:p>
          <w:p>
            <w:pPr>
              <w:spacing w:line="420" w:lineRule="exact"/>
              <w:rPr>
                <w:rFonts w:hint="eastAsia" w:ascii="仿宋" w:hAnsi="仿宋" w:eastAsia="仿宋" w:cs="仿宋"/>
                <w:highlight w:val="none"/>
              </w:rPr>
            </w:pPr>
            <w:r>
              <w:rPr>
                <w:rFonts w:hint="eastAsia" w:ascii="仿宋" w:hAnsi="仿宋" w:eastAsia="仿宋" w:cs="仿宋"/>
                <w:highlight w:val="none"/>
              </w:rPr>
              <w:t>（5）社会保障资金缴纳证明：提供已缴纳的本年度连续三个月的社会保障资金缴存单据或社保机构开具的社会保险参保缴费情况证明，依法不需要缴纳社会保障资金的单位应提供相关证明材料； </w:t>
            </w:r>
          </w:p>
          <w:p>
            <w:pPr>
              <w:spacing w:line="420" w:lineRule="exact"/>
              <w:rPr>
                <w:rFonts w:hint="eastAsia" w:ascii="仿宋" w:hAnsi="仿宋" w:eastAsia="仿宋" w:cs="仿宋"/>
                <w:highlight w:val="none"/>
                <w:lang w:eastAsia="zh-CN"/>
              </w:rPr>
            </w:pPr>
            <w:r>
              <w:rPr>
                <w:rFonts w:hint="eastAsia" w:ascii="仿宋" w:hAnsi="仿宋" w:eastAsia="仿宋" w:cs="仿宋"/>
                <w:highlight w:val="none"/>
              </w:rPr>
              <w:t>（6）提供保证金交纳凭证（截图加盖供应商公章）或担保机构出具的保函</w:t>
            </w:r>
            <w:r>
              <w:rPr>
                <w:rFonts w:hint="eastAsia" w:ascii="仿宋" w:hAnsi="仿宋" w:eastAsia="仿宋" w:cs="仿宋"/>
                <w:highlight w:val="none"/>
                <w:lang w:eastAsia="zh-CN"/>
              </w:rPr>
              <w:t>；</w:t>
            </w:r>
          </w:p>
          <w:p>
            <w:pPr>
              <w:spacing w:line="420" w:lineRule="exact"/>
              <w:rPr>
                <w:rFonts w:hint="eastAsia" w:ascii="仿宋" w:hAnsi="仿宋" w:eastAsia="仿宋" w:cs="仿宋"/>
                <w:highlight w:val="none"/>
              </w:rPr>
            </w:pPr>
            <w:r>
              <w:rPr>
                <w:rFonts w:hint="eastAsia" w:ascii="仿宋" w:hAnsi="仿宋" w:eastAsia="仿宋" w:cs="仿宋"/>
                <w:highlight w:val="none"/>
              </w:rPr>
              <w:t>（7）投标供应商不得为“信用中国”网站（www.creditchina.gov.cn）中列入失信被执行人和重大税收违法失信主体的投标供应商，不得为中国政府采购网（www.ccgp.gov.cn）政府采购严重违法失信行为记录名单中被财政部门禁止参加政府采购活动的投标供应商； </w:t>
            </w:r>
          </w:p>
          <w:p>
            <w:pPr>
              <w:spacing w:line="420" w:lineRule="exact"/>
              <w:rPr>
                <w:rFonts w:hint="eastAsia" w:ascii="仿宋" w:hAnsi="仿宋" w:eastAsia="仿宋" w:cs="仿宋"/>
                <w:highlight w:val="none"/>
              </w:rPr>
            </w:pPr>
            <w:r>
              <w:rPr>
                <w:rFonts w:hint="eastAsia" w:ascii="仿宋" w:hAnsi="仿宋" w:eastAsia="仿宋" w:cs="仿宋"/>
                <w:highlight w:val="none"/>
              </w:rPr>
              <w:t>（8）供应商应出具参加政府采购活动前3年内在经营活动中没有重大违法记录的书面声明；</w:t>
            </w:r>
          </w:p>
          <w:p>
            <w:pPr>
              <w:spacing w:line="420" w:lineRule="exact"/>
              <w:rPr>
                <w:rFonts w:hint="eastAsia" w:ascii="仿宋" w:hAnsi="仿宋" w:eastAsia="仿宋" w:cs="仿宋"/>
                <w:highlight w:val="none"/>
              </w:rPr>
            </w:pPr>
            <w:r>
              <w:rPr>
                <w:rFonts w:hint="eastAsia" w:ascii="仿宋" w:hAnsi="仿宋" w:eastAsia="仿宋" w:cs="仿宋"/>
                <w:highlight w:val="none"/>
              </w:rPr>
              <w:t>（9）提供具有履行合同所必需的设备和专业技术能力；</w:t>
            </w:r>
          </w:p>
          <w:p>
            <w:pPr>
              <w:spacing w:line="420" w:lineRule="exact"/>
              <w:rPr>
                <w:rFonts w:hint="eastAsia" w:ascii="仿宋" w:hAnsi="仿宋" w:eastAsia="仿宋" w:cs="仿宋"/>
                <w:highlight w:val="none"/>
              </w:rPr>
            </w:pPr>
            <w:r>
              <w:rPr>
                <w:rFonts w:hint="eastAsia" w:ascii="仿宋" w:hAnsi="仿宋" w:eastAsia="仿宋" w:cs="仿宋"/>
                <w:highlight w:val="none"/>
              </w:rPr>
              <w:t>（10）本项目专门面向中小企业采购；</w:t>
            </w:r>
          </w:p>
          <w:p>
            <w:pPr>
              <w:spacing w:line="420" w:lineRule="exact"/>
              <w:rPr>
                <w:rFonts w:hint="eastAsia" w:ascii="仿宋" w:hAnsi="仿宋" w:eastAsia="仿宋" w:cs="仿宋"/>
                <w:highlight w:val="none"/>
              </w:rPr>
            </w:pPr>
            <w:r>
              <w:rPr>
                <w:rFonts w:hint="eastAsia" w:ascii="仿宋" w:hAnsi="仿宋" w:eastAsia="仿宋" w:cs="仿宋"/>
                <w:highlight w:val="none"/>
              </w:rPr>
              <w:t>（11）本项目不接受联合体。</w:t>
            </w:r>
          </w:p>
          <w:p>
            <w:pPr>
              <w:spacing w:line="420" w:lineRule="exact"/>
              <w:rPr>
                <w:rFonts w:hint="eastAsia" w:ascii="仿宋" w:hAnsi="仿宋" w:eastAsia="仿宋" w:cs="仿宋"/>
                <w:highlight w:val="none"/>
                <w:lang w:val="en-US" w:eastAsia="zh-CN"/>
              </w:rPr>
            </w:pPr>
            <w:r>
              <w:rPr>
                <w:rFonts w:hint="eastAsia" w:ascii="仿宋" w:hAnsi="仿宋" w:eastAsia="仿宋" w:cs="仿宋"/>
                <w:b/>
                <w:bCs/>
                <w:highlight w:val="none"/>
                <w:lang w:val="en-US" w:eastAsia="zh-CN"/>
              </w:rPr>
              <w:t>以上资质为必备资质，缺少一项按投标无效处理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交货期、供货地点</w:t>
            </w:r>
          </w:p>
        </w:tc>
        <w:tc>
          <w:tcPr>
            <w:tcW w:w="6520" w:type="dxa"/>
          </w:tcPr>
          <w:p>
            <w:pPr>
              <w:spacing w:line="42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交货期：合同签订生效后120天内需要交货完毕、安装调试完成</w:t>
            </w:r>
            <w:r>
              <w:rPr>
                <w:rFonts w:hint="eastAsia" w:ascii="仿宋" w:hAnsi="仿宋" w:eastAsia="仿宋" w:cs="仿宋"/>
                <w:kern w:val="0"/>
                <w:sz w:val="24"/>
                <w:szCs w:val="24"/>
                <w:highlight w:val="none"/>
              </w:rPr>
              <w:t>。</w:t>
            </w:r>
          </w:p>
          <w:p>
            <w:pPr>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供货地点：采购单位指定地点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现场勘查、标前答疑会</w:t>
            </w:r>
          </w:p>
        </w:tc>
        <w:tc>
          <w:tcPr>
            <w:tcW w:w="6520" w:type="dxa"/>
            <w:vAlign w:val="center"/>
          </w:tcPr>
          <w:p>
            <w:pPr>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不组织。投标供应商认为有必要可自行勘查，并承担所有费用及风险。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投标供应商对招标文件提出质疑的时间</w:t>
            </w:r>
          </w:p>
        </w:tc>
        <w:tc>
          <w:tcPr>
            <w:tcW w:w="6520" w:type="dxa"/>
          </w:tcPr>
          <w:p>
            <w:pPr>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投标供应商认为招标文件使自己的权益受到损害的，在收到招标文件之日起七个工作日内，以书面形式向采购代理机构提出质疑，逾期提出的视为无效，因此带来的一切不利后果由投标供应商自负。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构成招标文件的其他文件</w:t>
            </w:r>
          </w:p>
        </w:tc>
        <w:tc>
          <w:tcPr>
            <w:tcW w:w="6520" w:type="dxa"/>
          </w:tcPr>
          <w:p>
            <w:pPr>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2552" w:type="dxa"/>
            <w:vAlign w:val="center"/>
          </w:tcPr>
          <w:p>
            <w:pPr>
              <w:pStyle w:val="343"/>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投标文件提交截止时间、开标时间和地点</w:t>
            </w:r>
          </w:p>
          <w:p>
            <w:pPr>
              <w:spacing w:line="400" w:lineRule="exact"/>
              <w:jc w:val="center"/>
              <w:rPr>
                <w:rFonts w:hint="eastAsia" w:ascii="仿宋" w:hAnsi="仿宋" w:eastAsia="仿宋" w:cs="仿宋"/>
                <w:sz w:val="24"/>
                <w:szCs w:val="24"/>
                <w:highlight w:val="none"/>
              </w:rPr>
            </w:pPr>
          </w:p>
        </w:tc>
        <w:tc>
          <w:tcPr>
            <w:tcW w:w="6520" w:type="dxa"/>
          </w:tcPr>
          <w:p>
            <w:pPr>
              <w:pStyle w:val="343"/>
              <w:spacing w:line="42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1、投标文件提交截止时间：</w:t>
            </w:r>
            <w:r>
              <w:rPr>
                <w:rFonts w:hint="eastAsia" w:ascii="仿宋" w:hAnsi="仿宋" w:eastAsia="仿宋" w:cs="仿宋"/>
                <w:sz w:val="24"/>
                <w:szCs w:val="24"/>
                <w:highlight w:val="none"/>
                <w:u w:val="single"/>
              </w:rPr>
              <w:t>2022</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27</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lang w:val="en-US" w:eastAsia="zh-CN"/>
              </w:rPr>
              <w:t xml:space="preserve"> 9 </w:t>
            </w:r>
            <w:r>
              <w:rPr>
                <w:rFonts w:hint="eastAsia" w:ascii="仿宋" w:hAnsi="仿宋" w:eastAsia="仿宋" w:cs="仿宋"/>
                <w:sz w:val="24"/>
                <w:szCs w:val="24"/>
                <w:highlight w:val="none"/>
              </w:rPr>
              <w:t>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00</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分</w:t>
            </w:r>
          </w:p>
          <w:p>
            <w:pPr>
              <w:pStyle w:val="343"/>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2、开标时间：</w:t>
            </w:r>
            <w:r>
              <w:rPr>
                <w:rFonts w:hint="eastAsia" w:ascii="仿宋" w:hAnsi="仿宋" w:eastAsia="仿宋" w:cs="仿宋"/>
                <w:sz w:val="24"/>
                <w:szCs w:val="24"/>
                <w:highlight w:val="none"/>
                <w:u w:val="single"/>
              </w:rPr>
              <w:t>2022</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27</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lang w:val="en-US" w:eastAsia="zh-CN"/>
              </w:rPr>
              <w:t xml:space="preserve"> 9 </w:t>
            </w:r>
            <w:r>
              <w:rPr>
                <w:rFonts w:hint="eastAsia" w:ascii="仿宋" w:hAnsi="仿宋" w:eastAsia="仿宋" w:cs="仿宋"/>
                <w:sz w:val="24"/>
                <w:szCs w:val="24"/>
                <w:highlight w:val="none"/>
              </w:rPr>
              <w:t>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00</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分</w:t>
            </w:r>
          </w:p>
          <w:p>
            <w:pPr>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3、投标、开标地点：</w:t>
            </w:r>
            <w:r>
              <w:rPr>
                <w:rFonts w:hint="eastAsia" w:ascii="仿宋" w:hAnsi="仿宋" w:eastAsia="仿宋" w:cs="仿宋"/>
                <w:kern w:val="0"/>
                <w:sz w:val="24"/>
                <w:szCs w:val="24"/>
                <w:highlight w:val="none"/>
              </w:rPr>
              <w:t>渭南市市民综合服务中心西配楼一楼公共资源交易中心开标</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四 </w:t>
            </w:r>
            <w:r>
              <w:rPr>
                <w:rFonts w:hint="eastAsia" w:ascii="仿宋" w:hAnsi="仿宋" w:eastAsia="仿宋" w:cs="仿宋"/>
                <w:kern w:val="0"/>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6520" w:type="dxa"/>
            <w:vAlign w:val="center"/>
          </w:tcPr>
          <w:p>
            <w:pPr>
              <w:pStyle w:val="343"/>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自开标之日起90日历日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投标担保</w:t>
            </w:r>
          </w:p>
        </w:tc>
        <w:tc>
          <w:tcPr>
            <w:tcW w:w="6520" w:type="dxa"/>
          </w:tcPr>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投标保证金：人民币肆万元整（¥40000.00）。</w:t>
            </w:r>
          </w:p>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投标保证金的有效期与投标有效期一致。担保机构出具的保函的有效期为投标有效期延长一个月。</w:t>
            </w:r>
          </w:p>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投标保证金的交纳形式：转账、电汇、担保机构保函。</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以银行转账、电汇形式交纳投标保证金的(转账时请注明所投项目</w:t>
            </w:r>
            <w:r>
              <w:rPr>
                <w:rFonts w:hint="eastAsia" w:ascii="仿宋" w:hAnsi="仿宋" w:eastAsia="仿宋" w:cs="仿宋"/>
                <w:sz w:val="24"/>
                <w:szCs w:val="24"/>
                <w:highlight w:val="none"/>
                <w:lang w:val="en-US" w:eastAsia="zh-CN"/>
              </w:rPr>
              <w:t xml:space="preserve">名称 </w:t>
            </w:r>
            <w:r>
              <w:rPr>
                <w:rFonts w:hint="eastAsia" w:ascii="仿宋" w:hAnsi="仿宋" w:eastAsia="仿宋" w:cs="仿宋"/>
                <w:sz w:val="24"/>
                <w:szCs w:val="24"/>
                <w:highlight w:val="none"/>
              </w:rPr>
              <w:t>)，招标结束之后以转账形式退到</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的基本账户。</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以保函形式缴纳投标保证金的，在投标文件递交截止时间前须将担保机构保函</w:t>
            </w:r>
            <w:r>
              <w:rPr>
                <w:rFonts w:hint="eastAsia" w:ascii="仿宋" w:hAnsi="仿宋" w:eastAsia="仿宋" w:cs="仿宋"/>
                <w:b/>
                <w:bCs/>
                <w:color w:val="auto"/>
                <w:sz w:val="24"/>
                <w:szCs w:val="24"/>
                <w:highlight w:val="none"/>
              </w:rPr>
              <w:t>正本原件</w:t>
            </w:r>
            <w:r>
              <w:rPr>
                <w:rFonts w:hint="eastAsia" w:ascii="仿宋" w:hAnsi="仿宋" w:eastAsia="仿宋" w:cs="仿宋"/>
                <w:sz w:val="24"/>
                <w:szCs w:val="24"/>
                <w:highlight w:val="none"/>
              </w:rPr>
              <w:t>提交至采购代理机构备案，招标结束之后在规定时间内将保函正本原件退回。</w:t>
            </w:r>
          </w:p>
          <w:p>
            <w:pPr>
              <w:spacing w:line="48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以银行转账、电汇形式缴纳投标保证金的截止时间：</w:t>
            </w:r>
          </w:p>
          <w:p>
            <w:pPr>
              <w:spacing w:line="48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须在投标文件递交截止前到达以下帐户。由于转账当天不一定能够到账，为避免因保证金未到账而导致投标被拒绝，建议至少提前2个工作日转账。</w:t>
            </w:r>
          </w:p>
          <w:p>
            <w:pPr>
              <w:spacing w:line="48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户名：</w:t>
            </w:r>
            <w:r>
              <w:rPr>
                <w:rFonts w:hint="eastAsia" w:ascii="仿宋" w:hAnsi="仿宋" w:eastAsia="仿宋" w:cs="仿宋"/>
                <w:sz w:val="24"/>
                <w:szCs w:val="24"/>
                <w:highlight w:val="none"/>
                <w:lang w:eastAsia="zh-CN"/>
              </w:rPr>
              <w:t>陕西利隆建设项目管理有限公司</w:t>
            </w:r>
          </w:p>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r>
              <w:rPr>
                <w:rFonts w:hint="eastAsia" w:ascii="仿宋" w:hAnsi="仿宋" w:eastAsia="仿宋" w:cs="仿宋"/>
                <w:sz w:val="24"/>
                <w:szCs w:val="24"/>
                <w:highlight w:val="none"/>
                <w:lang w:eastAsia="zh-CN"/>
              </w:rPr>
              <w:t>2605025909020001177</w:t>
            </w:r>
          </w:p>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lang w:eastAsia="zh-CN"/>
              </w:rPr>
              <w:t>中国工商银行渭南仓程路支行</w:t>
            </w:r>
          </w:p>
          <w:p>
            <w:pPr>
              <w:spacing w:line="480" w:lineRule="exact"/>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投标保证金到达采购代理机构指定账户后，</w:t>
            </w: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须与</w:t>
            </w:r>
            <w:r>
              <w:rPr>
                <w:rFonts w:hint="eastAsia" w:ascii="仿宋" w:hAnsi="仿宋" w:eastAsia="仿宋" w:cs="仿宋"/>
                <w:b/>
                <w:bCs/>
                <w:sz w:val="24"/>
                <w:szCs w:val="24"/>
                <w:highlight w:val="none"/>
                <w:lang w:eastAsia="zh-CN"/>
              </w:rPr>
              <w:t>陕西利隆建设项目管理有限公司</w:t>
            </w:r>
            <w:r>
              <w:rPr>
                <w:rFonts w:hint="eastAsia" w:ascii="仿宋" w:hAnsi="仿宋" w:eastAsia="仿宋" w:cs="仿宋"/>
                <w:b/>
                <w:bCs/>
                <w:sz w:val="24"/>
                <w:szCs w:val="24"/>
                <w:highlight w:val="none"/>
              </w:rPr>
              <w:t>联系确认，确认到帐后请将投标保证金缴纳凭证复印件粘贴于招标文件规定处。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19</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备选投标方案</w:t>
            </w:r>
          </w:p>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和报价</w:t>
            </w:r>
          </w:p>
        </w:tc>
        <w:tc>
          <w:tcPr>
            <w:tcW w:w="6520" w:type="dxa"/>
            <w:vAlign w:val="center"/>
          </w:tcPr>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盖章签字</w:t>
            </w:r>
          </w:p>
        </w:tc>
        <w:tc>
          <w:tcPr>
            <w:tcW w:w="6520" w:type="dxa"/>
            <w:vAlign w:val="center"/>
          </w:tcPr>
          <w:p>
            <w:pPr>
              <w:tabs>
                <w:tab w:val="left" w:pos="7013"/>
              </w:tabs>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投标供应商的投标文件必须按照招标文件的规定和要求由法定代表人或被授权人签字（或盖章）。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投标文件份数</w:t>
            </w:r>
          </w:p>
        </w:tc>
        <w:tc>
          <w:tcPr>
            <w:tcW w:w="6520" w:type="dxa"/>
            <w:vAlign w:val="center"/>
          </w:tcPr>
          <w:p>
            <w:pPr>
              <w:tabs>
                <w:tab w:val="left" w:pos="7013"/>
              </w:tabs>
              <w:spacing w:line="4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投标文件正本一份，副本四份，电子文件（U盘）三份。纸质投标文件均须A4纸打印，分别各自装订成册并编制目录和页码。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投标文件装订及封装要求</w:t>
            </w:r>
          </w:p>
        </w:tc>
        <w:tc>
          <w:tcPr>
            <w:tcW w:w="6520" w:type="dxa"/>
            <w:vAlign w:val="center"/>
          </w:tcPr>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1）装订要求：胶装，不允许活页装订。</w:t>
            </w:r>
          </w:p>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2）包封要求：</w:t>
            </w:r>
          </w:p>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（1）投标文件正本单独包封；</w:t>
            </w:r>
          </w:p>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（2）投标文件副本单独包封；</w:t>
            </w:r>
          </w:p>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（3）电子文件单独包封；</w:t>
            </w:r>
          </w:p>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（4）特定资格证明文件单独包封;</w:t>
            </w:r>
          </w:p>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（5）投标报价一览表单独包封。</w:t>
            </w:r>
          </w:p>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标袋上应写明项目名称、项目编号、投标供应商名称及“正本”、“副本”、“电子文件”、“资格证明文件”、“投标报价一览表”字样，并在密封条接缝处加盖单位公章（鲜章）和法定代表人或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评标委员会组成</w:t>
            </w:r>
          </w:p>
        </w:tc>
        <w:tc>
          <w:tcPr>
            <w:tcW w:w="6520" w:type="dxa"/>
            <w:vAlign w:val="center"/>
          </w:tcPr>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评标委员会由5人组成，其中专家4人，采购人代表1人。评标专家从陕西省政府采购综合管理平台抽取。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24</w:t>
            </w:r>
          </w:p>
        </w:tc>
        <w:tc>
          <w:tcPr>
            <w:tcW w:w="255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其他事项</w:t>
            </w:r>
          </w:p>
        </w:tc>
        <w:tc>
          <w:tcPr>
            <w:tcW w:w="6520" w:type="dxa"/>
            <w:vAlign w:val="center"/>
          </w:tcPr>
          <w:p>
            <w:pPr>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中标人与采购人在中标通知书发出30天内签订政府采购合同，不及时签订视为自动放弃。非经采购人同意，本项目不允许中标后另行转包或者分包。中标人无正当理由不得放弃中标。因自身原因拒绝签订政府采购合同的或者未按合同约定进行履约的，中标人不得参加对该项目重新开展的招标活动。</w:t>
            </w:r>
          </w:p>
        </w:tc>
      </w:tr>
    </w:tbl>
    <w:p>
      <w:pPr>
        <w:rPr>
          <w:rFonts w:hint="eastAsia" w:ascii="仿宋" w:hAnsi="仿宋" w:eastAsia="仿宋" w:cs="仿宋"/>
          <w:highlight w:val="none"/>
        </w:rPr>
      </w:pPr>
    </w:p>
    <w:p>
      <w:pPr>
        <w:spacing w:line="360" w:lineRule="auto"/>
        <w:ind w:firstLine="482" w:firstLineChars="200"/>
        <w:jc w:val="left"/>
        <w:outlineLvl w:val="1"/>
        <w:rPr>
          <w:rFonts w:hint="eastAsia" w:ascii="仿宋" w:hAnsi="仿宋" w:eastAsia="仿宋" w:cs="仿宋"/>
          <w:b/>
          <w:sz w:val="24"/>
          <w:szCs w:val="24"/>
          <w:highlight w:val="none"/>
        </w:rPr>
      </w:pPr>
      <w:bookmarkStart w:id="14" w:name="_Toc25206"/>
      <w:bookmarkStart w:id="15" w:name="_Toc25238"/>
      <w:r>
        <w:rPr>
          <w:rFonts w:hint="eastAsia" w:ascii="仿宋" w:hAnsi="仿宋" w:eastAsia="仿宋" w:cs="仿宋"/>
          <w:b/>
          <w:sz w:val="24"/>
          <w:szCs w:val="24"/>
          <w:highlight w:val="none"/>
        </w:rPr>
        <w:t>一、总则</w:t>
      </w:r>
      <w:bookmarkEnd w:id="10"/>
      <w:bookmarkEnd w:id="11"/>
      <w:bookmarkEnd w:id="12"/>
      <w:bookmarkEnd w:id="13"/>
      <w:bookmarkEnd w:id="14"/>
      <w:bookmarkEnd w:id="15"/>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招标依据《中华人民共和国政府采购法》、《中华人民共和国政府采购法实施条例》、《政府采购货物和服务招标投标管理办法》及国家现行有关法律法规执行。</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供应商仔细阅读本部分，并根据招标文件要求编制投标文件</w:t>
      </w:r>
      <w:r>
        <w:rPr>
          <w:rFonts w:hint="eastAsia" w:ascii="仿宋" w:hAnsi="仿宋" w:eastAsia="仿宋" w:cs="仿宋"/>
          <w:sz w:val="24"/>
          <w:szCs w:val="24"/>
          <w:highlight w:val="none"/>
        </w:rPr>
        <w:t>。</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1.采购人、采购代理机构、监督管理机构</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1.1采购人：</w:t>
      </w:r>
      <w:r>
        <w:rPr>
          <w:rFonts w:hint="eastAsia" w:ascii="仿宋" w:hAnsi="仿宋" w:eastAsia="仿宋" w:cs="仿宋"/>
          <w:kern w:val="0"/>
          <w:sz w:val="24"/>
          <w:szCs w:val="24"/>
          <w:highlight w:val="none"/>
        </w:rPr>
        <w:t>渭南市环境保护监测站</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1.2采购代理机构：陕西利隆建设项目管理有限公司</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1.3监督管理机构：渭南市财政局</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2.合格的供应商</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2.1合格的供应商：满足下列资格条件且有能力提供项目所需货物与服务的供应商。</w:t>
      </w:r>
    </w:p>
    <w:p>
      <w:pPr>
        <w:wordWrap w:val="0"/>
        <w:topLinePunct/>
        <w:spacing w:line="360" w:lineRule="auto"/>
        <w:ind w:firstLine="482" w:firstLineChars="200"/>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2.2资格条件</w:t>
      </w:r>
    </w:p>
    <w:p>
      <w:pPr>
        <w:tabs>
          <w:tab w:val="left" w:pos="3544"/>
        </w:tabs>
        <w:wordWrap w:val="0"/>
        <w:topLinePunct/>
        <w:spacing w:line="360" w:lineRule="auto"/>
        <w:ind w:firstLine="482" w:firstLineChars="200"/>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2.2.1</w:t>
      </w:r>
      <w:r>
        <w:rPr>
          <w:rFonts w:hint="eastAsia" w:ascii="仿宋" w:hAnsi="仿宋" w:eastAsia="仿宋" w:cs="仿宋"/>
          <w:sz w:val="24"/>
          <w:szCs w:val="24"/>
          <w:highlight w:val="none"/>
        </w:rPr>
        <w:t>满足《中华人民共和国政府采购法》第二十二条规定</w:t>
      </w:r>
    </w:p>
    <w:p>
      <w:pPr>
        <w:tabs>
          <w:tab w:val="left" w:pos="3544"/>
        </w:tabs>
        <w:wordWrap w:val="0"/>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2.2.2特定资格条件</w:t>
      </w:r>
    </w:p>
    <w:p>
      <w:pPr>
        <w:pStyle w:val="42"/>
        <w:spacing w:before="0" w:beforeAutospacing="0" w:after="0" w:afterAutospacing="0" w:line="360" w:lineRule="auto"/>
        <w:ind w:firstLine="480" w:firstLineChars="200"/>
        <w:rPr>
          <w:rFonts w:hint="eastAsia" w:ascii="仿宋" w:hAnsi="仿宋" w:eastAsia="仿宋" w:cs="仿宋"/>
          <w:highlight w:val="none"/>
          <w:lang w:bidi="ar"/>
        </w:rPr>
      </w:pPr>
      <w:r>
        <w:rPr>
          <w:rFonts w:hint="eastAsia" w:ascii="仿宋" w:hAnsi="仿宋" w:eastAsia="仿宋" w:cs="仿宋"/>
          <w:highlight w:val="none"/>
          <w:lang w:bidi="ar"/>
        </w:rPr>
        <w:t>1）具有独立承担民事责任能力的法人、其他组织或自然人，并出具合法有效的统一社会信用代码的营业执照或事业单位法人证书等国家规定的相关证明，自然人参与的提供其身份证明； </w:t>
      </w:r>
    </w:p>
    <w:p>
      <w:pPr>
        <w:pStyle w:val="42"/>
        <w:spacing w:before="0" w:beforeAutospacing="0" w:after="0" w:afterAutospacing="0" w:line="360" w:lineRule="auto"/>
        <w:ind w:firstLine="480" w:firstLineChars="200"/>
        <w:rPr>
          <w:rFonts w:hint="eastAsia" w:ascii="仿宋" w:hAnsi="仿宋" w:eastAsia="仿宋" w:cs="仿宋"/>
          <w:highlight w:val="none"/>
          <w:lang w:bidi="ar"/>
        </w:rPr>
      </w:pPr>
      <w:r>
        <w:rPr>
          <w:rFonts w:hint="eastAsia" w:ascii="仿宋" w:hAnsi="仿宋" w:eastAsia="仿宋" w:cs="仿宋"/>
          <w:highlight w:val="none"/>
          <w:lang w:bidi="ar"/>
        </w:rPr>
        <w:t>2）法定代表人授权书及被授权人身份证（法人参加只需提供身份证原件）； </w:t>
      </w:r>
    </w:p>
    <w:p>
      <w:pPr>
        <w:pStyle w:val="42"/>
        <w:spacing w:before="0" w:beforeAutospacing="0" w:after="0" w:afterAutospacing="0" w:line="360" w:lineRule="auto"/>
        <w:ind w:firstLine="480" w:firstLineChars="200"/>
        <w:rPr>
          <w:rFonts w:hint="eastAsia" w:ascii="仿宋" w:hAnsi="仿宋" w:eastAsia="仿宋" w:cs="仿宋"/>
          <w:highlight w:val="none"/>
          <w:lang w:bidi="ar"/>
        </w:rPr>
      </w:pPr>
      <w:r>
        <w:rPr>
          <w:rFonts w:hint="eastAsia" w:ascii="仿宋" w:hAnsi="仿宋" w:eastAsia="仿宋" w:cs="仿宋"/>
          <w:highlight w:val="none"/>
          <w:lang w:bidi="ar"/>
        </w:rPr>
        <w:t>3）财务状况报告：提供上一年度的财务审计报告（至少包括资产负债表和利润表，成立时间至提交投标文件截止时间不足一年的可提供成立后任意时段的资产负债表），或提供投标截止时间前三个月内其基本开户银行出具的资信证明及基本账户开户许可证或政府采购信用担保机构出具的担保函； </w:t>
      </w:r>
    </w:p>
    <w:p>
      <w:pPr>
        <w:pStyle w:val="42"/>
        <w:spacing w:before="0" w:beforeAutospacing="0" w:after="0" w:afterAutospacing="0" w:line="360" w:lineRule="auto"/>
        <w:ind w:firstLine="480" w:firstLineChars="200"/>
        <w:rPr>
          <w:rFonts w:hint="eastAsia" w:ascii="仿宋" w:hAnsi="仿宋" w:eastAsia="仿宋" w:cs="仿宋"/>
          <w:highlight w:val="none"/>
          <w:lang w:bidi="ar"/>
        </w:rPr>
      </w:pPr>
      <w:r>
        <w:rPr>
          <w:rFonts w:hint="eastAsia" w:ascii="仿宋" w:hAnsi="仿宋" w:eastAsia="仿宋" w:cs="仿宋"/>
          <w:highlight w:val="none"/>
          <w:lang w:bidi="ar"/>
        </w:rPr>
        <w:t>4）税收缴纳证明：提供已缴纳的本年度连续三个月的缴税凭证，依法免税的应提供相关文件证明； </w:t>
      </w:r>
    </w:p>
    <w:p>
      <w:pPr>
        <w:pStyle w:val="42"/>
        <w:spacing w:before="0" w:beforeAutospacing="0" w:after="0" w:afterAutospacing="0" w:line="360" w:lineRule="auto"/>
        <w:ind w:firstLine="480" w:firstLineChars="200"/>
        <w:rPr>
          <w:rFonts w:hint="eastAsia" w:ascii="仿宋" w:hAnsi="仿宋" w:eastAsia="仿宋" w:cs="仿宋"/>
          <w:highlight w:val="none"/>
          <w:lang w:bidi="ar"/>
        </w:rPr>
      </w:pPr>
      <w:r>
        <w:rPr>
          <w:rFonts w:hint="eastAsia" w:ascii="仿宋" w:hAnsi="仿宋" w:eastAsia="仿宋" w:cs="仿宋"/>
          <w:highlight w:val="none"/>
          <w:lang w:bidi="ar"/>
        </w:rPr>
        <w:t>5）社会保障资金缴纳证明：提供已缴纳的本年度连续三个月的社会保障资金缴存单据或社保机构开具的社会保险参保缴费情况证明，依法不需要缴纳社会保障资金的单位应提供相关证明材料； </w:t>
      </w:r>
    </w:p>
    <w:p>
      <w:pPr>
        <w:pStyle w:val="42"/>
        <w:spacing w:before="0" w:beforeAutospacing="0" w:after="0" w:afterAutospacing="0" w:line="360" w:lineRule="auto"/>
        <w:ind w:firstLine="480" w:firstLineChars="200"/>
        <w:rPr>
          <w:rFonts w:hint="eastAsia" w:ascii="仿宋" w:hAnsi="仿宋" w:eastAsia="仿宋" w:cs="仿宋"/>
          <w:highlight w:val="none"/>
          <w:lang w:bidi="ar"/>
        </w:rPr>
      </w:pPr>
      <w:r>
        <w:rPr>
          <w:rFonts w:hint="eastAsia" w:ascii="仿宋" w:hAnsi="仿宋" w:eastAsia="仿宋" w:cs="仿宋"/>
          <w:highlight w:val="none"/>
          <w:lang w:bidi="ar"/>
        </w:rPr>
        <w:t>6）提供保证金交纳凭证（截图加盖供应商公章）或担保机构出具的保函</w:t>
      </w:r>
    </w:p>
    <w:p>
      <w:pPr>
        <w:pStyle w:val="42"/>
        <w:spacing w:before="0" w:beforeAutospacing="0" w:after="0" w:afterAutospacing="0" w:line="360" w:lineRule="auto"/>
        <w:ind w:firstLine="480" w:firstLineChars="200"/>
        <w:rPr>
          <w:rFonts w:hint="eastAsia" w:ascii="仿宋" w:hAnsi="仿宋" w:eastAsia="仿宋" w:cs="仿宋"/>
          <w:highlight w:val="none"/>
          <w:lang w:bidi="ar"/>
        </w:rPr>
      </w:pPr>
      <w:r>
        <w:rPr>
          <w:rFonts w:hint="eastAsia" w:ascii="仿宋" w:hAnsi="仿宋" w:eastAsia="仿宋" w:cs="仿宋"/>
          <w:highlight w:val="none"/>
          <w:lang w:bidi="ar"/>
        </w:rPr>
        <w:t>7）投标供应商不得为“信用中国”网站（www.creditchina.gov.cn）中列入失信被执行人和重大税收违法失信主体的投标供应商，不得为中国政府采购网（www.ccgp.gov.cn）政府采购严重违法失信行为记录名单中被财政部门禁止参加政府采购活动的投标供应商； </w:t>
      </w:r>
    </w:p>
    <w:p>
      <w:pPr>
        <w:pStyle w:val="42"/>
        <w:spacing w:before="0" w:beforeAutospacing="0" w:after="0" w:afterAutospacing="0" w:line="360" w:lineRule="auto"/>
        <w:ind w:firstLine="480" w:firstLineChars="200"/>
        <w:rPr>
          <w:rFonts w:hint="eastAsia" w:ascii="仿宋" w:hAnsi="仿宋" w:eastAsia="仿宋" w:cs="仿宋"/>
          <w:highlight w:val="none"/>
          <w:lang w:bidi="ar"/>
        </w:rPr>
      </w:pPr>
      <w:r>
        <w:rPr>
          <w:rFonts w:hint="eastAsia" w:ascii="仿宋" w:hAnsi="仿宋" w:eastAsia="仿宋" w:cs="仿宋"/>
          <w:highlight w:val="none"/>
          <w:lang w:bidi="ar"/>
        </w:rPr>
        <w:t>8）供应商应出具参加政府采购活动前3年内在经营活动中没有重大违法记录的书面声明；</w:t>
      </w:r>
    </w:p>
    <w:p>
      <w:pPr>
        <w:pStyle w:val="42"/>
        <w:spacing w:before="0" w:beforeAutospacing="0" w:after="0" w:afterAutospacing="0" w:line="360" w:lineRule="auto"/>
        <w:ind w:firstLine="480" w:firstLineChars="200"/>
        <w:rPr>
          <w:rFonts w:hint="eastAsia" w:ascii="仿宋" w:hAnsi="仿宋" w:eastAsia="仿宋" w:cs="仿宋"/>
          <w:highlight w:val="none"/>
          <w:lang w:bidi="ar"/>
        </w:rPr>
      </w:pPr>
      <w:r>
        <w:rPr>
          <w:rFonts w:hint="eastAsia" w:ascii="仿宋" w:hAnsi="仿宋" w:eastAsia="仿宋" w:cs="仿宋"/>
          <w:highlight w:val="none"/>
          <w:lang w:bidi="ar"/>
        </w:rPr>
        <w:t>9）提供具有履行合同所必需的设备和专业技术能力；</w:t>
      </w:r>
    </w:p>
    <w:p>
      <w:pPr>
        <w:pStyle w:val="42"/>
        <w:spacing w:before="0" w:beforeAutospacing="0" w:after="0" w:afterAutospacing="0" w:line="360" w:lineRule="auto"/>
        <w:ind w:firstLine="480" w:firstLineChars="200"/>
        <w:rPr>
          <w:rFonts w:hint="eastAsia" w:ascii="仿宋" w:hAnsi="仿宋" w:eastAsia="仿宋" w:cs="仿宋"/>
          <w:highlight w:val="none"/>
          <w:lang w:bidi="ar"/>
        </w:rPr>
      </w:pPr>
      <w:r>
        <w:rPr>
          <w:rFonts w:hint="eastAsia" w:ascii="仿宋" w:hAnsi="仿宋" w:eastAsia="仿宋" w:cs="仿宋"/>
          <w:highlight w:val="none"/>
          <w:lang w:bidi="ar"/>
        </w:rPr>
        <w:t>10）本项目专门面向中小企业；</w:t>
      </w:r>
    </w:p>
    <w:p>
      <w:pPr>
        <w:tabs>
          <w:tab w:val="left" w:pos="3544"/>
        </w:tabs>
        <w:wordWrap w:val="0"/>
        <w:topLinePunct/>
        <w:spacing w:line="360" w:lineRule="auto"/>
        <w:ind w:firstLine="480" w:firstLineChars="200"/>
        <w:jc w:val="left"/>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11)本项目不接受联合体。</w:t>
      </w:r>
    </w:p>
    <w:p>
      <w:pPr>
        <w:tabs>
          <w:tab w:val="left" w:pos="3544"/>
        </w:tabs>
        <w:wordWrap w:val="0"/>
        <w:topLinePunct/>
        <w:spacing w:line="360" w:lineRule="auto"/>
        <w:ind w:firstLine="482" w:firstLineChars="200"/>
        <w:jc w:val="left"/>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u w:val="single"/>
        </w:rPr>
        <w:t>以上特定资格条件除投标文件装订外，还须单独密封递交一份（原件），密封和标记要求按照本部分第19条执行</w:t>
      </w:r>
      <w:r>
        <w:rPr>
          <w:rFonts w:hint="eastAsia" w:ascii="仿宋" w:hAnsi="仿宋" w:eastAsia="仿宋" w:cs="仿宋"/>
          <w:b/>
          <w:sz w:val="24"/>
          <w:szCs w:val="24"/>
          <w:highlight w:val="none"/>
        </w:rPr>
        <w:t>；</w:t>
      </w:r>
    </w:p>
    <w:p>
      <w:pPr>
        <w:tabs>
          <w:tab w:val="left" w:pos="3544"/>
        </w:tabs>
        <w:wordWrap w:val="0"/>
        <w:topLinePunct/>
        <w:spacing w:line="360" w:lineRule="auto"/>
        <w:ind w:firstLine="482" w:firstLineChars="200"/>
        <w:jc w:val="left"/>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u w:val="single"/>
        </w:rPr>
        <w:t>供应商应保证所提交特定资格条件（原件或复印件）的完整、有效，因无法辨别不完整或不符合招标文件要求等引起的无效投标，责任供应商自行承担。</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2.3 供应商必须从采购代理机构购买招标文件并登记备案，未从采购代理机构购买招标文件并登记备案的潜在供应商均无资格参加投标。</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3.合格的货物与服务</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3.1投标有关的货物与服务，均应来自上述第2条款所规定的合格供应商，否则其投标将被拒绝。</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3.2货物指供应商按招标文件规定，完成本项目所需的相关的货物，如设备、机械、仪表、备件，包括工具、手册等其它相关货物及资料。</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3.3服务指供应商按招标文件规定，须承担完成本项目所需的全部服务,如人员保险、交通运输、安装调试、技术培训、售后服务以及其它相关服务及义务。</w:t>
      </w:r>
    </w:p>
    <w:p>
      <w:pPr>
        <w:wordWrap w:val="0"/>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4.投标须知</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4.1供应商应承担所有与准备和参加投标有关的费用，无论投标结果如何，采购人和采购代理机构均无义务和责任承担与此相关的任何费用；</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4.2供应商根据自身资质及能力范围对该项目进行投标，但不得将其子目再行分解或只投其中的一部分内容，否则投标无效；</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4.3采购代理机构不组织投标前的现场踏勘活动；若供应商确需现场踏勘，采购代理机构将在采购人同意后，另行通知。</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4.4若“信用中国”及“中国政府采购网”网站关于相关主体信用记录查询时存在处罚，但处罚已取消或者处罚已作废，而证据留存报告或截图中不能体现的，还应附证明材料，否则，在资格性审查中不予核减。</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4.5供应商代表若不是法定代表人，须持有《法定代表人授权书》；</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4.6供应商为非法人组织类型的，参照法人单位执行（格式见第六部分）。</w:t>
      </w:r>
    </w:p>
    <w:p>
      <w:pPr>
        <w:wordWrap w:val="0"/>
        <w:topLinePunct/>
        <w:spacing w:line="360" w:lineRule="auto"/>
        <w:ind w:firstLine="482" w:firstLineChars="200"/>
        <w:jc w:val="left"/>
        <w:outlineLvl w:val="1"/>
        <w:rPr>
          <w:rFonts w:hint="eastAsia" w:ascii="仿宋" w:hAnsi="仿宋" w:eastAsia="仿宋" w:cs="仿宋"/>
          <w:b/>
          <w:sz w:val="24"/>
          <w:szCs w:val="24"/>
          <w:highlight w:val="none"/>
        </w:rPr>
      </w:pPr>
      <w:bookmarkStart w:id="16" w:name="_Toc16912"/>
      <w:bookmarkStart w:id="17" w:name="_Toc527921944"/>
      <w:bookmarkStart w:id="18" w:name="_Toc44665071"/>
      <w:bookmarkStart w:id="19" w:name="_Toc528079667"/>
      <w:bookmarkStart w:id="20" w:name="_Toc29886050"/>
      <w:bookmarkStart w:id="21" w:name="_Toc25939"/>
      <w:bookmarkStart w:id="22" w:name="_Toc532377911"/>
      <w:r>
        <w:rPr>
          <w:rFonts w:hint="eastAsia" w:ascii="仿宋" w:hAnsi="仿宋" w:eastAsia="仿宋" w:cs="仿宋"/>
          <w:b/>
          <w:sz w:val="24"/>
          <w:szCs w:val="24"/>
          <w:highlight w:val="none"/>
        </w:rPr>
        <w:t>二、招标</w:t>
      </w:r>
      <w:bookmarkEnd w:id="16"/>
      <w:bookmarkEnd w:id="17"/>
      <w:bookmarkEnd w:id="18"/>
      <w:bookmarkEnd w:id="19"/>
      <w:bookmarkEnd w:id="20"/>
      <w:bookmarkEnd w:id="21"/>
      <w:bookmarkEnd w:id="22"/>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5.招标文件的构成</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5.1招标文件由目录所列内容及在招标过程中发出的澄清、修改和补充文件组成。</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5.2供应商应认真阅读、并充分理解招标文件的全部内容（包括所有的澄清、补充、修改内容、重要事项、格式、条款和技术规范、参数及要求等）。</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5.3供应商没有按照招标文件要求提交全部资料，或者供应商没有对招标文件在各方面都做出实质性响应，将被认定为投标无效。</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6.开标前答疑</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6.1已获取招标文件的潜在供应商对招标文件内容有不理解或有疑问的，可以向采购代理机构提出，采购代理机构将对提出疑问的供应商进行答疑；必要时，采购代理机构将书面形式通知所有获取招标文件的潜在供应商，召开开标前答疑会。（答复中不包括问题的来源）。</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7.招标文件的澄清与修改</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7.1采购人或者采购代理机构可以对已发出的招标文件进行必要的澄清或者修改，并在原公告发布媒体上发布更正公告，澄清或修改的内容为招标文件的组成部分。</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7.2若澄清或者修改内容可能影响投标文件编制的，采购人或者采购代理机构将在投标截止时间15日前，以书面形式通知所有获取招标文件的潜在供应商；不足15日的，应当顺延提交投标文件递交截止时间。</w:t>
      </w:r>
    </w:p>
    <w:p>
      <w:pPr>
        <w:wordWrap w:val="0"/>
        <w:topLinePunct/>
        <w:spacing w:line="360" w:lineRule="auto"/>
        <w:ind w:firstLine="482" w:firstLineChars="200"/>
        <w:jc w:val="left"/>
        <w:outlineLvl w:val="1"/>
        <w:rPr>
          <w:rFonts w:hint="eastAsia" w:ascii="仿宋" w:hAnsi="仿宋" w:eastAsia="仿宋" w:cs="仿宋"/>
          <w:b/>
          <w:sz w:val="24"/>
          <w:szCs w:val="24"/>
          <w:highlight w:val="none"/>
        </w:rPr>
      </w:pPr>
      <w:bookmarkStart w:id="23" w:name="_Toc527921945"/>
      <w:bookmarkStart w:id="24" w:name="_Toc44665072"/>
      <w:bookmarkStart w:id="25" w:name="_Toc4429361"/>
      <w:bookmarkStart w:id="26" w:name="_Toc12991"/>
      <w:bookmarkStart w:id="27" w:name="_Toc17329"/>
      <w:bookmarkStart w:id="28" w:name="_Toc7954340"/>
      <w:bookmarkStart w:id="29" w:name="_Toc29886051"/>
      <w:bookmarkStart w:id="30" w:name="_Toc532377912"/>
      <w:bookmarkStart w:id="31" w:name="_Toc528079668"/>
      <w:r>
        <w:rPr>
          <w:rFonts w:hint="eastAsia" w:ascii="仿宋" w:hAnsi="仿宋" w:eastAsia="仿宋" w:cs="仿宋"/>
          <w:b/>
          <w:sz w:val="24"/>
          <w:szCs w:val="24"/>
          <w:highlight w:val="none"/>
        </w:rPr>
        <w:t>三、投标</w:t>
      </w:r>
      <w:bookmarkEnd w:id="23"/>
      <w:bookmarkEnd w:id="24"/>
      <w:bookmarkEnd w:id="25"/>
      <w:bookmarkEnd w:id="26"/>
      <w:bookmarkEnd w:id="27"/>
      <w:bookmarkEnd w:id="28"/>
      <w:bookmarkEnd w:id="29"/>
      <w:bookmarkEnd w:id="30"/>
      <w:bookmarkEnd w:id="31"/>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8.投标的语言</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8.1供应商提交的投标文件以及供应商与采购代理机构就有关投标的所有来函电均应使用简体中文。供应商提交的支持文件或印刷的资料可以用另一种语言，但相应核心内容须附有简体中文翻译本，在解释投标文件的修改内容时以简体中文翻译本为准。</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9.投标文件的构成应符合法律法规及招标文件的要求。</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10.投标文件编制</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10.1投标文件是投标文件正本与投标文件副本的统称。</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10.2投标文件应胶装成册（本）、并逐页连续编码，对未经装订的投标文件发生的文件散落、缺损，或投标无效等由各供应商自行承担。</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10.3供应商应完整、真实、准确的填写招标文件中规定的所有内容。</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10.4供应商必须对投标文件所提供的全部资料的真实性承担法律责任，并无条件接受采购人、采购代理机构及监管部门等对其中任何资料进行核实的要求。</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10.5如果因为供应商投标文件填报的内容不详、不实或没有提供招标文件中所要求的全部资料及证明，由此造成的投标文件无效，责任由供应商承担。</w:t>
      </w:r>
    </w:p>
    <w:p>
      <w:pPr>
        <w:wordWrap w:val="0"/>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11.投标报价</w:t>
      </w:r>
    </w:p>
    <w:p>
      <w:pPr>
        <w:wordWrap w:val="0"/>
        <w:topLinePunct/>
        <w:spacing w:line="360" w:lineRule="auto"/>
        <w:ind w:firstLine="480" w:firstLineChars="20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11.1</w:t>
      </w:r>
      <w:r>
        <w:rPr>
          <w:rFonts w:hint="eastAsia" w:ascii="仿宋" w:hAnsi="仿宋" w:eastAsia="仿宋" w:cs="仿宋"/>
          <w:sz w:val="24"/>
          <w:szCs w:val="24"/>
          <w:highlight w:val="none"/>
          <w:u w:val="single"/>
        </w:rPr>
        <w:t>供应商的投标报价应以人民币报价，不接受以人民币报价的，其投标无效。本次政府采购项目不接受赠送或者“零”报价，否则投标无效</w:t>
      </w:r>
      <w:r>
        <w:rPr>
          <w:rFonts w:hint="eastAsia" w:ascii="仿宋" w:hAnsi="仿宋" w:eastAsia="仿宋" w:cs="仿宋"/>
          <w:sz w:val="24"/>
          <w:szCs w:val="24"/>
          <w:highlight w:val="none"/>
        </w:rPr>
        <w:t>。</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11.2投标报价经评标委员会评定后，在合同执行过程中固定不变，不受市场价格波动等因素影响，每一种规格的服务与货物只允许有一个报价。</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11.3供应商应按照招标文件的采购内容、责任范围以及合同条款进行报价，并按《投标报价一览表》和《分项报价表》确定的格式报出总价和分项价格，投标报价不得包含招标文件要求以外的内容，否则在评标时不予核减，也不得缺漏招标文件所要求的内容，否则，其投标无效。</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11.4《分项报价表》填写时必须列明投标总价的报价明细，且报价时应考虑以下内容：</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1)应考虑所有根据合同或其它原因应由供应商支付的税款和其它应交纳的费用都要包括在供应商提交的投标价格中；</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2)应包含服务与货物运至最终目的地的运输、保险和伴随服务的其它所有费用。</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12.备选方案：只允许供应商有一个投标方案，不接受备选方案，否则无效投标。</w:t>
      </w:r>
    </w:p>
    <w:p>
      <w:pPr>
        <w:wordWrap w:val="0"/>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13.联合体</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本项目不接受联合体投标。</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14.供应商资格条件证明文件</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14.1供应商应按招标文件的要求，提交证明其有资格参加投标和中标后有履行合同能力的文件，并作为其投标文件的组成部分。</w:t>
      </w:r>
    </w:p>
    <w:p>
      <w:pPr>
        <w:wordWrap w:val="0"/>
        <w:topLinePunct/>
        <w:spacing w:line="360" w:lineRule="auto"/>
        <w:ind w:firstLine="480" w:firstLineChars="20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14.2</w:t>
      </w:r>
      <w:r>
        <w:rPr>
          <w:rFonts w:hint="eastAsia" w:ascii="仿宋" w:hAnsi="仿宋" w:eastAsia="仿宋" w:cs="仿宋"/>
          <w:sz w:val="24"/>
          <w:szCs w:val="24"/>
          <w:highlight w:val="none"/>
          <w:u w:val="single"/>
        </w:rPr>
        <w:t>资格条件的证明文件必须完整齐全、真实有效、清晰可辨，原件按格式要求签署盖章，复印件必须加盖单位公章，因复印件未按格式要求制作或无签署盖章或签署盖</w:t>
      </w:r>
    </w:p>
    <w:p>
      <w:pPr>
        <w:wordWrap w:val="0"/>
        <w:topLinePunct/>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章不清晰造成难以分辨而导致投标无效的，责任由供应商自行承担</w:t>
      </w:r>
      <w:r>
        <w:rPr>
          <w:rFonts w:hint="eastAsia" w:ascii="仿宋" w:hAnsi="仿宋" w:eastAsia="仿宋" w:cs="仿宋"/>
          <w:sz w:val="24"/>
          <w:szCs w:val="24"/>
          <w:highlight w:val="none"/>
        </w:rPr>
        <w:t>。</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15.证明投标标的合格性和符合招标文件规定的文件：</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15.1供应商应提交证明其拟提供的投标标的符合招标文件规定的文件，包括投标文件中对技术服务的说明，并作为其投标文件的一部分。</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15.2 证明投标标的与招标文件的要求相一致的文件，可以是文字资料、图纸、数据和实物，包括如下：</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1）货物与服务的详细说明；</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2）详细的合同项下提供相关货物与服务的执行时间表及其实施措施，明确标注出影响合同执行的关键时间及因素；</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3）对招标文件要求的货物与服务的内容，供应商逐条响应并说明所提供的相关货物与服务已对招标文件中的采购要求做出了实质性的响应，并申明与招标文件规定条文的偏差和例外。</w:t>
      </w:r>
    </w:p>
    <w:p>
      <w:pPr>
        <w:wordWrap w:val="0"/>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16.投标保证金</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16.1供应商应按招标文件规定的金额和期限交纳投标保证金，投标保证金作为投标文件的组成部分。</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16.2投标保证金可采用 </w:t>
      </w:r>
      <w:r>
        <w:rPr>
          <w:rFonts w:hint="eastAsia" w:ascii="仿宋" w:hAnsi="仿宋" w:eastAsia="仿宋" w:cs="仿宋"/>
          <w:b/>
          <w:sz w:val="24"/>
          <w:szCs w:val="24"/>
          <w:highlight w:val="none"/>
        </w:rPr>
        <w:t xml:space="preserve">电汇、银行转账 </w:t>
      </w:r>
      <w:r>
        <w:rPr>
          <w:rFonts w:hint="eastAsia" w:ascii="仿宋" w:hAnsi="仿宋" w:eastAsia="仿宋" w:cs="仿宋"/>
          <w:sz w:val="24"/>
          <w:szCs w:val="24"/>
          <w:highlight w:val="none"/>
        </w:rPr>
        <w:t>形式支付：</w:t>
      </w:r>
    </w:p>
    <w:p>
      <w:pPr>
        <w:wordWrap w:val="0"/>
        <w:topLinePunct/>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投标保证金人民币肆万元整。</w:t>
      </w:r>
    </w:p>
    <w:p>
      <w:pPr>
        <w:wordWrap w:val="0"/>
        <w:topLinePunct/>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16.3投标保证金支付账户：</w:t>
      </w:r>
    </w:p>
    <w:p>
      <w:pPr>
        <w:wordWrap w:val="0"/>
        <w:topLinePunct/>
        <w:spacing w:line="360" w:lineRule="auto"/>
        <w:ind w:firstLine="480" w:firstLineChars="20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开户名称：陕西利隆建设项目管理有限公司</w:t>
      </w:r>
    </w:p>
    <w:p>
      <w:pPr>
        <w:wordWrap w:val="0"/>
        <w:topLinePunct/>
        <w:spacing w:line="360" w:lineRule="auto"/>
        <w:ind w:firstLine="482" w:firstLineChars="200"/>
        <w:jc w:val="left"/>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u w:val="single"/>
        </w:rPr>
        <w:t>汇入银行：中国工商银行渭南仓程路支行</w:t>
      </w:r>
    </w:p>
    <w:p>
      <w:pPr>
        <w:wordWrap w:val="0"/>
        <w:topLinePunct/>
        <w:spacing w:line="360" w:lineRule="auto"/>
        <w:ind w:firstLine="482" w:firstLineChars="200"/>
        <w:jc w:val="left"/>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u w:val="single"/>
        </w:rPr>
        <w:t>账    号：2605025909020001177</w:t>
      </w:r>
    </w:p>
    <w:p>
      <w:pPr>
        <w:wordWrap w:val="0"/>
        <w:topLinePunct/>
        <w:spacing w:line="360" w:lineRule="auto"/>
        <w:ind w:firstLine="482" w:firstLineChars="200"/>
        <w:jc w:val="left"/>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u w:val="single"/>
        </w:rPr>
        <w:t>户    名：陕西利隆建设项目管理有限公司</w:t>
      </w:r>
    </w:p>
    <w:p>
      <w:pPr>
        <w:wordWrap w:val="0"/>
        <w:topLinePunct/>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u w:val="single"/>
        </w:rPr>
        <w:t>投标保证金须以单位公户递交，并保证在开标之前到达代理机构指定账户，转账时正确备注项目编号（转账备注可简写，因银行转账有延迟，各供应商应提前处理），转账后应及时联系采购代理机构财务人员，确认保证金到账</w:t>
      </w:r>
      <w:r>
        <w:rPr>
          <w:rFonts w:hint="eastAsia" w:ascii="仿宋" w:hAnsi="仿宋" w:eastAsia="仿宋" w:cs="仿宋"/>
          <w:b/>
          <w:sz w:val="24"/>
          <w:szCs w:val="24"/>
          <w:highlight w:val="none"/>
        </w:rPr>
        <w:t>！</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16.4凡未按规定交纳投标保证金或保证金交纳不足的投标，为无效投标。</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16.5未中标的供应商保证金，在中标通知书发出后5个工作日内退还。</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16.6中标人的投标保证金，在采购合同签订后5个工作日内退还（须向采购代理机构提供采购合同一份）。</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16.7如有质疑或投诉，采购代理机构将在质疑或投诉处理完毕后5个工作日内，按上述16.5、16.6规定退还投标保证金。</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16.8有下列情形之一的，投标保证金将不予退还：</w:t>
      </w:r>
    </w:p>
    <w:p>
      <w:pPr>
        <w:tabs>
          <w:tab w:val="left" w:pos="3544"/>
        </w:tabs>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1）投标文件接收截止时间后，供应商撤回其投标文件的；</w:t>
      </w:r>
    </w:p>
    <w:p>
      <w:pPr>
        <w:tabs>
          <w:tab w:val="left" w:pos="3544"/>
        </w:tabs>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2）供应商在投标文件中提供虚假资料、虚假声明的；</w:t>
      </w:r>
    </w:p>
    <w:p>
      <w:pPr>
        <w:tabs>
          <w:tab w:val="left" w:pos="3544"/>
        </w:tabs>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3）中标人在规定的时间内不与采购人签订合同的；</w:t>
      </w:r>
    </w:p>
    <w:p>
      <w:pPr>
        <w:tabs>
          <w:tab w:val="left" w:pos="3544"/>
        </w:tabs>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4）中标人未按时交纳招标代理服务费的；</w:t>
      </w:r>
    </w:p>
    <w:p>
      <w:pPr>
        <w:tabs>
          <w:tab w:val="left" w:pos="3544"/>
        </w:tabs>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5）由于供应商的原因导致中标无效的；</w:t>
      </w:r>
    </w:p>
    <w:p>
      <w:pPr>
        <w:tabs>
          <w:tab w:val="left" w:pos="3544"/>
        </w:tabs>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6）供应商与其他供应商恶意串通的；</w:t>
      </w:r>
    </w:p>
    <w:p>
      <w:pPr>
        <w:tabs>
          <w:tab w:val="left" w:pos="3544"/>
        </w:tabs>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7）招标文件规定的其他不予退还条件的。</w:t>
      </w:r>
    </w:p>
    <w:p>
      <w:pPr>
        <w:wordWrap w:val="0"/>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17.投标截止期和投标有效期</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17.1投标截止时间详见招标文件第一部分（截止时间有变动的，以变更公告为准），逾期送达的投标文件，代理机构将拒绝接收；</w:t>
      </w:r>
    </w:p>
    <w:p>
      <w:pPr>
        <w:wordWrap w:val="0"/>
        <w:topLinePunct/>
        <w:spacing w:line="360" w:lineRule="auto"/>
        <w:ind w:firstLine="480" w:firstLineChars="200"/>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17.2</w:t>
      </w:r>
      <w:r>
        <w:rPr>
          <w:rFonts w:hint="eastAsia" w:ascii="仿宋" w:hAnsi="仿宋" w:eastAsia="仿宋" w:cs="仿宋"/>
          <w:b/>
          <w:sz w:val="24"/>
          <w:szCs w:val="24"/>
          <w:highlight w:val="none"/>
        </w:rPr>
        <w:t>投标文件的有效期应在投标文件递交截止时间起不少于90天，投标有效期比规定时间短的将被视为非响应性投标而予以拒绝，法人说明书及法人授权书有效期应与投标文件有效期保持一致，中标人的投标文件有效期自动顺延至合同期结束。</w:t>
      </w:r>
    </w:p>
    <w:p>
      <w:pPr>
        <w:wordWrap w:val="0"/>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18.投标文件的数量和签署</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18.1供应商应编制投标文件</w:t>
      </w:r>
      <w:r>
        <w:rPr>
          <w:rFonts w:hint="eastAsia" w:ascii="仿宋" w:hAnsi="仿宋" w:eastAsia="仿宋" w:cs="仿宋"/>
          <w:b/>
          <w:sz w:val="24"/>
          <w:szCs w:val="24"/>
          <w:highlight w:val="none"/>
        </w:rPr>
        <w:t>一式五份</w:t>
      </w:r>
      <w:r>
        <w:rPr>
          <w:rFonts w:hint="eastAsia" w:ascii="仿宋" w:hAnsi="仿宋" w:eastAsia="仿宋" w:cs="仿宋"/>
          <w:sz w:val="24"/>
          <w:szCs w:val="24"/>
          <w:highlight w:val="none"/>
        </w:rPr>
        <w:t>，其中</w:t>
      </w:r>
      <w:r>
        <w:rPr>
          <w:rFonts w:hint="eastAsia" w:ascii="仿宋" w:hAnsi="仿宋" w:eastAsia="仿宋" w:cs="仿宋"/>
          <w:b/>
          <w:sz w:val="24"/>
          <w:szCs w:val="24"/>
          <w:highlight w:val="none"/>
        </w:rPr>
        <w:t>正本一份</w:t>
      </w:r>
      <w:r>
        <w:rPr>
          <w:rFonts w:hint="eastAsia" w:ascii="仿宋" w:hAnsi="仿宋" w:eastAsia="仿宋" w:cs="仿宋"/>
          <w:sz w:val="24"/>
          <w:szCs w:val="24"/>
          <w:highlight w:val="none"/>
        </w:rPr>
        <w:t>和</w:t>
      </w:r>
      <w:r>
        <w:rPr>
          <w:rFonts w:hint="eastAsia" w:ascii="仿宋" w:hAnsi="仿宋" w:eastAsia="仿宋" w:cs="仿宋"/>
          <w:b/>
          <w:sz w:val="24"/>
          <w:szCs w:val="24"/>
          <w:highlight w:val="none"/>
        </w:rPr>
        <w:t>副本四份</w:t>
      </w:r>
      <w:r>
        <w:rPr>
          <w:rFonts w:hint="eastAsia" w:ascii="仿宋" w:hAnsi="仿宋" w:eastAsia="仿宋" w:cs="仿宋"/>
          <w:sz w:val="24"/>
          <w:szCs w:val="24"/>
          <w:highlight w:val="none"/>
        </w:rPr>
        <w:t>，每本投标文件须清楚地标明“正本”/“副本”。</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18.2供应商应同时提交与投标文件正本内容相同的</w:t>
      </w:r>
      <w:r>
        <w:rPr>
          <w:rFonts w:hint="eastAsia" w:ascii="仿宋" w:hAnsi="仿宋" w:eastAsia="仿宋" w:cs="仿宋"/>
          <w:b/>
          <w:sz w:val="24"/>
          <w:szCs w:val="24"/>
          <w:highlight w:val="none"/>
        </w:rPr>
        <w:t>电子版本三套</w:t>
      </w:r>
      <w:r>
        <w:rPr>
          <w:rFonts w:hint="eastAsia" w:ascii="仿宋" w:hAnsi="仿宋" w:eastAsia="仿宋" w:cs="仿宋"/>
          <w:sz w:val="24"/>
          <w:szCs w:val="24"/>
          <w:highlight w:val="none"/>
        </w:rPr>
        <w:t>（以U盘形式，电子版内容可以无签章），文件格式要求采用.doc/.docx格式制作。</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18.3为方便开标时唱标，</w:t>
      </w:r>
      <w:r>
        <w:rPr>
          <w:rFonts w:hint="eastAsia" w:ascii="仿宋" w:hAnsi="仿宋" w:eastAsia="仿宋" w:cs="仿宋"/>
          <w:b/>
          <w:sz w:val="24"/>
          <w:szCs w:val="24"/>
          <w:highlight w:val="none"/>
        </w:rPr>
        <w:t>供应商应将《投标报价一览表》单独密封一份提交</w:t>
      </w:r>
      <w:r>
        <w:rPr>
          <w:rFonts w:hint="eastAsia" w:ascii="仿宋" w:hAnsi="仿宋" w:eastAsia="仿宋" w:cs="仿宋"/>
          <w:sz w:val="24"/>
          <w:szCs w:val="24"/>
          <w:highlight w:val="none"/>
        </w:rPr>
        <w:t>，并在信封上清晰标明“投标报价一览表”字样，格式见“第六部分”。</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18.4投标文件需打印或用不褪色笔书写，并由法定代表人或经其正式授权的代表签字，授权代表须出具法定代表人授权书（格式见“第六部分”）。</w:t>
      </w:r>
    </w:p>
    <w:p>
      <w:pPr>
        <w:tabs>
          <w:tab w:val="left" w:pos="3544"/>
        </w:tabs>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18.5</w:t>
      </w:r>
      <w:r>
        <w:rPr>
          <w:rFonts w:hint="eastAsia" w:ascii="仿宋" w:hAnsi="仿宋" w:eastAsia="仿宋" w:cs="仿宋"/>
          <w:sz w:val="24"/>
          <w:szCs w:val="24"/>
          <w:highlight w:val="none"/>
          <w:u w:val="single"/>
        </w:rPr>
        <w:t>投标文件须按招标文件已经明确的格式与要求编制，并按格式与要求签署盖章，其中供应商单位名称处必须填写全称并按要求加盖公章</w:t>
      </w:r>
      <w:r>
        <w:rPr>
          <w:rFonts w:hint="eastAsia" w:ascii="仿宋" w:hAnsi="仿宋" w:eastAsia="仿宋" w:cs="仿宋"/>
          <w:sz w:val="24"/>
          <w:szCs w:val="24"/>
          <w:highlight w:val="none"/>
        </w:rPr>
        <w:t>。</w:t>
      </w:r>
    </w:p>
    <w:p>
      <w:pPr>
        <w:tabs>
          <w:tab w:val="left" w:pos="3544"/>
        </w:tabs>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18.6正副本内容应一致，若正副本不一致，以正本为准（若副本出现评审的关键因素（如：投标方案、证明材料、履约材料等）不一致的或不按招标文件要求签署盖章的或没有按招标文件要求编制投标文件的，按无效投标处理）；电子版本与纸质版不符，以纸质版正本为准。</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18.7投标文件中的任何重要的插字、涂改和增删，必须由法定代表人或经其授权的代表在旁边签字并加盖公章才有效。</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18.8投标文件（除特殊规格的图纸外）建议按A4规格纸张制作，建议采用双面打印或复印。</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18.9投标文件应胶装成本（册），需逐页连续编码，并加盖骑缝章。</w:t>
      </w:r>
    </w:p>
    <w:p>
      <w:pPr>
        <w:wordWrap w:val="0"/>
        <w:topLinePunct/>
        <w:spacing w:line="360" w:lineRule="auto"/>
        <w:ind w:firstLine="528" w:firstLineChars="219"/>
        <w:jc w:val="left"/>
        <w:outlineLvl w:val="1"/>
        <w:rPr>
          <w:rFonts w:hint="eastAsia" w:ascii="仿宋" w:hAnsi="仿宋" w:eastAsia="仿宋" w:cs="仿宋"/>
          <w:b/>
          <w:sz w:val="24"/>
          <w:szCs w:val="24"/>
          <w:highlight w:val="none"/>
        </w:rPr>
      </w:pPr>
      <w:bookmarkStart w:id="32" w:name="_Toc532377913"/>
      <w:bookmarkStart w:id="33" w:name="_Toc26516"/>
      <w:bookmarkStart w:id="34" w:name="_Toc3995044"/>
      <w:bookmarkStart w:id="35" w:name="_Toc528079669"/>
      <w:bookmarkStart w:id="36" w:name="_Toc29886052"/>
      <w:bookmarkStart w:id="37" w:name="_Toc527921946"/>
      <w:bookmarkStart w:id="38" w:name="_Toc19295"/>
      <w:bookmarkStart w:id="39" w:name="_Toc5871950"/>
      <w:bookmarkStart w:id="40" w:name="_Toc44665073"/>
      <w:bookmarkStart w:id="41" w:name="_Toc42251763"/>
      <w:r>
        <w:rPr>
          <w:rFonts w:hint="eastAsia" w:ascii="仿宋" w:hAnsi="仿宋" w:eastAsia="仿宋" w:cs="仿宋"/>
          <w:b/>
          <w:sz w:val="24"/>
          <w:szCs w:val="24"/>
          <w:highlight w:val="none"/>
        </w:rPr>
        <w:t>四、投标文件的密封与递交</w:t>
      </w:r>
      <w:bookmarkEnd w:id="32"/>
      <w:bookmarkEnd w:id="33"/>
      <w:bookmarkEnd w:id="34"/>
      <w:bookmarkEnd w:id="35"/>
      <w:bookmarkEnd w:id="36"/>
      <w:bookmarkEnd w:id="37"/>
      <w:bookmarkEnd w:id="38"/>
      <w:bookmarkEnd w:id="39"/>
      <w:bookmarkEnd w:id="40"/>
      <w:bookmarkEnd w:id="41"/>
    </w:p>
    <w:p>
      <w:pPr>
        <w:wordWrap w:val="0"/>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19.投标文件的密封和标记</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19.1</w:t>
      </w:r>
      <w:r>
        <w:rPr>
          <w:rFonts w:hint="eastAsia" w:ascii="仿宋" w:hAnsi="仿宋" w:eastAsia="仿宋" w:cs="仿宋"/>
          <w:b/>
          <w:sz w:val="24"/>
          <w:szCs w:val="24"/>
          <w:highlight w:val="none"/>
          <w:u w:val="single"/>
        </w:rPr>
        <w:t>供应商应将投标文件正本、副本、电子版本（U盘）、特定资格证明文件、投标报价一览表，按类别分开密封包装，不同类别不能混装，同类别必须密封在同一密封袋/箱中，密封封口处粘贴密封条并加盖供应商公章</w:t>
      </w:r>
      <w:r>
        <w:rPr>
          <w:rFonts w:hint="eastAsia" w:ascii="仿宋" w:hAnsi="仿宋" w:eastAsia="仿宋" w:cs="仿宋"/>
          <w:sz w:val="24"/>
          <w:szCs w:val="24"/>
          <w:highlight w:val="none"/>
        </w:rPr>
        <w:t>。</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19.2密封后的外包装上必须粘贴或打印标记，标记内容包括：密封袋的类别（“正本/副本/电子版本（U盘）/特定资格证明文件/投标报价一览表”）、项目名称、项目编号、包号、供应商名称并加盖公章、“</w:t>
      </w:r>
      <w:r>
        <w:rPr>
          <w:rFonts w:hint="eastAsia" w:ascii="仿宋" w:hAnsi="仿宋" w:eastAsia="仿宋" w:cs="仿宋"/>
          <w:sz w:val="24"/>
          <w:szCs w:val="24"/>
          <w:highlight w:val="none"/>
          <w:u w:val="single"/>
        </w:rPr>
        <w:t>在招标文件中规定的（</w:t>
      </w:r>
      <w:r>
        <w:rPr>
          <w:rFonts w:hint="eastAsia" w:ascii="仿宋" w:hAnsi="仿宋" w:eastAsia="仿宋" w:cs="仿宋"/>
          <w:i/>
          <w:sz w:val="24"/>
          <w:szCs w:val="24"/>
          <w:highlight w:val="none"/>
          <w:u w:val="single"/>
        </w:rPr>
        <w:t>开标时间***日期***时点</w:t>
      </w:r>
      <w:r>
        <w:rPr>
          <w:rFonts w:hint="eastAsia" w:ascii="仿宋" w:hAnsi="仿宋" w:eastAsia="仿宋" w:cs="仿宋"/>
          <w:sz w:val="24"/>
          <w:szCs w:val="24"/>
          <w:highlight w:val="none"/>
          <w:u w:val="single"/>
        </w:rPr>
        <w:t>）之前不得启封</w:t>
      </w:r>
      <w:r>
        <w:rPr>
          <w:rFonts w:hint="eastAsia" w:ascii="仿宋" w:hAnsi="仿宋" w:eastAsia="仿宋" w:cs="仿宋"/>
          <w:sz w:val="24"/>
          <w:szCs w:val="24"/>
          <w:highlight w:val="none"/>
        </w:rPr>
        <w:t>”的字样。（与标识相关的信息见“第一部分”）</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20.投标文件的递交、修改和撤回</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20.1供应商应在投标文件递交截止时间前，将投标文件密封送达投标地点，采购代理机构只对供应商递交的投标文件进行登记造册，但对其有效性、完整性、响应性概不负责。逾期送达或者未按照要求密封与标记的投标文件，采购代理机构将拒收。</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20.2供应商在投标文件递交截止时间前，可以对所递交的投标文件进行补充、修改或者撤回，但必须书面通知采购代理机构。</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20.3补充、修改的内容应当按招标文件要求签署、盖章、密封和标记，并作为投标文件的组成部分。在投标截止时间之后，供应商不得对其投标文件做任何修改、补充和撤回。</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20.4供应商所提交的投标文件在评标结束后，除单独密封递交的特定资格条件（原件或复印件）退还外，其余文件无论中标与否都不退还。</w:t>
      </w:r>
    </w:p>
    <w:p>
      <w:pPr>
        <w:wordWrap w:val="0"/>
        <w:topLinePunct/>
        <w:spacing w:line="360" w:lineRule="auto"/>
        <w:ind w:firstLine="528" w:firstLineChars="219"/>
        <w:jc w:val="left"/>
        <w:outlineLvl w:val="1"/>
        <w:rPr>
          <w:rFonts w:hint="eastAsia" w:ascii="仿宋" w:hAnsi="仿宋" w:eastAsia="仿宋" w:cs="仿宋"/>
          <w:b/>
          <w:sz w:val="24"/>
          <w:szCs w:val="24"/>
          <w:highlight w:val="none"/>
        </w:rPr>
      </w:pPr>
      <w:bookmarkStart w:id="42" w:name="_Toc5871951"/>
      <w:bookmarkStart w:id="43" w:name="_Toc13827"/>
      <w:bookmarkStart w:id="44" w:name="_Toc9925"/>
      <w:bookmarkStart w:id="45" w:name="_Toc532377914"/>
      <w:bookmarkStart w:id="46" w:name="_Toc527921947"/>
      <w:bookmarkStart w:id="47" w:name="_Toc528079670"/>
      <w:bookmarkStart w:id="48" w:name="_Toc29886053"/>
      <w:bookmarkStart w:id="49" w:name="_Toc3995045"/>
      <w:r>
        <w:rPr>
          <w:rFonts w:hint="eastAsia" w:ascii="仿宋" w:hAnsi="仿宋" w:eastAsia="仿宋" w:cs="仿宋"/>
          <w:b/>
          <w:sz w:val="24"/>
          <w:szCs w:val="24"/>
          <w:highlight w:val="none"/>
        </w:rPr>
        <w:t>五、开标与评标</w:t>
      </w:r>
      <w:bookmarkEnd w:id="42"/>
      <w:bookmarkEnd w:id="43"/>
      <w:bookmarkEnd w:id="44"/>
      <w:bookmarkEnd w:id="45"/>
      <w:bookmarkEnd w:id="46"/>
      <w:bookmarkEnd w:id="47"/>
      <w:bookmarkEnd w:id="48"/>
      <w:bookmarkEnd w:id="49"/>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21.开标</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21.1采购代理机构在招标文件中已明确的开标时间及开标地点进行开标会议，开标由采购人或采购代理机构主持，供应商未参加开标的，视同认可开标结果。</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21.2开标时，由供应商或其推选的代表检查投标文件的标记情况，经确认无误签字后，由采购代理机构工作人员当众拆封，宣读供应商名称、投标报价等内容；若标记不合格，按本部分23.4执行。</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21.3采购代理机构做好开标记录，开标记录由各供应商或其推选的代表签字确认。</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22.评标委员会的组成和评标方法</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22.1评标委员会负责具体评标事务，评标委员会由采购人代表和（技术、经济等）方面的评审专家组成，其中评审专家不得少于成员总数的三分之二。评审专家由采购代理机构按照省财政厅的相关规定从陕西省政府采购专家库中随机抽取。</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22.2本次评标采用综合评分法，具体“第四部分、评标办法”。</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22.3评标委员会按照招标文件明确的评标方法进行评审，评审分为初审和详细评审。</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23.投标文件的初审</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23.1初审分为资格性审查和符合性审查；</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23.2初审过程中，若投标报价出现前后不一致的，按以下规定修改：详见本部分第26.3详细评审；</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23.3通过初审的供应商，才能进入详细评审阶段。</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23.4无效投标</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23.4.1供应商有下列情形之一的，其投标无效：</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1）未从采购代理机构登记购买招标文件的，或所投项目与报名时登记备案的项目不符的，或登记备案的单位与投标单位不一致的（投标期间，在工商变更单位名称的须提供工商出具的变更资料）；</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2）供应商未按招标文件规定交纳投标保证金的；</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3）投标总金额超过本项目采购预算或者最高限价的；</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4）供应商的投标文件与资格条件的证明文件未提供或提供不全或提供的资料不在有效期内或不符合招标文件要求的；</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5）未按照招标文件要求编制投标文件的或未按招标文件规定的格式要求签署盖章或未按照招标文件要求密封和标记的；</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6）投标文件无法定代表人签字或签字人无法定代表人有效授权的；</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7）参加政府采购活动前三年内，在经营中有重大违法记录与失信记录的；</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8）投标文件附加了采购人难以接受的条件或条款的；</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9）符合招标文件中规定的被视为无效投标的其它条款的；</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10）不符合法律、法规规定的其它实质性要求的。</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23.4.2供应商有下列情形之一的，视为供应商串通投标，其投标无效：</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1）不同供应商的投标文件由同一单位或者个人编制；</w:t>
      </w:r>
    </w:p>
    <w:p>
      <w:pPr>
        <w:wordWrap w:val="0"/>
        <w:topLinePunct/>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2）不同供应商委托同一单位或者个人办理投标事宜；</w:t>
      </w:r>
    </w:p>
    <w:p>
      <w:pPr>
        <w:wordWrap w:val="0"/>
        <w:topLinePunct/>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3）不同供应商的投标文件载明的项目管理成员或者联系人员为同一人；</w:t>
      </w:r>
    </w:p>
    <w:p>
      <w:pPr>
        <w:wordWrap w:val="0"/>
        <w:topLinePunct/>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4）不同供应商的投标文件异常一致或者投标报价呈规律性差异；</w:t>
      </w:r>
    </w:p>
    <w:p>
      <w:pPr>
        <w:wordWrap w:val="0"/>
        <w:topLinePunct/>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5）不同供应商的投标文件相互混装；</w:t>
      </w:r>
    </w:p>
    <w:p>
      <w:pPr>
        <w:wordWrap w:val="0"/>
        <w:topLinePunct/>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6）不同供应商的投标保证金从同一单位或者个人的账户转出；</w:t>
      </w:r>
    </w:p>
    <w:p>
      <w:pPr>
        <w:wordWrap w:val="0"/>
        <w:topLinePunct/>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7) 不同供应商的单位负责人为同一人或者存在控股、管理关系的不同单位，参与“同一项目”的同一招标项目。</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24.投标文件的澄清</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24.1评标期间，对投标文件中含义不明确、同类问题表述不一致或者有明显文字和计算错误的内容，评标委员会可以要求供应商作出必要的澄清、说明或者纠正，但不得允许供应商对投标报价或其他实质性内容做任何更改。</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24.2供应商的澄清、说明或者补正应当采用书面形式并加盖公章或由法定代表人签字或其授权的代表签字，但不得超出投标文件的范围，对于实质上没有响应招标文件要求的投标将被视为无效投标，不得允许供应商通过修正或撤销不合要求的偏离，从而使其投标文件成为实质上响应的投标。</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24.3供应商的澄清、确认文件是其投标文件的组成部分。</w:t>
      </w:r>
    </w:p>
    <w:p>
      <w:pPr>
        <w:spacing w:line="360" w:lineRule="auto"/>
        <w:ind w:firstLine="482" w:firstLineChars="200"/>
        <w:jc w:val="left"/>
        <w:outlineLvl w:val="1"/>
        <w:rPr>
          <w:rFonts w:hint="eastAsia" w:ascii="仿宋" w:hAnsi="仿宋" w:eastAsia="仿宋" w:cs="仿宋"/>
          <w:b/>
          <w:sz w:val="24"/>
          <w:szCs w:val="24"/>
          <w:highlight w:val="none"/>
        </w:rPr>
      </w:pPr>
      <w:bookmarkStart w:id="50" w:name="_Toc29437"/>
      <w:bookmarkStart w:id="51" w:name="_Toc24871"/>
      <w:bookmarkStart w:id="52" w:name="_Toc29886055"/>
      <w:r>
        <w:rPr>
          <w:rFonts w:hint="eastAsia" w:ascii="仿宋" w:hAnsi="仿宋" w:eastAsia="仿宋" w:cs="仿宋"/>
          <w:b/>
          <w:sz w:val="24"/>
          <w:szCs w:val="24"/>
          <w:highlight w:val="none"/>
        </w:rPr>
        <w:t>六、质疑和投诉</w:t>
      </w:r>
      <w:bookmarkEnd w:id="50"/>
      <w:bookmarkEnd w:id="51"/>
      <w:bookmarkEnd w:id="52"/>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25.供应商的质疑或投诉，根据《政府采购质疑和投诉办法》有关规定执行，其中质疑以书面形式向采购人、采购代理机构提出（采购代理机构联系方式见第一部分），投诉25.1对采购文件提出质疑的，应当在获取采购文件或者采购文件公告期限届满之日起7个工作日内提出。</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25.2对采购过程提出质疑的，在各程序环节结束之日起7个工作日内提出。</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25.3对中标或者成交结果提出质疑的，为中标或者成交结果公告期限届满之日起7个工作日内提出。</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25.4供应商的质疑应当有明确的请求和必要的证明材料，须提供针对本项目的专项质疑授权书、质疑函及证明材料，质疑函按照陕西省政府采购网中规定的格式与要求书面提交，采购人或采购代理机构应在收到供应商完整书面质疑后7个工作日内，对质疑内容作出答复。</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25.5供应商在法定质疑期内一次性提出针对同一采购程序环节的的质疑，不接受同一程序环节的多次质疑。</w:t>
      </w:r>
    </w:p>
    <w:p>
      <w:pPr>
        <w:spacing w:line="360" w:lineRule="auto"/>
        <w:ind w:firstLine="482" w:firstLineChars="200"/>
        <w:jc w:val="left"/>
        <w:outlineLvl w:val="1"/>
        <w:rPr>
          <w:rFonts w:hint="eastAsia" w:ascii="仿宋" w:hAnsi="仿宋" w:eastAsia="仿宋" w:cs="仿宋"/>
          <w:b/>
          <w:sz w:val="24"/>
          <w:szCs w:val="24"/>
          <w:highlight w:val="none"/>
        </w:rPr>
      </w:pPr>
      <w:bookmarkStart w:id="53" w:name="_Toc8152"/>
      <w:bookmarkStart w:id="54" w:name="_Toc13840"/>
      <w:bookmarkStart w:id="55" w:name="_Toc29886056"/>
      <w:r>
        <w:rPr>
          <w:rFonts w:hint="eastAsia" w:ascii="仿宋" w:hAnsi="仿宋" w:eastAsia="仿宋" w:cs="仿宋"/>
          <w:b/>
          <w:sz w:val="24"/>
          <w:szCs w:val="24"/>
          <w:highlight w:val="none"/>
        </w:rPr>
        <w:t>七、授予合同</w:t>
      </w:r>
      <w:bookmarkEnd w:id="53"/>
      <w:bookmarkEnd w:id="54"/>
      <w:bookmarkEnd w:id="55"/>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26.中标通知书</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26.1采购代理机构在收到采购人的定标复函后，在陕西省政府采购网上公告中标结果，并向中标人发出中标通知书，中标通知书是合同的组成部分。</w:t>
      </w:r>
    </w:p>
    <w:p>
      <w:pPr>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27.招标代理服务费</w:t>
      </w:r>
    </w:p>
    <w:p>
      <w:pPr>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27.1 </w:t>
      </w:r>
      <w:r>
        <w:rPr>
          <w:rFonts w:hint="eastAsia" w:ascii="仿宋" w:hAnsi="仿宋" w:eastAsia="仿宋" w:cs="仿宋"/>
          <w:b/>
          <w:sz w:val="24"/>
          <w:szCs w:val="24"/>
          <w:highlight w:val="none"/>
          <w:u w:val="single"/>
        </w:rPr>
        <w:t>中标人在领取中标通知书的同时，向陕西利隆建设项目管理有限公司交纳招标代理服务费</w:t>
      </w:r>
      <w:r>
        <w:rPr>
          <w:rFonts w:hint="eastAsia" w:ascii="仿宋" w:hAnsi="仿宋" w:eastAsia="仿宋" w:cs="仿宋"/>
          <w:b/>
          <w:sz w:val="24"/>
          <w:szCs w:val="24"/>
          <w:highlight w:val="none"/>
        </w:rPr>
        <w:t>；</w:t>
      </w:r>
    </w:p>
    <w:p>
      <w:pPr>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27.2招标代理服务费参照国家计委关于印发《招标代理服务收费管理暂行办法》的通知（计价格〔2002〕1980号）、《国家发展和改革委员会办公厅关于招标代理服务收费有关问题的通知》（发改办价格〔2003〕857号）文件标准计取。</w:t>
      </w:r>
    </w:p>
    <w:p>
      <w:pPr>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27.3招标代理服务费可采用 电汇、银行转帐或现金 的形式支付。</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28. 签订合同</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28.1中标人无正当理由不得放弃中标，中标人应当自中标通知书发出之日起30日内，按照招标文件及其投标文件的规定，与采购人签订采购合同。</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28.2 采购人在授予合同时有权对招标文件规定的货物和服务数量予以追加，追加金额不超过中标金额的10%且不能超过公开招标限额标准，亦不得对单价等实质性条款做任何改变。</w:t>
      </w:r>
    </w:p>
    <w:p>
      <w:pPr>
        <w:spacing w:line="360" w:lineRule="auto"/>
        <w:ind w:firstLine="482" w:firstLineChars="200"/>
        <w:jc w:val="left"/>
        <w:outlineLvl w:val="1"/>
        <w:rPr>
          <w:rFonts w:hint="eastAsia" w:ascii="仿宋" w:hAnsi="仿宋" w:eastAsia="仿宋" w:cs="仿宋"/>
          <w:b/>
          <w:sz w:val="24"/>
          <w:szCs w:val="24"/>
          <w:highlight w:val="none"/>
        </w:rPr>
      </w:pPr>
      <w:bookmarkStart w:id="56" w:name="_Toc844"/>
      <w:bookmarkStart w:id="57" w:name="_Toc27840"/>
      <w:bookmarkStart w:id="58" w:name="_Toc29886057"/>
      <w:r>
        <w:rPr>
          <w:rFonts w:hint="eastAsia" w:ascii="仿宋" w:hAnsi="仿宋" w:eastAsia="仿宋" w:cs="仿宋"/>
          <w:b/>
          <w:sz w:val="24"/>
          <w:szCs w:val="24"/>
          <w:highlight w:val="none"/>
        </w:rPr>
        <w:t>八、其他</w:t>
      </w:r>
      <w:bookmarkEnd w:id="56"/>
      <w:bookmarkEnd w:id="57"/>
      <w:bookmarkEnd w:id="58"/>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29.其他</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29.1 开标后，如果发生有效供应商不足三家或所有供应商的报价均超过预算或限价的，采购人不能支付的情况，可决定废标或报同级财政部门批准，选用其它采购方式进行采购。</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29.2如果中标人没有按照上述第32条或第33条规定执行，其投标保证金将不予退还，并报请财政部门进行处罚。</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29.3拒绝商业贿赂</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29.3.1 采购人、采购代理机构、供应商和评审专家在招投标活动中，都要签订相应的《拒绝政府采购领域商业贿赂承诺书》，并对违反承诺的行为承担全部责任。</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29.3.2供应商必须填写《拒绝政府采购领域商业贿赂承诺书》装订于投标文件正副本中。（格式见第六部分）</w:t>
      </w:r>
    </w:p>
    <w:p>
      <w:pP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highlight w:val="none"/>
        </w:rPr>
      </w:pPr>
      <w:r>
        <w:rPr>
          <w:rStyle w:val="53"/>
          <w:rFonts w:hint="eastAsia" w:ascii="仿宋" w:hAnsi="仿宋" w:eastAsia="仿宋" w:cs="仿宋"/>
          <w:b/>
          <w:bCs/>
          <w:i w:val="0"/>
          <w:iCs w:val="0"/>
          <w:caps w:val="0"/>
          <w:color w:val="auto"/>
          <w:spacing w:val="0"/>
          <w:sz w:val="21"/>
          <w:szCs w:val="21"/>
          <w:highlight w:val="none"/>
          <w:shd w:val="clear" w:color="auto" w:fill="FFFFFF"/>
        </w:rPr>
        <w:t>六、其他补充事宜</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1、购买招标文件请携带有效期内的单位介绍信原件三份、经办人身份证复印件三份及经办人身份证原件在报名截止时间</w:t>
      </w:r>
      <w:r>
        <w:rPr>
          <w:rFonts w:hint="eastAsia" w:ascii="仿宋" w:hAnsi="仿宋" w:eastAsia="仿宋" w:cs="仿宋"/>
          <w:i w:val="0"/>
          <w:iCs w:val="0"/>
          <w:caps w:val="0"/>
          <w:color w:val="auto"/>
          <w:spacing w:val="0"/>
          <w:sz w:val="21"/>
          <w:szCs w:val="21"/>
          <w:highlight w:val="none"/>
          <w:shd w:val="clear" w:color="auto" w:fill="FFFFFF"/>
          <w:lang w:eastAsia="zh-CN"/>
        </w:rPr>
        <w:t>前</w:t>
      </w:r>
      <w:r>
        <w:rPr>
          <w:rFonts w:hint="eastAsia" w:ascii="仿宋" w:hAnsi="仿宋" w:eastAsia="仿宋" w:cs="仿宋"/>
          <w:i w:val="0"/>
          <w:iCs w:val="0"/>
          <w:caps w:val="0"/>
          <w:color w:val="auto"/>
          <w:spacing w:val="0"/>
          <w:sz w:val="21"/>
          <w:szCs w:val="21"/>
          <w:highlight w:val="none"/>
          <w:shd w:val="clear" w:color="auto" w:fill="FFFFFF"/>
        </w:rPr>
        <w:t>到陕西利隆建设项目管理有限公司（渭南市临渭区朝阳大街与西四路十字审计小区东座301室）购买招标文件。</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2、本项目专门面向中小企业采购。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highlight w:val="none"/>
        </w:rPr>
      </w:pPr>
      <w:r>
        <w:rPr>
          <w:rStyle w:val="53"/>
          <w:rFonts w:hint="eastAsia" w:ascii="仿宋" w:hAnsi="仿宋" w:eastAsia="仿宋" w:cs="仿宋"/>
          <w:b/>
          <w:bCs/>
          <w:i w:val="0"/>
          <w:iCs w:val="0"/>
          <w:caps w:val="0"/>
          <w:color w:val="auto"/>
          <w:spacing w:val="0"/>
          <w:sz w:val="21"/>
          <w:szCs w:val="21"/>
          <w:highlight w:val="none"/>
          <w:shd w:val="clear" w:color="auto" w:fill="FFFFFF"/>
        </w:rPr>
        <w:t>七、对本次招标提出询问，请按以下方式联系。</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1.采购人信息</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名称：渭南市环境保护监测站</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地址：渭南市站北街9号</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联系方式：0913-2368068</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2.采购代理机构信息</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名称：陕西利隆建设项目管理有限公司</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地址：陕西省渭南市临渭区朝阳路中段审计大楼东座301室</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联系方式：0913-2056859</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3.项目联系方式</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项目联系人：李敏</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auto"/>
          <w:spacing w:val="0"/>
          <w:sz w:val="21"/>
          <w:szCs w:val="21"/>
          <w:highlight w:val="none"/>
          <w:shd w:val="clear" w:color="auto" w:fill="FFFFFF"/>
        </w:rPr>
      </w:pPr>
      <w:r>
        <w:rPr>
          <w:rFonts w:hint="eastAsia" w:ascii="仿宋" w:hAnsi="仿宋" w:eastAsia="仿宋" w:cs="仿宋"/>
          <w:i w:val="0"/>
          <w:iCs w:val="0"/>
          <w:caps w:val="0"/>
          <w:color w:val="auto"/>
          <w:spacing w:val="0"/>
          <w:sz w:val="21"/>
          <w:szCs w:val="21"/>
          <w:highlight w:val="none"/>
          <w:shd w:val="clear" w:color="auto" w:fill="FFFFFF"/>
        </w:rPr>
        <w:t>电话：0913-2056859</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color="auto" w:fill="FFFFFF"/>
        </w:rPr>
        <w:t>陕西利隆建设项目管理有限公司</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仿宋" w:hAnsi="仿宋" w:eastAsia="仿宋" w:cs="仿宋"/>
          <w:i w:val="0"/>
          <w:iCs w:val="0"/>
          <w:caps w:val="0"/>
          <w:color w:val="auto"/>
          <w:spacing w:val="0"/>
          <w:sz w:val="21"/>
          <w:szCs w:val="21"/>
          <w:highlight w:val="none"/>
        </w:rPr>
      </w:pPr>
    </w:p>
    <w:p>
      <w:pPr>
        <w:pStyle w:val="42"/>
        <w:wordWrap w:val="0"/>
        <w:spacing w:before="0" w:beforeAutospacing="0" w:after="0" w:afterAutospacing="0" w:line="360" w:lineRule="auto"/>
        <w:ind w:firstLine="320" w:firstLineChars="200"/>
        <w:jc w:val="right"/>
        <w:rPr>
          <w:rFonts w:hint="eastAsia" w:ascii="仿宋" w:hAnsi="仿宋" w:eastAsia="仿宋" w:cs="仿宋"/>
          <w:sz w:val="16"/>
          <w:szCs w:val="16"/>
          <w:highlight w:val="none"/>
        </w:rPr>
      </w:pPr>
    </w:p>
    <w:p>
      <w:pPr>
        <w:widowControl/>
        <w:wordWrap w:val="0"/>
        <w:jc w:val="right"/>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pPr>
        <w:snapToGrid w:val="0"/>
        <w:spacing w:line="312" w:lineRule="auto"/>
        <w:jc w:val="center"/>
        <w:outlineLvl w:val="0"/>
        <w:rPr>
          <w:rFonts w:hint="eastAsia" w:ascii="仿宋" w:hAnsi="仿宋" w:eastAsia="仿宋" w:cs="仿宋"/>
          <w:b/>
          <w:sz w:val="36"/>
          <w:szCs w:val="36"/>
          <w:highlight w:val="none"/>
        </w:rPr>
      </w:pPr>
      <w:bookmarkStart w:id="59" w:name="_Toc16167"/>
      <w:r>
        <w:rPr>
          <w:rFonts w:hint="eastAsia" w:ascii="仿宋" w:hAnsi="仿宋" w:eastAsia="仿宋" w:cs="仿宋"/>
          <w:b/>
          <w:sz w:val="36"/>
          <w:szCs w:val="36"/>
          <w:highlight w:val="none"/>
        </w:rPr>
        <w:t>第三部分 技术要求与商务要求</w:t>
      </w:r>
      <w:bookmarkEnd w:id="59"/>
    </w:p>
    <w:p>
      <w:pPr>
        <w:adjustRightInd w:val="0"/>
        <w:snapToGrid w:val="0"/>
        <w:spacing w:line="312" w:lineRule="auto"/>
        <w:ind w:firstLine="482" w:firstLineChars="200"/>
        <w:jc w:val="left"/>
        <w:outlineLvl w:val="1"/>
        <w:rPr>
          <w:rFonts w:hint="eastAsia" w:ascii="仿宋" w:hAnsi="仿宋" w:eastAsia="仿宋" w:cs="仿宋"/>
          <w:b/>
          <w:sz w:val="24"/>
          <w:szCs w:val="24"/>
          <w:highlight w:val="none"/>
        </w:rPr>
      </w:pPr>
      <w:bookmarkStart w:id="60" w:name="_Toc29472"/>
      <w:bookmarkStart w:id="61" w:name="_Toc14413"/>
      <w:r>
        <w:rPr>
          <w:rFonts w:hint="eastAsia" w:ascii="仿宋" w:hAnsi="仿宋" w:eastAsia="仿宋" w:cs="仿宋"/>
          <w:b/>
          <w:sz w:val="24"/>
          <w:szCs w:val="24"/>
          <w:highlight w:val="none"/>
        </w:rPr>
        <w:t>一、基本要求</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1、功能要求：新增1个渭南市交通环境空气质量自动监测站，设置在渭南市重要物流通道与干道或国家高速公路沿线，按照NO-NO2-NOx分析仪、CO 分析仪、PM10颗粒物监测仪、PM2.5颗粒物监测仪、气象五参数监测仪、VOCs分析仪、BC黑碳仪、车流量监测仪、无机动态校准仪、有机动态稀释仪、零气发生器、氢气发生器、采样系统、机柜、标准物质等进行建设，同时进行数据采集与传输系统、站房、通讯网络等配套设施建设。</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2、采购项目需要落实的政府采购政策： </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a、根据《政府采购促进中小企业发展管理办法》（财库〔2020〕46号）及《财政部关于进一步加大政府采购支持中小企业力度的通知》（财库〔2022〕19号）调整供应商参与评审的价格。对小型和微型企业产品的价格给予10%的扣除。如允许与小微企业组成联合体或向其分包的，且合同额占总金额30%以上的，给予4%的扣除。同时，依据该办法第四条第二款规定在货物采购项目中，供应商提供的货物既有中小企业制造货物，也有大型企业制造货物的，不享受中小企业扶持政策。</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节能产品、环境标志产品按照《财政部、国家发展和改革委员会关于印发&lt;节能产品政府采购实施意见&gt;的通知》（财库【2004】185号）、《财政部、国家环保总局联合印发&lt;关于环境标志产品政府采购实施的意见&gt;》（财库【2006】90号）、《国务院办公厅关于建立政府强制采购节能产品制度的通知》（国办发〔2007〕51号）、《财政部 发展改革委 生态环境部 市场监管总局关于调整优化节能产品、环境标志产品政府采购执行机制的通知》（财库〔2019〕9号）有关规定执行。</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c、根据《财政部、司法部关于政府采购支持监狱企业发展有关问题的通知》（财库〔2014〕68号）规定，在政府采购活动中，监狱企业视同小型、微型企业，享受预留份额、评审中价格扣除等政府采购促进中小企业发展的政府采购政策。</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d、根据财政部、民政部、中国残疾人联合会《三部门联合发布关于促进残疾人就业政府采购政策的通知》（财库[2017]141号）要求，在政府采购活动中，残疾人福利性单位视同小型、微型企业，享受预留份额、评审中价格扣除等促进中小企业发展的政府采购政策。</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3、交货期要求：合同签订生效后120天内需要交货完毕、安装调试完成。</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4、交货地点：采购单位指定地点。</w:t>
      </w:r>
    </w:p>
    <w:p>
      <w:pPr>
        <w:adjustRightInd w:val="0"/>
        <w:snapToGrid w:val="0"/>
        <w:spacing w:line="312" w:lineRule="auto"/>
        <w:ind w:firstLine="482" w:firstLineChars="20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二、需执行的国家相关标准、行业标准、地方标准或者其他标准、规范</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采购标的需执行的国家相关标准、行业标准、地方标准或者其他标准、规范：执行国家及陕西省有关规定。</w:t>
      </w:r>
    </w:p>
    <w:p>
      <w:pPr>
        <w:adjustRightInd w:val="0"/>
        <w:snapToGrid w:val="0"/>
        <w:spacing w:line="312" w:lineRule="auto"/>
        <w:ind w:firstLine="482" w:firstLineChars="20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三、采购标的数量和规格</w:t>
      </w:r>
    </w:p>
    <w:p>
      <w:pPr>
        <w:pStyle w:val="21"/>
        <w:adjustRightInd w:val="0"/>
        <w:snapToGrid w:val="0"/>
        <w:spacing w:line="312" w:lineRule="auto"/>
        <w:ind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渭南市交通环境空气质量自动监测站采购清单</w:t>
      </w:r>
    </w:p>
    <w:tbl>
      <w:tblPr>
        <w:tblStyle w:val="47"/>
        <w:tblW w:w="0" w:type="auto"/>
        <w:jc w:val="center"/>
        <w:tblLayout w:type="fixed"/>
        <w:tblCellMar>
          <w:top w:w="0" w:type="dxa"/>
          <w:left w:w="108" w:type="dxa"/>
          <w:bottom w:w="0" w:type="dxa"/>
          <w:right w:w="108" w:type="dxa"/>
        </w:tblCellMar>
      </w:tblPr>
      <w:tblGrid>
        <w:gridCol w:w="1836"/>
        <w:gridCol w:w="3969"/>
        <w:gridCol w:w="1446"/>
        <w:gridCol w:w="1927"/>
      </w:tblGrid>
      <w:tr>
        <w:tblPrEx>
          <w:tblCellMar>
            <w:top w:w="0" w:type="dxa"/>
            <w:left w:w="108" w:type="dxa"/>
            <w:bottom w:w="0" w:type="dxa"/>
            <w:right w:w="108" w:type="dxa"/>
          </w:tblCellMar>
        </w:tblPrEx>
        <w:trPr>
          <w:trHeight w:val="430" w:hRule="atLeast"/>
          <w:jc w:val="center"/>
        </w:trPr>
        <w:tc>
          <w:tcPr>
            <w:tcW w:w="1836" w:type="dxa"/>
            <w:tcBorders>
              <w:top w:val="single" w:color="000000" w:sz="8" w:space="0"/>
              <w:left w:val="single" w:color="000000" w:sz="8" w:space="0"/>
              <w:bottom w:val="single" w:color="000000" w:sz="8" w:space="0"/>
              <w:right w:val="single" w:color="000000" w:sz="8" w:space="0"/>
            </w:tcBorders>
            <w:shd w:val="clear" w:color="auto" w:fill="BFBFBF"/>
            <w:vAlign w:val="bottom"/>
          </w:tcPr>
          <w:p>
            <w:pPr>
              <w:widowControl/>
              <w:adjustRightInd w:val="0"/>
              <w:snapToGrid w:val="0"/>
              <w:spacing w:line="312" w:lineRule="auto"/>
              <w:jc w:val="center"/>
              <w:textAlignment w:val="bottom"/>
              <w:rPr>
                <w:rFonts w:hint="eastAsia" w:ascii="仿宋" w:hAnsi="仿宋" w:eastAsia="仿宋" w:cs="仿宋"/>
                <w:b/>
                <w:bCs/>
                <w:color w:val="000000"/>
                <w:sz w:val="22"/>
                <w:highlight w:val="none"/>
              </w:rPr>
            </w:pPr>
            <w:r>
              <w:rPr>
                <w:rFonts w:hint="eastAsia" w:ascii="仿宋" w:hAnsi="仿宋" w:eastAsia="仿宋" w:cs="仿宋"/>
                <w:b/>
                <w:bCs/>
                <w:color w:val="000000"/>
                <w:kern w:val="0"/>
                <w:sz w:val="22"/>
                <w:highlight w:val="none"/>
              </w:rPr>
              <w:t>序号</w:t>
            </w:r>
          </w:p>
        </w:tc>
        <w:tc>
          <w:tcPr>
            <w:tcW w:w="3969" w:type="dxa"/>
            <w:tcBorders>
              <w:top w:val="single" w:color="000000" w:sz="8" w:space="0"/>
              <w:left w:val="nil"/>
              <w:bottom w:val="single" w:color="000000" w:sz="8" w:space="0"/>
              <w:right w:val="single" w:color="000000" w:sz="8" w:space="0"/>
            </w:tcBorders>
            <w:shd w:val="clear" w:color="auto" w:fill="BFBFBF"/>
            <w:vAlign w:val="bottom"/>
          </w:tcPr>
          <w:p>
            <w:pPr>
              <w:widowControl/>
              <w:adjustRightInd w:val="0"/>
              <w:snapToGrid w:val="0"/>
              <w:spacing w:line="312" w:lineRule="auto"/>
              <w:jc w:val="center"/>
              <w:textAlignment w:val="bottom"/>
              <w:rPr>
                <w:rFonts w:hint="eastAsia" w:ascii="仿宋" w:hAnsi="仿宋" w:eastAsia="仿宋" w:cs="仿宋"/>
                <w:b/>
                <w:bCs/>
                <w:color w:val="000000"/>
                <w:sz w:val="22"/>
                <w:highlight w:val="none"/>
              </w:rPr>
            </w:pPr>
            <w:r>
              <w:rPr>
                <w:rFonts w:hint="eastAsia" w:ascii="仿宋" w:hAnsi="仿宋" w:eastAsia="仿宋" w:cs="仿宋"/>
                <w:b/>
                <w:bCs/>
                <w:color w:val="000000"/>
                <w:kern w:val="0"/>
                <w:sz w:val="22"/>
                <w:highlight w:val="none"/>
              </w:rPr>
              <w:t>货物名称</w:t>
            </w:r>
          </w:p>
        </w:tc>
        <w:tc>
          <w:tcPr>
            <w:tcW w:w="1446" w:type="dxa"/>
            <w:tcBorders>
              <w:top w:val="single" w:color="000000" w:sz="8" w:space="0"/>
              <w:left w:val="nil"/>
              <w:bottom w:val="single" w:color="000000" w:sz="8" w:space="0"/>
              <w:right w:val="single" w:color="000000" w:sz="8" w:space="0"/>
            </w:tcBorders>
            <w:shd w:val="clear" w:color="auto" w:fill="BFBFBF"/>
            <w:vAlign w:val="bottom"/>
          </w:tcPr>
          <w:p>
            <w:pPr>
              <w:widowControl/>
              <w:adjustRightInd w:val="0"/>
              <w:snapToGrid w:val="0"/>
              <w:spacing w:line="312" w:lineRule="auto"/>
              <w:jc w:val="center"/>
              <w:textAlignment w:val="bottom"/>
              <w:rPr>
                <w:rFonts w:hint="eastAsia" w:ascii="仿宋" w:hAnsi="仿宋" w:eastAsia="仿宋" w:cs="仿宋"/>
                <w:b/>
                <w:bCs/>
                <w:color w:val="000000"/>
                <w:sz w:val="22"/>
                <w:highlight w:val="none"/>
              </w:rPr>
            </w:pPr>
            <w:r>
              <w:rPr>
                <w:rFonts w:hint="eastAsia" w:ascii="仿宋" w:hAnsi="仿宋" w:eastAsia="仿宋" w:cs="仿宋"/>
                <w:b/>
                <w:bCs/>
                <w:color w:val="000000"/>
                <w:kern w:val="0"/>
                <w:sz w:val="22"/>
                <w:highlight w:val="none"/>
              </w:rPr>
              <w:t>数量</w:t>
            </w:r>
          </w:p>
        </w:tc>
        <w:tc>
          <w:tcPr>
            <w:tcW w:w="1927" w:type="dxa"/>
            <w:tcBorders>
              <w:top w:val="single" w:color="000000" w:sz="8" w:space="0"/>
              <w:left w:val="nil"/>
              <w:bottom w:val="single" w:color="000000" w:sz="8" w:space="0"/>
              <w:right w:val="single" w:color="000000" w:sz="8" w:space="0"/>
            </w:tcBorders>
            <w:shd w:val="clear" w:color="auto" w:fill="BFBFBF"/>
            <w:vAlign w:val="bottom"/>
          </w:tcPr>
          <w:p>
            <w:pPr>
              <w:widowControl/>
              <w:adjustRightInd w:val="0"/>
              <w:snapToGrid w:val="0"/>
              <w:spacing w:line="312" w:lineRule="auto"/>
              <w:jc w:val="center"/>
              <w:textAlignment w:val="bottom"/>
              <w:rPr>
                <w:rFonts w:hint="eastAsia" w:ascii="仿宋" w:hAnsi="仿宋" w:eastAsia="仿宋" w:cs="仿宋"/>
                <w:b/>
                <w:bCs/>
                <w:color w:val="000000"/>
                <w:sz w:val="22"/>
                <w:highlight w:val="none"/>
              </w:rPr>
            </w:pPr>
            <w:r>
              <w:rPr>
                <w:rFonts w:hint="eastAsia" w:ascii="仿宋" w:hAnsi="仿宋" w:eastAsia="仿宋" w:cs="仿宋"/>
                <w:b/>
                <w:bCs/>
                <w:color w:val="000000"/>
                <w:kern w:val="0"/>
                <w:sz w:val="22"/>
                <w:highlight w:val="none"/>
              </w:rPr>
              <w:t>单位</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NO-NO2-NOx分析仪</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2</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CO 分析仪</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3</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PM10颗粒物分析仪</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4</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PM2.5颗粒物分析仪</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5</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气象五参数</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6</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VOCs分析仪</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7</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BC黑碳仪</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8</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车流量监测仪</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9</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无机动态校准仪</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10</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有机动态稀释仪</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11</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零气发生器</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12</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氢气发生器</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13</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采样系统</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14</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机柜</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15</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标准物质</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16</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数据采集与传输系统</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30"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17</w:t>
            </w:r>
          </w:p>
        </w:tc>
        <w:tc>
          <w:tcPr>
            <w:tcW w:w="3969"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站房建设及配套设施</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套</w:t>
            </w:r>
          </w:p>
        </w:tc>
      </w:tr>
      <w:tr>
        <w:tblPrEx>
          <w:tblCellMar>
            <w:top w:w="0" w:type="dxa"/>
            <w:left w:w="108" w:type="dxa"/>
            <w:bottom w:w="0" w:type="dxa"/>
            <w:right w:w="108" w:type="dxa"/>
          </w:tblCellMar>
        </w:tblPrEx>
        <w:trPr>
          <w:trHeight w:val="449" w:hRule="atLeast"/>
          <w:jc w:val="center"/>
        </w:trPr>
        <w:tc>
          <w:tcPr>
            <w:tcW w:w="1836" w:type="dxa"/>
            <w:tcBorders>
              <w:top w:val="nil"/>
              <w:left w:val="single" w:color="000000" w:sz="8" w:space="0"/>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18</w:t>
            </w:r>
          </w:p>
        </w:tc>
        <w:tc>
          <w:tcPr>
            <w:tcW w:w="3969" w:type="dxa"/>
            <w:tcBorders>
              <w:top w:val="nil"/>
              <w:left w:val="nil"/>
              <w:bottom w:val="single" w:color="000000" w:sz="8" w:space="0"/>
              <w:right w:val="single" w:color="000000" w:sz="8" w:space="0"/>
            </w:tcBorders>
            <w:vAlign w:val="center"/>
          </w:tcPr>
          <w:p>
            <w:pPr>
              <w:widowControl/>
              <w:adjustRightInd w:val="0"/>
              <w:snapToGrid w:val="0"/>
              <w:spacing w:line="312" w:lineRule="auto"/>
              <w:jc w:val="center"/>
              <w:textAlignment w:val="center"/>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通讯网络</w:t>
            </w:r>
          </w:p>
        </w:tc>
        <w:tc>
          <w:tcPr>
            <w:tcW w:w="1446"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1</w:t>
            </w:r>
          </w:p>
        </w:tc>
        <w:tc>
          <w:tcPr>
            <w:tcW w:w="1927" w:type="dxa"/>
            <w:tcBorders>
              <w:top w:val="nil"/>
              <w:left w:val="nil"/>
              <w:bottom w:val="single" w:color="000000" w:sz="8" w:space="0"/>
              <w:right w:val="single" w:color="000000" w:sz="8" w:space="0"/>
            </w:tcBorders>
            <w:vAlign w:val="bottom"/>
          </w:tcPr>
          <w:p>
            <w:pPr>
              <w:widowControl/>
              <w:adjustRightInd w:val="0"/>
              <w:snapToGrid w:val="0"/>
              <w:spacing w:line="312" w:lineRule="auto"/>
              <w:jc w:val="center"/>
              <w:textAlignment w:val="bottom"/>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rPr>
              <w:t>年</w:t>
            </w:r>
          </w:p>
        </w:tc>
      </w:tr>
    </w:tbl>
    <w:p>
      <w:pPr>
        <w:adjustRightInd w:val="0"/>
        <w:snapToGrid w:val="0"/>
        <w:spacing w:line="312" w:lineRule="auto"/>
        <w:ind w:firstLine="482" w:firstLineChars="20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四、质量、安全、技术规格、物理特性等要求</w:t>
      </w:r>
    </w:p>
    <w:p>
      <w:pPr>
        <w:pStyle w:val="6"/>
        <w:adjustRightInd w:val="0"/>
        <w:snapToGrid w:val="0"/>
        <w:spacing w:before="0" w:after="0" w:line="312" w:lineRule="auto"/>
        <w:ind w:firstLine="48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1.技术要求</w:t>
      </w:r>
    </w:p>
    <w:p>
      <w:pPr>
        <w:pStyle w:val="7"/>
        <w:adjustRightInd w:val="0"/>
        <w:snapToGrid w:val="0"/>
        <w:spacing w:before="0" w:after="0" w:line="312" w:lineRule="auto"/>
        <w:ind w:firstLine="482" w:firstLineChars="200"/>
        <w:rPr>
          <w:rFonts w:hint="eastAsia" w:ascii="仿宋" w:hAnsi="仿宋" w:eastAsia="仿宋" w:cs="仿宋"/>
          <w:sz w:val="24"/>
          <w:szCs w:val="24"/>
          <w:highlight w:val="none"/>
        </w:rPr>
      </w:pPr>
      <w:bookmarkStart w:id="62" w:name="_Toc33023307"/>
      <w:bookmarkStart w:id="63" w:name="_Toc532925359"/>
      <w:bookmarkStart w:id="64" w:name="_Toc27089"/>
      <w:bookmarkStart w:id="65" w:name="_Toc32280"/>
      <w:bookmarkStart w:id="66" w:name="_Toc502052006"/>
      <w:bookmarkStart w:id="67" w:name="_Toc532925356"/>
      <w:bookmarkStart w:id="68" w:name="_Toc502052003"/>
      <w:bookmarkStart w:id="69" w:name="_Toc33023304"/>
      <w:r>
        <w:rPr>
          <w:rFonts w:hint="eastAsia" w:ascii="仿宋" w:hAnsi="仿宋" w:eastAsia="仿宋" w:cs="仿宋"/>
          <w:sz w:val="24"/>
          <w:szCs w:val="24"/>
          <w:highlight w:val="none"/>
        </w:rPr>
        <w:t>1.1 ★NO-NO2-NOx分析仪</w:t>
      </w:r>
      <w:bookmarkEnd w:id="62"/>
      <w:bookmarkEnd w:id="63"/>
      <w:bookmarkEnd w:id="64"/>
      <w:bookmarkEnd w:id="65"/>
      <w:bookmarkEnd w:id="66"/>
    </w:p>
    <w:p>
      <w:pPr>
        <w:adjustRightInd w:val="0"/>
        <w:snapToGrid w:val="0"/>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（1）仪器原理</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基于化学发光法，化合物分析吸收化学能后，被激发到激发态，在返回基态时，以光量子形式释放出能量的，通过化学发光强度对NO、NOx进行定量测量，两者之间的差值则是NO2的浓度值。</w:t>
      </w:r>
    </w:p>
    <w:p>
      <w:pPr>
        <w:adjustRightInd w:val="0"/>
        <w:snapToGrid w:val="0"/>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（2）主要技术参数</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分析方法：化学发光法</w:t>
      </w:r>
      <w:r>
        <w:rPr>
          <w:rFonts w:hint="eastAsia" w:ascii="仿宋" w:hAnsi="仿宋" w:eastAsia="仿宋" w:cs="仿宋"/>
          <w:sz w:val="24"/>
          <w:szCs w:val="24"/>
          <w:highlight w:val="none"/>
        </w:rPr>
        <w:tab/>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量程：0-10, 20, 50, 100, 200ppb或更多可选量程，具有量程自动切换功能</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最低检测限：≤1 ppb（设置60秒时间）</w:t>
      </w:r>
      <w:r>
        <w:rPr>
          <w:rFonts w:hint="eastAsia" w:ascii="仿宋" w:hAnsi="仿宋" w:eastAsia="仿宋" w:cs="仿宋"/>
          <w:sz w:val="24"/>
          <w:szCs w:val="24"/>
          <w:highlight w:val="none"/>
        </w:rPr>
        <w:tab/>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线性：±1％满量程</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重现性：&lt;1％读数</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跨漂 (24小时)：≤±2％满量程</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模拟输出信号：DC 0-1.0V、0-5.0V、0-10.0V、0-20mA </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数字输出信号：RS232/485数字接口；数字接口至少2个</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量程噪声：≤1ppb</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24h零点漂移：±0.1ppb</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响应时间（上升/下降）：≤30s</w:t>
      </w:r>
    </w:p>
    <w:p>
      <w:pPr>
        <w:pStyle w:val="7"/>
        <w:adjustRightInd w:val="0"/>
        <w:snapToGrid w:val="0"/>
        <w:spacing w:before="0" w:after="0" w:line="312" w:lineRule="auto"/>
        <w:ind w:firstLine="482" w:firstLineChars="200"/>
        <w:rPr>
          <w:rFonts w:hint="eastAsia" w:ascii="仿宋" w:hAnsi="仿宋" w:eastAsia="仿宋" w:cs="仿宋"/>
          <w:sz w:val="24"/>
          <w:szCs w:val="24"/>
          <w:highlight w:val="none"/>
        </w:rPr>
      </w:pPr>
      <w:bookmarkStart w:id="70" w:name="_Toc33023308"/>
      <w:bookmarkStart w:id="71" w:name="_Toc29830"/>
      <w:bookmarkStart w:id="72" w:name="_Toc4656"/>
      <w:bookmarkStart w:id="73" w:name="_Toc532925360"/>
      <w:bookmarkStart w:id="74" w:name="_Toc502052007"/>
      <w:r>
        <w:rPr>
          <w:rFonts w:hint="eastAsia" w:ascii="仿宋" w:hAnsi="仿宋" w:eastAsia="仿宋" w:cs="仿宋"/>
          <w:sz w:val="24"/>
          <w:szCs w:val="24"/>
          <w:highlight w:val="none"/>
        </w:rPr>
        <w:t>1.2 ★CO 分析仪</w:t>
      </w:r>
      <w:bookmarkEnd w:id="70"/>
      <w:bookmarkEnd w:id="71"/>
      <w:bookmarkEnd w:id="72"/>
      <w:bookmarkEnd w:id="73"/>
      <w:bookmarkEnd w:id="74"/>
    </w:p>
    <w:p>
      <w:pPr>
        <w:adjustRightInd w:val="0"/>
        <w:snapToGrid w:val="0"/>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（1）仪器原理</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一氧化碳分析仪工作的基本原理是Beer-Lambert定律，在给定温度、压力下，一定光程内一定浓度气体对特定波长光强的吸收与其浓度呈正相关关系，可以通过测量吸收后的光强来计算出CO浓度。</w:t>
      </w:r>
    </w:p>
    <w:p>
      <w:pPr>
        <w:adjustRightInd w:val="0"/>
        <w:snapToGrid w:val="0"/>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（2）主要技术参数</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分析方法：红外吸收相关法（气体滤光相关法）</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量程：0～20ppm或更多可选量程，具有量程自动切换功能</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最低检测限：≤50ppb</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线性：±1％满量程</w:t>
      </w:r>
      <w:r>
        <w:rPr>
          <w:rFonts w:hint="eastAsia" w:ascii="仿宋" w:hAnsi="仿宋" w:eastAsia="仿宋" w:cs="仿宋"/>
          <w:sz w:val="24"/>
          <w:szCs w:val="24"/>
          <w:highlight w:val="none"/>
        </w:rPr>
        <w:tab/>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重现性：200ppb或读数的1％</w:t>
      </w:r>
      <w:r>
        <w:rPr>
          <w:rFonts w:hint="eastAsia" w:ascii="仿宋" w:hAnsi="仿宋" w:eastAsia="仿宋" w:cs="仿宋"/>
          <w:sz w:val="24"/>
          <w:szCs w:val="24"/>
          <w:highlight w:val="none"/>
        </w:rPr>
        <w:tab/>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跨漂(24 hour)：≤±1％满量程</w:t>
      </w:r>
      <w:r>
        <w:rPr>
          <w:rFonts w:hint="eastAsia" w:ascii="仿宋" w:hAnsi="仿宋" w:eastAsia="仿宋" w:cs="仿宋"/>
          <w:sz w:val="24"/>
          <w:szCs w:val="24"/>
          <w:highlight w:val="none"/>
        </w:rPr>
        <w:tab/>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模拟输出信号：DC 0-1.0V、0-5.0V、0-10.0V、0-20mA </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数字输出信号：RS232/485数字接口；数字接口至少2个</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20%量程精密度：＜0.1ppm</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24h零点漂移：±0.1ppm</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24h 20%量程漂移：±0.1ppm</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24h 80%量程漂移：±0.2ppm</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响应时间（上升/下降）：≤70s</w:t>
      </w:r>
    </w:p>
    <w:p>
      <w:pPr>
        <w:pStyle w:val="7"/>
        <w:adjustRightInd w:val="0"/>
        <w:snapToGrid w:val="0"/>
        <w:spacing w:before="0" w:after="0" w:line="312" w:lineRule="auto"/>
        <w:ind w:firstLine="482" w:firstLineChars="200"/>
        <w:rPr>
          <w:rFonts w:hint="eastAsia" w:ascii="仿宋" w:hAnsi="仿宋" w:eastAsia="仿宋" w:cs="仿宋"/>
          <w:sz w:val="24"/>
          <w:szCs w:val="24"/>
          <w:highlight w:val="none"/>
        </w:rPr>
      </w:pPr>
      <w:bookmarkStart w:id="75" w:name="_Toc16094"/>
      <w:bookmarkStart w:id="76" w:name="_Toc32403"/>
      <w:r>
        <w:rPr>
          <w:rFonts w:hint="eastAsia" w:ascii="仿宋" w:hAnsi="仿宋" w:eastAsia="仿宋" w:cs="仿宋"/>
          <w:sz w:val="24"/>
          <w:szCs w:val="24"/>
          <w:highlight w:val="none"/>
        </w:rPr>
        <w:t>1.3. ★PM10颗粒物监测仪</w:t>
      </w:r>
      <w:bookmarkEnd w:id="67"/>
      <w:bookmarkEnd w:id="68"/>
      <w:bookmarkEnd w:id="69"/>
      <w:bookmarkEnd w:id="75"/>
      <w:bookmarkEnd w:id="76"/>
    </w:p>
    <w:p>
      <w:pPr>
        <w:adjustRightInd w:val="0"/>
        <w:snapToGrid w:val="0"/>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（1）仪器原理</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大气中可吸入颗粒物（PM</w:t>
      </w:r>
      <w:r>
        <w:rPr>
          <w:rFonts w:hint="eastAsia" w:ascii="仿宋" w:hAnsi="仿宋" w:eastAsia="仿宋" w:cs="仿宋"/>
          <w:sz w:val="24"/>
          <w:szCs w:val="24"/>
          <w:highlight w:val="none"/>
          <w:vertAlign w:val="subscript"/>
        </w:rPr>
        <w:t>10</w:t>
      </w:r>
      <w:r>
        <w:rPr>
          <w:rFonts w:hint="eastAsia" w:ascii="仿宋" w:hAnsi="仿宋" w:eastAsia="仿宋" w:cs="仿宋"/>
          <w:sz w:val="24"/>
          <w:szCs w:val="24"/>
          <w:highlight w:val="none"/>
        </w:rPr>
        <w:t>）的含量是衡量空气质量优劣的重要指标。分析仪采用β射线吸收法，实现对环境空气中大气颗粒物的在线连续监测。β粒子具有较强的穿透力，当它穿过一定厚度的吸收物质时，其强度随吸收厚度增加而逐渐减弱。测量时，抽气泵以恒定流量抽取被测空气，经过颗粒物采样器后，目标粒径颗粒物留在气流中，并最终沉积在纸带上，通过分析颗粒物沉积前后β射线强度变化就可以得到大气颗粒物（PM</w:t>
      </w:r>
      <w:r>
        <w:rPr>
          <w:rFonts w:hint="eastAsia" w:ascii="仿宋" w:hAnsi="仿宋" w:eastAsia="仿宋" w:cs="仿宋"/>
          <w:sz w:val="24"/>
          <w:szCs w:val="24"/>
          <w:highlight w:val="none"/>
          <w:vertAlign w:val="subscript"/>
        </w:rPr>
        <w:t>10</w:t>
      </w:r>
      <w:r>
        <w:rPr>
          <w:rFonts w:hint="eastAsia" w:ascii="仿宋" w:hAnsi="仿宋" w:eastAsia="仿宋" w:cs="仿宋"/>
          <w:sz w:val="24"/>
          <w:szCs w:val="24"/>
          <w:highlight w:val="none"/>
        </w:rPr>
        <w:t>）浓度。</w:t>
      </w:r>
    </w:p>
    <w:p>
      <w:pPr>
        <w:adjustRightInd w:val="0"/>
        <w:snapToGrid w:val="0"/>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（2）主要技术参数</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测量原理：β射线吸收法(DHS动态加热系统)</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分辨率： 0.001 mg/m</w:t>
      </w:r>
      <w:r>
        <w:rPr>
          <w:rFonts w:hint="eastAsia" w:ascii="仿宋" w:hAnsi="仿宋" w:eastAsia="仿宋" w:cs="仿宋"/>
          <w:sz w:val="24"/>
          <w:szCs w:val="24"/>
          <w:highlight w:val="none"/>
          <w:vertAlign w:val="superscript"/>
        </w:rPr>
        <w:t>3</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最低检测限：0.005mg/m</w:t>
      </w:r>
      <w:r>
        <w:rPr>
          <w:rFonts w:hint="eastAsia" w:ascii="仿宋" w:hAnsi="仿宋" w:eastAsia="仿宋" w:cs="仿宋"/>
          <w:sz w:val="24"/>
          <w:szCs w:val="24"/>
          <w:highlight w:val="none"/>
          <w:vertAlign w:val="superscript"/>
        </w:rPr>
        <w:t>3</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测量精度：±2%F.S</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测量量程： (0~1) mg/m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 xml:space="preserve"> (0~2) mg/m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 xml:space="preserve"> (0~5) mg/m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 xml:space="preserve"> (0~10 ) mg/m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（可选）</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流程范围 0-20升/分可调</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流量误差： ±2%F.S</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采样流量稳定性：≤±2%工作点流量/24h</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校准膜重现性：≤±2%标准值</w:t>
      </w:r>
    </w:p>
    <w:p>
      <w:pPr>
        <w:adjustRightInd w:val="0"/>
        <w:snapToGrid w:val="0"/>
        <w:spacing w:line="312" w:lineRule="auto"/>
        <w:ind w:firstLine="482"/>
        <w:rPr>
          <w:rFonts w:hint="eastAsia" w:ascii="仿宋" w:hAnsi="仿宋" w:eastAsia="仿宋" w:cs="仿宋"/>
          <w:b/>
          <w:sz w:val="24"/>
          <w:szCs w:val="24"/>
          <w:highlight w:val="none"/>
        </w:rPr>
      </w:pPr>
      <w:bookmarkStart w:id="77" w:name="_Toc23003"/>
      <w:bookmarkStart w:id="78" w:name="_Toc24346"/>
      <w:bookmarkStart w:id="79" w:name="_Toc33023305"/>
      <w:bookmarkStart w:id="80" w:name="_Toc502052023"/>
      <w:bookmarkStart w:id="81" w:name="_Toc33023319"/>
      <w:bookmarkStart w:id="82" w:name="_Toc2530"/>
      <w:bookmarkStart w:id="83" w:name="_Toc532925376"/>
      <w:bookmarkStart w:id="84" w:name="_Toc532925358"/>
      <w:bookmarkStart w:id="85" w:name="_Toc146106139"/>
      <w:bookmarkStart w:id="86" w:name="_Toc33023306"/>
      <w:bookmarkStart w:id="87" w:name="_Toc502052005"/>
      <w:r>
        <w:rPr>
          <w:rFonts w:hint="eastAsia" w:ascii="仿宋" w:hAnsi="仿宋" w:eastAsia="仿宋" w:cs="仿宋"/>
          <w:b/>
          <w:sz w:val="24"/>
          <w:szCs w:val="24"/>
          <w:highlight w:val="none"/>
        </w:rPr>
        <w:t>1.4.</w:t>
      </w:r>
      <w:r>
        <w:rPr>
          <w:rFonts w:hint="eastAsia" w:ascii="仿宋" w:hAnsi="仿宋" w:eastAsia="仿宋" w:cs="仿宋"/>
          <w:sz w:val="24"/>
          <w:szCs w:val="24"/>
          <w:highlight w:val="none"/>
        </w:rPr>
        <w:t xml:space="preserve"> ★</w:t>
      </w:r>
      <w:r>
        <w:rPr>
          <w:rFonts w:hint="eastAsia" w:ascii="仿宋" w:hAnsi="仿宋" w:eastAsia="仿宋" w:cs="仿宋"/>
          <w:b/>
          <w:sz w:val="24"/>
          <w:szCs w:val="24"/>
          <w:highlight w:val="none"/>
        </w:rPr>
        <w:t>PM2.5颗粒物监测仪</w:t>
      </w:r>
      <w:bookmarkEnd w:id="77"/>
      <w:bookmarkEnd w:id="78"/>
      <w:bookmarkEnd w:id="79"/>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大气中可入肺颗粒物（PM</w:t>
      </w:r>
      <w:r>
        <w:rPr>
          <w:rFonts w:hint="eastAsia" w:ascii="仿宋" w:hAnsi="仿宋" w:eastAsia="仿宋" w:cs="仿宋"/>
          <w:sz w:val="24"/>
          <w:szCs w:val="24"/>
          <w:highlight w:val="none"/>
          <w:vertAlign w:val="subscript"/>
        </w:rPr>
        <w:t>2.5</w:t>
      </w:r>
      <w:r>
        <w:rPr>
          <w:rFonts w:hint="eastAsia" w:ascii="仿宋" w:hAnsi="仿宋" w:eastAsia="仿宋" w:cs="仿宋"/>
          <w:sz w:val="24"/>
          <w:szCs w:val="24"/>
          <w:highlight w:val="none"/>
        </w:rPr>
        <w:t>）的含量是衡量空气质量优劣的重要指标。分析仪采用β射线吸收法，实现对环境空气中大气颗粒物的在线连续监测。β粒子具有较强的穿透力，当它穿过一定厚度的吸收物质时，其强度随吸收厚度增加而逐渐减弱。测量时，抽气泵以恒定流量抽取被测空气，经过颗粒物切割器（PM</w:t>
      </w:r>
      <w:r>
        <w:rPr>
          <w:rFonts w:hint="eastAsia" w:ascii="仿宋" w:hAnsi="仿宋" w:eastAsia="仿宋" w:cs="仿宋"/>
          <w:sz w:val="24"/>
          <w:szCs w:val="24"/>
          <w:highlight w:val="none"/>
          <w:vertAlign w:val="subscript"/>
        </w:rPr>
        <w:t>2.5</w:t>
      </w:r>
      <w:r>
        <w:rPr>
          <w:rFonts w:hint="eastAsia" w:ascii="仿宋" w:hAnsi="仿宋" w:eastAsia="仿宋" w:cs="仿宋"/>
          <w:sz w:val="24"/>
          <w:szCs w:val="24"/>
          <w:highlight w:val="none"/>
        </w:rPr>
        <w:t>）后，目标粒径颗粒物留在气流中，并最终沉积在纸带上，通过分析颗粒物沉积前后β射线强度变化就可以得到大气颗粒物（PM</w:t>
      </w:r>
      <w:r>
        <w:rPr>
          <w:rFonts w:hint="eastAsia" w:ascii="仿宋" w:hAnsi="仿宋" w:eastAsia="仿宋" w:cs="仿宋"/>
          <w:sz w:val="24"/>
          <w:szCs w:val="24"/>
          <w:highlight w:val="none"/>
          <w:vertAlign w:val="subscript"/>
        </w:rPr>
        <w:t>2.5</w:t>
      </w:r>
      <w:r>
        <w:rPr>
          <w:rFonts w:hint="eastAsia" w:ascii="仿宋" w:hAnsi="仿宋" w:eastAsia="仿宋" w:cs="仿宋"/>
          <w:sz w:val="24"/>
          <w:szCs w:val="24"/>
          <w:highlight w:val="none"/>
        </w:rPr>
        <w:t>）浓度。</w:t>
      </w:r>
    </w:p>
    <w:p>
      <w:pPr>
        <w:tabs>
          <w:tab w:val="left" w:pos="2025"/>
        </w:tabs>
        <w:adjustRightInd w:val="0"/>
        <w:snapToGrid w:val="0"/>
        <w:spacing w:line="312" w:lineRule="auto"/>
        <w:ind w:firstLine="482" w:firstLineChars="200"/>
        <w:rPr>
          <w:rFonts w:hint="eastAsia" w:ascii="仿宋" w:hAnsi="仿宋" w:eastAsia="仿宋" w:cs="仿宋"/>
          <w:sz w:val="24"/>
          <w:szCs w:val="24"/>
          <w:highlight w:val="none"/>
          <w:shd w:val="clear" w:color="auto" w:fill="FFFFFF"/>
        </w:rPr>
      </w:pPr>
      <w:r>
        <w:rPr>
          <w:rFonts w:hint="eastAsia" w:ascii="仿宋" w:hAnsi="仿宋" w:eastAsia="仿宋" w:cs="仿宋"/>
          <w:b/>
          <w:sz w:val="24"/>
          <w:szCs w:val="24"/>
          <w:highlight w:val="none"/>
        </w:rPr>
        <w:t>（2）主要技术参数</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测量原理：β射线吸收法(DHS动态加热系统)</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分辨率： 0.001 mg/m</w:t>
      </w:r>
      <w:r>
        <w:rPr>
          <w:rFonts w:hint="eastAsia" w:ascii="仿宋" w:hAnsi="仿宋" w:eastAsia="仿宋" w:cs="仿宋"/>
          <w:sz w:val="24"/>
          <w:szCs w:val="24"/>
          <w:highlight w:val="none"/>
          <w:vertAlign w:val="superscript"/>
        </w:rPr>
        <w:t>3</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最低检测限： 0.005mg/m</w:t>
      </w:r>
      <w:r>
        <w:rPr>
          <w:rFonts w:hint="eastAsia" w:ascii="仿宋" w:hAnsi="仿宋" w:eastAsia="仿宋" w:cs="仿宋"/>
          <w:sz w:val="24"/>
          <w:szCs w:val="24"/>
          <w:highlight w:val="none"/>
          <w:vertAlign w:val="superscript"/>
        </w:rPr>
        <w:t>3</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测量精度：±2%F.S</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测量量程： (0~1) mg/m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 xml:space="preserve"> (0~2) mg/m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 xml:space="preserve"> (0~5) mg/m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 xml:space="preserve"> (0~10 ) mg/m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（可选）</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流量范围 0-20升/分可调</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流量误差： ±2%F.S</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采样流量稳定性：≤±2%工作点流量/24h</w:t>
      </w:r>
    </w:p>
    <w:p>
      <w:pPr>
        <w:pStyle w:val="91"/>
        <w:numPr>
          <w:ilvl w:val="0"/>
          <w:numId w:val="6"/>
        </w:numPr>
        <w:adjustRightInd w:val="0"/>
        <w:snapToGrid w:val="0"/>
        <w:spacing w:line="312" w:lineRule="auto"/>
        <w:ind w:left="105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校准膜重现性：≤±2%标准值</w:t>
      </w:r>
    </w:p>
    <w:bookmarkEnd w:id="80"/>
    <w:bookmarkEnd w:id="81"/>
    <w:bookmarkEnd w:id="82"/>
    <w:bookmarkEnd w:id="83"/>
    <w:p>
      <w:pPr>
        <w:adjustRightInd w:val="0"/>
        <w:snapToGrid w:val="0"/>
        <w:spacing w:line="312" w:lineRule="auto"/>
        <w:ind w:firstLine="482"/>
        <w:rPr>
          <w:rFonts w:hint="eastAsia" w:ascii="仿宋" w:hAnsi="仿宋" w:eastAsia="仿宋" w:cs="仿宋"/>
          <w:b/>
          <w:sz w:val="24"/>
          <w:szCs w:val="24"/>
          <w:highlight w:val="none"/>
        </w:rPr>
      </w:pPr>
      <w:bookmarkStart w:id="88" w:name="_Toc21000"/>
      <w:r>
        <w:rPr>
          <w:rFonts w:hint="eastAsia" w:ascii="仿宋" w:hAnsi="仿宋" w:eastAsia="仿宋" w:cs="仿宋"/>
          <w:b/>
          <w:sz w:val="24"/>
          <w:szCs w:val="24"/>
          <w:highlight w:val="none"/>
        </w:rPr>
        <w:t>1.5.气象五参数监测仪</w:t>
      </w:r>
      <w:bookmarkEnd w:id="88"/>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设备用途：用于气象五参数的测定</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配置：温度、压力、湿度、风向、风速、气象塔、气象杆</w:t>
      </w:r>
    </w:p>
    <w:p>
      <w:pPr>
        <w:pStyle w:val="280"/>
        <w:adjustRightInd w:val="0"/>
        <w:snapToGrid w:val="0"/>
        <w:spacing w:line="312" w:lineRule="auto"/>
        <w:ind w:firstLine="480"/>
        <w:rPr>
          <w:rFonts w:hint="eastAsia" w:ascii="仿宋" w:hAnsi="仿宋" w:eastAsia="仿宋" w:cs="仿宋"/>
          <w:szCs w:val="24"/>
          <w:highlight w:val="none"/>
        </w:rPr>
      </w:pPr>
      <w:bookmarkStart w:id="89" w:name="_Toc27103"/>
      <w:bookmarkStart w:id="90" w:name="_Toc64966991"/>
      <w:r>
        <w:rPr>
          <w:rFonts w:hint="eastAsia" w:ascii="仿宋" w:hAnsi="仿宋" w:eastAsia="仿宋" w:cs="仿宋"/>
          <w:szCs w:val="24"/>
          <w:highlight w:val="none"/>
        </w:rPr>
        <w:t>（1）温度</w:t>
      </w:r>
      <w:bookmarkEnd w:id="89"/>
      <w:bookmarkEnd w:id="90"/>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测量原理：二极管结电压法</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测量范围：-40℃-﹢80℃</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测量精度：±0.5℃</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分辨率：0.1℃</w:t>
      </w:r>
    </w:p>
    <w:p>
      <w:pPr>
        <w:pStyle w:val="280"/>
        <w:adjustRightInd w:val="0"/>
        <w:snapToGrid w:val="0"/>
        <w:spacing w:line="312" w:lineRule="auto"/>
        <w:ind w:firstLine="480"/>
        <w:rPr>
          <w:rFonts w:hint="eastAsia" w:ascii="仿宋" w:hAnsi="仿宋" w:eastAsia="仿宋" w:cs="仿宋"/>
          <w:szCs w:val="24"/>
          <w:highlight w:val="none"/>
        </w:rPr>
      </w:pPr>
      <w:bookmarkStart w:id="91" w:name="_Toc64966992"/>
      <w:bookmarkStart w:id="92" w:name="_Toc6966"/>
      <w:r>
        <w:rPr>
          <w:rFonts w:hint="eastAsia" w:ascii="仿宋" w:hAnsi="仿宋" w:eastAsia="仿宋" w:cs="仿宋"/>
          <w:szCs w:val="24"/>
          <w:highlight w:val="none"/>
        </w:rPr>
        <w:t>（2）湿度</w:t>
      </w:r>
      <w:bookmarkEnd w:id="91"/>
      <w:bookmarkEnd w:id="92"/>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测量原理：电容式</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测量范围：0-100%RH</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测量精度：±2%RH</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分辨率：0.10%</w:t>
      </w:r>
    </w:p>
    <w:p>
      <w:pPr>
        <w:pStyle w:val="280"/>
        <w:adjustRightInd w:val="0"/>
        <w:snapToGrid w:val="0"/>
        <w:spacing w:line="312" w:lineRule="auto"/>
        <w:ind w:firstLine="480"/>
        <w:rPr>
          <w:rFonts w:hint="eastAsia" w:ascii="仿宋" w:hAnsi="仿宋" w:eastAsia="仿宋" w:cs="仿宋"/>
          <w:szCs w:val="24"/>
          <w:highlight w:val="none"/>
        </w:rPr>
      </w:pPr>
      <w:bookmarkStart w:id="93" w:name="_Toc64966993"/>
      <w:bookmarkStart w:id="94" w:name="_Toc24139"/>
      <w:r>
        <w:rPr>
          <w:rFonts w:hint="eastAsia" w:ascii="仿宋" w:hAnsi="仿宋" w:eastAsia="仿宋" w:cs="仿宋"/>
          <w:szCs w:val="24"/>
          <w:highlight w:val="none"/>
        </w:rPr>
        <w:t>（3）气压</w:t>
      </w:r>
      <w:bookmarkEnd w:id="93"/>
      <w:bookmarkEnd w:id="94"/>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测量原理：电容式  </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测量范围：10-1100hpa</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测量精度：±0.5hpa</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分辨率：0.1hpa</w:t>
      </w:r>
    </w:p>
    <w:p>
      <w:pPr>
        <w:pStyle w:val="280"/>
        <w:adjustRightInd w:val="0"/>
        <w:snapToGrid w:val="0"/>
        <w:spacing w:line="312" w:lineRule="auto"/>
        <w:ind w:firstLine="480"/>
        <w:rPr>
          <w:rFonts w:hint="eastAsia" w:ascii="仿宋" w:hAnsi="仿宋" w:eastAsia="仿宋" w:cs="仿宋"/>
          <w:szCs w:val="24"/>
          <w:highlight w:val="none"/>
        </w:rPr>
      </w:pPr>
      <w:bookmarkStart w:id="95" w:name="_Toc3189"/>
      <w:bookmarkStart w:id="96" w:name="_Toc64966994"/>
      <w:r>
        <w:rPr>
          <w:rFonts w:hint="eastAsia" w:ascii="仿宋" w:hAnsi="仿宋" w:eastAsia="仿宋" w:cs="仿宋"/>
          <w:szCs w:val="24"/>
          <w:highlight w:val="none"/>
        </w:rPr>
        <w:t>（4）风向</w:t>
      </w:r>
      <w:bookmarkEnd w:id="95"/>
      <w:bookmarkEnd w:id="96"/>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测量原理：超声波</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测量范围：0-359.9°</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测量精度：±3°</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分辨率：0.1°</w:t>
      </w:r>
    </w:p>
    <w:p>
      <w:pPr>
        <w:pStyle w:val="280"/>
        <w:adjustRightInd w:val="0"/>
        <w:snapToGrid w:val="0"/>
        <w:spacing w:line="312" w:lineRule="auto"/>
        <w:ind w:firstLine="480"/>
        <w:rPr>
          <w:rFonts w:hint="eastAsia" w:ascii="仿宋" w:hAnsi="仿宋" w:eastAsia="仿宋" w:cs="仿宋"/>
          <w:szCs w:val="24"/>
          <w:highlight w:val="none"/>
        </w:rPr>
      </w:pPr>
      <w:bookmarkStart w:id="97" w:name="_Toc26024"/>
      <w:bookmarkStart w:id="98" w:name="_Toc64966995"/>
      <w:r>
        <w:rPr>
          <w:rFonts w:hint="eastAsia" w:ascii="仿宋" w:hAnsi="仿宋" w:eastAsia="仿宋" w:cs="仿宋"/>
          <w:szCs w:val="24"/>
          <w:highlight w:val="none"/>
        </w:rPr>
        <w:t>（5）风速</w:t>
      </w:r>
      <w:bookmarkEnd w:id="97"/>
      <w:bookmarkEnd w:id="98"/>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测量原理：超声波</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测量范围：0-60m/s</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测量精度：±0.2m/s或读数的3%，两者中取较大者</w:t>
      </w:r>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分辨率：0.1m/s</w:t>
      </w:r>
    </w:p>
    <w:bookmarkEnd w:id="84"/>
    <w:bookmarkEnd w:id="85"/>
    <w:bookmarkEnd w:id="86"/>
    <w:bookmarkEnd w:id="87"/>
    <w:p>
      <w:pPr>
        <w:pStyle w:val="7"/>
        <w:adjustRightInd w:val="0"/>
        <w:snapToGrid w:val="0"/>
        <w:spacing w:before="0" w:after="0" w:line="312" w:lineRule="auto"/>
        <w:ind w:left="420"/>
        <w:rPr>
          <w:rFonts w:hint="eastAsia" w:ascii="仿宋" w:hAnsi="仿宋" w:eastAsia="仿宋" w:cs="仿宋"/>
          <w:sz w:val="24"/>
          <w:szCs w:val="24"/>
          <w:highlight w:val="none"/>
        </w:rPr>
      </w:pPr>
      <w:bookmarkStart w:id="99" w:name="_Toc10373"/>
      <w:bookmarkStart w:id="100" w:name="_Toc11295"/>
      <w:r>
        <w:rPr>
          <w:rFonts w:hint="eastAsia" w:ascii="仿宋" w:hAnsi="仿宋" w:eastAsia="仿宋" w:cs="仿宋"/>
          <w:sz w:val="24"/>
          <w:szCs w:val="24"/>
          <w:highlight w:val="none"/>
        </w:rPr>
        <w:t>1.6.VOCs分析仪</w:t>
      </w:r>
      <w:bookmarkEnd w:id="99"/>
    </w:p>
    <w:p>
      <w:pPr>
        <w:adjustRightInd w:val="0"/>
        <w:snapToGrid w:val="0"/>
        <w:spacing w:line="312"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非甲烷总烃分析仪测量原理及主要技术参数</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测量原理：GC-FID(直接法)</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检测能力：甲烷、非甲烷总烃。</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污染物显示单位ppb，ppm，mg/m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可选。</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测量范围：非甲烷总烃0～5000ppb；</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分析周期：≤15min（甲烷/非甲烷总烃）；</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富集温度最低设置＜-35℃；</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系统空白：空白样品甲烷浓度＜2ppb、非甲烷总烃浓度＜3ppb；</w:t>
      </w:r>
    </w:p>
    <w:p>
      <w:pPr>
        <w:pStyle w:val="91"/>
        <w:numPr>
          <w:ilvl w:val="0"/>
          <w:numId w:val="7"/>
        </w:numPr>
        <w:overflowPunct w:val="0"/>
        <w:adjustRightInd w:val="0"/>
        <w:snapToGrid w:val="0"/>
        <w:spacing w:line="312" w:lineRule="auto"/>
        <w:ind w:left="1060" w:firstLineChars="0"/>
        <w:rPr>
          <w:rFonts w:hint="eastAsia" w:ascii="仿宋" w:hAnsi="仿宋" w:eastAsia="仿宋" w:cs="仿宋"/>
          <w:sz w:val="24"/>
          <w:szCs w:val="24"/>
          <w:highlight w:val="none"/>
        </w:rPr>
      </w:pPr>
      <w:r>
        <w:rPr>
          <w:rFonts w:hint="eastAsia" w:ascii="仿宋" w:hAnsi="仿宋" w:eastAsia="仿宋" w:cs="仿宋"/>
          <w:bCs/>
          <w:sz w:val="24"/>
          <w:szCs w:val="24"/>
          <w:highlight w:val="none"/>
        </w:rPr>
        <w:t>采用FID检测器，具有自动点火和灭火自动切断氢气功能。绝缘电阻和绝缘强度符合要求；</w:t>
      </w:r>
    </w:p>
    <w:p>
      <w:pPr>
        <w:pStyle w:val="91"/>
        <w:overflowPunct w:val="0"/>
        <w:adjustRightInd w:val="0"/>
        <w:snapToGrid w:val="0"/>
        <w:spacing w:line="312" w:lineRule="auto"/>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重要技术要求：</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24h零点漂移：非甲烷总烃＜±0.1ppbC/24h；</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线性误差：非甲烷总烃的线性误差最大值＜1%F.S.；</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以下为重要参数，需同时满足要求：</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1）重复性：＜1%；</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2）24h 20%量程漂移：＜±0.5%F.S.；</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3）实际测试2台设备平行性：＜1.5%； </w:t>
      </w:r>
    </w:p>
    <w:p>
      <w:pPr>
        <w:adjustRightInd w:val="0"/>
        <w:snapToGrid w:val="0"/>
        <w:spacing w:line="312"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苯系物分析仪测量原理及主要技术参数</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苯系物在线分析仪用于环境空气中挥发性有机物中苯系物的在线监测</w:t>
      </w:r>
    </w:p>
    <w:p>
      <w:pPr>
        <w:pStyle w:val="91"/>
        <w:overflowPunct w:val="0"/>
        <w:adjustRightInd w:val="0"/>
        <w:snapToGrid w:val="0"/>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主要技术参数要求</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技术路线采用国家标准规定的气相色谱法（FID检测器），具有技术先进和准确可靠的优点。</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在线分析仪采用程序升温色谱分离技术和氢火焰离子化检测器（FID）技术进行样品的分离分析检测，样品气体经富集浓缩后，通过直热式高温热脱附，被快速送入分析仪器中，分离后的VOC组分依次进入FID检测器进行检测，得到各单一组分准确的定性定量分析结果。</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（1）量程：0-300ppb</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（2）检测能力：VOCs特征因子</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（3）检测器：FID</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（4）检出限：＜0.5ppb（苯）</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（5）重复性：RSD≤3%</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（6）分析周期：≤60min（可调）</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（7）功率电源：＜1000VA，220VAC/50Hz</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（8）工作环境：温度：(5~35)℃，湿度：（20%~90%）RH</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（9）气源要求：载气：高纯氮气（&gt;99.995%）</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（10）燃气：高纯氢气（&gt;99.995%），助燃气：零级空气</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（11）输出：RS232/RS485、以太网、4~20mA</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（12）FID检测器能自动点火，并具有火焰温度判断功能，火焰熄灭后自动关闭氢气，保护系统安全；</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（13）使用电子压力流量控制技术（EPC、EFC）控制载气、空气和氢气，精度高、重复性好;</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（14）样品进样捕集，采用填料富集管富集目标化合物，保证目标化合物的有效捕集,满足低浓度样品检测需求;</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（15）直热式加热技术升温快（＞40℃/S），解吸迅速彻底，可避免热脱附引入的峰展宽，使色谱分离效果更好，定性定量更准确；</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（16）采用复合填料技术，样品捕集种类更多，单次分析检测更多组分；</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（17）具断电复位功能，停电复位后，分析仪能自动回复原来的工作状态；</w:t>
      </w:r>
    </w:p>
    <w:p>
      <w:pPr>
        <w:pStyle w:val="91"/>
        <w:numPr>
          <w:ilvl w:val="0"/>
          <w:numId w:val="7"/>
        </w:numPr>
        <w:overflowPunct w:val="0"/>
        <w:adjustRightInd w:val="0"/>
        <w:snapToGrid w:val="0"/>
        <w:spacing w:line="312" w:lineRule="auto"/>
        <w:ind w:left="1060" w:hanging="6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（18）标准机箱，结构紧凑，可与同类型仪器集成安装于立式机柜，占地小，日常维护和操作方便。</w:t>
      </w:r>
    </w:p>
    <w:p>
      <w:pPr>
        <w:pStyle w:val="7"/>
        <w:adjustRightInd w:val="0"/>
        <w:snapToGrid w:val="0"/>
        <w:spacing w:before="0" w:after="0" w:line="312" w:lineRule="auto"/>
        <w:ind w:left="420"/>
        <w:rPr>
          <w:rFonts w:hint="eastAsia" w:ascii="仿宋" w:hAnsi="仿宋" w:eastAsia="仿宋" w:cs="仿宋"/>
          <w:sz w:val="24"/>
          <w:szCs w:val="24"/>
          <w:highlight w:val="none"/>
        </w:rPr>
      </w:pPr>
      <w:bookmarkStart w:id="101" w:name="_Toc22705"/>
      <w:r>
        <w:rPr>
          <w:rFonts w:hint="eastAsia" w:ascii="仿宋" w:hAnsi="仿宋" w:eastAsia="仿宋" w:cs="仿宋"/>
          <w:sz w:val="24"/>
          <w:szCs w:val="24"/>
          <w:highlight w:val="none"/>
        </w:rPr>
        <w:t>1.7.BC黑碳仪</w:t>
      </w:r>
      <w:bookmarkEnd w:id="100"/>
      <w:bookmarkEnd w:id="101"/>
    </w:p>
    <w:p>
      <w:pPr>
        <w:adjustRightInd w:val="0"/>
        <w:snapToGrid w:val="0"/>
        <w:spacing w:line="312"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（1）仪器原理</w:t>
      </w:r>
    </w:p>
    <w:p>
      <w:pPr>
        <w:numPr>
          <w:ilvl w:val="1"/>
          <w:numId w:val="8"/>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通过连续采集滤膜上的颗粒物来测定光的衰减，根据黑碳气溶胶在7波段对光的吸收特性和透射光的衰减程度，获得黑碳气溶胶的浓度。</w:t>
      </w:r>
    </w:p>
    <w:p>
      <w:pPr>
        <w:adjustRightInd w:val="0"/>
        <w:snapToGrid w:val="0"/>
        <w:spacing w:line="312"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（2）主要技术参数</w:t>
      </w:r>
    </w:p>
    <w:p>
      <w:pPr>
        <w:numPr>
          <w:ilvl w:val="1"/>
          <w:numId w:val="8"/>
        </w:numPr>
        <w:adjustRightInd w:val="0"/>
        <w:snapToGrid w:val="0"/>
        <w:spacing w:line="312" w:lineRule="auto"/>
        <w:ind w:left="840"/>
        <w:rPr>
          <w:rFonts w:hint="eastAsia" w:ascii="仿宋" w:hAnsi="仿宋" w:eastAsia="仿宋" w:cs="仿宋"/>
          <w:sz w:val="24"/>
          <w:szCs w:val="24"/>
          <w:highlight w:val="none"/>
        </w:rPr>
      </w:pPr>
      <w:bookmarkStart w:id="102" w:name="_Toc2928418"/>
      <w:bookmarkStart w:id="103" w:name="_Toc21"/>
      <w:bookmarkStart w:id="104" w:name="_Toc33020250"/>
      <w:bookmarkStart w:id="105" w:name="_Toc30925"/>
      <w:bookmarkStart w:id="106" w:name="_Toc6963"/>
      <w:r>
        <w:rPr>
          <w:rFonts w:hint="eastAsia" w:ascii="仿宋" w:hAnsi="仿宋" w:eastAsia="仿宋" w:cs="仿宋"/>
          <w:sz w:val="24"/>
          <w:szCs w:val="24"/>
          <w:highlight w:val="none"/>
        </w:rPr>
        <w:t xml:space="preserve">光学测量波段：370nm，470nm，520nm，590nm，660nm，880nm和950nm   </w:t>
      </w:r>
    </w:p>
    <w:p>
      <w:pPr>
        <w:numPr>
          <w:ilvl w:val="1"/>
          <w:numId w:val="8"/>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测量分辨度：0.002μg/m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或2ng/m</w:t>
      </w:r>
      <w:r>
        <w:rPr>
          <w:rFonts w:hint="eastAsia" w:ascii="仿宋" w:hAnsi="仿宋" w:eastAsia="仿宋" w:cs="仿宋"/>
          <w:sz w:val="24"/>
          <w:szCs w:val="24"/>
          <w:highlight w:val="none"/>
          <w:vertAlign w:val="superscript"/>
        </w:rPr>
        <w:t>3</w:t>
      </w:r>
    </w:p>
    <w:p>
      <w:pPr>
        <w:numPr>
          <w:ilvl w:val="1"/>
          <w:numId w:val="8"/>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测量精度：1分钟测量精度达0.03μg/m3</w:t>
      </w:r>
    </w:p>
    <w:p>
      <w:pPr>
        <w:numPr>
          <w:ilvl w:val="1"/>
          <w:numId w:val="8"/>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检测限（1小时）：&lt;5ng/m3</w:t>
      </w:r>
    </w:p>
    <w:p>
      <w:pPr>
        <w:numPr>
          <w:ilvl w:val="1"/>
          <w:numId w:val="8"/>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仪器平行性：&lt;3%</w:t>
      </w:r>
    </w:p>
    <w:p>
      <w:pPr>
        <w:numPr>
          <w:ilvl w:val="1"/>
          <w:numId w:val="8"/>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光学衰减斜率：0.9&lt;K&lt;1.1</w:t>
      </w:r>
    </w:p>
    <w:p>
      <w:pPr>
        <w:numPr>
          <w:ilvl w:val="1"/>
          <w:numId w:val="8"/>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监测范围：0.01-100μgBC/m3</w:t>
      </w:r>
    </w:p>
    <w:p>
      <w:pPr>
        <w:numPr>
          <w:ilvl w:val="1"/>
          <w:numId w:val="8"/>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时间分辨率：1s或60s可由采样者设置</w:t>
      </w:r>
    </w:p>
    <w:p>
      <w:pPr>
        <w:numPr>
          <w:ilvl w:val="1"/>
          <w:numId w:val="8"/>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流速：2-5L/Min，可调。如需加大流速，可使用外接泵实现。</w:t>
      </w:r>
    </w:p>
    <w:p>
      <w:pPr>
        <w:numPr>
          <w:ilvl w:val="1"/>
          <w:numId w:val="8"/>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数据输出：RS-232、USB数据接口传输</w:t>
      </w:r>
    </w:p>
    <w:p>
      <w:pPr>
        <w:numPr>
          <w:ilvl w:val="1"/>
          <w:numId w:val="8"/>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电源：100~230VAC，50/60Hz（可调）</w:t>
      </w:r>
    </w:p>
    <w:p>
      <w:pPr>
        <w:numPr>
          <w:ilvl w:val="1"/>
          <w:numId w:val="8"/>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质量控制和质量保证：仪器稳定性测试、系统检漏测试、用标准可溯源的中性密度光学滤光片对仪器光学部件进行校准</w:t>
      </w:r>
    </w:p>
    <w:p>
      <w:pPr>
        <w:pStyle w:val="7"/>
        <w:adjustRightInd w:val="0"/>
        <w:snapToGrid w:val="0"/>
        <w:spacing w:before="0" w:after="0" w:line="312" w:lineRule="auto"/>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1.8车流量</w:t>
      </w:r>
      <w:bookmarkEnd w:id="102"/>
      <w:bookmarkEnd w:id="103"/>
      <w:r>
        <w:rPr>
          <w:rFonts w:hint="eastAsia" w:ascii="仿宋" w:hAnsi="仿宋" w:eastAsia="仿宋" w:cs="仿宋"/>
          <w:sz w:val="24"/>
          <w:szCs w:val="24"/>
          <w:highlight w:val="none"/>
        </w:rPr>
        <w:t>监测仪</w:t>
      </w:r>
      <w:bookmarkEnd w:id="104"/>
      <w:bookmarkEnd w:id="105"/>
      <w:bookmarkEnd w:id="106"/>
    </w:p>
    <w:p>
      <w:pPr>
        <w:adjustRightInd w:val="0"/>
        <w:snapToGrid w:val="0"/>
        <w:spacing w:line="312" w:lineRule="auto"/>
        <w:ind w:firstLine="482" w:firstLineChars="200"/>
        <w:rPr>
          <w:rFonts w:hint="eastAsia" w:ascii="仿宋" w:hAnsi="仿宋" w:eastAsia="仿宋" w:cs="仿宋"/>
          <w:b/>
          <w:bCs/>
          <w:kern w:val="0"/>
          <w:sz w:val="24"/>
          <w:szCs w:val="24"/>
          <w:highlight w:val="none"/>
          <w:lang w:val="zh-TW" w:eastAsia="zh-TW"/>
        </w:rPr>
      </w:pPr>
      <w:r>
        <w:rPr>
          <w:rFonts w:hint="eastAsia" w:ascii="仿宋" w:hAnsi="仿宋" w:eastAsia="仿宋" w:cs="仿宋"/>
          <w:b/>
          <w:bCs/>
          <w:kern w:val="0"/>
          <w:sz w:val="24"/>
          <w:szCs w:val="24"/>
          <w:highlight w:val="none"/>
          <w:lang w:val="zh-TW" w:eastAsia="zh-TW"/>
        </w:rPr>
        <w:t>（1）仪器原理</w:t>
      </w:r>
    </w:p>
    <w:p>
      <w:pPr>
        <w:adjustRightInd w:val="0"/>
        <w:snapToGrid w:val="0"/>
        <w:spacing w:line="312" w:lineRule="auto"/>
        <w:ind w:firstLine="480" w:firstLineChars="200"/>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lang w:val="zh-TW" w:eastAsia="zh-TW"/>
        </w:rPr>
        <w:t>车流量监测仪采用微波雷达交通流量检测器。微波雷达车流检测器主要用于智能交通检测。它能够检测微波波束覆盖道路上的车辆距离，并检测多条车道上移动和静止的车辆。</w:t>
      </w:r>
    </w:p>
    <w:p>
      <w:pPr>
        <w:adjustRightInd w:val="0"/>
        <w:snapToGrid w:val="0"/>
        <w:spacing w:line="312" w:lineRule="auto"/>
        <w:ind w:firstLine="482" w:firstLineChars="200"/>
        <w:rPr>
          <w:rFonts w:hint="eastAsia" w:ascii="仿宋" w:hAnsi="仿宋" w:eastAsia="仿宋" w:cs="仿宋"/>
          <w:b/>
          <w:bCs/>
          <w:kern w:val="0"/>
          <w:sz w:val="24"/>
          <w:szCs w:val="24"/>
          <w:highlight w:val="none"/>
          <w:lang w:val="zh-TW" w:eastAsia="zh-TW"/>
        </w:rPr>
      </w:pPr>
      <w:r>
        <w:rPr>
          <w:rFonts w:hint="eastAsia" w:ascii="仿宋" w:hAnsi="仿宋" w:eastAsia="仿宋" w:cs="仿宋"/>
          <w:b/>
          <w:bCs/>
          <w:kern w:val="0"/>
          <w:sz w:val="24"/>
          <w:szCs w:val="24"/>
          <w:highlight w:val="none"/>
          <w:lang w:val="zh-TW" w:eastAsia="zh-TW"/>
        </w:rPr>
        <w:t>（2）主要技术参数</w:t>
      </w:r>
    </w:p>
    <w:p>
      <w:pPr>
        <w:numPr>
          <w:ilvl w:val="0"/>
          <w:numId w:val="9"/>
        </w:numPr>
        <w:adjustRightInd w:val="0"/>
        <w:snapToGrid w:val="0"/>
        <w:spacing w:line="312" w:lineRule="auto"/>
        <w:ind w:left="630"/>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lang w:val="zh-TW" w:eastAsia="zh-TW"/>
        </w:rPr>
        <w:t>功耗：7.6W9-28VDC</w:t>
      </w:r>
    </w:p>
    <w:p>
      <w:pPr>
        <w:numPr>
          <w:ilvl w:val="0"/>
          <w:numId w:val="9"/>
        </w:numPr>
        <w:adjustRightInd w:val="0"/>
        <w:snapToGrid w:val="0"/>
        <w:spacing w:line="312" w:lineRule="auto"/>
        <w:ind w:left="630"/>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lang w:val="zh-TW" w:eastAsia="zh-TW"/>
        </w:rPr>
        <w:t>工作频率：24.126GHz（K－波段）</w:t>
      </w:r>
    </w:p>
    <w:p>
      <w:pPr>
        <w:numPr>
          <w:ilvl w:val="0"/>
          <w:numId w:val="9"/>
        </w:numPr>
        <w:adjustRightInd w:val="0"/>
        <w:snapToGrid w:val="0"/>
        <w:spacing w:line="312" w:lineRule="auto"/>
        <w:ind w:left="630"/>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lang w:val="zh-TW" w:eastAsia="zh-TW"/>
        </w:rPr>
        <w:t>检测范围：0m—76.2m</w:t>
      </w:r>
    </w:p>
    <w:p>
      <w:pPr>
        <w:numPr>
          <w:ilvl w:val="0"/>
          <w:numId w:val="9"/>
        </w:numPr>
        <w:adjustRightInd w:val="0"/>
        <w:snapToGrid w:val="0"/>
        <w:spacing w:line="312" w:lineRule="auto"/>
        <w:ind w:left="630"/>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lang w:val="zh-TW" w:eastAsia="zh-TW"/>
        </w:rPr>
        <w:t>侧置距离：0侧移量可检测4车道，1.8米侧移量可检测22条车道</w:t>
      </w:r>
    </w:p>
    <w:p>
      <w:pPr>
        <w:numPr>
          <w:ilvl w:val="0"/>
          <w:numId w:val="9"/>
        </w:numPr>
        <w:adjustRightInd w:val="0"/>
        <w:snapToGrid w:val="0"/>
        <w:spacing w:line="312" w:lineRule="auto"/>
        <w:ind w:left="630"/>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lang w:val="zh-TW" w:eastAsia="zh-TW"/>
        </w:rPr>
        <w:t>车流量精确度：任何单一车道流量&gt;95%；总流量&gt;98%</w:t>
      </w:r>
    </w:p>
    <w:p>
      <w:pPr>
        <w:numPr>
          <w:ilvl w:val="0"/>
          <w:numId w:val="9"/>
        </w:numPr>
        <w:adjustRightInd w:val="0"/>
        <w:snapToGrid w:val="0"/>
        <w:spacing w:line="312" w:lineRule="auto"/>
        <w:ind w:left="630"/>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lang w:val="zh-TW" w:eastAsia="zh-TW"/>
        </w:rPr>
        <w:t>单车车速精度：&gt;97%，5～255Km/H</w:t>
      </w:r>
    </w:p>
    <w:p>
      <w:pPr>
        <w:numPr>
          <w:ilvl w:val="0"/>
          <w:numId w:val="9"/>
        </w:numPr>
        <w:adjustRightInd w:val="0"/>
        <w:snapToGrid w:val="0"/>
        <w:spacing w:line="312" w:lineRule="auto"/>
        <w:ind w:left="630"/>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lang w:val="zh-TW" w:eastAsia="zh-TW"/>
        </w:rPr>
        <w:t>平均车速精度：&gt;97%，5～255Km/H</w:t>
      </w:r>
    </w:p>
    <w:p>
      <w:pPr>
        <w:numPr>
          <w:ilvl w:val="0"/>
          <w:numId w:val="9"/>
        </w:numPr>
        <w:adjustRightInd w:val="0"/>
        <w:snapToGrid w:val="0"/>
        <w:spacing w:line="312" w:lineRule="auto"/>
        <w:ind w:left="630"/>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lang w:val="zh-TW" w:eastAsia="zh-TW"/>
        </w:rPr>
        <w:t>车道占有率误差小于±5%，即使是在交通拥堵时段</w:t>
      </w:r>
    </w:p>
    <w:p>
      <w:pPr>
        <w:numPr>
          <w:ilvl w:val="0"/>
          <w:numId w:val="9"/>
        </w:numPr>
        <w:adjustRightInd w:val="0"/>
        <w:snapToGrid w:val="0"/>
        <w:spacing w:line="312" w:lineRule="auto"/>
        <w:ind w:left="630"/>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lang w:val="zh-TW" w:eastAsia="zh-TW"/>
        </w:rPr>
        <w:t>按车辆长度可分8种车型，按车辆速度可分15种车型</w:t>
      </w:r>
    </w:p>
    <w:p>
      <w:pPr>
        <w:numPr>
          <w:ilvl w:val="0"/>
          <w:numId w:val="9"/>
        </w:numPr>
        <w:adjustRightInd w:val="0"/>
        <w:snapToGrid w:val="0"/>
        <w:spacing w:line="312" w:lineRule="auto"/>
        <w:ind w:left="630"/>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lang w:val="zh-TW" w:eastAsia="zh-TW"/>
        </w:rPr>
        <w:t>适用于任何天气，包括雨，雾，雪，大风，冰，灰尘等等</w:t>
      </w:r>
    </w:p>
    <w:p>
      <w:pPr>
        <w:pStyle w:val="7"/>
        <w:adjustRightInd w:val="0"/>
        <w:snapToGrid w:val="0"/>
        <w:spacing w:before="0" w:after="0" w:line="312" w:lineRule="auto"/>
        <w:ind w:left="420"/>
        <w:rPr>
          <w:rFonts w:hint="eastAsia" w:ascii="仿宋" w:hAnsi="仿宋" w:eastAsia="仿宋" w:cs="仿宋"/>
          <w:sz w:val="24"/>
          <w:szCs w:val="24"/>
          <w:highlight w:val="none"/>
        </w:rPr>
      </w:pPr>
      <w:bookmarkStart w:id="107" w:name="_Toc72236985"/>
      <w:bookmarkStart w:id="108" w:name="_Toc20678"/>
      <w:r>
        <w:rPr>
          <w:rFonts w:hint="eastAsia" w:ascii="仿宋" w:hAnsi="仿宋" w:eastAsia="仿宋" w:cs="仿宋"/>
          <w:sz w:val="24"/>
          <w:szCs w:val="24"/>
          <w:highlight w:val="none"/>
        </w:rPr>
        <w:t>1.9.无机动态校准仪</w:t>
      </w:r>
      <w:bookmarkEnd w:id="107"/>
      <w:bookmarkEnd w:id="108"/>
    </w:p>
    <w:p>
      <w:pPr>
        <w:adjustRightInd w:val="0"/>
        <w:snapToGrid w:val="0"/>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（1）仪器原理</w:t>
      </w:r>
    </w:p>
    <w:p>
      <w:pPr>
        <w:adjustRightInd w:val="0"/>
        <w:snapToGrid w:val="0"/>
        <w:spacing w:line="312"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无机动态校准仪用于环境空气中无机气态污染物分析仪的校准。</w:t>
      </w:r>
    </w:p>
    <w:p>
      <w:pPr>
        <w:adjustRightInd w:val="0"/>
        <w:snapToGrid w:val="0"/>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（2）主要技术参数</w:t>
      </w:r>
    </w:p>
    <w:p>
      <w:pPr>
        <w:pStyle w:val="91"/>
        <w:numPr>
          <w:ilvl w:val="0"/>
          <w:numId w:val="10"/>
        </w:numPr>
        <w:adjustRightInd w:val="0"/>
        <w:snapToGrid w:val="0"/>
        <w:spacing w:line="312" w:lineRule="auto"/>
        <w:ind w:left="21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流量计准确度：±1%满量程</w:t>
      </w:r>
      <w:r>
        <w:rPr>
          <w:rFonts w:hint="eastAsia" w:ascii="仿宋" w:hAnsi="仿宋" w:eastAsia="仿宋" w:cs="仿宋"/>
          <w:sz w:val="24"/>
          <w:szCs w:val="24"/>
          <w:highlight w:val="none"/>
        </w:rPr>
        <w:tab/>
      </w:r>
    </w:p>
    <w:p>
      <w:pPr>
        <w:pStyle w:val="91"/>
        <w:numPr>
          <w:ilvl w:val="0"/>
          <w:numId w:val="10"/>
        </w:numPr>
        <w:adjustRightInd w:val="0"/>
        <w:snapToGrid w:val="0"/>
        <w:spacing w:line="312" w:lineRule="auto"/>
        <w:ind w:left="21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质量流量测量重现性：±2%满量程</w:t>
      </w:r>
      <w:r>
        <w:rPr>
          <w:rFonts w:hint="eastAsia" w:ascii="仿宋" w:hAnsi="仿宋" w:eastAsia="仿宋" w:cs="仿宋"/>
          <w:sz w:val="24"/>
          <w:szCs w:val="24"/>
          <w:highlight w:val="none"/>
        </w:rPr>
        <w:tab/>
      </w:r>
    </w:p>
    <w:p>
      <w:pPr>
        <w:pStyle w:val="91"/>
        <w:numPr>
          <w:ilvl w:val="0"/>
          <w:numId w:val="10"/>
        </w:numPr>
        <w:adjustRightInd w:val="0"/>
        <w:snapToGrid w:val="0"/>
        <w:spacing w:line="312" w:lineRule="auto"/>
        <w:ind w:left="21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质量流量控制器最佳工作范围能够满足低浓度标气需要</w:t>
      </w:r>
    </w:p>
    <w:p>
      <w:pPr>
        <w:pStyle w:val="91"/>
        <w:numPr>
          <w:ilvl w:val="0"/>
          <w:numId w:val="10"/>
        </w:numPr>
        <w:adjustRightInd w:val="0"/>
        <w:snapToGrid w:val="0"/>
        <w:spacing w:line="312" w:lineRule="auto"/>
        <w:ind w:left="21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标气流量计量程：0～100毫升/分钟</w:t>
      </w:r>
      <w:r>
        <w:rPr>
          <w:rFonts w:hint="eastAsia" w:ascii="仿宋" w:hAnsi="仿宋" w:eastAsia="仿宋" w:cs="仿宋"/>
          <w:sz w:val="24"/>
          <w:szCs w:val="24"/>
          <w:highlight w:val="none"/>
        </w:rPr>
        <w:tab/>
      </w:r>
    </w:p>
    <w:p>
      <w:pPr>
        <w:pStyle w:val="91"/>
        <w:numPr>
          <w:ilvl w:val="0"/>
          <w:numId w:val="10"/>
        </w:numPr>
        <w:adjustRightInd w:val="0"/>
        <w:snapToGrid w:val="0"/>
        <w:spacing w:line="312" w:lineRule="auto"/>
        <w:ind w:left="21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零气流量计量程：≧10升/分钟</w:t>
      </w:r>
      <w:r>
        <w:rPr>
          <w:rFonts w:hint="eastAsia" w:ascii="仿宋" w:hAnsi="仿宋" w:eastAsia="仿宋" w:cs="仿宋"/>
          <w:sz w:val="24"/>
          <w:szCs w:val="24"/>
          <w:highlight w:val="none"/>
        </w:rPr>
        <w:tab/>
      </w:r>
    </w:p>
    <w:p>
      <w:pPr>
        <w:pStyle w:val="91"/>
        <w:numPr>
          <w:ilvl w:val="0"/>
          <w:numId w:val="10"/>
        </w:numPr>
        <w:adjustRightInd w:val="0"/>
        <w:snapToGrid w:val="0"/>
        <w:spacing w:line="312" w:lineRule="auto"/>
        <w:ind w:left="21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自动计算稀释气流量或稀释比</w:t>
      </w:r>
      <w:r>
        <w:rPr>
          <w:rFonts w:hint="eastAsia" w:ascii="仿宋" w:hAnsi="仿宋" w:eastAsia="仿宋" w:cs="仿宋"/>
          <w:sz w:val="24"/>
          <w:szCs w:val="24"/>
          <w:highlight w:val="none"/>
        </w:rPr>
        <w:tab/>
      </w:r>
    </w:p>
    <w:p>
      <w:pPr>
        <w:pStyle w:val="91"/>
        <w:numPr>
          <w:ilvl w:val="0"/>
          <w:numId w:val="10"/>
        </w:numPr>
        <w:adjustRightInd w:val="0"/>
        <w:snapToGrid w:val="0"/>
        <w:spacing w:line="312" w:lineRule="auto"/>
        <w:ind w:left="21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标气接口：3个或以上</w:t>
      </w:r>
    </w:p>
    <w:p>
      <w:pPr>
        <w:pStyle w:val="91"/>
        <w:numPr>
          <w:ilvl w:val="0"/>
          <w:numId w:val="10"/>
        </w:numPr>
        <w:adjustRightInd w:val="0"/>
        <w:snapToGrid w:val="0"/>
        <w:spacing w:line="312" w:lineRule="auto"/>
        <w:ind w:left="21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紫外光度计：</w:t>
      </w:r>
    </w:p>
    <w:p>
      <w:pPr>
        <w:adjustRightInd w:val="0"/>
        <w:snapToGrid w:val="0"/>
        <w:spacing w:line="312"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满量程：100ppb至5ppm 用户自选</w:t>
      </w:r>
    </w:p>
    <w:p>
      <w:pPr>
        <w:adjustRightInd w:val="0"/>
        <w:snapToGrid w:val="0"/>
        <w:spacing w:line="312"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线性：1%满量程</w:t>
      </w:r>
    </w:p>
    <w:p>
      <w:pPr>
        <w:adjustRightInd w:val="0"/>
        <w:snapToGrid w:val="0"/>
        <w:spacing w:line="312"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精度：1ppb</w:t>
      </w:r>
    </w:p>
    <w:p>
      <w:pPr>
        <w:adjustRightInd w:val="0"/>
        <w:snapToGrid w:val="0"/>
        <w:spacing w:line="312"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响应时间：180秒（95%）</w:t>
      </w:r>
    </w:p>
    <w:p>
      <w:pPr>
        <w:adjustRightInd w:val="0"/>
        <w:snapToGrid w:val="0"/>
        <w:spacing w:line="312"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最低检出限：3ppb</w:t>
      </w:r>
    </w:p>
    <w:p>
      <w:pPr>
        <w:pStyle w:val="7"/>
        <w:adjustRightInd w:val="0"/>
        <w:snapToGrid w:val="0"/>
        <w:spacing w:before="0" w:after="0" w:line="312" w:lineRule="auto"/>
        <w:ind w:left="420"/>
        <w:rPr>
          <w:rFonts w:hint="eastAsia" w:ascii="仿宋" w:hAnsi="仿宋" w:eastAsia="仿宋" w:cs="仿宋"/>
          <w:sz w:val="24"/>
          <w:szCs w:val="24"/>
          <w:highlight w:val="none"/>
        </w:rPr>
      </w:pPr>
      <w:bookmarkStart w:id="109" w:name="_Toc5683"/>
      <w:r>
        <w:rPr>
          <w:rFonts w:hint="eastAsia" w:ascii="仿宋" w:hAnsi="仿宋" w:eastAsia="仿宋" w:cs="仿宋"/>
          <w:sz w:val="24"/>
          <w:szCs w:val="24"/>
          <w:highlight w:val="none"/>
        </w:rPr>
        <w:t>1.10.有机动态稀释仪</w:t>
      </w:r>
      <w:bookmarkEnd w:id="109"/>
    </w:p>
    <w:p>
      <w:pPr>
        <w:adjustRightInd w:val="0"/>
        <w:snapToGrid w:val="0"/>
        <w:spacing w:line="312" w:lineRule="auto"/>
        <w:ind w:firstLine="482"/>
        <w:rPr>
          <w:rFonts w:hint="eastAsia" w:ascii="仿宋" w:hAnsi="仿宋" w:eastAsia="仿宋" w:cs="仿宋"/>
          <w:sz w:val="24"/>
          <w:szCs w:val="24"/>
          <w:highlight w:val="none"/>
        </w:rPr>
      </w:pPr>
      <w:r>
        <w:rPr>
          <w:rFonts w:hint="eastAsia" w:ascii="仿宋" w:hAnsi="仿宋" w:eastAsia="仿宋" w:cs="仿宋"/>
          <w:b/>
          <w:sz w:val="24"/>
          <w:szCs w:val="24"/>
          <w:highlight w:val="none"/>
        </w:rPr>
        <w:t>（1）仪器原理</w:t>
      </w:r>
    </w:p>
    <w:p>
      <w:pPr>
        <w:adjustRightInd w:val="0"/>
        <w:snapToGrid w:val="0"/>
        <w:spacing w:line="312" w:lineRule="auto"/>
        <w:ind w:firstLine="480" w:firstLineChars="200"/>
        <w:rPr>
          <w:rFonts w:hint="eastAsia" w:ascii="仿宋" w:hAnsi="仿宋" w:eastAsia="仿宋" w:cs="仿宋"/>
          <w:kern w:val="0"/>
          <w:sz w:val="24"/>
          <w:szCs w:val="24"/>
          <w:highlight w:val="none"/>
          <w:lang w:val="zh-TW" w:eastAsia="zh-TW"/>
        </w:rPr>
      </w:pPr>
      <w:r>
        <w:rPr>
          <w:rFonts w:hint="eastAsia" w:ascii="仿宋" w:hAnsi="仿宋" w:eastAsia="仿宋" w:cs="仿宋"/>
          <w:kern w:val="0"/>
          <w:sz w:val="24"/>
          <w:szCs w:val="24"/>
          <w:highlight w:val="none"/>
        </w:rPr>
        <w:t>稀释仪</w:t>
      </w:r>
      <w:r>
        <w:rPr>
          <w:rFonts w:hint="eastAsia" w:ascii="仿宋" w:hAnsi="仿宋" w:eastAsia="仿宋" w:cs="仿宋"/>
          <w:kern w:val="0"/>
          <w:sz w:val="24"/>
          <w:szCs w:val="24"/>
          <w:highlight w:val="none"/>
          <w:lang w:val="zh-TW" w:eastAsia="zh-TW"/>
        </w:rPr>
        <w:t>用于挥发性有机物分析仪校准，是通过气体质量流量控制器精确控制气体流量，将高浓度样品动态稀释至所需低浓度气体。满足气体分析仪的检定/校准工作以及气体分析质量控制时对不同浓度气体的需求。</w:t>
      </w:r>
    </w:p>
    <w:p>
      <w:pPr>
        <w:adjustRightInd w:val="0"/>
        <w:snapToGrid w:val="0"/>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（2）主要技术参数</w:t>
      </w:r>
    </w:p>
    <w:p>
      <w:pPr>
        <w:numPr>
          <w:ilvl w:val="0"/>
          <w:numId w:val="11"/>
        </w:numPr>
        <w:adjustRightInd w:val="0"/>
        <w:snapToGrid w:val="0"/>
        <w:spacing w:line="312" w:lineRule="auto"/>
        <w:ind w:left="1050"/>
        <w:contextualSpacing/>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稀释气质量流量0-10L/min</w:t>
      </w:r>
    </w:p>
    <w:p>
      <w:pPr>
        <w:numPr>
          <w:ilvl w:val="0"/>
          <w:numId w:val="11"/>
        </w:numPr>
        <w:adjustRightInd w:val="0"/>
        <w:snapToGrid w:val="0"/>
        <w:spacing w:line="312" w:lineRule="auto"/>
        <w:ind w:left="1050"/>
        <w:contextualSpacing/>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标准气质量流量0-100mL/min</w:t>
      </w:r>
    </w:p>
    <w:p>
      <w:pPr>
        <w:numPr>
          <w:ilvl w:val="0"/>
          <w:numId w:val="11"/>
        </w:numPr>
        <w:adjustRightInd w:val="0"/>
        <w:snapToGrid w:val="0"/>
        <w:spacing w:line="312" w:lineRule="auto"/>
        <w:ind w:left="1050"/>
        <w:contextualSpacing/>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流量精度≤±1%F.S</w:t>
      </w:r>
    </w:p>
    <w:p>
      <w:pPr>
        <w:numPr>
          <w:ilvl w:val="0"/>
          <w:numId w:val="11"/>
        </w:numPr>
        <w:adjustRightInd w:val="0"/>
        <w:snapToGrid w:val="0"/>
        <w:spacing w:line="312" w:lineRule="auto"/>
        <w:ind w:left="1050"/>
        <w:contextualSpacing/>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流量输出重复性≤±0.15%F.S</w:t>
      </w:r>
    </w:p>
    <w:p>
      <w:pPr>
        <w:numPr>
          <w:ilvl w:val="0"/>
          <w:numId w:val="11"/>
        </w:numPr>
        <w:adjustRightInd w:val="0"/>
        <w:snapToGrid w:val="0"/>
        <w:spacing w:line="312" w:lineRule="auto"/>
        <w:ind w:left="1050"/>
        <w:contextualSpacing/>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线性≤±0.5%F.S</w:t>
      </w:r>
    </w:p>
    <w:p>
      <w:pPr>
        <w:numPr>
          <w:ilvl w:val="0"/>
          <w:numId w:val="11"/>
        </w:numPr>
        <w:adjustRightInd w:val="0"/>
        <w:snapToGrid w:val="0"/>
        <w:spacing w:line="312" w:lineRule="auto"/>
        <w:ind w:left="1050"/>
        <w:contextualSpacing/>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输入口气体压力:12-35PSIG(0.08-0.25Mpa)</w:t>
      </w:r>
    </w:p>
    <w:p>
      <w:pPr>
        <w:pStyle w:val="7"/>
        <w:adjustRightInd w:val="0"/>
        <w:snapToGrid w:val="0"/>
        <w:spacing w:before="0" w:after="0" w:line="312" w:lineRule="auto"/>
        <w:ind w:left="420"/>
        <w:rPr>
          <w:rFonts w:hint="eastAsia" w:ascii="仿宋" w:hAnsi="仿宋" w:eastAsia="仿宋" w:cs="仿宋"/>
          <w:sz w:val="24"/>
          <w:szCs w:val="24"/>
          <w:highlight w:val="none"/>
        </w:rPr>
      </w:pPr>
      <w:bookmarkStart w:id="110" w:name="_Toc72236987"/>
      <w:bookmarkStart w:id="111" w:name="_Toc15146"/>
      <w:r>
        <w:rPr>
          <w:rFonts w:hint="eastAsia" w:ascii="仿宋" w:hAnsi="仿宋" w:eastAsia="仿宋" w:cs="仿宋"/>
          <w:sz w:val="24"/>
          <w:szCs w:val="24"/>
          <w:highlight w:val="none"/>
        </w:rPr>
        <w:t>1.11.零气发生器</w:t>
      </w:r>
      <w:bookmarkEnd w:id="110"/>
      <w:bookmarkEnd w:id="111"/>
    </w:p>
    <w:p>
      <w:pPr>
        <w:adjustRightInd w:val="0"/>
        <w:snapToGrid w:val="0"/>
        <w:spacing w:line="312" w:lineRule="auto"/>
        <w:ind w:firstLine="482"/>
        <w:rPr>
          <w:rFonts w:hint="eastAsia" w:ascii="仿宋" w:hAnsi="仿宋" w:eastAsia="仿宋" w:cs="仿宋"/>
          <w:kern w:val="0"/>
          <w:sz w:val="24"/>
          <w:szCs w:val="24"/>
          <w:highlight w:val="none"/>
          <w:lang w:val="zh-TW" w:eastAsia="zh-TW"/>
        </w:rPr>
      </w:pPr>
      <w:r>
        <w:rPr>
          <w:rFonts w:hint="eastAsia" w:ascii="仿宋" w:hAnsi="仿宋" w:eastAsia="仿宋" w:cs="仿宋"/>
          <w:b/>
          <w:sz w:val="24"/>
          <w:szCs w:val="24"/>
          <w:highlight w:val="none"/>
        </w:rPr>
        <w:t>（1）仪器原理</w:t>
      </w:r>
    </w:p>
    <w:p>
      <w:pPr>
        <w:adjustRightInd w:val="0"/>
        <w:snapToGrid w:val="0"/>
        <w:spacing w:line="312" w:lineRule="auto"/>
        <w:ind w:firstLine="480" w:firstLineChars="200"/>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rPr>
        <w:t>零气发生器，</w:t>
      </w:r>
      <w:r>
        <w:rPr>
          <w:rFonts w:hint="eastAsia" w:ascii="仿宋" w:hAnsi="仿宋" w:eastAsia="仿宋" w:cs="仿宋"/>
          <w:kern w:val="0"/>
          <w:sz w:val="24"/>
          <w:szCs w:val="24"/>
          <w:highlight w:val="none"/>
          <w:lang w:val="zh-TW" w:eastAsia="zh-TW"/>
        </w:rPr>
        <w:t>作为稀释校准仪器的零气源</w:t>
      </w:r>
      <w:r>
        <w:rPr>
          <w:rFonts w:hint="eastAsia" w:ascii="仿宋" w:hAnsi="仿宋" w:eastAsia="仿宋" w:cs="仿宋"/>
          <w:kern w:val="0"/>
          <w:sz w:val="24"/>
          <w:szCs w:val="24"/>
          <w:highlight w:val="none"/>
          <w:lang w:val="zh-TW"/>
        </w:rPr>
        <w:t>。</w:t>
      </w:r>
    </w:p>
    <w:p>
      <w:pPr>
        <w:adjustRightInd w:val="0"/>
        <w:snapToGrid w:val="0"/>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（2）主要技术参数</w:t>
      </w:r>
    </w:p>
    <w:p>
      <w:pPr>
        <w:pStyle w:val="91"/>
        <w:numPr>
          <w:ilvl w:val="0"/>
          <w:numId w:val="12"/>
        </w:numPr>
        <w:adjustRightInd w:val="0"/>
        <w:snapToGrid w:val="0"/>
        <w:spacing w:line="312" w:lineRule="auto"/>
        <w:ind w:left="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压力：10～30 psi</w:t>
      </w:r>
      <w:r>
        <w:rPr>
          <w:rFonts w:hint="eastAsia" w:ascii="仿宋" w:hAnsi="仿宋" w:eastAsia="仿宋" w:cs="仿宋"/>
          <w:sz w:val="24"/>
          <w:szCs w:val="24"/>
          <w:highlight w:val="none"/>
        </w:rPr>
        <w:tab/>
      </w:r>
    </w:p>
    <w:p>
      <w:pPr>
        <w:pStyle w:val="91"/>
        <w:numPr>
          <w:ilvl w:val="0"/>
          <w:numId w:val="12"/>
        </w:numPr>
        <w:adjustRightInd w:val="0"/>
        <w:snapToGrid w:val="0"/>
        <w:spacing w:line="312" w:lineRule="auto"/>
        <w:ind w:left="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零气的纯度：SO2≤0.5ppb；NO≤0.5ppb； NO2≤0.5ppb；CO≤0.03ppm；O3≤0.5ppb；HC≤0.02pp</w:t>
      </w:r>
    </w:p>
    <w:p>
      <w:pPr>
        <w:pStyle w:val="91"/>
        <w:numPr>
          <w:ilvl w:val="0"/>
          <w:numId w:val="12"/>
        </w:numPr>
        <w:adjustRightInd w:val="0"/>
        <w:snapToGrid w:val="0"/>
        <w:spacing w:line="312" w:lineRule="auto"/>
        <w:ind w:left="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输出流量：输出压力200kPa时大于10L/min</w:t>
      </w:r>
    </w:p>
    <w:p>
      <w:pPr>
        <w:pStyle w:val="91"/>
        <w:numPr>
          <w:ilvl w:val="0"/>
          <w:numId w:val="12"/>
        </w:numPr>
        <w:adjustRightInd w:val="0"/>
        <w:snapToGrid w:val="0"/>
        <w:spacing w:line="312" w:lineRule="auto"/>
        <w:ind w:left="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配置含C、H剔除器，内置加热炉</w:t>
      </w:r>
    </w:p>
    <w:p>
      <w:pPr>
        <w:pStyle w:val="91"/>
        <w:numPr>
          <w:ilvl w:val="0"/>
          <w:numId w:val="12"/>
        </w:numPr>
        <w:adjustRightInd w:val="0"/>
        <w:snapToGrid w:val="0"/>
        <w:spacing w:line="312" w:lineRule="auto"/>
        <w:ind w:left="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结露点：&lt;-15℃</w:t>
      </w:r>
    </w:p>
    <w:p>
      <w:pPr>
        <w:pStyle w:val="7"/>
        <w:adjustRightInd w:val="0"/>
        <w:snapToGrid w:val="0"/>
        <w:spacing w:before="0" w:after="0" w:line="312" w:lineRule="auto"/>
        <w:ind w:left="420"/>
        <w:rPr>
          <w:rFonts w:hint="eastAsia" w:ascii="仿宋" w:hAnsi="仿宋" w:eastAsia="仿宋" w:cs="仿宋"/>
          <w:sz w:val="24"/>
          <w:szCs w:val="24"/>
          <w:highlight w:val="none"/>
        </w:rPr>
      </w:pPr>
      <w:bookmarkStart w:id="112" w:name="_Toc13693"/>
      <w:r>
        <w:rPr>
          <w:rFonts w:hint="eastAsia" w:ascii="仿宋" w:hAnsi="仿宋" w:eastAsia="仿宋" w:cs="仿宋"/>
          <w:sz w:val="24"/>
          <w:szCs w:val="24"/>
          <w:highlight w:val="none"/>
        </w:rPr>
        <w:t>1.12.氢气发生器</w:t>
      </w:r>
      <w:bookmarkEnd w:id="112"/>
    </w:p>
    <w:p>
      <w:pPr>
        <w:adjustRightInd w:val="0"/>
        <w:snapToGrid w:val="0"/>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主要技术参数</w:t>
      </w:r>
    </w:p>
    <w:p>
      <w:pPr>
        <w:pStyle w:val="91"/>
        <w:numPr>
          <w:ilvl w:val="0"/>
          <w:numId w:val="12"/>
        </w:numPr>
        <w:adjustRightInd w:val="0"/>
        <w:snapToGrid w:val="0"/>
        <w:spacing w:line="312" w:lineRule="auto"/>
        <w:ind w:left="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氢气流量：500 mL/min；</w:t>
      </w:r>
    </w:p>
    <w:p>
      <w:pPr>
        <w:pStyle w:val="91"/>
        <w:numPr>
          <w:ilvl w:val="0"/>
          <w:numId w:val="12"/>
        </w:numPr>
        <w:adjustRightInd w:val="0"/>
        <w:snapToGrid w:val="0"/>
        <w:spacing w:line="312" w:lineRule="auto"/>
        <w:ind w:left="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氢气纯度：99.9995%以上；</w:t>
      </w:r>
    </w:p>
    <w:p>
      <w:pPr>
        <w:pStyle w:val="91"/>
        <w:numPr>
          <w:ilvl w:val="0"/>
          <w:numId w:val="12"/>
        </w:numPr>
        <w:adjustRightInd w:val="0"/>
        <w:snapToGrid w:val="0"/>
        <w:spacing w:line="312" w:lineRule="auto"/>
        <w:ind w:left="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氢气压力：0.4MPa；</w:t>
      </w:r>
    </w:p>
    <w:p>
      <w:pPr>
        <w:pStyle w:val="91"/>
        <w:numPr>
          <w:ilvl w:val="0"/>
          <w:numId w:val="12"/>
        </w:numPr>
        <w:adjustRightInd w:val="0"/>
        <w:snapToGrid w:val="0"/>
        <w:spacing w:line="312" w:lineRule="auto"/>
        <w:ind w:left="0" w:firstLine="420" w:firstLineChars="0"/>
        <w:rPr>
          <w:rFonts w:hint="eastAsia" w:ascii="仿宋" w:hAnsi="仿宋" w:eastAsia="仿宋" w:cs="仿宋"/>
          <w:sz w:val="24"/>
          <w:szCs w:val="24"/>
          <w:highlight w:val="none"/>
          <w:lang w:val="zh-TW" w:eastAsia="zh-TW"/>
        </w:rPr>
      </w:pPr>
      <w:r>
        <w:rPr>
          <w:rFonts w:hint="eastAsia" w:ascii="仿宋" w:hAnsi="仿宋" w:eastAsia="仿宋" w:cs="仿宋"/>
          <w:sz w:val="24"/>
          <w:szCs w:val="24"/>
          <w:highlight w:val="none"/>
        </w:rPr>
        <w:t>颗粒：&lt;0.01μm；</w:t>
      </w:r>
    </w:p>
    <w:p>
      <w:pPr>
        <w:pStyle w:val="7"/>
        <w:adjustRightInd w:val="0"/>
        <w:snapToGrid w:val="0"/>
        <w:spacing w:before="0" w:after="0" w:line="312" w:lineRule="auto"/>
        <w:ind w:left="420"/>
        <w:rPr>
          <w:rFonts w:hint="eastAsia" w:ascii="仿宋" w:hAnsi="仿宋" w:eastAsia="仿宋" w:cs="仿宋"/>
          <w:sz w:val="24"/>
          <w:szCs w:val="24"/>
          <w:highlight w:val="none"/>
        </w:rPr>
      </w:pPr>
      <w:bookmarkStart w:id="113" w:name="_Toc28686"/>
      <w:r>
        <w:rPr>
          <w:rFonts w:hint="eastAsia" w:ascii="仿宋" w:hAnsi="仿宋" w:eastAsia="仿宋" w:cs="仿宋"/>
          <w:sz w:val="24"/>
          <w:szCs w:val="24"/>
          <w:highlight w:val="none"/>
        </w:rPr>
        <w:t>1.13.采样系统</w:t>
      </w:r>
      <w:bookmarkEnd w:id="113"/>
    </w:p>
    <w:p>
      <w:pPr>
        <w:adjustRightInd w:val="0"/>
        <w:snapToGrid w:val="0"/>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采样总管高度高于站房顶部1.5米，站房内的采样管线外壁有保温装置，防止管壁结露，温度一般设在40-60℃，内管有一组采样接头，可以连接采样管。鼓风机保证样气在管路停留时间不会超过4秒。做好安装法兰的防水和防渗漏。</w:t>
      </w:r>
    </w:p>
    <w:p>
      <w:pPr>
        <w:adjustRightInd w:val="0"/>
        <w:snapToGrid w:val="0"/>
        <w:spacing w:line="312" w:lineRule="auto"/>
        <w:ind w:firstLine="480"/>
        <w:rPr>
          <w:rFonts w:hint="eastAsia" w:ascii="仿宋" w:hAnsi="仿宋" w:eastAsia="仿宋" w:cs="仿宋"/>
          <w:b/>
          <w:bCs/>
          <w:sz w:val="24"/>
          <w:szCs w:val="24"/>
          <w:highlight w:val="none"/>
        </w:rPr>
      </w:pPr>
      <w:bookmarkStart w:id="114" w:name="_Toc29784"/>
      <w:r>
        <w:rPr>
          <w:rFonts w:hint="eastAsia" w:ascii="仿宋" w:hAnsi="仿宋" w:eastAsia="仿宋" w:cs="仿宋"/>
          <w:b/>
          <w:bCs/>
          <w:sz w:val="24"/>
          <w:szCs w:val="24"/>
          <w:highlight w:val="none"/>
        </w:rPr>
        <w:t>（1）技术指标</w:t>
      </w:r>
      <w:bookmarkEnd w:id="114"/>
    </w:p>
    <w:p>
      <w:pPr>
        <w:pStyle w:val="91"/>
        <w:numPr>
          <w:ilvl w:val="0"/>
          <w:numId w:val="13"/>
        </w:numPr>
        <w:adjustRightInd w:val="0"/>
        <w:snapToGrid w:val="0"/>
        <w:spacing w:line="312" w:lineRule="auto"/>
        <w:ind w:left="8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采样管结构：垂直层流多路支管；</w:t>
      </w:r>
    </w:p>
    <w:p>
      <w:pPr>
        <w:pStyle w:val="91"/>
        <w:numPr>
          <w:ilvl w:val="0"/>
          <w:numId w:val="13"/>
        </w:numPr>
        <w:adjustRightInd w:val="0"/>
        <w:snapToGrid w:val="0"/>
        <w:spacing w:line="312" w:lineRule="auto"/>
        <w:ind w:left="8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制作材料：不锈钢外管内衬聚四氟乙烯材料，满足臭氧、VOC测量特殊需要设计的采样系统；</w:t>
      </w:r>
    </w:p>
    <w:p>
      <w:pPr>
        <w:pStyle w:val="91"/>
        <w:numPr>
          <w:ilvl w:val="0"/>
          <w:numId w:val="13"/>
        </w:numPr>
        <w:adjustRightInd w:val="0"/>
        <w:snapToGrid w:val="0"/>
        <w:spacing w:line="312" w:lineRule="auto"/>
        <w:ind w:left="8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样品滞留时间：&lt;10s；</w:t>
      </w:r>
    </w:p>
    <w:p>
      <w:pPr>
        <w:pStyle w:val="91"/>
        <w:numPr>
          <w:ilvl w:val="0"/>
          <w:numId w:val="13"/>
        </w:numPr>
        <w:adjustRightInd w:val="0"/>
        <w:snapToGrid w:val="0"/>
        <w:spacing w:line="312" w:lineRule="auto"/>
        <w:ind w:left="8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采样风扇风速可调；根据需要增加和减少转速；</w:t>
      </w:r>
    </w:p>
    <w:p>
      <w:pPr>
        <w:pStyle w:val="91"/>
        <w:numPr>
          <w:ilvl w:val="0"/>
          <w:numId w:val="13"/>
        </w:numPr>
        <w:adjustRightInd w:val="0"/>
        <w:snapToGrid w:val="0"/>
        <w:spacing w:line="312" w:lineRule="auto"/>
        <w:ind w:left="8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采样管具有加热装置，样品输出温度一般为：50±5℃；</w:t>
      </w:r>
    </w:p>
    <w:p>
      <w:pPr>
        <w:pStyle w:val="91"/>
        <w:numPr>
          <w:ilvl w:val="0"/>
          <w:numId w:val="13"/>
        </w:numPr>
        <w:adjustRightInd w:val="0"/>
        <w:snapToGrid w:val="0"/>
        <w:spacing w:line="312" w:lineRule="auto"/>
        <w:ind w:left="8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样品相对湿度:≤80%；</w:t>
      </w:r>
    </w:p>
    <w:p>
      <w:pPr>
        <w:pStyle w:val="91"/>
        <w:numPr>
          <w:ilvl w:val="0"/>
          <w:numId w:val="13"/>
        </w:numPr>
        <w:adjustRightInd w:val="0"/>
        <w:snapToGrid w:val="0"/>
        <w:spacing w:line="312" w:lineRule="auto"/>
        <w:ind w:left="8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采样管采用立式安装；</w:t>
      </w:r>
    </w:p>
    <w:p>
      <w:pPr>
        <w:pStyle w:val="91"/>
        <w:numPr>
          <w:ilvl w:val="0"/>
          <w:numId w:val="13"/>
        </w:numPr>
        <w:adjustRightInd w:val="0"/>
        <w:snapToGrid w:val="0"/>
        <w:spacing w:line="312" w:lineRule="auto"/>
        <w:ind w:left="84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全系统便于安装清洗；</w:t>
      </w:r>
    </w:p>
    <w:p>
      <w:pPr>
        <w:adjustRightInd w:val="0"/>
        <w:snapToGrid w:val="0"/>
        <w:spacing w:line="312" w:lineRule="auto"/>
        <w:ind w:firstLine="240" w:firstLineChars="100"/>
        <w:rPr>
          <w:rFonts w:hint="eastAsia" w:ascii="仿宋" w:hAnsi="仿宋" w:eastAsia="仿宋" w:cs="仿宋"/>
          <w:sz w:val="24"/>
          <w:szCs w:val="24"/>
          <w:highlight w:val="none"/>
        </w:rPr>
      </w:pPr>
      <w:bookmarkStart w:id="115" w:name="_Toc5857"/>
      <w:r>
        <w:rPr>
          <w:rFonts w:hint="eastAsia" w:ascii="仿宋" w:hAnsi="仿宋" w:eastAsia="仿宋" w:cs="仿宋"/>
          <w:sz w:val="24"/>
          <w:szCs w:val="24"/>
          <w:highlight w:val="none"/>
        </w:rPr>
        <w:t>（2）采样系统特点</w:t>
      </w:r>
      <w:bookmarkEnd w:id="115"/>
    </w:p>
    <w:p>
      <w:pPr>
        <w:numPr>
          <w:ilvl w:val="0"/>
          <w:numId w:val="14"/>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气路连接设计合理，方便维护。</w:t>
      </w:r>
    </w:p>
    <w:p>
      <w:pPr>
        <w:numPr>
          <w:ilvl w:val="0"/>
          <w:numId w:val="14"/>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采样头经过特殊处理，具有足够的惰性。</w:t>
      </w:r>
    </w:p>
    <w:p>
      <w:pPr>
        <w:numPr>
          <w:ilvl w:val="0"/>
          <w:numId w:val="14"/>
        </w:numPr>
        <w:adjustRightInd w:val="0"/>
        <w:snapToGrid w:val="0"/>
        <w:spacing w:line="312" w:lineRule="auto"/>
        <w:ind w:left="840"/>
        <w:rPr>
          <w:rFonts w:hint="eastAsia" w:ascii="仿宋" w:hAnsi="仿宋" w:eastAsia="仿宋" w:cs="仿宋"/>
          <w:sz w:val="24"/>
          <w:szCs w:val="24"/>
          <w:highlight w:val="none"/>
        </w:rPr>
      </w:pPr>
      <w:r>
        <w:rPr>
          <w:rFonts w:hint="eastAsia" w:ascii="仿宋" w:hAnsi="仿宋" w:eastAsia="仿宋" w:cs="仿宋"/>
          <w:sz w:val="24"/>
          <w:szCs w:val="24"/>
          <w:highlight w:val="none"/>
        </w:rPr>
        <w:t>从采样总管到仪器的每一根管线都连接过滤器，采用PTFE或PEF材质，不会吸附气体，保证测量的真实性和可靠性。有效解决因环境空气恶劣造成对仪器的损坏。</w:t>
      </w:r>
    </w:p>
    <w:p>
      <w:pPr>
        <w:pStyle w:val="7"/>
        <w:adjustRightInd w:val="0"/>
        <w:snapToGrid w:val="0"/>
        <w:spacing w:before="0" w:after="0" w:line="312" w:lineRule="auto"/>
        <w:ind w:left="420"/>
        <w:rPr>
          <w:rFonts w:hint="eastAsia" w:ascii="仿宋" w:hAnsi="仿宋" w:eastAsia="仿宋" w:cs="仿宋"/>
          <w:sz w:val="24"/>
          <w:szCs w:val="24"/>
          <w:highlight w:val="none"/>
        </w:rPr>
      </w:pPr>
      <w:bookmarkStart w:id="116" w:name="_Toc72236991"/>
      <w:bookmarkStart w:id="117" w:name="_Toc21550"/>
      <w:bookmarkStart w:id="118" w:name="_Toc72236992"/>
      <w:r>
        <w:rPr>
          <w:rFonts w:hint="eastAsia" w:ascii="仿宋" w:hAnsi="仿宋" w:eastAsia="仿宋" w:cs="仿宋"/>
          <w:sz w:val="24"/>
          <w:szCs w:val="24"/>
          <w:highlight w:val="none"/>
        </w:rPr>
        <w:t>1.14.机柜</w:t>
      </w:r>
      <w:bookmarkEnd w:id="116"/>
      <w:bookmarkEnd w:id="117"/>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配置适当数量的立式机柜，散热性能良好，可容纳本次采购的仪器设备，必要时包括相应的其他配套设备；</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使用机柜情况下，机柜采用航空级导轨抽拉连接装载仪器，方便拆卸仪器与清洗仪器内部管路，机柜后侧有纵向导轨汇总各仪器的电缆线路；</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机柜有接地孔线，所有的连接管线、接头等应采用防腐材质，不与被测污染物发生化学反应。</w:t>
      </w:r>
    </w:p>
    <w:p>
      <w:pPr>
        <w:pStyle w:val="7"/>
        <w:adjustRightInd w:val="0"/>
        <w:snapToGrid w:val="0"/>
        <w:spacing w:before="0" w:after="0" w:line="312" w:lineRule="auto"/>
        <w:ind w:left="420"/>
        <w:rPr>
          <w:rFonts w:hint="eastAsia" w:ascii="仿宋" w:hAnsi="仿宋" w:eastAsia="仿宋" w:cs="仿宋"/>
          <w:sz w:val="24"/>
          <w:szCs w:val="24"/>
          <w:highlight w:val="none"/>
        </w:rPr>
      </w:pPr>
      <w:bookmarkStart w:id="119" w:name="_Toc31490"/>
      <w:r>
        <w:rPr>
          <w:rFonts w:hint="eastAsia" w:ascii="仿宋" w:hAnsi="仿宋" w:eastAsia="仿宋" w:cs="仿宋"/>
          <w:sz w:val="24"/>
          <w:szCs w:val="24"/>
          <w:highlight w:val="none"/>
        </w:rPr>
        <w:t>1.15标准物质</w:t>
      </w:r>
      <w:bookmarkEnd w:id="118"/>
      <w:bookmarkEnd w:id="119"/>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配置满足本项目非甲烷总体、苯系物及气态污染物分析仪所需标准气体及减压阀。</w:t>
      </w:r>
    </w:p>
    <w:p>
      <w:pPr>
        <w:pStyle w:val="7"/>
        <w:adjustRightInd w:val="0"/>
        <w:snapToGrid w:val="0"/>
        <w:spacing w:before="0" w:after="0" w:line="312" w:lineRule="auto"/>
        <w:ind w:left="420"/>
        <w:rPr>
          <w:rFonts w:hint="eastAsia" w:ascii="仿宋" w:hAnsi="仿宋" w:eastAsia="仿宋" w:cs="仿宋"/>
          <w:sz w:val="24"/>
          <w:szCs w:val="24"/>
          <w:highlight w:val="none"/>
        </w:rPr>
      </w:pPr>
      <w:bookmarkStart w:id="120" w:name="_Toc8412"/>
      <w:r>
        <w:rPr>
          <w:rFonts w:hint="eastAsia" w:ascii="仿宋" w:hAnsi="仿宋" w:eastAsia="仿宋" w:cs="仿宋"/>
          <w:sz w:val="24"/>
          <w:szCs w:val="24"/>
          <w:highlight w:val="none"/>
        </w:rPr>
        <w:t>1.16数据采集与传输系统</w:t>
      </w:r>
      <w:bookmarkEnd w:id="120"/>
    </w:p>
    <w:p>
      <w:pPr>
        <w:numPr>
          <w:ilvl w:val="2"/>
          <w:numId w:val="15"/>
        </w:numPr>
        <w:adjustRightInd w:val="0"/>
        <w:snapToGrid w:val="0"/>
        <w:spacing w:line="312" w:lineRule="auto"/>
        <w:ind w:left="1129"/>
        <w:rPr>
          <w:rFonts w:hint="eastAsia" w:ascii="仿宋" w:hAnsi="仿宋" w:eastAsia="仿宋" w:cs="仿宋"/>
          <w:sz w:val="24"/>
          <w:szCs w:val="24"/>
          <w:highlight w:val="none"/>
        </w:rPr>
      </w:pPr>
      <w:bookmarkStart w:id="121" w:name="_Toc28656"/>
      <w:bookmarkStart w:id="122" w:name="_Toc28414"/>
      <w:bookmarkStart w:id="123" w:name="_Toc25731"/>
      <w:bookmarkStart w:id="124" w:name="_Toc12219"/>
      <w:r>
        <w:rPr>
          <w:rFonts w:hint="eastAsia" w:ascii="仿宋" w:hAnsi="仿宋" w:eastAsia="仿宋" w:cs="仿宋"/>
          <w:sz w:val="24"/>
          <w:szCs w:val="24"/>
          <w:highlight w:val="none"/>
        </w:rPr>
        <w:t>工控机</w:t>
      </w:r>
      <w:bookmarkEnd w:id="121"/>
      <w:bookmarkEnd w:id="122"/>
      <w:bookmarkEnd w:id="123"/>
      <w:bookmarkEnd w:id="124"/>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技术参数：</w:t>
      </w:r>
    </w:p>
    <w:p>
      <w:pPr>
        <w:pStyle w:val="21"/>
        <w:numPr>
          <w:ilvl w:val="0"/>
          <w:numId w:val="16"/>
        </w:numPr>
        <w:adjustRightInd w:val="0"/>
        <w:snapToGrid w:val="0"/>
        <w:spacing w:line="312" w:lineRule="auto"/>
        <w:ind w:left="840" w:right="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CP主频：2.4GHz以上</w:t>
      </w:r>
    </w:p>
    <w:p>
      <w:pPr>
        <w:pStyle w:val="21"/>
        <w:numPr>
          <w:ilvl w:val="0"/>
          <w:numId w:val="16"/>
        </w:numPr>
        <w:adjustRightInd w:val="0"/>
        <w:snapToGrid w:val="0"/>
        <w:spacing w:line="312" w:lineRule="auto"/>
        <w:ind w:left="840" w:right="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内存：4G </w:t>
      </w:r>
    </w:p>
    <w:p>
      <w:pPr>
        <w:pStyle w:val="21"/>
        <w:numPr>
          <w:ilvl w:val="0"/>
          <w:numId w:val="16"/>
        </w:numPr>
        <w:adjustRightInd w:val="0"/>
        <w:snapToGrid w:val="0"/>
        <w:spacing w:line="312" w:lineRule="auto"/>
        <w:ind w:left="840" w:right="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硬盘：500GB</w:t>
      </w:r>
    </w:p>
    <w:p>
      <w:pPr>
        <w:pStyle w:val="21"/>
        <w:numPr>
          <w:ilvl w:val="0"/>
          <w:numId w:val="16"/>
        </w:numPr>
        <w:adjustRightInd w:val="0"/>
        <w:snapToGrid w:val="0"/>
        <w:spacing w:line="312" w:lineRule="auto"/>
        <w:ind w:left="840" w:right="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接口及扩展模块：标准配置8个RS232通信口或以上，RJ45口两个或以上；视站点仪器设备配置与集成情况选择如下接口模块（RS232接口模块、AD转换模块4017+、ADAM 4520）</w:t>
      </w:r>
    </w:p>
    <w:p>
      <w:pPr>
        <w:pStyle w:val="21"/>
        <w:numPr>
          <w:ilvl w:val="0"/>
          <w:numId w:val="16"/>
        </w:numPr>
        <w:adjustRightInd w:val="0"/>
        <w:snapToGrid w:val="0"/>
        <w:spacing w:line="312" w:lineRule="auto"/>
        <w:ind w:left="840" w:right="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机箱电源：19寸4U工业机箱(带PS-7271B工业电源)</w:t>
      </w:r>
    </w:p>
    <w:p>
      <w:pPr>
        <w:pStyle w:val="21"/>
        <w:numPr>
          <w:ilvl w:val="0"/>
          <w:numId w:val="16"/>
        </w:numPr>
        <w:adjustRightInd w:val="0"/>
        <w:snapToGrid w:val="0"/>
        <w:spacing w:line="312" w:lineRule="auto"/>
        <w:ind w:left="840" w:right="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操作系统：预装windows 2008 server专业版</w:t>
      </w:r>
    </w:p>
    <w:p>
      <w:pPr>
        <w:pStyle w:val="21"/>
        <w:numPr>
          <w:ilvl w:val="0"/>
          <w:numId w:val="16"/>
        </w:numPr>
        <w:adjustRightInd w:val="0"/>
        <w:snapToGrid w:val="0"/>
        <w:spacing w:line="312" w:lineRule="auto"/>
        <w:ind w:left="840" w:right="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RS232九针直联线及交叉线各模拟信号连接线，能满足各子站设备连接需要。</w:t>
      </w:r>
    </w:p>
    <w:p>
      <w:pPr>
        <w:numPr>
          <w:ilvl w:val="2"/>
          <w:numId w:val="15"/>
        </w:numPr>
        <w:adjustRightInd w:val="0"/>
        <w:snapToGrid w:val="0"/>
        <w:spacing w:line="312" w:lineRule="auto"/>
        <w:ind w:left="1129"/>
        <w:rPr>
          <w:rFonts w:hint="eastAsia" w:ascii="仿宋" w:hAnsi="仿宋" w:eastAsia="仿宋" w:cs="仿宋"/>
          <w:sz w:val="24"/>
          <w:szCs w:val="24"/>
          <w:highlight w:val="none"/>
        </w:rPr>
      </w:pPr>
      <w:bookmarkStart w:id="125" w:name="_Toc11611"/>
      <w:bookmarkStart w:id="126" w:name="_Toc30215"/>
      <w:bookmarkStart w:id="127" w:name="_Toc13119"/>
      <w:r>
        <w:rPr>
          <w:rFonts w:hint="eastAsia" w:ascii="仿宋" w:hAnsi="仿宋" w:eastAsia="仿宋" w:cs="仿宋"/>
          <w:sz w:val="24"/>
          <w:szCs w:val="24"/>
          <w:highlight w:val="none"/>
        </w:rPr>
        <w:t>数据传输软件</w:t>
      </w:r>
      <w:bookmarkEnd w:id="125"/>
      <w:bookmarkEnd w:id="126"/>
      <w:bookmarkEnd w:id="127"/>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数据采集系统主要完成空气监测因子的数据采集和预处理，在子站存储空气因子、VOCs数据，上传空气数据到监控中心服务器，支持一点多传。支持子站设备状态上报，子站异常故障和紧急状态告警上报等。具体功能如下：</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1、数据采集、存储、传输</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通信协议遵循《HJ 212-2017 污染源在线监测系统数据传输标准》；支持PM2.5，PM10，SO2，NO，NOx，NO2，CO，O3、VOCs空气监测因子的数据采集和大气压力，温度，湿度，风速，风向气象监测因子数据采集；</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支持数据采集时间间隔设置功能；支持未上传成功的历史数据自动定时补传功能；</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可自动生成数据存储空间不足时的告警信息；</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支持大容量数据存储，长期存储采集数据到本地数据库；本地数据库采用开源数据库；</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支持第三方数采仪通过TCP或UDP网络通信接入，允许自动同步第三方数采仪1个月内的数据到本地数据存储空间；</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支持第三方数据库访问，提取空气监测数据，同步到本地数据库，并上传到服务器；</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支持计算机网络数据召唤，支持对第三方子站进行数据召唤；</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支持看门狗，当数采仪软件死机时，自动重启数采仪软件；</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支持至少三个服务器的“一点多传”功能。</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2、现场维护功能</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支持通过菜单对数采仪软件参数进行配置；</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数采仪软件支持对与监控中心服务器的通信过程的调测，输出调测信息，保存到本地文件。</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3、远程反控</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支持监控中心远程校时，远程查询子站系统时间；</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支持监控中心远程复位子站；支持监控中心远程关机；</w:t>
      </w:r>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支持监控中心远程更新升级数据采集软件。</w:t>
      </w:r>
    </w:p>
    <w:p>
      <w:pPr>
        <w:pStyle w:val="7"/>
        <w:adjustRightInd w:val="0"/>
        <w:snapToGrid w:val="0"/>
        <w:spacing w:before="0" w:after="0" w:line="312" w:lineRule="auto"/>
        <w:ind w:left="420"/>
        <w:rPr>
          <w:rFonts w:hint="eastAsia" w:ascii="仿宋" w:hAnsi="仿宋" w:eastAsia="仿宋" w:cs="仿宋"/>
          <w:sz w:val="24"/>
          <w:szCs w:val="24"/>
          <w:highlight w:val="none"/>
        </w:rPr>
      </w:pPr>
      <w:bookmarkStart w:id="128" w:name="_Toc15643"/>
      <w:bookmarkStart w:id="129" w:name="_Toc23739"/>
      <w:bookmarkStart w:id="130" w:name="_Toc59114236"/>
      <w:bookmarkStart w:id="131" w:name="_Toc59115806"/>
      <w:r>
        <w:rPr>
          <w:rFonts w:hint="eastAsia" w:ascii="仿宋" w:hAnsi="仿宋" w:eastAsia="仿宋" w:cs="仿宋"/>
          <w:sz w:val="24"/>
          <w:szCs w:val="24"/>
          <w:highlight w:val="none"/>
        </w:rPr>
        <w:t>1.17站房建设及配套设施</w:t>
      </w:r>
      <w:bookmarkEnd w:id="128"/>
    </w:p>
    <w:p>
      <w:pPr>
        <w:pStyle w:val="21"/>
        <w:numPr>
          <w:ilvl w:val="0"/>
          <w:numId w:val="17"/>
        </w:numPr>
        <w:adjustRightInd w:val="0"/>
        <w:snapToGrid w:val="0"/>
        <w:spacing w:line="312" w:lineRule="auto"/>
        <w:ind w:left="845" w:right="0"/>
        <w:rPr>
          <w:rFonts w:hint="eastAsia" w:ascii="仿宋" w:hAnsi="仿宋" w:eastAsia="仿宋" w:cs="仿宋"/>
          <w:sz w:val="24"/>
          <w:szCs w:val="24"/>
          <w:highlight w:val="none"/>
        </w:rPr>
      </w:pPr>
      <w:r>
        <w:rPr>
          <w:rFonts w:hint="eastAsia" w:ascii="仿宋" w:hAnsi="仿宋" w:eastAsia="仿宋" w:cs="仿宋"/>
          <w:sz w:val="24"/>
          <w:szCs w:val="24"/>
          <w:highlight w:val="none"/>
        </w:rPr>
        <w:t>新建站房面积应不少于20平方米；</w:t>
      </w:r>
    </w:p>
    <w:p>
      <w:pPr>
        <w:pStyle w:val="21"/>
        <w:numPr>
          <w:ilvl w:val="0"/>
          <w:numId w:val="17"/>
        </w:numPr>
        <w:adjustRightInd w:val="0"/>
        <w:snapToGrid w:val="0"/>
        <w:spacing w:line="312" w:lineRule="auto"/>
        <w:ind w:left="845" w:right="0"/>
        <w:rPr>
          <w:rFonts w:hint="eastAsia" w:ascii="仿宋" w:hAnsi="仿宋" w:eastAsia="仿宋" w:cs="仿宋"/>
          <w:sz w:val="24"/>
          <w:szCs w:val="24"/>
          <w:highlight w:val="none"/>
        </w:rPr>
      </w:pPr>
      <w:r>
        <w:rPr>
          <w:rFonts w:hint="eastAsia" w:ascii="仿宋" w:hAnsi="仿宋" w:eastAsia="仿宋" w:cs="仿宋"/>
          <w:sz w:val="24"/>
          <w:szCs w:val="24"/>
          <w:highlight w:val="none"/>
        </w:rPr>
        <w:t>站房需设置为平顶结构，设置必要的护栏，以保障操作人员的安全和设备维护的便利；</w:t>
      </w:r>
    </w:p>
    <w:p>
      <w:pPr>
        <w:pStyle w:val="21"/>
        <w:numPr>
          <w:ilvl w:val="0"/>
          <w:numId w:val="17"/>
        </w:numPr>
        <w:adjustRightInd w:val="0"/>
        <w:snapToGrid w:val="0"/>
        <w:spacing w:line="312" w:lineRule="auto"/>
        <w:ind w:left="845" w:right="0"/>
        <w:rPr>
          <w:rFonts w:hint="eastAsia" w:ascii="仿宋" w:hAnsi="仿宋" w:eastAsia="仿宋" w:cs="仿宋"/>
          <w:sz w:val="24"/>
          <w:szCs w:val="24"/>
          <w:highlight w:val="none"/>
        </w:rPr>
      </w:pPr>
      <w:r>
        <w:rPr>
          <w:rFonts w:hint="eastAsia" w:ascii="仿宋" w:hAnsi="仿宋" w:eastAsia="仿宋" w:cs="仿宋"/>
          <w:sz w:val="24"/>
          <w:szCs w:val="24"/>
          <w:highlight w:val="none"/>
        </w:rPr>
        <w:t>站房应为双层密封窗或无窗结构，墙体应有好的保温性能，在门与仪器房之间设置缓冲间；</w:t>
      </w:r>
    </w:p>
    <w:p>
      <w:pPr>
        <w:pStyle w:val="21"/>
        <w:numPr>
          <w:ilvl w:val="0"/>
          <w:numId w:val="17"/>
        </w:numPr>
        <w:adjustRightInd w:val="0"/>
        <w:snapToGrid w:val="0"/>
        <w:spacing w:line="312" w:lineRule="auto"/>
        <w:ind w:left="845" w:right="0"/>
        <w:rPr>
          <w:rFonts w:hint="eastAsia" w:ascii="仿宋" w:hAnsi="仿宋" w:eastAsia="仿宋" w:cs="仿宋"/>
          <w:sz w:val="24"/>
          <w:szCs w:val="24"/>
          <w:highlight w:val="none"/>
        </w:rPr>
      </w:pPr>
      <w:r>
        <w:rPr>
          <w:rFonts w:hint="eastAsia" w:ascii="仿宋" w:hAnsi="仿宋" w:eastAsia="仿宋" w:cs="仿宋"/>
          <w:sz w:val="24"/>
          <w:szCs w:val="24"/>
          <w:highlight w:val="none"/>
        </w:rPr>
        <w:t>站房供电必须采用三相供电，分相使用；站房监测仪器供电线路应独立走线；电源布设应符合国家用电相关安全要求；</w:t>
      </w:r>
    </w:p>
    <w:p>
      <w:pPr>
        <w:pStyle w:val="21"/>
        <w:numPr>
          <w:ilvl w:val="0"/>
          <w:numId w:val="17"/>
        </w:numPr>
        <w:adjustRightInd w:val="0"/>
        <w:snapToGrid w:val="0"/>
        <w:spacing w:line="312" w:lineRule="auto"/>
        <w:ind w:left="845" w:right="0"/>
        <w:rPr>
          <w:rFonts w:hint="eastAsia" w:ascii="仿宋" w:hAnsi="仿宋" w:eastAsia="仿宋" w:cs="仿宋"/>
          <w:sz w:val="24"/>
          <w:szCs w:val="24"/>
          <w:highlight w:val="none"/>
        </w:rPr>
      </w:pPr>
      <w:r>
        <w:rPr>
          <w:rFonts w:hint="eastAsia" w:ascii="仿宋" w:hAnsi="仿宋" w:eastAsia="仿宋" w:cs="仿宋"/>
          <w:sz w:val="24"/>
          <w:szCs w:val="24"/>
          <w:highlight w:val="none"/>
        </w:rPr>
        <w:t>在站房顶上设置用于固定气象传感器的气象杆或气象塔时，气象杆、塔与站房顶的垂直高度应大于 3m；</w:t>
      </w:r>
    </w:p>
    <w:p>
      <w:pPr>
        <w:pStyle w:val="21"/>
        <w:numPr>
          <w:ilvl w:val="0"/>
          <w:numId w:val="17"/>
        </w:numPr>
        <w:adjustRightInd w:val="0"/>
        <w:snapToGrid w:val="0"/>
        <w:spacing w:line="312" w:lineRule="auto"/>
        <w:ind w:left="845" w:right="0"/>
        <w:rPr>
          <w:rFonts w:hint="eastAsia" w:ascii="仿宋" w:hAnsi="仿宋" w:eastAsia="仿宋" w:cs="仿宋"/>
          <w:sz w:val="24"/>
          <w:szCs w:val="24"/>
          <w:highlight w:val="none"/>
        </w:rPr>
      </w:pPr>
      <w:r>
        <w:rPr>
          <w:rFonts w:hint="eastAsia" w:ascii="仿宋" w:hAnsi="仿宋" w:eastAsia="仿宋" w:cs="仿宋"/>
          <w:sz w:val="24"/>
          <w:szCs w:val="24"/>
          <w:highlight w:val="none"/>
        </w:rPr>
        <w:t>在站房内设置具有来电自启的冷暖空调和装带遮盖的换气扇，站房室内温度在 25℃±5℃，相对湿度控制在 80%以下；</w:t>
      </w:r>
    </w:p>
    <w:p>
      <w:pPr>
        <w:pStyle w:val="21"/>
        <w:numPr>
          <w:ilvl w:val="0"/>
          <w:numId w:val="17"/>
        </w:numPr>
        <w:adjustRightInd w:val="0"/>
        <w:snapToGrid w:val="0"/>
        <w:spacing w:line="312" w:lineRule="auto"/>
        <w:ind w:left="845" w:right="0"/>
        <w:rPr>
          <w:rFonts w:hint="eastAsia" w:ascii="仿宋" w:hAnsi="仿宋" w:eastAsia="仿宋" w:cs="仿宋"/>
          <w:sz w:val="24"/>
          <w:szCs w:val="24"/>
          <w:highlight w:val="none"/>
        </w:rPr>
      </w:pPr>
      <w:r>
        <w:rPr>
          <w:rFonts w:hint="eastAsia" w:ascii="仿宋" w:hAnsi="仿宋" w:eastAsia="仿宋" w:cs="仿宋"/>
          <w:sz w:val="24"/>
          <w:szCs w:val="24"/>
          <w:highlight w:val="none"/>
        </w:rPr>
        <w:t>站房供电系统应配有电源过压、过载和漏电保护等稳压电源装置；</w:t>
      </w:r>
    </w:p>
    <w:p>
      <w:pPr>
        <w:pStyle w:val="21"/>
        <w:numPr>
          <w:ilvl w:val="0"/>
          <w:numId w:val="17"/>
        </w:numPr>
        <w:adjustRightInd w:val="0"/>
        <w:snapToGrid w:val="0"/>
        <w:spacing w:line="312" w:lineRule="auto"/>
        <w:ind w:left="845" w:right="0"/>
        <w:rPr>
          <w:rFonts w:hint="eastAsia" w:ascii="仿宋" w:hAnsi="仿宋" w:eastAsia="仿宋" w:cs="仿宋"/>
          <w:sz w:val="24"/>
          <w:szCs w:val="24"/>
          <w:highlight w:val="none"/>
        </w:rPr>
      </w:pPr>
      <w:r>
        <w:rPr>
          <w:rFonts w:hint="eastAsia" w:ascii="仿宋" w:hAnsi="仿宋" w:eastAsia="仿宋" w:cs="仿宋"/>
          <w:sz w:val="24"/>
          <w:szCs w:val="24"/>
          <w:highlight w:val="none"/>
        </w:rPr>
        <w:t>站房需完善三级防雷装置。站房的防雷系统需覆盖包括气象杆、自动设备采样头、手工采样装置等高出房顶的设施。站房需有良好的接地线路，接地电阻&lt;4Ω，需配有二级防雷设施。</w:t>
      </w:r>
    </w:p>
    <w:p>
      <w:pPr>
        <w:pStyle w:val="21"/>
        <w:numPr>
          <w:ilvl w:val="0"/>
          <w:numId w:val="17"/>
        </w:numPr>
        <w:adjustRightInd w:val="0"/>
        <w:snapToGrid w:val="0"/>
        <w:spacing w:line="312" w:lineRule="auto"/>
        <w:ind w:left="845" w:right="0"/>
        <w:rPr>
          <w:rFonts w:hint="eastAsia" w:ascii="仿宋" w:hAnsi="仿宋" w:eastAsia="仿宋" w:cs="仿宋"/>
          <w:sz w:val="24"/>
          <w:szCs w:val="24"/>
          <w:highlight w:val="none"/>
        </w:rPr>
      </w:pPr>
      <w:r>
        <w:rPr>
          <w:rFonts w:hint="eastAsia" w:ascii="仿宋" w:hAnsi="仿宋" w:eastAsia="仿宋" w:cs="仿宋"/>
          <w:sz w:val="24"/>
          <w:szCs w:val="24"/>
          <w:highlight w:val="none"/>
        </w:rPr>
        <w:t>辅助设备：资料柜一个、办公桌椅一套。为标气统一制作标气架，确保站房整洁统一。统一按要求制作操作规程、空气自动监测站标牌等在合理位置悬挂。</w:t>
      </w:r>
    </w:p>
    <w:p>
      <w:pPr>
        <w:pStyle w:val="21"/>
        <w:numPr>
          <w:ilvl w:val="0"/>
          <w:numId w:val="17"/>
        </w:numPr>
        <w:adjustRightInd w:val="0"/>
        <w:snapToGrid w:val="0"/>
        <w:spacing w:line="312" w:lineRule="auto"/>
        <w:ind w:left="845" w:right="0"/>
        <w:rPr>
          <w:rFonts w:hint="eastAsia" w:ascii="仿宋" w:hAnsi="仿宋" w:eastAsia="仿宋" w:cs="仿宋"/>
          <w:sz w:val="24"/>
          <w:szCs w:val="24"/>
          <w:highlight w:val="none"/>
        </w:rPr>
      </w:pPr>
      <w:r>
        <w:rPr>
          <w:rFonts w:hint="eastAsia" w:ascii="仿宋" w:hAnsi="仿宋" w:eastAsia="仿宋" w:cs="仿宋"/>
          <w:sz w:val="24"/>
          <w:szCs w:val="24"/>
          <w:highlight w:val="none"/>
        </w:rPr>
        <w:t>每个站房应具备内部设施明细如下：</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2531"/>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83" w:type="dxa"/>
            <w:vAlign w:val="center"/>
          </w:tcPr>
          <w:p>
            <w:pPr>
              <w:adjustRightInd w:val="0"/>
              <w:snapToGrid w:val="0"/>
              <w:spacing w:line="312"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531" w:type="dxa"/>
            <w:vAlign w:val="center"/>
          </w:tcPr>
          <w:p>
            <w:pPr>
              <w:adjustRightInd w:val="0"/>
              <w:snapToGrid w:val="0"/>
              <w:spacing w:line="312"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名称</w:t>
            </w:r>
          </w:p>
        </w:tc>
        <w:tc>
          <w:tcPr>
            <w:tcW w:w="4485" w:type="dxa"/>
            <w:vAlign w:val="center"/>
          </w:tcPr>
          <w:p>
            <w:pPr>
              <w:adjustRightInd w:val="0"/>
              <w:snapToGrid w:val="0"/>
              <w:spacing w:line="312"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83"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31"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换气扇</w:t>
            </w:r>
          </w:p>
        </w:tc>
        <w:tc>
          <w:tcPr>
            <w:tcW w:w="4485"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83"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531"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空调</w:t>
            </w:r>
          </w:p>
        </w:tc>
        <w:tc>
          <w:tcPr>
            <w:tcW w:w="4485"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83"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531"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桌、椅</w:t>
            </w:r>
          </w:p>
        </w:tc>
        <w:tc>
          <w:tcPr>
            <w:tcW w:w="4485"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83"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531"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除湿机</w:t>
            </w:r>
          </w:p>
        </w:tc>
        <w:tc>
          <w:tcPr>
            <w:tcW w:w="4485"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83"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531"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灭火器</w:t>
            </w:r>
          </w:p>
        </w:tc>
        <w:tc>
          <w:tcPr>
            <w:tcW w:w="4485"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83"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531"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UPS</w:t>
            </w:r>
          </w:p>
        </w:tc>
        <w:tc>
          <w:tcPr>
            <w:tcW w:w="4485" w:type="dxa"/>
            <w:vAlign w:val="center"/>
          </w:tcPr>
          <w:p>
            <w:pPr>
              <w:adjustRightInd w:val="0"/>
              <w:snapToGrid w:val="0"/>
              <w:spacing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1/套</w:t>
            </w:r>
          </w:p>
        </w:tc>
      </w:tr>
    </w:tbl>
    <w:p>
      <w:pPr>
        <w:pStyle w:val="7"/>
        <w:adjustRightInd w:val="0"/>
        <w:snapToGrid w:val="0"/>
        <w:spacing w:before="0" w:after="0" w:line="312" w:lineRule="auto"/>
        <w:ind w:left="420"/>
        <w:rPr>
          <w:rFonts w:hint="eastAsia" w:ascii="仿宋" w:hAnsi="仿宋" w:eastAsia="仿宋" w:cs="仿宋"/>
          <w:sz w:val="24"/>
          <w:szCs w:val="24"/>
          <w:highlight w:val="none"/>
        </w:rPr>
      </w:pPr>
      <w:bookmarkStart w:id="132" w:name="_Toc7669"/>
      <w:r>
        <w:rPr>
          <w:rFonts w:hint="eastAsia" w:ascii="仿宋" w:hAnsi="仿宋" w:eastAsia="仿宋" w:cs="仿宋"/>
          <w:sz w:val="24"/>
          <w:szCs w:val="24"/>
          <w:highlight w:val="none"/>
        </w:rPr>
        <w:t>1.8通讯网络</w:t>
      </w:r>
      <w:bookmarkEnd w:id="129"/>
      <w:bookmarkEnd w:id="132"/>
    </w:p>
    <w:p>
      <w:pPr>
        <w:pStyle w:val="21"/>
        <w:adjustRightInd w:val="0"/>
        <w:snapToGrid w:val="0"/>
        <w:spacing w:line="312" w:lineRule="auto"/>
        <w:ind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为新建空气站配备至少4M光纤网络，光纤宽带初装费和一年的使用费，纳入投标报价。保障数据传输的及时性和稳定性。</w:t>
      </w:r>
      <w:bookmarkEnd w:id="130"/>
      <w:bookmarkEnd w:id="131"/>
      <w:bookmarkStart w:id="133" w:name="_Toc27350"/>
      <w:bookmarkEnd w:id="133"/>
    </w:p>
    <w:p>
      <w:pPr>
        <w:topLinePunct/>
        <w:adjustRightInd w:val="0"/>
        <w:snapToGrid w:val="0"/>
        <w:spacing w:line="312" w:lineRule="auto"/>
        <w:ind w:firstLine="482" w:firstLineChars="200"/>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二、商务要求</w:t>
      </w:r>
      <w:bookmarkEnd w:id="60"/>
      <w:bookmarkEnd w:id="61"/>
    </w:p>
    <w:p>
      <w:pPr>
        <w:wordWrap w:val="0"/>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1.中标内容及金额：即中标人的投标内容、现场澄清确认内容（若有）及其中标总金额。</w:t>
      </w:r>
    </w:p>
    <w:p>
      <w:pPr>
        <w:wordWrap w:val="0"/>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2.交货期：合同签订生效后120天内需要交货完毕、安装调试完成。</w:t>
      </w:r>
    </w:p>
    <w:p>
      <w:pPr>
        <w:wordWrap w:val="0"/>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3.质保期：质保期12个月</w:t>
      </w:r>
    </w:p>
    <w:p>
      <w:pPr>
        <w:wordWrap w:val="0"/>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4.交货地点：采购单位指定地点。</w:t>
      </w:r>
    </w:p>
    <w:p>
      <w:pPr>
        <w:wordWrap w:val="0"/>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5、服务标准、期限、效率等要求</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5.1运维服务范围</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购买的所有设备，包括基础设施的日常维护、质量控制、故障维修、年度检修、检定等，以及电费、数据传输等费用。</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5.2运维服务期限</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验收合格起1年。</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5.3运维要求</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运行维护主要依据《环境空气质量监测规范（试行）》、《国家环境空气质量监测城市自动监测站运行管理暂行规定》（总站气字[2013]41号）等国家相关文件和技术规范有关要求。根据规范、规定要求进行监测站在线监测系统监测点管理及站点仪器运维服务工作。</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承担站点日常运行和维护及详细的预防性检修工作，包括人工、消耗件、备品备件，并包括季度和年度定期维护。</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承担因仪器正常使用、非外界不可抗力而发生突发性故障进行针对性维护工作，包括人工、耗材和备品备件。</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在项目所在地设立常驻的维护站点，建立所维护范围设备的备品备件库，派遣1名合格工作人员全日制从事本项目自动监测系统的日常运行和维护，并保证法定节假日期间系统的正常运行。</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建立定期会商报告制度，原则上每个星期一下午汇报系统上周运行情况，并提交上周的维护台帐记录。</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建立自动站全托管运行维护制度，建立文件化的日常运行体系。</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运维单位对运维目标、运维内容（包括但不限于远程监控，巡检、维护的内容与频次，零部件的清洁与更换，校准等）、仪器故障解决方案、记录表格的填写等方面提供详细运维计划。</w:t>
      </w:r>
    </w:p>
    <w:tbl>
      <w:tblPr>
        <w:tblStyle w:val="47"/>
        <w:tblW w:w="0" w:type="auto"/>
        <w:jc w:val="center"/>
        <w:tblLayout w:type="fixed"/>
        <w:tblCellMar>
          <w:top w:w="0" w:type="dxa"/>
          <w:left w:w="108" w:type="dxa"/>
          <w:bottom w:w="0" w:type="dxa"/>
          <w:right w:w="108" w:type="dxa"/>
        </w:tblCellMar>
      </w:tblPr>
      <w:tblGrid>
        <w:gridCol w:w="7023"/>
        <w:gridCol w:w="1923"/>
      </w:tblGrid>
      <w:tr>
        <w:tblPrEx>
          <w:tblCellMar>
            <w:top w:w="0" w:type="dxa"/>
            <w:left w:w="108" w:type="dxa"/>
            <w:bottom w:w="0" w:type="dxa"/>
            <w:right w:w="108" w:type="dxa"/>
          </w:tblCellMar>
        </w:tblPrEx>
        <w:trPr>
          <w:trHeight w:val="405" w:hRule="atLeast"/>
          <w:jc w:val="center"/>
        </w:trPr>
        <w:tc>
          <w:tcPr>
            <w:tcW w:w="7023" w:type="dxa"/>
            <w:tcBorders>
              <w:top w:val="single" w:color="auto" w:sz="4" w:space="0"/>
              <w:left w:val="single" w:color="auto" w:sz="4" w:space="0"/>
              <w:bottom w:val="single" w:color="auto" w:sz="4" w:space="0"/>
              <w:right w:val="single" w:color="auto" w:sz="4" w:space="0"/>
            </w:tcBorders>
            <w:shd w:val="clear" w:color="000000" w:fill="FFFFFF"/>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全托管运维服务内容</w:t>
            </w:r>
          </w:p>
        </w:tc>
        <w:tc>
          <w:tcPr>
            <w:tcW w:w="1923" w:type="dxa"/>
            <w:tcBorders>
              <w:top w:val="single" w:color="auto" w:sz="4" w:space="0"/>
              <w:left w:val="single" w:color="auto" w:sz="4" w:space="0"/>
              <w:bottom w:val="single" w:color="auto" w:sz="4" w:space="0"/>
              <w:right w:val="single" w:color="auto" w:sz="4" w:space="0"/>
            </w:tcBorders>
            <w:shd w:val="clear" w:color="000000" w:fill="FFFFFF"/>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频次</w:t>
            </w:r>
          </w:p>
        </w:tc>
      </w:tr>
      <w:tr>
        <w:tblPrEx>
          <w:tblCellMar>
            <w:top w:w="0" w:type="dxa"/>
            <w:left w:w="108" w:type="dxa"/>
            <w:bottom w:w="0" w:type="dxa"/>
            <w:right w:w="108" w:type="dxa"/>
          </w:tblCellMar>
        </w:tblPrEx>
        <w:trPr>
          <w:trHeight w:val="405" w:hRule="atLeast"/>
          <w:jc w:val="center"/>
        </w:trPr>
        <w:tc>
          <w:tcPr>
            <w:tcW w:w="7023" w:type="dxa"/>
            <w:tcBorders>
              <w:top w:val="single" w:color="auto" w:sz="4" w:space="0"/>
              <w:left w:val="single" w:color="auto" w:sz="4" w:space="0"/>
              <w:bottom w:val="single" w:color="auto" w:sz="4" w:space="0"/>
              <w:right w:val="single" w:color="auto" w:sz="4" w:space="0"/>
            </w:tcBorders>
            <w:shd w:val="clear" w:color="000000" w:fill="FFFFFF"/>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有专人负责运维服务，确保响应到岗时间&lt;2小时</w:t>
            </w:r>
          </w:p>
        </w:tc>
        <w:tc>
          <w:tcPr>
            <w:tcW w:w="1923" w:type="dxa"/>
            <w:tcBorders>
              <w:top w:val="single" w:color="auto" w:sz="4" w:space="0"/>
              <w:left w:val="single" w:color="auto" w:sz="4" w:space="0"/>
              <w:bottom w:val="single" w:color="auto" w:sz="4" w:space="0"/>
              <w:right w:val="single" w:color="auto" w:sz="4" w:space="0"/>
            </w:tcBorders>
            <w:shd w:val="clear" w:color="000000" w:fill="FFFFFF"/>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p>
        </w:tc>
      </w:tr>
      <w:tr>
        <w:tblPrEx>
          <w:tblCellMar>
            <w:top w:w="0" w:type="dxa"/>
            <w:left w:w="108" w:type="dxa"/>
            <w:bottom w:w="0" w:type="dxa"/>
            <w:right w:w="108" w:type="dxa"/>
          </w:tblCellMar>
        </w:tblPrEx>
        <w:trPr>
          <w:trHeight w:val="270" w:hRule="atLeast"/>
          <w:jc w:val="center"/>
        </w:trPr>
        <w:tc>
          <w:tcPr>
            <w:tcW w:w="70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仪器运行工况检查；</w:t>
            </w:r>
          </w:p>
        </w:tc>
        <w:tc>
          <w:tcPr>
            <w:tcW w:w="19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1次/周</w:t>
            </w:r>
          </w:p>
        </w:tc>
      </w:tr>
      <w:tr>
        <w:tblPrEx>
          <w:tblCellMar>
            <w:top w:w="0" w:type="dxa"/>
            <w:left w:w="108" w:type="dxa"/>
            <w:bottom w:w="0" w:type="dxa"/>
            <w:right w:w="108" w:type="dxa"/>
          </w:tblCellMar>
        </w:tblPrEx>
        <w:trPr>
          <w:trHeight w:val="255" w:hRule="atLeast"/>
          <w:jc w:val="center"/>
        </w:trPr>
        <w:tc>
          <w:tcPr>
            <w:tcW w:w="70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进样管路清洗、过滤器清洗，反吹维护；</w:t>
            </w:r>
          </w:p>
        </w:tc>
        <w:tc>
          <w:tcPr>
            <w:tcW w:w="19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1次/季度</w:t>
            </w:r>
          </w:p>
        </w:tc>
      </w:tr>
      <w:tr>
        <w:tblPrEx>
          <w:tblCellMar>
            <w:top w:w="0" w:type="dxa"/>
            <w:left w:w="108" w:type="dxa"/>
            <w:bottom w:w="0" w:type="dxa"/>
            <w:right w:w="108" w:type="dxa"/>
          </w:tblCellMar>
        </w:tblPrEx>
        <w:trPr>
          <w:trHeight w:val="255" w:hRule="atLeast"/>
          <w:jc w:val="center"/>
        </w:trPr>
        <w:tc>
          <w:tcPr>
            <w:tcW w:w="70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仪器性能状态、分辨率、响应强度、质量轴校正；</w:t>
            </w:r>
          </w:p>
        </w:tc>
        <w:tc>
          <w:tcPr>
            <w:tcW w:w="19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1次/季度</w:t>
            </w:r>
          </w:p>
        </w:tc>
      </w:tr>
      <w:tr>
        <w:tblPrEx>
          <w:tblCellMar>
            <w:top w:w="0" w:type="dxa"/>
            <w:left w:w="108" w:type="dxa"/>
            <w:bottom w:w="0" w:type="dxa"/>
            <w:right w:w="108" w:type="dxa"/>
          </w:tblCellMar>
        </w:tblPrEx>
        <w:trPr>
          <w:trHeight w:val="255" w:hRule="atLeast"/>
          <w:jc w:val="center"/>
        </w:trPr>
        <w:tc>
          <w:tcPr>
            <w:tcW w:w="70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仪器重新校准，标准曲线更新；</w:t>
            </w:r>
          </w:p>
        </w:tc>
        <w:tc>
          <w:tcPr>
            <w:tcW w:w="19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1次/季度</w:t>
            </w:r>
          </w:p>
        </w:tc>
      </w:tr>
      <w:tr>
        <w:tblPrEx>
          <w:tblCellMar>
            <w:top w:w="0" w:type="dxa"/>
            <w:left w:w="108" w:type="dxa"/>
            <w:bottom w:w="0" w:type="dxa"/>
            <w:right w:w="108" w:type="dxa"/>
          </w:tblCellMar>
        </w:tblPrEx>
        <w:trPr>
          <w:trHeight w:val="255" w:hRule="atLeast"/>
          <w:jc w:val="center"/>
        </w:trPr>
        <w:tc>
          <w:tcPr>
            <w:tcW w:w="70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灯丝、检测器等耗材更换；</w:t>
            </w:r>
          </w:p>
        </w:tc>
        <w:tc>
          <w:tcPr>
            <w:tcW w:w="19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1次/年</w:t>
            </w:r>
          </w:p>
        </w:tc>
      </w:tr>
      <w:tr>
        <w:tblPrEx>
          <w:tblCellMar>
            <w:top w:w="0" w:type="dxa"/>
            <w:left w:w="108" w:type="dxa"/>
            <w:bottom w:w="0" w:type="dxa"/>
            <w:right w:w="108" w:type="dxa"/>
          </w:tblCellMar>
        </w:tblPrEx>
        <w:trPr>
          <w:trHeight w:val="255" w:hRule="atLeast"/>
          <w:jc w:val="center"/>
        </w:trPr>
        <w:tc>
          <w:tcPr>
            <w:tcW w:w="70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系统其他单元维护（如站房清洁，大气采样管清洗等）</w:t>
            </w:r>
          </w:p>
        </w:tc>
        <w:tc>
          <w:tcPr>
            <w:tcW w:w="19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2次/年</w:t>
            </w:r>
          </w:p>
        </w:tc>
      </w:tr>
      <w:tr>
        <w:tblPrEx>
          <w:tblCellMar>
            <w:top w:w="0" w:type="dxa"/>
            <w:left w:w="108" w:type="dxa"/>
            <w:bottom w:w="0" w:type="dxa"/>
            <w:right w:w="108" w:type="dxa"/>
          </w:tblCellMar>
        </w:tblPrEx>
        <w:trPr>
          <w:trHeight w:val="255" w:hRule="atLeast"/>
          <w:jc w:val="center"/>
        </w:trPr>
        <w:tc>
          <w:tcPr>
            <w:tcW w:w="70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仪器故障维修</w:t>
            </w:r>
          </w:p>
        </w:tc>
        <w:tc>
          <w:tcPr>
            <w:tcW w:w="19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根据需要</w:t>
            </w:r>
          </w:p>
        </w:tc>
      </w:tr>
      <w:tr>
        <w:tblPrEx>
          <w:tblCellMar>
            <w:top w:w="0" w:type="dxa"/>
            <w:left w:w="108" w:type="dxa"/>
            <w:bottom w:w="0" w:type="dxa"/>
            <w:right w:w="108" w:type="dxa"/>
          </w:tblCellMar>
        </w:tblPrEx>
        <w:trPr>
          <w:trHeight w:val="255" w:hRule="atLeast"/>
          <w:jc w:val="center"/>
        </w:trPr>
        <w:tc>
          <w:tcPr>
            <w:tcW w:w="70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日报和突发事故应急报</w:t>
            </w:r>
          </w:p>
        </w:tc>
        <w:tc>
          <w:tcPr>
            <w:tcW w:w="19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根据需要</w:t>
            </w:r>
          </w:p>
        </w:tc>
      </w:tr>
      <w:tr>
        <w:tblPrEx>
          <w:tblCellMar>
            <w:top w:w="0" w:type="dxa"/>
            <w:left w:w="108" w:type="dxa"/>
            <w:bottom w:w="0" w:type="dxa"/>
            <w:right w:w="108" w:type="dxa"/>
          </w:tblCellMar>
        </w:tblPrEx>
        <w:trPr>
          <w:trHeight w:val="255" w:hRule="atLeast"/>
          <w:jc w:val="center"/>
        </w:trPr>
        <w:tc>
          <w:tcPr>
            <w:tcW w:w="70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月报、年报</w:t>
            </w:r>
          </w:p>
        </w:tc>
        <w:tc>
          <w:tcPr>
            <w:tcW w:w="19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必须</w:t>
            </w:r>
          </w:p>
        </w:tc>
      </w:tr>
      <w:tr>
        <w:tblPrEx>
          <w:tblCellMar>
            <w:top w:w="0" w:type="dxa"/>
            <w:left w:w="108" w:type="dxa"/>
            <w:bottom w:w="0" w:type="dxa"/>
            <w:right w:w="108" w:type="dxa"/>
          </w:tblCellMar>
        </w:tblPrEx>
        <w:trPr>
          <w:trHeight w:val="393" w:hRule="atLeast"/>
          <w:jc w:val="center"/>
        </w:trPr>
        <w:tc>
          <w:tcPr>
            <w:tcW w:w="70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其他（如档案，日常运行记录等）</w:t>
            </w:r>
          </w:p>
        </w:tc>
        <w:tc>
          <w:tcPr>
            <w:tcW w:w="19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1次/周</w:t>
            </w:r>
          </w:p>
        </w:tc>
      </w:tr>
    </w:tbl>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5.4质量控制</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质控工作至少包含但不仅限于以下内容：</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1）每天一次远程系统运行状态检查；</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2）每周一次零点、标点检查或校准，并做好记录；</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3）每周一次现场维护，检查载气、标气使用情况，更换耗材等；</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4）每季度一次进行仪器的多点标定；</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5）每半年一次流量检查，使用可追溯标准流量计；</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6）每年系统大维护；</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7）仪器维修更换重要部件（如检测器和切换阀等）后要进行多点线性校准。</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5.5应急管理</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出现监测数据异常、仪器故障或通讯故障，正常工作日应在6小时内、节假日应在12小时内到达子站处理故障并将信息反馈业主方；故障严重不能及时解决时，应关闭故障仪器的数据采集通道并告知业主方。如不能在48小时内排除故障，应更换备机，故障设备运回业主方，并负责维修仪器，故障设备应及时修复，并做好相应的仪器质控工作和维修记录。如因自身技术能力不足无法修复仪器，需委托仪器生产厂商服务的，运维单位须负责相关费用。</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5.6维修管理</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在质保期内，仪器故障由运维单位负责修复，按照售后服务技术要求处理，维修过程中发现问题应及时向业主方汇报。</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5.7数据审核</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按照《国家生态环境部办公室关于加强挥发性有机物监测工作的通知》（环办【2020】335号）的要求，自动监测数据与上级监测单位进行联网，按要求开展数据审核、分析与评估。在臭氧污染高发季节，于每周三前完成上一周的自动监测数据审核。每月开展VOCs监测结果评估分析，编制分析报告。</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5.8售后服务要求：质保期12个月</w:t>
      </w:r>
    </w:p>
    <w:p>
      <w:pPr>
        <w:topLinePunct/>
        <w:adjustRightInd w:val="0"/>
        <w:snapToGrid w:val="0"/>
        <w:spacing w:line="312"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6.结算方式</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6.1结算单位：采购人结算，结算前中标人须开具等额发票给采购人。</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6.2付款方式：</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银行转帐；合同签订后支付合同价的40%作为预付款，建设项目验收后支付合同的60%。</w:t>
      </w:r>
    </w:p>
    <w:p>
      <w:pPr>
        <w:topLinePunct/>
        <w:adjustRightInd w:val="0"/>
        <w:snapToGrid w:val="0"/>
        <w:spacing w:line="312"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7.验收标准</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7.1所供产品的规格、数量符合采购文件供应商投标承诺及采购合同约定的要求。</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7.2所有产品均已运输至指定地点，并安装调试完毕。</w:t>
      </w:r>
    </w:p>
    <w:p>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7.3采购文件供应商投标承诺及采购合同约定的附件、工具、技术资料等齐全；提供产品使用说明书、合格证。</w:t>
      </w:r>
    </w:p>
    <w:p>
      <w:pPr>
        <w:topLinePunct/>
        <w:adjustRightInd w:val="0"/>
        <w:snapToGrid w:val="0"/>
        <w:spacing w:line="312"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8.知识产权</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8.1供应商应保证投标货物及服务不会出现因第三方提出侵犯其专利权、商标权或其它知识产权而引发法律或经济纠纷，否则由供应商承担全部责任。任何被供应商用于未经授权的商业目的行为所造成的违约或侵权责任由供应商承但。</w:t>
      </w:r>
    </w:p>
    <w:p>
      <w:pPr>
        <w:topLinePunct/>
        <w:adjustRightInd w:val="0"/>
        <w:snapToGrid w:val="0"/>
        <w:spacing w:line="312"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9.违约责任</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9.1按《合同法》中的相关条款执行。</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9.2中标人未按合同要求提供货物与服务或货物与服务质量不能满足合同要求，且在规定时间内未使采购人满意的，采购人有权在对其支付的货物款项中进行违约扣除，必要时可以终止采购合同并上报同级监管部门。</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1、供应商制作投标文件“技术及商务响应偏离表”时，应对本部分“技术要求与商务要求”逐项响应，否则视为无效文件，格式及要求见第六部分。</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本部分内容中的产品技术性能指标及服务要求，为最低采购指标及服务要求，供应商提供等于或优于最低指标的产品设备及服务要求，若提供的产品设备及服务要求低于最低指标及服务要求的，按照下列方式处理：</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1）若“评分要素一览表”设置了负偏离扣分项的，按照评分标准进行扣分，不属于废标项。</w:t>
      </w:r>
    </w:p>
    <w:p>
      <w:pPr>
        <w:topLinePunct/>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2）若“评分要素一览表”未设置负偏离扣分项的，视为不允许负偏离，在此情况下，发生负偏离的视为未实质性响应招标文件。</w:t>
      </w:r>
    </w:p>
    <w:p>
      <w:pP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pPr>
        <w:spacing w:line="360" w:lineRule="auto"/>
        <w:jc w:val="center"/>
        <w:outlineLvl w:val="0"/>
        <w:rPr>
          <w:rFonts w:hint="eastAsia" w:ascii="仿宋" w:hAnsi="仿宋" w:eastAsia="仿宋" w:cs="仿宋"/>
          <w:b/>
          <w:sz w:val="36"/>
          <w:szCs w:val="36"/>
          <w:highlight w:val="none"/>
        </w:rPr>
      </w:pPr>
      <w:bookmarkStart w:id="134" w:name="_Toc532377915"/>
      <w:bookmarkStart w:id="135" w:name="_Toc528079671"/>
      <w:bookmarkStart w:id="136" w:name="_Toc31685"/>
      <w:bookmarkStart w:id="137" w:name="_Toc14614"/>
      <w:bookmarkStart w:id="138" w:name="_Toc5871952"/>
      <w:bookmarkStart w:id="139" w:name="_Toc527921948"/>
      <w:bookmarkStart w:id="140" w:name="_Toc29886054"/>
      <w:bookmarkStart w:id="141" w:name="_Toc3995046"/>
      <w:bookmarkStart w:id="142" w:name="_Toc42251764"/>
      <w:bookmarkStart w:id="143" w:name="_Toc44665074"/>
      <w:r>
        <w:rPr>
          <w:rFonts w:hint="eastAsia" w:ascii="仿宋" w:hAnsi="仿宋" w:eastAsia="仿宋" w:cs="仿宋"/>
          <w:b/>
          <w:sz w:val="36"/>
          <w:szCs w:val="36"/>
          <w:highlight w:val="none"/>
        </w:rPr>
        <w:t>第四部分 评标方法</w:t>
      </w:r>
      <w:bookmarkEnd w:id="134"/>
      <w:bookmarkEnd w:id="135"/>
      <w:bookmarkEnd w:id="136"/>
      <w:bookmarkEnd w:id="137"/>
      <w:bookmarkEnd w:id="138"/>
      <w:bookmarkEnd w:id="139"/>
      <w:bookmarkEnd w:id="140"/>
      <w:bookmarkEnd w:id="141"/>
      <w:bookmarkEnd w:id="142"/>
      <w:bookmarkEnd w:id="143"/>
    </w:p>
    <w:p>
      <w:pPr>
        <w:wordWrap w:val="0"/>
        <w:topLinePunct/>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1．评标方法及程序</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按照投标响应文件初审、澄清有关问题、比较与评价、推荐成交候选供应商名单的工作程序进行评标。</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（1）投标响应文件初审</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初审分为资格性检查和符合性检查。</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（2）澄清有关问题</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（3）评标价格的确定</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经初审合格的投标，为有效投标。对于所有有效投标按照以下规则进行评标价格的确定。</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（4）公开招标</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（5）比较与评价</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对所有有效投标文件进行了报价确认之后，由招标小组各成员按照下列《评标因素及权重分解表》规定的内容独立进行综合比较、评价打分。 </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（6）推荐成交候选供应商名单</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汇总全体评委对每个供应商的赋分，计算出每个供应商的综合得分，按从高到低依次排序，推荐前3名为成交候选人。 </w:t>
      </w:r>
    </w:p>
    <w:p>
      <w:pPr>
        <w:wordWrap w:val="0"/>
        <w:topLinePunct/>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2、初审</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初审分为资格性审查和符合性审查：</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1）采购人对供应商的资格性证明文件进行审查，资格性审查合格的供应商将进行符合性审查阶段，资格性审查表不合格的或存在争议的供应商经评标委员会确认后按投标人须知正文23.4执行，资格审查内容如下：</w:t>
      </w:r>
    </w:p>
    <w:p>
      <w:pPr>
        <w:pStyle w:val="3"/>
        <w:pageBreakBefore w:val="0"/>
        <w:kinsoku/>
        <w:bidi w:val="0"/>
        <w:snapToGrid/>
        <w:ind w:left="0" w:leftChars="0" w:right="0" w:firstLine="0" w:firstLineChars="0"/>
        <w:rPr>
          <w:rFonts w:hint="eastAsia" w:ascii="仿宋" w:hAnsi="仿宋" w:eastAsia="仿宋" w:cs="仿宋"/>
          <w:b/>
          <w:bCs/>
          <w:snapToGrid w:val="0"/>
          <w:color w:val="000000"/>
          <w:spacing w:val="0"/>
          <w:kern w:val="0"/>
          <w:position w:val="0"/>
          <w:sz w:val="28"/>
          <w:szCs w:val="28"/>
          <w:highlight w:val="none"/>
          <w:lang w:val="en-US" w:eastAsia="zh-CN"/>
        </w:rPr>
      </w:pPr>
      <w:r>
        <w:rPr>
          <w:rFonts w:hint="eastAsia" w:ascii="仿宋" w:hAnsi="仿宋" w:eastAsia="仿宋" w:cs="仿宋"/>
          <w:b/>
          <w:bCs/>
          <w:snapToGrid w:val="0"/>
          <w:color w:val="000000"/>
          <w:spacing w:val="0"/>
          <w:kern w:val="0"/>
          <w:position w:val="0"/>
          <w:sz w:val="28"/>
          <w:szCs w:val="28"/>
          <w:highlight w:val="none"/>
          <w:lang w:val="en-US" w:eastAsia="zh-CN"/>
        </w:rPr>
        <w:t>资格审查标准</w:t>
      </w:r>
    </w:p>
    <w:p>
      <w:pPr>
        <w:keepNext w:val="0"/>
        <w:keepLines w:val="0"/>
        <w:pageBreakBefore w:val="0"/>
        <w:widowControl w:val="0"/>
        <w:kinsoku/>
        <w:wordWrap/>
        <w:overflowPunct/>
        <w:topLinePunct w:val="0"/>
        <w:autoSpaceDE w:val="0"/>
        <w:autoSpaceDN w:val="0"/>
        <w:bidi w:val="0"/>
        <w:adjustRightInd w:val="0"/>
        <w:snapToGrid/>
        <w:spacing w:line="14" w:lineRule="auto"/>
        <w:ind w:left="0" w:leftChars="0" w:right="0"/>
        <w:textAlignment w:val="baseline"/>
        <w:rPr>
          <w:rFonts w:hint="eastAsia" w:ascii="仿宋" w:hAnsi="仿宋" w:eastAsia="仿宋" w:cs="仿宋"/>
          <w:spacing w:val="0"/>
          <w:position w:val="0"/>
          <w:sz w:val="2"/>
          <w:highlight w:val="none"/>
        </w:rPr>
      </w:pPr>
    </w:p>
    <w:tbl>
      <w:tblPr>
        <w:tblStyle w:val="341"/>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565"/>
        <w:gridCol w:w="6169"/>
        <w:gridCol w:w="1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67" w:type="dxa"/>
            <w:noWrap w:val="0"/>
            <w:textDirection w:val="tbRlV"/>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序 号</w:t>
            </w:r>
          </w:p>
        </w:tc>
        <w:tc>
          <w:tcPr>
            <w:tcW w:w="15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审查项</w:t>
            </w:r>
          </w:p>
        </w:tc>
        <w:tc>
          <w:tcPr>
            <w:tcW w:w="616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资格证明文件及要求</w:t>
            </w:r>
          </w:p>
        </w:tc>
        <w:tc>
          <w:tcPr>
            <w:tcW w:w="11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审查</w:t>
            </w:r>
          </w:p>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76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1</w:t>
            </w:r>
          </w:p>
        </w:tc>
        <w:tc>
          <w:tcPr>
            <w:tcW w:w="15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lang w:eastAsia="zh-CN"/>
              </w:rPr>
              <w:t>供应商</w:t>
            </w:r>
            <w:r>
              <w:rPr>
                <w:rFonts w:hint="eastAsia" w:ascii="仿宋" w:hAnsi="仿宋" w:eastAsia="仿宋" w:cs="仿宋"/>
                <w:spacing w:val="0"/>
                <w:position w:val="0"/>
                <w:sz w:val="23"/>
                <w:szCs w:val="23"/>
                <w:highlight w:val="none"/>
              </w:rPr>
              <w:t>注册证照</w:t>
            </w:r>
          </w:p>
        </w:tc>
        <w:tc>
          <w:tcPr>
            <w:tcW w:w="616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具有独立承担民事责任能力的法人、其他组织或自然人，并出具合法有效的统一社会信用代码的营业执照或事业单位法人证书等国家规定的相关证明，自然人参与的提供其身份证明</w:t>
            </w:r>
          </w:p>
        </w:tc>
        <w:tc>
          <w:tcPr>
            <w:tcW w:w="11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合法</w:t>
            </w:r>
          </w:p>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6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2</w:t>
            </w:r>
          </w:p>
        </w:tc>
        <w:tc>
          <w:tcPr>
            <w:tcW w:w="15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投标人代表 身份证明</w:t>
            </w:r>
          </w:p>
        </w:tc>
        <w:tc>
          <w:tcPr>
            <w:tcW w:w="616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法定代表人授权书及被授权人身份证（法人参加只需提供身份证原件）</w:t>
            </w:r>
          </w:p>
        </w:tc>
        <w:tc>
          <w:tcPr>
            <w:tcW w:w="11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rightChars="0" w:firstLine="0" w:firstLineChars="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合法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6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val="en-US" w:eastAsia="zh-CN"/>
              </w:rPr>
            </w:pPr>
            <w:r>
              <w:rPr>
                <w:rFonts w:hint="eastAsia" w:ascii="仿宋" w:hAnsi="仿宋" w:eastAsia="仿宋" w:cs="仿宋"/>
                <w:spacing w:val="0"/>
                <w:position w:val="0"/>
                <w:sz w:val="23"/>
                <w:szCs w:val="23"/>
                <w:highlight w:val="none"/>
                <w:lang w:val="en-US" w:eastAsia="zh-CN"/>
              </w:rPr>
              <w:t>3</w:t>
            </w:r>
          </w:p>
        </w:tc>
        <w:tc>
          <w:tcPr>
            <w:tcW w:w="15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财务状况报告</w:t>
            </w:r>
          </w:p>
        </w:tc>
        <w:tc>
          <w:tcPr>
            <w:tcW w:w="616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提供上一年度的财务审计报告（至少包括资产负债表和利润表，成立时间至提交投标文件截止时间不足一年的可提供成立后任意时段的资产负债表），或提供投标截止时间前三个月内其基本开户银行出具的资信证明及基本账户开户许可证或政府采购信用担保机构出具的担保函</w:t>
            </w:r>
          </w:p>
        </w:tc>
        <w:tc>
          <w:tcPr>
            <w:tcW w:w="11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6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val="en-US" w:eastAsia="zh-CN"/>
              </w:rPr>
            </w:pPr>
            <w:r>
              <w:rPr>
                <w:rFonts w:hint="eastAsia" w:ascii="仿宋" w:hAnsi="仿宋" w:eastAsia="仿宋" w:cs="仿宋"/>
                <w:spacing w:val="0"/>
                <w:position w:val="0"/>
                <w:sz w:val="23"/>
                <w:szCs w:val="23"/>
                <w:highlight w:val="none"/>
                <w:lang w:val="en-US" w:eastAsia="zh-CN"/>
              </w:rPr>
              <w:t>4</w:t>
            </w:r>
          </w:p>
        </w:tc>
        <w:tc>
          <w:tcPr>
            <w:tcW w:w="15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税收缴纳证明</w:t>
            </w:r>
          </w:p>
        </w:tc>
        <w:tc>
          <w:tcPr>
            <w:tcW w:w="616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提供已缴纳的本年度连续三个月的缴税凭证，依法免税的应提供相关文件证明</w:t>
            </w:r>
          </w:p>
        </w:tc>
        <w:tc>
          <w:tcPr>
            <w:tcW w:w="11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rightChars="0" w:firstLine="0" w:firstLineChars="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合法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6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val="en-US" w:eastAsia="zh-CN"/>
              </w:rPr>
            </w:pPr>
            <w:r>
              <w:rPr>
                <w:rFonts w:hint="eastAsia" w:ascii="仿宋" w:hAnsi="仿宋" w:eastAsia="仿宋" w:cs="仿宋"/>
                <w:spacing w:val="0"/>
                <w:position w:val="0"/>
                <w:sz w:val="23"/>
                <w:szCs w:val="23"/>
                <w:highlight w:val="none"/>
                <w:lang w:val="en-US" w:eastAsia="zh-CN"/>
              </w:rPr>
              <w:t>5</w:t>
            </w:r>
          </w:p>
        </w:tc>
        <w:tc>
          <w:tcPr>
            <w:tcW w:w="15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社会保障资金缴纳证明</w:t>
            </w:r>
          </w:p>
        </w:tc>
        <w:tc>
          <w:tcPr>
            <w:tcW w:w="616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提供已缴纳的本年度连续三个月的社会保障资金缴存单据或社保机构开具的社会保险参保缴费情况证明，依法不需要缴纳社会保障资金的单位应提供相关证明材料</w:t>
            </w:r>
          </w:p>
        </w:tc>
        <w:tc>
          <w:tcPr>
            <w:tcW w:w="11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6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val="en-US" w:eastAsia="zh-CN"/>
              </w:rPr>
            </w:pPr>
            <w:r>
              <w:rPr>
                <w:rFonts w:hint="eastAsia" w:ascii="仿宋" w:hAnsi="仿宋" w:eastAsia="仿宋" w:cs="仿宋"/>
                <w:spacing w:val="0"/>
                <w:position w:val="0"/>
                <w:sz w:val="23"/>
                <w:szCs w:val="23"/>
                <w:highlight w:val="none"/>
                <w:lang w:val="en-US" w:eastAsia="zh-CN"/>
              </w:rPr>
              <w:t>6</w:t>
            </w:r>
          </w:p>
        </w:tc>
        <w:tc>
          <w:tcPr>
            <w:tcW w:w="15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eastAsia="zh-CN"/>
              </w:rPr>
            </w:pPr>
            <w:r>
              <w:rPr>
                <w:rFonts w:hint="eastAsia" w:ascii="仿宋" w:hAnsi="仿宋" w:eastAsia="仿宋" w:cs="仿宋"/>
                <w:spacing w:val="0"/>
                <w:position w:val="0"/>
                <w:sz w:val="23"/>
                <w:szCs w:val="23"/>
                <w:highlight w:val="none"/>
                <w:lang w:eastAsia="zh-CN"/>
              </w:rPr>
              <w:t>保证金</w:t>
            </w:r>
          </w:p>
        </w:tc>
        <w:tc>
          <w:tcPr>
            <w:tcW w:w="616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提供保证金交纳凭证（截图加盖供应商公章）或担保机构出具的保函</w:t>
            </w:r>
          </w:p>
        </w:tc>
        <w:tc>
          <w:tcPr>
            <w:tcW w:w="11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rightChars="0" w:firstLine="0" w:firstLineChars="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合法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6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val="en-US" w:eastAsia="zh-CN"/>
              </w:rPr>
            </w:pPr>
            <w:r>
              <w:rPr>
                <w:rFonts w:hint="eastAsia" w:ascii="仿宋" w:hAnsi="仿宋" w:eastAsia="仿宋" w:cs="仿宋"/>
                <w:spacing w:val="0"/>
                <w:position w:val="0"/>
                <w:sz w:val="23"/>
                <w:szCs w:val="23"/>
                <w:highlight w:val="none"/>
                <w:lang w:val="en-US" w:eastAsia="zh-CN"/>
              </w:rPr>
              <w:t>7</w:t>
            </w:r>
          </w:p>
        </w:tc>
        <w:tc>
          <w:tcPr>
            <w:tcW w:w="15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eastAsia="zh-CN"/>
              </w:rPr>
            </w:pPr>
            <w:r>
              <w:rPr>
                <w:rFonts w:hint="eastAsia" w:ascii="仿宋" w:hAnsi="仿宋" w:eastAsia="仿宋" w:cs="仿宋"/>
                <w:spacing w:val="0"/>
                <w:position w:val="0"/>
                <w:sz w:val="23"/>
                <w:szCs w:val="23"/>
                <w:highlight w:val="none"/>
                <w:lang w:eastAsia="zh-CN"/>
              </w:rPr>
              <w:t>信誉</w:t>
            </w:r>
          </w:p>
        </w:tc>
        <w:tc>
          <w:tcPr>
            <w:tcW w:w="616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标供应商不得为“信用中国”网站（www.creditchina.gov.cn）中列入失信被执行人和重大税收违法失信主体的投标供应商，不得为中国政府采购网（www.ccgp.gov.cn）政府采购严重违法失信行为记录名单中被财政部门禁止参加政府采购活动的投标供应商</w:t>
            </w:r>
          </w:p>
        </w:tc>
        <w:tc>
          <w:tcPr>
            <w:tcW w:w="11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6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val="en-US" w:eastAsia="zh-CN"/>
              </w:rPr>
            </w:pPr>
            <w:r>
              <w:rPr>
                <w:rFonts w:hint="eastAsia" w:ascii="仿宋" w:hAnsi="仿宋" w:eastAsia="仿宋" w:cs="仿宋"/>
                <w:spacing w:val="0"/>
                <w:position w:val="0"/>
                <w:sz w:val="23"/>
                <w:szCs w:val="23"/>
                <w:highlight w:val="none"/>
                <w:lang w:val="en-US" w:eastAsia="zh-CN"/>
              </w:rPr>
              <w:t>8</w:t>
            </w:r>
          </w:p>
        </w:tc>
        <w:tc>
          <w:tcPr>
            <w:tcW w:w="15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书面声明</w:t>
            </w:r>
          </w:p>
        </w:tc>
        <w:tc>
          <w:tcPr>
            <w:tcW w:w="616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供应商应出具参加政府采购活动前3年内在经营活动中没有重大违法记录的书面声明</w:t>
            </w:r>
          </w:p>
        </w:tc>
        <w:tc>
          <w:tcPr>
            <w:tcW w:w="11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rightChars="0" w:firstLine="0" w:firstLineChars="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合法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6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val="en-US" w:eastAsia="zh-CN"/>
              </w:rPr>
            </w:pPr>
            <w:r>
              <w:rPr>
                <w:rFonts w:hint="eastAsia" w:ascii="仿宋" w:hAnsi="仿宋" w:eastAsia="仿宋" w:cs="仿宋"/>
                <w:spacing w:val="0"/>
                <w:position w:val="0"/>
                <w:sz w:val="23"/>
                <w:szCs w:val="23"/>
                <w:highlight w:val="none"/>
                <w:lang w:val="en-US" w:eastAsia="zh-CN"/>
              </w:rPr>
              <w:t>9</w:t>
            </w:r>
          </w:p>
        </w:tc>
        <w:tc>
          <w:tcPr>
            <w:tcW w:w="15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eastAsia="zh-CN"/>
              </w:rPr>
            </w:pPr>
            <w:r>
              <w:rPr>
                <w:rFonts w:hint="eastAsia" w:ascii="仿宋" w:hAnsi="仿宋" w:eastAsia="仿宋" w:cs="仿宋"/>
                <w:spacing w:val="0"/>
                <w:position w:val="0"/>
                <w:sz w:val="23"/>
                <w:szCs w:val="23"/>
                <w:highlight w:val="none"/>
                <w:lang w:eastAsia="zh-CN"/>
              </w:rPr>
              <w:t>承诺书</w:t>
            </w:r>
          </w:p>
        </w:tc>
        <w:tc>
          <w:tcPr>
            <w:tcW w:w="616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提供具有履行合同所必需的设备和专业技术能力</w:t>
            </w:r>
          </w:p>
        </w:tc>
        <w:tc>
          <w:tcPr>
            <w:tcW w:w="11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6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val="en-US" w:eastAsia="zh-CN"/>
              </w:rPr>
            </w:pPr>
            <w:r>
              <w:rPr>
                <w:rFonts w:hint="eastAsia" w:ascii="仿宋" w:hAnsi="仿宋" w:eastAsia="仿宋" w:cs="仿宋"/>
                <w:spacing w:val="0"/>
                <w:position w:val="0"/>
                <w:sz w:val="23"/>
                <w:szCs w:val="23"/>
                <w:highlight w:val="none"/>
                <w:lang w:val="en-US" w:eastAsia="zh-CN"/>
              </w:rPr>
              <w:t>10</w:t>
            </w:r>
          </w:p>
        </w:tc>
        <w:tc>
          <w:tcPr>
            <w:tcW w:w="15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eastAsia="zh-CN"/>
              </w:rPr>
            </w:pPr>
            <w:r>
              <w:rPr>
                <w:rFonts w:hint="eastAsia" w:ascii="仿宋" w:hAnsi="仿宋" w:eastAsia="仿宋" w:cs="仿宋"/>
                <w:spacing w:val="0"/>
                <w:position w:val="0"/>
                <w:sz w:val="23"/>
                <w:szCs w:val="23"/>
                <w:highlight w:val="none"/>
                <w:lang w:eastAsia="zh-CN"/>
              </w:rPr>
              <w:t>本项目专门面向中小企业</w:t>
            </w:r>
          </w:p>
        </w:tc>
        <w:tc>
          <w:tcPr>
            <w:tcW w:w="616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eastAsia="zh-CN"/>
              </w:rPr>
            </w:pPr>
            <w:r>
              <w:rPr>
                <w:rFonts w:hint="eastAsia" w:ascii="仿宋" w:hAnsi="仿宋" w:eastAsia="仿宋" w:cs="仿宋"/>
                <w:spacing w:val="0"/>
                <w:position w:val="0"/>
                <w:sz w:val="23"/>
                <w:szCs w:val="23"/>
                <w:highlight w:val="none"/>
                <w:lang w:eastAsia="zh-CN"/>
              </w:rPr>
              <w:t>中小企业声明函</w:t>
            </w:r>
          </w:p>
        </w:tc>
        <w:tc>
          <w:tcPr>
            <w:tcW w:w="11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rightChars="0" w:firstLine="0" w:firstLineChars="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合法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6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val="en-US" w:eastAsia="zh-CN"/>
              </w:rPr>
            </w:pPr>
            <w:r>
              <w:rPr>
                <w:rFonts w:hint="eastAsia" w:ascii="仿宋" w:hAnsi="仿宋" w:eastAsia="仿宋" w:cs="仿宋"/>
                <w:spacing w:val="0"/>
                <w:position w:val="0"/>
                <w:sz w:val="23"/>
                <w:szCs w:val="23"/>
                <w:highlight w:val="none"/>
                <w:lang w:val="en-US" w:eastAsia="zh-CN"/>
              </w:rPr>
              <w:t>11</w:t>
            </w:r>
          </w:p>
        </w:tc>
        <w:tc>
          <w:tcPr>
            <w:tcW w:w="15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eastAsia="zh-CN"/>
              </w:rPr>
            </w:pPr>
            <w:r>
              <w:rPr>
                <w:rFonts w:hint="eastAsia" w:ascii="仿宋" w:hAnsi="仿宋" w:eastAsia="仿宋" w:cs="仿宋"/>
                <w:spacing w:val="0"/>
                <w:position w:val="0"/>
                <w:sz w:val="23"/>
                <w:szCs w:val="23"/>
                <w:highlight w:val="none"/>
                <w:lang w:eastAsia="zh-CN"/>
              </w:rPr>
              <w:t>联合体</w:t>
            </w:r>
          </w:p>
        </w:tc>
        <w:tc>
          <w:tcPr>
            <w:tcW w:w="616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lang w:eastAsia="zh-CN"/>
              </w:rPr>
            </w:pPr>
            <w:r>
              <w:rPr>
                <w:rFonts w:hint="eastAsia" w:ascii="仿宋" w:hAnsi="仿宋" w:eastAsia="仿宋" w:cs="仿宋"/>
                <w:spacing w:val="0"/>
                <w:position w:val="0"/>
                <w:sz w:val="23"/>
                <w:szCs w:val="23"/>
                <w:highlight w:val="none"/>
                <w:lang w:eastAsia="zh-CN"/>
              </w:rPr>
              <w:t>本项目不接受联合体</w:t>
            </w:r>
          </w:p>
        </w:tc>
        <w:tc>
          <w:tcPr>
            <w:tcW w:w="1117" w:type="dxa"/>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有效</w:t>
            </w:r>
          </w:p>
        </w:tc>
      </w:tr>
    </w:tbl>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评标委员会对资格性审查合格的供应商进行符合性审查，在符合性审查过程中对有争议的投标，评标委员会将以记名方式表决，得票超过半数的供应商有资格进入下一阶段的评审，否则按投标人须知正文23.4执行，符合性审查内容如下：</w:t>
      </w:r>
    </w:p>
    <w:p>
      <w:pPr>
        <w:keepNext w:val="0"/>
        <w:keepLines w:val="0"/>
        <w:pageBreakBefore w:val="0"/>
        <w:widowControl w:val="0"/>
        <w:kinsoku/>
        <w:wordWrap/>
        <w:overflowPunct/>
        <w:topLinePunct w:val="0"/>
        <w:autoSpaceDE w:val="0"/>
        <w:autoSpaceDN w:val="0"/>
        <w:bidi w:val="0"/>
        <w:adjustRightInd w:val="0"/>
        <w:snapToGrid/>
        <w:spacing w:line="186" w:lineRule="auto"/>
        <w:ind w:left="0" w:leftChars="0" w:right="0"/>
        <w:jc w:val="both"/>
        <w:textAlignment w:val="baseline"/>
        <w:rPr>
          <w:rFonts w:hint="eastAsia" w:ascii="仿宋" w:hAnsi="仿宋" w:eastAsia="仿宋" w:cs="仿宋"/>
          <w:b/>
          <w:bCs/>
          <w:spacing w:val="0"/>
          <w:position w:val="0"/>
          <w:sz w:val="28"/>
          <w:szCs w:val="28"/>
          <w:highlight w:val="none"/>
        </w:rPr>
      </w:pPr>
      <w:r>
        <w:rPr>
          <w:rFonts w:hint="eastAsia" w:ascii="仿宋" w:hAnsi="仿宋" w:eastAsia="仿宋" w:cs="仿宋"/>
          <w:b/>
          <w:bCs/>
          <w:spacing w:val="0"/>
          <w:position w:val="0"/>
          <w:sz w:val="28"/>
          <w:szCs w:val="28"/>
          <w:highlight w:val="none"/>
        </w:rPr>
        <w:t>符合性审查标准</w:t>
      </w:r>
    </w:p>
    <w:p>
      <w:pPr>
        <w:keepNext w:val="0"/>
        <w:keepLines w:val="0"/>
        <w:pageBreakBefore w:val="0"/>
        <w:widowControl w:val="0"/>
        <w:kinsoku/>
        <w:wordWrap/>
        <w:overflowPunct/>
        <w:topLinePunct w:val="0"/>
        <w:autoSpaceDE w:val="0"/>
        <w:autoSpaceDN w:val="0"/>
        <w:bidi w:val="0"/>
        <w:adjustRightInd w:val="0"/>
        <w:snapToGrid/>
        <w:spacing w:line="231" w:lineRule="exact"/>
        <w:ind w:left="0" w:leftChars="0" w:right="0"/>
        <w:textAlignment w:val="baseline"/>
        <w:rPr>
          <w:rFonts w:hint="eastAsia" w:ascii="仿宋" w:hAnsi="仿宋" w:eastAsia="仿宋" w:cs="仿宋"/>
          <w:spacing w:val="0"/>
          <w:position w:val="0"/>
          <w:highlight w:val="none"/>
          <w:lang w:eastAsia="zh-CN"/>
        </w:rPr>
      </w:pPr>
    </w:p>
    <w:tbl>
      <w:tblPr>
        <w:tblStyle w:val="341"/>
        <w:tblW w:w="948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1962"/>
        <w:gridCol w:w="64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2" w:hRule="atLeast"/>
        </w:trPr>
        <w:tc>
          <w:tcPr>
            <w:tcW w:w="1041" w:type="dxa"/>
            <w:tcBorders>
              <w:lef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3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阶段</w:t>
            </w:r>
          </w:p>
        </w:tc>
        <w:tc>
          <w:tcPr>
            <w:tcW w:w="196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28"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审查因素</w:t>
            </w:r>
          </w:p>
        </w:tc>
        <w:tc>
          <w:tcPr>
            <w:tcW w:w="6478" w:type="dxa"/>
            <w:tcBorders>
              <w:righ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29"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审查标准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041" w:type="dxa"/>
            <w:vMerge w:val="restart"/>
            <w:tcBorders>
              <w:left w:val="single" w:color="000000" w:sz="10" w:space="0"/>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3"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4"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4"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4"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4"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4"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244"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328"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符合性审查标准</w:t>
            </w:r>
          </w:p>
        </w:tc>
        <w:tc>
          <w:tcPr>
            <w:tcW w:w="196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28"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投标文件份数</w:t>
            </w:r>
          </w:p>
        </w:tc>
        <w:tc>
          <w:tcPr>
            <w:tcW w:w="6478" w:type="dxa"/>
            <w:tcBorders>
              <w:righ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28"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正本1份，副本</w:t>
            </w:r>
            <w:r>
              <w:rPr>
                <w:rFonts w:hint="eastAsia" w:ascii="仿宋" w:hAnsi="仿宋" w:eastAsia="仿宋" w:cs="仿宋"/>
                <w:spacing w:val="0"/>
                <w:position w:val="0"/>
                <w:sz w:val="23"/>
                <w:szCs w:val="23"/>
                <w:highlight w:val="none"/>
                <w:lang w:val="en-US" w:eastAsia="zh-CN"/>
              </w:rPr>
              <w:t>4</w:t>
            </w:r>
            <w:r>
              <w:rPr>
                <w:rFonts w:hint="eastAsia" w:ascii="仿宋" w:hAnsi="仿宋" w:eastAsia="仿宋" w:cs="仿宋"/>
                <w:spacing w:val="0"/>
                <w:position w:val="0"/>
                <w:sz w:val="23"/>
                <w:szCs w:val="23"/>
                <w:highlight w:val="none"/>
              </w:rPr>
              <w:t>份，开标一览表1份</w:t>
            </w:r>
            <w:r>
              <w:rPr>
                <w:rFonts w:hint="eastAsia" w:ascii="仿宋" w:hAnsi="仿宋" w:eastAsia="仿宋" w:cs="仿宋"/>
                <w:spacing w:val="0"/>
                <w:position w:val="0"/>
                <w:sz w:val="23"/>
                <w:szCs w:val="23"/>
                <w:highlight w:val="none"/>
                <w:lang w:eastAsia="zh-CN"/>
              </w:rPr>
              <w:t>，电子版</w:t>
            </w:r>
            <w:r>
              <w:rPr>
                <w:rFonts w:hint="eastAsia" w:ascii="仿宋" w:hAnsi="仿宋" w:eastAsia="仿宋" w:cs="仿宋"/>
                <w:spacing w:val="0"/>
                <w:position w:val="0"/>
                <w:sz w:val="23"/>
                <w:szCs w:val="23"/>
                <w:highlight w:val="none"/>
                <w:lang w:val="en-US" w:eastAsia="zh-CN"/>
              </w:rPr>
              <w:t>U盘3份</w:t>
            </w:r>
            <w:r>
              <w:rPr>
                <w:rFonts w:hint="eastAsia" w:ascii="仿宋" w:hAnsi="仿宋" w:eastAsia="仿宋" w:cs="仿宋"/>
                <w:spacing w:val="0"/>
                <w:position w:val="0"/>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2" w:hRule="atLeast"/>
        </w:trPr>
        <w:tc>
          <w:tcPr>
            <w:tcW w:w="1041" w:type="dxa"/>
            <w:vMerge w:val="continue"/>
            <w:tcBorders>
              <w:top w:val="nil"/>
              <w:left w:val="single" w:color="000000" w:sz="10" w:space="0"/>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ind w:left="0" w:leftChars="0" w:right="0" w:firstLine="0"/>
              <w:jc w:val="center"/>
              <w:textAlignment w:val="baseline"/>
              <w:rPr>
                <w:rFonts w:hint="eastAsia" w:ascii="仿宋" w:hAnsi="仿宋" w:eastAsia="仿宋" w:cs="仿宋"/>
                <w:spacing w:val="0"/>
                <w:position w:val="0"/>
                <w:sz w:val="21"/>
                <w:highlight w:val="none"/>
              </w:rPr>
            </w:pPr>
          </w:p>
        </w:tc>
        <w:tc>
          <w:tcPr>
            <w:tcW w:w="196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29"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投标人名称</w:t>
            </w:r>
          </w:p>
        </w:tc>
        <w:tc>
          <w:tcPr>
            <w:tcW w:w="6478" w:type="dxa"/>
            <w:tcBorders>
              <w:righ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29"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与注册证照的名称一致，并与报名登记投标人一致。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14" w:hRule="atLeast"/>
        </w:trPr>
        <w:tc>
          <w:tcPr>
            <w:tcW w:w="1041" w:type="dxa"/>
            <w:vMerge w:val="continue"/>
            <w:tcBorders>
              <w:top w:val="nil"/>
              <w:left w:val="single" w:color="000000" w:sz="10" w:space="0"/>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ind w:left="0" w:leftChars="0" w:right="0" w:firstLine="0"/>
              <w:jc w:val="center"/>
              <w:textAlignment w:val="baseline"/>
              <w:rPr>
                <w:rFonts w:hint="eastAsia" w:ascii="仿宋" w:hAnsi="仿宋" w:eastAsia="仿宋" w:cs="仿宋"/>
                <w:spacing w:val="0"/>
                <w:position w:val="0"/>
                <w:sz w:val="21"/>
                <w:highlight w:val="none"/>
              </w:rPr>
            </w:pPr>
          </w:p>
        </w:tc>
        <w:tc>
          <w:tcPr>
            <w:tcW w:w="196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31"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投标人代表身份证明</w:t>
            </w:r>
          </w:p>
        </w:tc>
        <w:tc>
          <w:tcPr>
            <w:tcW w:w="6478" w:type="dxa"/>
            <w:tcBorders>
              <w:righ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2"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法定代表人直接参加投标的，须提供法定代表人证明书；法定代表人授权代表参加投标的，须提供法定代表人证明书和</w:t>
            </w:r>
          </w:p>
          <w:p>
            <w:pPr>
              <w:keepNext w:val="0"/>
              <w:keepLines w:val="0"/>
              <w:pageBreakBefore w:val="0"/>
              <w:widowControl w:val="0"/>
              <w:kinsoku/>
              <w:wordWrap/>
              <w:overflowPunct/>
              <w:topLinePunct w:val="0"/>
              <w:autoSpaceDE w:val="0"/>
              <w:autoSpaceDN w:val="0"/>
              <w:bidi w:val="0"/>
              <w:adjustRightInd w:val="0"/>
              <w:snapToGrid/>
              <w:spacing w:line="226"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法定代表人授权书。证明书、授权书合格有效。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9" w:hRule="atLeast"/>
        </w:trPr>
        <w:tc>
          <w:tcPr>
            <w:tcW w:w="1041" w:type="dxa"/>
            <w:vMerge w:val="continue"/>
            <w:tcBorders>
              <w:top w:val="nil"/>
              <w:left w:val="single" w:color="000000" w:sz="10" w:space="0"/>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ind w:left="0" w:leftChars="0" w:right="0" w:firstLine="0"/>
              <w:jc w:val="center"/>
              <w:textAlignment w:val="baseline"/>
              <w:rPr>
                <w:rFonts w:hint="eastAsia" w:ascii="仿宋" w:hAnsi="仿宋" w:eastAsia="仿宋" w:cs="仿宋"/>
                <w:spacing w:val="0"/>
                <w:position w:val="0"/>
                <w:sz w:val="21"/>
                <w:highlight w:val="none"/>
              </w:rPr>
            </w:pPr>
          </w:p>
        </w:tc>
        <w:tc>
          <w:tcPr>
            <w:tcW w:w="196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7" w:lineRule="auto"/>
              <w:ind w:left="0" w:leftChars="0" w:right="0" w:firstLine="0"/>
              <w:jc w:val="center"/>
              <w:textAlignment w:val="baseline"/>
              <w:rPr>
                <w:rFonts w:hint="eastAsia" w:ascii="仿宋" w:hAnsi="仿宋" w:eastAsia="仿宋" w:cs="仿宋"/>
                <w:spacing w:val="0"/>
                <w:position w:val="0"/>
                <w:sz w:val="21"/>
                <w:highlight w:val="none"/>
              </w:rPr>
            </w:pPr>
          </w:p>
          <w:p>
            <w:pPr>
              <w:keepNext w:val="0"/>
              <w:keepLines w:val="0"/>
              <w:pageBreakBefore w:val="0"/>
              <w:widowControl w:val="0"/>
              <w:kinsoku/>
              <w:wordWrap/>
              <w:overflowPunct/>
              <w:topLinePunct w:val="0"/>
              <w:autoSpaceDE w:val="0"/>
              <w:autoSpaceDN w:val="0"/>
              <w:bidi w:val="0"/>
              <w:adjustRightInd w:val="0"/>
              <w:snapToGrid/>
              <w:spacing w:line="332"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投标文件的签字或盖章</w:t>
            </w:r>
          </w:p>
        </w:tc>
        <w:tc>
          <w:tcPr>
            <w:tcW w:w="6478" w:type="dxa"/>
            <w:tcBorders>
              <w:righ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1"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凡投标文件格式</w:t>
            </w:r>
            <w:r>
              <w:rPr>
                <w:rFonts w:hint="eastAsia" w:ascii="仿宋" w:hAnsi="仿宋" w:eastAsia="仿宋" w:cs="仿宋"/>
                <w:spacing w:val="0"/>
                <w:position w:val="0"/>
                <w:sz w:val="23"/>
                <w:szCs w:val="23"/>
                <w:highlight w:val="none"/>
                <w:lang w:eastAsia="zh-CN"/>
              </w:rPr>
              <w:t>和招标文件要求</w:t>
            </w:r>
            <w:r>
              <w:rPr>
                <w:rFonts w:hint="eastAsia" w:ascii="仿宋" w:hAnsi="仿宋" w:eastAsia="仿宋" w:cs="仿宋"/>
                <w:spacing w:val="0"/>
                <w:position w:val="0"/>
                <w:sz w:val="23"/>
                <w:szCs w:val="23"/>
                <w:highlight w:val="none"/>
              </w:rPr>
              <w:t>中给出签字或盖章格式的，投标文件的正本中须按要求签字或盖章，且无遗</w:t>
            </w:r>
          </w:p>
          <w:p>
            <w:pPr>
              <w:keepNext w:val="0"/>
              <w:keepLines w:val="0"/>
              <w:pageBreakBefore w:val="0"/>
              <w:widowControl w:val="0"/>
              <w:kinsoku/>
              <w:wordWrap/>
              <w:overflowPunct/>
              <w:topLinePunct w:val="0"/>
              <w:autoSpaceDE w:val="0"/>
              <w:autoSpaceDN w:val="0"/>
              <w:bidi w:val="0"/>
              <w:adjustRightInd w:val="0"/>
              <w:snapToGrid/>
              <w:spacing w:line="229"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19" w:hRule="atLeast"/>
        </w:trPr>
        <w:tc>
          <w:tcPr>
            <w:tcW w:w="1041" w:type="dxa"/>
            <w:vMerge w:val="continue"/>
            <w:tcBorders>
              <w:top w:val="nil"/>
              <w:left w:val="single" w:color="000000" w:sz="10" w:space="0"/>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ind w:left="0" w:leftChars="0" w:right="0" w:firstLine="0"/>
              <w:jc w:val="center"/>
              <w:textAlignment w:val="baseline"/>
              <w:rPr>
                <w:rFonts w:hint="eastAsia" w:ascii="仿宋" w:hAnsi="仿宋" w:eastAsia="仿宋" w:cs="仿宋"/>
                <w:spacing w:val="0"/>
                <w:position w:val="0"/>
                <w:sz w:val="21"/>
                <w:highlight w:val="none"/>
              </w:rPr>
            </w:pPr>
          </w:p>
        </w:tc>
        <w:tc>
          <w:tcPr>
            <w:tcW w:w="196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28"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投标文件的项目</w:t>
            </w:r>
          </w:p>
          <w:p>
            <w:pPr>
              <w:keepNext w:val="0"/>
              <w:keepLines w:val="0"/>
              <w:pageBreakBefore w:val="0"/>
              <w:widowControl w:val="0"/>
              <w:kinsoku/>
              <w:wordWrap/>
              <w:overflowPunct/>
              <w:topLinePunct w:val="0"/>
              <w:autoSpaceDE w:val="0"/>
              <w:autoSpaceDN w:val="0"/>
              <w:bidi w:val="0"/>
              <w:adjustRightInd w:val="0"/>
              <w:snapToGrid/>
              <w:spacing w:line="230"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名称和项目编号</w:t>
            </w:r>
          </w:p>
        </w:tc>
        <w:tc>
          <w:tcPr>
            <w:tcW w:w="6478" w:type="dxa"/>
            <w:tcBorders>
              <w:righ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1"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投标文件与招标文件一致；出现遗漏或不一致的为无效投标。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7" w:hRule="atLeast"/>
        </w:trPr>
        <w:tc>
          <w:tcPr>
            <w:tcW w:w="1041" w:type="dxa"/>
            <w:vMerge w:val="continue"/>
            <w:tcBorders>
              <w:top w:val="nil"/>
              <w:left w:val="single" w:color="000000" w:sz="10" w:space="0"/>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ind w:left="0" w:leftChars="0" w:right="0" w:firstLine="0"/>
              <w:jc w:val="center"/>
              <w:textAlignment w:val="baseline"/>
              <w:rPr>
                <w:rFonts w:hint="eastAsia" w:ascii="仿宋" w:hAnsi="仿宋" w:eastAsia="仿宋" w:cs="仿宋"/>
                <w:spacing w:val="0"/>
                <w:position w:val="0"/>
                <w:sz w:val="21"/>
                <w:highlight w:val="none"/>
              </w:rPr>
            </w:pPr>
          </w:p>
        </w:tc>
        <w:tc>
          <w:tcPr>
            <w:tcW w:w="196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27"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投标报价</w:t>
            </w:r>
          </w:p>
        </w:tc>
        <w:tc>
          <w:tcPr>
            <w:tcW w:w="6478" w:type="dxa"/>
            <w:tcBorders>
              <w:righ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98" w:lineRule="exact"/>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1.报价未超过采购预算，且报价唯一。</w:t>
            </w:r>
          </w:p>
          <w:p>
            <w:pPr>
              <w:keepNext w:val="0"/>
              <w:keepLines w:val="0"/>
              <w:pageBreakBefore w:val="0"/>
              <w:widowControl w:val="0"/>
              <w:kinsoku/>
              <w:wordWrap/>
              <w:overflowPunct/>
              <w:topLinePunct w:val="0"/>
              <w:autoSpaceDE w:val="0"/>
              <w:autoSpaceDN w:val="0"/>
              <w:bidi w:val="0"/>
              <w:adjustRightInd w:val="0"/>
              <w:snapToGrid/>
              <w:spacing w:line="311" w:lineRule="exact"/>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2.报价货币符合招标文件要求。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0" w:hRule="atLeast"/>
        </w:trPr>
        <w:tc>
          <w:tcPr>
            <w:tcW w:w="1041" w:type="dxa"/>
            <w:vMerge w:val="continue"/>
            <w:tcBorders>
              <w:top w:val="nil"/>
              <w:left w:val="single" w:color="000000" w:sz="10" w:space="0"/>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ind w:left="0" w:leftChars="0" w:right="0" w:firstLine="0"/>
              <w:jc w:val="center"/>
              <w:textAlignment w:val="baseline"/>
              <w:rPr>
                <w:rFonts w:hint="eastAsia" w:ascii="仿宋" w:hAnsi="仿宋" w:eastAsia="仿宋" w:cs="仿宋"/>
                <w:spacing w:val="0"/>
                <w:position w:val="0"/>
                <w:sz w:val="21"/>
                <w:highlight w:val="none"/>
              </w:rPr>
            </w:pPr>
          </w:p>
        </w:tc>
        <w:tc>
          <w:tcPr>
            <w:tcW w:w="196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29"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投标保证金</w:t>
            </w:r>
          </w:p>
        </w:tc>
        <w:tc>
          <w:tcPr>
            <w:tcW w:w="6478" w:type="dxa"/>
            <w:tcBorders>
              <w:righ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27"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足额按时交纳且形式符合招标文件要求。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0" w:hRule="atLeast"/>
        </w:trPr>
        <w:tc>
          <w:tcPr>
            <w:tcW w:w="1041" w:type="dxa"/>
            <w:vMerge w:val="continue"/>
            <w:tcBorders>
              <w:top w:val="nil"/>
              <w:left w:val="single" w:color="000000" w:sz="10" w:space="0"/>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ind w:left="0" w:leftChars="0" w:right="0" w:firstLine="0"/>
              <w:jc w:val="center"/>
              <w:textAlignment w:val="baseline"/>
              <w:rPr>
                <w:rFonts w:hint="eastAsia" w:ascii="仿宋" w:hAnsi="仿宋" w:eastAsia="仿宋" w:cs="仿宋"/>
                <w:spacing w:val="0"/>
                <w:position w:val="0"/>
                <w:sz w:val="21"/>
                <w:highlight w:val="none"/>
              </w:rPr>
            </w:pPr>
          </w:p>
        </w:tc>
        <w:tc>
          <w:tcPr>
            <w:tcW w:w="196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28"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投标内容</w:t>
            </w:r>
          </w:p>
        </w:tc>
        <w:tc>
          <w:tcPr>
            <w:tcW w:w="6478" w:type="dxa"/>
            <w:tcBorders>
              <w:righ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1" w:lineRule="exact"/>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1.投标产品品目、产品数量符合招标文件的采购内容。</w:t>
            </w:r>
          </w:p>
          <w:p>
            <w:pPr>
              <w:keepNext w:val="0"/>
              <w:keepLines w:val="0"/>
              <w:pageBreakBefore w:val="0"/>
              <w:widowControl w:val="0"/>
              <w:kinsoku/>
              <w:wordWrap/>
              <w:overflowPunct/>
              <w:topLinePunct w:val="0"/>
              <w:autoSpaceDE w:val="0"/>
              <w:autoSpaceDN w:val="0"/>
              <w:bidi w:val="0"/>
              <w:adjustRightInd w:val="0"/>
              <w:snapToGrid/>
              <w:spacing w:line="311" w:lineRule="exact"/>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2.对招标文件中★号项要求无负偏离。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5" w:hRule="atLeast"/>
        </w:trPr>
        <w:tc>
          <w:tcPr>
            <w:tcW w:w="1041" w:type="dxa"/>
            <w:vMerge w:val="continue"/>
            <w:tcBorders>
              <w:top w:val="nil"/>
              <w:left w:val="single" w:color="000000" w:sz="10" w:space="0"/>
              <w:bottom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ind w:left="0" w:leftChars="0" w:right="0" w:firstLine="0"/>
              <w:jc w:val="center"/>
              <w:textAlignment w:val="baseline"/>
              <w:rPr>
                <w:rFonts w:hint="eastAsia" w:ascii="仿宋" w:hAnsi="仿宋" w:eastAsia="仿宋" w:cs="仿宋"/>
                <w:spacing w:val="0"/>
                <w:position w:val="0"/>
                <w:sz w:val="21"/>
                <w:highlight w:val="none"/>
              </w:rPr>
            </w:pPr>
          </w:p>
        </w:tc>
        <w:tc>
          <w:tcPr>
            <w:tcW w:w="196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29"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投标有效期</w:t>
            </w:r>
          </w:p>
        </w:tc>
        <w:tc>
          <w:tcPr>
            <w:tcW w:w="6478" w:type="dxa"/>
            <w:tcBorders>
              <w:righ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29"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不少于投标有效期(90日历天)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8" w:hRule="atLeast"/>
        </w:trPr>
        <w:tc>
          <w:tcPr>
            <w:tcW w:w="1041" w:type="dxa"/>
            <w:vMerge w:val="continue"/>
            <w:tcBorders>
              <w:top w:val="nil"/>
              <w:lef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ind w:left="0" w:leftChars="0" w:right="0" w:firstLine="0"/>
              <w:jc w:val="center"/>
              <w:textAlignment w:val="baseline"/>
              <w:rPr>
                <w:rFonts w:hint="eastAsia" w:ascii="仿宋" w:hAnsi="仿宋" w:eastAsia="仿宋" w:cs="仿宋"/>
                <w:spacing w:val="0"/>
                <w:position w:val="0"/>
                <w:sz w:val="21"/>
                <w:highlight w:val="none"/>
              </w:rPr>
            </w:pPr>
          </w:p>
        </w:tc>
        <w:tc>
          <w:tcPr>
            <w:tcW w:w="196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28" w:lineRule="auto"/>
              <w:ind w:left="0" w:leftChars="0" w:right="0" w:firstLine="0"/>
              <w:jc w:val="center"/>
              <w:textAlignment w:val="baseline"/>
              <w:outlineLvl w:val="2"/>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主要商务条款</w:t>
            </w:r>
          </w:p>
        </w:tc>
        <w:tc>
          <w:tcPr>
            <w:tcW w:w="6478" w:type="dxa"/>
            <w:tcBorders>
              <w:right w:val="single" w:color="000000" w:sz="10"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28" w:lineRule="auto"/>
              <w:ind w:left="0" w:leftChars="0" w:right="0" w:firstLine="0"/>
              <w:jc w:val="center"/>
              <w:textAlignment w:val="baseline"/>
              <w:rPr>
                <w:rFonts w:hint="eastAsia" w:ascii="仿宋" w:hAnsi="仿宋" w:eastAsia="仿宋" w:cs="仿宋"/>
                <w:spacing w:val="0"/>
                <w:position w:val="0"/>
                <w:sz w:val="23"/>
                <w:szCs w:val="23"/>
                <w:highlight w:val="none"/>
              </w:rPr>
            </w:pPr>
            <w:r>
              <w:rPr>
                <w:rFonts w:hint="eastAsia" w:ascii="仿宋" w:hAnsi="仿宋" w:eastAsia="仿宋" w:cs="仿宋"/>
                <w:spacing w:val="0"/>
                <w:position w:val="0"/>
                <w:sz w:val="23"/>
                <w:szCs w:val="23"/>
                <w:highlight w:val="none"/>
              </w:rPr>
              <w:t>对招标文件中主要商务条款的响应无负偏离</w:t>
            </w:r>
          </w:p>
        </w:tc>
      </w:tr>
    </w:tbl>
    <w:p>
      <w:pPr>
        <w:keepNext w:val="0"/>
        <w:keepLines w:val="0"/>
        <w:pageBreakBefore w:val="0"/>
        <w:widowControl w:val="0"/>
        <w:kinsoku/>
        <w:wordWrap/>
        <w:overflowPunct/>
        <w:topLinePunct w:val="0"/>
        <w:autoSpaceDE w:val="0"/>
        <w:autoSpaceDN w:val="0"/>
        <w:bidi w:val="0"/>
        <w:adjustRightInd w:val="0"/>
        <w:snapToGrid/>
        <w:spacing w:line="14" w:lineRule="auto"/>
        <w:ind w:left="0" w:leftChars="0" w:right="0"/>
        <w:textAlignment w:val="baseline"/>
        <w:rPr>
          <w:rFonts w:hint="eastAsia" w:ascii="仿宋" w:hAnsi="仿宋" w:eastAsia="仿宋" w:cs="仿宋"/>
          <w:spacing w:val="0"/>
          <w:position w:val="0"/>
          <w:sz w:val="2"/>
          <w:highlight w:val="none"/>
        </w:rPr>
      </w:pPr>
    </w:p>
    <w:p>
      <w:pPr>
        <w:keepNext w:val="0"/>
        <w:keepLines w:val="0"/>
        <w:pageBreakBefore w:val="0"/>
        <w:widowControl w:val="0"/>
        <w:kinsoku/>
        <w:wordWrap/>
        <w:overflowPunct/>
        <w:topLinePunct w:val="0"/>
        <w:autoSpaceDE w:val="0"/>
        <w:autoSpaceDN w:val="0"/>
        <w:bidi w:val="0"/>
        <w:adjustRightInd w:val="0"/>
        <w:snapToGrid/>
        <w:ind w:left="0" w:leftChars="0" w:right="0"/>
        <w:textAlignment w:val="baseline"/>
        <w:rPr>
          <w:rFonts w:hint="eastAsia" w:ascii="仿宋" w:hAnsi="仿宋" w:eastAsia="仿宋" w:cs="仿宋"/>
          <w:spacing w:val="0"/>
          <w:position w:val="0"/>
          <w:highlight w:val="none"/>
          <w:lang w:eastAsia="zh-CN"/>
        </w:rPr>
      </w:pPr>
    </w:p>
    <w:p>
      <w:pPr>
        <w:wordWrap w:val="0"/>
        <w:topLinePunct/>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3、澄清</w:t>
      </w:r>
    </w:p>
    <w:p>
      <w:pPr>
        <w:tabs>
          <w:tab w:val="left" w:pos="3544"/>
        </w:tabs>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1）对于投标文件中含义不明确、同类问题表述不一致或者有明显文字和计算错误的内容，评标委员会应当以书面形式要求供应商作出必要的澄清、说明或补正。</w:t>
      </w:r>
    </w:p>
    <w:p>
      <w:pPr>
        <w:tabs>
          <w:tab w:val="left" w:pos="3544"/>
        </w:tabs>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供应商的澄清、说明或补正应当采用书面形式，并加盖公章，或者由法定代表人或其授权的代表签字。供应商的澄清、说明或者补正不得超出投标文件的范围或者改变投标文件的实质性内容，如澄清、补正、说明的内容与投标文件内容有重大相悖或矛盾，将被认定为无效文件或投标无效。</w:t>
      </w:r>
    </w:p>
    <w:p>
      <w:pPr>
        <w:spacing w:line="640" w:lineRule="exact"/>
        <w:ind w:firstLine="482" w:firstLineChars="200"/>
        <w:rPr>
          <w:rFonts w:hint="eastAsia" w:ascii="仿宋" w:hAnsi="仿宋" w:eastAsia="仿宋" w:cs="仿宋"/>
          <w:sz w:val="32"/>
          <w:szCs w:val="32"/>
          <w:highlight w:val="none"/>
        </w:rPr>
      </w:pPr>
      <w:r>
        <w:rPr>
          <w:rFonts w:hint="eastAsia" w:ascii="仿宋" w:hAnsi="仿宋" w:eastAsia="仿宋" w:cs="仿宋"/>
          <w:b/>
          <w:bCs/>
          <w:sz w:val="24"/>
          <w:szCs w:val="24"/>
          <w:highlight w:val="none"/>
        </w:rPr>
        <w:t>4、详细评审：报价</w:t>
      </w:r>
      <w:r>
        <w:rPr>
          <w:rFonts w:hint="eastAsia" w:ascii="仿宋" w:hAnsi="仿宋" w:eastAsia="仿宋" w:cs="仿宋"/>
          <w:b/>
          <w:bCs/>
          <w:sz w:val="24"/>
          <w:szCs w:val="24"/>
          <w:highlight w:val="none"/>
          <w:lang w:val="en-US" w:eastAsia="zh-CN"/>
        </w:rPr>
        <w:t>35</w:t>
      </w:r>
      <w:r>
        <w:rPr>
          <w:rFonts w:hint="eastAsia" w:ascii="仿宋" w:hAnsi="仿宋" w:eastAsia="仿宋" w:cs="仿宋"/>
          <w:b/>
          <w:bCs/>
          <w:sz w:val="24"/>
          <w:szCs w:val="24"/>
          <w:highlight w:val="none"/>
        </w:rPr>
        <w:t>分、技术方案27分、履约能力</w:t>
      </w:r>
      <w:r>
        <w:rPr>
          <w:rFonts w:hint="eastAsia" w:ascii="仿宋" w:hAnsi="仿宋" w:eastAsia="仿宋" w:cs="仿宋"/>
          <w:b/>
          <w:bCs/>
          <w:sz w:val="24"/>
          <w:szCs w:val="24"/>
          <w:highlight w:val="none"/>
          <w:lang w:val="en-US" w:eastAsia="zh-CN"/>
        </w:rPr>
        <w:t>38</w:t>
      </w:r>
      <w:r>
        <w:rPr>
          <w:rFonts w:hint="eastAsia" w:ascii="仿宋" w:hAnsi="仿宋" w:eastAsia="仿宋" w:cs="仿宋"/>
          <w:b/>
          <w:bCs/>
          <w:sz w:val="24"/>
          <w:szCs w:val="24"/>
          <w:highlight w:val="none"/>
        </w:rPr>
        <w:t>分。</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1）技术方案：各单项所占分值详见评分要素一览表；</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2）履约能力：各单项所占分值详见评分要素一览表；</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3）多家供应商提供同品牌产品的按《政府采购货物和服务招标投标管理办法》相关规定执行。</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4）投标报价出现前后不一致的，按以下规定修改：</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A、投标文件中的投标报价一览表内容与单独密封的投标报价一览表报价内容不一致的，以单独密封的投标报价一览表报价内容为准；</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B、投标文件中的投标报价一览表内容与投标文件中相应内容不一致的，以投标报价一览表为准；</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C、大写金额和小写金额不一致的，以大写金额为准；</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D、单价金额小数点或百分比有明显错位的，以投标报价一览表总价为准，并修改单价；</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E、总价金额与按单价汇总金额不一致的，以单价金额计算结果为准；</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出现两种以上不一致的，按照规定的顺序修正，修正后的报价按照本部分27.2规定经供应商确认后产生约束力，供应商不确认的，其投标无效</w:t>
      </w:r>
      <w:r>
        <w:rPr>
          <w:rFonts w:hint="eastAsia" w:ascii="仿宋" w:hAnsi="仿宋" w:eastAsia="仿宋" w:cs="仿宋"/>
          <w:sz w:val="24"/>
          <w:szCs w:val="24"/>
          <w:highlight w:val="none"/>
        </w:rPr>
        <w:t>。</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当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6）价格分采用低价优先法计算，即满足招标文件要求且投标价格最低的投标报价为评标基准价，其价格分为满分。其他供应商的价格分统一按照下列公式计算：</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P= 价格分满分×（Pmin/Pn）</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其中：Pmin：合格供应商投标报价中的最低价，Pn：第n个供应商的投标报价。</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7）落实政府采购相关政策</w:t>
      </w:r>
    </w:p>
    <w:p>
      <w:pPr>
        <w:tabs>
          <w:tab w:val="left" w:pos="3544"/>
        </w:tabs>
        <w:wordWrap w:val="0"/>
        <w:topLinePunct/>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依据《中华人民共和国政府采购法》、《中华人民共和国政府采购法实施条例》等的有关规定，落实政府采购相关政策：</w:t>
      </w:r>
      <w:r>
        <w:rPr>
          <w:rFonts w:hint="eastAsia" w:ascii="仿宋" w:hAnsi="仿宋" w:eastAsia="仿宋" w:cs="仿宋"/>
          <w:b/>
          <w:bCs/>
          <w:color w:val="auto"/>
          <w:sz w:val="24"/>
          <w:szCs w:val="24"/>
          <w:highlight w:val="none"/>
          <w:lang w:eastAsia="zh-CN"/>
        </w:rPr>
        <w:t>本项目专门面向中小企业</w:t>
      </w:r>
    </w:p>
    <w:p>
      <w:pPr>
        <w:tabs>
          <w:tab w:val="left" w:pos="3544"/>
        </w:tabs>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1）《政府采购促进中小企业发展管理办法》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(财库〔2020〕46号)《财政部关于进一步加大政府采购支持中小企业力度的通知》（财库〔2022〕19号）； 2)、财政部司法部关于政府采购支持监狱企业发展有关问题的通知(财库〔2014〕68号)； 3)、《财政部发展改革委生态环境部市场监管总局关于调整优化节能产品、环境标志产品政府采购执行机制的通知》（财库[2019]9号）； 4)、三部门联合发布《关于促进残疾人就业政府采购政策的通知》（财库〔2017〕141号）；5）、陕西省财政厅关于印发《陕西省中小企业政府采购信用融资办法》（陕财办采〔2018〕23号）；6）、《关于深入开展政府采购脱贫地区农副产品工作推进乡村产业振兴的实施意见》（财库〔2021〕20号）；7）其他需要落实的政府采购政策。</w:t>
      </w:r>
    </w:p>
    <w:tbl>
      <w:tblPr>
        <w:tblStyle w:val="47"/>
        <w:tblW w:w="9239" w:type="dxa"/>
        <w:tblInd w:w="1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76"/>
        <w:gridCol w:w="5366"/>
        <w:gridCol w:w="2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7" w:hRule="atLeast"/>
        </w:trPr>
        <w:tc>
          <w:tcPr>
            <w:tcW w:w="876" w:type="dxa"/>
            <w:vAlign w:val="center"/>
          </w:tcPr>
          <w:p>
            <w:pPr>
              <w:widowControl/>
              <w:spacing w:line="360" w:lineRule="auto"/>
              <w:ind w:firstLine="118" w:firstLineChars="49"/>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5366" w:type="dxa"/>
            <w:tcMar>
              <w:top w:w="0" w:type="dxa"/>
              <w:left w:w="108" w:type="dxa"/>
              <w:bottom w:w="0" w:type="dxa"/>
              <w:right w:w="108" w:type="dxa"/>
            </w:tcMar>
            <w:vAlign w:val="center"/>
          </w:tcPr>
          <w:p>
            <w:pPr>
              <w:widowControl/>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价格要素</w:t>
            </w:r>
          </w:p>
        </w:tc>
        <w:tc>
          <w:tcPr>
            <w:tcW w:w="2997" w:type="dxa"/>
            <w:tcMar>
              <w:top w:w="0" w:type="dxa"/>
              <w:left w:w="108" w:type="dxa"/>
              <w:bottom w:w="0" w:type="dxa"/>
              <w:right w:w="108" w:type="dxa"/>
            </w:tcMar>
            <w:vAlign w:val="center"/>
          </w:tcPr>
          <w:p>
            <w:pPr>
              <w:widowControl/>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价格折扣幅度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08" w:hRule="atLeast"/>
        </w:trPr>
        <w:tc>
          <w:tcPr>
            <w:tcW w:w="876" w:type="dxa"/>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5366" w:type="dxa"/>
            <w:tcMar>
              <w:top w:w="0" w:type="dxa"/>
              <w:left w:w="108" w:type="dxa"/>
              <w:bottom w:w="0" w:type="dxa"/>
              <w:right w:w="108" w:type="dxa"/>
            </w:tcMar>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节能产品</w:t>
            </w:r>
          </w:p>
        </w:tc>
        <w:tc>
          <w:tcPr>
            <w:tcW w:w="2997" w:type="dxa"/>
            <w:tcMar>
              <w:top w:w="0" w:type="dxa"/>
              <w:left w:w="108" w:type="dxa"/>
              <w:bottom w:w="0" w:type="dxa"/>
              <w:right w:w="108" w:type="dxa"/>
            </w:tcMar>
            <w:vAlign w:val="center"/>
          </w:tcPr>
          <w:p>
            <w:pPr>
              <w:widowControl/>
              <w:spacing w:line="360" w:lineRule="auto"/>
              <w:ind w:firstLine="48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42" w:hRule="atLeast"/>
        </w:trPr>
        <w:tc>
          <w:tcPr>
            <w:tcW w:w="876" w:type="dxa"/>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5366" w:type="dxa"/>
            <w:tcMar>
              <w:top w:w="0" w:type="dxa"/>
              <w:left w:w="108" w:type="dxa"/>
              <w:bottom w:w="0" w:type="dxa"/>
              <w:right w:w="108" w:type="dxa"/>
            </w:tcMar>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环保产品</w:t>
            </w:r>
          </w:p>
        </w:tc>
        <w:tc>
          <w:tcPr>
            <w:tcW w:w="2997" w:type="dxa"/>
            <w:tcMar>
              <w:top w:w="0" w:type="dxa"/>
              <w:left w:w="108" w:type="dxa"/>
              <w:bottom w:w="0" w:type="dxa"/>
              <w:right w:w="108" w:type="dxa"/>
            </w:tcMar>
            <w:vAlign w:val="center"/>
          </w:tcPr>
          <w:p>
            <w:pPr>
              <w:widowControl/>
              <w:spacing w:line="360" w:lineRule="auto"/>
              <w:ind w:firstLine="48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008" w:hRule="atLeast"/>
        </w:trPr>
        <w:tc>
          <w:tcPr>
            <w:tcW w:w="876" w:type="dxa"/>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5366" w:type="dxa"/>
            <w:tcMar>
              <w:top w:w="0" w:type="dxa"/>
              <w:left w:w="108" w:type="dxa"/>
              <w:bottom w:w="0" w:type="dxa"/>
              <w:right w:w="108" w:type="dxa"/>
            </w:tcMar>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货物（产品）出自小型或微型企业</w:t>
            </w:r>
          </w:p>
        </w:tc>
        <w:tc>
          <w:tcPr>
            <w:tcW w:w="2997" w:type="dxa"/>
            <w:tcMar>
              <w:top w:w="0" w:type="dxa"/>
              <w:left w:w="108" w:type="dxa"/>
              <w:bottom w:w="0" w:type="dxa"/>
              <w:right w:w="108" w:type="dxa"/>
            </w:tcMar>
            <w:vAlign w:val="center"/>
          </w:tcPr>
          <w:p>
            <w:pPr>
              <w:widowControl/>
              <w:spacing w:line="360" w:lineRule="auto"/>
              <w:ind w:firstLine="480" w:firstLineChars="20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44" w:hRule="atLeast"/>
        </w:trPr>
        <w:tc>
          <w:tcPr>
            <w:tcW w:w="876" w:type="dxa"/>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5366" w:type="dxa"/>
            <w:tcMar>
              <w:top w:w="0" w:type="dxa"/>
              <w:left w:w="108" w:type="dxa"/>
              <w:bottom w:w="0" w:type="dxa"/>
              <w:right w:w="108" w:type="dxa"/>
            </w:tcMar>
            <w:vAlign w:val="center"/>
          </w:tcPr>
          <w:p>
            <w:pPr>
              <w:widowControl/>
              <w:spacing w:line="360" w:lineRule="auto"/>
              <w:ind w:firstLine="48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符合条件的残疾人福利性单位设备</w:t>
            </w:r>
          </w:p>
        </w:tc>
        <w:tc>
          <w:tcPr>
            <w:tcW w:w="2997" w:type="dxa"/>
            <w:tcMar>
              <w:top w:w="0" w:type="dxa"/>
              <w:left w:w="108" w:type="dxa"/>
              <w:bottom w:w="0" w:type="dxa"/>
              <w:right w:w="108" w:type="dxa"/>
            </w:tcMar>
            <w:vAlign w:val="center"/>
          </w:tcPr>
          <w:p>
            <w:pPr>
              <w:widowControl/>
              <w:spacing w:line="360" w:lineRule="auto"/>
              <w:ind w:firstLine="480" w:firstLineChars="20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r>
    </w:tbl>
    <w:p>
      <w:pPr>
        <w:pStyle w:val="64"/>
        <w:rPr>
          <w:rFonts w:hint="eastAsia" w:ascii="仿宋" w:hAnsi="仿宋" w:eastAsia="仿宋" w:cs="仿宋"/>
          <w:szCs w:val="24"/>
          <w:highlight w:val="none"/>
        </w:rPr>
      </w:pPr>
    </w:p>
    <w:p>
      <w:pPr>
        <w:tabs>
          <w:tab w:val="left" w:pos="3544"/>
        </w:tabs>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2）关于小微企业、监狱企业、福利性单位的说明：</w:t>
      </w:r>
    </w:p>
    <w:p>
      <w:pPr>
        <w:pStyle w:val="42"/>
        <w:widowControl w:val="0"/>
        <w:tabs>
          <w:tab w:val="left" w:pos="3544"/>
        </w:tabs>
        <w:wordWrap w:val="0"/>
        <w:topLinePunct/>
        <w:spacing w:before="0" w:beforeAutospacing="0" w:after="0" w:afterAutospacing="0" w:line="360" w:lineRule="auto"/>
        <w:ind w:firstLine="480" w:firstLineChars="200"/>
        <w:rPr>
          <w:rFonts w:hint="eastAsia" w:ascii="仿宋" w:hAnsi="仿宋" w:eastAsia="仿宋" w:cs="仿宋"/>
          <w:highlight w:val="none"/>
        </w:rPr>
      </w:pPr>
      <w:r>
        <w:rPr>
          <w:rFonts w:hint="eastAsia" w:ascii="仿宋" w:hAnsi="仿宋" w:eastAsia="仿宋" w:cs="仿宋"/>
          <w:kern w:val="2"/>
          <w:highlight w:val="none"/>
        </w:rPr>
        <w:t>A.扣除后的价格只作为其评标价，但不作为其中标价格。</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w:t>
      </w:r>
      <w:r>
        <w:rPr>
          <w:rFonts w:hint="eastAsia" w:ascii="仿宋" w:hAnsi="仿宋" w:eastAsia="仿宋" w:cs="仿宋"/>
          <w:b/>
          <w:sz w:val="24"/>
          <w:szCs w:val="24"/>
          <w:highlight w:val="none"/>
        </w:rPr>
        <w:t>.满足价格扣除的，须在报价一览表备注栏中注明扣除类型，并按相关政策填写声明函、提供相应证明材料</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对未在报价一览表备注栏中注明是否属于小微企业/监狱企业/福利性单位的或未按照相关政策规定要求填写声明函或未提供有效证明材料的，在评审时不予扣除</w:t>
      </w:r>
      <w:r>
        <w:rPr>
          <w:rFonts w:hint="eastAsia" w:ascii="仿宋" w:hAnsi="仿宋" w:eastAsia="仿宋" w:cs="仿宋"/>
          <w:sz w:val="24"/>
          <w:szCs w:val="24"/>
          <w:highlight w:val="none"/>
        </w:rPr>
        <w:t>；</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C.</w:t>
      </w:r>
      <w:r>
        <w:rPr>
          <w:rFonts w:hint="eastAsia" w:ascii="仿宋" w:hAnsi="仿宋" w:eastAsia="仿宋" w:cs="仿宋"/>
          <w:sz w:val="24"/>
          <w:szCs w:val="24"/>
          <w:highlight w:val="none"/>
          <w:u w:val="single"/>
        </w:rPr>
        <w:t>供应商属于小微企业的须提供声明函（供应商不是投标产品生产厂家的，其所投产品及所代理产品的生产厂家也须满足小微企业认定要求）；监狱企业应由省级以上监狱管理局、戒毒管理局(含新疆生产建设兵团)出具；残疾人福利性单位根据上述相关政策规定及格式提供声明函/证明材料</w:t>
      </w:r>
      <w:r>
        <w:rPr>
          <w:rFonts w:hint="eastAsia" w:ascii="仿宋" w:hAnsi="仿宋" w:eastAsia="仿宋" w:cs="仿宋"/>
          <w:sz w:val="24"/>
          <w:szCs w:val="24"/>
          <w:highlight w:val="none"/>
        </w:rPr>
        <w:t>；</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D.同属监狱企业、福利性单位、小型微型企业的，不重复享受政策；</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E.</w:t>
      </w:r>
      <w:r>
        <w:rPr>
          <w:rFonts w:hint="eastAsia" w:ascii="仿宋" w:hAnsi="仿宋" w:eastAsia="仿宋" w:cs="仿宋"/>
          <w:sz w:val="24"/>
          <w:szCs w:val="24"/>
          <w:highlight w:val="none"/>
          <w:u w:val="single"/>
        </w:rPr>
        <w:t>投标产品列入中国政府采购网公布的最新节能产品政府采购品目清单或环境标志产品政府采购品目清单，提供国家确定的认证机构出具的、处于有效期之内的节能产品、环境标志产品认证证书</w:t>
      </w:r>
      <w:r>
        <w:rPr>
          <w:rFonts w:hint="eastAsia" w:ascii="仿宋" w:hAnsi="仿宋" w:eastAsia="仿宋" w:cs="仿宋"/>
          <w:sz w:val="24"/>
          <w:szCs w:val="24"/>
          <w:highlight w:val="none"/>
        </w:rPr>
        <w:t>，供应商能够提供有效认证证书的在评审时予以加分。</w:t>
      </w:r>
    </w:p>
    <w:p>
      <w:pPr>
        <w:topLinePunct/>
        <w:spacing w:line="360" w:lineRule="auto"/>
        <w:ind w:firstLine="482" w:firstLineChars="20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评分要素一览表</w:t>
      </w:r>
    </w:p>
    <w:tbl>
      <w:tblPr>
        <w:tblStyle w:val="47"/>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07"/>
        <w:gridCol w:w="675"/>
        <w:gridCol w:w="720"/>
        <w:gridCol w:w="6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评审项目</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类别</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分值</w:t>
            </w:r>
          </w:p>
        </w:tc>
        <w:tc>
          <w:tcPr>
            <w:tcW w:w="657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1"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rPr>
                <w:rFonts w:hint="eastAsia" w:ascii="仿宋" w:hAnsi="仿宋" w:eastAsia="仿宋" w:cs="仿宋"/>
                <w:highlight w:val="none"/>
              </w:rPr>
            </w:pPr>
            <w:r>
              <w:rPr>
                <w:rFonts w:hint="eastAsia" w:ascii="仿宋" w:hAnsi="仿宋" w:eastAsia="仿宋" w:cs="仿宋"/>
                <w:highlight w:val="none"/>
              </w:rPr>
              <w:t>投标报价</w:t>
            </w:r>
          </w:p>
          <w:p>
            <w:pPr>
              <w:spacing w:line="300" w:lineRule="exac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35</w:t>
            </w:r>
            <w:r>
              <w:rPr>
                <w:rFonts w:hint="eastAsia" w:ascii="仿宋" w:hAnsi="仿宋" w:eastAsia="仿宋" w:cs="仿宋"/>
                <w:highlight w:val="none"/>
              </w:rPr>
              <w:t>分）</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rPr>
                <w:rFonts w:hint="eastAsia" w:ascii="仿宋" w:hAnsi="仿宋" w:eastAsia="仿宋" w:cs="仿宋"/>
                <w:highlight w:val="none"/>
              </w:rPr>
            </w:pPr>
            <w:r>
              <w:rPr>
                <w:rFonts w:hint="eastAsia" w:ascii="仿宋" w:hAnsi="仿宋" w:eastAsia="仿宋" w:cs="仿宋"/>
                <w:highlight w:val="none"/>
              </w:rPr>
              <w:t>投标</w:t>
            </w:r>
          </w:p>
          <w:p>
            <w:pPr>
              <w:spacing w:line="300" w:lineRule="exact"/>
              <w:rPr>
                <w:rFonts w:hint="eastAsia" w:ascii="仿宋" w:hAnsi="仿宋" w:eastAsia="仿宋" w:cs="仿宋"/>
                <w:highlight w:val="none"/>
              </w:rPr>
            </w:pPr>
            <w:r>
              <w:rPr>
                <w:rFonts w:hint="eastAsia" w:ascii="仿宋" w:hAnsi="仿宋" w:eastAsia="仿宋" w:cs="仿宋"/>
                <w:highlight w:val="none"/>
              </w:rPr>
              <w:t>报价</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lang w:val="en-US" w:eastAsia="zh-CN"/>
              </w:rPr>
              <w:t>35</w:t>
            </w:r>
            <w:r>
              <w:rPr>
                <w:rFonts w:hint="eastAsia" w:ascii="仿宋" w:hAnsi="仿宋" w:eastAsia="仿宋" w:cs="仿宋"/>
                <w:highlight w:val="none"/>
              </w:rPr>
              <w:t>分</w:t>
            </w:r>
          </w:p>
        </w:tc>
        <w:tc>
          <w:tcPr>
            <w:tcW w:w="657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rPr>
                <w:rFonts w:hint="eastAsia" w:ascii="仿宋" w:hAnsi="仿宋" w:eastAsia="仿宋" w:cs="仿宋"/>
                <w:highlight w:val="none"/>
              </w:rPr>
            </w:pPr>
            <w:r>
              <w:rPr>
                <w:rFonts w:hint="eastAsia" w:ascii="仿宋" w:hAnsi="仿宋" w:eastAsia="仿宋" w:cs="仿宋"/>
                <w:highlight w:val="none"/>
              </w:rPr>
              <w:t>价格分统一采用低价优先法计算：价格分=</w:t>
            </w:r>
            <w:r>
              <w:rPr>
                <w:rFonts w:hint="eastAsia" w:ascii="仿宋" w:hAnsi="仿宋" w:eastAsia="仿宋" w:cs="仿宋"/>
                <w:highlight w:val="none"/>
                <w:lang w:val="en-US" w:eastAsia="zh-CN"/>
              </w:rPr>
              <w:t>35</w:t>
            </w:r>
            <w:r>
              <w:rPr>
                <w:rFonts w:hint="eastAsia" w:ascii="仿宋" w:hAnsi="仿宋" w:eastAsia="仿宋" w:cs="仿宋"/>
                <w:highlight w:val="none"/>
              </w:rPr>
              <w:t>×Pmin/ Pn</w:t>
            </w:r>
          </w:p>
          <w:p>
            <w:pPr>
              <w:spacing w:line="300" w:lineRule="exact"/>
              <w:rPr>
                <w:rFonts w:hint="eastAsia" w:ascii="仿宋" w:hAnsi="仿宋" w:eastAsia="仿宋" w:cs="仿宋"/>
                <w:highlight w:val="none"/>
              </w:rPr>
            </w:pPr>
            <w:r>
              <w:rPr>
                <w:rFonts w:hint="eastAsia" w:ascii="仿宋" w:hAnsi="仿宋" w:eastAsia="仿宋" w:cs="仿宋"/>
                <w:highlight w:val="none"/>
              </w:rPr>
              <w:t>Pmin：合格投标人投标报价中的最低价，Pn：第n个投标人的投标报价。价格分计算“四舍五入”保留二位小数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9"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60" w:lineRule="exact"/>
              <w:rPr>
                <w:rFonts w:hint="eastAsia" w:ascii="仿宋" w:hAnsi="仿宋" w:eastAsia="仿宋" w:cs="仿宋"/>
                <w:highlight w:val="none"/>
              </w:rPr>
            </w:pPr>
            <w:r>
              <w:rPr>
                <w:rFonts w:hint="eastAsia" w:ascii="仿宋" w:hAnsi="仿宋" w:eastAsia="仿宋" w:cs="仿宋"/>
                <w:highlight w:val="none"/>
              </w:rPr>
              <w:t>技术方案（27分）</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rPr>
                <w:rFonts w:hint="eastAsia" w:ascii="仿宋" w:hAnsi="仿宋" w:eastAsia="仿宋" w:cs="仿宋"/>
                <w:highlight w:val="none"/>
              </w:rPr>
            </w:pPr>
            <w:r>
              <w:rPr>
                <w:rFonts w:hint="eastAsia" w:ascii="仿宋" w:hAnsi="仿宋" w:eastAsia="仿宋" w:cs="仿宋"/>
                <w:highlight w:val="none"/>
              </w:rPr>
              <w:t>技术</w:t>
            </w:r>
          </w:p>
          <w:p>
            <w:pPr>
              <w:spacing w:line="300" w:lineRule="exact"/>
              <w:rPr>
                <w:rFonts w:hint="eastAsia" w:ascii="仿宋" w:hAnsi="仿宋" w:eastAsia="仿宋" w:cs="仿宋"/>
                <w:highlight w:val="none"/>
              </w:rPr>
            </w:pPr>
            <w:r>
              <w:rPr>
                <w:rFonts w:hint="eastAsia" w:ascii="仿宋" w:hAnsi="仿宋" w:eastAsia="仿宋" w:cs="仿宋"/>
                <w:highlight w:val="none"/>
              </w:rPr>
              <w:t>响应</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60" w:lineRule="exact"/>
              <w:rPr>
                <w:rFonts w:hint="eastAsia" w:ascii="仿宋" w:hAnsi="仿宋" w:eastAsia="仿宋" w:cs="仿宋"/>
                <w:highlight w:val="none"/>
              </w:rPr>
            </w:pPr>
            <w:r>
              <w:rPr>
                <w:rFonts w:hint="eastAsia" w:ascii="仿宋" w:hAnsi="仿宋" w:eastAsia="仿宋" w:cs="仿宋"/>
                <w:highlight w:val="none"/>
              </w:rPr>
              <w:t>27分</w:t>
            </w:r>
          </w:p>
        </w:tc>
        <w:tc>
          <w:tcPr>
            <w:tcW w:w="657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rPr>
                <w:rFonts w:hint="eastAsia" w:ascii="仿宋" w:hAnsi="仿宋" w:eastAsia="仿宋" w:cs="仿宋"/>
                <w:highlight w:val="none"/>
              </w:rPr>
            </w:pPr>
            <w:r>
              <w:rPr>
                <w:rFonts w:hint="eastAsia" w:ascii="仿宋" w:hAnsi="仿宋" w:eastAsia="仿宋" w:cs="仿宋"/>
                <w:highlight w:val="none"/>
              </w:rPr>
              <w:t>1.所投货物技术参数指标等符合招标文件、行业技术标准的要求应用，根据响应程度计0~10分,具体为：完全响应得10分；负偏离一项扣2分，扣完为止。</w:t>
            </w:r>
          </w:p>
          <w:p>
            <w:pPr>
              <w:spacing w:line="300" w:lineRule="exact"/>
              <w:rPr>
                <w:rFonts w:hint="eastAsia" w:ascii="仿宋" w:hAnsi="仿宋" w:eastAsia="仿宋" w:cs="仿宋"/>
                <w:highlight w:val="none"/>
              </w:rPr>
            </w:pPr>
            <w:r>
              <w:rPr>
                <w:rFonts w:hint="eastAsia" w:ascii="仿宋" w:hAnsi="仿宋" w:eastAsia="仿宋" w:cs="仿宋"/>
                <w:highlight w:val="none"/>
              </w:rPr>
              <w:t>2.主要“★”项产品相关资料：投标产品附有详细的产品技术资料（产品来源渠道、产品彩页、国家级检测机构质量证明文件等），缺少一项资料，此产品资料不得分，根据响应程度计0~12分。</w:t>
            </w:r>
          </w:p>
          <w:p>
            <w:pPr>
              <w:spacing w:line="300" w:lineRule="exact"/>
              <w:rPr>
                <w:rFonts w:hint="eastAsia" w:ascii="仿宋" w:hAnsi="仿宋" w:eastAsia="仿宋" w:cs="仿宋"/>
                <w:highlight w:val="none"/>
              </w:rPr>
            </w:pPr>
            <w:r>
              <w:rPr>
                <w:rFonts w:hint="eastAsia" w:ascii="仿宋" w:hAnsi="仿宋" w:eastAsia="仿宋" w:cs="仿宋"/>
                <w:highlight w:val="none"/>
              </w:rPr>
              <w:t>3. 所投产品功能齐全，实用性强，性能良好，符合采购要求，根据所投产品的优劣程度，横向对比计分，完全满足计4-5分，比较满足计3-4分，一般满足计1-2分，不响应本项计0分。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1" w:hRule="atLeast"/>
          <w:jc w:val="center"/>
        </w:trPr>
        <w:tc>
          <w:tcPr>
            <w:tcW w:w="110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履约能力（</w:t>
            </w:r>
            <w:r>
              <w:rPr>
                <w:rFonts w:hint="eastAsia" w:ascii="仿宋" w:hAnsi="仿宋" w:eastAsia="仿宋" w:cs="仿宋"/>
                <w:highlight w:val="none"/>
                <w:lang w:val="en-US" w:eastAsia="zh-CN"/>
              </w:rPr>
              <w:t>38</w:t>
            </w:r>
            <w:r>
              <w:rPr>
                <w:rFonts w:hint="eastAsia" w:ascii="仿宋" w:hAnsi="仿宋" w:eastAsia="仿宋" w:cs="仿宋"/>
                <w:highlight w:val="none"/>
              </w:rPr>
              <w:t>分）</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实施方案</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15分</w:t>
            </w:r>
          </w:p>
        </w:tc>
        <w:tc>
          <w:tcPr>
            <w:tcW w:w="657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项目实施方案具有全面性、可行性、针对性，方案明确，布局规范，可保障设备及操作安全且能考虑到用户的实际使用情况，质量技术组织措施完善,根据响应程度计0~15分，具体为：完全满足计11-15分，比较满足计6-10分，一般满足计1-5分，不响应本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1" w:hRule="atLeast"/>
          <w:jc w:val="center"/>
        </w:trPr>
        <w:tc>
          <w:tcPr>
            <w:tcW w:w="11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站房建设方案</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分</w:t>
            </w:r>
          </w:p>
        </w:tc>
        <w:tc>
          <w:tcPr>
            <w:tcW w:w="657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站房建设内容和标准明确，做法具体、详细，可行性强，满足采购要求。根据详细程度，完全满足计</w:t>
            </w:r>
            <w:r>
              <w:rPr>
                <w:rFonts w:hint="eastAsia" w:ascii="仿宋" w:hAnsi="仿宋" w:eastAsia="仿宋" w:cs="仿宋"/>
                <w:highlight w:val="none"/>
                <w:lang w:val="en-US" w:eastAsia="zh-CN"/>
              </w:rPr>
              <w:t>4-5</w:t>
            </w:r>
            <w:r>
              <w:rPr>
                <w:rFonts w:hint="eastAsia" w:ascii="仿宋" w:hAnsi="仿宋" w:eastAsia="仿宋" w:cs="仿宋"/>
                <w:highlight w:val="none"/>
              </w:rPr>
              <w:t>分，比较满足计</w:t>
            </w:r>
            <w:r>
              <w:rPr>
                <w:rFonts w:hint="eastAsia" w:ascii="仿宋" w:hAnsi="仿宋" w:eastAsia="仿宋" w:cs="仿宋"/>
                <w:highlight w:val="none"/>
                <w:lang w:val="en-US" w:eastAsia="zh-CN"/>
              </w:rPr>
              <w:t>2-3</w:t>
            </w:r>
            <w:r>
              <w:rPr>
                <w:rFonts w:hint="eastAsia" w:ascii="仿宋" w:hAnsi="仿宋" w:eastAsia="仿宋" w:cs="仿宋"/>
                <w:highlight w:val="none"/>
              </w:rPr>
              <w:t>分，一般满足计</w:t>
            </w:r>
            <w:r>
              <w:rPr>
                <w:rFonts w:hint="eastAsia" w:ascii="仿宋" w:hAnsi="仿宋" w:eastAsia="仿宋" w:cs="仿宋"/>
                <w:highlight w:val="none"/>
                <w:lang w:val="en-US" w:eastAsia="zh-CN"/>
              </w:rPr>
              <w:t>1</w:t>
            </w:r>
            <w:r>
              <w:rPr>
                <w:rFonts w:hint="eastAsia" w:ascii="仿宋" w:hAnsi="仿宋" w:eastAsia="仿宋" w:cs="仿宋"/>
                <w:highlight w:val="none"/>
              </w:rPr>
              <w:t>分，不响应本项计0分。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1" w:hRule="atLeast"/>
          <w:jc w:val="center"/>
        </w:trPr>
        <w:tc>
          <w:tcPr>
            <w:tcW w:w="11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contextualSpacing/>
              <w:rPr>
                <w:rFonts w:hint="eastAsia" w:ascii="仿宋" w:hAnsi="仿宋" w:eastAsia="仿宋" w:cs="仿宋"/>
                <w:highlight w:val="none"/>
              </w:rPr>
            </w:pPr>
            <w:r>
              <w:rPr>
                <w:rFonts w:hint="eastAsia" w:ascii="仿宋" w:hAnsi="仿宋" w:eastAsia="仿宋" w:cs="仿宋"/>
                <w:highlight w:val="none"/>
              </w:rPr>
              <w:t>售后</w:t>
            </w:r>
          </w:p>
          <w:p>
            <w:pPr>
              <w:spacing w:line="300" w:lineRule="exact"/>
              <w:contextualSpacing/>
              <w:rPr>
                <w:rFonts w:hint="eastAsia" w:ascii="仿宋" w:hAnsi="仿宋" w:eastAsia="仿宋" w:cs="仿宋"/>
                <w:highlight w:val="none"/>
              </w:rPr>
            </w:pPr>
            <w:r>
              <w:rPr>
                <w:rFonts w:hint="eastAsia" w:ascii="仿宋" w:hAnsi="仿宋" w:eastAsia="仿宋" w:cs="仿宋"/>
                <w:highlight w:val="none"/>
              </w:rPr>
              <w:t>服务</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10分</w:t>
            </w:r>
          </w:p>
        </w:tc>
        <w:tc>
          <w:tcPr>
            <w:tcW w:w="6573" w:type="dxa"/>
            <w:tcBorders>
              <w:top w:val="single" w:color="auto" w:sz="4" w:space="0"/>
              <w:left w:val="single" w:color="auto" w:sz="4" w:space="0"/>
              <w:bottom w:val="single" w:color="auto" w:sz="4" w:space="0"/>
              <w:right w:val="single" w:color="auto" w:sz="4" w:space="0"/>
            </w:tcBorders>
            <w:shd w:val="clear" w:color="auto" w:fill="FFFFFF"/>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完全承诺招标文件和合同条款的要求，并针对本项目实际需求提供实质性承诺及保修服务方案，根据响应程度，完全满足计8-10分，比较满足计5-7分，一般满足计1-4分，不响应本项计0分。。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2" w:hRule="atLeast"/>
          <w:jc w:val="center"/>
        </w:trPr>
        <w:tc>
          <w:tcPr>
            <w:tcW w:w="11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contextualSpacing/>
              <w:rPr>
                <w:rFonts w:hint="eastAsia" w:ascii="仿宋" w:hAnsi="仿宋" w:eastAsia="仿宋" w:cs="仿宋"/>
                <w:highlight w:val="none"/>
              </w:rPr>
            </w:pPr>
            <w:r>
              <w:rPr>
                <w:rFonts w:hint="eastAsia" w:ascii="仿宋" w:hAnsi="仿宋" w:eastAsia="仿宋" w:cs="仿宋"/>
                <w:highlight w:val="none"/>
              </w:rPr>
              <w:t>应急方案</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contextualSpacing/>
              <w:rPr>
                <w:rFonts w:hint="eastAsia" w:ascii="仿宋" w:hAnsi="仿宋" w:eastAsia="仿宋" w:cs="仿宋"/>
                <w:highlight w:val="none"/>
              </w:rPr>
            </w:pPr>
            <w:r>
              <w:rPr>
                <w:rFonts w:hint="eastAsia" w:ascii="仿宋" w:hAnsi="仿宋" w:eastAsia="仿宋" w:cs="仿宋"/>
                <w:highlight w:val="none"/>
              </w:rPr>
              <w:t>6分</w:t>
            </w:r>
          </w:p>
        </w:tc>
        <w:tc>
          <w:tcPr>
            <w:tcW w:w="6573" w:type="dxa"/>
            <w:tcBorders>
              <w:top w:val="single" w:color="auto" w:sz="4" w:space="0"/>
              <w:left w:val="single" w:color="auto" w:sz="4" w:space="0"/>
              <w:bottom w:val="single" w:color="auto" w:sz="4" w:space="0"/>
              <w:right w:val="single" w:color="auto" w:sz="4" w:space="0"/>
            </w:tcBorders>
            <w:shd w:val="clear" w:color="auto" w:fill="FFFFFF"/>
          </w:tcPr>
          <w:p>
            <w:pPr>
              <w:spacing w:line="300" w:lineRule="exact"/>
              <w:contextualSpacing/>
              <w:rPr>
                <w:rFonts w:hint="eastAsia" w:ascii="仿宋" w:hAnsi="仿宋" w:eastAsia="仿宋" w:cs="仿宋"/>
                <w:highlight w:val="none"/>
              </w:rPr>
            </w:pPr>
            <w:r>
              <w:rPr>
                <w:rFonts w:hint="eastAsia" w:ascii="仿宋" w:hAnsi="仿宋" w:eastAsia="仿宋" w:cs="仿宋"/>
                <w:highlight w:val="none"/>
              </w:rPr>
              <w:t>针对突发事件有具体可行的应急措施和解决方案，有明确的承诺，根据方案的优劣程度，横向对比，完全满足计4-6，一般满足计1-3，不响应本项计0分。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92" w:hRule="atLeast"/>
          <w:jc w:val="center"/>
        </w:trPr>
        <w:tc>
          <w:tcPr>
            <w:tcW w:w="110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contextualSpacing/>
              <w:rPr>
                <w:rFonts w:hint="eastAsia" w:ascii="仿宋" w:hAnsi="仿宋" w:eastAsia="仿宋" w:cs="仿宋"/>
                <w:highlight w:val="none"/>
              </w:rPr>
            </w:pPr>
            <w:r>
              <w:rPr>
                <w:rFonts w:hint="eastAsia" w:ascii="仿宋" w:hAnsi="仿宋" w:eastAsia="仿宋" w:cs="仿宋"/>
                <w:highlight w:val="none"/>
              </w:rPr>
              <w:t>业绩</w:t>
            </w:r>
          </w:p>
          <w:p>
            <w:pPr>
              <w:spacing w:line="300" w:lineRule="exact"/>
              <w:contextualSpacing/>
              <w:rPr>
                <w:rFonts w:hint="eastAsia" w:ascii="仿宋" w:hAnsi="仿宋" w:eastAsia="仿宋" w:cs="仿宋"/>
                <w:highlight w:val="none"/>
              </w:rPr>
            </w:pPr>
            <w:r>
              <w:rPr>
                <w:rFonts w:hint="eastAsia" w:ascii="仿宋" w:hAnsi="仿宋" w:eastAsia="仿宋" w:cs="仿宋"/>
                <w:highlight w:val="none"/>
              </w:rPr>
              <w:t>证明</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contextualSpacing/>
              <w:rPr>
                <w:rFonts w:hint="eastAsia" w:ascii="仿宋" w:hAnsi="仿宋" w:eastAsia="仿宋" w:cs="仿宋"/>
                <w:highlight w:val="none"/>
              </w:rPr>
            </w:pPr>
            <w:r>
              <w:rPr>
                <w:rFonts w:hint="eastAsia" w:ascii="仿宋" w:hAnsi="仿宋" w:eastAsia="仿宋" w:cs="仿宋"/>
                <w:highlight w:val="none"/>
              </w:rPr>
              <w:t>2分</w:t>
            </w:r>
          </w:p>
        </w:tc>
        <w:tc>
          <w:tcPr>
            <w:tcW w:w="657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contextualSpacing/>
              <w:rPr>
                <w:rFonts w:hint="eastAsia" w:ascii="仿宋" w:hAnsi="仿宋" w:eastAsia="仿宋" w:cs="仿宋"/>
                <w:highlight w:val="none"/>
              </w:rPr>
            </w:pPr>
            <w:r>
              <w:rPr>
                <w:rFonts w:hint="eastAsia" w:ascii="仿宋" w:hAnsi="仿宋" w:eastAsia="仿宋" w:cs="仿宋"/>
                <w:highlight w:val="none"/>
              </w:rPr>
              <w:t>提供2019年1月1日以来供应商或设备制造商类似项目的业绩证明文件（附业绩合同复印件），每份0.5分，满分2分。（以合同签订日期为准），未提供不得分。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07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00" w:lineRule="exact"/>
              <w:rPr>
                <w:rFonts w:hint="eastAsia" w:ascii="仿宋" w:hAnsi="仿宋" w:eastAsia="仿宋" w:cs="仿宋"/>
                <w:highlight w:val="none"/>
              </w:rPr>
            </w:pPr>
            <w:r>
              <w:rPr>
                <w:rFonts w:hint="eastAsia" w:ascii="仿宋" w:hAnsi="仿宋" w:eastAsia="仿宋" w:cs="仿宋"/>
                <w:highlight w:val="none"/>
              </w:rPr>
              <w:t>注：以上“证明材料”等均以复印件加盖单位公章装订于投标文件正副本中，无复印件、或因复印件不完整或模糊辨识不清引起的无效不计分等，责任由投标人自行承担；评标委员会将根据投标文件的响应程度按差别独立计分；本评分要素一览表满分100分。</w:t>
            </w:r>
          </w:p>
        </w:tc>
      </w:tr>
    </w:tbl>
    <w:p>
      <w:pPr>
        <w:wordWrap w:val="0"/>
        <w:topLinePunct/>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5、推荐中标候选人</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根据上述评分要素一览表的分值分配计算，详细评审出各供应商的综合得分，并按得分从高到低顺序推荐前三名为中标候选人。综合得分相同的，按投标报价由低到高顺序排列，综合得分且投标报价相同的，按技术证明及方案得分从高到低排列。</w:t>
      </w:r>
    </w:p>
    <w:p>
      <w:pPr>
        <w:wordWrap w:val="0"/>
        <w:topLinePunct/>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6、评标报告</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6.1采购代理机构应当在评标结束后2个工作日内将评标报告送采购人。</w:t>
      </w:r>
    </w:p>
    <w:p>
      <w:pPr>
        <w:wordWrap w:val="0"/>
        <w:topLinePunct/>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7.定标</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7.1采购人在收到评标报告之日起5个工作日内，在评标报告确定的中标候选人名单中按顺序确定中标人，中标候选人并列的由采购人确定中标人，采购人在规定时间未按评标报告顺序确定中标人，又不能说明合法理由的，视同确定评标报告推荐顺序。</w:t>
      </w:r>
    </w:p>
    <w:p>
      <w:pPr>
        <w:wordWrap w:val="0"/>
        <w:topLinePunct/>
        <w:spacing w:line="360" w:lineRule="auto"/>
        <w:ind w:firstLine="480" w:firstLineChars="200"/>
        <w:jc w:val="left"/>
        <w:rPr>
          <w:rFonts w:hint="eastAsia" w:ascii="仿宋" w:hAnsi="仿宋" w:eastAsia="仿宋" w:cs="仿宋"/>
          <w:b/>
          <w:bCs/>
          <w:sz w:val="24"/>
          <w:szCs w:val="24"/>
          <w:highlight w:val="none"/>
        </w:rPr>
      </w:pPr>
      <w:r>
        <w:rPr>
          <w:rFonts w:hint="eastAsia" w:ascii="仿宋" w:hAnsi="仿宋" w:eastAsia="仿宋" w:cs="仿宋"/>
          <w:sz w:val="24"/>
          <w:szCs w:val="24"/>
          <w:highlight w:val="none"/>
        </w:rPr>
        <w:t>7.2采购代理机构自中标人确定之日起2个工作日内，在陕西省政府采购网发布结果公告，同时向中标人发出中标通知书，中标通知书发出后，采购人无理由不得改变中</w:t>
      </w:r>
      <w:r>
        <w:rPr>
          <w:rFonts w:hint="eastAsia" w:ascii="仿宋" w:hAnsi="仿宋" w:eastAsia="仿宋" w:cs="仿宋"/>
          <w:b/>
          <w:bCs/>
          <w:sz w:val="24"/>
          <w:szCs w:val="24"/>
          <w:highlight w:val="none"/>
        </w:rPr>
        <w:t>标结果，中标人无正当理由不得放弃中标。</w:t>
      </w:r>
    </w:p>
    <w:p>
      <w:pPr>
        <w:wordWrap w:val="0"/>
        <w:topLinePunct/>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8、替补候选人的设定与使用</w:t>
      </w:r>
    </w:p>
    <w:p>
      <w:pPr>
        <w:wordWrap w:val="0"/>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中标人因不可抗力或自身原因不能履行政府采购合同的，采购人可以按照排序从其他中标候选人中确定中标人或者重新组织采购活动。</w:t>
      </w:r>
    </w:p>
    <w:p>
      <w:pP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pPr>
        <w:jc w:val="center"/>
        <w:outlineLvl w:val="0"/>
        <w:rPr>
          <w:rFonts w:hint="eastAsia" w:ascii="仿宋" w:hAnsi="仿宋" w:eastAsia="仿宋" w:cs="仿宋"/>
          <w:b/>
          <w:sz w:val="36"/>
          <w:szCs w:val="36"/>
          <w:highlight w:val="none"/>
        </w:rPr>
      </w:pPr>
      <w:bookmarkStart w:id="144" w:name="_Toc29375"/>
      <w:r>
        <w:rPr>
          <w:rFonts w:hint="eastAsia" w:ascii="仿宋" w:hAnsi="仿宋" w:eastAsia="仿宋" w:cs="仿宋"/>
          <w:b/>
          <w:sz w:val="36"/>
          <w:szCs w:val="36"/>
          <w:highlight w:val="none"/>
        </w:rPr>
        <w:t>第五部分 合同格式（参考文本）</w:t>
      </w:r>
      <w:bookmarkEnd w:id="144"/>
    </w:p>
    <w:p>
      <w:pPr>
        <w:rPr>
          <w:rFonts w:hint="eastAsia" w:ascii="仿宋" w:hAnsi="仿宋" w:eastAsia="仿宋" w:cs="仿宋"/>
          <w:highlight w:val="none"/>
        </w:rPr>
      </w:pPr>
    </w:p>
    <w:p>
      <w:pPr>
        <w:jc w:val="center"/>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（本部分合同格式为中标后，签订采购合同时参考使用文本）</w:t>
      </w:r>
    </w:p>
    <w:p>
      <w:pPr>
        <w:rPr>
          <w:rFonts w:hint="eastAsia" w:ascii="仿宋" w:hAnsi="仿宋" w:eastAsia="仿宋" w:cs="仿宋"/>
          <w:sz w:val="24"/>
          <w:szCs w:val="24"/>
          <w:highlight w:val="none"/>
        </w:rPr>
      </w:pPr>
    </w:p>
    <w:p>
      <w:pPr>
        <w:wordWrap w:val="0"/>
        <w:topLinePunct/>
        <w:snapToGrid w:val="0"/>
        <w:spacing w:line="360" w:lineRule="auto"/>
        <w:ind w:firstLine="482" w:firstLineChars="200"/>
        <w:contextualSpacing/>
        <w:jc w:val="left"/>
        <w:rPr>
          <w:rFonts w:hint="eastAsia" w:ascii="仿宋" w:hAnsi="仿宋" w:eastAsia="仿宋" w:cs="仿宋"/>
          <w:b/>
          <w:sz w:val="24"/>
          <w:szCs w:val="24"/>
          <w:highlight w:val="none"/>
          <w:u w:val="single"/>
          <w:lang w:val="zh-CN"/>
        </w:rPr>
      </w:pPr>
      <w:r>
        <w:rPr>
          <w:rFonts w:hint="eastAsia" w:ascii="仿宋" w:hAnsi="仿宋" w:eastAsia="仿宋" w:cs="仿宋"/>
          <w:b/>
          <w:sz w:val="24"/>
          <w:szCs w:val="24"/>
          <w:highlight w:val="none"/>
          <w:lang w:val="zh-CN"/>
        </w:rPr>
        <w:t>甲方：</w:t>
      </w:r>
      <w:r>
        <w:rPr>
          <w:rFonts w:hint="eastAsia" w:ascii="仿宋" w:hAnsi="仿宋" w:eastAsia="仿宋" w:cs="仿宋"/>
          <w:b/>
          <w:sz w:val="24"/>
          <w:szCs w:val="24"/>
          <w:highlight w:val="none"/>
          <w:u w:val="single"/>
          <w:lang w:val="zh-CN"/>
        </w:rPr>
        <w:t>（</w:t>
      </w:r>
      <w:r>
        <w:rPr>
          <w:rFonts w:hint="eastAsia" w:ascii="仿宋" w:hAnsi="仿宋" w:eastAsia="仿宋" w:cs="仿宋"/>
          <w:b/>
          <w:sz w:val="24"/>
          <w:szCs w:val="24"/>
          <w:highlight w:val="none"/>
          <w:u w:val="single"/>
        </w:rPr>
        <w:t>采购人</w:t>
      </w:r>
      <w:r>
        <w:rPr>
          <w:rFonts w:hint="eastAsia" w:ascii="仿宋" w:hAnsi="仿宋" w:eastAsia="仿宋" w:cs="仿宋"/>
          <w:b/>
          <w:sz w:val="24"/>
          <w:szCs w:val="24"/>
          <w:highlight w:val="none"/>
          <w:u w:val="single"/>
          <w:lang w:val="zh-CN"/>
        </w:rPr>
        <w:t>）</w:t>
      </w:r>
    </w:p>
    <w:p>
      <w:pPr>
        <w:wordWrap w:val="0"/>
        <w:topLinePunct/>
        <w:snapToGrid w:val="0"/>
        <w:spacing w:line="360" w:lineRule="auto"/>
        <w:ind w:firstLine="482" w:firstLineChars="200"/>
        <w:contextualSpacing/>
        <w:jc w:val="left"/>
        <w:rPr>
          <w:rFonts w:hint="eastAsia" w:ascii="仿宋" w:hAnsi="仿宋" w:eastAsia="仿宋" w:cs="仿宋"/>
          <w:b/>
          <w:sz w:val="24"/>
          <w:szCs w:val="24"/>
          <w:highlight w:val="none"/>
          <w:u w:val="single"/>
          <w:lang w:val="zh-CN"/>
        </w:rPr>
      </w:pPr>
      <w:r>
        <w:rPr>
          <w:rFonts w:hint="eastAsia" w:ascii="仿宋" w:hAnsi="仿宋" w:eastAsia="仿宋" w:cs="仿宋"/>
          <w:b/>
          <w:sz w:val="24"/>
          <w:szCs w:val="24"/>
          <w:highlight w:val="none"/>
          <w:lang w:val="zh-CN"/>
        </w:rPr>
        <w:t>乙方：</w:t>
      </w:r>
      <w:r>
        <w:rPr>
          <w:rFonts w:hint="eastAsia" w:ascii="仿宋" w:hAnsi="仿宋" w:eastAsia="仿宋" w:cs="仿宋"/>
          <w:b/>
          <w:sz w:val="24"/>
          <w:szCs w:val="24"/>
          <w:highlight w:val="none"/>
          <w:u w:val="single"/>
          <w:lang w:val="zh-CN"/>
        </w:rPr>
        <w:t>（</w:t>
      </w:r>
      <w:r>
        <w:rPr>
          <w:rFonts w:hint="eastAsia" w:ascii="仿宋" w:hAnsi="仿宋" w:eastAsia="仿宋" w:cs="仿宋"/>
          <w:b/>
          <w:sz w:val="24"/>
          <w:szCs w:val="24"/>
          <w:highlight w:val="none"/>
          <w:u w:val="single"/>
        </w:rPr>
        <w:t>中标人</w:t>
      </w:r>
      <w:r>
        <w:rPr>
          <w:rFonts w:hint="eastAsia" w:ascii="仿宋" w:hAnsi="仿宋" w:eastAsia="仿宋" w:cs="仿宋"/>
          <w:b/>
          <w:sz w:val="24"/>
          <w:szCs w:val="24"/>
          <w:highlight w:val="none"/>
          <w:u w:val="single"/>
          <w:lang w:val="zh-CN"/>
        </w:rPr>
        <w:t>）</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项目名称(项目编号)</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zh-CN"/>
        </w:rPr>
        <w:t>渭南市财政局</w:t>
      </w:r>
      <w:r>
        <w:rPr>
          <w:rFonts w:hint="eastAsia" w:ascii="仿宋" w:hAnsi="仿宋" w:eastAsia="仿宋" w:cs="仿宋"/>
          <w:sz w:val="24"/>
          <w:szCs w:val="24"/>
          <w:highlight w:val="none"/>
        </w:rPr>
        <w:t>的全程监督管理下，由</w:t>
      </w:r>
      <w:r>
        <w:rPr>
          <w:rFonts w:hint="eastAsia" w:ascii="仿宋" w:hAnsi="仿宋" w:eastAsia="仿宋" w:cs="仿宋"/>
          <w:sz w:val="24"/>
          <w:szCs w:val="24"/>
          <w:highlight w:val="none"/>
          <w:u w:val="single"/>
        </w:rPr>
        <w:t xml:space="preserve"> 陕西利隆建设项目管理有限公司 </w:t>
      </w:r>
      <w:r>
        <w:rPr>
          <w:rFonts w:hint="eastAsia" w:ascii="仿宋" w:hAnsi="仿宋" w:eastAsia="仿宋" w:cs="仿宋"/>
          <w:sz w:val="24"/>
          <w:szCs w:val="24"/>
          <w:highlight w:val="none"/>
        </w:rPr>
        <w:t>组织公开招标。经评审委员会评审推荐，</w:t>
      </w:r>
      <w:r>
        <w:rPr>
          <w:rFonts w:hint="eastAsia" w:ascii="仿宋" w:hAnsi="仿宋" w:eastAsia="仿宋" w:cs="仿宋"/>
          <w:sz w:val="24"/>
          <w:szCs w:val="24"/>
          <w:highlight w:val="none"/>
          <w:u w:val="single"/>
        </w:rPr>
        <w:t xml:space="preserve">  采购人　</w:t>
      </w:r>
      <w:r>
        <w:rPr>
          <w:rFonts w:hint="eastAsia" w:ascii="仿宋" w:hAnsi="仿宋" w:eastAsia="仿宋" w:cs="仿宋"/>
          <w:sz w:val="24"/>
          <w:szCs w:val="24"/>
          <w:highlight w:val="none"/>
        </w:rPr>
        <w:t>确认</w:t>
      </w:r>
      <w:r>
        <w:rPr>
          <w:rFonts w:hint="eastAsia" w:ascii="仿宋" w:hAnsi="仿宋" w:eastAsia="仿宋" w:cs="仿宋"/>
          <w:sz w:val="24"/>
          <w:szCs w:val="24"/>
          <w:highlight w:val="none"/>
          <w:u w:val="single"/>
        </w:rPr>
        <w:t xml:space="preserve">  中标人  </w:t>
      </w:r>
      <w:r>
        <w:rPr>
          <w:rFonts w:hint="eastAsia" w:ascii="仿宋" w:hAnsi="仿宋" w:eastAsia="仿宋" w:cs="仿宋"/>
          <w:sz w:val="24"/>
          <w:szCs w:val="24"/>
          <w:highlight w:val="none"/>
        </w:rPr>
        <w:t>为本项目</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包中标人。</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依据《中华人民共和国合同法》和《中华人民共和国政府采购法》，经双方协商，于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日按下述条款和条件签署本合同。</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甲方通过公开招标方式，接受了乙方以总金额</w:t>
      </w:r>
      <w:r>
        <w:rPr>
          <w:rFonts w:hint="eastAsia" w:ascii="仿宋" w:hAnsi="仿宋" w:eastAsia="仿宋" w:cs="仿宋"/>
          <w:sz w:val="24"/>
          <w:szCs w:val="24"/>
          <w:highlight w:val="none"/>
          <w:u w:val="single"/>
        </w:rPr>
        <w:t xml:space="preserve"> 大写（￥小写） </w:t>
      </w:r>
      <w:r>
        <w:rPr>
          <w:rFonts w:hint="eastAsia" w:ascii="仿宋" w:hAnsi="仿宋" w:eastAsia="仿宋" w:cs="仿宋"/>
          <w:sz w:val="24"/>
          <w:szCs w:val="24"/>
          <w:highlight w:val="none"/>
        </w:rPr>
        <w:t>下简称“合同价”)提供合同条款附件所述货物和服务。</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本合同在此声明如下：</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1、本合同中的词语和术语的含义与合同条款中定义的相同。</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2、下述文件是本合同的一部分，并与本合同一起阅读和解释：</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2-1、合同通用条款</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2-2、合同条款附件（如有）</w:t>
      </w:r>
    </w:p>
    <w:p>
      <w:pPr>
        <w:wordWrap w:val="0"/>
        <w:topLinePunct/>
        <w:snapToGrid w:val="0"/>
        <w:spacing w:line="360" w:lineRule="auto"/>
        <w:ind w:firstLine="1200" w:firstLineChars="5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附件1-货物清单</w:t>
      </w:r>
    </w:p>
    <w:p>
      <w:pPr>
        <w:wordWrap w:val="0"/>
        <w:topLinePunct/>
        <w:snapToGrid w:val="0"/>
        <w:spacing w:line="360" w:lineRule="auto"/>
        <w:ind w:firstLine="1200" w:firstLineChars="5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附件2-服务承诺</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2-3、中标通知书</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2-4、招标文件</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2-5、投标文件</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2-6、澄清或承诺函（如有）</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2-7、甲乙双方协商的其他条款</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3、考虑到甲方将按照本合同向乙方支付货款，乙方在此保证全部按照合同的规定向甲方提供货物和服务，并修补缺陷。</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4、考虑到乙方提供的货物和服务并修补缺陷，甲方在此保证按照合同规定的时间和方式向乙方支付合同价或其他按合同规定应支付的金额。</w:t>
      </w:r>
    </w:p>
    <w:p>
      <w:pPr>
        <w:wordWrap w:val="0"/>
        <w:topLinePunct/>
        <w:snapToGrid w:val="0"/>
        <w:spacing w:line="360" w:lineRule="auto"/>
        <w:ind w:firstLine="480" w:firstLineChars="20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5、本合同一式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份，其中，甲方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份，乙方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份，采购代理机构</w:t>
      </w:r>
      <w:r>
        <w:rPr>
          <w:rFonts w:hint="eastAsia" w:ascii="仿宋" w:hAnsi="仿宋" w:eastAsia="仿宋" w:cs="仿宋"/>
          <w:sz w:val="24"/>
          <w:szCs w:val="24"/>
          <w:highlight w:val="none"/>
          <w:u w:val="single"/>
        </w:rPr>
        <w:t xml:space="preserve"> 壹 </w:t>
      </w:r>
      <w:r>
        <w:rPr>
          <w:rFonts w:hint="eastAsia" w:ascii="仿宋" w:hAnsi="仿宋" w:eastAsia="仿宋" w:cs="仿宋"/>
          <w:sz w:val="24"/>
          <w:szCs w:val="24"/>
          <w:highlight w:val="none"/>
        </w:rPr>
        <w:t>份。</w:t>
      </w:r>
    </w:p>
    <w:tbl>
      <w:tblPr>
        <w:tblStyle w:val="47"/>
        <w:tblW w:w="8328" w:type="dxa"/>
        <w:jc w:val="center"/>
        <w:tblLayout w:type="fixed"/>
        <w:tblCellMar>
          <w:top w:w="0" w:type="dxa"/>
          <w:left w:w="108" w:type="dxa"/>
          <w:bottom w:w="0" w:type="dxa"/>
          <w:right w:w="108" w:type="dxa"/>
        </w:tblCellMar>
      </w:tblPr>
      <w:tblGrid>
        <w:gridCol w:w="4051"/>
        <w:gridCol w:w="4277"/>
      </w:tblGrid>
      <w:tr>
        <w:trPr>
          <w:trHeight w:val="5412" w:hRule="atLeast"/>
          <w:jc w:val="center"/>
        </w:trPr>
        <w:tc>
          <w:tcPr>
            <w:tcW w:w="4051" w:type="dxa"/>
            <w:tcMar>
              <w:top w:w="113" w:type="dxa"/>
              <w:left w:w="113" w:type="dxa"/>
              <w:bottom w:w="113" w:type="dxa"/>
              <w:right w:w="113" w:type="dxa"/>
            </w:tcMar>
          </w:tcPr>
          <w:p>
            <w:pPr>
              <w:wordWrap w:val="0"/>
              <w:topLinePunct/>
              <w:snapToGrid w:val="0"/>
              <w:spacing w:line="400" w:lineRule="exact"/>
              <w:contextualSpacing/>
              <w:jc w:val="left"/>
              <w:rPr>
                <w:rFonts w:hint="eastAsia" w:ascii="仿宋" w:hAnsi="仿宋" w:eastAsia="仿宋" w:cs="仿宋"/>
                <w:sz w:val="24"/>
                <w:szCs w:val="24"/>
                <w:highlight w:val="none"/>
              </w:rPr>
            </w:pPr>
            <w:r>
              <w:rPr>
                <w:rFonts w:hint="eastAsia" w:ascii="仿宋" w:hAnsi="仿宋" w:eastAsia="仿宋" w:cs="仿宋"/>
                <w:b/>
                <w:kern w:val="0"/>
                <w:sz w:val="24"/>
                <w:szCs w:val="24"/>
                <w:highlight w:val="none"/>
              </w:rPr>
              <w:t>甲方名称：</w:t>
            </w:r>
          </w:p>
          <w:p>
            <w:pPr>
              <w:wordWrap w:val="0"/>
              <w:topLinePunct/>
              <w:snapToGrid w:val="0"/>
              <w:spacing w:line="400" w:lineRule="exact"/>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wordWrap w:val="0"/>
              <w:topLinePunct/>
              <w:snapToGrid w:val="0"/>
              <w:spacing w:line="400" w:lineRule="exact"/>
              <w:contextualSpacing/>
              <w:jc w:val="left"/>
              <w:rPr>
                <w:rFonts w:hint="eastAsia" w:ascii="仿宋" w:hAnsi="仿宋" w:eastAsia="仿宋" w:cs="仿宋"/>
                <w:kern w:val="0"/>
                <w:sz w:val="24"/>
                <w:szCs w:val="24"/>
                <w:highlight w:val="none"/>
              </w:rPr>
            </w:pPr>
            <w:r>
              <w:rPr>
                <w:rFonts w:hint="eastAsia" w:ascii="仿宋" w:hAnsi="仿宋" w:eastAsia="仿宋" w:cs="仿宋"/>
                <w:b/>
                <w:kern w:val="0"/>
                <w:sz w:val="24"/>
                <w:szCs w:val="24"/>
                <w:highlight w:val="none"/>
              </w:rPr>
              <w:t>甲方地址：</w:t>
            </w:r>
            <w:r>
              <w:rPr>
                <w:rFonts w:hint="eastAsia" w:ascii="仿宋" w:hAnsi="仿宋" w:eastAsia="仿宋" w:cs="仿宋"/>
                <w:kern w:val="0"/>
                <w:sz w:val="24"/>
                <w:szCs w:val="24"/>
                <w:highlight w:val="none"/>
              </w:rPr>
              <w:t xml:space="preserve"> </w:t>
            </w:r>
          </w:p>
          <w:p>
            <w:pPr>
              <w:wordWrap w:val="0"/>
              <w:topLinePunct/>
              <w:snapToGrid w:val="0"/>
              <w:spacing w:line="400" w:lineRule="exact"/>
              <w:contextualSpacing/>
              <w:jc w:val="left"/>
              <w:rPr>
                <w:rFonts w:hint="eastAsia" w:ascii="仿宋" w:hAnsi="仿宋" w:eastAsia="仿宋" w:cs="仿宋"/>
                <w:sz w:val="24"/>
                <w:szCs w:val="24"/>
                <w:highlight w:val="none"/>
              </w:rPr>
            </w:pPr>
            <w:r>
              <w:rPr>
                <w:rFonts w:hint="eastAsia" w:ascii="仿宋" w:hAnsi="仿宋" w:eastAsia="仿宋" w:cs="仿宋"/>
                <w:b/>
                <w:kern w:val="0"/>
                <w:sz w:val="24"/>
                <w:szCs w:val="24"/>
                <w:highlight w:val="none"/>
              </w:rPr>
              <w:t>电    话：</w:t>
            </w:r>
          </w:p>
          <w:p>
            <w:pPr>
              <w:wordWrap w:val="0"/>
              <w:topLinePunct/>
              <w:snapToGrid w:val="0"/>
              <w:spacing w:line="400" w:lineRule="exact"/>
              <w:contextualSpacing/>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传    真：</w:t>
            </w:r>
          </w:p>
          <w:p>
            <w:pPr>
              <w:wordWrap w:val="0"/>
              <w:topLinePunct/>
              <w:snapToGrid w:val="0"/>
              <w:spacing w:line="400" w:lineRule="exact"/>
              <w:contextualSpacing/>
              <w:jc w:val="left"/>
              <w:rPr>
                <w:rFonts w:hint="eastAsia" w:ascii="仿宋" w:hAnsi="仿宋" w:eastAsia="仿宋" w:cs="仿宋"/>
                <w:kern w:val="0"/>
                <w:sz w:val="24"/>
                <w:szCs w:val="24"/>
                <w:highlight w:val="none"/>
              </w:rPr>
            </w:pPr>
            <w:r>
              <w:rPr>
                <w:rFonts w:hint="eastAsia" w:ascii="仿宋" w:hAnsi="仿宋" w:eastAsia="仿宋" w:cs="仿宋"/>
                <w:b/>
                <w:kern w:val="0"/>
                <w:sz w:val="24"/>
                <w:szCs w:val="24"/>
                <w:highlight w:val="none"/>
              </w:rPr>
              <w:t>邮    编：</w:t>
            </w:r>
          </w:p>
          <w:p>
            <w:pPr>
              <w:wordWrap w:val="0"/>
              <w:topLinePunct/>
              <w:snapToGrid w:val="0"/>
              <w:spacing w:line="400" w:lineRule="exact"/>
              <w:contextualSpacing/>
              <w:jc w:val="left"/>
              <w:rPr>
                <w:rFonts w:hint="eastAsia" w:ascii="仿宋" w:hAnsi="仿宋" w:eastAsia="仿宋" w:cs="仿宋"/>
                <w:b/>
                <w:kern w:val="0"/>
                <w:sz w:val="24"/>
                <w:szCs w:val="24"/>
                <w:highlight w:val="none"/>
              </w:rPr>
            </w:pPr>
          </w:p>
          <w:p>
            <w:pPr>
              <w:wordWrap w:val="0"/>
              <w:topLinePunct/>
              <w:snapToGrid w:val="0"/>
              <w:spacing w:line="400" w:lineRule="exact"/>
              <w:contextualSpacing/>
              <w:jc w:val="left"/>
              <w:rPr>
                <w:rFonts w:hint="eastAsia" w:ascii="仿宋" w:hAnsi="仿宋" w:eastAsia="仿宋" w:cs="仿宋"/>
                <w:b/>
                <w:kern w:val="0"/>
                <w:sz w:val="24"/>
                <w:szCs w:val="24"/>
                <w:highlight w:val="none"/>
              </w:rPr>
            </w:pPr>
          </w:p>
          <w:p>
            <w:pPr>
              <w:wordWrap w:val="0"/>
              <w:topLinePunct/>
              <w:snapToGrid w:val="0"/>
              <w:spacing w:line="400" w:lineRule="exact"/>
              <w:contextualSpacing/>
              <w:jc w:val="left"/>
              <w:rPr>
                <w:rFonts w:hint="eastAsia" w:ascii="仿宋" w:hAnsi="仿宋" w:eastAsia="仿宋" w:cs="仿宋"/>
                <w:b/>
                <w:kern w:val="0"/>
                <w:sz w:val="24"/>
                <w:szCs w:val="24"/>
                <w:highlight w:val="none"/>
              </w:rPr>
            </w:pPr>
          </w:p>
          <w:p>
            <w:pPr>
              <w:wordWrap w:val="0"/>
              <w:topLinePunct/>
              <w:snapToGrid w:val="0"/>
              <w:spacing w:line="400" w:lineRule="exact"/>
              <w:contextualSpacing/>
              <w:jc w:val="left"/>
              <w:rPr>
                <w:rFonts w:hint="eastAsia" w:ascii="仿宋" w:hAnsi="仿宋" w:eastAsia="仿宋" w:cs="仿宋"/>
                <w:b/>
                <w:kern w:val="0"/>
                <w:sz w:val="24"/>
                <w:szCs w:val="24"/>
                <w:highlight w:val="none"/>
              </w:rPr>
            </w:pPr>
          </w:p>
          <w:p>
            <w:pPr>
              <w:wordWrap w:val="0"/>
              <w:topLinePunct/>
              <w:snapToGrid w:val="0"/>
              <w:spacing w:line="400" w:lineRule="exact"/>
              <w:contextualSpacing/>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甲方代表签字：</w:t>
            </w:r>
          </w:p>
          <w:p>
            <w:pPr>
              <w:wordWrap w:val="0"/>
              <w:topLinePunct/>
              <w:snapToGrid w:val="0"/>
              <w:spacing w:before="240" w:beforeLines="100" w:line="400" w:lineRule="exact"/>
              <w:contextualSpacing/>
              <w:jc w:val="left"/>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t>甲方盖章：</w:t>
            </w:r>
          </w:p>
        </w:tc>
        <w:tc>
          <w:tcPr>
            <w:tcW w:w="4277" w:type="dxa"/>
          </w:tcPr>
          <w:p>
            <w:pPr>
              <w:wordWrap w:val="0"/>
              <w:topLinePunct/>
              <w:snapToGrid w:val="0"/>
              <w:spacing w:line="400" w:lineRule="exact"/>
              <w:ind w:left="1205" w:hanging="1205" w:hangingChars="500"/>
              <w:contextualSpacing/>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乙方名称：</w:t>
            </w:r>
          </w:p>
          <w:p>
            <w:pPr>
              <w:wordWrap w:val="0"/>
              <w:topLinePunct/>
              <w:snapToGrid w:val="0"/>
              <w:spacing w:line="400" w:lineRule="exact"/>
              <w:ind w:left="1205" w:hanging="1205" w:hangingChars="500"/>
              <w:contextualSpacing/>
              <w:jc w:val="left"/>
              <w:rPr>
                <w:rFonts w:hint="eastAsia" w:ascii="仿宋" w:hAnsi="仿宋" w:eastAsia="仿宋" w:cs="仿宋"/>
                <w:b/>
                <w:kern w:val="0"/>
                <w:sz w:val="24"/>
                <w:szCs w:val="24"/>
                <w:highlight w:val="none"/>
              </w:rPr>
            </w:pPr>
          </w:p>
          <w:p>
            <w:pPr>
              <w:wordWrap w:val="0"/>
              <w:topLinePunct/>
              <w:snapToGrid w:val="0"/>
              <w:spacing w:line="400" w:lineRule="exact"/>
              <w:ind w:left="1205" w:hanging="1205" w:hangingChars="500"/>
              <w:contextualSpacing/>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乙方地址：</w:t>
            </w:r>
          </w:p>
          <w:p>
            <w:pPr>
              <w:wordWrap w:val="0"/>
              <w:topLinePunct/>
              <w:snapToGrid w:val="0"/>
              <w:spacing w:line="400" w:lineRule="exact"/>
              <w:contextualSpacing/>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电    话：</w:t>
            </w:r>
          </w:p>
          <w:p>
            <w:pPr>
              <w:wordWrap w:val="0"/>
              <w:topLinePunct/>
              <w:snapToGrid w:val="0"/>
              <w:spacing w:line="400" w:lineRule="exact"/>
              <w:contextualSpacing/>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传    真：</w:t>
            </w:r>
          </w:p>
          <w:p>
            <w:pPr>
              <w:wordWrap w:val="0"/>
              <w:topLinePunct/>
              <w:snapToGrid w:val="0"/>
              <w:spacing w:line="400" w:lineRule="exact"/>
              <w:contextualSpacing/>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邮    编：</w:t>
            </w:r>
          </w:p>
          <w:p>
            <w:pPr>
              <w:wordWrap w:val="0"/>
              <w:topLinePunct/>
              <w:snapToGrid w:val="0"/>
              <w:spacing w:line="380" w:lineRule="exact"/>
              <w:ind w:left="1181" w:hanging="1181" w:hangingChars="490"/>
              <w:contextualSpacing/>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开户银行：</w:t>
            </w:r>
          </w:p>
          <w:p>
            <w:pPr>
              <w:wordWrap w:val="0"/>
              <w:topLinePunct/>
              <w:snapToGrid w:val="0"/>
              <w:spacing w:line="380" w:lineRule="exact"/>
              <w:ind w:left="1181" w:hanging="1181" w:hangingChars="490"/>
              <w:contextualSpacing/>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帐    号：</w:t>
            </w:r>
          </w:p>
          <w:p>
            <w:pPr>
              <w:wordWrap w:val="0"/>
              <w:topLinePunct/>
              <w:snapToGrid w:val="0"/>
              <w:spacing w:line="380" w:lineRule="exact"/>
              <w:contextualSpacing/>
              <w:jc w:val="left"/>
              <w:rPr>
                <w:rFonts w:hint="eastAsia" w:ascii="仿宋" w:hAnsi="仿宋" w:eastAsia="仿宋" w:cs="仿宋"/>
                <w:b/>
                <w:kern w:val="0"/>
                <w:sz w:val="24"/>
                <w:szCs w:val="24"/>
                <w:highlight w:val="none"/>
              </w:rPr>
            </w:pPr>
          </w:p>
          <w:p>
            <w:pPr>
              <w:wordWrap w:val="0"/>
              <w:topLinePunct/>
              <w:snapToGrid w:val="0"/>
              <w:spacing w:line="400" w:lineRule="exact"/>
              <w:contextualSpacing/>
              <w:jc w:val="left"/>
              <w:rPr>
                <w:rFonts w:hint="eastAsia" w:ascii="仿宋" w:hAnsi="仿宋" w:eastAsia="仿宋" w:cs="仿宋"/>
                <w:b/>
                <w:kern w:val="0"/>
                <w:sz w:val="24"/>
                <w:szCs w:val="24"/>
                <w:highlight w:val="none"/>
              </w:rPr>
            </w:pPr>
          </w:p>
          <w:p>
            <w:pPr>
              <w:wordWrap w:val="0"/>
              <w:topLinePunct/>
              <w:snapToGrid w:val="0"/>
              <w:spacing w:line="400" w:lineRule="exact"/>
              <w:contextualSpacing/>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乙方代表签字：</w:t>
            </w:r>
          </w:p>
          <w:p>
            <w:pPr>
              <w:wordWrap w:val="0"/>
              <w:topLinePunct/>
              <w:snapToGrid w:val="0"/>
              <w:spacing w:before="240" w:beforeLines="100" w:line="400" w:lineRule="exact"/>
              <w:contextualSpacing/>
              <w:jc w:val="left"/>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t>乙方盖章：</w:t>
            </w:r>
          </w:p>
        </w:tc>
      </w:tr>
    </w:tbl>
    <w:p>
      <w:pPr>
        <w:rPr>
          <w:rFonts w:hint="eastAsia" w:ascii="仿宋" w:hAnsi="仿宋" w:eastAsia="仿宋" w:cs="仿宋"/>
          <w:highlight w:val="none"/>
        </w:rPr>
      </w:pPr>
    </w:p>
    <w:p>
      <w:pPr>
        <w:rPr>
          <w:rFonts w:hint="eastAsia" w:ascii="仿宋" w:hAnsi="仿宋" w:eastAsia="仿宋" w:cs="仿宋"/>
          <w:b/>
          <w:sz w:val="36"/>
          <w:szCs w:val="36"/>
          <w:highlight w:val="none"/>
        </w:rPr>
      </w:pPr>
      <w:bookmarkStart w:id="145" w:name="_Toc9965370"/>
      <w:r>
        <w:rPr>
          <w:rFonts w:hint="eastAsia" w:ascii="仿宋" w:hAnsi="仿宋" w:eastAsia="仿宋" w:cs="仿宋"/>
          <w:b/>
          <w:sz w:val="36"/>
          <w:szCs w:val="36"/>
          <w:highlight w:val="none"/>
        </w:rPr>
        <w:br w:type="page"/>
      </w:r>
    </w:p>
    <w:p>
      <w:pPr>
        <w:jc w:val="center"/>
        <w:outlineLvl w:val="0"/>
        <w:rPr>
          <w:rFonts w:hint="eastAsia" w:ascii="仿宋" w:hAnsi="仿宋" w:eastAsia="仿宋" w:cs="仿宋"/>
          <w:b/>
          <w:sz w:val="36"/>
          <w:szCs w:val="36"/>
          <w:highlight w:val="none"/>
        </w:rPr>
      </w:pPr>
      <w:bookmarkStart w:id="146" w:name="_Toc27524"/>
      <w:r>
        <w:rPr>
          <w:rFonts w:hint="eastAsia" w:ascii="仿宋" w:hAnsi="仿宋" w:eastAsia="仿宋" w:cs="仿宋"/>
          <w:b/>
          <w:sz w:val="36"/>
          <w:szCs w:val="36"/>
          <w:highlight w:val="none"/>
        </w:rPr>
        <w:t>合同通用条款</w:t>
      </w:r>
      <w:bookmarkEnd w:id="145"/>
      <w:r>
        <w:rPr>
          <w:rFonts w:hint="eastAsia" w:ascii="仿宋" w:hAnsi="仿宋" w:eastAsia="仿宋" w:cs="仿宋"/>
          <w:b/>
          <w:sz w:val="36"/>
          <w:szCs w:val="36"/>
          <w:highlight w:val="none"/>
        </w:rPr>
        <w:t>（参考文本）</w:t>
      </w:r>
      <w:bookmarkEnd w:id="146"/>
    </w:p>
    <w:p>
      <w:pPr>
        <w:rPr>
          <w:rFonts w:hint="eastAsia" w:ascii="仿宋" w:hAnsi="仿宋" w:eastAsia="仿宋" w:cs="仿宋"/>
          <w:sz w:val="22"/>
          <w:highlight w:val="none"/>
        </w:rPr>
      </w:pPr>
    </w:p>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（本部分合同通用条款为中标后，签订采购合同时参考使用文本）</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1.定义</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本合同下列术语应解释为：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(1)“合同”指甲乙双方签署的、合同格式中载明的甲乙双方所达成的协议，包括所有的附件、附录和上述文件所提到的构成合同的所有文件；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(2)“合同价”指根据合同规定乙方在正确地完全履行合同义务后甲方应支付给乙方的价格；</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(3)“货物”指乙方根据合同规定须向甲方提供的一切货物、设备、材料、备件、工具和／或其它材料；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(4)“服务”指根据合同规定乙方承担的与供货有关的辅助服务，比如运输、保险以及其它的伴随服务，比如安装、调试、提供技术援助、培训和合同中规定乙方应承担的其它义务；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(5)“项目现场”指本合同项下货物安装、运行的场地；</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(6)“天”指日历天数。</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2.适用性</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 本合同条款适用于没有被本项目招标文件规定条款、中标人投标文件承诺条款所取代的范围。</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3.技术规格</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 本合同下交付的货物必须等同或优于本项目招标文件“技术要求与商务要求”所述的标准。若乙方在其投标文件中承诺的技术标准优于本项目招标文件“技术要求与商务要求”所述标准的，按投标文件的承诺执行。乙方应保证，甲方使用该货物或货物的任何一部分时，免受第三方提出的侵犯其专利权、商标权、著作权或其它知识产权的起诉,并保证提供给甲方的产品所涉及的软件为正版软件。</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4.包装、运输及保险</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乙方负责货物到达交货地点前的所有包装、运输及保险事项，相关费用应包括在合同总价中。货物的运输方式由乙方自行选择，但包装必须满足货物运输和装卸的要求，保证甲方收到的是无任何损伤的货物。否则，因此造成的损失由乙方自行承担。</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5.伴随服务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5.1 乙方应向甲方提供下列所有服务，包括本项目招标文件“技术要求及商务要求”中规定的附加服务（如果有的话）：</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⑴ 实施或监督所供货物的现场组装和/或试运行；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⑵ 提供货物组装和/或维修所需的工具；</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⑶ 为所供货物的每一适当的单台设备提供详细的操作和维护手册；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⑷ 在双方商定的一定期限内对所供货物实施运行或监督或维护或修理，但前提条件是该服务并不能免除乙方在合同保证期内所承担的义务；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⑸ 在乙方或制造厂和/或在项目现场就所供货物的组装、试运行、运行、维护和/或修理对甲方人员进行培训。</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5.2 乙方应提供本项目招标文件“技术要求及商务要求”中规定的所有服务。为履行要求的伴随服务的报价或双方商定的费用应包括在合同价中。</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5.3 如果乙方或制造厂提供的伴随服务的费用未含在货物的合同价中，双方应事先就其达成协议，但其费用单价不应超过乙方向其他人提供类似服务所收取的现行单价。</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6.备品备件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  乙方可能被要求提供下列与备品备件有关的材料、通知和资料：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⑴ 甲方从乙方选购备品备件，但前提条件是该选择并不能免除乙方在合同保证期内所承担的义务；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⑵ 在备品备件停止生产的情况下，乙方应事先将要停止生产的计划通知甲方使甲方有足够的时间采购所需的备品备件；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⑶ 在备品备件停止生产后，如果甲方要求，乙方应免费向甲方提供备品备件的蓝图、图纸和规格。</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  乙方应按照本项目招标文件“技术要求及商务要求”中的规定提供所需的备品备件。</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7.质量保证</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 质量保证期详见招标文件第三部分。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7.2 乙方应保证合同项下所供货物是合同规定厂家制造的、全新的、未使用过的，并完全符合合同规定的质量、规格和性能要求的合格产品。除非合同另有规定，货物应含有设计上和材料的全部最新改进。乙方进一步保证，合同项下提供的全部货物没有设计、材料或工艺上的缺陷，或者没有因乙方的行为或疏忽而产生的缺陷。乙方应保证其货物在正确安装、正常使用和保养条件下，在其使用寿命期内应具有满意的性能。在货物的质量保证期内，乙方对由于设计、工艺或材料的缺陷而产生的故障负责。</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7.3  根据检验结果或者在质量保证期内，如果货物的数量、质量或规格与合同不符，或证实货物是有缺陷的，包括潜在的缺陷，甲方应尽快以书面形式向乙方提出所发现的缺陷。</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7.4  乙方收到通知后应在招标文件规定的时间内以合理的速度免费维修或更换有缺陷的货物或部件。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7.5  如果乙方收到通知后在招标文件规定的时间内没有以合理的速度弥补缺陷，甲方可提出索赔，并可采取必要的补救措施，但其风险和费用将由乙方承担，甲方根据合同规定对乙方行使的其他权力不受影响。</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8.索赔</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8.1 如果乙方对偏差负有责任,而甲方在安装、调试、验收和质量保证期内提出了索赔,乙方应按照甲方同意的下列一种或几种方式结合起来解决索赔事宜：</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⑴ 乙方同意退货并用合同规定的货币将货款退还给甲方，并承担由此发生的一切损失和费用，包括利息、银行手续费、运费、保险费、检验费、仓储费、装卸费以及为看管和保护退回货物所需的其它必要费用；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⑵ 根据货物的偏差情况、损坏程度、以及甲方所遭受损失的金额，经甲乙双方商定降低货物的价格；</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⑶ 用符合合同规定的规格、质量和性能要求的新零件、部件和/或设备来更换有缺陷的部分和/或修补缺陷部分，乙方应承担一切费用和风险并负担甲方蒙受的全部直接损失费用。同时，乙方应按合同条款第7.1条规定，相应延长所更换货物的质量保证期。</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8.2  如果在甲方发出索赔通知后三十（30）天内，乙方未作答复，上述索赔应视为已被乙方接受。如乙方未能在甲方发出索赔通知后三十（30）天内或甲方同意的延长期限内，按照甲方同意的上述规定的任何一种方法解决索赔事宜，甲方将从未付货款中扣回索赔金额。若索赔金额超过未付货款的，乙方必须用已收货款进行弥补。</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9.付款</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9.1 本合同项下的付款方法和条件见招标文件第三部分。</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10.变更指令</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10.1 甲方可以在任何时候书面向乙方发出指令，在本合同的一般范围内变更下述一项或几项：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⑴ 运输或包装的方法；</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⑵ 交货地点；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⑶ 乙方提供的服务。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10.2 如果上述变更使乙方履行合同义务的费用或时间增加或减少，将对合同价或交货时间或两者进行公平的调整，同时相应修改合同。乙方根据本条进行调整的要求必须在收到甲方的变更指令后三十（30）天内提出。</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11.合同修改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除了合同条款第10条的情况，不应对合同条款进行任何变更或修改，除非双方同意并签订书面的合同修改书。</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12.转让</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12.1 未经甲方事先书面同意，乙方不得部分转让或全部转让其应履行的合同义务。</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13.乙方履约延误</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 乙方应按照本项目招标文件“技术要求及商务要求”规定的交货时间交货和提供服务。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13.2 在履行合同过程中，如果乙方遇到妨碍按时交货和提供服务的情况时，应及时以书面形式将拖延的事实、可能拖延的时间和原因通知甲方。甲方在收到乙方通知后，应尽快对情况进行评价，并确定是否同意延长交货时间以及是否收取误期赔偿费。延期应通过修改合同的方式由双方认可。</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13.3 除合同条款第16条规定的情况外,除非拖延是根据合同条款第13.2条的规定取得同意而不收取误期赔偿费之外，乙方延误交货，将按合同条款第14条的规定被收取误期赔偿费。</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14.误期赔偿费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 除合同条款第16条规定的情况外，如果乙方没有按照合同规定的时间交货和提供服务，甲方应在不影响合同项下的其他补救措施的情况下，从合同价中扣除误期赔偿费。每延误一周的赔偿费按合同价的0.5％计收，直至交货或提供服务为止。误期赔偿费的最高限额为合同价格的百分之五（5%）。一旦达到误期赔偿费的最高限额，甲方可根据合同条款第15条的规定终止合同。</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15.违约终止合同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15.1 在甲方对乙方违约而采取的任何补救措施不受影响的情况下，甲方可向乙方发出书面违约通知书，提出终止部分或全部合同：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⑴ 如果乙方未能在合同规定的期限内或甲方根据合同条款第13.2条的规定同意延长的期限内提供部分或全部货物、或误期赔偿费达到最高限额；</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⑵ 如果乙方未能履行合同规定的其它任何义务；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⑶ 如果甲方认为乙方在本合同的竞争和实施过程中有腐败和欺诈行为。为此目的，定义下述条件：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“腐败行为”指提供、给予、接受或索取任何有价值的物品来影响甲方在采购过程或合同实施过程中的行为；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“欺诈行为”指为了影响采购过程或合同实施过程而谎报或隐瞒事实，损害甲方利益的行为。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15.2 如果甲方根据上述第15.1条的规定，终止了全部或部分合同，甲方可以依其认为适当的条件和方法购买与未交货物类似的货物或服务，乙方应承担甲方因购买类似货物或服务而产生的额外支出。但是，乙方应继续执行合同中未终止的部分。</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16.不可抗力</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16.1 签约双方任何一方由于不可抗力事件的影响而不能执行合同时，履行合同的期限应予延长，其延长的期限应相当于事件所影响的时间。不可抗力事件是指甲乙双方在缔结合同时所不能预见的，并且它的发生及其后果是无法避免和无法克服的事件，诸如战争、严重火灾、洪水、台风、地震等。</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16.2 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16.3 因合同一方迟延履行合同后发生不可抗力的，不能免除迟延履行方的相应责任。</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17.因破产而终止合同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17.1 如果乙方破产或无清偿能力，甲方可在任何时候以书面形式通知乙方，提出终止合同而不给乙方补偿。该合同的终止将不损害或影响甲方已经采取或将要采取的任何行动或补救措施的权力。</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18.因甲方的便利而终止合同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18.1 甲方可在任何时候出于自身的便利向乙方发出书面通知全部或部分终止合同，终止通知应明确该终止合同是出于甲方的便利，并明确合同终止的程度，以及终止的生效日期。</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18.2 对乙方收到终止通知后三十（30）天内已完成并准备装运的货物，甲方应按原合同价格和条款予以接收，对于剩下的货物，甲方可：</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⑴ 仅对部分货物按照原来的合同价格和条款予以接受；</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⑵ 取消对所剩货物的采购，并按双方商定的金额向乙方支付部分完成的货物和服务以及乙方以前已采购的材料和部件的费用。</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19.争议的解决</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19.1 因执行本合同所发生的或与本合同有关的一切争议,双方应通过友好协商解决。如果协商开始后六十（60）天还不能解决，任何一方均可按中华人民共和国有关法律的规定提交仲裁。仲裁地点为西安仲裁委员会。</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19.2 仲裁裁决应为最终裁决，对双方均具有约束力。</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19.3 仲裁费除仲裁机关另有裁决外均应由败诉方负担。</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19.4 在仲裁期间,除正在进行仲裁的部分外,本合同其它部分应继续执行。</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20.合同语言</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20.1 本合同语言为中文，双方交换的与合同有关的信函均按此书写。</w:t>
      </w:r>
    </w:p>
    <w:p>
      <w:pPr>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21.计量单位</w:t>
      </w:r>
    </w:p>
    <w:p>
      <w:pPr>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21.1 除技术规范中另有规定外,计量单位均使用中国法定计量单位。</w:t>
      </w:r>
    </w:p>
    <w:p>
      <w:pPr>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22.适用法律</w:t>
      </w:r>
    </w:p>
    <w:p>
      <w:pPr>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22.1 本合同应按照中华人民共和国的现行法律进行解释。</w:t>
      </w:r>
    </w:p>
    <w:p>
      <w:pPr>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23.通知</w:t>
      </w:r>
    </w:p>
    <w:p>
      <w:pPr>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22.1 本合同一方给对方的通知应用书面形式送到合同专用条款中规定的对方地址，传真要经书面确认。</w:t>
      </w:r>
    </w:p>
    <w:p>
      <w:pPr>
        <w:topLinePunct/>
        <w:spacing w:line="360" w:lineRule="auto"/>
        <w:ind w:firstLine="480" w:firstLineChars="200"/>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23.2 通知以送到日期或通知书的生效日期为生效日期，两者中以晚的一个日期为准。</w:t>
      </w:r>
    </w:p>
    <w:p>
      <w:pPr>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24.税款</w:t>
      </w:r>
    </w:p>
    <w:p>
      <w:pPr>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24.1 按照中华人民共和国税法和有关部门的规定，甲方需交纳的与本合同有关的一切税费均应由甲方负担。</w:t>
      </w:r>
    </w:p>
    <w:p>
      <w:pPr>
        <w:topLinePunct/>
        <w:spacing w:line="360" w:lineRule="auto"/>
        <w:ind w:firstLine="480" w:firstLineChars="200"/>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24.2 按照中华人民共和国税法和有关部门的规定，乙方需交纳的与本合同有关的一切税费均应由乙方负担。</w:t>
      </w:r>
    </w:p>
    <w:p>
      <w:pPr>
        <w:topLinePunct/>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25.合同生效</w:t>
      </w:r>
    </w:p>
    <w:p>
      <w:pPr>
        <w:topLinePunct/>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25.1 本合同在甲乙双方加盖公章后生效。</w:t>
      </w:r>
    </w:p>
    <w:p>
      <w:pPr>
        <w:jc w:val="center"/>
        <w:outlineLvl w:val="0"/>
        <w:rPr>
          <w:rFonts w:hint="eastAsia" w:ascii="仿宋" w:hAnsi="仿宋" w:eastAsia="仿宋" w:cs="仿宋"/>
          <w:b/>
          <w:sz w:val="36"/>
          <w:szCs w:val="36"/>
          <w:highlight w:val="none"/>
        </w:rPr>
      </w:pPr>
      <w:bookmarkStart w:id="147" w:name="_Toc30408"/>
      <w:r>
        <w:rPr>
          <w:rFonts w:hint="eastAsia" w:ascii="仿宋" w:hAnsi="仿宋" w:eastAsia="仿宋" w:cs="仿宋"/>
          <w:b/>
          <w:sz w:val="36"/>
          <w:szCs w:val="36"/>
          <w:highlight w:val="none"/>
        </w:rPr>
        <w:t>第六部分 投标文件格式</w:t>
      </w:r>
      <w:bookmarkEnd w:id="147"/>
    </w:p>
    <w:p>
      <w:pPr>
        <w:jc w:val="left"/>
        <w:rPr>
          <w:rFonts w:hint="eastAsia" w:ascii="仿宋" w:hAnsi="仿宋" w:eastAsia="仿宋" w:cs="仿宋"/>
          <w:b/>
          <w:sz w:val="36"/>
          <w:szCs w:val="36"/>
          <w:highlight w:val="none"/>
        </w:rPr>
      </w:pPr>
      <w:r>
        <w:rPr>
          <w:rFonts w:hint="eastAsia" w:ascii="仿宋" w:hAnsi="仿宋" w:eastAsia="仿宋" w:cs="仿宋"/>
          <w:b/>
          <w:sz w:val="36"/>
          <w:szCs w:val="36"/>
          <w:highlight w:val="none"/>
        </w:rPr>
        <w:t>项目编号：</w:t>
      </w:r>
    </w:p>
    <w:p>
      <w:pPr>
        <w:jc w:val="left"/>
        <w:rPr>
          <w:rFonts w:hint="eastAsia" w:ascii="仿宋" w:hAnsi="仿宋" w:eastAsia="仿宋" w:cs="仿宋"/>
          <w:b/>
          <w:sz w:val="36"/>
          <w:szCs w:val="36"/>
          <w:highlight w:val="none"/>
        </w:rPr>
      </w:pPr>
    </w:p>
    <w:p>
      <w:pPr>
        <w:wordWrap w:val="0"/>
        <w:topLinePunct/>
        <w:snapToGrid w:val="0"/>
        <w:spacing w:line="360" w:lineRule="atLeast"/>
        <w:ind w:hanging="420"/>
        <w:contextualSpacing/>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（正本或副本）</w:t>
      </w:r>
    </w:p>
    <w:p>
      <w:pPr>
        <w:wordWrap w:val="0"/>
        <w:topLinePunct/>
        <w:snapToGrid w:val="0"/>
        <w:spacing w:line="360" w:lineRule="atLeast"/>
        <w:ind w:hanging="420"/>
        <w:contextualSpacing/>
        <w:jc w:val="left"/>
        <w:rPr>
          <w:rFonts w:hint="eastAsia" w:ascii="仿宋" w:hAnsi="仿宋" w:eastAsia="仿宋" w:cs="仿宋"/>
          <w:szCs w:val="21"/>
          <w:highlight w:val="none"/>
        </w:rPr>
      </w:pPr>
    </w:p>
    <w:p>
      <w:pPr>
        <w:wordWrap w:val="0"/>
        <w:topLinePunct/>
        <w:snapToGrid w:val="0"/>
        <w:spacing w:line="360" w:lineRule="atLeast"/>
        <w:ind w:hanging="420"/>
        <w:contextualSpacing/>
        <w:jc w:val="left"/>
        <w:rPr>
          <w:rFonts w:hint="eastAsia" w:ascii="仿宋" w:hAnsi="仿宋" w:eastAsia="仿宋" w:cs="仿宋"/>
          <w:szCs w:val="21"/>
          <w:highlight w:val="none"/>
        </w:rPr>
      </w:pPr>
    </w:p>
    <w:p>
      <w:pPr>
        <w:topLinePunct/>
        <w:snapToGrid w:val="0"/>
        <w:spacing w:line="360" w:lineRule="atLeast"/>
        <w:ind w:hanging="964"/>
        <w:contextualSpacing/>
        <w:jc w:val="center"/>
        <w:rPr>
          <w:rFonts w:hint="eastAsia" w:ascii="仿宋" w:hAnsi="仿宋" w:eastAsia="仿宋" w:cs="仿宋"/>
          <w:b/>
          <w:sz w:val="48"/>
          <w:szCs w:val="48"/>
          <w:highlight w:val="none"/>
        </w:rPr>
      </w:pPr>
      <w:r>
        <w:rPr>
          <w:rFonts w:hint="eastAsia" w:ascii="仿宋" w:hAnsi="仿宋" w:eastAsia="仿宋" w:cs="仿宋"/>
          <w:b/>
          <w:sz w:val="44"/>
          <w:szCs w:val="48"/>
          <w:highlight w:val="none"/>
        </w:rPr>
        <w:t xml:space="preserve">     </w:t>
      </w:r>
      <w:r>
        <w:rPr>
          <w:rFonts w:hint="eastAsia" w:ascii="仿宋" w:hAnsi="仿宋" w:eastAsia="仿宋" w:cs="仿宋"/>
          <w:b/>
          <w:sz w:val="44"/>
          <w:szCs w:val="48"/>
          <w:highlight w:val="none"/>
          <w:u w:val="single"/>
        </w:rPr>
        <w:t xml:space="preserve">                      </w:t>
      </w:r>
      <w:r>
        <w:rPr>
          <w:rFonts w:hint="eastAsia" w:ascii="仿宋" w:hAnsi="仿宋" w:eastAsia="仿宋" w:cs="仿宋"/>
          <w:b/>
          <w:sz w:val="44"/>
          <w:szCs w:val="48"/>
          <w:highlight w:val="none"/>
        </w:rPr>
        <w:t>（项目名称）</w:t>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wordWrap w:val="0"/>
        <w:topLinePunct/>
        <w:snapToGrid w:val="0"/>
        <w:spacing w:line="360" w:lineRule="atLeast"/>
        <w:ind w:hanging="1446"/>
        <w:contextualSpacing/>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rPr>
        <w:t>投标文件</w:t>
      </w:r>
    </w:p>
    <w:p>
      <w:pPr>
        <w:wordWrap w:val="0"/>
        <w:topLinePunct/>
        <w:snapToGrid w:val="0"/>
        <w:contextualSpacing/>
        <w:jc w:val="center"/>
        <w:rPr>
          <w:rFonts w:hint="eastAsia" w:ascii="仿宋" w:hAnsi="仿宋" w:eastAsia="仿宋" w:cs="仿宋"/>
          <w:highlight w:val="none"/>
        </w:rPr>
      </w:pPr>
    </w:p>
    <w:p>
      <w:pPr>
        <w:wordWrap w:val="0"/>
        <w:topLinePunct/>
        <w:snapToGrid w:val="0"/>
        <w:contextualSpacing/>
        <w:jc w:val="center"/>
        <w:rPr>
          <w:rFonts w:hint="eastAsia" w:ascii="仿宋" w:hAnsi="仿宋" w:eastAsia="仿宋" w:cs="仿宋"/>
          <w:highlight w:val="none"/>
        </w:rPr>
      </w:pPr>
    </w:p>
    <w:p>
      <w:pPr>
        <w:wordWrap w:val="0"/>
        <w:topLinePunct/>
        <w:snapToGrid w:val="0"/>
        <w:contextualSpacing/>
        <w:jc w:val="center"/>
        <w:rPr>
          <w:rFonts w:hint="eastAsia" w:ascii="仿宋" w:hAnsi="仿宋" w:eastAsia="仿宋" w:cs="仿宋"/>
          <w:highlight w:val="none"/>
        </w:rPr>
      </w:pPr>
    </w:p>
    <w:p>
      <w:pPr>
        <w:wordWrap w:val="0"/>
        <w:topLinePunct/>
        <w:snapToGrid w:val="0"/>
        <w:contextualSpacing/>
        <w:jc w:val="center"/>
        <w:rPr>
          <w:rFonts w:hint="eastAsia" w:ascii="仿宋" w:hAnsi="仿宋" w:eastAsia="仿宋" w:cs="仿宋"/>
          <w:highlight w:val="none"/>
        </w:rPr>
      </w:pPr>
    </w:p>
    <w:p>
      <w:pPr>
        <w:wordWrap w:val="0"/>
        <w:topLinePunct/>
        <w:snapToGrid w:val="0"/>
        <w:contextualSpacing/>
        <w:jc w:val="center"/>
        <w:rPr>
          <w:rFonts w:hint="eastAsia" w:ascii="仿宋" w:hAnsi="仿宋" w:eastAsia="仿宋" w:cs="仿宋"/>
          <w:highlight w:val="none"/>
        </w:rPr>
      </w:pPr>
    </w:p>
    <w:p>
      <w:pPr>
        <w:wordWrap w:val="0"/>
        <w:topLinePunct/>
        <w:snapToGrid w:val="0"/>
        <w:contextualSpacing/>
        <w:jc w:val="center"/>
        <w:rPr>
          <w:rFonts w:hint="eastAsia" w:ascii="仿宋" w:hAnsi="仿宋" w:eastAsia="仿宋" w:cs="仿宋"/>
          <w:highlight w:val="none"/>
        </w:rPr>
      </w:pPr>
    </w:p>
    <w:p>
      <w:pPr>
        <w:wordWrap w:val="0"/>
        <w:topLinePunct/>
        <w:snapToGrid w:val="0"/>
        <w:contextualSpacing/>
        <w:jc w:val="center"/>
        <w:rPr>
          <w:rFonts w:hint="eastAsia" w:ascii="仿宋" w:hAnsi="仿宋" w:eastAsia="仿宋" w:cs="仿宋"/>
          <w:highlight w:val="none"/>
        </w:rPr>
      </w:pPr>
    </w:p>
    <w:p>
      <w:pPr>
        <w:wordWrap w:val="0"/>
        <w:topLinePunct/>
        <w:snapToGrid w:val="0"/>
        <w:contextualSpacing/>
        <w:jc w:val="center"/>
        <w:rPr>
          <w:rFonts w:hint="eastAsia" w:ascii="仿宋" w:hAnsi="仿宋" w:eastAsia="仿宋" w:cs="仿宋"/>
          <w:highlight w:val="none"/>
        </w:rPr>
      </w:pPr>
    </w:p>
    <w:p>
      <w:pPr>
        <w:wordWrap w:val="0"/>
        <w:topLinePunct/>
        <w:snapToGrid w:val="0"/>
        <w:contextualSpacing/>
        <w:jc w:val="center"/>
        <w:rPr>
          <w:rFonts w:hint="eastAsia" w:ascii="仿宋" w:hAnsi="仿宋" w:eastAsia="仿宋" w:cs="仿宋"/>
          <w:highlight w:val="none"/>
        </w:rPr>
      </w:pPr>
    </w:p>
    <w:p>
      <w:pPr>
        <w:wordWrap w:val="0"/>
        <w:topLinePunct/>
        <w:snapToGrid w:val="0"/>
        <w:contextualSpacing/>
        <w:jc w:val="center"/>
        <w:rPr>
          <w:rFonts w:hint="eastAsia" w:ascii="仿宋" w:hAnsi="仿宋" w:eastAsia="仿宋" w:cs="仿宋"/>
          <w:highlight w:val="none"/>
        </w:rPr>
      </w:pPr>
    </w:p>
    <w:p>
      <w:pPr>
        <w:wordWrap w:val="0"/>
        <w:topLinePunct/>
        <w:snapToGrid w:val="0"/>
        <w:contextualSpacing/>
        <w:jc w:val="center"/>
        <w:rPr>
          <w:rFonts w:hint="eastAsia" w:ascii="仿宋" w:hAnsi="仿宋" w:eastAsia="仿宋" w:cs="仿宋"/>
          <w:highlight w:val="none"/>
        </w:rPr>
      </w:pPr>
    </w:p>
    <w:p>
      <w:pPr>
        <w:wordWrap w:val="0"/>
        <w:topLinePunct/>
        <w:snapToGrid w:val="0"/>
        <w:contextualSpacing/>
        <w:jc w:val="center"/>
        <w:rPr>
          <w:rFonts w:hint="eastAsia" w:ascii="仿宋" w:hAnsi="仿宋" w:eastAsia="仿宋" w:cs="仿宋"/>
          <w:highlight w:val="none"/>
        </w:rPr>
      </w:pPr>
    </w:p>
    <w:p>
      <w:pPr>
        <w:wordWrap w:val="0"/>
        <w:topLinePunct/>
        <w:snapToGrid w:val="0"/>
        <w:contextualSpacing/>
        <w:jc w:val="center"/>
        <w:rPr>
          <w:rFonts w:hint="eastAsia" w:ascii="仿宋" w:hAnsi="仿宋" w:eastAsia="仿宋" w:cs="仿宋"/>
          <w:highlight w:val="none"/>
        </w:rPr>
      </w:pPr>
    </w:p>
    <w:p>
      <w:pPr>
        <w:wordWrap w:val="0"/>
        <w:topLinePunct/>
        <w:snapToGrid w:val="0"/>
        <w:spacing w:line="360" w:lineRule="atLeast"/>
        <w:ind w:hanging="480"/>
        <w:contextualSpacing/>
        <w:jc w:val="center"/>
        <w:rPr>
          <w:rFonts w:hint="eastAsia" w:ascii="仿宋" w:hAnsi="仿宋" w:eastAsia="仿宋" w:cs="仿宋"/>
          <w:sz w:val="24"/>
          <w:highlight w:val="none"/>
        </w:rPr>
      </w:pPr>
    </w:p>
    <w:p>
      <w:pPr>
        <w:wordWrap w:val="0"/>
        <w:topLinePunct/>
        <w:snapToGrid w:val="0"/>
        <w:spacing w:line="360" w:lineRule="atLeast"/>
        <w:ind w:hanging="480"/>
        <w:contextualSpacing/>
        <w:jc w:val="center"/>
        <w:rPr>
          <w:rFonts w:hint="eastAsia" w:ascii="仿宋" w:hAnsi="仿宋" w:eastAsia="仿宋" w:cs="仿宋"/>
          <w:sz w:val="24"/>
          <w:highlight w:val="none"/>
        </w:rPr>
      </w:pPr>
    </w:p>
    <w:p>
      <w:pPr>
        <w:wordWrap w:val="0"/>
        <w:topLinePunct/>
        <w:snapToGrid w:val="0"/>
        <w:spacing w:line="360" w:lineRule="atLeast"/>
        <w:ind w:hanging="480"/>
        <w:contextualSpacing/>
        <w:jc w:val="center"/>
        <w:rPr>
          <w:rFonts w:hint="eastAsia" w:ascii="仿宋" w:hAnsi="仿宋" w:eastAsia="仿宋" w:cs="仿宋"/>
          <w:sz w:val="24"/>
          <w:highlight w:val="none"/>
        </w:rPr>
      </w:pPr>
    </w:p>
    <w:p>
      <w:pPr>
        <w:wordWrap w:val="0"/>
        <w:topLinePunct/>
        <w:snapToGrid w:val="0"/>
        <w:spacing w:line="360" w:lineRule="atLeast"/>
        <w:ind w:hanging="480"/>
        <w:contextualSpacing/>
        <w:jc w:val="center"/>
        <w:rPr>
          <w:rFonts w:hint="eastAsia" w:ascii="仿宋" w:hAnsi="仿宋" w:eastAsia="仿宋" w:cs="仿宋"/>
          <w:sz w:val="24"/>
          <w:highlight w:val="none"/>
        </w:rPr>
      </w:pPr>
    </w:p>
    <w:p>
      <w:pPr>
        <w:wordWrap w:val="0"/>
        <w:topLinePunct/>
        <w:snapToGrid w:val="0"/>
        <w:spacing w:line="360" w:lineRule="atLeast"/>
        <w:ind w:firstLine="2240" w:firstLineChars="800"/>
        <w:contextualSpacing/>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（加盖单位公章）</w:t>
      </w:r>
    </w:p>
    <w:p>
      <w:pPr>
        <w:topLinePunct/>
        <w:snapToGrid w:val="0"/>
        <w:spacing w:line="360" w:lineRule="atLeast"/>
        <w:ind w:firstLine="2240" w:firstLineChars="800"/>
        <w:contextualSpacing/>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时    间：</w:t>
      </w:r>
      <w:r>
        <w:rPr>
          <w:rFonts w:hint="eastAsia" w:ascii="仿宋" w:hAnsi="仿宋" w:eastAsia="仿宋" w:cs="仿宋"/>
          <w:sz w:val="28"/>
          <w:szCs w:val="28"/>
          <w:highlight w:val="none"/>
          <w:u w:val="single"/>
        </w:rPr>
        <w:t xml:space="preserve">                 </w:t>
      </w:r>
    </w:p>
    <w:p>
      <w:pPr>
        <w:rPr>
          <w:rFonts w:hint="eastAsia" w:ascii="仿宋" w:hAnsi="仿宋" w:eastAsia="仿宋" w:cs="仿宋"/>
          <w:highlight w:val="none"/>
        </w:rPr>
      </w:pPr>
    </w:p>
    <w:p>
      <w:pPr>
        <w:rPr>
          <w:rFonts w:hint="eastAsia" w:ascii="仿宋" w:hAnsi="仿宋" w:eastAsia="仿宋" w:cs="仿宋"/>
          <w:b/>
          <w:bCs/>
          <w:sz w:val="40"/>
          <w:highlight w:val="none"/>
        </w:rPr>
      </w:pPr>
      <w:r>
        <w:rPr>
          <w:rFonts w:hint="eastAsia" w:ascii="仿宋" w:hAnsi="仿宋" w:eastAsia="仿宋" w:cs="仿宋"/>
          <w:b/>
          <w:bCs/>
          <w:sz w:val="40"/>
          <w:highlight w:val="none"/>
        </w:rPr>
        <w:br w:type="page"/>
      </w:r>
    </w:p>
    <w:p>
      <w:pPr>
        <w:topLinePunct/>
        <w:snapToGrid w:val="0"/>
        <w:spacing w:line="360" w:lineRule="auto"/>
        <w:contextualSpacing/>
        <w:jc w:val="center"/>
        <w:rPr>
          <w:rFonts w:hint="eastAsia" w:ascii="仿宋" w:hAnsi="仿宋" w:eastAsia="仿宋" w:cs="仿宋"/>
          <w:b/>
          <w:bCs/>
          <w:sz w:val="40"/>
          <w:highlight w:val="none"/>
        </w:rPr>
      </w:pPr>
      <w:r>
        <w:rPr>
          <w:rFonts w:hint="eastAsia" w:ascii="仿宋" w:hAnsi="仿宋" w:eastAsia="仿宋" w:cs="仿宋"/>
          <w:b/>
          <w:bCs/>
          <w:sz w:val="40"/>
          <w:highlight w:val="none"/>
        </w:rPr>
        <w:t>目  录</w:t>
      </w:r>
    </w:p>
    <w:p>
      <w:pPr>
        <w:topLinePunct/>
        <w:snapToGrid w:val="0"/>
        <w:spacing w:line="360" w:lineRule="auto"/>
        <w:contextualSpacing/>
        <w:jc w:val="left"/>
        <w:rPr>
          <w:rFonts w:hint="eastAsia" w:ascii="仿宋" w:hAnsi="仿宋" w:eastAsia="仿宋" w:cs="仿宋"/>
          <w:bCs/>
          <w:sz w:val="24"/>
          <w:szCs w:val="24"/>
          <w:highlight w:val="none"/>
        </w:rPr>
      </w:pP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1.投标函</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2.投标报价表</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3.资格条件</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4.货物清单</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5.技术及商务响应偏离表</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6.技术证明及方案说明</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7.履约能力及售后承诺</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8.供应商认为有必要的其它说明（如有）</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9.供应商拒绝政府采购领域商业贿赂承诺书</w:t>
      </w:r>
    </w:p>
    <w:p>
      <w:pPr>
        <w:rPr>
          <w:rFonts w:hint="eastAsia" w:ascii="仿宋" w:hAnsi="仿宋" w:eastAsia="仿宋" w:cs="仿宋"/>
          <w:highlight w:val="none"/>
        </w:rPr>
      </w:pPr>
    </w:p>
    <w:p>
      <w:pPr>
        <w:rPr>
          <w:rFonts w:hint="eastAsia" w:ascii="仿宋" w:hAnsi="仿宋" w:eastAsia="仿宋" w:cs="仿宋"/>
          <w:highlight w:val="none"/>
        </w:rPr>
      </w:pPr>
    </w:p>
    <w:p>
      <w:pPr>
        <w:pStyle w:val="64"/>
        <w:rPr>
          <w:rFonts w:hint="eastAsia" w:ascii="仿宋" w:hAnsi="仿宋" w:eastAsia="仿宋" w:cs="仿宋"/>
          <w:highlight w:val="none"/>
        </w:rPr>
      </w:pPr>
    </w:p>
    <w:p>
      <w:pPr>
        <w:rPr>
          <w:rFonts w:hint="eastAsia" w:ascii="仿宋" w:hAnsi="仿宋" w:eastAsia="仿宋" w:cs="仿宋"/>
          <w:highlight w:val="none"/>
        </w:rPr>
      </w:pPr>
    </w:p>
    <w:p>
      <w:pPr>
        <w:pStyle w:val="64"/>
        <w:rPr>
          <w:rFonts w:hint="eastAsia" w:ascii="仿宋" w:hAnsi="仿宋" w:eastAsia="仿宋" w:cs="仿宋"/>
          <w:highlight w:val="none"/>
        </w:rPr>
      </w:pPr>
    </w:p>
    <w:p>
      <w:pPr>
        <w:rPr>
          <w:rFonts w:hint="eastAsia" w:ascii="仿宋" w:hAnsi="仿宋" w:eastAsia="仿宋" w:cs="仿宋"/>
          <w:highlight w:val="none"/>
        </w:rPr>
      </w:pPr>
    </w:p>
    <w:p>
      <w:pPr>
        <w:pStyle w:val="64"/>
        <w:rPr>
          <w:rFonts w:hint="eastAsia" w:ascii="仿宋" w:hAnsi="仿宋" w:eastAsia="仿宋" w:cs="仿宋"/>
          <w:highlight w:val="none"/>
        </w:rPr>
      </w:pPr>
    </w:p>
    <w:p>
      <w:pPr>
        <w:rPr>
          <w:rFonts w:hint="eastAsia" w:ascii="仿宋" w:hAnsi="仿宋" w:eastAsia="仿宋" w:cs="仿宋"/>
          <w:highlight w:val="none"/>
        </w:rPr>
      </w:pPr>
    </w:p>
    <w:p>
      <w:pPr>
        <w:pStyle w:val="64"/>
        <w:rPr>
          <w:rFonts w:hint="eastAsia" w:ascii="仿宋" w:hAnsi="仿宋" w:eastAsia="仿宋" w:cs="仿宋"/>
          <w:highlight w:val="none"/>
        </w:rPr>
      </w:pPr>
    </w:p>
    <w:p>
      <w:pPr>
        <w:rPr>
          <w:rFonts w:hint="eastAsia" w:ascii="仿宋" w:hAnsi="仿宋" w:eastAsia="仿宋" w:cs="仿宋"/>
          <w:highlight w:val="none"/>
        </w:rPr>
      </w:pPr>
    </w:p>
    <w:p>
      <w:pPr>
        <w:pStyle w:val="64"/>
        <w:rPr>
          <w:rFonts w:hint="eastAsia" w:ascii="仿宋" w:hAnsi="仿宋" w:eastAsia="仿宋" w:cs="仿宋"/>
          <w:highlight w:val="none"/>
        </w:rPr>
      </w:pPr>
    </w:p>
    <w:p>
      <w:pPr>
        <w:rPr>
          <w:rFonts w:hint="eastAsia" w:ascii="仿宋" w:hAnsi="仿宋" w:eastAsia="仿宋" w:cs="仿宋"/>
          <w:highlight w:val="none"/>
        </w:rPr>
      </w:pPr>
    </w:p>
    <w:p>
      <w:pPr>
        <w:pStyle w:val="64"/>
        <w:rPr>
          <w:rFonts w:hint="eastAsia" w:ascii="仿宋" w:hAnsi="仿宋" w:eastAsia="仿宋" w:cs="仿宋"/>
          <w:highlight w:val="none"/>
        </w:rPr>
      </w:pPr>
    </w:p>
    <w:p>
      <w:pPr>
        <w:rPr>
          <w:rFonts w:hint="eastAsia" w:ascii="仿宋" w:hAnsi="仿宋" w:eastAsia="仿宋" w:cs="仿宋"/>
          <w:highlight w:val="none"/>
        </w:rPr>
      </w:pPr>
    </w:p>
    <w:p>
      <w:pPr>
        <w:pStyle w:val="64"/>
        <w:rPr>
          <w:rFonts w:hint="eastAsia" w:ascii="仿宋" w:hAnsi="仿宋" w:eastAsia="仿宋" w:cs="仿宋"/>
          <w:highlight w:val="none"/>
        </w:rPr>
      </w:pPr>
    </w:p>
    <w:p>
      <w:pPr>
        <w:rPr>
          <w:rFonts w:hint="eastAsia" w:ascii="仿宋" w:hAnsi="仿宋" w:eastAsia="仿宋" w:cs="仿宋"/>
          <w:highlight w:val="none"/>
        </w:rPr>
      </w:pPr>
    </w:p>
    <w:p>
      <w:pPr>
        <w:pStyle w:val="64"/>
        <w:rPr>
          <w:rFonts w:hint="eastAsia" w:ascii="仿宋" w:hAnsi="仿宋" w:eastAsia="仿宋" w:cs="仿宋"/>
          <w:highlight w:val="none"/>
        </w:rPr>
      </w:pPr>
    </w:p>
    <w:p>
      <w:pPr>
        <w:rPr>
          <w:rFonts w:hint="eastAsia" w:ascii="仿宋" w:hAnsi="仿宋" w:eastAsia="仿宋" w:cs="仿宋"/>
          <w:highlight w:val="none"/>
        </w:rPr>
      </w:pPr>
    </w:p>
    <w:p>
      <w:pPr>
        <w:pStyle w:val="64"/>
        <w:rPr>
          <w:rFonts w:hint="eastAsia" w:ascii="仿宋" w:hAnsi="仿宋" w:eastAsia="仿宋" w:cs="仿宋"/>
          <w:highlight w:val="none"/>
        </w:rPr>
      </w:pPr>
    </w:p>
    <w:p>
      <w:pPr>
        <w:rPr>
          <w:rFonts w:hint="eastAsia" w:ascii="仿宋" w:hAnsi="仿宋" w:eastAsia="仿宋" w:cs="仿宋"/>
          <w:highlight w:val="none"/>
        </w:rPr>
      </w:pPr>
    </w:p>
    <w:p>
      <w:pPr>
        <w:pStyle w:val="64"/>
        <w:rPr>
          <w:rFonts w:hint="eastAsia" w:ascii="仿宋" w:hAnsi="仿宋" w:eastAsia="仿宋" w:cs="仿宋"/>
          <w:highlight w:val="none"/>
        </w:rPr>
      </w:pPr>
    </w:p>
    <w:p>
      <w:pPr>
        <w:rPr>
          <w:rFonts w:hint="eastAsia" w:ascii="仿宋" w:hAnsi="仿宋" w:eastAsia="仿宋" w:cs="仿宋"/>
          <w:highlight w:val="none"/>
        </w:rPr>
      </w:pPr>
    </w:p>
    <w:p>
      <w:pPr>
        <w:pStyle w:val="64"/>
        <w:rPr>
          <w:rFonts w:hint="eastAsia" w:ascii="仿宋" w:hAnsi="仿宋" w:eastAsia="仿宋" w:cs="仿宋"/>
          <w:highlight w:val="none"/>
        </w:rPr>
      </w:pPr>
    </w:p>
    <w:p>
      <w:pPr>
        <w:rPr>
          <w:rFonts w:hint="eastAsia" w:ascii="仿宋" w:hAnsi="仿宋" w:eastAsia="仿宋" w:cs="仿宋"/>
          <w:b/>
          <w:sz w:val="32"/>
          <w:szCs w:val="21"/>
          <w:highlight w:val="none"/>
        </w:rPr>
      </w:pPr>
      <w:r>
        <w:rPr>
          <w:rFonts w:hint="eastAsia" w:ascii="仿宋" w:hAnsi="仿宋" w:eastAsia="仿宋" w:cs="仿宋"/>
          <w:b/>
          <w:sz w:val="32"/>
          <w:szCs w:val="21"/>
          <w:highlight w:val="none"/>
        </w:rPr>
        <w:br w:type="page"/>
      </w:r>
    </w:p>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lang w:val="en-US" w:eastAsia="zh-CN"/>
        </w:rPr>
        <w:t>一、</w:t>
      </w:r>
      <w:r>
        <w:rPr>
          <w:rFonts w:hint="eastAsia" w:ascii="仿宋" w:hAnsi="仿宋" w:eastAsia="仿宋" w:cs="仿宋"/>
          <w:b/>
          <w:bCs/>
          <w:color w:val="auto"/>
          <w:sz w:val="32"/>
          <w:szCs w:val="32"/>
          <w:highlight w:val="none"/>
        </w:rPr>
        <w:t>投标函（格式）</w:t>
      </w: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p>
    <w:p>
      <w:pPr>
        <w:keepNext w:val="0"/>
        <w:keepLines w:val="0"/>
        <w:pageBreakBefore w:val="0"/>
        <w:kinsoku/>
        <w:overflowPunct/>
        <w:autoSpaceDE/>
        <w:autoSpaceDN/>
        <w:bidi w:val="0"/>
        <w:snapToGrid/>
        <w:spacing w:line="360" w:lineRule="auto"/>
        <w:ind w:left="0" w:leftChars="0" w:right="0"/>
        <w:jc w:val="left"/>
        <w:outlineLvl w:val="9"/>
        <w:rPr>
          <w:rFonts w:hint="eastAsia" w:ascii="仿宋" w:hAnsi="仿宋" w:eastAsia="仿宋" w:cs="仿宋"/>
          <w:b/>
          <w:bCs/>
          <w:color w:val="auto"/>
          <w:kern w:val="0"/>
          <w:sz w:val="22"/>
          <w:highlight w:val="none"/>
          <w:lang w:eastAsia="zh-CN"/>
        </w:rPr>
      </w:pPr>
      <w:r>
        <w:rPr>
          <w:rFonts w:hint="eastAsia" w:ascii="仿宋" w:hAnsi="仿宋" w:eastAsia="仿宋" w:cs="仿宋"/>
          <w:b/>
          <w:color w:val="auto"/>
          <w:sz w:val="22"/>
          <w:highlight w:val="none"/>
        </w:rPr>
        <w:t>致</w:t>
      </w:r>
      <w:r>
        <w:rPr>
          <w:rFonts w:hint="eastAsia" w:ascii="仿宋" w:hAnsi="仿宋" w:eastAsia="仿宋" w:cs="仿宋"/>
          <w:b/>
          <w:bCs/>
          <w:color w:val="auto"/>
          <w:kern w:val="0"/>
          <w:sz w:val="22"/>
          <w:highlight w:val="none"/>
        </w:rPr>
        <w:t>：</w:t>
      </w:r>
      <w:r>
        <w:rPr>
          <w:rFonts w:hint="eastAsia" w:ascii="仿宋" w:hAnsi="仿宋" w:eastAsia="仿宋" w:cs="仿宋"/>
          <w:b/>
          <w:bCs/>
          <w:color w:val="auto"/>
          <w:kern w:val="0"/>
          <w:sz w:val="22"/>
          <w:highlight w:val="none"/>
          <w:lang w:eastAsia="zh-CN"/>
        </w:rPr>
        <w:t>陕西利隆建设项目管理有限公司</w:t>
      </w:r>
    </w:p>
    <w:p>
      <w:pPr>
        <w:keepNext w:val="0"/>
        <w:keepLines w:val="0"/>
        <w:pageBreakBefore w:val="0"/>
        <w:kinsoku/>
        <w:overflowPunct/>
        <w:autoSpaceDE/>
        <w:autoSpaceDN/>
        <w:bidi w:val="0"/>
        <w:snapToGrid/>
        <w:spacing w:line="360" w:lineRule="auto"/>
        <w:ind w:left="0" w:leftChars="0" w:right="0" w:firstLine="437"/>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根据贵方为</w:t>
      </w:r>
      <w:r>
        <w:rPr>
          <w:rFonts w:hint="eastAsia" w:ascii="仿宋" w:hAnsi="仿宋" w:eastAsia="仿宋" w:cs="仿宋"/>
          <w:bCs/>
          <w:color w:val="auto"/>
          <w:kern w:val="0"/>
          <w:sz w:val="22"/>
          <w:highlight w:val="none"/>
          <w:u w:val="single"/>
        </w:rPr>
        <w:t xml:space="preserve"> 项目名称（项目编号）</w:t>
      </w:r>
      <w:r>
        <w:rPr>
          <w:rFonts w:hint="eastAsia" w:ascii="仿宋" w:hAnsi="仿宋" w:eastAsia="仿宋" w:cs="仿宋"/>
          <w:bCs/>
          <w:color w:val="auto"/>
          <w:kern w:val="0"/>
          <w:sz w:val="22"/>
          <w:highlight w:val="none"/>
        </w:rPr>
        <w:t>的招标公告，签字代表</w:t>
      </w:r>
      <w:r>
        <w:rPr>
          <w:rFonts w:hint="eastAsia" w:ascii="仿宋" w:hAnsi="仿宋" w:eastAsia="仿宋" w:cs="仿宋"/>
          <w:bCs/>
          <w:color w:val="auto"/>
          <w:kern w:val="0"/>
          <w:sz w:val="22"/>
          <w:highlight w:val="none"/>
          <w:u w:val="single"/>
        </w:rPr>
        <w:t xml:space="preserve">  （姓名、职务） </w:t>
      </w:r>
      <w:r>
        <w:rPr>
          <w:rFonts w:hint="eastAsia" w:ascii="仿宋" w:hAnsi="仿宋" w:eastAsia="仿宋" w:cs="仿宋"/>
          <w:bCs/>
          <w:color w:val="auto"/>
          <w:kern w:val="0"/>
          <w:sz w:val="22"/>
          <w:highlight w:val="none"/>
        </w:rPr>
        <w:t xml:space="preserve"> 经正式授权并代表</w:t>
      </w:r>
      <w:r>
        <w:rPr>
          <w:rFonts w:hint="eastAsia" w:ascii="仿宋" w:hAnsi="仿宋" w:eastAsia="仿宋" w:cs="仿宋"/>
          <w:bCs/>
          <w:color w:val="auto"/>
          <w:kern w:val="0"/>
          <w:sz w:val="22"/>
          <w:highlight w:val="none"/>
          <w:lang w:eastAsia="zh-CN"/>
        </w:rPr>
        <w:t>供应商</w:t>
      </w:r>
      <w:r>
        <w:rPr>
          <w:rFonts w:hint="eastAsia" w:ascii="仿宋" w:hAnsi="仿宋" w:eastAsia="仿宋" w:cs="仿宋"/>
          <w:bCs/>
          <w:color w:val="auto"/>
          <w:kern w:val="0"/>
          <w:sz w:val="22"/>
          <w:highlight w:val="none"/>
          <w:u w:val="single"/>
        </w:rPr>
        <w:t xml:space="preserve"> （</w:t>
      </w:r>
      <w:r>
        <w:rPr>
          <w:rFonts w:hint="eastAsia" w:ascii="仿宋" w:hAnsi="仿宋" w:eastAsia="仿宋" w:cs="仿宋"/>
          <w:bCs/>
          <w:color w:val="auto"/>
          <w:kern w:val="0"/>
          <w:sz w:val="22"/>
          <w:highlight w:val="none"/>
          <w:u w:val="single"/>
          <w:lang w:eastAsia="zh-CN"/>
        </w:rPr>
        <w:t>供应商</w:t>
      </w:r>
      <w:r>
        <w:rPr>
          <w:rFonts w:hint="eastAsia" w:ascii="仿宋" w:hAnsi="仿宋" w:eastAsia="仿宋" w:cs="仿宋"/>
          <w:bCs/>
          <w:color w:val="auto"/>
          <w:kern w:val="0"/>
          <w:sz w:val="22"/>
          <w:highlight w:val="none"/>
          <w:u w:val="single"/>
        </w:rPr>
        <w:t xml:space="preserve">名称、地址）  </w:t>
      </w:r>
      <w:r>
        <w:rPr>
          <w:rFonts w:hint="eastAsia" w:ascii="仿宋" w:hAnsi="仿宋" w:eastAsia="仿宋" w:cs="仿宋"/>
          <w:bCs/>
          <w:color w:val="auto"/>
          <w:kern w:val="0"/>
          <w:sz w:val="22"/>
          <w:highlight w:val="none"/>
        </w:rPr>
        <w:t>，提交下述本项目</w:t>
      </w:r>
      <w:r>
        <w:rPr>
          <w:rFonts w:hint="eastAsia" w:ascii="仿宋" w:hAnsi="仿宋" w:eastAsia="仿宋" w:cs="仿宋"/>
          <w:bCs/>
          <w:color w:val="auto"/>
          <w:kern w:val="0"/>
          <w:sz w:val="22"/>
          <w:highlight w:val="none"/>
          <w:u w:val="single"/>
        </w:rPr>
        <w:t xml:space="preserve"> </w:t>
      </w:r>
      <w:r>
        <w:rPr>
          <w:rFonts w:hint="eastAsia" w:ascii="仿宋" w:hAnsi="仿宋" w:eastAsia="仿宋" w:cs="仿宋"/>
          <w:bCs/>
          <w:color w:val="auto"/>
          <w:kern w:val="0"/>
          <w:sz w:val="22"/>
          <w:highlight w:val="none"/>
          <w:u w:val="single"/>
          <w:lang w:eastAsia="zh-CN"/>
        </w:rPr>
        <w:t>（项目名称）</w:t>
      </w:r>
      <w:r>
        <w:rPr>
          <w:rFonts w:hint="eastAsia" w:ascii="仿宋" w:hAnsi="仿宋" w:eastAsia="仿宋" w:cs="仿宋"/>
          <w:bCs/>
          <w:color w:val="auto"/>
          <w:kern w:val="0"/>
          <w:sz w:val="22"/>
          <w:highlight w:val="none"/>
          <w:u w:val="single"/>
        </w:rPr>
        <w:t xml:space="preserve"> </w:t>
      </w:r>
      <w:r>
        <w:rPr>
          <w:rFonts w:hint="eastAsia" w:ascii="仿宋" w:hAnsi="仿宋" w:eastAsia="仿宋" w:cs="仿宋"/>
          <w:bCs/>
          <w:color w:val="auto"/>
          <w:kern w:val="0"/>
          <w:sz w:val="22"/>
          <w:highlight w:val="none"/>
        </w:rPr>
        <w:t>投标文件正本</w:t>
      </w:r>
      <w:r>
        <w:rPr>
          <w:rFonts w:hint="eastAsia" w:ascii="仿宋" w:hAnsi="仿宋" w:eastAsia="仿宋" w:cs="仿宋"/>
          <w:bCs/>
          <w:color w:val="auto"/>
          <w:kern w:val="0"/>
          <w:sz w:val="22"/>
          <w:highlight w:val="none"/>
          <w:u w:val="single"/>
        </w:rPr>
        <w:t xml:space="preserve">    </w:t>
      </w:r>
      <w:r>
        <w:rPr>
          <w:rFonts w:hint="eastAsia" w:ascii="仿宋" w:hAnsi="仿宋" w:eastAsia="仿宋" w:cs="仿宋"/>
          <w:bCs/>
          <w:color w:val="auto"/>
          <w:kern w:val="0"/>
          <w:sz w:val="22"/>
          <w:highlight w:val="none"/>
        </w:rPr>
        <w:t>份、副本</w:t>
      </w:r>
      <w:r>
        <w:rPr>
          <w:rFonts w:hint="eastAsia" w:ascii="仿宋" w:hAnsi="仿宋" w:eastAsia="仿宋" w:cs="仿宋"/>
          <w:bCs/>
          <w:color w:val="auto"/>
          <w:kern w:val="0"/>
          <w:sz w:val="22"/>
          <w:highlight w:val="none"/>
          <w:u w:val="single"/>
        </w:rPr>
        <w:t xml:space="preserve">   </w:t>
      </w:r>
      <w:r>
        <w:rPr>
          <w:rFonts w:hint="eastAsia" w:ascii="仿宋" w:hAnsi="仿宋" w:eastAsia="仿宋" w:cs="仿宋"/>
          <w:bCs/>
          <w:color w:val="auto"/>
          <w:kern w:val="0"/>
          <w:sz w:val="22"/>
          <w:highlight w:val="none"/>
        </w:rPr>
        <w:t>份及电子文件</w:t>
      </w:r>
      <w:r>
        <w:rPr>
          <w:rFonts w:hint="eastAsia" w:ascii="仿宋" w:hAnsi="仿宋" w:eastAsia="仿宋" w:cs="仿宋"/>
          <w:bCs/>
          <w:color w:val="auto"/>
          <w:kern w:val="0"/>
          <w:sz w:val="22"/>
          <w:highlight w:val="none"/>
          <w:u w:val="single"/>
        </w:rPr>
        <w:t xml:space="preserve">    </w:t>
      </w:r>
      <w:r>
        <w:rPr>
          <w:rFonts w:hint="eastAsia" w:ascii="仿宋" w:hAnsi="仿宋" w:eastAsia="仿宋" w:cs="仿宋"/>
          <w:bCs/>
          <w:color w:val="auto"/>
          <w:kern w:val="0"/>
          <w:sz w:val="22"/>
          <w:highlight w:val="none"/>
        </w:rPr>
        <w:t>份。</w:t>
      </w:r>
    </w:p>
    <w:p>
      <w:pPr>
        <w:keepNext w:val="0"/>
        <w:keepLines w:val="0"/>
        <w:pageBreakBefore w:val="0"/>
        <w:widowControl/>
        <w:kinsoku/>
        <w:wordWrap/>
        <w:overflowPunct/>
        <w:topLinePunct w:val="0"/>
        <w:autoSpaceDE/>
        <w:autoSpaceDN/>
        <w:bidi w:val="0"/>
        <w:adjustRightInd w:val="0"/>
        <w:snapToGrid/>
        <w:spacing w:line="360" w:lineRule="auto"/>
        <w:ind w:left="0" w:leftChars="0" w:right="0" w:firstLine="440" w:firstLineChars="200"/>
        <w:jc w:val="left"/>
        <w:textAlignment w:val="baseline"/>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投标函</w:t>
      </w:r>
    </w:p>
    <w:p>
      <w:pPr>
        <w:keepNext w:val="0"/>
        <w:keepLines w:val="0"/>
        <w:pageBreakBefore w:val="0"/>
        <w:widowControl/>
        <w:kinsoku/>
        <w:wordWrap/>
        <w:overflowPunct/>
        <w:topLinePunct w:val="0"/>
        <w:autoSpaceDE/>
        <w:autoSpaceDN/>
        <w:bidi w:val="0"/>
        <w:adjustRightInd w:val="0"/>
        <w:snapToGrid/>
        <w:spacing w:line="360" w:lineRule="auto"/>
        <w:ind w:left="0" w:leftChars="0" w:right="0" w:firstLine="440" w:firstLineChars="200"/>
        <w:jc w:val="left"/>
        <w:textAlignment w:val="baseline"/>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投标报价表</w:t>
      </w:r>
    </w:p>
    <w:p>
      <w:pPr>
        <w:keepNext w:val="0"/>
        <w:keepLines w:val="0"/>
        <w:pageBreakBefore w:val="0"/>
        <w:widowControl/>
        <w:kinsoku/>
        <w:wordWrap/>
        <w:overflowPunct/>
        <w:topLinePunct w:val="0"/>
        <w:autoSpaceDE/>
        <w:autoSpaceDN/>
        <w:bidi w:val="0"/>
        <w:adjustRightInd w:val="0"/>
        <w:snapToGrid/>
        <w:spacing w:line="360" w:lineRule="auto"/>
        <w:ind w:left="0" w:leftChars="0" w:right="0" w:firstLine="440" w:firstLineChars="200"/>
        <w:jc w:val="left"/>
        <w:textAlignment w:val="baseline"/>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资格条件</w:t>
      </w:r>
    </w:p>
    <w:p>
      <w:pPr>
        <w:keepNext w:val="0"/>
        <w:keepLines w:val="0"/>
        <w:pageBreakBefore w:val="0"/>
        <w:widowControl/>
        <w:kinsoku/>
        <w:wordWrap/>
        <w:overflowPunct/>
        <w:topLinePunct w:val="0"/>
        <w:autoSpaceDE/>
        <w:autoSpaceDN/>
        <w:bidi w:val="0"/>
        <w:adjustRightInd w:val="0"/>
        <w:snapToGrid/>
        <w:spacing w:line="360" w:lineRule="auto"/>
        <w:ind w:left="0" w:leftChars="0" w:right="0" w:firstLine="440" w:firstLineChars="200"/>
        <w:jc w:val="left"/>
        <w:textAlignment w:val="baseline"/>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货物清单</w:t>
      </w:r>
    </w:p>
    <w:p>
      <w:pPr>
        <w:keepNext w:val="0"/>
        <w:keepLines w:val="0"/>
        <w:pageBreakBefore w:val="0"/>
        <w:widowControl/>
        <w:kinsoku/>
        <w:wordWrap/>
        <w:overflowPunct/>
        <w:topLinePunct w:val="0"/>
        <w:autoSpaceDE/>
        <w:autoSpaceDN/>
        <w:bidi w:val="0"/>
        <w:adjustRightInd w:val="0"/>
        <w:snapToGrid/>
        <w:spacing w:line="360" w:lineRule="auto"/>
        <w:ind w:left="0" w:leftChars="0" w:right="0" w:firstLine="440" w:firstLineChars="200"/>
        <w:jc w:val="left"/>
        <w:textAlignment w:val="baseline"/>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技术及商务响应偏离表</w:t>
      </w:r>
    </w:p>
    <w:p>
      <w:pPr>
        <w:keepNext w:val="0"/>
        <w:keepLines w:val="0"/>
        <w:pageBreakBefore w:val="0"/>
        <w:widowControl/>
        <w:kinsoku/>
        <w:wordWrap/>
        <w:overflowPunct/>
        <w:topLinePunct w:val="0"/>
        <w:autoSpaceDE/>
        <w:autoSpaceDN/>
        <w:bidi w:val="0"/>
        <w:adjustRightInd w:val="0"/>
        <w:snapToGrid/>
        <w:spacing w:line="360" w:lineRule="auto"/>
        <w:ind w:left="0" w:leftChars="0" w:right="0" w:firstLine="440" w:firstLineChars="200"/>
        <w:jc w:val="left"/>
        <w:textAlignment w:val="baseline"/>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技术证明及方案说明</w:t>
      </w:r>
    </w:p>
    <w:p>
      <w:pPr>
        <w:keepNext w:val="0"/>
        <w:keepLines w:val="0"/>
        <w:pageBreakBefore w:val="0"/>
        <w:widowControl/>
        <w:kinsoku/>
        <w:wordWrap/>
        <w:overflowPunct/>
        <w:topLinePunct w:val="0"/>
        <w:autoSpaceDE/>
        <w:autoSpaceDN/>
        <w:bidi w:val="0"/>
        <w:adjustRightInd w:val="0"/>
        <w:snapToGrid/>
        <w:spacing w:line="360" w:lineRule="auto"/>
        <w:ind w:left="0" w:leftChars="0" w:right="0" w:firstLine="440" w:firstLineChars="200"/>
        <w:jc w:val="left"/>
        <w:textAlignment w:val="baseline"/>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履约能力及售后承诺</w:t>
      </w:r>
    </w:p>
    <w:p>
      <w:pPr>
        <w:keepNext w:val="0"/>
        <w:keepLines w:val="0"/>
        <w:pageBreakBefore w:val="0"/>
        <w:widowControl/>
        <w:kinsoku/>
        <w:wordWrap/>
        <w:overflowPunct/>
        <w:topLinePunct w:val="0"/>
        <w:autoSpaceDE/>
        <w:autoSpaceDN/>
        <w:bidi w:val="0"/>
        <w:adjustRightInd w:val="0"/>
        <w:snapToGrid/>
        <w:spacing w:line="360" w:lineRule="auto"/>
        <w:ind w:left="0" w:leftChars="0" w:right="0" w:firstLine="440" w:firstLineChars="200"/>
        <w:jc w:val="left"/>
        <w:textAlignment w:val="baseline"/>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供应商认为有必要的其它说明</w:t>
      </w:r>
    </w:p>
    <w:p>
      <w:pPr>
        <w:keepNext w:val="0"/>
        <w:keepLines w:val="0"/>
        <w:pageBreakBefore w:val="0"/>
        <w:widowControl/>
        <w:kinsoku/>
        <w:wordWrap/>
        <w:overflowPunct/>
        <w:topLinePunct w:val="0"/>
        <w:autoSpaceDE/>
        <w:autoSpaceDN/>
        <w:bidi w:val="0"/>
        <w:adjustRightInd w:val="0"/>
        <w:snapToGrid/>
        <w:spacing w:line="360" w:lineRule="auto"/>
        <w:ind w:left="0" w:leftChars="0" w:right="0" w:firstLine="440" w:firstLineChars="200"/>
        <w:jc w:val="left"/>
        <w:textAlignment w:val="baseline"/>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供应商拒绝政府采购领域商业贿赂承诺书</w:t>
      </w:r>
    </w:p>
    <w:p>
      <w:pPr>
        <w:keepNext w:val="0"/>
        <w:keepLines w:val="0"/>
        <w:pageBreakBefore w:val="0"/>
        <w:kinsoku/>
        <w:overflowPunct/>
        <w:autoSpaceDE/>
        <w:autoSpaceDN/>
        <w:bidi w:val="0"/>
        <w:snapToGrid/>
        <w:spacing w:line="360" w:lineRule="auto"/>
        <w:ind w:left="0" w:leftChars="0" w:right="0" w:firstLine="440" w:firstLineChars="2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在此，签字代表宣布同意如下：</w:t>
      </w:r>
    </w:p>
    <w:p>
      <w:pPr>
        <w:keepNext w:val="0"/>
        <w:keepLines w:val="0"/>
        <w:pageBreakBefore w:val="0"/>
        <w:kinsoku/>
        <w:overflowPunct/>
        <w:autoSpaceDE/>
        <w:autoSpaceDN/>
        <w:bidi w:val="0"/>
        <w:snapToGrid/>
        <w:spacing w:line="360" w:lineRule="auto"/>
        <w:ind w:left="0" w:leftChars="0" w:right="0" w:firstLine="440" w:firstLineChars="2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1.我方将按招标文件的规定履行合同责任和义务；</w:t>
      </w:r>
    </w:p>
    <w:p>
      <w:pPr>
        <w:keepNext w:val="0"/>
        <w:keepLines w:val="0"/>
        <w:pageBreakBefore w:val="0"/>
        <w:kinsoku/>
        <w:overflowPunct/>
        <w:autoSpaceDE/>
        <w:autoSpaceDN/>
        <w:bidi w:val="0"/>
        <w:snapToGrid/>
        <w:spacing w:line="360" w:lineRule="auto"/>
        <w:ind w:left="0" w:leftChars="0" w:right="0" w:firstLine="440" w:firstLineChars="2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2.我方已详细审查全部招标文件，我们完全理解并同意放弃对这方面有不明及误解的权力；</w:t>
      </w:r>
    </w:p>
    <w:p>
      <w:pPr>
        <w:keepNext w:val="0"/>
        <w:keepLines w:val="0"/>
        <w:pageBreakBefore w:val="0"/>
        <w:kinsoku/>
        <w:overflowPunct/>
        <w:autoSpaceDE/>
        <w:autoSpaceDN/>
        <w:bidi w:val="0"/>
        <w:snapToGrid/>
        <w:spacing w:line="360" w:lineRule="auto"/>
        <w:ind w:left="0" w:leftChars="0" w:right="0" w:firstLine="440" w:firstLineChars="2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3.投标有效期为自投标文件递交截止时间起</w:t>
      </w:r>
      <w:r>
        <w:rPr>
          <w:rFonts w:hint="eastAsia" w:ascii="仿宋" w:hAnsi="仿宋" w:eastAsia="仿宋" w:cs="仿宋"/>
          <w:bCs/>
          <w:color w:val="auto"/>
          <w:kern w:val="0"/>
          <w:sz w:val="22"/>
          <w:highlight w:val="none"/>
          <w:u w:val="single"/>
        </w:rPr>
        <w:t xml:space="preserve">     </w:t>
      </w:r>
      <w:r>
        <w:rPr>
          <w:rFonts w:hint="eastAsia" w:ascii="仿宋" w:hAnsi="仿宋" w:eastAsia="仿宋" w:cs="仿宋"/>
          <w:bCs/>
          <w:color w:val="auto"/>
          <w:kern w:val="0"/>
          <w:sz w:val="22"/>
          <w:highlight w:val="none"/>
        </w:rPr>
        <w:t>天（若中标，投标文件有效期延长至合同期结束）；</w:t>
      </w:r>
    </w:p>
    <w:p>
      <w:pPr>
        <w:keepNext w:val="0"/>
        <w:keepLines w:val="0"/>
        <w:pageBreakBefore w:val="0"/>
        <w:kinsoku/>
        <w:overflowPunct/>
        <w:autoSpaceDE/>
        <w:autoSpaceDN/>
        <w:bidi w:val="0"/>
        <w:snapToGrid/>
        <w:spacing w:line="360" w:lineRule="auto"/>
        <w:ind w:left="0" w:leftChars="0" w:right="0" w:firstLine="440" w:firstLineChars="2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4.若我方获中标，我方保证按招标文件规定向贵方支付招标代理服务费；</w:t>
      </w:r>
    </w:p>
    <w:p>
      <w:pPr>
        <w:keepNext w:val="0"/>
        <w:keepLines w:val="0"/>
        <w:pageBreakBefore w:val="0"/>
        <w:kinsoku/>
        <w:overflowPunct/>
        <w:autoSpaceDE/>
        <w:autoSpaceDN/>
        <w:bidi w:val="0"/>
        <w:snapToGrid/>
        <w:spacing w:line="360" w:lineRule="auto"/>
        <w:ind w:left="0" w:leftChars="0" w:right="0" w:firstLine="440" w:firstLineChars="200"/>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5.我方完全理解并同意贵方在招标文件中规定的有关不退还投标保证金和拒绝投标的条款；</w:t>
      </w:r>
    </w:p>
    <w:p>
      <w:pPr>
        <w:keepNext w:val="0"/>
        <w:keepLines w:val="0"/>
        <w:pageBreakBefore w:val="0"/>
        <w:kinsoku/>
        <w:overflowPunct/>
        <w:autoSpaceDE/>
        <w:autoSpaceDN/>
        <w:bidi w:val="0"/>
        <w:snapToGrid/>
        <w:spacing w:line="360" w:lineRule="auto"/>
        <w:ind w:left="0" w:leftChars="0" w:right="0" w:firstLine="440" w:firstLineChars="2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6.我方同意提供按照贵方可能要求的与其投标有关的一切数据或资料，完全理解不一定接受最低投标报价的投标或最低报价不是中标唯一依据的投标；</w:t>
      </w:r>
    </w:p>
    <w:p>
      <w:pPr>
        <w:keepNext w:val="0"/>
        <w:keepLines w:val="0"/>
        <w:pageBreakBefore w:val="0"/>
        <w:kinsoku/>
        <w:overflowPunct/>
        <w:autoSpaceDE/>
        <w:autoSpaceDN/>
        <w:bidi w:val="0"/>
        <w:snapToGrid/>
        <w:spacing w:line="360" w:lineRule="auto"/>
        <w:ind w:left="0" w:leftChars="0" w:right="0" w:firstLine="440" w:firstLineChars="2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7.我方参与本次投标活动所提供的所有声明、承诺、材料及与本次投标有关的资料等均真实有效，若为虚假应标资料，愿承担所有法律责任；</w:t>
      </w:r>
    </w:p>
    <w:p>
      <w:pPr>
        <w:keepNext w:val="0"/>
        <w:keepLines w:val="0"/>
        <w:pageBreakBefore w:val="0"/>
        <w:kinsoku/>
        <w:overflowPunct/>
        <w:autoSpaceDE/>
        <w:autoSpaceDN/>
        <w:bidi w:val="0"/>
        <w:snapToGrid/>
        <w:spacing w:line="360" w:lineRule="auto"/>
        <w:ind w:left="0" w:leftChars="0" w:right="0" w:firstLine="440" w:firstLineChars="2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8.与本投标有关的一切正式往来信函请寄：</w:t>
      </w:r>
    </w:p>
    <w:p>
      <w:pPr>
        <w:keepNext w:val="0"/>
        <w:keepLines w:val="0"/>
        <w:pageBreakBefore w:val="0"/>
        <w:kinsoku/>
        <w:overflowPunct/>
        <w:autoSpaceDE/>
        <w:autoSpaceDN/>
        <w:bidi w:val="0"/>
        <w:snapToGrid/>
        <w:spacing w:line="360" w:lineRule="auto"/>
        <w:ind w:left="0" w:leftChars="0" w:right="0"/>
        <w:outlineLvl w:val="9"/>
        <w:rPr>
          <w:rFonts w:hint="eastAsia" w:ascii="仿宋" w:hAnsi="仿宋" w:eastAsia="仿宋" w:cs="仿宋"/>
          <w:color w:val="auto"/>
          <w:sz w:val="22"/>
          <w:highlight w:val="none"/>
        </w:rPr>
      </w:pPr>
    </w:p>
    <w:p>
      <w:pPr>
        <w:keepNext w:val="0"/>
        <w:keepLines w:val="0"/>
        <w:pageBreakBefore w:val="0"/>
        <w:kinsoku/>
        <w:wordWrap w:val="0"/>
        <w:overflowPunct/>
        <w:topLinePunct/>
        <w:autoSpaceDE/>
        <w:autoSpaceDN/>
        <w:bidi w:val="0"/>
        <w:snapToGrid/>
        <w:spacing w:line="440" w:lineRule="exact"/>
        <w:ind w:left="0" w:leftChars="0" w:right="0" w:firstLine="220" w:firstLineChars="100"/>
        <w:jc w:val="left"/>
        <w:outlineLvl w:val="9"/>
        <w:rPr>
          <w:rFonts w:hint="eastAsia" w:ascii="仿宋" w:hAnsi="仿宋" w:eastAsia="仿宋" w:cs="仿宋"/>
          <w:bCs/>
          <w:color w:val="auto"/>
          <w:kern w:val="0"/>
          <w:sz w:val="22"/>
          <w:highlight w:val="none"/>
          <w:u w:val="single"/>
        </w:rPr>
      </w:pPr>
      <w:r>
        <w:rPr>
          <w:rFonts w:hint="eastAsia" w:ascii="仿宋" w:hAnsi="仿宋" w:eastAsia="仿宋" w:cs="仿宋"/>
          <w:bCs/>
          <w:color w:val="auto"/>
          <w:kern w:val="0"/>
          <w:sz w:val="22"/>
          <w:highlight w:val="none"/>
          <w:lang w:eastAsia="zh-CN"/>
        </w:rPr>
        <w:t>供应商</w:t>
      </w:r>
      <w:r>
        <w:rPr>
          <w:rFonts w:hint="eastAsia" w:ascii="仿宋" w:hAnsi="仿宋" w:eastAsia="仿宋" w:cs="仿宋"/>
          <w:bCs/>
          <w:color w:val="auto"/>
          <w:kern w:val="0"/>
          <w:sz w:val="22"/>
          <w:highlight w:val="none"/>
        </w:rPr>
        <w:t>：</w:t>
      </w:r>
      <w:r>
        <w:rPr>
          <w:rFonts w:hint="eastAsia" w:ascii="仿宋" w:hAnsi="仿宋" w:eastAsia="仿宋" w:cs="仿宋"/>
          <w:bCs/>
          <w:color w:val="auto"/>
          <w:kern w:val="0"/>
          <w:sz w:val="22"/>
          <w:highlight w:val="none"/>
          <w:u w:val="single"/>
        </w:rPr>
        <w:t xml:space="preserve">        （加盖公章）             </w:t>
      </w:r>
    </w:p>
    <w:p>
      <w:pPr>
        <w:keepNext w:val="0"/>
        <w:keepLines w:val="0"/>
        <w:pageBreakBefore w:val="0"/>
        <w:kinsoku/>
        <w:wordWrap w:val="0"/>
        <w:overflowPunct/>
        <w:topLinePunct/>
        <w:autoSpaceDE/>
        <w:autoSpaceDN/>
        <w:bidi w:val="0"/>
        <w:snapToGrid/>
        <w:spacing w:line="440" w:lineRule="exact"/>
        <w:ind w:left="0" w:leftChars="0" w:right="0" w:firstLine="220" w:firstLineChars="1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法定代表人/授权代表签字：</w:t>
      </w:r>
      <w:r>
        <w:rPr>
          <w:rFonts w:hint="eastAsia" w:ascii="仿宋" w:hAnsi="仿宋" w:eastAsia="仿宋" w:cs="仿宋"/>
          <w:bCs/>
          <w:color w:val="auto"/>
          <w:kern w:val="0"/>
          <w:sz w:val="22"/>
          <w:highlight w:val="none"/>
          <w:u w:val="single"/>
        </w:rPr>
        <w:t xml:space="preserve">                     </w:t>
      </w:r>
    </w:p>
    <w:p>
      <w:pPr>
        <w:keepNext w:val="0"/>
        <w:keepLines w:val="0"/>
        <w:pageBreakBefore w:val="0"/>
        <w:kinsoku/>
        <w:wordWrap w:val="0"/>
        <w:overflowPunct/>
        <w:topLinePunct/>
        <w:autoSpaceDE/>
        <w:autoSpaceDN/>
        <w:bidi w:val="0"/>
        <w:snapToGrid/>
        <w:spacing w:line="440" w:lineRule="exact"/>
        <w:ind w:left="0" w:leftChars="0" w:right="0" w:firstLine="220" w:firstLineChars="1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详 细 地 址：</w:t>
      </w:r>
      <w:r>
        <w:rPr>
          <w:rFonts w:hint="eastAsia" w:ascii="仿宋" w:hAnsi="仿宋" w:eastAsia="仿宋" w:cs="仿宋"/>
          <w:bCs/>
          <w:color w:val="auto"/>
          <w:kern w:val="0"/>
          <w:sz w:val="22"/>
          <w:highlight w:val="none"/>
          <w:u w:val="single"/>
        </w:rPr>
        <w:t xml:space="preserve">                                 </w:t>
      </w:r>
    </w:p>
    <w:p>
      <w:pPr>
        <w:keepNext w:val="0"/>
        <w:keepLines w:val="0"/>
        <w:pageBreakBefore w:val="0"/>
        <w:numPr>
          <w:ilvl w:val="1"/>
          <w:numId w:val="0"/>
        </w:numPr>
        <w:tabs>
          <w:tab w:val="left" w:pos="360"/>
        </w:tabs>
        <w:kinsoku/>
        <w:wordWrap w:val="0"/>
        <w:overflowPunct/>
        <w:topLinePunct/>
        <w:autoSpaceDE/>
        <w:autoSpaceDN/>
        <w:bidi w:val="0"/>
        <w:snapToGrid/>
        <w:spacing w:line="440" w:lineRule="exact"/>
        <w:ind w:left="0" w:leftChars="0" w:right="0" w:firstLine="220" w:firstLineChars="1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邮 政 编 码：</w:t>
      </w:r>
      <w:r>
        <w:rPr>
          <w:rFonts w:hint="eastAsia" w:ascii="仿宋" w:hAnsi="仿宋" w:eastAsia="仿宋" w:cs="仿宋"/>
          <w:bCs/>
          <w:color w:val="auto"/>
          <w:kern w:val="0"/>
          <w:sz w:val="22"/>
          <w:highlight w:val="none"/>
          <w:u w:val="single"/>
        </w:rPr>
        <w:t xml:space="preserve">                                </w:t>
      </w:r>
    </w:p>
    <w:p>
      <w:pPr>
        <w:keepNext w:val="0"/>
        <w:keepLines w:val="0"/>
        <w:pageBreakBefore w:val="0"/>
        <w:kinsoku/>
        <w:wordWrap w:val="0"/>
        <w:overflowPunct/>
        <w:topLinePunct/>
        <w:autoSpaceDE/>
        <w:autoSpaceDN/>
        <w:bidi w:val="0"/>
        <w:snapToGrid/>
        <w:spacing w:line="440" w:lineRule="exact"/>
        <w:ind w:left="0" w:leftChars="0" w:right="0" w:firstLine="220" w:firstLineChars="1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电       话：</w:t>
      </w:r>
      <w:r>
        <w:rPr>
          <w:rFonts w:hint="eastAsia" w:ascii="仿宋" w:hAnsi="仿宋" w:eastAsia="仿宋" w:cs="仿宋"/>
          <w:bCs/>
          <w:color w:val="auto"/>
          <w:kern w:val="0"/>
          <w:sz w:val="22"/>
          <w:highlight w:val="none"/>
          <w:u w:val="single"/>
        </w:rPr>
        <w:t xml:space="preserve">                                </w:t>
      </w:r>
    </w:p>
    <w:p>
      <w:pPr>
        <w:keepNext w:val="0"/>
        <w:keepLines w:val="0"/>
        <w:pageBreakBefore w:val="0"/>
        <w:kinsoku/>
        <w:wordWrap w:val="0"/>
        <w:overflowPunct/>
        <w:topLinePunct/>
        <w:autoSpaceDE/>
        <w:autoSpaceDN/>
        <w:bidi w:val="0"/>
        <w:snapToGrid/>
        <w:spacing w:line="440" w:lineRule="exact"/>
        <w:ind w:left="0" w:leftChars="0" w:right="0" w:firstLine="220" w:firstLineChars="1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传       真：</w:t>
      </w:r>
      <w:r>
        <w:rPr>
          <w:rFonts w:hint="eastAsia" w:ascii="仿宋" w:hAnsi="仿宋" w:eastAsia="仿宋" w:cs="仿宋"/>
          <w:bCs/>
          <w:color w:val="auto"/>
          <w:kern w:val="0"/>
          <w:sz w:val="22"/>
          <w:highlight w:val="none"/>
          <w:u w:val="single"/>
        </w:rPr>
        <w:t xml:space="preserve">                                </w:t>
      </w:r>
    </w:p>
    <w:p>
      <w:pPr>
        <w:keepNext w:val="0"/>
        <w:keepLines w:val="0"/>
        <w:pageBreakBefore w:val="0"/>
        <w:numPr>
          <w:ilvl w:val="1"/>
          <w:numId w:val="0"/>
        </w:numPr>
        <w:tabs>
          <w:tab w:val="left" w:pos="360"/>
        </w:tabs>
        <w:kinsoku/>
        <w:wordWrap w:val="0"/>
        <w:overflowPunct/>
        <w:topLinePunct/>
        <w:autoSpaceDE/>
        <w:autoSpaceDN/>
        <w:bidi w:val="0"/>
        <w:snapToGrid/>
        <w:spacing w:line="440" w:lineRule="exact"/>
        <w:ind w:left="0" w:leftChars="0" w:right="0" w:firstLine="220" w:firstLineChars="1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电子邮件地址：</w:t>
      </w:r>
      <w:r>
        <w:rPr>
          <w:rFonts w:hint="eastAsia" w:ascii="仿宋" w:hAnsi="仿宋" w:eastAsia="仿宋" w:cs="仿宋"/>
          <w:bCs/>
          <w:color w:val="auto"/>
          <w:kern w:val="0"/>
          <w:sz w:val="22"/>
          <w:highlight w:val="none"/>
          <w:u w:val="single"/>
        </w:rPr>
        <w:t xml:space="preserve">                                </w:t>
      </w:r>
    </w:p>
    <w:p>
      <w:pPr>
        <w:keepNext w:val="0"/>
        <w:keepLines w:val="0"/>
        <w:pageBreakBefore w:val="0"/>
        <w:kinsoku/>
        <w:wordWrap w:val="0"/>
        <w:overflowPunct/>
        <w:topLinePunct/>
        <w:autoSpaceDE/>
        <w:autoSpaceDN/>
        <w:bidi w:val="0"/>
        <w:snapToGrid/>
        <w:spacing w:line="440" w:lineRule="exact"/>
        <w:ind w:left="0" w:leftChars="0" w:right="0" w:firstLine="220" w:firstLineChars="1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开  户 银 行：</w:t>
      </w:r>
      <w:r>
        <w:rPr>
          <w:rFonts w:hint="eastAsia" w:ascii="仿宋" w:hAnsi="仿宋" w:eastAsia="仿宋" w:cs="仿宋"/>
          <w:bCs/>
          <w:color w:val="auto"/>
          <w:kern w:val="0"/>
          <w:sz w:val="22"/>
          <w:highlight w:val="none"/>
          <w:u w:val="single"/>
        </w:rPr>
        <w:t xml:space="preserve">                                </w:t>
      </w:r>
    </w:p>
    <w:p>
      <w:pPr>
        <w:keepNext w:val="0"/>
        <w:keepLines w:val="0"/>
        <w:pageBreakBefore w:val="0"/>
        <w:kinsoku/>
        <w:wordWrap w:val="0"/>
        <w:overflowPunct/>
        <w:topLinePunct/>
        <w:autoSpaceDE/>
        <w:autoSpaceDN/>
        <w:bidi w:val="0"/>
        <w:snapToGrid/>
        <w:spacing w:line="440" w:lineRule="exact"/>
        <w:ind w:left="0" w:leftChars="0" w:right="0" w:firstLine="220" w:firstLineChars="10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帐        号：</w:t>
      </w:r>
      <w:r>
        <w:rPr>
          <w:rFonts w:hint="eastAsia" w:ascii="仿宋" w:hAnsi="仿宋" w:eastAsia="仿宋" w:cs="仿宋"/>
          <w:bCs/>
          <w:color w:val="auto"/>
          <w:kern w:val="0"/>
          <w:sz w:val="22"/>
          <w:highlight w:val="none"/>
          <w:u w:val="single"/>
        </w:rPr>
        <w:t xml:space="preserve">                                </w:t>
      </w:r>
    </w:p>
    <w:p>
      <w:pPr>
        <w:keepNext w:val="0"/>
        <w:keepLines w:val="0"/>
        <w:pageBreakBefore w:val="0"/>
        <w:kinsoku/>
        <w:wordWrap w:val="0"/>
        <w:overflowPunct/>
        <w:topLinePunct/>
        <w:autoSpaceDE/>
        <w:autoSpaceDN/>
        <w:bidi w:val="0"/>
        <w:snapToGrid/>
        <w:spacing w:line="440" w:lineRule="exact"/>
        <w:ind w:left="0" w:leftChars="0" w:right="0"/>
        <w:jc w:val="left"/>
        <w:outlineLvl w:val="9"/>
        <w:rPr>
          <w:rFonts w:hint="eastAsia" w:ascii="仿宋" w:hAnsi="仿宋" w:eastAsia="仿宋" w:cs="仿宋"/>
          <w:bCs/>
          <w:color w:val="auto"/>
          <w:kern w:val="0"/>
          <w:sz w:val="22"/>
          <w:highlight w:val="none"/>
        </w:rPr>
      </w:pPr>
    </w:p>
    <w:p>
      <w:pPr>
        <w:keepNext w:val="0"/>
        <w:keepLines w:val="0"/>
        <w:pageBreakBefore w:val="0"/>
        <w:kinsoku/>
        <w:wordWrap w:val="0"/>
        <w:overflowPunct/>
        <w:topLinePunct/>
        <w:autoSpaceDE/>
        <w:autoSpaceDN/>
        <w:bidi w:val="0"/>
        <w:snapToGrid/>
        <w:spacing w:line="440" w:lineRule="exact"/>
        <w:ind w:left="0" w:leftChars="0" w:right="0"/>
        <w:jc w:val="left"/>
        <w:outlineLvl w:val="9"/>
        <w:rPr>
          <w:rFonts w:hint="eastAsia" w:ascii="仿宋" w:hAnsi="仿宋" w:eastAsia="仿宋" w:cs="仿宋"/>
          <w:bCs/>
          <w:color w:val="auto"/>
          <w:kern w:val="0"/>
          <w:sz w:val="22"/>
          <w:highlight w:val="none"/>
        </w:rPr>
      </w:pPr>
    </w:p>
    <w:p>
      <w:pPr>
        <w:keepNext w:val="0"/>
        <w:keepLines w:val="0"/>
        <w:pageBreakBefore w:val="0"/>
        <w:kinsoku/>
        <w:wordWrap w:val="0"/>
        <w:overflowPunct/>
        <w:topLinePunct/>
        <w:autoSpaceDE/>
        <w:autoSpaceDN/>
        <w:bidi w:val="0"/>
        <w:snapToGrid/>
        <w:spacing w:line="440" w:lineRule="exact"/>
        <w:ind w:left="0" w:leftChars="0" w:right="0"/>
        <w:jc w:val="left"/>
        <w:outlineLvl w:val="9"/>
        <w:rPr>
          <w:rFonts w:hint="eastAsia" w:ascii="仿宋" w:hAnsi="仿宋" w:eastAsia="仿宋" w:cs="仿宋"/>
          <w:bCs/>
          <w:color w:val="auto"/>
          <w:kern w:val="0"/>
          <w:sz w:val="22"/>
          <w:highlight w:val="none"/>
        </w:rPr>
      </w:pPr>
    </w:p>
    <w:p>
      <w:pPr>
        <w:keepNext w:val="0"/>
        <w:keepLines w:val="0"/>
        <w:pageBreakBefore w:val="0"/>
        <w:kinsoku/>
        <w:overflowPunct/>
        <w:autoSpaceDE/>
        <w:autoSpaceDN/>
        <w:bidi w:val="0"/>
        <w:snapToGrid/>
        <w:spacing w:line="440" w:lineRule="exact"/>
        <w:ind w:left="0" w:leftChars="0" w:right="0"/>
        <w:jc w:val="left"/>
        <w:outlineLvl w:val="9"/>
        <w:rPr>
          <w:rFonts w:hint="eastAsia" w:ascii="仿宋" w:hAnsi="仿宋" w:eastAsia="仿宋" w:cs="仿宋"/>
          <w:bCs/>
          <w:color w:val="auto"/>
          <w:kern w:val="0"/>
          <w:sz w:val="22"/>
          <w:highlight w:val="none"/>
        </w:rPr>
      </w:pPr>
    </w:p>
    <w:p>
      <w:pPr>
        <w:keepNext w:val="0"/>
        <w:keepLines w:val="0"/>
        <w:pageBreakBefore w:val="0"/>
        <w:tabs>
          <w:tab w:val="left" w:pos="6379"/>
          <w:tab w:val="left" w:pos="7230"/>
        </w:tabs>
        <w:kinsoku/>
        <w:overflowPunct/>
        <w:autoSpaceDE/>
        <w:autoSpaceDN/>
        <w:bidi w:val="0"/>
        <w:snapToGrid/>
        <w:spacing w:line="440" w:lineRule="exact"/>
        <w:ind w:left="0" w:leftChars="0" w:right="0"/>
        <w:jc w:val="left"/>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 xml:space="preserve">                                                      年    月    日</w:t>
      </w:r>
    </w:p>
    <w:p>
      <w:pPr>
        <w:keepNext w:val="0"/>
        <w:keepLines w:val="0"/>
        <w:pageBreakBefore w:val="0"/>
        <w:kinsoku/>
        <w:overflowPunct/>
        <w:autoSpaceDE/>
        <w:autoSpaceDN/>
        <w:bidi w:val="0"/>
        <w:snapToGrid/>
        <w:spacing w:line="360" w:lineRule="auto"/>
        <w:ind w:left="0" w:leftChars="0" w:right="0"/>
        <w:jc w:val="left"/>
        <w:outlineLvl w:val="9"/>
        <w:rPr>
          <w:rFonts w:hint="eastAsia" w:ascii="仿宋" w:hAnsi="仿宋" w:eastAsia="仿宋" w:cs="仿宋"/>
          <w:b/>
          <w:color w:val="auto"/>
          <w:sz w:val="32"/>
          <w:szCs w:val="44"/>
          <w:highlight w:val="none"/>
        </w:rPr>
        <w:sectPr>
          <w:footerReference r:id="rId6" w:type="first"/>
          <w:footerReference r:id="rId5" w:type="default"/>
          <w:pgSz w:w="11906" w:h="16838"/>
          <w:pgMar w:top="1417" w:right="1417" w:bottom="1417" w:left="1417" w:header="851" w:footer="850" w:gutter="0"/>
          <w:pgNumType w:fmt="decimal" w:start="1"/>
          <w:cols w:space="720" w:num="1"/>
          <w:titlePg/>
          <w:docGrid w:linePitch="312" w:charSpace="0"/>
        </w:sectPr>
      </w:pPr>
    </w:p>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二、投标报价表</w:t>
      </w:r>
    </w:p>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28"/>
          <w:szCs w:val="28"/>
          <w:highlight w:val="none"/>
        </w:rPr>
      </w:pPr>
      <w:bookmarkStart w:id="148" w:name="_Toc489869026"/>
      <w:bookmarkStart w:id="149" w:name="_Toc489869750"/>
      <w:bookmarkStart w:id="150" w:name="_Toc489870026"/>
      <w:bookmarkStart w:id="151" w:name="_Toc489868892"/>
      <w:bookmarkStart w:id="152" w:name="_Toc489869364"/>
      <w:r>
        <w:rPr>
          <w:rFonts w:hint="eastAsia" w:ascii="仿宋" w:hAnsi="仿宋" w:eastAsia="仿宋" w:cs="仿宋"/>
          <w:b/>
          <w:color w:val="auto"/>
          <w:sz w:val="28"/>
          <w:szCs w:val="28"/>
          <w:highlight w:val="none"/>
        </w:rPr>
        <w:t>2.1.</w:t>
      </w:r>
      <w:r>
        <w:rPr>
          <w:rFonts w:hint="eastAsia" w:ascii="仿宋" w:hAnsi="仿宋" w:eastAsia="仿宋" w:cs="仿宋"/>
          <w:b/>
          <w:bCs/>
          <w:color w:val="auto"/>
          <w:sz w:val="28"/>
          <w:szCs w:val="28"/>
          <w:highlight w:val="none"/>
        </w:rPr>
        <w:t xml:space="preserve"> 投标报价一览表</w:t>
      </w:r>
      <w:bookmarkEnd w:id="148"/>
      <w:bookmarkEnd w:id="149"/>
      <w:bookmarkEnd w:id="150"/>
      <w:bookmarkEnd w:id="151"/>
      <w:bookmarkEnd w:id="152"/>
    </w:p>
    <w:p>
      <w:pPr>
        <w:keepNext w:val="0"/>
        <w:keepLines w:val="0"/>
        <w:pageBreakBefore w:val="0"/>
        <w:kinsoku/>
        <w:overflowPunct/>
        <w:autoSpaceDE/>
        <w:autoSpaceDN/>
        <w:bidi w:val="0"/>
        <w:snapToGrid/>
        <w:ind w:left="0" w:leftChars="0" w:right="0" w:hanging="48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项目编号：</w:t>
      </w:r>
    </w:p>
    <w:p>
      <w:pPr>
        <w:keepNext w:val="0"/>
        <w:keepLines w:val="0"/>
        <w:pageBreakBefore w:val="0"/>
        <w:kinsoku/>
        <w:overflowPunct/>
        <w:autoSpaceDE/>
        <w:autoSpaceDN/>
        <w:bidi w:val="0"/>
        <w:snapToGrid/>
        <w:ind w:left="0" w:leftChars="0" w:right="0" w:hanging="48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lang w:eastAsia="zh-CN"/>
        </w:rPr>
        <w:t>供应商</w:t>
      </w:r>
      <w:r>
        <w:rPr>
          <w:rFonts w:hint="eastAsia" w:ascii="仿宋" w:hAnsi="仿宋" w:eastAsia="仿宋" w:cs="仿宋"/>
          <w:color w:val="auto"/>
          <w:sz w:val="22"/>
          <w:highlight w:val="none"/>
        </w:rPr>
        <w:t>：</w:t>
      </w:r>
    </w:p>
    <w:tbl>
      <w:tblPr>
        <w:tblStyle w:val="47"/>
        <w:tblW w:w="15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04"/>
        <w:gridCol w:w="2547"/>
        <w:gridCol w:w="2129"/>
        <w:gridCol w:w="21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8304" w:type="dxa"/>
            <w:tcBorders>
              <w:top w:val="double" w:color="auto" w:sz="4" w:space="0"/>
              <w:left w:val="double" w:color="auto" w:sz="4" w:space="0"/>
              <w:bottom w:val="single" w:color="auto" w:sz="4" w:space="0"/>
              <w:right w:val="single" w:color="auto" w:sz="4" w:space="0"/>
            </w:tcBorders>
            <w:vAlign w:val="center"/>
          </w:tcPr>
          <w:p>
            <w:pPr>
              <w:keepNext w:val="0"/>
              <w:keepLines w:val="0"/>
              <w:pageBreakBefore w:val="0"/>
              <w:kinsoku/>
              <w:overflowPunct/>
              <w:autoSpaceDE/>
              <w:autoSpaceDN/>
              <w:bidi w:val="0"/>
              <w:snapToGrid/>
              <w:spacing w:line="324"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投标报价（元）</w:t>
            </w:r>
          </w:p>
        </w:tc>
        <w:tc>
          <w:tcPr>
            <w:tcW w:w="2547" w:type="dxa"/>
            <w:tcBorders>
              <w:top w:val="doub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snapToGrid/>
              <w:spacing w:line="324"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交货期</w:t>
            </w:r>
          </w:p>
        </w:tc>
        <w:tc>
          <w:tcPr>
            <w:tcW w:w="2129" w:type="dxa"/>
            <w:tcBorders>
              <w:top w:val="doub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snapToGrid/>
              <w:spacing w:line="324"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质保期</w:t>
            </w:r>
          </w:p>
        </w:tc>
        <w:tc>
          <w:tcPr>
            <w:tcW w:w="2117" w:type="dxa"/>
            <w:tcBorders>
              <w:top w:val="double" w:color="auto" w:sz="4" w:space="0"/>
              <w:left w:val="single" w:color="auto" w:sz="4" w:space="0"/>
              <w:bottom w:val="single" w:color="auto" w:sz="4" w:space="0"/>
              <w:right w:val="double" w:color="auto" w:sz="4" w:space="0"/>
            </w:tcBorders>
            <w:vAlign w:val="center"/>
          </w:tcPr>
          <w:p>
            <w:pPr>
              <w:keepNext w:val="0"/>
              <w:keepLines w:val="0"/>
              <w:pageBreakBefore w:val="0"/>
              <w:kinsoku/>
              <w:overflowPunct/>
              <w:autoSpaceDE/>
              <w:autoSpaceDN/>
              <w:bidi w:val="0"/>
              <w:snapToGrid/>
              <w:spacing w:line="324"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8304"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overflowPunct/>
              <w:autoSpaceDE/>
              <w:autoSpaceDN/>
              <w:bidi w:val="0"/>
              <w:snapToGrid/>
              <w:spacing w:line="324" w:lineRule="auto"/>
              <w:ind w:left="0" w:leftChars="0" w:right="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c>
          <w:tcPr>
            <w:tcW w:w="2547" w:type="dxa"/>
            <w:vMerge w:val="restart"/>
            <w:tcBorders>
              <w:top w:val="single" w:color="auto" w:sz="4" w:space="0"/>
              <w:left w:val="single" w:color="auto" w:sz="4" w:space="0"/>
              <w:right w:val="single" w:color="auto" w:sz="4" w:space="0"/>
            </w:tcBorders>
            <w:vAlign w:val="center"/>
          </w:tcPr>
          <w:p>
            <w:pPr>
              <w:keepNext w:val="0"/>
              <w:keepLines w:val="0"/>
              <w:pageBreakBefore w:val="0"/>
              <w:kinsoku/>
              <w:overflowPunct/>
              <w:autoSpaceDE/>
              <w:autoSpaceDN/>
              <w:bidi w:val="0"/>
              <w:snapToGrid/>
              <w:spacing w:line="324" w:lineRule="auto"/>
              <w:ind w:left="0" w:leftChars="0" w:right="0"/>
              <w:jc w:val="left"/>
              <w:outlineLvl w:val="9"/>
              <w:rPr>
                <w:rFonts w:hint="eastAsia" w:ascii="仿宋" w:hAnsi="仿宋" w:eastAsia="仿宋" w:cs="仿宋"/>
                <w:color w:val="auto"/>
                <w:sz w:val="22"/>
                <w:highlight w:val="none"/>
              </w:rPr>
            </w:pPr>
          </w:p>
        </w:tc>
        <w:tc>
          <w:tcPr>
            <w:tcW w:w="2129" w:type="dxa"/>
            <w:vMerge w:val="restart"/>
            <w:tcBorders>
              <w:top w:val="single" w:color="auto" w:sz="4" w:space="0"/>
              <w:left w:val="single" w:color="auto" w:sz="4" w:space="0"/>
              <w:right w:val="single" w:color="auto" w:sz="4" w:space="0"/>
            </w:tcBorders>
            <w:vAlign w:val="center"/>
          </w:tcPr>
          <w:p>
            <w:pPr>
              <w:keepNext w:val="0"/>
              <w:keepLines w:val="0"/>
              <w:pageBreakBefore w:val="0"/>
              <w:kinsoku/>
              <w:overflowPunct/>
              <w:autoSpaceDE/>
              <w:autoSpaceDN/>
              <w:bidi w:val="0"/>
              <w:snapToGrid/>
              <w:spacing w:line="324" w:lineRule="auto"/>
              <w:ind w:left="0" w:leftChars="0" w:right="0"/>
              <w:jc w:val="left"/>
              <w:outlineLvl w:val="9"/>
              <w:rPr>
                <w:rFonts w:hint="eastAsia" w:ascii="仿宋" w:hAnsi="仿宋" w:eastAsia="仿宋" w:cs="仿宋"/>
                <w:color w:val="auto"/>
                <w:sz w:val="22"/>
                <w:highlight w:val="none"/>
              </w:rPr>
            </w:pPr>
          </w:p>
        </w:tc>
        <w:tc>
          <w:tcPr>
            <w:tcW w:w="2117" w:type="dxa"/>
            <w:vMerge w:val="restart"/>
            <w:tcBorders>
              <w:top w:val="single" w:color="auto" w:sz="4" w:space="0"/>
              <w:left w:val="single" w:color="auto" w:sz="4" w:space="0"/>
              <w:right w:val="double" w:color="auto" w:sz="4" w:space="0"/>
            </w:tcBorders>
            <w:vAlign w:val="center"/>
          </w:tcPr>
          <w:p>
            <w:pPr>
              <w:keepNext w:val="0"/>
              <w:keepLines w:val="0"/>
              <w:pageBreakBefore w:val="0"/>
              <w:kinsoku/>
              <w:overflowPunct/>
              <w:autoSpaceDE/>
              <w:autoSpaceDN/>
              <w:bidi w:val="0"/>
              <w:snapToGrid/>
              <w:spacing w:line="324" w:lineRule="auto"/>
              <w:ind w:left="0" w:leftChars="0" w:right="0"/>
              <w:jc w:val="center"/>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8304" w:type="dxa"/>
            <w:tcBorders>
              <w:top w:val="single" w:color="auto" w:sz="4" w:space="0"/>
              <w:left w:val="double" w:color="auto" w:sz="4" w:space="0"/>
              <w:bottom w:val="double" w:color="auto" w:sz="4" w:space="0"/>
              <w:right w:val="single" w:color="auto" w:sz="4" w:space="0"/>
            </w:tcBorders>
            <w:vAlign w:val="center"/>
          </w:tcPr>
          <w:p>
            <w:pPr>
              <w:keepNext w:val="0"/>
              <w:keepLines w:val="0"/>
              <w:pageBreakBefore w:val="0"/>
              <w:kinsoku/>
              <w:overflowPunct/>
              <w:autoSpaceDE/>
              <w:autoSpaceDN/>
              <w:bidi w:val="0"/>
              <w:snapToGrid/>
              <w:spacing w:line="324" w:lineRule="auto"/>
              <w:ind w:left="0" w:leftChars="0" w:right="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（报价大写）：</w:t>
            </w:r>
          </w:p>
        </w:tc>
        <w:tc>
          <w:tcPr>
            <w:tcW w:w="2547" w:type="dxa"/>
            <w:vMerge w:val="continue"/>
            <w:tcBorders>
              <w:left w:val="single" w:color="auto" w:sz="4" w:space="0"/>
              <w:bottom w:val="double" w:color="auto" w:sz="4" w:space="0"/>
              <w:right w:val="single" w:color="auto" w:sz="4" w:space="0"/>
            </w:tcBorders>
            <w:vAlign w:val="center"/>
          </w:tcPr>
          <w:p>
            <w:pPr>
              <w:keepNext w:val="0"/>
              <w:keepLines w:val="0"/>
              <w:pageBreakBefore w:val="0"/>
              <w:kinsoku/>
              <w:overflowPunct/>
              <w:autoSpaceDE/>
              <w:autoSpaceDN/>
              <w:bidi w:val="0"/>
              <w:snapToGrid/>
              <w:spacing w:line="324" w:lineRule="auto"/>
              <w:ind w:left="0" w:leftChars="0" w:right="0"/>
              <w:jc w:val="left"/>
              <w:outlineLvl w:val="9"/>
              <w:rPr>
                <w:rFonts w:hint="eastAsia" w:ascii="仿宋" w:hAnsi="仿宋" w:eastAsia="仿宋" w:cs="仿宋"/>
                <w:color w:val="auto"/>
                <w:sz w:val="22"/>
                <w:highlight w:val="none"/>
              </w:rPr>
            </w:pPr>
          </w:p>
        </w:tc>
        <w:tc>
          <w:tcPr>
            <w:tcW w:w="2129" w:type="dxa"/>
            <w:vMerge w:val="continue"/>
            <w:tcBorders>
              <w:left w:val="single" w:color="auto" w:sz="4" w:space="0"/>
              <w:bottom w:val="double" w:color="auto" w:sz="4" w:space="0"/>
              <w:right w:val="single" w:color="auto" w:sz="4" w:space="0"/>
            </w:tcBorders>
            <w:vAlign w:val="center"/>
          </w:tcPr>
          <w:p>
            <w:pPr>
              <w:keepNext w:val="0"/>
              <w:keepLines w:val="0"/>
              <w:pageBreakBefore w:val="0"/>
              <w:kinsoku/>
              <w:overflowPunct/>
              <w:autoSpaceDE/>
              <w:autoSpaceDN/>
              <w:bidi w:val="0"/>
              <w:snapToGrid/>
              <w:spacing w:line="324" w:lineRule="auto"/>
              <w:ind w:left="0" w:leftChars="0" w:right="0"/>
              <w:jc w:val="left"/>
              <w:outlineLvl w:val="9"/>
              <w:rPr>
                <w:rFonts w:hint="eastAsia" w:ascii="仿宋" w:hAnsi="仿宋" w:eastAsia="仿宋" w:cs="仿宋"/>
                <w:color w:val="auto"/>
                <w:sz w:val="22"/>
                <w:highlight w:val="none"/>
              </w:rPr>
            </w:pPr>
          </w:p>
        </w:tc>
        <w:tc>
          <w:tcPr>
            <w:tcW w:w="2117" w:type="dxa"/>
            <w:vMerge w:val="continue"/>
            <w:tcBorders>
              <w:left w:val="single" w:color="auto" w:sz="4" w:space="0"/>
              <w:bottom w:val="double" w:color="auto" w:sz="4" w:space="0"/>
              <w:right w:val="double" w:color="auto" w:sz="4" w:space="0"/>
            </w:tcBorders>
            <w:vAlign w:val="center"/>
          </w:tcPr>
          <w:p>
            <w:pPr>
              <w:keepNext w:val="0"/>
              <w:keepLines w:val="0"/>
              <w:pageBreakBefore w:val="0"/>
              <w:kinsoku/>
              <w:overflowPunct/>
              <w:autoSpaceDE/>
              <w:autoSpaceDN/>
              <w:bidi w:val="0"/>
              <w:snapToGrid/>
              <w:spacing w:line="324" w:lineRule="auto"/>
              <w:ind w:left="0" w:leftChars="0" w:right="0"/>
              <w:jc w:val="center"/>
              <w:outlineLvl w:val="9"/>
              <w:rPr>
                <w:rFonts w:hint="eastAsia" w:ascii="仿宋" w:hAnsi="仿宋" w:eastAsia="仿宋" w:cs="仿宋"/>
                <w:color w:val="auto"/>
                <w:sz w:val="22"/>
                <w:highlight w:val="none"/>
              </w:rPr>
            </w:pPr>
          </w:p>
        </w:tc>
      </w:tr>
    </w:tbl>
    <w:p>
      <w:pPr>
        <w:keepNext w:val="0"/>
        <w:keepLines w:val="0"/>
        <w:pageBreakBefore w:val="0"/>
        <w:kinsoku/>
        <w:overflowPunct/>
        <w:autoSpaceDE/>
        <w:autoSpaceDN/>
        <w:bidi w:val="0"/>
        <w:snapToGrid/>
        <w:ind w:left="0" w:leftChars="0" w:right="0"/>
        <w:jc w:val="left"/>
        <w:outlineLvl w:val="9"/>
        <w:rPr>
          <w:rFonts w:hint="eastAsia" w:ascii="仿宋" w:hAnsi="仿宋" w:eastAsia="仿宋" w:cs="仿宋"/>
          <w:color w:val="auto"/>
          <w:sz w:val="22"/>
          <w:highlight w:val="none"/>
        </w:rPr>
      </w:pPr>
      <w:r>
        <w:rPr>
          <w:rFonts w:hint="eastAsia" w:ascii="仿宋" w:hAnsi="仿宋" w:eastAsia="仿宋" w:cs="仿宋"/>
          <w:b/>
          <w:iCs/>
          <w:color w:val="auto"/>
          <w:sz w:val="22"/>
          <w:highlight w:val="none"/>
        </w:rPr>
        <w:t>注：</w:t>
      </w:r>
      <w:r>
        <w:rPr>
          <w:rFonts w:hint="eastAsia" w:ascii="仿宋" w:hAnsi="仿宋" w:eastAsia="仿宋" w:cs="仿宋"/>
          <w:iCs/>
          <w:color w:val="auto"/>
          <w:sz w:val="22"/>
          <w:highlight w:val="none"/>
        </w:rPr>
        <w:t>1.</w:t>
      </w:r>
      <w:r>
        <w:rPr>
          <w:rFonts w:hint="eastAsia" w:ascii="仿宋" w:hAnsi="仿宋" w:eastAsia="仿宋" w:cs="仿宋"/>
          <w:color w:val="auto"/>
          <w:sz w:val="22"/>
          <w:highlight w:val="none"/>
          <w:lang w:eastAsia="zh-CN"/>
        </w:rPr>
        <w:t>供应商</w:t>
      </w:r>
      <w:r>
        <w:rPr>
          <w:rFonts w:hint="eastAsia" w:ascii="仿宋" w:hAnsi="仿宋" w:eastAsia="仿宋" w:cs="仿宋"/>
          <w:color w:val="auto"/>
          <w:sz w:val="22"/>
          <w:highlight w:val="none"/>
        </w:rPr>
        <w:t xml:space="preserve">须按要求填写，不得随意更改本表格式； </w:t>
      </w:r>
    </w:p>
    <w:p>
      <w:pPr>
        <w:keepNext w:val="0"/>
        <w:keepLines w:val="0"/>
        <w:pageBreakBefore w:val="0"/>
        <w:kinsoku/>
        <w:overflowPunct/>
        <w:autoSpaceDE/>
        <w:autoSpaceDN/>
        <w:bidi w:val="0"/>
        <w:snapToGrid/>
        <w:ind w:left="0" w:leftChars="0" w:right="0" w:firstLine="440" w:firstLineChars="200"/>
        <w:jc w:val="left"/>
        <w:outlineLvl w:val="9"/>
        <w:rPr>
          <w:rFonts w:hint="eastAsia" w:ascii="仿宋" w:hAnsi="仿宋" w:eastAsia="仿宋" w:cs="仿宋"/>
          <w:iCs/>
          <w:color w:val="auto"/>
          <w:sz w:val="22"/>
          <w:highlight w:val="none"/>
        </w:rPr>
      </w:pPr>
      <w:r>
        <w:rPr>
          <w:rFonts w:hint="eastAsia" w:ascii="仿宋" w:hAnsi="仿宋" w:eastAsia="仿宋" w:cs="仿宋"/>
          <w:color w:val="auto"/>
          <w:sz w:val="22"/>
          <w:highlight w:val="none"/>
        </w:rPr>
        <w:t>2.</w:t>
      </w:r>
      <w:r>
        <w:rPr>
          <w:rFonts w:hint="eastAsia" w:ascii="仿宋" w:hAnsi="仿宋" w:eastAsia="仿宋" w:cs="仿宋"/>
          <w:iCs/>
          <w:color w:val="auto"/>
          <w:sz w:val="22"/>
          <w:highlight w:val="none"/>
        </w:rPr>
        <w:t>本表报价应按投标总价填写，须单独密封一份随投标文件一同提交。同时应保证投标文件的正、副本中仍有此表且一致；</w:t>
      </w:r>
    </w:p>
    <w:p>
      <w:pPr>
        <w:keepNext w:val="0"/>
        <w:keepLines w:val="0"/>
        <w:pageBreakBefore w:val="0"/>
        <w:kinsoku/>
        <w:overflowPunct/>
        <w:autoSpaceDE/>
        <w:autoSpaceDN/>
        <w:bidi w:val="0"/>
        <w:snapToGrid/>
        <w:ind w:left="0" w:leftChars="0" w:right="0" w:firstLine="440" w:firstLineChars="200"/>
        <w:jc w:val="left"/>
        <w:outlineLvl w:val="9"/>
        <w:rPr>
          <w:rFonts w:hint="eastAsia" w:ascii="仿宋" w:hAnsi="仿宋" w:eastAsia="仿宋" w:cs="仿宋"/>
          <w:iCs/>
          <w:color w:val="auto"/>
          <w:sz w:val="22"/>
          <w:highlight w:val="none"/>
        </w:rPr>
      </w:pPr>
      <w:r>
        <w:rPr>
          <w:rFonts w:hint="eastAsia" w:ascii="仿宋" w:hAnsi="仿宋" w:eastAsia="仿宋" w:cs="仿宋"/>
          <w:iCs/>
          <w:color w:val="auto"/>
          <w:sz w:val="22"/>
          <w:highlight w:val="none"/>
        </w:rPr>
        <w:t>3.满足需要落实“政府采购政策”的</w:t>
      </w:r>
      <w:r>
        <w:rPr>
          <w:rFonts w:hint="eastAsia" w:ascii="仿宋" w:hAnsi="仿宋" w:eastAsia="仿宋" w:cs="仿宋"/>
          <w:iCs/>
          <w:color w:val="auto"/>
          <w:sz w:val="22"/>
          <w:highlight w:val="none"/>
          <w:lang w:eastAsia="zh-CN"/>
        </w:rPr>
        <w:t>供应商</w:t>
      </w:r>
      <w:r>
        <w:rPr>
          <w:rFonts w:hint="eastAsia" w:ascii="仿宋" w:hAnsi="仿宋" w:eastAsia="仿宋" w:cs="仿宋"/>
          <w:iCs/>
          <w:color w:val="auto"/>
          <w:sz w:val="22"/>
          <w:highlight w:val="none"/>
        </w:rPr>
        <w:t>，</w:t>
      </w:r>
      <w:r>
        <w:rPr>
          <w:rFonts w:hint="eastAsia" w:ascii="仿宋" w:hAnsi="仿宋" w:eastAsia="仿宋" w:cs="仿宋"/>
          <w:iCs/>
          <w:color w:val="auto"/>
          <w:sz w:val="22"/>
          <w:highlight w:val="none"/>
          <w:u w:val="single"/>
        </w:rPr>
        <w:t>在备注栏中注明扣除类型</w:t>
      </w:r>
      <w:r>
        <w:rPr>
          <w:rFonts w:hint="eastAsia" w:ascii="仿宋" w:hAnsi="仿宋" w:eastAsia="仿宋" w:cs="仿宋"/>
          <w:iCs/>
          <w:color w:val="auto"/>
          <w:sz w:val="22"/>
          <w:highlight w:val="none"/>
        </w:rPr>
        <w:t>，若不满足，备注栏填</w:t>
      </w:r>
      <w:r>
        <w:rPr>
          <w:rFonts w:hint="eastAsia" w:ascii="仿宋" w:hAnsi="仿宋" w:eastAsia="仿宋" w:cs="仿宋"/>
          <w:b/>
          <w:iCs/>
          <w:color w:val="auto"/>
          <w:sz w:val="22"/>
          <w:highlight w:val="none"/>
        </w:rPr>
        <w:t>“无”</w:t>
      </w:r>
      <w:r>
        <w:rPr>
          <w:rFonts w:hint="eastAsia" w:ascii="仿宋" w:hAnsi="仿宋" w:eastAsia="仿宋" w:cs="仿宋"/>
          <w:iCs/>
          <w:color w:val="auto"/>
          <w:sz w:val="22"/>
          <w:highlight w:val="none"/>
        </w:rPr>
        <w:t>，填写与扣除无关的其他信息，按</w:t>
      </w:r>
      <w:r>
        <w:rPr>
          <w:rFonts w:hint="eastAsia" w:ascii="仿宋" w:hAnsi="仿宋" w:eastAsia="仿宋" w:cs="仿宋"/>
          <w:b/>
          <w:iCs/>
          <w:color w:val="auto"/>
          <w:sz w:val="22"/>
          <w:highlight w:val="none"/>
        </w:rPr>
        <w:t>“无”</w:t>
      </w:r>
      <w:r>
        <w:rPr>
          <w:rFonts w:hint="eastAsia" w:ascii="仿宋" w:hAnsi="仿宋" w:eastAsia="仿宋" w:cs="仿宋"/>
          <w:iCs/>
          <w:color w:val="auto"/>
          <w:sz w:val="22"/>
          <w:highlight w:val="none"/>
        </w:rPr>
        <w:t>处理。</w:t>
      </w: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sz w:val="22"/>
          <w:highlight w:val="none"/>
        </w:rPr>
      </w:pPr>
    </w:p>
    <w:p>
      <w:pPr>
        <w:keepNext w:val="0"/>
        <w:keepLines w:val="0"/>
        <w:pageBreakBefore w:val="0"/>
        <w:kinsoku/>
        <w:overflowPunct/>
        <w:autoSpaceDE/>
        <w:autoSpaceDN/>
        <w:bidi w:val="0"/>
        <w:snapToGrid/>
        <w:spacing w:line="360" w:lineRule="auto"/>
        <w:ind w:left="0" w:leftChars="0" w:right="0" w:firstLine="8140" w:firstLineChars="370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lang w:eastAsia="zh-CN"/>
        </w:rPr>
        <w:t>供应商</w:t>
      </w:r>
      <w:r>
        <w:rPr>
          <w:rFonts w:hint="eastAsia" w:ascii="仿宋" w:hAnsi="仿宋" w:eastAsia="仿宋" w:cs="仿宋"/>
          <w:color w:val="auto"/>
          <w:sz w:val="22"/>
          <w:highlight w:val="none"/>
        </w:rPr>
        <w:t>：</w:t>
      </w:r>
      <w:r>
        <w:rPr>
          <w:rFonts w:hint="eastAsia" w:ascii="仿宋" w:hAnsi="仿宋" w:eastAsia="仿宋" w:cs="仿宋"/>
          <w:color w:val="auto"/>
          <w:sz w:val="22"/>
          <w:highlight w:val="none"/>
          <w:u w:val="single"/>
        </w:rPr>
        <w:t>（加盖公章）</w:t>
      </w:r>
    </w:p>
    <w:p>
      <w:pPr>
        <w:keepNext w:val="0"/>
        <w:keepLines w:val="0"/>
        <w:pageBreakBefore w:val="0"/>
        <w:kinsoku/>
        <w:overflowPunct/>
        <w:autoSpaceDE/>
        <w:autoSpaceDN/>
        <w:bidi w:val="0"/>
        <w:snapToGrid/>
        <w:spacing w:line="360" w:lineRule="auto"/>
        <w:ind w:left="0" w:leftChars="0" w:right="0" w:firstLine="8140" w:firstLineChars="3700"/>
        <w:jc w:val="left"/>
        <w:outlineLvl w:val="9"/>
        <w:rPr>
          <w:rFonts w:hint="eastAsia" w:ascii="仿宋" w:hAnsi="仿宋" w:eastAsia="仿宋" w:cs="仿宋"/>
          <w:bCs/>
          <w:color w:val="auto"/>
          <w:kern w:val="0"/>
          <w:sz w:val="22"/>
          <w:highlight w:val="none"/>
          <w:u w:val="single"/>
        </w:rPr>
      </w:pPr>
      <w:r>
        <w:rPr>
          <w:rFonts w:hint="eastAsia" w:ascii="仿宋" w:hAnsi="仿宋" w:eastAsia="仿宋" w:cs="仿宋"/>
          <w:bCs/>
          <w:color w:val="auto"/>
          <w:kern w:val="0"/>
          <w:sz w:val="22"/>
          <w:highlight w:val="none"/>
        </w:rPr>
        <w:t>法定代表人/授权代表签字：</w:t>
      </w:r>
    </w:p>
    <w:p>
      <w:pPr>
        <w:keepNext w:val="0"/>
        <w:keepLines w:val="0"/>
        <w:pageBreakBefore w:val="0"/>
        <w:kinsoku/>
        <w:overflowPunct/>
        <w:autoSpaceDE/>
        <w:autoSpaceDN/>
        <w:bidi w:val="0"/>
        <w:snapToGrid/>
        <w:spacing w:line="360" w:lineRule="auto"/>
        <w:ind w:left="0" w:leftChars="0" w:right="0" w:firstLine="8140" w:firstLineChars="370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日  期：</w:t>
      </w:r>
    </w:p>
    <w:p>
      <w:pPr>
        <w:keepNext w:val="0"/>
        <w:keepLines w:val="0"/>
        <w:pageBreakBefore w:val="0"/>
        <w:kinsoku/>
        <w:overflowPunct/>
        <w:bidi w:val="0"/>
        <w:snapToGrid/>
        <w:ind w:left="0" w:leftChars="0" w:right="0"/>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pPr>
        <w:keepNext w:val="0"/>
        <w:keepLines w:val="0"/>
        <w:pageBreakBefore w:val="0"/>
        <w:kinsoku/>
        <w:overflowPunct/>
        <w:autoSpaceDE/>
        <w:autoSpaceDN/>
        <w:bidi w:val="0"/>
        <w:snapToGrid/>
        <w:spacing w:line="360" w:lineRule="atLeast"/>
        <w:ind w:left="0" w:leftChars="0" w:right="0"/>
        <w:jc w:val="center"/>
        <w:outlineLvl w:val="9"/>
        <w:rPr>
          <w:rFonts w:hint="eastAsia" w:ascii="仿宋" w:hAnsi="仿宋" w:eastAsia="仿宋" w:cs="仿宋"/>
          <w:b/>
          <w:color w:val="auto"/>
          <w:sz w:val="28"/>
          <w:szCs w:val="22"/>
          <w:highlight w:val="none"/>
        </w:rPr>
      </w:pPr>
      <w:r>
        <w:rPr>
          <w:rFonts w:hint="eastAsia" w:ascii="仿宋" w:hAnsi="仿宋" w:eastAsia="仿宋" w:cs="仿宋"/>
          <w:b/>
          <w:color w:val="auto"/>
          <w:sz w:val="28"/>
          <w:szCs w:val="22"/>
          <w:highlight w:val="none"/>
        </w:rPr>
        <w:t>2.2分项报价表（格式）</w:t>
      </w:r>
    </w:p>
    <w:p>
      <w:pPr>
        <w:keepNext w:val="0"/>
        <w:keepLines w:val="0"/>
        <w:pageBreakBefore w:val="0"/>
        <w:kinsoku/>
        <w:overflowPunct/>
        <w:autoSpaceDE/>
        <w:autoSpaceDN/>
        <w:bidi w:val="0"/>
        <w:snapToGrid/>
        <w:ind w:left="0" w:leftChars="0" w:right="0" w:hanging="48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项目编号：</w:t>
      </w:r>
    </w:p>
    <w:p>
      <w:pPr>
        <w:keepNext w:val="0"/>
        <w:keepLines w:val="0"/>
        <w:pageBreakBefore w:val="0"/>
        <w:kinsoku/>
        <w:overflowPunct/>
        <w:autoSpaceDE/>
        <w:autoSpaceDN/>
        <w:bidi w:val="0"/>
        <w:snapToGrid/>
        <w:ind w:left="0" w:leftChars="0" w:right="0" w:hanging="48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p>
    <w:tbl>
      <w:tblPr>
        <w:tblStyle w:val="47"/>
        <w:tblW w:w="148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903"/>
        <w:gridCol w:w="2415"/>
        <w:gridCol w:w="1894"/>
        <w:gridCol w:w="2210"/>
        <w:gridCol w:w="36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7"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903"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品目</w:t>
            </w:r>
          </w:p>
        </w:tc>
        <w:tc>
          <w:tcPr>
            <w:tcW w:w="2415"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单价（元）</w:t>
            </w:r>
          </w:p>
        </w:tc>
        <w:tc>
          <w:tcPr>
            <w:tcW w:w="1894" w:type="dxa"/>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数量（单位）</w:t>
            </w:r>
          </w:p>
        </w:tc>
        <w:tc>
          <w:tcPr>
            <w:tcW w:w="2210" w:type="dxa"/>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合计（元）</w:t>
            </w:r>
          </w:p>
        </w:tc>
        <w:tc>
          <w:tcPr>
            <w:tcW w:w="3628" w:type="dxa"/>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7"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903"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2415"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1894" w:type="dxa"/>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2210" w:type="dxa"/>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3628" w:type="dxa"/>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7"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903"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2415"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1894" w:type="dxa"/>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2210" w:type="dxa"/>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3628" w:type="dxa"/>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7"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903"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2415"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1894" w:type="dxa"/>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2210" w:type="dxa"/>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3628" w:type="dxa"/>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7"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903"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2415"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1894" w:type="dxa"/>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2210" w:type="dxa"/>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3628" w:type="dxa"/>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7"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3903"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415" w:type="dxa"/>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94" w:type="dxa"/>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p>
        </w:tc>
        <w:tc>
          <w:tcPr>
            <w:tcW w:w="2210" w:type="dxa"/>
            <w:vAlign w:val="center"/>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3628" w:type="dxa"/>
          </w:tcPr>
          <w:p>
            <w:pPr>
              <w:keepNext w:val="0"/>
              <w:keepLines w:val="0"/>
              <w:pageBreakBefore w:val="0"/>
              <w:kinsoku/>
              <w:overflowPunct/>
              <w:autoSpaceDE/>
              <w:autoSpaceDN/>
              <w:bidi w:val="0"/>
              <w:snapToGrid/>
              <w:spacing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837" w:type="dxa"/>
            <w:gridSpan w:val="6"/>
            <w:tcMar>
              <w:left w:w="57" w:type="dxa"/>
              <w:right w:w="57" w:type="dxa"/>
            </w:tcMar>
            <w:vAlign w:val="center"/>
          </w:tcPr>
          <w:p>
            <w:pPr>
              <w:keepNext w:val="0"/>
              <w:keepLines w:val="0"/>
              <w:pageBreakBefore w:val="0"/>
              <w:kinsoku/>
              <w:overflowPunct/>
              <w:autoSpaceDE/>
              <w:autoSpaceDN/>
              <w:bidi w:val="0"/>
              <w:snapToGrid/>
              <w:spacing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总价合计：</w:t>
            </w:r>
            <w:r>
              <w:rPr>
                <w:rFonts w:hint="eastAsia" w:ascii="仿宋" w:hAnsi="仿宋" w:eastAsia="仿宋" w:cs="仿宋"/>
                <w:color w:val="auto"/>
                <w:sz w:val="24"/>
                <w:szCs w:val="24"/>
                <w:highlight w:val="none"/>
              </w:rPr>
              <w:t>大写（￥小写）</w:t>
            </w:r>
          </w:p>
        </w:tc>
      </w:tr>
    </w:tbl>
    <w:p>
      <w:pPr>
        <w:keepNext w:val="0"/>
        <w:keepLines w:val="0"/>
        <w:pageBreakBefore w:val="0"/>
        <w:kinsoku/>
        <w:overflowPunct/>
        <w:autoSpaceDE/>
        <w:autoSpaceDN/>
        <w:bidi w:val="0"/>
        <w:snapToGrid/>
        <w:spacing w:line="276" w:lineRule="auto"/>
        <w:ind w:left="209" w:leftChars="0" w:right="0" w:hanging="209" w:hangingChars="99"/>
        <w:jc w:val="left"/>
        <w:outlineLvl w:val="9"/>
        <w:rPr>
          <w:rFonts w:hint="eastAsia" w:ascii="仿宋" w:hAnsi="仿宋" w:eastAsia="仿宋" w:cs="仿宋"/>
          <w:b/>
          <w:color w:val="auto"/>
          <w:szCs w:val="21"/>
          <w:highlight w:val="none"/>
        </w:rPr>
      </w:pPr>
    </w:p>
    <w:p>
      <w:pPr>
        <w:keepNext w:val="0"/>
        <w:keepLines w:val="0"/>
        <w:pageBreakBefore w:val="0"/>
        <w:kinsoku/>
        <w:overflowPunct/>
        <w:autoSpaceDE/>
        <w:autoSpaceDN/>
        <w:bidi w:val="0"/>
        <w:snapToGrid/>
        <w:spacing w:line="276" w:lineRule="auto"/>
        <w:ind w:left="219" w:leftChars="0" w:right="0" w:hanging="219" w:hangingChars="99"/>
        <w:jc w:val="left"/>
        <w:outlineLvl w:val="9"/>
        <w:rPr>
          <w:rFonts w:hint="eastAsia" w:ascii="仿宋" w:hAnsi="仿宋" w:eastAsia="仿宋" w:cs="仿宋"/>
          <w:color w:val="auto"/>
          <w:sz w:val="22"/>
          <w:highlight w:val="none"/>
        </w:rPr>
      </w:pPr>
      <w:r>
        <w:rPr>
          <w:rFonts w:hint="eastAsia" w:ascii="仿宋" w:hAnsi="仿宋" w:eastAsia="仿宋" w:cs="仿宋"/>
          <w:b/>
          <w:color w:val="auto"/>
          <w:sz w:val="22"/>
          <w:highlight w:val="none"/>
        </w:rPr>
        <w:t>注：</w:t>
      </w:r>
      <w:r>
        <w:rPr>
          <w:rFonts w:hint="eastAsia" w:ascii="仿宋" w:hAnsi="仿宋" w:eastAsia="仿宋" w:cs="仿宋"/>
          <w:color w:val="auto"/>
          <w:sz w:val="22"/>
          <w:highlight w:val="none"/>
        </w:rPr>
        <w:t>1.如果不提供详细分项报价将视为未实质性响应招标文件；</w:t>
      </w:r>
    </w:p>
    <w:p>
      <w:pPr>
        <w:keepNext w:val="0"/>
        <w:keepLines w:val="0"/>
        <w:pageBreakBefore w:val="0"/>
        <w:kinsoku/>
        <w:overflowPunct/>
        <w:autoSpaceDE/>
        <w:autoSpaceDN/>
        <w:bidi w:val="0"/>
        <w:snapToGrid/>
        <w:spacing w:line="276" w:lineRule="auto"/>
        <w:ind w:left="0" w:leftChars="0" w:right="0" w:firstLine="220" w:firstLineChars="10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2.分项报价表列出投标总价的报价明细，明细合计应与投标报价一览表一致。</w:t>
      </w: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sz w:val="22"/>
          <w:highlight w:val="none"/>
        </w:rPr>
      </w:pPr>
    </w:p>
    <w:p>
      <w:pPr>
        <w:keepNext w:val="0"/>
        <w:keepLines w:val="0"/>
        <w:pageBreakBefore w:val="0"/>
        <w:kinsoku/>
        <w:overflowPunct/>
        <w:autoSpaceDE/>
        <w:autoSpaceDN/>
        <w:bidi w:val="0"/>
        <w:snapToGrid/>
        <w:ind w:left="0" w:leftChars="0" w:right="0" w:firstLine="7700" w:firstLineChars="350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lang w:eastAsia="zh-CN"/>
        </w:rPr>
        <w:t>供应商</w:t>
      </w:r>
      <w:r>
        <w:rPr>
          <w:rFonts w:hint="eastAsia" w:ascii="仿宋" w:hAnsi="仿宋" w:eastAsia="仿宋" w:cs="仿宋"/>
          <w:color w:val="auto"/>
          <w:sz w:val="22"/>
          <w:highlight w:val="none"/>
        </w:rPr>
        <w:t>：</w:t>
      </w:r>
      <w:r>
        <w:rPr>
          <w:rFonts w:hint="eastAsia" w:ascii="仿宋" w:hAnsi="仿宋" w:eastAsia="仿宋" w:cs="仿宋"/>
          <w:color w:val="auto"/>
          <w:sz w:val="22"/>
          <w:highlight w:val="none"/>
          <w:u w:val="single"/>
        </w:rPr>
        <w:t>（加盖公章）</w:t>
      </w:r>
    </w:p>
    <w:p>
      <w:pPr>
        <w:keepNext w:val="0"/>
        <w:keepLines w:val="0"/>
        <w:pageBreakBefore w:val="0"/>
        <w:kinsoku/>
        <w:overflowPunct/>
        <w:autoSpaceDE/>
        <w:autoSpaceDN/>
        <w:bidi w:val="0"/>
        <w:snapToGrid/>
        <w:ind w:left="0" w:leftChars="0" w:right="0" w:firstLine="7590" w:firstLineChars="3450"/>
        <w:jc w:val="left"/>
        <w:outlineLvl w:val="9"/>
        <w:rPr>
          <w:rFonts w:hint="eastAsia" w:ascii="仿宋" w:hAnsi="仿宋" w:eastAsia="仿宋" w:cs="仿宋"/>
          <w:color w:val="auto"/>
          <w:sz w:val="22"/>
          <w:highlight w:val="none"/>
        </w:rPr>
      </w:pPr>
      <w:r>
        <w:rPr>
          <w:rFonts w:hint="eastAsia" w:ascii="仿宋" w:hAnsi="仿宋" w:eastAsia="仿宋" w:cs="仿宋"/>
          <w:bCs/>
          <w:color w:val="auto"/>
          <w:kern w:val="0"/>
          <w:sz w:val="22"/>
          <w:highlight w:val="none"/>
        </w:rPr>
        <w:t>法定代表人/授权代表签字</w:t>
      </w:r>
      <w:r>
        <w:rPr>
          <w:rFonts w:hint="eastAsia" w:ascii="仿宋" w:hAnsi="仿宋" w:eastAsia="仿宋" w:cs="仿宋"/>
          <w:color w:val="auto"/>
          <w:sz w:val="22"/>
          <w:highlight w:val="none"/>
        </w:rPr>
        <w:t>：</w:t>
      </w:r>
    </w:p>
    <w:p>
      <w:pPr>
        <w:keepNext w:val="0"/>
        <w:keepLines w:val="0"/>
        <w:pageBreakBefore w:val="0"/>
        <w:kinsoku/>
        <w:overflowPunct/>
        <w:autoSpaceDE/>
        <w:autoSpaceDN/>
        <w:bidi w:val="0"/>
        <w:snapToGrid/>
        <w:ind w:left="0" w:leftChars="0" w:right="0" w:firstLine="7700" w:firstLineChars="350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日  期：</w:t>
      </w:r>
    </w:p>
    <w:p>
      <w:pPr>
        <w:pStyle w:val="26"/>
        <w:keepNext w:val="0"/>
        <w:keepLines w:val="0"/>
        <w:pageBreakBefore w:val="0"/>
        <w:kinsoku/>
        <w:overflowPunct/>
        <w:autoSpaceDE/>
        <w:autoSpaceDN/>
        <w:bidi w:val="0"/>
        <w:snapToGrid/>
        <w:ind w:left="0" w:leftChars="0" w:right="0" w:firstLine="321"/>
        <w:jc w:val="left"/>
        <w:outlineLvl w:val="9"/>
        <w:rPr>
          <w:rFonts w:hint="eastAsia" w:ascii="仿宋" w:hAnsi="仿宋" w:eastAsia="仿宋" w:cs="仿宋"/>
          <w:b/>
          <w:color w:val="auto"/>
          <w:sz w:val="32"/>
          <w:szCs w:val="32"/>
          <w:highlight w:val="none"/>
        </w:rPr>
        <w:sectPr>
          <w:pgSz w:w="16838" w:h="11906" w:orient="landscape"/>
          <w:pgMar w:top="1417" w:right="1417" w:bottom="1417" w:left="1417" w:header="851" w:footer="850" w:gutter="0"/>
          <w:pgNumType w:fmt="decimal"/>
          <w:cols w:space="720" w:num="1"/>
          <w:titlePg/>
          <w:docGrid w:linePitch="312" w:charSpace="0"/>
        </w:sectPr>
      </w:pPr>
      <w:bookmarkStart w:id="153" w:name="_Toc4968"/>
    </w:p>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三、资格条件</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2" w:firstLineChars="200"/>
        <w:jc w:val="left"/>
        <w:outlineLvl w:val="9"/>
        <w:rPr>
          <w:rFonts w:hint="eastAsia" w:ascii="仿宋" w:hAnsi="仿宋" w:eastAsia="仿宋" w:cs="仿宋"/>
          <w:color w:val="auto"/>
          <w:sz w:val="22"/>
          <w:szCs w:val="28"/>
          <w:highlight w:val="none"/>
        </w:rPr>
      </w:pPr>
      <w:r>
        <w:rPr>
          <w:rFonts w:hint="eastAsia" w:ascii="仿宋" w:hAnsi="仿宋" w:eastAsia="仿宋" w:cs="仿宋"/>
          <w:b/>
          <w:color w:val="auto"/>
          <w:sz w:val="22"/>
          <w:szCs w:val="28"/>
          <w:highlight w:val="none"/>
        </w:rPr>
        <w:t>3.1</w:t>
      </w:r>
      <w:r>
        <w:rPr>
          <w:rFonts w:hint="eastAsia" w:ascii="仿宋" w:hAnsi="仿宋" w:eastAsia="仿宋" w:cs="仿宋"/>
          <w:color w:val="auto"/>
          <w:sz w:val="22"/>
          <w:szCs w:val="28"/>
          <w:highlight w:val="none"/>
        </w:rPr>
        <w:t>满足《中华人民共和国政府采购法》第二十二条规定</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2" w:firstLineChars="200"/>
        <w:jc w:val="left"/>
        <w:outlineLvl w:val="9"/>
        <w:rPr>
          <w:rFonts w:hint="eastAsia" w:ascii="仿宋" w:hAnsi="仿宋" w:eastAsia="仿宋" w:cs="仿宋"/>
          <w:b/>
          <w:color w:val="auto"/>
          <w:sz w:val="22"/>
          <w:szCs w:val="28"/>
          <w:highlight w:val="none"/>
        </w:rPr>
      </w:pPr>
      <w:r>
        <w:rPr>
          <w:rFonts w:hint="eastAsia" w:ascii="仿宋" w:hAnsi="仿宋" w:eastAsia="仿宋" w:cs="仿宋"/>
          <w:b/>
          <w:color w:val="auto"/>
          <w:sz w:val="22"/>
          <w:szCs w:val="28"/>
          <w:highlight w:val="none"/>
        </w:rPr>
        <w:t>3.2特定资格条件</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b w:val="0"/>
          <w:bCs/>
          <w:color w:val="auto"/>
          <w:sz w:val="22"/>
          <w:szCs w:val="28"/>
          <w:highlight w:val="none"/>
          <w:lang w:val="en-US" w:eastAsia="zh-CN"/>
        </w:rPr>
      </w:pPr>
      <w:r>
        <w:rPr>
          <w:rFonts w:hint="eastAsia" w:ascii="仿宋" w:hAnsi="仿宋" w:eastAsia="仿宋" w:cs="仿宋"/>
          <w:b w:val="0"/>
          <w:bCs/>
          <w:color w:val="auto"/>
          <w:sz w:val="22"/>
          <w:szCs w:val="28"/>
          <w:highlight w:val="none"/>
          <w:lang w:val="en-US" w:eastAsia="zh-CN"/>
        </w:rPr>
        <w:t>1）具有独立承担民事责任能力的法人、其他组织或自然人，并出具合法有效的统一社会信用代码的营业执照或事业单位法人证书等国家规定的相关证明，自然人参与的提供其身份证明；</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b w:val="0"/>
          <w:bCs/>
          <w:color w:val="auto"/>
          <w:sz w:val="22"/>
          <w:szCs w:val="28"/>
          <w:highlight w:val="none"/>
          <w:lang w:val="en-US" w:eastAsia="zh-CN"/>
        </w:rPr>
      </w:pPr>
      <w:r>
        <w:rPr>
          <w:rFonts w:hint="eastAsia" w:ascii="仿宋" w:hAnsi="仿宋" w:eastAsia="仿宋" w:cs="仿宋"/>
          <w:b w:val="0"/>
          <w:bCs/>
          <w:color w:val="auto"/>
          <w:sz w:val="22"/>
          <w:szCs w:val="28"/>
          <w:highlight w:val="none"/>
          <w:lang w:val="en-US" w:eastAsia="zh-CN"/>
        </w:rPr>
        <w:t>2）法定代表人授权书及被授权人身份证（法人参加只需提供身份证原件）；</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b w:val="0"/>
          <w:bCs/>
          <w:color w:val="auto"/>
          <w:sz w:val="22"/>
          <w:szCs w:val="28"/>
          <w:highlight w:val="none"/>
          <w:lang w:val="en-US" w:eastAsia="zh-CN"/>
        </w:rPr>
      </w:pPr>
      <w:r>
        <w:rPr>
          <w:rFonts w:hint="eastAsia" w:ascii="仿宋" w:hAnsi="仿宋" w:eastAsia="仿宋" w:cs="仿宋"/>
          <w:b w:val="0"/>
          <w:bCs/>
          <w:color w:val="auto"/>
          <w:sz w:val="22"/>
          <w:szCs w:val="28"/>
          <w:highlight w:val="none"/>
          <w:lang w:val="en-US" w:eastAsia="zh-CN"/>
        </w:rPr>
        <w:t>3）财务状况报告：提供上一年度的财务审计报告（至少包括资产负债表和利润表，成立时间至提交投标文件截止时间不足一年的可提供成立后任意时段的资产负债表），或提供投标截止时间前三个月内其基本开户银行出具的资信证明及基本账户开户许可证或政府采购信用担保机构出具的担保函；</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b w:val="0"/>
          <w:bCs/>
          <w:color w:val="auto"/>
          <w:sz w:val="22"/>
          <w:szCs w:val="28"/>
          <w:highlight w:val="none"/>
          <w:lang w:val="en-US" w:eastAsia="zh-CN"/>
        </w:rPr>
      </w:pPr>
      <w:r>
        <w:rPr>
          <w:rFonts w:hint="eastAsia" w:ascii="仿宋" w:hAnsi="仿宋" w:eastAsia="仿宋" w:cs="仿宋"/>
          <w:b w:val="0"/>
          <w:bCs/>
          <w:color w:val="auto"/>
          <w:sz w:val="22"/>
          <w:szCs w:val="28"/>
          <w:highlight w:val="none"/>
          <w:lang w:val="en-US" w:eastAsia="zh-CN"/>
        </w:rPr>
        <w:t>4）税收缴纳证明：提供已缴纳的本年度连续三个月的缴税凭证，依法免税的应提供相关文件证明；</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b w:val="0"/>
          <w:bCs/>
          <w:color w:val="auto"/>
          <w:sz w:val="22"/>
          <w:szCs w:val="28"/>
          <w:highlight w:val="none"/>
          <w:lang w:val="en-US" w:eastAsia="zh-CN"/>
        </w:rPr>
      </w:pPr>
      <w:r>
        <w:rPr>
          <w:rFonts w:hint="eastAsia" w:ascii="仿宋" w:hAnsi="仿宋" w:eastAsia="仿宋" w:cs="仿宋"/>
          <w:b w:val="0"/>
          <w:bCs/>
          <w:color w:val="auto"/>
          <w:sz w:val="22"/>
          <w:szCs w:val="28"/>
          <w:highlight w:val="none"/>
          <w:lang w:val="en-US" w:eastAsia="zh-CN"/>
        </w:rPr>
        <w:t>5）社会保障资金缴纳证明：提供已缴纳的本年度连续三个月的社会保障资金缴存单据或社保机构开具的社会保险参保缴费情况证明，依法不需要缴纳社会保障资金的单位应提供相关证明材料；</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b w:val="0"/>
          <w:bCs/>
          <w:color w:val="auto"/>
          <w:sz w:val="22"/>
          <w:szCs w:val="28"/>
          <w:highlight w:val="none"/>
          <w:lang w:val="en-US" w:eastAsia="zh-CN"/>
        </w:rPr>
      </w:pPr>
      <w:r>
        <w:rPr>
          <w:rFonts w:hint="eastAsia" w:ascii="仿宋" w:hAnsi="仿宋" w:eastAsia="仿宋" w:cs="仿宋"/>
          <w:b w:val="0"/>
          <w:bCs/>
          <w:color w:val="auto"/>
          <w:sz w:val="22"/>
          <w:szCs w:val="28"/>
          <w:highlight w:val="none"/>
          <w:lang w:val="en-US" w:eastAsia="zh-CN"/>
        </w:rPr>
        <w:t>6）提供保证金交纳凭证（截图加盖供应商公章）或担保机构出具的保函</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b w:val="0"/>
          <w:bCs/>
          <w:color w:val="auto"/>
          <w:sz w:val="22"/>
          <w:szCs w:val="28"/>
          <w:highlight w:val="none"/>
          <w:lang w:val="en-US" w:eastAsia="zh-CN"/>
        </w:rPr>
      </w:pPr>
      <w:r>
        <w:rPr>
          <w:rFonts w:hint="eastAsia" w:ascii="仿宋" w:hAnsi="仿宋" w:eastAsia="仿宋" w:cs="仿宋"/>
          <w:b w:val="0"/>
          <w:bCs/>
          <w:color w:val="auto"/>
          <w:sz w:val="22"/>
          <w:szCs w:val="28"/>
          <w:highlight w:val="none"/>
          <w:lang w:val="en-US" w:eastAsia="zh-CN"/>
        </w:rPr>
        <w:t>7）投标供应商不得为“信用中国”网站（www.creditchina.gov.cn）中列入失信被执行人和重大税收违法失信主体的投标供应商，不得为中国政府采购网（www.ccgp.gov.cn）政府采购严重违法失信行为记录名单中被财政部门禁止参加政府采购活动的投标供应商；</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b w:val="0"/>
          <w:bCs/>
          <w:color w:val="auto"/>
          <w:sz w:val="22"/>
          <w:szCs w:val="28"/>
          <w:highlight w:val="none"/>
          <w:lang w:val="en-US" w:eastAsia="zh-CN"/>
        </w:rPr>
      </w:pPr>
      <w:r>
        <w:rPr>
          <w:rFonts w:hint="eastAsia" w:ascii="仿宋" w:hAnsi="仿宋" w:eastAsia="仿宋" w:cs="仿宋"/>
          <w:b w:val="0"/>
          <w:bCs/>
          <w:color w:val="auto"/>
          <w:sz w:val="22"/>
          <w:szCs w:val="28"/>
          <w:highlight w:val="none"/>
          <w:lang w:val="en-US" w:eastAsia="zh-CN"/>
        </w:rPr>
        <w:t>8）供应商应出具参加政府采购活动前3年内在经营活动中没有重大违法记录的书面声明；</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b w:val="0"/>
          <w:bCs/>
          <w:color w:val="auto"/>
          <w:sz w:val="22"/>
          <w:szCs w:val="28"/>
          <w:highlight w:val="none"/>
          <w:lang w:val="en-US" w:eastAsia="zh-CN"/>
        </w:rPr>
      </w:pPr>
      <w:r>
        <w:rPr>
          <w:rFonts w:hint="eastAsia" w:ascii="仿宋" w:hAnsi="仿宋" w:eastAsia="仿宋" w:cs="仿宋"/>
          <w:b w:val="0"/>
          <w:bCs/>
          <w:color w:val="auto"/>
          <w:sz w:val="22"/>
          <w:szCs w:val="28"/>
          <w:highlight w:val="none"/>
          <w:lang w:val="en-US" w:eastAsia="zh-CN"/>
        </w:rPr>
        <w:t>9）提供具有履行合同所必需的设备和专业技术能力；</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b w:val="0"/>
          <w:bCs/>
          <w:color w:val="auto"/>
          <w:sz w:val="22"/>
          <w:szCs w:val="28"/>
          <w:highlight w:val="none"/>
          <w:lang w:val="en-US" w:eastAsia="zh-CN"/>
        </w:rPr>
      </w:pPr>
      <w:r>
        <w:rPr>
          <w:rFonts w:hint="eastAsia" w:ascii="仿宋" w:hAnsi="仿宋" w:eastAsia="仿宋" w:cs="仿宋"/>
          <w:b w:val="0"/>
          <w:bCs/>
          <w:color w:val="auto"/>
          <w:sz w:val="22"/>
          <w:szCs w:val="28"/>
          <w:highlight w:val="none"/>
          <w:lang w:val="en-US" w:eastAsia="zh-CN"/>
        </w:rPr>
        <w:t>10）本项目专门面向中小企业。</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b w:val="0"/>
          <w:bCs/>
          <w:color w:val="auto"/>
          <w:sz w:val="22"/>
          <w:szCs w:val="28"/>
          <w:highlight w:val="none"/>
        </w:rPr>
      </w:pPr>
      <w:r>
        <w:rPr>
          <w:rFonts w:hint="eastAsia" w:ascii="仿宋" w:hAnsi="仿宋" w:eastAsia="仿宋" w:cs="仿宋"/>
          <w:b w:val="0"/>
          <w:bCs/>
          <w:color w:val="auto"/>
          <w:sz w:val="22"/>
          <w:szCs w:val="28"/>
          <w:highlight w:val="none"/>
          <w:lang w:val="en-US" w:eastAsia="zh-CN"/>
        </w:rPr>
        <w:t>11）本项目不接受联合体。</w:t>
      </w:r>
    </w:p>
    <w:p>
      <w:pPr>
        <w:keepNext w:val="0"/>
        <w:keepLines w:val="0"/>
        <w:pageBreakBefore w:val="0"/>
        <w:tabs>
          <w:tab w:val="left" w:pos="3544"/>
        </w:tabs>
        <w:kinsoku/>
        <w:wordWrap w:val="0"/>
        <w:overflowPunct/>
        <w:topLinePunct/>
        <w:autoSpaceDE/>
        <w:autoSpaceDN/>
        <w:bidi w:val="0"/>
        <w:snapToGrid/>
        <w:spacing w:line="360" w:lineRule="auto"/>
        <w:ind w:left="0" w:leftChars="0" w:right="0" w:firstLine="422" w:firstLineChars="200"/>
        <w:jc w:val="left"/>
        <w:outlineLvl w:val="9"/>
        <w:rPr>
          <w:rFonts w:hint="eastAsia" w:ascii="仿宋" w:hAnsi="仿宋" w:eastAsia="仿宋" w:cs="仿宋"/>
          <w:b w:val="0"/>
          <w:bCs/>
          <w:color w:val="auto"/>
          <w:sz w:val="22"/>
          <w:szCs w:val="28"/>
          <w:highlight w:val="none"/>
        </w:rPr>
      </w:pPr>
      <w:r>
        <w:rPr>
          <w:rFonts w:hint="eastAsia" w:ascii="仿宋" w:hAnsi="仿宋" w:eastAsia="仿宋" w:cs="仿宋"/>
          <w:b/>
          <w:bCs/>
          <w:highlight w:val="none"/>
          <w:lang w:val="en-US" w:eastAsia="zh-CN"/>
        </w:rPr>
        <w:t>以上资质为必备资质，缺少一项按投标无效处理</w:t>
      </w:r>
      <w:r>
        <w:rPr>
          <w:rFonts w:hint="eastAsia" w:ascii="仿宋" w:hAnsi="仿宋" w:eastAsia="仿宋" w:cs="仿宋"/>
          <w:b w:val="0"/>
          <w:bCs/>
          <w:color w:val="auto"/>
          <w:sz w:val="22"/>
          <w:szCs w:val="28"/>
          <w:highlight w:val="none"/>
        </w:rPr>
        <w:br w:type="page"/>
      </w:r>
    </w:p>
    <w:p>
      <w:pPr>
        <w:keepNext w:val="0"/>
        <w:keepLines w:val="0"/>
        <w:pageBreakBefore w:val="0"/>
        <w:tabs>
          <w:tab w:val="left" w:pos="3544"/>
        </w:tabs>
        <w:kinsoku/>
        <w:wordWrap w:val="0"/>
        <w:overflowPunct/>
        <w:topLinePunct/>
        <w:autoSpaceDE/>
        <w:autoSpaceDN/>
        <w:bidi w:val="0"/>
        <w:snapToGrid/>
        <w:spacing w:line="440" w:lineRule="exact"/>
        <w:ind w:left="0" w:leftChars="0" w:right="0" w:firstLine="241" w:firstLineChars="100"/>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附件1</w:t>
      </w:r>
    </w:p>
    <w:p>
      <w:pPr>
        <w:keepNext w:val="0"/>
        <w:keepLines w:val="0"/>
        <w:pageBreakBefore w:val="0"/>
        <w:tabs>
          <w:tab w:val="left" w:pos="3544"/>
        </w:tabs>
        <w:kinsoku/>
        <w:wordWrap w:val="0"/>
        <w:overflowPunct/>
        <w:topLinePunct/>
        <w:autoSpaceDE/>
        <w:autoSpaceDN/>
        <w:bidi w:val="0"/>
        <w:snapToGrid/>
        <w:spacing w:line="440" w:lineRule="exact"/>
        <w:ind w:left="0" w:leftChars="0" w:right="0" w:firstLine="241" w:firstLineChars="100"/>
        <w:outlineLvl w:val="9"/>
        <w:rPr>
          <w:rFonts w:hint="eastAsia" w:ascii="仿宋" w:hAnsi="仿宋" w:eastAsia="仿宋" w:cs="仿宋"/>
          <w:b/>
          <w:bCs/>
          <w:color w:val="auto"/>
          <w:sz w:val="24"/>
          <w:highlight w:val="none"/>
        </w:rPr>
      </w:pPr>
    </w:p>
    <w:p>
      <w:pPr>
        <w:keepNext w:val="0"/>
        <w:keepLines w:val="0"/>
        <w:pageBreakBefore w:val="0"/>
        <w:tabs>
          <w:tab w:val="left" w:pos="3544"/>
        </w:tabs>
        <w:kinsoku/>
        <w:wordWrap w:val="0"/>
        <w:overflowPunct/>
        <w:topLinePunct/>
        <w:autoSpaceDE/>
        <w:autoSpaceDN/>
        <w:bidi w:val="0"/>
        <w:snapToGrid/>
        <w:spacing w:line="440" w:lineRule="exact"/>
        <w:ind w:left="0" w:leftChars="0" w:right="0" w:firstLine="241" w:firstLineChars="100"/>
        <w:jc w:val="center"/>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参加政府采购活动前三年内在经营活动中没有重大违法记录书面声明</w:t>
      </w:r>
      <w:r>
        <w:rPr>
          <w:rFonts w:hint="eastAsia" w:ascii="仿宋" w:hAnsi="仿宋" w:eastAsia="仿宋" w:cs="仿宋"/>
          <w:bCs/>
          <w:color w:val="auto"/>
          <w:sz w:val="24"/>
          <w:highlight w:val="none"/>
        </w:rPr>
        <w:t>（格式）</w:t>
      </w:r>
    </w:p>
    <w:p>
      <w:pPr>
        <w:keepNext w:val="0"/>
        <w:keepLines w:val="0"/>
        <w:pageBreakBefore w:val="0"/>
        <w:kinsoku/>
        <w:wordWrap w:val="0"/>
        <w:overflowPunct/>
        <w:topLinePunct/>
        <w:autoSpaceDE/>
        <w:autoSpaceDN/>
        <w:bidi w:val="0"/>
        <w:snapToGrid/>
        <w:ind w:left="0" w:leftChars="0" w:right="0"/>
        <w:outlineLvl w:val="9"/>
        <w:rPr>
          <w:rFonts w:hint="eastAsia" w:ascii="仿宋" w:hAnsi="仿宋" w:eastAsia="仿宋" w:cs="仿宋"/>
          <w:color w:val="auto"/>
          <w:highlight w:val="none"/>
        </w:rPr>
      </w:pPr>
    </w:p>
    <w:p>
      <w:pPr>
        <w:keepNext w:val="0"/>
        <w:keepLines w:val="0"/>
        <w:pageBreakBefore w:val="0"/>
        <w:tabs>
          <w:tab w:val="left" w:pos="3544"/>
        </w:tabs>
        <w:kinsoku/>
        <w:wordWrap w:val="0"/>
        <w:overflowPunct/>
        <w:topLinePunct/>
        <w:autoSpaceDE/>
        <w:autoSpaceDN/>
        <w:bidi w:val="0"/>
        <w:snapToGrid/>
        <w:ind w:left="0" w:leftChars="0" w:right="0" w:hanging="720"/>
        <w:jc w:val="center"/>
        <w:outlineLvl w:val="9"/>
        <w:rPr>
          <w:rFonts w:hint="eastAsia" w:ascii="仿宋" w:hAnsi="仿宋" w:eastAsia="仿宋" w:cs="仿宋"/>
          <w:b/>
          <w:bCs/>
          <w:color w:val="auto"/>
          <w:kern w:val="0"/>
          <w:sz w:val="28"/>
          <w:highlight w:val="none"/>
        </w:rPr>
      </w:pPr>
      <w:r>
        <w:rPr>
          <w:rFonts w:hint="eastAsia" w:ascii="仿宋" w:hAnsi="仿宋" w:eastAsia="仿宋" w:cs="仿宋"/>
          <w:b/>
          <w:bCs/>
          <w:color w:val="auto"/>
          <w:kern w:val="0"/>
          <w:sz w:val="28"/>
          <w:highlight w:val="none"/>
        </w:rPr>
        <w:t>声  明</w:t>
      </w:r>
    </w:p>
    <w:p>
      <w:pPr>
        <w:keepNext w:val="0"/>
        <w:keepLines w:val="0"/>
        <w:pageBreakBefore w:val="0"/>
        <w:tabs>
          <w:tab w:val="left" w:pos="3544"/>
        </w:tabs>
        <w:kinsoku/>
        <w:wordWrap w:val="0"/>
        <w:overflowPunct/>
        <w:topLinePunct/>
        <w:autoSpaceDE/>
        <w:autoSpaceDN/>
        <w:bidi w:val="0"/>
        <w:snapToGrid/>
        <w:ind w:left="0" w:leftChars="0" w:right="0"/>
        <w:outlineLvl w:val="9"/>
        <w:rPr>
          <w:rFonts w:hint="eastAsia" w:ascii="仿宋" w:hAnsi="仿宋" w:eastAsia="仿宋" w:cs="仿宋"/>
          <w:color w:val="auto"/>
          <w:sz w:val="22"/>
          <w:highlight w:val="none"/>
        </w:rPr>
      </w:pPr>
    </w:p>
    <w:p>
      <w:pPr>
        <w:keepNext w:val="0"/>
        <w:keepLines w:val="0"/>
        <w:pageBreakBefore w:val="0"/>
        <w:tabs>
          <w:tab w:val="left" w:pos="3544"/>
        </w:tabs>
        <w:kinsoku/>
        <w:wordWrap w:val="0"/>
        <w:overflowPunct/>
        <w:topLinePunct/>
        <w:autoSpaceDE/>
        <w:autoSpaceDN/>
        <w:bidi w:val="0"/>
        <w:snapToGrid/>
        <w:spacing w:line="460" w:lineRule="exact"/>
        <w:ind w:left="0" w:leftChars="0" w:right="0" w:firstLine="440" w:firstLineChars="200"/>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我单位参与</w:t>
      </w:r>
      <w:r>
        <w:rPr>
          <w:rFonts w:hint="eastAsia" w:ascii="仿宋" w:hAnsi="仿宋" w:eastAsia="仿宋" w:cs="仿宋"/>
          <w:color w:val="auto"/>
          <w:kern w:val="0"/>
          <w:sz w:val="22"/>
          <w:highlight w:val="none"/>
          <w:lang w:eastAsia="zh-CN"/>
        </w:rPr>
        <w:t>陕西利隆建设项目管理有限公司</w:t>
      </w:r>
      <w:r>
        <w:rPr>
          <w:rFonts w:hint="eastAsia" w:ascii="仿宋" w:hAnsi="仿宋" w:eastAsia="仿宋" w:cs="仿宋"/>
          <w:color w:val="auto"/>
          <w:kern w:val="0"/>
          <w:sz w:val="22"/>
          <w:highlight w:val="none"/>
        </w:rPr>
        <w:t>组织的</w:t>
      </w:r>
      <w:r>
        <w:rPr>
          <w:rFonts w:hint="eastAsia" w:ascii="仿宋" w:hAnsi="仿宋" w:eastAsia="仿宋" w:cs="仿宋"/>
          <w:color w:val="auto"/>
          <w:kern w:val="0"/>
          <w:sz w:val="22"/>
          <w:highlight w:val="none"/>
          <w:u w:val="single"/>
        </w:rPr>
        <w:t xml:space="preserve">  项目名称 （项目编号）包号</w:t>
      </w:r>
      <w:r>
        <w:rPr>
          <w:rFonts w:hint="eastAsia" w:ascii="仿宋" w:hAnsi="仿宋" w:eastAsia="仿宋" w:cs="仿宋"/>
          <w:color w:val="auto"/>
          <w:kern w:val="0"/>
          <w:sz w:val="22"/>
          <w:highlight w:val="none"/>
        </w:rPr>
        <w:t>，我单位郑重声明：我方参加本项目前三年内（</w:t>
      </w:r>
      <w:r>
        <w:rPr>
          <w:rFonts w:hint="eastAsia" w:ascii="仿宋" w:hAnsi="仿宋" w:eastAsia="仿宋" w:cs="仿宋"/>
          <w:color w:val="auto"/>
          <w:kern w:val="0"/>
          <w:sz w:val="22"/>
          <w:highlight w:val="none"/>
          <w:lang w:val="en-US" w:eastAsia="zh-CN"/>
        </w:rPr>
        <w:t>2019</w:t>
      </w:r>
      <w:r>
        <w:rPr>
          <w:rFonts w:hint="eastAsia" w:ascii="仿宋" w:hAnsi="仿宋" w:eastAsia="仿宋" w:cs="仿宋"/>
          <w:color w:val="auto"/>
          <w:kern w:val="0"/>
          <w:sz w:val="22"/>
          <w:highlight w:val="none"/>
        </w:rPr>
        <w:t>年</w:t>
      </w:r>
      <w:r>
        <w:rPr>
          <w:rFonts w:hint="eastAsia" w:ascii="仿宋" w:hAnsi="仿宋" w:eastAsia="仿宋" w:cs="仿宋"/>
          <w:color w:val="auto"/>
          <w:kern w:val="0"/>
          <w:sz w:val="22"/>
          <w:highlight w:val="none"/>
          <w:lang w:val="en-US" w:eastAsia="zh-CN"/>
        </w:rPr>
        <w:t>1</w:t>
      </w:r>
      <w:r>
        <w:rPr>
          <w:rFonts w:hint="eastAsia" w:ascii="仿宋" w:hAnsi="仿宋" w:eastAsia="仿宋" w:cs="仿宋"/>
          <w:color w:val="auto"/>
          <w:kern w:val="0"/>
          <w:sz w:val="22"/>
          <w:highlight w:val="none"/>
        </w:rPr>
        <w:t>月</w:t>
      </w:r>
      <w:r>
        <w:rPr>
          <w:rFonts w:hint="eastAsia" w:ascii="仿宋" w:hAnsi="仿宋" w:eastAsia="仿宋" w:cs="仿宋"/>
          <w:color w:val="auto"/>
          <w:kern w:val="0"/>
          <w:sz w:val="22"/>
          <w:highlight w:val="none"/>
          <w:lang w:val="en-US" w:eastAsia="zh-CN"/>
        </w:rPr>
        <w:t>1</w:t>
      </w:r>
      <w:r>
        <w:rPr>
          <w:rFonts w:hint="eastAsia" w:ascii="仿宋" w:hAnsi="仿宋" w:eastAsia="仿宋" w:cs="仿宋"/>
          <w:color w:val="auto"/>
          <w:kern w:val="0"/>
          <w:sz w:val="22"/>
          <w:highlight w:val="none"/>
        </w:rPr>
        <w:t>日至开标前）无重大违法活动记录。符合《中华人民共和国政府采购法》规定的供应商资格条件，我方对此声明负全部法律责任。</w:t>
      </w:r>
    </w:p>
    <w:p>
      <w:pPr>
        <w:keepNext w:val="0"/>
        <w:keepLines w:val="0"/>
        <w:pageBreakBefore w:val="0"/>
        <w:tabs>
          <w:tab w:val="left" w:pos="3544"/>
        </w:tabs>
        <w:kinsoku/>
        <w:wordWrap w:val="0"/>
        <w:overflowPunct/>
        <w:topLinePunct/>
        <w:autoSpaceDE/>
        <w:autoSpaceDN/>
        <w:bidi w:val="0"/>
        <w:snapToGrid/>
        <w:spacing w:line="460" w:lineRule="exact"/>
        <w:ind w:left="0" w:leftChars="0" w:right="0" w:firstLine="440" w:firstLineChars="200"/>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特此声明。</w:t>
      </w:r>
    </w:p>
    <w:p>
      <w:pPr>
        <w:keepNext w:val="0"/>
        <w:keepLines w:val="0"/>
        <w:pageBreakBefore w:val="0"/>
        <w:tabs>
          <w:tab w:val="left" w:pos="3544"/>
        </w:tabs>
        <w:kinsoku/>
        <w:wordWrap w:val="0"/>
        <w:overflowPunct/>
        <w:topLinePunct/>
        <w:autoSpaceDE/>
        <w:autoSpaceDN/>
        <w:bidi w:val="0"/>
        <w:snapToGrid/>
        <w:spacing w:line="460" w:lineRule="exact"/>
        <w:ind w:left="0" w:leftChars="0" w:right="0" w:firstLine="440" w:firstLineChars="200"/>
        <w:outlineLvl w:val="9"/>
        <w:rPr>
          <w:rFonts w:hint="eastAsia" w:ascii="仿宋" w:hAnsi="仿宋" w:eastAsia="仿宋" w:cs="仿宋"/>
          <w:color w:val="auto"/>
          <w:kern w:val="0"/>
          <w:sz w:val="22"/>
          <w:highlight w:val="none"/>
        </w:rPr>
      </w:pPr>
    </w:p>
    <w:p>
      <w:pPr>
        <w:keepNext w:val="0"/>
        <w:keepLines w:val="0"/>
        <w:pageBreakBefore w:val="0"/>
        <w:kinsoku/>
        <w:wordWrap w:val="0"/>
        <w:overflowPunct/>
        <w:topLinePunct/>
        <w:autoSpaceDE/>
        <w:autoSpaceDN/>
        <w:bidi w:val="0"/>
        <w:snapToGrid/>
        <w:spacing w:line="460" w:lineRule="exact"/>
        <w:ind w:left="0" w:leftChars="0" w:right="0" w:firstLine="3740" w:firstLineChars="1700"/>
        <w:jc w:val="left"/>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lang w:eastAsia="zh-CN"/>
        </w:rPr>
        <w:t>供应商</w:t>
      </w:r>
      <w:r>
        <w:rPr>
          <w:rFonts w:hint="eastAsia" w:ascii="仿宋" w:hAnsi="仿宋" w:eastAsia="仿宋" w:cs="仿宋"/>
          <w:color w:val="auto"/>
          <w:kern w:val="0"/>
          <w:sz w:val="22"/>
          <w:highlight w:val="none"/>
        </w:rPr>
        <w:t>：</w:t>
      </w:r>
      <w:r>
        <w:rPr>
          <w:rFonts w:hint="eastAsia" w:ascii="仿宋" w:hAnsi="仿宋" w:eastAsia="仿宋" w:cs="仿宋"/>
          <w:color w:val="auto"/>
          <w:kern w:val="0"/>
          <w:sz w:val="22"/>
          <w:highlight w:val="none"/>
          <w:u w:val="single"/>
        </w:rPr>
        <w:t>（加盖公章）</w:t>
      </w:r>
    </w:p>
    <w:p>
      <w:pPr>
        <w:keepNext w:val="0"/>
        <w:keepLines w:val="0"/>
        <w:pageBreakBefore w:val="0"/>
        <w:kinsoku/>
        <w:wordWrap w:val="0"/>
        <w:overflowPunct/>
        <w:topLinePunct/>
        <w:autoSpaceDE/>
        <w:autoSpaceDN/>
        <w:bidi w:val="0"/>
        <w:snapToGrid/>
        <w:spacing w:line="460" w:lineRule="exact"/>
        <w:ind w:left="0" w:leftChars="0" w:right="0" w:firstLine="3740" w:firstLineChars="1700"/>
        <w:jc w:val="left"/>
        <w:outlineLvl w:val="9"/>
        <w:rPr>
          <w:rFonts w:hint="eastAsia" w:ascii="仿宋" w:hAnsi="仿宋" w:eastAsia="仿宋" w:cs="仿宋"/>
          <w:color w:val="auto"/>
          <w:kern w:val="0"/>
          <w:sz w:val="22"/>
          <w:highlight w:val="none"/>
        </w:rPr>
      </w:pPr>
      <w:r>
        <w:rPr>
          <w:rFonts w:hint="eastAsia" w:ascii="仿宋" w:hAnsi="仿宋" w:eastAsia="仿宋" w:cs="仿宋"/>
          <w:bCs/>
          <w:color w:val="auto"/>
          <w:kern w:val="0"/>
          <w:sz w:val="22"/>
          <w:highlight w:val="none"/>
        </w:rPr>
        <w:t>法定代表人/授权代表签字</w:t>
      </w:r>
      <w:r>
        <w:rPr>
          <w:rFonts w:hint="eastAsia" w:ascii="仿宋" w:hAnsi="仿宋" w:eastAsia="仿宋" w:cs="仿宋"/>
          <w:color w:val="auto"/>
          <w:kern w:val="0"/>
          <w:sz w:val="22"/>
          <w:highlight w:val="none"/>
        </w:rPr>
        <w:t>：</w:t>
      </w:r>
    </w:p>
    <w:p>
      <w:pPr>
        <w:keepNext w:val="0"/>
        <w:keepLines w:val="0"/>
        <w:pageBreakBefore w:val="0"/>
        <w:kinsoku/>
        <w:wordWrap w:val="0"/>
        <w:overflowPunct/>
        <w:topLinePunct/>
        <w:autoSpaceDE/>
        <w:autoSpaceDN/>
        <w:bidi w:val="0"/>
        <w:snapToGrid/>
        <w:spacing w:line="460" w:lineRule="exact"/>
        <w:ind w:left="0" w:leftChars="0" w:right="0" w:firstLine="440" w:firstLineChars="200"/>
        <w:jc w:val="left"/>
        <w:outlineLvl w:val="9"/>
        <w:rPr>
          <w:rFonts w:hint="eastAsia" w:ascii="仿宋" w:hAnsi="仿宋" w:eastAsia="仿宋" w:cs="仿宋"/>
          <w:color w:val="auto"/>
          <w:kern w:val="0"/>
          <w:sz w:val="22"/>
          <w:highlight w:val="none"/>
          <w:u w:val="single"/>
        </w:rPr>
      </w:pPr>
      <w:r>
        <w:rPr>
          <w:rFonts w:hint="eastAsia" w:ascii="仿宋" w:hAnsi="仿宋" w:eastAsia="仿宋" w:cs="仿宋"/>
          <w:color w:val="auto"/>
          <w:kern w:val="0"/>
          <w:sz w:val="22"/>
          <w:highlight w:val="none"/>
        </w:rPr>
        <w:t xml:space="preserve">                             </w:t>
      </w:r>
      <w:r>
        <w:rPr>
          <w:rFonts w:hint="eastAsia" w:ascii="仿宋" w:hAnsi="仿宋" w:eastAsia="仿宋" w:cs="仿宋"/>
          <w:color w:val="auto"/>
          <w:kern w:val="0"/>
          <w:sz w:val="22"/>
          <w:highlight w:val="none"/>
          <w:lang w:val="en-US" w:eastAsia="zh-CN"/>
        </w:rPr>
        <w:t xml:space="preserve"> </w:t>
      </w:r>
      <w:r>
        <w:rPr>
          <w:rFonts w:hint="eastAsia" w:ascii="仿宋" w:hAnsi="仿宋" w:eastAsia="仿宋" w:cs="仿宋"/>
          <w:color w:val="auto"/>
          <w:kern w:val="0"/>
          <w:sz w:val="22"/>
          <w:highlight w:val="none"/>
        </w:rPr>
        <w:t>地　址：</w:t>
      </w:r>
    </w:p>
    <w:p>
      <w:pPr>
        <w:keepNext w:val="0"/>
        <w:keepLines w:val="0"/>
        <w:pageBreakBefore w:val="0"/>
        <w:kinsoku/>
        <w:wordWrap w:val="0"/>
        <w:overflowPunct/>
        <w:topLinePunct/>
        <w:autoSpaceDE/>
        <w:autoSpaceDN/>
        <w:bidi w:val="0"/>
        <w:snapToGrid/>
        <w:spacing w:line="500" w:lineRule="exact"/>
        <w:ind w:left="0" w:leftChars="0" w:right="0" w:firstLine="3740" w:firstLineChars="1700"/>
        <w:jc w:val="left"/>
        <w:outlineLvl w:val="9"/>
        <w:rPr>
          <w:rFonts w:hint="eastAsia" w:ascii="仿宋" w:hAnsi="仿宋" w:eastAsia="仿宋" w:cs="仿宋"/>
          <w:color w:val="auto"/>
          <w:kern w:val="0"/>
          <w:sz w:val="22"/>
          <w:highlight w:val="none"/>
          <w:u w:val="single"/>
        </w:rPr>
      </w:pPr>
      <w:r>
        <w:rPr>
          <w:rFonts w:hint="eastAsia" w:ascii="仿宋" w:hAnsi="仿宋" w:eastAsia="仿宋" w:cs="仿宋"/>
          <w:color w:val="auto"/>
          <w:kern w:val="0"/>
          <w:sz w:val="22"/>
          <w:highlight w:val="none"/>
        </w:rPr>
        <w:t>邮  编：</w:t>
      </w:r>
    </w:p>
    <w:p>
      <w:pPr>
        <w:keepNext w:val="0"/>
        <w:keepLines w:val="0"/>
        <w:pageBreakBefore w:val="0"/>
        <w:kinsoku/>
        <w:wordWrap w:val="0"/>
        <w:overflowPunct/>
        <w:topLinePunct/>
        <w:autoSpaceDE/>
        <w:autoSpaceDN/>
        <w:bidi w:val="0"/>
        <w:snapToGrid/>
        <w:spacing w:line="360" w:lineRule="auto"/>
        <w:ind w:left="0" w:leftChars="0" w:right="0" w:firstLine="660" w:firstLineChars="300"/>
        <w:jc w:val="left"/>
        <w:outlineLvl w:val="9"/>
        <w:rPr>
          <w:rFonts w:hint="eastAsia" w:ascii="仿宋" w:hAnsi="仿宋" w:eastAsia="仿宋" w:cs="仿宋"/>
          <w:color w:val="auto"/>
          <w:kern w:val="0"/>
          <w:sz w:val="22"/>
          <w:highlight w:val="none"/>
          <w:u w:val="single"/>
        </w:rPr>
      </w:pPr>
    </w:p>
    <w:p>
      <w:pPr>
        <w:keepNext w:val="0"/>
        <w:keepLines w:val="0"/>
        <w:pageBreakBefore w:val="0"/>
        <w:kinsoku/>
        <w:wordWrap w:val="0"/>
        <w:overflowPunct/>
        <w:topLinePunct/>
        <w:autoSpaceDE/>
        <w:autoSpaceDN/>
        <w:bidi w:val="0"/>
        <w:snapToGrid/>
        <w:spacing w:line="360" w:lineRule="auto"/>
        <w:ind w:left="0" w:leftChars="0" w:right="0" w:firstLine="660" w:firstLineChars="300"/>
        <w:jc w:val="left"/>
        <w:outlineLvl w:val="9"/>
        <w:rPr>
          <w:rFonts w:hint="eastAsia" w:ascii="仿宋" w:hAnsi="仿宋" w:eastAsia="仿宋" w:cs="仿宋"/>
          <w:color w:val="auto"/>
          <w:kern w:val="0"/>
          <w:sz w:val="22"/>
          <w:highlight w:val="none"/>
          <w:u w:val="single"/>
        </w:rPr>
      </w:pPr>
    </w:p>
    <w:p>
      <w:pPr>
        <w:keepNext w:val="0"/>
        <w:keepLines w:val="0"/>
        <w:pageBreakBefore w:val="0"/>
        <w:kinsoku/>
        <w:wordWrap w:val="0"/>
        <w:overflowPunct/>
        <w:topLinePunct/>
        <w:autoSpaceDE/>
        <w:autoSpaceDN/>
        <w:bidi w:val="0"/>
        <w:snapToGrid/>
        <w:spacing w:line="360" w:lineRule="auto"/>
        <w:ind w:left="0" w:leftChars="0" w:right="0" w:firstLine="660" w:firstLineChars="300"/>
        <w:jc w:val="right"/>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                                               年   月   日</w:t>
      </w:r>
    </w:p>
    <w:p>
      <w:pPr>
        <w:keepNext w:val="0"/>
        <w:keepLines w:val="0"/>
        <w:pageBreakBefore w:val="0"/>
        <w:kinsoku/>
        <w:overflowPunct/>
        <w:bidi w:val="0"/>
        <w:snapToGrid/>
        <w:ind w:left="0" w:leftChars="0" w:right="0"/>
        <w:outlineLvl w:val="9"/>
        <w:rPr>
          <w:rFonts w:hint="eastAsia"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br w:type="page"/>
      </w:r>
    </w:p>
    <w:p>
      <w:pPr>
        <w:keepNext w:val="0"/>
        <w:keepLines w:val="0"/>
        <w:pageBreakBefore w:val="0"/>
        <w:kinsoku/>
        <w:wordWrap w:val="0"/>
        <w:overflowPunct/>
        <w:topLinePunct/>
        <w:autoSpaceDE/>
        <w:autoSpaceDN/>
        <w:bidi w:val="0"/>
        <w:snapToGrid/>
        <w:spacing w:line="360" w:lineRule="auto"/>
        <w:ind w:left="402" w:leftChars="0" w:right="0" w:hanging="402" w:hangingChars="167"/>
        <w:jc w:val="left"/>
        <w:outlineLvl w:val="9"/>
        <w:rPr>
          <w:rFonts w:hint="eastAsia" w:ascii="仿宋" w:hAnsi="仿宋" w:eastAsia="仿宋" w:cs="仿宋"/>
          <w:color w:val="auto"/>
          <w:sz w:val="28"/>
          <w:szCs w:val="21"/>
          <w:highlight w:val="none"/>
          <w:u w:val="single"/>
        </w:rPr>
      </w:pPr>
      <w:r>
        <w:rPr>
          <w:rFonts w:hint="eastAsia" w:ascii="仿宋" w:hAnsi="仿宋" w:eastAsia="仿宋" w:cs="仿宋"/>
          <w:b/>
          <w:bCs/>
          <w:color w:val="auto"/>
          <w:sz w:val="24"/>
          <w:szCs w:val="28"/>
          <w:highlight w:val="none"/>
          <w:lang w:val="en-US" w:eastAsia="zh-CN"/>
        </w:rPr>
        <w:t>附件2</w:t>
      </w:r>
    </w:p>
    <w:p>
      <w:pPr>
        <w:keepNext w:val="0"/>
        <w:keepLines w:val="0"/>
        <w:pageBreakBefore w:val="0"/>
        <w:kinsoku/>
        <w:wordWrap w:val="0"/>
        <w:overflowPunct/>
        <w:topLinePunct/>
        <w:autoSpaceDE/>
        <w:autoSpaceDN/>
        <w:bidi w:val="0"/>
        <w:snapToGrid/>
        <w:spacing w:line="360" w:lineRule="auto"/>
        <w:ind w:left="0" w:leftChars="0" w:right="0"/>
        <w:jc w:val="left"/>
        <w:outlineLvl w:val="9"/>
        <w:rPr>
          <w:rFonts w:hint="eastAsia" w:ascii="仿宋" w:hAnsi="仿宋" w:eastAsia="仿宋" w:cs="仿宋"/>
          <w:b/>
          <w:color w:val="auto"/>
          <w:sz w:val="24"/>
          <w:szCs w:val="21"/>
          <w:highlight w:val="none"/>
        </w:rPr>
      </w:pPr>
    </w:p>
    <w:p>
      <w:pPr>
        <w:keepNext w:val="0"/>
        <w:keepLines w:val="0"/>
        <w:pageBreakBefore w:val="0"/>
        <w:kinsoku/>
        <w:wordWrap w:val="0"/>
        <w:overflowPunct/>
        <w:topLinePunct/>
        <w:autoSpaceDE/>
        <w:autoSpaceDN/>
        <w:bidi w:val="0"/>
        <w:snapToGrid/>
        <w:spacing w:line="360"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法定代表人证明</w:t>
      </w:r>
    </w:p>
    <w:p>
      <w:pPr>
        <w:keepNext w:val="0"/>
        <w:keepLines w:val="0"/>
        <w:pageBreakBefore w:val="0"/>
        <w:kinsoku/>
        <w:wordWrap w:val="0"/>
        <w:overflowPunct/>
        <w:topLinePunct/>
        <w:autoSpaceDE/>
        <w:autoSpaceDN/>
        <w:bidi w:val="0"/>
        <w:snapToGrid/>
        <w:spacing w:line="360" w:lineRule="auto"/>
        <w:ind w:left="0" w:leftChars="0" w:right="0" w:hanging="480"/>
        <w:jc w:val="left"/>
        <w:outlineLvl w:val="9"/>
        <w:rPr>
          <w:rFonts w:hint="eastAsia" w:ascii="仿宋" w:hAnsi="仿宋" w:eastAsia="仿宋" w:cs="仿宋"/>
          <w:bCs/>
          <w:color w:val="auto"/>
          <w:sz w:val="22"/>
          <w:highlight w:val="none"/>
          <w:u w:val="single"/>
        </w:rPr>
      </w:pPr>
    </w:p>
    <w:p>
      <w:pPr>
        <w:keepNext w:val="0"/>
        <w:keepLines w:val="0"/>
        <w:pageBreakBefore w:val="0"/>
        <w:widowControl w:val="0"/>
        <w:kinsoku/>
        <w:wordWrap w:val="0"/>
        <w:overflowPunct/>
        <w:topLinePunct/>
        <w:autoSpaceDE/>
        <w:autoSpaceDN/>
        <w:bidi w:val="0"/>
        <w:adjustRightInd/>
        <w:snapToGrid/>
        <w:spacing w:line="360" w:lineRule="auto"/>
        <w:ind w:left="0" w:leftChars="0" w:right="0" w:firstLine="440" w:firstLineChars="200"/>
        <w:jc w:val="left"/>
        <w:textAlignment w:val="auto"/>
        <w:outlineLvl w:val="9"/>
        <w:rPr>
          <w:rFonts w:hint="eastAsia" w:ascii="仿宋" w:hAnsi="仿宋" w:eastAsia="仿宋" w:cs="仿宋"/>
          <w:bCs/>
          <w:color w:val="auto"/>
          <w:sz w:val="22"/>
          <w:highlight w:val="none"/>
        </w:rPr>
      </w:pPr>
      <w:r>
        <w:rPr>
          <w:rFonts w:hint="eastAsia" w:ascii="仿宋" w:hAnsi="仿宋" w:eastAsia="仿宋" w:cs="仿宋"/>
          <w:bCs/>
          <w:color w:val="auto"/>
          <w:sz w:val="22"/>
          <w:highlight w:val="none"/>
          <w:u w:val="single"/>
        </w:rPr>
        <w:t xml:space="preserve">       </w:t>
      </w:r>
      <w:r>
        <w:rPr>
          <w:rFonts w:hint="eastAsia" w:ascii="仿宋" w:hAnsi="仿宋" w:eastAsia="仿宋" w:cs="仿宋"/>
          <w:bCs/>
          <w:color w:val="auto"/>
          <w:sz w:val="22"/>
          <w:highlight w:val="none"/>
        </w:rPr>
        <w:t>现任我单位</w:t>
      </w:r>
      <w:r>
        <w:rPr>
          <w:rFonts w:hint="eastAsia" w:ascii="仿宋" w:hAnsi="仿宋" w:eastAsia="仿宋" w:cs="仿宋"/>
          <w:bCs/>
          <w:color w:val="auto"/>
          <w:sz w:val="22"/>
          <w:highlight w:val="none"/>
          <w:u w:val="single"/>
        </w:rPr>
        <w:t xml:space="preserve">                  </w:t>
      </w:r>
      <w:r>
        <w:rPr>
          <w:rFonts w:hint="eastAsia" w:ascii="仿宋" w:hAnsi="仿宋" w:eastAsia="仿宋" w:cs="仿宋"/>
          <w:bCs/>
          <w:color w:val="auto"/>
          <w:sz w:val="22"/>
          <w:highlight w:val="none"/>
        </w:rPr>
        <w:t xml:space="preserve"> 职务，为法定代表人，特此证明。</w:t>
      </w:r>
    </w:p>
    <w:p>
      <w:pPr>
        <w:keepNext w:val="0"/>
        <w:keepLines w:val="0"/>
        <w:pageBreakBefore w:val="0"/>
        <w:widowControl w:val="0"/>
        <w:kinsoku/>
        <w:wordWrap w:val="0"/>
        <w:overflowPunct/>
        <w:topLinePunct/>
        <w:autoSpaceDE/>
        <w:autoSpaceDN/>
        <w:bidi w:val="0"/>
        <w:adjustRightInd/>
        <w:snapToGrid/>
        <w:spacing w:line="360" w:lineRule="auto"/>
        <w:ind w:left="0" w:leftChars="0" w:right="0" w:firstLine="440" w:firstLineChars="200"/>
        <w:jc w:val="left"/>
        <w:textAlignment w:val="auto"/>
        <w:outlineLvl w:val="9"/>
        <w:rPr>
          <w:rFonts w:hint="eastAsia" w:ascii="仿宋" w:hAnsi="仿宋" w:eastAsia="仿宋" w:cs="仿宋"/>
          <w:bCs/>
          <w:color w:val="auto"/>
          <w:sz w:val="22"/>
          <w:highlight w:val="none"/>
        </w:rPr>
      </w:pPr>
      <w:r>
        <w:rPr>
          <w:rFonts w:hint="eastAsia" w:ascii="仿宋" w:hAnsi="仿宋" w:eastAsia="仿宋" w:cs="仿宋"/>
          <w:bCs/>
          <w:color w:val="auto"/>
          <w:sz w:val="22"/>
          <w:highlight w:val="none"/>
        </w:rPr>
        <w:t>本说明书自投标文件递交截止时间起计算，有效期为</w:t>
      </w:r>
      <w:r>
        <w:rPr>
          <w:rFonts w:hint="eastAsia" w:ascii="仿宋" w:hAnsi="仿宋" w:eastAsia="仿宋" w:cs="仿宋"/>
          <w:bCs/>
          <w:color w:val="auto"/>
          <w:sz w:val="22"/>
          <w:highlight w:val="none"/>
          <w:u w:val="single"/>
        </w:rPr>
        <w:t xml:space="preserve">    </w:t>
      </w:r>
      <w:r>
        <w:rPr>
          <w:rFonts w:hint="eastAsia" w:ascii="仿宋" w:hAnsi="仿宋" w:eastAsia="仿宋" w:cs="仿宋"/>
          <w:bCs/>
          <w:color w:val="auto"/>
          <w:sz w:val="22"/>
          <w:highlight w:val="none"/>
        </w:rPr>
        <w:t>天。</w:t>
      </w:r>
    </w:p>
    <w:p>
      <w:pPr>
        <w:keepNext w:val="0"/>
        <w:keepLines w:val="0"/>
        <w:pageBreakBefore w:val="0"/>
        <w:widowControl w:val="0"/>
        <w:kinsoku/>
        <w:wordWrap w:val="0"/>
        <w:overflowPunct/>
        <w:topLinePunct/>
        <w:autoSpaceDE/>
        <w:autoSpaceDN/>
        <w:bidi w:val="0"/>
        <w:adjustRightInd/>
        <w:snapToGrid/>
        <w:spacing w:line="360" w:lineRule="auto"/>
        <w:ind w:left="0" w:leftChars="0" w:right="0" w:firstLine="440" w:firstLineChars="200"/>
        <w:jc w:val="left"/>
        <w:textAlignment w:val="auto"/>
        <w:outlineLvl w:val="9"/>
        <w:rPr>
          <w:rFonts w:hint="eastAsia" w:ascii="仿宋" w:hAnsi="仿宋" w:eastAsia="仿宋" w:cs="仿宋"/>
          <w:bCs/>
          <w:color w:val="auto"/>
          <w:sz w:val="22"/>
          <w:highlight w:val="none"/>
        </w:rPr>
      </w:pPr>
    </w:p>
    <w:p>
      <w:pPr>
        <w:keepNext w:val="0"/>
        <w:keepLines w:val="0"/>
        <w:pageBreakBefore w:val="0"/>
        <w:widowControl w:val="0"/>
        <w:kinsoku/>
        <w:wordWrap w:val="0"/>
        <w:overflowPunct/>
        <w:topLinePunct/>
        <w:autoSpaceDE/>
        <w:autoSpaceDN/>
        <w:bidi w:val="0"/>
        <w:adjustRightInd/>
        <w:snapToGrid/>
        <w:spacing w:line="360" w:lineRule="auto"/>
        <w:ind w:left="0" w:leftChars="0" w:right="0" w:firstLine="440" w:firstLineChars="200"/>
        <w:jc w:val="left"/>
        <w:textAlignment w:val="auto"/>
        <w:outlineLvl w:val="9"/>
        <w:rPr>
          <w:rFonts w:hint="eastAsia" w:ascii="仿宋" w:hAnsi="仿宋" w:eastAsia="仿宋" w:cs="仿宋"/>
          <w:bCs/>
          <w:color w:val="auto"/>
          <w:sz w:val="22"/>
          <w:highlight w:val="none"/>
        </w:rPr>
      </w:pPr>
      <w:r>
        <w:rPr>
          <w:rFonts w:hint="eastAsia" w:ascii="仿宋" w:hAnsi="仿宋" w:eastAsia="仿宋" w:cs="仿宋"/>
          <w:bCs/>
          <w:color w:val="auto"/>
          <w:sz w:val="22"/>
          <w:highlight w:val="none"/>
        </w:rPr>
        <w:t>附：</w:t>
      </w:r>
    </w:p>
    <w:p>
      <w:pPr>
        <w:keepNext w:val="0"/>
        <w:keepLines w:val="0"/>
        <w:pageBreakBefore w:val="0"/>
        <w:widowControl w:val="0"/>
        <w:kinsoku/>
        <w:wordWrap w:val="0"/>
        <w:overflowPunct/>
        <w:topLinePunct/>
        <w:autoSpaceDE/>
        <w:autoSpaceDN/>
        <w:bidi w:val="0"/>
        <w:adjustRightInd/>
        <w:snapToGrid/>
        <w:spacing w:line="360" w:lineRule="auto"/>
        <w:ind w:left="0" w:leftChars="0" w:right="0" w:firstLine="440" w:firstLineChars="200"/>
        <w:jc w:val="left"/>
        <w:textAlignment w:val="auto"/>
        <w:outlineLvl w:val="9"/>
        <w:rPr>
          <w:rFonts w:hint="eastAsia" w:ascii="仿宋" w:hAnsi="仿宋" w:eastAsia="仿宋" w:cs="仿宋"/>
          <w:bCs/>
          <w:color w:val="auto"/>
          <w:sz w:val="22"/>
          <w:highlight w:val="none"/>
          <w:u w:val="single"/>
        </w:rPr>
      </w:pPr>
      <w:r>
        <w:rPr>
          <w:rFonts w:hint="eastAsia" w:ascii="仿宋" w:hAnsi="仿宋" w:eastAsia="仿宋" w:cs="仿宋"/>
          <w:bCs/>
          <w:color w:val="auto"/>
          <w:sz w:val="22"/>
          <w:highlight w:val="none"/>
        </w:rPr>
        <w:t>法定代表人性别：</w:t>
      </w:r>
      <w:r>
        <w:rPr>
          <w:rFonts w:hint="eastAsia" w:ascii="仿宋" w:hAnsi="仿宋" w:eastAsia="仿宋" w:cs="仿宋"/>
          <w:bCs/>
          <w:color w:val="auto"/>
          <w:sz w:val="22"/>
          <w:highlight w:val="none"/>
          <w:u w:val="single"/>
        </w:rPr>
        <w:t xml:space="preserve">         </w:t>
      </w:r>
      <w:r>
        <w:rPr>
          <w:rFonts w:hint="eastAsia" w:ascii="仿宋" w:hAnsi="仿宋" w:eastAsia="仿宋" w:cs="仿宋"/>
          <w:bCs/>
          <w:color w:val="auto"/>
          <w:sz w:val="22"/>
          <w:highlight w:val="none"/>
        </w:rPr>
        <w:t xml:space="preserve">     年龄：</w:t>
      </w:r>
      <w:r>
        <w:rPr>
          <w:rFonts w:hint="eastAsia" w:ascii="仿宋" w:hAnsi="仿宋" w:eastAsia="仿宋" w:cs="仿宋"/>
          <w:bCs/>
          <w:color w:val="auto"/>
          <w:sz w:val="22"/>
          <w:highlight w:val="none"/>
          <w:u w:val="single"/>
        </w:rPr>
        <w:t xml:space="preserve">     </w:t>
      </w:r>
    </w:p>
    <w:p>
      <w:pPr>
        <w:keepNext w:val="0"/>
        <w:keepLines w:val="0"/>
        <w:pageBreakBefore w:val="0"/>
        <w:widowControl w:val="0"/>
        <w:kinsoku/>
        <w:wordWrap w:val="0"/>
        <w:overflowPunct/>
        <w:topLinePunct/>
        <w:autoSpaceDE/>
        <w:autoSpaceDN/>
        <w:bidi w:val="0"/>
        <w:adjustRightInd/>
        <w:snapToGrid/>
        <w:spacing w:line="360" w:lineRule="auto"/>
        <w:ind w:left="0" w:leftChars="0" w:right="0" w:firstLine="440" w:firstLineChars="200"/>
        <w:jc w:val="left"/>
        <w:textAlignment w:val="auto"/>
        <w:outlineLvl w:val="9"/>
        <w:rPr>
          <w:rFonts w:hint="eastAsia" w:ascii="仿宋" w:hAnsi="仿宋" w:eastAsia="仿宋" w:cs="仿宋"/>
          <w:bCs/>
          <w:color w:val="auto"/>
          <w:sz w:val="22"/>
          <w:highlight w:val="none"/>
          <w:u w:val="single"/>
        </w:rPr>
      </w:pPr>
      <w:r>
        <w:rPr>
          <w:rFonts w:hint="eastAsia" w:ascii="仿宋" w:hAnsi="仿宋" w:eastAsia="仿宋" w:cs="仿宋"/>
          <w:bCs/>
          <w:color w:val="auto"/>
          <w:sz w:val="22"/>
          <w:highlight w:val="none"/>
        </w:rPr>
        <w:t>身份证号码：</w:t>
      </w:r>
      <w:r>
        <w:rPr>
          <w:rFonts w:hint="eastAsia" w:ascii="仿宋" w:hAnsi="仿宋" w:eastAsia="仿宋" w:cs="仿宋"/>
          <w:bCs/>
          <w:color w:val="auto"/>
          <w:sz w:val="22"/>
          <w:highlight w:val="none"/>
          <w:u w:val="single"/>
        </w:rPr>
        <w:t xml:space="preserve">                             </w:t>
      </w:r>
    </w:p>
    <w:p>
      <w:pPr>
        <w:keepNext w:val="0"/>
        <w:keepLines w:val="0"/>
        <w:pageBreakBefore w:val="0"/>
        <w:widowControl w:val="0"/>
        <w:tabs>
          <w:tab w:val="left" w:pos="3544"/>
        </w:tabs>
        <w:kinsoku/>
        <w:wordWrap w:val="0"/>
        <w:overflowPunct/>
        <w:topLinePunct/>
        <w:autoSpaceDE/>
        <w:autoSpaceDN/>
        <w:bidi w:val="0"/>
        <w:adjustRightInd/>
        <w:snapToGrid/>
        <w:spacing w:line="360" w:lineRule="auto"/>
        <w:ind w:left="0" w:leftChars="0" w:right="0" w:firstLine="440" w:firstLineChars="200"/>
        <w:textAlignment w:val="auto"/>
        <w:outlineLvl w:val="9"/>
        <w:rPr>
          <w:rFonts w:hint="eastAsia" w:ascii="仿宋" w:hAnsi="仿宋" w:eastAsia="仿宋" w:cs="仿宋"/>
          <w:bCs/>
          <w:color w:val="auto"/>
          <w:sz w:val="22"/>
          <w:highlight w:val="none"/>
          <w:u w:val="single"/>
        </w:rPr>
      </w:pPr>
      <w:r>
        <w:rPr>
          <w:rFonts w:hint="eastAsia" w:ascii="仿宋" w:hAnsi="仿宋" w:eastAsia="仿宋" w:cs="仿宋"/>
          <w:bCs/>
          <w:color w:val="auto"/>
          <w:sz w:val="22"/>
          <w:highlight w:val="none"/>
        </w:rPr>
        <w:t>法定代表人住址：</w:t>
      </w:r>
      <w:r>
        <w:rPr>
          <w:rFonts w:hint="eastAsia" w:ascii="仿宋" w:hAnsi="仿宋" w:eastAsia="仿宋" w:cs="仿宋"/>
          <w:bCs/>
          <w:color w:val="auto"/>
          <w:sz w:val="22"/>
          <w:highlight w:val="none"/>
          <w:u w:val="single"/>
        </w:rPr>
        <w:t xml:space="preserve">                         </w:t>
      </w:r>
    </w:p>
    <w:p>
      <w:pPr>
        <w:keepNext w:val="0"/>
        <w:keepLines w:val="0"/>
        <w:pageBreakBefore w:val="0"/>
        <w:widowControl w:val="0"/>
        <w:tabs>
          <w:tab w:val="left" w:pos="3544"/>
        </w:tabs>
        <w:kinsoku/>
        <w:wordWrap w:val="0"/>
        <w:overflowPunct/>
        <w:topLinePunct/>
        <w:autoSpaceDE/>
        <w:autoSpaceDN/>
        <w:bidi w:val="0"/>
        <w:adjustRightInd/>
        <w:snapToGrid/>
        <w:spacing w:line="360" w:lineRule="auto"/>
        <w:ind w:left="0" w:leftChars="0" w:right="0" w:firstLine="440" w:firstLineChars="200"/>
        <w:textAlignment w:val="auto"/>
        <w:outlineLvl w:val="9"/>
        <w:rPr>
          <w:rFonts w:hint="eastAsia" w:ascii="仿宋" w:hAnsi="仿宋" w:eastAsia="仿宋" w:cs="仿宋"/>
          <w:bCs/>
          <w:color w:val="auto"/>
          <w:sz w:val="22"/>
          <w:highlight w:val="none"/>
          <w:u w:val="single"/>
        </w:rPr>
      </w:pPr>
      <w:r>
        <w:rPr>
          <w:rFonts w:hint="eastAsia" w:ascii="仿宋" w:hAnsi="仿宋" w:eastAsia="仿宋" w:cs="仿宋"/>
          <w:bCs/>
          <w:color w:val="auto"/>
          <w:sz w:val="22"/>
          <w:highlight w:val="none"/>
        </w:rPr>
        <w:t>电      话：</w:t>
      </w:r>
      <w:r>
        <w:rPr>
          <w:rFonts w:hint="eastAsia" w:ascii="仿宋" w:hAnsi="仿宋" w:eastAsia="仿宋" w:cs="仿宋"/>
          <w:bCs/>
          <w:color w:val="auto"/>
          <w:sz w:val="22"/>
          <w:highlight w:val="none"/>
          <w:u w:val="single"/>
        </w:rPr>
        <w:t xml:space="preserve">                             </w:t>
      </w:r>
    </w:p>
    <w:p>
      <w:pPr>
        <w:keepNext w:val="0"/>
        <w:keepLines w:val="0"/>
        <w:pageBreakBefore w:val="0"/>
        <w:widowControl w:val="0"/>
        <w:kinsoku/>
        <w:wordWrap w:val="0"/>
        <w:overflowPunct/>
        <w:topLinePunct/>
        <w:autoSpaceDE/>
        <w:autoSpaceDN/>
        <w:bidi w:val="0"/>
        <w:adjustRightInd/>
        <w:snapToGrid/>
        <w:ind w:left="0" w:leftChars="0" w:right="0" w:firstLine="440" w:firstLineChars="200"/>
        <w:textAlignment w:val="auto"/>
        <w:outlineLvl w:val="9"/>
        <w:rPr>
          <w:rFonts w:hint="eastAsia" w:ascii="仿宋" w:hAnsi="仿宋" w:eastAsia="仿宋" w:cs="仿宋"/>
          <w:color w:val="auto"/>
          <w:sz w:val="22"/>
          <w:highlight w:val="none"/>
        </w:rPr>
      </w:pPr>
    </w:p>
    <w:p>
      <w:pPr>
        <w:keepNext w:val="0"/>
        <w:keepLines w:val="0"/>
        <w:pageBreakBefore w:val="0"/>
        <w:kinsoku/>
        <w:wordWrap w:val="0"/>
        <w:overflowPunct/>
        <w:topLinePunct/>
        <w:autoSpaceDE/>
        <w:autoSpaceDN/>
        <w:bidi w:val="0"/>
        <w:snapToGrid/>
        <w:ind w:left="0" w:leftChars="0" w:right="0"/>
        <w:outlineLvl w:val="9"/>
        <w:rPr>
          <w:rFonts w:hint="eastAsia" w:ascii="仿宋" w:hAnsi="仿宋" w:eastAsia="仿宋" w:cs="仿宋"/>
          <w:color w:val="auto"/>
          <w:sz w:val="22"/>
          <w:highlight w:val="none"/>
        </w:rPr>
      </w:pPr>
    </w:p>
    <w:p>
      <w:pPr>
        <w:keepNext w:val="0"/>
        <w:keepLines w:val="0"/>
        <w:pageBreakBefore w:val="0"/>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注：</w:t>
      </w:r>
      <w:r>
        <w:rPr>
          <w:rFonts w:hint="eastAsia" w:ascii="仿宋" w:hAnsi="仿宋" w:eastAsia="仿宋" w:cs="仿宋"/>
          <w:color w:val="auto"/>
          <w:sz w:val="22"/>
          <w:highlight w:val="none"/>
          <w:u w:val="single"/>
        </w:rPr>
        <w:t>法定代表人直接投标的无须提供法定代表人授权书，但须附法定代表人身份证正反面复印件（或扫描件）于此处并加盖公章</w:t>
      </w:r>
      <w:r>
        <w:rPr>
          <w:rFonts w:hint="eastAsia" w:ascii="仿宋" w:hAnsi="仿宋" w:eastAsia="仿宋" w:cs="仿宋"/>
          <w:color w:val="auto"/>
          <w:sz w:val="22"/>
          <w:highlight w:val="none"/>
        </w:rPr>
        <w:t xml:space="preserve">。 </w:t>
      </w:r>
    </w:p>
    <w:p>
      <w:pPr>
        <w:keepNext w:val="0"/>
        <w:keepLines w:val="0"/>
        <w:pageBreakBefore w:val="0"/>
        <w:kinsoku/>
        <w:wordWrap w:val="0"/>
        <w:overflowPunct/>
        <w:topLinePunct/>
        <w:autoSpaceDE/>
        <w:autoSpaceDN/>
        <w:bidi w:val="0"/>
        <w:snapToGrid/>
        <w:spacing w:line="360" w:lineRule="auto"/>
        <w:ind w:left="0" w:leftChars="0" w:right="0"/>
        <w:jc w:val="left"/>
        <w:outlineLvl w:val="9"/>
        <w:rPr>
          <w:rFonts w:hint="eastAsia" w:ascii="仿宋" w:hAnsi="仿宋" w:eastAsia="仿宋" w:cs="仿宋"/>
          <w:color w:val="auto"/>
          <w:sz w:val="22"/>
          <w:highlight w:val="none"/>
        </w:rPr>
      </w:pPr>
    </w:p>
    <w:p>
      <w:pPr>
        <w:keepNext w:val="0"/>
        <w:keepLines w:val="0"/>
        <w:pageBreakBefore w:val="0"/>
        <w:kinsoku/>
        <w:wordWrap w:val="0"/>
        <w:overflowPunct/>
        <w:topLinePunct/>
        <w:autoSpaceDE/>
        <w:autoSpaceDN/>
        <w:bidi w:val="0"/>
        <w:snapToGrid/>
        <w:spacing w:line="360" w:lineRule="auto"/>
        <w:ind w:left="0" w:leftChars="0" w:right="0"/>
        <w:jc w:val="left"/>
        <w:outlineLvl w:val="9"/>
        <w:rPr>
          <w:rFonts w:hint="eastAsia" w:ascii="仿宋" w:hAnsi="仿宋" w:eastAsia="仿宋" w:cs="仿宋"/>
          <w:color w:val="auto"/>
          <w:sz w:val="22"/>
          <w:highlight w:val="none"/>
        </w:rPr>
      </w:pPr>
    </w:p>
    <w:p>
      <w:pPr>
        <w:keepNext w:val="0"/>
        <w:keepLines w:val="0"/>
        <w:pageBreakBefore w:val="0"/>
        <w:kinsoku/>
        <w:wordWrap w:val="0"/>
        <w:overflowPunct/>
        <w:topLinePunct/>
        <w:autoSpaceDE/>
        <w:autoSpaceDN/>
        <w:bidi w:val="0"/>
        <w:snapToGrid/>
        <w:ind w:left="0" w:leftChars="0" w:right="0"/>
        <w:outlineLvl w:val="9"/>
        <w:rPr>
          <w:rFonts w:hint="eastAsia" w:ascii="仿宋" w:hAnsi="仿宋" w:eastAsia="仿宋" w:cs="仿宋"/>
          <w:color w:val="auto"/>
          <w:sz w:val="22"/>
          <w:highlight w:val="none"/>
        </w:rPr>
      </w:pPr>
    </w:p>
    <w:p>
      <w:pPr>
        <w:keepNext w:val="0"/>
        <w:keepLines w:val="0"/>
        <w:pageBreakBefore w:val="0"/>
        <w:kinsoku/>
        <w:wordWrap w:val="0"/>
        <w:overflowPunct/>
        <w:topLinePunct/>
        <w:autoSpaceDE/>
        <w:autoSpaceDN/>
        <w:bidi w:val="0"/>
        <w:snapToGrid/>
        <w:ind w:left="0" w:leftChars="0" w:right="0"/>
        <w:outlineLvl w:val="9"/>
        <w:rPr>
          <w:rFonts w:hint="eastAsia" w:ascii="仿宋" w:hAnsi="仿宋" w:eastAsia="仿宋" w:cs="仿宋"/>
          <w:color w:val="auto"/>
          <w:sz w:val="22"/>
          <w:highlight w:val="none"/>
        </w:rPr>
      </w:pPr>
    </w:p>
    <w:p>
      <w:pPr>
        <w:keepNext w:val="0"/>
        <w:keepLines w:val="0"/>
        <w:pageBreakBefore w:val="0"/>
        <w:kinsoku/>
        <w:wordWrap w:val="0"/>
        <w:overflowPunct/>
        <w:topLinePunct/>
        <w:autoSpaceDE/>
        <w:autoSpaceDN/>
        <w:bidi w:val="0"/>
        <w:snapToGrid/>
        <w:spacing w:line="360" w:lineRule="auto"/>
        <w:ind w:left="127" w:leftChars="0" w:right="0" w:hanging="127" w:hangingChars="58"/>
        <w:jc w:val="left"/>
        <w:outlineLvl w:val="9"/>
        <w:rPr>
          <w:rFonts w:hint="eastAsia" w:ascii="仿宋" w:hAnsi="仿宋" w:eastAsia="仿宋" w:cs="仿宋"/>
          <w:color w:val="auto"/>
          <w:sz w:val="22"/>
          <w:highlight w:val="none"/>
          <w:u w:val="single"/>
        </w:rPr>
      </w:pPr>
      <w:r>
        <w:rPr>
          <w:rFonts w:hint="eastAsia" w:ascii="仿宋" w:hAnsi="仿宋" w:eastAsia="仿宋" w:cs="仿宋"/>
          <w:color w:val="auto"/>
          <w:sz w:val="22"/>
          <w:highlight w:val="none"/>
          <w:lang w:eastAsia="zh-CN"/>
        </w:rPr>
        <w:t>供应商</w:t>
      </w:r>
      <w:r>
        <w:rPr>
          <w:rFonts w:hint="eastAsia" w:ascii="仿宋" w:hAnsi="仿宋" w:eastAsia="仿宋" w:cs="仿宋"/>
          <w:color w:val="auto"/>
          <w:sz w:val="22"/>
          <w:highlight w:val="none"/>
        </w:rPr>
        <w:t>：</w:t>
      </w:r>
      <w:r>
        <w:rPr>
          <w:rFonts w:hint="eastAsia" w:ascii="仿宋" w:hAnsi="仿宋" w:eastAsia="仿宋" w:cs="仿宋"/>
          <w:color w:val="auto"/>
          <w:sz w:val="22"/>
          <w:highlight w:val="none"/>
          <w:u w:val="single"/>
        </w:rPr>
        <w:t>（加盖公章）</w:t>
      </w:r>
    </w:p>
    <w:p>
      <w:pPr>
        <w:keepNext w:val="0"/>
        <w:keepLines w:val="0"/>
        <w:pageBreakBefore w:val="0"/>
        <w:kinsoku/>
        <w:wordWrap w:val="0"/>
        <w:overflowPunct/>
        <w:topLinePunct/>
        <w:autoSpaceDE/>
        <w:autoSpaceDN/>
        <w:bidi w:val="0"/>
        <w:snapToGrid/>
        <w:spacing w:line="360" w:lineRule="auto"/>
        <w:ind w:left="127" w:leftChars="0" w:right="0" w:hanging="127" w:hangingChars="58"/>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地  址：</w:t>
      </w:r>
    </w:p>
    <w:p>
      <w:pPr>
        <w:keepNext w:val="0"/>
        <w:keepLines w:val="0"/>
        <w:pageBreakBefore w:val="0"/>
        <w:tabs>
          <w:tab w:val="left" w:pos="3780"/>
        </w:tabs>
        <w:kinsoku/>
        <w:wordWrap w:val="0"/>
        <w:overflowPunct/>
        <w:topLinePunct/>
        <w:autoSpaceDE/>
        <w:autoSpaceDN/>
        <w:bidi w:val="0"/>
        <w:snapToGrid/>
        <w:spacing w:line="360" w:lineRule="auto"/>
        <w:ind w:left="127" w:leftChars="0" w:right="0" w:hanging="127" w:hangingChars="58"/>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法定代表人（签字并盖章）：</w:t>
      </w:r>
    </w:p>
    <w:p>
      <w:pPr>
        <w:keepNext w:val="0"/>
        <w:keepLines w:val="0"/>
        <w:pageBreakBefore w:val="0"/>
        <w:tabs>
          <w:tab w:val="left" w:pos="3885"/>
        </w:tabs>
        <w:kinsoku/>
        <w:wordWrap w:val="0"/>
        <w:overflowPunct/>
        <w:topLinePunct/>
        <w:autoSpaceDE/>
        <w:autoSpaceDN/>
        <w:bidi w:val="0"/>
        <w:snapToGrid/>
        <w:spacing w:line="360" w:lineRule="auto"/>
        <w:ind w:left="127" w:leftChars="0" w:right="0" w:hanging="127" w:hangingChars="58"/>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日  期：</w:t>
      </w:r>
    </w:p>
    <w:p>
      <w:pPr>
        <w:keepNext w:val="0"/>
        <w:keepLines w:val="0"/>
        <w:pageBreakBefore w:val="0"/>
        <w:kinsoku/>
        <w:overflowPunct/>
        <w:bidi w:val="0"/>
        <w:snapToGrid/>
        <w:ind w:left="0" w:leftChars="0" w:right="0"/>
        <w:outlineLvl w:val="9"/>
        <w:rPr>
          <w:rFonts w:hint="eastAsia" w:ascii="仿宋" w:hAnsi="仿宋" w:eastAsia="仿宋" w:cs="仿宋"/>
          <w:b/>
          <w:color w:val="auto"/>
          <w:sz w:val="24"/>
          <w:szCs w:val="28"/>
          <w:highlight w:val="none"/>
        </w:rPr>
      </w:pPr>
      <w:r>
        <w:rPr>
          <w:rFonts w:hint="eastAsia" w:ascii="仿宋" w:hAnsi="仿宋" w:eastAsia="仿宋" w:cs="仿宋"/>
          <w:b/>
          <w:color w:val="auto"/>
          <w:sz w:val="24"/>
          <w:szCs w:val="28"/>
          <w:highlight w:val="none"/>
        </w:rPr>
        <w:br w:type="page"/>
      </w:r>
    </w:p>
    <w:p>
      <w:pPr>
        <w:keepNext w:val="0"/>
        <w:keepLines w:val="0"/>
        <w:pageBreakBefore w:val="0"/>
        <w:tabs>
          <w:tab w:val="left" w:pos="3885"/>
        </w:tabs>
        <w:kinsoku/>
        <w:wordWrap w:val="0"/>
        <w:overflowPunct/>
        <w:topLinePunct/>
        <w:autoSpaceDE/>
        <w:autoSpaceDN/>
        <w:bidi w:val="0"/>
        <w:snapToGrid/>
        <w:spacing w:line="360" w:lineRule="auto"/>
        <w:ind w:left="0" w:leftChars="0" w:right="0" w:firstLine="241" w:firstLineChars="100"/>
        <w:jc w:val="left"/>
        <w:outlineLvl w:val="9"/>
        <w:rPr>
          <w:rFonts w:hint="eastAsia" w:ascii="仿宋" w:hAnsi="仿宋" w:eastAsia="仿宋" w:cs="仿宋"/>
          <w:b/>
          <w:color w:val="auto"/>
          <w:sz w:val="24"/>
          <w:szCs w:val="28"/>
          <w:highlight w:val="none"/>
        </w:rPr>
      </w:pPr>
      <w:r>
        <w:rPr>
          <w:rFonts w:hint="eastAsia" w:ascii="仿宋" w:hAnsi="仿宋" w:eastAsia="仿宋" w:cs="仿宋"/>
          <w:b/>
          <w:color w:val="auto"/>
          <w:sz w:val="24"/>
          <w:szCs w:val="28"/>
          <w:highlight w:val="none"/>
          <w:lang w:val="en-US" w:eastAsia="zh-CN"/>
        </w:rPr>
        <w:t>附件3</w:t>
      </w:r>
    </w:p>
    <w:p>
      <w:pPr>
        <w:keepNext w:val="0"/>
        <w:keepLines w:val="0"/>
        <w:pageBreakBefore w:val="0"/>
        <w:kinsoku/>
        <w:wordWrap w:val="0"/>
        <w:overflowPunct/>
        <w:topLinePunct/>
        <w:autoSpaceDE/>
        <w:autoSpaceDN/>
        <w:bidi w:val="0"/>
        <w:snapToGrid/>
        <w:spacing w:line="360" w:lineRule="auto"/>
        <w:ind w:left="0" w:leftChars="0" w:right="0" w:hanging="562"/>
        <w:jc w:val="center"/>
        <w:outlineLvl w:val="9"/>
        <w:rPr>
          <w:rFonts w:hint="eastAsia" w:ascii="仿宋" w:hAnsi="仿宋" w:eastAsia="仿宋" w:cs="仿宋"/>
          <w:b/>
          <w:bCs/>
          <w:color w:val="auto"/>
          <w:sz w:val="22"/>
          <w:highlight w:val="none"/>
        </w:rPr>
      </w:pPr>
      <w:r>
        <w:rPr>
          <w:rFonts w:hint="eastAsia" w:ascii="仿宋" w:hAnsi="仿宋" w:eastAsia="仿宋" w:cs="仿宋"/>
          <w:b/>
          <w:bCs/>
          <w:color w:val="auto"/>
          <w:sz w:val="22"/>
          <w:highlight w:val="none"/>
        </w:rPr>
        <w:t>法定代表人授权书</w:t>
      </w:r>
    </w:p>
    <w:p>
      <w:pPr>
        <w:pStyle w:val="98"/>
        <w:keepNext w:val="0"/>
        <w:keepLines w:val="0"/>
        <w:pageBreakBefore w:val="0"/>
        <w:kinsoku/>
        <w:wordWrap w:val="0"/>
        <w:overflowPunct/>
        <w:topLinePunct/>
        <w:autoSpaceDE/>
        <w:autoSpaceDN/>
        <w:bidi w:val="0"/>
        <w:snapToGrid/>
        <w:spacing w:line="360" w:lineRule="auto"/>
        <w:ind w:left="0" w:leftChars="0" w:right="0" w:firstLine="482"/>
        <w:jc w:val="left"/>
        <w:outlineLvl w:val="9"/>
        <w:rPr>
          <w:rFonts w:hint="eastAsia" w:ascii="仿宋" w:hAnsi="仿宋" w:eastAsia="仿宋" w:cs="仿宋"/>
          <w:b/>
          <w:bCs/>
          <w:color w:val="auto"/>
          <w:sz w:val="22"/>
          <w:szCs w:val="22"/>
          <w:highlight w:val="none"/>
        </w:rPr>
      </w:pPr>
      <w:r>
        <w:rPr>
          <w:rFonts w:hint="eastAsia" w:ascii="仿宋" w:hAnsi="仿宋" w:eastAsia="仿宋" w:cs="仿宋"/>
          <w:b/>
          <w:color w:val="auto"/>
          <w:sz w:val="22"/>
          <w:szCs w:val="22"/>
          <w:highlight w:val="none"/>
          <w:lang w:eastAsia="zh-CN"/>
        </w:rPr>
        <w:t>陕西利隆建设项目管理有限公司</w:t>
      </w:r>
      <w:r>
        <w:rPr>
          <w:rFonts w:hint="eastAsia" w:ascii="仿宋" w:hAnsi="仿宋" w:eastAsia="仿宋" w:cs="仿宋"/>
          <w:color w:val="auto"/>
          <w:sz w:val="22"/>
          <w:szCs w:val="22"/>
          <w:highlight w:val="none"/>
        </w:rPr>
        <w:t>：</w:t>
      </w:r>
    </w:p>
    <w:p>
      <w:pPr>
        <w:pStyle w:val="98"/>
        <w:keepNext w:val="0"/>
        <w:keepLines w:val="0"/>
        <w:pageBreakBefore w:val="0"/>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本授权书声明：注册于</w:t>
      </w:r>
      <w:r>
        <w:rPr>
          <w:rFonts w:hint="eastAsia" w:ascii="仿宋" w:hAnsi="仿宋" w:eastAsia="仿宋" w:cs="仿宋"/>
          <w:color w:val="auto"/>
          <w:sz w:val="22"/>
          <w:szCs w:val="22"/>
          <w:highlight w:val="none"/>
          <w:u w:val="single"/>
        </w:rPr>
        <w:t>（工商行政管理局名称）之（</w:t>
      </w:r>
      <w:r>
        <w:rPr>
          <w:rFonts w:hint="eastAsia" w:ascii="仿宋" w:hAnsi="仿宋" w:eastAsia="仿宋" w:cs="仿宋"/>
          <w:color w:val="auto"/>
          <w:sz w:val="22"/>
          <w:szCs w:val="22"/>
          <w:highlight w:val="none"/>
          <w:u w:val="single"/>
          <w:lang w:eastAsia="zh-CN"/>
        </w:rPr>
        <w:t>供应商</w:t>
      </w:r>
      <w:r>
        <w:rPr>
          <w:rFonts w:hint="eastAsia" w:ascii="仿宋" w:hAnsi="仿宋" w:eastAsia="仿宋" w:cs="仿宋"/>
          <w:color w:val="auto"/>
          <w:sz w:val="22"/>
          <w:szCs w:val="22"/>
          <w:highlight w:val="none"/>
          <w:u w:val="single"/>
        </w:rPr>
        <w:t xml:space="preserve">名称） </w:t>
      </w:r>
      <w:r>
        <w:rPr>
          <w:rFonts w:hint="eastAsia" w:ascii="仿宋" w:hAnsi="仿宋" w:eastAsia="仿宋" w:cs="仿宋"/>
          <w:color w:val="auto"/>
          <w:sz w:val="22"/>
          <w:szCs w:val="22"/>
          <w:highlight w:val="none"/>
        </w:rPr>
        <w:t>的法定代表人</w:t>
      </w:r>
      <w:r>
        <w:rPr>
          <w:rFonts w:hint="eastAsia" w:ascii="仿宋" w:hAnsi="仿宋" w:eastAsia="仿宋" w:cs="仿宋"/>
          <w:color w:val="auto"/>
          <w:sz w:val="22"/>
          <w:szCs w:val="22"/>
          <w:highlight w:val="none"/>
          <w:u w:val="single"/>
        </w:rPr>
        <w:t>（姓名、性别）</w:t>
      </w:r>
      <w:r>
        <w:rPr>
          <w:rFonts w:hint="eastAsia" w:ascii="仿宋" w:hAnsi="仿宋" w:eastAsia="仿宋" w:cs="仿宋"/>
          <w:color w:val="auto"/>
          <w:sz w:val="22"/>
          <w:szCs w:val="22"/>
          <w:highlight w:val="none"/>
        </w:rPr>
        <w:t>授权本公司的</w:t>
      </w:r>
      <w:r>
        <w:rPr>
          <w:rFonts w:hint="eastAsia" w:ascii="仿宋" w:hAnsi="仿宋" w:eastAsia="仿宋" w:cs="仿宋"/>
          <w:color w:val="auto"/>
          <w:sz w:val="22"/>
          <w:szCs w:val="22"/>
          <w:highlight w:val="none"/>
          <w:u w:val="single"/>
        </w:rPr>
        <w:t>（被授权人姓名、性别）</w:t>
      </w:r>
      <w:r>
        <w:rPr>
          <w:rFonts w:hint="eastAsia" w:ascii="仿宋" w:hAnsi="仿宋" w:eastAsia="仿宋" w:cs="仿宋"/>
          <w:color w:val="auto"/>
          <w:sz w:val="22"/>
          <w:szCs w:val="22"/>
          <w:highlight w:val="none"/>
        </w:rPr>
        <w:t>为授权代表人，就贵方组织的有关</w:t>
      </w:r>
      <w:r>
        <w:rPr>
          <w:rFonts w:hint="eastAsia" w:ascii="仿宋" w:hAnsi="仿宋" w:eastAsia="仿宋" w:cs="仿宋"/>
          <w:color w:val="auto"/>
          <w:sz w:val="22"/>
          <w:szCs w:val="22"/>
          <w:highlight w:val="none"/>
          <w:u w:val="single"/>
        </w:rPr>
        <w:t xml:space="preserve">  项目名称（项目编号） </w:t>
      </w:r>
      <w:r>
        <w:rPr>
          <w:rFonts w:hint="eastAsia" w:ascii="仿宋" w:hAnsi="仿宋" w:eastAsia="仿宋" w:cs="仿宋"/>
          <w:color w:val="auto"/>
          <w:sz w:val="22"/>
          <w:szCs w:val="22"/>
          <w:highlight w:val="none"/>
        </w:rPr>
        <w:t>的响应、洽谈、执行等具体事务，签署全部有关投标文件、文书、协议、合同等，本公司对被授权人签署的所有资料承担全部法律责任。</w:t>
      </w:r>
    </w:p>
    <w:p>
      <w:pPr>
        <w:pStyle w:val="98"/>
        <w:keepNext w:val="0"/>
        <w:keepLines w:val="0"/>
        <w:pageBreakBefore w:val="0"/>
        <w:kinsoku/>
        <w:wordWrap w:val="0"/>
        <w:overflowPunct/>
        <w:topLinePunct/>
        <w:autoSpaceDE/>
        <w:autoSpaceDN/>
        <w:bidi w:val="0"/>
        <w:snapToGrid/>
        <w:spacing w:line="360" w:lineRule="auto"/>
        <w:ind w:left="0" w:leftChars="0" w:right="0" w:firstLine="480"/>
        <w:jc w:val="left"/>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本授权书自投标文件递交截止时间起计算，有效期为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天。</w:t>
      </w:r>
    </w:p>
    <w:p>
      <w:pPr>
        <w:pStyle w:val="98"/>
        <w:keepNext w:val="0"/>
        <w:keepLines w:val="0"/>
        <w:pageBreakBefore w:val="0"/>
        <w:kinsoku/>
        <w:wordWrap w:val="0"/>
        <w:overflowPunct/>
        <w:topLinePunct/>
        <w:autoSpaceDE/>
        <w:autoSpaceDN/>
        <w:bidi w:val="0"/>
        <w:snapToGrid/>
        <w:spacing w:line="360" w:lineRule="auto"/>
        <w:ind w:left="0" w:leftChars="0" w:right="0" w:firstLine="480"/>
        <w:jc w:val="left"/>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u w:val="single"/>
        </w:rPr>
        <w:t xml:space="preserve">  （加盖公章）     </w:t>
      </w:r>
      <w:r>
        <w:rPr>
          <w:rFonts w:hint="eastAsia" w:ascii="仿宋" w:hAnsi="仿宋" w:eastAsia="仿宋" w:cs="仿宋"/>
          <w:color w:val="auto"/>
          <w:sz w:val="22"/>
          <w:szCs w:val="22"/>
          <w:highlight w:val="none"/>
        </w:rPr>
        <w:t xml:space="preserve">      法定代表人（签字并盖章）：</w:t>
      </w:r>
      <w:r>
        <w:rPr>
          <w:rFonts w:hint="eastAsia" w:ascii="仿宋" w:hAnsi="仿宋" w:eastAsia="仿宋" w:cs="仿宋"/>
          <w:color w:val="auto"/>
          <w:sz w:val="22"/>
          <w:szCs w:val="22"/>
          <w:highlight w:val="none"/>
          <w:u w:val="single"/>
        </w:rPr>
        <w:t xml:space="preserve">       </w:t>
      </w:r>
    </w:p>
    <w:p>
      <w:pPr>
        <w:pStyle w:val="98"/>
        <w:keepNext w:val="0"/>
        <w:keepLines w:val="0"/>
        <w:pageBreakBefore w:val="0"/>
        <w:kinsoku/>
        <w:wordWrap w:val="0"/>
        <w:overflowPunct/>
        <w:topLinePunct/>
        <w:autoSpaceDE/>
        <w:autoSpaceDN/>
        <w:bidi w:val="0"/>
        <w:snapToGrid/>
        <w:spacing w:line="360" w:lineRule="auto"/>
        <w:ind w:left="0" w:leftChars="0" w:right="0" w:firstLine="480"/>
        <w:jc w:val="left"/>
        <w:outlineLvl w:val="9"/>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被授权人（签字</w:t>
      </w:r>
      <w:r>
        <w:rPr>
          <w:rFonts w:hint="eastAsia" w:ascii="仿宋" w:hAnsi="仿宋" w:eastAsia="仿宋" w:cs="仿宋"/>
          <w:color w:val="auto"/>
          <w:sz w:val="22"/>
          <w:szCs w:val="22"/>
          <w:highlight w:val="none"/>
          <w:lang w:eastAsia="zh-CN"/>
        </w:rPr>
        <w:t>或</w:t>
      </w:r>
      <w:r>
        <w:rPr>
          <w:rFonts w:hint="eastAsia" w:ascii="仿宋" w:hAnsi="仿宋" w:eastAsia="仿宋" w:cs="仿宋"/>
          <w:color w:val="auto"/>
          <w:sz w:val="22"/>
          <w:szCs w:val="22"/>
          <w:highlight w:val="none"/>
        </w:rPr>
        <w:t>盖章）：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 xml:space="preserve">   性别：</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 xml:space="preserve">  职务：</w:t>
      </w:r>
      <w:r>
        <w:rPr>
          <w:rFonts w:hint="eastAsia" w:ascii="仿宋" w:hAnsi="仿宋" w:eastAsia="仿宋" w:cs="仿宋"/>
          <w:color w:val="auto"/>
          <w:sz w:val="22"/>
          <w:szCs w:val="22"/>
          <w:highlight w:val="none"/>
          <w:u w:val="single"/>
        </w:rPr>
        <w:t xml:space="preserve">       </w:t>
      </w:r>
    </w:p>
    <w:p>
      <w:pPr>
        <w:pStyle w:val="98"/>
        <w:keepNext w:val="0"/>
        <w:keepLines w:val="0"/>
        <w:pageBreakBefore w:val="0"/>
        <w:kinsoku/>
        <w:wordWrap w:val="0"/>
        <w:overflowPunct/>
        <w:topLinePunct/>
        <w:autoSpaceDE/>
        <w:autoSpaceDN/>
        <w:bidi w:val="0"/>
        <w:snapToGrid/>
        <w:spacing w:line="360" w:lineRule="auto"/>
        <w:ind w:left="0" w:leftChars="0" w:right="0" w:firstLine="480"/>
        <w:jc w:val="left"/>
        <w:outlineLvl w:val="9"/>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联系地址：</w:t>
      </w:r>
      <w:r>
        <w:rPr>
          <w:rFonts w:hint="eastAsia" w:ascii="仿宋" w:hAnsi="仿宋" w:eastAsia="仿宋" w:cs="仿宋"/>
          <w:color w:val="auto"/>
          <w:sz w:val="22"/>
          <w:szCs w:val="22"/>
          <w:highlight w:val="none"/>
          <w:u w:val="single"/>
        </w:rPr>
        <w:t xml:space="preserve">                                   </w:t>
      </w:r>
    </w:p>
    <w:p>
      <w:pPr>
        <w:pStyle w:val="98"/>
        <w:keepNext w:val="0"/>
        <w:keepLines w:val="0"/>
        <w:pageBreakBefore w:val="0"/>
        <w:kinsoku/>
        <w:wordWrap w:val="0"/>
        <w:overflowPunct/>
        <w:topLinePunct/>
        <w:autoSpaceDE/>
        <w:autoSpaceDN/>
        <w:bidi w:val="0"/>
        <w:snapToGrid/>
        <w:spacing w:line="360" w:lineRule="auto"/>
        <w:ind w:left="0" w:leftChars="0" w:right="0" w:firstLine="480"/>
        <w:jc w:val="left"/>
        <w:outlineLvl w:val="9"/>
        <w:rPr>
          <w:rFonts w:hint="eastAsia" w:ascii="仿宋" w:hAnsi="仿宋" w:eastAsia="仿宋" w:cs="仿宋"/>
          <w:b/>
          <w:color w:val="auto"/>
          <w:sz w:val="22"/>
          <w:szCs w:val="22"/>
          <w:highlight w:val="none"/>
          <w:u w:val="single"/>
        </w:rPr>
      </w:pPr>
      <w:r>
        <w:rPr>
          <w:rFonts w:hint="eastAsia" w:ascii="仿宋" w:hAnsi="仿宋" w:eastAsia="仿宋" w:cs="仿宋"/>
          <w:color w:val="auto"/>
          <w:sz w:val="22"/>
          <w:szCs w:val="22"/>
          <w:highlight w:val="none"/>
        </w:rPr>
        <w:t>联系电话：</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 xml:space="preserve">   传真：</w:t>
      </w:r>
      <w:r>
        <w:rPr>
          <w:rFonts w:hint="eastAsia" w:ascii="仿宋" w:hAnsi="仿宋" w:eastAsia="仿宋" w:cs="仿宋"/>
          <w:color w:val="auto"/>
          <w:sz w:val="22"/>
          <w:szCs w:val="22"/>
          <w:highlight w:val="none"/>
          <w:u w:val="single"/>
        </w:rPr>
        <w:t xml:space="preserve">          </w:t>
      </w:r>
    </w:p>
    <w:p>
      <w:pPr>
        <w:keepNext w:val="0"/>
        <w:keepLines w:val="0"/>
        <w:pageBreakBefore w:val="0"/>
        <w:kinsoku/>
        <w:wordWrap w:val="0"/>
        <w:overflowPunct/>
        <w:topLinePunct/>
        <w:autoSpaceDE/>
        <w:autoSpaceDN/>
        <w:bidi w:val="0"/>
        <w:snapToGrid/>
        <w:ind w:left="0" w:leftChars="0" w:right="0"/>
        <w:outlineLvl w:val="9"/>
        <w:rPr>
          <w:rFonts w:hint="eastAsia" w:ascii="仿宋" w:hAnsi="仿宋" w:eastAsia="仿宋" w:cs="仿宋"/>
          <w:color w:val="auto"/>
          <w:sz w:val="22"/>
          <w:highlight w:val="none"/>
        </w:rPr>
      </w:pPr>
    </w:p>
    <w:p>
      <w:pPr>
        <w:pStyle w:val="98"/>
        <w:keepNext w:val="0"/>
        <w:keepLines w:val="0"/>
        <w:pageBreakBefore w:val="0"/>
        <w:kinsoku/>
        <w:wordWrap w:val="0"/>
        <w:overflowPunct/>
        <w:topLinePunct/>
        <w:autoSpaceDE/>
        <w:autoSpaceDN/>
        <w:bidi w:val="0"/>
        <w:snapToGrid/>
        <w:spacing w:line="360" w:lineRule="auto"/>
        <w:ind w:left="0" w:leftChars="0" w:right="0"/>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附法定代表人及被授权人身份证正反面复印件（或扫描件）并加盖公章</w:t>
      </w:r>
    </w:p>
    <w:tbl>
      <w:tblPr>
        <w:tblStyle w:val="47"/>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9"/>
        <w:gridCol w:w="4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65" w:hRule="atLeast"/>
          <w:jc w:val="center"/>
        </w:trPr>
        <w:tc>
          <w:tcPr>
            <w:tcW w:w="4289" w:type="dxa"/>
            <w:tcBorders>
              <w:top w:val="single" w:color="auto" w:sz="4" w:space="0"/>
              <w:left w:val="single" w:color="auto" w:sz="4" w:space="0"/>
              <w:right w:val="single" w:color="auto" w:sz="4" w:space="0"/>
            </w:tcBorders>
            <w:vAlign w:val="center"/>
          </w:tcPr>
          <w:p>
            <w:pPr>
              <w:keepNext w:val="0"/>
              <w:keepLines w:val="0"/>
              <w:pageBreakBefore w:val="0"/>
              <w:kinsoku/>
              <w:wordWrap w:val="0"/>
              <w:overflowPunct/>
              <w:topLine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法定代表人身份证复印件（或扫描件）</w:t>
            </w:r>
          </w:p>
        </w:tc>
        <w:tc>
          <w:tcPr>
            <w:tcW w:w="4289" w:type="dxa"/>
            <w:tcBorders>
              <w:top w:val="single" w:color="auto" w:sz="4" w:space="0"/>
              <w:left w:val="single" w:color="auto" w:sz="4" w:space="0"/>
              <w:right w:val="single" w:color="auto" w:sz="4" w:space="0"/>
            </w:tcBorders>
            <w:vAlign w:val="center"/>
          </w:tcPr>
          <w:p>
            <w:pPr>
              <w:keepNext w:val="0"/>
              <w:keepLines w:val="0"/>
              <w:pageBreakBefore w:val="0"/>
              <w:kinsoku/>
              <w:wordWrap w:val="0"/>
              <w:overflowPunct/>
              <w:topLine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被授权人身份证复印件（或扫描件）</w:t>
            </w:r>
          </w:p>
        </w:tc>
      </w:tr>
    </w:tbl>
    <w:p>
      <w:pPr>
        <w:keepNext w:val="0"/>
        <w:keepLines w:val="0"/>
        <w:pageBreakBefore w:val="0"/>
        <w:kinsoku/>
        <w:overflowPunct/>
        <w:bidi w:val="0"/>
        <w:snapToGrid/>
        <w:ind w:left="0" w:leftChars="0" w:right="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pPr>
        <w:keepNext w:val="0"/>
        <w:keepLines w:val="0"/>
        <w:pageBreakBefore w:val="0"/>
        <w:kinsoku/>
        <w:wordWrap w:val="0"/>
        <w:overflowPunct/>
        <w:topLinePunct/>
        <w:autoSpaceDE/>
        <w:autoSpaceDN/>
        <w:bidi w:val="0"/>
        <w:snapToGrid/>
        <w:spacing w:line="440" w:lineRule="exact"/>
        <w:ind w:left="0" w:leftChars="0" w:right="0" w:firstLine="241" w:firstLineChars="100"/>
        <w:jc w:val="left"/>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附件4</w:t>
      </w:r>
    </w:p>
    <w:p>
      <w:pPr>
        <w:keepNext w:val="0"/>
        <w:keepLines w:val="0"/>
        <w:pageBreakBefore w:val="0"/>
        <w:kinsoku/>
        <w:wordWrap w:val="0"/>
        <w:overflowPunct/>
        <w:topLinePunct/>
        <w:autoSpaceDE/>
        <w:autoSpaceDN/>
        <w:bidi w:val="0"/>
        <w:snapToGrid/>
        <w:spacing w:line="440" w:lineRule="exact"/>
        <w:ind w:left="0" w:leftChars="0" w:right="0" w:firstLine="241" w:firstLineChars="100"/>
        <w:jc w:val="center"/>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信用中国”及“中国政府采购网”网站关于相关主体信用记录查询的要求</w:t>
      </w:r>
    </w:p>
    <w:p>
      <w:pPr>
        <w:keepNext w:val="0"/>
        <w:keepLines w:val="0"/>
        <w:pageBreakBefore w:val="0"/>
        <w:kinsoku/>
        <w:wordWrap w:val="0"/>
        <w:overflowPunct/>
        <w:topLinePunct/>
        <w:autoSpaceDE/>
        <w:autoSpaceDN/>
        <w:bidi w:val="0"/>
        <w:snapToGrid/>
        <w:spacing w:line="440" w:lineRule="exact"/>
        <w:ind w:left="0" w:leftChars="0" w:right="0"/>
        <w:jc w:val="left"/>
        <w:outlineLvl w:val="9"/>
        <w:rPr>
          <w:rFonts w:hint="eastAsia" w:ascii="仿宋" w:hAnsi="仿宋" w:eastAsia="仿宋" w:cs="仿宋"/>
          <w:bCs/>
          <w:color w:val="auto"/>
          <w:sz w:val="24"/>
          <w:highlight w:val="none"/>
        </w:rPr>
      </w:pPr>
    </w:p>
    <w:p>
      <w:pPr>
        <w:keepNext w:val="0"/>
        <w:keepLines w:val="0"/>
        <w:pageBreakBefore w:val="0"/>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1）提供供应商主体关于“信用中国”网站（www.creditchina.gov.cn）、中国政府采购网（www.ccgp.gov.cn）的信用信息查询结果；</w:t>
      </w:r>
    </w:p>
    <w:p>
      <w:pPr>
        <w:keepNext w:val="0"/>
        <w:keepLines w:val="0"/>
        <w:pageBreakBefore w:val="0"/>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2）查询时间：响应文件递交截止时间前120小时内；</w:t>
      </w:r>
    </w:p>
    <w:p>
      <w:pPr>
        <w:keepNext w:val="0"/>
        <w:keepLines w:val="0"/>
        <w:pageBreakBefore w:val="0"/>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3）证据留存的方式：</w:t>
      </w:r>
    </w:p>
    <w:p>
      <w:pPr>
        <w:keepNext w:val="0"/>
        <w:keepLines w:val="0"/>
        <w:pageBreakBefore w:val="0"/>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“信用中国”查询后下载完整信用信息报告并加盖</w:t>
      </w:r>
      <w:r>
        <w:rPr>
          <w:rFonts w:hint="eastAsia" w:ascii="仿宋" w:hAnsi="仿宋" w:eastAsia="仿宋" w:cs="仿宋"/>
          <w:color w:val="auto"/>
          <w:kern w:val="0"/>
          <w:sz w:val="22"/>
          <w:highlight w:val="none"/>
          <w:lang w:eastAsia="zh-CN"/>
        </w:rPr>
        <w:t>供应商</w:t>
      </w:r>
      <w:r>
        <w:rPr>
          <w:rFonts w:hint="eastAsia" w:ascii="仿宋" w:hAnsi="仿宋" w:eastAsia="仿宋" w:cs="仿宋"/>
          <w:color w:val="auto"/>
          <w:kern w:val="0"/>
          <w:sz w:val="22"/>
          <w:highlight w:val="none"/>
        </w:rPr>
        <w:t>公章，信用信息报告须清晰体现行政处罚信息数量及失信惩戒信息数量，若数量不为“0”，行政处罚信息/失信惩戒信息内容须清晰体现。</w:t>
      </w:r>
    </w:p>
    <w:p>
      <w:pPr>
        <w:keepNext w:val="0"/>
        <w:keepLines w:val="0"/>
        <w:pageBreakBefore w:val="0"/>
        <w:kinsoku/>
        <w:wordWrap w:val="0"/>
        <w:overflowPunct/>
        <w:topLinePunct/>
        <w:autoSpaceDE/>
        <w:autoSpaceDN/>
        <w:bidi w:val="0"/>
        <w:snapToGrid/>
        <w:spacing w:line="360" w:lineRule="auto"/>
        <w:ind w:left="0" w:leftChars="0" w:right="0" w:firstLine="440" w:firstLineChars="200"/>
        <w:jc w:val="left"/>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“中国政府采购网”查询政府采购严重违法失信行为记录名单，查询结果界面截全图加盖</w:t>
      </w:r>
      <w:r>
        <w:rPr>
          <w:rFonts w:hint="eastAsia" w:ascii="仿宋" w:hAnsi="仿宋" w:eastAsia="仿宋" w:cs="仿宋"/>
          <w:color w:val="auto"/>
          <w:kern w:val="0"/>
          <w:sz w:val="22"/>
          <w:highlight w:val="none"/>
          <w:lang w:eastAsia="zh-CN"/>
        </w:rPr>
        <w:t>供应商</w:t>
      </w:r>
      <w:r>
        <w:rPr>
          <w:rFonts w:hint="eastAsia" w:ascii="仿宋" w:hAnsi="仿宋" w:eastAsia="仿宋" w:cs="仿宋"/>
          <w:color w:val="auto"/>
          <w:kern w:val="0"/>
          <w:sz w:val="22"/>
          <w:highlight w:val="none"/>
        </w:rPr>
        <w:t>公章，截图须清晰体现是否存在违法行为记录，若存在，还应将严重违法失信行为的具体情形、处罚结果、处罚依据、处罚日期、公布日期、执法单位等清晰截图加盖公章。</w:t>
      </w:r>
    </w:p>
    <w:p>
      <w:pPr>
        <w:keepNext w:val="0"/>
        <w:keepLines w:val="0"/>
        <w:pageBreakBefore w:val="0"/>
        <w:overflowPunct/>
        <w:bidi w:val="0"/>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br w:type="page"/>
      </w:r>
    </w:p>
    <w:p>
      <w:pPr>
        <w:keepNext w:val="0"/>
        <w:keepLines w:val="0"/>
        <w:pageBreakBefore w:val="0"/>
        <w:kinsoku/>
        <w:wordWrap w:val="0"/>
        <w:overflowPunct/>
        <w:topLinePunct/>
        <w:autoSpaceDE/>
        <w:autoSpaceDN/>
        <w:bidi w:val="0"/>
        <w:snapToGrid/>
        <w:spacing w:line="440" w:lineRule="exact"/>
        <w:ind w:left="0" w:leftChars="0" w:right="0" w:firstLine="241" w:firstLineChars="100"/>
        <w:jc w:val="left"/>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附件5</w:t>
      </w:r>
    </w:p>
    <w:p>
      <w:pPr>
        <w:pStyle w:val="3"/>
        <w:keepNext w:val="0"/>
        <w:keepLines w:val="0"/>
        <w:pageBreakBefore w:val="0"/>
        <w:overflowPunct/>
        <w:bidi w:val="0"/>
        <w:outlineLvl w:val="9"/>
        <w:rPr>
          <w:rFonts w:hint="eastAsia" w:ascii="仿宋" w:hAnsi="仿宋" w:eastAsia="仿宋" w:cs="仿宋"/>
          <w:highlight w:val="none"/>
          <w:lang w:val="en-US" w:eastAsia="zh-CN"/>
        </w:rPr>
      </w:pPr>
    </w:p>
    <w:p>
      <w:pPr>
        <w:keepNext w:val="0"/>
        <w:keepLines w:val="0"/>
        <w:pageBreakBefore w:val="0"/>
        <w:kinsoku/>
        <w:overflowPunct/>
        <w:bidi w:val="0"/>
        <w:snapToGrid/>
        <w:spacing w:line="219" w:lineRule="auto"/>
        <w:ind w:left="0" w:leftChars="0" w:right="0"/>
        <w:jc w:val="center"/>
        <w:outlineLvl w:val="9"/>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103" w14:cap="sq" w14:cmpd="sng">
            <w14:solidFill>
              <w14:srgbClr w14:val="000000"/>
            </w14:solidFill>
            <w14:prstDash w14:val="solid"/>
            <w14:bevel/>
          </w14:textOutline>
        </w:rPr>
        <w:t>中小企业声明函(货物)</w:t>
      </w:r>
    </w:p>
    <w:p>
      <w:pPr>
        <w:keepNext w:val="0"/>
        <w:keepLines w:val="0"/>
        <w:pageBreakBefore w:val="0"/>
        <w:kinsoku/>
        <w:overflowPunct/>
        <w:bidi w:val="0"/>
        <w:snapToGrid/>
        <w:spacing w:line="369"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354" w:lineRule="auto"/>
        <w:ind w:left="0" w:leftChars="0" w:right="0" w:firstLine="448"/>
        <w:outlineLvl w:val="9"/>
        <w:rPr>
          <w:rFonts w:hint="eastAsia" w:ascii="仿宋" w:hAnsi="仿宋" w:eastAsia="仿宋" w:cs="仿宋"/>
          <w:sz w:val="23"/>
          <w:szCs w:val="23"/>
          <w:highlight w:val="none"/>
        </w:rPr>
      </w:pPr>
      <w:r>
        <w:rPr>
          <w:rFonts w:hint="eastAsia" w:ascii="仿宋" w:hAnsi="仿宋" w:eastAsia="仿宋" w:cs="仿宋"/>
          <w:spacing w:val="20"/>
          <w:sz w:val="23"/>
          <w:szCs w:val="23"/>
          <w:highlight w:val="none"/>
        </w:rPr>
        <w:t>本</w:t>
      </w:r>
      <w:r>
        <w:rPr>
          <w:rFonts w:hint="eastAsia" w:ascii="仿宋" w:hAnsi="仿宋" w:eastAsia="仿宋" w:cs="仿宋"/>
          <w:spacing w:val="13"/>
          <w:sz w:val="23"/>
          <w:szCs w:val="23"/>
          <w:highlight w:val="none"/>
        </w:rPr>
        <w:t>公司(联合体)郑重声明，根据《政府采购促进中小企业发展管理办法》(财库</w:t>
      </w:r>
      <w:r>
        <w:rPr>
          <w:rFonts w:hint="eastAsia" w:ascii="仿宋" w:hAnsi="仿宋" w:eastAsia="仿宋" w:cs="仿宋"/>
          <w:spacing w:val="10"/>
          <w:sz w:val="23"/>
          <w:szCs w:val="23"/>
          <w:highlight w:val="none"/>
        </w:rPr>
        <w:t>〔2</w:t>
      </w:r>
      <w:r>
        <w:rPr>
          <w:rFonts w:hint="eastAsia" w:ascii="仿宋" w:hAnsi="仿宋" w:eastAsia="仿宋" w:cs="仿宋"/>
          <w:spacing w:val="8"/>
          <w:sz w:val="23"/>
          <w:szCs w:val="23"/>
          <w:highlight w:val="none"/>
        </w:rPr>
        <w:t>0</w:t>
      </w:r>
      <w:r>
        <w:rPr>
          <w:rFonts w:hint="eastAsia" w:ascii="仿宋" w:hAnsi="仿宋" w:eastAsia="仿宋" w:cs="仿宋"/>
          <w:spacing w:val="5"/>
          <w:sz w:val="23"/>
          <w:szCs w:val="23"/>
          <w:highlight w:val="none"/>
        </w:rPr>
        <w:t>20〕46号)的规定，本公司(联合体)参加</w:t>
      </w:r>
      <w:r>
        <w:rPr>
          <w:rFonts w:hint="eastAsia" w:ascii="仿宋" w:hAnsi="仿宋" w:eastAsia="仿宋" w:cs="仿宋"/>
          <w:spacing w:val="5"/>
          <w:sz w:val="23"/>
          <w:szCs w:val="23"/>
          <w:highlight w:val="none"/>
          <w:u w:val="single" w:color="auto"/>
        </w:rPr>
        <w:t>(采购人)</w:t>
      </w:r>
      <w:r>
        <w:rPr>
          <w:rFonts w:hint="eastAsia" w:ascii="仿宋" w:hAnsi="仿宋" w:eastAsia="仿宋" w:cs="仿宋"/>
          <w:spacing w:val="5"/>
          <w:sz w:val="23"/>
          <w:szCs w:val="23"/>
          <w:highlight w:val="none"/>
        </w:rPr>
        <w:t>的</w:t>
      </w:r>
      <w:r>
        <w:rPr>
          <w:rFonts w:hint="eastAsia" w:ascii="仿宋" w:hAnsi="仿宋" w:eastAsia="仿宋" w:cs="仿宋"/>
          <w:spacing w:val="5"/>
          <w:sz w:val="23"/>
          <w:szCs w:val="23"/>
          <w:highlight w:val="none"/>
          <w:u w:val="single" w:color="auto"/>
        </w:rPr>
        <w:t>(项目名称)</w:t>
      </w:r>
      <w:r>
        <w:rPr>
          <w:rFonts w:hint="eastAsia" w:ascii="仿宋" w:hAnsi="仿宋" w:eastAsia="仿宋" w:cs="仿宋"/>
          <w:spacing w:val="5"/>
          <w:sz w:val="23"/>
          <w:szCs w:val="23"/>
          <w:highlight w:val="none"/>
        </w:rPr>
        <w:t>第包</w:t>
      </w:r>
    </w:p>
    <w:p>
      <w:pPr>
        <w:keepNext w:val="0"/>
        <w:keepLines w:val="0"/>
        <w:pageBreakBefore w:val="0"/>
        <w:kinsoku/>
        <w:overflowPunct/>
        <w:bidi w:val="0"/>
        <w:snapToGrid/>
        <w:spacing w:line="353" w:lineRule="auto"/>
        <w:ind w:left="0" w:leftChars="0" w:right="0"/>
        <w:outlineLvl w:val="9"/>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采购活动，提供的货物全部由符合政策要求的中小企业制造。相关企业(含联合体中小</w:t>
      </w:r>
      <w:r>
        <w:rPr>
          <w:rFonts w:hint="eastAsia" w:ascii="仿宋" w:hAnsi="仿宋" w:eastAsia="仿宋" w:cs="仿宋"/>
          <w:spacing w:val="5"/>
          <w:sz w:val="23"/>
          <w:szCs w:val="23"/>
          <w:highlight w:val="none"/>
        </w:rPr>
        <w:t>企</w:t>
      </w:r>
      <w:r>
        <w:rPr>
          <w:rFonts w:hint="eastAsia" w:ascii="仿宋" w:hAnsi="仿宋" w:eastAsia="仿宋" w:cs="仿宋"/>
          <w:spacing w:val="9"/>
          <w:sz w:val="23"/>
          <w:szCs w:val="23"/>
          <w:highlight w:val="none"/>
        </w:rPr>
        <w:t>业、签订分包意向协议的中小企业)的具体情况如下</w:t>
      </w:r>
      <w:r>
        <w:rPr>
          <w:rFonts w:hint="eastAsia" w:ascii="仿宋" w:hAnsi="仿宋" w:eastAsia="仿宋" w:cs="仿宋"/>
          <w:spacing w:val="5"/>
          <w:sz w:val="23"/>
          <w:szCs w:val="23"/>
          <w:highlight w:val="none"/>
        </w:rPr>
        <w:t>：</w:t>
      </w:r>
    </w:p>
    <w:p>
      <w:pPr>
        <w:keepNext w:val="0"/>
        <w:keepLines w:val="0"/>
        <w:pageBreakBefore w:val="0"/>
        <w:kinsoku/>
        <w:overflowPunct/>
        <w:bidi w:val="0"/>
        <w:snapToGrid/>
        <w:spacing w:line="353" w:lineRule="auto"/>
        <w:ind w:left="0" w:leftChars="0" w:right="0" w:firstLine="498"/>
        <w:outlineLvl w:val="9"/>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1.</w:t>
      </w:r>
      <w:r>
        <w:rPr>
          <w:rFonts w:hint="eastAsia" w:ascii="仿宋" w:hAnsi="仿宋" w:eastAsia="仿宋" w:cs="仿宋"/>
          <w:spacing w:val="10"/>
          <w:sz w:val="23"/>
          <w:szCs w:val="23"/>
          <w:highlight w:val="none"/>
          <w:u w:val="single" w:color="auto"/>
        </w:rPr>
        <w:t>(标的</w:t>
      </w:r>
      <w:r>
        <w:rPr>
          <w:rFonts w:hint="eastAsia" w:ascii="仿宋" w:hAnsi="仿宋" w:eastAsia="仿宋" w:cs="仿宋"/>
          <w:spacing w:val="8"/>
          <w:sz w:val="23"/>
          <w:szCs w:val="23"/>
          <w:highlight w:val="none"/>
          <w:u w:val="single" w:color="auto"/>
        </w:rPr>
        <w:t>名</w:t>
      </w:r>
      <w:r>
        <w:rPr>
          <w:rFonts w:hint="eastAsia" w:ascii="仿宋" w:hAnsi="仿宋" w:eastAsia="仿宋" w:cs="仿宋"/>
          <w:spacing w:val="5"/>
          <w:sz w:val="23"/>
          <w:szCs w:val="23"/>
          <w:highlight w:val="none"/>
          <w:u w:val="single" w:color="auto"/>
        </w:rPr>
        <w:t>称)</w:t>
      </w:r>
      <w:r>
        <w:rPr>
          <w:rFonts w:hint="eastAsia" w:ascii="仿宋" w:hAnsi="仿宋" w:eastAsia="仿宋" w:cs="仿宋"/>
          <w:spacing w:val="5"/>
          <w:sz w:val="23"/>
          <w:szCs w:val="23"/>
          <w:highlight w:val="none"/>
        </w:rPr>
        <w:t>，属于</w:t>
      </w:r>
      <w:r>
        <w:rPr>
          <w:rFonts w:hint="eastAsia" w:ascii="仿宋" w:hAnsi="仿宋" w:eastAsia="仿宋" w:cs="仿宋"/>
          <w:spacing w:val="5"/>
          <w:sz w:val="23"/>
          <w:szCs w:val="23"/>
          <w:highlight w:val="none"/>
          <w:u w:val="single" w:color="auto"/>
        </w:rPr>
        <w:t>(采购文件中明确的所属行业)</w:t>
      </w:r>
      <w:r>
        <w:rPr>
          <w:rFonts w:hint="eastAsia" w:ascii="仿宋" w:hAnsi="仿宋" w:eastAsia="仿宋" w:cs="仿宋"/>
          <w:spacing w:val="5"/>
          <w:sz w:val="23"/>
          <w:szCs w:val="23"/>
          <w:highlight w:val="none"/>
        </w:rPr>
        <w:t>；制造商为</w:t>
      </w:r>
      <w:r>
        <w:rPr>
          <w:rFonts w:hint="eastAsia" w:ascii="仿宋" w:hAnsi="仿宋" w:eastAsia="仿宋" w:cs="仿宋"/>
          <w:spacing w:val="5"/>
          <w:sz w:val="23"/>
          <w:szCs w:val="23"/>
          <w:highlight w:val="none"/>
          <w:u w:val="single" w:color="auto"/>
        </w:rPr>
        <w:t>(企业名</w:t>
      </w:r>
      <w:r>
        <w:rPr>
          <w:rFonts w:hint="eastAsia" w:ascii="仿宋" w:hAnsi="仿宋" w:eastAsia="仿宋" w:cs="仿宋"/>
          <w:spacing w:val="2"/>
          <w:sz w:val="23"/>
          <w:szCs w:val="23"/>
          <w:highlight w:val="none"/>
          <w:u w:val="single" w:color="auto"/>
        </w:rPr>
        <w:t>称)</w:t>
      </w:r>
      <w:r>
        <w:rPr>
          <w:rFonts w:hint="eastAsia" w:ascii="仿宋" w:hAnsi="仿宋" w:eastAsia="仿宋" w:cs="仿宋"/>
          <w:spacing w:val="2"/>
          <w:sz w:val="23"/>
          <w:szCs w:val="23"/>
          <w:highlight w:val="none"/>
        </w:rPr>
        <w:t>,从业人员人，营业收入为万元，资产总额为万元</w:t>
      </w:r>
      <w:r>
        <w:rPr>
          <w:rFonts w:hint="eastAsia" w:ascii="仿宋" w:hAnsi="仿宋" w:eastAsia="仿宋" w:cs="仿宋"/>
          <w:spacing w:val="1"/>
          <w:position w:val="11"/>
          <w:sz w:val="11"/>
          <w:szCs w:val="11"/>
          <w:highlight w:val="none"/>
        </w:rPr>
        <w:t>1</w:t>
      </w:r>
      <w:r>
        <w:rPr>
          <w:rFonts w:hint="eastAsia" w:ascii="仿宋" w:hAnsi="仿宋" w:eastAsia="仿宋" w:cs="仿宋"/>
          <w:spacing w:val="1"/>
          <w:sz w:val="23"/>
          <w:szCs w:val="23"/>
          <w:highlight w:val="none"/>
        </w:rPr>
        <w:t>，属于</w:t>
      </w:r>
      <w:r>
        <w:rPr>
          <w:rFonts w:hint="eastAsia" w:ascii="仿宋" w:hAnsi="仿宋" w:eastAsia="仿宋" w:cs="仿宋"/>
          <w:spacing w:val="1"/>
          <w:sz w:val="23"/>
          <w:szCs w:val="23"/>
          <w:highlight w:val="none"/>
          <w:u w:val="single" w:color="auto"/>
        </w:rPr>
        <w:t>(中型企业、</w:t>
      </w:r>
      <w:r>
        <w:rPr>
          <w:rFonts w:hint="eastAsia" w:ascii="仿宋" w:hAnsi="仿宋" w:eastAsia="仿宋" w:cs="仿宋"/>
          <w:spacing w:val="14"/>
          <w:sz w:val="23"/>
          <w:szCs w:val="23"/>
          <w:highlight w:val="none"/>
          <w:u w:val="single" w:color="auto"/>
        </w:rPr>
        <w:t>小</w:t>
      </w:r>
      <w:r>
        <w:rPr>
          <w:rFonts w:hint="eastAsia" w:ascii="仿宋" w:hAnsi="仿宋" w:eastAsia="仿宋" w:cs="仿宋"/>
          <w:spacing w:val="8"/>
          <w:sz w:val="23"/>
          <w:szCs w:val="23"/>
          <w:highlight w:val="none"/>
          <w:u w:val="single" w:color="auto"/>
        </w:rPr>
        <w:t>型</w:t>
      </w:r>
      <w:r>
        <w:rPr>
          <w:rFonts w:hint="eastAsia" w:ascii="仿宋" w:hAnsi="仿宋" w:eastAsia="仿宋" w:cs="仿宋"/>
          <w:spacing w:val="7"/>
          <w:sz w:val="23"/>
          <w:szCs w:val="23"/>
          <w:highlight w:val="none"/>
          <w:u w:val="single" w:color="auto"/>
        </w:rPr>
        <w:t>企业、微型企业)</w:t>
      </w:r>
      <w:r>
        <w:rPr>
          <w:rFonts w:hint="eastAsia" w:ascii="仿宋" w:hAnsi="仿宋" w:eastAsia="仿宋" w:cs="仿宋"/>
          <w:spacing w:val="7"/>
          <w:sz w:val="23"/>
          <w:szCs w:val="23"/>
          <w:highlight w:val="none"/>
        </w:rPr>
        <w:t>；</w:t>
      </w:r>
    </w:p>
    <w:p>
      <w:pPr>
        <w:keepNext w:val="0"/>
        <w:keepLines w:val="0"/>
        <w:pageBreakBefore w:val="0"/>
        <w:kinsoku/>
        <w:overflowPunct/>
        <w:bidi w:val="0"/>
        <w:snapToGrid/>
        <w:spacing w:line="353" w:lineRule="auto"/>
        <w:ind w:left="0" w:leftChars="0" w:right="0" w:firstLine="483"/>
        <w:outlineLvl w:val="9"/>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2</w:t>
      </w:r>
      <w:r>
        <w:rPr>
          <w:rFonts w:hint="eastAsia" w:ascii="仿宋" w:hAnsi="仿宋" w:eastAsia="仿宋" w:cs="仿宋"/>
          <w:spacing w:val="6"/>
          <w:sz w:val="23"/>
          <w:szCs w:val="23"/>
          <w:highlight w:val="none"/>
        </w:rPr>
        <w:t>.</w:t>
      </w:r>
      <w:r>
        <w:rPr>
          <w:rFonts w:hint="eastAsia" w:ascii="仿宋" w:hAnsi="仿宋" w:eastAsia="仿宋" w:cs="仿宋"/>
          <w:spacing w:val="6"/>
          <w:sz w:val="23"/>
          <w:szCs w:val="23"/>
          <w:highlight w:val="none"/>
          <w:u w:val="single" w:color="auto"/>
        </w:rPr>
        <w:t>(标的名称)</w:t>
      </w:r>
      <w:r>
        <w:rPr>
          <w:rFonts w:hint="eastAsia" w:ascii="仿宋" w:hAnsi="仿宋" w:eastAsia="仿宋" w:cs="仿宋"/>
          <w:spacing w:val="6"/>
          <w:sz w:val="23"/>
          <w:szCs w:val="23"/>
          <w:highlight w:val="none"/>
        </w:rPr>
        <w:t>，属于</w:t>
      </w:r>
      <w:r>
        <w:rPr>
          <w:rFonts w:hint="eastAsia" w:ascii="仿宋" w:hAnsi="仿宋" w:eastAsia="仿宋" w:cs="仿宋"/>
          <w:spacing w:val="6"/>
          <w:sz w:val="23"/>
          <w:szCs w:val="23"/>
          <w:highlight w:val="none"/>
          <w:u w:val="single" w:color="auto"/>
        </w:rPr>
        <w:t>(采购文件中明确的所属行业)</w:t>
      </w:r>
      <w:r>
        <w:rPr>
          <w:rFonts w:hint="eastAsia" w:ascii="仿宋" w:hAnsi="仿宋" w:eastAsia="仿宋" w:cs="仿宋"/>
          <w:spacing w:val="6"/>
          <w:sz w:val="23"/>
          <w:szCs w:val="23"/>
          <w:highlight w:val="none"/>
        </w:rPr>
        <w:t>；制造商为</w:t>
      </w:r>
      <w:r>
        <w:rPr>
          <w:rFonts w:hint="eastAsia" w:ascii="仿宋" w:hAnsi="仿宋" w:eastAsia="仿宋" w:cs="仿宋"/>
          <w:spacing w:val="6"/>
          <w:sz w:val="23"/>
          <w:szCs w:val="23"/>
          <w:highlight w:val="none"/>
          <w:u w:val="single" w:color="auto"/>
        </w:rPr>
        <w:t>(企业名</w:t>
      </w:r>
      <w:r>
        <w:rPr>
          <w:rFonts w:hint="eastAsia" w:ascii="仿宋" w:hAnsi="仿宋" w:eastAsia="仿宋" w:cs="仿宋"/>
          <w:spacing w:val="9"/>
          <w:sz w:val="23"/>
          <w:szCs w:val="23"/>
          <w:highlight w:val="none"/>
          <w:u w:val="single" w:color="auto"/>
        </w:rPr>
        <w:t>称)</w:t>
      </w:r>
      <w:r>
        <w:rPr>
          <w:rFonts w:hint="eastAsia" w:ascii="仿宋" w:hAnsi="仿宋" w:eastAsia="仿宋" w:cs="仿宋"/>
          <w:spacing w:val="9"/>
          <w:sz w:val="23"/>
          <w:szCs w:val="23"/>
          <w:highlight w:val="none"/>
        </w:rPr>
        <w:t>,从业人员人，营业收入为万元，资产总额为万元，属于</w:t>
      </w:r>
      <w:r>
        <w:rPr>
          <w:rFonts w:hint="eastAsia" w:ascii="仿宋" w:hAnsi="仿宋" w:eastAsia="仿宋" w:cs="仿宋"/>
          <w:spacing w:val="9"/>
          <w:sz w:val="23"/>
          <w:szCs w:val="23"/>
          <w:highlight w:val="none"/>
          <w:u w:val="single" w:color="auto"/>
        </w:rPr>
        <w:t>(中型企业</w:t>
      </w:r>
      <w:r>
        <w:rPr>
          <w:rFonts w:hint="eastAsia" w:ascii="仿宋" w:hAnsi="仿宋" w:eastAsia="仿宋" w:cs="仿宋"/>
          <w:spacing w:val="8"/>
          <w:sz w:val="23"/>
          <w:szCs w:val="23"/>
          <w:highlight w:val="none"/>
          <w:u w:val="single" w:color="auto"/>
        </w:rPr>
        <w:t>、</w:t>
      </w:r>
      <w:r>
        <w:rPr>
          <w:rFonts w:hint="eastAsia" w:ascii="仿宋" w:hAnsi="仿宋" w:eastAsia="仿宋" w:cs="仿宋"/>
          <w:spacing w:val="14"/>
          <w:sz w:val="23"/>
          <w:szCs w:val="23"/>
          <w:highlight w:val="none"/>
          <w:u w:val="single" w:color="auto"/>
        </w:rPr>
        <w:t>小</w:t>
      </w:r>
      <w:r>
        <w:rPr>
          <w:rFonts w:hint="eastAsia" w:ascii="仿宋" w:hAnsi="仿宋" w:eastAsia="仿宋" w:cs="仿宋"/>
          <w:spacing w:val="8"/>
          <w:sz w:val="23"/>
          <w:szCs w:val="23"/>
          <w:highlight w:val="none"/>
          <w:u w:val="single" w:color="auto"/>
        </w:rPr>
        <w:t>型</w:t>
      </w:r>
      <w:r>
        <w:rPr>
          <w:rFonts w:hint="eastAsia" w:ascii="仿宋" w:hAnsi="仿宋" w:eastAsia="仿宋" w:cs="仿宋"/>
          <w:spacing w:val="7"/>
          <w:sz w:val="23"/>
          <w:szCs w:val="23"/>
          <w:highlight w:val="none"/>
          <w:u w:val="single" w:color="auto"/>
        </w:rPr>
        <w:t>企业、微型企业)</w:t>
      </w:r>
      <w:r>
        <w:rPr>
          <w:rFonts w:hint="eastAsia" w:ascii="仿宋" w:hAnsi="仿宋" w:eastAsia="仿宋" w:cs="仿宋"/>
          <w:spacing w:val="7"/>
          <w:sz w:val="23"/>
          <w:szCs w:val="23"/>
          <w:highlight w:val="none"/>
        </w:rPr>
        <w:t>；</w:t>
      </w:r>
    </w:p>
    <w:p>
      <w:pPr>
        <w:keepNext w:val="0"/>
        <w:keepLines w:val="0"/>
        <w:pageBreakBefore w:val="0"/>
        <w:kinsoku/>
        <w:overflowPunct/>
        <w:bidi w:val="0"/>
        <w:snapToGrid/>
        <w:spacing w:line="371" w:lineRule="exact"/>
        <w:ind w:left="0" w:leftChars="0" w:right="0"/>
        <w:outlineLvl w:val="9"/>
        <w:rPr>
          <w:rFonts w:hint="eastAsia" w:ascii="仿宋" w:hAnsi="仿宋" w:eastAsia="仿宋" w:cs="仿宋"/>
          <w:sz w:val="23"/>
          <w:szCs w:val="23"/>
          <w:highlight w:val="none"/>
        </w:rPr>
      </w:pPr>
      <w:r>
        <w:rPr>
          <w:rFonts w:hint="eastAsia" w:ascii="仿宋" w:hAnsi="仿宋" w:eastAsia="仿宋" w:cs="仿宋"/>
          <w:spacing w:val="5"/>
          <w:position w:val="3"/>
          <w:sz w:val="23"/>
          <w:szCs w:val="23"/>
          <w:highlight w:val="none"/>
        </w:rPr>
        <w:t>……</w:t>
      </w:r>
    </w:p>
    <w:p>
      <w:pPr>
        <w:keepNext w:val="0"/>
        <w:keepLines w:val="0"/>
        <w:pageBreakBefore w:val="0"/>
        <w:kinsoku/>
        <w:overflowPunct/>
        <w:bidi w:val="0"/>
        <w:snapToGrid/>
        <w:spacing w:line="361" w:lineRule="auto"/>
        <w:ind w:left="0" w:leftChars="0" w:right="0" w:firstLine="504"/>
        <w:outlineLvl w:val="9"/>
        <w:rPr>
          <w:rFonts w:hint="eastAsia" w:ascii="仿宋" w:hAnsi="仿宋" w:eastAsia="仿宋" w:cs="仿宋"/>
          <w:sz w:val="23"/>
          <w:szCs w:val="23"/>
          <w:highlight w:val="none"/>
        </w:rPr>
      </w:pPr>
      <w:r>
        <w:rPr>
          <w:rFonts w:hint="eastAsia" w:ascii="仿宋" w:hAnsi="仿宋" w:eastAsia="仿宋" w:cs="仿宋"/>
          <w:spacing w:val="20"/>
          <w:sz w:val="23"/>
          <w:szCs w:val="23"/>
          <w:highlight w:val="none"/>
        </w:rPr>
        <w:t>以</w:t>
      </w:r>
      <w:r>
        <w:rPr>
          <w:rFonts w:hint="eastAsia" w:ascii="仿宋" w:hAnsi="仿宋" w:eastAsia="仿宋" w:cs="仿宋"/>
          <w:spacing w:val="16"/>
          <w:sz w:val="23"/>
          <w:szCs w:val="23"/>
          <w:highlight w:val="none"/>
        </w:rPr>
        <w:t>上</w:t>
      </w:r>
      <w:r>
        <w:rPr>
          <w:rFonts w:hint="eastAsia" w:ascii="仿宋" w:hAnsi="仿宋" w:eastAsia="仿宋" w:cs="仿宋"/>
          <w:spacing w:val="10"/>
          <w:sz w:val="23"/>
          <w:szCs w:val="23"/>
          <w:highlight w:val="none"/>
        </w:rPr>
        <w:t>企业，不属于大企业的分支机构，不存在控股股东为大企业的情形，也不存在与</w:t>
      </w:r>
      <w:r>
        <w:rPr>
          <w:rFonts w:hint="eastAsia" w:ascii="仿宋" w:hAnsi="仿宋" w:eastAsia="仿宋" w:cs="仿宋"/>
          <w:spacing w:val="15"/>
          <w:sz w:val="23"/>
          <w:szCs w:val="23"/>
          <w:highlight w:val="none"/>
        </w:rPr>
        <w:t>大</w:t>
      </w:r>
      <w:r>
        <w:rPr>
          <w:rFonts w:hint="eastAsia" w:ascii="仿宋" w:hAnsi="仿宋" w:eastAsia="仿宋" w:cs="仿宋"/>
          <w:spacing w:val="8"/>
          <w:sz w:val="23"/>
          <w:szCs w:val="23"/>
          <w:highlight w:val="none"/>
        </w:rPr>
        <w:t>企业的负责人为同一人的情形。</w:t>
      </w:r>
    </w:p>
    <w:p>
      <w:pPr>
        <w:keepNext w:val="0"/>
        <w:keepLines w:val="0"/>
        <w:pageBreakBefore w:val="0"/>
        <w:kinsoku/>
        <w:overflowPunct/>
        <w:bidi w:val="0"/>
        <w:snapToGrid/>
        <w:spacing w:line="225" w:lineRule="auto"/>
        <w:ind w:left="0" w:leftChars="0" w:right="0"/>
        <w:outlineLvl w:val="9"/>
        <w:rPr>
          <w:rFonts w:hint="eastAsia" w:ascii="仿宋" w:hAnsi="仿宋" w:eastAsia="仿宋" w:cs="仿宋"/>
          <w:sz w:val="23"/>
          <w:szCs w:val="23"/>
          <w:highlight w:val="none"/>
        </w:rPr>
      </w:pPr>
      <w:r>
        <w:rPr>
          <w:rFonts w:hint="eastAsia" w:ascii="仿宋" w:hAnsi="仿宋" w:eastAsia="仿宋" w:cs="仿宋"/>
          <w:spacing w:val="18"/>
          <w:sz w:val="23"/>
          <w:szCs w:val="23"/>
          <w:highlight w:val="none"/>
        </w:rPr>
        <w:t>本</w:t>
      </w:r>
      <w:r>
        <w:rPr>
          <w:rFonts w:hint="eastAsia" w:ascii="仿宋" w:hAnsi="仿宋" w:eastAsia="仿宋" w:cs="仿宋"/>
          <w:spacing w:val="11"/>
          <w:sz w:val="23"/>
          <w:szCs w:val="23"/>
          <w:highlight w:val="none"/>
        </w:rPr>
        <w:t>企</w:t>
      </w:r>
      <w:r>
        <w:rPr>
          <w:rFonts w:hint="eastAsia" w:ascii="仿宋" w:hAnsi="仿宋" w:eastAsia="仿宋" w:cs="仿宋"/>
          <w:spacing w:val="9"/>
          <w:sz w:val="23"/>
          <w:szCs w:val="23"/>
          <w:highlight w:val="none"/>
        </w:rPr>
        <w:t>业对上述声明内容的真实性负责。如有虚报，将依法承担相应责任。</w:t>
      </w:r>
    </w:p>
    <w:p>
      <w:pPr>
        <w:keepNext w:val="0"/>
        <w:keepLines w:val="0"/>
        <w:pageBreakBefore w:val="0"/>
        <w:kinsoku/>
        <w:overflowPunct/>
        <w:bidi w:val="0"/>
        <w:snapToGrid/>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362" w:lineRule="auto"/>
        <w:ind w:left="0" w:leftChars="0" w:right="0" w:firstLine="476"/>
        <w:outlineLvl w:val="9"/>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注：</w:t>
      </w:r>
      <w:r>
        <w:rPr>
          <w:rFonts w:hint="eastAsia" w:ascii="仿宋" w:hAnsi="仿宋" w:eastAsia="仿宋" w:cs="仿宋"/>
          <w:spacing w:val="14"/>
          <w:position w:val="11"/>
          <w:sz w:val="11"/>
          <w:szCs w:val="11"/>
          <w:highlight w:val="none"/>
        </w:rPr>
        <w:t>1</w:t>
      </w:r>
      <w:r>
        <w:rPr>
          <w:rFonts w:hint="eastAsia" w:ascii="仿宋" w:hAnsi="仿宋" w:eastAsia="仿宋" w:cs="仿宋"/>
          <w:spacing w:val="14"/>
          <w:sz w:val="23"/>
          <w:szCs w:val="23"/>
          <w:highlight w:val="none"/>
        </w:rPr>
        <w:t>从业人员、营业收入、资产总额填报上一年度数据，无上一年度数据的新成</w:t>
      </w:r>
      <w:r>
        <w:rPr>
          <w:rFonts w:hint="eastAsia" w:ascii="仿宋" w:hAnsi="仿宋" w:eastAsia="仿宋" w:cs="仿宋"/>
          <w:spacing w:val="12"/>
          <w:sz w:val="23"/>
          <w:szCs w:val="23"/>
          <w:highlight w:val="none"/>
        </w:rPr>
        <w:t>立</w:t>
      </w:r>
      <w:r>
        <w:rPr>
          <w:rFonts w:hint="eastAsia" w:ascii="仿宋" w:hAnsi="仿宋" w:eastAsia="仿宋" w:cs="仿宋"/>
          <w:spacing w:val="10"/>
          <w:sz w:val="23"/>
          <w:szCs w:val="23"/>
          <w:highlight w:val="none"/>
        </w:rPr>
        <w:t>企</w:t>
      </w:r>
      <w:r>
        <w:rPr>
          <w:rFonts w:hint="eastAsia" w:ascii="仿宋" w:hAnsi="仿宋" w:eastAsia="仿宋" w:cs="仿宋"/>
          <w:spacing w:val="6"/>
          <w:sz w:val="23"/>
          <w:szCs w:val="23"/>
          <w:highlight w:val="none"/>
        </w:rPr>
        <w:t>业可不填报。</w:t>
      </w:r>
    </w:p>
    <w:p>
      <w:pPr>
        <w:keepNext w:val="0"/>
        <w:keepLines w:val="0"/>
        <w:pageBreakBefore w:val="0"/>
        <w:kinsoku/>
        <w:overflowPunct/>
        <w:bidi w:val="0"/>
        <w:snapToGrid/>
        <w:spacing w:line="268"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269"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269"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269"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227" w:lineRule="auto"/>
        <w:ind w:left="0" w:leftChars="0" w:right="0"/>
        <w:jc w:val="right"/>
        <w:outlineLvl w:val="9"/>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企业名称：(盖章)</w:t>
      </w:r>
    </w:p>
    <w:p>
      <w:pPr>
        <w:keepNext w:val="0"/>
        <w:keepLines w:val="0"/>
        <w:pageBreakBefore w:val="0"/>
        <w:overflowPunct/>
        <w:bidi w:val="0"/>
        <w:outlineLvl w:val="9"/>
        <w:rPr>
          <w:rFonts w:hint="eastAsia" w:ascii="仿宋" w:hAnsi="仿宋" w:eastAsia="仿宋" w:cs="仿宋"/>
          <w:highlight w:val="none"/>
        </w:rPr>
      </w:pPr>
    </w:p>
    <w:p>
      <w:pPr>
        <w:keepNext w:val="0"/>
        <w:keepLines w:val="0"/>
        <w:pageBreakBefore w:val="0"/>
        <w:widowControl/>
        <w:kinsoku/>
        <w:wordWrap/>
        <w:overflowPunct/>
        <w:topLinePunct w:val="0"/>
        <w:autoSpaceDE w:val="0"/>
        <w:autoSpaceDN w:val="0"/>
        <w:bidi w:val="0"/>
        <w:adjustRightInd w:val="0"/>
        <w:snapToGrid/>
        <w:spacing w:line="228" w:lineRule="auto"/>
        <w:ind w:left="0" w:leftChars="0" w:right="0" w:firstLine="7372" w:firstLineChars="3800"/>
        <w:textAlignment w:val="baseline"/>
        <w:outlineLvl w:val="9"/>
        <w:rPr>
          <w:rFonts w:hint="eastAsia" w:ascii="仿宋" w:hAnsi="仿宋" w:eastAsia="仿宋" w:cs="仿宋"/>
          <w:sz w:val="23"/>
          <w:szCs w:val="23"/>
          <w:highlight w:val="none"/>
          <w:lang w:eastAsia="zh-CN"/>
        </w:rPr>
      </w:pPr>
      <w:r>
        <w:rPr>
          <w:rFonts w:hint="eastAsia" w:ascii="仿宋" w:hAnsi="仿宋" w:eastAsia="仿宋" w:cs="仿宋"/>
          <w:spacing w:val="-18"/>
          <w:sz w:val="23"/>
          <w:szCs w:val="23"/>
          <w:highlight w:val="none"/>
        </w:rPr>
        <w:t>日</w:t>
      </w:r>
      <w:r>
        <w:rPr>
          <w:rFonts w:hint="eastAsia" w:ascii="仿宋" w:hAnsi="仿宋" w:eastAsia="仿宋" w:cs="仿宋"/>
          <w:spacing w:val="-15"/>
          <w:sz w:val="23"/>
          <w:szCs w:val="23"/>
          <w:highlight w:val="none"/>
        </w:rPr>
        <w:t>期：</w:t>
      </w:r>
    </w:p>
    <w:p>
      <w:pPr>
        <w:keepNext w:val="0"/>
        <w:keepLines w:val="0"/>
        <w:pageBreakBefore w:val="0"/>
        <w:overflowPunct/>
        <w:bidi w:val="0"/>
        <w:outlineLvl w:val="9"/>
        <w:rPr>
          <w:rFonts w:hint="eastAsia" w:ascii="仿宋" w:hAnsi="仿宋" w:eastAsia="仿宋" w:cs="仿宋"/>
          <w:highlight w:val="none"/>
          <w:lang w:val="en-US" w:eastAsia="zh-CN"/>
        </w:rPr>
      </w:pP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p>
    <w:p>
      <w:pPr>
        <w:keepNext w:val="0"/>
        <w:keepLines w:val="0"/>
        <w:pageBreakBefore w:val="0"/>
        <w:kinsoku/>
        <w:overflowPunct/>
        <w:autoSpaceDE/>
        <w:autoSpaceDN/>
        <w:bidi w:val="0"/>
        <w:snapToGrid/>
        <w:spacing w:line="360" w:lineRule="auto"/>
        <w:ind w:left="0" w:leftChars="0" w:right="0"/>
        <w:outlineLvl w:val="9"/>
        <w:rPr>
          <w:rFonts w:hint="eastAsia" w:ascii="仿宋" w:hAnsi="仿宋" w:eastAsia="仿宋" w:cs="仿宋"/>
          <w:b/>
          <w:color w:val="auto"/>
          <w:sz w:val="32"/>
          <w:szCs w:val="32"/>
          <w:highlight w:val="none"/>
        </w:rPr>
        <w:sectPr>
          <w:pgSz w:w="11906" w:h="16838"/>
          <w:pgMar w:top="1417" w:right="1417" w:bottom="1417" w:left="1417" w:header="851" w:footer="850" w:gutter="0"/>
          <w:pgNumType w:fmt="decimal"/>
          <w:cols w:space="720" w:num="1"/>
          <w:titlePg/>
          <w:docGrid w:linePitch="312" w:charSpace="0"/>
        </w:sectPr>
      </w:pPr>
    </w:p>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四、货物清单</w:t>
      </w:r>
    </w:p>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4.1货物清单</w:t>
      </w:r>
    </w:p>
    <w:p>
      <w:pPr>
        <w:keepNext w:val="0"/>
        <w:keepLines w:val="0"/>
        <w:pageBreakBefore w:val="0"/>
        <w:kinsoku/>
        <w:overflowPunct/>
        <w:autoSpaceDE/>
        <w:autoSpaceDN/>
        <w:bidi w:val="0"/>
        <w:snapToGrid/>
        <w:ind w:left="0" w:leftChars="0" w:right="0" w:firstLine="440" w:firstLineChars="20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项目编号：</w:t>
      </w:r>
    </w:p>
    <w:p>
      <w:pPr>
        <w:keepNext w:val="0"/>
        <w:keepLines w:val="0"/>
        <w:pageBreakBefore w:val="0"/>
        <w:kinsoku/>
        <w:overflowPunct/>
        <w:autoSpaceDE/>
        <w:autoSpaceDN/>
        <w:bidi w:val="0"/>
        <w:snapToGrid/>
        <w:ind w:left="0" w:leftChars="0" w:right="0" w:firstLine="440" w:firstLineChars="200"/>
        <w:outlineLvl w:val="9"/>
        <w:rPr>
          <w:rFonts w:hint="eastAsia" w:ascii="仿宋" w:hAnsi="仿宋" w:eastAsia="仿宋" w:cs="仿宋"/>
          <w:bCs/>
          <w:color w:val="auto"/>
          <w:kern w:val="0"/>
          <w:sz w:val="22"/>
          <w:highlight w:val="none"/>
          <w:u w:val="single"/>
        </w:rPr>
      </w:pPr>
      <w:r>
        <w:rPr>
          <w:rFonts w:hint="eastAsia" w:ascii="仿宋" w:hAnsi="仿宋" w:eastAsia="仿宋" w:cs="仿宋"/>
          <w:color w:val="auto"/>
          <w:sz w:val="22"/>
          <w:highlight w:val="none"/>
          <w:lang w:eastAsia="zh-CN"/>
        </w:rPr>
        <w:t>供应商</w:t>
      </w:r>
      <w:r>
        <w:rPr>
          <w:rFonts w:hint="eastAsia" w:ascii="仿宋" w:hAnsi="仿宋" w:eastAsia="仿宋" w:cs="仿宋"/>
          <w:color w:val="auto"/>
          <w:sz w:val="22"/>
          <w:highlight w:val="none"/>
        </w:rPr>
        <w:t>：</w:t>
      </w:r>
    </w:p>
    <w:tbl>
      <w:tblPr>
        <w:tblStyle w:val="47"/>
        <w:tblW w:w="1298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41"/>
        <w:gridCol w:w="1990"/>
        <w:gridCol w:w="1417"/>
        <w:gridCol w:w="1560"/>
        <w:gridCol w:w="1275"/>
        <w:gridCol w:w="1134"/>
        <w:gridCol w:w="3969"/>
        <w:gridCol w:w="9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13" w:hRule="atLeast"/>
          <w:jc w:val="center"/>
        </w:trPr>
        <w:tc>
          <w:tcPr>
            <w:tcW w:w="641"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序号</w:t>
            </w:r>
          </w:p>
        </w:tc>
        <w:tc>
          <w:tcPr>
            <w:tcW w:w="1990"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货物名称</w:t>
            </w:r>
          </w:p>
        </w:tc>
        <w:tc>
          <w:tcPr>
            <w:tcW w:w="1417"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型 号</w:t>
            </w:r>
          </w:p>
        </w:tc>
        <w:tc>
          <w:tcPr>
            <w:tcW w:w="1560" w:type="dxa"/>
            <w:tcMar>
              <w:top w:w="28" w:type="dxa"/>
              <w:left w:w="57" w:type="dxa"/>
              <w:bottom w:w="28" w:type="dxa"/>
              <w:right w:w="57" w:type="dxa"/>
            </w:tcMar>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注册商标</w:t>
            </w:r>
          </w:p>
        </w:tc>
        <w:tc>
          <w:tcPr>
            <w:tcW w:w="1275"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制造商</w:t>
            </w:r>
          </w:p>
        </w:tc>
        <w:tc>
          <w:tcPr>
            <w:tcW w:w="1134" w:type="dxa"/>
            <w:tcMar>
              <w:top w:w="28" w:type="dxa"/>
              <w:left w:w="57" w:type="dxa"/>
              <w:bottom w:w="28" w:type="dxa"/>
              <w:right w:w="57" w:type="dxa"/>
            </w:tcMar>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产 地</w:t>
            </w:r>
          </w:p>
        </w:tc>
        <w:tc>
          <w:tcPr>
            <w:tcW w:w="3969"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规格参数</w:t>
            </w:r>
          </w:p>
        </w:tc>
        <w:tc>
          <w:tcPr>
            <w:tcW w:w="996"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13" w:hRule="atLeast"/>
          <w:jc w:val="center"/>
        </w:trPr>
        <w:tc>
          <w:tcPr>
            <w:tcW w:w="641"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rPr>
            </w:pPr>
          </w:p>
        </w:tc>
        <w:tc>
          <w:tcPr>
            <w:tcW w:w="1990"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rPr>
            </w:pPr>
          </w:p>
        </w:tc>
        <w:tc>
          <w:tcPr>
            <w:tcW w:w="1417"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rPr>
            </w:pPr>
          </w:p>
        </w:tc>
        <w:tc>
          <w:tcPr>
            <w:tcW w:w="1560" w:type="dxa"/>
            <w:tcMar>
              <w:top w:w="28" w:type="dxa"/>
              <w:left w:w="57" w:type="dxa"/>
              <w:bottom w:w="28" w:type="dxa"/>
              <w:right w:w="57" w:type="dxa"/>
            </w:tcMar>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c>
          <w:tcPr>
            <w:tcW w:w="1275"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c>
          <w:tcPr>
            <w:tcW w:w="1134" w:type="dxa"/>
            <w:tcMar>
              <w:top w:w="28" w:type="dxa"/>
              <w:left w:w="57" w:type="dxa"/>
              <w:bottom w:w="28" w:type="dxa"/>
              <w:right w:w="57" w:type="dxa"/>
            </w:tcMar>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c>
          <w:tcPr>
            <w:tcW w:w="3969"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c>
          <w:tcPr>
            <w:tcW w:w="996"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13" w:hRule="atLeast"/>
          <w:jc w:val="center"/>
        </w:trPr>
        <w:tc>
          <w:tcPr>
            <w:tcW w:w="641"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rPr>
            </w:pPr>
          </w:p>
        </w:tc>
        <w:tc>
          <w:tcPr>
            <w:tcW w:w="1990"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rPr>
            </w:pPr>
          </w:p>
        </w:tc>
        <w:tc>
          <w:tcPr>
            <w:tcW w:w="1417"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rPr>
            </w:pPr>
          </w:p>
        </w:tc>
        <w:tc>
          <w:tcPr>
            <w:tcW w:w="1560" w:type="dxa"/>
            <w:tcMar>
              <w:top w:w="28" w:type="dxa"/>
              <w:left w:w="57" w:type="dxa"/>
              <w:bottom w:w="28" w:type="dxa"/>
              <w:right w:w="57" w:type="dxa"/>
            </w:tcMar>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c>
          <w:tcPr>
            <w:tcW w:w="1275"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c>
          <w:tcPr>
            <w:tcW w:w="1134" w:type="dxa"/>
            <w:tcMar>
              <w:top w:w="28" w:type="dxa"/>
              <w:left w:w="57" w:type="dxa"/>
              <w:bottom w:w="28" w:type="dxa"/>
              <w:right w:w="57" w:type="dxa"/>
            </w:tcMar>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c>
          <w:tcPr>
            <w:tcW w:w="3969"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c>
          <w:tcPr>
            <w:tcW w:w="996"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13" w:hRule="atLeast"/>
          <w:jc w:val="center"/>
        </w:trPr>
        <w:tc>
          <w:tcPr>
            <w:tcW w:w="641"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rPr>
            </w:pPr>
          </w:p>
        </w:tc>
        <w:tc>
          <w:tcPr>
            <w:tcW w:w="1990"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rPr>
            </w:pPr>
          </w:p>
        </w:tc>
        <w:tc>
          <w:tcPr>
            <w:tcW w:w="1417"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rPr>
            </w:pPr>
          </w:p>
        </w:tc>
        <w:tc>
          <w:tcPr>
            <w:tcW w:w="1560" w:type="dxa"/>
            <w:tcMar>
              <w:top w:w="28" w:type="dxa"/>
              <w:left w:w="57" w:type="dxa"/>
              <w:bottom w:w="28" w:type="dxa"/>
              <w:right w:w="57" w:type="dxa"/>
            </w:tcMar>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c>
          <w:tcPr>
            <w:tcW w:w="1275"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c>
          <w:tcPr>
            <w:tcW w:w="1134" w:type="dxa"/>
            <w:tcMar>
              <w:top w:w="28" w:type="dxa"/>
              <w:left w:w="57" w:type="dxa"/>
              <w:bottom w:w="28" w:type="dxa"/>
              <w:right w:w="57" w:type="dxa"/>
            </w:tcMar>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c>
          <w:tcPr>
            <w:tcW w:w="3969"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c>
          <w:tcPr>
            <w:tcW w:w="996"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sz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13" w:hRule="atLeast"/>
          <w:jc w:val="center"/>
        </w:trPr>
        <w:tc>
          <w:tcPr>
            <w:tcW w:w="641" w:type="dxa"/>
            <w:tcBorders>
              <w:top w:val="single" w:color="auto" w:sz="4" w:space="0"/>
            </w:tcBorders>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c>
          <w:tcPr>
            <w:tcW w:w="1990" w:type="dxa"/>
            <w:tcBorders>
              <w:top w:val="single" w:color="auto" w:sz="4" w:space="0"/>
            </w:tcBorders>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c>
          <w:tcPr>
            <w:tcW w:w="1417" w:type="dxa"/>
            <w:tcBorders>
              <w:top w:val="single" w:color="auto" w:sz="4" w:space="0"/>
            </w:tcBorders>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c>
          <w:tcPr>
            <w:tcW w:w="1560" w:type="dxa"/>
            <w:tcBorders>
              <w:top w:val="single" w:color="auto" w:sz="4" w:space="0"/>
            </w:tcBorders>
            <w:tcMar>
              <w:top w:w="28" w:type="dxa"/>
              <w:left w:w="57" w:type="dxa"/>
              <w:bottom w:w="28" w:type="dxa"/>
              <w:right w:w="57" w:type="dxa"/>
            </w:tcMar>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c>
          <w:tcPr>
            <w:tcW w:w="1275" w:type="dxa"/>
            <w:tcBorders>
              <w:top w:val="single" w:color="auto" w:sz="4" w:space="0"/>
            </w:tcBorders>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c>
          <w:tcPr>
            <w:tcW w:w="1134" w:type="dxa"/>
            <w:tcBorders>
              <w:top w:val="single" w:color="auto" w:sz="4" w:space="0"/>
            </w:tcBorders>
            <w:tcMar>
              <w:top w:w="28" w:type="dxa"/>
              <w:left w:w="57" w:type="dxa"/>
              <w:bottom w:w="28" w:type="dxa"/>
              <w:right w:w="57" w:type="dxa"/>
            </w:tcMar>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c>
          <w:tcPr>
            <w:tcW w:w="3969" w:type="dxa"/>
            <w:tcBorders>
              <w:top w:val="single" w:color="auto" w:sz="4" w:space="0"/>
            </w:tcBorders>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c>
          <w:tcPr>
            <w:tcW w:w="996" w:type="dxa"/>
            <w:tcBorders>
              <w:top w:val="single" w:color="auto" w:sz="4" w:space="0"/>
            </w:tcBorders>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r>
    </w:tbl>
    <w:p>
      <w:pPr>
        <w:keepNext w:val="0"/>
        <w:keepLines w:val="0"/>
        <w:pageBreakBefore w:val="0"/>
        <w:kinsoku/>
        <w:overflowPunct/>
        <w:autoSpaceDE/>
        <w:autoSpaceDN/>
        <w:bidi w:val="0"/>
        <w:snapToGrid/>
        <w:spacing w:line="276" w:lineRule="auto"/>
        <w:ind w:left="0" w:leftChars="0" w:right="0" w:firstLine="422" w:firstLineChars="200"/>
        <w:outlineLvl w:val="9"/>
        <w:rPr>
          <w:rFonts w:hint="eastAsia" w:ascii="仿宋" w:hAnsi="仿宋" w:eastAsia="仿宋" w:cs="仿宋"/>
          <w:b/>
          <w:color w:val="auto"/>
          <w:szCs w:val="21"/>
          <w:highlight w:val="none"/>
        </w:rPr>
      </w:pPr>
    </w:p>
    <w:p>
      <w:pPr>
        <w:keepNext w:val="0"/>
        <w:keepLines w:val="0"/>
        <w:pageBreakBefore w:val="0"/>
        <w:kinsoku/>
        <w:overflowPunct/>
        <w:autoSpaceDE/>
        <w:autoSpaceDN/>
        <w:bidi w:val="0"/>
        <w:snapToGrid/>
        <w:spacing w:line="276" w:lineRule="auto"/>
        <w:ind w:left="0" w:leftChars="0" w:right="0" w:firstLine="442" w:firstLineChars="200"/>
        <w:outlineLvl w:val="9"/>
        <w:rPr>
          <w:rFonts w:hint="eastAsia" w:ascii="仿宋" w:hAnsi="仿宋" w:eastAsia="仿宋" w:cs="仿宋"/>
          <w:color w:val="auto"/>
          <w:sz w:val="22"/>
          <w:highlight w:val="none"/>
        </w:rPr>
      </w:pPr>
      <w:r>
        <w:rPr>
          <w:rFonts w:hint="eastAsia" w:ascii="仿宋" w:hAnsi="仿宋" w:eastAsia="仿宋" w:cs="仿宋"/>
          <w:b/>
          <w:color w:val="auto"/>
          <w:sz w:val="22"/>
          <w:highlight w:val="none"/>
        </w:rPr>
        <w:t>注：</w:t>
      </w:r>
      <w:r>
        <w:rPr>
          <w:rFonts w:hint="eastAsia" w:ascii="仿宋" w:hAnsi="仿宋" w:eastAsia="仿宋" w:cs="仿宋"/>
          <w:color w:val="auto"/>
          <w:sz w:val="22"/>
          <w:highlight w:val="none"/>
        </w:rPr>
        <w:t>1.本表货物清单须如实填写，表格中内容必须详细、具体；</w:t>
      </w:r>
    </w:p>
    <w:p>
      <w:pPr>
        <w:keepNext w:val="0"/>
        <w:keepLines w:val="0"/>
        <w:pageBreakBefore w:val="0"/>
        <w:kinsoku/>
        <w:overflowPunct/>
        <w:autoSpaceDE/>
        <w:autoSpaceDN/>
        <w:bidi w:val="0"/>
        <w:snapToGrid/>
        <w:spacing w:line="276" w:lineRule="auto"/>
        <w:ind w:left="0" w:leftChars="0" w:right="0" w:firstLine="880" w:firstLineChars="40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2.如果不提供详细货物说明一览表将视为未实质性响应招标文件；</w:t>
      </w:r>
    </w:p>
    <w:p>
      <w:pPr>
        <w:keepNext w:val="0"/>
        <w:keepLines w:val="0"/>
        <w:pageBreakBefore w:val="0"/>
        <w:kinsoku/>
        <w:overflowPunct/>
        <w:autoSpaceDE/>
        <w:autoSpaceDN/>
        <w:bidi w:val="0"/>
        <w:snapToGrid/>
        <w:spacing w:line="276" w:lineRule="auto"/>
        <w:ind w:left="0" w:leftChars="0" w:right="0" w:firstLine="880" w:firstLineChars="40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3.若货物没有具体型号和注册商标的须注明，填“无”，各项货物详细技术性能应另页描述。</w:t>
      </w: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sz w:val="22"/>
          <w:highlight w:val="none"/>
        </w:rPr>
      </w:pPr>
    </w:p>
    <w:p>
      <w:pPr>
        <w:keepNext w:val="0"/>
        <w:keepLines w:val="0"/>
        <w:pageBreakBefore w:val="0"/>
        <w:kinsoku/>
        <w:overflowPunct/>
        <w:autoSpaceDE/>
        <w:autoSpaceDN/>
        <w:bidi w:val="0"/>
        <w:snapToGrid/>
        <w:ind w:left="0" w:leftChars="0" w:right="0" w:firstLine="440" w:firstLineChars="20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w:t>
      </w:r>
      <w:r>
        <w:rPr>
          <w:rFonts w:hint="eastAsia" w:ascii="仿宋" w:hAnsi="仿宋" w:eastAsia="仿宋" w:cs="仿宋"/>
          <w:color w:val="auto"/>
          <w:sz w:val="22"/>
          <w:highlight w:val="none"/>
          <w:lang w:eastAsia="zh-CN"/>
        </w:rPr>
        <w:t>供应商</w:t>
      </w:r>
      <w:r>
        <w:rPr>
          <w:rFonts w:hint="eastAsia" w:ascii="仿宋" w:hAnsi="仿宋" w:eastAsia="仿宋" w:cs="仿宋"/>
          <w:color w:val="auto"/>
          <w:sz w:val="22"/>
          <w:highlight w:val="none"/>
        </w:rPr>
        <w:t>：</w:t>
      </w:r>
      <w:r>
        <w:rPr>
          <w:rFonts w:hint="eastAsia" w:ascii="仿宋" w:hAnsi="仿宋" w:eastAsia="仿宋" w:cs="仿宋"/>
          <w:color w:val="auto"/>
          <w:sz w:val="22"/>
          <w:highlight w:val="none"/>
          <w:u w:val="single"/>
        </w:rPr>
        <w:t>（加盖公章）</w:t>
      </w:r>
    </w:p>
    <w:p>
      <w:pPr>
        <w:keepNext w:val="0"/>
        <w:keepLines w:val="0"/>
        <w:pageBreakBefore w:val="0"/>
        <w:kinsoku/>
        <w:overflowPunct/>
        <w:autoSpaceDE/>
        <w:autoSpaceDN/>
        <w:bidi w:val="0"/>
        <w:snapToGrid/>
        <w:ind w:left="0" w:leftChars="0" w:right="0" w:firstLine="6820" w:firstLineChars="3100"/>
        <w:jc w:val="left"/>
        <w:outlineLvl w:val="9"/>
        <w:rPr>
          <w:rFonts w:hint="eastAsia" w:ascii="仿宋" w:hAnsi="仿宋" w:eastAsia="仿宋" w:cs="仿宋"/>
          <w:color w:val="auto"/>
          <w:sz w:val="22"/>
          <w:highlight w:val="none"/>
        </w:rPr>
      </w:pPr>
      <w:r>
        <w:rPr>
          <w:rFonts w:hint="eastAsia" w:ascii="仿宋" w:hAnsi="仿宋" w:eastAsia="仿宋" w:cs="仿宋"/>
          <w:bCs/>
          <w:color w:val="auto"/>
          <w:kern w:val="0"/>
          <w:sz w:val="22"/>
          <w:highlight w:val="none"/>
        </w:rPr>
        <w:t>法定代表人/授权代表签字</w:t>
      </w:r>
      <w:r>
        <w:rPr>
          <w:rFonts w:hint="eastAsia" w:ascii="仿宋" w:hAnsi="仿宋" w:eastAsia="仿宋" w:cs="仿宋"/>
          <w:color w:val="auto"/>
          <w:sz w:val="22"/>
          <w:highlight w:val="none"/>
        </w:rPr>
        <w:t>：</w:t>
      </w:r>
    </w:p>
    <w:p>
      <w:pPr>
        <w:keepNext w:val="0"/>
        <w:keepLines w:val="0"/>
        <w:pageBreakBefore w:val="0"/>
        <w:kinsoku/>
        <w:overflowPunct/>
        <w:autoSpaceDE/>
        <w:autoSpaceDN/>
        <w:bidi w:val="0"/>
        <w:snapToGrid/>
        <w:ind w:left="0" w:leftChars="0" w:right="0" w:firstLine="4840" w:firstLineChars="220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日  期：</w:t>
      </w:r>
    </w:p>
    <w:p>
      <w:pPr>
        <w:keepNext w:val="0"/>
        <w:keepLines w:val="0"/>
        <w:pageBreakBefore w:val="0"/>
        <w:kinsoku/>
        <w:overflowPunct/>
        <w:bidi w:val="0"/>
        <w:snapToGrid/>
        <w:ind w:left="0" w:leftChars="0" w:right="0"/>
        <w:outlineLvl w:val="9"/>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br w:type="page"/>
      </w:r>
    </w:p>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4.</w:t>
      </w:r>
      <w:r>
        <w:rPr>
          <w:rFonts w:hint="eastAsia" w:ascii="仿宋" w:hAnsi="仿宋" w:eastAsia="仿宋" w:cs="仿宋"/>
          <w:b/>
          <w:bCs/>
          <w:color w:val="auto"/>
          <w:sz w:val="28"/>
          <w:szCs w:val="36"/>
          <w:highlight w:val="none"/>
          <w:lang w:val="en-US" w:eastAsia="zh-CN"/>
        </w:rPr>
        <w:t>2</w:t>
      </w:r>
      <w:r>
        <w:rPr>
          <w:rFonts w:hint="eastAsia" w:ascii="仿宋" w:hAnsi="仿宋" w:eastAsia="仿宋" w:cs="仿宋"/>
          <w:b/>
          <w:bCs/>
          <w:color w:val="auto"/>
          <w:sz w:val="28"/>
          <w:szCs w:val="36"/>
          <w:highlight w:val="none"/>
        </w:rPr>
        <w:t>备品备件清单（如有）</w:t>
      </w:r>
    </w:p>
    <w:p>
      <w:pPr>
        <w:keepNext w:val="0"/>
        <w:keepLines w:val="0"/>
        <w:pageBreakBefore w:val="0"/>
        <w:kinsoku/>
        <w:overflowPunct/>
        <w:autoSpaceDE/>
        <w:autoSpaceDN/>
        <w:bidi w:val="0"/>
        <w:snapToGrid/>
        <w:spacing w:line="276" w:lineRule="auto"/>
        <w:ind w:left="0" w:leftChars="0" w:right="0"/>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项目编号：</w:t>
      </w:r>
    </w:p>
    <w:p>
      <w:pPr>
        <w:keepNext w:val="0"/>
        <w:keepLines w:val="0"/>
        <w:pageBreakBefore w:val="0"/>
        <w:kinsoku/>
        <w:overflowPunct/>
        <w:autoSpaceDE/>
        <w:autoSpaceDN/>
        <w:bidi w:val="0"/>
        <w:snapToGrid/>
        <w:spacing w:line="276" w:lineRule="auto"/>
        <w:ind w:left="0" w:leftChars="0" w:right="0"/>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lang w:eastAsia="zh-CN"/>
        </w:rPr>
        <w:t>供应商</w:t>
      </w:r>
      <w:r>
        <w:rPr>
          <w:rFonts w:hint="eastAsia" w:ascii="仿宋" w:hAnsi="仿宋" w:eastAsia="仿宋" w:cs="仿宋"/>
          <w:color w:val="auto"/>
          <w:kern w:val="0"/>
          <w:sz w:val="22"/>
          <w:highlight w:val="none"/>
        </w:rPr>
        <w:t>：</w:t>
      </w:r>
    </w:p>
    <w:tbl>
      <w:tblPr>
        <w:tblStyle w:val="47"/>
        <w:tblW w:w="1375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8"/>
        <w:gridCol w:w="3368"/>
        <w:gridCol w:w="2072"/>
        <w:gridCol w:w="2268"/>
        <w:gridCol w:w="1981"/>
        <w:gridCol w:w="2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7" w:hRule="atLeast"/>
        </w:trPr>
        <w:tc>
          <w:tcPr>
            <w:tcW w:w="1648"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kern w:val="0"/>
                <w:sz w:val="22"/>
                <w:highlight w:val="none"/>
              </w:rPr>
            </w:pPr>
            <w:r>
              <w:rPr>
                <w:rFonts w:hint="eastAsia" w:ascii="仿宋" w:hAnsi="仿宋" w:eastAsia="仿宋" w:cs="仿宋"/>
                <w:b/>
                <w:color w:val="auto"/>
                <w:kern w:val="0"/>
                <w:sz w:val="22"/>
                <w:highlight w:val="none"/>
              </w:rPr>
              <w:t>序号</w:t>
            </w:r>
          </w:p>
        </w:tc>
        <w:tc>
          <w:tcPr>
            <w:tcW w:w="3368"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kern w:val="0"/>
                <w:sz w:val="22"/>
                <w:highlight w:val="none"/>
              </w:rPr>
            </w:pPr>
            <w:r>
              <w:rPr>
                <w:rFonts w:hint="eastAsia" w:ascii="仿宋" w:hAnsi="仿宋" w:eastAsia="仿宋" w:cs="仿宋"/>
                <w:b/>
                <w:color w:val="auto"/>
                <w:kern w:val="0"/>
                <w:sz w:val="22"/>
                <w:highlight w:val="none"/>
              </w:rPr>
              <w:t>名称</w:t>
            </w:r>
          </w:p>
        </w:tc>
        <w:tc>
          <w:tcPr>
            <w:tcW w:w="2072" w:type="dxa"/>
            <w:tcBorders>
              <w:right w:val="single" w:color="auto" w:sz="4" w:space="0"/>
            </w:tcBorders>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kern w:val="0"/>
                <w:sz w:val="22"/>
                <w:highlight w:val="none"/>
              </w:rPr>
            </w:pPr>
            <w:r>
              <w:rPr>
                <w:rFonts w:hint="eastAsia" w:ascii="仿宋" w:hAnsi="仿宋" w:eastAsia="仿宋" w:cs="仿宋"/>
                <w:b/>
                <w:color w:val="auto"/>
                <w:kern w:val="0"/>
                <w:sz w:val="22"/>
                <w:highlight w:val="none"/>
              </w:rPr>
              <w:t>品牌</w:t>
            </w:r>
          </w:p>
        </w:tc>
        <w:tc>
          <w:tcPr>
            <w:tcW w:w="2268" w:type="dxa"/>
            <w:tcBorders>
              <w:left w:val="single" w:color="auto" w:sz="4" w:space="0"/>
            </w:tcBorders>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kern w:val="0"/>
                <w:sz w:val="22"/>
                <w:highlight w:val="none"/>
              </w:rPr>
            </w:pPr>
            <w:r>
              <w:rPr>
                <w:rFonts w:hint="eastAsia" w:ascii="仿宋" w:hAnsi="仿宋" w:eastAsia="仿宋" w:cs="仿宋"/>
                <w:b/>
                <w:color w:val="auto"/>
                <w:kern w:val="0"/>
                <w:sz w:val="22"/>
                <w:highlight w:val="none"/>
              </w:rPr>
              <w:t>规格型号</w:t>
            </w:r>
          </w:p>
        </w:tc>
        <w:tc>
          <w:tcPr>
            <w:tcW w:w="1981"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kern w:val="0"/>
                <w:sz w:val="22"/>
                <w:highlight w:val="none"/>
              </w:rPr>
            </w:pPr>
            <w:r>
              <w:rPr>
                <w:rFonts w:hint="eastAsia" w:ascii="仿宋" w:hAnsi="仿宋" w:eastAsia="仿宋" w:cs="仿宋"/>
                <w:b/>
                <w:color w:val="auto"/>
                <w:kern w:val="0"/>
                <w:sz w:val="22"/>
                <w:highlight w:val="none"/>
              </w:rPr>
              <w:t>数量</w:t>
            </w:r>
          </w:p>
        </w:tc>
        <w:tc>
          <w:tcPr>
            <w:tcW w:w="2413"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kern w:val="0"/>
                <w:sz w:val="22"/>
                <w:highlight w:val="none"/>
              </w:rPr>
            </w:pPr>
            <w:r>
              <w:rPr>
                <w:rFonts w:hint="eastAsia" w:ascii="仿宋" w:hAnsi="仿宋" w:eastAsia="仿宋" w:cs="仿宋"/>
                <w:b/>
                <w:color w:val="auto"/>
                <w:kern w:val="0"/>
                <w:sz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1648"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3368"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kern w:val="0"/>
                <w:sz w:val="22"/>
                <w:highlight w:val="none"/>
              </w:rPr>
            </w:pPr>
          </w:p>
        </w:tc>
        <w:tc>
          <w:tcPr>
            <w:tcW w:w="2072" w:type="dxa"/>
            <w:tcBorders>
              <w:right w:val="single" w:color="auto" w:sz="4" w:space="0"/>
            </w:tcBorders>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kern w:val="0"/>
                <w:sz w:val="22"/>
                <w:highlight w:val="none"/>
              </w:rPr>
            </w:pPr>
          </w:p>
        </w:tc>
        <w:tc>
          <w:tcPr>
            <w:tcW w:w="2268" w:type="dxa"/>
            <w:tcBorders>
              <w:left w:val="single" w:color="auto" w:sz="4" w:space="0"/>
            </w:tcBorders>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kern w:val="0"/>
                <w:sz w:val="22"/>
                <w:highlight w:val="none"/>
              </w:rPr>
            </w:pPr>
          </w:p>
        </w:tc>
        <w:tc>
          <w:tcPr>
            <w:tcW w:w="1981"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kern w:val="0"/>
                <w:sz w:val="22"/>
                <w:highlight w:val="none"/>
              </w:rPr>
            </w:pPr>
          </w:p>
        </w:tc>
        <w:tc>
          <w:tcPr>
            <w:tcW w:w="2413"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kern w:val="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1648"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2</w:t>
            </w:r>
          </w:p>
        </w:tc>
        <w:tc>
          <w:tcPr>
            <w:tcW w:w="3368"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kern w:val="0"/>
                <w:sz w:val="22"/>
                <w:highlight w:val="none"/>
              </w:rPr>
            </w:pPr>
          </w:p>
        </w:tc>
        <w:tc>
          <w:tcPr>
            <w:tcW w:w="2072" w:type="dxa"/>
            <w:tcBorders>
              <w:right w:val="single" w:color="auto" w:sz="4" w:space="0"/>
            </w:tcBorders>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kern w:val="0"/>
                <w:sz w:val="22"/>
                <w:highlight w:val="none"/>
              </w:rPr>
            </w:pPr>
          </w:p>
        </w:tc>
        <w:tc>
          <w:tcPr>
            <w:tcW w:w="2268" w:type="dxa"/>
            <w:tcBorders>
              <w:left w:val="single" w:color="auto" w:sz="4" w:space="0"/>
            </w:tcBorders>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kern w:val="0"/>
                <w:sz w:val="22"/>
                <w:highlight w:val="none"/>
              </w:rPr>
            </w:pPr>
          </w:p>
        </w:tc>
        <w:tc>
          <w:tcPr>
            <w:tcW w:w="1981"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kern w:val="0"/>
                <w:sz w:val="22"/>
                <w:highlight w:val="none"/>
              </w:rPr>
            </w:pPr>
          </w:p>
        </w:tc>
        <w:tc>
          <w:tcPr>
            <w:tcW w:w="2413" w:type="dxa"/>
            <w:vAlign w:val="center"/>
          </w:tcPr>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color w:val="auto"/>
                <w:kern w:val="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1648" w:type="dxa"/>
            <w:vAlign w:val="center"/>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c>
          <w:tcPr>
            <w:tcW w:w="3368" w:type="dxa"/>
            <w:vAlign w:val="center"/>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c>
          <w:tcPr>
            <w:tcW w:w="2072" w:type="dxa"/>
            <w:tcBorders>
              <w:right w:val="single" w:color="auto" w:sz="4" w:space="0"/>
            </w:tcBorders>
            <w:vAlign w:val="center"/>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c>
          <w:tcPr>
            <w:tcW w:w="2268" w:type="dxa"/>
            <w:tcBorders>
              <w:left w:val="single" w:color="auto" w:sz="4" w:space="0"/>
            </w:tcBorders>
            <w:vAlign w:val="center"/>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c>
          <w:tcPr>
            <w:tcW w:w="1981" w:type="dxa"/>
            <w:vAlign w:val="center"/>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c>
          <w:tcPr>
            <w:tcW w:w="2413" w:type="dxa"/>
            <w:vAlign w:val="center"/>
          </w:tcPr>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r>
              <w:rPr>
                <w:rFonts w:hint="eastAsia" w:ascii="仿宋" w:hAnsi="仿宋" w:eastAsia="仿宋" w:cs="仿宋"/>
                <w:color w:val="auto"/>
                <w:kern w:val="0"/>
                <w:sz w:val="22"/>
                <w:highlight w:val="none"/>
              </w:rPr>
              <w:t>……</w:t>
            </w:r>
          </w:p>
        </w:tc>
      </w:tr>
    </w:tbl>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kern w:val="0"/>
          <w:sz w:val="22"/>
          <w:highlight w:val="none"/>
        </w:rPr>
      </w:pP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注：1.本表所列货物为质保期/服务期内备品备件清单，若无备品备件此表可忽略；</w:t>
      </w:r>
    </w:p>
    <w:p>
      <w:pPr>
        <w:keepNext w:val="0"/>
        <w:keepLines w:val="0"/>
        <w:pageBreakBefore w:val="0"/>
        <w:kinsoku/>
        <w:overflowPunct/>
        <w:autoSpaceDE/>
        <w:autoSpaceDN/>
        <w:bidi w:val="0"/>
        <w:snapToGrid/>
        <w:ind w:left="0" w:leftChars="0" w:right="0" w:firstLine="440" w:firstLineChars="200"/>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2.本表格格式可自拟，各</w:t>
      </w:r>
      <w:r>
        <w:rPr>
          <w:rFonts w:hint="eastAsia" w:ascii="仿宋" w:hAnsi="仿宋" w:eastAsia="仿宋" w:cs="仿宋"/>
          <w:color w:val="auto"/>
          <w:kern w:val="0"/>
          <w:sz w:val="22"/>
          <w:highlight w:val="none"/>
          <w:lang w:eastAsia="zh-CN"/>
        </w:rPr>
        <w:t>供应商</w:t>
      </w:r>
      <w:r>
        <w:rPr>
          <w:rFonts w:hint="eastAsia" w:ascii="仿宋" w:hAnsi="仿宋" w:eastAsia="仿宋" w:cs="仿宋"/>
          <w:color w:val="auto"/>
          <w:kern w:val="0"/>
          <w:sz w:val="22"/>
          <w:highlight w:val="none"/>
        </w:rPr>
        <w:t>根据自身实际情况编制表格。</w:t>
      </w: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sz w:val="22"/>
          <w:highlight w:val="none"/>
        </w:rPr>
      </w:pP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sz w:val="22"/>
          <w:highlight w:val="none"/>
        </w:rPr>
      </w:pPr>
    </w:p>
    <w:p>
      <w:pPr>
        <w:keepNext w:val="0"/>
        <w:keepLines w:val="0"/>
        <w:pageBreakBefore w:val="0"/>
        <w:kinsoku/>
        <w:overflowPunct/>
        <w:autoSpaceDE/>
        <w:autoSpaceDN/>
        <w:bidi w:val="0"/>
        <w:snapToGrid/>
        <w:ind w:left="0" w:leftChars="0" w:right="0" w:firstLine="8800" w:firstLineChars="4000"/>
        <w:jc w:val="left"/>
        <w:outlineLvl w:val="9"/>
        <w:rPr>
          <w:rFonts w:hint="eastAsia" w:ascii="仿宋" w:hAnsi="仿宋" w:eastAsia="仿宋" w:cs="仿宋"/>
          <w:color w:val="auto"/>
          <w:kern w:val="0"/>
          <w:sz w:val="22"/>
          <w:highlight w:val="none"/>
          <w:u w:val="single"/>
        </w:rPr>
      </w:pPr>
      <w:r>
        <w:rPr>
          <w:rFonts w:hint="eastAsia" w:ascii="仿宋" w:hAnsi="仿宋" w:eastAsia="仿宋" w:cs="仿宋"/>
          <w:color w:val="auto"/>
          <w:kern w:val="0"/>
          <w:sz w:val="22"/>
          <w:highlight w:val="none"/>
          <w:lang w:eastAsia="zh-CN"/>
        </w:rPr>
        <w:t>供应商</w:t>
      </w:r>
      <w:r>
        <w:rPr>
          <w:rFonts w:hint="eastAsia" w:ascii="仿宋" w:hAnsi="仿宋" w:eastAsia="仿宋" w:cs="仿宋"/>
          <w:color w:val="auto"/>
          <w:kern w:val="0"/>
          <w:sz w:val="22"/>
          <w:highlight w:val="none"/>
        </w:rPr>
        <w:t>：</w:t>
      </w:r>
      <w:r>
        <w:rPr>
          <w:rFonts w:hint="eastAsia" w:ascii="仿宋" w:hAnsi="仿宋" w:eastAsia="仿宋" w:cs="仿宋"/>
          <w:color w:val="auto"/>
          <w:kern w:val="0"/>
          <w:sz w:val="22"/>
          <w:highlight w:val="none"/>
          <w:u w:val="single"/>
        </w:rPr>
        <w:t>（加盖公章）</w:t>
      </w:r>
    </w:p>
    <w:p>
      <w:pPr>
        <w:keepNext w:val="0"/>
        <w:keepLines w:val="0"/>
        <w:pageBreakBefore w:val="0"/>
        <w:kinsoku/>
        <w:overflowPunct/>
        <w:autoSpaceDE/>
        <w:autoSpaceDN/>
        <w:bidi w:val="0"/>
        <w:snapToGrid/>
        <w:ind w:left="0" w:leftChars="0" w:right="0" w:firstLine="7040" w:firstLineChars="3200"/>
        <w:jc w:val="left"/>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法定代表人/授权代表签字：</w:t>
      </w: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                                                                                 日  期：</w:t>
      </w:r>
    </w:p>
    <w:p>
      <w:pPr>
        <w:keepNext w:val="0"/>
        <w:keepLines w:val="0"/>
        <w:pageBreakBefore w:val="0"/>
        <w:kinsoku/>
        <w:overflowPunct/>
        <w:autoSpaceDE/>
        <w:autoSpaceDN/>
        <w:bidi w:val="0"/>
        <w:snapToGrid/>
        <w:spacing w:line="440" w:lineRule="exact"/>
        <w:ind w:left="0" w:leftChars="0" w:right="0"/>
        <w:outlineLvl w:val="9"/>
        <w:rPr>
          <w:rFonts w:hint="eastAsia" w:ascii="仿宋" w:hAnsi="仿宋" w:eastAsia="仿宋" w:cs="仿宋"/>
          <w:b/>
          <w:bCs/>
          <w:color w:val="auto"/>
          <w:sz w:val="24"/>
          <w:highlight w:val="none"/>
        </w:rPr>
        <w:sectPr>
          <w:pgSz w:w="16838" w:h="11906" w:orient="landscape"/>
          <w:pgMar w:top="1417" w:right="1417" w:bottom="1417" w:left="1417" w:header="851" w:footer="850" w:gutter="0"/>
          <w:pgNumType w:fmt="decimal"/>
          <w:cols w:space="720" w:num="1"/>
          <w:titlePg/>
          <w:docGrid w:linePitch="312" w:charSpace="0"/>
        </w:sectPr>
      </w:pPr>
    </w:p>
    <w:bookmarkEnd w:id="153"/>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五、技术及商务响应偏离表</w:t>
      </w:r>
    </w:p>
    <w:p>
      <w:pPr>
        <w:keepNext w:val="0"/>
        <w:keepLines w:val="0"/>
        <w:pageBreakBefore w:val="0"/>
        <w:kinsoku/>
        <w:overflowPunct/>
        <w:autoSpaceDE/>
        <w:autoSpaceDN/>
        <w:bidi w:val="0"/>
        <w:snapToGrid/>
        <w:ind w:left="0" w:leftChars="0" w:right="0"/>
        <w:jc w:val="center"/>
        <w:outlineLvl w:val="9"/>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5.1 技术响应偏离表</w:t>
      </w:r>
    </w:p>
    <w:p>
      <w:pPr>
        <w:keepNext w:val="0"/>
        <w:keepLines w:val="0"/>
        <w:pageBreakBefore w:val="0"/>
        <w:kinsoku/>
        <w:overflowPunct/>
        <w:autoSpaceDE/>
        <w:autoSpaceDN/>
        <w:bidi w:val="0"/>
        <w:snapToGrid/>
        <w:ind w:left="0" w:leftChars="0" w:right="0"/>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项目编号：</w:t>
      </w: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lang w:eastAsia="zh-CN"/>
        </w:rPr>
        <w:t>供应商</w:t>
      </w:r>
      <w:r>
        <w:rPr>
          <w:rFonts w:hint="eastAsia" w:ascii="仿宋" w:hAnsi="仿宋" w:eastAsia="仿宋" w:cs="仿宋"/>
          <w:color w:val="auto"/>
          <w:sz w:val="22"/>
          <w:highlight w:val="none"/>
        </w:rPr>
        <w:t>：</w:t>
      </w:r>
    </w:p>
    <w:tbl>
      <w:tblPr>
        <w:tblStyle w:val="47"/>
        <w:tblW w:w="94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6"/>
        <w:gridCol w:w="2782"/>
        <w:gridCol w:w="2782"/>
        <w:gridCol w:w="1391"/>
        <w:gridCol w:w="13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70" w:hRule="atLeast"/>
          <w:jc w:val="center"/>
        </w:trPr>
        <w:tc>
          <w:tcPr>
            <w:tcW w:w="108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编号</w:t>
            </w: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招标文件需求</w:t>
            </w: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投标文件情况</w:t>
            </w:r>
          </w:p>
        </w:tc>
        <w:tc>
          <w:tcPr>
            <w:tcW w:w="139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偏离度</w:t>
            </w:r>
          </w:p>
        </w:tc>
        <w:tc>
          <w:tcPr>
            <w:tcW w:w="137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51" w:hRule="atLeast"/>
          <w:jc w:val="center"/>
        </w:trPr>
        <w:tc>
          <w:tcPr>
            <w:tcW w:w="108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9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51" w:hRule="atLeast"/>
          <w:jc w:val="center"/>
        </w:trPr>
        <w:tc>
          <w:tcPr>
            <w:tcW w:w="108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9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51" w:hRule="atLeast"/>
          <w:jc w:val="center"/>
        </w:trPr>
        <w:tc>
          <w:tcPr>
            <w:tcW w:w="108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9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51" w:hRule="atLeast"/>
          <w:jc w:val="center"/>
        </w:trPr>
        <w:tc>
          <w:tcPr>
            <w:tcW w:w="108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9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51" w:hRule="atLeast"/>
          <w:jc w:val="center"/>
        </w:trPr>
        <w:tc>
          <w:tcPr>
            <w:tcW w:w="108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9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51" w:hRule="atLeast"/>
          <w:jc w:val="center"/>
        </w:trPr>
        <w:tc>
          <w:tcPr>
            <w:tcW w:w="108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9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51" w:hRule="atLeast"/>
          <w:jc w:val="center"/>
        </w:trPr>
        <w:tc>
          <w:tcPr>
            <w:tcW w:w="108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9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51" w:hRule="atLeast"/>
          <w:jc w:val="center"/>
        </w:trPr>
        <w:tc>
          <w:tcPr>
            <w:tcW w:w="108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9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51" w:hRule="atLeast"/>
          <w:jc w:val="center"/>
        </w:trPr>
        <w:tc>
          <w:tcPr>
            <w:tcW w:w="108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9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80" w:hRule="atLeast"/>
          <w:jc w:val="center"/>
        </w:trPr>
        <w:tc>
          <w:tcPr>
            <w:tcW w:w="108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c>
          <w:tcPr>
            <w:tcW w:w="2782"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c>
          <w:tcPr>
            <w:tcW w:w="139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c>
          <w:tcPr>
            <w:tcW w:w="1376"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r>
    </w:tbl>
    <w:p>
      <w:pPr>
        <w:keepNext w:val="0"/>
        <w:keepLines w:val="0"/>
        <w:pageBreakBefore w:val="0"/>
        <w:kinsoku/>
        <w:overflowPunct/>
        <w:autoSpaceDE/>
        <w:autoSpaceDN/>
        <w:bidi w:val="0"/>
        <w:snapToGrid/>
        <w:ind w:left="0" w:leftChars="0" w:right="0"/>
        <w:outlineLvl w:val="9"/>
        <w:rPr>
          <w:rFonts w:hint="eastAsia" w:ascii="仿宋" w:hAnsi="仿宋" w:eastAsia="仿宋" w:cs="仿宋"/>
          <w:b/>
          <w:color w:val="auto"/>
          <w:sz w:val="22"/>
          <w:highlight w:val="none"/>
        </w:rPr>
      </w:pP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sz w:val="22"/>
          <w:highlight w:val="none"/>
        </w:rPr>
      </w:pPr>
      <w:r>
        <w:rPr>
          <w:rFonts w:hint="eastAsia" w:ascii="仿宋" w:hAnsi="仿宋" w:eastAsia="仿宋" w:cs="仿宋"/>
          <w:b/>
          <w:color w:val="auto"/>
          <w:sz w:val="22"/>
          <w:highlight w:val="none"/>
        </w:rPr>
        <w:t>注：</w:t>
      </w:r>
      <w:r>
        <w:rPr>
          <w:rFonts w:hint="eastAsia" w:ascii="仿宋" w:hAnsi="仿宋" w:eastAsia="仿宋" w:cs="仿宋"/>
          <w:color w:val="auto"/>
          <w:sz w:val="22"/>
          <w:highlight w:val="none"/>
        </w:rPr>
        <w:t>1.招标文件需求：指在招标文件中第</w:t>
      </w:r>
      <w:r>
        <w:rPr>
          <w:rFonts w:hint="eastAsia" w:ascii="仿宋" w:hAnsi="仿宋" w:eastAsia="仿宋" w:cs="仿宋"/>
          <w:color w:val="auto"/>
          <w:sz w:val="22"/>
          <w:highlight w:val="none"/>
          <w:lang w:val="en-US" w:eastAsia="zh-CN"/>
        </w:rPr>
        <w:t>四</w:t>
      </w:r>
      <w:r>
        <w:rPr>
          <w:rFonts w:hint="eastAsia" w:ascii="仿宋" w:hAnsi="仿宋" w:eastAsia="仿宋" w:cs="仿宋"/>
          <w:color w:val="auto"/>
          <w:sz w:val="22"/>
          <w:highlight w:val="none"/>
        </w:rPr>
        <w:t>部分 技术要求；</w:t>
      </w:r>
    </w:p>
    <w:p>
      <w:pPr>
        <w:keepNext w:val="0"/>
        <w:keepLines w:val="0"/>
        <w:pageBreakBefore w:val="0"/>
        <w:kinsoku/>
        <w:overflowPunct/>
        <w:autoSpaceDE/>
        <w:autoSpaceDN/>
        <w:bidi w:val="0"/>
        <w:snapToGrid/>
        <w:ind w:left="0" w:leftChars="0" w:right="0" w:firstLine="440" w:firstLineChars="20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2.投标文件情况：指在投标文件中对招标文件第</w:t>
      </w:r>
      <w:r>
        <w:rPr>
          <w:rFonts w:hint="eastAsia" w:ascii="仿宋" w:hAnsi="仿宋" w:eastAsia="仿宋" w:cs="仿宋"/>
          <w:color w:val="auto"/>
          <w:sz w:val="22"/>
          <w:highlight w:val="none"/>
          <w:lang w:val="en-US" w:eastAsia="zh-CN"/>
        </w:rPr>
        <w:t>四</w:t>
      </w:r>
      <w:r>
        <w:rPr>
          <w:rFonts w:hint="eastAsia" w:ascii="仿宋" w:hAnsi="仿宋" w:eastAsia="仿宋" w:cs="仿宋"/>
          <w:color w:val="auto"/>
          <w:sz w:val="22"/>
          <w:highlight w:val="none"/>
        </w:rPr>
        <w:t>部分 技术要求的响应内容；</w:t>
      </w:r>
    </w:p>
    <w:p>
      <w:pPr>
        <w:keepNext w:val="0"/>
        <w:keepLines w:val="0"/>
        <w:pageBreakBefore w:val="0"/>
        <w:kinsoku/>
        <w:overflowPunct/>
        <w:autoSpaceDE/>
        <w:autoSpaceDN/>
        <w:bidi w:val="0"/>
        <w:snapToGrid/>
        <w:ind w:left="0" w:leftChars="0" w:right="0" w:firstLine="440" w:firstLineChars="20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3.偏离度：根据投标情况如实填写“无偏离/负偏离/优于”（</w:t>
      </w:r>
      <w:r>
        <w:rPr>
          <w:rFonts w:hint="eastAsia" w:ascii="仿宋" w:hAnsi="仿宋" w:eastAsia="仿宋" w:cs="仿宋"/>
          <w:b/>
          <w:color w:val="auto"/>
          <w:sz w:val="22"/>
          <w:highlight w:val="none"/>
          <w:u w:val="single"/>
        </w:rPr>
        <w:t>优于的后附证明材料，并在说明栏中注明证明材料所在的具体页码，否则视为虚假响应;无偏离的，说明栏可不填写或者填“无”</w:t>
      </w:r>
      <w:r>
        <w:rPr>
          <w:rFonts w:hint="eastAsia" w:ascii="仿宋" w:hAnsi="仿宋" w:eastAsia="仿宋" w:cs="仿宋"/>
          <w:b/>
          <w:color w:val="auto"/>
          <w:sz w:val="22"/>
          <w:highlight w:val="none"/>
          <w:u w:val="single"/>
          <w:lang w:eastAsia="zh-CN"/>
        </w:rPr>
        <w:t>，</w:t>
      </w:r>
      <w:r>
        <w:rPr>
          <w:rFonts w:hint="eastAsia" w:ascii="仿宋" w:hAnsi="仿宋" w:eastAsia="仿宋" w:cs="仿宋"/>
          <w:b/>
          <w:color w:val="auto"/>
          <w:sz w:val="22"/>
          <w:highlight w:val="none"/>
          <w:u w:val="single"/>
        </w:rPr>
        <w:t>负偏离</w:t>
      </w:r>
      <w:r>
        <w:rPr>
          <w:rFonts w:hint="eastAsia" w:ascii="仿宋" w:hAnsi="仿宋" w:eastAsia="仿宋" w:cs="仿宋"/>
          <w:b/>
          <w:color w:val="auto"/>
          <w:sz w:val="22"/>
          <w:highlight w:val="none"/>
          <w:u w:val="single"/>
          <w:lang w:eastAsia="zh-CN"/>
        </w:rPr>
        <w:t>须逐一填写</w:t>
      </w:r>
      <w:r>
        <w:rPr>
          <w:rFonts w:hint="eastAsia" w:ascii="仿宋" w:hAnsi="仿宋" w:eastAsia="仿宋" w:cs="仿宋"/>
          <w:b/>
          <w:color w:val="auto"/>
          <w:sz w:val="22"/>
          <w:highlight w:val="none"/>
          <w:u w:val="single"/>
        </w:rPr>
        <w:t>并在说明栏中注明证明材料所在的具体页码</w:t>
      </w:r>
      <w:r>
        <w:rPr>
          <w:rFonts w:hint="eastAsia" w:ascii="仿宋" w:hAnsi="仿宋" w:eastAsia="仿宋" w:cs="仿宋"/>
          <w:color w:val="auto"/>
          <w:sz w:val="22"/>
          <w:highlight w:val="none"/>
        </w:rPr>
        <w:t>）。</w:t>
      </w:r>
    </w:p>
    <w:p>
      <w:pPr>
        <w:keepNext w:val="0"/>
        <w:keepLines w:val="0"/>
        <w:pageBreakBefore w:val="0"/>
        <w:kinsoku/>
        <w:overflowPunct/>
        <w:autoSpaceDE/>
        <w:autoSpaceDN/>
        <w:bidi w:val="0"/>
        <w:snapToGrid/>
        <w:ind w:left="0" w:leftChars="0" w:right="0" w:firstLine="440" w:firstLineChars="200"/>
        <w:outlineLvl w:val="9"/>
        <w:rPr>
          <w:rFonts w:hint="eastAsia" w:ascii="仿宋" w:hAnsi="仿宋" w:eastAsia="仿宋" w:cs="仿宋"/>
          <w:color w:val="auto"/>
          <w:sz w:val="22"/>
          <w:highlight w:val="none"/>
        </w:rPr>
      </w:pPr>
    </w:p>
    <w:p>
      <w:pPr>
        <w:keepNext w:val="0"/>
        <w:keepLines w:val="0"/>
        <w:pageBreakBefore w:val="0"/>
        <w:kinsoku/>
        <w:overflowPunct/>
        <w:autoSpaceDE/>
        <w:autoSpaceDN/>
        <w:bidi w:val="0"/>
        <w:snapToGrid/>
        <w:spacing w:line="360" w:lineRule="auto"/>
        <w:ind w:left="0" w:leftChars="0" w:right="0" w:firstLine="5060" w:firstLineChars="2300"/>
        <w:jc w:val="left"/>
        <w:outlineLvl w:val="9"/>
        <w:rPr>
          <w:rFonts w:hint="eastAsia" w:ascii="仿宋" w:hAnsi="仿宋" w:eastAsia="仿宋" w:cs="仿宋"/>
          <w:color w:val="auto"/>
          <w:sz w:val="22"/>
          <w:highlight w:val="none"/>
          <w:u w:val="single"/>
        </w:rPr>
      </w:pPr>
      <w:r>
        <w:rPr>
          <w:rFonts w:hint="eastAsia" w:ascii="仿宋" w:hAnsi="仿宋" w:eastAsia="仿宋" w:cs="仿宋"/>
          <w:color w:val="auto"/>
          <w:sz w:val="22"/>
          <w:highlight w:val="none"/>
          <w:lang w:eastAsia="zh-CN"/>
        </w:rPr>
        <w:t>供应商</w:t>
      </w:r>
      <w:r>
        <w:rPr>
          <w:rFonts w:hint="eastAsia" w:ascii="仿宋" w:hAnsi="仿宋" w:eastAsia="仿宋" w:cs="仿宋"/>
          <w:color w:val="auto"/>
          <w:sz w:val="22"/>
          <w:highlight w:val="none"/>
        </w:rPr>
        <w:t>：</w:t>
      </w:r>
      <w:r>
        <w:rPr>
          <w:rFonts w:hint="eastAsia" w:ascii="仿宋" w:hAnsi="仿宋" w:eastAsia="仿宋" w:cs="仿宋"/>
          <w:color w:val="auto"/>
          <w:sz w:val="22"/>
          <w:highlight w:val="none"/>
          <w:u w:val="single"/>
        </w:rPr>
        <w:t>（加盖公章）</w:t>
      </w:r>
    </w:p>
    <w:p>
      <w:pPr>
        <w:keepNext w:val="0"/>
        <w:keepLines w:val="0"/>
        <w:pageBreakBefore w:val="0"/>
        <w:kinsoku/>
        <w:overflowPunct/>
        <w:autoSpaceDE/>
        <w:autoSpaceDN/>
        <w:bidi w:val="0"/>
        <w:snapToGrid/>
        <w:spacing w:line="360" w:lineRule="auto"/>
        <w:ind w:right="0" w:firstLine="5060" w:firstLineChars="2300"/>
        <w:jc w:val="left"/>
        <w:outlineLvl w:val="9"/>
        <w:rPr>
          <w:rFonts w:hint="eastAsia" w:ascii="仿宋" w:hAnsi="仿宋" w:eastAsia="仿宋" w:cs="仿宋"/>
          <w:color w:val="auto"/>
          <w:sz w:val="22"/>
          <w:highlight w:val="none"/>
        </w:rPr>
      </w:pPr>
      <w:r>
        <w:rPr>
          <w:rFonts w:hint="eastAsia" w:ascii="仿宋" w:hAnsi="仿宋" w:eastAsia="仿宋" w:cs="仿宋"/>
          <w:bCs/>
          <w:color w:val="auto"/>
          <w:kern w:val="0"/>
          <w:sz w:val="22"/>
          <w:highlight w:val="none"/>
        </w:rPr>
        <w:t>法定代表人/授权代表签字</w:t>
      </w:r>
      <w:r>
        <w:rPr>
          <w:rFonts w:hint="eastAsia" w:ascii="仿宋" w:hAnsi="仿宋" w:eastAsia="仿宋" w:cs="仿宋"/>
          <w:color w:val="auto"/>
          <w:sz w:val="22"/>
          <w:highlight w:val="none"/>
        </w:rPr>
        <w:t>：</w:t>
      </w:r>
    </w:p>
    <w:p>
      <w:pPr>
        <w:keepNext w:val="0"/>
        <w:keepLines w:val="0"/>
        <w:pageBreakBefore w:val="0"/>
        <w:kinsoku/>
        <w:overflowPunct/>
        <w:autoSpaceDE/>
        <w:autoSpaceDN/>
        <w:bidi w:val="0"/>
        <w:snapToGrid/>
        <w:spacing w:line="360" w:lineRule="auto"/>
        <w:ind w:left="0" w:leftChars="0" w:right="0" w:firstLine="4840" w:firstLineChars="2200"/>
        <w:jc w:val="left"/>
        <w:outlineLvl w:val="9"/>
        <w:rPr>
          <w:rFonts w:hint="eastAsia" w:ascii="仿宋" w:hAnsi="仿宋" w:eastAsia="仿宋" w:cs="仿宋"/>
          <w:color w:val="auto"/>
          <w:sz w:val="24"/>
          <w:highlight w:val="none"/>
        </w:rPr>
      </w:pPr>
      <w:r>
        <w:rPr>
          <w:rFonts w:hint="eastAsia" w:ascii="仿宋" w:hAnsi="仿宋" w:eastAsia="仿宋" w:cs="仿宋"/>
          <w:color w:val="auto"/>
          <w:sz w:val="22"/>
          <w:highlight w:val="none"/>
        </w:rPr>
        <w:t xml:space="preserve">  日  期：</w:t>
      </w:r>
    </w:p>
    <w:p>
      <w:pPr>
        <w:keepNext w:val="0"/>
        <w:keepLines w:val="0"/>
        <w:pageBreakBefore w:val="0"/>
        <w:kinsoku/>
        <w:overflowPunct/>
        <w:bidi w:val="0"/>
        <w:snapToGrid/>
        <w:ind w:left="0" w:leftChars="0" w:right="0"/>
        <w:outlineLvl w:val="9"/>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br w:type="page"/>
      </w:r>
    </w:p>
    <w:p>
      <w:pPr>
        <w:keepNext w:val="0"/>
        <w:keepLines w:val="0"/>
        <w:pageBreakBefore w:val="0"/>
        <w:kinsoku/>
        <w:overflowPunct/>
        <w:autoSpaceDE/>
        <w:autoSpaceDN/>
        <w:bidi w:val="0"/>
        <w:snapToGrid/>
        <w:ind w:left="0" w:leftChars="0" w:right="0"/>
        <w:jc w:val="center"/>
        <w:outlineLvl w:val="9"/>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5.2 商务响应偏离表</w:t>
      </w: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p>
    <w:p>
      <w:pPr>
        <w:keepNext w:val="0"/>
        <w:keepLines w:val="0"/>
        <w:pageBreakBefore w:val="0"/>
        <w:kinsoku/>
        <w:overflowPunct/>
        <w:autoSpaceDE/>
        <w:autoSpaceDN/>
        <w:bidi w:val="0"/>
        <w:snapToGrid/>
        <w:ind w:left="0" w:leftChars="0" w:right="0"/>
        <w:outlineLvl w:val="9"/>
        <w:rPr>
          <w:rFonts w:hint="eastAsia" w:ascii="仿宋" w:hAnsi="仿宋" w:eastAsia="仿宋" w:cs="仿宋"/>
          <w:bCs/>
          <w:color w:val="auto"/>
          <w:kern w:val="0"/>
          <w:sz w:val="22"/>
          <w:highlight w:val="none"/>
        </w:rPr>
      </w:pPr>
      <w:r>
        <w:rPr>
          <w:rFonts w:hint="eastAsia" w:ascii="仿宋" w:hAnsi="仿宋" w:eastAsia="仿宋" w:cs="仿宋"/>
          <w:bCs/>
          <w:color w:val="auto"/>
          <w:kern w:val="0"/>
          <w:sz w:val="22"/>
          <w:highlight w:val="none"/>
        </w:rPr>
        <w:t>项目编号：</w:t>
      </w: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lang w:eastAsia="zh-CN"/>
        </w:rPr>
        <w:t>供应商</w:t>
      </w:r>
      <w:r>
        <w:rPr>
          <w:rFonts w:hint="eastAsia" w:ascii="仿宋" w:hAnsi="仿宋" w:eastAsia="仿宋" w:cs="仿宋"/>
          <w:color w:val="auto"/>
          <w:sz w:val="22"/>
          <w:highlight w:val="none"/>
        </w:rPr>
        <w:t>：</w:t>
      </w:r>
    </w:p>
    <w:tbl>
      <w:tblPr>
        <w:tblStyle w:val="47"/>
        <w:tblW w:w="93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75"/>
        <w:gridCol w:w="2753"/>
        <w:gridCol w:w="2753"/>
        <w:gridCol w:w="1377"/>
        <w:gridCol w:w="13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85" w:hRule="atLeast"/>
          <w:jc w:val="center"/>
        </w:trPr>
        <w:tc>
          <w:tcPr>
            <w:tcW w:w="1075"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编号</w:t>
            </w: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招标文件需求</w:t>
            </w: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投标文件情况</w:t>
            </w:r>
          </w:p>
        </w:tc>
        <w:tc>
          <w:tcPr>
            <w:tcW w:w="1377"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偏离度</w:t>
            </w:r>
          </w:p>
        </w:tc>
        <w:tc>
          <w:tcPr>
            <w:tcW w:w="136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jc w:val="center"/>
              <w:outlineLvl w:val="9"/>
              <w:rPr>
                <w:rFonts w:hint="eastAsia" w:ascii="仿宋" w:hAnsi="仿宋" w:eastAsia="仿宋" w:cs="仿宋"/>
                <w:b/>
                <w:color w:val="auto"/>
                <w:sz w:val="22"/>
                <w:highlight w:val="none"/>
              </w:rPr>
            </w:pPr>
            <w:r>
              <w:rPr>
                <w:rFonts w:hint="eastAsia" w:ascii="仿宋" w:hAnsi="仿宋" w:eastAsia="仿宋" w:cs="仿宋"/>
                <w:b/>
                <w:color w:val="auto"/>
                <w:sz w:val="22"/>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65" w:hRule="atLeast"/>
          <w:jc w:val="center"/>
        </w:trPr>
        <w:tc>
          <w:tcPr>
            <w:tcW w:w="1075"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7"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6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65" w:hRule="atLeast"/>
          <w:jc w:val="center"/>
        </w:trPr>
        <w:tc>
          <w:tcPr>
            <w:tcW w:w="1075"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7"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6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65" w:hRule="atLeast"/>
          <w:jc w:val="center"/>
        </w:trPr>
        <w:tc>
          <w:tcPr>
            <w:tcW w:w="1075"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7"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6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65" w:hRule="atLeast"/>
          <w:jc w:val="center"/>
        </w:trPr>
        <w:tc>
          <w:tcPr>
            <w:tcW w:w="1075"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7"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6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65" w:hRule="atLeast"/>
          <w:jc w:val="center"/>
        </w:trPr>
        <w:tc>
          <w:tcPr>
            <w:tcW w:w="1075"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7"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6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65" w:hRule="atLeast"/>
          <w:jc w:val="center"/>
        </w:trPr>
        <w:tc>
          <w:tcPr>
            <w:tcW w:w="1075"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7"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6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65" w:hRule="atLeast"/>
          <w:jc w:val="center"/>
        </w:trPr>
        <w:tc>
          <w:tcPr>
            <w:tcW w:w="1075"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7"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6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65" w:hRule="atLeast"/>
          <w:jc w:val="center"/>
        </w:trPr>
        <w:tc>
          <w:tcPr>
            <w:tcW w:w="1075"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7"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6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65" w:hRule="atLeast"/>
          <w:jc w:val="center"/>
        </w:trPr>
        <w:tc>
          <w:tcPr>
            <w:tcW w:w="1075"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77"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c>
          <w:tcPr>
            <w:tcW w:w="136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595" w:hRule="atLeast"/>
          <w:jc w:val="center"/>
        </w:trPr>
        <w:tc>
          <w:tcPr>
            <w:tcW w:w="1075"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c>
          <w:tcPr>
            <w:tcW w:w="2753"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c>
          <w:tcPr>
            <w:tcW w:w="1377"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c>
          <w:tcPr>
            <w:tcW w:w="1361" w:type="dxa"/>
            <w:tcMar>
              <w:top w:w="57" w:type="dxa"/>
              <w:left w:w="57" w:type="dxa"/>
              <w:bottom w:w="57" w:type="dxa"/>
              <w:right w:w="57" w:type="dxa"/>
            </w:tcMar>
            <w:vAlign w:val="center"/>
          </w:tcPr>
          <w:p>
            <w:pPr>
              <w:keepNext w:val="0"/>
              <w:keepLines w:val="0"/>
              <w:pageBreakBefore w:val="0"/>
              <w:kinsoku/>
              <w:overflowPunct/>
              <w:autoSpaceDE/>
              <w:autoSpaceDN/>
              <w:bidi w:val="0"/>
              <w:adjustRightInd w:val="0"/>
              <w:snapToGrid/>
              <w:spacing w:line="440" w:lineRule="exact"/>
              <w:ind w:left="0" w:leftChars="0" w:right="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w:t>
            </w:r>
          </w:p>
        </w:tc>
      </w:tr>
    </w:tbl>
    <w:p>
      <w:pPr>
        <w:keepNext w:val="0"/>
        <w:keepLines w:val="0"/>
        <w:pageBreakBefore w:val="0"/>
        <w:kinsoku/>
        <w:overflowPunct/>
        <w:autoSpaceDE/>
        <w:autoSpaceDN/>
        <w:bidi w:val="0"/>
        <w:snapToGrid/>
        <w:ind w:left="0" w:leftChars="0" w:right="0"/>
        <w:outlineLvl w:val="9"/>
        <w:rPr>
          <w:rFonts w:hint="eastAsia" w:ascii="仿宋" w:hAnsi="仿宋" w:eastAsia="仿宋" w:cs="仿宋"/>
          <w:b/>
          <w:color w:val="auto"/>
          <w:sz w:val="22"/>
          <w:highlight w:val="none"/>
        </w:rPr>
      </w:pP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sz w:val="22"/>
          <w:highlight w:val="none"/>
        </w:rPr>
      </w:pPr>
      <w:r>
        <w:rPr>
          <w:rFonts w:hint="eastAsia" w:ascii="仿宋" w:hAnsi="仿宋" w:eastAsia="仿宋" w:cs="仿宋"/>
          <w:b/>
          <w:color w:val="auto"/>
          <w:sz w:val="22"/>
          <w:highlight w:val="none"/>
        </w:rPr>
        <w:t>注：</w:t>
      </w:r>
      <w:r>
        <w:rPr>
          <w:rFonts w:hint="eastAsia" w:ascii="仿宋" w:hAnsi="仿宋" w:eastAsia="仿宋" w:cs="仿宋"/>
          <w:color w:val="auto"/>
          <w:sz w:val="22"/>
          <w:highlight w:val="none"/>
        </w:rPr>
        <w:t>1.招标文件需求：指在招标文件中第</w:t>
      </w:r>
      <w:r>
        <w:rPr>
          <w:rFonts w:hint="eastAsia" w:ascii="仿宋" w:hAnsi="仿宋" w:eastAsia="仿宋" w:cs="仿宋"/>
          <w:color w:val="auto"/>
          <w:sz w:val="22"/>
          <w:highlight w:val="none"/>
          <w:lang w:val="en-US" w:eastAsia="zh-CN"/>
        </w:rPr>
        <w:t>四</w:t>
      </w:r>
      <w:r>
        <w:rPr>
          <w:rFonts w:hint="eastAsia" w:ascii="仿宋" w:hAnsi="仿宋" w:eastAsia="仿宋" w:cs="仿宋"/>
          <w:color w:val="auto"/>
          <w:sz w:val="22"/>
          <w:highlight w:val="none"/>
        </w:rPr>
        <w:t>部分 商务要求；</w:t>
      </w:r>
    </w:p>
    <w:p>
      <w:pPr>
        <w:keepNext w:val="0"/>
        <w:keepLines w:val="0"/>
        <w:pageBreakBefore w:val="0"/>
        <w:kinsoku/>
        <w:overflowPunct/>
        <w:autoSpaceDE/>
        <w:autoSpaceDN/>
        <w:bidi w:val="0"/>
        <w:snapToGrid/>
        <w:ind w:left="0" w:leftChars="0" w:right="0" w:firstLine="440" w:firstLineChars="20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2.投标文件情况：指在投标文件中对招标文件第</w:t>
      </w:r>
      <w:r>
        <w:rPr>
          <w:rFonts w:hint="eastAsia" w:ascii="仿宋" w:hAnsi="仿宋" w:eastAsia="仿宋" w:cs="仿宋"/>
          <w:color w:val="auto"/>
          <w:sz w:val="22"/>
          <w:highlight w:val="none"/>
          <w:lang w:val="en-US" w:eastAsia="zh-CN"/>
        </w:rPr>
        <w:t>四</w:t>
      </w:r>
      <w:r>
        <w:rPr>
          <w:rFonts w:hint="eastAsia" w:ascii="仿宋" w:hAnsi="仿宋" w:eastAsia="仿宋" w:cs="仿宋"/>
          <w:color w:val="auto"/>
          <w:sz w:val="22"/>
          <w:highlight w:val="none"/>
        </w:rPr>
        <w:t>部分 商务要求的响应内容；</w:t>
      </w:r>
    </w:p>
    <w:p>
      <w:pPr>
        <w:keepNext w:val="0"/>
        <w:keepLines w:val="0"/>
        <w:pageBreakBefore w:val="0"/>
        <w:kinsoku/>
        <w:overflowPunct/>
        <w:autoSpaceDE/>
        <w:autoSpaceDN/>
        <w:bidi w:val="0"/>
        <w:snapToGrid/>
        <w:ind w:left="0" w:leftChars="0" w:right="0" w:firstLine="440" w:firstLineChars="20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3.偏离度：根据投标情况如实填写“无偏离/负偏离/优于”（</w:t>
      </w:r>
      <w:r>
        <w:rPr>
          <w:rFonts w:hint="eastAsia" w:ascii="仿宋" w:hAnsi="仿宋" w:eastAsia="仿宋" w:cs="仿宋"/>
          <w:b/>
          <w:color w:val="auto"/>
          <w:sz w:val="22"/>
          <w:highlight w:val="none"/>
          <w:u w:val="single"/>
        </w:rPr>
        <w:t>优于的后附证明材料，并在说明栏中注明证明材料所在的具体页码，否则视为虚假响应;无偏离的，说明栏可不填写或者填“无”</w:t>
      </w:r>
      <w:r>
        <w:rPr>
          <w:rFonts w:hint="eastAsia" w:ascii="仿宋" w:hAnsi="仿宋" w:eastAsia="仿宋" w:cs="仿宋"/>
          <w:color w:val="auto"/>
          <w:sz w:val="22"/>
          <w:highlight w:val="none"/>
        </w:rPr>
        <w:t>）。</w:t>
      </w:r>
    </w:p>
    <w:p>
      <w:pPr>
        <w:keepNext w:val="0"/>
        <w:keepLines w:val="0"/>
        <w:pageBreakBefore w:val="0"/>
        <w:kinsoku/>
        <w:overflowPunct/>
        <w:autoSpaceDE/>
        <w:autoSpaceDN/>
        <w:bidi w:val="0"/>
        <w:snapToGrid/>
        <w:ind w:left="0" w:leftChars="0" w:right="0" w:firstLine="440" w:firstLineChars="200"/>
        <w:outlineLvl w:val="9"/>
        <w:rPr>
          <w:rFonts w:hint="eastAsia" w:ascii="仿宋" w:hAnsi="仿宋" w:eastAsia="仿宋" w:cs="仿宋"/>
          <w:color w:val="auto"/>
          <w:sz w:val="22"/>
          <w:highlight w:val="none"/>
        </w:rPr>
      </w:pPr>
    </w:p>
    <w:p>
      <w:pPr>
        <w:keepNext w:val="0"/>
        <w:keepLines w:val="0"/>
        <w:pageBreakBefore w:val="0"/>
        <w:kinsoku/>
        <w:overflowPunct/>
        <w:autoSpaceDE/>
        <w:autoSpaceDN/>
        <w:bidi w:val="0"/>
        <w:snapToGrid/>
        <w:spacing w:line="360" w:lineRule="auto"/>
        <w:ind w:left="0" w:leftChars="0" w:right="0" w:firstLine="5060" w:firstLineChars="2300"/>
        <w:jc w:val="left"/>
        <w:outlineLvl w:val="9"/>
        <w:rPr>
          <w:rFonts w:hint="eastAsia" w:ascii="仿宋" w:hAnsi="仿宋" w:eastAsia="仿宋" w:cs="仿宋"/>
          <w:color w:val="auto"/>
          <w:sz w:val="22"/>
          <w:highlight w:val="none"/>
          <w:u w:val="single"/>
        </w:rPr>
      </w:pPr>
      <w:r>
        <w:rPr>
          <w:rFonts w:hint="eastAsia" w:ascii="仿宋" w:hAnsi="仿宋" w:eastAsia="仿宋" w:cs="仿宋"/>
          <w:color w:val="auto"/>
          <w:sz w:val="22"/>
          <w:highlight w:val="none"/>
          <w:lang w:eastAsia="zh-CN"/>
        </w:rPr>
        <w:t>供应商</w:t>
      </w:r>
      <w:r>
        <w:rPr>
          <w:rFonts w:hint="eastAsia" w:ascii="仿宋" w:hAnsi="仿宋" w:eastAsia="仿宋" w:cs="仿宋"/>
          <w:color w:val="auto"/>
          <w:sz w:val="22"/>
          <w:highlight w:val="none"/>
        </w:rPr>
        <w:t>：</w:t>
      </w:r>
      <w:r>
        <w:rPr>
          <w:rFonts w:hint="eastAsia" w:ascii="仿宋" w:hAnsi="仿宋" w:eastAsia="仿宋" w:cs="仿宋"/>
          <w:color w:val="auto"/>
          <w:sz w:val="22"/>
          <w:highlight w:val="none"/>
          <w:u w:val="single"/>
        </w:rPr>
        <w:t>（加盖公章）</w:t>
      </w:r>
    </w:p>
    <w:p>
      <w:pPr>
        <w:keepNext w:val="0"/>
        <w:keepLines w:val="0"/>
        <w:pageBreakBefore w:val="0"/>
        <w:kinsoku/>
        <w:overflowPunct/>
        <w:autoSpaceDE/>
        <w:autoSpaceDN/>
        <w:bidi w:val="0"/>
        <w:snapToGrid/>
        <w:spacing w:line="360" w:lineRule="auto"/>
        <w:ind w:left="0" w:leftChars="0" w:right="0" w:firstLine="5060" w:firstLineChars="2300"/>
        <w:jc w:val="left"/>
        <w:outlineLvl w:val="9"/>
        <w:rPr>
          <w:rFonts w:hint="eastAsia" w:ascii="仿宋" w:hAnsi="仿宋" w:eastAsia="仿宋" w:cs="仿宋"/>
          <w:color w:val="auto"/>
          <w:sz w:val="22"/>
          <w:highlight w:val="none"/>
        </w:rPr>
      </w:pPr>
      <w:r>
        <w:rPr>
          <w:rFonts w:hint="eastAsia" w:ascii="仿宋" w:hAnsi="仿宋" w:eastAsia="仿宋" w:cs="仿宋"/>
          <w:bCs/>
          <w:color w:val="auto"/>
          <w:kern w:val="0"/>
          <w:sz w:val="22"/>
          <w:highlight w:val="none"/>
        </w:rPr>
        <w:t>法定代表人/授权代表签字</w:t>
      </w:r>
      <w:r>
        <w:rPr>
          <w:rFonts w:hint="eastAsia" w:ascii="仿宋" w:hAnsi="仿宋" w:eastAsia="仿宋" w:cs="仿宋"/>
          <w:color w:val="auto"/>
          <w:sz w:val="22"/>
          <w:highlight w:val="none"/>
        </w:rPr>
        <w:t>：</w:t>
      </w:r>
    </w:p>
    <w:p>
      <w:pPr>
        <w:keepNext w:val="0"/>
        <w:keepLines w:val="0"/>
        <w:pageBreakBefore w:val="0"/>
        <w:kinsoku/>
        <w:overflowPunct/>
        <w:autoSpaceDE/>
        <w:autoSpaceDN/>
        <w:bidi w:val="0"/>
        <w:snapToGrid/>
        <w:spacing w:line="360" w:lineRule="auto"/>
        <w:ind w:left="0" w:leftChars="0" w:right="0" w:firstLine="4840" w:firstLineChars="2200"/>
        <w:jc w:val="left"/>
        <w:outlineLvl w:val="9"/>
        <w:rPr>
          <w:rFonts w:hint="eastAsia" w:ascii="仿宋" w:hAnsi="仿宋" w:eastAsia="仿宋" w:cs="仿宋"/>
          <w:color w:val="auto"/>
          <w:sz w:val="24"/>
          <w:highlight w:val="none"/>
        </w:rPr>
      </w:pPr>
      <w:r>
        <w:rPr>
          <w:rFonts w:hint="eastAsia" w:ascii="仿宋" w:hAnsi="仿宋" w:eastAsia="仿宋" w:cs="仿宋"/>
          <w:color w:val="auto"/>
          <w:sz w:val="22"/>
          <w:highlight w:val="none"/>
        </w:rPr>
        <w:t xml:space="preserve">  日  期：</w:t>
      </w:r>
    </w:p>
    <w:p>
      <w:pPr>
        <w:keepNext w:val="0"/>
        <w:keepLines w:val="0"/>
        <w:pageBreakBefore w:val="0"/>
        <w:kinsoku/>
        <w:overflowPunct/>
        <w:bidi w:val="0"/>
        <w:snapToGrid/>
        <w:ind w:left="0" w:leftChars="0" w:right="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六、技术证明及方案说明</w:t>
      </w:r>
    </w:p>
    <w:p>
      <w:pPr>
        <w:pStyle w:val="26"/>
        <w:keepNext w:val="0"/>
        <w:keepLines w:val="0"/>
        <w:pageBreakBefore w:val="0"/>
        <w:kinsoku/>
        <w:wordWrap w:val="0"/>
        <w:overflowPunct/>
        <w:topLinePunct/>
        <w:autoSpaceDE/>
        <w:autoSpaceDN/>
        <w:bidi w:val="0"/>
        <w:snapToGrid/>
        <w:spacing w:line="500" w:lineRule="exact"/>
        <w:ind w:left="0" w:leftChars="0" w:right="0" w:firstLine="440" w:firstLineChars="200"/>
        <w:contextualSpacing/>
        <w:jc w:val="left"/>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由</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根据采购内容及评分要素，结合自身情况自主编写，方案详细具体、证明材料完善，评标时作为评审依据：</w:t>
      </w:r>
    </w:p>
    <w:p>
      <w:pPr>
        <w:keepNext w:val="0"/>
        <w:keepLines w:val="0"/>
        <w:pageBreakBefore w:val="0"/>
        <w:kinsoku/>
        <w:wordWrap w:val="0"/>
        <w:overflowPunct/>
        <w:topLinePunct/>
        <w:autoSpaceDE/>
        <w:autoSpaceDN/>
        <w:bidi w:val="0"/>
        <w:snapToGrid/>
        <w:ind w:left="0" w:leftChars="0" w:right="0"/>
        <w:outlineLvl w:val="9"/>
        <w:rPr>
          <w:rFonts w:hint="eastAsia" w:ascii="仿宋" w:hAnsi="仿宋" w:eastAsia="仿宋" w:cs="仿宋"/>
          <w:color w:val="auto"/>
          <w:sz w:val="22"/>
          <w:highlight w:val="none"/>
        </w:rPr>
      </w:pPr>
    </w:p>
    <w:p>
      <w:pPr>
        <w:pStyle w:val="26"/>
        <w:keepNext w:val="0"/>
        <w:keepLines w:val="0"/>
        <w:pageBreakBefore w:val="0"/>
        <w:kinsoku/>
        <w:wordWrap w:val="0"/>
        <w:overflowPunct/>
        <w:topLinePunct/>
        <w:autoSpaceDE/>
        <w:autoSpaceDN/>
        <w:bidi w:val="0"/>
        <w:snapToGrid/>
        <w:spacing w:line="360" w:lineRule="auto"/>
        <w:ind w:left="0" w:leftChars="0" w:right="0" w:firstLine="440" w:firstLineChars="200"/>
        <w:contextualSpacing/>
        <w:jc w:val="left"/>
        <w:outlineLvl w:val="9"/>
        <w:rPr>
          <w:rFonts w:hint="eastAsia" w:ascii="仿宋" w:hAnsi="仿宋" w:eastAsia="仿宋" w:cs="仿宋"/>
          <w:b/>
          <w:bCs/>
          <w:color w:val="auto"/>
          <w:sz w:val="22"/>
          <w:szCs w:val="22"/>
          <w:highlight w:val="none"/>
        </w:rPr>
      </w:pPr>
      <w:r>
        <w:rPr>
          <w:rFonts w:hint="eastAsia" w:ascii="仿宋" w:hAnsi="仿宋" w:eastAsia="仿宋" w:cs="仿宋"/>
          <w:color w:val="auto"/>
          <w:sz w:val="22"/>
          <w:szCs w:val="22"/>
          <w:highlight w:val="none"/>
          <w:u w:val="single"/>
        </w:rPr>
        <w:t>可标明拟投入的项目经理人及技术负责人员安排表、履历表、证书等</w:t>
      </w:r>
    </w:p>
    <w:p>
      <w:pPr>
        <w:keepNext w:val="0"/>
        <w:keepLines w:val="0"/>
        <w:pageBreakBefore w:val="0"/>
        <w:kinsoku/>
        <w:wordWrap w:val="0"/>
        <w:overflowPunct/>
        <w:topLinePunct/>
        <w:autoSpaceDE/>
        <w:autoSpaceDN/>
        <w:bidi w:val="0"/>
        <w:snapToGrid/>
        <w:spacing w:line="360" w:lineRule="auto"/>
        <w:ind w:left="0" w:leftChars="0" w:right="0"/>
        <w:contextualSpacing/>
        <w:jc w:val="left"/>
        <w:outlineLvl w:val="9"/>
        <w:rPr>
          <w:rFonts w:hint="eastAsia" w:ascii="仿宋" w:hAnsi="仿宋" w:eastAsia="仿宋" w:cs="仿宋"/>
          <w:b/>
          <w:bCs/>
          <w:color w:val="auto"/>
          <w:sz w:val="22"/>
          <w:highlight w:val="none"/>
        </w:rPr>
      </w:pPr>
    </w:p>
    <w:p>
      <w:pPr>
        <w:keepNext w:val="0"/>
        <w:keepLines w:val="0"/>
        <w:pageBreakBefore w:val="0"/>
        <w:kinsoku/>
        <w:overflowPunct/>
        <w:bidi w:val="0"/>
        <w:snapToGrid/>
        <w:ind w:left="0" w:leftChars="0" w:right="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七.履约能力及售后承诺</w:t>
      </w:r>
    </w:p>
    <w:p>
      <w:pPr>
        <w:keepNext w:val="0"/>
        <w:keepLines w:val="0"/>
        <w:pageBreakBefore w:val="0"/>
        <w:kinsoku/>
        <w:wordWrap w:val="0"/>
        <w:overflowPunct/>
        <w:topLinePunct/>
        <w:autoSpaceDE/>
        <w:autoSpaceDN/>
        <w:bidi w:val="0"/>
        <w:snapToGrid/>
        <w:spacing w:line="360" w:lineRule="auto"/>
        <w:ind w:left="0" w:leftChars="0" w:right="0" w:firstLine="495"/>
        <w:contextualSpacing/>
        <w:jc w:val="left"/>
        <w:outlineLvl w:val="9"/>
        <w:rPr>
          <w:rFonts w:hint="eastAsia" w:ascii="仿宋" w:hAnsi="仿宋" w:eastAsia="仿宋" w:cs="仿宋"/>
          <w:bCs/>
          <w:color w:val="auto"/>
          <w:sz w:val="22"/>
          <w:highlight w:val="none"/>
        </w:rPr>
      </w:pPr>
      <w:r>
        <w:rPr>
          <w:rFonts w:hint="eastAsia" w:ascii="仿宋" w:hAnsi="仿宋" w:eastAsia="仿宋" w:cs="仿宋"/>
          <w:bCs/>
          <w:color w:val="auto"/>
          <w:sz w:val="22"/>
          <w:highlight w:val="none"/>
          <w:lang w:eastAsia="zh-CN"/>
        </w:rPr>
        <w:t>供应商</w:t>
      </w:r>
      <w:r>
        <w:rPr>
          <w:rFonts w:hint="eastAsia" w:ascii="仿宋" w:hAnsi="仿宋" w:eastAsia="仿宋" w:cs="仿宋"/>
          <w:bCs/>
          <w:color w:val="auto"/>
          <w:sz w:val="22"/>
          <w:highlight w:val="none"/>
        </w:rPr>
        <w:t>根据采购内容，结合自身情况自主编写，提供相关资料/证明文件，评标时作为评审依据：</w:t>
      </w:r>
    </w:p>
    <w:p>
      <w:pPr>
        <w:keepNext w:val="0"/>
        <w:keepLines w:val="0"/>
        <w:pageBreakBefore w:val="0"/>
        <w:kinsoku/>
        <w:wordWrap w:val="0"/>
        <w:overflowPunct/>
        <w:topLinePunct/>
        <w:autoSpaceDE/>
        <w:autoSpaceDN/>
        <w:bidi w:val="0"/>
        <w:snapToGrid/>
        <w:ind w:left="0" w:leftChars="0" w:right="0" w:firstLine="440" w:firstLineChars="200"/>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可提供如下列等内容</w:t>
      </w:r>
    </w:p>
    <w:p>
      <w:pPr>
        <w:pStyle w:val="26"/>
        <w:keepNext w:val="0"/>
        <w:keepLines w:val="0"/>
        <w:pageBreakBefore w:val="0"/>
        <w:kinsoku/>
        <w:wordWrap w:val="0"/>
        <w:overflowPunct/>
        <w:topLinePunct/>
        <w:autoSpaceDE/>
        <w:autoSpaceDN/>
        <w:bidi w:val="0"/>
        <w:snapToGrid/>
        <w:spacing w:line="360" w:lineRule="auto"/>
        <w:ind w:left="0" w:leftChars="0" w:right="0" w:firstLine="552" w:firstLineChars="250"/>
        <w:contextualSpacing/>
        <w:jc w:val="left"/>
        <w:outlineLvl w:val="9"/>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rPr>
        <w:t>7.1</w:t>
      </w:r>
      <w:r>
        <w:rPr>
          <w:rFonts w:hint="eastAsia" w:ascii="仿宋" w:hAnsi="仿宋" w:eastAsia="仿宋" w:cs="仿宋"/>
          <w:b/>
          <w:bCs/>
          <w:color w:val="auto"/>
          <w:sz w:val="22"/>
          <w:szCs w:val="22"/>
          <w:highlight w:val="none"/>
          <w:lang w:eastAsia="zh-CN"/>
        </w:rPr>
        <w:t>实施方案</w:t>
      </w:r>
    </w:p>
    <w:p>
      <w:pPr>
        <w:pStyle w:val="26"/>
        <w:keepNext w:val="0"/>
        <w:keepLines w:val="0"/>
        <w:pageBreakBefore w:val="0"/>
        <w:kinsoku/>
        <w:wordWrap w:val="0"/>
        <w:overflowPunct/>
        <w:topLinePunct/>
        <w:autoSpaceDE/>
        <w:autoSpaceDN/>
        <w:bidi w:val="0"/>
        <w:snapToGrid/>
        <w:spacing w:line="360" w:lineRule="auto"/>
        <w:ind w:left="0" w:leftChars="0" w:right="0" w:firstLine="550" w:firstLineChars="250"/>
        <w:contextualSpacing/>
        <w:jc w:val="left"/>
        <w:outlineLvl w:val="9"/>
        <w:rPr>
          <w:rFonts w:hint="eastAsia" w:ascii="仿宋" w:hAnsi="仿宋" w:eastAsia="仿宋" w:cs="仿宋"/>
          <w:b/>
          <w:bCs/>
          <w:color w:val="auto"/>
          <w:sz w:val="22"/>
          <w:szCs w:val="22"/>
          <w:highlight w:val="none"/>
          <w:lang w:eastAsia="zh-CN"/>
        </w:rPr>
      </w:pP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根据采购内容</w:t>
      </w:r>
      <w:r>
        <w:rPr>
          <w:rFonts w:hint="eastAsia" w:ascii="仿宋" w:hAnsi="仿宋" w:eastAsia="仿宋" w:cs="仿宋"/>
          <w:color w:val="auto"/>
          <w:sz w:val="22"/>
          <w:szCs w:val="22"/>
          <w:highlight w:val="none"/>
          <w:lang w:eastAsia="zh-CN"/>
        </w:rPr>
        <w:t>结合自身情况编写实施方案</w:t>
      </w:r>
    </w:p>
    <w:p>
      <w:pPr>
        <w:pStyle w:val="26"/>
        <w:keepNext w:val="0"/>
        <w:keepLines w:val="0"/>
        <w:pageBreakBefore w:val="0"/>
        <w:kinsoku/>
        <w:wordWrap w:val="0"/>
        <w:overflowPunct/>
        <w:topLinePunct/>
        <w:autoSpaceDE/>
        <w:autoSpaceDN/>
        <w:bidi w:val="0"/>
        <w:snapToGrid/>
        <w:spacing w:line="360" w:lineRule="auto"/>
        <w:ind w:left="0" w:leftChars="0" w:right="0" w:firstLine="552" w:firstLineChars="250"/>
        <w:contextualSpacing/>
        <w:jc w:val="left"/>
        <w:outlineLvl w:val="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en-US" w:eastAsia="zh-CN"/>
        </w:rPr>
        <w:t>7.2</w:t>
      </w:r>
      <w:r>
        <w:rPr>
          <w:rFonts w:hint="eastAsia" w:ascii="仿宋" w:hAnsi="仿宋" w:eastAsia="仿宋" w:cs="仿宋"/>
          <w:b/>
          <w:bCs/>
          <w:color w:val="auto"/>
          <w:sz w:val="22"/>
          <w:szCs w:val="22"/>
          <w:highlight w:val="none"/>
        </w:rPr>
        <w:t>企业实力证明材料</w:t>
      </w:r>
    </w:p>
    <w:p>
      <w:pPr>
        <w:pStyle w:val="26"/>
        <w:keepNext w:val="0"/>
        <w:keepLines w:val="0"/>
        <w:pageBreakBefore w:val="0"/>
        <w:kinsoku/>
        <w:wordWrap w:val="0"/>
        <w:overflowPunct/>
        <w:topLinePunct/>
        <w:autoSpaceDE/>
        <w:autoSpaceDN/>
        <w:bidi w:val="0"/>
        <w:snapToGrid/>
        <w:spacing w:line="360" w:lineRule="auto"/>
        <w:ind w:left="0" w:leftChars="0" w:right="0" w:firstLine="770" w:firstLineChars="350"/>
        <w:contextualSpacing/>
        <w:jc w:val="left"/>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根据自身情况与采购需求，提供相应证明材料</w:t>
      </w:r>
    </w:p>
    <w:p>
      <w:pPr>
        <w:pStyle w:val="26"/>
        <w:keepNext w:val="0"/>
        <w:keepLines w:val="0"/>
        <w:pageBreakBefore w:val="0"/>
        <w:kinsoku/>
        <w:wordWrap w:val="0"/>
        <w:overflowPunct/>
        <w:topLinePunct/>
        <w:autoSpaceDE/>
        <w:autoSpaceDN/>
        <w:bidi w:val="0"/>
        <w:snapToGrid/>
        <w:spacing w:line="360" w:lineRule="auto"/>
        <w:ind w:left="0" w:leftChars="0" w:right="0" w:firstLine="552" w:firstLineChars="250"/>
        <w:contextualSpacing/>
        <w:jc w:val="left"/>
        <w:outlineLvl w:val="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7.</w:t>
      </w:r>
      <w:r>
        <w:rPr>
          <w:rFonts w:hint="eastAsia" w:ascii="仿宋" w:hAnsi="仿宋" w:eastAsia="仿宋" w:cs="仿宋"/>
          <w:b/>
          <w:bCs/>
          <w:color w:val="auto"/>
          <w:sz w:val="22"/>
          <w:szCs w:val="22"/>
          <w:highlight w:val="none"/>
          <w:lang w:val="en-US" w:eastAsia="zh-CN"/>
        </w:rPr>
        <w:t>3</w:t>
      </w:r>
      <w:r>
        <w:rPr>
          <w:rFonts w:hint="eastAsia" w:ascii="仿宋" w:hAnsi="仿宋" w:eastAsia="仿宋" w:cs="仿宋"/>
          <w:b/>
          <w:bCs/>
          <w:color w:val="auto"/>
          <w:sz w:val="22"/>
          <w:szCs w:val="22"/>
          <w:highlight w:val="none"/>
        </w:rPr>
        <w:t>售后服务承诺及方案</w:t>
      </w:r>
    </w:p>
    <w:p>
      <w:pPr>
        <w:pStyle w:val="26"/>
        <w:keepNext w:val="0"/>
        <w:keepLines w:val="0"/>
        <w:pageBreakBefore w:val="0"/>
        <w:kinsoku/>
        <w:wordWrap w:val="0"/>
        <w:overflowPunct/>
        <w:topLinePunct/>
        <w:autoSpaceDE/>
        <w:autoSpaceDN/>
        <w:bidi w:val="0"/>
        <w:snapToGrid/>
        <w:spacing w:line="360" w:lineRule="auto"/>
        <w:ind w:left="0" w:leftChars="0" w:right="0" w:firstLine="770" w:firstLineChars="350"/>
        <w:contextualSpacing/>
        <w:jc w:val="left"/>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根据采购内容及评分要素自主提供</w:t>
      </w:r>
    </w:p>
    <w:p>
      <w:pPr>
        <w:pStyle w:val="26"/>
        <w:keepNext w:val="0"/>
        <w:keepLines w:val="0"/>
        <w:pageBreakBefore w:val="0"/>
        <w:kinsoku/>
        <w:wordWrap w:val="0"/>
        <w:overflowPunct/>
        <w:topLinePunct/>
        <w:autoSpaceDE/>
        <w:autoSpaceDN/>
        <w:bidi w:val="0"/>
        <w:snapToGrid/>
        <w:spacing w:line="360" w:lineRule="auto"/>
        <w:ind w:left="0" w:leftChars="0" w:right="0" w:firstLine="552" w:firstLineChars="250"/>
        <w:contextualSpacing/>
        <w:jc w:val="left"/>
        <w:outlineLvl w:val="9"/>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7.4</w:t>
      </w:r>
      <w:r>
        <w:rPr>
          <w:rFonts w:hint="eastAsia" w:ascii="仿宋" w:hAnsi="仿宋" w:eastAsia="仿宋" w:cs="仿宋"/>
          <w:b/>
          <w:bCs/>
          <w:color w:val="auto"/>
          <w:sz w:val="22"/>
          <w:szCs w:val="22"/>
          <w:highlight w:val="none"/>
          <w:lang w:eastAsia="zh-CN"/>
        </w:rPr>
        <w:t>应急方案</w:t>
      </w:r>
    </w:p>
    <w:p>
      <w:pPr>
        <w:pStyle w:val="26"/>
        <w:keepNext w:val="0"/>
        <w:keepLines w:val="0"/>
        <w:pageBreakBefore w:val="0"/>
        <w:kinsoku/>
        <w:wordWrap w:val="0"/>
        <w:overflowPunct/>
        <w:topLinePunct/>
        <w:autoSpaceDE/>
        <w:autoSpaceDN/>
        <w:bidi w:val="0"/>
        <w:snapToGrid/>
        <w:spacing w:line="360" w:lineRule="auto"/>
        <w:ind w:left="0" w:leftChars="0" w:right="0" w:firstLine="770" w:firstLineChars="350"/>
        <w:contextualSpacing/>
        <w:jc w:val="left"/>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根据采购内容及评分要素自主提供</w:t>
      </w:r>
    </w:p>
    <w:p>
      <w:pPr>
        <w:pStyle w:val="26"/>
        <w:keepNext w:val="0"/>
        <w:keepLines w:val="0"/>
        <w:pageBreakBefore w:val="0"/>
        <w:kinsoku/>
        <w:wordWrap w:val="0"/>
        <w:overflowPunct/>
        <w:topLinePunct/>
        <w:autoSpaceDE/>
        <w:autoSpaceDN/>
        <w:bidi w:val="0"/>
        <w:snapToGrid/>
        <w:spacing w:line="360" w:lineRule="auto"/>
        <w:ind w:left="0" w:leftChars="0" w:right="0" w:firstLine="552" w:firstLineChars="250"/>
        <w:contextualSpacing/>
        <w:jc w:val="left"/>
        <w:outlineLvl w:val="9"/>
        <w:rPr>
          <w:rFonts w:hint="eastAsia" w:ascii="仿宋" w:hAnsi="仿宋" w:eastAsia="仿宋" w:cs="仿宋"/>
          <w:bCs/>
          <w:color w:val="auto"/>
          <w:sz w:val="22"/>
          <w:szCs w:val="22"/>
          <w:highlight w:val="none"/>
        </w:rPr>
      </w:pPr>
      <w:r>
        <w:rPr>
          <w:rFonts w:hint="eastAsia" w:ascii="仿宋" w:hAnsi="仿宋" w:eastAsia="仿宋" w:cs="仿宋"/>
          <w:b/>
          <w:bCs/>
          <w:color w:val="auto"/>
          <w:sz w:val="22"/>
          <w:szCs w:val="22"/>
          <w:highlight w:val="none"/>
        </w:rPr>
        <w:t>7.</w:t>
      </w:r>
      <w:r>
        <w:rPr>
          <w:rFonts w:hint="eastAsia" w:ascii="仿宋" w:hAnsi="仿宋" w:eastAsia="仿宋" w:cs="仿宋"/>
          <w:b/>
          <w:bCs/>
          <w:color w:val="auto"/>
          <w:sz w:val="22"/>
          <w:szCs w:val="22"/>
          <w:highlight w:val="none"/>
          <w:lang w:val="en-US" w:eastAsia="zh-CN"/>
        </w:rPr>
        <w:t>5</w:t>
      </w:r>
      <w:r>
        <w:rPr>
          <w:rFonts w:hint="eastAsia" w:ascii="仿宋" w:hAnsi="仿宋" w:eastAsia="仿宋" w:cs="仿宋"/>
          <w:b/>
          <w:bCs/>
          <w:color w:val="auto"/>
          <w:sz w:val="22"/>
          <w:szCs w:val="22"/>
          <w:highlight w:val="none"/>
        </w:rPr>
        <w:t>同类项目业绩案例</w:t>
      </w:r>
      <w:r>
        <w:rPr>
          <w:rFonts w:hint="eastAsia" w:ascii="仿宋" w:hAnsi="仿宋" w:eastAsia="仿宋" w:cs="仿宋"/>
          <w:bCs/>
          <w:color w:val="auto"/>
          <w:sz w:val="22"/>
          <w:szCs w:val="22"/>
          <w:highlight w:val="none"/>
        </w:rPr>
        <w:t>（如有）</w:t>
      </w:r>
    </w:p>
    <w:p>
      <w:pPr>
        <w:pStyle w:val="26"/>
        <w:keepNext w:val="0"/>
        <w:keepLines w:val="0"/>
        <w:pageBreakBefore w:val="0"/>
        <w:kinsoku/>
        <w:wordWrap w:val="0"/>
        <w:overflowPunct/>
        <w:topLinePunct/>
        <w:autoSpaceDE/>
        <w:autoSpaceDN/>
        <w:bidi w:val="0"/>
        <w:snapToGrid/>
        <w:spacing w:line="360" w:lineRule="auto"/>
        <w:ind w:left="0" w:leftChars="0" w:right="0" w:firstLine="770" w:firstLineChars="350"/>
        <w:contextualSpacing/>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合同复印件/扫描件 加盖公章</w:t>
      </w:r>
    </w:p>
    <w:p>
      <w:pPr>
        <w:pStyle w:val="26"/>
        <w:keepNext w:val="0"/>
        <w:keepLines w:val="0"/>
        <w:pageBreakBefore w:val="0"/>
        <w:kinsoku/>
        <w:wordWrap w:val="0"/>
        <w:overflowPunct/>
        <w:topLinePunct/>
        <w:autoSpaceDE/>
        <w:autoSpaceDN/>
        <w:bidi w:val="0"/>
        <w:snapToGrid/>
        <w:spacing w:line="360" w:lineRule="auto"/>
        <w:ind w:left="0" w:leftChars="0" w:right="0" w:firstLine="220" w:firstLineChars="100"/>
        <w:contextualSpacing/>
        <w:jc w:val="left"/>
        <w:outlineLvl w:val="9"/>
        <w:rPr>
          <w:rFonts w:hint="eastAsia" w:ascii="仿宋" w:hAnsi="仿宋" w:eastAsia="仿宋" w:cs="仿宋"/>
          <w:b/>
          <w:bCs/>
          <w:color w:val="auto"/>
          <w:sz w:val="22"/>
          <w:szCs w:val="22"/>
          <w:highlight w:val="none"/>
        </w:rPr>
      </w:pPr>
      <w:r>
        <w:rPr>
          <w:rFonts w:hint="eastAsia" w:ascii="仿宋" w:hAnsi="仿宋" w:eastAsia="仿宋" w:cs="仿宋"/>
          <w:color w:val="auto"/>
          <w:sz w:val="22"/>
          <w:szCs w:val="22"/>
          <w:highlight w:val="none"/>
        </w:rPr>
        <w:t xml:space="preserve">  </w:t>
      </w:r>
      <w:r>
        <w:rPr>
          <w:rFonts w:hint="eastAsia" w:ascii="仿宋" w:hAnsi="仿宋" w:eastAsia="仿宋" w:cs="仿宋"/>
          <w:b/>
          <w:bCs/>
          <w:color w:val="auto"/>
          <w:sz w:val="22"/>
          <w:szCs w:val="22"/>
          <w:highlight w:val="none"/>
        </w:rPr>
        <w:t>7.</w:t>
      </w:r>
      <w:r>
        <w:rPr>
          <w:rFonts w:hint="eastAsia" w:ascii="仿宋" w:hAnsi="仿宋" w:eastAsia="仿宋" w:cs="仿宋"/>
          <w:b/>
          <w:bCs/>
          <w:color w:val="auto"/>
          <w:sz w:val="22"/>
          <w:szCs w:val="22"/>
          <w:highlight w:val="none"/>
          <w:lang w:val="en-US" w:eastAsia="zh-CN"/>
        </w:rPr>
        <w:t>6</w:t>
      </w:r>
      <w:r>
        <w:rPr>
          <w:rFonts w:hint="eastAsia" w:ascii="仿宋" w:hAnsi="仿宋" w:eastAsia="仿宋" w:cs="仿宋"/>
          <w:b/>
          <w:bCs/>
          <w:color w:val="auto"/>
          <w:sz w:val="22"/>
          <w:szCs w:val="22"/>
          <w:highlight w:val="none"/>
          <w:lang w:eastAsia="zh-CN"/>
        </w:rPr>
        <w:t>供应商</w:t>
      </w:r>
      <w:r>
        <w:rPr>
          <w:rFonts w:hint="eastAsia" w:ascii="仿宋" w:hAnsi="仿宋" w:eastAsia="仿宋" w:cs="仿宋"/>
          <w:b/>
          <w:bCs/>
          <w:color w:val="auto"/>
          <w:sz w:val="22"/>
          <w:szCs w:val="22"/>
          <w:highlight w:val="none"/>
        </w:rPr>
        <w:t>认为其它有关的能力证明材料</w:t>
      </w:r>
      <w:r>
        <w:rPr>
          <w:rFonts w:hint="eastAsia" w:ascii="仿宋" w:hAnsi="仿宋" w:eastAsia="仿宋" w:cs="仿宋"/>
          <w:bCs/>
          <w:color w:val="auto"/>
          <w:sz w:val="22"/>
          <w:szCs w:val="22"/>
          <w:highlight w:val="none"/>
        </w:rPr>
        <w:t>（如有）</w:t>
      </w:r>
      <w:r>
        <w:rPr>
          <w:rFonts w:hint="eastAsia" w:ascii="仿宋" w:hAnsi="仿宋" w:eastAsia="仿宋" w:cs="仿宋"/>
          <w:b/>
          <w:bCs/>
          <w:color w:val="auto"/>
          <w:sz w:val="22"/>
          <w:szCs w:val="22"/>
          <w:highlight w:val="none"/>
        </w:rPr>
        <w:t xml:space="preserve"> </w:t>
      </w:r>
    </w:p>
    <w:p>
      <w:pPr>
        <w:keepNext w:val="0"/>
        <w:keepLines w:val="0"/>
        <w:pageBreakBefore w:val="0"/>
        <w:kinsoku/>
        <w:wordWrap w:val="0"/>
        <w:overflowPunct/>
        <w:topLinePunct/>
        <w:autoSpaceDE/>
        <w:autoSpaceDN/>
        <w:bidi w:val="0"/>
        <w:snapToGrid/>
        <w:spacing w:line="360" w:lineRule="auto"/>
        <w:ind w:left="0" w:leftChars="0" w:right="0"/>
        <w:contextualSpacing/>
        <w:jc w:val="left"/>
        <w:outlineLvl w:val="9"/>
        <w:rPr>
          <w:rFonts w:hint="eastAsia" w:ascii="仿宋" w:hAnsi="仿宋" w:eastAsia="仿宋" w:cs="仿宋"/>
          <w:b/>
          <w:bCs/>
          <w:color w:val="auto"/>
          <w:sz w:val="22"/>
          <w:highlight w:val="none"/>
        </w:rPr>
      </w:pPr>
    </w:p>
    <w:p>
      <w:pPr>
        <w:keepNext w:val="0"/>
        <w:keepLines w:val="0"/>
        <w:pageBreakBefore w:val="0"/>
        <w:kinsoku/>
        <w:overflowPunct/>
        <w:bidi w:val="0"/>
        <w:snapToGrid/>
        <w:ind w:left="0" w:leftChars="0" w:right="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八、供应商认为有必要的其它说明</w:t>
      </w:r>
    </w:p>
    <w:p>
      <w:pPr>
        <w:keepNext w:val="0"/>
        <w:keepLines w:val="0"/>
        <w:pageBreakBefore w:val="0"/>
        <w:kinsoku/>
        <w:overflowPunct/>
        <w:bidi w:val="0"/>
        <w:snapToGrid/>
        <w:spacing w:line="219" w:lineRule="auto"/>
        <w:ind w:left="0" w:leftChars="0" w:right="0"/>
        <w:jc w:val="center"/>
        <w:outlineLvl w:val="9"/>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103" w14:cap="sq" w14:cmpd="sng">
            <w14:solidFill>
              <w14:srgbClr w14:val="000000"/>
            </w14:solidFill>
            <w14:prstDash w14:val="solid"/>
            <w14:bevel/>
          </w14:textOutline>
        </w:rPr>
        <w:t>中小企业声明函(货物)</w:t>
      </w:r>
    </w:p>
    <w:p>
      <w:pPr>
        <w:keepNext w:val="0"/>
        <w:keepLines w:val="0"/>
        <w:pageBreakBefore w:val="0"/>
        <w:kinsoku/>
        <w:overflowPunct/>
        <w:bidi w:val="0"/>
        <w:snapToGrid/>
        <w:spacing w:line="354" w:lineRule="auto"/>
        <w:ind w:left="0" w:leftChars="0" w:right="0" w:firstLine="448"/>
        <w:outlineLvl w:val="9"/>
        <w:rPr>
          <w:rFonts w:hint="eastAsia" w:ascii="仿宋" w:hAnsi="仿宋" w:eastAsia="仿宋" w:cs="仿宋"/>
          <w:sz w:val="23"/>
          <w:szCs w:val="23"/>
          <w:highlight w:val="none"/>
        </w:rPr>
      </w:pPr>
      <w:r>
        <w:rPr>
          <w:rFonts w:hint="eastAsia" w:ascii="仿宋" w:hAnsi="仿宋" w:eastAsia="仿宋" w:cs="仿宋"/>
          <w:spacing w:val="20"/>
          <w:sz w:val="23"/>
          <w:szCs w:val="23"/>
          <w:highlight w:val="none"/>
        </w:rPr>
        <w:t>本</w:t>
      </w:r>
      <w:r>
        <w:rPr>
          <w:rFonts w:hint="eastAsia" w:ascii="仿宋" w:hAnsi="仿宋" w:eastAsia="仿宋" w:cs="仿宋"/>
          <w:spacing w:val="13"/>
          <w:sz w:val="23"/>
          <w:szCs w:val="23"/>
          <w:highlight w:val="none"/>
        </w:rPr>
        <w:t>公司(联合体)郑重声明，根据《政府采购促进中小企业发展管理办法》(财库</w:t>
      </w:r>
      <w:r>
        <w:rPr>
          <w:rFonts w:hint="eastAsia" w:ascii="仿宋" w:hAnsi="仿宋" w:eastAsia="仿宋" w:cs="仿宋"/>
          <w:spacing w:val="10"/>
          <w:sz w:val="23"/>
          <w:szCs w:val="23"/>
          <w:highlight w:val="none"/>
        </w:rPr>
        <w:t>〔2</w:t>
      </w:r>
      <w:r>
        <w:rPr>
          <w:rFonts w:hint="eastAsia" w:ascii="仿宋" w:hAnsi="仿宋" w:eastAsia="仿宋" w:cs="仿宋"/>
          <w:spacing w:val="8"/>
          <w:sz w:val="23"/>
          <w:szCs w:val="23"/>
          <w:highlight w:val="none"/>
        </w:rPr>
        <w:t>0</w:t>
      </w:r>
      <w:r>
        <w:rPr>
          <w:rFonts w:hint="eastAsia" w:ascii="仿宋" w:hAnsi="仿宋" w:eastAsia="仿宋" w:cs="仿宋"/>
          <w:spacing w:val="5"/>
          <w:sz w:val="23"/>
          <w:szCs w:val="23"/>
          <w:highlight w:val="none"/>
        </w:rPr>
        <w:t>20〕46号)的规定，本公司(联合体)参加</w:t>
      </w:r>
      <w:r>
        <w:rPr>
          <w:rFonts w:hint="eastAsia" w:ascii="仿宋" w:hAnsi="仿宋" w:eastAsia="仿宋" w:cs="仿宋"/>
          <w:spacing w:val="5"/>
          <w:sz w:val="23"/>
          <w:szCs w:val="23"/>
          <w:highlight w:val="none"/>
          <w:u w:val="single" w:color="auto"/>
        </w:rPr>
        <w:t>(采购人)</w:t>
      </w:r>
      <w:r>
        <w:rPr>
          <w:rFonts w:hint="eastAsia" w:ascii="仿宋" w:hAnsi="仿宋" w:eastAsia="仿宋" w:cs="仿宋"/>
          <w:spacing w:val="5"/>
          <w:sz w:val="23"/>
          <w:szCs w:val="23"/>
          <w:highlight w:val="none"/>
        </w:rPr>
        <w:t>的</w:t>
      </w:r>
      <w:r>
        <w:rPr>
          <w:rFonts w:hint="eastAsia" w:ascii="仿宋" w:hAnsi="仿宋" w:eastAsia="仿宋" w:cs="仿宋"/>
          <w:spacing w:val="5"/>
          <w:sz w:val="23"/>
          <w:szCs w:val="23"/>
          <w:highlight w:val="none"/>
          <w:u w:val="single" w:color="auto"/>
        </w:rPr>
        <w:t>(项目名称)</w:t>
      </w:r>
      <w:r>
        <w:rPr>
          <w:rFonts w:hint="eastAsia" w:ascii="仿宋" w:hAnsi="仿宋" w:eastAsia="仿宋" w:cs="仿宋"/>
          <w:spacing w:val="5"/>
          <w:sz w:val="23"/>
          <w:szCs w:val="23"/>
          <w:highlight w:val="none"/>
        </w:rPr>
        <w:t>第包</w:t>
      </w:r>
    </w:p>
    <w:p>
      <w:pPr>
        <w:keepNext w:val="0"/>
        <w:keepLines w:val="0"/>
        <w:pageBreakBefore w:val="0"/>
        <w:kinsoku/>
        <w:overflowPunct/>
        <w:bidi w:val="0"/>
        <w:snapToGrid/>
        <w:spacing w:line="353" w:lineRule="auto"/>
        <w:ind w:left="0" w:leftChars="0" w:right="0"/>
        <w:outlineLvl w:val="9"/>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采购活动，提供的货物全部由符合政策要求的中小企业制造。相关企业(含联合体中小</w:t>
      </w:r>
      <w:r>
        <w:rPr>
          <w:rFonts w:hint="eastAsia" w:ascii="仿宋" w:hAnsi="仿宋" w:eastAsia="仿宋" w:cs="仿宋"/>
          <w:spacing w:val="5"/>
          <w:sz w:val="23"/>
          <w:szCs w:val="23"/>
          <w:highlight w:val="none"/>
        </w:rPr>
        <w:t>企</w:t>
      </w:r>
      <w:r>
        <w:rPr>
          <w:rFonts w:hint="eastAsia" w:ascii="仿宋" w:hAnsi="仿宋" w:eastAsia="仿宋" w:cs="仿宋"/>
          <w:spacing w:val="9"/>
          <w:sz w:val="23"/>
          <w:szCs w:val="23"/>
          <w:highlight w:val="none"/>
        </w:rPr>
        <w:t>业、签订分包意向协议的中小企业)的具体情况如下</w:t>
      </w:r>
      <w:r>
        <w:rPr>
          <w:rFonts w:hint="eastAsia" w:ascii="仿宋" w:hAnsi="仿宋" w:eastAsia="仿宋" w:cs="仿宋"/>
          <w:spacing w:val="5"/>
          <w:sz w:val="23"/>
          <w:szCs w:val="23"/>
          <w:highlight w:val="none"/>
        </w:rPr>
        <w:t>：</w:t>
      </w:r>
    </w:p>
    <w:p>
      <w:pPr>
        <w:keepNext w:val="0"/>
        <w:keepLines w:val="0"/>
        <w:pageBreakBefore w:val="0"/>
        <w:kinsoku/>
        <w:overflowPunct/>
        <w:bidi w:val="0"/>
        <w:snapToGrid/>
        <w:spacing w:line="353" w:lineRule="auto"/>
        <w:ind w:left="0" w:leftChars="0" w:right="0" w:firstLine="498"/>
        <w:outlineLvl w:val="9"/>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1.</w:t>
      </w:r>
      <w:r>
        <w:rPr>
          <w:rFonts w:hint="eastAsia" w:ascii="仿宋" w:hAnsi="仿宋" w:eastAsia="仿宋" w:cs="仿宋"/>
          <w:spacing w:val="10"/>
          <w:sz w:val="23"/>
          <w:szCs w:val="23"/>
          <w:highlight w:val="none"/>
          <w:u w:val="single" w:color="auto"/>
        </w:rPr>
        <w:t>(标的</w:t>
      </w:r>
      <w:r>
        <w:rPr>
          <w:rFonts w:hint="eastAsia" w:ascii="仿宋" w:hAnsi="仿宋" w:eastAsia="仿宋" w:cs="仿宋"/>
          <w:spacing w:val="8"/>
          <w:sz w:val="23"/>
          <w:szCs w:val="23"/>
          <w:highlight w:val="none"/>
          <w:u w:val="single" w:color="auto"/>
        </w:rPr>
        <w:t>名</w:t>
      </w:r>
      <w:r>
        <w:rPr>
          <w:rFonts w:hint="eastAsia" w:ascii="仿宋" w:hAnsi="仿宋" w:eastAsia="仿宋" w:cs="仿宋"/>
          <w:spacing w:val="5"/>
          <w:sz w:val="23"/>
          <w:szCs w:val="23"/>
          <w:highlight w:val="none"/>
          <w:u w:val="single" w:color="auto"/>
        </w:rPr>
        <w:t>称)</w:t>
      </w:r>
      <w:r>
        <w:rPr>
          <w:rFonts w:hint="eastAsia" w:ascii="仿宋" w:hAnsi="仿宋" w:eastAsia="仿宋" w:cs="仿宋"/>
          <w:spacing w:val="5"/>
          <w:sz w:val="23"/>
          <w:szCs w:val="23"/>
          <w:highlight w:val="none"/>
        </w:rPr>
        <w:t>，属于</w:t>
      </w:r>
      <w:r>
        <w:rPr>
          <w:rFonts w:hint="eastAsia" w:ascii="仿宋" w:hAnsi="仿宋" w:eastAsia="仿宋" w:cs="仿宋"/>
          <w:spacing w:val="5"/>
          <w:sz w:val="23"/>
          <w:szCs w:val="23"/>
          <w:highlight w:val="none"/>
          <w:u w:val="single" w:color="auto"/>
        </w:rPr>
        <w:t>(采购文件中明确的所属行业)</w:t>
      </w:r>
      <w:r>
        <w:rPr>
          <w:rFonts w:hint="eastAsia" w:ascii="仿宋" w:hAnsi="仿宋" w:eastAsia="仿宋" w:cs="仿宋"/>
          <w:spacing w:val="5"/>
          <w:sz w:val="23"/>
          <w:szCs w:val="23"/>
          <w:highlight w:val="none"/>
        </w:rPr>
        <w:t>；制造商为</w:t>
      </w:r>
      <w:r>
        <w:rPr>
          <w:rFonts w:hint="eastAsia" w:ascii="仿宋" w:hAnsi="仿宋" w:eastAsia="仿宋" w:cs="仿宋"/>
          <w:spacing w:val="5"/>
          <w:sz w:val="23"/>
          <w:szCs w:val="23"/>
          <w:highlight w:val="none"/>
          <w:u w:val="single" w:color="auto"/>
        </w:rPr>
        <w:t>(企业名</w:t>
      </w:r>
      <w:r>
        <w:rPr>
          <w:rFonts w:hint="eastAsia" w:ascii="仿宋" w:hAnsi="仿宋" w:eastAsia="仿宋" w:cs="仿宋"/>
          <w:spacing w:val="2"/>
          <w:sz w:val="23"/>
          <w:szCs w:val="23"/>
          <w:highlight w:val="none"/>
          <w:u w:val="single" w:color="auto"/>
        </w:rPr>
        <w:t>称)</w:t>
      </w:r>
      <w:r>
        <w:rPr>
          <w:rFonts w:hint="eastAsia" w:ascii="仿宋" w:hAnsi="仿宋" w:eastAsia="仿宋" w:cs="仿宋"/>
          <w:spacing w:val="2"/>
          <w:sz w:val="23"/>
          <w:szCs w:val="23"/>
          <w:highlight w:val="none"/>
        </w:rPr>
        <w:t>,从业人员人，营业收入为万元，资产总额为万元</w:t>
      </w:r>
      <w:r>
        <w:rPr>
          <w:rFonts w:hint="eastAsia" w:ascii="仿宋" w:hAnsi="仿宋" w:eastAsia="仿宋" w:cs="仿宋"/>
          <w:spacing w:val="1"/>
          <w:position w:val="11"/>
          <w:sz w:val="11"/>
          <w:szCs w:val="11"/>
          <w:highlight w:val="none"/>
        </w:rPr>
        <w:t>1</w:t>
      </w:r>
      <w:r>
        <w:rPr>
          <w:rFonts w:hint="eastAsia" w:ascii="仿宋" w:hAnsi="仿宋" w:eastAsia="仿宋" w:cs="仿宋"/>
          <w:spacing w:val="1"/>
          <w:sz w:val="23"/>
          <w:szCs w:val="23"/>
          <w:highlight w:val="none"/>
        </w:rPr>
        <w:t>，属于</w:t>
      </w:r>
      <w:r>
        <w:rPr>
          <w:rFonts w:hint="eastAsia" w:ascii="仿宋" w:hAnsi="仿宋" w:eastAsia="仿宋" w:cs="仿宋"/>
          <w:spacing w:val="1"/>
          <w:sz w:val="23"/>
          <w:szCs w:val="23"/>
          <w:highlight w:val="none"/>
          <w:u w:val="single" w:color="auto"/>
        </w:rPr>
        <w:t>(中型企业、</w:t>
      </w:r>
      <w:r>
        <w:rPr>
          <w:rFonts w:hint="eastAsia" w:ascii="仿宋" w:hAnsi="仿宋" w:eastAsia="仿宋" w:cs="仿宋"/>
          <w:spacing w:val="14"/>
          <w:sz w:val="23"/>
          <w:szCs w:val="23"/>
          <w:highlight w:val="none"/>
          <w:u w:val="single" w:color="auto"/>
        </w:rPr>
        <w:t>小</w:t>
      </w:r>
      <w:r>
        <w:rPr>
          <w:rFonts w:hint="eastAsia" w:ascii="仿宋" w:hAnsi="仿宋" w:eastAsia="仿宋" w:cs="仿宋"/>
          <w:spacing w:val="8"/>
          <w:sz w:val="23"/>
          <w:szCs w:val="23"/>
          <w:highlight w:val="none"/>
          <w:u w:val="single" w:color="auto"/>
        </w:rPr>
        <w:t>型</w:t>
      </w:r>
      <w:r>
        <w:rPr>
          <w:rFonts w:hint="eastAsia" w:ascii="仿宋" w:hAnsi="仿宋" w:eastAsia="仿宋" w:cs="仿宋"/>
          <w:spacing w:val="7"/>
          <w:sz w:val="23"/>
          <w:szCs w:val="23"/>
          <w:highlight w:val="none"/>
          <w:u w:val="single" w:color="auto"/>
        </w:rPr>
        <w:t>企业、微型企业)</w:t>
      </w:r>
      <w:r>
        <w:rPr>
          <w:rFonts w:hint="eastAsia" w:ascii="仿宋" w:hAnsi="仿宋" w:eastAsia="仿宋" w:cs="仿宋"/>
          <w:spacing w:val="7"/>
          <w:sz w:val="23"/>
          <w:szCs w:val="23"/>
          <w:highlight w:val="none"/>
        </w:rPr>
        <w:t>；</w:t>
      </w:r>
    </w:p>
    <w:p>
      <w:pPr>
        <w:keepNext w:val="0"/>
        <w:keepLines w:val="0"/>
        <w:pageBreakBefore w:val="0"/>
        <w:kinsoku/>
        <w:overflowPunct/>
        <w:bidi w:val="0"/>
        <w:snapToGrid/>
        <w:spacing w:line="353" w:lineRule="auto"/>
        <w:ind w:left="0" w:leftChars="0" w:right="0" w:firstLine="483"/>
        <w:outlineLvl w:val="9"/>
        <w:rPr>
          <w:rFonts w:hint="eastAsia" w:ascii="仿宋" w:hAnsi="仿宋" w:eastAsia="仿宋" w:cs="仿宋"/>
          <w:sz w:val="23"/>
          <w:szCs w:val="23"/>
          <w:highlight w:val="none"/>
        </w:rPr>
      </w:pPr>
      <w:r>
        <w:rPr>
          <w:rFonts w:hint="eastAsia" w:ascii="仿宋" w:hAnsi="仿宋" w:eastAsia="仿宋" w:cs="仿宋"/>
          <w:spacing w:val="11"/>
          <w:sz w:val="23"/>
          <w:szCs w:val="23"/>
          <w:highlight w:val="none"/>
        </w:rPr>
        <w:t>2</w:t>
      </w:r>
      <w:r>
        <w:rPr>
          <w:rFonts w:hint="eastAsia" w:ascii="仿宋" w:hAnsi="仿宋" w:eastAsia="仿宋" w:cs="仿宋"/>
          <w:spacing w:val="6"/>
          <w:sz w:val="23"/>
          <w:szCs w:val="23"/>
          <w:highlight w:val="none"/>
        </w:rPr>
        <w:t>.</w:t>
      </w:r>
      <w:r>
        <w:rPr>
          <w:rFonts w:hint="eastAsia" w:ascii="仿宋" w:hAnsi="仿宋" w:eastAsia="仿宋" w:cs="仿宋"/>
          <w:spacing w:val="6"/>
          <w:sz w:val="23"/>
          <w:szCs w:val="23"/>
          <w:highlight w:val="none"/>
          <w:u w:val="single" w:color="auto"/>
        </w:rPr>
        <w:t>(标的名称)</w:t>
      </w:r>
      <w:r>
        <w:rPr>
          <w:rFonts w:hint="eastAsia" w:ascii="仿宋" w:hAnsi="仿宋" w:eastAsia="仿宋" w:cs="仿宋"/>
          <w:spacing w:val="6"/>
          <w:sz w:val="23"/>
          <w:szCs w:val="23"/>
          <w:highlight w:val="none"/>
        </w:rPr>
        <w:t>，属于</w:t>
      </w:r>
      <w:r>
        <w:rPr>
          <w:rFonts w:hint="eastAsia" w:ascii="仿宋" w:hAnsi="仿宋" w:eastAsia="仿宋" w:cs="仿宋"/>
          <w:spacing w:val="6"/>
          <w:sz w:val="23"/>
          <w:szCs w:val="23"/>
          <w:highlight w:val="none"/>
          <w:u w:val="single" w:color="auto"/>
        </w:rPr>
        <w:t>(采购文件中明确的所属行业)</w:t>
      </w:r>
      <w:r>
        <w:rPr>
          <w:rFonts w:hint="eastAsia" w:ascii="仿宋" w:hAnsi="仿宋" w:eastAsia="仿宋" w:cs="仿宋"/>
          <w:spacing w:val="6"/>
          <w:sz w:val="23"/>
          <w:szCs w:val="23"/>
          <w:highlight w:val="none"/>
        </w:rPr>
        <w:t>；制造商为</w:t>
      </w:r>
      <w:r>
        <w:rPr>
          <w:rFonts w:hint="eastAsia" w:ascii="仿宋" w:hAnsi="仿宋" w:eastAsia="仿宋" w:cs="仿宋"/>
          <w:spacing w:val="6"/>
          <w:sz w:val="23"/>
          <w:szCs w:val="23"/>
          <w:highlight w:val="none"/>
          <w:u w:val="single" w:color="auto"/>
        </w:rPr>
        <w:t>(企业名</w:t>
      </w:r>
      <w:r>
        <w:rPr>
          <w:rFonts w:hint="eastAsia" w:ascii="仿宋" w:hAnsi="仿宋" w:eastAsia="仿宋" w:cs="仿宋"/>
          <w:spacing w:val="9"/>
          <w:sz w:val="23"/>
          <w:szCs w:val="23"/>
          <w:highlight w:val="none"/>
          <w:u w:val="single" w:color="auto"/>
        </w:rPr>
        <w:t>称)</w:t>
      </w:r>
      <w:r>
        <w:rPr>
          <w:rFonts w:hint="eastAsia" w:ascii="仿宋" w:hAnsi="仿宋" w:eastAsia="仿宋" w:cs="仿宋"/>
          <w:spacing w:val="9"/>
          <w:sz w:val="23"/>
          <w:szCs w:val="23"/>
          <w:highlight w:val="none"/>
        </w:rPr>
        <w:t>,从业人员人，营业收入为万元，资产总额为万元，属于</w:t>
      </w:r>
      <w:r>
        <w:rPr>
          <w:rFonts w:hint="eastAsia" w:ascii="仿宋" w:hAnsi="仿宋" w:eastAsia="仿宋" w:cs="仿宋"/>
          <w:spacing w:val="9"/>
          <w:sz w:val="23"/>
          <w:szCs w:val="23"/>
          <w:highlight w:val="none"/>
          <w:u w:val="single" w:color="auto"/>
        </w:rPr>
        <w:t>(中型企业</w:t>
      </w:r>
      <w:r>
        <w:rPr>
          <w:rFonts w:hint="eastAsia" w:ascii="仿宋" w:hAnsi="仿宋" w:eastAsia="仿宋" w:cs="仿宋"/>
          <w:spacing w:val="8"/>
          <w:sz w:val="23"/>
          <w:szCs w:val="23"/>
          <w:highlight w:val="none"/>
          <w:u w:val="single" w:color="auto"/>
        </w:rPr>
        <w:t>、</w:t>
      </w:r>
      <w:r>
        <w:rPr>
          <w:rFonts w:hint="eastAsia" w:ascii="仿宋" w:hAnsi="仿宋" w:eastAsia="仿宋" w:cs="仿宋"/>
          <w:spacing w:val="14"/>
          <w:sz w:val="23"/>
          <w:szCs w:val="23"/>
          <w:highlight w:val="none"/>
          <w:u w:val="single" w:color="auto"/>
        </w:rPr>
        <w:t>小</w:t>
      </w:r>
      <w:r>
        <w:rPr>
          <w:rFonts w:hint="eastAsia" w:ascii="仿宋" w:hAnsi="仿宋" w:eastAsia="仿宋" w:cs="仿宋"/>
          <w:spacing w:val="8"/>
          <w:sz w:val="23"/>
          <w:szCs w:val="23"/>
          <w:highlight w:val="none"/>
          <w:u w:val="single" w:color="auto"/>
        </w:rPr>
        <w:t>型</w:t>
      </w:r>
      <w:r>
        <w:rPr>
          <w:rFonts w:hint="eastAsia" w:ascii="仿宋" w:hAnsi="仿宋" w:eastAsia="仿宋" w:cs="仿宋"/>
          <w:spacing w:val="7"/>
          <w:sz w:val="23"/>
          <w:szCs w:val="23"/>
          <w:highlight w:val="none"/>
          <w:u w:val="single" w:color="auto"/>
        </w:rPr>
        <w:t>企业、微型企业)</w:t>
      </w:r>
      <w:r>
        <w:rPr>
          <w:rFonts w:hint="eastAsia" w:ascii="仿宋" w:hAnsi="仿宋" w:eastAsia="仿宋" w:cs="仿宋"/>
          <w:spacing w:val="7"/>
          <w:sz w:val="23"/>
          <w:szCs w:val="23"/>
          <w:highlight w:val="none"/>
        </w:rPr>
        <w:t>；</w:t>
      </w:r>
    </w:p>
    <w:p>
      <w:pPr>
        <w:keepNext w:val="0"/>
        <w:keepLines w:val="0"/>
        <w:pageBreakBefore w:val="0"/>
        <w:kinsoku/>
        <w:overflowPunct/>
        <w:bidi w:val="0"/>
        <w:snapToGrid/>
        <w:spacing w:line="371" w:lineRule="exact"/>
        <w:ind w:left="0" w:leftChars="0" w:right="0"/>
        <w:outlineLvl w:val="9"/>
        <w:rPr>
          <w:rFonts w:hint="eastAsia" w:ascii="仿宋" w:hAnsi="仿宋" w:eastAsia="仿宋" w:cs="仿宋"/>
          <w:sz w:val="23"/>
          <w:szCs w:val="23"/>
          <w:highlight w:val="none"/>
        </w:rPr>
      </w:pPr>
      <w:r>
        <w:rPr>
          <w:rFonts w:hint="eastAsia" w:ascii="仿宋" w:hAnsi="仿宋" w:eastAsia="仿宋" w:cs="仿宋"/>
          <w:spacing w:val="5"/>
          <w:position w:val="3"/>
          <w:sz w:val="23"/>
          <w:szCs w:val="23"/>
          <w:highlight w:val="none"/>
        </w:rPr>
        <w:t>……</w:t>
      </w:r>
    </w:p>
    <w:p>
      <w:pPr>
        <w:keepNext w:val="0"/>
        <w:keepLines w:val="0"/>
        <w:pageBreakBefore w:val="0"/>
        <w:kinsoku/>
        <w:overflowPunct/>
        <w:bidi w:val="0"/>
        <w:snapToGrid/>
        <w:spacing w:line="361" w:lineRule="auto"/>
        <w:ind w:left="0" w:leftChars="0" w:right="0" w:firstLine="504"/>
        <w:outlineLvl w:val="9"/>
        <w:rPr>
          <w:rFonts w:hint="eastAsia" w:ascii="仿宋" w:hAnsi="仿宋" w:eastAsia="仿宋" w:cs="仿宋"/>
          <w:sz w:val="23"/>
          <w:szCs w:val="23"/>
          <w:highlight w:val="none"/>
        </w:rPr>
      </w:pPr>
      <w:r>
        <w:rPr>
          <w:rFonts w:hint="eastAsia" w:ascii="仿宋" w:hAnsi="仿宋" w:eastAsia="仿宋" w:cs="仿宋"/>
          <w:spacing w:val="20"/>
          <w:sz w:val="23"/>
          <w:szCs w:val="23"/>
          <w:highlight w:val="none"/>
        </w:rPr>
        <w:t>以</w:t>
      </w:r>
      <w:r>
        <w:rPr>
          <w:rFonts w:hint="eastAsia" w:ascii="仿宋" w:hAnsi="仿宋" w:eastAsia="仿宋" w:cs="仿宋"/>
          <w:spacing w:val="16"/>
          <w:sz w:val="23"/>
          <w:szCs w:val="23"/>
          <w:highlight w:val="none"/>
        </w:rPr>
        <w:t>上</w:t>
      </w:r>
      <w:r>
        <w:rPr>
          <w:rFonts w:hint="eastAsia" w:ascii="仿宋" w:hAnsi="仿宋" w:eastAsia="仿宋" w:cs="仿宋"/>
          <w:spacing w:val="10"/>
          <w:sz w:val="23"/>
          <w:szCs w:val="23"/>
          <w:highlight w:val="none"/>
        </w:rPr>
        <w:t>企业，不属于大企业的分支机构，不存在控股股东为大企业的情形，也不存在与</w:t>
      </w:r>
      <w:r>
        <w:rPr>
          <w:rFonts w:hint="eastAsia" w:ascii="仿宋" w:hAnsi="仿宋" w:eastAsia="仿宋" w:cs="仿宋"/>
          <w:spacing w:val="15"/>
          <w:sz w:val="23"/>
          <w:szCs w:val="23"/>
          <w:highlight w:val="none"/>
        </w:rPr>
        <w:t>大</w:t>
      </w:r>
      <w:r>
        <w:rPr>
          <w:rFonts w:hint="eastAsia" w:ascii="仿宋" w:hAnsi="仿宋" w:eastAsia="仿宋" w:cs="仿宋"/>
          <w:spacing w:val="8"/>
          <w:sz w:val="23"/>
          <w:szCs w:val="23"/>
          <w:highlight w:val="none"/>
        </w:rPr>
        <w:t>企业的负责人为同一人的情形。</w:t>
      </w:r>
    </w:p>
    <w:p>
      <w:pPr>
        <w:keepNext w:val="0"/>
        <w:keepLines w:val="0"/>
        <w:pageBreakBefore w:val="0"/>
        <w:kinsoku/>
        <w:overflowPunct/>
        <w:bidi w:val="0"/>
        <w:snapToGrid/>
        <w:spacing w:line="225" w:lineRule="auto"/>
        <w:ind w:left="0" w:leftChars="0" w:right="0"/>
        <w:outlineLvl w:val="9"/>
        <w:rPr>
          <w:rFonts w:hint="eastAsia" w:ascii="仿宋" w:hAnsi="仿宋" w:eastAsia="仿宋" w:cs="仿宋"/>
          <w:sz w:val="23"/>
          <w:szCs w:val="23"/>
          <w:highlight w:val="none"/>
        </w:rPr>
      </w:pPr>
      <w:r>
        <w:rPr>
          <w:rFonts w:hint="eastAsia" w:ascii="仿宋" w:hAnsi="仿宋" w:eastAsia="仿宋" w:cs="仿宋"/>
          <w:spacing w:val="18"/>
          <w:sz w:val="23"/>
          <w:szCs w:val="23"/>
          <w:highlight w:val="none"/>
        </w:rPr>
        <w:t>本</w:t>
      </w:r>
      <w:r>
        <w:rPr>
          <w:rFonts w:hint="eastAsia" w:ascii="仿宋" w:hAnsi="仿宋" w:eastAsia="仿宋" w:cs="仿宋"/>
          <w:spacing w:val="11"/>
          <w:sz w:val="23"/>
          <w:szCs w:val="23"/>
          <w:highlight w:val="none"/>
        </w:rPr>
        <w:t>企</w:t>
      </w:r>
      <w:r>
        <w:rPr>
          <w:rFonts w:hint="eastAsia" w:ascii="仿宋" w:hAnsi="仿宋" w:eastAsia="仿宋" w:cs="仿宋"/>
          <w:spacing w:val="9"/>
          <w:sz w:val="23"/>
          <w:szCs w:val="23"/>
          <w:highlight w:val="none"/>
        </w:rPr>
        <w:t>业对上述声明内容的真实性负责。如有虚报，将依法承担相应责任。</w:t>
      </w:r>
    </w:p>
    <w:p>
      <w:pPr>
        <w:keepNext w:val="0"/>
        <w:keepLines w:val="0"/>
        <w:pageBreakBefore w:val="0"/>
        <w:kinsoku/>
        <w:overflowPunct/>
        <w:bidi w:val="0"/>
        <w:snapToGrid/>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362" w:lineRule="auto"/>
        <w:ind w:left="0" w:leftChars="0" w:right="0" w:firstLine="476"/>
        <w:outlineLvl w:val="9"/>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注：</w:t>
      </w:r>
      <w:r>
        <w:rPr>
          <w:rFonts w:hint="eastAsia" w:ascii="仿宋" w:hAnsi="仿宋" w:eastAsia="仿宋" w:cs="仿宋"/>
          <w:spacing w:val="14"/>
          <w:position w:val="11"/>
          <w:sz w:val="11"/>
          <w:szCs w:val="11"/>
          <w:highlight w:val="none"/>
        </w:rPr>
        <w:t>1</w:t>
      </w:r>
      <w:r>
        <w:rPr>
          <w:rFonts w:hint="eastAsia" w:ascii="仿宋" w:hAnsi="仿宋" w:eastAsia="仿宋" w:cs="仿宋"/>
          <w:spacing w:val="14"/>
          <w:sz w:val="23"/>
          <w:szCs w:val="23"/>
          <w:highlight w:val="none"/>
        </w:rPr>
        <w:t>从业人员、营业收入、资产总额填报上一年度数据，无上一年度数据的新成</w:t>
      </w:r>
      <w:r>
        <w:rPr>
          <w:rFonts w:hint="eastAsia" w:ascii="仿宋" w:hAnsi="仿宋" w:eastAsia="仿宋" w:cs="仿宋"/>
          <w:spacing w:val="12"/>
          <w:sz w:val="23"/>
          <w:szCs w:val="23"/>
          <w:highlight w:val="none"/>
        </w:rPr>
        <w:t>立</w:t>
      </w:r>
      <w:r>
        <w:rPr>
          <w:rFonts w:hint="eastAsia" w:ascii="仿宋" w:hAnsi="仿宋" w:eastAsia="仿宋" w:cs="仿宋"/>
          <w:spacing w:val="10"/>
          <w:sz w:val="23"/>
          <w:szCs w:val="23"/>
          <w:highlight w:val="none"/>
        </w:rPr>
        <w:t>企</w:t>
      </w:r>
      <w:r>
        <w:rPr>
          <w:rFonts w:hint="eastAsia" w:ascii="仿宋" w:hAnsi="仿宋" w:eastAsia="仿宋" w:cs="仿宋"/>
          <w:spacing w:val="6"/>
          <w:sz w:val="23"/>
          <w:szCs w:val="23"/>
          <w:highlight w:val="none"/>
        </w:rPr>
        <w:t>业可不填报。</w:t>
      </w:r>
    </w:p>
    <w:p>
      <w:pPr>
        <w:keepNext w:val="0"/>
        <w:keepLines w:val="0"/>
        <w:pageBreakBefore w:val="0"/>
        <w:kinsoku/>
        <w:overflowPunct/>
        <w:bidi w:val="0"/>
        <w:snapToGrid/>
        <w:spacing w:line="268"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269"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269"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269"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227" w:lineRule="auto"/>
        <w:ind w:left="0" w:leftChars="0" w:right="0"/>
        <w:jc w:val="right"/>
        <w:outlineLvl w:val="9"/>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企业名称：(盖章)</w:t>
      </w:r>
    </w:p>
    <w:p>
      <w:pPr>
        <w:keepNext w:val="0"/>
        <w:keepLines w:val="0"/>
        <w:pageBreakBefore w:val="0"/>
        <w:overflowPunct/>
        <w:bidi w:val="0"/>
        <w:outlineLvl w:val="9"/>
        <w:rPr>
          <w:rFonts w:hint="eastAsia" w:ascii="仿宋" w:hAnsi="仿宋" w:eastAsia="仿宋" w:cs="仿宋"/>
          <w:highlight w:val="none"/>
        </w:rPr>
      </w:pPr>
    </w:p>
    <w:p>
      <w:pPr>
        <w:keepNext w:val="0"/>
        <w:keepLines w:val="0"/>
        <w:pageBreakBefore w:val="0"/>
        <w:widowControl/>
        <w:kinsoku/>
        <w:wordWrap/>
        <w:overflowPunct/>
        <w:topLinePunct w:val="0"/>
        <w:autoSpaceDE w:val="0"/>
        <w:autoSpaceDN w:val="0"/>
        <w:bidi w:val="0"/>
        <w:adjustRightInd w:val="0"/>
        <w:snapToGrid/>
        <w:spacing w:line="228" w:lineRule="auto"/>
        <w:ind w:left="0" w:leftChars="0" w:right="0" w:firstLine="7372" w:firstLineChars="3800"/>
        <w:textAlignment w:val="baseline"/>
        <w:outlineLvl w:val="9"/>
        <w:rPr>
          <w:rFonts w:hint="eastAsia" w:ascii="仿宋" w:hAnsi="仿宋" w:eastAsia="仿宋" w:cs="仿宋"/>
          <w:sz w:val="23"/>
          <w:szCs w:val="23"/>
          <w:highlight w:val="none"/>
          <w:lang w:eastAsia="zh-CN"/>
        </w:rPr>
      </w:pPr>
      <w:r>
        <w:rPr>
          <w:rFonts w:hint="eastAsia" w:ascii="仿宋" w:hAnsi="仿宋" w:eastAsia="仿宋" w:cs="仿宋"/>
          <w:spacing w:val="-18"/>
          <w:sz w:val="23"/>
          <w:szCs w:val="23"/>
          <w:highlight w:val="none"/>
        </w:rPr>
        <w:t>日</w:t>
      </w:r>
      <w:r>
        <w:rPr>
          <w:rFonts w:hint="eastAsia" w:ascii="仿宋" w:hAnsi="仿宋" w:eastAsia="仿宋" w:cs="仿宋"/>
          <w:spacing w:val="-15"/>
          <w:sz w:val="23"/>
          <w:szCs w:val="23"/>
          <w:highlight w:val="none"/>
        </w:rPr>
        <w:t>期：</w:t>
      </w:r>
    </w:p>
    <w:p>
      <w:pPr>
        <w:keepNext w:val="0"/>
        <w:keepLines w:val="0"/>
        <w:pageBreakBefore w:val="0"/>
        <w:kinsoku/>
        <w:wordWrap w:val="0"/>
        <w:overflowPunct/>
        <w:topLinePunct/>
        <w:autoSpaceDE/>
        <w:autoSpaceDN/>
        <w:bidi w:val="0"/>
        <w:snapToGrid/>
        <w:spacing w:line="360" w:lineRule="auto"/>
        <w:ind w:left="0" w:leftChars="0" w:right="0"/>
        <w:contextualSpacing/>
        <w:jc w:val="left"/>
        <w:outlineLvl w:val="9"/>
        <w:rPr>
          <w:rFonts w:hint="eastAsia" w:ascii="仿宋" w:hAnsi="仿宋" w:eastAsia="仿宋" w:cs="仿宋"/>
          <w:bCs/>
          <w:color w:val="auto"/>
          <w:sz w:val="22"/>
          <w:highlight w:val="none"/>
        </w:rPr>
      </w:pPr>
    </w:p>
    <w:p>
      <w:pPr>
        <w:keepNext w:val="0"/>
        <w:keepLines w:val="0"/>
        <w:pageBreakBefore w:val="0"/>
        <w:kinsoku/>
        <w:overflowPunct/>
        <w:autoSpaceDE/>
        <w:autoSpaceDN/>
        <w:bidi w:val="0"/>
        <w:snapToGrid/>
        <w:ind w:left="0" w:leftChars="0" w:right="0"/>
        <w:outlineLvl w:val="9"/>
        <w:rPr>
          <w:rFonts w:hint="eastAsia" w:ascii="仿宋" w:hAnsi="仿宋" w:eastAsia="仿宋" w:cs="仿宋"/>
          <w:color w:val="auto"/>
          <w:highlight w:val="none"/>
        </w:rPr>
      </w:pPr>
    </w:p>
    <w:p>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pPr>
        <w:pStyle w:val="37"/>
        <w:spacing w:after="240" w:line="430" w:lineRule="exact"/>
        <w:ind w:left="0" w:leftChars="0" w:firstLine="361" w:firstLineChars="200"/>
        <w:rPr>
          <w:rStyle w:val="59"/>
          <w:rFonts w:eastAsia="宋体"/>
          <w:b/>
          <w:color w:val="auto"/>
          <w:spacing w:val="0"/>
          <w:kern w:val="0"/>
          <w:sz w:val="18"/>
          <w:szCs w:val="14"/>
          <w:lang w:val="en-US"/>
        </w:rPr>
      </w:pPr>
      <w:r>
        <w:rPr>
          <w:rStyle w:val="59"/>
          <w:rFonts w:hint="eastAsia" w:eastAsia="宋体"/>
          <w:b/>
          <w:color w:val="auto"/>
          <w:spacing w:val="0"/>
          <w:kern w:val="0"/>
          <w:sz w:val="18"/>
          <w:szCs w:val="14"/>
          <w:lang w:val="en-US"/>
        </w:rPr>
        <w:t>附：中小企业划型标准规定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一、根据《中华人民共和国中小企业促进法》和《</w:t>
      </w:r>
      <w:r>
        <w:rPr>
          <w:rFonts w:eastAsia="宋体"/>
        </w:rPr>
        <w:fldChar w:fldCharType="begin"/>
      </w:r>
      <w:r>
        <w:rPr>
          <w:rFonts w:eastAsia="宋体"/>
        </w:rPr>
        <w:instrText xml:space="preserve">HYPERLINK "http://www.shui5.cn/article/47/26142.html"</w:instrText>
      </w:r>
      <w:r>
        <w:rPr>
          <w:rFonts w:eastAsia="宋体"/>
        </w:rPr>
        <w:fldChar w:fldCharType="separate"/>
      </w:r>
      <w:r>
        <w:rPr>
          <w:rStyle w:val="59"/>
          <w:rFonts w:hint="eastAsia" w:eastAsia="宋体"/>
          <w:color w:val="auto"/>
          <w:sz w:val="18"/>
          <w:szCs w:val="14"/>
        </w:rPr>
        <w:t>国务院关于进一步促进中小企业发展的若干意见</w:t>
      </w:r>
      <w:r>
        <w:rPr>
          <w:rFonts w:eastAsia="宋体"/>
        </w:rPr>
        <w:fldChar w:fldCharType="end"/>
      </w:r>
      <w:r>
        <w:rPr>
          <w:rFonts w:hint="eastAsia" w:eastAsia="宋体"/>
          <w:sz w:val="18"/>
          <w:szCs w:val="14"/>
        </w:rPr>
        <w:t>》（</w:t>
      </w:r>
      <w:r>
        <w:rPr>
          <w:rFonts w:eastAsia="宋体"/>
        </w:rPr>
        <w:fldChar w:fldCharType="begin"/>
      </w:r>
      <w:r>
        <w:rPr>
          <w:rFonts w:eastAsia="宋体"/>
        </w:rPr>
        <w:instrText xml:space="preserve">HYPERLINK "http://www.shui5.cn/article/47/26142.html"</w:instrText>
      </w:r>
      <w:r>
        <w:rPr>
          <w:rFonts w:eastAsia="宋体"/>
        </w:rPr>
        <w:fldChar w:fldCharType="separate"/>
      </w:r>
      <w:r>
        <w:rPr>
          <w:rStyle w:val="59"/>
          <w:rFonts w:hint="eastAsia" w:eastAsia="宋体"/>
          <w:color w:val="auto"/>
          <w:sz w:val="18"/>
          <w:szCs w:val="14"/>
        </w:rPr>
        <w:t>国发〔2009〕36号</w:t>
      </w:r>
      <w:r>
        <w:rPr>
          <w:rFonts w:eastAsia="宋体"/>
        </w:rPr>
        <w:fldChar w:fldCharType="end"/>
      </w:r>
      <w:r>
        <w:rPr>
          <w:rFonts w:hint="eastAsia" w:eastAsia="宋体"/>
          <w:sz w:val="18"/>
          <w:szCs w:val="14"/>
        </w:rPr>
        <w:t>)，制定本规定。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二、中小企业划分为中型、小型、微型三种类型，具体标准根据企业从业人员、营业收入、资产总额等指标，结合行业特点制定。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2"/>
        <w:shd w:val="clear" w:color="auto" w:fill="FFFFFF"/>
        <w:wordWrap w:val="0"/>
        <w:spacing w:before="0" w:beforeAutospacing="0" w:after="150" w:afterAutospacing="0"/>
        <w:rPr>
          <w:rFonts w:hint="eastAsia" w:eastAsia="宋体"/>
          <w:sz w:val="18"/>
          <w:szCs w:val="14"/>
          <w:lang w:eastAsia="zh-CN"/>
        </w:rPr>
      </w:pPr>
      <w:r>
        <w:rPr>
          <w:rFonts w:hint="eastAsia" w:eastAsia="宋体"/>
          <w:sz w:val="18"/>
          <w:szCs w:val="14"/>
        </w:rPr>
        <w:t>　　四、各行业划型标准为：</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（一）农、林、牧、渔业。营业收入20000万元以下的为中小微型企业。其中，营业收入500万元及以上的为中型企业，营业收入50万元及以上的为小型企业，营业收入50万元以下的为微型企业。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（十六）其他未列明行业。从业人员300人以下的为中小微型企业。其中，从业人员100人及以上的为中型企业；从业人员10人及以上的为小型企业；从业人员10人以下的为微型企业。</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五、企业类型的划分以统计部门的统计数据为依据。</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六、本规定适用于在中华人民共和国境内依法设立的各类所有制和各种组织形式的企业。个体工商户和本规定以外的行业，参照本规定进行划型。</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八、本规定由工业和信息化部、国家统计局会同有关部门根据《国民经济行业分类》修订情况和企业发展变化情况适时修订。</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九、本规定由工业和信息化部、国家统计局会同有关部门负责解释。</w:t>
      </w:r>
    </w:p>
    <w:p>
      <w:pPr>
        <w:pStyle w:val="42"/>
        <w:shd w:val="clear" w:color="auto" w:fill="FFFFFF"/>
        <w:wordWrap w:val="0"/>
        <w:spacing w:before="0" w:beforeAutospacing="0" w:after="150" w:afterAutospacing="0"/>
        <w:rPr>
          <w:rFonts w:eastAsia="宋体"/>
          <w:sz w:val="18"/>
          <w:szCs w:val="14"/>
        </w:rPr>
      </w:pPr>
      <w:r>
        <w:rPr>
          <w:rFonts w:hint="eastAsia" w:eastAsia="宋体"/>
          <w:sz w:val="18"/>
          <w:szCs w:val="14"/>
        </w:rPr>
        <w:t>　　十、本规定自发布之日起执行，原国家经贸委、原国家计委、财政部和国家统计局2003年颁布的《</w:t>
      </w:r>
      <w:r>
        <w:rPr>
          <w:rFonts w:eastAsia="宋体"/>
        </w:rPr>
        <w:fldChar w:fldCharType="begin"/>
      </w:r>
      <w:r>
        <w:rPr>
          <w:rFonts w:eastAsia="宋体"/>
        </w:rPr>
        <w:instrText xml:space="preserve">HYPERLINK "http://www.shui5.cn/article/df/24263.html"</w:instrText>
      </w:r>
      <w:r>
        <w:rPr>
          <w:rFonts w:eastAsia="宋体"/>
        </w:rPr>
        <w:fldChar w:fldCharType="separate"/>
      </w:r>
      <w:r>
        <w:rPr>
          <w:rStyle w:val="59"/>
          <w:rFonts w:hint="eastAsia" w:eastAsia="宋体"/>
          <w:color w:val="auto"/>
          <w:sz w:val="18"/>
          <w:szCs w:val="14"/>
        </w:rPr>
        <w:t>中小企业标准暂行规定</w:t>
      </w:r>
      <w:r>
        <w:rPr>
          <w:rFonts w:eastAsia="宋体"/>
        </w:rPr>
        <w:fldChar w:fldCharType="end"/>
      </w:r>
      <w:r>
        <w:rPr>
          <w:rFonts w:hint="eastAsia" w:eastAsia="宋体"/>
          <w:sz w:val="18"/>
          <w:szCs w:val="14"/>
        </w:rPr>
        <w:t>》</w:t>
      </w:r>
      <w:r>
        <w:rPr>
          <w:rFonts w:eastAsia="宋体"/>
        </w:rPr>
        <w:fldChar w:fldCharType="begin"/>
      </w:r>
      <w:r>
        <w:rPr>
          <w:rFonts w:eastAsia="宋体"/>
        </w:rPr>
        <w:instrText xml:space="preserve">HYPERLINK "http://www.shui5.cn/article/df/24263.html"</w:instrText>
      </w:r>
      <w:r>
        <w:rPr>
          <w:rFonts w:eastAsia="宋体"/>
        </w:rPr>
        <w:fldChar w:fldCharType="separate"/>
      </w:r>
      <w:r>
        <w:rPr>
          <w:rStyle w:val="59"/>
          <w:rFonts w:hint="eastAsia" w:eastAsia="宋体"/>
          <w:color w:val="auto"/>
          <w:sz w:val="18"/>
          <w:szCs w:val="14"/>
        </w:rPr>
        <w:t>国经贸中小企[2003]143号</w:t>
      </w:r>
      <w:r>
        <w:rPr>
          <w:rFonts w:eastAsia="宋体"/>
        </w:rPr>
        <w:fldChar w:fldCharType="end"/>
      </w:r>
      <w:r>
        <w:rPr>
          <w:rFonts w:hint="eastAsia" w:eastAsia="宋体"/>
          <w:sz w:val="18"/>
          <w:szCs w:val="14"/>
        </w:rPr>
        <w:t>同时废止。</w:t>
      </w:r>
    </w:p>
    <w:p>
      <w:pPr>
        <w:keepNext w:val="0"/>
        <w:keepLines w:val="0"/>
        <w:pageBreakBefore w:val="0"/>
        <w:overflowPunct/>
        <w:bidi w:val="0"/>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pPr>
        <w:keepNext w:val="0"/>
        <w:keepLines w:val="0"/>
        <w:pageBreakBefore w:val="0"/>
        <w:kinsoku/>
        <w:overflowPunct/>
        <w:bidi w:val="0"/>
        <w:snapToGrid/>
        <w:spacing w:line="242" w:lineRule="auto"/>
        <w:ind w:left="0" w:leftChars="0" w:right="0"/>
        <w:jc w:val="center"/>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14:textOutline w14:w="5103" w14:cap="sq" w14:cmpd="sng">
            <w14:solidFill>
              <w14:srgbClr w14:val="000000"/>
            </w14:solidFill>
            <w14:prstDash w14:val="solid"/>
            <w14:bevel/>
          </w14:textOutline>
        </w:rPr>
        <w:t>残疾人福利性单位声明函</w:t>
      </w:r>
      <w:r>
        <w:rPr>
          <w:rFonts w:hint="eastAsia" w:ascii="仿宋" w:hAnsi="仿宋" w:eastAsia="仿宋" w:cs="仿宋"/>
          <w:sz w:val="28"/>
          <w:szCs w:val="28"/>
          <w:highlight w:val="none"/>
          <w:lang w:eastAsia="zh-CN"/>
          <w14:textOutline w14:w="5103" w14:cap="sq" w14:cmpd="sng">
            <w14:solidFill>
              <w14:srgbClr w14:val="000000"/>
            </w14:solidFill>
            <w14:prstDash w14:val="solid"/>
            <w14:bevel/>
          </w14:textOutline>
        </w:rPr>
        <w:t>（</w:t>
      </w:r>
      <w:r>
        <w:rPr>
          <w:rFonts w:hint="eastAsia" w:ascii="仿宋" w:hAnsi="仿宋" w:eastAsia="仿宋" w:cs="仿宋"/>
          <w:sz w:val="28"/>
          <w:szCs w:val="28"/>
          <w:highlight w:val="none"/>
          <w:lang w:val="en-US" w:eastAsia="zh-CN"/>
          <w14:textOutline w14:w="5103" w14:cap="sq" w14:cmpd="sng">
            <w14:solidFill>
              <w14:srgbClr w14:val="000000"/>
            </w14:solidFill>
            <w14:prstDash w14:val="solid"/>
            <w14:bevel/>
          </w14:textOutline>
        </w:rPr>
        <w:t>如有</w:t>
      </w:r>
      <w:r>
        <w:rPr>
          <w:rFonts w:hint="eastAsia" w:ascii="仿宋" w:hAnsi="仿宋" w:eastAsia="仿宋" w:cs="仿宋"/>
          <w:sz w:val="28"/>
          <w:szCs w:val="28"/>
          <w:highlight w:val="none"/>
          <w:lang w:eastAsia="zh-CN"/>
          <w14:textOutline w14:w="5103" w14:cap="sq" w14:cmpd="sng">
            <w14:solidFill>
              <w14:srgbClr w14:val="000000"/>
            </w14:solidFill>
            <w14:prstDash w14:val="solid"/>
            <w14:bevel/>
          </w14:textOutline>
        </w:rPr>
        <w:t>）</w:t>
      </w:r>
    </w:p>
    <w:p>
      <w:pPr>
        <w:keepNext w:val="0"/>
        <w:keepLines w:val="0"/>
        <w:pageBreakBefore w:val="0"/>
        <w:kinsoku/>
        <w:overflowPunct/>
        <w:bidi w:val="0"/>
        <w:snapToGrid/>
        <w:spacing w:line="374"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367" w:lineRule="auto"/>
        <w:ind w:left="0" w:leftChars="0" w:right="0" w:firstLine="505"/>
        <w:outlineLvl w:val="9"/>
        <w:rPr>
          <w:rFonts w:hint="eastAsia" w:ascii="仿宋" w:hAnsi="仿宋" w:eastAsia="仿宋" w:cs="仿宋"/>
          <w:sz w:val="23"/>
          <w:szCs w:val="23"/>
          <w:highlight w:val="none"/>
        </w:rPr>
      </w:pPr>
      <w:r>
        <w:rPr>
          <w:rFonts w:hint="eastAsia" w:ascii="仿宋" w:hAnsi="仿宋" w:eastAsia="仿宋" w:cs="仿宋"/>
          <w:spacing w:val="24"/>
          <w:sz w:val="23"/>
          <w:szCs w:val="23"/>
          <w:highlight w:val="none"/>
        </w:rPr>
        <w:t>本单位郑重声明，根据《财政部民政部中国残疾人联合会关于促进残疾人就业</w:t>
      </w:r>
      <w:r>
        <w:rPr>
          <w:rFonts w:hint="eastAsia" w:ascii="仿宋" w:hAnsi="仿宋" w:eastAsia="仿宋" w:cs="仿宋"/>
          <w:spacing w:val="20"/>
          <w:sz w:val="23"/>
          <w:szCs w:val="23"/>
          <w:highlight w:val="none"/>
        </w:rPr>
        <w:t>政</w:t>
      </w:r>
      <w:r>
        <w:rPr>
          <w:rFonts w:hint="eastAsia" w:ascii="仿宋" w:hAnsi="仿宋" w:eastAsia="仿宋" w:cs="仿宋"/>
          <w:spacing w:val="28"/>
          <w:sz w:val="23"/>
          <w:szCs w:val="23"/>
          <w:highlight w:val="none"/>
        </w:rPr>
        <w:t>府</w:t>
      </w:r>
      <w:r>
        <w:rPr>
          <w:rFonts w:hint="eastAsia" w:ascii="仿宋" w:hAnsi="仿宋" w:eastAsia="仿宋" w:cs="仿宋"/>
          <w:spacing w:val="19"/>
          <w:sz w:val="23"/>
          <w:szCs w:val="23"/>
          <w:highlight w:val="none"/>
        </w:rPr>
        <w:t>采</w:t>
      </w:r>
      <w:r>
        <w:rPr>
          <w:rFonts w:hint="eastAsia" w:ascii="仿宋" w:hAnsi="仿宋" w:eastAsia="仿宋" w:cs="仿宋"/>
          <w:spacing w:val="14"/>
          <w:sz w:val="23"/>
          <w:szCs w:val="23"/>
          <w:highlight w:val="none"/>
        </w:rPr>
        <w:t>购政策的通知》(财库〔2017〕141号)的规定，本单位为符合条件的残疾人福</w:t>
      </w:r>
      <w:r>
        <w:rPr>
          <w:rFonts w:hint="eastAsia" w:ascii="仿宋" w:hAnsi="仿宋" w:eastAsia="仿宋" w:cs="仿宋"/>
          <w:spacing w:val="20"/>
          <w:sz w:val="23"/>
          <w:szCs w:val="23"/>
          <w:highlight w:val="none"/>
        </w:rPr>
        <w:t>利性</w:t>
      </w:r>
      <w:r>
        <w:rPr>
          <w:rFonts w:hint="eastAsia" w:ascii="仿宋" w:hAnsi="仿宋" w:eastAsia="仿宋" w:cs="仿宋"/>
          <w:spacing w:val="14"/>
          <w:sz w:val="23"/>
          <w:szCs w:val="23"/>
          <w:highlight w:val="none"/>
        </w:rPr>
        <w:t>单</w:t>
      </w:r>
      <w:r>
        <w:rPr>
          <w:rFonts w:hint="eastAsia" w:ascii="仿宋" w:hAnsi="仿宋" w:eastAsia="仿宋" w:cs="仿宋"/>
          <w:spacing w:val="10"/>
          <w:sz w:val="23"/>
          <w:szCs w:val="23"/>
          <w:highlight w:val="none"/>
        </w:rPr>
        <w:t>位，且本单位参加</w:t>
      </w:r>
      <w:r>
        <w:rPr>
          <w:rFonts w:hint="eastAsia" w:ascii="仿宋" w:hAnsi="仿宋" w:eastAsia="仿宋" w:cs="仿宋"/>
          <w:spacing w:val="10"/>
          <w:sz w:val="23"/>
          <w:szCs w:val="23"/>
          <w:highlight w:val="none"/>
          <w:u w:val="single" w:color="auto"/>
        </w:rPr>
        <w:t>(采购人)</w:t>
      </w:r>
      <w:r>
        <w:rPr>
          <w:rFonts w:hint="eastAsia" w:ascii="仿宋" w:hAnsi="仿宋" w:eastAsia="仿宋" w:cs="仿宋"/>
          <w:spacing w:val="10"/>
          <w:sz w:val="23"/>
          <w:szCs w:val="23"/>
          <w:highlight w:val="none"/>
        </w:rPr>
        <w:t>的项目第包采购活动提供本</w:t>
      </w:r>
      <w:r>
        <w:rPr>
          <w:rFonts w:hint="eastAsia" w:ascii="仿宋" w:hAnsi="仿宋" w:eastAsia="仿宋" w:cs="仿宋"/>
          <w:spacing w:val="22"/>
          <w:sz w:val="23"/>
          <w:szCs w:val="23"/>
          <w:highlight w:val="none"/>
        </w:rPr>
        <w:t>单位制造的货物(由本单位承担工程/提供服务)，或者提供其他残疾人福利性单</w:t>
      </w:r>
      <w:r>
        <w:rPr>
          <w:rFonts w:hint="eastAsia" w:ascii="仿宋" w:hAnsi="仿宋" w:eastAsia="仿宋" w:cs="仿宋"/>
          <w:spacing w:val="21"/>
          <w:sz w:val="23"/>
          <w:szCs w:val="23"/>
          <w:highlight w:val="none"/>
        </w:rPr>
        <w:t>位</w:t>
      </w:r>
      <w:r>
        <w:rPr>
          <w:rFonts w:hint="eastAsia" w:ascii="仿宋" w:hAnsi="仿宋" w:eastAsia="仿宋" w:cs="仿宋"/>
          <w:spacing w:val="38"/>
          <w:sz w:val="23"/>
          <w:szCs w:val="23"/>
          <w:highlight w:val="none"/>
        </w:rPr>
        <w:t>制</w:t>
      </w:r>
      <w:r>
        <w:rPr>
          <w:rFonts w:hint="eastAsia" w:ascii="仿宋" w:hAnsi="仿宋" w:eastAsia="仿宋" w:cs="仿宋"/>
          <w:spacing w:val="20"/>
          <w:sz w:val="23"/>
          <w:szCs w:val="23"/>
          <w:highlight w:val="none"/>
        </w:rPr>
        <w:t>造</w:t>
      </w:r>
      <w:r>
        <w:rPr>
          <w:rFonts w:hint="eastAsia" w:ascii="仿宋" w:hAnsi="仿宋" w:eastAsia="仿宋" w:cs="仿宋"/>
          <w:spacing w:val="19"/>
          <w:sz w:val="23"/>
          <w:szCs w:val="23"/>
          <w:highlight w:val="none"/>
        </w:rPr>
        <w:t>的货物(不包括使用非残疾人福利性单位注册商标的货物)。</w:t>
      </w:r>
    </w:p>
    <w:p>
      <w:pPr>
        <w:keepNext w:val="0"/>
        <w:keepLines w:val="0"/>
        <w:pageBreakBefore w:val="0"/>
        <w:kinsoku/>
        <w:overflowPunct/>
        <w:bidi w:val="0"/>
        <w:snapToGrid/>
        <w:spacing w:line="224" w:lineRule="auto"/>
        <w:ind w:left="0" w:leftChars="0" w:right="0"/>
        <w:outlineLvl w:val="9"/>
        <w:rPr>
          <w:rFonts w:hint="eastAsia" w:ascii="仿宋" w:hAnsi="仿宋" w:eastAsia="仿宋" w:cs="仿宋"/>
          <w:sz w:val="23"/>
          <w:szCs w:val="23"/>
          <w:highlight w:val="none"/>
        </w:rPr>
      </w:pPr>
      <w:r>
        <w:rPr>
          <w:rFonts w:hint="eastAsia" w:ascii="仿宋" w:hAnsi="仿宋" w:eastAsia="仿宋" w:cs="仿宋"/>
          <w:spacing w:val="18"/>
          <w:sz w:val="23"/>
          <w:szCs w:val="23"/>
          <w:highlight w:val="none"/>
        </w:rPr>
        <w:t>本</w:t>
      </w:r>
      <w:r>
        <w:rPr>
          <w:rFonts w:hint="eastAsia" w:ascii="仿宋" w:hAnsi="仿宋" w:eastAsia="仿宋" w:cs="仿宋"/>
          <w:spacing w:val="9"/>
          <w:sz w:val="23"/>
          <w:szCs w:val="23"/>
          <w:highlight w:val="none"/>
        </w:rPr>
        <w:t>单位对上述声明的真实性负责。如有虚假，将依法承担相应责任。</w:t>
      </w:r>
    </w:p>
    <w:p>
      <w:pPr>
        <w:keepNext w:val="0"/>
        <w:keepLines w:val="0"/>
        <w:pageBreakBefore w:val="0"/>
        <w:kinsoku/>
        <w:overflowPunct/>
        <w:bidi w:val="0"/>
        <w:snapToGrid/>
        <w:spacing w:line="311"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311"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311" w:lineRule="auto"/>
        <w:ind w:left="0" w:leftChars="0" w:right="0"/>
        <w:outlineLvl w:val="9"/>
        <w:rPr>
          <w:rFonts w:hint="eastAsia" w:ascii="仿宋" w:hAnsi="仿宋" w:eastAsia="仿宋" w:cs="仿宋"/>
          <w:sz w:val="21"/>
          <w:highlight w:val="none"/>
        </w:rPr>
      </w:pPr>
    </w:p>
    <w:p>
      <w:pPr>
        <w:keepNext w:val="0"/>
        <w:keepLines w:val="0"/>
        <w:pageBreakBefore w:val="0"/>
        <w:kinsoku/>
        <w:overflowPunct/>
        <w:bidi w:val="0"/>
        <w:snapToGrid/>
        <w:spacing w:line="408" w:lineRule="auto"/>
        <w:ind w:left="0" w:leftChars="0" w:right="0" w:hanging="193"/>
        <w:outlineLvl w:val="9"/>
        <w:rPr>
          <w:rFonts w:hint="eastAsia" w:ascii="仿宋" w:hAnsi="仿宋" w:eastAsia="仿宋" w:cs="仿宋"/>
          <w:spacing w:val="-2"/>
          <w:sz w:val="23"/>
          <w:szCs w:val="23"/>
          <w:highlight w:val="none"/>
        </w:rPr>
      </w:pPr>
      <w:r>
        <w:rPr>
          <w:rFonts w:hint="eastAsia" w:ascii="仿宋" w:hAnsi="仿宋" w:eastAsia="仿宋" w:cs="仿宋"/>
          <w:spacing w:val="-4"/>
          <w:sz w:val="23"/>
          <w:szCs w:val="23"/>
          <w:highlight w:val="none"/>
        </w:rPr>
        <w:t>企业名称：</w:t>
      </w:r>
      <w:r>
        <w:rPr>
          <w:rFonts w:hint="eastAsia" w:ascii="仿宋" w:hAnsi="仿宋" w:eastAsia="仿宋" w:cs="仿宋"/>
          <w:spacing w:val="-2"/>
          <w:sz w:val="23"/>
          <w:szCs w:val="23"/>
          <w:highlight w:val="none"/>
        </w:rPr>
        <w:t>(盖公章)</w:t>
      </w:r>
    </w:p>
    <w:p>
      <w:pPr>
        <w:keepNext w:val="0"/>
        <w:keepLines w:val="0"/>
        <w:pageBreakBefore w:val="0"/>
        <w:kinsoku/>
        <w:overflowPunct/>
        <w:bidi w:val="0"/>
        <w:snapToGrid/>
        <w:spacing w:line="408" w:lineRule="auto"/>
        <w:ind w:left="0" w:leftChars="0" w:right="0" w:hanging="193"/>
        <w:outlineLvl w:val="9"/>
        <w:rPr>
          <w:rFonts w:hint="eastAsia" w:ascii="仿宋" w:hAnsi="仿宋" w:eastAsia="仿宋" w:cs="仿宋"/>
          <w:sz w:val="23"/>
          <w:szCs w:val="23"/>
          <w:highlight w:val="none"/>
          <w:lang w:eastAsia="zh-CN"/>
        </w:rPr>
      </w:pPr>
      <w:r>
        <w:rPr>
          <w:rFonts w:hint="eastAsia" w:ascii="仿宋" w:hAnsi="仿宋" w:eastAsia="仿宋" w:cs="仿宋"/>
          <w:spacing w:val="-18"/>
          <w:sz w:val="23"/>
          <w:szCs w:val="23"/>
          <w:highlight w:val="none"/>
        </w:rPr>
        <w:t>日</w:t>
      </w:r>
      <w:r>
        <w:rPr>
          <w:rFonts w:hint="eastAsia" w:ascii="仿宋" w:hAnsi="仿宋" w:eastAsia="仿宋" w:cs="仿宋"/>
          <w:spacing w:val="-15"/>
          <w:sz w:val="23"/>
          <w:szCs w:val="23"/>
          <w:highlight w:val="none"/>
        </w:rPr>
        <w:t>期：</w:t>
      </w:r>
    </w:p>
    <w:p>
      <w:pPr>
        <w:keepNext w:val="0"/>
        <w:keepLines w:val="0"/>
        <w:pageBreakBefore w:val="0"/>
        <w:kinsoku/>
        <w:overflowPunct/>
        <w:bidi w:val="0"/>
        <w:snapToGrid/>
        <w:spacing w:line="221" w:lineRule="auto"/>
        <w:ind w:left="0" w:leftChars="0" w:right="0"/>
        <w:outlineLvl w:val="9"/>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说明</w:t>
      </w:r>
      <w:r>
        <w:rPr>
          <w:rFonts w:hint="eastAsia" w:ascii="仿宋" w:hAnsi="仿宋" w:eastAsia="仿宋" w:cs="仿宋"/>
          <w:sz w:val="22"/>
          <w:szCs w:val="22"/>
          <w:highlight w:val="none"/>
        </w:rPr>
        <w:t>：</w:t>
      </w:r>
    </w:p>
    <w:p>
      <w:pPr>
        <w:keepNext w:val="0"/>
        <w:keepLines w:val="0"/>
        <w:pageBreakBefore w:val="0"/>
        <w:kinsoku/>
        <w:overflowPunct/>
        <w:bidi w:val="0"/>
        <w:snapToGrid/>
        <w:spacing w:line="369" w:lineRule="auto"/>
        <w:ind w:left="0" w:leftChars="0" w:right="0" w:firstLine="461"/>
        <w:outlineLvl w:val="9"/>
        <w:rPr>
          <w:rFonts w:hint="eastAsia" w:ascii="仿宋" w:hAnsi="仿宋" w:eastAsia="仿宋" w:cs="仿宋"/>
          <w:sz w:val="22"/>
          <w:szCs w:val="22"/>
          <w:highlight w:val="none"/>
        </w:rPr>
      </w:pPr>
      <w:r>
        <w:rPr>
          <w:rFonts w:hint="eastAsia" w:ascii="仿宋" w:hAnsi="仿宋" w:eastAsia="仿宋" w:cs="仿宋"/>
          <w:spacing w:val="20"/>
          <w:sz w:val="22"/>
          <w:szCs w:val="22"/>
          <w:highlight w:val="none"/>
        </w:rPr>
        <w:t>依据</w:t>
      </w:r>
      <w:r>
        <w:rPr>
          <w:rFonts w:hint="eastAsia" w:ascii="仿宋" w:hAnsi="仿宋" w:eastAsia="仿宋" w:cs="仿宋"/>
          <w:spacing w:val="14"/>
          <w:sz w:val="22"/>
          <w:szCs w:val="22"/>
          <w:highlight w:val="none"/>
        </w:rPr>
        <w:t>财</w:t>
      </w:r>
      <w:r>
        <w:rPr>
          <w:rFonts w:hint="eastAsia" w:ascii="仿宋" w:hAnsi="仿宋" w:eastAsia="仿宋" w:cs="仿宋"/>
          <w:spacing w:val="10"/>
          <w:sz w:val="22"/>
          <w:szCs w:val="22"/>
          <w:highlight w:val="none"/>
        </w:rPr>
        <w:t>库〔2017〕141号文件，享受政府采购支持政策的残疾人福利性单位应当同时满</w:t>
      </w:r>
      <w:r>
        <w:rPr>
          <w:rFonts w:hint="eastAsia" w:ascii="仿宋" w:hAnsi="仿宋" w:eastAsia="仿宋" w:cs="仿宋"/>
          <w:spacing w:val="7"/>
          <w:sz w:val="22"/>
          <w:szCs w:val="22"/>
          <w:highlight w:val="none"/>
        </w:rPr>
        <w:t>足</w:t>
      </w:r>
      <w:r>
        <w:rPr>
          <w:rFonts w:hint="eastAsia" w:ascii="仿宋" w:hAnsi="仿宋" w:eastAsia="仿宋" w:cs="仿宋"/>
          <w:spacing w:val="6"/>
          <w:sz w:val="22"/>
          <w:szCs w:val="22"/>
          <w:highlight w:val="none"/>
        </w:rPr>
        <w:t>以下条件：</w:t>
      </w:r>
    </w:p>
    <w:p>
      <w:pPr>
        <w:keepNext w:val="0"/>
        <w:keepLines w:val="0"/>
        <w:pageBreakBefore w:val="0"/>
        <w:kinsoku/>
        <w:overflowPunct/>
        <w:bidi w:val="0"/>
        <w:snapToGrid/>
        <w:spacing w:line="369" w:lineRule="auto"/>
        <w:ind w:left="0" w:leftChars="0" w:right="0" w:firstLine="477"/>
        <w:outlineLvl w:val="9"/>
        <w:rPr>
          <w:rFonts w:hint="eastAsia" w:ascii="仿宋" w:hAnsi="仿宋" w:eastAsia="仿宋" w:cs="仿宋"/>
          <w:sz w:val="22"/>
          <w:szCs w:val="22"/>
          <w:highlight w:val="none"/>
        </w:rPr>
      </w:pPr>
      <w:r>
        <w:rPr>
          <w:rFonts w:hint="eastAsia" w:ascii="仿宋" w:hAnsi="仿宋" w:eastAsia="仿宋" w:cs="仿宋"/>
          <w:spacing w:val="14"/>
          <w:sz w:val="22"/>
          <w:szCs w:val="22"/>
          <w:highlight w:val="none"/>
        </w:rPr>
        <w:t>1</w:t>
      </w:r>
      <w:r>
        <w:rPr>
          <w:rFonts w:hint="eastAsia" w:ascii="仿宋" w:hAnsi="仿宋" w:eastAsia="仿宋" w:cs="仿宋"/>
          <w:spacing w:val="8"/>
          <w:sz w:val="22"/>
          <w:szCs w:val="22"/>
          <w:highlight w:val="none"/>
        </w:rPr>
        <w:t>.</w:t>
      </w:r>
      <w:r>
        <w:rPr>
          <w:rFonts w:hint="eastAsia" w:ascii="仿宋" w:hAnsi="仿宋" w:eastAsia="仿宋" w:cs="仿宋"/>
          <w:spacing w:val="7"/>
          <w:sz w:val="22"/>
          <w:szCs w:val="22"/>
          <w:highlight w:val="none"/>
        </w:rPr>
        <w:t>安置的残疾人占本单位在职职工人数的比例不低于25%(含25%)，并且安置的残疾人</w:t>
      </w:r>
      <w:r>
        <w:rPr>
          <w:rFonts w:hint="eastAsia" w:ascii="仿宋" w:hAnsi="仿宋" w:eastAsia="仿宋" w:cs="仿宋"/>
          <w:spacing w:val="-6"/>
          <w:sz w:val="22"/>
          <w:szCs w:val="22"/>
          <w:highlight w:val="none"/>
        </w:rPr>
        <w:t>人数不少</w:t>
      </w:r>
      <w:r>
        <w:rPr>
          <w:rFonts w:hint="eastAsia" w:ascii="仿宋" w:hAnsi="仿宋" w:eastAsia="仿宋" w:cs="仿宋"/>
          <w:spacing w:val="-4"/>
          <w:sz w:val="22"/>
          <w:szCs w:val="22"/>
          <w:highlight w:val="none"/>
        </w:rPr>
        <w:t>于</w:t>
      </w:r>
      <w:r>
        <w:rPr>
          <w:rFonts w:hint="eastAsia" w:ascii="仿宋" w:hAnsi="仿宋" w:eastAsia="仿宋" w:cs="仿宋"/>
          <w:spacing w:val="-3"/>
          <w:sz w:val="22"/>
          <w:szCs w:val="22"/>
          <w:highlight w:val="none"/>
        </w:rPr>
        <w:t>10人(含10人)；</w:t>
      </w:r>
    </w:p>
    <w:p>
      <w:pPr>
        <w:keepNext w:val="0"/>
        <w:keepLines w:val="0"/>
        <w:pageBreakBefore w:val="0"/>
        <w:kinsoku/>
        <w:overflowPunct/>
        <w:bidi w:val="0"/>
        <w:snapToGrid/>
        <w:spacing w:line="220" w:lineRule="auto"/>
        <w:ind w:left="0" w:leftChars="0" w:right="0"/>
        <w:outlineLvl w:val="9"/>
        <w:rPr>
          <w:rFonts w:hint="eastAsia" w:ascii="仿宋" w:hAnsi="仿宋" w:eastAsia="仿宋" w:cs="仿宋"/>
          <w:sz w:val="22"/>
          <w:szCs w:val="22"/>
          <w:highlight w:val="none"/>
        </w:rPr>
      </w:pPr>
      <w:r>
        <w:rPr>
          <w:rFonts w:hint="eastAsia" w:ascii="仿宋" w:hAnsi="仿宋" w:eastAsia="仿宋" w:cs="仿宋"/>
          <w:spacing w:val="15"/>
          <w:sz w:val="22"/>
          <w:szCs w:val="22"/>
          <w:highlight w:val="none"/>
        </w:rPr>
        <w:t>2</w:t>
      </w:r>
      <w:r>
        <w:rPr>
          <w:rFonts w:hint="eastAsia" w:ascii="仿宋" w:hAnsi="仿宋" w:eastAsia="仿宋" w:cs="仿宋"/>
          <w:spacing w:val="10"/>
          <w:sz w:val="22"/>
          <w:szCs w:val="22"/>
          <w:highlight w:val="none"/>
        </w:rPr>
        <w:t>.依法与安置的每位残疾人签订了一年以上(含一年)的劳动合同或服务协议；</w:t>
      </w:r>
    </w:p>
    <w:p>
      <w:pPr>
        <w:keepNext w:val="0"/>
        <w:keepLines w:val="0"/>
        <w:pageBreakBefore w:val="0"/>
        <w:kinsoku/>
        <w:overflowPunct/>
        <w:bidi w:val="0"/>
        <w:snapToGrid/>
        <w:spacing w:line="370" w:lineRule="auto"/>
        <w:ind w:left="0" w:leftChars="0" w:right="0" w:firstLine="466"/>
        <w:outlineLvl w:val="9"/>
        <w:rPr>
          <w:rFonts w:hint="eastAsia" w:ascii="仿宋" w:hAnsi="仿宋" w:eastAsia="仿宋" w:cs="仿宋"/>
          <w:sz w:val="22"/>
          <w:szCs w:val="22"/>
          <w:highlight w:val="none"/>
        </w:rPr>
      </w:pPr>
      <w:r>
        <w:rPr>
          <w:rFonts w:hint="eastAsia" w:ascii="仿宋" w:hAnsi="仿宋" w:eastAsia="仿宋" w:cs="仿宋"/>
          <w:spacing w:val="28"/>
          <w:sz w:val="22"/>
          <w:szCs w:val="22"/>
          <w:highlight w:val="none"/>
        </w:rPr>
        <w:t>3</w:t>
      </w:r>
      <w:r>
        <w:rPr>
          <w:rFonts w:hint="eastAsia" w:ascii="仿宋" w:hAnsi="仿宋" w:eastAsia="仿宋" w:cs="仿宋"/>
          <w:spacing w:val="18"/>
          <w:sz w:val="22"/>
          <w:szCs w:val="22"/>
          <w:highlight w:val="none"/>
        </w:rPr>
        <w:t>.</w:t>
      </w:r>
      <w:r>
        <w:rPr>
          <w:rFonts w:hint="eastAsia" w:ascii="仿宋" w:hAnsi="仿宋" w:eastAsia="仿宋" w:cs="仿宋"/>
          <w:spacing w:val="14"/>
          <w:sz w:val="22"/>
          <w:szCs w:val="22"/>
          <w:highlight w:val="none"/>
        </w:rPr>
        <w:t>为安置的每位残疾人按月足额缴纳了基本养老保险、基本医疗保险、失业保险、工伤</w:t>
      </w:r>
      <w:r>
        <w:rPr>
          <w:rFonts w:hint="eastAsia" w:ascii="仿宋" w:hAnsi="仿宋" w:eastAsia="仿宋" w:cs="仿宋"/>
          <w:spacing w:val="18"/>
          <w:sz w:val="22"/>
          <w:szCs w:val="22"/>
          <w:highlight w:val="none"/>
        </w:rPr>
        <w:t>保</w:t>
      </w:r>
      <w:r>
        <w:rPr>
          <w:rFonts w:hint="eastAsia" w:ascii="仿宋" w:hAnsi="仿宋" w:eastAsia="仿宋" w:cs="仿宋"/>
          <w:spacing w:val="9"/>
          <w:sz w:val="22"/>
          <w:szCs w:val="22"/>
          <w:highlight w:val="none"/>
        </w:rPr>
        <w:t>险和生育保险等社会保险费；</w:t>
      </w:r>
    </w:p>
    <w:p>
      <w:pPr>
        <w:keepNext w:val="0"/>
        <w:keepLines w:val="0"/>
        <w:pageBreakBefore w:val="0"/>
        <w:kinsoku/>
        <w:overflowPunct/>
        <w:bidi w:val="0"/>
        <w:snapToGrid/>
        <w:spacing w:line="369" w:lineRule="auto"/>
        <w:ind w:left="0" w:leftChars="0" w:right="0" w:firstLine="458"/>
        <w:outlineLvl w:val="9"/>
        <w:rPr>
          <w:rFonts w:hint="eastAsia" w:ascii="仿宋" w:hAnsi="仿宋" w:eastAsia="仿宋" w:cs="仿宋"/>
          <w:sz w:val="22"/>
          <w:szCs w:val="22"/>
          <w:highlight w:val="none"/>
        </w:rPr>
      </w:pPr>
      <w:r>
        <w:rPr>
          <w:rFonts w:hint="eastAsia" w:ascii="仿宋" w:hAnsi="仿宋" w:eastAsia="仿宋" w:cs="仿宋"/>
          <w:spacing w:val="28"/>
          <w:sz w:val="22"/>
          <w:szCs w:val="22"/>
          <w:highlight w:val="none"/>
        </w:rPr>
        <w:t>4</w:t>
      </w:r>
      <w:r>
        <w:rPr>
          <w:rFonts w:hint="eastAsia" w:ascii="仿宋" w:hAnsi="仿宋" w:eastAsia="仿宋" w:cs="仿宋"/>
          <w:spacing w:val="23"/>
          <w:sz w:val="22"/>
          <w:szCs w:val="22"/>
          <w:highlight w:val="none"/>
        </w:rPr>
        <w:t>.</w:t>
      </w:r>
      <w:r>
        <w:rPr>
          <w:rFonts w:hint="eastAsia" w:ascii="仿宋" w:hAnsi="仿宋" w:eastAsia="仿宋" w:cs="仿宋"/>
          <w:spacing w:val="14"/>
          <w:sz w:val="22"/>
          <w:szCs w:val="22"/>
          <w:highlight w:val="none"/>
        </w:rPr>
        <w:t>通过银行等金融机构向安置的每位残疾人，按月支付了不低于单位所在区县适用的经省</w:t>
      </w:r>
      <w:r>
        <w:rPr>
          <w:rFonts w:hint="eastAsia" w:ascii="仿宋" w:hAnsi="仿宋" w:eastAsia="仿宋" w:cs="仿宋"/>
          <w:spacing w:val="10"/>
          <w:sz w:val="22"/>
          <w:szCs w:val="22"/>
          <w:highlight w:val="none"/>
        </w:rPr>
        <w:t>级人民政府批准的月最低工资标准的工资；</w:t>
      </w:r>
    </w:p>
    <w:p>
      <w:pPr>
        <w:keepNext w:val="0"/>
        <w:keepLines w:val="0"/>
        <w:pageBreakBefore w:val="0"/>
        <w:kinsoku/>
        <w:overflowPunct/>
        <w:bidi w:val="0"/>
        <w:snapToGrid/>
        <w:spacing w:line="368" w:lineRule="auto"/>
        <w:ind w:left="0" w:leftChars="0" w:right="0" w:firstLine="465"/>
        <w:outlineLvl w:val="9"/>
        <w:rPr>
          <w:rFonts w:hint="eastAsia" w:ascii="仿宋" w:hAnsi="仿宋" w:eastAsia="仿宋" w:cs="仿宋"/>
          <w:sz w:val="22"/>
          <w:szCs w:val="22"/>
          <w:highlight w:val="none"/>
        </w:rPr>
      </w:pPr>
      <w:r>
        <w:rPr>
          <w:rFonts w:hint="eastAsia" w:ascii="仿宋" w:hAnsi="仿宋" w:eastAsia="仿宋" w:cs="仿宋"/>
          <w:spacing w:val="26"/>
          <w:sz w:val="22"/>
          <w:szCs w:val="22"/>
          <w:highlight w:val="none"/>
        </w:rPr>
        <w:t>5.</w:t>
      </w:r>
      <w:r>
        <w:rPr>
          <w:rFonts w:hint="eastAsia" w:ascii="仿宋" w:hAnsi="仿宋" w:eastAsia="仿宋" w:cs="仿宋"/>
          <w:spacing w:val="18"/>
          <w:sz w:val="22"/>
          <w:szCs w:val="22"/>
          <w:highlight w:val="none"/>
        </w:rPr>
        <w:t>提</w:t>
      </w:r>
      <w:r>
        <w:rPr>
          <w:rFonts w:hint="eastAsia" w:ascii="仿宋" w:hAnsi="仿宋" w:eastAsia="仿宋" w:cs="仿宋"/>
          <w:spacing w:val="13"/>
          <w:sz w:val="22"/>
          <w:szCs w:val="22"/>
          <w:highlight w:val="none"/>
        </w:rPr>
        <w:t>供本单位制造的货物、承担的工程或者服务(以下简称产品)，或者提供其他残疾</w:t>
      </w:r>
      <w:r>
        <w:rPr>
          <w:rFonts w:hint="eastAsia" w:ascii="仿宋" w:hAnsi="仿宋" w:eastAsia="仿宋" w:cs="仿宋"/>
          <w:spacing w:val="20"/>
          <w:sz w:val="22"/>
          <w:szCs w:val="22"/>
          <w:highlight w:val="none"/>
        </w:rPr>
        <w:t>人福</w:t>
      </w:r>
      <w:r>
        <w:rPr>
          <w:rFonts w:hint="eastAsia" w:ascii="仿宋" w:hAnsi="仿宋" w:eastAsia="仿宋" w:cs="仿宋"/>
          <w:spacing w:val="18"/>
          <w:sz w:val="22"/>
          <w:szCs w:val="22"/>
          <w:highlight w:val="none"/>
        </w:rPr>
        <w:t>利</w:t>
      </w:r>
      <w:r>
        <w:rPr>
          <w:rFonts w:hint="eastAsia" w:ascii="仿宋" w:hAnsi="仿宋" w:eastAsia="仿宋" w:cs="仿宋"/>
          <w:spacing w:val="10"/>
          <w:sz w:val="22"/>
          <w:szCs w:val="22"/>
          <w:highlight w:val="none"/>
        </w:rPr>
        <w:t>性单位制造的货物(不包括使用非残疾人福利性单位注册商标的货物)。</w:t>
      </w:r>
    </w:p>
    <w:p>
      <w:pPr>
        <w:keepNext w:val="0"/>
        <w:keepLines w:val="0"/>
        <w:pageBreakBefore w:val="0"/>
        <w:kinsoku/>
        <w:overflowPunct/>
        <w:bidi w:val="0"/>
        <w:snapToGrid/>
        <w:spacing w:line="373" w:lineRule="auto"/>
        <w:ind w:left="0" w:leftChars="0" w:right="0" w:firstLine="464"/>
        <w:outlineLvl w:val="9"/>
        <w:rPr>
          <w:rFonts w:hint="eastAsia" w:ascii="仿宋" w:hAnsi="仿宋" w:eastAsia="仿宋" w:cs="仿宋"/>
          <w:sz w:val="22"/>
          <w:szCs w:val="22"/>
          <w:highlight w:val="none"/>
        </w:rPr>
      </w:pPr>
      <w:r>
        <w:rPr>
          <w:rFonts w:hint="eastAsia" w:ascii="仿宋" w:hAnsi="仿宋" w:eastAsia="仿宋" w:cs="仿宋"/>
          <w:spacing w:val="15"/>
          <w:sz w:val="22"/>
          <w:szCs w:val="22"/>
          <w:highlight w:val="none"/>
        </w:rPr>
        <w:t>前款所称残疾人是指法定劳动年龄内，持有《中华人民共和国残疾人证》或者《中华</w:t>
      </w:r>
      <w:r>
        <w:rPr>
          <w:rFonts w:hint="eastAsia" w:ascii="仿宋" w:hAnsi="仿宋" w:eastAsia="仿宋" w:cs="仿宋"/>
          <w:spacing w:val="10"/>
          <w:sz w:val="22"/>
          <w:szCs w:val="22"/>
          <w:highlight w:val="none"/>
        </w:rPr>
        <w:t>人民共和</w:t>
      </w:r>
      <w:r>
        <w:rPr>
          <w:rFonts w:hint="eastAsia" w:ascii="仿宋" w:hAnsi="仿宋" w:eastAsia="仿宋" w:cs="仿宋"/>
          <w:spacing w:val="8"/>
          <w:sz w:val="22"/>
          <w:szCs w:val="22"/>
          <w:highlight w:val="none"/>
        </w:rPr>
        <w:t>国</w:t>
      </w:r>
      <w:r>
        <w:rPr>
          <w:rFonts w:hint="eastAsia" w:ascii="仿宋" w:hAnsi="仿宋" w:eastAsia="仿宋" w:cs="仿宋"/>
          <w:spacing w:val="5"/>
          <w:sz w:val="22"/>
          <w:szCs w:val="22"/>
          <w:highlight w:val="none"/>
        </w:rPr>
        <w:t>残疾军人证(1至8级)》的自然人，包括具有劳动条件和劳动意愿的精神残疾</w:t>
      </w:r>
      <w:r>
        <w:rPr>
          <w:rFonts w:hint="eastAsia" w:ascii="仿宋" w:hAnsi="仿宋" w:eastAsia="仿宋" w:cs="仿宋"/>
          <w:spacing w:val="22"/>
          <w:sz w:val="22"/>
          <w:szCs w:val="22"/>
          <w:highlight w:val="none"/>
        </w:rPr>
        <w:t>人</w:t>
      </w:r>
      <w:r>
        <w:rPr>
          <w:rFonts w:hint="eastAsia" w:ascii="仿宋" w:hAnsi="仿宋" w:eastAsia="仿宋" w:cs="仿宋"/>
          <w:spacing w:val="18"/>
          <w:sz w:val="22"/>
          <w:szCs w:val="22"/>
          <w:highlight w:val="none"/>
        </w:rPr>
        <w:t>。</w:t>
      </w:r>
      <w:r>
        <w:rPr>
          <w:rFonts w:hint="eastAsia" w:ascii="仿宋" w:hAnsi="仿宋" w:eastAsia="仿宋" w:cs="仿宋"/>
          <w:spacing w:val="11"/>
          <w:sz w:val="22"/>
          <w:szCs w:val="22"/>
          <w:highlight w:val="none"/>
        </w:rPr>
        <w:t>在职职工人数是指与残疾人福利性单位建立劳动关系并依法签订劳动合同或者服务协议</w:t>
      </w:r>
      <w:r>
        <w:rPr>
          <w:rFonts w:hint="eastAsia" w:ascii="仿宋" w:hAnsi="仿宋" w:eastAsia="仿宋" w:cs="仿宋"/>
          <w:spacing w:val="9"/>
          <w:sz w:val="22"/>
          <w:szCs w:val="22"/>
          <w:highlight w:val="none"/>
        </w:rPr>
        <w:t>的</w:t>
      </w:r>
      <w:r>
        <w:rPr>
          <w:rFonts w:hint="eastAsia" w:ascii="仿宋" w:hAnsi="仿宋" w:eastAsia="仿宋" w:cs="仿宋"/>
          <w:spacing w:val="6"/>
          <w:sz w:val="22"/>
          <w:szCs w:val="22"/>
          <w:highlight w:val="none"/>
        </w:rPr>
        <w:t>雇员人数。</w:t>
      </w:r>
    </w:p>
    <w:p>
      <w:pPr>
        <w:keepNext w:val="0"/>
        <w:keepLines w:val="0"/>
        <w:pageBreakBefore w:val="0"/>
        <w:kinsoku/>
        <w:overflowPunct/>
        <w:bidi w:val="0"/>
        <w:snapToGrid/>
        <w:spacing w:line="253" w:lineRule="auto"/>
        <w:ind w:left="0" w:leftChars="0" w:right="0"/>
        <w:outlineLvl w:val="9"/>
        <w:rPr>
          <w:rFonts w:hint="eastAsia" w:ascii="仿宋" w:hAnsi="仿宋" w:eastAsia="仿宋" w:cs="仿宋"/>
          <w:sz w:val="21"/>
          <w:highlight w:val="none"/>
          <w:lang w:eastAsia="zh-CN"/>
        </w:rPr>
      </w:pPr>
    </w:p>
    <w:p>
      <w:pPr>
        <w:keepNext w:val="0"/>
        <w:keepLines w:val="0"/>
        <w:pageBreakBefore w:val="0"/>
        <w:kinsoku/>
        <w:overflowPunct/>
        <w:bidi w:val="0"/>
        <w:snapToGrid/>
        <w:spacing w:line="254" w:lineRule="auto"/>
        <w:ind w:left="0" w:leftChars="0" w:right="0"/>
        <w:outlineLvl w:val="9"/>
        <w:rPr>
          <w:rFonts w:hint="eastAsia" w:ascii="仿宋" w:hAnsi="仿宋" w:eastAsia="仿宋" w:cs="仿宋"/>
          <w:sz w:val="21"/>
          <w:highlight w:val="none"/>
        </w:rPr>
      </w:pPr>
    </w:p>
    <w:p>
      <w:pPr>
        <w:keepNext w:val="0"/>
        <w:keepLines w:val="0"/>
        <w:pageBreakBefore w:val="0"/>
        <w:overflowPunct/>
        <w:bidi w:val="0"/>
        <w:outlineLvl w:val="9"/>
        <w:rPr>
          <w:rFonts w:hint="eastAsia" w:ascii="仿宋" w:hAnsi="仿宋" w:eastAsia="仿宋" w:cs="仿宋"/>
          <w:spacing w:val="3"/>
          <w:sz w:val="28"/>
          <w:szCs w:val="28"/>
          <w:highlight w:val="none"/>
          <w14:textOutline w14:w="5103" w14:cap="sq" w14:cmpd="sng">
            <w14:solidFill>
              <w14:srgbClr w14:val="000000"/>
            </w14:solidFill>
            <w14:prstDash w14:val="solid"/>
            <w14:bevel/>
          </w14:textOutline>
        </w:rPr>
      </w:pPr>
      <w:r>
        <w:rPr>
          <w:rFonts w:hint="eastAsia" w:ascii="仿宋" w:hAnsi="仿宋" w:eastAsia="仿宋" w:cs="仿宋"/>
          <w:spacing w:val="3"/>
          <w:sz w:val="28"/>
          <w:szCs w:val="28"/>
          <w:highlight w:val="none"/>
          <w14:textOutline w14:w="5103" w14:cap="sq" w14:cmpd="sng">
            <w14:solidFill>
              <w14:srgbClr w14:val="000000"/>
            </w14:solidFill>
            <w14:prstDash w14:val="solid"/>
            <w14:bevel/>
          </w14:textOutline>
        </w:rPr>
        <w:br w:type="page"/>
      </w:r>
    </w:p>
    <w:p>
      <w:pPr>
        <w:keepNext w:val="0"/>
        <w:keepLines w:val="0"/>
        <w:pageBreakBefore w:val="0"/>
        <w:kinsoku/>
        <w:overflowPunct/>
        <w:bidi w:val="0"/>
        <w:snapToGrid/>
        <w:spacing w:line="221" w:lineRule="auto"/>
        <w:ind w:left="0" w:leftChars="0" w:right="0"/>
        <w:jc w:val="center"/>
        <w:outlineLvl w:val="9"/>
        <w:rPr>
          <w:rFonts w:hint="eastAsia" w:ascii="仿宋" w:hAnsi="仿宋" w:eastAsia="仿宋" w:cs="仿宋"/>
          <w:sz w:val="28"/>
          <w:szCs w:val="28"/>
          <w:highlight w:val="none"/>
        </w:rPr>
      </w:pPr>
      <w:r>
        <w:rPr>
          <w:rFonts w:hint="eastAsia" w:ascii="仿宋" w:hAnsi="仿宋" w:eastAsia="仿宋" w:cs="仿宋"/>
          <w:spacing w:val="3"/>
          <w:sz w:val="28"/>
          <w:szCs w:val="28"/>
          <w:highlight w:val="none"/>
          <w14:textOutline w14:w="5103" w14:cap="sq" w14:cmpd="sng">
            <w14:solidFill>
              <w14:srgbClr w14:val="000000"/>
            </w14:solidFill>
            <w14:prstDash w14:val="solid"/>
            <w14:bevel/>
          </w14:textOutline>
        </w:rPr>
        <w:t>监狱企业证明</w:t>
      </w:r>
      <w:r>
        <w:rPr>
          <w:rFonts w:hint="eastAsia" w:ascii="仿宋" w:hAnsi="仿宋" w:eastAsia="仿宋" w:cs="仿宋"/>
          <w:sz w:val="28"/>
          <w:szCs w:val="28"/>
          <w:highlight w:val="none"/>
          <w:lang w:eastAsia="zh-CN"/>
          <w14:textOutline w14:w="5103" w14:cap="sq" w14:cmpd="sng">
            <w14:solidFill>
              <w14:srgbClr w14:val="000000"/>
            </w14:solidFill>
            <w14:prstDash w14:val="solid"/>
            <w14:bevel/>
          </w14:textOutline>
        </w:rPr>
        <w:t>（</w:t>
      </w:r>
      <w:r>
        <w:rPr>
          <w:rFonts w:hint="eastAsia" w:ascii="仿宋" w:hAnsi="仿宋" w:eastAsia="仿宋" w:cs="仿宋"/>
          <w:sz w:val="28"/>
          <w:szCs w:val="28"/>
          <w:highlight w:val="none"/>
          <w:lang w:val="en-US" w:eastAsia="zh-CN"/>
          <w14:textOutline w14:w="5103" w14:cap="sq" w14:cmpd="sng">
            <w14:solidFill>
              <w14:srgbClr w14:val="000000"/>
            </w14:solidFill>
            <w14:prstDash w14:val="solid"/>
            <w14:bevel/>
          </w14:textOutline>
        </w:rPr>
        <w:t>如有</w:t>
      </w:r>
      <w:r>
        <w:rPr>
          <w:rFonts w:hint="eastAsia" w:ascii="仿宋" w:hAnsi="仿宋" w:eastAsia="仿宋" w:cs="仿宋"/>
          <w:sz w:val="28"/>
          <w:szCs w:val="28"/>
          <w:highlight w:val="none"/>
          <w:lang w:eastAsia="zh-CN"/>
          <w14:textOutline w14:w="5103" w14:cap="sq" w14:cmpd="sng">
            <w14:solidFill>
              <w14:srgbClr w14:val="000000"/>
            </w14:solidFill>
            <w14:prstDash w14:val="solid"/>
            <w14:bevel/>
          </w14:textOutline>
        </w:rPr>
        <w:t>）</w:t>
      </w:r>
    </w:p>
    <w:p>
      <w:pPr>
        <w:keepNext w:val="0"/>
        <w:keepLines w:val="0"/>
        <w:pageBreakBefore w:val="0"/>
        <w:kinsoku/>
        <w:overflowPunct/>
        <w:bidi w:val="0"/>
        <w:snapToGrid/>
        <w:spacing w:line="221" w:lineRule="auto"/>
        <w:ind w:left="0" w:leftChars="0" w:right="0"/>
        <w:outlineLvl w:val="9"/>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说明</w:t>
      </w:r>
      <w:r>
        <w:rPr>
          <w:rFonts w:hint="eastAsia" w:ascii="仿宋" w:hAnsi="仿宋" w:eastAsia="仿宋" w:cs="仿宋"/>
          <w:sz w:val="22"/>
          <w:szCs w:val="22"/>
          <w:highlight w:val="none"/>
        </w:rPr>
        <w:t>：</w:t>
      </w:r>
    </w:p>
    <w:p>
      <w:pPr>
        <w:keepNext w:val="0"/>
        <w:keepLines w:val="0"/>
        <w:pageBreakBefore w:val="0"/>
        <w:kinsoku/>
        <w:overflowPunct/>
        <w:bidi w:val="0"/>
        <w:snapToGrid/>
        <w:spacing w:line="370" w:lineRule="auto"/>
        <w:ind w:left="0" w:leftChars="0" w:right="0" w:firstLine="473"/>
        <w:outlineLvl w:val="9"/>
        <w:rPr>
          <w:rFonts w:hint="eastAsia" w:ascii="仿宋" w:hAnsi="仿宋" w:eastAsia="仿宋" w:cs="仿宋"/>
          <w:sz w:val="22"/>
          <w:szCs w:val="22"/>
          <w:highlight w:val="none"/>
        </w:rPr>
      </w:pPr>
      <w:r>
        <w:rPr>
          <w:rFonts w:hint="eastAsia" w:ascii="仿宋" w:hAnsi="仿宋" w:eastAsia="仿宋" w:cs="仿宋"/>
          <w:spacing w:val="14"/>
          <w:sz w:val="22"/>
          <w:szCs w:val="22"/>
          <w:highlight w:val="none"/>
        </w:rPr>
        <w:t>1.填报前请认真阅读《财政部司法部关于政府采购支持监狱企业发展有关问题的通知</w:t>
      </w:r>
      <w:r>
        <w:rPr>
          <w:rFonts w:hint="eastAsia" w:ascii="仿宋" w:hAnsi="仿宋" w:eastAsia="仿宋" w:cs="仿宋"/>
          <w:spacing w:val="11"/>
          <w:sz w:val="22"/>
          <w:szCs w:val="22"/>
          <w:highlight w:val="none"/>
        </w:rPr>
        <w:t>》</w:t>
      </w:r>
      <w:r>
        <w:rPr>
          <w:rFonts w:hint="eastAsia" w:ascii="仿宋" w:hAnsi="仿宋" w:eastAsia="仿宋" w:cs="仿宋"/>
          <w:spacing w:val="10"/>
          <w:sz w:val="22"/>
          <w:szCs w:val="22"/>
          <w:highlight w:val="none"/>
        </w:rPr>
        <w:t>(财库〔2014〕68号)的规定</w:t>
      </w:r>
      <w:r>
        <w:rPr>
          <w:rFonts w:hint="eastAsia" w:ascii="仿宋" w:hAnsi="仿宋" w:eastAsia="仿宋" w:cs="仿宋"/>
          <w:spacing w:val="7"/>
          <w:sz w:val="22"/>
          <w:szCs w:val="22"/>
          <w:highlight w:val="none"/>
        </w:rPr>
        <w:t>。</w:t>
      </w:r>
    </w:p>
    <w:p>
      <w:pPr>
        <w:keepNext w:val="0"/>
        <w:keepLines w:val="0"/>
        <w:pageBreakBefore w:val="0"/>
        <w:kinsoku/>
        <w:overflowPunct/>
        <w:bidi w:val="0"/>
        <w:snapToGrid/>
        <w:spacing w:line="369" w:lineRule="auto"/>
        <w:ind w:left="0" w:leftChars="0" w:right="0" w:firstLine="482"/>
        <w:outlineLvl w:val="9"/>
        <w:rPr>
          <w:rFonts w:hint="eastAsia" w:ascii="仿宋" w:hAnsi="仿宋" w:eastAsia="仿宋" w:cs="仿宋"/>
          <w:sz w:val="22"/>
          <w:szCs w:val="22"/>
          <w:highlight w:val="none"/>
        </w:rPr>
      </w:pPr>
      <w:r>
        <w:rPr>
          <w:rFonts w:hint="eastAsia" w:ascii="仿宋" w:hAnsi="仿宋" w:eastAsia="仿宋" w:cs="仿宋"/>
          <w:spacing w:val="22"/>
          <w:sz w:val="22"/>
          <w:szCs w:val="22"/>
          <w:highlight w:val="none"/>
        </w:rPr>
        <w:t>2</w:t>
      </w:r>
      <w:r>
        <w:rPr>
          <w:rFonts w:hint="eastAsia" w:ascii="仿宋" w:hAnsi="仿宋" w:eastAsia="仿宋" w:cs="仿宋"/>
          <w:spacing w:val="16"/>
          <w:sz w:val="22"/>
          <w:szCs w:val="22"/>
          <w:highlight w:val="none"/>
        </w:rPr>
        <w:t>.</w:t>
      </w:r>
      <w:r>
        <w:rPr>
          <w:rFonts w:hint="eastAsia" w:ascii="仿宋" w:hAnsi="仿宋" w:eastAsia="仿宋" w:cs="仿宋"/>
          <w:spacing w:val="11"/>
          <w:sz w:val="22"/>
          <w:szCs w:val="22"/>
          <w:highlight w:val="none"/>
        </w:rPr>
        <w:t>证明文件无格式要求，由出具监狱企业证明的单位自行拟定，出具证明的单位应符合</w:t>
      </w:r>
      <w:r>
        <w:rPr>
          <w:rFonts w:hint="eastAsia" w:ascii="仿宋" w:hAnsi="仿宋" w:eastAsia="仿宋" w:cs="仿宋"/>
          <w:spacing w:val="16"/>
          <w:sz w:val="22"/>
          <w:szCs w:val="22"/>
          <w:highlight w:val="none"/>
        </w:rPr>
        <w:t>“</w:t>
      </w:r>
      <w:r>
        <w:rPr>
          <w:rFonts w:hint="eastAsia" w:ascii="仿宋" w:hAnsi="仿宋" w:eastAsia="仿宋" w:cs="仿宋"/>
          <w:spacing w:val="11"/>
          <w:sz w:val="22"/>
          <w:szCs w:val="22"/>
          <w:highlight w:val="none"/>
          <w:lang w:eastAsia="zh-CN"/>
        </w:rPr>
        <w:t>供应商</w:t>
      </w:r>
      <w:r>
        <w:rPr>
          <w:rFonts w:hint="eastAsia" w:ascii="仿宋" w:hAnsi="仿宋" w:eastAsia="仿宋" w:cs="仿宋"/>
          <w:spacing w:val="11"/>
          <w:sz w:val="22"/>
          <w:szCs w:val="22"/>
          <w:highlight w:val="none"/>
        </w:rPr>
        <w:t>须知”关于监狱企业政府采购政策的规定。</w:t>
      </w:r>
    </w:p>
    <w:p>
      <w:pPr>
        <w:keepNext w:val="0"/>
        <w:keepLines w:val="0"/>
        <w:pageBreakBefore w:val="0"/>
        <w:kinsoku/>
        <w:overflowPunct/>
        <w:bidi w:val="0"/>
        <w:snapToGrid/>
        <w:spacing w:line="241" w:lineRule="auto"/>
        <w:ind w:left="0" w:leftChars="0" w:right="0"/>
        <w:outlineLvl w:val="9"/>
        <w:rPr>
          <w:rFonts w:hint="eastAsia" w:ascii="仿宋" w:hAnsi="仿宋" w:eastAsia="仿宋" w:cs="仿宋"/>
          <w:sz w:val="22"/>
          <w:szCs w:val="22"/>
          <w:highlight w:val="none"/>
        </w:rPr>
      </w:pPr>
      <w:r>
        <w:rPr>
          <w:rFonts w:hint="eastAsia" w:ascii="仿宋" w:hAnsi="仿宋" w:eastAsia="仿宋" w:cs="仿宋"/>
          <w:spacing w:val="20"/>
          <w:sz w:val="22"/>
          <w:szCs w:val="22"/>
          <w:highlight w:val="none"/>
        </w:rPr>
        <w:t>3.</w:t>
      </w:r>
      <w:r>
        <w:rPr>
          <w:rFonts w:hint="eastAsia" w:ascii="仿宋" w:hAnsi="仿宋" w:eastAsia="仿宋" w:cs="仿宋"/>
          <w:spacing w:val="16"/>
          <w:sz w:val="22"/>
          <w:szCs w:val="22"/>
          <w:highlight w:val="none"/>
          <w:lang w:eastAsia="zh-CN"/>
        </w:rPr>
        <w:t>供应商</w:t>
      </w:r>
      <w:r>
        <w:rPr>
          <w:rFonts w:hint="eastAsia" w:ascii="仿宋" w:hAnsi="仿宋" w:eastAsia="仿宋" w:cs="仿宋"/>
          <w:spacing w:val="10"/>
          <w:sz w:val="22"/>
          <w:szCs w:val="22"/>
          <w:highlight w:val="none"/>
        </w:rPr>
        <w:t>属于监狱企业的，未按上述要求提供证明的，不享受报价扣除优惠政策。</w:t>
      </w:r>
    </w:p>
    <w:p>
      <w:pPr>
        <w:pStyle w:val="2"/>
        <w:keepNext w:val="0"/>
        <w:keepLines w:val="0"/>
        <w:pageBreakBefore w:val="0"/>
        <w:overflowPunct/>
        <w:bidi w:val="0"/>
        <w:outlineLvl w:val="9"/>
        <w:rPr>
          <w:rFonts w:hint="eastAsia" w:ascii="仿宋" w:hAnsi="仿宋" w:eastAsia="仿宋" w:cs="仿宋"/>
          <w:highlight w:val="none"/>
        </w:rPr>
      </w:pPr>
    </w:p>
    <w:p>
      <w:pPr>
        <w:keepNext w:val="0"/>
        <w:keepLines w:val="0"/>
        <w:pageBreakBefore w:val="0"/>
        <w:overflowPunct/>
        <w:bidi w:val="0"/>
        <w:outlineLvl w:val="9"/>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br w:type="page"/>
      </w:r>
    </w:p>
    <w:p>
      <w:pPr>
        <w:keepNext w:val="0"/>
        <w:keepLines w:val="0"/>
        <w:pageBreakBefore w:val="0"/>
        <w:kinsoku/>
        <w:overflowPunct/>
        <w:autoSpaceDE/>
        <w:autoSpaceDN/>
        <w:bidi w:val="0"/>
        <w:snapToGrid/>
        <w:spacing w:line="360" w:lineRule="auto"/>
        <w:ind w:left="0" w:leftChars="0" w:right="0"/>
        <w:jc w:val="center"/>
        <w:outlineLvl w:val="9"/>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九、供应商拒绝政府采购领域商业贿赂承诺书（格式）</w:t>
      </w:r>
    </w:p>
    <w:p>
      <w:pPr>
        <w:keepNext w:val="0"/>
        <w:keepLines w:val="0"/>
        <w:pageBreakBefore w:val="0"/>
        <w:kinsoku/>
        <w:overflowPunct/>
        <w:autoSpaceDE/>
        <w:autoSpaceDN/>
        <w:bidi w:val="0"/>
        <w:snapToGrid/>
        <w:ind w:left="0" w:leftChars="0" w:right="0"/>
        <w:jc w:val="left"/>
        <w:outlineLvl w:val="9"/>
        <w:rPr>
          <w:rFonts w:hint="eastAsia" w:ascii="仿宋" w:hAnsi="仿宋" w:eastAsia="仿宋" w:cs="仿宋"/>
          <w:color w:val="auto"/>
          <w:highlight w:val="none"/>
        </w:rPr>
      </w:pPr>
    </w:p>
    <w:p>
      <w:pPr>
        <w:keepNext w:val="0"/>
        <w:keepLines w:val="0"/>
        <w:pageBreakBefore w:val="0"/>
        <w:kinsoku/>
        <w:overflowPunct/>
        <w:topLinePunct/>
        <w:autoSpaceDE/>
        <w:autoSpaceDN/>
        <w:bidi w:val="0"/>
        <w:snapToGrid/>
        <w:spacing w:line="360" w:lineRule="auto"/>
        <w:ind w:left="0" w:leftChars="0" w:right="0" w:hanging="643"/>
        <w:contextualSpacing/>
        <w:jc w:val="center"/>
        <w:outlineLvl w:val="9"/>
        <w:rPr>
          <w:rFonts w:hint="eastAsia" w:ascii="仿宋" w:hAnsi="仿宋" w:eastAsia="仿宋" w:cs="仿宋"/>
          <w:b/>
          <w:bCs/>
          <w:color w:val="auto"/>
          <w:sz w:val="22"/>
          <w:highlight w:val="none"/>
        </w:rPr>
      </w:pPr>
      <w:r>
        <w:rPr>
          <w:rFonts w:hint="eastAsia" w:ascii="仿宋" w:hAnsi="仿宋" w:eastAsia="仿宋" w:cs="仿宋"/>
          <w:b/>
          <w:bCs/>
          <w:color w:val="auto"/>
          <w:sz w:val="22"/>
          <w:highlight w:val="none"/>
        </w:rPr>
        <w:t>陕西省政府采购供应商拒绝政府采购领域商业贿赂承诺书</w:t>
      </w:r>
    </w:p>
    <w:p>
      <w:pPr>
        <w:keepNext w:val="0"/>
        <w:keepLines w:val="0"/>
        <w:pageBreakBefore w:val="0"/>
        <w:kinsoku/>
        <w:wordWrap w:val="0"/>
        <w:overflowPunct/>
        <w:topLinePunct/>
        <w:autoSpaceDE/>
        <w:autoSpaceDN/>
        <w:bidi w:val="0"/>
        <w:snapToGrid/>
        <w:spacing w:line="360" w:lineRule="auto"/>
        <w:ind w:left="0" w:leftChars="0" w:right="0" w:firstLine="330" w:firstLineChars="150"/>
        <w:contextualSpacing/>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为响应党中央、国务院关于治理政府采购领域商业贿赂行为的号召，我公司在此庄严承诺：</w:t>
      </w:r>
    </w:p>
    <w:p>
      <w:pPr>
        <w:keepNext w:val="0"/>
        <w:keepLines w:val="0"/>
        <w:pageBreakBefore w:val="0"/>
        <w:kinsoku/>
        <w:wordWrap w:val="0"/>
        <w:overflowPunct/>
        <w:topLinePunct/>
        <w:autoSpaceDE/>
        <w:autoSpaceDN/>
        <w:bidi w:val="0"/>
        <w:snapToGrid/>
        <w:spacing w:line="360" w:lineRule="auto"/>
        <w:ind w:left="0" w:leftChars="0" w:right="0" w:firstLine="440" w:firstLineChars="200"/>
        <w:contextualSpacing/>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1、在参与政府采购活动中遵纪守法、诚信经营、公平竞标。</w:t>
      </w:r>
    </w:p>
    <w:p>
      <w:pPr>
        <w:keepNext w:val="0"/>
        <w:keepLines w:val="0"/>
        <w:pageBreakBefore w:val="0"/>
        <w:kinsoku/>
        <w:wordWrap w:val="0"/>
        <w:overflowPunct/>
        <w:topLinePunct/>
        <w:autoSpaceDE/>
        <w:autoSpaceDN/>
        <w:bidi w:val="0"/>
        <w:snapToGrid/>
        <w:spacing w:line="360" w:lineRule="auto"/>
        <w:ind w:left="0" w:leftChars="0" w:right="0" w:firstLine="440" w:firstLineChars="200"/>
        <w:contextualSpacing/>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2、不向政府采购人、采购代理机构和政府采购评审专家进行任何形式的商业贿赂以谋取交易机会。</w:t>
      </w:r>
    </w:p>
    <w:p>
      <w:pPr>
        <w:keepNext w:val="0"/>
        <w:keepLines w:val="0"/>
        <w:pageBreakBefore w:val="0"/>
        <w:kinsoku/>
        <w:wordWrap w:val="0"/>
        <w:overflowPunct/>
        <w:topLinePunct/>
        <w:autoSpaceDE/>
        <w:autoSpaceDN/>
        <w:bidi w:val="0"/>
        <w:snapToGrid/>
        <w:spacing w:line="360" w:lineRule="auto"/>
        <w:ind w:left="0" w:leftChars="0" w:right="0" w:firstLine="440" w:firstLineChars="200"/>
        <w:contextualSpacing/>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3、不向政府采购代理机构和采购人提供虚假资质文件或采用虚假应标方式参与政府采购市场竞争并谋取成交。</w:t>
      </w:r>
    </w:p>
    <w:p>
      <w:pPr>
        <w:keepNext w:val="0"/>
        <w:keepLines w:val="0"/>
        <w:pageBreakBefore w:val="0"/>
        <w:kinsoku/>
        <w:wordWrap w:val="0"/>
        <w:overflowPunct/>
        <w:topLinePunct/>
        <w:autoSpaceDE/>
        <w:autoSpaceDN/>
        <w:bidi w:val="0"/>
        <w:snapToGrid/>
        <w:spacing w:line="360" w:lineRule="auto"/>
        <w:ind w:left="0" w:leftChars="0" w:right="0" w:firstLine="440" w:firstLineChars="200"/>
        <w:contextualSpacing/>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4、不采取“围标、陪标”等商业欺诈手段获得政府采购订单。</w:t>
      </w:r>
    </w:p>
    <w:p>
      <w:pPr>
        <w:keepNext w:val="0"/>
        <w:keepLines w:val="0"/>
        <w:pageBreakBefore w:val="0"/>
        <w:kinsoku/>
        <w:wordWrap w:val="0"/>
        <w:overflowPunct/>
        <w:topLinePunct/>
        <w:autoSpaceDE/>
        <w:autoSpaceDN/>
        <w:bidi w:val="0"/>
        <w:snapToGrid/>
        <w:spacing w:line="360" w:lineRule="auto"/>
        <w:ind w:left="0" w:leftChars="0" w:right="0" w:firstLine="440" w:firstLineChars="200"/>
        <w:contextualSpacing/>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5、不采取不正当手段诋毁、排挤其他供应商。</w:t>
      </w:r>
    </w:p>
    <w:p>
      <w:pPr>
        <w:keepNext w:val="0"/>
        <w:keepLines w:val="0"/>
        <w:pageBreakBefore w:val="0"/>
        <w:kinsoku/>
        <w:wordWrap w:val="0"/>
        <w:overflowPunct/>
        <w:topLinePunct/>
        <w:autoSpaceDE/>
        <w:autoSpaceDN/>
        <w:bidi w:val="0"/>
        <w:snapToGrid/>
        <w:spacing w:line="360" w:lineRule="auto"/>
        <w:ind w:left="0" w:leftChars="0" w:right="0" w:firstLine="440" w:firstLineChars="200"/>
        <w:contextualSpacing/>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6、不在提供商品和服务时“偷梁换柱、以次充好”损害采购人的合法权益。</w:t>
      </w:r>
    </w:p>
    <w:p>
      <w:pPr>
        <w:keepNext w:val="0"/>
        <w:keepLines w:val="0"/>
        <w:pageBreakBefore w:val="0"/>
        <w:kinsoku/>
        <w:wordWrap w:val="0"/>
        <w:overflowPunct/>
        <w:topLinePunct/>
        <w:autoSpaceDE/>
        <w:autoSpaceDN/>
        <w:bidi w:val="0"/>
        <w:snapToGrid/>
        <w:spacing w:line="360" w:lineRule="auto"/>
        <w:ind w:left="0" w:leftChars="0" w:right="0" w:firstLine="440" w:firstLineChars="200"/>
        <w:contextualSpacing/>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7、不与采购人、采购代理机构政府采购评审专家或其它供应商恶意串通，进行质疑和投诉，维护政府采购市场秩序。</w:t>
      </w:r>
    </w:p>
    <w:p>
      <w:pPr>
        <w:keepNext w:val="0"/>
        <w:keepLines w:val="0"/>
        <w:pageBreakBefore w:val="0"/>
        <w:kinsoku/>
        <w:wordWrap w:val="0"/>
        <w:overflowPunct/>
        <w:topLinePunct/>
        <w:autoSpaceDE/>
        <w:autoSpaceDN/>
        <w:bidi w:val="0"/>
        <w:snapToGrid/>
        <w:spacing w:line="360" w:lineRule="auto"/>
        <w:ind w:left="0" w:leftChars="0" w:right="0" w:firstLine="440" w:firstLineChars="200"/>
        <w:contextualSpacing/>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8、尊重和接受政府采购监督管理部门的监督和政府采购代理机构谈判采购要求，承担因违约行为给采购人造成的损失。</w:t>
      </w:r>
    </w:p>
    <w:p>
      <w:pPr>
        <w:keepNext w:val="0"/>
        <w:keepLines w:val="0"/>
        <w:pageBreakBefore w:val="0"/>
        <w:kinsoku/>
        <w:wordWrap w:val="0"/>
        <w:overflowPunct/>
        <w:topLinePunct/>
        <w:autoSpaceDE/>
        <w:autoSpaceDN/>
        <w:bidi w:val="0"/>
        <w:snapToGrid/>
        <w:spacing w:line="360" w:lineRule="auto"/>
        <w:ind w:left="0" w:leftChars="0" w:right="0" w:firstLine="440" w:firstLineChars="200"/>
        <w:contextualSpacing/>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9、不发生其他有悖于政府采购公开、公平、公正和诚信原则的行为。</w:t>
      </w:r>
    </w:p>
    <w:p>
      <w:pPr>
        <w:keepNext w:val="0"/>
        <w:keepLines w:val="0"/>
        <w:pageBreakBefore w:val="0"/>
        <w:kinsoku/>
        <w:wordWrap w:val="0"/>
        <w:overflowPunct/>
        <w:topLinePunct/>
        <w:autoSpaceDE/>
        <w:autoSpaceDN/>
        <w:bidi w:val="0"/>
        <w:snapToGrid/>
        <w:spacing w:line="360" w:lineRule="auto"/>
        <w:ind w:left="0" w:leftChars="0" w:right="0" w:hanging="480"/>
        <w:contextualSpacing/>
        <w:jc w:val="left"/>
        <w:outlineLvl w:val="9"/>
        <w:rPr>
          <w:rFonts w:hint="eastAsia" w:ascii="仿宋" w:hAnsi="仿宋" w:eastAsia="仿宋" w:cs="仿宋"/>
          <w:color w:val="auto"/>
          <w:sz w:val="22"/>
          <w:highlight w:val="none"/>
        </w:rPr>
      </w:pPr>
    </w:p>
    <w:p>
      <w:pPr>
        <w:keepNext w:val="0"/>
        <w:keepLines w:val="0"/>
        <w:pageBreakBefore w:val="0"/>
        <w:kinsoku/>
        <w:wordWrap w:val="0"/>
        <w:overflowPunct/>
        <w:topLinePunct/>
        <w:autoSpaceDE/>
        <w:autoSpaceDN/>
        <w:bidi w:val="0"/>
        <w:snapToGrid/>
        <w:spacing w:line="360" w:lineRule="auto"/>
        <w:ind w:left="0" w:leftChars="0" w:right="0" w:firstLine="4840" w:firstLineChars="2200"/>
        <w:contextualSpacing/>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lang w:eastAsia="zh-CN"/>
        </w:rPr>
        <w:t>供应商</w:t>
      </w:r>
      <w:r>
        <w:rPr>
          <w:rFonts w:hint="eastAsia" w:ascii="仿宋" w:hAnsi="仿宋" w:eastAsia="仿宋" w:cs="仿宋"/>
          <w:color w:val="auto"/>
          <w:sz w:val="22"/>
          <w:highlight w:val="none"/>
        </w:rPr>
        <w:t>：</w:t>
      </w:r>
      <w:r>
        <w:rPr>
          <w:rFonts w:hint="eastAsia" w:ascii="仿宋" w:hAnsi="仿宋" w:eastAsia="仿宋" w:cs="仿宋"/>
          <w:color w:val="auto"/>
          <w:sz w:val="22"/>
          <w:highlight w:val="none"/>
          <w:u w:val="single"/>
        </w:rPr>
        <w:t xml:space="preserve">（加盖公章） </w:t>
      </w:r>
    </w:p>
    <w:p>
      <w:pPr>
        <w:keepNext w:val="0"/>
        <w:keepLines w:val="0"/>
        <w:pageBreakBefore w:val="0"/>
        <w:kinsoku/>
        <w:overflowPunct/>
        <w:autoSpaceDE/>
        <w:autoSpaceDN/>
        <w:bidi w:val="0"/>
        <w:snapToGrid/>
        <w:spacing w:line="360" w:lineRule="auto"/>
        <w:ind w:left="0" w:leftChars="0" w:right="0" w:firstLine="4840" w:firstLineChars="2200"/>
        <w:jc w:val="left"/>
        <w:outlineLvl w:val="9"/>
        <w:rPr>
          <w:rFonts w:hint="eastAsia" w:ascii="仿宋" w:hAnsi="仿宋" w:eastAsia="仿宋" w:cs="仿宋"/>
          <w:color w:val="auto"/>
          <w:sz w:val="22"/>
          <w:highlight w:val="none"/>
        </w:rPr>
      </w:pPr>
      <w:r>
        <w:rPr>
          <w:rFonts w:hint="eastAsia" w:ascii="仿宋" w:hAnsi="仿宋" w:eastAsia="仿宋" w:cs="仿宋"/>
          <w:bCs/>
          <w:color w:val="auto"/>
          <w:kern w:val="0"/>
          <w:sz w:val="22"/>
          <w:highlight w:val="none"/>
        </w:rPr>
        <w:t>法定代表人/授权代表签字</w:t>
      </w:r>
      <w:r>
        <w:rPr>
          <w:rFonts w:hint="eastAsia" w:ascii="仿宋" w:hAnsi="仿宋" w:eastAsia="仿宋" w:cs="仿宋"/>
          <w:color w:val="auto"/>
          <w:sz w:val="22"/>
          <w:highlight w:val="none"/>
        </w:rPr>
        <w:t>：</w:t>
      </w:r>
    </w:p>
    <w:p>
      <w:pPr>
        <w:keepNext w:val="0"/>
        <w:keepLines w:val="0"/>
        <w:pageBreakBefore w:val="0"/>
        <w:kinsoku/>
        <w:overflowPunct/>
        <w:autoSpaceDE/>
        <w:autoSpaceDN/>
        <w:bidi w:val="0"/>
        <w:snapToGrid/>
        <w:spacing w:line="360" w:lineRule="auto"/>
        <w:ind w:left="0" w:leftChars="0" w:right="0" w:firstLine="4840" w:firstLineChars="220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电  话：</w:t>
      </w:r>
    </w:p>
    <w:p>
      <w:pPr>
        <w:keepNext w:val="0"/>
        <w:keepLines w:val="0"/>
        <w:pageBreakBefore w:val="0"/>
        <w:kinsoku/>
        <w:overflowPunct/>
        <w:autoSpaceDE/>
        <w:autoSpaceDN/>
        <w:bidi w:val="0"/>
        <w:snapToGrid/>
        <w:spacing w:line="360" w:lineRule="auto"/>
        <w:ind w:left="0" w:leftChars="0" w:right="0" w:firstLine="4840" w:firstLineChars="220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邮  编：</w:t>
      </w:r>
    </w:p>
    <w:p>
      <w:pPr>
        <w:keepNext w:val="0"/>
        <w:keepLines w:val="0"/>
        <w:pageBreakBefore w:val="0"/>
        <w:kinsoku/>
        <w:overflowPunct/>
        <w:autoSpaceDE/>
        <w:autoSpaceDN/>
        <w:bidi w:val="0"/>
        <w:snapToGrid/>
        <w:spacing w:line="360" w:lineRule="auto"/>
        <w:ind w:left="0" w:leftChars="0" w:right="0" w:firstLine="4840" w:firstLineChars="2200"/>
        <w:jc w:val="left"/>
        <w:outlineLvl w:val="9"/>
        <w:rPr>
          <w:rFonts w:hint="eastAsia" w:ascii="仿宋" w:hAnsi="仿宋" w:eastAsia="仿宋" w:cs="仿宋"/>
          <w:color w:val="auto"/>
          <w:sz w:val="22"/>
          <w:highlight w:val="none"/>
        </w:rPr>
      </w:pPr>
      <w:r>
        <w:rPr>
          <w:rFonts w:hint="eastAsia" w:ascii="仿宋" w:hAnsi="仿宋" w:eastAsia="仿宋" w:cs="仿宋"/>
          <w:color w:val="auto"/>
          <w:sz w:val="22"/>
          <w:highlight w:val="none"/>
        </w:rPr>
        <w:t>地  址：</w:t>
      </w:r>
    </w:p>
    <w:p>
      <w:pPr>
        <w:keepNext w:val="0"/>
        <w:keepLines w:val="0"/>
        <w:pageBreakBefore w:val="0"/>
        <w:kinsoku/>
        <w:overflowPunct/>
        <w:autoSpaceDE/>
        <w:autoSpaceDN/>
        <w:bidi w:val="0"/>
        <w:snapToGrid/>
        <w:ind w:left="0" w:leftChars="0" w:right="0"/>
        <w:jc w:val="right"/>
        <w:outlineLvl w:val="9"/>
        <w:rPr>
          <w:rFonts w:hint="eastAsia" w:ascii="仿宋" w:hAnsi="仿宋" w:eastAsia="仿宋" w:cs="仿宋"/>
          <w:color w:val="auto"/>
          <w:sz w:val="22"/>
          <w:highlight w:val="none"/>
        </w:rPr>
      </w:pPr>
    </w:p>
    <w:p>
      <w:pPr>
        <w:keepNext w:val="0"/>
        <w:keepLines w:val="0"/>
        <w:pageBreakBefore w:val="0"/>
        <w:kinsoku/>
        <w:overflowPunct/>
        <w:autoSpaceDE/>
        <w:autoSpaceDN/>
        <w:bidi w:val="0"/>
        <w:snapToGrid/>
        <w:ind w:left="0" w:leftChars="0" w:right="0"/>
        <w:jc w:val="righ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2"/>
          <w:highlight w:val="none"/>
        </w:rPr>
        <w:t xml:space="preserve">年     月    </w:t>
      </w:r>
      <w:r>
        <w:rPr>
          <w:rFonts w:hint="eastAsia" w:ascii="仿宋" w:hAnsi="仿宋" w:eastAsia="仿宋" w:cs="仿宋"/>
          <w:color w:val="auto"/>
          <w:sz w:val="22"/>
          <w:highlight w:val="none"/>
          <w:lang w:eastAsia="zh-CN"/>
        </w:rPr>
        <w:t>日</w:t>
      </w:r>
    </w:p>
    <w:p>
      <w:pPr>
        <w:keepNext w:val="0"/>
        <w:keepLines w:val="0"/>
        <w:pageBreakBefore w:val="0"/>
        <w:kinsoku/>
        <w:overflowPunct/>
        <w:bidi w:val="0"/>
        <w:snapToGrid/>
        <w:spacing w:line="14" w:lineRule="auto"/>
        <w:ind w:left="0" w:leftChars="0" w:right="0"/>
        <w:outlineLvl w:val="9"/>
        <w:rPr>
          <w:rFonts w:hint="eastAsia" w:ascii="仿宋" w:hAnsi="仿宋" w:eastAsia="仿宋" w:cs="仿宋"/>
          <w:sz w:val="2"/>
          <w:highlight w:val="none"/>
        </w:rPr>
      </w:pPr>
    </w:p>
    <w:p>
      <w:pPr>
        <w:keepNext w:val="0"/>
        <w:keepLines w:val="0"/>
        <w:pageBreakBefore w:val="0"/>
        <w:kinsoku/>
        <w:overflowPunct/>
        <w:bidi w:val="0"/>
        <w:snapToGrid/>
        <w:spacing w:line="377" w:lineRule="auto"/>
        <w:ind w:left="0" w:leftChars="0" w:right="0"/>
        <w:outlineLvl w:val="9"/>
        <w:rPr>
          <w:rFonts w:hint="eastAsia" w:ascii="仿宋" w:hAnsi="仿宋" w:eastAsia="仿宋" w:cs="仿宋"/>
          <w:sz w:val="21"/>
          <w:highlight w:val="none"/>
          <w:lang w:eastAsia="zh-CN"/>
        </w:rPr>
      </w:pPr>
    </w:p>
    <w:p>
      <w:pPr>
        <w:keepNext w:val="0"/>
        <w:keepLines w:val="0"/>
        <w:pageBreakBefore w:val="0"/>
        <w:kinsoku/>
        <w:overflowPunct/>
        <w:bidi w:val="0"/>
        <w:snapToGrid/>
        <w:spacing w:line="226" w:lineRule="auto"/>
        <w:ind w:left="0" w:leftChars="0" w:right="0"/>
        <w:outlineLvl w:val="9"/>
        <w:rPr>
          <w:rFonts w:hint="eastAsia" w:ascii="仿宋" w:hAnsi="仿宋" w:eastAsia="仿宋" w:cs="仿宋"/>
          <w:sz w:val="28"/>
          <w:szCs w:val="28"/>
          <w:highlight w:val="none"/>
        </w:rPr>
      </w:pPr>
    </w:p>
    <w:p>
      <w:pPr>
        <w:jc w:val="right"/>
        <w:rPr>
          <w:rFonts w:hint="eastAsia" w:ascii="仿宋" w:hAnsi="仿宋" w:eastAsia="仿宋" w:cs="仿宋"/>
          <w:kern w:val="0"/>
          <w:sz w:val="24"/>
          <w:szCs w:val="24"/>
          <w:highlight w:val="none"/>
        </w:rPr>
      </w:pPr>
    </w:p>
    <w:sectPr>
      <w:footerReference r:id="rId8" w:type="first"/>
      <w:footerReference r:id="rId7" w:type="default"/>
      <w:pgSz w:w="11906" w:h="16838"/>
      <w:pgMar w:top="1417" w:right="1417" w:bottom="1417" w:left="1417" w:header="851"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Sans Serif PS">
    <w:altName w:val="Arial"/>
    <w:panose1 w:val="020B0604020202020204"/>
    <w:charset w:val="00"/>
    <w:family w:val="swiss"/>
    <w:pitch w:val="default"/>
    <w:sig w:usb0="00000000" w:usb1="00000000" w:usb2="00000000" w:usb3="00000000" w:csb0="00000001" w:csb1="00000000"/>
  </w:font>
  <w:font w:name="楷体_GB2312">
    <w:altName w:val="楷体"/>
    <w:panose1 w:val="020B0604020202020204"/>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经典特黑简">
    <w:altName w:val="黑体"/>
    <w:panose1 w:val="020B0604020202020204"/>
    <w:charset w:val="86"/>
    <w:family w:val="modern"/>
    <w:pitch w:val="default"/>
    <w:sig w:usb0="00000000" w:usb1="00000000" w:usb2="0000001E"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2000503000000020004"/>
    <w:charset w:val="00"/>
    <w:family w:val="auto"/>
    <w:pitch w:val="default"/>
    <w:sig w:usb0="00000000" w:usb1="00000000" w:usb2="00000010" w:usb3="00000000" w:csb0="00000001" w:csb1="00000000"/>
  </w:font>
  <w:font w:name="新宋体">
    <w:panose1 w:val="02010609030101010101"/>
    <w:charset w:val="86"/>
    <w:family w:val="modern"/>
    <w:pitch w:val="default"/>
    <w:sig w:usb0="00000003" w:usb1="288F0000" w:usb2="00000006" w:usb3="00000000" w:csb0="00040001" w:csb1="00000000"/>
  </w:font>
  <w:font w:name="Swis721 BT">
    <w:altName w:val="Segoe Script"/>
    <w:panose1 w:val="020B0604020202020204"/>
    <w:charset w:val="00"/>
    <w:family w:val="swiss"/>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Segoe Script">
    <w:panose1 w:val="020B0504020000000003"/>
    <w:charset w:val="00"/>
    <w:family w:val="auto"/>
    <w:pitch w:val="default"/>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仿宋" w:hAnsi="仿宋" w:eastAsia="仿宋"/>
      </w:rPr>
    </w:pPr>
  </w:p>
  <w:p>
    <w:pPr>
      <w:pStyle w:val="31"/>
      <w:rPr>
        <w:rFonts w:ascii="仿宋" w:hAnsi="仿宋" w:eastAsia="仿宋"/>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仿宋" w:hAnsi="仿宋"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p>
    <w:pPr>
      <w:pStyle w:val="31"/>
      <w:rPr>
        <w:rFonts w:hint="eastAsia" w:ascii="仿宋" w:hAnsi="仿宋" w:eastAsia="仿宋"/>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仿宋" w:hAnsi="仿宋" w:eastAsia="仿宋"/>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4</w:t>
                    </w:r>
                    <w:r>
                      <w:fldChar w:fldCharType="end"/>
                    </w:r>
                  </w:p>
                </w:txbxContent>
              </v:textbox>
            </v:shape>
          </w:pict>
        </mc:Fallback>
      </mc:AlternateContent>
    </w:r>
  </w:p>
  <w:p>
    <w:pPr>
      <w:pStyle w:val="31"/>
      <w:rPr>
        <w:rFonts w:ascii="仿宋" w:hAnsi="仿宋" w:eastAsia="仿宋"/>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41C24"/>
    <w:multiLevelType w:val="multilevel"/>
    <w:tmpl w:val="15D41C24"/>
    <w:lvl w:ilvl="0" w:tentative="0">
      <w:start w:val="1"/>
      <w:numFmt w:val="bullet"/>
      <w:pStyle w:val="186"/>
      <w:lvlText w:val=""/>
      <w:lvlJc w:val="left"/>
      <w:pPr>
        <w:tabs>
          <w:tab w:val="left" w:pos="1080"/>
        </w:tabs>
        <w:ind w:left="1330" w:hanging="25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B94250F"/>
    <w:multiLevelType w:val="multilevel"/>
    <w:tmpl w:val="1B94250F"/>
    <w:lvl w:ilvl="0" w:tentative="0">
      <w:start w:val="1"/>
      <w:numFmt w:val="bullet"/>
      <w:lvlText w:val=""/>
      <w:lvlJc w:val="left"/>
      <w:pPr>
        <w:ind w:left="1480" w:hanging="420"/>
      </w:pPr>
      <w:rPr>
        <w:rFonts w:hint="default" w:ascii="Wingdings" w:hAnsi="Wingdings"/>
      </w:rPr>
    </w:lvl>
    <w:lvl w:ilvl="1" w:tentative="0">
      <w:start w:val="1"/>
      <w:numFmt w:val="bullet"/>
      <w:lvlText w:val=""/>
      <w:lvlJc w:val="left"/>
      <w:pPr>
        <w:ind w:left="1900" w:hanging="420"/>
      </w:pPr>
      <w:rPr>
        <w:rFonts w:hint="default" w:ascii="Wingdings" w:hAnsi="Wingdings"/>
      </w:rPr>
    </w:lvl>
    <w:lvl w:ilvl="2" w:tentative="0">
      <w:start w:val="1"/>
      <w:numFmt w:val="bullet"/>
      <w:lvlText w:val=""/>
      <w:lvlJc w:val="left"/>
      <w:pPr>
        <w:ind w:left="2320" w:hanging="420"/>
      </w:pPr>
      <w:rPr>
        <w:rFonts w:hint="default" w:ascii="Wingdings" w:hAnsi="Wingdings"/>
      </w:rPr>
    </w:lvl>
    <w:lvl w:ilvl="3" w:tentative="0">
      <w:start w:val="1"/>
      <w:numFmt w:val="bullet"/>
      <w:lvlText w:val=""/>
      <w:lvlJc w:val="left"/>
      <w:pPr>
        <w:ind w:left="2740" w:hanging="420"/>
      </w:pPr>
      <w:rPr>
        <w:rFonts w:hint="default" w:ascii="Wingdings" w:hAnsi="Wingdings"/>
      </w:rPr>
    </w:lvl>
    <w:lvl w:ilvl="4" w:tentative="0">
      <w:start w:val="1"/>
      <w:numFmt w:val="bullet"/>
      <w:lvlText w:val=""/>
      <w:lvlJc w:val="left"/>
      <w:pPr>
        <w:ind w:left="3160" w:hanging="420"/>
      </w:pPr>
      <w:rPr>
        <w:rFonts w:hint="default" w:ascii="Wingdings" w:hAnsi="Wingdings"/>
      </w:rPr>
    </w:lvl>
    <w:lvl w:ilvl="5" w:tentative="0">
      <w:start w:val="1"/>
      <w:numFmt w:val="bullet"/>
      <w:lvlText w:val=""/>
      <w:lvlJc w:val="left"/>
      <w:pPr>
        <w:ind w:left="3580" w:hanging="420"/>
      </w:pPr>
      <w:rPr>
        <w:rFonts w:hint="default" w:ascii="Wingdings" w:hAnsi="Wingdings"/>
      </w:rPr>
    </w:lvl>
    <w:lvl w:ilvl="6" w:tentative="0">
      <w:start w:val="1"/>
      <w:numFmt w:val="bullet"/>
      <w:lvlText w:val=""/>
      <w:lvlJc w:val="left"/>
      <w:pPr>
        <w:ind w:left="4000" w:hanging="420"/>
      </w:pPr>
      <w:rPr>
        <w:rFonts w:hint="default" w:ascii="Wingdings" w:hAnsi="Wingdings"/>
      </w:rPr>
    </w:lvl>
    <w:lvl w:ilvl="7" w:tentative="0">
      <w:start w:val="1"/>
      <w:numFmt w:val="bullet"/>
      <w:lvlText w:val=""/>
      <w:lvlJc w:val="left"/>
      <w:pPr>
        <w:ind w:left="4420" w:hanging="420"/>
      </w:pPr>
      <w:rPr>
        <w:rFonts w:hint="default" w:ascii="Wingdings" w:hAnsi="Wingdings"/>
      </w:rPr>
    </w:lvl>
    <w:lvl w:ilvl="8" w:tentative="0">
      <w:start w:val="1"/>
      <w:numFmt w:val="bullet"/>
      <w:lvlText w:val=""/>
      <w:lvlJc w:val="left"/>
      <w:pPr>
        <w:ind w:left="4840" w:hanging="420"/>
      </w:pPr>
      <w:rPr>
        <w:rFonts w:hint="default" w:ascii="Wingdings" w:hAnsi="Wingdings"/>
      </w:rPr>
    </w:lvl>
  </w:abstractNum>
  <w:abstractNum w:abstractNumId="2">
    <w:nsid w:val="25E504EE"/>
    <w:multiLevelType w:val="multilevel"/>
    <w:tmpl w:val="25E504EE"/>
    <w:lvl w:ilvl="0" w:tentative="0">
      <w:start w:val="1"/>
      <w:numFmt w:val="decimal"/>
      <w:lvlText w:val="%1)"/>
      <w:lvlJc w:val="left"/>
      <w:pPr>
        <w:ind w:left="1740" w:hanging="420"/>
      </w:p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
    <w:nsid w:val="3CAB1A24"/>
    <w:multiLevelType w:val="multilevel"/>
    <w:tmpl w:val="3CAB1A24"/>
    <w:lvl w:ilvl="0" w:tentative="0">
      <w:start w:val="1"/>
      <w:numFmt w:val="decimal"/>
      <w:pStyle w:val="193"/>
      <w:lvlText w:val="%1)"/>
      <w:lvlJc w:val="left"/>
      <w:pPr>
        <w:tabs>
          <w:tab w:val="left" w:pos="899"/>
        </w:tabs>
        <w:ind w:left="-81" w:firstLine="561"/>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33908A6"/>
    <w:multiLevelType w:val="singleLevel"/>
    <w:tmpl w:val="433908A6"/>
    <w:lvl w:ilvl="0" w:tentative="0">
      <w:start w:val="1"/>
      <w:numFmt w:val="bullet"/>
      <w:lvlText w:val=""/>
      <w:lvlJc w:val="left"/>
      <w:pPr>
        <w:ind w:left="1470" w:hanging="420"/>
      </w:pPr>
      <w:rPr>
        <w:rFonts w:hint="default" w:ascii="Wingdings" w:hAnsi="Wingdings"/>
      </w:rPr>
    </w:lvl>
  </w:abstractNum>
  <w:abstractNum w:abstractNumId="5">
    <w:nsid w:val="47264B53"/>
    <w:multiLevelType w:val="multilevel"/>
    <w:tmpl w:val="47264B5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pStyle w:val="197"/>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4A98EC56"/>
    <w:multiLevelType w:val="singleLevel"/>
    <w:tmpl w:val="4A98EC56"/>
    <w:lvl w:ilvl="0" w:tentative="0">
      <w:start w:val="1"/>
      <w:numFmt w:val="bullet"/>
      <w:lvlText w:val=""/>
      <w:lvlJc w:val="left"/>
      <w:pPr>
        <w:ind w:left="1050" w:hanging="420"/>
      </w:pPr>
      <w:rPr>
        <w:rFonts w:hint="default" w:ascii="Wingdings" w:hAnsi="Wingdings"/>
      </w:rPr>
    </w:lvl>
  </w:abstractNum>
  <w:abstractNum w:abstractNumId="7">
    <w:nsid w:val="4B9D13A2"/>
    <w:multiLevelType w:val="multilevel"/>
    <w:tmpl w:val="4B9D13A2"/>
    <w:lvl w:ilvl="0" w:tentative="0">
      <w:start w:val="1"/>
      <w:numFmt w:val="bullet"/>
      <w:pStyle w:val="18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52F42F64"/>
    <w:multiLevelType w:val="multilevel"/>
    <w:tmpl w:val="52F42F64"/>
    <w:lvl w:ilvl="0" w:tentative="0">
      <w:start w:val="1"/>
      <w:numFmt w:val="bullet"/>
      <w:lvlText w:val=""/>
      <w:lvlJc w:val="left"/>
      <w:pPr>
        <w:ind w:left="630" w:hanging="420"/>
      </w:pPr>
      <w:rPr>
        <w:rFonts w:hint="default" w:ascii="Wingdings" w:hAnsi="Wingdings"/>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9">
    <w:nsid w:val="5375FEF0"/>
    <w:multiLevelType w:val="singleLevel"/>
    <w:tmpl w:val="5375FEF0"/>
    <w:lvl w:ilvl="0" w:tentative="0">
      <w:start w:val="1"/>
      <w:numFmt w:val="bullet"/>
      <w:lvlText w:val=""/>
      <w:lvlJc w:val="left"/>
      <w:pPr>
        <w:ind w:left="1260" w:hanging="420"/>
      </w:pPr>
      <w:rPr>
        <w:rFonts w:hint="default" w:ascii="Wingdings" w:hAnsi="Wingdings"/>
      </w:rPr>
    </w:lvl>
  </w:abstractNum>
  <w:abstractNum w:abstractNumId="10">
    <w:nsid w:val="55EE48BB"/>
    <w:multiLevelType w:val="multilevel"/>
    <w:tmpl w:val="55EE48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50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FCC7B49"/>
    <w:multiLevelType w:val="multilevel"/>
    <w:tmpl w:val="5FCC7B49"/>
    <w:lvl w:ilvl="0" w:tentative="0">
      <w:start w:val="1"/>
      <w:numFmt w:val="decimal"/>
      <w:lvlText w:val="%1."/>
      <w:lvlJc w:val="left"/>
      <w:pPr>
        <w:ind w:left="425" w:hanging="425"/>
      </w:pPr>
      <w:rPr>
        <w:rFonts w:hint="default"/>
      </w:rPr>
    </w:lvl>
    <w:lvl w:ilvl="1" w:tentative="0">
      <w:start w:val="1"/>
      <w:numFmt w:val="decimal"/>
      <w:lvlText w:val="%1.%2."/>
      <w:lvlJc w:val="left"/>
      <w:pPr>
        <w:ind w:left="1554" w:hanging="567"/>
      </w:pPr>
      <w:rPr>
        <w:rFonts w:hint="default"/>
      </w:rPr>
    </w:lvl>
    <w:lvl w:ilvl="2" w:tentative="0">
      <w:start w:val="1"/>
      <w:numFmt w:val="decimal"/>
      <w:lvlText w:val="%1.%2.%3."/>
      <w:lvlJc w:val="left"/>
      <w:pPr>
        <w:ind w:left="1838"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61787A07"/>
    <w:multiLevelType w:val="multilevel"/>
    <w:tmpl w:val="61787A07"/>
    <w:lvl w:ilvl="0" w:tentative="0">
      <w:start w:val="1"/>
      <w:numFmt w:val="decimal"/>
      <w:lvlText w:val="%1)"/>
      <w:lvlJc w:val="left"/>
      <w:pPr>
        <w:ind w:left="1740" w:hanging="420"/>
      </w:p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3">
    <w:nsid w:val="61E00A77"/>
    <w:multiLevelType w:val="multilevel"/>
    <w:tmpl w:val="61E00A77"/>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DDA0EC1"/>
    <w:multiLevelType w:val="multilevel"/>
    <w:tmpl w:val="6DDA0EC1"/>
    <w:lvl w:ilvl="0" w:tentative="0">
      <w:start w:val="1"/>
      <w:numFmt w:val="bullet"/>
      <w:pStyle w:val="179"/>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70D6173C"/>
    <w:multiLevelType w:val="multilevel"/>
    <w:tmpl w:val="70D6173C"/>
    <w:lvl w:ilvl="0" w:tentative="0">
      <w:start w:val="1"/>
      <w:numFmt w:val="bullet"/>
      <w:lvlText w:val=""/>
      <w:lvlJc w:val="left"/>
      <w:pPr>
        <w:ind w:left="1890" w:hanging="420"/>
      </w:pPr>
      <w:rPr>
        <w:rFonts w:hint="default" w:ascii="Wingdings" w:hAnsi="Wingdings"/>
      </w:rPr>
    </w:lvl>
    <w:lvl w:ilvl="1" w:tentative="0">
      <w:start w:val="1"/>
      <w:numFmt w:val="lowerLetter"/>
      <w:lvlText w:val="%2)"/>
      <w:lvlJc w:val="left"/>
      <w:pPr>
        <w:ind w:left="2310" w:hanging="420"/>
      </w:pPr>
    </w:lvl>
    <w:lvl w:ilvl="2" w:tentative="0">
      <w:start w:val="1"/>
      <w:numFmt w:val="lowerRoman"/>
      <w:lvlText w:val="%3."/>
      <w:lvlJc w:val="right"/>
      <w:pPr>
        <w:ind w:left="2730" w:hanging="420"/>
      </w:pPr>
    </w:lvl>
    <w:lvl w:ilvl="3" w:tentative="0">
      <w:start w:val="1"/>
      <w:numFmt w:val="decimal"/>
      <w:lvlText w:val="%4）"/>
      <w:lvlJc w:val="left"/>
      <w:pPr>
        <w:ind w:left="3090" w:hanging="360"/>
      </w:pPr>
      <w:rPr>
        <w:rFonts w:hint="default"/>
      </w:rPr>
    </w:lvl>
    <w:lvl w:ilvl="4" w:tentative="0">
      <w:start w:val="1"/>
      <w:numFmt w:val="lowerLetter"/>
      <w:lvlText w:val="%5)"/>
      <w:lvlJc w:val="left"/>
      <w:pPr>
        <w:ind w:left="3570" w:hanging="420"/>
      </w:pPr>
    </w:lvl>
    <w:lvl w:ilvl="5" w:tentative="0">
      <w:start w:val="1"/>
      <w:numFmt w:val="lowerRoman"/>
      <w:lvlText w:val="%6."/>
      <w:lvlJc w:val="right"/>
      <w:pPr>
        <w:ind w:left="3990" w:hanging="420"/>
      </w:pPr>
    </w:lvl>
    <w:lvl w:ilvl="6" w:tentative="0">
      <w:start w:val="1"/>
      <w:numFmt w:val="decimal"/>
      <w:lvlText w:val="%7."/>
      <w:lvlJc w:val="left"/>
      <w:pPr>
        <w:ind w:left="4410" w:hanging="420"/>
      </w:pPr>
    </w:lvl>
    <w:lvl w:ilvl="7" w:tentative="0">
      <w:start w:val="1"/>
      <w:numFmt w:val="lowerLetter"/>
      <w:lvlText w:val="%8)"/>
      <w:lvlJc w:val="left"/>
      <w:pPr>
        <w:ind w:left="4830" w:hanging="420"/>
      </w:pPr>
    </w:lvl>
    <w:lvl w:ilvl="8" w:tentative="0">
      <w:start w:val="1"/>
      <w:numFmt w:val="lowerRoman"/>
      <w:lvlText w:val="%9."/>
      <w:lvlJc w:val="right"/>
      <w:pPr>
        <w:ind w:left="5250" w:hanging="420"/>
      </w:pPr>
    </w:lvl>
  </w:abstractNum>
  <w:abstractNum w:abstractNumId="16">
    <w:nsid w:val="77E9B630"/>
    <w:multiLevelType w:val="singleLevel"/>
    <w:tmpl w:val="77E9B630"/>
    <w:lvl w:ilvl="0" w:tentative="0">
      <w:start w:val="1"/>
      <w:numFmt w:val="decimal"/>
      <w:lvlText w:val="(%1)"/>
      <w:lvlJc w:val="left"/>
      <w:pPr>
        <w:ind w:left="1270" w:hanging="425"/>
      </w:pPr>
      <w:rPr>
        <w:rFonts w:hint="default"/>
      </w:rPr>
    </w:lvl>
  </w:abstractNum>
  <w:num w:numId="1">
    <w:abstractNumId w:val="14"/>
  </w:num>
  <w:num w:numId="2">
    <w:abstractNumId w:val="7"/>
  </w:num>
  <w:num w:numId="3">
    <w:abstractNumId w:val="0"/>
  </w:num>
  <w:num w:numId="4">
    <w:abstractNumId w:val="3"/>
  </w:num>
  <w:num w:numId="5">
    <w:abstractNumId w:val="5"/>
  </w:num>
  <w:num w:numId="6">
    <w:abstractNumId w:val="15"/>
  </w:num>
  <w:num w:numId="7">
    <w:abstractNumId w:val="1"/>
  </w:num>
  <w:num w:numId="8">
    <w:abstractNumId w:val="10"/>
  </w:num>
  <w:num w:numId="9">
    <w:abstractNumId w:val="6"/>
  </w:num>
  <w:num w:numId="10">
    <w:abstractNumId w:val="8"/>
  </w:num>
  <w:num w:numId="11">
    <w:abstractNumId w:val="4"/>
  </w:num>
  <w:num w:numId="12">
    <w:abstractNumId w:val="13"/>
  </w:num>
  <w:num w:numId="13">
    <w:abstractNumId w:val="12"/>
  </w:num>
  <w:num w:numId="14">
    <w:abstractNumId w:val="2"/>
  </w:num>
  <w:num w:numId="15">
    <w:abstractNumId w:val="11"/>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dit="readOnly" w:formatting="1"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NjZkODliY2U4NjJlYmRkODhhMmFkNGU1Y2ViMzUifQ=="/>
  </w:docVars>
  <w:rsids>
    <w:rsidRoot w:val="008F6DBC"/>
    <w:rsid w:val="00001031"/>
    <w:rsid w:val="00002B87"/>
    <w:rsid w:val="00002C84"/>
    <w:rsid w:val="00002D79"/>
    <w:rsid w:val="0000471B"/>
    <w:rsid w:val="000048EE"/>
    <w:rsid w:val="00006529"/>
    <w:rsid w:val="00007FFB"/>
    <w:rsid w:val="0001001B"/>
    <w:rsid w:val="00010D3B"/>
    <w:rsid w:val="00011C3D"/>
    <w:rsid w:val="0001258F"/>
    <w:rsid w:val="00015737"/>
    <w:rsid w:val="0001583E"/>
    <w:rsid w:val="00015AB6"/>
    <w:rsid w:val="000162CC"/>
    <w:rsid w:val="0001768E"/>
    <w:rsid w:val="00020D37"/>
    <w:rsid w:val="00021289"/>
    <w:rsid w:val="0002619A"/>
    <w:rsid w:val="00032659"/>
    <w:rsid w:val="00032A96"/>
    <w:rsid w:val="00033486"/>
    <w:rsid w:val="000338F3"/>
    <w:rsid w:val="00034074"/>
    <w:rsid w:val="00034477"/>
    <w:rsid w:val="000368B3"/>
    <w:rsid w:val="00036911"/>
    <w:rsid w:val="00037948"/>
    <w:rsid w:val="000406D2"/>
    <w:rsid w:val="00041353"/>
    <w:rsid w:val="0004256D"/>
    <w:rsid w:val="00043899"/>
    <w:rsid w:val="00043B53"/>
    <w:rsid w:val="0004460C"/>
    <w:rsid w:val="00044B78"/>
    <w:rsid w:val="00044EFA"/>
    <w:rsid w:val="00045961"/>
    <w:rsid w:val="000464EB"/>
    <w:rsid w:val="0004653D"/>
    <w:rsid w:val="00046B93"/>
    <w:rsid w:val="00050BE3"/>
    <w:rsid w:val="00051BDC"/>
    <w:rsid w:val="00055BE7"/>
    <w:rsid w:val="000627B7"/>
    <w:rsid w:val="00065E17"/>
    <w:rsid w:val="00067E1A"/>
    <w:rsid w:val="000708E9"/>
    <w:rsid w:val="00073021"/>
    <w:rsid w:val="00074227"/>
    <w:rsid w:val="00080637"/>
    <w:rsid w:val="00081082"/>
    <w:rsid w:val="00081E95"/>
    <w:rsid w:val="00085302"/>
    <w:rsid w:val="000861B5"/>
    <w:rsid w:val="0008686C"/>
    <w:rsid w:val="00087A3C"/>
    <w:rsid w:val="000905FD"/>
    <w:rsid w:val="00091267"/>
    <w:rsid w:val="00092EC6"/>
    <w:rsid w:val="00093482"/>
    <w:rsid w:val="000949D3"/>
    <w:rsid w:val="0009528D"/>
    <w:rsid w:val="00095BBA"/>
    <w:rsid w:val="000A08DC"/>
    <w:rsid w:val="000A267B"/>
    <w:rsid w:val="000A3A48"/>
    <w:rsid w:val="000A44D2"/>
    <w:rsid w:val="000A4AF8"/>
    <w:rsid w:val="000A65C9"/>
    <w:rsid w:val="000B191B"/>
    <w:rsid w:val="000B1D8B"/>
    <w:rsid w:val="000B2457"/>
    <w:rsid w:val="000B2F98"/>
    <w:rsid w:val="000B35A9"/>
    <w:rsid w:val="000B5940"/>
    <w:rsid w:val="000B5C08"/>
    <w:rsid w:val="000B6B5E"/>
    <w:rsid w:val="000C0472"/>
    <w:rsid w:val="000C0C8C"/>
    <w:rsid w:val="000C1354"/>
    <w:rsid w:val="000C2959"/>
    <w:rsid w:val="000C39F6"/>
    <w:rsid w:val="000C3DAB"/>
    <w:rsid w:val="000C439A"/>
    <w:rsid w:val="000C6855"/>
    <w:rsid w:val="000D0B51"/>
    <w:rsid w:val="000D1D90"/>
    <w:rsid w:val="000D27B8"/>
    <w:rsid w:val="000D6089"/>
    <w:rsid w:val="000D62E1"/>
    <w:rsid w:val="000D65C7"/>
    <w:rsid w:val="000D7C48"/>
    <w:rsid w:val="000D7C50"/>
    <w:rsid w:val="000E194E"/>
    <w:rsid w:val="000E242F"/>
    <w:rsid w:val="000E3BA6"/>
    <w:rsid w:val="000E4D36"/>
    <w:rsid w:val="000E50D2"/>
    <w:rsid w:val="000E6A66"/>
    <w:rsid w:val="000E7D88"/>
    <w:rsid w:val="000E7FF5"/>
    <w:rsid w:val="000F0417"/>
    <w:rsid w:val="000F5829"/>
    <w:rsid w:val="000F635F"/>
    <w:rsid w:val="0010095B"/>
    <w:rsid w:val="0010335F"/>
    <w:rsid w:val="00106242"/>
    <w:rsid w:val="001064C1"/>
    <w:rsid w:val="00106B50"/>
    <w:rsid w:val="00107CB2"/>
    <w:rsid w:val="00110FAC"/>
    <w:rsid w:val="00111602"/>
    <w:rsid w:val="00112DB1"/>
    <w:rsid w:val="00114C31"/>
    <w:rsid w:val="001207D4"/>
    <w:rsid w:val="00121663"/>
    <w:rsid w:val="00121B47"/>
    <w:rsid w:val="00122135"/>
    <w:rsid w:val="00122E42"/>
    <w:rsid w:val="00123C22"/>
    <w:rsid w:val="00124538"/>
    <w:rsid w:val="0013363D"/>
    <w:rsid w:val="00135006"/>
    <w:rsid w:val="00135F58"/>
    <w:rsid w:val="00136D91"/>
    <w:rsid w:val="00137EE9"/>
    <w:rsid w:val="001400F1"/>
    <w:rsid w:val="0014069D"/>
    <w:rsid w:val="001413A5"/>
    <w:rsid w:val="001415D1"/>
    <w:rsid w:val="00142552"/>
    <w:rsid w:val="001467FB"/>
    <w:rsid w:val="0014682F"/>
    <w:rsid w:val="00146F35"/>
    <w:rsid w:val="001474E4"/>
    <w:rsid w:val="00150212"/>
    <w:rsid w:val="00150DA5"/>
    <w:rsid w:val="0015159D"/>
    <w:rsid w:val="00154B0A"/>
    <w:rsid w:val="00155881"/>
    <w:rsid w:val="00156192"/>
    <w:rsid w:val="00156DD7"/>
    <w:rsid w:val="00160127"/>
    <w:rsid w:val="001617C7"/>
    <w:rsid w:val="001618E8"/>
    <w:rsid w:val="00162DF5"/>
    <w:rsid w:val="001630FC"/>
    <w:rsid w:val="001633B0"/>
    <w:rsid w:val="001635AF"/>
    <w:rsid w:val="001635EA"/>
    <w:rsid w:val="001662FC"/>
    <w:rsid w:val="0016636C"/>
    <w:rsid w:val="0017022F"/>
    <w:rsid w:val="00170531"/>
    <w:rsid w:val="00170565"/>
    <w:rsid w:val="001709C7"/>
    <w:rsid w:val="001718DA"/>
    <w:rsid w:val="001741AC"/>
    <w:rsid w:val="00174372"/>
    <w:rsid w:val="00175DC6"/>
    <w:rsid w:val="00180867"/>
    <w:rsid w:val="00182EDA"/>
    <w:rsid w:val="0018315E"/>
    <w:rsid w:val="00184447"/>
    <w:rsid w:val="00185BC8"/>
    <w:rsid w:val="001860B0"/>
    <w:rsid w:val="0018760E"/>
    <w:rsid w:val="001876B9"/>
    <w:rsid w:val="00191A93"/>
    <w:rsid w:val="001929D3"/>
    <w:rsid w:val="00192F25"/>
    <w:rsid w:val="0019348B"/>
    <w:rsid w:val="0019355F"/>
    <w:rsid w:val="00193CFC"/>
    <w:rsid w:val="00194490"/>
    <w:rsid w:val="001946F2"/>
    <w:rsid w:val="001957E0"/>
    <w:rsid w:val="0019638F"/>
    <w:rsid w:val="001A028E"/>
    <w:rsid w:val="001A2295"/>
    <w:rsid w:val="001A27EF"/>
    <w:rsid w:val="001A4733"/>
    <w:rsid w:val="001A4D0B"/>
    <w:rsid w:val="001A4EB3"/>
    <w:rsid w:val="001A638D"/>
    <w:rsid w:val="001A7A50"/>
    <w:rsid w:val="001B128D"/>
    <w:rsid w:val="001B3020"/>
    <w:rsid w:val="001B3276"/>
    <w:rsid w:val="001C0084"/>
    <w:rsid w:val="001C6D0D"/>
    <w:rsid w:val="001D0A68"/>
    <w:rsid w:val="001D0AB6"/>
    <w:rsid w:val="001D40BE"/>
    <w:rsid w:val="001D7AAB"/>
    <w:rsid w:val="001D7AD2"/>
    <w:rsid w:val="001E03A3"/>
    <w:rsid w:val="001E1E40"/>
    <w:rsid w:val="001E239B"/>
    <w:rsid w:val="001E268A"/>
    <w:rsid w:val="001E27A8"/>
    <w:rsid w:val="001E2F28"/>
    <w:rsid w:val="001E4749"/>
    <w:rsid w:val="001E54ED"/>
    <w:rsid w:val="001E713B"/>
    <w:rsid w:val="001F2905"/>
    <w:rsid w:val="001F3641"/>
    <w:rsid w:val="001F3818"/>
    <w:rsid w:val="001F3A46"/>
    <w:rsid w:val="001F4569"/>
    <w:rsid w:val="001F4DD7"/>
    <w:rsid w:val="001F5917"/>
    <w:rsid w:val="001F750E"/>
    <w:rsid w:val="001F76E4"/>
    <w:rsid w:val="001F7AC5"/>
    <w:rsid w:val="002005B6"/>
    <w:rsid w:val="00202C63"/>
    <w:rsid w:val="0020346E"/>
    <w:rsid w:val="002058E3"/>
    <w:rsid w:val="00207119"/>
    <w:rsid w:val="0021138A"/>
    <w:rsid w:val="0021188F"/>
    <w:rsid w:val="00214378"/>
    <w:rsid w:val="00214FE0"/>
    <w:rsid w:val="00215550"/>
    <w:rsid w:val="00216596"/>
    <w:rsid w:val="00217465"/>
    <w:rsid w:val="00217486"/>
    <w:rsid w:val="00217D82"/>
    <w:rsid w:val="0022109B"/>
    <w:rsid w:val="002226BD"/>
    <w:rsid w:val="0022281A"/>
    <w:rsid w:val="00223561"/>
    <w:rsid w:val="00225F0B"/>
    <w:rsid w:val="00230377"/>
    <w:rsid w:val="00230AE6"/>
    <w:rsid w:val="002318C1"/>
    <w:rsid w:val="002349C9"/>
    <w:rsid w:val="00236493"/>
    <w:rsid w:val="00237F7A"/>
    <w:rsid w:val="002408DC"/>
    <w:rsid w:val="00241F15"/>
    <w:rsid w:val="00243ADB"/>
    <w:rsid w:val="00246D04"/>
    <w:rsid w:val="00246FEB"/>
    <w:rsid w:val="00250CD4"/>
    <w:rsid w:val="002526B5"/>
    <w:rsid w:val="00252D9E"/>
    <w:rsid w:val="00254B67"/>
    <w:rsid w:val="002561DF"/>
    <w:rsid w:val="00256713"/>
    <w:rsid w:val="002569F1"/>
    <w:rsid w:val="00256C4F"/>
    <w:rsid w:val="00256E25"/>
    <w:rsid w:val="002628B3"/>
    <w:rsid w:val="00262F08"/>
    <w:rsid w:val="00263A82"/>
    <w:rsid w:val="0026669F"/>
    <w:rsid w:val="00272928"/>
    <w:rsid w:val="002753E7"/>
    <w:rsid w:val="00275A22"/>
    <w:rsid w:val="002770B2"/>
    <w:rsid w:val="00280EDB"/>
    <w:rsid w:val="00282899"/>
    <w:rsid w:val="00282D23"/>
    <w:rsid w:val="00284452"/>
    <w:rsid w:val="00285357"/>
    <w:rsid w:val="00291DCF"/>
    <w:rsid w:val="002932D4"/>
    <w:rsid w:val="0029626F"/>
    <w:rsid w:val="002A0D0C"/>
    <w:rsid w:val="002A0ECE"/>
    <w:rsid w:val="002A37A1"/>
    <w:rsid w:val="002A397E"/>
    <w:rsid w:val="002A3C39"/>
    <w:rsid w:val="002A60C6"/>
    <w:rsid w:val="002A7BC8"/>
    <w:rsid w:val="002B0176"/>
    <w:rsid w:val="002B0375"/>
    <w:rsid w:val="002B06DB"/>
    <w:rsid w:val="002B12CF"/>
    <w:rsid w:val="002B1559"/>
    <w:rsid w:val="002B15BE"/>
    <w:rsid w:val="002B17E8"/>
    <w:rsid w:val="002B2373"/>
    <w:rsid w:val="002B2CC6"/>
    <w:rsid w:val="002B3176"/>
    <w:rsid w:val="002B4EA6"/>
    <w:rsid w:val="002B62AF"/>
    <w:rsid w:val="002B6551"/>
    <w:rsid w:val="002B730D"/>
    <w:rsid w:val="002C199B"/>
    <w:rsid w:val="002C217E"/>
    <w:rsid w:val="002C6B97"/>
    <w:rsid w:val="002C6F3F"/>
    <w:rsid w:val="002D1048"/>
    <w:rsid w:val="002D246E"/>
    <w:rsid w:val="002D2603"/>
    <w:rsid w:val="002D3410"/>
    <w:rsid w:val="002D593F"/>
    <w:rsid w:val="002D5C33"/>
    <w:rsid w:val="002D66FB"/>
    <w:rsid w:val="002D6D3E"/>
    <w:rsid w:val="002E01EF"/>
    <w:rsid w:val="002E1091"/>
    <w:rsid w:val="002E125B"/>
    <w:rsid w:val="002E35C6"/>
    <w:rsid w:val="002E5EE5"/>
    <w:rsid w:val="002E64C3"/>
    <w:rsid w:val="002E6919"/>
    <w:rsid w:val="002E7790"/>
    <w:rsid w:val="002F0BFB"/>
    <w:rsid w:val="002F2CB6"/>
    <w:rsid w:val="002F4525"/>
    <w:rsid w:val="002F6294"/>
    <w:rsid w:val="002F64EB"/>
    <w:rsid w:val="002F70DE"/>
    <w:rsid w:val="00302C19"/>
    <w:rsid w:val="00302EB2"/>
    <w:rsid w:val="00303F7C"/>
    <w:rsid w:val="003044DB"/>
    <w:rsid w:val="00305593"/>
    <w:rsid w:val="00305C83"/>
    <w:rsid w:val="00305ED1"/>
    <w:rsid w:val="00306550"/>
    <w:rsid w:val="0030663B"/>
    <w:rsid w:val="0030684F"/>
    <w:rsid w:val="00307541"/>
    <w:rsid w:val="00311E51"/>
    <w:rsid w:val="003151AA"/>
    <w:rsid w:val="00315555"/>
    <w:rsid w:val="00316357"/>
    <w:rsid w:val="0031658F"/>
    <w:rsid w:val="00317934"/>
    <w:rsid w:val="00317E10"/>
    <w:rsid w:val="0032118E"/>
    <w:rsid w:val="003220F9"/>
    <w:rsid w:val="00323884"/>
    <w:rsid w:val="003249AC"/>
    <w:rsid w:val="00324A32"/>
    <w:rsid w:val="003256FB"/>
    <w:rsid w:val="00325EC6"/>
    <w:rsid w:val="00326793"/>
    <w:rsid w:val="00327866"/>
    <w:rsid w:val="00327A84"/>
    <w:rsid w:val="00327AFF"/>
    <w:rsid w:val="003304EA"/>
    <w:rsid w:val="00330E7D"/>
    <w:rsid w:val="0033159B"/>
    <w:rsid w:val="00331E29"/>
    <w:rsid w:val="00333493"/>
    <w:rsid w:val="00335CF2"/>
    <w:rsid w:val="0033642E"/>
    <w:rsid w:val="003402B7"/>
    <w:rsid w:val="003405E4"/>
    <w:rsid w:val="00343067"/>
    <w:rsid w:val="003430FD"/>
    <w:rsid w:val="00343E75"/>
    <w:rsid w:val="003452F4"/>
    <w:rsid w:val="00345DE8"/>
    <w:rsid w:val="00350641"/>
    <w:rsid w:val="003510B4"/>
    <w:rsid w:val="00353096"/>
    <w:rsid w:val="003530A5"/>
    <w:rsid w:val="003535A6"/>
    <w:rsid w:val="0035525D"/>
    <w:rsid w:val="00355349"/>
    <w:rsid w:val="003630AF"/>
    <w:rsid w:val="00364B01"/>
    <w:rsid w:val="00364F46"/>
    <w:rsid w:val="0036545F"/>
    <w:rsid w:val="003702D3"/>
    <w:rsid w:val="003706AF"/>
    <w:rsid w:val="00373473"/>
    <w:rsid w:val="0037386F"/>
    <w:rsid w:val="003741FA"/>
    <w:rsid w:val="003748DB"/>
    <w:rsid w:val="00375E54"/>
    <w:rsid w:val="00376F0B"/>
    <w:rsid w:val="003802AC"/>
    <w:rsid w:val="003817B4"/>
    <w:rsid w:val="00381C9D"/>
    <w:rsid w:val="00383BB1"/>
    <w:rsid w:val="0038400C"/>
    <w:rsid w:val="00384F26"/>
    <w:rsid w:val="00385C71"/>
    <w:rsid w:val="00386E4E"/>
    <w:rsid w:val="00390653"/>
    <w:rsid w:val="00390BD9"/>
    <w:rsid w:val="00391E65"/>
    <w:rsid w:val="0039239B"/>
    <w:rsid w:val="003923D0"/>
    <w:rsid w:val="00393FCB"/>
    <w:rsid w:val="00394E00"/>
    <w:rsid w:val="003961E5"/>
    <w:rsid w:val="00397193"/>
    <w:rsid w:val="00397AF1"/>
    <w:rsid w:val="003A2883"/>
    <w:rsid w:val="003A2F28"/>
    <w:rsid w:val="003A3A29"/>
    <w:rsid w:val="003A43C6"/>
    <w:rsid w:val="003A7073"/>
    <w:rsid w:val="003B0939"/>
    <w:rsid w:val="003B4715"/>
    <w:rsid w:val="003B477B"/>
    <w:rsid w:val="003B531C"/>
    <w:rsid w:val="003B5B47"/>
    <w:rsid w:val="003C09E8"/>
    <w:rsid w:val="003C0DCF"/>
    <w:rsid w:val="003C11AB"/>
    <w:rsid w:val="003C1B7A"/>
    <w:rsid w:val="003C2163"/>
    <w:rsid w:val="003C2659"/>
    <w:rsid w:val="003C3C97"/>
    <w:rsid w:val="003C457F"/>
    <w:rsid w:val="003C4C1E"/>
    <w:rsid w:val="003C5843"/>
    <w:rsid w:val="003C5E46"/>
    <w:rsid w:val="003C655A"/>
    <w:rsid w:val="003D061A"/>
    <w:rsid w:val="003D0BC9"/>
    <w:rsid w:val="003D14A2"/>
    <w:rsid w:val="003D2738"/>
    <w:rsid w:val="003D2C11"/>
    <w:rsid w:val="003D33F7"/>
    <w:rsid w:val="003D6B11"/>
    <w:rsid w:val="003D70B3"/>
    <w:rsid w:val="003E054A"/>
    <w:rsid w:val="003E1D66"/>
    <w:rsid w:val="003E21C7"/>
    <w:rsid w:val="003E6965"/>
    <w:rsid w:val="003F0673"/>
    <w:rsid w:val="003F0DE2"/>
    <w:rsid w:val="003F187F"/>
    <w:rsid w:val="003F1929"/>
    <w:rsid w:val="003F1D1C"/>
    <w:rsid w:val="003F2640"/>
    <w:rsid w:val="003F4236"/>
    <w:rsid w:val="003F4661"/>
    <w:rsid w:val="003F4AE6"/>
    <w:rsid w:val="003F57E4"/>
    <w:rsid w:val="003F5924"/>
    <w:rsid w:val="00401370"/>
    <w:rsid w:val="00402C9F"/>
    <w:rsid w:val="00405999"/>
    <w:rsid w:val="0040630A"/>
    <w:rsid w:val="004078A1"/>
    <w:rsid w:val="00407D05"/>
    <w:rsid w:val="00410279"/>
    <w:rsid w:val="004111F8"/>
    <w:rsid w:val="004118F2"/>
    <w:rsid w:val="00411BC1"/>
    <w:rsid w:val="00411F14"/>
    <w:rsid w:val="00413EE6"/>
    <w:rsid w:val="004141D0"/>
    <w:rsid w:val="00415846"/>
    <w:rsid w:val="00415994"/>
    <w:rsid w:val="00415D35"/>
    <w:rsid w:val="004163D3"/>
    <w:rsid w:val="004216B1"/>
    <w:rsid w:val="00422785"/>
    <w:rsid w:val="00422EBF"/>
    <w:rsid w:val="004235F0"/>
    <w:rsid w:val="004247AE"/>
    <w:rsid w:val="00424A12"/>
    <w:rsid w:val="00427209"/>
    <w:rsid w:val="004273A3"/>
    <w:rsid w:val="00430179"/>
    <w:rsid w:val="00431B71"/>
    <w:rsid w:val="004335C4"/>
    <w:rsid w:val="00434AB4"/>
    <w:rsid w:val="00434EBD"/>
    <w:rsid w:val="00434FF9"/>
    <w:rsid w:val="00440EC5"/>
    <w:rsid w:val="004418CA"/>
    <w:rsid w:val="0044196C"/>
    <w:rsid w:val="0044344F"/>
    <w:rsid w:val="00444DC0"/>
    <w:rsid w:val="00444F54"/>
    <w:rsid w:val="0044532D"/>
    <w:rsid w:val="004500EC"/>
    <w:rsid w:val="00453109"/>
    <w:rsid w:val="0045324A"/>
    <w:rsid w:val="00454B22"/>
    <w:rsid w:val="00454CAC"/>
    <w:rsid w:val="00455382"/>
    <w:rsid w:val="00455B53"/>
    <w:rsid w:val="00460D6A"/>
    <w:rsid w:val="004630E3"/>
    <w:rsid w:val="00463E80"/>
    <w:rsid w:val="00464DFD"/>
    <w:rsid w:val="00465E7E"/>
    <w:rsid w:val="004667D9"/>
    <w:rsid w:val="00467018"/>
    <w:rsid w:val="004678F5"/>
    <w:rsid w:val="0046798E"/>
    <w:rsid w:val="00467E67"/>
    <w:rsid w:val="004716F8"/>
    <w:rsid w:val="0047175D"/>
    <w:rsid w:val="00471EBE"/>
    <w:rsid w:val="00472E1D"/>
    <w:rsid w:val="004750A5"/>
    <w:rsid w:val="004751F8"/>
    <w:rsid w:val="0047587C"/>
    <w:rsid w:val="00481C8F"/>
    <w:rsid w:val="00482246"/>
    <w:rsid w:val="0048246A"/>
    <w:rsid w:val="00484B28"/>
    <w:rsid w:val="00487C47"/>
    <w:rsid w:val="00490DE3"/>
    <w:rsid w:val="00491794"/>
    <w:rsid w:val="00491A69"/>
    <w:rsid w:val="004923AA"/>
    <w:rsid w:val="00492E89"/>
    <w:rsid w:val="00495E02"/>
    <w:rsid w:val="004A0A12"/>
    <w:rsid w:val="004A0B04"/>
    <w:rsid w:val="004A1205"/>
    <w:rsid w:val="004A2BA3"/>
    <w:rsid w:val="004A3CD2"/>
    <w:rsid w:val="004A4012"/>
    <w:rsid w:val="004A4893"/>
    <w:rsid w:val="004A52AE"/>
    <w:rsid w:val="004A71EA"/>
    <w:rsid w:val="004A7AF5"/>
    <w:rsid w:val="004B06A3"/>
    <w:rsid w:val="004B0F3C"/>
    <w:rsid w:val="004B22A2"/>
    <w:rsid w:val="004B2D56"/>
    <w:rsid w:val="004B2EA9"/>
    <w:rsid w:val="004B4716"/>
    <w:rsid w:val="004B4B75"/>
    <w:rsid w:val="004B770E"/>
    <w:rsid w:val="004B7AE8"/>
    <w:rsid w:val="004C22BB"/>
    <w:rsid w:val="004C3E81"/>
    <w:rsid w:val="004C550F"/>
    <w:rsid w:val="004C6531"/>
    <w:rsid w:val="004C7371"/>
    <w:rsid w:val="004D2291"/>
    <w:rsid w:val="004D2532"/>
    <w:rsid w:val="004D29F7"/>
    <w:rsid w:val="004D338A"/>
    <w:rsid w:val="004D3968"/>
    <w:rsid w:val="004D67A2"/>
    <w:rsid w:val="004D75A3"/>
    <w:rsid w:val="004E053D"/>
    <w:rsid w:val="004E0BB1"/>
    <w:rsid w:val="004E217B"/>
    <w:rsid w:val="004E2A23"/>
    <w:rsid w:val="004E2C44"/>
    <w:rsid w:val="004E3889"/>
    <w:rsid w:val="004E4AF4"/>
    <w:rsid w:val="004E5DF3"/>
    <w:rsid w:val="004F0221"/>
    <w:rsid w:val="004F1427"/>
    <w:rsid w:val="004F1E32"/>
    <w:rsid w:val="004F3415"/>
    <w:rsid w:val="004F40FE"/>
    <w:rsid w:val="004F4775"/>
    <w:rsid w:val="004F4DDB"/>
    <w:rsid w:val="004F504C"/>
    <w:rsid w:val="004F57AD"/>
    <w:rsid w:val="004F5A10"/>
    <w:rsid w:val="004F61AE"/>
    <w:rsid w:val="004F78F6"/>
    <w:rsid w:val="004F7FED"/>
    <w:rsid w:val="00501ACC"/>
    <w:rsid w:val="00501D2D"/>
    <w:rsid w:val="00502B92"/>
    <w:rsid w:val="00503A12"/>
    <w:rsid w:val="00504E8E"/>
    <w:rsid w:val="00505700"/>
    <w:rsid w:val="00505975"/>
    <w:rsid w:val="005061CA"/>
    <w:rsid w:val="00507AD2"/>
    <w:rsid w:val="00510D52"/>
    <w:rsid w:val="00511471"/>
    <w:rsid w:val="005147F2"/>
    <w:rsid w:val="00514B1F"/>
    <w:rsid w:val="005159C0"/>
    <w:rsid w:val="00516046"/>
    <w:rsid w:val="00517044"/>
    <w:rsid w:val="0052094C"/>
    <w:rsid w:val="00520F0D"/>
    <w:rsid w:val="00522BC8"/>
    <w:rsid w:val="005238FD"/>
    <w:rsid w:val="00524FD1"/>
    <w:rsid w:val="00525D43"/>
    <w:rsid w:val="00526016"/>
    <w:rsid w:val="0052650A"/>
    <w:rsid w:val="00530143"/>
    <w:rsid w:val="00530B7C"/>
    <w:rsid w:val="0053235B"/>
    <w:rsid w:val="00532509"/>
    <w:rsid w:val="005338D7"/>
    <w:rsid w:val="0053393D"/>
    <w:rsid w:val="00535CD3"/>
    <w:rsid w:val="00536A62"/>
    <w:rsid w:val="00537BF6"/>
    <w:rsid w:val="00542BFD"/>
    <w:rsid w:val="0054408E"/>
    <w:rsid w:val="00544269"/>
    <w:rsid w:val="0054452B"/>
    <w:rsid w:val="005445FE"/>
    <w:rsid w:val="00545B99"/>
    <w:rsid w:val="005515D3"/>
    <w:rsid w:val="005527D1"/>
    <w:rsid w:val="00552C2D"/>
    <w:rsid w:val="00552FA9"/>
    <w:rsid w:val="005531B5"/>
    <w:rsid w:val="00556B56"/>
    <w:rsid w:val="005571C4"/>
    <w:rsid w:val="00561A55"/>
    <w:rsid w:val="00565184"/>
    <w:rsid w:val="00566E57"/>
    <w:rsid w:val="00570D6C"/>
    <w:rsid w:val="00574FD1"/>
    <w:rsid w:val="005756EC"/>
    <w:rsid w:val="00575B63"/>
    <w:rsid w:val="00576257"/>
    <w:rsid w:val="00577D6C"/>
    <w:rsid w:val="00580424"/>
    <w:rsid w:val="005820E1"/>
    <w:rsid w:val="005847F4"/>
    <w:rsid w:val="00584855"/>
    <w:rsid w:val="00593085"/>
    <w:rsid w:val="00593709"/>
    <w:rsid w:val="00594776"/>
    <w:rsid w:val="00594842"/>
    <w:rsid w:val="005951E7"/>
    <w:rsid w:val="005953D5"/>
    <w:rsid w:val="00595612"/>
    <w:rsid w:val="005957FF"/>
    <w:rsid w:val="005967C6"/>
    <w:rsid w:val="00597D1E"/>
    <w:rsid w:val="005A0BC5"/>
    <w:rsid w:val="005A6647"/>
    <w:rsid w:val="005A7702"/>
    <w:rsid w:val="005A7D3E"/>
    <w:rsid w:val="005B08ED"/>
    <w:rsid w:val="005B196A"/>
    <w:rsid w:val="005B35B7"/>
    <w:rsid w:val="005B3A40"/>
    <w:rsid w:val="005B40A9"/>
    <w:rsid w:val="005B6666"/>
    <w:rsid w:val="005B6875"/>
    <w:rsid w:val="005B6972"/>
    <w:rsid w:val="005B7864"/>
    <w:rsid w:val="005C0A46"/>
    <w:rsid w:val="005C0D50"/>
    <w:rsid w:val="005C197C"/>
    <w:rsid w:val="005C31E8"/>
    <w:rsid w:val="005C4297"/>
    <w:rsid w:val="005C4F6A"/>
    <w:rsid w:val="005C50ED"/>
    <w:rsid w:val="005C71B3"/>
    <w:rsid w:val="005C7BE7"/>
    <w:rsid w:val="005D19ED"/>
    <w:rsid w:val="005D1BB5"/>
    <w:rsid w:val="005D23A9"/>
    <w:rsid w:val="005D5554"/>
    <w:rsid w:val="005D5CF6"/>
    <w:rsid w:val="005D5F48"/>
    <w:rsid w:val="005D60A8"/>
    <w:rsid w:val="005D77AF"/>
    <w:rsid w:val="005D7890"/>
    <w:rsid w:val="005E0658"/>
    <w:rsid w:val="005E0BC9"/>
    <w:rsid w:val="005E31C9"/>
    <w:rsid w:val="005E38F0"/>
    <w:rsid w:val="005E487D"/>
    <w:rsid w:val="005E489C"/>
    <w:rsid w:val="005E4FA2"/>
    <w:rsid w:val="005E540C"/>
    <w:rsid w:val="005F0384"/>
    <w:rsid w:val="005F1ED2"/>
    <w:rsid w:val="005F27CD"/>
    <w:rsid w:val="005F786D"/>
    <w:rsid w:val="00600419"/>
    <w:rsid w:val="00604826"/>
    <w:rsid w:val="00604B2C"/>
    <w:rsid w:val="00604F27"/>
    <w:rsid w:val="00605397"/>
    <w:rsid w:val="00605CEA"/>
    <w:rsid w:val="00606177"/>
    <w:rsid w:val="00606515"/>
    <w:rsid w:val="00607997"/>
    <w:rsid w:val="00610123"/>
    <w:rsid w:val="00610A87"/>
    <w:rsid w:val="0061202C"/>
    <w:rsid w:val="00613450"/>
    <w:rsid w:val="0061397A"/>
    <w:rsid w:val="00615D32"/>
    <w:rsid w:val="00615F3A"/>
    <w:rsid w:val="006176B7"/>
    <w:rsid w:val="0061794C"/>
    <w:rsid w:val="0062144D"/>
    <w:rsid w:val="00622260"/>
    <w:rsid w:val="00623291"/>
    <w:rsid w:val="0062351A"/>
    <w:rsid w:val="00623D73"/>
    <w:rsid w:val="00625087"/>
    <w:rsid w:val="00627988"/>
    <w:rsid w:val="00630C30"/>
    <w:rsid w:val="006332C8"/>
    <w:rsid w:val="006337FC"/>
    <w:rsid w:val="006346BF"/>
    <w:rsid w:val="00634DAA"/>
    <w:rsid w:val="006361A7"/>
    <w:rsid w:val="00637B4F"/>
    <w:rsid w:val="00641DD4"/>
    <w:rsid w:val="0064260F"/>
    <w:rsid w:val="00646A1B"/>
    <w:rsid w:val="00646B6B"/>
    <w:rsid w:val="0065080C"/>
    <w:rsid w:val="0065118C"/>
    <w:rsid w:val="006520D6"/>
    <w:rsid w:val="00653A05"/>
    <w:rsid w:val="00654A02"/>
    <w:rsid w:val="00654E8D"/>
    <w:rsid w:val="00656358"/>
    <w:rsid w:val="00660DF8"/>
    <w:rsid w:val="00660E15"/>
    <w:rsid w:val="00661D8B"/>
    <w:rsid w:val="006639E0"/>
    <w:rsid w:val="00663AE7"/>
    <w:rsid w:val="00664523"/>
    <w:rsid w:val="00665669"/>
    <w:rsid w:val="006668C1"/>
    <w:rsid w:val="00666D80"/>
    <w:rsid w:val="00667630"/>
    <w:rsid w:val="00671637"/>
    <w:rsid w:val="00671CF9"/>
    <w:rsid w:val="00673A32"/>
    <w:rsid w:val="00673BC3"/>
    <w:rsid w:val="00681D8A"/>
    <w:rsid w:val="0068226E"/>
    <w:rsid w:val="00682595"/>
    <w:rsid w:val="00684EE8"/>
    <w:rsid w:val="00686398"/>
    <w:rsid w:val="00686AE3"/>
    <w:rsid w:val="00686D3A"/>
    <w:rsid w:val="00686DFC"/>
    <w:rsid w:val="0068760B"/>
    <w:rsid w:val="006902BB"/>
    <w:rsid w:val="00690A6A"/>
    <w:rsid w:val="00691E30"/>
    <w:rsid w:val="00691ED9"/>
    <w:rsid w:val="00692272"/>
    <w:rsid w:val="00693407"/>
    <w:rsid w:val="00694862"/>
    <w:rsid w:val="0069560C"/>
    <w:rsid w:val="00695693"/>
    <w:rsid w:val="00696531"/>
    <w:rsid w:val="00697D00"/>
    <w:rsid w:val="006A00DA"/>
    <w:rsid w:val="006A018F"/>
    <w:rsid w:val="006A3F7C"/>
    <w:rsid w:val="006A42C0"/>
    <w:rsid w:val="006A5D57"/>
    <w:rsid w:val="006A63DA"/>
    <w:rsid w:val="006A709C"/>
    <w:rsid w:val="006B0DE8"/>
    <w:rsid w:val="006B1192"/>
    <w:rsid w:val="006B2557"/>
    <w:rsid w:val="006B3597"/>
    <w:rsid w:val="006B469A"/>
    <w:rsid w:val="006B4D4C"/>
    <w:rsid w:val="006B5C07"/>
    <w:rsid w:val="006C03FC"/>
    <w:rsid w:val="006C135D"/>
    <w:rsid w:val="006C217E"/>
    <w:rsid w:val="006C27AB"/>
    <w:rsid w:val="006C2CD6"/>
    <w:rsid w:val="006C4F01"/>
    <w:rsid w:val="006C52A9"/>
    <w:rsid w:val="006C5594"/>
    <w:rsid w:val="006C5FEA"/>
    <w:rsid w:val="006C7129"/>
    <w:rsid w:val="006C7CE9"/>
    <w:rsid w:val="006D0B5D"/>
    <w:rsid w:val="006D33D9"/>
    <w:rsid w:val="006D464E"/>
    <w:rsid w:val="006D544F"/>
    <w:rsid w:val="006D6DDB"/>
    <w:rsid w:val="006D7353"/>
    <w:rsid w:val="006E1334"/>
    <w:rsid w:val="006E3B01"/>
    <w:rsid w:val="006E3DC6"/>
    <w:rsid w:val="006E5181"/>
    <w:rsid w:val="006E5855"/>
    <w:rsid w:val="006E6042"/>
    <w:rsid w:val="006E6057"/>
    <w:rsid w:val="006E6D0D"/>
    <w:rsid w:val="006E7BC5"/>
    <w:rsid w:val="006F07B8"/>
    <w:rsid w:val="006F0B62"/>
    <w:rsid w:val="006F5C12"/>
    <w:rsid w:val="006F6304"/>
    <w:rsid w:val="006F6629"/>
    <w:rsid w:val="00701D65"/>
    <w:rsid w:val="00702D1B"/>
    <w:rsid w:val="00704AE0"/>
    <w:rsid w:val="007072BA"/>
    <w:rsid w:val="00711939"/>
    <w:rsid w:val="00712737"/>
    <w:rsid w:val="00714420"/>
    <w:rsid w:val="007151C4"/>
    <w:rsid w:val="00720311"/>
    <w:rsid w:val="00722537"/>
    <w:rsid w:val="00725D41"/>
    <w:rsid w:val="00726766"/>
    <w:rsid w:val="0072676E"/>
    <w:rsid w:val="0072727F"/>
    <w:rsid w:val="007274BB"/>
    <w:rsid w:val="0072754C"/>
    <w:rsid w:val="00732EF3"/>
    <w:rsid w:val="00733718"/>
    <w:rsid w:val="007338BF"/>
    <w:rsid w:val="00734C9C"/>
    <w:rsid w:val="00734EF5"/>
    <w:rsid w:val="0073585E"/>
    <w:rsid w:val="00744676"/>
    <w:rsid w:val="007448CE"/>
    <w:rsid w:val="00745AE6"/>
    <w:rsid w:val="00745DDF"/>
    <w:rsid w:val="00746450"/>
    <w:rsid w:val="00754478"/>
    <w:rsid w:val="00754BA5"/>
    <w:rsid w:val="00756635"/>
    <w:rsid w:val="00756719"/>
    <w:rsid w:val="00757C98"/>
    <w:rsid w:val="007605F7"/>
    <w:rsid w:val="00761F93"/>
    <w:rsid w:val="00764BDC"/>
    <w:rsid w:val="00764CCB"/>
    <w:rsid w:val="00767C0C"/>
    <w:rsid w:val="00772789"/>
    <w:rsid w:val="00772E88"/>
    <w:rsid w:val="00773B0E"/>
    <w:rsid w:val="0077455A"/>
    <w:rsid w:val="00777615"/>
    <w:rsid w:val="0078022D"/>
    <w:rsid w:val="00782859"/>
    <w:rsid w:val="00783050"/>
    <w:rsid w:val="00783774"/>
    <w:rsid w:val="00785CEF"/>
    <w:rsid w:val="00786ED8"/>
    <w:rsid w:val="007872D6"/>
    <w:rsid w:val="0079006E"/>
    <w:rsid w:val="00790276"/>
    <w:rsid w:val="007906DE"/>
    <w:rsid w:val="00790D5F"/>
    <w:rsid w:val="00791674"/>
    <w:rsid w:val="00791C99"/>
    <w:rsid w:val="007933D9"/>
    <w:rsid w:val="00793FA6"/>
    <w:rsid w:val="007952CA"/>
    <w:rsid w:val="00795794"/>
    <w:rsid w:val="00795BAC"/>
    <w:rsid w:val="0079695A"/>
    <w:rsid w:val="0079725B"/>
    <w:rsid w:val="00797FD9"/>
    <w:rsid w:val="007A1D0B"/>
    <w:rsid w:val="007A1E52"/>
    <w:rsid w:val="007A202B"/>
    <w:rsid w:val="007A275A"/>
    <w:rsid w:val="007A3FBF"/>
    <w:rsid w:val="007A4836"/>
    <w:rsid w:val="007A7662"/>
    <w:rsid w:val="007B02C9"/>
    <w:rsid w:val="007B02E7"/>
    <w:rsid w:val="007B0759"/>
    <w:rsid w:val="007B1DB5"/>
    <w:rsid w:val="007B22A1"/>
    <w:rsid w:val="007B4F2A"/>
    <w:rsid w:val="007B56BB"/>
    <w:rsid w:val="007B5D0F"/>
    <w:rsid w:val="007B7E17"/>
    <w:rsid w:val="007B7E87"/>
    <w:rsid w:val="007C3CCF"/>
    <w:rsid w:val="007C468F"/>
    <w:rsid w:val="007C56E6"/>
    <w:rsid w:val="007C5B5C"/>
    <w:rsid w:val="007C6197"/>
    <w:rsid w:val="007D0864"/>
    <w:rsid w:val="007D09D2"/>
    <w:rsid w:val="007D44B4"/>
    <w:rsid w:val="007D4C44"/>
    <w:rsid w:val="007D52A0"/>
    <w:rsid w:val="007D55FD"/>
    <w:rsid w:val="007D60CD"/>
    <w:rsid w:val="007E07A6"/>
    <w:rsid w:val="007E09A6"/>
    <w:rsid w:val="007E2A3E"/>
    <w:rsid w:val="007E3656"/>
    <w:rsid w:val="007E38CC"/>
    <w:rsid w:val="007E4964"/>
    <w:rsid w:val="007E4EAA"/>
    <w:rsid w:val="007E5C34"/>
    <w:rsid w:val="007E5F3C"/>
    <w:rsid w:val="007E6B92"/>
    <w:rsid w:val="007F0212"/>
    <w:rsid w:val="007F151A"/>
    <w:rsid w:val="007F16A9"/>
    <w:rsid w:val="007F1D0E"/>
    <w:rsid w:val="007F1E06"/>
    <w:rsid w:val="007F2BE2"/>
    <w:rsid w:val="007F2BFF"/>
    <w:rsid w:val="007F36F6"/>
    <w:rsid w:val="007F3DDA"/>
    <w:rsid w:val="00802888"/>
    <w:rsid w:val="00802EBD"/>
    <w:rsid w:val="00803804"/>
    <w:rsid w:val="008065B5"/>
    <w:rsid w:val="00806B1C"/>
    <w:rsid w:val="00806EDE"/>
    <w:rsid w:val="00810A13"/>
    <w:rsid w:val="00811556"/>
    <w:rsid w:val="00812CB1"/>
    <w:rsid w:val="00816444"/>
    <w:rsid w:val="00817AE4"/>
    <w:rsid w:val="00817F95"/>
    <w:rsid w:val="0082081E"/>
    <w:rsid w:val="00820946"/>
    <w:rsid w:val="00820C36"/>
    <w:rsid w:val="00820FA9"/>
    <w:rsid w:val="00820FC0"/>
    <w:rsid w:val="00821D3F"/>
    <w:rsid w:val="00824CE6"/>
    <w:rsid w:val="00827458"/>
    <w:rsid w:val="00827EBC"/>
    <w:rsid w:val="00831613"/>
    <w:rsid w:val="008324ED"/>
    <w:rsid w:val="00833EE1"/>
    <w:rsid w:val="00834DCB"/>
    <w:rsid w:val="00834F92"/>
    <w:rsid w:val="008406AC"/>
    <w:rsid w:val="0084084A"/>
    <w:rsid w:val="00840AE7"/>
    <w:rsid w:val="00841A02"/>
    <w:rsid w:val="00842B54"/>
    <w:rsid w:val="00842D2C"/>
    <w:rsid w:val="008501D4"/>
    <w:rsid w:val="00851524"/>
    <w:rsid w:val="00852566"/>
    <w:rsid w:val="008533AB"/>
    <w:rsid w:val="0085427D"/>
    <w:rsid w:val="008616D9"/>
    <w:rsid w:val="00862547"/>
    <w:rsid w:val="00864CC9"/>
    <w:rsid w:val="00865CF1"/>
    <w:rsid w:val="00870D09"/>
    <w:rsid w:val="00871B02"/>
    <w:rsid w:val="0087371B"/>
    <w:rsid w:val="008738F6"/>
    <w:rsid w:val="0087543D"/>
    <w:rsid w:val="00875BB1"/>
    <w:rsid w:val="00877633"/>
    <w:rsid w:val="008800D5"/>
    <w:rsid w:val="00881D40"/>
    <w:rsid w:val="00882EB5"/>
    <w:rsid w:val="008843CC"/>
    <w:rsid w:val="008847A5"/>
    <w:rsid w:val="00885DE1"/>
    <w:rsid w:val="00886726"/>
    <w:rsid w:val="00887296"/>
    <w:rsid w:val="008876FB"/>
    <w:rsid w:val="008908EA"/>
    <w:rsid w:val="00890BEE"/>
    <w:rsid w:val="00893C87"/>
    <w:rsid w:val="008A016F"/>
    <w:rsid w:val="008A17AF"/>
    <w:rsid w:val="008A2913"/>
    <w:rsid w:val="008A369A"/>
    <w:rsid w:val="008A3F0C"/>
    <w:rsid w:val="008A74D2"/>
    <w:rsid w:val="008B03A6"/>
    <w:rsid w:val="008B0876"/>
    <w:rsid w:val="008B1E3B"/>
    <w:rsid w:val="008B31BB"/>
    <w:rsid w:val="008B3D48"/>
    <w:rsid w:val="008B4BCE"/>
    <w:rsid w:val="008B4FAA"/>
    <w:rsid w:val="008B53DF"/>
    <w:rsid w:val="008C0752"/>
    <w:rsid w:val="008C10BB"/>
    <w:rsid w:val="008C22D1"/>
    <w:rsid w:val="008C25CD"/>
    <w:rsid w:val="008C2E01"/>
    <w:rsid w:val="008C2E3D"/>
    <w:rsid w:val="008C4B2F"/>
    <w:rsid w:val="008C4FF9"/>
    <w:rsid w:val="008C564C"/>
    <w:rsid w:val="008C56C5"/>
    <w:rsid w:val="008C63DB"/>
    <w:rsid w:val="008D3FF8"/>
    <w:rsid w:val="008D4A02"/>
    <w:rsid w:val="008D50D3"/>
    <w:rsid w:val="008D5A04"/>
    <w:rsid w:val="008E0DDA"/>
    <w:rsid w:val="008E15D9"/>
    <w:rsid w:val="008E18C5"/>
    <w:rsid w:val="008E1A0A"/>
    <w:rsid w:val="008E3315"/>
    <w:rsid w:val="008E37C9"/>
    <w:rsid w:val="008E4885"/>
    <w:rsid w:val="008E4A63"/>
    <w:rsid w:val="008E5953"/>
    <w:rsid w:val="008E6DB1"/>
    <w:rsid w:val="008E7CA5"/>
    <w:rsid w:val="008F150B"/>
    <w:rsid w:val="008F179D"/>
    <w:rsid w:val="008F1E28"/>
    <w:rsid w:val="008F36B1"/>
    <w:rsid w:val="008F6782"/>
    <w:rsid w:val="008F6DBC"/>
    <w:rsid w:val="008F6E3D"/>
    <w:rsid w:val="00900561"/>
    <w:rsid w:val="00901452"/>
    <w:rsid w:val="00901583"/>
    <w:rsid w:val="00902799"/>
    <w:rsid w:val="009031C2"/>
    <w:rsid w:val="00904F03"/>
    <w:rsid w:val="00906001"/>
    <w:rsid w:val="00906E71"/>
    <w:rsid w:val="00907F82"/>
    <w:rsid w:val="009100C3"/>
    <w:rsid w:val="00910145"/>
    <w:rsid w:val="00910E58"/>
    <w:rsid w:val="009110DD"/>
    <w:rsid w:val="00911615"/>
    <w:rsid w:val="009119E0"/>
    <w:rsid w:val="009140BD"/>
    <w:rsid w:val="00915167"/>
    <w:rsid w:val="0091560D"/>
    <w:rsid w:val="009208DF"/>
    <w:rsid w:val="00922383"/>
    <w:rsid w:val="00923367"/>
    <w:rsid w:val="00923652"/>
    <w:rsid w:val="00923DBF"/>
    <w:rsid w:val="0092424E"/>
    <w:rsid w:val="00925221"/>
    <w:rsid w:val="009261A2"/>
    <w:rsid w:val="00926ABB"/>
    <w:rsid w:val="009273DF"/>
    <w:rsid w:val="0092744B"/>
    <w:rsid w:val="00927C71"/>
    <w:rsid w:val="0093080E"/>
    <w:rsid w:val="00930D2F"/>
    <w:rsid w:val="00931885"/>
    <w:rsid w:val="00935B3B"/>
    <w:rsid w:val="00937B99"/>
    <w:rsid w:val="00940E2D"/>
    <w:rsid w:val="00941770"/>
    <w:rsid w:val="00941EC3"/>
    <w:rsid w:val="0094250A"/>
    <w:rsid w:val="00944427"/>
    <w:rsid w:val="00944CC5"/>
    <w:rsid w:val="00944DB5"/>
    <w:rsid w:val="009469AE"/>
    <w:rsid w:val="00946ED9"/>
    <w:rsid w:val="00946F1F"/>
    <w:rsid w:val="00952723"/>
    <w:rsid w:val="00954459"/>
    <w:rsid w:val="0095497D"/>
    <w:rsid w:val="009556E2"/>
    <w:rsid w:val="00955A01"/>
    <w:rsid w:val="0096181E"/>
    <w:rsid w:val="00961958"/>
    <w:rsid w:val="009634FF"/>
    <w:rsid w:val="00963785"/>
    <w:rsid w:val="00963B2C"/>
    <w:rsid w:val="00963B49"/>
    <w:rsid w:val="009646BB"/>
    <w:rsid w:val="00964D64"/>
    <w:rsid w:val="009668F7"/>
    <w:rsid w:val="00966CA9"/>
    <w:rsid w:val="00967311"/>
    <w:rsid w:val="00970847"/>
    <w:rsid w:val="00970E2D"/>
    <w:rsid w:val="00972DAA"/>
    <w:rsid w:val="00973B2B"/>
    <w:rsid w:val="009747AC"/>
    <w:rsid w:val="009758C6"/>
    <w:rsid w:val="00976F70"/>
    <w:rsid w:val="0097701F"/>
    <w:rsid w:val="00977723"/>
    <w:rsid w:val="00980655"/>
    <w:rsid w:val="0098066B"/>
    <w:rsid w:val="00980AD8"/>
    <w:rsid w:val="009817DC"/>
    <w:rsid w:val="00981865"/>
    <w:rsid w:val="00981DF9"/>
    <w:rsid w:val="009853F7"/>
    <w:rsid w:val="00985E81"/>
    <w:rsid w:val="00986341"/>
    <w:rsid w:val="00986B33"/>
    <w:rsid w:val="00991828"/>
    <w:rsid w:val="00991CAF"/>
    <w:rsid w:val="00997E9B"/>
    <w:rsid w:val="009A03FF"/>
    <w:rsid w:val="009A0590"/>
    <w:rsid w:val="009A1380"/>
    <w:rsid w:val="009A2FB9"/>
    <w:rsid w:val="009A362F"/>
    <w:rsid w:val="009A40AB"/>
    <w:rsid w:val="009A6919"/>
    <w:rsid w:val="009A7655"/>
    <w:rsid w:val="009B0599"/>
    <w:rsid w:val="009B0DD8"/>
    <w:rsid w:val="009B12D9"/>
    <w:rsid w:val="009B1D0D"/>
    <w:rsid w:val="009B1DD2"/>
    <w:rsid w:val="009B25BC"/>
    <w:rsid w:val="009B2DD2"/>
    <w:rsid w:val="009B597D"/>
    <w:rsid w:val="009B5A3D"/>
    <w:rsid w:val="009B658D"/>
    <w:rsid w:val="009C05FC"/>
    <w:rsid w:val="009C08B5"/>
    <w:rsid w:val="009C1F85"/>
    <w:rsid w:val="009C2137"/>
    <w:rsid w:val="009C223F"/>
    <w:rsid w:val="009C2A03"/>
    <w:rsid w:val="009C4EFF"/>
    <w:rsid w:val="009C6657"/>
    <w:rsid w:val="009D16D6"/>
    <w:rsid w:val="009D194D"/>
    <w:rsid w:val="009D2137"/>
    <w:rsid w:val="009D234C"/>
    <w:rsid w:val="009D2748"/>
    <w:rsid w:val="009D276D"/>
    <w:rsid w:val="009D48F5"/>
    <w:rsid w:val="009D4F05"/>
    <w:rsid w:val="009D725B"/>
    <w:rsid w:val="009D7907"/>
    <w:rsid w:val="009E31E5"/>
    <w:rsid w:val="009E3FF7"/>
    <w:rsid w:val="009E4B9F"/>
    <w:rsid w:val="009E5797"/>
    <w:rsid w:val="009E6E0D"/>
    <w:rsid w:val="009F050D"/>
    <w:rsid w:val="009F408A"/>
    <w:rsid w:val="009F4A42"/>
    <w:rsid w:val="009F4B27"/>
    <w:rsid w:val="009F6D79"/>
    <w:rsid w:val="009F6D7B"/>
    <w:rsid w:val="009F7DDE"/>
    <w:rsid w:val="00A01B41"/>
    <w:rsid w:val="00A01FF7"/>
    <w:rsid w:val="00A0228C"/>
    <w:rsid w:val="00A02B75"/>
    <w:rsid w:val="00A034FB"/>
    <w:rsid w:val="00A03A20"/>
    <w:rsid w:val="00A04144"/>
    <w:rsid w:val="00A04BA6"/>
    <w:rsid w:val="00A04DF3"/>
    <w:rsid w:val="00A0546E"/>
    <w:rsid w:val="00A10666"/>
    <w:rsid w:val="00A11CD1"/>
    <w:rsid w:val="00A13141"/>
    <w:rsid w:val="00A13D23"/>
    <w:rsid w:val="00A146C4"/>
    <w:rsid w:val="00A14EAD"/>
    <w:rsid w:val="00A15B73"/>
    <w:rsid w:val="00A1714E"/>
    <w:rsid w:val="00A17C75"/>
    <w:rsid w:val="00A20DC8"/>
    <w:rsid w:val="00A21286"/>
    <w:rsid w:val="00A214E1"/>
    <w:rsid w:val="00A2184D"/>
    <w:rsid w:val="00A23E26"/>
    <w:rsid w:val="00A252A8"/>
    <w:rsid w:val="00A25795"/>
    <w:rsid w:val="00A25838"/>
    <w:rsid w:val="00A34A02"/>
    <w:rsid w:val="00A35888"/>
    <w:rsid w:val="00A3745B"/>
    <w:rsid w:val="00A40762"/>
    <w:rsid w:val="00A41186"/>
    <w:rsid w:val="00A42AD6"/>
    <w:rsid w:val="00A437D8"/>
    <w:rsid w:val="00A43F2E"/>
    <w:rsid w:val="00A45693"/>
    <w:rsid w:val="00A45D5A"/>
    <w:rsid w:val="00A4697C"/>
    <w:rsid w:val="00A46EB5"/>
    <w:rsid w:val="00A5157B"/>
    <w:rsid w:val="00A51FE0"/>
    <w:rsid w:val="00A52ABA"/>
    <w:rsid w:val="00A53102"/>
    <w:rsid w:val="00A5696F"/>
    <w:rsid w:val="00A57263"/>
    <w:rsid w:val="00A6253D"/>
    <w:rsid w:val="00A63715"/>
    <w:rsid w:val="00A6432B"/>
    <w:rsid w:val="00A655AF"/>
    <w:rsid w:val="00A67DCA"/>
    <w:rsid w:val="00A731A6"/>
    <w:rsid w:val="00A75618"/>
    <w:rsid w:val="00A76BB7"/>
    <w:rsid w:val="00A76C2C"/>
    <w:rsid w:val="00A80756"/>
    <w:rsid w:val="00A812BC"/>
    <w:rsid w:val="00A8267D"/>
    <w:rsid w:val="00A83C54"/>
    <w:rsid w:val="00A852A7"/>
    <w:rsid w:val="00A9059C"/>
    <w:rsid w:val="00A91A0D"/>
    <w:rsid w:val="00A92C2B"/>
    <w:rsid w:val="00A92DB4"/>
    <w:rsid w:val="00A9537F"/>
    <w:rsid w:val="00A95387"/>
    <w:rsid w:val="00A97B14"/>
    <w:rsid w:val="00AA0B6F"/>
    <w:rsid w:val="00AA0C13"/>
    <w:rsid w:val="00AA0E59"/>
    <w:rsid w:val="00AA2A58"/>
    <w:rsid w:val="00AA2D9A"/>
    <w:rsid w:val="00AA3FDB"/>
    <w:rsid w:val="00AA7CE7"/>
    <w:rsid w:val="00AB5C40"/>
    <w:rsid w:val="00AB60C7"/>
    <w:rsid w:val="00AB6552"/>
    <w:rsid w:val="00AB7A6A"/>
    <w:rsid w:val="00AC11B5"/>
    <w:rsid w:val="00AC1621"/>
    <w:rsid w:val="00AC2553"/>
    <w:rsid w:val="00AC4E0A"/>
    <w:rsid w:val="00AC4E37"/>
    <w:rsid w:val="00AC5940"/>
    <w:rsid w:val="00AC69F7"/>
    <w:rsid w:val="00AD414B"/>
    <w:rsid w:val="00AD4270"/>
    <w:rsid w:val="00AD4DC1"/>
    <w:rsid w:val="00AD64C3"/>
    <w:rsid w:val="00AD791C"/>
    <w:rsid w:val="00AD7C45"/>
    <w:rsid w:val="00AE280D"/>
    <w:rsid w:val="00AE368C"/>
    <w:rsid w:val="00AE3D2A"/>
    <w:rsid w:val="00AE49E7"/>
    <w:rsid w:val="00AE4C0F"/>
    <w:rsid w:val="00AE501E"/>
    <w:rsid w:val="00AE5669"/>
    <w:rsid w:val="00AE61D4"/>
    <w:rsid w:val="00AE72E6"/>
    <w:rsid w:val="00AE7D4B"/>
    <w:rsid w:val="00AF13FD"/>
    <w:rsid w:val="00AF5A32"/>
    <w:rsid w:val="00AF5AF2"/>
    <w:rsid w:val="00AF62F0"/>
    <w:rsid w:val="00AF6832"/>
    <w:rsid w:val="00AF6AB5"/>
    <w:rsid w:val="00B00422"/>
    <w:rsid w:val="00B00648"/>
    <w:rsid w:val="00B0242C"/>
    <w:rsid w:val="00B02C61"/>
    <w:rsid w:val="00B02EC7"/>
    <w:rsid w:val="00B03699"/>
    <w:rsid w:val="00B04D04"/>
    <w:rsid w:val="00B07329"/>
    <w:rsid w:val="00B07E54"/>
    <w:rsid w:val="00B10343"/>
    <w:rsid w:val="00B11926"/>
    <w:rsid w:val="00B12BC5"/>
    <w:rsid w:val="00B159E5"/>
    <w:rsid w:val="00B15EE8"/>
    <w:rsid w:val="00B176D0"/>
    <w:rsid w:val="00B20A30"/>
    <w:rsid w:val="00B22E09"/>
    <w:rsid w:val="00B22E1C"/>
    <w:rsid w:val="00B2359E"/>
    <w:rsid w:val="00B30DAA"/>
    <w:rsid w:val="00B33D2A"/>
    <w:rsid w:val="00B34D3D"/>
    <w:rsid w:val="00B3506F"/>
    <w:rsid w:val="00B35D82"/>
    <w:rsid w:val="00B367AE"/>
    <w:rsid w:val="00B370AF"/>
    <w:rsid w:val="00B37CAA"/>
    <w:rsid w:val="00B444CD"/>
    <w:rsid w:val="00B4687C"/>
    <w:rsid w:val="00B46CFA"/>
    <w:rsid w:val="00B50726"/>
    <w:rsid w:val="00B55AB2"/>
    <w:rsid w:val="00B56F90"/>
    <w:rsid w:val="00B62A70"/>
    <w:rsid w:val="00B64FBC"/>
    <w:rsid w:val="00B6511B"/>
    <w:rsid w:val="00B653D8"/>
    <w:rsid w:val="00B65690"/>
    <w:rsid w:val="00B65DE1"/>
    <w:rsid w:val="00B66B31"/>
    <w:rsid w:val="00B66B70"/>
    <w:rsid w:val="00B674BD"/>
    <w:rsid w:val="00B73081"/>
    <w:rsid w:val="00B734D3"/>
    <w:rsid w:val="00B736A4"/>
    <w:rsid w:val="00B7398E"/>
    <w:rsid w:val="00B7546A"/>
    <w:rsid w:val="00B7575D"/>
    <w:rsid w:val="00B76D1E"/>
    <w:rsid w:val="00B7766E"/>
    <w:rsid w:val="00B8107F"/>
    <w:rsid w:val="00B8171B"/>
    <w:rsid w:val="00B8204A"/>
    <w:rsid w:val="00B82071"/>
    <w:rsid w:val="00B8551D"/>
    <w:rsid w:val="00B864EB"/>
    <w:rsid w:val="00B8771A"/>
    <w:rsid w:val="00B91E7E"/>
    <w:rsid w:val="00B92C27"/>
    <w:rsid w:val="00B93ED6"/>
    <w:rsid w:val="00B94B2D"/>
    <w:rsid w:val="00B95141"/>
    <w:rsid w:val="00B961F4"/>
    <w:rsid w:val="00B978BB"/>
    <w:rsid w:val="00B9798E"/>
    <w:rsid w:val="00B97B93"/>
    <w:rsid w:val="00BA0934"/>
    <w:rsid w:val="00BA2433"/>
    <w:rsid w:val="00BA2913"/>
    <w:rsid w:val="00BA3AD1"/>
    <w:rsid w:val="00BA3F8B"/>
    <w:rsid w:val="00BA68DA"/>
    <w:rsid w:val="00BA7922"/>
    <w:rsid w:val="00BA7B35"/>
    <w:rsid w:val="00BB0601"/>
    <w:rsid w:val="00BB1EA2"/>
    <w:rsid w:val="00BB6340"/>
    <w:rsid w:val="00BB7947"/>
    <w:rsid w:val="00BC0617"/>
    <w:rsid w:val="00BC062B"/>
    <w:rsid w:val="00BC0FAC"/>
    <w:rsid w:val="00BC13C7"/>
    <w:rsid w:val="00BC229D"/>
    <w:rsid w:val="00BC2F8D"/>
    <w:rsid w:val="00BC4063"/>
    <w:rsid w:val="00BC47A5"/>
    <w:rsid w:val="00BC48AB"/>
    <w:rsid w:val="00BC4BB9"/>
    <w:rsid w:val="00BC52EE"/>
    <w:rsid w:val="00BC5AF9"/>
    <w:rsid w:val="00BC6AE1"/>
    <w:rsid w:val="00BC78F6"/>
    <w:rsid w:val="00BD09BE"/>
    <w:rsid w:val="00BD0AA5"/>
    <w:rsid w:val="00BD10FC"/>
    <w:rsid w:val="00BD16D3"/>
    <w:rsid w:val="00BD2930"/>
    <w:rsid w:val="00BD4B3C"/>
    <w:rsid w:val="00BD4E44"/>
    <w:rsid w:val="00BD53F6"/>
    <w:rsid w:val="00BD5DEB"/>
    <w:rsid w:val="00BD680C"/>
    <w:rsid w:val="00BD6B00"/>
    <w:rsid w:val="00BD6F65"/>
    <w:rsid w:val="00BD716B"/>
    <w:rsid w:val="00BE09B6"/>
    <w:rsid w:val="00BE1754"/>
    <w:rsid w:val="00BE1DB3"/>
    <w:rsid w:val="00BE204D"/>
    <w:rsid w:val="00BE3EFA"/>
    <w:rsid w:val="00BE3F90"/>
    <w:rsid w:val="00BE464E"/>
    <w:rsid w:val="00BE50B8"/>
    <w:rsid w:val="00BE574F"/>
    <w:rsid w:val="00BE5FEE"/>
    <w:rsid w:val="00BE6D93"/>
    <w:rsid w:val="00BF0EF7"/>
    <w:rsid w:val="00BF3A04"/>
    <w:rsid w:val="00BF3F87"/>
    <w:rsid w:val="00BF553E"/>
    <w:rsid w:val="00C007FC"/>
    <w:rsid w:val="00C00AD6"/>
    <w:rsid w:val="00C01666"/>
    <w:rsid w:val="00C01D2B"/>
    <w:rsid w:val="00C0243F"/>
    <w:rsid w:val="00C0259E"/>
    <w:rsid w:val="00C02868"/>
    <w:rsid w:val="00C0424B"/>
    <w:rsid w:val="00C04C77"/>
    <w:rsid w:val="00C069D5"/>
    <w:rsid w:val="00C06C99"/>
    <w:rsid w:val="00C06DF7"/>
    <w:rsid w:val="00C10854"/>
    <w:rsid w:val="00C10CCD"/>
    <w:rsid w:val="00C11712"/>
    <w:rsid w:val="00C133A9"/>
    <w:rsid w:val="00C138E2"/>
    <w:rsid w:val="00C13F0C"/>
    <w:rsid w:val="00C1437E"/>
    <w:rsid w:val="00C167B9"/>
    <w:rsid w:val="00C174D8"/>
    <w:rsid w:val="00C207A2"/>
    <w:rsid w:val="00C20B54"/>
    <w:rsid w:val="00C21F32"/>
    <w:rsid w:val="00C235D8"/>
    <w:rsid w:val="00C238C6"/>
    <w:rsid w:val="00C30BAD"/>
    <w:rsid w:val="00C3177C"/>
    <w:rsid w:val="00C31E26"/>
    <w:rsid w:val="00C35484"/>
    <w:rsid w:val="00C354E0"/>
    <w:rsid w:val="00C36EBE"/>
    <w:rsid w:val="00C42E2D"/>
    <w:rsid w:val="00C44D06"/>
    <w:rsid w:val="00C457F0"/>
    <w:rsid w:val="00C47B3B"/>
    <w:rsid w:val="00C53407"/>
    <w:rsid w:val="00C5589C"/>
    <w:rsid w:val="00C6044B"/>
    <w:rsid w:val="00C60A0A"/>
    <w:rsid w:val="00C61BA4"/>
    <w:rsid w:val="00C63553"/>
    <w:rsid w:val="00C66AAD"/>
    <w:rsid w:val="00C66C97"/>
    <w:rsid w:val="00C678F0"/>
    <w:rsid w:val="00C711BF"/>
    <w:rsid w:val="00C7121D"/>
    <w:rsid w:val="00C72C66"/>
    <w:rsid w:val="00C730D3"/>
    <w:rsid w:val="00C73284"/>
    <w:rsid w:val="00C73F59"/>
    <w:rsid w:val="00C7516A"/>
    <w:rsid w:val="00C807B6"/>
    <w:rsid w:val="00C81934"/>
    <w:rsid w:val="00C83166"/>
    <w:rsid w:val="00C86592"/>
    <w:rsid w:val="00C8723B"/>
    <w:rsid w:val="00C925C4"/>
    <w:rsid w:val="00C93FCC"/>
    <w:rsid w:val="00C940D8"/>
    <w:rsid w:val="00C9582B"/>
    <w:rsid w:val="00C95BBC"/>
    <w:rsid w:val="00C96D81"/>
    <w:rsid w:val="00CA05A2"/>
    <w:rsid w:val="00CA2046"/>
    <w:rsid w:val="00CA71D8"/>
    <w:rsid w:val="00CB124E"/>
    <w:rsid w:val="00CB2351"/>
    <w:rsid w:val="00CB2CD4"/>
    <w:rsid w:val="00CB41EA"/>
    <w:rsid w:val="00CB501A"/>
    <w:rsid w:val="00CB603C"/>
    <w:rsid w:val="00CB611A"/>
    <w:rsid w:val="00CB7195"/>
    <w:rsid w:val="00CB7DCE"/>
    <w:rsid w:val="00CC10A6"/>
    <w:rsid w:val="00CC28E0"/>
    <w:rsid w:val="00CC7149"/>
    <w:rsid w:val="00CD15E0"/>
    <w:rsid w:val="00CD4D39"/>
    <w:rsid w:val="00CD4E86"/>
    <w:rsid w:val="00CD5442"/>
    <w:rsid w:val="00CD7E7F"/>
    <w:rsid w:val="00CE0671"/>
    <w:rsid w:val="00CE0B61"/>
    <w:rsid w:val="00CE267A"/>
    <w:rsid w:val="00CE2691"/>
    <w:rsid w:val="00CE3AA1"/>
    <w:rsid w:val="00CE41B9"/>
    <w:rsid w:val="00CE5FB2"/>
    <w:rsid w:val="00CE63AD"/>
    <w:rsid w:val="00CF38AA"/>
    <w:rsid w:val="00CF4B8C"/>
    <w:rsid w:val="00CF4C11"/>
    <w:rsid w:val="00CF4D8E"/>
    <w:rsid w:val="00CF4F40"/>
    <w:rsid w:val="00CF652D"/>
    <w:rsid w:val="00CF65B6"/>
    <w:rsid w:val="00CF7CD8"/>
    <w:rsid w:val="00D0031A"/>
    <w:rsid w:val="00D015D9"/>
    <w:rsid w:val="00D021DB"/>
    <w:rsid w:val="00D02518"/>
    <w:rsid w:val="00D02AD8"/>
    <w:rsid w:val="00D06282"/>
    <w:rsid w:val="00D06703"/>
    <w:rsid w:val="00D10A04"/>
    <w:rsid w:val="00D10E79"/>
    <w:rsid w:val="00D11527"/>
    <w:rsid w:val="00D12377"/>
    <w:rsid w:val="00D124DE"/>
    <w:rsid w:val="00D1291B"/>
    <w:rsid w:val="00D129A3"/>
    <w:rsid w:val="00D1435A"/>
    <w:rsid w:val="00D147DC"/>
    <w:rsid w:val="00D15D79"/>
    <w:rsid w:val="00D161AE"/>
    <w:rsid w:val="00D16E6E"/>
    <w:rsid w:val="00D16F36"/>
    <w:rsid w:val="00D175B4"/>
    <w:rsid w:val="00D22B04"/>
    <w:rsid w:val="00D230F0"/>
    <w:rsid w:val="00D23CFA"/>
    <w:rsid w:val="00D24F25"/>
    <w:rsid w:val="00D25081"/>
    <w:rsid w:val="00D271B8"/>
    <w:rsid w:val="00D27639"/>
    <w:rsid w:val="00D27923"/>
    <w:rsid w:val="00D30E1A"/>
    <w:rsid w:val="00D30F88"/>
    <w:rsid w:val="00D31377"/>
    <w:rsid w:val="00D32A09"/>
    <w:rsid w:val="00D33EF4"/>
    <w:rsid w:val="00D35A8A"/>
    <w:rsid w:val="00D361CA"/>
    <w:rsid w:val="00D372B2"/>
    <w:rsid w:val="00D41738"/>
    <w:rsid w:val="00D41C4D"/>
    <w:rsid w:val="00D433A7"/>
    <w:rsid w:val="00D43E9A"/>
    <w:rsid w:val="00D44A1A"/>
    <w:rsid w:val="00D44CFA"/>
    <w:rsid w:val="00D4507F"/>
    <w:rsid w:val="00D47E3A"/>
    <w:rsid w:val="00D50115"/>
    <w:rsid w:val="00D510EF"/>
    <w:rsid w:val="00D51E32"/>
    <w:rsid w:val="00D55C95"/>
    <w:rsid w:val="00D566DB"/>
    <w:rsid w:val="00D5685B"/>
    <w:rsid w:val="00D570B9"/>
    <w:rsid w:val="00D571E5"/>
    <w:rsid w:val="00D61CF3"/>
    <w:rsid w:val="00D62F36"/>
    <w:rsid w:val="00D6536D"/>
    <w:rsid w:val="00D711D6"/>
    <w:rsid w:val="00D71229"/>
    <w:rsid w:val="00D724E8"/>
    <w:rsid w:val="00D72D50"/>
    <w:rsid w:val="00D739CE"/>
    <w:rsid w:val="00D80D55"/>
    <w:rsid w:val="00D81170"/>
    <w:rsid w:val="00D821B5"/>
    <w:rsid w:val="00D829B4"/>
    <w:rsid w:val="00D86A4E"/>
    <w:rsid w:val="00D8705C"/>
    <w:rsid w:val="00D90F07"/>
    <w:rsid w:val="00D910CB"/>
    <w:rsid w:val="00D91F98"/>
    <w:rsid w:val="00D97020"/>
    <w:rsid w:val="00DA1AC6"/>
    <w:rsid w:val="00DA2653"/>
    <w:rsid w:val="00DA2BEA"/>
    <w:rsid w:val="00DA34BB"/>
    <w:rsid w:val="00DA3A86"/>
    <w:rsid w:val="00DA5F57"/>
    <w:rsid w:val="00DA6830"/>
    <w:rsid w:val="00DA6CC5"/>
    <w:rsid w:val="00DA7F58"/>
    <w:rsid w:val="00DB2DD1"/>
    <w:rsid w:val="00DB2E07"/>
    <w:rsid w:val="00DB33DC"/>
    <w:rsid w:val="00DB5DD8"/>
    <w:rsid w:val="00DB6A34"/>
    <w:rsid w:val="00DC1515"/>
    <w:rsid w:val="00DC4838"/>
    <w:rsid w:val="00DC4C39"/>
    <w:rsid w:val="00DC5DDD"/>
    <w:rsid w:val="00DC6198"/>
    <w:rsid w:val="00DC61DF"/>
    <w:rsid w:val="00DD1DAE"/>
    <w:rsid w:val="00DD28C2"/>
    <w:rsid w:val="00DD3116"/>
    <w:rsid w:val="00DD370A"/>
    <w:rsid w:val="00DD41D9"/>
    <w:rsid w:val="00DE21A2"/>
    <w:rsid w:val="00DE3D26"/>
    <w:rsid w:val="00DE5E03"/>
    <w:rsid w:val="00DE63EA"/>
    <w:rsid w:val="00DE6970"/>
    <w:rsid w:val="00DE7D29"/>
    <w:rsid w:val="00DF167F"/>
    <w:rsid w:val="00DF1C1C"/>
    <w:rsid w:val="00DF3EBC"/>
    <w:rsid w:val="00DF3F84"/>
    <w:rsid w:val="00DF496E"/>
    <w:rsid w:val="00DF658E"/>
    <w:rsid w:val="00E01111"/>
    <w:rsid w:val="00E0138A"/>
    <w:rsid w:val="00E019F3"/>
    <w:rsid w:val="00E02A5D"/>
    <w:rsid w:val="00E0578A"/>
    <w:rsid w:val="00E065E7"/>
    <w:rsid w:val="00E0676F"/>
    <w:rsid w:val="00E11720"/>
    <w:rsid w:val="00E11D61"/>
    <w:rsid w:val="00E121D0"/>
    <w:rsid w:val="00E15351"/>
    <w:rsid w:val="00E177DA"/>
    <w:rsid w:val="00E179D1"/>
    <w:rsid w:val="00E20CB6"/>
    <w:rsid w:val="00E233AD"/>
    <w:rsid w:val="00E23AAF"/>
    <w:rsid w:val="00E251F6"/>
    <w:rsid w:val="00E26FF8"/>
    <w:rsid w:val="00E27FAE"/>
    <w:rsid w:val="00E319DA"/>
    <w:rsid w:val="00E325BD"/>
    <w:rsid w:val="00E32DB0"/>
    <w:rsid w:val="00E373FD"/>
    <w:rsid w:val="00E37796"/>
    <w:rsid w:val="00E40C81"/>
    <w:rsid w:val="00E41A28"/>
    <w:rsid w:val="00E420CC"/>
    <w:rsid w:val="00E423AF"/>
    <w:rsid w:val="00E42D62"/>
    <w:rsid w:val="00E4365C"/>
    <w:rsid w:val="00E43CF1"/>
    <w:rsid w:val="00E45C2F"/>
    <w:rsid w:val="00E46F89"/>
    <w:rsid w:val="00E473EE"/>
    <w:rsid w:val="00E50338"/>
    <w:rsid w:val="00E5470B"/>
    <w:rsid w:val="00E54EB6"/>
    <w:rsid w:val="00E55E98"/>
    <w:rsid w:val="00E57263"/>
    <w:rsid w:val="00E57AF9"/>
    <w:rsid w:val="00E613E2"/>
    <w:rsid w:val="00E6359D"/>
    <w:rsid w:val="00E65177"/>
    <w:rsid w:val="00E663E9"/>
    <w:rsid w:val="00E70287"/>
    <w:rsid w:val="00E72417"/>
    <w:rsid w:val="00E7260C"/>
    <w:rsid w:val="00E7582D"/>
    <w:rsid w:val="00E75C3B"/>
    <w:rsid w:val="00E77574"/>
    <w:rsid w:val="00E77AEF"/>
    <w:rsid w:val="00E804DF"/>
    <w:rsid w:val="00E824B3"/>
    <w:rsid w:val="00E8382F"/>
    <w:rsid w:val="00E84BF7"/>
    <w:rsid w:val="00E8616E"/>
    <w:rsid w:val="00E86250"/>
    <w:rsid w:val="00E8625B"/>
    <w:rsid w:val="00E86F28"/>
    <w:rsid w:val="00E909F1"/>
    <w:rsid w:val="00E917E9"/>
    <w:rsid w:val="00E91A12"/>
    <w:rsid w:val="00E91C7F"/>
    <w:rsid w:val="00E92D62"/>
    <w:rsid w:val="00E938B5"/>
    <w:rsid w:val="00E9758C"/>
    <w:rsid w:val="00EA02F6"/>
    <w:rsid w:val="00EA0981"/>
    <w:rsid w:val="00EA213B"/>
    <w:rsid w:val="00EA30AE"/>
    <w:rsid w:val="00EA4329"/>
    <w:rsid w:val="00EA49E1"/>
    <w:rsid w:val="00EA4D57"/>
    <w:rsid w:val="00EA4F0C"/>
    <w:rsid w:val="00EA56C5"/>
    <w:rsid w:val="00EA6DDE"/>
    <w:rsid w:val="00EB02B0"/>
    <w:rsid w:val="00EB2295"/>
    <w:rsid w:val="00EB2790"/>
    <w:rsid w:val="00EB3D7C"/>
    <w:rsid w:val="00EB492D"/>
    <w:rsid w:val="00EB6E23"/>
    <w:rsid w:val="00EB70DF"/>
    <w:rsid w:val="00EC00BD"/>
    <w:rsid w:val="00EC1771"/>
    <w:rsid w:val="00EC265D"/>
    <w:rsid w:val="00EC2946"/>
    <w:rsid w:val="00EC528C"/>
    <w:rsid w:val="00EC5801"/>
    <w:rsid w:val="00EC7834"/>
    <w:rsid w:val="00ED059D"/>
    <w:rsid w:val="00ED0AD6"/>
    <w:rsid w:val="00ED0C62"/>
    <w:rsid w:val="00ED1EA7"/>
    <w:rsid w:val="00ED1FD7"/>
    <w:rsid w:val="00ED29E8"/>
    <w:rsid w:val="00ED2D6D"/>
    <w:rsid w:val="00ED3A6D"/>
    <w:rsid w:val="00ED3E58"/>
    <w:rsid w:val="00ED3FF3"/>
    <w:rsid w:val="00ED4D67"/>
    <w:rsid w:val="00ED5FB9"/>
    <w:rsid w:val="00ED66EC"/>
    <w:rsid w:val="00EE0723"/>
    <w:rsid w:val="00EE0F5A"/>
    <w:rsid w:val="00EE1D29"/>
    <w:rsid w:val="00EE7A60"/>
    <w:rsid w:val="00EF001E"/>
    <w:rsid w:val="00EF152B"/>
    <w:rsid w:val="00EF2E6D"/>
    <w:rsid w:val="00EF31A0"/>
    <w:rsid w:val="00EF71AB"/>
    <w:rsid w:val="00EF72B0"/>
    <w:rsid w:val="00EF7D50"/>
    <w:rsid w:val="00F0426B"/>
    <w:rsid w:val="00F06A3A"/>
    <w:rsid w:val="00F07557"/>
    <w:rsid w:val="00F07B13"/>
    <w:rsid w:val="00F10397"/>
    <w:rsid w:val="00F10810"/>
    <w:rsid w:val="00F11420"/>
    <w:rsid w:val="00F119FC"/>
    <w:rsid w:val="00F121B4"/>
    <w:rsid w:val="00F1238E"/>
    <w:rsid w:val="00F12614"/>
    <w:rsid w:val="00F12DCD"/>
    <w:rsid w:val="00F14DDA"/>
    <w:rsid w:val="00F151DA"/>
    <w:rsid w:val="00F17060"/>
    <w:rsid w:val="00F1708F"/>
    <w:rsid w:val="00F20C09"/>
    <w:rsid w:val="00F212A4"/>
    <w:rsid w:val="00F22007"/>
    <w:rsid w:val="00F22A0B"/>
    <w:rsid w:val="00F22E6F"/>
    <w:rsid w:val="00F23406"/>
    <w:rsid w:val="00F23851"/>
    <w:rsid w:val="00F24384"/>
    <w:rsid w:val="00F255F1"/>
    <w:rsid w:val="00F25D79"/>
    <w:rsid w:val="00F25E9A"/>
    <w:rsid w:val="00F2605A"/>
    <w:rsid w:val="00F264A3"/>
    <w:rsid w:val="00F27CDF"/>
    <w:rsid w:val="00F3163B"/>
    <w:rsid w:val="00F322FF"/>
    <w:rsid w:val="00F33973"/>
    <w:rsid w:val="00F340A8"/>
    <w:rsid w:val="00F36B61"/>
    <w:rsid w:val="00F36D8E"/>
    <w:rsid w:val="00F40190"/>
    <w:rsid w:val="00F41D94"/>
    <w:rsid w:val="00F43C9A"/>
    <w:rsid w:val="00F440D1"/>
    <w:rsid w:val="00F45E4F"/>
    <w:rsid w:val="00F46186"/>
    <w:rsid w:val="00F47153"/>
    <w:rsid w:val="00F473EB"/>
    <w:rsid w:val="00F474FD"/>
    <w:rsid w:val="00F4752C"/>
    <w:rsid w:val="00F52267"/>
    <w:rsid w:val="00F532D2"/>
    <w:rsid w:val="00F534F8"/>
    <w:rsid w:val="00F54719"/>
    <w:rsid w:val="00F5672E"/>
    <w:rsid w:val="00F5695C"/>
    <w:rsid w:val="00F57020"/>
    <w:rsid w:val="00F6186C"/>
    <w:rsid w:val="00F61E08"/>
    <w:rsid w:val="00F62153"/>
    <w:rsid w:val="00F635EA"/>
    <w:rsid w:val="00F63D34"/>
    <w:rsid w:val="00F65AAF"/>
    <w:rsid w:val="00F665AC"/>
    <w:rsid w:val="00F66710"/>
    <w:rsid w:val="00F7046E"/>
    <w:rsid w:val="00F706E5"/>
    <w:rsid w:val="00F70D5B"/>
    <w:rsid w:val="00F72B5D"/>
    <w:rsid w:val="00F80201"/>
    <w:rsid w:val="00F8021F"/>
    <w:rsid w:val="00F807E3"/>
    <w:rsid w:val="00F81061"/>
    <w:rsid w:val="00F817DD"/>
    <w:rsid w:val="00F81917"/>
    <w:rsid w:val="00F81F6B"/>
    <w:rsid w:val="00F824FB"/>
    <w:rsid w:val="00F84B9B"/>
    <w:rsid w:val="00F90220"/>
    <w:rsid w:val="00F909DE"/>
    <w:rsid w:val="00F90B52"/>
    <w:rsid w:val="00F91D4F"/>
    <w:rsid w:val="00F9213B"/>
    <w:rsid w:val="00F9225E"/>
    <w:rsid w:val="00F959E0"/>
    <w:rsid w:val="00FA054B"/>
    <w:rsid w:val="00FA05FF"/>
    <w:rsid w:val="00FA160D"/>
    <w:rsid w:val="00FA251E"/>
    <w:rsid w:val="00FA388F"/>
    <w:rsid w:val="00FA5103"/>
    <w:rsid w:val="00FA6876"/>
    <w:rsid w:val="00FB05CE"/>
    <w:rsid w:val="00FB4216"/>
    <w:rsid w:val="00FB5EB7"/>
    <w:rsid w:val="00FB6BCD"/>
    <w:rsid w:val="00FB791B"/>
    <w:rsid w:val="00FB7F6D"/>
    <w:rsid w:val="00FC0427"/>
    <w:rsid w:val="00FC0D9A"/>
    <w:rsid w:val="00FC521F"/>
    <w:rsid w:val="00FC6525"/>
    <w:rsid w:val="00FC71A2"/>
    <w:rsid w:val="00FC771D"/>
    <w:rsid w:val="00FC791E"/>
    <w:rsid w:val="00FD1DE4"/>
    <w:rsid w:val="00FD1EBA"/>
    <w:rsid w:val="00FD1FB9"/>
    <w:rsid w:val="00FD377E"/>
    <w:rsid w:val="00FD7A4E"/>
    <w:rsid w:val="00FE157B"/>
    <w:rsid w:val="00FE3016"/>
    <w:rsid w:val="00FE4DC6"/>
    <w:rsid w:val="00FE5924"/>
    <w:rsid w:val="00FE6BB0"/>
    <w:rsid w:val="00FF2384"/>
    <w:rsid w:val="00FF54C3"/>
    <w:rsid w:val="00FF7FB6"/>
    <w:rsid w:val="010A0C0B"/>
    <w:rsid w:val="01F94D5B"/>
    <w:rsid w:val="02A93B2F"/>
    <w:rsid w:val="03606D1B"/>
    <w:rsid w:val="051667D3"/>
    <w:rsid w:val="073A7F9E"/>
    <w:rsid w:val="094650F7"/>
    <w:rsid w:val="0A8A75D2"/>
    <w:rsid w:val="0B32238A"/>
    <w:rsid w:val="0CC46CE7"/>
    <w:rsid w:val="0CDD4AF0"/>
    <w:rsid w:val="0D1A3FA7"/>
    <w:rsid w:val="0D704C1A"/>
    <w:rsid w:val="0D795425"/>
    <w:rsid w:val="0E1148F7"/>
    <w:rsid w:val="0F0F45CB"/>
    <w:rsid w:val="0F687D8E"/>
    <w:rsid w:val="0F871B96"/>
    <w:rsid w:val="0FD5607A"/>
    <w:rsid w:val="10294751"/>
    <w:rsid w:val="102B2F8F"/>
    <w:rsid w:val="10FA7785"/>
    <w:rsid w:val="114F446B"/>
    <w:rsid w:val="119F1D64"/>
    <w:rsid w:val="125A761D"/>
    <w:rsid w:val="13865EF5"/>
    <w:rsid w:val="14873657"/>
    <w:rsid w:val="14CE61EA"/>
    <w:rsid w:val="15A8754A"/>
    <w:rsid w:val="164D0A91"/>
    <w:rsid w:val="16A05B5B"/>
    <w:rsid w:val="174C1201"/>
    <w:rsid w:val="17753F75"/>
    <w:rsid w:val="1877601C"/>
    <w:rsid w:val="198325F7"/>
    <w:rsid w:val="1B7410E0"/>
    <w:rsid w:val="1BAA3EF2"/>
    <w:rsid w:val="1BC41A71"/>
    <w:rsid w:val="1C327520"/>
    <w:rsid w:val="1CE73A96"/>
    <w:rsid w:val="1D024314"/>
    <w:rsid w:val="1D700BFD"/>
    <w:rsid w:val="1DC93518"/>
    <w:rsid w:val="1F750340"/>
    <w:rsid w:val="1FE978A9"/>
    <w:rsid w:val="20A6317F"/>
    <w:rsid w:val="20B17925"/>
    <w:rsid w:val="20B605E1"/>
    <w:rsid w:val="231B340F"/>
    <w:rsid w:val="2344771D"/>
    <w:rsid w:val="26334A07"/>
    <w:rsid w:val="26412AB5"/>
    <w:rsid w:val="26502759"/>
    <w:rsid w:val="275B4759"/>
    <w:rsid w:val="29E020C8"/>
    <w:rsid w:val="2A147EEF"/>
    <w:rsid w:val="2AFA75A4"/>
    <w:rsid w:val="2BAE2FD7"/>
    <w:rsid w:val="2BB55121"/>
    <w:rsid w:val="2C0A000A"/>
    <w:rsid w:val="2C63444D"/>
    <w:rsid w:val="2CFD570C"/>
    <w:rsid w:val="2D2831FC"/>
    <w:rsid w:val="2E4514E5"/>
    <w:rsid w:val="2F837D9F"/>
    <w:rsid w:val="2FCA19A6"/>
    <w:rsid w:val="2FD94AF7"/>
    <w:rsid w:val="301B7FD1"/>
    <w:rsid w:val="31257C0C"/>
    <w:rsid w:val="31315B8B"/>
    <w:rsid w:val="31D23E60"/>
    <w:rsid w:val="322A3E00"/>
    <w:rsid w:val="32307320"/>
    <w:rsid w:val="3272795E"/>
    <w:rsid w:val="32FC33CE"/>
    <w:rsid w:val="33980F15"/>
    <w:rsid w:val="33AD793C"/>
    <w:rsid w:val="33E163B6"/>
    <w:rsid w:val="33E35FDE"/>
    <w:rsid w:val="37BE51B2"/>
    <w:rsid w:val="39490089"/>
    <w:rsid w:val="39BE0C3D"/>
    <w:rsid w:val="39CD7E2A"/>
    <w:rsid w:val="3ACD5DE9"/>
    <w:rsid w:val="3AF54DC1"/>
    <w:rsid w:val="3C500540"/>
    <w:rsid w:val="3C77212D"/>
    <w:rsid w:val="3C7A39E4"/>
    <w:rsid w:val="3DC16250"/>
    <w:rsid w:val="3DE511B8"/>
    <w:rsid w:val="3E250E8A"/>
    <w:rsid w:val="3E653C3E"/>
    <w:rsid w:val="3EE24AF6"/>
    <w:rsid w:val="3EFF64B9"/>
    <w:rsid w:val="3F30526F"/>
    <w:rsid w:val="40736F4F"/>
    <w:rsid w:val="40E92E80"/>
    <w:rsid w:val="41156AC5"/>
    <w:rsid w:val="412A6D8E"/>
    <w:rsid w:val="41FB3C0B"/>
    <w:rsid w:val="420F327B"/>
    <w:rsid w:val="421D2372"/>
    <w:rsid w:val="459F0F4C"/>
    <w:rsid w:val="47AD3973"/>
    <w:rsid w:val="47DC5213"/>
    <w:rsid w:val="48627DFC"/>
    <w:rsid w:val="48AD539F"/>
    <w:rsid w:val="48BE44F8"/>
    <w:rsid w:val="4C0C2208"/>
    <w:rsid w:val="4C486F34"/>
    <w:rsid w:val="4C9177D7"/>
    <w:rsid w:val="4CEB3F96"/>
    <w:rsid w:val="4EE02D60"/>
    <w:rsid w:val="4F846D63"/>
    <w:rsid w:val="4FCD2C52"/>
    <w:rsid w:val="50211F59"/>
    <w:rsid w:val="505E69FE"/>
    <w:rsid w:val="52F003B5"/>
    <w:rsid w:val="55312C73"/>
    <w:rsid w:val="55A33923"/>
    <w:rsid w:val="55CD48B4"/>
    <w:rsid w:val="55FA322C"/>
    <w:rsid w:val="57EB7446"/>
    <w:rsid w:val="5910688E"/>
    <w:rsid w:val="599662BB"/>
    <w:rsid w:val="59F40CA9"/>
    <w:rsid w:val="5B1B158E"/>
    <w:rsid w:val="5B4B66A7"/>
    <w:rsid w:val="5B803FD4"/>
    <w:rsid w:val="5BF3635E"/>
    <w:rsid w:val="5C08597D"/>
    <w:rsid w:val="5E2365C2"/>
    <w:rsid w:val="5E795078"/>
    <w:rsid w:val="60BF2FB8"/>
    <w:rsid w:val="60E02C3F"/>
    <w:rsid w:val="619361C1"/>
    <w:rsid w:val="62FD5911"/>
    <w:rsid w:val="63767EC0"/>
    <w:rsid w:val="637F58D0"/>
    <w:rsid w:val="63940531"/>
    <w:rsid w:val="64B3144E"/>
    <w:rsid w:val="64C871AA"/>
    <w:rsid w:val="64D80C60"/>
    <w:rsid w:val="659D344B"/>
    <w:rsid w:val="665E409A"/>
    <w:rsid w:val="69852994"/>
    <w:rsid w:val="69F204B5"/>
    <w:rsid w:val="6A433ED8"/>
    <w:rsid w:val="6A606E71"/>
    <w:rsid w:val="6A976FC4"/>
    <w:rsid w:val="6AFB26B6"/>
    <w:rsid w:val="6AFB3C45"/>
    <w:rsid w:val="6D8959BD"/>
    <w:rsid w:val="6DF32881"/>
    <w:rsid w:val="6F9039FB"/>
    <w:rsid w:val="7042195D"/>
    <w:rsid w:val="70730D5A"/>
    <w:rsid w:val="715B76D8"/>
    <w:rsid w:val="71874691"/>
    <w:rsid w:val="726B5613"/>
    <w:rsid w:val="73FE54E4"/>
    <w:rsid w:val="74CB2BD7"/>
    <w:rsid w:val="75670147"/>
    <w:rsid w:val="759710CF"/>
    <w:rsid w:val="75BE2ED0"/>
    <w:rsid w:val="771263D8"/>
    <w:rsid w:val="77420E4E"/>
    <w:rsid w:val="780A6923"/>
    <w:rsid w:val="782B2D21"/>
    <w:rsid w:val="78DD3965"/>
    <w:rsid w:val="7AD33230"/>
    <w:rsid w:val="7AEF78BC"/>
    <w:rsid w:val="7BAD1CA8"/>
    <w:rsid w:val="7CB26621"/>
    <w:rsid w:val="7D3C3051"/>
    <w:rsid w:val="7D5B3E0A"/>
    <w:rsid w:val="7E0465F7"/>
    <w:rsid w:val="7EE8058E"/>
    <w:rsid w:val="7F7B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9" w:semiHidden="0" w:name="heading 3"/>
    <w:lsdException w:qFormat="1" w:unhideWhenUsed="0" w:uiPriority="99" w:semiHidden="0" w:name="heading 4"/>
    <w:lsdException w:qFormat="1" w:uiPriority="99" w:semiHidden="0" w:name="heading 5"/>
    <w:lsdException w:qFormat="1" w:uiPriority="99" w:semiHidden="0" w:name="heading 6"/>
    <w:lsdException w:qFormat="1" w:uiPriority="99" w:semiHidden="0" w:name="heading 7"/>
    <w:lsdException w:qFormat="1" w:uiPriority="99"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99"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qFormat="1" w:unhideWhenUsed="0" w:uiPriority="0" w:semiHidden="0"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qFormat="1" w:unhideWhenUsed="0" w:uiPriority="0" w:semiHidden="0" w:name="Table Web 2"/>
    <w:lsdException w:qFormat="1" w:unhideWhenUsed="0" w:uiPriority="0" w:semiHidden="0"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66"/>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65"/>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link w:val="67"/>
    <w:unhideWhenUsed/>
    <w:qFormat/>
    <w:uiPriority w:val="99"/>
    <w:pPr>
      <w:keepNext/>
      <w:keepLines/>
      <w:spacing w:before="260" w:after="260" w:line="416" w:lineRule="auto"/>
      <w:outlineLvl w:val="2"/>
    </w:pPr>
    <w:rPr>
      <w:b/>
      <w:bCs/>
      <w:sz w:val="32"/>
      <w:szCs w:val="32"/>
    </w:rPr>
  </w:style>
  <w:style w:type="paragraph" w:styleId="8">
    <w:name w:val="heading 4"/>
    <w:basedOn w:val="1"/>
    <w:next w:val="1"/>
    <w:link w:val="145"/>
    <w:qFormat/>
    <w:uiPriority w:val="99"/>
    <w:pPr>
      <w:keepNext/>
      <w:keepLines/>
      <w:spacing w:before="280" w:after="290" w:line="376" w:lineRule="auto"/>
      <w:outlineLvl w:val="3"/>
    </w:pPr>
    <w:rPr>
      <w:rFonts w:ascii="Cambria" w:hAnsi="Cambria"/>
      <w:b/>
      <w:bCs/>
      <w:sz w:val="28"/>
      <w:szCs w:val="28"/>
    </w:rPr>
  </w:style>
  <w:style w:type="paragraph" w:styleId="9">
    <w:name w:val="heading 5"/>
    <w:basedOn w:val="1"/>
    <w:next w:val="1"/>
    <w:link w:val="146"/>
    <w:unhideWhenUsed/>
    <w:qFormat/>
    <w:uiPriority w:val="99"/>
    <w:pPr>
      <w:keepNext/>
      <w:keepLines/>
      <w:spacing w:before="280" w:after="290" w:line="376" w:lineRule="auto"/>
      <w:ind w:left="1008" w:hanging="1008"/>
      <w:outlineLvl w:val="4"/>
    </w:pPr>
    <w:rPr>
      <w:b/>
      <w:bCs/>
      <w:sz w:val="28"/>
      <w:szCs w:val="28"/>
    </w:rPr>
  </w:style>
  <w:style w:type="paragraph" w:styleId="10">
    <w:name w:val="heading 6"/>
    <w:basedOn w:val="1"/>
    <w:next w:val="1"/>
    <w:link w:val="147"/>
    <w:unhideWhenUsed/>
    <w:qFormat/>
    <w:uiPriority w:val="99"/>
    <w:pPr>
      <w:keepNext/>
      <w:keepLines/>
      <w:spacing w:before="240" w:after="64" w:line="320" w:lineRule="auto"/>
      <w:ind w:left="1152" w:hanging="1152"/>
      <w:outlineLvl w:val="5"/>
    </w:pPr>
    <w:rPr>
      <w:rFonts w:ascii="Cambria" w:hAnsi="Cambria"/>
      <w:b/>
      <w:bCs/>
      <w:sz w:val="24"/>
      <w:szCs w:val="24"/>
    </w:rPr>
  </w:style>
  <w:style w:type="paragraph" w:styleId="11">
    <w:name w:val="heading 7"/>
    <w:basedOn w:val="1"/>
    <w:next w:val="1"/>
    <w:link w:val="148"/>
    <w:unhideWhenUsed/>
    <w:qFormat/>
    <w:uiPriority w:val="99"/>
    <w:pPr>
      <w:keepNext/>
      <w:keepLines/>
      <w:spacing w:before="240" w:after="64" w:line="320" w:lineRule="auto"/>
      <w:ind w:left="1296" w:hanging="1296"/>
      <w:outlineLvl w:val="6"/>
    </w:pPr>
    <w:rPr>
      <w:b/>
      <w:bCs/>
      <w:sz w:val="24"/>
      <w:szCs w:val="24"/>
    </w:rPr>
  </w:style>
  <w:style w:type="paragraph" w:styleId="12">
    <w:name w:val="heading 8"/>
    <w:basedOn w:val="1"/>
    <w:next w:val="1"/>
    <w:link w:val="149"/>
    <w:unhideWhenUsed/>
    <w:qFormat/>
    <w:uiPriority w:val="99"/>
    <w:pPr>
      <w:keepNext/>
      <w:keepLines/>
      <w:spacing w:before="240" w:after="64" w:line="320" w:lineRule="auto"/>
      <w:ind w:left="1440" w:hanging="1440"/>
      <w:outlineLvl w:val="7"/>
    </w:pPr>
    <w:rPr>
      <w:rFonts w:ascii="Cambria" w:hAnsi="Cambria"/>
      <w:sz w:val="24"/>
      <w:szCs w:val="24"/>
    </w:rPr>
  </w:style>
  <w:style w:type="paragraph" w:styleId="13">
    <w:name w:val="heading 9"/>
    <w:basedOn w:val="1"/>
    <w:next w:val="1"/>
    <w:link w:val="150"/>
    <w:unhideWhenUsed/>
    <w:qFormat/>
    <w:uiPriority w:val="0"/>
    <w:pPr>
      <w:keepNext/>
      <w:keepLines/>
      <w:spacing w:before="240" w:after="64" w:line="320" w:lineRule="auto"/>
      <w:ind w:left="1584" w:hanging="1584"/>
      <w:outlineLvl w:val="8"/>
    </w:pPr>
    <w:rPr>
      <w:rFonts w:ascii="Cambria" w:hAnsi="Cambria"/>
      <w:szCs w:val="21"/>
    </w:rPr>
  </w:style>
  <w:style w:type="character" w:default="1" w:styleId="52">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73"/>
    <w:qFormat/>
    <w:uiPriority w:val="0"/>
    <w:pPr>
      <w:ind w:firstLine="420"/>
    </w:pPr>
    <w:rPr>
      <w:rFonts w:ascii="Times New Roman" w:hAnsi="Times New Roman"/>
      <w:szCs w:val="20"/>
    </w:rPr>
  </w:style>
  <w:style w:type="paragraph" w:styleId="3">
    <w:name w:val="toc 4"/>
    <w:basedOn w:val="1"/>
    <w:next w:val="1"/>
    <w:unhideWhenUsed/>
    <w:qFormat/>
    <w:uiPriority w:val="39"/>
    <w:pPr>
      <w:ind w:left="1260" w:leftChars="600"/>
    </w:pPr>
  </w:style>
  <w:style w:type="paragraph" w:styleId="4">
    <w:name w:val="macro"/>
    <w:link w:val="15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toc 7"/>
    <w:basedOn w:val="1"/>
    <w:next w:val="1"/>
    <w:unhideWhenUsed/>
    <w:qFormat/>
    <w:uiPriority w:val="39"/>
    <w:pPr>
      <w:ind w:left="2520" w:leftChars="1200"/>
    </w:pPr>
  </w:style>
  <w:style w:type="paragraph" w:styleId="15">
    <w:name w:val="caption"/>
    <w:basedOn w:val="16"/>
    <w:next w:val="1"/>
    <w:link w:val="251"/>
    <w:unhideWhenUsed/>
    <w:qFormat/>
    <w:uiPriority w:val="0"/>
    <w:pPr>
      <w:tabs>
        <w:tab w:val="left" w:pos="420"/>
      </w:tabs>
      <w:spacing w:line="240" w:lineRule="auto"/>
    </w:pPr>
    <w:rPr>
      <w:rFonts w:ascii="Cambria" w:hAnsi="Cambria" w:eastAsia="黑体"/>
      <w:sz w:val="20"/>
    </w:rPr>
  </w:style>
  <w:style w:type="paragraph" w:customStyle="1" w:styleId="16">
    <w:name w:val="正文（不缩进）"/>
    <w:basedOn w:val="1"/>
    <w:qFormat/>
    <w:uiPriority w:val="0"/>
    <w:pPr>
      <w:tabs>
        <w:tab w:val="left" w:pos="420"/>
      </w:tabs>
      <w:spacing w:line="360" w:lineRule="auto"/>
    </w:pPr>
    <w:rPr>
      <w:szCs w:val="20"/>
    </w:rPr>
  </w:style>
  <w:style w:type="paragraph" w:styleId="17">
    <w:name w:val="Document Map"/>
    <w:basedOn w:val="1"/>
    <w:link w:val="153"/>
    <w:qFormat/>
    <w:uiPriority w:val="0"/>
    <w:pPr>
      <w:shd w:val="clear" w:color="auto" w:fill="000080"/>
    </w:pPr>
  </w:style>
  <w:style w:type="paragraph" w:styleId="18">
    <w:name w:val="annotation text"/>
    <w:basedOn w:val="1"/>
    <w:link w:val="80"/>
    <w:qFormat/>
    <w:uiPriority w:val="0"/>
    <w:pPr>
      <w:widowControl/>
      <w:jc w:val="left"/>
    </w:pPr>
    <w:rPr>
      <w:rFonts w:ascii="Times New Roman" w:hAnsi="Times New Roman"/>
      <w:szCs w:val="20"/>
    </w:rPr>
  </w:style>
  <w:style w:type="paragraph" w:styleId="19">
    <w:name w:val="Salutation"/>
    <w:basedOn w:val="1"/>
    <w:next w:val="1"/>
    <w:link w:val="85"/>
    <w:unhideWhenUsed/>
    <w:qFormat/>
    <w:uiPriority w:val="99"/>
    <w:rPr>
      <w:rFonts w:ascii="Times New Roman" w:hAnsi="Times New Roman"/>
      <w:sz w:val="20"/>
      <w:szCs w:val="20"/>
    </w:rPr>
  </w:style>
  <w:style w:type="paragraph" w:styleId="20">
    <w:name w:val="Body Text 3"/>
    <w:basedOn w:val="1"/>
    <w:link w:val="246"/>
    <w:qFormat/>
    <w:uiPriority w:val="0"/>
    <w:pPr>
      <w:jc w:val="center"/>
    </w:pPr>
    <w:rPr>
      <w:b/>
      <w:spacing w:val="-20"/>
      <w:w w:val="110"/>
      <w:kern w:val="0"/>
      <w:sz w:val="52"/>
      <w:szCs w:val="20"/>
    </w:rPr>
  </w:style>
  <w:style w:type="paragraph" w:styleId="21">
    <w:name w:val="Body Text"/>
    <w:basedOn w:val="1"/>
    <w:next w:val="1"/>
    <w:link w:val="79"/>
    <w:unhideWhenUsed/>
    <w:qFormat/>
    <w:uiPriority w:val="0"/>
    <w:pPr>
      <w:widowControl/>
      <w:suppressAutoHyphens/>
      <w:ind w:right="-142"/>
      <w:jc w:val="left"/>
    </w:pPr>
    <w:rPr>
      <w:rFonts w:ascii="Sans Serif PS" w:hAnsi="Sans Serif PS"/>
      <w:kern w:val="0"/>
      <w:sz w:val="16"/>
      <w:szCs w:val="20"/>
      <w:lang w:val="en-GB" w:eastAsia="de-DE"/>
    </w:rPr>
  </w:style>
  <w:style w:type="paragraph" w:styleId="22">
    <w:name w:val="Body Text Indent"/>
    <w:basedOn w:val="1"/>
    <w:link w:val="154"/>
    <w:qFormat/>
    <w:uiPriority w:val="0"/>
    <w:pPr>
      <w:spacing w:line="360" w:lineRule="auto"/>
      <w:ind w:firstLine="425"/>
    </w:pPr>
    <w:rPr>
      <w:sz w:val="24"/>
    </w:rPr>
  </w:style>
  <w:style w:type="paragraph" w:styleId="23">
    <w:name w:val="HTML Address"/>
    <w:basedOn w:val="1"/>
    <w:link w:val="211"/>
    <w:qFormat/>
    <w:uiPriority w:val="0"/>
    <w:pPr>
      <w:widowControl/>
      <w:jc w:val="left"/>
    </w:pPr>
    <w:rPr>
      <w:rFonts w:ascii="宋体" w:hAnsi="宋体" w:cs="宋体"/>
      <w:i/>
      <w:iCs/>
      <w:kern w:val="0"/>
      <w:sz w:val="24"/>
      <w:szCs w:val="24"/>
    </w:rPr>
  </w:style>
  <w:style w:type="paragraph" w:styleId="24">
    <w:name w:val="toc 5"/>
    <w:basedOn w:val="1"/>
    <w:next w:val="1"/>
    <w:unhideWhenUsed/>
    <w:qFormat/>
    <w:uiPriority w:val="39"/>
    <w:pPr>
      <w:ind w:left="1680" w:leftChars="800"/>
    </w:pPr>
  </w:style>
  <w:style w:type="paragraph" w:styleId="25">
    <w:name w:val="toc 3"/>
    <w:basedOn w:val="1"/>
    <w:next w:val="1"/>
    <w:unhideWhenUsed/>
    <w:qFormat/>
    <w:uiPriority w:val="0"/>
    <w:pPr>
      <w:ind w:left="840" w:leftChars="400"/>
    </w:pPr>
  </w:style>
  <w:style w:type="paragraph" w:styleId="26">
    <w:name w:val="Plain Text"/>
    <w:basedOn w:val="1"/>
    <w:link w:val="83"/>
    <w:qFormat/>
    <w:uiPriority w:val="0"/>
    <w:rPr>
      <w:rFonts w:ascii="宋体" w:hAnsi="Courier New" w:cs="Courier New"/>
      <w:szCs w:val="21"/>
    </w:rPr>
  </w:style>
  <w:style w:type="paragraph" w:styleId="27">
    <w:name w:val="toc 8"/>
    <w:basedOn w:val="1"/>
    <w:next w:val="1"/>
    <w:unhideWhenUsed/>
    <w:qFormat/>
    <w:uiPriority w:val="39"/>
    <w:pPr>
      <w:ind w:left="2940" w:leftChars="1400"/>
    </w:pPr>
  </w:style>
  <w:style w:type="paragraph" w:styleId="28">
    <w:name w:val="Date"/>
    <w:basedOn w:val="1"/>
    <w:next w:val="1"/>
    <w:link w:val="75"/>
    <w:qFormat/>
    <w:uiPriority w:val="0"/>
    <w:pPr>
      <w:ind w:left="100" w:leftChars="2500"/>
    </w:pPr>
    <w:rPr>
      <w:szCs w:val="24"/>
    </w:rPr>
  </w:style>
  <w:style w:type="paragraph" w:styleId="29">
    <w:name w:val="Body Text Indent 2"/>
    <w:basedOn w:val="1"/>
    <w:link w:val="215"/>
    <w:qFormat/>
    <w:uiPriority w:val="0"/>
    <w:pPr>
      <w:tabs>
        <w:tab w:val="left" w:pos="5625"/>
      </w:tabs>
      <w:ind w:left="1138" w:leftChars="542"/>
    </w:pPr>
    <w:rPr>
      <w:rFonts w:ascii="Times New Roman" w:hAnsi="Times New Roman"/>
      <w:sz w:val="24"/>
      <w:szCs w:val="20"/>
    </w:rPr>
  </w:style>
  <w:style w:type="paragraph" w:styleId="30">
    <w:name w:val="Balloon Text"/>
    <w:basedOn w:val="1"/>
    <w:link w:val="81"/>
    <w:unhideWhenUsed/>
    <w:qFormat/>
    <w:uiPriority w:val="0"/>
    <w:rPr>
      <w:sz w:val="18"/>
      <w:szCs w:val="18"/>
    </w:rPr>
  </w:style>
  <w:style w:type="paragraph" w:styleId="31">
    <w:name w:val="footer"/>
    <w:basedOn w:val="1"/>
    <w:link w:val="71"/>
    <w:unhideWhenUsed/>
    <w:qFormat/>
    <w:uiPriority w:val="99"/>
    <w:pPr>
      <w:tabs>
        <w:tab w:val="center" w:pos="4153"/>
        <w:tab w:val="right" w:pos="8306"/>
      </w:tabs>
      <w:snapToGrid w:val="0"/>
      <w:jc w:val="left"/>
    </w:pPr>
    <w:rPr>
      <w:sz w:val="18"/>
      <w:szCs w:val="18"/>
    </w:rPr>
  </w:style>
  <w:style w:type="paragraph" w:styleId="32">
    <w:name w:val="header"/>
    <w:basedOn w:val="1"/>
    <w:link w:val="72"/>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pPr>
      <w:tabs>
        <w:tab w:val="right" w:leader="dot" w:pos="8296"/>
      </w:tabs>
      <w:spacing w:before="156" w:beforeLines="50" w:after="156" w:afterLines="50"/>
      <w:ind w:firstLine="241" w:firstLineChars="100"/>
    </w:pPr>
    <w:rPr>
      <w:rFonts w:ascii="Times New Roman" w:hAnsi="Times New Roman"/>
      <w:szCs w:val="24"/>
    </w:rPr>
  </w:style>
  <w:style w:type="paragraph" w:styleId="34">
    <w:name w:val="Subtitle"/>
    <w:basedOn w:val="1"/>
    <w:next w:val="1"/>
    <w:link w:val="241"/>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qFormat/>
    <w:uiPriority w:val="0"/>
    <w:pPr>
      <w:tabs>
        <w:tab w:val="left" w:pos="840"/>
        <w:tab w:val="left" w:pos="1040"/>
      </w:tabs>
      <w:spacing w:line="360" w:lineRule="auto"/>
      <w:ind w:left="1040" w:hanging="420"/>
      <w:jc w:val="left"/>
    </w:pPr>
    <w:rPr>
      <w:rFonts w:ascii="Times New Roman" w:hAnsi="Times New Roman"/>
      <w:szCs w:val="24"/>
    </w:rPr>
  </w:style>
  <w:style w:type="paragraph" w:styleId="36">
    <w:name w:val="toc 6"/>
    <w:basedOn w:val="1"/>
    <w:next w:val="1"/>
    <w:unhideWhenUsed/>
    <w:qFormat/>
    <w:uiPriority w:val="39"/>
    <w:pPr>
      <w:ind w:left="2100" w:leftChars="1000"/>
    </w:pPr>
  </w:style>
  <w:style w:type="paragraph" w:styleId="37">
    <w:name w:val="Body Text Indent 3"/>
    <w:basedOn w:val="1"/>
    <w:link w:val="213"/>
    <w:qFormat/>
    <w:uiPriority w:val="0"/>
    <w:pPr>
      <w:spacing w:line="410" w:lineRule="exact"/>
      <w:ind w:left="619" w:leftChars="295" w:firstLine="390" w:firstLineChars="179"/>
    </w:pPr>
    <w:rPr>
      <w:rFonts w:ascii="宋体" w:hAnsi="宋体"/>
      <w:spacing w:val="4"/>
      <w:szCs w:val="20"/>
    </w:rPr>
  </w:style>
  <w:style w:type="paragraph" w:styleId="38">
    <w:name w:val="toc 2"/>
    <w:basedOn w:val="1"/>
    <w:next w:val="1"/>
    <w:unhideWhenUsed/>
    <w:qFormat/>
    <w:uiPriority w:val="39"/>
    <w:pPr>
      <w:ind w:left="420" w:leftChars="200"/>
    </w:pPr>
    <w:rPr>
      <w:rFonts w:ascii="Times New Roman" w:hAnsi="Times New Roman"/>
    </w:rPr>
  </w:style>
  <w:style w:type="paragraph" w:styleId="39">
    <w:name w:val="toc 9"/>
    <w:basedOn w:val="1"/>
    <w:next w:val="1"/>
    <w:unhideWhenUsed/>
    <w:qFormat/>
    <w:uiPriority w:val="39"/>
    <w:pPr>
      <w:ind w:left="3360" w:leftChars="1600"/>
    </w:pPr>
  </w:style>
  <w:style w:type="paragraph" w:styleId="40">
    <w:name w:val="Body Text 2"/>
    <w:basedOn w:val="1"/>
    <w:link w:val="247"/>
    <w:qFormat/>
    <w:uiPriority w:val="0"/>
    <w:rPr>
      <w:rFonts w:ascii="楷体_GB2312" w:hAnsi="Copperplate Gothic Bold" w:eastAsia="楷体_GB2312"/>
      <w:kern w:val="0"/>
      <w:sz w:val="28"/>
      <w:szCs w:val="20"/>
    </w:rPr>
  </w:style>
  <w:style w:type="paragraph" w:styleId="41">
    <w:name w:val="HTML Preformatted"/>
    <w:basedOn w:val="1"/>
    <w:link w:val="2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szCs w:val="20"/>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3">
    <w:name w:val="Title"/>
    <w:basedOn w:val="1"/>
    <w:next w:val="1"/>
    <w:link w:val="68"/>
    <w:qFormat/>
    <w:uiPriority w:val="0"/>
    <w:pPr>
      <w:spacing w:before="240" w:after="60"/>
      <w:jc w:val="center"/>
      <w:outlineLvl w:val="0"/>
    </w:pPr>
    <w:rPr>
      <w:rFonts w:ascii="Arial" w:hAnsi="Arial"/>
      <w:b/>
      <w:bCs/>
      <w:sz w:val="32"/>
      <w:szCs w:val="32"/>
    </w:rPr>
  </w:style>
  <w:style w:type="paragraph" w:styleId="44">
    <w:name w:val="annotation subject"/>
    <w:basedOn w:val="18"/>
    <w:next w:val="18"/>
    <w:link w:val="151"/>
    <w:qFormat/>
    <w:uiPriority w:val="0"/>
    <w:pPr>
      <w:widowControl w:val="0"/>
    </w:pPr>
    <w:rPr>
      <w:rFonts w:ascii="Calibri" w:hAnsi="Calibri"/>
      <w:b/>
      <w:bCs/>
      <w:sz w:val="28"/>
      <w:szCs w:val="24"/>
    </w:rPr>
  </w:style>
  <w:style w:type="paragraph" w:styleId="45">
    <w:name w:val="Body Text First Indent"/>
    <w:basedOn w:val="21"/>
    <w:link w:val="105"/>
    <w:unhideWhenUsed/>
    <w:qFormat/>
    <w:uiPriority w:val="99"/>
    <w:pPr>
      <w:widowControl w:val="0"/>
      <w:suppressAutoHyphens w:val="0"/>
      <w:spacing w:after="120"/>
      <w:ind w:right="0" w:firstLine="420" w:firstLineChars="100"/>
      <w:jc w:val="both"/>
    </w:pPr>
    <w:rPr>
      <w:rFonts w:ascii="Times New Roman" w:hAnsi="Times New Roman"/>
      <w:kern w:val="2"/>
      <w:sz w:val="21"/>
      <w:szCs w:val="21"/>
      <w:lang w:val="en-US" w:eastAsia="zh-CN"/>
    </w:rPr>
  </w:style>
  <w:style w:type="paragraph" w:styleId="46">
    <w:name w:val="Body Text First Indent 2"/>
    <w:basedOn w:val="22"/>
    <w:next w:val="1"/>
    <w:qFormat/>
    <w:uiPriority w:val="0"/>
    <w:pPr>
      <w:adjustRightInd w:val="0"/>
      <w:snapToGrid w:val="0"/>
      <w:ind w:firstLine="200" w:firstLineChars="200"/>
    </w:pPr>
  </w:style>
  <w:style w:type="table" w:styleId="48">
    <w:name w:val="Table Grid"/>
    <w:basedOn w:val="4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Table Web 2"/>
    <w:basedOn w:val="47"/>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50">
    <w:name w:val="Table Web 3"/>
    <w:basedOn w:val="47"/>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51">
    <w:name w:val="Table Professional"/>
    <w:basedOn w:val="4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53">
    <w:name w:val="Strong"/>
    <w:basedOn w:val="52"/>
    <w:qFormat/>
    <w:uiPriority w:val="22"/>
    <w:rPr>
      <w:b/>
    </w:rPr>
  </w:style>
  <w:style w:type="character" w:styleId="54">
    <w:name w:val="page number"/>
    <w:qFormat/>
    <w:uiPriority w:val="0"/>
  </w:style>
  <w:style w:type="character" w:styleId="55">
    <w:name w:val="FollowedHyperlink"/>
    <w:unhideWhenUsed/>
    <w:qFormat/>
    <w:uiPriority w:val="0"/>
    <w:rPr>
      <w:color w:val="800080"/>
      <w:u w:val="single"/>
    </w:rPr>
  </w:style>
  <w:style w:type="character" w:styleId="56">
    <w:name w:val="Emphasis"/>
    <w:basedOn w:val="52"/>
    <w:qFormat/>
    <w:uiPriority w:val="0"/>
  </w:style>
  <w:style w:type="character" w:styleId="57">
    <w:name w:val="HTML Definition"/>
    <w:unhideWhenUsed/>
    <w:qFormat/>
    <w:uiPriority w:val="99"/>
    <w:rPr>
      <w:i/>
    </w:rPr>
  </w:style>
  <w:style w:type="character" w:styleId="58">
    <w:name w:val="HTML Typewriter"/>
    <w:qFormat/>
    <w:uiPriority w:val="0"/>
    <w:rPr>
      <w:rFonts w:ascii="黑体" w:hAnsi="Courier New" w:eastAsia="黑体" w:cs="Courier New"/>
      <w:sz w:val="20"/>
      <w:szCs w:val="20"/>
    </w:rPr>
  </w:style>
  <w:style w:type="character" w:styleId="59">
    <w:name w:val="Hyperlink"/>
    <w:unhideWhenUsed/>
    <w:qFormat/>
    <w:uiPriority w:val="99"/>
    <w:rPr>
      <w:rFonts w:hint="default" w:ascii="Times New Roman" w:hAnsi="Times New Roman" w:eastAsia="宋体" w:cs="Times New Roman"/>
      <w:color w:val="0000FF"/>
      <w:u w:val="single"/>
    </w:rPr>
  </w:style>
  <w:style w:type="character" w:styleId="60">
    <w:name w:val="HTML Code"/>
    <w:unhideWhenUsed/>
    <w:qFormat/>
    <w:uiPriority w:val="99"/>
    <w:rPr>
      <w:rFonts w:hint="default" w:ascii="Consolas" w:hAnsi="Consolas" w:eastAsia="Consolas" w:cs="Consolas"/>
      <w:color w:val="C7254E"/>
      <w:sz w:val="21"/>
      <w:szCs w:val="21"/>
      <w:shd w:val="clear" w:color="auto" w:fill="F9F2F4"/>
    </w:rPr>
  </w:style>
  <w:style w:type="character" w:styleId="61">
    <w:name w:val="annotation reference"/>
    <w:qFormat/>
    <w:uiPriority w:val="0"/>
    <w:rPr>
      <w:sz w:val="21"/>
      <w:szCs w:val="21"/>
    </w:rPr>
  </w:style>
  <w:style w:type="character" w:styleId="62">
    <w:name w:val="HTML Keyboard"/>
    <w:unhideWhenUsed/>
    <w:qFormat/>
    <w:uiPriority w:val="99"/>
    <w:rPr>
      <w:rFonts w:ascii="Consolas" w:hAnsi="Consolas" w:eastAsia="Consolas" w:cs="Consolas"/>
      <w:color w:val="FFFFFF"/>
      <w:sz w:val="21"/>
      <w:szCs w:val="21"/>
      <w:shd w:val="clear" w:color="auto" w:fill="333333"/>
    </w:rPr>
  </w:style>
  <w:style w:type="character" w:styleId="63">
    <w:name w:val="HTML Sample"/>
    <w:unhideWhenUsed/>
    <w:qFormat/>
    <w:uiPriority w:val="99"/>
    <w:rPr>
      <w:rFonts w:hint="default" w:ascii="Consolas" w:hAnsi="Consolas" w:eastAsia="Consolas" w:cs="Consolas"/>
      <w:sz w:val="21"/>
      <w:szCs w:val="21"/>
    </w:rPr>
  </w:style>
  <w:style w:type="paragraph" w:customStyle="1" w:styleId="64">
    <w:name w:val="BodyText"/>
    <w:basedOn w:val="1"/>
    <w:next w:val="1"/>
    <w:qFormat/>
    <w:uiPriority w:val="0"/>
    <w:pPr>
      <w:spacing w:after="120"/>
      <w:textAlignment w:val="baseline"/>
    </w:pPr>
    <w:rPr>
      <w:rFonts w:ascii="宋体" w:hAnsi="宋体" w:eastAsia="仿宋"/>
      <w:kern w:val="0"/>
      <w:sz w:val="24"/>
      <w:szCs w:val="21"/>
    </w:rPr>
  </w:style>
  <w:style w:type="character" w:customStyle="1" w:styleId="65">
    <w:name w:val="标题 2 字符"/>
    <w:link w:val="6"/>
    <w:qFormat/>
    <w:uiPriority w:val="0"/>
    <w:rPr>
      <w:rFonts w:ascii="Cambria" w:hAnsi="Cambria" w:eastAsia="宋体" w:cs="Times New Roman"/>
      <w:b/>
      <w:bCs/>
      <w:sz w:val="32"/>
      <w:szCs w:val="32"/>
    </w:rPr>
  </w:style>
  <w:style w:type="character" w:customStyle="1" w:styleId="66">
    <w:name w:val="标题 1 字符"/>
    <w:link w:val="5"/>
    <w:qFormat/>
    <w:uiPriority w:val="99"/>
    <w:rPr>
      <w:b/>
      <w:bCs/>
      <w:kern w:val="44"/>
      <w:sz w:val="44"/>
      <w:szCs w:val="44"/>
    </w:rPr>
  </w:style>
  <w:style w:type="character" w:customStyle="1" w:styleId="67">
    <w:name w:val="标题 3 字符1"/>
    <w:basedOn w:val="52"/>
    <w:link w:val="7"/>
    <w:qFormat/>
    <w:uiPriority w:val="99"/>
    <w:rPr>
      <w:b/>
      <w:bCs/>
      <w:kern w:val="2"/>
      <w:sz w:val="32"/>
      <w:szCs w:val="32"/>
    </w:rPr>
  </w:style>
  <w:style w:type="character" w:customStyle="1" w:styleId="68">
    <w:name w:val="标题 字符2"/>
    <w:link w:val="43"/>
    <w:qFormat/>
    <w:uiPriority w:val="0"/>
    <w:rPr>
      <w:rFonts w:ascii="Arial" w:hAnsi="Arial"/>
      <w:b/>
      <w:bCs/>
      <w:kern w:val="2"/>
      <w:sz w:val="32"/>
      <w:szCs w:val="32"/>
    </w:rPr>
  </w:style>
  <w:style w:type="character" w:customStyle="1" w:styleId="69">
    <w:name w:val="批注框文本 Char1"/>
    <w:semiHidden/>
    <w:qFormat/>
    <w:uiPriority w:val="99"/>
    <w:rPr>
      <w:kern w:val="2"/>
      <w:sz w:val="18"/>
      <w:szCs w:val="18"/>
    </w:rPr>
  </w:style>
  <w:style w:type="character" w:customStyle="1" w:styleId="70">
    <w:name w:val="页眉 Char1"/>
    <w:qFormat/>
    <w:uiPriority w:val="99"/>
    <w:rPr>
      <w:kern w:val="2"/>
      <w:sz w:val="18"/>
      <w:szCs w:val="18"/>
    </w:rPr>
  </w:style>
  <w:style w:type="character" w:customStyle="1" w:styleId="71">
    <w:name w:val="页脚 字符2"/>
    <w:link w:val="31"/>
    <w:qFormat/>
    <w:uiPriority w:val="99"/>
    <w:rPr>
      <w:sz w:val="18"/>
      <w:szCs w:val="18"/>
    </w:rPr>
  </w:style>
  <w:style w:type="character" w:customStyle="1" w:styleId="72">
    <w:name w:val="页眉 字符"/>
    <w:link w:val="32"/>
    <w:qFormat/>
    <w:uiPriority w:val="99"/>
    <w:rPr>
      <w:sz w:val="18"/>
      <w:szCs w:val="18"/>
    </w:rPr>
  </w:style>
  <w:style w:type="character" w:customStyle="1" w:styleId="73">
    <w:name w:val="正文缩进 字符"/>
    <w:link w:val="2"/>
    <w:qFormat/>
    <w:locked/>
    <w:uiPriority w:val="0"/>
    <w:rPr>
      <w:rFonts w:ascii="Times New Roman" w:hAnsi="Times New Roman" w:eastAsia="宋体" w:cs="Times New Roman"/>
      <w:szCs w:val="20"/>
    </w:rPr>
  </w:style>
  <w:style w:type="character" w:customStyle="1" w:styleId="74">
    <w:name w:val="纯文本 Char1"/>
    <w:qFormat/>
    <w:uiPriority w:val="99"/>
    <w:rPr>
      <w:rFonts w:ascii="宋体" w:hAnsi="Courier New" w:eastAsia="宋体" w:cs="Courier New"/>
      <w:szCs w:val="21"/>
    </w:rPr>
  </w:style>
  <w:style w:type="character" w:customStyle="1" w:styleId="75">
    <w:name w:val="日期 字符"/>
    <w:link w:val="28"/>
    <w:qFormat/>
    <w:uiPriority w:val="0"/>
    <w:rPr>
      <w:szCs w:val="24"/>
    </w:rPr>
  </w:style>
  <w:style w:type="character" w:customStyle="1" w:styleId="76">
    <w:name w:val="apple-converted-space"/>
    <w:qFormat/>
    <w:uiPriority w:val="0"/>
  </w:style>
  <w:style w:type="character" w:customStyle="1" w:styleId="77">
    <w:name w:val="!正文 Char"/>
    <w:link w:val="78"/>
    <w:qFormat/>
    <w:uiPriority w:val="0"/>
    <w:rPr>
      <w:rFonts w:ascii="仿宋" w:hAnsi="仿宋" w:eastAsia="仿宋" w:cs="经典特黑简"/>
      <w:sz w:val="28"/>
      <w:szCs w:val="28"/>
    </w:rPr>
  </w:style>
  <w:style w:type="paragraph" w:customStyle="1" w:styleId="78">
    <w:name w:val="!正文"/>
    <w:basedOn w:val="1"/>
    <w:link w:val="77"/>
    <w:qFormat/>
    <w:uiPriority w:val="0"/>
    <w:pPr>
      <w:spacing w:beforeLines="50" w:line="440" w:lineRule="exact"/>
      <w:ind w:firstLine="560" w:firstLineChars="200"/>
    </w:pPr>
    <w:rPr>
      <w:rFonts w:ascii="仿宋" w:hAnsi="仿宋" w:eastAsia="仿宋" w:cs="经典特黑简"/>
      <w:sz w:val="28"/>
      <w:szCs w:val="28"/>
    </w:rPr>
  </w:style>
  <w:style w:type="character" w:customStyle="1" w:styleId="79">
    <w:name w:val="正文文本 字符1"/>
    <w:link w:val="21"/>
    <w:qFormat/>
    <w:uiPriority w:val="0"/>
    <w:rPr>
      <w:rFonts w:ascii="Sans Serif PS" w:hAnsi="Sans Serif PS" w:eastAsia="宋体" w:cs="Times New Roman"/>
      <w:kern w:val="0"/>
      <w:sz w:val="16"/>
      <w:szCs w:val="20"/>
      <w:lang w:val="en-GB" w:eastAsia="de-DE"/>
    </w:rPr>
  </w:style>
  <w:style w:type="character" w:customStyle="1" w:styleId="80">
    <w:name w:val="批注文字 字符1"/>
    <w:link w:val="18"/>
    <w:qFormat/>
    <w:uiPriority w:val="0"/>
    <w:rPr>
      <w:rFonts w:ascii="Times New Roman" w:hAnsi="Times New Roman"/>
      <w:kern w:val="2"/>
      <w:sz w:val="21"/>
    </w:rPr>
  </w:style>
  <w:style w:type="character" w:customStyle="1" w:styleId="81">
    <w:name w:val="批注框文本 字符"/>
    <w:link w:val="30"/>
    <w:qFormat/>
    <w:uiPriority w:val="99"/>
    <w:rPr>
      <w:sz w:val="18"/>
      <w:szCs w:val="18"/>
    </w:rPr>
  </w:style>
  <w:style w:type="character" w:customStyle="1" w:styleId="82">
    <w:name w:val="页脚 Char1"/>
    <w:qFormat/>
    <w:uiPriority w:val="0"/>
    <w:rPr>
      <w:kern w:val="2"/>
      <w:sz w:val="18"/>
      <w:szCs w:val="18"/>
    </w:rPr>
  </w:style>
  <w:style w:type="character" w:customStyle="1" w:styleId="83">
    <w:name w:val="纯文本 字符"/>
    <w:link w:val="26"/>
    <w:qFormat/>
    <w:uiPriority w:val="0"/>
    <w:rPr>
      <w:rFonts w:ascii="宋体" w:hAnsi="Courier New" w:cs="Courier New"/>
      <w:szCs w:val="21"/>
    </w:rPr>
  </w:style>
  <w:style w:type="character" w:customStyle="1" w:styleId="84">
    <w:name w:val="日期 Char1"/>
    <w:basedOn w:val="52"/>
    <w:semiHidden/>
    <w:qFormat/>
    <w:uiPriority w:val="99"/>
  </w:style>
  <w:style w:type="character" w:customStyle="1" w:styleId="85">
    <w:name w:val="称呼 字符"/>
    <w:basedOn w:val="52"/>
    <w:link w:val="19"/>
    <w:qFormat/>
    <w:uiPriority w:val="99"/>
    <w:rPr>
      <w:rFonts w:ascii="Times New Roman" w:hAnsi="Times New Roman"/>
      <w:kern w:val="2"/>
    </w:rPr>
  </w:style>
  <w:style w:type="paragraph" w:customStyle="1" w:styleId="86">
    <w:name w:val="TOC 标题1"/>
    <w:basedOn w:val="5"/>
    <w:next w:val="1"/>
    <w:unhideWhenUsed/>
    <w:qFormat/>
    <w:uiPriority w:val="39"/>
    <w:pPr>
      <w:widowControl/>
      <w:spacing w:before="480" w:after="0" w:line="276" w:lineRule="auto"/>
      <w:jc w:val="left"/>
      <w:outlineLvl w:val="9"/>
    </w:pPr>
    <w:rPr>
      <w:rFonts w:ascii="Cambria" w:hAnsi="Cambria"/>
      <w:b w:val="0"/>
      <w:bCs w:val="0"/>
      <w:color w:val="365F91"/>
      <w:kern w:val="0"/>
      <w:sz w:val="28"/>
      <w:szCs w:val="28"/>
    </w:rPr>
  </w:style>
  <w:style w:type="paragraph" w:customStyle="1" w:styleId="87">
    <w:name w:val="列出段落2"/>
    <w:basedOn w:val="1"/>
    <w:qFormat/>
    <w:uiPriority w:val="34"/>
    <w:pPr>
      <w:spacing w:line="360" w:lineRule="auto"/>
      <w:ind w:firstLine="420" w:firstLineChars="200"/>
    </w:pPr>
    <w:rPr>
      <w:rFonts w:ascii="Times New Roman" w:hAnsi="Times New Roman"/>
      <w:szCs w:val="24"/>
    </w:rPr>
  </w:style>
  <w:style w:type="paragraph" w:customStyle="1" w:styleId="88">
    <w:name w:val="xl48"/>
    <w:basedOn w:val="1"/>
    <w:qFormat/>
    <w:uiPriority w:val="0"/>
    <w:pPr>
      <w:widowControl/>
      <w:pBdr>
        <w:bottom w:val="single" w:color="auto" w:sz="4" w:space="0"/>
      </w:pBdr>
      <w:spacing w:before="100" w:beforeAutospacing="1" w:after="100" w:afterAutospacing="1"/>
      <w:jc w:val="center"/>
    </w:pPr>
    <w:rPr>
      <w:rFonts w:ascii="Times New Roman" w:hAnsi="Times New Roman" w:eastAsia="Arial Unicode MS"/>
      <w:sz w:val="24"/>
      <w:szCs w:val="24"/>
    </w:rPr>
  </w:style>
  <w:style w:type="paragraph" w:customStyle="1" w:styleId="89">
    <w:name w:val="仿宋缩进2字符"/>
    <w:basedOn w:val="1"/>
    <w:qFormat/>
    <w:uiPriority w:val="0"/>
    <w:pPr>
      <w:spacing w:line="360" w:lineRule="auto"/>
      <w:ind w:firstLine="200" w:firstLineChars="200"/>
    </w:pPr>
    <w:rPr>
      <w:rFonts w:ascii="仿宋" w:hAnsi="仿宋" w:eastAsia="仿宋"/>
      <w:kern w:val="0"/>
      <w:sz w:val="24"/>
      <w:szCs w:val="28"/>
    </w:rPr>
  </w:style>
  <w:style w:type="paragraph" w:customStyle="1" w:styleId="90">
    <w:name w:val="列出段落1"/>
    <w:basedOn w:val="1"/>
    <w:qFormat/>
    <w:uiPriority w:val="34"/>
    <w:pPr>
      <w:ind w:firstLine="420" w:firstLineChars="200"/>
    </w:pPr>
    <w:rPr>
      <w:rFonts w:ascii="Times New Roman" w:hAnsi="Times New Roman"/>
    </w:rPr>
  </w:style>
  <w:style w:type="paragraph" w:customStyle="1" w:styleId="91">
    <w:name w:val="_Style 5"/>
    <w:basedOn w:val="1"/>
    <w:qFormat/>
    <w:uiPriority w:val="34"/>
    <w:pPr>
      <w:ind w:firstLine="420" w:firstLineChars="200"/>
    </w:pPr>
  </w:style>
  <w:style w:type="paragraph" w:customStyle="1" w:styleId="92">
    <w:name w:val="样式2"/>
    <w:basedOn w:val="1"/>
    <w:qFormat/>
    <w:uiPriority w:val="0"/>
    <w:pPr>
      <w:widowControl/>
      <w:spacing w:line="360" w:lineRule="auto"/>
      <w:jc w:val="left"/>
    </w:pPr>
    <w:rPr>
      <w:rFonts w:ascii="宋体" w:hAnsi="宋体"/>
      <w:kern w:val="0"/>
      <w:sz w:val="24"/>
      <w:szCs w:val="20"/>
    </w:rPr>
  </w:style>
  <w:style w:type="paragraph" w:customStyle="1" w:styleId="93">
    <w:name w:val="Default"/>
    <w:qFormat/>
    <w:uiPriority w:val="0"/>
    <w:pPr>
      <w:widowControl w:val="0"/>
      <w:autoSpaceDE w:val="0"/>
      <w:autoSpaceDN w:val="0"/>
      <w:adjustRightInd w:val="0"/>
    </w:pPr>
    <w:rPr>
      <w:rFonts w:ascii="Verdana" w:hAnsi="Verdana" w:eastAsia="宋体" w:cs="Verdana"/>
      <w:color w:val="000000"/>
      <w:sz w:val="24"/>
      <w:szCs w:val="24"/>
      <w:lang w:val="en-US" w:eastAsia="zh-CN" w:bidi="ar-SA"/>
    </w:rPr>
  </w:style>
  <w:style w:type="paragraph" w:customStyle="1" w:styleId="94">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5">
    <w:name w:val="Char"/>
    <w:basedOn w:val="1"/>
    <w:qFormat/>
    <w:uiPriority w:val="0"/>
    <w:rPr>
      <w:rFonts w:ascii="Times New Roman" w:hAnsi="Times New Roman"/>
      <w:szCs w:val="24"/>
    </w:rPr>
  </w:style>
  <w:style w:type="paragraph" w:customStyle="1" w:styleId="96">
    <w:name w:val="Char1"/>
    <w:basedOn w:val="1"/>
    <w:qFormat/>
    <w:uiPriority w:val="0"/>
    <w:rPr>
      <w:rFonts w:ascii="仿宋_GB2312" w:hAnsi="Times New Roman" w:eastAsia="仿宋_GB2312"/>
      <w:b/>
      <w:sz w:val="32"/>
      <w:szCs w:val="32"/>
    </w:rPr>
  </w:style>
  <w:style w:type="paragraph" w:customStyle="1" w:styleId="97">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纯文本1"/>
    <w:basedOn w:val="1"/>
    <w:qFormat/>
    <w:uiPriority w:val="0"/>
    <w:rPr>
      <w:rFonts w:ascii="宋体" w:hAnsi="Courier New" w:cs="Courier New"/>
      <w:szCs w:val="21"/>
    </w:rPr>
  </w:style>
  <w:style w:type="paragraph" w:customStyle="1" w:styleId="99">
    <w:name w:val="列出段落3"/>
    <w:basedOn w:val="1"/>
    <w:qFormat/>
    <w:uiPriority w:val="34"/>
    <w:pPr>
      <w:widowControl/>
      <w:ind w:firstLine="420" w:firstLineChars="200"/>
    </w:pPr>
  </w:style>
  <w:style w:type="paragraph" w:customStyle="1" w:styleId="100">
    <w:name w:val="列出段落4"/>
    <w:basedOn w:val="1"/>
    <w:link w:val="144"/>
    <w:qFormat/>
    <w:uiPriority w:val="34"/>
    <w:pPr>
      <w:ind w:firstLine="420" w:firstLineChars="200"/>
    </w:pPr>
  </w:style>
  <w:style w:type="character" w:customStyle="1" w:styleId="101">
    <w:name w:val="font01"/>
    <w:basedOn w:val="52"/>
    <w:qFormat/>
    <w:uiPriority w:val="0"/>
    <w:rPr>
      <w:rFonts w:hint="eastAsia" w:ascii="华文中宋" w:hAnsi="华文中宋" w:eastAsia="华文中宋" w:cs="华文中宋"/>
      <w:b/>
      <w:color w:val="000000"/>
      <w:sz w:val="28"/>
      <w:szCs w:val="28"/>
      <w:u w:val="none"/>
    </w:rPr>
  </w:style>
  <w:style w:type="character" w:customStyle="1" w:styleId="102">
    <w:name w:val="font11"/>
    <w:basedOn w:val="52"/>
    <w:qFormat/>
    <w:uiPriority w:val="0"/>
    <w:rPr>
      <w:rFonts w:hint="eastAsia" w:ascii="华文中宋" w:hAnsi="华文中宋" w:eastAsia="华文中宋" w:cs="华文中宋"/>
      <w:color w:val="000000"/>
      <w:sz w:val="28"/>
      <w:szCs w:val="28"/>
      <w:u w:val="none"/>
    </w:rPr>
  </w:style>
  <w:style w:type="paragraph" w:customStyle="1" w:styleId="103">
    <w:name w:val="正文 A"/>
    <w:basedOn w:val="1"/>
    <w:qFormat/>
    <w:uiPriority w:val="0"/>
    <w:rPr>
      <w:rFonts w:ascii="Times New Roman" w:hAnsi="Arial Unicode MS" w:eastAsia="Arial Unicode MS"/>
      <w:color w:val="000000"/>
      <w:sz w:val="28"/>
      <w:szCs w:val="28"/>
    </w:rPr>
  </w:style>
  <w:style w:type="paragraph" w:customStyle="1" w:styleId="104">
    <w:name w:val="列出段落41"/>
    <w:basedOn w:val="1"/>
    <w:qFormat/>
    <w:uiPriority w:val="0"/>
    <w:pPr>
      <w:ind w:firstLine="420" w:firstLineChars="200"/>
    </w:pPr>
    <w:rPr>
      <w:rFonts w:ascii="Times New Roman" w:hAnsi="Times New Roman"/>
      <w:szCs w:val="21"/>
    </w:rPr>
  </w:style>
  <w:style w:type="character" w:customStyle="1" w:styleId="105">
    <w:name w:val="正文文本首行缩进 字符"/>
    <w:basedOn w:val="79"/>
    <w:link w:val="45"/>
    <w:qFormat/>
    <w:uiPriority w:val="99"/>
    <w:rPr>
      <w:rFonts w:ascii="Times New Roman" w:hAnsi="Times New Roman" w:eastAsia="宋体" w:cs="Times New Roman"/>
      <w:kern w:val="2"/>
      <w:sz w:val="21"/>
      <w:szCs w:val="21"/>
      <w:lang w:val="en-GB" w:eastAsia="de-DE"/>
    </w:rPr>
  </w:style>
  <w:style w:type="paragraph" w:customStyle="1" w:styleId="106">
    <w:name w:val="页脚1"/>
    <w:basedOn w:val="1"/>
    <w:next w:val="31"/>
    <w:qFormat/>
    <w:uiPriority w:val="0"/>
    <w:pPr>
      <w:tabs>
        <w:tab w:val="center" w:pos="4153"/>
        <w:tab w:val="right" w:pos="8306"/>
      </w:tabs>
      <w:snapToGrid w:val="0"/>
      <w:jc w:val="left"/>
    </w:pPr>
    <w:rPr>
      <w:sz w:val="18"/>
      <w:szCs w:val="24"/>
    </w:rPr>
  </w:style>
  <w:style w:type="paragraph" w:customStyle="1" w:styleId="107">
    <w:name w:val="页眉1"/>
    <w:basedOn w:val="1"/>
    <w:next w:val="3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4"/>
    </w:rPr>
  </w:style>
  <w:style w:type="character" w:customStyle="1" w:styleId="108">
    <w:name w:val="font71"/>
    <w:basedOn w:val="52"/>
    <w:qFormat/>
    <w:uiPriority w:val="0"/>
    <w:rPr>
      <w:rFonts w:hint="eastAsia" w:ascii="宋体" w:hAnsi="宋体" w:eastAsia="宋体" w:cs="宋体"/>
      <w:color w:val="FF0000"/>
      <w:sz w:val="24"/>
      <w:szCs w:val="24"/>
      <w:u w:val="none"/>
    </w:rPr>
  </w:style>
  <w:style w:type="character" w:customStyle="1" w:styleId="109">
    <w:name w:val="font81"/>
    <w:basedOn w:val="52"/>
    <w:qFormat/>
    <w:uiPriority w:val="0"/>
    <w:rPr>
      <w:rFonts w:ascii="Calibri" w:hAnsi="Calibri" w:cs="Calibri"/>
      <w:color w:val="FF0000"/>
      <w:sz w:val="24"/>
      <w:szCs w:val="24"/>
      <w:u w:val="none"/>
    </w:rPr>
  </w:style>
  <w:style w:type="paragraph" w:customStyle="1" w:styleId="110">
    <w:name w:val="table_1stline"/>
    <w:basedOn w:val="1"/>
    <w:qFormat/>
    <w:uiPriority w:val="0"/>
    <w:pPr>
      <w:widowControl/>
      <w:spacing w:before="120"/>
      <w:jc w:val="left"/>
    </w:pPr>
    <w:rPr>
      <w:rFonts w:asciiTheme="minorHAnsi" w:hAnsiTheme="minorHAnsi" w:eastAsiaTheme="minorEastAsia" w:cstheme="minorBidi"/>
      <w:bCs/>
      <w:kern w:val="0"/>
      <w:sz w:val="20"/>
      <w:szCs w:val="20"/>
      <w:lang w:val="de-DE" w:eastAsia="de-DE"/>
    </w:rPr>
  </w:style>
  <w:style w:type="paragraph" w:customStyle="1" w:styleId="111">
    <w:name w:val="Char2"/>
    <w:basedOn w:val="1"/>
    <w:qFormat/>
    <w:uiPriority w:val="0"/>
    <w:pPr>
      <w:widowControl/>
      <w:spacing w:after="160" w:line="240" w:lineRule="exact"/>
      <w:jc w:val="left"/>
    </w:pPr>
    <w:rPr>
      <w:rFonts w:ascii="Times New Roman" w:hAnsi="Times New Roman"/>
      <w:szCs w:val="20"/>
    </w:rPr>
  </w:style>
  <w:style w:type="table" w:customStyle="1" w:styleId="112">
    <w:name w:val="网格型1"/>
    <w:basedOn w:val="47"/>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Char Char"/>
    <w:basedOn w:val="2"/>
    <w:qFormat/>
    <w:uiPriority w:val="0"/>
    <w:pPr>
      <w:widowControl/>
      <w:spacing w:afterLines="50" w:line="360" w:lineRule="auto"/>
      <w:ind w:firstLine="480" w:firstLineChars="200"/>
      <w:jc w:val="left"/>
    </w:pPr>
    <w:rPr>
      <w:kern w:val="0"/>
      <w:sz w:val="24"/>
    </w:rPr>
  </w:style>
  <w:style w:type="character" w:customStyle="1" w:styleId="114">
    <w:name w:val="font41"/>
    <w:basedOn w:val="52"/>
    <w:qFormat/>
    <w:uiPriority w:val="0"/>
    <w:rPr>
      <w:rFonts w:hint="eastAsia" w:ascii="宋体" w:hAnsi="宋体" w:eastAsia="宋体" w:cs="宋体"/>
      <w:color w:val="000000"/>
      <w:sz w:val="20"/>
      <w:szCs w:val="20"/>
      <w:u w:val="none"/>
    </w:rPr>
  </w:style>
  <w:style w:type="character" w:customStyle="1" w:styleId="115">
    <w:name w:val="font21"/>
    <w:basedOn w:val="52"/>
    <w:qFormat/>
    <w:uiPriority w:val="0"/>
    <w:rPr>
      <w:rFonts w:hint="eastAsia" w:ascii="宋体" w:hAnsi="宋体" w:eastAsia="宋体" w:cs="宋体"/>
      <w:color w:val="000000"/>
      <w:sz w:val="21"/>
      <w:szCs w:val="21"/>
      <w:u w:val="none"/>
    </w:rPr>
  </w:style>
  <w:style w:type="character" w:customStyle="1" w:styleId="116">
    <w:name w:val="font51"/>
    <w:basedOn w:val="52"/>
    <w:qFormat/>
    <w:uiPriority w:val="0"/>
    <w:rPr>
      <w:rFonts w:hint="eastAsia" w:ascii="宋体" w:hAnsi="宋体" w:eastAsia="宋体" w:cs="宋体"/>
      <w:color w:val="000000"/>
      <w:sz w:val="18"/>
      <w:szCs w:val="18"/>
      <w:u w:val="none"/>
    </w:rPr>
  </w:style>
  <w:style w:type="character" w:customStyle="1" w:styleId="117">
    <w:name w:val="font31"/>
    <w:basedOn w:val="52"/>
    <w:qFormat/>
    <w:uiPriority w:val="0"/>
    <w:rPr>
      <w:rFonts w:hint="default" w:ascii="Times New Roman" w:hAnsi="Times New Roman" w:cs="Times New Roman"/>
      <w:color w:val="000000"/>
      <w:sz w:val="18"/>
      <w:szCs w:val="18"/>
      <w:u w:val="none"/>
    </w:rPr>
  </w:style>
  <w:style w:type="character" w:customStyle="1" w:styleId="118">
    <w:name w:val="font61"/>
    <w:qFormat/>
    <w:uiPriority w:val="0"/>
    <w:rPr>
      <w:rFonts w:hint="eastAsia" w:ascii="宋体" w:hAnsi="宋体" w:eastAsia="宋体" w:cs="宋体"/>
      <w:color w:val="000000"/>
      <w:sz w:val="18"/>
      <w:szCs w:val="18"/>
      <w:u w:val="none"/>
    </w:rPr>
  </w:style>
  <w:style w:type="character" w:customStyle="1" w:styleId="119">
    <w:name w:val="font91"/>
    <w:qFormat/>
    <w:uiPriority w:val="0"/>
    <w:rPr>
      <w:rFonts w:hint="default" w:ascii="Times New Roman" w:hAnsi="Times New Roman" w:cs="Times New Roman"/>
      <w:color w:val="000000"/>
      <w:sz w:val="18"/>
      <w:szCs w:val="18"/>
      <w:u w:val="none"/>
    </w:rPr>
  </w:style>
  <w:style w:type="paragraph" w:customStyle="1" w:styleId="120">
    <w:name w:val="xl6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21">
    <w:name w:val="xl66"/>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22">
    <w:name w:val="xl67"/>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23">
    <w:name w:val="xl68"/>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124">
    <w:name w:val="xl69"/>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pPr>
    <w:rPr>
      <w:rFonts w:ascii="宋体" w:hAnsi="宋体" w:cs="宋体"/>
      <w:color w:val="000000"/>
      <w:kern w:val="0"/>
      <w:sz w:val="18"/>
      <w:szCs w:val="18"/>
    </w:rPr>
  </w:style>
  <w:style w:type="paragraph" w:customStyle="1" w:styleId="125">
    <w:name w:val="xl70"/>
    <w:basedOn w:val="1"/>
    <w:qFormat/>
    <w:uiPriority w:val="0"/>
    <w:pPr>
      <w:widowControl/>
      <w:pBdr>
        <w:bottom w:val="single" w:color="auto" w:sz="8" w:space="0"/>
        <w:right w:val="single" w:color="auto" w:sz="8" w:space="0"/>
      </w:pBdr>
      <w:shd w:val="clear" w:color="000000" w:fill="FFFF00"/>
      <w:spacing w:before="100" w:beforeAutospacing="1" w:after="100" w:afterAutospacing="1"/>
      <w:jc w:val="left"/>
    </w:pPr>
    <w:rPr>
      <w:rFonts w:ascii="宋体" w:hAnsi="宋体" w:cs="宋体"/>
      <w:color w:val="000000"/>
      <w:kern w:val="0"/>
      <w:sz w:val="18"/>
      <w:szCs w:val="18"/>
    </w:rPr>
  </w:style>
  <w:style w:type="paragraph" w:customStyle="1" w:styleId="126">
    <w:name w:val="xl71"/>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127">
    <w:name w:val="xl72"/>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128">
    <w:name w:val="xl73"/>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129">
    <w:name w:val="xl74"/>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130">
    <w:name w:val="xl75"/>
    <w:basedOn w:val="1"/>
    <w:qFormat/>
    <w:uiPriority w:val="0"/>
    <w:pPr>
      <w:widowControl/>
      <w:pBdr>
        <w:left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131">
    <w:name w:val="xl76"/>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132">
    <w:name w:val="xl77"/>
    <w:basedOn w:val="1"/>
    <w:qFormat/>
    <w:uiPriority w:val="0"/>
    <w:pPr>
      <w:widowControl/>
      <w:pBdr>
        <w:bottom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33">
    <w:name w:val="xl78"/>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134">
    <w:name w:val="xl79"/>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135">
    <w:name w:val="xl8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136">
    <w:name w:val="xl81"/>
    <w:basedOn w:val="1"/>
    <w:qFormat/>
    <w:uiPriority w:val="0"/>
    <w:pPr>
      <w:widowControl/>
      <w:pBdr>
        <w:left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137">
    <w:name w:val="xl82"/>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138">
    <w:name w:val="xl83"/>
    <w:basedOn w:val="1"/>
    <w:qFormat/>
    <w:uiPriority w:val="0"/>
    <w:pPr>
      <w:widowControl/>
      <w:pBdr>
        <w:top w:val="single" w:color="000000" w:sz="8" w:space="0"/>
        <w:bottom w:val="single" w:color="auto" w:sz="8" w:space="0"/>
        <w:right w:val="single" w:color="000000" w:sz="8" w:space="0"/>
      </w:pBdr>
      <w:spacing w:before="100" w:beforeAutospacing="1" w:after="100" w:afterAutospacing="1"/>
      <w:jc w:val="center"/>
    </w:pPr>
    <w:rPr>
      <w:rFonts w:ascii="宋体" w:hAnsi="宋体" w:cs="宋体"/>
      <w:kern w:val="0"/>
      <w:sz w:val="18"/>
      <w:szCs w:val="18"/>
    </w:rPr>
  </w:style>
  <w:style w:type="paragraph" w:customStyle="1" w:styleId="139">
    <w:name w:val="xl84"/>
    <w:basedOn w:val="1"/>
    <w:qFormat/>
    <w:uiPriority w:val="0"/>
    <w:pPr>
      <w:widowControl/>
      <w:pBdr>
        <w:bottom w:val="single" w:color="auto" w:sz="8" w:space="0"/>
      </w:pBdr>
      <w:spacing w:before="100" w:beforeAutospacing="1" w:after="100" w:afterAutospacing="1"/>
      <w:jc w:val="center"/>
    </w:pPr>
    <w:rPr>
      <w:rFonts w:ascii="宋体" w:hAnsi="宋体" w:cs="宋体"/>
      <w:kern w:val="0"/>
      <w:sz w:val="18"/>
      <w:szCs w:val="18"/>
    </w:rPr>
  </w:style>
  <w:style w:type="paragraph" w:customStyle="1" w:styleId="140">
    <w:name w:val="xl85"/>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141">
    <w:name w:val="xl8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142">
    <w:name w:val="xl8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character" w:customStyle="1" w:styleId="143">
    <w:name w:val="标题 Char1"/>
    <w:basedOn w:val="52"/>
    <w:qFormat/>
    <w:uiPriority w:val="10"/>
    <w:rPr>
      <w:rFonts w:asciiTheme="majorHAnsi" w:hAnsiTheme="majorHAnsi" w:cstheme="majorBidi"/>
      <w:b/>
      <w:bCs/>
      <w:kern w:val="2"/>
      <w:sz w:val="32"/>
      <w:szCs w:val="32"/>
    </w:rPr>
  </w:style>
  <w:style w:type="character" w:customStyle="1" w:styleId="144">
    <w:name w:val="列出段落 Char"/>
    <w:link w:val="100"/>
    <w:qFormat/>
    <w:locked/>
    <w:uiPriority w:val="0"/>
    <w:rPr>
      <w:kern w:val="2"/>
      <w:sz w:val="21"/>
      <w:szCs w:val="22"/>
    </w:rPr>
  </w:style>
  <w:style w:type="character" w:customStyle="1" w:styleId="145">
    <w:name w:val="标题 4 字符1"/>
    <w:basedOn w:val="52"/>
    <w:link w:val="8"/>
    <w:qFormat/>
    <w:uiPriority w:val="99"/>
    <w:rPr>
      <w:rFonts w:ascii="Cambria" w:hAnsi="Cambria"/>
      <w:b/>
      <w:bCs/>
      <w:kern w:val="2"/>
      <w:sz w:val="28"/>
      <w:szCs w:val="28"/>
    </w:rPr>
  </w:style>
  <w:style w:type="character" w:customStyle="1" w:styleId="146">
    <w:name w:val="标题 5 字符1"/>
    <w:basedOn w:val="52"/>
    <w:link w:val="9"/>
    <w:qFormat/>
    <w:uiPriority w:val="99"/>
    <w:rPr>
      <w:b/>
      <w:bCs/>
      <w:kern w:val="2"/>
      <w:sz w:val="28"/>
      <w:szCs w:val="28"/>
    </w:rPr>
  </w:style>
  <w:style w:type="character" w:customStyle="1" w:styleId="147">
    <w:name w:val="标题 6 字符1"/>
    <w:basedOn w:val="52"/>
    <w:link w:val="10"/>
    <w:qFormat/>
    <w:uiPriority w:val="99"/>
    <w:rPr>
      <w:rFonts w:ascii="Cambria" w:hAnsi="Cambria"/>
      <w:b/>
      <w:bCs/>
      <w:kern w:val="2"/>
      <w:sz w:val="24"/>
      <w:szCs w:val="24"/>
    </w:rPr>
  </w:style>
  <w:style w:type="character" w:customStyle="1" w:styleId="148">
    <w:name w:val="标题 7 字符1"/>
    <w:basedOn w:val="52"/>
    <w:link w:val="11"/>
    <w:qFormat/>
    <w:uiPriority w:val="99"/>
    <w:rPr>
      <w:b/>
      <w:bCs/>
      <w:kern w:val="2"/>
      <w:sz w:val="24"/>
      <w:szCs w:val="24"/>
    </w:rPr>
  </w:style>
  <w:style w:type="character" w:customStyle="1" w:styleId="149">
    <w:name w:val="标题 8 字符1"/>
    <w:basedOn w:val="52"/>
    <w:link w:val="12"/>
    <w:qFormat/>
    <w:uiPriority w:val="99"/>
    <w:rPr>
      <w:rFonts w:ascii="Cambria" w:hAnsi="Cambria"/>
      <w:kern w:val="2"/>
      <w:sz w:val="24"/>
      <w:szCs w:val="24"/>
    </w:rPr>
  </w:style>
  <w:style w:type="character" w:customStyle="1" w:styleId="150">
    <w:name w:val="标题 9 字符1"/>
    <w:basedOn w:val="52"/>
    <w:link w:val="13"/>
    <w:qFormat/>
    <w:uiPriority w:val="0"/>
    <w:rPr>
      <w:rFonts w:ascii="Cambria" w:hAnsi="Cambria"/>
      <w:kern w:val="2"/>
      <w:sz w:val="21"/>
      <w:szCs w:val="21"/>
    </w:rPr>
  </w:style>
  <w:style w:type="character" w:customStyle="1" w:styleId="151">
    <w:name w:val="批注主题 字符1"/>
    <w:basedOn w:val="80"/>
    <w:link w:val="44"/>
    <w:qFormat/>
    <w:uiPriority w:val="0"/>
    <w:rPr>
      <w:rFonts w:ascii="Times New Roman" w:hAnsi="Times New Roman"/>
      <w:b/>
      <w:bCs/>
      <w:kern w:val="2"/>
      <w:sz w:val="28"/>
      <w:szCs w:val="24"/>
    </w:rPr>
  </w:style>
  <w:style w:type="character" w:customStyle="1" w:styleId="152">
    <w:name w:val="宏文本 字符"/>
    <w:basedOn w:val="52"/>
    <w:link w:val="4"/>
    <w:qFormat/>
    <w:uiPriority w:val="0"/>
    <w:rPr>
      <w:rFonts w:ascii="Courier New" w:hAnsi="Courier New" w:cs="Courier New"/>
      <w:kern w:val="2"/>
      <w:sz w:val="24"/>
      <w:szCs w:val="24"/>
    </w:rPr>
  </w:style>
  <w:style w:type="character" w:customStyle="1" w:styleId="153">
    <w:name w:val="文档结构图 字符"/>
    <w:basedOn w:val="52"/>
    <w:link w:val="17"/>
    <w:qFormat/>
    <w:uiPriority w:val="0"/>
    <w:rPr>
      <w:kern w:val="2"/>
      <w:sz w:val="21"/>
      <w:szCs w:val="22"/>
      <w:shd w:val="clear" w:color="auto" w:fill="000080"/>
    </w:rPr>
  </w:style>
  <w:style w:type="character" w:customStyle="1" w:styleId="154">
    <w:name w:val="正文文本缩进 字符"/>
    <w:basedOn w:val="52"/>
    <w:link w:val="22"/>
    <w:qFormat/>
    <w:uiPriority w:val="0"/>
    <w:rPr>
      <w:kern w:val="2"/>
      <w:sz w:val="24"/>
      <w:szCs w:val="22"/>
    </w:rPr>
  </w:style>
  <w:style w:type="character" w:customStyle="1" w:styleId="155">
    <w:name w:val="段 Char Char"/>
    <w:link w:val="156"/>
    <w:qFormat/>
    <w:locked/>
    <w:uiPriority w:val="0"/>
    <w:rPr>
      <w:rFonts w:ascii="宋体" w:hAnsi="宋体"/>
    </w:rPr>
  </w:style>
  <w:style w:type="paragraph" w:customStyle="1" w:styleId="156">
    <w:name w:val="段"/>
    <w:link w:val="155"/>
    <w:qFormat/>
    <w:uiPriority w:val="0"/>
    <w:pPr>
      <w:autoSpaceDE w:val="0"/>
      <w:autoSpaceDN w:val="0"/>
      <w:ind w:firstLine="200" w:firstLineChars="200"/>
      <w:jc w:val="both"/>
    </w:pPr>
    <w:rPr>
      <w:rFonts w:ascii="宋体" w:hAnsi="宋体" w:eastAsia="宋体" w:cs="Times New Roman"/>
      <w:lang w:val="en-US" w:eastAsia="zh-CN" w:bidi="ar-SA"/>
    </w:rPr>
  </w:style>
  <w:style w:type="character" w:customStyle="1" w:styleId="157">
    <w:name w:val="段 Char"/>
    <w:qFormat/>
    <w:locked/>
    <w:uiPriority w:val="0"/>
    <w:rPr>
      <w:rFonts w:ascii="宋体" w:eastAsia="宋体" w:cs="Times New Roman"/>
      <w:sz w:val="21"/>
      <w:lang w:val="en-US" w:eastAsia="zh-CN" w:bidi="ar-SA"/>
    </w:rPr>
  </w:style>
  <w:style w:type="paragraph" w:customStyle="1" w:styleId="158">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59">
    <w:name w:val="图表仿宋小四居中"/>
    <w:qFormat/>
    <w:uiPriority w:val="99"/>
    <w:pPr>
      <w:adjustRightInd w:val="0"/>
      <w:snapToGrid w:val="0"/>
      <w:jc w:val="center"/>
    </w:pPr>
    <w:rPr>
      <w:rFonts w:ascii="Times New Roman" w:hAnsi="Times New Roman" w:eastAsia="仿宋_GB2312" w:cs="Times New Roman"/>
      <w:bCs/>
      <w:kern w:val="44"/>
      <w:sz w:val="24"/>
      <w:szCs w:val="44"/>
      <w:lang w:val="en-US" w:eastAsia="zh-CN" w:bidi="ar-SA"/>
    </w:rPr>
  </w:style>
  <w:style w:type="character" w:customStyle="1" w:styleId="160">
    <w:name w:val="表格样式居左 Char"/>
    <w:link w:val="161"/>
    <w:qFormat/>
    <w:locked/>
    <w:uiPriority w:val="0"/>
    <w:rPr>
      <w:rFonts w:ascii="仿宋_GB2312" w:eastAsia="仿宋_GB2312"/>
      <w:bCs/>
      <w:color w:val="000000"/>
      <w:szCs w:val="44"/>
    </w:rPr>
  </w:style>
  <w:style w:type="paragraph" w:customStyle="1" w:styleId="161">
    <w:name w:val="表格样式居左"/>
    <w:link w:val="160"/>
    <w:qFormat/>
    <w:uiPriority w:val="0"/>
    <w:pPr>
      <w:adjustRightInd w:val="0"/>
      <w:snapToGrid w:val="0"/>
      <w:spacing w:line="360" w:lineRule="exact"/>
    </w:pPr>
    <w:rPr>
      <w:rFonts w:ascii="仿宋_GB2312" w:hAnsi="Calibri" w:eastAsia="仿宋_GB2312" w:cs="Times New Roman"/>
      <w:bCs/>
      <w:color w:val="000000"/>
      <w:szCs w:val="44"/>
      <w:lang w:val="en-US" w:eastAsia="zh-CN" w:bidi="ar-SA"/>
    </w:rPr>
  </w:style>
  <w:style w:type="character" w:customStyle="1" w:styleId="162">
    <w:name w:val="明显参考1"/>
    <w:qFormat/>
    <w:uiPriority w:val="32"/>
    <w:rPr>
      <w:b/>
      <w:bCs/>
      <w:smallCaps/>
      <w:color w:val="4F81BD"/>
      <w:spacing w:val="5"/>
    </w:rPr>
  </w:style>
  <w:style w:type="character" w:customStyle="1" w:styleId="163">
    <w:name w:val="标题 3 字符"/>
    <w:semiHidden/>
    <w:qFormat/>
    <w:uiPriority w:val="9"/>
    <w:rPr>
      <w:b/>
      <w:bCs/>
      <w:sz w:val="32"/>
      <w:szCs w:val="32"/>
    </w:rPr>
  </w:style>
  <w:style w:type="character" w:customStyle="1" w:styleId="164">
    <w:name w:val="标题 4 字符"/>
    <w:semiHidden/>
    <w:qFormat/>
    <w:uiPriority w:val="9"/>
    <w:rPr>
      <w:rFonts w:ascii="Cambria" w:hAnsi="Cambria" w:eastAsia="宋体" w:cs="Times New Roman"/>
      <w:b/>
      <w:bCs/>
      <w:sz w:val="28"/>
      <w:szCs w:val="28"/>
    </w:rPr>
  </w:style>
  <w:style w:type="character" w:customStyle="1" w:styleId="165">
    <w:name w:val="标题 5 字符"/>
    <w:semiHidden/>
    <w:qFormat/>
    <w:uiPriority w:val="9"/>
    <w:rPr>
      <w:b/>
      <w:bCs/>
      <w:sz w:val="28"/>
      <w:szCs w:val="28"/>
    </w:rPr>
  </w:style>
  <w:style w:type="character" w:customStyle="1" w:styleId="166">
    <w:name w:val="标题 6 字符"/>
    <w:semiHidden/>
    <w:qFormat/>
    <w:uiPriority w:val="9"/>
    <w:rPr>
      <w:rFonts w:ascii="Cambria" w:hAnsi="Cambria" w:eastAsia="宋体" w:cs="Times New Roman"/>
      <w:b/>
      <w:bCs/>
      <w:sz w:val="24"/>
      <w:szCs w:val="24"/>
    </w:rPr>
  </w:style>
  <w:style w:type="character" w:customStyle="1" w:styleId="167">
    <w:name w:val="标题 7 字符"/>
    <w:semiHidden/>
    <w:qFormat/>
    <w:uiPriority w:val="9"/>
    <w:rPr>
      <w:b/>
      <w:bCs/>
      <w:sz w:val="24"/>
      <w:szCs w:val="24"/>
    </w:rPr>
  </w:style>
  <w:style w:type="character" w:customStyle="1" w:styleId="168">
    <w:name w:val="标题 8 字符"/>
    <w:semiHidden/>
    <w:qFormat/>
    <w:uiPriority w:val="9"/>
    <w:rPr>
      <w:rFonts w:ascii="Cambria" w:hAnsi="Cambria" w:eastAsia="宋体" w:cs="Times New Roman"/>
      <w:sz w:val="24"/>
      <w:szCs w:val="24"/>
    </w:rPr>
  </w:style>
  <w:style w:type="character" w:customStyle="1" w:styleId="169">
    <w:name w:val="标题 9 字符"/>
    <w:semiHidden/>
    <w:qFormat/>
    <w:uiPriority w:val="9"/>
    <w:rPr>
      <w:rFonts w:ascii="Cambria" w:hAnsi="Cambria" w:eastAsia="宋体" w:cs="Times New Roman"/>
      <w:szCs w:val="21"/>
    </w:rPr>
  </w:style>
  <w:style w:type="character" w:customStyle="1" w:styleId="170">
    <w:name w:val="页眉 字符1"/>
    <w:qFormat/>
    <w:uiPriority w:val="99"/>
    <w:rPr>
      <w:rFonts w:ascii="Calibri" w:hAnsi="Calibri" w:eastAsia="宋体" w:cs="Times New Roman"/>
      <w:sz w:val="18"/>
      <w:szCs w:val="18"/>
    </w:rPr>
  </w:style>
  <w:style w:type="character" w:customStyle="1" w:styleId="171">
    <w:name w:val="页脚 字符1"/>
    <w:qFormat/>
    <w:uiPriority w:val="99"/>
    <w:rPr>
      <w:rFonts w:ascii="Calibri" w:hAnsi="Calibri" w:eastAsia="宋体" w:cs="Times New Roman"/>
      <w:sz w:val="18"/>
      <w:szCs w:val="18"/>
    </w:rPr>
  </w:style>
  <w:style w:type="character" w:customStyle="1" w:styleId="172">
    <w:name w:val="批注框文本 字符1"/>
    <w:qFormat/>
    <w:uiPriority w:val="0"/>
    <w:rPr>
      <w:rFonts w:ascii="Calibri" w:hAnsi="Calibri" w:eastAsia="宋体" w:cs="Times New Roman"/>
      <w:sz w:val="18"/>
      <w:szCs w:val="18"/>
    </w:rPr>
  </w:style>
  <w:style w:type="paragraph" w:customStyle="1" w:styleId="173">
    <w:name w:val="Text"/>
    <w:basedOn w:val="1"/>
    <w:link w:val="174"/>
    <w:qFormat/>
    <w:uiPriority w:val="0"/>
    <w:pPr>
      <w:widowControl/>
      <w:adjustRightInd w:val="0"/>
      <w:snapToGrid w:val="0"/>
      <w:spacing w:beforeLines="50" w:afterLines="50" w:line="312" w:lineRule="auto"/>
      <w:ind w:firstLine="480"/>
    </w:pPr>
    <w:rPr>
      <w:rFonts w:ascii="宋体" w:hAnsi="宋体"/>
      <w:color w:val="000000"/>
      <w:kern w:val="0"/>
      <w:sz w:val="24"/>
      <w:szCs w:val="24"/>
    </w:rPr>
  </w:style>
  <w:style w:type="character" w:customStyle="1" w:styleId="174">
    <w:name w:val="Text Char"/>
    <w:link w:val="173"/>
    <w:qFormat/>
    <w:uiPriority w:val="0"/>
    <w:rPr>
      <w:rFonts w:ascii="宋体" w:hAnsi="宋体"/>
      <w:color w:val="000000"/>
      <w:sz w:val="24"/>
      <w:szCs w:val="24"/>
    </w:rPr>
  </w:style>
  <w:style w:type="character" w:customStyle="1" w:styleId="175">
    <w:name w:val="标题 2 字符1"/>
    <w:qFormat/>
    <w:uiPriority w:val="0"/>
    <w:rPr>
      <w:rFonts w:ascii="Cambria" w:hAnsi="Cambria" w:eastAsia="宋体" w:cs="Times New Roman"/>
      <w:b/>
      <w:bCs/>
      <w:sz w:val="32"/>
      <w:szCs w:val="32"/>
    </w:rPr>
  </w:style>
  <w:style w:type="paragraph" w:customStyle="1" w:styleId="176">
    <w:name w:val="正文 首行缩进:  2 字符 Char"/>
    <w:basedOn w:val="1"/>
    <w:link w:val="198"/>
    <w:qFormat/>
    <w:uiPriority w:val="0"/>
    <w:pPr>
      <w:spacing w:line="360" w:lineRule="auto"/>
      <w:ind w:firstLine="480"/>
    </w:pPr>
    <w:rPr>
      <w:sz w:val="24"/>
      <w:szCs w:val="20"/>
    </w:rPr>
  </w:style>
  <w:style w:type="paragraph" w:customStyle="1" w:styleId="177">
    <w:name w:val="方案正文"/>
    <w:basedOn w:val="1"/>
    <w:link w:val="178"/>
    <w:qFormat/>
    <w:uiPriority w:val="0"/>
    <w:pPr>
      <w:spacing w:before="156" w:line="360" w:lineRule="auto"/>
      <w:ind w:firstLine="359" w:firstLineChars="171"/>
      <w:jc w:val="left"/>
    </w:pPr>
    <w:rPr>
      <w:rFonts w:ascii="Arial" w:hAnsi="Arial"/>
      <w:sz w:val="24"/>
      <w:szCs w:val="21"/>
    </w:rPr>
  </w:style>
  <w:style w:type="character" w:customStyle="1" w:styleId="178">
    <w:name w:val="方案正文 Char"/>
    <w:link w:val="177"/>
    <w:qFormat/>
    <w:uiPriority w:val="0"/>
    <w:rPr>
      <w:rFonts w:ascii="Arial" w:hAnsi="Arial"/>
      <w:kern w:val="2"/>
      <w:sz w:val="24"/>
      <w:szCs w:val="21"/>
    </w:rPr>
  </w:style>
  <w:style w:type="paragraph" w:customStyle="1" w:styleId="179">
    <w:name w:val="列表项目"/>
    <w:basedOn w:val="1"/>
    <w:qFormat/>
    <w:uiPriority w:val="0"/>
    <w:pPr>
      <w:numPr>
        <w:ilvl w:val="0"/>
        <w:numId w:val="1"/>
      </w:numPr>
      <w:tabs>
        <w:tab w:val="left" w:pos="420"/>
        <w:tab w:val="clear" w:pos="980"/>
      </w:tabs>
      <w:spacing w:line="288" w:lineRule="auto"/>
      <w:ind w:left="840" w:leftChars="200" w:hanging="420" w:hangingChars="200"/>
    </w:pPr>
    <w:rPr>
      <w:szCs w:val="20"/>
    </w:rPr>
  </w:style>
  <w:style w:type="paragraph" w:customStyle="1" w:styleId="180">
    <w:name w:val="Char1 Char Char Char Char Char Char Char Char Char Char Char Char"/>
    <w:basedOn w:val="1"/>
    <w:qFormat/>
    <w:uiPriority w:val="0"/>
    <w:pPr>
      <w:widowControl/>
      <w:snapToGrid w:val="0"/>
      <w:spacing w:before="120" w:after="160" w:line="360" w:lineRule="auto"/>
      <w:ind w:right="-360"/>
      <w:jc w:val="left"/>
    </w:pPr>
    <w:rPr>
      <w:sz w:val="24"/>
    </w:rPr>
  </w:style>
  <w:style w:type="paragraph" w:customStyle="1" w:styleId="181">
    <w:name w:val="Char Char Char"/>
    <w:basedOn w:val="1"/>
    <w:qFormat/>
    <w:uiPriority w:val="0"/>
    <w:rPr>
      <w:rFonts w:ascii="Tahoma" w:hAnsi="Tahoma"/>
      <w:sz w:val="24"/>
      <w:szCs w:val="20"/>
    </w:rPr>
  </w:style>
  <w:style w:type="paragraph" w:customStyle="1" w:styleId="182">
    <w:name w:val="列表内容"/>
    <w:basedOn w:val="1"/>
    <w:next w:val="1"/>
    <w:qFormat/>
    <w:uiPriority w:val="0"/>
    <w:pPr>
      <w:widowControl/>
      <w:numPr>
        <w:ilvl w:val="0"/>
        <w:numId w:val="2"/>
      </w:numPr>
      <w:tabs>
        <w:tab w:val="clear" w:pos="840"/>
      </w:tabs>
      <w:ind w:left="0" w:firstLine="200"/>
      <w:jc w:val="left"/>
    </w:pPr>
    <w:rPr>
      <w:kern w:val="0"/>
      <w:sz w:val="18"/>
    </w:rPr>
  </w:style>
  <w:style w:type="paragraph" w:customStyle="1" w:styleId="183">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184">
    <w:name w:val="正文文本 字符"/>
    <w:semiHidden/>
    <w:qFormat/>
    <w:uiPriority w:val="99"/>
  </w:style>
  <w:style w:type="character" w:customStyle="1" w:styleId="185">
    <w:name w:val="日期 字符1"/>
    <w:qFormat/>
    <w:uiPriority w:val="0"/>
    <w:rPr>
      <w:rFonts w:ascii="宋体" w:hAnsi="宋体" w:eastAsia="宋体" w:cs="Times New Roman"/>
      <w:sz w:val="28"/>
      <w:szCs w:val="44"/>
    </w:rPr>
  </w:style>
  <w:style w:type="paragraph" w:customStyle="1" w:styleId="186">
    <w:name w:val="一级缩进"/>
    <w:qFormat/>
    <w:uiPriority w:val="0"/>
    <w:pPr>
      <w:numPr>
        <w:ilvl w:val="0"/>
        <w:numId w:val="3"/>
      </w:numPr>
      <w:adjustRightInd w:val="0"/>
      <w:snapToGrid w:val="0"/>
      <w:spacing w:beforeLines="50" w:afterLines="50" w:line="360" w:lineRule="auto"/>
      <w:ind w:left="584" w:leftChars="278" w:right="105" w:rightChars="50" w:firstLine="314" w:firstLineChars="131"/>
      <w:jc w:val="both"/>
    </w:pPr>
    <w:rPr>
      <w:rFonts w:ascii="Calibri" w:hAnsi="Calibri" w:eastAsia="仿宋_GB2312" w:cs="Times New Roman"/>
      <w:kern w:val="2"/>
      <w:sz w:val="24"/>
      <w:szCs w:val="24"/>
      <w:lang w:val="en-US" w:eastAsia="zh-CN" w:bidi="ar-SA"/>
    </w:rPr>
  </w:style>
  <w:style w:type="paragraph" w:customStyle="1" w:styleId="187">
    <w:name w:val="公文正文"/>
    <w:basedOn w:val="22"/>
    <w:link w:val="188"/>
    <w:qFormat/>
    <w:uiPriority w:val="0"/>
    <w:pPr>
      <w:spacing w:after="120"/>
      <w:ind w:firstLine="200" w:firstLineChars="200"/>
    </w:pPr>
    <w:rPr>
      <w:rFonts w:ascii="仿宋_GB2312" w:hAnsi="宋体" w:eastAsia="仿宋_GB2312"/>
      <w:kern w:val="28"/>
      <w:sz w:val="28"/>
      <w:szCs w:val="24"/>
    </w:rPr>
  </w:style>
  <w:style w:type="character" w:customStyle="1" w:styleId="188">
    <w:name w:val="公文正文 Char"/>
    <w:link w:val="187"/>
    <w:qFormat/>
    <w:uiPriority w:val="0"/>
    <w:rPr>
      <w:rFonts w:ascii="仿宋_GB2312" w:hAnsi="宋体" w:eastAsia="仿宋_GB2312"/>
      <w:kern w:val="28"/>
      <w:sz w:val="28"/>
      <w:szCs w:val="24"/>
    </w:rPr>
  </w:style>
  <w:style w:type="paragraph" w:customStyle="1" w:styleId="189">
    <w:name w:val="修订1"/>
    <w:hidden/>
    <w:semiHidden/>
    <w:qFormat/>
    <w:uiPriority w:val="99"/>
    <w:rPr>
      <w:rFonts w:ascii="Calibri" w:hAnsi="Calibri" w:eastAsia="宋体" w:cs="Times New Roman"/>
      <w:kern w:val="2"/>
      <w:sz w:val="21"/>
      <w:szCs w:val="24"/>
      <w:lang w:val="en-US" w:eastAsia="zh-CN" w:bidi="ar-SA"/>
    </w:rPr>
  </w:style>
  <w:style w:type="character" w:customStyle="1" w:styleId="190">
    <w:name w:val="标题 1 字符1"/>
    <w:qFormat/>
    <w:uiPriority w:val="9"/>
    <w:rPr>
      <w:rFonts w:ascii="Calibri" w:hAnsi="Calibri" w:eastAsia="宋体" w:cs="Times New Roman"/>
      <w:b/>
      <w:bCs/>
      <w:kern w:val="44"/>
      <w:sz w:val="44"/>
      <w:szCs w:val="44"/>
    </w:rPr>
  </w:style>
  <w:style w:type="paragraph" w:customStyle="1" w:styleId="191">
    <w:name w:val="标准正文"/>
    <w:basedOn w:val="1"/>
    <w:link w:val="192"/>
    <w:qFormat/>
    <w:uiPriority w:val="0"/>
    <w:rPr>
      <w:rFonts w:ascii="宋体" w:hAnsi="Courier New"/>
      <w:kern w:val="0"/>
      <w:sz w:val="24"/>
      <w:szCs w:val="32"/>
    </w:rPr>
  </w:style>
  <w:style w:type="character" w:customStyle="1" w:styleId="192">
    <w:name w:val="标准正文 Char"/>
    <w:link w:val="191"/>
    <w:qFormat/>
    <w:uiPriority w:val="0"/>
    <w:rPr>
      <w:rFonts w:ascii="宋体" w:hAnsi="Courier New"/>
      <w:sz w:val="24"/>
      <w:szCs w:val="32"/>
    </w:rPr>
  </w:style>
  <w:style w:type="paragraph" w:customStyle="1" w:styleId="193">
    <w:name w:val="列表1"/>
    <w:basedOn w:val="2"/>
    <w:qFormat/>
    <w:uiPriority w:val="0"/>
    <w:pPr>
      <w:numPr>
        <w:ilvl w:val="0"/>
        <w:numId w:val="4"/>
      </w:numPr>
      <w:tabs>
        <w:tab w:val="left" w:pos="980"/>
        <w:tab w:val="clear" w:pos="899"/>
      </w:tabs>
      <w:spacing w:beforeLines="50" w:afterLines="50"/>
      <w:ind w:left="980" w:firstLine="0"/>
    </w:pPr>
    <w:rPr>
      <w:rFonts w:ascii="Calibri" w:hAnsi="Calibri" w:eastAsia="楷体_GB2312"/>
      <w:kern w:val="0"/>
      <w:sz w:val="28"/>
      <w:szCs w:val="24"/>
    </w:rPr>
  </w:style>
  <w:style w:type="character" w:customStyle="1" w:styleId="194">
    <w:name w:val="批注文字 字符"/>
    <w:semiHidden/>
    <w:qFormat/>
    <w:uiPriority w:val="99"/>
  </w:style>
  <w:style w:type="character" w:customStyle="1" w:styleId="195">
    <w:name w:val="批注主题 字符"/>
    <w:semiHidden/>
    <w:qFormat/>
    <w:uiPriority w:val="99"/>
    <w:rPr>
      <w:b/>
      <w:bCs/>
    </w:rPr>
  </w:style>
  <w:style w:type="paragraph" w:customStyle="1" w:styleId="196">
    <w:name w:val="pic-inf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样式1"/>
    <w:basedOn w:val="7"/>
    <w:qFormat/>
    <w:uiPriority w:val="0"/>
    <w:pPr>
      <w:numPr>
        <w:ilvl w:val="3"/>
        <w:numId w:val="5"/>
      </w:numPr>
      <w:tabs>
        <w:tab w:val="left" w:pos="851"/>
      </w:tabs>
      <w:spacing w:before="120" w:after="120" w:line="360" w:lineRule="auto"/>
      <w:outlineLvl w:val="3"/>
    </w:pPr>
    <w:rPr>
      <w:rFonts w:ascii="Times New Roman" w:hAnsi="Times New Roman"/>
      <w:sz w:val="28"/>
    </w:rPr>
  </w:style>
  <w:style w:type="character" w:customStyle="1" w:styleId="198">
    <w:name w:val="正文 首行缩进:  2 字符 Char Char Char"/>
    <w:link w:val="176"/>
    <w:qFormat/>
    <w:uiPriority w:val="0"/>
    <w:rPr>
      <w:kern w:val="2"/>
      <w:sz w:val="24"/>
    </w:rPr>
  </w:style>
  <w:style w:type="paragraph" w:customStyle="1" w:styleId="199">
    <w:name w:val="Char Char1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00">
    <w:name w:val="List Paragraph Char Char"/>
    <w:qFormat/>
    <w:locked/>
    <w:uiPriority w:val="0"/>
    <w:rPr>
      <w:rFonts w:ascii="Times New Roman" w:hAnsi="Times New Roman"/>
      <w:kern w:val="2"/>
      <w:sz w:val="21"/>
      <w:szCs w:val="22"/>
    </w:rPr>
  </w:style>
  <w:style w:type="character" w:customStyle="1" w:styleId="201">
    <w:name w:val="纯文本 字符1"/>
    <w:basedOn w:val="52"/>
    <w:qFormat/>
    <w:uiPriority w:val="0"/>
    <w:rPr>
      <w:rFonts w:hAnsi="Courier New" w:cs="Courier New" w:asciiTheme="minorEastAsia"/>
    </w:rPr>
  </w:style>
  <w:style w:type="character" w:customStyle="1" w:styleId="202">
    <w:name w:val="标题 字符1"/>
    <w:basedOn w:val="52"/>
    <w:qFormat/>
    <w:uiPriority w:val="10"/>
    <w:rPr>
      <w:rFonts w:asciiTheme="majorHAnsi" w:hAnsiTheme="majorHAnsi" w:eastAsiaTheme="majorEastAsia" w:cstheme="majorBidi"/>
      <w:b/>
      <w:bCs/>
      <w:sz w:val="32"/>
      <w:szCs w:val="32"/>
    </w:rPr>
  </w:style>
  <w:style w:type="paragraph" w:customStyle="1" w:styleId="203">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204">
    <w:name w:val="TOC 标题2"/>
    <w:basedOn w:val="5"/>
    <w:next w:val="1"/>
    <w:qFormat/>
    <w:uiPriority w:val="39"/>
    <w:pPr>
      <w:widowControl/>
      <w:spacing w:before="480" w:after="0" w:line="276" w:lineRule="auto"/>
      <w:jc w:val="left"/>
      <w:outlineLvl w:val="9"/>
    </w:pPr>
    <w:rPr>
      <w:rFonts w:ascii="Cambria" w:hAnsi="Cambria"/>
      <w:b w:val="0"/>
      <w:bCs w:val="0"/>
      <w:color w:val="365F91"/>
      <w:kern w:val="0"/>
      <w:sz w:val="28"/>
      <w:szCs w:val="28"/>
    </w:rPr>
  </w:style>
  <w:style w:type="paragraph" w:customStyle="1" w:styleId="205">
    <w:name w:val="无间隔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06">
    <w:name w:val="ziti12-333-25"/>
    <w:basedOn w:val="52"/>
    <w:qFormat/>
    <w:uiPriority w:val="0"/>
  </w:style>
  <w:style w:type="character" w:customStyle="1" w:styleId="207">
    <w:name w:val="ca-01"/>
    <w:qFormat/>
    <w:uiPriority w:val="0"/>
    <w:rPr>
      <w:rFonts w:hint="eastAsia" w:ascii="宋体" w:hAnsi="宋体" w:eastAsia="宋体"/>
      <w:sz w:val="28"/>
      <w:szCs w:val="28"/>
    </w:rPr>
  </w:style>
  <w:style w:type="character" w:customStyle="1" w:styleId="208">
    <w:name w:val="c lh15"/>
    <w:basedOn w:val="52"/>
    <w:qFormat/>
    <w:uiPriority w:val="0"/>
  </w:style>
  <w:style w:type="character" w:customStyle="1" w:styleId="209">
    <w:name w:val="style31"/>
    <w:qFormat/>
    <w:uiPriority w:val="0"/>
    <w:rPr>
      <w:sz w:val="21"/>
      <w:szCs w:val="21"/>
    </w:rPr>
  </w:style>
  <w:style w:type="character" w:customStyle="1" w:styleId="210">
    <w:name w:val="style5 style5"/>
    <w:basedOn w:val="52"/>
    <w:qFormat/>
    <w:uiPriority w:val="0"/>
  </w:style>
  <w:style w:type="character" w:customStyle="1" w:styleId="211">
    <w:name w:val="HTML 地址 字符"/>
    <w:basedOn w:val="52"/>
    <w:link w:val="23"/>
    <w:qFormat/>
    <w:uiPriority w:val="0"/>
    <w:rPr>
      <w:rFonts w:ascii="宋体" w:hAnsi="宋体" w:cs="宋体"/>
      <w:i/>
      <w:iCs/>
      <w:sz w:val="24"/>
      <w:szCs w:val="24"/>
    </w:rPr>
  </w:style>
  <w:style w:type="character" w:customStyle="1" w:styleId="212">
    <w:name w:val="HTML 预设格式 字符"/>
    <w:basedOn w:val="52"/>
    <w:link w:val="41"/>
    <w:qFormat/>
    <w:uiPriority w:val="0"/>
    <w:rPr>
      <w:rFonts w:ascii="黑体" w:hAnsi="Courier New" w:eastAsia="黑体" w:cs="Courier New"/>
    </w:rPr>
  </w:style>
  <w:style w:type="character" w:customStyle="1" w:styleId="213">
    <w:name w:val="正文文本缩进 3 字符"/>
    <w:basedOn w:val="52"/>
    <w:link w:val="37"/>
    <w:qFormat/>
    <w:uiPriority w:val="0"/>
    <w:rPr>
      <w:rFonts w:ascii="宋体" w:hAnsi="宋体"/>
      <w:spacing w:val="4"/>
      <w:kern w:val="2"/>
      <w:sz w:val="21"/>
    </w:rPr>
  </w:style>
  <w:style w:type="character" w:customStyle="1" w:styleId="214">
    <w:name w:val="批注文字 Char1"/>
    <w:basedOn w:val="52"/>
    <w:semiHidden/>
    <w:qFormat/>
    <w:uiPriority w:val="99"/>
    <w:rPr>
      <w:kern w:val="2"/>
      <w:sz w:val="21"/>
      <w:szCs w:val="22"/>
    </w:rPr>
  </w:style>
  <w:style w:type="character" w:customStyle="1" w:styleId="215">
    <w:name w:val="正文文本缩进 2 字符"/>
    <w:basedOn w:val="52"/>
    <w:link w:val="29"/>
    <w:qFormat/>
    <w:uiPriority w:val="99"/>
    <w:rPr>
      <w:rFonts w:ascii="Times New Roman" w:hAnsi="Times New Roman"/>
      <w:kern w:val="2"/>
      <w:sz w:val="24"/>
    </w:rPr>
  </w:style>
  <w:style w:type="paragraph" w:customStyle="1" w:styleId="216">
    <w:name w:val="表内文字"/>
    <w:basedOn w:val="1"/>
    <w:qFormat/>
    <w:uiPriority w:val="0"/>
    <w:pPr>
      <w:jc w:val="left"/>
    </w:pPr>
    <w:rPr>
      <w:rFonts w:ascii="Times New Roman" w:hAnsi="Times New Roman"/>
      <w:szCs w:val="24"/>
    </w:rPr>
  </w:style>
  <w:style w:type="paragraph" w:customStyle="1" w:styleId="217">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18">
    <w:name w:val="正文序号 1"/>
    <w:basedOn w:val="1"/>
    <w:qFormat/>
    <w:uiPriority w:val="0"/>
    <w:pPr>
      <w:tabs>
        <w:tab w:val="left" w:pos="839"/>
      </w:tabs>
      <w:spacing w:before="60"/>
      <w:ind w:left="840" w:hanging="420"/>
    </w:pPr>
    <w:rPr>
      <w:rFonts w:ascii="Times New Roman" w:hAnsi="Times New Roman"/>
      <w:szCs w:val="24"/>
    </w:rPr>
  </w:style>
  <w:style w:type="paragraph" w:customStyle="1" w:styleId="219">
    <w:name w:val="样式3"/>
    <w:basedOn w:val="26"/>
    <w:qFormat/>
    <w:uiPriority w:val="0"/>
    <w:pPr>
      <w:spacing w:line="0" w:lineRule="atLeast"/>
      <w:outlineLvl w:val="0"/>
    </w:pPr>
    <w:rPr>
      <w:rFonts w:cs="Times New Roman"/>
      <w:sz w:val="28"/>
      <w:szCs w:val="20"/>
    </w:rPr>
  </w:style>
  <w:style w:type="paragraph" w:customStyle="1" w:styleId="220">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1">
    <w:name w:val="标准"/>
    <w:basedOn w:val="1"/>
    <w:qFormat/>
    <w:uiPriority w:val="0"/>
    <w:pPr>
      <w:widowControl/>
      <w:autoSpaceDE w:val="0"/>
      <w:autoSpaceDN w:val="0"/>
      <w:adjustRightInd w:val="0"/>
      <w:spacing w:line="318" w:lineRule="atLeast"/>
    </w:pPr>
    <w:rPr>
      <w:rFonts w:ascii="楷体_GB2312" w:hAnsi="宋体" w:eastAsia="楷体_GB2312" w:cs="宋体"/>
      <w:kern w:val="0"/>
      <w:sz w:val="24"/>
      <w:szCs w:val="20"/>
    </w:rPr>
  </w:style>
  <w:style w:type="paragraph" w:customStyle="1" w:styleId="222">
    <w:name w:val="ec_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3">
    <w:name w:val="Char1 Char Char Char"/>
    <w:basedOn w:val="1"/>
    <w:qFormat/>
    <w:uiPriority w:val="0"/>
    <w:rPr>
      <w:rFonts w:ascii="Times New Roman" w:hAnsi="Times New Roman"/>
      <w:szCs w:val="20"/>
    </w:rPr>
  </w:style>
  <w:style w:type="paragraph" w:customStyle="1" w:styleId="224">
    <w:name w:val="Q/19LGT01—2001"/>
    <w:basedOn w:val="1"/>
    <w:qFormat/>
    <w:uiPriority w:val="0"/>
    <w:pPr>
      <w:tabs>
        <w:tab w:val="left" w:pos="555"/>
      </w:tabs>
      <w:spacing w:line="360" w:lineRule="auto"/>
      <w:ind w:firstLine="420" w:firstLineChars="200"/>
    </w:pPr>
    <w:rPr>
      <w:rFonts w:ascii="宋体" w:hAnsi="宋体"/>
      <w:bCs/>
      <w:szCs w:val="20"/>
    </w:rPr>
  </w:style>
  <w:style w:type="paragraph" w:customStyle="1" w:styleId="225">
    <w:name w:val="小标题 2"/>
    <w:basedOn w:val="1"/>
    <w:qFormat/>
    <w:uiPriority w:val="0"/>
    <w:pPr>
      <w:autoSpaceDE w:val="0"/>
      <w:autoSpaceDN w:val="0"/>
      <w:adjustRightInd w:val="0"/>
    </w:pPr>
    <w:rPr>
      <w:rFonts w:ascii="黑体" w:hAnsi="Times New Roman" w:eastAsia="黑体" w:cs="黑体"/>
      <w:kern w:val="0"/>
      <w:sz w:val="24"/>
      <w:szCs w:val="24"/>
    </w:rPr>
  </w:style>
  <w:style w:type="paragraph" w:customStyle="1" w:styleId="226">
    <w:name w:val="二级条标题"/>
    <w:basedOn w:val="1"/>
    <w:next w:val="1"/>
    <w:qFormat/>
    <w:uiPriority w:val="0"/>
    <w:pPr>
      <w:widowControl/>
      <w:tabs>
        <w:tab w:val="left" w:pos="1680"/>
        <w:tab w:val="left" w:pos="2160"/>
      </w:tabs>
      <w:ind w:left="2160" w:hanging="420"/>
      <w:jc w:val="left"/>
      <w:outlineLvl w:val="3"/>
    </w:pPr>
    <w:rPr>
      <w:rFonts w:ascii="Times New Roman" w:hAnsi="Times New Roman" w:eastAsia="黑体"/>
      <w:kern w:val="0"/>
      <w:szCs w:val="20"/>
    </w:rPr>
  </w:style>
  <w:style w:type="paragraph" w:customStyle="1" w:styleId="227">
    <w:name w:val="正文序号 2"/>
    <w:basedOn w:val="1"/>
    <w:qFormat/>
    <w:uiPriority w:val="0"/>
    <w:pPr>
      <w:tabs>
        <w:tab w:val="left" w:pos="840"/>
        <w:tab w:val="left" w:pos="1049"/>
      </w:tabs>
      <w:spacing w:before="60"/>
      <w:ind w:left="840" w:hanging="420"/>
    </w:pPr>
    <w:rPr>
      <w:rFonts w:ascii="Times New Roman" w:hAnsi="Times New Roman"/>
      <w:szCs w:val="24"/>
    </w:rPr>
  </w:style>
  <w:style w:type="paragraph" w:customStyle="1" w:styleId="228">
    <w:name w:val="日期1"/>
    <w:basedOn w:val="1"/>
    <w:next w:val="1"/>
    <w:qFormat/>
    <w:uiPriority w:val="0"/>
    <w:rPr>
      <w:rFonts w:ascii="黑体" w:hAnsi="Times New Roman" w:eastAsia="黑体"/>
      <w:sz w:val="28"/>
      <w:szCs w:val="20"/>
    </w:rPr>
  </w:style>
  <w:style w:type="paragraph" w:customStyle="1" w:styleId="229">
    <w:name w:val="xl51"/>
    <w:basedOn w:val="1"/>
    <w:qFormat/>
    <w:uiPriority w:val="0"/>
    <w:pPr>
      <w:widowControl/>
      <w:spacing w:before="100" w:beforeAutospacing="1" w:after="100" w:afterAutospacing="1"/>
      <w:jc w:val="center"/>
    </w:pPr>
    <w:rPr>
      <w:rFonts w:ascii="Arial Unicode MS" w:hAnsi="Arial Unicode MS" w:eastAsia="Arial Unicode MS"/>
      <w:b/>
      <w:kern w:val="0"/>
      <w:sz w:val="32"/>
      <w:szCs w:val="20"/>
    </w:rPr>
  </w:style>
  <w:style w:type="paragraph" w:customStyle="1" w:styleId="230">
    <w:name w:val="正文序号 3"/>
    <w:basedOn w:val="1"/>
    <w:qFormat/>
    <w:uiPriority w:val="0"/>
    <w:pPr>
      <w:tabs>
        <w:tab w:val="left" w:pos="1259"/>
      </w:tabs>
      <w:spacing w:before="60"/>
      <w:ind w:left="1260" w:hanging="420"/>
    </w:pPr>
    <w:rPr>
      <w:rFonts w:ascii="Times New Roman" w:hAnsi="Times New Roman"/>
      <w:szCs w:val="24"/>
    </w:rPr>
  </w:style>
  <w:style w:type="paragraph" w:customStyle="1" w:styleId="231">
    <w:name w:val="正文序号 4"/>
    <w:basedOn w:val="1"/>
    <w:qFormat/>
    <w:uiPriority w:val="0"/>
    <w:pPr>
      <w:tabs>
        <w:tab w:val="left" w:pos="1469"/>
        <w:tab w:val="left" w:pos="1680"/>
      </w:tabs>
      <w:spacing w:before="60"/>
      <w:ind w:left="1680" w:hanging="420"/>
    </w:pPr>
    <w:rPr>
      <w:rFonts w:ascii="Times New Roman" w:hAnsi="Times New Roman"/>
      <w:szCs w:val="24"/>
    </w:rPr>
  </w:style>
  <w:style w:type="paragraph" w:customStyle="1" w:styleId="232">
    <w:name w:val="_Style 37"/>
    <w:basedOn w:val="1"/>
    <w:qFormat/>
    <w:uiPriority w:val="0"/>
    <w:pPr>
      <w:widowControl/>
      <w:spacing w:after="160" w:line="240" w:lineRule="exact"/>
      <w:jc w:val="center"/>
    </w:pPr>
    <w:rPr>
      <w:rFonts w:ascii="宋体" w:hAnsi="宋体"/>
      <w:b/>
      <w:kern w:val="0"/>
      <w:sz w:val="28"/>
      <w:szCs w:val="28"/>
      <w:lang w:eastAsia="en-US"/>
    </w:rPr>
  </w:style>
  <w:style w:type="character" w:customStyle="1" w:styleId="233">
    <w:name w:val="招标书 正文 Char"/>
    <w:link w:val="234"/>
    <w:qFormat/>
    <w:uiPriority w:val="0"/>
    <w:rPr>
      <w:rFonts w:ascii="宋体" w:hAnsi="宋体"/>
      <w:color w:val="000000"/>
      <w:sz w:val="24"/>
      <w:szCs w:val="28"/>
    </w:rPr>
  </w:style>
  <w:style w:type="paragraph" w:customStyle="1" w:styleId="234">
    <w:name w:val="招标书 正文"/>
    <w:basedOn w:val="1"/>
    <w:link w:val="233"/>
    <w:qFormat/>
    <w:uiPriority w:val="0"/>
    <w:pPr>
      <w:widowControl/>
      <w:snapToGrid w:val="0"/>
      <w:spacing w:line="560" w:lineRule="exact"/>
      <w:ind w:firstLine="560" w:firstLineChars="200"/>
      <w:jc w:val="left"/>
    </w:pPr>
    <w:rPr>
      <w:rFonts w:ascii="宋体" w:hAnsi="宋体"/>
      <w:color w:val="000000"/>
      <w:kern w:val="0"/>
      <w:sz w:val="24"/>
      <w:szCs w:val="28"/>
    </w:rPr>
  </w:style>
  <w:style w:type="paragraph" w:customStyle="1" w:styleId="23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ascii="Times New Roman" w:hAnsi="Times New Roman" w:cs="宋体"/>
      <w:b/>
      <w:bCs/>
      <w:color w:val="000000"/>
      <w:kern w:val="20"/>
      <w:sz w:val="24"/>
      <w:szCs w:val="20"/>
    </w:rPr>
  </w:style>
  <w:style w:type="paragraph" w:customStyle="1" w:styleId="236">
    <w:name w:val="表格标题"/>
    <w:basedOn w:val="1"/>
    <w:qFormat/>
    <w:uiPriority w:val="0"/>
    <w:pPr>
      <w:adjustRightInd w:val="0"/>
      <w:snapToGrid w:val="0"/>
      <w:spacing w:before="50" w:beforeLines="50" w:after="50" w:afterLines="50"/>
      <w:ind w:left="22" w:leftChars="8"/>
      <w:jc w:val="center"/>
    </w:pPr>
    <w:rPr>
      <w:rFonts w:ascii="Times New Roman" w:hAnsi="Times New Roman"/>
      <w:b/>
      <w:bCs/>
      <w:color w:val="000000"/>
      <w:sz w:val="32"/>
      <w:szCs w:val="32"/>
    </w:rPr>
  </w:style>
  <w:style w:type="paragraph" w:customStyle="1" w:styleId="237">
    <w:name w:val="表格文字中"/>
    <w:basedOn w:val="1"/>
    <w:qFormat/>
    <w:uiPriority w:val="0"/>
    <w:pPr>
      <w:adjustRightInd w:val="0"/>
      <w:snapToGrid w:val="0"/>
      <w:ind w:left="22" w:leftChars="8"/>
      <w:jc w:val="center"/>
    </w:pPr>
    <w:rPr>
      <w:rFonts w:ascii="Times New Roman" w:hAnsi="Times New Roman"/>
      <w:kern w:val="0"/>
      <w:szCs w:val="24"/>
    </w:rPr>
  </w:style>
  <w:style w:type="paragraph" w:customStyle="1" w:styleId="238">
    <w:name w:val="表注1"/>
    <w:basedOn w:val="1"/>
    <w:qFormat/>
    <w:uiPriority w:val="0"/>
    <w:pPr>
      <w:adjustRightInd w:val="0"/>
      <w:snapToGrid w:val="0"/>
      <w:spacing w:beforeLines="50" w:line="300" w:lineRule="auto"/>
      <w:ind w:left="350" w:hanging="350" w:hangingChars="350"/>
    </w:pPr>
    <w:rPr>
      <w:rFonts w:ascii="Times New Roman" w:hAnsi="Times New Roman" w:eastAsia="仿宋_GB2312"/>
      <w:bCs/>
      <w:color w:val="000000"/>
      <w:szCs w:val="24"/>
    </w:rPr>
  </w:style>
  <w:style w:type="character" w:customStyle="1" w:styleId="239">
    <w:name w:val="Char Char7"/>
    <w:qFormat/>
    <w:uiPriority w:val="0"/>
    <w:rPr>
      <w:rFonts w:ascii="宋体" w:hAnsi="Courier New" w:eastAsia="宋体"/>
      <w:kern w:val="2"/>
      <w:sz w:val="21"/>
      <w:lang w:val="en-US" w:eastAsia="zh-CN" w:bidi="ar-SA"/>
    </w:rPr>
  </w:style>
  <w:style w:type="paragraph" w:customStyle="1" w:styleId="240">
    <w:name w:val="纯文本2"/>
    <w:basedOn w:val="1"/>
    <w:qFormat/>
    <w:uiPriority w:val="0"/>
    <w:pPr>
      <w:spacing w:line="324" w:lineRule="auto"/>
    </w:pPr>
    <w:rPr>
      <w:rFonts w:ascii="宋体" w:hAnsi="Courier New" w:cs="Courier New"/>
      <w:szCs w:val="21"/>
    </w:rPr>
  </w:style>
  <w:style w:type="character" w:customStyle="1" w:styleId="241">
    <w:name w:val="副标题 字符"/>
    <w:link w:val="34"/>
    <w:qFormat/>
    <w:uiPriority w:val="0"/>
    <w:rPr>
      <w:rFonts w:ascii="Cambria" w:hAnsi="Cambria"/>
      <w:b/>
      <w:bCs/>
      <w:kern w:val="28"/>
      <w:sz w:val="32"/>
      <w:szCs w:val="32"/>
    </w:rPr>
  </w:style>
  <w:style w:type="character" w:customStyle="1" w:styleId="242">
    <w:name w:val="hui3"/>
    <w:qFormat/>
    <w:uiPriority w:val="0"/>
    <w:rPr>
      <w:color w:val="333333"/>
    </w:rPr>
  </w:style>
  <w:style w:type="character" w:customStyle="1" w:styleId="243">
    <w:name w:val="样式 正文缩进 + 首行缩进:  2 字符 段前: 0.5 行 段后: 0.5 行 Char"/>
    <w:link w:val="244"/>
    <w:qFormat/>
    <w:uiPriority w:val="0"/>
    <w:rPr>
      <w:rFonts w:cs="宋体"/>
      <w:sz w:val="24"/>
    </w:rPr>
  </w:style>
  <w:style w:type="paragraph" w:customStyle="1" w:styleId="244">
    <w:name w:val="样式 正文缩进 + 首行缩进:  2 字符 段前: 0.5 行 段后: 0.5 行"/>
    <w:basedOn w:val="2"/>
    <w:link w:val="243"/>
    <w:qFormat/>
    <w:uiPriority w:val="0"/>
    <w:pPr>
      <w:spacing w:before="156" w:beforeLines="50" w:after="156" w:afterLines="50" w:line="360" w:lineRule="auto"/>
      <w:ind w:firstLine="480" w:firstLineChars="200"/>
    </w:pPr>
    <w:rPr>
      <w:rFonts w:ascii="Calibri" w:hAnsi="Calibri" w:cs="宋体"/>
      <w:kern w:val="0"/>
      <w:sz w:val="24"/>
    </w:rPr>
  </w:style>
  <w:style w:type="character" w:customStyle="1" w:styleId="245">
    <w:name w:val="base"/>
    <w:basedOn w:val="52"/>
    <w:qFormat/>
    <w:uiPriority w:val="0"/>
  </w:style>
  <w:style w:type="character" w:customStyle="1" w:styleId="246">
    <w:name w:val="正文文本 3 字符"/>
    <w:link w:val="20"/>
    <w:qFormat/>
    <w:uiPriority w:val="0"/>
    <w:rPr>
      <w:b/>
      <w:spacing w:val="-20"/>
      <w:w w:val="110"/>
      <w:sz w:val="52"/>
    </w:rPr>
  </w:style>
  <w:style w:type="character" w:customStyle="1" w:styleId="247">
    <w:name w:val="正文文本 2 字符"/>
    <w:link w:val="40"/>
    <w:qFormat/>
    <w:uiPriority w:val="0"/>
    <w:rPr>
      <w:rFonts w:ascii="楷体_GB2312" w:hAnsi="Copperplate Gothic Bold" w:eastAsia="楷体_GB2312"/>
      <w:sz w:val="28"/>
    </w:rPr>
  </w:style>
  <w:style w:type="character" w:customStyle="1" w:styleId="248">
    <w:name w:val="unnamed11"/>
    <w:basedOn w:val="52"/>
    <w:qFormat/>
    <w:uiPriority w:val="0"/>
  </w:style>
  <w:style w:type="character" w:customStyle="1" w:styleId="249">
    <w:name w:val="c1"/>
    <w:qFormat/>
    <w:uiPriority w:val="0"/>
    <w:rPr>
      <w:sz w:val="28"/>
      <w:szCs w:val="28"/>
    </w:rPr>
  </w:style>
  <w:style w:type="character" w:customStyle="1" w:styleId="250">
    <w:name w:val="introduction1"/>
    <w:qFormat/>
    <w:uiPriority w:val="0"/>
  </w:style>
  <w:style w:type="character" w:customStyle="1" w:styleId="251">
    <w:name w:val="题注 字符"/>
    <w:link w:val="15"/>
    <w:qFormat/>
    <w:uiPriority w:val="0"/>
    <w:rPr>
      <w:rFonts w:ascii="Cambria" w:hAnsi="Cambria" w:eastAsia="黑体"/>
      <w:kern w:val="2"/>
    </w:rPr>
  </w:style>
  <w:style w:type="character" w:customStyle="1" w:styleId="252">
    <w:name w:val="para1"/>
    <w:qFormat/>
    <w:uiPriority w:val="0"/>
    <w:rPr>
      <w:rFonts w:hint="default" w:ascii="Arial" w:hAnsi="Arial" w:cs="Arial"/>
      <w:sz w:val="18"/>
      <w:szCs w:val="18"/>
    </w:rPr>
  </w:style>
  <w:style w:type="character" w:customStyle="1" w:styleId="253">
    <w:name w:val="副标题 Char1"/>
    <w:basedOn w:val="52"/>
    <w:qFormat/>
    <w:uiPriority w:val="11"/>
    <w:rPr>
      <w:rFonts w:asciiTheme="majorHAnsi" w:hAnsiTheme="majorHAnsi" w:cstheme="majorBidi"/>
      <w:b/>
      <w:bCs/>
      <w:kern w:val="28"/>
      <w:sz w:val="32"/>
      <w:szCs w:val="32"/>
    </w:rPr>
  </w:style>
  <w:style w:type="character" w:customStyle="1" w:styleId="254">
    <w:name w:val="正文文本 2 Char1"/>
    <w:basedOn w:val="52"/>
    <w:semiHidden/>
    <w:qFormat/>
    <w:uiPriority w:val="99"/>
    <w:rPr>
      <w:kern w:val="2"/>
      <w:sz w:val="21"/>
      <w:szCs w:val="22"/>
    </w:rPr>
  </w:style>
  <w:style w:type="character" w:customStyle="1" w:styleId="255">
    <w:name w:val="正文文本 3 Char1"/>
    <w:basedOn w:val="52"/>
    <w:semiHidden/>
    <w:qFormat/>
    <w:uiPriority w:val="99"/>
    <w:rPr>
      <w:kern w:val="2"/>
      <w:sz w:val="16"/>
      <w:szCs w:val="16"/>
    </w:rPr>
  </w:style>
  <w:style w:type="paragraph" w:customStyle="1" w:styleId="256">
    <w:name w:val="Char11"/>
    <w:basedOn w:val="1"/>
    <w:qFormat/>
    <w:uiPriority w:val="0"/>
    <w:rPr>
      <w:rFonts w:ascii="宋体" w:hAnsi="宋体"/>
      <w:sz w:val="24"/>
      <w:szCs w:val="24"/>
    </w:rPr>
  </w:style>
  <w:style w:type="paragraph" w:customStyle="1" w:styleId="257">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258">
    <w:name w:val="??¨???¨????ì?¨¨??¨?o??????ì?¨¨?"/>
    <w:basedOn w:val="1"/>
    <w:qFormat/>
    <w:uiPriority w:val="0"/>
    <w:pPr>
      <w:autoSpaceDE w:val="0"/>
      <w:autoSpaceDN w:val="0"/>
      <w:adjustRightInd w:val="0"/>
      <w:jc w:val="left"/>
    </w:pPr>
    <w:rPr>
      <w:rFonts w:ascii="Times New Roman" w:hAnsi="Times New Roman"/>
      <w:kern w:val="0"/>
      <w:sz w:val="24"/>
      <w:szCs w:val="20"/>
    </w:rPr>
  </w:style>
  <w:style w:type="paragraph" w:customStyle="1" w:styleId="259">
    <w:name w:val="?§?§?¨¤?§o????¨¤?"/>
    <w:basedOn w:val="1"/>
    <w:qFormat/>
    <w:uiPriority w:val="0"/>
    <w:pPr>
      <w:autoSpaceDE w:val="0"/>
      <w:autoSpaceDN w:val="0"/>
      <w:adjustRightInd w:val="0"/>
      <w:jc w:val="left"/>
    </w:pPr>
    <w:rPr>
      <w:rFonts w:ascii="Times New Roman" w:hAnsi="Times New Roman"/>
      <w:kern w:val="0"/>
      <w:sz w:val="24"/>
      <w:szCs w:val="20"/>
    </w:rPr>
  </w:style>
  <w:style w:type="paragraph" w:customStyle="1" w:styleId="260">
    <w:name w:val="正文段"/>
    <w:basedOn w:val="1"/>
    <w:qFormat/>
    <w:uiPriority w:val="0"/>
    <w:pPr>
      <w:adjustRightInd w:val="0"/>
      <w:snapToGrid w:val="0"/>
      <w:spacing w:line="360" w:lineRule="auto"/>
    </w:pPr>
    <w:rPr>
      <w:rFonts w:ascii="Times New Roman" w:hAnsi="Times New Roman" w:eastAsia="仿宋_GB2312"/>
      <w:spacing w:val="-8"/>
      <w:sz w:val="24"/>
      <w:szCs w:val="20"/>
    </w:rPr>
  </w:style>
  <w:style w:type="paragraph" w:customStyle="1" w:styleId="26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b/>
      <w:bCs/>
      <w:kern w:val="0"/>
      <w:sz w:val="24"/>
      <w:szCs w:val="24"/>
    </w:rPr>
  </w:style>
  <w:style w:type="paragraph" w:customStyle="1" w:styleId="262">
    <w:name w:val="Form Header 1"/>
    <w:basedOn w:val="1"/>
    <w:next w:val="1"/>
    <w:qFormat/>
    <w:uiPriority w:val="0"/>
    <w:pPr>
      <w:widowControl/>
      <w:spacing w:before="80" w:after="80"/>
      <w:jc w:val="left"/>
    </w:pPr>
    <w:rPr>
      <w:rFonts w:ascii="Arial" w:hAnsi="Arial"/>
      <w:b/>
      <w:kern w:val="0"/>
      <w:sz w:val="24"/>
      <w:szCs w:val="20"/>
      <w:lang w:val="de-DE" w:eastAsia="en-US"/>
    </w:rPr>
  </w:style>
  <w:style w:type="paragraph" w:customStyle="1" w:styleId="263">
    <w:name w:val="文字列表"/>
    <w:basedOn w:val="1"/>
    <w:qFormat/>
    <w:uiPriority w:val="0"/>
    <w:pPr>
      <w:tabs>
        <w:tab w:val="left" w:pos="420"/>
      </w:tabs>
      <w:spacing w:line="360" w:lineRule="auto"/>
      <w:ind w:left="358" w:leftChars="128" w:firstLine="2"/>
    </w:pPr>
    <w:rPr>
      <w:rFonts w:ascii="Times New Roman" w:hAnsi="Times New Roman"/>
      <w:spacing w:val="20"/>
      <w:sz w:val="24"/>
      <w:szCs w:val="24"/>
    </w:rPr>
  </w:style>
  <w:style w:type="paragraph" w:customStyle="1" w:styleId="264">
    <w:name w:val="插图编号"/>
    <w:basedOn w:val="1"/>
    <w:next w:val="2"/>
    <w:qFormat/>
    <w:uiPriority w:val="0"/>
    <w:pPr>
      <w:tabs>
        <w:tab w:val="left" w:pos="1440"/>
      </w:tabs>
      <w:spacing w:line="360" w:lineRule="auto"/>
      <w:ind w:left="1021" w:hanging="1021"/>
    </w:pPr>
    <w:rPr>
      <w:rFonts w:ascii="Times New Roman" w:hAnsi="Times New Roman"/>
      <w:spacing w:val="20"/>
      <w:sz w:val="24"/>
      <w:szCs w:val="24"/>
    </w:rPr>
  </w:style>
  <w:style w:type="paragraph" w:customStyle="1" w:styleId="265">
    <w:name w:val="Char12"/>
    <w:basedOn w:val="1"/>
    <w:qFormat/>
    <w:uiPriority w:val="0"/>
    <w:pPr>
      <w:tabs>
        <w:tab w:val="left" w:pos="360"/>
      </w:tabs>
    </w:pPr>
    <w:rPr>
      <w:rFonts w:ascii="Times New Roman" w:hAnsi="Times New Roman"/>
      <w:sz w:val="24"/>
      <w:szCs w:val="24"/>
    </w:rPr>
  </w:style>
  <w:style w:type="paragraph" w:customStyle="1" w:styleId="266">
    <w:name w:val="排列"/>
    <w:basedOn w:val="1"/>
    <w:qFormat/>
    <w:uiPriority w:val="0"/>
    <w:pPr>
      <w:adjustRightInd w:val="0"/>
      <w:spacing w:line="360" w:lineRule="auto"/>
      <w:ind w:hanging="627"/>
      <w:jc w:val="left"/>
    </w:pPr>
    <w:rPr>
      <w:rFonts w:ascii="Times New Roman" w:hAnsi="Times New Roman"/>
      <w:b/>
      <w:kern w:val="0"/>
      <w:sz w:val="24"/>
      <w:szCs w:val="20"/>
    </w:rPr>
  </w:style>
  <w:style w:type="paragraph" w:customStyle="1" w:styleId="267">
    <w:name w:val="1册标题2"/>
    <w:basedOn w:val="1"/>
    <w:next w:val="1"/>
    <w:qFormat/>
    <w:uiPriority w:val="0"/>
    <w:pPr>
      <w:adjustRightInd w:val="0"/>
      <w:spacing w:before="156" w:beforeLines="50" w:after="156" w:afterLines="50" w:line="300" w:lineRule="auto"/>
      <w:jc w:val="center"/>
      <w:textAlignment w:val="baseline"/>
      <w:outlineLvl w:val="1"/>
    </w:pPr>
    <w:rPr>
      <w:rFonts w:ascii="Arial" w:hAnsi="Arial" w:eastAsia="黑体"/>
      <w:bCs/>
      <w:kern w:val="0"/>
      <w:sz w:val="32"/>
      <w:szCs w:val="24"/>
    </w:rPr>
  </w:style>
  <w:style w:type="paragraph" w:customStyle="1" w:styleId="268">
    <w:name w:val="Char3"/>
    <w:basedOn w:val="1"/>
    <w:qFormat/>
    <w:uiPriority w:val="0"/>
    <w:pPr>
      <w:tabs>
        <w:tab w:val="left" w:pos="360"/>
      </w:tabs>
    </w:pPr>
    <w:rPr>
      <w:rFonts w:ascii="Times New Roman" w:hAnsi="Times New Roman"/>
      <w:sz w:val="24"/>
      <w:szCs w:val="24"/>
    </w:rPr>
  </w:style>
  <w:style w:type="paragraph" w:customStyle="1" w:styleId="26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70">
    <w:name w:val="表格文字"/>
    <w:basedOn w:val="1"/>
    <w:qFormat/>
    <w:uiPriority w:val="0"/>
    <w:pPr>
      <w:spacing w:before="120" w:after="120"/>
    </w:pPr>
    <w:rPr>
      <w:rFonts w:ascii="新宋体" w:hAnsi="宋体" w:eastAsia="新宋体"/>
      <w:bCs/>
      <w:color w:val="000000"/>
      <w:kern w:val="0"/>
      <w:sz w:val="18"/>
      <w:szCs w:val="18"/>
    </w:rPr>
  </w:style>
  <w:style w:type="character" w:customStyle="1" w:styleId="271">
    <w:name w:val="emtidy-2"/>
    <w:basedOn w:val="52"/>
    <w:qFormat/>
    <w:uiPriority w:val="0"/>
  </w:style>
  <w:style w:type="character" w:customStyle="1" w:styleId="272">
    <w:name w:val="emtidy-3"/>
    <w:basedOn w:val="52"/>
    <w:qFormat/>
    <w:uiPriority w:val="0"/>
  </w:style>
  <w:style w:type="character" w:customStyle="1" w:styleId="273">
    <w:name w:val="emtidy-4"/>
    <w:basedOn w:val="52"/>
    <w:qFormat/>
    <w:uiPriority w:val="0"/>
  </w:style>
  <w:style w:type="character" w:customStyle="1" w:styleId="274">
    <w:name w:val="emtidy-5"/>
    <w:basedOn w:val="52"/>
    <w:qFormat/>
    <w:uiPriority w:val="0"/>
  </w:style>
  <w:style w:type="character" w:customStyle="1" w:styleId="275">
    <w:name w:val="emtidy-6"/>
    <w:basedOn w:val="52"/>
    <w:qFormat/>
    <w:uiPriority w:val="0"/>
  </w:style>
  <w:style w:type="paragraph" w:customStyle="1" w:styleId="276">
    <w:name w:val="case31"/>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277">
    <w:name w:val="Char2 Char Char Char"/>
    <w:basedOn w:val="1"/>
    <w:qFormat/>
    <w:uiPriority w:val="0"/>
    <w:rPr>
      <w:rFonts w:ascii="Tahoma" w:hAnsi="Tahoma"/>
      <w:sz w:val="24"/>
      <w:szCs w:val="20"/>
    </w:rPr>
  </w:style>
  <w:style w:type="paragraph" w:customStyle="1" w:styleId="278">
    <w:name w:val="Char Char2 Char Char"/>
    <w:basedOn w:val="1"/>
    <w:qFormat/>
    <w:uiPriority w:val="0"/>
    <w:rPr>
      <w:rFonts w:ascii="Swis721 BT" w:hAnsi="Swis721 BT" w:eastAsia="Batang"/>
      <w:b/>
      <w:bCs/>
      <w:kern w:val="0"/>
      <w:sz w:val="20"/>
      <w:szCs w:val="20"/>
      <w:lang w:eastAsia="ko-KR"/>
    </w:rPr>
  </w:style>
  <w:style w:type="paragraph" w:customStyle="1" w:styleId="279">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0">
    <w:name w:val="！正文"/>
    <w:basedOn w:val="1"/>
    <w:qFormat/>
    <w:uiPriority w:val="0"/>
    <w:pPr>
      <w:spacing w:line="400" w:lineRule="exact"/>
      <w:ind w:firstLine="200" w:firstLineChars="200"/>
    </w:pPr>
    <w:rPr>
      <w:rFonts w:ascii="Times New Roman" w:hAnsi="Times New Roman"/>
      <w:sz w:val="24"/>
    </w:rPr>
  </w:style>
  <w:style w:type="paragraph" w:styleId="281">
    <w:name w:val="List Paragraph"/>
    <w:basedOn w:val="1"/>
    <w:unhideWhenUsed/>
    <w:qFormat/>
    <w:uiPriority w:val="34"/>
    <w:pPr>
      <w:ind w:firstLine="420" w:firstLineChars="200"/>
    </w:pPr>
  </w:style>
  <w:style w:type="paragraph" w:customStyle="1" w:styleId="282">
    <w:name w:val="Table Paragraph"/>
    <w:basedOn w:val="1"/>
    <w:qFormat/>
    <w:uiPriority w:val="1"/>
    <w:pPr>
      <w:autoSpaceDE w:val="0"/>
      <w:autoSpaceDN w:val="0"/>
      <w:adjustRightInd w:val="0"/>
      <w:jc w:val="left"/>
    </w:pPr>
    <w:rPr>
      <w:rFonts w:ascii="Times New Roman" w:hAnsi="Times New Roman"/>
      <w:kern w:val="0"/>
      <w:sz w:val="24"/>
      <w:szCs w:val="24"/>
    </w:rPr>
  </w:style>
  <w:style w:type="character" w:customStyle="1" w:styleId="283">
    <w:name w:val="09正文_wh Char Char"/>
    <w:link w:val="284"/>
    <w:qFormat/>
    <w:uiPriority w:val="0"/>
    <w:rPr>
      <w:sz w:val="28"/>
    </w:rPr>
  </w:style>
  <w:style w:type="paragraph" w:customStyle="1" w:styleId="284">
    <w:name w:val="09正文_wh"/>
    <w:link w:val="283"/>
    <w:qFormat/>
    <w:uiPriority w:val="0"/>
    <w:pPr>
      <w:spacing w:line="300" w:lineRule="auto"/>
      <w:ind w:firstLine="200" w:firstLineChars="200"/>
      <w:jc w:val="both"/>
    </w:pPr>
    <w:rPr>
      <w:rFonts w:ascii="Calibri" w:hAnsi="Calibri" w:eastAsia="宋体" w:cs="Times New Roman"/>
      <w:sz w:val="28"/>
      <w:lang w:val="en-US" w:eastAsia="zh-CN" w:bidi="ar-SA"/>
    </w:rPr>
  </w:style>
  <w:style w:type="character" w:customStyle="1" w:styleId="285">
    <w:name w:val="Char Char Char Char1"/>
    <w:link w:val="286"/>
    <w:qFormat/>
    <w:uiPriority w:val="0"/>
    <w:rPr>
      <w:kern w:val="2"/>
      <w:sz w:val="21"/>
      <w:szCs w:val="24"/>
    </w:rPr>
  </w:style>
  <w:style w:type="paragraph" w:customStyle="1" w:styleId="286">
    <w:name w:val="Char4"/>
    <w:basedOn w:val="1"/>
    <w:link w:val="285"/>
    <w:qFormat/>
    <w:uiPriority w:val="0"/>
    <w:rPr>
      <w:szCs w:val="24"/>
    </w:rPr>
  </w:style>
  <w:style w:type="character" w:customStyle="1" w:styleId="287">
    <w:name w:val="页脚 字符"/>
    <w:qFormat/>
    <w:uiPriority w:val="99"/>
  </w:style>
  <w:style w:type="character" w:customStyle="1" w:styleId="288">
    <w:name w:val="标题 字符"/>
    <w:qFormat/>
    <w:uiPriority w:val="0"/>
    <w:rPr>
      <w:rFonts w:ascii="Cambria" w:hAnsi="Cambria" w:eastAsia="宋体" w:cs="Times New Roman"/>
      <w:b/>
      <w:bCs/>
      <w:kern w:val="2"/>
      <w:sz w:val="36"/>
      <w:szCs w:val="32"/>
      <w:lang w:bidi="ar-SA"/>
    </w:rPr>
  </w:style>
  <w:style w:type="paragraph" w:customStyle="1" w:styleId="28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color w:val="000000"/>
      <w:kern w:val="0"/>
      <w:sz w:val="24"/>
      <w:szCs w:val="24"/>
    </w:rPr>
  </w:style>
  <w:style w:type="paragraph" w:customStyle="1" w:styleId="29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 w:cs="宋体"/>
      <w:kern w:val="0"/>
      <w:sz w:val="24"/>
      <w:szCs w:val="24"/>
    </w:rPr>
  </w:style>
  <w:style w:type="paragraph" w:customStyle="1" w:styleId="291">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仿宋" w:cs="宋体"/>
      <w:b/>
      <w:bCs/>
      <w:kern w:val="0"/>
      <w:sz w:val="24"/>
      <w:szCs w:val="24"/>
    </w:rPr>
  </w:style>
  <w:style w:type="paragraph" w:customStyle="1" w:styleId="29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 w:cs="宋体"/>
      <w:kern w:val="0"/>
      <w:sz w:val="24"/>
      <w:szCs w:val="24"/>
    </w:rPr>
  </w:style>
  <w:style w:type="paragraph" w:customStyle="1" w:styleId="29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仿宋" w:cs="宋体"/>
      <w:kern w:val="0"/>
      <w:sz w:val="24"/>
      <w:szCs w:val="24"/>
    </w:rPr>
  </w:style>
  <w:style w:type="paragraph" w:customStyle="1" w:styleId="294">
    <w:name w:val="彩色列表 - 着色 11"/>
    <w:basedOn w:val="1"/>
    <w:qFormat/>
    <w:uiPriority w:val="0"/>
    <w:pPr>
      <w:widowControl/>
      <w:ind w:left="720"/>
      <w:contextualSpacing/>
      <w:jc w:val="left"/>
    </w:pPr>
    <w:rPr>
      <w:rFonts w:eastAsia="仿宋"/>
      <w:kern w:val="0"/>
      <w:sz w:val="24"/>
      <w:szCs w:val="24"/>
      <w:lang w:eastAsia="en-US" w:bidi="en-US"/>
    </w:rPr>
  </w:style>
  <w:style w:type="paragraph" w:customStyle="1" w:styleId="29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仿宋" w:cs="宋体"/>
      <w:kern w:val="0"/>
      <w:sz w:val="24"/>
      <w:szCs w:val="24"/>
    </w:rPr>
  </w:style>
  <w:style w:type="paragraph" w:customStyle="1" w:styleId="29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 w:cs="宋体"/>
      <w:b/>
      <w:bCs/>
      <w:kern w:val="0"/>
      <w:sz w:val="24"/>
      <w:szCs w:val="24"/>
    </w:rPr>
  </w:style>
  <w:style w:type="paragraph" w:customStyle="1" w:styleId="29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b/>
      <w:bCs/>
      <w:kern w:val="0"/>
      <w:sz w:val="24"/>
      <w:szCs w:val="24"/>
    </w:rPr>
  </w:style>
  <w:style w:type="paragraph" w:customStyle="1" w:styleId="29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kern w:val="0"/>
      <w:sz w:val="24"/>
      <w:szCs w:val="24"/>
    </w:rPr>
  </w:style>
  <w:style w:type="paragraph" w:customStyle="1" w:styleId="299">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仿宋" w:cs="宋体"/>
      <w:b/>
      <w:bCs/>
      <w:kern w:val="0"/>
      <w:sz w:val="24"/>
      <w:szCs w:val="24"/>
    </w:rPr>
  </w:style>
  <w:style w:type="paragraph" w:customStyle="1" w:styleId="30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kern w:val="0"/>
      <w:sz w:val="24"/>
      <w:szCs w:val="24"/>
    </w:rPr>
  </w:style>
  <w:style w:type="paragraph" w:customStyle="1" w:styleId="3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kern w:val="0"/>
      <w:sz w:val="24"/>
      <w:szCs w:val="24"/>
    </w:rPr>
  </w:style>
  <w:style w:type="paragraph" w:customStyle="1" w:styleId="302">
    <w:name w:val="xl60"/>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eastAsia="仿宋" w:cs="宋体"/>
      <w:b/>
      <w:bCs/>
      <w:kern w:val="0"/>
      <w:sz w:val="24"/>
      <w:szCs w:val="24"/>
    </w:rPr>
  </w:style>
  <w:style w:type="paragraph" w:customStyle="1" w:styleId="303">
    <w:name w:val="font5"/>
    <w:basedOn w:val="1"/>
    <w:qFormat/>
    <w:uiPriority w:val="0"/>
    <w:pPr>
      <w:widowControl/>
      <w:spacing w:before="100" w:beforeAutospacing="1" w:after="100" w:afterAutospacing="1"/>
      <w:jc w:val="left"/>
    </w:pPr>
    <w:rPr>
      <w:rFonts w:ascii="宋体" w:hAnsi="宋体" w:eastAsia="仿宋" w:cs="宋体"/>
      <w:kern w:val="0"/>
      <w:sz w:val="18"/>
      <w:szCs w:val="18"/>
    </w:rPr>
  </w:style>
  <w:style w:type="paragraph" w:customStyle="1" w:styleId="3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color w:val="000000"/>
      <w:kern w:val="0"/>
      <w:sz w:val="24"/>
      <w:szCs w:val="24"/>
    </w:rPr>
  </w:style>
  <w:style w:type="paragraph" w:customStyle="1" w:styleId="3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 w:cs="宋体"/>
      <w:kern w:val="0"/>
      <w:sz w:val="24"/>
      <w:szCs w:val="24"/>
    </w:rPr>
  </w:style>
  <w:style w:type="paragraph" w:customStyle="1" w:styleId="306">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30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 w:cs="宋体"/>
      <w:kern w:val="0"/>
      <w:sz w:val="24"/>
      <w:szCs w:val="24"/>
    </w:rPr>
  </w:style>
  <w:style w:type="paragraph" w:customStyle="1" w:styleId="308">
    <w:name w:val="xl62"/>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eastAsia="仿宋" w:cs="宋体"/>
      <w:b/>
      <w:bCs/>
      <w:kern w:val="0"/>
      <w:sz w:val="24"/>
      <w:szCs w:val="24"/>
    </w:rPr>
  </w:style>
  <w:style w:type="paragraph" w:customStyle="1" w:styleId="3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kern w:val="0"/>
      <w:sz w:val="24"/>
      <w:szCs w:val="24"/>
    </w:rPr>
  </w:style>
  <w:style w:type="paragraph" w:customStyle="1" w:styleId="3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color w:val="000000"/>
      <w:kern w:val="0"/>
      <w:sz w:val="24"/>
      <w:szCs w:val="24"/>
    </w:rPr>
  </w:style>
  <w:style w:type="paragraph" w:customStyle="1" w:styleId="31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 w:cs="宋体"/>
      <w:b/>
      <w:bCs/>
      <w:kern w:val="0"/>
      <w:sz w:val="24"/>
      <w:szCs w:val="24"/>
    </w:rPr>
  </w:style>
  <w:style w:type="paragraph" w:customStyle="1" w:styleId="312">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b/>
      <w:bCs/>
      <w:kern w:val="0"/>
      <w:sz w:val="24"/>
      <w:szCs w:val="24"/>
    </w:rPr>
  </w:style>
  <w:style w:type="paragraph" w:customStyle="1" w:styleId="313">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仿宋" w:cs="宋体"/>
      <w:b/>
      <w:bCs/>
      <w:kern w:val="0"/>
      <w:sz w:val="24"/>
      <w:szCs w:val="24"/>
    </w:rPr>
  </w:style>
  <w:style w:type="paragraph" w:customStyle="1" w:styleId="314">
    <w:name w:val="xl5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仿宋" w:cs="宋体"/>
      <w:b/>
      <w:bCs/>
      <w:kern w:val="0"/>
      <w:sz w:val="24"/>
      <w:szCs w:val="24"/>
    </w:rPr>
  </w:style>
  <w:style w:type="paragraph" w:customStyle="1" w:styleId="315">
    <w:name w:val="Char13"/>
    <w:basedOn w:val="1"/>
    <w:qFormat/>
    <w:uiPriority w:val="0"/>
    <w:rPr>
      <w:rFonts w:ascii="Tahoma" w:hAnsi="Tahoma" w:eastAsia="仿宋"/>
      <w:sz w:val="24"/>
      <w:szCs w:val="24"/>
    </w:rPr>
  </w:style>
  <w:style w:type="paragraph" w:customStyle="1" w:styleId="316">
    <w:name w:val="xl61"/>
    <w:basedOn w:val="1"/>
    <w:qFormat/>
    <w:uiPriority w:val="0"/>
    <w:pPr>
      <w:widowControl/>
      <w:pBdr>
        <w:top w:val="single" w:color="auto" w:sz="4" w:space="0"/>
      </w:pBdr>
      <w:spacing w:before="100" w:beforeAutospacing="1" w:after="100" w:afterAutospacing="1"/>
      <w:jc w:val="left"/>
    </w:pPr>
    <w:rPr>
      <w:rFonts w:ascii="宋体" w:hAnsi="宋体" w:eastAsia="仿宋" w:cs="宋体"/>
      <w:b/>
      <w:bCs/>
      <w:kern w:val="0"/>
      <w:sz w:val="24"/>
      <w:szCs w:val="24"/>
    </w:rPr>
  </w:style>
  <w:style w:type="paragraph" w:customStyle="1" w:styleId="31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kern w:val="0"/>
      <w:sz w:val="24"/>
      <w:szCs w:val="24"/>
    </w:rPr>
  </w:style>
  <w:style w:type="paragraph" w:customStyle="1" w:styleId="3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color w:val="000000"/>
      <w:kern w:val="0"/>
      <w:sz w:val="24"/>
      <w:szCs w:val="24"/>
    </w:rPr>
  </w:style>
  <w:style w:type="paragraph" w:customStyle="1" w:styleId="31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kern w:val="0"/>
      <w:sz w:val="24"/>
      <w:szCs w:val="24"/>
    </w:rPr>
  </w:style>
  <w:style w:type="paragraph" w:customStyle="1" w:styleId="3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kern w:val="0"/>
      <w:sz w:val="24"/>
      <w:szCs w:val="24"/>
    </w:rPr>
  </w:style>
  <w:style w:type="paragraph" w:customStyle="1" w:styleId="32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b/>
      <w:bCs/>
      <w:kern w:val="0"/>
      <w:sz w:val="28"/>
      <w:szCs w:val="28"/>
    </w:rPr>
  </w:style>
  <w:style w:type="paragraph" w:customStyle="1" w:styleId="32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 w:cs="宋体"/>
      <w:kern w:val="0"/>
      <w:sz w:val="24"/>
      <w:szCs w:val="24"/>
    </w:rPr>
  </w:style>
  <w:style w:type="paragraph" w:customStyle="1" w:styleId="3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仿宋" w:cs="宋体"/>
      <w:b/>
      <w:bCs/>
      <w:kern w:val="0"/>
      <w:sz w:val="28"/>
      <w:szCs w:val="28"/>
    </w:rPr>
  </w:style>
  <w:style w:type="paragraph" w:customStyle="1" w:styleId="32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 w:cs="宋体"/>
      <w:b/>
      <w:bCs/>
      <w:kern w:val="0"/>
      <w:sz w:val="24"/>
      <w:szCs w:val="24"/>
    </w:rPr>
  </w:style>
  <w:style w:type="paragraph" w:customStyle="1" w:styleId="3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6">
    <w:name w:val="xl39"/>
    <w:basedOn w:val="1"/>
    <w:qFormat/>
    <w:uiPriority w:val="0"/>
    <w:pPr>
      <w:widowControl/>
      <w:spacing w:before="100" w:beforeAutospacing="1" w:after="100" w:afterAutospacing="1"/>
      <w:jc w:val="left"/>
    </w:pPr>
    <w:rPr>
      <w:rFonts w:ascii="宋体" w:hAnsi="宋体" w:eastAsia="仿宋" w:cs="宋体"/>
      <w:kern w:val="0"/>
      <w:sz w:val="24"/>
      <w:szCs w:val="24"/>
    </w:rPr>
  </w:style>
  <w:style w:type="paragraph" w:customStyle="1" w:styleId="32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 w:cs="宋体"/>
      <w:kern w:val="0"/>
      <w:sz w:val="24"/>
      <w:szCs w:val="24"/>
    </w:rPr>
  </w:style>
  <w:style w:type="paragraph" w:customStyle="1" w:styleId="328">
    <w:name w:val="Char Char3"/>
    <w:basedOn w:val="1"/>
    <w:qFormat/>
    <w:uiPriority w:val="0"/>
    <w:rPr>
      <w:rFonts w:ascii="Times New Roman" w:hAnsi="Times New Roman" w:eastAsia="仿宋"/>
      <w:sz w:val="32"/>
      <w:szCs w:val="24"/>
    </w:rPr>
  </w:style>
  <w:style w:type="paragraph" w:customStyle="1" w:styleId="3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 w:cs="宋体"/>
      <w:kern w:val="0"/>
      <w:sz w:val="24"/>
      <w:szCs w:val="24"/>
    </w:rPr>
  </w:style>
  <w:style w:type="paragraph" w:customStyle="1" w:styleId="3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仿宋" w:cs="宋体"/>
      <w:kern w:val="0"/>
      <w:sz w:val="24"/>
      <w:szCs w:val="24"/>
    </w:rPr>
  </w:style>
  <w:style w:type="paragraph" w:customStyle="1" w:styleId="331">
    <w:name w:va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2">
    <w:name w:val="章标题"/>
    <w:next w:val="156"/>
    <w:qFormat/>
    <w:uiPriority w:val="0"/>
    <w:pPr>
      <w:spacing w:beforeLines="50" w:afterLines="50"/>
      <w:jc w:val="center"/>
      <w:outlineLvl w:val="1"/>
    </w:pPr>
    <w:rPr>
      <w:rFonts w:ascii="Arial" w:hAnsi="Arial" w:eastAsia="黑体" w:cs="Arial"/>
      <w:sz w:val="32"/>
      <w:szCs w:val="32"/>
      <w:lang w:val="en-US" w:eastAsia="zh-CN" w:bidi="ar-SA"/>
    </w:rPr>
  </w:style>
  <w:style w:type="paragraph" w:customStyle="1" w:styleId="333">
    <w:name w:val="无间隔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quot;List Paragraph&quo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335">
    <w:name w:val="列出段落5"/>
    <w:basedOn w:val="1"/>
    <w:qFormat/>
    <w:uiPriority w:val="0"/>
    <w:pPr>
      <w:ind w:firstLine="420" w:firstLineChars="200"/>
    </w:pPr>
    <w:rPr>
      <w:rFonts w:cs="Calibri"/>
      <w:szCs w:val="21"/>
    </w:rPr>
  </w:style>
  <w:style w:type="paragraph" w:customStyle="1" w:styleId="336">
    <w:name w:val="样式 加粗 段前: 7.8 磅 段后: 7.8 磅 行距: 固定值 20 磅"/>
    <w:basedOn w:val="1"/>
    <w:qFormat/>
    <w:uiPriority w:val="0"/>
    <w:pPr>
      <w:spacing w:before="60" w:after="60" w:line="360" w:lineRule="exact"/>
    </w:pPr>
    <w:rPr>
      <w:rFonts w:ascii="Times New Roman" w:hAnsi="Times New Roman" w:cs="宋体"/>
      <w:b/>
      <w:bCs/>
      <w:spacing w:val="-2"/>
      <w:sz w:val="24"/>
      <w:szCs w:val="20"/>
    </w:rPr>
  </w:style>
  <w:style w:type="paragraph" w:customStyle="1" w:styleId="337">
    <w:name w:val="一级条标题"/>
    <w:next w:val="156"/>
    <w:qFormat/>
    <w:uiPriority w:val="0"/>
    <w:pPr>
      <w:ind w:left="766"/>
      <w:outlineLvl w:val="2"/>
    </w:pPr>
    <w:rPr>
      <w:rFonts w:ascii="Times New Roman" w:hAnsi="Times New Roman" w:eastAsia="黑体" w:cs="Times New Roman"/>
      <w:sz w:val="21"/>
      <w:lang w:val="en-US" w:eastAsia="zh-CN" w:bidi="ar-SA"/>
    </w:rPr>
  </w:style>
  <w:style w:type="paragraph" w:customStyle="1" w:styleId="338">
    <w:name w:val="样式 宋体 左 行距: 1.5 倍行距"/>
    <w:basedOn w:val="1"/>
    <w:qFormat/>
    <w:uiPriority w:val="0"/>
    <w:pPr>
      <w:spacing w:line="360" w:lineRule="auto"/>
      <w:jc w:val="left"/>
    </w:pPr>
    <w:rPr>
      <w:rFonts w:ascii="宋体" w:hAnsi="宋体" w:cs="宋体"/>
      <w:szCs w:val="20"/>
    </w:rPr>
  </w:style>
  <w:style w:type="paragraph" w:customStyle="1" w:styleId="339">
    <w:name w:val="附件正文"/>
    <w:basedOn w:val="1"/>
    <w:qFormat/>
    <w:uiPriority w:val="99"/>
    <w:pPr>
      <w:snapToGrid w:val="0"/>
      <w:spacing w:line="500" w:lineRule="exact"/>
    </w:pPr>
    <w:rPr>
      <w:rFonts w:ascii="宋体" w:hAnsi="宋体" w:cs="宋体"/>
      <w:b/>
      <w:bCs/>
      <w:kern w:val="0"/>
      <w:sz w:val="24"/>
      <w:szCs w:val="24"/>
    </w:rPr>
  </w:style>
  <w:style w:type="paragraph" w:customStyle="1" w:styleId="340">
    <w:name w:val="表头"/>
    <w:basedOn w:val="1"/>
    <w:qFormat/>
    <w:uiPriority w:val="0"/>
    <w:pPr>
      <w:spacing w:line="360" w:lineRule="auto"/>
      <w:jc w:val="center"/>
    </w:pPr>
    <w:rPr>
      <w:rFonts w:ascii="仿宋_GB2312" w:hAnsi="宋体" w:eastAsia="仿宋_GB2312"/>
      <w:b/>
      <w:color w:val="000000"/>
      <w:kern w:val="0"/>
      <w:sz w:val="24"/>
      <w:szCs w:val="24"/>
      <w:lang w:val="zh-CN"/>
    </w:rPr>
  </w:style>
  <w:style w:type="table" w:customStyle="1" w:styleId="34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42">
    <w:name w:val="表文"/>
    <w:basedOn w:val="1"/>
    <w:qFormat/>
    <w:uiPriority w:val="0"/>
    <w:pPr>
      <w:tabs>
        <w:tab w:val="left" w:pos="478"/>
        <w:tab w:val="center" w:pos="671"/>
      </w:tabs>
      <w:jc w:val="center"/>
    </w:pPr>
    <w:rPr>
      <w:rFonts w:ascii="Times New Roman" w:hAnsi="Times New Roman"/>
      <w:snapToGrid w:val="0"/>
      <w:kern w:val="0"/>
    </w:rPr>
  </w:style>
  <w:style w:type="paragraph" w:customStyle="1" w:styleId="343">
    <w:name w:val="p15"/>
    <w:basedOn w:val="1"/>
    <w:qFormat/>
    <w:uiPriority w:val="99"/>
    <w:pPr>
      <w:widowControl/>
    </w:pPr>
    <w:rPr>
      <w:kern w:val="0"/>
      <w:szCs w:val="21"/>
    </w:rPr>
  </w:style>
  <w:style w:type="character" w:customStyle="1" w:styleId="344">
    <w:name w:val="number"/>
    <w:basedOn w:val="52"/>
    <w:qFormat/>
    <w:uiPriority w:val="0"/>
    <w:rPr>
      <w:color w:val="FF8833"/>
      <w:sz w:val="18"/>
      <w:szCs w:val="18"/>
    </w:rPr>
  </w:style>
  <w:style w:type="character" w:customStyle="1" w:styleId="345">
    <w:name w:val="phone"/>
    <w:basedOn w:val="52"/>
    <w:qFormat/>
    <w:uiPriority w:val="0"/>
    <w:rPr>
      <w:color w:val="FF8833"/>
      <w:sz w:val="18"/>
      <w:szCs w:val="18"/>
    </w:rPr>
  </w:style>
  <w:style w:type="character" w:customStyle="1" w:styleId="346">
    <w:name w:val="stclosebtn"/>
    <w:basedOn w:val="52"/>
    <w:qFormat/>
    <w:uiPriority w:val="0"/>
  </w:style>
  <w:style w:type="paragraph" w:customStyle="1" w:styleId="347">
    <w:name w:val="title12"/>
    <w:basedOn w:val="1"/>
    <w:qFormat/>
    <w:uiPriority w:val="0"/>
    <w:pPr>
      <w:spacing w:before="150"/>
      <w:jc w:val="left"/>
    </w:pPr>
    <w:rPr>
      <w:b/>
      <w:kern w:val="0"/>
      <w:sz w:val="22"/>
    </w:rPr>
  </w:style>
  <w:style w:type="character" w:customStyle="1" w:styleId="348">
    <w:name w:val="proollist"/>
    <w:basedOn w:val="52"/>
    <w:qFormat/>
    <w:uiPriority w:val="0"/>
  </w:style>
  <w:style w:type="character" w:customStyle="1" w:styleId="349">
    <w:name w:val="beforeinfotext"/>
    <w:basedOn w:val="52"/>
    <w:qFormat/>
    <w:uiPriority w:val="0"/>
    <w:rPr>
      <w:color w:val="666666"/>
    </w:rPr>
  </w:style>
  <w:style w:type="paragraph" w:customStyle="1" w:styleId="350">
    <w:name w:val="title11"/>
    <w:basedOn w:val="1"/>
    <w:qFormat/>
    <w:uiPriority w:val="0"/>
    <w:pPr>
      <w:spacing w:before="120"/>
      <w:jc w:val="left"/>
    </w:pPr>
    <w:rPr>
      <w:b/>
      <w:bCs/>
      <w:kern w:val="0"/>
      <w:sz w:val="18"/>
      <w:szCs w:val="18"/>
    </w:rPr>
  </w:style>
  <w:style w:type="paragraph" w:customStyle="1" w:styleId="351">
    <w:name w:val="title13"/>
    <w:basedOn w:val="1"/>
    <w:qFormat/>
    <w:uiPriority w:val="0"/>
    <w:pPr>
      <w:spacing w:before="120"/>
      <w:jc w:val="left"/>
    </w:pPr>
    <w:rPr>
      <w:b/>
      <w:bCs/>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6C1B3-7C0F-4B38-8D04-8C47B376472B}">
  <ds:schemaRefs/>
</ds:datastoreItem>
</file>

<file path=docProps/app.xml><?xml version="1.0" encoding="utf-8"?>
<Properties xmlns="http://schemas.openxmlformats.org/officeDocument/2006/extended-properties" xmlns:vt="http://schemas.openxmlformats.org/officeDocument/2006/docPropsVTypes">
  <Template>Normal.dotm</Template>
  <Company>0</Company>
  <Pages>72</Pages>
  <Words>38504</Words>
  <Characters>41461</Characters>
  <Lines>284</Lines>
  <Paragraphs>79</Paragraphs>
  <TotalTime>17</TotalTime>
  <ScaleCrop>false</ScaleCrop>
  <LinksUpToDate>false</LinksUpToDate>
  <CharactersWithSpaces>42900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2019-09-11T00:52:00Z</dcterms:created>
  <dc:creator>洛小洛</dc:creator>
  <cp:lastModifiedBy>WPS_1665392959</cp:lastModifiedBy>
  <cp:lastPrinted>2022-12-09T02:02:00Z</cp:lastPrinted>
  <dcterms:modified xsi:type="dcterms:W3CDTF">2022-12-26T10:49:05Z</dcterms:modified>
  <dc:title>陕西财政预算执行信息系统升级项目</dc:title>
  <cp:revision>745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6570A3BB5CDA4EB3A9C7FCE48E43F1DB</vt:lpwstr>
  </property>
</Properties>
</file>