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color w:val="000000" w:themeColor="text1"/>
          <w:sz w:val="30"/>
          <w:szCs w:val="30"/>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zh-CN"/>
          <w14:textFill>
            <w14:solidFill>
              <w14:schemeClr w14:val="tx1"/>
            </w14:solidFill>
          </w14:textFill>
        </w:rPr>
        <w:t>政府采购项目</w:t>
      </w:r>
    </w:p>
    <w:p>
      <w:pPr>
        <w:autoSpaceDE w:val="0"/>
        <w:autoSpaceDN w:val="0"/>
        <w:adjustRightInd w:val="0"/>
        <w:snapToGrid w:val="0"/>
        <w:spacing w:line="360" w:lineRule="auto"/>
        <w:jc w:val="left"/>
        <w:rPr>
          <w:rFonts w:ascii="仿宋_GB2312" w:hAnsi="仿宋_GB2312" w:eastAsia="仿宋_GB2312" w:cs="仿宋_GB2312"/>
          <w:b/>
          <w:bCs/>
          <w:color w:val="000000" w:themeColor="text1"/>
          <w:sz w:val="30"/>
          <w:szCs w:val="30"/>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zh-CN"/>
          <w14:textFill>
            <w14:solidFill>
              <w14:schemeClr w14:val="tx1"/>
            </w14:solidFill>
          </w14:textFill>
        </w:rPr>
        <w:t>采购项目编号：SCZF2022-CS-2083/001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30"/>
          <w:szCs w:val="30"/>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32"/>
          <w:szCs w:val="32"/>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32"/>
          <w:szCs w:val="32"/>
          <w:highlight w:val="none"/>
          <w14:textFill>
            <w14:solidFill>
              <w14:schemeClr w14:val="tx1"/>
            </w14:solidFill>
          </w14:textFill>
        </w:rPr>
      </w:pPr>
    </w:p>
    <w:p>
      <w:pPr>
        <w:autoSpaceDE w:val="0"/>
        <w:autoSpaceDN w:val="0"/>
        <w:adjustRightInd w:val="0"/>
        <w:snapToGrid w:val="0"/>
        <w:spacing w:line="360" w:lineRule="auto"/>
        <w:jc w:val="center"/>
        <w:rPr>
          <w:rFonts w:hint="eastAsia" w:ascii="仿宋_GB2312" w:hAnsi="仿宋_GB2312" w:eastAsia="仿宋_GB2312" w:cs="仿宋_GB2312"/>
          <w:b/>
          <w:bCs/>
          <w:color w:val="000000" w:themeColor="text1"/>
          <w:sz w:val="44"/>
          <w:szCs w:val="4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44"/>
          <w:szCs w:val="44"/>
          <w:highlight w:val="none"/>
          <w:lang w:eastAsia="zh-CN"/>
          <w14:textFill>
            <w14:solidFill>
              <w14:schemeClr w14:val="tx1"/>
            </w14:solidFill>
          </w14:textFill>
        </w:rPr>
        <w:t>临渭区国土空间生态修复规划（2021-2035年）</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000000" w:themeColor="text1"/>
          <w:sz w:val="36"/>
          <w:szCs w:val="36"/>
          <w:highlight w:val="none"/>
          <w:lang w:val="zh-CN"/>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000000" w:themeColor="text1"/>
          <w:sz w:val="52"/>
          <w:szCs w:val="5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52"/>
          <w:szCs w:val="52"/>
          <w:highlight w:val="none"/>
          <w:lang w:val="zh-CN"/>
          <w14:textFill>
            <w14:solidFill>
              <w14:schemeClr w14:val="tx1"/>
            </w14:solidFill>
          </w14:textFill>
        </w:rPr>
        <w:t>竞争性磋商文件</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50"/>
          <w:szCs w:val="50"/>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50"/>
          <w:szCs w:val="50"/>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50"/>
          <w:szCs w:val="50"/>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p>
    <w:p>
      <w:pPr>
        <w:pStyle w:val="63"/>
        <w:ind w:firstLine="1807" w:firstLineChars="600"/>
        <w:jc w:val="left"/>
        <w:rPr>
          <w:rFonts w:hint="eastAsia" w:ascii="仿宋_GB2312" w:hAnsi="仿宋_GB2312" w:eastAsia="仿宋_GB2312" w:cs="仿宋_GB2312"/>
          <w:b/>
          <w:bCs/>
          <w:color w:val="000000" w:themeColor="text1"/>
          <w:sz w:val="30"/>
          <w:szCs w:val="30"/>
          <w:lang w:eastAsia="zh-CN"/>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 xml:space="preserve">采 </w:t>
      </w:r>
      <w:r>
        <w:rPr>
          <w:rFonts w:ascii="仿宋_GB2312" w:hAnsi="仿宋_GB2312" w:eastAsia="仿宋_GB2312" w:cs="仿宋_GB2312"/>
          <w:b/>
          <w:bCs/>
          <w:color w:val="000000" w:themeColor="text1"/>
          <w:sz w:val="30"/>
          <w:szCs w:val="30"/>
          <w14:textFill>
            <w14:solidFill>
              <w14:schemeClr w14:val="tx1"/>
            </w14:solidFill>
          </w14:textFill>
        </w:rPr>
        <w:t xml:space="preserve">  </w:t>
      </w:r>
      <w:r>
        <w:rPr>
          <w:rFonts w:hint="eastAsia" w:ascii="仿宋_GB2312" w:hAnsi="仿宋_GB2312" w:eastAsia="仿宋_GB2312" w:cs="仿宋_GB2312"/>
          <w:b/>
          <w:bCs/>
          <w:color w:val="000000" w:themeColor="text1"/>
          <w:sz w:val="30"/>
          <w:szCs w:val="30"/>
          <w14:textFill>
            <w14:solidFill>
              <w14:schemeClr w14:val="tx1"/>
            </w14:solidFill>
          </w14:textFill>
        </w:rPr>
        <w:t xml:space="preserve">购 </w:t>
      </w:r>
      <w:r>
        <w:rPr>
          <w:rFonts w:ascii="仿宋_GB2312" w:hAnsi="仿宋_GB2312" w:eastAsia="仿宋_GB2312" w:cs="仿宋_GB2312"/>
          <w:b/>
          <w:bCs/>
          <w:color w:val="000000" w:themeColor="text1"/>
          <w:sz w:val="30"/>
          <w:szCs w:val="30"/>
          <w14:textFill>
            <w14:solidFill>
              <w14:schemeClr w14:val="tx1"/>
            </w14:solidFill>
          </w14:textFill>
        </w:rPr>
        <w:t xml:space="preserve">  </w:t>
      </w:r>
      <w:r>
        <w:rPr>
          <w:rFonts w:hint="eastAsia" w:ascii="仿宋_GB2312" w:hAnsi="仿宋_GB2312" w:eastAsia="仿宋_GB2312" w:cs="仿宋_GB2312"/>
          <w:b/>
          <w:bCs/>
          <w:color w:val="000000" w:themeColor="text1"/>
          <w:sz w:val="30"/>
          <w:szCs w:val="30"/>
          <w14:textFill>
            <w14:solidFill>
              <w14:schemeClr w14:val="tx1"/>
            </w14:solidFill>
          </w14:textFill>
        </w:rPr>
        <w:t>人：渭南市</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临渭区自然资源局</w:t>
      </w:r>
    </w:p>
    <w:p>
      <w:pPr>
        <w:pStyle w:val="63"/>
        <w:ind w:firstLine="1807" w:firstLineChars="600"/>
        <w:jc w:val="left"/>
        <w:rPr>
          <w:rFonts w:ascii="仿宋_GB2312" w:hAnsi="仿宋_GB2312" w:eastAsia="仿宋_GB2312" w:cs="仿宋_GB2312"/>
          <w:b/>
          <w:bCs/>
          <w:color w:val="000000" w:themeColor="text1"/>
          <w:sz w:val="30"/>
          <w:szCs w:val="30"/>
          <w14:textFill>
            <w14:solidFill>
              <w14:schemeClr w14:val="tx1"/>
            </w14:solidFill>
          </w14:textFill>
        </w:rPr>
      </w:pPr>
    </w:p>
    <w:p>
      <w:pPr>
        <w:pStyle w:val="63"/>
        <w:ind w:firstLine="602"/>
        <w:rPr>
          <w:rFonts w:ascii="仿宋_GB2312" w:hAnsi="仿宋_GB2312" w:eastAsia="仿宋_GB2312" w:cs="仿宋_GB2312"/>
          <w:b/>
          <w:bCs/>
          <w:color w:val="000000" w:themeColor="text1"/>
          <w:sz w:val="30"/>
          <w:szCs w:val="30"/>
          <w14:textFill>
            <w14:solidFill>
              <w14:schemeClr w14:val="tx1"/>
            </w14:solidFill>
          </w14:textFill>
        </w:rPr>
      </w:pPr>
    </w:p>
    <w:p>
      <w:pPr>
        <w:tabs>
          <w:tab w:val="left" w:pos="5670"/>
        </w:tabs>
        <w:autoSpaceDE w:val="0"/>
        <w:autoSpaceDN w:val="0"/>
        <w:adjustRightInd w:val="0"/>
        <w:snapToGrid w:val="0"/>
        <w:spacing w:line="360" w:lineRule="auto"/>
        <w:ind w:firstLine="1807" w:firstLineChars="6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lang w:val="zh-CN"/>
          <w14:textFill>
            <w14:solidFill>
              <w14:schemeClr w14:val="tx1"/>
            </w14:solidFill>
          </w14:textFill>
        </w:rPr>
        <w:t>采购代理机构：陕西省采购招标有限责任公司</w:t>
      </w:r>
      <w:r>
        <w:rPr>
          <w:rFonts w:hint="eastAsia" w:ascii="仿宋_GB2312" w:hAnsi="仿宋_GB2312" w:eastAsia="仿宋_GB2312" w:cs="仿宋_GB2312"/>
          <w:b/>
          <w:bCs/>
          <w:color w:val="000000" w:themeColor="text1"/>
          <w:sz w:val="30"/>
          <w:szCs w:val="30"/>
          <w14:textFill>
            <w14:solidFill>
              <w14:schemeClr w14:val="tx1"/>
            </w14:solidFill>
          </w14:textFill>
        </w:rPr>
        <w:t xml:space="preserve"> </w:t>
      </w:r>
    </w:p>
    <w:p>
      <w:pPr>
        <w:tabs>
          <w:tab w:val="left" w:pos="5460"/>
        </w:tabs>
        <w:autoSpaceDE w:val="0"/>
        <w:autoSpaceDN w:val="0"/>
        <w:adjustRightInd w:val="0"/>
        <w:snapToGrid w:val="0"/>
        <w:spacing w:line="360" w:lineRule="auto"/>
        <w:jc w:val="center"/>
        <w:rPr>
          <w:rFonts w:ascii="仿宋_GB2312" w:hAnsi="仿宋_GB2312" w:eastAsia="仿宋_GB2312" w:cs="仿宋_GB2312"/>
          <w:b/>
          <w:bCs/>
          <w:color w:val="000000" w:themeColor="text1"/>
          <w:sz w:val="30"/>
          <w:szCs w:val="30"/>
          <w:lang w:val="zh-CN"/>
          <w14:textFill>
            <w14:solidFill>
              <w14:schemeClr w14:val="tx1"/>
            </w14:solidFill>
          </w14:textFill>
        </w:rPr>
      </w:pPr>
    </w:p>
    <w:p>
      <w:pPr>
        <w:tabs>
          <w:tab w:val="left" w:pos="5460"/>
        </w:tabs>
        <w:autoSpaceDE w:val="0"/>
        <w:autoSpaceDN w:val="0"/>
        <w:adjustRightInd w:val="0"/>
        <w:snapToGrid w:val="0"/>
        <w:spacing w:line="360" w:lineRule="auto"/>
        <w:jc w:val="center"/>
        <w:rPr>
          <w:rFonts w:ascii="仿宋_GB2312" w:hAnsi="仿宋_GB2312" w:eastAsia="仿宋_GB2312" w:cs="仿宋_GB2312"/>
          <w:b/>
          <w:bCs/>
          <w:color w:val="000000" w:themeColor="text1"/>
          <w:sz w:val="30"/>
          <w:szCs w:val="30"/>
          <w:lang w:val="zh-CN"/>
          <w14:textFill>
            <w14:solidFill>
              <w14:schemeClr w14:val="tx1"/>
            </w14:solidFill>
          </w14:textFill>
        </w:rPr>
      </w:pPr>
      <w:r>
        <w:rPr>
          <w:rFonts w:hint="eastAsia" w:ascii="仿宋_GB2312" w:hAnsi="仿宋_GB2312" w:eastAsia="仿宋_GB2312" w:cs="仿宋_GB2312"/>
          <w:b/>
          <w:bCs/>
          <w:color w:val="000000" w:themeColor="text1"/>
          <w:sz w:val="30"/>
          <w:szCs w:val="30"/>
          <w:lang w:val="zh-CN"/>
          <w14:textFill>
            <w14:solidFill>
              <w14:schemeClr w14:val="tx1"/>
            </w14:solidFill>
          </w14:textFill>
        </w:rPr>
        <w:t>二〇二二年九月</w:t>
      </w:r>
    </w:p>
    <w:p>
      <w:pPr>
        <w:tabs>
          <w:tab w:val="left" w:pos="3739"/>
        </w:tabs>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ab/>
      </w:r>
    </w:p>
    <w:p>
      <w:pPr>
        <w:pStyle w:val="15"/>
        <w:ind w:firstLine="0" w:firstLineChars="0"/>
        <w:jc w:val="center"/>
        <w:rPr>
          <w:rFonts w:hint="eastAsia" w:ascii="仿宋_GB2312" w:hAnsi="仿宋_GB2312" w:eastAsia="仿宋_GB2312" w:cs="仿宋_GB2312"/>
          <w:b/>
          <w:color w:val="000000" w:themeColor="text1"/>
          <w:sz w:val="32"/>
          <w:szCs w:val="32"/>
          <w:highlight w:val="none"/>
          <w14:textFill>
            <w14:solidFill>
              <w14:schemeClr w14:val="tx1"/>
            </w14:solidFill>
          </w14:textFill>
        </w:rPr>
        <w:sectPr>
          <w:headerReference r:id="rId3"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pStyle w:val="15"/>
        <w:ind w:firstLine="0" w:firstLineChars="0"/>
        <w:jc w:val="center"/>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目  录</w:t>
      </w:r>
    </w:p>
    <w:p>
      <w:pPr>
        <w:pStyle w:val="36"/>
        <w:tabs>
          <w:tab w:val="right" w:leader="dot" w:pos="8300"/>
          <w:tab w:val="clear" w:pos="9344"/>
        </w:tabs>
        <w:rPr>
          <w:rFonts w:ascii="仿宋_GB2312" w:hAnsi="仿宋_GB2312" w:eastAsia="仿宋_GB2312" w:cs="仿宋_GB2312"/>
          <w:b w:val="0"/>
          <w:bCs w:val="0"/>
          <w:cap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instrText xml:space="preserve"> TOC \o "1-2" \h \z \u </w:instrTex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"_Toc68590965"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第一章  磋商公告</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_Toc68590965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36"/>
        <w:tabs>
          <w:tab w:val="right" w:leader="dot" w:pos="8300"/>
          <w:tab w:val="clear" w:pos="9344"/>
        </w:tabs>
        <w:rPr>
          <w:rFonts w:ascii="仿宋_GB2312" w:hAnsi="仿宋_GB2312" w:eastAsia="仿宋_GB2312" w:cs="仿宋_GB2312"/>
          <w:b w:val="0"/>
          <w:bCs w:val="0"/>
          <w:cap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"_Toc68590966"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第二章  供应商须知</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_Toc68590966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"_Toc68590967"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（一）供应商须知前附表</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_Toc68590967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"_Toc68590968"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（二）供应商须知</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_Toc68590968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"_Toc68590969"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一、总  则</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_Toc68590969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"_Toc68590970"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二、磋商文件说明</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_Toc68590970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"_Toc68590971"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三、响应文件的编写</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_Toc68590971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"_Toc68590972"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四、响应文件的密封和递交</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_Toc68590972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14</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"_Toc68590973"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五、评审与磋商</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_Toc68590973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15</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"_Toc68590974"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六、确定成交单位、授予合同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_Toc68590974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18</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36"/>
        <w:tabs>
          <w:tab w:val="right" w:leader="dot" w:pos="8300"/>
          <w:tab w:val="clear" w:pos="9344"/>
        </w:tabs>
        <w:rPr>
          <w:rFonts w:ascii="仿宋_GB2312" w:hAnsi="仿宋_GB2312" w:eastAsia="仿宋_GB2312" w:cs="仿宋_GB2312"/>
          <w:b w:val="0"/>
          <w:bCs w:val="0"/>
          <w:cap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"_Toc68590975"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第三章  评审办法和标准</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_Toc68590975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26</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"_Toc68590976"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1.评审方法</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_Toc68590976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26</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"_Toc68590977"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2.评审标准</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_Toc68590977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26</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41"/>
        <w:tabs>
          <w:tab w:val="right" w:leader="dot" w:pos="8296"/>
        </w:tabs>
        <w:rPr>
          <w:rFonts w:ascii="仿宋_GB2312" w:hAnsi="仿宋_GB2312" w:eastAsia="仿宋_GB2312" w:cs="仿宋_GB2312"/>
          <w:smallCaps w:val="0"/>
          <w:color w:val="000000" w:themeColor="text1"/>
          <w:kern w:val="2"/>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"_Toc68590978"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3.评审程序</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_Toc68590978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27</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36"/>
        <w:tabs>
          <w:tab w:val="right" w:leader="dot" w:pos="8300"/>
          <w:tab w:val="clear" w:pos="9344"/>
        </w:tabs>
        <w:rPr>
          <w:rFonts w:ascii="仿宋_GB2312" w:hAnsi="仿宋_GB2312" w:eastAsia="仿宋_GB2312" w:cs="仿宋_GB2312"/>
          <w:b w:val="0"/>
          <w:bCs w:val="0"/>
          <w:cap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"_Toc68590979"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第四章  合同草案条款</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_Toc68590979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35</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36"/>
        <w:tabs>
          <w:tab w:val="right" w:leader="dot" w:pos="8300"/>
          <w:tab w:val="clear" w:pos="9344"/>
        </w:tabs>
        <w:rPr>
          <w:rFonts w:ascii="仿宋_GB2312" w:hAnsi="仿宋_GB2312" w:eastAsia="仿宋_GB2312" w:cs="仿宋_GB2312"/>
          <w:b w:val="0"/>
          <w:bCs w:val="0"/>
          <w:cap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"_Toc68590980"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第五章  采购内容及要求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_Toc68590980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38</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36"/>
        <w:tabs>
          <w:tab w:val="right" w:leader="dot" w:pos="8300"/>
          <w:tab w:val="clear" w:pos="9344"/>
        </w:tabs>
        <w:rPr>
          <w:rFonts w:ascii="仿宋_GB2312" w:hAnsi="仿宋_GB2312" w:eastAsia="仿宋_GB2312" w:cs="仿宋_GB2312"/>
          <w:b w:val="0"/>
          <w:bCs w:val="0"/>
          <w:cap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"_Toc68590981" </w:instrText>
      </w:r>
      <w:r>
        <w:rPr>
          <w:color w:val="000000" w:themeColor="text1"/>
          <w:highlight w:val="none"/>
          <w14:textFill>
            <w14:solidFill>
              <w14:schemeClr w14:val="tx1"/>
            </w14:solidFill>
          </w14:textFill>
        </w:rPr>
        <w:fldChar w:fldCharType="separate"/>
      </w:r>
      <w:r>
        <w:rPr>
          <w:rStyle w:val="59"/>
          <w:rFonts w:hint="default" w:ascii="仿宋_GB2312" w:hAnsi="仿宋_GB2312" w:eastAsia="仿宋_GB2312" w:cs="仿宋_GB2312"/>
          <w:color w:val="000000" w:themeColor="text1"/>
          <w:sz w:val="28"/>
          <w:szCs w:val="28"/>
          <w:highlight w:val="none"/>
          <w14:textFill>
            <w14:solidFill>
              <w14:schemeClr w14:val="tx1"/>
            </w14:solidFill>
          </w14:textFill>
        </w:rPr>
        <w:t>第六章  磋商响应文件格式</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PAGEREF _Toc68590981 \h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14:textFill>
            <w14:solidFill>
              <w14:schemeClr w14:val="tx1"/>
            </w14:solidFill>
          </w14:textFill>
        </w:rPr>
        <w:t>38</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tabs>
          <w:tab w:val="center" w:pos="4677"/>
          <w:tab w:val="left" w:pos="5040"/>
        </w:tabs>
        <w:adjustRightInd w:val="0"/>
        <w:snapToGrid w:val="0"/>
        <w:spacing w:line="360" w:lineRule="auto"/>
        <w:jc w:val="left"/>
        <w:rPr>
          <w:rFonts w:ascii="仿宋_GB2312" w:hAnsi="仿宋_GB2312" w:eastAsia="仿宋_GB2312" w:cs="仿宋_GB2312"/>
          <w:color w:val="000000" w:themeColor="text1"/>
          <w:szCs w:val="20"/>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rPr>
          <w:rFonts w:ascii="仿宋_GB2312" w:hAnsi="仿宋_GB2312" w:eastAsia="仿宋_GB2312" w:cs="仿宋_GB2312"/>
          <w:color w:val="000000" w:themeColor="text1"/>
          <w:szCs w:val="20"/>
          <w:highlight w:val="none"/>
          <w14:textFill>
            <w14:solidFill>
              <w14:schemeClr w14:val="tx1"/>
            </w14:solidFill>
          </w14:textFill>
        </w:rPr>
      </w:pPr>
      <w:r>
        <w:rPr>
          <w:rFonts w:hint="eastAsia" w:ascii="仿宋_GB2312" w:hAnsi="仿宋_GB2312" w:eastAsia="仿宋_GB2312" w:cs="仿宋_GB2312"/>
          <w:color w:val="000000" w:themeColor="text1"/>
          <w:szCs w:val="20"/>
          <w:highlight w:val="none"/>
          <w14:textFill>
            <w14:solidFill>
              <w14:schemeClr w14:val="tx1"/>
            </w14:solidFill>
          </w14:textFill>
        </w:rPr>
        <w:br w:type="page"/>
      </w:r>
    </w:p>
    <w:p>
      <w:pPr>
        <w:pStyle w:val="47"/>
        <w:spacing w:line="360" w:lineRule="auto"/>
        <w:rPr>
          <w:rStyle w:val="204"/>
          <w:rFonts w:ascii="宋体" w:hAnsi="宋体" w:eastAsia="宋体"/>
          <w:color w:val="000000" w:themeColor="text1"/>
          <w:sz w:val="36"/>
          <w:szCs w:val="36"/>
          <w:highlight w:val="none"/>
          <w14:textFill>
            <w14:solidFill>
              <w14:schemeClr w14:val="tx1"/>
            </w14:solidFill>
          </w14:textFill>
        </w:rPr>
      </w:pPr>
      <w:bookmarkStart w:id="0" w:name="_Toc21755"/>
      <w:bookmarkStart w:id="1" w:name="_Toc415499894"/>
      <w:bookmarkStart w:id="2" w:name="_Toc58504445"/>
      <w:bookmarkStart w:id="3" w:name="_Toc68590965"/>
      <w:bookmarkStart w:id="4" w:name="_Toc177189234"/>
      <w:bookmarkStart w:id="5" w:name="_Toc53722839"/>
      <w:bookmarkStart w:id="6" w:name="_Toc500747060"/>
      <w:bookmarkStart w:id="7" w:name="_Toc500747187"/>
      <w:bookmarkStart w:id="8" w:name="_Toc177995472"/>
      <w:bookmarkStart w:id="9" w:name="_Toc492955413"/>
      <w:bookmarkStart w:id="10" w:name="_Toc503063420"/>
      <w:bookmarkStart w:id="11" w:name="_Toc176882541"/>
      <w:bookmarkStart w:id="12" w:name="_Toc499711041"/>
      <w:bookmarkStart w:id="13" w:name="_Toc177817333"/>
      <w:bookmarkStart w:id="14" w:name="_Toc496324577"/>
      <w:bookmarkStart w:id="15" w:name="_Toc499711882"/>
      <w:bookmarkStart w:id="16" w:name="_Toc70687138"/>
      <w:bookmarkStart w:id="17" w:name="_Toc500746964"/>
      <w:bookmarkStart w:id="18" w:name="_Toc385992325"/>
      <w:bookmarkStart w:id="19" w:name="_Toc385992324"/>
      <w:r>
        <w:rPr>
          <w:rStyle w:val="204"/>
          <w:rFonts w:hint="eastAsia" w:ascii="宋体" w:hAnsi="宋体" w:eastAsia="宋体"/>
          <w:color w:val="000000" w:themeColor="text1"/>
          <w:sz w:val="36"/>
          <w:szCs w:val="36"/>
          <w:highlight w:val="none"/>
          <w14:textFill>
            <w14:solidFill>
              <w14:schemeClr w14:val="tx1"/>
            </w14:solidFill>
          </w14:textFill>
        </w:rPr>
        <w:t>第一章  磋商公告</w:t>
      </w:r>
      <w:bookmarkEnd w:id="0"/>
      <w:bookmarkEnd w:id="1"/>
      <w:bookmarkEnd w:id="2"/>
      <w:bookmarkEnd w:id="3"/>
    </w:p>
    <w:p>
      <w:pPr>
        <w:spacing w:line="520" w:lineRule="exact"/>
        <w:jc w:val="center"/>
        <w:outlineLvl w:val="9"/>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临渭区国土空间生态修复规划（2021-2035年）</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竞争性磋商</w:t>
      </w:r>
      <w:r>
        <w:rPr>
          <w:rFonts w:hint="eastAsia" w:ascii="仿宋_GB2312" w:hAnsi="仿宋_GB2312" w:eastAsia="仿宋_GB2312" w:cs="仿宋_GB2312"/>
          <w:b/>
          <w:color w:val="000000" w:themeColor="text1"/>
          <w:sz w:val="28"/>
          <w:szCs w:val="28"/>
          <w:highlight w:val="none"/>
          <w14:textFill>
            <w14:solidFill>
              <w14:schemeClr w14:val="tx1"/>
            </w14:solidFill>
          </w14:textFill>
        </w:rPr>
        <w:t>公告</w:t>
      </w:r>
    </w:p>
    <w:p>
      <w:pPr>
        <w:spacing w:line="520" w:lineRule="exact"/>
        <w:rPr>
          <w:rFonts w:hint="eastAsia" w:ascii="仿宋" w:hAnsi="仿宋" w:eastAsia="仿宋"/>
          <w:b/>
          <w:bCs/>
          <w:color w:val="000000" w:themeColor="text1"/>
          <w:sz w:val="24"/>
          <w:highlight w:val="none"/>
          <w:lang w:eastAsia="zh-CN"/>
          <w14:textFill>
            <w14:solidFill>
              <w14:schemeClr w14:val="tx1"/>
            </w14:solidFill>
          </w14:textFil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bCs/>
                <w:color w:val="000000" w:themeColor="text1"/>
                <w:sz w:val="24"/>
                <w:highlight w:val="none"/>
                <w:lang w:eastAsia="zh-CN"/>
                <w14:textFill>
                  <w14:solidFill>
                    <w14:schemeClr w14:val="tx1"/>
                  </w14:solidFill>
                </w14:textFill>
              </w:rPr>
            </w:pPr>
            <w:r>
              <w:rPr>
                <w:rFonts w:hint="eastAsia" w:ascii="仿宋" w:hAnsi="仿宋" w:eastAsia="仿宋"/>
                <w:b/>
                <w:bCs/>
                <w:color w:val="000000" w:themeColor="text1"/>
                <w:sz w:val="24"/>
                <w:highlight w:val="none"/>
                <w:lang w:eastAsia="zh-CN"/>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bCs/>
                <w:color w:val="000000" w:themeColor="text1"/>
                <w:sz w:val="24"/>
                <w:highlight w:val="none"/>
                <w:vertAlign w:val="baseline"/>
                <w:lang w:eastAsia="zh-CN"/>
                <w14:textFill>
                  <w14:solidFill>
                    <w14:schemeClr w14:val="tx1"/>
                  </w14:solidFill>
                </w14:textFill>
              </w:rPr>
            </w:pPr>
            <w:r>
              <w:rPr>
                <w:rFonts w:hint="eastAsia" w:ascii="仿宋" w:hAnsi="仿宋" w:eastAsia="仿宋"/>
                <w:b w:val="0"/>
                <w:bCs w:val="0"/>
                <w:color w:val="000000" w:themeColor="text1"/>
                <w:sz w:val="24"/>
                <w:highlight w:val="none"/>
                <w:lang w:eastAsia="zh-CN"/>
                <w14:textFill>
                  <w14:solidFill>
                    <w14:schemeClr w14:val="tx1"/>
                  </w14:solidFill>
                </w14:textFill>
              </w:rPr>
              <w:t>临渭区国土空间生态修复规划（2021-2035年）的潜在供应商</w:t>
            </w:r>
            <w:r>
              <w:rPr>
                <w:rFonts w:hint="eastAsia" w:ascii="仿宋" w:hAnsi="仿宋" w:eastAsia="仿宋" w:cs="Helvetica"/>
                <w:color w:val="000000" w:themeColor="text1"/>
                <w:kern w:val="0"/>
                <w:sz w:val="24"/>
                <w:lang w:val="en-US" w:eastAsia="zh-CN"/>
                <w14:textFill>
                  <w14:solidFill>
                    <w14:schemeClr w14:val="tx1"/>
                  </w14:solidFill>
                </w14:textFill>
              </w:rPr>
              <w:t>应在</w:t>
            </w:r>
            <w:r>
              <w:rPr>
                <w:rFonts w:hint="eastAsia" w:ascii="仿宋_GB2312" w:hAnsi="仿宋_GB2312" w:eastAsia="仿宋_GB2312" w:cs="仿宋_GB2312"/>
                <w:color w:val="000000" w:themeColor="text1"/>
                <w:kern w:val="0"/>
                <w:sz w:val="24"/>
                <w:highlight w:val="none"/>
                <w14:textFill>
                  <w14:solidFill>
                    <w14:schemeClr w14:val="tx1"/>
                  </w14:solidFill>
                </w14:textFill>
              </w:rPr>
              <w:t>西安市高新二路2号山西</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证券</w:t>
            </w:r>
            <w:r>
              <w:rPr>
                <w:rFonts w:hint="eastAsia" w:ascii="仿宋_GB2312" w:hAnsi="仿宋_GB2312" w:eastAsia="仿宋_GB2312" w:cs="仿宋_GB2312"/>
                <w:color w:val="000000" w:themeColor="text1"/>
                <w:kern w:val="0"/>
                <w:sz w:val="24"/>
                <w:highlight w:val="none"/>
                <w14:textFill>
                  <w14:solidFill>
                    <w14:schemeClr w14:val="tx1"/>
                  </w14:solidFill>
                </w14:textFill>
              </w:rPr>
              <w:t>大厦21层招标六部</w:t>
            </w:r>
            <w:r>
              <w:rPr>
                <w:rFonts w:hint="eastAsia" w:ascii="仿宋" w:hAnsi="仿宋" w:eastAsia="仿宋"/>
                <w:b w:val="0"/>
                <w:bCs w:val="0"/>
                <w:color w:val="000000" w:themeColor="text1"/>
                <w:sz w:val="24"/>
                <w:highlight w:val="none"/>
                <w:lang w:eastAsia="zh-CN"/>
                <w14:textFill>
                  <w14:solidFill>
                    <w14:schemeClr w14:val="tx1"/>
                  </w14:solidFill>
                </w14:textFill>
              </w:rPr>
              <w:t>获取采购文件，并于 2022年</w:t>
            </w:r>
            <w:r>
              <w:rPr>
                <w:rFonts w:hint="eastAsia" w:ascii="仿宋" w:hAnsi="仿宋" w:eastAsia="仿宋"/>
                <w:b w:val="0"/>
                <w:bCs w:val="0"/>
                <w:color w:val="000000" w:themeColor="text1"/>
                <w:sz w:val="24"/>
                <w:highlight w:val="none"/>
                <w:lang w:val="en-US" w:eastAsia="zh-CN"/>
                <w14:textFill>
                  <w14:solidFill>
                    <w14:schemeClr w14:val="tx1"/>
                  </w14:solidFill>
                </w14:textFill>
              </w:rPr>
              <w:t>10</w:t>
            </w:r>
            <w:r>
              <w:rPr>
                <w:rFonts w:hint="eastAsia" w:ascii="仿宋" w:hAnsi="仿宋" w:eastAsia="仿宋"/>
                <w:b w:val="0"/>
                <w:bCs w:val="0"/>
                <w:color w:val="000000" w:themeColor="text1"/>
                <w:sz w:val="24"/>
                <w:highlight w:val="none"/>
                <w:lang w:eastAsia="zh-CN"/>
                <w14:textFill>
                  <w14:solidFill>
                    <w14:schemeClr w14:val="tx1"/>
                  </w14:solidFill>
                </w14:textFill>
              </w:rPr>
              <w:t>月</w:t>
            </w:r>
            <w:r>
              <w:rPr>
                <w:rFonts w:hint="eastAsia" w:ascii="仿宋" w:hAnsi="仿宋" w:eastAsia="仿宋"/>
                <w:b w:val="0"/>
                <w:bCs w:val="0"/>
                <w:color w:val="000000" w:themeColor="text1"/>
                <w:sz w:val="24"/>
                <w:highlight w:val="none"/>
                <w:lang w:val="en-US" w:eastAsia="zh-CN"/>
                <w14:textFill>
                  <w14:solidFill>
                    <w14:schemeClr w14:val="tx1"/>
                  </w14:solidFill>
                </w14:textFill>
              </w:rPr>
              <w:t>14</w:t>
            </w:r>
            <w:r>
              <w:rPr>
                <w:rFonts w:hint="eastAsia" w:ascii="仿宋" w:hAnsi="仿宋" w:eastAsia="仿宋"/>
                <w:b w:val="0"/>
                <w:bCs w:val="0"/>
                <w:color w:val="000000" w:themeColor="text1"/>
                <w:sz w:val="24"/>
                <w:highlight w:val="none"/>
                <w:lang w:eastAsia="zh-CN"/>
                <w14:textFill>
                  <w14:solidFill>
                    <w14:schemeClr w14:val="tx1"/>
                  </w14:solidFill>
                </w14:textFill>
              </w:rPr>
              <w:t>日</w:t>
            </w:r>
            <w:r>
              <w:rPr>
                <w:rFonts w:hint="eastAsia" w:ascii="仿宋" w:hAnsi="仿宋" w:eastAsia="仿宋"/>
                <w:b w:val="0"/>
                <w:bCs w:val="0"/>
                <w:color w:val="000000" w:themeColor="text1"/>
                <w:sz w:val="24"/>
                <w:highlight w:val="none"/>
                <w:lang w:val="en-US" w:eastAsia="zh-CN"/>
                <w14:textFill>
                  <w14:solidFill>
                    <w14:schemeClr w14:val="tx1"/>
                  </w14:solidFill>
                </w14:textFill>
              </w:rPr>
              <w:t>09</w:t>
            </w:r>
            <w:r>
              <w:rPr>
                <w:rFonts w:hint="eastAsia" w:ascii="仿宋" w:hAnsi="仿宋" w:eastAsia="仿宋"/>
                <w:b w:val="0"/>
                <w:bCs w:val="0"/>
                <w:color w:val="000000" w:themeColor="text1"/>
                <w:sz w:val="24"/>
                <w:highlight w:val="none"/>
                <w:lang w:eastAsia="zh-CN"/>
                <w14:textFill>
                  <w14:solidFill>
                    <w14:schemeClr w14:val="tx1"/>
                  </w14:solidFill>
                </w14:textFill>
              </w:rPr>
              <w:t>时</w:t>
            </w:r>
            <w:r>
              <w:rPr>
                <w:rFonts w:hint="eastAsia" w:ascii="仿宋" w:hAnsi="仿宋" w:eastAsia="仿宋"/>
                <w:b w:val="0"/>
                <w:bCs w:val="0"/>
                <w:color w:val="000000" w:themeColor="text1"/>
                <w:sz w:val="24"/>
                <w:highlight w:val="none"/>
                <w:lang w:val="en-US" w:eastAsia="zh-CN"/>
                <w14:textFill>
                  <w14:solidFill>
                    <w14:schemeClr w14:val="tx1"/>
                  </w14:solidFill>
                </w14:textFill>
              </w:rPr>
              <w:t>00</w:t>
            </w:r>
            <w:r>
              <w:rPr>
                <w:rFonts w:hint="eastAsia" w:ascii="仿宋" w:hAnsi="仿宋" w:eastAsia="仿宋"/>
                <w:b w:val="0"/>
                <w:bCs w:val="0"/>
                <w:color w:val="000000" w:themeColor="text1"/>
                <w:sz w:val="24"/>
                <w:highlight w:val="none"/>
                <w:lang w:eastAsia="zh-CN"/>
                <w14:textFill>
                  <w14:solidFill>
                    <w14:schemeClr w14:val="tx1"/>
                  </w14:solidFill>
                </w14:textFill>
              </w:rPr>
              <w:t>分（北京时间）前提交响应文件</w:t>
            </w:r>
            <w:r>
              <w:rPr>
                <w:rFonts w:ascii="仿宋" w:hAnsi="仿宋" w:eastAsia="仿宋"/>
                <w:b w:val="0"/>
                <w:bCs w:val="0"/>
                <w:color w:val="000000" w:themeColor="text1"/>
                <w:sz w:val="24"/>
                <w:highlight w:val="none"/>
                <w14:textFill>
                  <w14:solidFill>
                    <w14:schemeClr w14:val="tx1"/>
                  </w14:solidFill>
                </w14:textFill>
              </w:rPr>
              <w:t>。</w:t>
            </w:r>
          </w:p>
        </w:tc>
      </w:tr>
    </w:tbl>
    <w:p>
      <w:pPr>
        <w:spacing w:line="520" w:lineRule="exact"/>
        <w:outlineLvl w:val="1"/>
        <w:rPr>
          <w:rFonts w:hint="eastAsia"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一、项目基本情况</w:t>
      </w:r>
    </w:p>
    <w:p>
      <w:pPr>
        <w:spacing w:line="520" w:lineRule="exact"/>
        <w:ind w:firstLine="480" w:firstLineChars="200"/>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项目编号：</w:t>
      </w:r>
      <w:r>
        <w:rPr>
          <w:rFonts w:hint="eastAsia" w:ascii="仿宋" w:hAnsi="仿宋" w:eastAsia="仿宋"/>
          <w:color w:val="000000" w:themeColor="text1"/>
          <w:sz w:val="24"/>
          <w:highlight w:val="none"/>
          <w:lang w:eastAsia="zh-CN"/>
          <w14:textFill>
            <w14:solidFill>
              <w14:schemeClr w14:val="tx1"/>
            </w14:solidFill>
          </w14:textFill>
        </w:rPr>
        <w:t>SCZF2022-CS-2083/001</w:t>
      </w:r>
    </w:p>
    <w:p>
      <w:pPr>
        <w:spacing w:line="520" w:lineRule="exact"/>
        <w:ind w:firstLine="480" w:firstLineChars="200"/>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项目名称：</w:t>
      </w:r>
      <w:r>
        <w:rPr>
          <w:rFonts w:hint="eastAsia" w:ascii="仿宋" w:hAnsi="仿宋" w:eastAsia="仿宋"/>
          <w:color w:val="000000" w:themeColor="text1"/>
          <w:sz w:val="24"/>
          <w:highlight w:val="none"/>
          <w:lang w:eastAsia="zh-CN"/>
          <w14:textFill>
            <w14:solidFill>
              <w14:schemeClr w14:val="tx1"/>
            </w14:solidFill>
          </w14:textFill>
        </w:rPr>
        <w:t>临渭区国土空间生态修复规划（2021-2035年）</w:t>
      </w:r>
    </w:p>
    <w:p>
      <w:pPr>
        <w:spacing w:line="520" w:lineRule="exact"/>
        <w:ind w:firstLine="480" w:firstLineChars="200"/>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采购方式：</w:t>
      </w:r>
      <w:r>
        <w:rPr>
          <w:rFonts w:hint="eastAsia" w:ascii="仿宋" w:hAnsi="仿宋" w:eastAsia="仿宋"/>
          <w:color w:val="000000" w:themeColor="text1"/>
          <w:sz w:val="24"/>
          <w:highlight w:val="none"/>
          <w:lang w:val="en-US" w:eastAsia="zh-CN"/>
          <w14:textFill>
            <w14:solidFill>
              <w14:schemeClr w14:val="tx1"/>
            </w14:solidFill>
          </w14:textFill>
        </w:rPr>
        <w:t>竞争性磋商</w:t>
      </w:r>
    </w:p>
    <w:p>
      <w:pPr>
        <w:spacing w:line="520" w:lineRule="exact"/>
        <w:ind w:firstLine="480" w:firstLineChars="20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预算金额：</w:t>
      </w:r>
      <w:r>
        <w:rPr>
          <w:rFonts w:hint="eastAsia" w:ascii="仿宋" w:hAnsi="仿宋" w:eastAsia="仿宋" w:cs="Helvetica"/>
          <w:color w:val="000000" w:themeColor="text1"/>
          <w:kern w:val="0"/>
          <w:sz w:val="24"/>
          <w:lang w:val="en-US" w:eastAsia="zh-CN"/>
          <w14:textFill>
            <w14:solidFill>
              <w14:schemeClr w14:val="tx1"/>
            </w14:solidFill>
          </w14:textFill>
        </w:rPr>
        <w:t>870000</w:t>
      </w:r>
      <w:r>
        <w:rPr>
          <w:rFonts w:ascii="仿宋" w:hAnsi="仿宋" w:eastAsia="仿宋" w:cs="Helvetica"/>
          <w:color w:val="000000" w:themeColor="text1"/>
          <w:kern w:val="0"/>
          <w:sz w:val="24"/>
          <w14:textFill>
            <w14:solidFill>
              <w14:schemeClr w14:val="tx1"/>
            </w14:solidFill>
          </w14:textFill>
        </w:rPr>
        <w:t>.00元</w:t>
      </w:r>
    </w:p>
    <w:p>
      <w:pPr>
        <w:spacing w:line="520" w:lineRule="exact"/>
        <w:ind w:firstLine="480" w:firstLineChars="20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采购需求：</w:t>
      </w:r>
    </w:p>
    <w:p>
      <w:pPr>
        <w:spacing w:line="520" w:lineRule="exact"/>
        <w:ind w:firstLine="480" w:firstLineChars="20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合同包1(</w:t>
      </w:r>
      <w:r>
        <w:rPr>
          <w:rFonts w:hint="eastAsia" w:ascii="仿宋" w:hAnsi="仿宋" w:eastAsia="仿宋"/>
          <w:color w:val="000000" w:themeColor="text1"/>
          <w:sz w:val="24"/>
          <w:highlight w:val="none"/>
          <w:lang w:eastAsia="zh-CN"/>
          <w14:textFill>
            <w14:solidFill>
              <w14:schemeClr w14:val="tx1"/>
            </w14:solidFill>
          </w14:textFill>
        </w:rPr>
        <w:t>临渭区国土空间生态修复规划（2021-2035年）</w:t>
      </w:r>
      <w:r>
        <w:rPr>
          <w:rFonts w:hint="eastAsia" w:ascii="仿宋" w:hAnsi="仿宋" w:eastAsia="仿宋"/>
          <w:color w:val="000000" w:themeColor="text1"/>
          <w:sz w:val="24"/>
          <w:highlight w:val="none"/>
          <w14:textFill>
            <w14:solidFill>
              <w14:schemeClr w14:val="tx1"/>
            </w14:solidFill>
          </w14:textFill>
        </w:rPr>
        <w:t>):</w:t>
      </w:r>
    </w:p>
    <w:p>
      <w:pPr>
        <w:spacing w:line="520" w:lineRule="exact"/>
        <w:ind w:firstLine="480" w:firstLineChars="20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合同包预算金额：</w:t>
      </w:r>
      <w:r>
        <w:rPr>
          <w:rFonts w:hint="eastAsia" w:ascii="仿宋" w:hAnsi="仿宋" w:eastAsia="仿宋" w:cs="Helvetica"/>
          <w:color w:val="000000" w:themeColor="text1"/>
          <w:kern w:val="0"/>
          <w:sz w:val="24"/>
          <w:lang w:val="en-US" w:eastAsia="zh-CN"/>
          <w14:textFill>
            <w14:solidFill>
              <w14:schemeClr w14:val="tx1"/>
            </w14:solidFill>
          </w14:textFill>
        </w:rPr>
        <w:t>870000</w:t>
      </w:r>
      <w:r>
        <w:rPr>
          <w:rFonts w:ascii="仿宋" w:hAnsi="仿宋" w:eastAsia="仿宋" w:cs="Helvetica"/>
          <w:color w:val="000000" w:themeColor="text1"/>
          <w:kern w:val="0"/>
          <w:sz w:val="24"/>
          <w14:textFill>
            <w14:solidFill>
              <w14:schemeClr w14:val="tx1"/>
            </w14:solidFill>
          </w14:textFill>
        </w:rPr>
        <w:t>.00元</w:t>
      </w:r>
    </w:p>
    <w:p>
      <w:pPr>
        <w:spacing w:line="520" w:lineRule="exact"/>
        <w:ind w:firstLine="480" w:firstLineChars="20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合同包最高限价：</w:t>
      </w:r>
      <w:r>
        <w:rPr>
          <w:rFonts w:hint="eastAsia" w:ascii="仿宋" w:hAnsi="仿宋" w:eastAsia="仿宋" w:cs="Helvetica"/>
          <w:color w:val="000000" w:themeColor="text1"/>
          <w:kern w:val="0"/>
          <w:sz w:val="24"/>
          <w:lang w:val="en-US" w:eastAsia="zh-CN"/>
          <w14:textFill>
            <w14:solidFill>
              <w14:schemeClr w14:val="tx1"/>
            </w14:solidFill>
          </w14:textFill>
        </w:rPr>
        <w:t>870000</w:t>
      </w:r>
      <w:r>
        <w:rPr>
          <w:rFonts w:ascii="仿宋" w:hAnsi="仿宋" w:eastAsia="仿宋" w:cs="Helvetica"/>
          <w:color w:val="000000" w:themeColor="text1"/>
          <w:kern w:val="0"/>
          <w:sz w:val="24"/>
          <w14:textFill>
            <w14:solidFill>
              <w14:schemeClr w14:val="tx1"/>
            </w14:solidFill>
          </w14:textFill>
        </w:rPr>
        <w:t>.00元</w:t>
      </w:r>
    </w:p>
    <w:tbl>
      <w:tblPr>
        <w:tblStyle w:val="50"/>
        <w:tblW w:w="5001" w:type="pct"/>
        <w:tblInd w:w="0" w:type="dxa"/>
        <w:tblLayout w:type="fixed"/>
        <w:tblCellMar>
          <w:top w:w="0" w:type="dxa"/>
          <w:left w:w="0" w:type="dxa"/>
          <w:bottom w:w="0" w:type="dxa"/>
          <w:right w:w="0" w:type="dxa"/>
        </w:tblCellMar>
      </w:tblPr>
      <w:tblGrid>
        <w:gridCol w:w="1018"/>
        <w:gridCol w:w="1170"/>
        <w:gridCol w:w="1920"/>
        <w:gridCol w:w="1170"/>
        <w:gridCol w:w="1530"/>
        <w:gridCol w:w="1260"/>
        <w:gridCol w:w="1245"/>
      </w:tblGrid>
      <w:tr>
        <w:tblPrEx>
          <w:tblCellMar>
            <w:top w:w="0" w:type="dxa"/>
            <w:left w:w="0" w:type="dxa"/>
            <w:bottom w:w="0" w:type="dxa"/>
            <w:right w:w="0" w:type="dxa"/>
          </w:tblCellMar>
        </w:tblPrEx>
        <w:trPr>
          <w:trHeight w:val="728" w:hRule="atLeast"/>
          <w:tblHeader/>
        </w:trPr>
        <w:tc>
          <w:tcPr>
            <w:tcW w:w="101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仿宋" w:hAnsi="仿宋" w:eastAsia="仿宋" w:cs="宋体"/>
                <w:b/>
                <w:bCs/>
                <w:color w:val="000000" w:themeColor="text1"/>
                <w:kern w:val="0"/>
                <w:sz w:val="22"/>
                <w:szCs w:val="22"/>
                <w:lang w:val="en-US" w:eastAsia="zh-CN"/>
                <w14:textFill>
                  <w14:solidFill>
                    <w14:schemeClr w14:val="tx1"/>
                  </w14:solidFill>
                </w14:textFill>
              </w:rPr>
            </w:pPr>
            <w:r>
              <w:rPr>
                <w:rFonts w:hint="eastAsia" w:ascii="仿宋" w:hAnsi="仿宋" w:eastAsia="仿宋" w:cs="宋体"/>
                <w:b/>
                <w:bCs/>
                <w:color w:val="000000" w:themeColor="text1"/>
                <w:kern w:val="0"/>
                <w:sz w:val="22"/>
                <w:szCs w:val="22"/>
                <w:lang w:val="en-US" w:eastAsia="zh-CN"/>
                <w14:textFill>
                  <w14:solidFill>
                    <w14:schemeClr w14:val="tx1"/>
                  </w14:solidFill>
                </w14:textFill>
              </w:rPr>
              <w:t>品目号</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eastAsia" w:ascii="仿宋" w:hAnsi="仿宋" w:eastAsia="仿宋" w:cs="宋体"/>
                <w:b/>
                <w:bCs/>
                <w:color w:val="000000" w:themeColor="text1"/>
                <w:kern w:val="0"/>
                <w:sz w:val="22"/>
                <w:szCs w:val="22"/>
                <w:lang w:eastAsia="zh-CN"/>
                <w14:textFill>
                  <w14:solidFill>
                    <w14:schemeClr w14:val="tx1"/>
                  </w14:solidFill>
                </w14:textFill>
              </w:rPr>
            </w:pPr>
            <w:r>
              <w:rPr>
                <w:rFonts w:hint="eastAsia" w:ascii="仿宋" w:hAnsi="仿宋" w:eastAsia="仿宋" w:cs="宋体"/>
                <w:b/>
                <w:bCs/>
                <w:color w:val="000000" w:themeColor="text1"/>
                <w:kern w:val="0"/>
                <w:sz w:val="22"/>
                <w:szCs w:val="22"/>
                <w:lang w:eastAsia="zh-CN"/>
                <w14:textFill>
                  <w14:solidFill>
                    <w14:schemeClr w14:val="tx1"/>
                  </w14:solidFill>
                </w14:textFill>
              </w:rPr>
              <w:t>品目名称</w:t>
            </w:r>
          </w:p>
        </w:tc>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eastAsia" w:ascii="仿宋" w:hAnsi="仿宋" w:eastAsia="仿宋" w:cs="宋体"/>
                <w:b/>
                <w:bCs/>
                <w:color w:val="000000" w:themeColor="text1"/>
                <w:kern w:val="0"/>
                <w:sz w:val="22"/>
                <w:szCs w:val="22"/>
                <w:lang w:eastAsia="zh-CN"/>
                <w14:textFill>
                  <w14:solidFill>
                    <w14:schemeClr w14:val="tx1"/>
                  </w14:solidFill>
                </w14:textFill>
              </w:rPr>
            </w:pPr>
            <w:r>
              <w:rPr>
                <w:rFonts w:hint="eastAsia" w:ascii="仿宋" w:hAnsi="仿宋" w:eastAsia="仿宋" w:cs="宋体"/>
                <w:b/>
                <w:bCs/>
                <w:color w:val="000000" w:themeColor="text1"/>
                <w:kern w:val="0"/>
                <w:sz w:val="22"/>
                <w:szCs w:val="22"/>
                <w:lang w:eastAsia="zh-CN"/>
                <w14:textFill>
                  <w14:solidFill>
                    <w14:schemeClr w14:val="tx1"/>
                  </w14:solidFill>
                </w14:textFill>
              </w:rPr>
              <w:t>采购标的</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eastAsia" w:ascii="仿宋" w:hAnsi="仿宋" w:eastAsia="仿宋" w:cs="宋体"/>
                <w:b/>
                <w:bCs/>
                <w:color w:val="000000" w:themeColor="text1"/>
                <w:kern w:val="0"/>
                <w:sz w:val="22"/>
                <w:szCs w:val="22"/>
                <w:lang w:eastAsia="zh-CN"/>
                <w14:textFill>
                  <w14:solidFill>
                    <w14:schemeClr w14:val="tx1"/>
                  </w14:solidFill>
                </w14:textFill>
              </w:rPr>
            </w:pPr>
            <w:r>
              <w:rPr>
                <w:rFonts w:hint="eastAsia" w:ascii="仿宋" w:hAnsi="仿宋" w:eastAsia="仿宋" w:cs="宋体"/>
                <w:b/>
                <w:bCs/>
                <w:color w:val="000000" w:themeColor="text1"/>
                <w:kern w:val="0"/>
                <w:sz w:val="22"/>
                <w:szCs w:val="22"/>
                <w:lang w:eastAsia="zh-CN"/>
                <w14:textFill>
                  <w14:solidFill>
                    <w14:schemeClr w14:val="tx1"/>
                  </w14:solidFill>
                </w14:textFill>
              </w:rPr>
              <w:t>数量</w:t>
            </w:r>
          </w:p>
          <w:p>
            <w:pPr>
              <w:widowControl/>
              <w:spacing w:line="360" w:lineRule="atLeast"/>
              <w:jc w:val="center"/>
              <w:rPr>
                <w:rFonts w:hint="eastAsia" w:ascii="仿宋" w:hAnsi="仿宋" w:eastAsia="仿宋" w:cs="宋体"/>
                <w:b/>
                <w:bCs/>
                <w:color w:val="000000" w:themeColor="text1"/>
                <w:kern w:val="0"/>
                <w:sz w:val="22"/>
                <w:szCs w:val="22"/>
                <w:lang w:eastAsia="zh-CN"/>
                <w14:textFill>
                  <w14:solidFill>
                    <w14:schemeClr w14:val="tx1"/>
                  </w14:solidFill>
                </w14:textFill>
              </w:rPr>
            </w:pPr>
            <w:r>
              <w:rPr>
                <w:rFonts w:hint="eastAsia" w:ascii="仿宋" w:hAnsi="仿宋" w:eastAsia="仿宋" w:cs="宋体"/>
                <w:b/>
                <w:bCs/>
                <w:color w:val="000000" w:themeColor="text1"/>
                <w:kern w:val="0"/>
                <w:sz w:val="22"/>
                <w:szCs w:val="22"/>
                <w:lang w:eastAsia="zh-CN"/>
                <w14:textFill>
                  <w14:solidFill>
                    <w14:schemeClr w14:val="tx1"/>
                  </w14:solidFill>
                </w14:textFill>
              </w:rPr>
              <w:t>（单位）</w:t>
            </w: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eastAsia" w:ascii="仿宋" w:hAnsi="仿宋" w:eastAsia="仿宋" w:cs="宋体"/>
                <w:b/>
                <w:bCs/>
                <w:color w:val="000000" w:themeColor="text1"/>
                <w:kern w:val="0"/>
                <w:sz w:val="22"/>
                <w:szCs w:val="22"/>
                <w:lang w:eastAsia="zh-CN"/>
                <w14:textFill>
                  <w14:solidFill>
                    <w14:schemeClr w14:val="tx1"/>
                  </w14:solidFill>
                </w14:textFill>
              </w:rPr>
            </w:pPr>
            <w:r>
              <w:rPr>
                <w:rFonts w:ascii="仿宋" w:hAnsi="仿宋" w:eastAsia="仿宋" w:cs="宋体"/>
                <w:b/>
                <w:bCs/>
                <w:color w:val="000000" w:themeColor="text1"/>
                <w:kern w:val="0"/>
                <w:sz w:val="22"/>
                <w:szCs w:val="22"/>
                <w14:textFill>
                  <w14:solidFill>
                    <w14:schemeClr w14:val="tx1"/>
                  </w14:solidFill>
                </w14:textFill>
              </w:rPr>
              <w:t>技术规格、参数及要求</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宋体"/>
                <w:b/>
                <w:bCs/>
                <w:color w:val="000000" w:themeColor="text1"/>
                <w:kern w:val="0"/>
                <w:sz w:val="22"/>
                <w:szCs w:val="22"/>
                <w14:textFill>
                  <w14:solidFill>
                    <w14:schemeClr w14:val="tx1"/>
                  </w14:solidFill>
                </w14:textFill>
              </w:rPr>
            </w:pPr>
            <w:r>
              <w:rPr>
                <w:rFonts w:hint="eastAsia" w:ascii="仿宋" w:hAnsi="仿宋" w:eastAsia="仿宋" w:cs="宋体"/>
                <w:b/>
                <w:bCs/>
                <w:color w:val="000000" w:themeColor="text1"/>
                <w:kern w:val="0"/>
                <w:sz w:val="22"/>
                <w:szCs w:val="22"/>
                <w:lang w:eastAsia="zh-CN"/>
                <w14:textFill>
                  <w14:solidFill>
                    <w14:schemeClr w14:val="tx1"/>
                  </w14:solidFill>
                </w14:textFill>
              </w:rPr>
              <w:t>品目预算</w:t>
            </w:r>
            <w:r>
              <w:rPr>
                <w:rFonts w:ascii="仿宋" w:hAnsi="仿宋" w:eastAsia="仿宋" w:cs="宋体"/>
                <w:b/>
                <w:bCs/>
                <w:color w:val="000000" w:themeColor="text1"/>
                <w:kern w:val="0"/>
                <w:sz w:val="22"/>
                <w:szCs w:val="22"/>
                <w14:textFill>
                  <w14:solidFill>
                    <w14:schemeClr w14:val="tx1"/>
                  </w14:solidFill>
                </w14:textFill>
              </w:rPr>
              <w:t>（元）</w:t>
            </w:r>
          </w:p>
        </w:tc>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eastAsia" w:ascii="仿宋" w:hAnsi="仿宋" w:eastAsia="仿宋" w:cs="宋体"/>
                <w:b/>
                <w:bCs/>
                <w:color w:val="000000" w:themeColor="text1"/>
                <w:kern w:val="0"/>
                <w:sz w:val="22"/>
                <w:szCs w:val="22"/>
                <w:lang w:eastAsia="zh-CN"/>
                <w14:textFill>
                  <w14:solidFill>
                    <w14:schemeClr w14:val="tx1"/>
                  </w14:solidFill>
                </w14:textFill>
              </w:rPr>
            </w:pPr>
            <w:r>
              <w:rPr>
                <w:rFonts w:hint="eastAsia" w:ascii="仿宋" w:hAnsi="仿宋" w:eastAsia="仿宋" w:cs="宋体"/>
                <w:b/>
                <w:bCs/>
                <w:color w:val="000000" w:themeColor="text1"/>
                <w:kern w:val="0"/>
                <w:sz w:val="22"/>
                <w:szCs w:val="22"/>
                <w:lang w:eastAsia="zh-CN"/>
                <w14:textFill>
                  <w14:solidFill>
                    <w14:schemeClr w14:val="tx1"/>
                  </w14:solidFill>
                </w14:textFill>
              </w:rPr>
              <w:t>最高限价（元）</w:t>
            </w:r>
          </w:p>
        </w:tc>
      </w:tr>
      <w:tr>
        <w:tblPrEx>
          <w:tblCellMar>
            <w:top w:w="0" w:type="dxa"/>
            <w:left w:w="0" w:type="dxa"/>
            <w:bottom w:w="0" w:type="dxa"/>
            <w:right w:w="0" w:type="dxa"/>
          </w:tblCellMar>
        </w:tblPrEx>
        <w:trPr>
          <w:trHeight w:val="480" w:hRule="atLeast"/>
        </w:trPr>
        <w:tc>
          <w:tcPr>
            <w:tcW w:w="101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仿宋" w:hAnsi="仿宋" w:eastAsia="仿宋" w:cs="宋体"/>
                <w:color w:val="000000" w:themeColor="text1"/>
                <w:kern w:val="0"/>
                <w:sz w:val="22"/>
                <w:szCs w:val="22"/>
                <w:lang w:val="en-US" w:eastAsia="zh-CN"/>
                <w14:textFill>
                  <w14:solidFill>
                    <w14:schemeClr w14:val="tx1"/>
                  </w14:solidFill>
                </w14:textFill>
              </w:rPr>
            </w:pPr>
            <w:r>
              <w:rPr>
                <w:rFonts w:ascii="仿宋" w:hAnsi="仿宋" w:eastAsia="仿宋" w:cs="宋体"/>
                <w:color w:val="000000" w:themeColor="text1"/>
                <w:kern w:val="0"/>
                <w:sz w:val="22"/>
                <w:szCs w:val="22"/>
                <w14:textFill>
                  <w14:solidFill>
                    <w14:schemeClr w14:val="tx1"/>
                  </w14:solidFill>
                </w14:textFill>
              </w:rPr>
              <w:t>1</w:t>
            </w:r>
            <w:r>
              <w:rPr>
                <w:rFonts w:hint="eastAsia" w:ascii="仿宋" w:hAnsi="仿宋" w:eastAsia="仿宋" w:cs="宋体"/>
                <w:color w:val="000000" w:themeColor="text1"/>
                <w:kern w:val="0"/>
                <w:sz w:val="22"/>
                <w:szCs w:val="22"/>
                <w:lang w:val="en-US" w:eastAsia="zh-CN"/>
                <w14:textFill>
                  <w14:solidFill>
                    <w14:schemeClr w14:val="tx1"/>
                  </w14:solidFill>
                </w14:textFill>
              </w:rPr>
              <w:t>-1</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eastAsia" w:ascii="仿宋" w:hAnsi="仿宋" w:eastAsia="仿宋" w:cs="宋体"/>
                <w:color w:val="000000" w:themeColor="text1"/>
                <w:kern w:val="0"/>
                <w:sz w:val="22"/>
                <w:szCs w:val="22"/>
                <w:lang w:eastAsia="zh-CN"/>
                <w14:textFill>
                  <w14:solidFill>
                    <w14:schemeClr w14:val="tx1"/>
                  </w14:solidFill>
                </w14:textFill>
              </w:rPr>
            </w:pPr>
            <w:r>
              <w:rPr>
                <w:rFonts w:hint="eastAsia" w:ascii="仿宋" w:hAnsi="仿宋" w:eastAsia="仿宋" w:cs="宋体"/>
                <w:color w:val="000000" w:themeColor="text1"/>
                <w:kern w:val="0"/>
                <w:sz w:val="22"/>
                <w:szCs w:val="22"/>
                <w:lang w:eastAsia="zh-CN"/>
                <w14:textFill>
                  <w14:solidFill>
                    <w14:schemeClr w14:val="tx1"/>
                  </w14:solidFill>
                </w14:textFill>
              </w:rPr>
              <w:t>其他专业技术服务</w:t>
            </w:r>
          </w:p>
        </w:tc>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eastAsia" w:ascii="仿宋" w:hAnsi="仿宋" w:eastAsia="仿宋" w:cs="宋体"/>
                <w:color w:val="000000" w:themeColor="text1"/>
                <w:kern w:val="0"/>
                <w:sz w:val="22"/>
                <w:szCs w:val="22"/>
                <w:lang w:eastAsia="zh-CN"/>
                <w14:textFill>
                  <w14:solidFill>
                    <w14:schemeClr w14:val="tx1"/>
                  </w14:solidFill>
                </w14:textFill>
              </w:rPr>
            </w:pPr>
            <w:r>
              <w:rPr>
                <w:rFonts w:hint="eastAsia" w:ascii="仿宋" w:hAnsi="仿宋" w:eastAsia="仿宋" w:cs="宋体"/>
                <w:color w:val="000000" w:themeColor="text1"/>
                <w:kern w:val="0"/>
                <w:sz w:val="22"/>
                <w:szCs w:val="22"/>
                <w:lang w:eastAsia="zh-CN"/>
                <w14:textFill>
                  <w14:solidFill>
                    <w14:schemeClr w14:val="tx1"/>
                  </w14:solidFill>
                </w14:textFill>
              </w:rPr>
              <w:t>临渭区国土空间生态修复规划（2021-2035年）</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仿宋" w:hAnsi="仿宋" w:eastAsia="仿宋" w:cs="宋体"/>
                <w:color w:val="000000" w:themeColor="text1"/>
                <w:kern w:val="0"/>
                <w:sz w:val="22"/>
                <w:szCs w:val="22"/>
                <w:lang w:val="en-US" w:eastAsia="zh-CN"/>
                <w14:textFill>
                  <w14:solidFill>
                    <w14:schemeClr w14:val="tx1"/>
                  </w14:solidFill>
                </w14:textFill>
              </w:rPr>
            </w:pPr>
            <w:r>
              <w:rPr>
                <w:rFonts w:hint="eastAsia" w:ascii="仿宋" w:hAnsi="仿宋" w:eastAsia="仿宋" w:cs="宋体"/>
                <w:color w:val="000000" w:themeColor="text1"/>
                <w:kern w:val="0"/>
                <w:sz w:val="22"/>
                <w:szCs w:val="22"/>
                <w:lang w:val="en-US" w:eastAsia="zh-CN"/>
                <w14:textFill>
                  <w14:solidFill>
                    <w14:schemeClr w14:val="tx1"/>
                  </w14:solidFill>
                </w14:textFill>
              </w:rPr>
              <w:t>1（项）</w:t>
            </w: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hint="eastAsia" w:ascii="仿宋" w:hAnsi="仿宋" w:eastAsia="仿宋" w:cs="宋体"/>
                <w:color w:val="000000" w:themeColor="text1"/>
                <w:kern w:val="0"/>
                <w:sz w:val="22"/>
                <w:szCs w:val="22"/>
                <w:lang w:val="en-US" w:eastAsia="zh-CN"/>
                <w14:textFill>
                  <w14:solidFill>
                    <w14:schemeClr w14:val="tx1"/>
                  </w14:solidFill>
                </w14:textFill>
              </w:rPr>
            </w:pPr>
            <w:r>
              <w:rPr>
                <w:rFonts w:ascii="仿宋" w:hAnsi="仿宋" w:eastAsia="仿宋" w:cs="宋体"/>
                <w:color w:val="000000" w:themeColor="text1"/>
                <w:kern w:val="0"/>
                <w:sz w:val="22"/>
                <w:szCs w:val="22"/>
                <w14:textFill>
                  <w14:solidFill>
                    <w14:schemeClr w14:val="tx1"/>
                  </w14:solidFill>
                </w14:textFill>
              </w:rPr>
              <w:t>详见采购文件</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Helvetica"/>
                <w:color w:val="000000" w:themeColor="text1"/>
                <w:kern w:val="0"/>
                <w:sz w:val="22"/>
                <w:szCs w:val="22"/>
                <w:lang w:val="en-US" w:eastAsia="zh-CN"/>
                <w14:textFill>
                  <w14:solidFill>
                    <w14:schemeClr w14:val="tx1"/>
                  </w14:solidFill>
                </w14:textFill>
              </w:rPr>
              <w:t>870000</w:t>
            </w:r>
            <w:r>
              <w:rPr>
                <w:rFonts w:ascii="仿宋" w:hAnsi="仿宋" w:eastAsia="仿宋" w:cs="Helvetica"/>
                <w:color w:val="000000" w:themeColor="text1"/>
                <w:kern w:val="0"/>
                <w:sz w:val="22"/>
                <w:szCs w:val="22"/>
                <w14:textFill>
                  <w14:solidFill>
                    <w14:schemeClr w14:val="tx1"/>
                  </w14:solidFill>
                </w14:textFill>
              </w:rPr>
              <w:t>.00</w:t>
            </w:r>
          </w:p>
        </w:tc>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Helvetica"/>
                <w:color w:val="000000" w:themeColor="text1"/>
                <w:kern w:val="0"/>
                <w:sz w:val="22"/>
                <w:szCs w:val="22"/>
                <w:lang w:val="en-US" w:eastAsia="zh-CN"/>
                <w14:textFill>
                  <w14:solidFill>
                    <w14:schemeClr w14:val="tx1"/>
                  </w14:solidFill>
                </w14:textFill>
              </w:rPr>
              <w:t>870000</w:t>
            </w:r>
            <w:r>
              <w:rPr>
                <w:rFonts w:ascii="仿宋" w:hAnsi="仿宋" w:eastAsia="仿宋" w:cs="Helvetica"/>
                <w:color w:val="000000" w:themeColor="text1"/>
                <w:kern w:val="0"/>
                <w:sz w:val="22"/>
                <w:szCs w:val="22"/>
                <w14:textFill>
                  <w14:solidFill>
                    <w14:schemeClr w14:val="tx1"/>
                  </w14:solidFill>
                </w14:textFill>
              </w:rPr>
              <w:t>.00</w:t>
            </w:r>
          </w:p>
        </w:tc>
      </w:tr>
    </w:tbl>
    <w:p>
      <w:pPr>
        <w:spacing w:line="520" w:lineRule="exact"/>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本合同包不接受联合体</w:t>
      </w:r>
      <w:r>
        <w:rPr>
          <w:rFonts w:hint="eastAsia" w:ascii="仿宋" w:hAnsi="仿宋" w:eastAsia="仿宋"/>
          <w:color w:val="000000" w:themeColor="text1"/>
          <w:sz w:val="24"/>
          <w:highlight w:val="none"/>
          <w:lang w:eastAsia="zh-CN"/>
          <w14:textFill>
            <w14:solidFill>
              <w14:schemeClr w14:val="tx1"/>
            </w14:solidFill>
          </w14:textFill>
        </w:rPr>
        <w:t>磋商</w:t>
      </w:r>
    </w:p>
    <w:p>
      <w:pPr>
        <w:widowControl/>
        <w:snapToGrid w:val="0"/>
        <w:spacing w:before="167" w:line="360" w:lineRule="auto"/>
        <w:ind w:firstLine="480" w:firstLineChars="200"/>
        <w:jc w:val="left"/>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合同履行期限：</w:t>
      </w:r>
      <w:r>
        <w:rPr>
          <w:rFonts w:hint="eastAsia" w:ascii="仿宋" w:hAnsi="仿宋" w:eastAsia="仿宋"/>
          <w:color w:val="000000" w:themeColor="text1"/>
          <w:sz w:val="24"/>
          <w:highlight w:val="none"/>
          <w:lang w:eastAsia="zh-CN"/>
          <w14:textFill>
            <w14:solidFill>
              <w14:schemeClr w14:val="tx1"/>
            </w14:solidFill>
          </w14:textFill>
        </w:rPr>
        <w:t>自合同签订之日起</w:t>
      </w:r>
      <w:r>
        <w:rPr>
          <w:rFonts w:hint="eastAsia" w:ascii="仿宋" w:hAnsi="仿宋" w:eastAsia="仿宋"/>
          <w:color w:val="000000" w:themeColor="text1"/>
          <w:sz w:val="24"/>
          <w:highlight w:val="none"/>
          <w:lang w:val="en-US" w:eastAsia="zh-CN"/>
          <w14:textFill>
            <w14:solidFill>
              <w14:schemeClr w14:val="tx1"/>
            </w14:solidFill>
          </w14:textFill>
        </w:rPr>
        <w:t>90日历天。</w:t>
      </w:r>
    </w:p>
    <w:p>
      <w:pPr>
        <w:widowControl/>
        <w:snapToGrid w:val="0"/>
        <w:spacing w:before="167" w:line="360" w:lineRule="auto"/>
        <w:ind w:firstLine="482" w:firstLineChars="200"/>
        <w:jc w:val="left"/>
        <w:outlineLvl w:val="1"/>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 xml:space="preserve">二、 </w:t>
      </w: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申请人</w:t>
      </w:r>
      <w:r>
        <w:rPr>
          <w:rFonts w:hint="eastAsia" w:ascii="仿宋_GB2312" w:hAnsi="仿宋_GB2312" w:eastAsia="仿宋_GB2312" w:cs="仿宋_GB2312"/>
          <w:b/>
          <w:bCs/>
          <w:color w:val="000000" w:themeColor="text1"/>
          <w:kern w:val="0"/>
          <w:sz w:val="24"/>
          <w:highlight w:val="none"/>
          <w14:textFill>
            <w14:solidFill>
              <w14:schemeClr w14:val="tx1"/>
            </w14:solidFill>
          </w14:textFill>
        </w:rPr>
        <w:t>的资格要求</w:t>
      </w:r>
    </w:p>
    <w:p>
      <w:pPr>
        <w:spacing w:line="520" w:lineRule="exact"/>
        <w:ind w:firstLine="480" w:firstLineChars="200"/>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1.满足《中华人民共和国政府釆购法》第二十二条规定;</w:t>
      </w:r>
    </w:p>
    <w:p>
      <w:pPr>
        <w:spacing w:line="520" w:lineRule="exact"/>
        <w:ind w:firstLine="480" w:firstLineChars="200"/>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2.落实政府采购政策需满足的资格要求：</w:t>
      </w:r>
    </w:p>
    <w:p>
      <w:pPr>
        <w:spacing w:line="520" w:lineRule="exact"/>
        <w:ind w:firstLine="480" w:firstLineChars="200"/>
        <w:outlineLvl w:val="9"/>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合同包1(</w:t>
      </w:r>
      <w:r>
        <w:rPr>
          <w:rFonts w:hint="eastAsia" w:ascii="仿宋" w:hAnsi="仿宋" w:eastAsia="仿宋"/>
          <w:color w:val="000000" w:themeColor="text1"/>
          <w:sz w:val="24"/>
          <w:highlight w:val="none"/>
          <w:lang w:eastAsia="zh-CN"/>
          <w14:textFill>
            <w14:solidFill>
              <w14:schemeClr w14:val="tx1"/>
            </w14:solidFill>
          </w14:textFill>
        </w:rPr>
        <w:t>临渭区国土空间生态修复规划（2021-2035年）</w:t>
      </w:r>
      <w:r>
        <w:rPr>
          <w:rFonts w:hint="eastAsia" w:ascii="仿宋" w:hAnsi="仿宋" w:eastAsia="仿宋"/>
          <w:color w:val="000000" w:themeColor="text1"/>
          <w:sz w:val="24"/>
          <w:highlight w:val="none"/>
          <w14:textFill>
            <w14:solidFill>
              <w14:schemeClr w14:val="tx1"/>
            </w14:solidFill>
          </w14:textFill>
        </w:rPr>
        <w:t>)落实政府采购政策需满足的资格要求如下:</w:t>
      </w:r>
    </w:p>
    <w:p>
      <w:pPr>
        <w:widowControl/>
        <w:snapToGrid w:val="0"/>
        <w:spacing w:before="167" w:line="360" w:lineRule="auto"/>
        <w:ind w:firstLine="480" w:firstLineChars="200"/>
        <w:jc w:val="left"/>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本项目为专门面向中小企业的项目，供应商应为中小微企业、监狱企业或残疾人福利性单位。</w:t>
      </w:r>
    </w:p>
    <w:p>
      <w:pPr>
        <w:widowControl/>
        <w:snapToGrid w:val="0"/>
        <w:spacing w:before="167" w:line="360" w:lineRule="auto"/>
        <w:ind w:firstLine="480" w:firstLineChars="200"/>
        <w:jc w:val="left"/>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3.本项目的特定资格要求：</w:t>
      </w:r>
    </w:p>
    <w:p>
      <w:pPr>
        <w:widowControl/>
        <w:snapToGrid w:val="0"/>
        <w:spacing w:before="167" w:line="360" w:lineRule="auto"/>
        <w:ind w:firstLine="480" w:firstLineChars="200"/>
        <w:jc w:val="left"/>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合同包1(</w:t>
      </w:r>
      <w:r>
        <w:rPr>
          <w:rFonts w:hint="eastAsia" w:ascii="仿宋" w:hAnsi="仿宋" w:eastAsia="仿宋"/>
          <w:color w:val="000000" w:themeColor="text1"/>
          <w:sz w:val="24"/>
          <w:highlight w:val="none"/>
          <w:lang w:eastAsia="zh-CN"/>
          <w14:textFill>
            <w14:solidFill>
              <w14:schemeClr w14:val="tx1"/>
            </w14:solidFill>
          </w14:textFill>
        </w:rPr>
        <w:t>临渭区国土空间生态修复规划（2021-2035年）</w:t>
      </w:r>
      <w:r>
        <w:rPr>
          <w:rFonts w:hint="eastAsia" w:ascii="仿宋" w:hAnsi="仿宋" w:eastAsia="仿宋"/>
          <w:color w:val="000000" w:themeColor="text1"/>
          <w:sz w:val="24"/>
          <w:highlight w:val="none"/>
          <w14:textFill>
            <w14:solidFill>
              <w14:schemeClr w14:val="tx1"/>
            </w14:solidFill>
          </w14:textFill>
        </w:rPr>
        <w:t>)特定资格要求如下:</w:t>
      </w:r>
    </w:p>
    <w:p>
      <w:pPr>
        <w:widowControl/>
        <w:snapToGrid w:val="0"/>
        <w:spacing w:before="167" w:line="360" w:lineRule="auto"/>
        <w:ind w:firstLine="480" w:firstLineChars="200"/>
        <w:jc w:val="left"/>
        <w:rPr>
          <w:rFonts w:hint="eastAsia" w:ascii="仿宋" w:hAnsi="仿宋" w:eastAsia="仿宋"/>
          <w:strike w:val="0"/>
          <w:dstrike w:val="0"/>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供应商在递交响应文件截止时间前被“信用中国”网站</w:t>
      </w:r>
      <w:r>
        <w:rPr>
          <w:rFonts w:hint="eastAsia" w:ascii="仿宋" w:hAnsi="仿宋" w:eastAsia="仿宋"/>
          <w:color w:val="000000" w:themeColor="text1"/>
          <w:sz w:val="22"/>
          <w:szCs w:val="22"/>
          <w:highlight w:val="none"/>
          <w14:textFill>
            <w14:solidFill>
              <w14:schemeClr w14:val="tx1"/>
            </w14:solidFill>
          </w14:textFill>
        </w:rPr>
        <w:t>（www.creditchina.gov.cn）</w:t>
      </w:r>
      <w:r>
        <w:rPr>
          <w:rFonts w:hint="eastAsia" w:ascii="仿宋" w:hAnsi="仿宋" w:eastAsia="仿宋"/>
          <w:color w:val="000000" w:themeColor="text1"/>
          <w:sz w:val="24"/>
          <w:highlight w:val="none"/>
          <w14:textFill>
            <w14:solidFill>
              <w14:schemeClr w14:val="tx1"/>
            </w14:solidFill>
          </w14:textFill>
        </w:rPr>
        <w:t>和中国政府采购网</w:t>
      </w:r>
      <w:r>
        <w:rPr>
          <w:rFonts w:hint="eastAsia" w:ascii="仿宋" w:hAnsi="仿宋" w:eastAsia="仿宋"/>
          <w:color w:val="000000" w:themeColor="text1"/>
          <w:sz w:val="22"/>
          <w:szCs w:val="22"/>
          <w:highlight w:val="none"/>
          <w14:textFill>
            <w14:solidFill>
              <w14:schemeClr w14:val="tx1"/>
            </w14:solidFill>
          </w14:textFill>
        </w:rPr>
        <w:t>（www.ccgp.gov.cn）</w:t>
      </w:r>
      <w:r>
        <w:rPr>
          <w:rFonts w:hint="eastAsia" w:ascii="仿宋" w:hAnsi="仿宋" w:eastAsia="仿宋"/>
          <w:color w:val="000000" w:themeColor="text1"/>
          <w:sz w:val="24"/>
          <w:highlight w:val="none"/>
          <w14:textFill>
            <w14:solidFill>
              <w14:schemeClr w14:val="tx1"/>
            </w14:solidFill>
          </w14:textFill>
        </w:rPr>
        <w:t>上被列入失信被执行人、重大税收违法案件当事人名单、政府采购严重违法失信行为记录名单的，不得参加磋商</w:t>
      </w:r>
      <w:r>
        <w:rPr>
          <w:rFonts w:hint="eastAsia" w:ascii="仿宋" w:hAnsi="仿宋" w:eastAsia="仿宋"/>
          <w:color w:val="000000" w:themeColor="text1"/>
          <w:sz w:val="24"/>
          <w:highlight w:val="none"/>
          <w:lang w:val="en-US" w:eastAsia="zh-CN"/>
          <w14:textFill>
            <w14:solidFill>
              <w14:schemeClr w14:val="tx1"/>
            </w14:solidFill>
          </w14:textFill>
        </w:rPr>
        <w:t>。</w:t>
      </w:r>
    </w:p>
    <w:p>
      <w:pPr>
        <w:widowControl/>
        <w:snapToGrid w:val="0"/>
        <w:spacing w:before="167" w:line="360" w:lineRule="auto"/>
        <w:ind w:firstLine="480" w:firstLineChars="200"/>
        <w:jc w:val="left"/>
        <w:rPr>
          <w:rFonts w:hint="eastAsia" w:ascii="仿宋" w:hAnsi="仿宋" w:eastAsia="仿宋"/>
          <w:strike w:val="0"/>
          <w:dstrike w:val="0"/>
          <w:color w:val="000000" w:themeColor="text1"/>
          <w:sz w:val="24"/>
          <w:highlight w:val="none"/>
          <w:lang w:eastAsia="zh-CN"/>
          <w14:textFill>
            <w14:solidFill>
              <w14:schemeClr w14:val="tx1"/>
            </w14:solidFill>
          </w14:textFill>
        </w:rPr>
      </w:pPr>
      <w:r>
        <w:rPr>
          <w:rFonts w:hint="eastAsia" w:ascii="仿宋" w:hAnsi="仿宋" w:eastAsia="仿宋"/>
          <w:strike w:val="0"/>
          <w:dstrike w:val="0"/>
          <w:color w:val="000000" w:themeColor="text1"/>
          <w:sz w:val="24"/>
          <w:highlight w:val="none"/>
          <w14:textFill>
            <w14:solidFill>
              <w14:schemeClr w14:val="tx1"/>
            </w14:solidFill>
          </w14:textFill>
        </w:rPr>
        <w:t>3.</w:t>
      </w:r>
      <w:r>
        <w:rPr>
          <w:rFonts w:hint="eastAsia" w:ascii="仿宋" w:hAnsi="仿宋" w:eastAsia="仿宋"/>
          <w:strike w:val="0"/>
          <w:dstrike w:val="0"/>
          <w:color w:val="000000" w:themeColor="text1"/>
          <w:sz w:val="24"/>
          <w:highlight w:val="none"/>
          <w:lang w:val="en-US" w:eastAsia="zh-CN"/>
          <w14:textFill>
            <w14:solidFill>
              <w14:schemeClr w14:val="tx1"/>
            </w14:solidFill>
          </w14:textFill>
        </w:rPr>
        <w:t>2</w:t>
      </w:r>
      <w:r>
        <w:rPr>
          <w:rFonts w:hint="eastAsia" w:ascii="仿宋" w:hAnsi="仿宋" w:eastAsia="仿宋"/>
          <w:strike w:val="0"/>
          <w:dstrike w:val="0"/>
          <w:color w:val="000000" w:themeColor="text1"/>
          <w:sz w:val="24"/>
          <w:highlight w:val="none"/>
          <w14:textFill>
            <w14:solidFill>
              <w14:schemeClr w14:val="tx1"/>
            </w14:solidFill>
          </w14:textFill>
        </w:rPr>
        <w:t>供应商须具备土地规划乙级（含乙级）</w:t>
      </w:r>
      <w:r>
        <w:rPr>
          <w:rFonts w:hint="eastAsia" w:ascii="仿宋" w:hAnsi="仿宋" w:eastAsia="仿宋"/>
          <w:strike w:val="0"/>
          <w:dstrike w:val="0"/>
          <w:color w:val="000000" w:themeColor="text1"/>
          <w:sz w:val="24"/>
          <w:highlight w:val="none"/>
          <w:lang w:eastAsia="zh-CN"/>
          <w14:textFill>
            <w14:solidFill>
              <w14:schemeClr w14:val="tx1"/>
            </w14:solidFill>
          </w14:textFill>
        </w:rPr>
        <w:t>及</w:t>
      </w:r>
      <w:r>
        <w:rPr>
          <w:rFonts w:hint="eastAsia" w:ascii="仿宋" w:hAnsi="仿宋" w:eastAsia="仿宋"/>
          <w:strike w:val="0"/>
          <w:dstrike w:val="0"/>
          <w:color w:val="000000" w:themeColor="text1"/>
          <w:sz w:val="24"/>
          <w:highlight w:val="none"/>
          <w14:textFill>
            <w14:solidFill>
              <w14:schemeClr w14:val="tx1"/>
            </w14:solidFill>
          </w14:textFill>
        </w:rPr>
        <w:t>以上资质</w:t>
      </w:r>
      <w:r>
        <w:rPr>
          <w:rFonts w:hint="eastAsia" w:ascii="仿宋" w:hAnsi="仿宋" w:eastAsia="仿宋"/>
          <w:strike w:val="0"/>
          <w:dstrike w:val="0"/>
          <w:color w:val="000000" w:themeColor="text1"/>
          <w:sz w:val="24"/>
          <w:highlight w:val="none"/>
          <w:lang w:eastAsia="zh-CN"/>
          <w14:textFill>
            <w14:solidFill>
              <w14:schemeClr w14:val="tx1"/>
            </w14:solidFill>
          </w14:textFill>
        </w:rPr>
        <w:t>。</w:t>
      </w:r>
    </w:p>
    <w:p>
      <w:pPr>
        <w:widowControl/>
        <w:snapToGrid w:val="0"/>
        <w:spacing w:before="167" w:line="360" w:lineRule="auto"/>
        <w:ind w:firstLine="480" w:firstLineChars="200"/>
        <w:jc w:val="left"/>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3.3供应商应授权合法的人员参加磋商全过程，其中法定代表人直接参加磋商的，须出具法人身份证，并与营业执照上信息一致。法定代表人授权代表参加磋商的，须出具法定代表人授权书及授权代表身份证</w:t>
      </w:r>
      <w:r>
        <w:rPr>
          <w:rFonts w:hint="eastAsia" w:ascii="仿宋" w:hAnsi="仿宋" w:eastAsia="仿宋"/>
          <w:color w:val="000000" w:themeColor="text1"/>
          <w:sz w:val="24"/>
          <w:highlight w:val="none"/>
          <w:lang w:eastAsia="zh-CN"/>
          <w14:textFill>
            <w14:solidFill>
              <w14:schemeClr w14:val="tx1"/>
            </w14:solidFill>
          </w14:textFill>
        </w:rPr>
        <w:t>。</w:t>
      </w:r>
    </w:p>
    <w:p>
      <w:pPr>
        <w:widowControl/>
        <w:snapToGrid w:val="0"/>
        <w:spacing w:before="167" w:line="360" w:lineRule="auto"/>
        <w:ind w:firstLine="480" w:firstLineChars="200"/>
        <w:jc w:val="left"/>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3.4供应商不得存在下列情形之一： （1）单位负责人为同一人或者存在直接控股、管理关系的不同供应商， 不得参加本次采购活动；（2）为本项目提供整体设计、规范编制或者项目管理、监理、检测等服务的供应商，不得再参加该采购项目的其他采购活动。</w:t>
      </w:r>
    </w:p>
    <w:p>
      <w:pPr>
        <w:widowControl/>
        <w:snapToGrid w:val="0"/>
        <w:spacing w:before="167" w:line="360" w:lineRule="auto"/>
        <w:ind w:firstLine="480" w:firstLineChars="200"/>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3.5</w:t>
      </w:r>
      <w:r>
        <w:rPr>
          <w:rFonts w:hint="eastAsia" w:ascii="仿宋" w:hAnsi="仿宋" w:eastAsia="仿宋"/>
          <w:color w:val="000000" w:themeColor="text1"/>
          <w:sz w:val="24"/>
          <w:highlight w:val="none"/>
          <w14:textFill>
            <w14:solidFill>
              <w14:schemeClr w14:val="tx1"/>
            </w14:solidFill>
          </w14:textFill>
        </w:rPr>
        <w:t>需向采购代理机构</w:t>
      </w:r>
      <w:r>
        <w:rPr>
          <w:rFonts w:hint="eastAsia" w:ascii="仿宋" w:hAnsi="仿宋" w:eastAsia="仿宋"/>
          <w:color w:val="000000" w:themeColor="text1"/>
          <w:sz w:val="24"/>
          <w:highlight w:val="none"/>
          <w:lang w:eastAsia="zh-CN"/>
          <w14:textFill>
            <w14:solidFill>
              <w14:schemeClr w14:val="tx1"/>
            </w14:solidFill>
          </w14:textFill>
        </w:rPr>
        <w:t>购买采购</w:t>
      </w:r>
      <w:r>
        <w:rPr>
          <w:rFonts w:hint="eastAsia" w:ascii="仿宋" w:hAnsi="仿宋" w:eastAsia="仿宋"/>
          <w:color w:val="000000" w:themeColor="text1"/>
          <w:sz w:val="24"/>
          <w:highlight w:val="none"/>
          <w14:textFill>
            <w14:solidFill>
              <w14:schemeClr w14:val="tx1"/>
            </w14:solidFill>
          </w14:textFill>
        </w:rPr>
        <w:t>文件，未向采购代理机构</w:t>
      </w:r>
      <w:r>
        <w:rPr>
          <w:rFonts w:hint="eastAsia" w:ascii="仿宋" w:hAnsi="仿宋" w:eastAsia="仿宋"/>
          <w:color w:val="000000" w:themeColor="text1"/>
          <w:sz w:val="24"/>
          <w:highlight w:val="none"/>
          <w:lang w:eastAsia="zh-CN"/>
          <w14:textFill>
            <w14:solidFill>
              <w14:schemeClr w14:val="tx1"/>
            </w14:solidFill>
          </w14:textFill>
        </w:rPr>
        <w:t>购买采购</w:t>
      </w:r>
      <w:r>
        <w:rPr>
          <w:rFonts w:hint="eastAsia" w:ascii="仿宋" w:hAnsi="仿宋" w:eastAsia="仿宋"/>
          <w:color w:val="000000" w:themeColor="text1"/>
          <w:sz w:val="24"/>
          <w:highlight w:val="none"/>
          <w14:textFill>
            <w14:solidFill>
              <w14:schemeClr w14:val="tx1"/>
            </w14:solidFill>
          </w14:textFill>
        </w:rPr>
        <w:t>文件的供应商均无资格参加磋商。</w:t>
      </w:r>
    </w:p>
    <w:p>
      <w:pPr>
        <w:widowControl/>
        <w:snapToGrid w:val="0"/>
        <w:spacing w:before="167" w:line="360" w:lineRule="auto"/>
        <w:ind w:firstLine="482" w:firstLineChars="200"/>
        <w:jc w:val="left"/>
        <w:outlineLvl w:val="1"/>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 xml:space="preserve">三、 </w:t>
      </w: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获取</w:t>
      </w:r>
      <w:r>
        <w:rPr>
          <w:rFonts w:hint="eastAsia" w:ascii="仿宋_GB2312" w:hAnsi="仿宋_GB2312" w:eastAsia="仿宋_GB2312" w:cs="仿宋_GB2312"/>
          <w:b/>
          <w:bCs/>
          <w:color w:val="000000" w:themeColor="text1"/>
          <w:kern w:val="0"/>
          <w:sz w:val="24"/>
          <w:highlight w:val="none"/>
          <w14:textFill>
            <w14:solidFill>
              <w14:schemeClr w14:val="tx1"/>
            </w14:solidFill>
          </w14:textFill>
        </w:rPr>
        <w:t>采购文件</w:t>
      </w:r>
    </w:p>
    <w:p>
      <w:pPr>
        <w:widowControl/>
        <w:snapToGrid w:val="0"/>
        <w:spacing w:before="167" w:line="360" w:lineRule="auto"/>
        <w:ind w:firstLine="480" w:firstLineChars="200"/>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时间：2022年</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kern w:val="0"/>
          <w:sz w:val="24"/>
          <w:highlight w:val="none"/>
          <w14:textFill>
            <w14:solidFill>
              <w14:schemeClr w14:val="tx1"/>
            </w14:solidFill>
          </w14:textFill>
        </w:rPr>
        <w:t>月</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kern w:val="0"/>
          <w:sz w:val="24"/>
          <w:highlight w:val="none"/>
          <w14:textFill>
            <w14:solidFill>
              <w14:schemeClr w14:val="tx1"/>
            </w14:solidFill>
          </w14:textFill>
        </w:rPr>
        <w:t>日 至 2022年</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4"/>
          <w:highlight w:val="none"/>
          <w14:textFill>
            <w14:solidFill>
              <w14:schemeClr w14:val="tx1"/>
            </w14:solidFill>
          </w14:textFill>
        </w:rPr>
        <w:t>月</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kern w:val="0"/>
          <w:sz w:val="24"/>
          <w:highlight w:val="none"/>
          <w14:textFill>
            <w14:solidFill>
              <w14:schemeClr w14:val="tx1"/>
            </w14:solidFill>
          </w14:textFill>
        </w:rPr>
        <w:t>日 ，每天上午 08:00:00 至 12:00:00 ，下午 14:00:00 至 18:00:00（北京时间,法定节假日除外）</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地点：西安市高新二路2号山西</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证券</w:t>
      </w:r>
      <w:r>
        <w:rPr>
          <w:rFonts w:hint="eastAsia" w:ascii="仿宋_GB2312" w:hAnsi="仿宋_GB2312" w:eastAsia="仿宋_GB2312" w:cs="仿宋_GB2312"/>
          <w:color w:val="000000" w:themeColor="text1"/>
          <w:kern w:val="0"/>
          <w:sz w:val="24"/>
          <w:highlight w:val="none"/>
          <w14:textFill>
            <w14:solidFill>
              <w14:schemeClr w14:val="tx1"/>
            </w14:solidFill>
          </w14:textFill>
        </w:rPr>
        <w:t>大厦21层招标六部</w:t>
      </w:r>
    </w:p>
    <w:p>
      <w:pPr>
        <w:spacing w:line="520" w:lineRule="exact"/>
        <w:ind w:firstLine="480" w:firstLineChars="200"/>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方式：</w:t>
      </w:r>
      <w:r>
        <w:rPr>
          <w:rFonts w:hint="eastAsia" w:ascii="仿宋_GB2312" w:hAnsi="仿宋_GB2312" w:eastAsia="仿宋_GB2312" w:cs="仿宋_GB2312"/>
          <w:color w:val="000000" w:themeColor="text1"/>
          <w:sz w:val="24"/>
          <w:szCs w:val="24"/>
          <w14:textFill>
            <w14:solidFill>
              <w14:schemeClr w14:val="tx1"/>
            </w14:solidFill>
          </w14:textFill>
        </w:rPr>
        <w:t>现场</w:t>
      </w:r>
      <w:r>
        <w:rPr>
          <w:rFonts w:hint="eastAsia" w:ascii="仿宋_GB2312" w:hAnsi="仿宋_GB2312" w:eastAsia="仿宋_GB2312" w:cs="仿宋_GB2312"/>
          <w:color w:val="000000" w:themeColor="text1"/>
          <w:sz w:val="24"/>
          <w:szCs w:val="24"/>
          <w:lang w:eastAsia="zh-CN"/>
          <w14:textFill>
            <w14:solidFill>
              <w14:schemeClr w14:val="tx1"/>
            </w14:solidFill>
          </w14:textFill>
        </w:rPr>
        <w:t>获取</w:t>
      </w:r>
    </w:p>
    <w:p>
      <w:pPr>
        <w:widowControl/>
        <w:snapToGrid w:val="0"/>
        <w:spacing w:before="167" w:line="360" w:lineRule="auto"/>
        <w:ind w:firstLine="480" w:firstLineChars="200"/>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售价：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500</w:t>
      </w:r>
      <w:r>
        <w:rPr>
          <w:rFonts w:hint="eastAsia" w:ascii="仿宋_GB2312" w:hAnsi="仿宋_GB2312" w:eastAsia="仿宋_GB2312" w:cs="仿宋_GB2312"/>
          <w:color w:val="000000" w:themeColor="text1"/>
          <w:sz w:val="24"/>
          <w:szCs w:val="24"/>
          <w14:textFill>
            <w14:solidFill>
              <w14:schemeClr w14:val="tx1"/>
            </w14:solidFill>
          </w14:textFill>
        </w:rPr>
        <w:t>元</w:t>
      </w:r>
    </w:p>
    <w:p>
      <w:pPr>
        <w:widowControl/>
        <w:snapToGrid w:val="0"/>
        <w:spacing w:before="167" w:line="360" w:lineRule="auto"/>
        <w:ind w:firstLine="482" w:firstLineChars="200"/>
        <w:jc w:val="left"/>
        <w:outlineLvl w:val="1"/>
        <w:rPr>
          <w:rFonts w:hint="eastAsia" w:ascii="仿宋_GB2312" w:hAnsi="仿宋_GB2312" w:eastAsia="仿宋_GB2312" w:cs="仿宋_GB2312"/>
          <w:b/>
          <w:bCs/>
          <w:color w:val="000000" w:themeColor="text1"/>
          <w:kern w:val="0"/>
          <w:sz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四、 响应文件</w:t>
      </w: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提交</w:t>
      </w:r>
    </w:p>
    <w:p>
      <w:pPr>
        <w:widowControl/>
        <w:snapToGrid w:val="0"/>
        <w:spacing w:before="167" w:line="360" w:lineRule="auto"/>
        <w:ind w:firstLine="480" w:firstLineChars="200"/>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截止时间：</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月</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日</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时</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分00秒 （北京时间）</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地点：</w:t>
      </w:r>
      <w:r>
        <w:rPr>
          <w:rFonts w:hint="eastAsia" w:ascii="仿宋_GB2312" w:hAnsi="微软雅黑" w:eastAsia="仿宋_GB2312" w:cs="宋体"/>
          <w:color w:val="000000" w:themeColor="text1"/>
          <w:kern w:val="0"/>
          <w:sz w:val="24"/>
          <w:highlight w:val="none"/>
          <w14:textFill>
            <w14:solidFill>
              <w14:schemeClr w14:val="tx1"/>
            </w14:solidFill>
          </w14:textFill>
        </w:rPr>
        <w:t>西安市高新二路2号山西</w:t>
      </w:r>
      <w:r>
        <w:rPr>
          <w:rFonts w:hint="eastAsia" w:ascii="仿宋_GB2312" w:hAnsi="微软雅黑" w:eastAsia="仿宋_GB2312" w:cs="宋体"/>
          <w:color w:val="000000" w:themeColor="text1"/>
          <w:kern w:val="0"/>
          <w:sz w:val="24"/>
          <w:highlight w:val="none"/>
          <w:lang w:eastAsia="zh-CN"/>
          <w14:textFill>
            <w14:solidFill>
              <w14:schemeClr w14:val="tx1"/>
            </w14:solidFill>
          </w14:textFill>
        </w:rPr>
        <w:t>证券</w:t>
      </w:r>
      <w:r>
        <w:rPr>
          <w:rFonts w:hint="eastAsia" w:ascii="仿宋_GB2312" w:hAnsi="仿宋_GB2312" w:eastAsia="仿宋_GB2312" w:cs="仿宋_GB2312"/>
          <w:color w:val="000000" w:themeColor="text1"/>
          <w:kern w:val="0"/>
          <w:sz w:val="24"/>
          <w:highlight w:val="none"/>
          <w14:textFill>
            <w14:solidFill>
              <w14:schemeClr w14:val="tx1"/>
            </w14:solidFill>
          </w14:textFill>
        </w:rPr>
        <w:t>大厦</w:t>
      </w:r>
      <w:r>
        <w:rPr>
          <w:rFonts w:hint="eastAsia" w:ascii="仿宋_GB2312" w:hAnsi="微软雅黑" w:eastAsia="仿宋_GB2312" w:cs="宋体"/>
          <w:color w:val="000000" w:themeColor="text1"/>
          <w:kern w:val="0"/>
          <w:sz w:val="24"/>
          <w:highlight w:val="none"/>
          <w14:textFill>
            <w14:solidFill>
              <w14:schemeClr w14:val="tx1"/>
            </w14:solidFill>
          </w14:textFill>
        </w:rPr>
        <w:t>21层</w:t>
      </w:r>
      <w:r>
        <w:rPr>
          <w:rFonts w:hint="eastAsia" w:ascii="仿宋_GB2312" w:hAnsi="微软雅黑" w:eastAsia="仿宋_GB2312" w:cs="宋体"/>
          <w:color w:val="000000" w:themeColor="text1"/>
          <w:kern w:val="0"/>
          <w:sz w:val="24"/>
          <w:highlight w:val="none"/>
          <w:lang w:eastAsia="zh-CN"/>
          <w14:textFill>
            <w14:solidFill>
              <w14:schemeClr w14:val="tx1"/>
            </w14:solidFill>
          </w14:textFill>
        </w:rPr>
        <w:t>第</w:t>
      </w:r>
      <w:r>
        <w:rPr>
          <w:rFonts w:hint="eastAsia" w:ascii="仿宋_GB2312" w:hAnsi="微软雅黑" w:eastAsia="仿宋_GB2312" w:cs="宋体"/>
          <w:color w:val="000000" w:themeColor="text1"/>
          <w:kern w:val="0"/>
          <w:sz w:val="24"/>
          <w:highlight w:val="none"/>
          <w:lang w:val="en-US" w:eastAsia="zh-CN"/>
          <w14:textFill>
            <w14:solidFill>
              <w14:schemeClr w14:val="tx1"/>
            </w14:solidFill>
          </w14:textFill>
        </w:rPr>
        <w:t>七</w:t>
      </w:r>
      <w:r>
        <w:rPr>
          <w:rFonts w:hint="eastAsia" w:ascii="仿宋_GB2312" w:hAnsi="微软雅黑" w:eastAsia="仿宋_GB2312" w:cs="宋体"/>
          <w:color w:val="000000" w:themeColor="text1"/>
          <w:kern w:val="0"/>
          <w:sz w:val="24"/>
          <w:highlight w:val="none"/>
          <w:lang w:eastAsia="zh-CN"/>
          <w14:textFill>
            <w14:solidFill>
              <w14:schemeClr w14:val="tx1"/>
            </w14:solidFill>
          </w14:textFill>
        </w:rPr>
        <w:t>会议室</w:t>
      </w:r>
    </w:p>
    <w:p>
      <w:pPr>
        <w:widowControl/>
        <w:snapToGrid w:val="0"/>
        <w:spacing w:before="167" w:line="360" w:lineRule="auto"/>
        <w:ind w:firstLine="482" w:firstLineChars="200"/>
        <w:jc w:val="left"/>
        <w:outlineLvl w:val="1"/>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五、</w:t>
      </w: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开启</w:t>
      </w:r>
    </w:p>
    <w:p>
      <w:pPr>
        <w:widowControl/>
        <w:snapToGrid w:val="0"/>
        <w:spacing w:before="167" w:line="360" w:lineRule="auto"/>
        <w:ind w:firstLine="480" w:firstLineChars="200"/>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时间：</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月</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日</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时</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分00秒 （北京时间）</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地点：</w:t>
      </w:r>
      <w:r>
        <w:rPr>
          <w:rFonts w:hint="eastAsia" w:ascii="仿宋_GB2312" w:hAnsi="微软雅黑" w:eastAsia="仿宋_GB2312" w:cs="宋体"/>
          <w:color w:val="000000" w:themeColor="text1"/>
          <w:kern w:val="0"/>
          <w:sz w:val="24"/>
          <w:highlight w:val="none"/>
          <w14:textFill>
            <w14:solidFill>
              <w14:schemeClr w14:val="tx1"/>
            </w14:solidFill>
          </w14:textFill>
        </w:rPr>
        <w:t>西安市高新二路2号山西</w:t>
      </w:r>
      <w:r>
        <w:rPr>
          <w:rFonts w:hint="eastAsia" w:ascii="仿宋_GB2312" w:hAnsi="微软雅黑" w:eastAsia="仿宋_GB2312" w:cs="宋体"/>
          <w:color w:val="000000" w:themeColor="text1"/>
          <w:kern w:val="0"/>
          <w:sz w:val="24"/>
          <w:highlight w:val="none"/>
          <w:lang w:eastAsia="zh-CN"/>
          <w14:textFill>
            <w14:solidFill>
              <w14:schemeClr w14:val="tx1"/>
            </w14:solidFill>
          </w14:textFill>
        </w:rPr>
        <w:t>证券</w:t>
      </w:r>
      <w:r>
        <w:rPr>
          <w:rFonts w:hint="eastAsia" w:ascii="仿宋_GB2312" w:hAnsi="仿宋_GB2312" w:eastAsia="仿宋_GB2312" w:cs="仿宋_GB2312"/>
          <w:color w:val="000000" w:themeColor="text1"/>
          <w:kern w:val="0"/>
          <w:sz w:val="24"/>
          <w:highlight w:val="none"/>
          <w14:textFill>
            <w14:solidFill>
              <w14:schemeClr w14:val="tx1"/>
            </w14:solidFill>
          </w14:textFill>
        </w:rPr>
        <w:t>大厦</w:t>
      </w:r>
      <w:r>
        <w:rPr>
          <w:rFonts w:hint="eastAsia" w:ascii="仿宋_GB2312" w:hAnsi="微软雅黑" w:eastAsia="仿宋_GB2312" w:cs="宋体"/>
          <w:color w:val="000000" w:themeColor="text1"/>
          <w:kern w:val="0"/>
          <w:sz w:val="24"/>
          <w:highlight w:val="none"/>
          <w14:textFill>
            <w14:solidFill>
              <w14:schemeClr w14:val="tx1"/>
            </w14:solidFill>
          </w14:textFill>
        </w:rPr>
        <w:t>21层</w:t>
      </w:r>
      <w:r>
        <w:rPr>
          <w:rFonts w:hint="eastAsia" w:ascii="仿宋_GB2312" w:hAnsi="微软雅黑" w:eastAsia="仿宋_GB2312" w:cs="宋体"/>
          <w:color w:val="000000" w:themeColor="text1"/>
          <w:kern w:val="0"/>
          <w:sz w:val="24"/>
          <w:highlight w:val="none"/>
          <w:lang w:eastAsia="zh-CN"/>
          <w14:textFill>
            <w14:solidFill>
              <w14:schemeClr w14:val="tx1"/>
            </w14:solidFill>
          </w14:textFill>
        </w:rPr>
        <w:t>第</w:t>
      </w:r>
      <w:r>
        <w:rPr>
          <w:rFonts w:hint="eastAsia" w:ascii="仿宋_GB2312" w:hAnsi="微软雅黑" w:eastAsia="仿宋_GB2312" w:cs="宋体"/>
          <w:color w:val="000000" w:themeColor="text1"/>
          <w:kern w:val="0"/>
          <w:sz w:val="24"/>
          <w:highlight w:val="none"/>
          <w:lang w:val="en-US" w:eastAsia="zh-CN"/>
          <w14:textFill>
            <w14:solidFill>
              <w14:schemeClr w14:val="tx1"/>
            </w14:solidFill>
          </w14:textFill>
        </w:rPr>
        <w:t>七</w:t>
      </w:r>
      <w:r>
        <w:rPr>
          <w:rFonts w:hint="eastAsia" w:ascii="仿宋_GB2312" w:hAnsi="微软雅黑" w:eastAsia="仿宋_GB2312" w:cs="宋体"/>
          <w:color w:val="000000" w:themeColor="text1"/>
          <w:kern w:val="0"/>
          <w:sz w:val="24"/>
          <w:highlight w:val="none"/>
          <w:lang w:eastAsia="zh-CN"/>
          <w14:textFill>
            <w14:solidFill>
              <w14:schemeClr w14:val="tx1"/>
            </w14:solidFill>
          </w14:textFill>
        </w:rPr>
        <w:t>会议室</w:t>
      </w:r>
    </w:p>
    <w:p>
      <w:pPr>
        <w:widowControl/>
        <w:snapToGrid w:val="0"/>
        <w:spacing w:before="167" w:line="360" w:lineRule="auto"/>
        <w:ind w:firstLine="482" w:firstLineChars="200"/>
        <w:jc w:val="left"/>
        <w:outlineLvl w:val="1"/>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kern w:val="0"/>
          <w:sz w:val="24"/>
          <w:highlight w:val="none"/>
          <w14:textFill>
            <w14:solidFill>
              <w14:schemeClr w14:val="tx1"/>
            </w14:solidFill>
          </w14:textFill>
        </w:rPr>
        <w:t>公告期限</w:t>
      </w:r>
    </w:p>
    <w:p>
      <w:pPr>
        <w:widowControl/>
        <w:snapToGrid w:val="0"/>
        <w:spacing w:before="167" w:line="360" w:lineRule="auto"/>
        <w:ind w:firstLine="480" w:firstLineChars="200"/>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自本公告发布之日起</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highlight w:val="none"/>
          <w14:textFill>
            <w14:solidFill>
              <w14:schemeClr w14:val="tx1"/>
            </w14:solidFill>
          </w14:textFill>
        </w:rPr>
        <w:t>个工作日。</w:t>
      </w:r>
    </w:p>
    <w:p>
      <w:pPr>
        <w:widowControl/>
        <w:snapToGrid w:val="0"/>
        <w:spacing w:before="167" w:line="360" w:lineRule="auto"/>
        <w:ind w:firstLine="482" w:firstLineChars="200"/>
        <w:jc w:val="left"/>
        <w:outlineLvl w:val="1"/>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kern w:val="0"/>
          <w:sz w:val="24"/>
          <w:highlight w:val="none"/>
          <w14:textFill>
            <w14:solidFill>
              <w14:schemeClr w14:val="tx1"/>
            </w14:solidFill>
          </w14:textFill>
        </w:rPr>
        <w:t>、其他补充事宜</w:t>
      </w:r>
    </w:p>
    <w:p>
      <w:pPr>
        <w:widowControl/>
        <w:snapToGrid w:val="0"/>
        <w:spacing w:line="500" w:lineRule="exact"/>
        <w:ind w:right="-197" w:rightChars="-94" w:firstLine="480" w:firstLineChars="200"/>
        <w:jc w:val="left"/>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1、落实政府采购政策：</w:t>
      </w:r>
    </w:p>
    <w:p>
      <w:pPr>
        <w:widowControl/>
        <w:snapToGrid w:val="0"/>
        <w:spacing w:line="500" w:lineRule="exact"/>
        <w:ind w:right="-197" w:rightChars="-94" w:firstLine="480" w:firstLineChars="200"/>
        <w:jc w:val="left"/>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1.4</w:t>
      </w:r>
      <w:r>
        <w:rPr>
          <w:rFonts w:hint="eastAsia" w:ascii="仿宋" w:hAnsi="仿宋" w:eastAsia="仿宋"/>
          <w:color w:val="000000" w:themeColor="text1"/>
          <w:kern w:val="0"/>
          <w:sz w:val="24"/>
          <w14:textFill>
            <w14:solidFill>
              <w14:schemeClr w14:val="tx1"/>
            </w14:solidFill>
          </w14:textFill>
        </w:rPr>
        <w:t>《陕西省财政厅关于进一步加大政府采购支持中小企业力度的通知》（陕财办采〔2022〕5号）、《陕西省财政厅关于落实政府采购支持中小企业政策有关事项的通知》（陕财办采〔2022〕10 号）、</w:t>
      </w:r>
      <w:r>
        <w:rPr>
          <w:rFonts w:ascii="仿宋" w:hAnsi="仿宋" w:eastAsia="仿宋"/>
          <w:color w:val="000000" w:themeColor="text1"/>
          <w:kern w:val="0"/>
          <w:sz w:val="24"/>
          <w14:textFill>
            <w14:solidFill>
              <w14:schemeClr w14:val="tx1"/>
            </w14:solidFill>
          </w14:textFill>
        </w:rPr>
        <w:t>《陕西省财政厅关于加快推进我省中小企业政府采购信用融资工作的通知》（陕财办采〔2020〕15 号）、陕西省财政厅关于印发《陕西省中小企业政府采购信用融资办法》（陕财办采〔2018〕23 号）。</w:t>
      </w:r>
    </w:p>
    <w:p>
      <w:pPr>
        <w:widowControl/>
        <w:shd w:val="clear" w:color="auto" w:fill="FFFFFF"/>
        <w:spacing w:line="500" w:lineRule="exact"/>
        <w:ind w:right="-195" w:firstLine="482"/>
        <w:jc w:val="left"/>
        <w:textAlignment w:val="baseline"/>
        <w:rPr>
          <w:rFonts w:hint="eastAsia" w:ascii="仿宋_GB2312" w:hAnsi="仿宋_GB2312" w:eastAsia="仿宋_GB2312" w:cs="仿宋_GB2312"/>
          <w:b w:val="0"/>
          <w:bCs w:val="0"/>
          <w:color w:val="000000" w:themeColor="text1"/>
          <w:kern w:val="0"/>
          <w:sz w:val="24"/>
          <w:highlight w:val="none"/>
          <w:lang w:val="en-US" w:eastAsia="zh-CN"/>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若享受以上政策优惠的企业，提供相应声明函或品目清单范围内产品的有效认证证书</w:t>
      </w:r>
      <w:r>
        <w:rPr>
          <w:rFonts w:hint="eastAsia" w:ascii="仿宋" w:hAnsi="仿宋" w:eastAsia="仿宋"/>
          <w:color w:val="000000" w:themeColor="text1"/>
          <w:kern w:val="0"/>
          <w:sz w:val="24"/>
          <w14:textFill>
            <w14:solidFill>
              <w14:schemeClr w14:val="tx1"/>
            </w14:solidFill>
          </w14:textFill>
        </w:rPr>
        <w:t>。</w:t>
      </w:r>
    </w:p>
    <w:p>
      <w:pPr>
        <w:widowControl/>
        <w:snapToGrid w:val="0"/>
        <w:spacing w:before="167" w:line="360" w:lineRule="auto"/>
        <w:ind w:firstLine="480" w:firstLineChars="200"/>
        <w:jc w:val="left"/>
        <w:rPr>
          <w:rFonts w:hint="eastAsia" w:ascii="仿宋_GB2312" w:hAnsi="仿宋_GB2312" w:eastAsia="仿宋_GB2312" w:cs="仿宋_GB2312"/>
          <w:b w:val="0"/>
          <w:bCs w:val="0"/>
          <w:color w:val="000000" w:themeColor="text1"/>
          <w:kern w:val="0"/>
          <w:sz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购买文件时须携带单位介绍信（原件）及身份证（复印件加盖公章）。或在采购文件获取时间内通过电子邮箱发送电子版资料的方式获取采购文件，请将单位介绍信、身份证复印件加盖公章发至</w:t>
      </w:r>
      <w:r>
        <w:rPr>
          <w:rFonts w:hint="eastAsia" w:ascii="仿宋_GB2312" w:hAnsi="仿宋_GB2312" w:eastAsia="仿宋_GB2312" w:cs="仿宋_GB2312"/>
          <w:b w:val="0"/>
          <w:bCs w:val="0"/>
          <w:color w:val="000000" w:themeColor="text1"/>
          <w:kern w:val="0"/>
          <w:sz w:val="24"/>
          <w:highlight w:val="none"/>
          <w:lang w:val="en-US" w:eastAsia="zh-CN"/>
          <w14:textFill>
            <w14:solidFill>
              <w14:schemeClr w14:val="tx1"/>
            </w14:solidFill>
          </w14:textFill>
        </w:rPr>
        <w:t xml:space="preserve">695117001@qq.com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邮箱，邮箱标题请以项目名称-单位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名称-联系人-联系电话的方式命名。采购文件</w:t>
      </w:r>
      <w:r>
        <w:rPr>
          <w:rFonts w:hint="eastAsia" w:ascii="仿宋_GB2312" w:hAnsi="仿宋_GB2312" w:eastAsia="仿宋_GB2312" w:cs="仿宋_GB2312"/>
          <w:color w:val="000000" w:themeColor="text1"/>
          <w:sz w:val="24"/>
          <w:szCs w:val="24"/>
          <w14:textFill>
            <w14:solidFill>
              <w14:schemeClr w14:val="tx1"/>
            </w14:solidFill>
          </w14:textFill>
        </w:rPr>
        <w:t>每套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500</w:t>
      </w:r>
      <w:r>
        <w:rPr>
          <w:rFonts w:hint="eastAsia" w:ascii="仿宋_GB2312" w:hAnsi="仿宋_GB2312" w:eastAsia="仿宋_GB2312" w:cs="仿宋_GB2312"/>
          <w:color w:val="000000" w:themeColor="text1"/>
          <w:sz w:val="24"/>
          <w:szCs w:val="24"/>
          <w14:textFill>
            <w14:solidFill>
              <w14:schemeClr w14:val="tx1"/>
            </w14:solidFill>
          </w14:textFill>
        </w:rPr>
        <w:t>元（人民币），售后不退</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p>
      <w:pPr>
        <w:widowControl/>
        <w:snapToGrid w:val="0"/>
        <w:spacing w:before="167" w:line="360" w:lineRule="auto"/>
        <w:ind w:firstLine="480" w:firstLineChars="200"/>
        <w:jc w:val="left"/>
        <w:rPr>
          <w:rFonts w:hint="default" w:ascii="仿宋_GB2312" w:hAnsi="仿宋_GB2312" w:eastAsia="仿宋_GB2312" w:cs="仿宋_GB2312"/>
          <w:b w:val="0"/>
          <w:bCs w:val="0"/>
          <w:color w:val="000000" w:themeColor="text1"/>
          <w:kern w:val="0"/>
          <w:sz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highlight w:val="none"/>
          <w:lang w:val="en-US" w:eastAsia="zh-CN"/>
          <w14:textFill>
            <w14:solidFill>
              <w14:schemeClr w14:val="tx1"/>
            </w14:solidFill>
          </w14:textFill>
        </w:rPr>
        <w:t>3、</w:t>
      </w:r>
      <w:r>
        <w:rPr>
          <w:rFonts w:hint="default" w:ascii="仿宋_GB2312" w:hAnsi="仿宋_GB2312" w:eastAsia="仿宋_GB2312" w:cs="仿宋_GB2312"/>
          <w:b w:val="0"/>
          <w:bCs w:val="0"/>
          <w:color w:val="000000" w:themeColor="text1"/>
          <w:kern w:val="0"/>
          <w:sz w:val="24"/>
          <w:highlight w:val="none"/>
          <w:lang w:val="en-US" w:eastAsia="zh-CN"/>
          <w14:textFill>
            <w14:solidFill>
              <w14:schemeClr w14:val="tx1"/>
            </w14:solidFill>
          </w14:textFill>
        </w:rPr>
        <w:t>根据《陕西省财政厅关于政府采购供应商注册登记有关事项的通知》的规定，供应商在领取文件后，应及时注册登记加入政府采购供应商库。因供应商自身原因未及时登记入库而导致的一切后果由供应商自行承担。</w:t>
      </w:r>
    </w:p>
    <w:p>
      <w:pPr>
        <w:widowControl/>
        <w:snapToGrid w:val="0"/>
        <w:spacing w:before="167" w:line="360" w:lineRule="auto"/>
        <w:ind w:firstLine="482" w:firstLineChars="200"/>
        <w:jc w:val="left"/>
        <w:outlineLvl w:val="1"/>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kern w:val="0"/>
          <w:sz w:val="24"/>
          <w:highlight w:val="none"/>
          <w14:textFill>
            <w14:solidFill>
              <w14:schemeClr w14:val="tx1"/>
            </w14:solidFill>
          </w14:textFill>
        </w:rPr>
        <w:t>、</w:t>
      </w: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凡</w:t>
      </w:r>
      <w:r>
        <w:rPr>
          <w:rFonts w:hint="eastAsia" w:ascii="仿宋_GB2312" w:hAnsi="仿宋_GB2312" w:eastAsia="仿宋_GB2312" w:cs="仿宋_GB2312"/>
          <w:b/>
          <w:bCs/>
          <w:color w:val="000000" w:themeColor="text1"/>
          <w:kern w:val="0"/>
          <w:sz w:val="24"/>
          <w:highlight w:val="none"/>
          <w14:textFill>
            <w14:solidFill>
              <w14:schemeClr w14:val="tx1"/>
            </w14:solidFill>
          </w14:textFill>
        </w:rPr>
        <w:t>对本次采购提出询问，请按以下方式联系</w:t>
      </w:r>
    </w:p>
    <w:p>
      <w:pPr>
        <w:widowControl/>
        <w:snapToGrid w:val="0"/>
        <w:spacing w:before="167" w:line="360" w:lineRule="auto"/>
        <w:ind w:firstLine="480" w:firstLineChars="200"/>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1、采购人信息</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名称</w:t>
      </w:r>
      <w:r>
        <w:rPr>
          <w:rFonts w:hint="eastAsia" w:ascii="仿宋_GB2312" w:hAnsi="仿宋_GB2312" w:eastAsia="仿宋_GB2312" w:cs="仿宋_GB2312"/>
          <w:color w:val="000000" w:themeColor="text1"/>
          <w:kern w:val="0"/>
          <w:sz w:val="24"/>
          <w:highlight w:val="none"/>
          <w14:textFill>
            <w14:solidFill>
              <w14:schemeClr w14:val="tx1"/>
            </w14:solidFill>
          </w14:textFill>
        </w:rPr>
        <w:t>：渭南市临渭区自然资源局</w:t>
      </w:r>
    </w:p>
    <w:p>
      <w:pPr>
        <w:widowControl/>
        <w:snapToGrid w:val="0"/>
        <w:spacing w:before="167" w:line="360" w:lineRule="auto"/>
        <w:ind w:firstLine="480" w:firstLineChars="200"/>
        <w:jc w:val="left"/>
        <w:rPr>
          <w:rFonts w:hint="default" w:ascii="仿宋_GB2312" w:hAnsi="仿宋_GB2312" w:eastAsia="仿宋_GB2312" w:cs="仿宋_GB2312"/>
          <w:color w:val="000000" w:themeColor="text1"/>
          <w:kern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地址：</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渭南市临渭区东风大街中段</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11号</w:t>
      </w:r>
    </w:p>
    <w:p>
      <w:pPr>
        <w:widowControl/>
        <w:snapToGrid w:val="0"/>
        <w:spacing w:before="167" w:line="360" w:lineRule="auto"/>
        <w:ind w:firstLine="480" w:firstLineChars="200"/>
        <w:jc w:val="left"/>
        <w:rPr>
          <w:rFonts w:hint="default" w:ascii="仿宋_GB2312" w:hAnsi="仿宋_GB2312" w:eastAsia="仿宋_GB2312" w:cs="仿宋_GB2312"/>
          <w:color w:val="000000" w:themeColor="text1"/>
          <w:kern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联系</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方式</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0913-3031220</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2</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采购代理机构信息</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名称：陕西省采购招标有限责任公司</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地址：西安市高新二路2号山西</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证券</w:t>
      </w:r>
      <w:r>
        <w:rPr>
          <w:rFonts w:hint="eastAsia" w:ascii="仿宋_GB2312" w:hAnsi="仿宋_GB2312" w:eastAsia="仿宋_GB2312" w:cs="仿宋_GB2312"/>
          <w:color w:val="000000" w:themeColor="text1"/>
          <w:kern w:val="0"/>
          <w:sz w:val="24"/>
          <w:highlight w:val="none"/>
          <w14:textFill>
            <w14:solidFill>
              <w14:schemeClr w14:val="tx1"/>
            </w14:solidFill>
          </w14:textFill>
        </w:rPr>
        <w:t>大厦21层招标六部</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联系方式：029-88496536</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3</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项目联系方式</w:t>
      </w:r>
    </w:p>
    <w:p>
      <w:pPr>
        <w:widowControl/>
        <w:snapToGrid w:val="0"/>
        <w:spacing w:before="167" w:line="360" w:lineRule="auto"/>
        <w:ind w:firstLine="480" w:firstLineChars="200"/>
        <w:jc w:val="lef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项目联系人：</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刘盟超</w:t>
      </w:r>
      <w:r>
        <w:rPr>
          <w:rFonts w:hint="eastAsia" w:ascii="仿宋_GB2312" w:hAnsi="仿宋_GB2312" w:eastAsia="仿宋_GB2312" w:cs="仿宋_GB2312"/>
          <w:color w:val="000000" w:themeColor="text1"/>
          <w:kern w:val="0"/>
          <w:sz w:val="24"/>
          <w:highlight w:val="none"/>
          <w14:textFill>
            <w14:solidFill>
              <w14:schemeClr w14:val="tx1"/>
            </w14:solidFill>
          </w14:textFill>
        </w:rPr>
        <w:t>、杨晓义</w:t>
      </w:r>
    </w:p>
    <w:p>
      <w:pPr>
        <w:widowControl/>
        <w:snapToGrid w:val="0"/>
        <w:spacing w:before="167" w:line="360" w:lineRule="auto"/>
        <w:ind w:firstLine="480" w:firstLineChars="200"/>
        <w:jc w:val="left"/>
        <w:rPr>
          <w:rFonts w:ascii="仿宋_GB2312" w:hAnsi="仿宋_GB2312" w:eastAsia="仿宋_GB2312" w:cs="仿宋_GB2312"/>
          <w:color w:val="000000" w:themeColor="text1"/>
          <w:kern w:val="0"/>
          <w:sz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电话：029-88496536</w:t>
      </w:r>
    </w:p>
    <w:bookmarkEnd w:id="4"/>
    <w:bookmarkEnd w:id="5"/>
    <w:bookmarkEnd w:id="6"/>
    <w:bookmarkEnd w:id="7"/>
    <w:bookmarkEnd w:id="8"/>
    <w:bookmarkEnd w:id="9"/>
    <w:bookmarkEnd w:id="10"/>
    <w:bookmarkEnd w:id="11"/>
    <w:bookmarkEnd w:id="12"/>
    <w:bookmarkEnd w:id="13"/>
    <w:bookmarkEnd w:id="14"/>
    <w:bookmarkEnd w:id="15"/>
    <w:bookmarkEnd w:id="16"/>
    <w:bookmarkEnd w:id="17"/>
    <w:p>
      <w:pPr>
        <w:rPr>
          <w:rStyle w:val="204"/>
          <w:rFonts w:hint="eastAsia" w:ascii="宋体" w:hAnsi="宋体" w:eastAsia="宋体"/>
          <w:color w:val="000000" w:themeColor="text1"/>
          <w:sz w:val="36"/>
          <w:szCs w:val="36"/>
          <w:highlight w:val="none"/>
          <w14:textFill>
            <w14:solidFill>
              <w14:schemeClr w14:val="tx1"/>
            </w14:solidFill>
          </w14:textFill>
        </w:rPr>
      </w:pPr>
      <w:bookmarkStart w:id="20" w:name="_Toc232176271"/>
      <w:bookmarkStart w:id="21" w:name="_Toc415499895"/>
      <w:bookmarkStart w:id="22" w:name="_Toc249525158"/>
      <w:bookmarkStart w:id="23" w:name="_Toc256342142"/>
      <w:bookmarkStart w:id="24" w:name="_Toc184043011"/>
      <w:bookmarkStart w:id="25" w:name="_Toc58504446"/>
      <w:bookmarkStart w:id="26" w:name="_Toc249515277"/>
      <w:bookmarkStart w:id="27" w:name="_Toc232395211"/>
      <w:bookmarkStart w:id="28" w:name="_Toc21126"/>
      <w:bookmarkStart w:id="29" w:name="_Toc230013631"/>
      <w:bookmarkStart w:id="30" w:name="_Toc230583540"/>
      <w:bookmarkStart w:id="31" w:name="_Toc230099796"/>
      <w:bookmarkStart w:id="32" w:name="_Toc249515389"/>
      <w:bookmarkStart w:id="33" w:name="_Toc68590966"/>
      <w:bookmarkStart w:id="34" w:name="_Toc53722840"/>
      <w:bookmarkStart w:id="35" w:name="_Toc177995473"/>
      <w:bookmarkStart w:id="36" w:name="_Toc492955414"/>
      <w:bookmarkStart w:id="37" w:name="_Toc503063421"/>
      <w:bookmarkStart w:id="38" w:name="_Toc500747188"/>
      <w:bookmarkStart w:id="39" w:name="_Toc499711042"/>
      <w:bookmarkStart w:id="40" w:name="_Toc500746965"/>
      <w:bookmarkStart w:id="41" w:name="_Toc177817334"/>
      <w:bookmarkStart w:id="42" w:name="_Toc249515390"/>
      <w:bookmarkStart w:id="43" w:name="_Toc230099797"/>
      <w:bookmarkStart w:id="44" w:name="_Toc70687139"/>
      <w:bookmarkStart w:id="45" w:name="_Toc249525159"/>
      <w:bookmarkStart w:id="46" w:name="_Toc232395212"/>
      <w:bookmarkStart w:id="47" w:name="_Toc177189235"/>
      <w:bookmarkStart w:id="48" w:name="_Toc184043012"/>
      <w:bookmarkStart w:id="49" w:name="_Toc256342143"/>
      <w:bookmarkStart w:id="50" w:name="_Toc230013632"/>
      <w:bookmarkStart w:id="51" w:name="_Toc176882542"/>
      <w:bookmarkStart w:id="52" w:name="_Toc499711883"/>
      <w:bookmarkStart w:id="53" w:name="_Toc249515278"/>
      <w:bookmarkStart w:id="54" w:name="_Toc496324578"/>
      <w:bookmarkStart w:id="55" w:name="_Toc230583541"/>
      <w:bookmarkStart w:id="56" w:name="_Toc232176272"/>
      <w:bookmarkStart w:id="57" w:name="_Toc500747061"/>
      <w:r>
        <w:rPr>
          <w:rStyle w:val="204"/>
          <w:rFonts w:hint="eastAsia" w:ascii="宋体" w:hAnsi="宋体" w:eastAsia="宋体"/>
          <w:color w:val="000000" w:themeColor="text1"/>
          <w:sz w:val="36"/>
          <w:szCs w:val="36"/>
          <w:highlight w:val="none"/>
          <w14:textFill>
            <w14:solidFill>
              <w14:schemeClr w14:val="tx1"/>
            </w14:solidFill>
          </w14:textFill>
        </w:rPr>
        <w:br w:type="page"/>
      </w:r>
    </w:p>
    <w:p>
      <w:pPr>
        <w:pStyle w:val="47"/>
        <w:spacing w:line="360" w:lineRule="auto"/>
        <w:rPr>
          <w:rStyle w:val="204"/>
          <w:rFonts w:ascii="宋体" w:hAnsi="宋体" w:eastAsia="宋体"/>
          <w:color w:val="000000" w:themeColor="text1"/>
          <w:sz w:val="36"/>
          <w:szCs w:val="36"/>
          <w:highlight w:val="none"/>
          <w14:textFill>
            <w14:solidFill>
              <w14:schemeClr w14:val="tx1"/>
            </w14:solidFill>
          </w14:textFill>
        </w:rPr>
      </w:pPr>
      <w:r>
        <w:rPr>
          <w:rStyle w:val="204"/>
          <w:rFonts w:hint="eastAsia" w:ascii="宋体" w:hAnsi="宋体" w:eastAsia="宋体"/>
          <w:color w:val="000000" w:themeColor="text1"/>
          <w:sz w:val="36"/>
          <w:szCs w:val="36"/>
          <w:highlight w:val="none"/>
          <w14:textFill>
            <w14:solidFill>
              <w14:schemeClr w14:val="tx1"/>
            </w14:solidFill>
          </w14:textFill>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8"/>
        <w:spacing w:before="240" w:beforeLines="100" w:after="24"/>
        <w:jc w:val="center"/>
        <w:rPr>
          <w:rFonts w:ascii="仿宋_GB2312" w:hAnsi="仿宋_GB2312" w:eastAsia="仿宋_GB2312" w:cs="仿宋_GB2312"/>
          <w:color w:val="000000" w:themeColor="text1"/>
          <w:sz w:val="28"/>
          <w:szCs w:val="28"/>
          <w:highlight w:val="none"/>
          <w14:textFill>
            <w14:solidFill>
              <w14:schemeClr w14:val="tx1"/>
            </w14:solidFill>
          </w14:textFill>
        </w:rPr>
      </w:pPr>
      <w:bookmarkStart w:id="58" w:name="_Toc68590967"/>
      <w:r>
        <w:rPr>
          <w:rFonts w:hint="eastAsia" w:ascii="仿宋_GB2312" w:hAnsi="仿宋_GB2312" w:eastAsia="仿宋_GB2312" w:cs="仿宋_GB2312"/>
          <w:color w:val="000000" w:themeColor="text1"/>
          <w:sz w:val="28"/>
          <w:szCs w:val="28"/>
          <w:highlight w:val="none"/>
          <w14:textFill>
            <w14:solidFill>
              <w14:schemeClr w14:val="tx1"/>
            </w14:solidFill>
          </w14:textFill>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color w:val="000000" w:themeColor="text1"/>
          <w:highlight w:val="none"/>
          <w14:textFill>
            <w14:solidFill>
              <w14:schemeClr w14:val="tx1"/>
            </w14:solidFill>
          </w14:textFill>
        </w:rPr>
      </w:pPr>
    </w:p>
    <w:p>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本表是对供应商须知的具体补充和修改，如有矛盾，均以本表为准。</w:t>
      </w:r>
    </w:p>
    <w:p>
      <w:pPr>
        <w:ind w:left="720" w:hanging="720" w:hangingChars="343"/>
        <w:rPr>
          <w:rFonts w:ascii="仿宋_GB2312" w:hAnsi="仿宋_GB2312" w:eastAsia="仿宋_GB2312" w:cs="仿宋_GB2312"/>
          <w:b/>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b/>
                <w:color w:val="000000" w:themeColor="text1"/>
                <w:sz w:val="24"/>
                <w:szCs w:val="24"/>
                <w:highlight w:val="none"/>
                <w14:textFill>
                  <w14:solidFill>
                    <w14:schemeClr w14:val="tx1"/>
                  </w14:solidFill>
                </w14:textFill>
              </w:rPr>
            </w:pPr>
            <w:bookmarkStart w:id="59" w:name="_Hlt14560610"/>
            <w:bookmarkEnd w:id="59"/>
            <w:bookmarkStart w:id="60" w:name="_Toc503063423"/>
            <w:bookmarkStart w:id="61" w:name="_Toc492955416"/>
            <w:bookmarkStart w:id="62" w:name="_Toc385992326"/>
            <w:bookmarkStart w:id="63" w:name="_Toc500746967"/>
            <w:bookmarkStart w:id="64" w:name="_Toc499711044"/>
            <w:bookmarkStart w:id="65" w:name="_Toc500747063"/>
            <w:bookmarkStart w:id="66" w:name="_Toc496324580"/>
            <w:bookmarkStart w:id="67" w:name="_Toc499711885"/>
            <w:bookmarkStart w:id="68" w:name="_Toc389620165"/>
            <w:bookmarkStart w:id="69" w:name="_Toc500747190"/>
            <w:r>
              <w:rPr>
                <w:rFonts w:hint="eastAsia" w:ascii="仿宋_GB2312" w:hAnsi="仿宋_GB2312" w:eastAsia="仿宋_GB2312" w:cs="仿宋_GB2312"/>
                <w:b/>
                <w:color w:val="000000" w:themeColor="text1"/>
                <w:sz w:val="24"/>
                <w:szCs w:val="24"/>
                <w:highlight w:val="none"/>
                <w14:textFill>
                  <w14:solidFill>
                    <w14:schemeClr w14:val="tx1"/>
                  </w14:solidFill>
                </w14:textFill>
              </w:rPr>
              <w:t>条款号</w:t>
            </w:r>
          </w:p>
        </w:tc>
        <w:tc>
          <w:tcPr>
            <w:tcW w:w="7650" w:type="dxa"/>
            <w:vAlign w:val="center"/>
          </w:tcPr>
          <w:p>
            <w:pPr>
              <w:pStyle w:val="29"/>
              <w:adjustRightInd w:val="0"/>
              <w:snapToGrid w:val="0"/>
              <w:spacing w:line="360" w:lineRule="auto"/>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w:t>
            </w:r>
          </w:p>
        </w:tc>
        <w:tc>
          <w:tcPr>
            <w:tcW w:w="7650" w:type="dxa"/>
            <w:vAlign w:val="center"/>
          </w:tcPr>
          <w:p>
            <w:pPr>
              <w:pStyle w:val="29"/>
              <w:adjustRightInd w:val="0"/>
              <w:snapToGrid w:val="0"/>
              <w:spacing w:line="360" w:lineRule="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项目名称：</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临渭区国土空间生态修复规划（2021-2035年）</w:t>
            </w:r>
          </w:p>
          <w:p>
            <w:pPr>
              <w:pStyle w:val="29"/>
              <w:adjustRightInd w:val="0"/>
              <w:snapToGrid w:val="0"/>
              <w:spacing w:line="360" w:lineRule="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项目编号：</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SCZF2022-CS-</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2083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/001</w:t>
            </w:r>
          </w:p>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资金来源：财政资金</w:t>
            </w:r>
          </w:p>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预算金额：</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870000.00</w:t>
            </w:r>
            <w:r>
              <w:rPr>
                <w:rFonts w:hint="eastAsia" w:ascii="仿宋_GB2312" w:hAnsi="仿宋_GB2312" w:eastAsia="仿宋_GB2312" w:cs="仿宋_GB2312"/>
                <w:color w:val="000000" w:themeColor="text1"/>
                <w:sz w:val="24"/>
                <w:szCs w:val="24"/>
                <w:highlight w:val="none"/>
                <w14:textFill>
                  <w14:solidFill>
                    <w14:schemeClr w14:val="tx1"/>
                  </w14:solidFill>
                </w14:textFill>
              </w:rPr>
              <w:t>元</w:t>
            </w:r>
          </w:p>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采购方式：竞争性磋商</w:t>
            </w:r>
          </w:p>
          <w:p>
            <w:pPr>
              <w:pStyle w:val="29"/>
              <w:adjustRightInd w:val="0"/>
              <w:snapToGrid w:val="0"/>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采购内</w:t>
            </w:r>
            <w:r>
              <w:rPr>
                <w:rFonts w:hint="eastAsia" w:ascii="仿宋_GB2312" w:hAnsi="仿宋_GB2312" w:eastAsia="仿宋_GB2312" w:cs="仿宋_GB2312"/>
                <w:color w:val="000000" w:themeColor="text1"/>
                <w:sz w:val="24"/>
                <w:szCs w:val="24"/>
                <w:highlight w:val="none"/>
                <w14:textFill>
                  <w14:solidFill>
                    <w14:schemeClr w14:val="tx1"/>
                  </w14:solidFill>
                </w14:textFill>
              </w:rPr>
              <w:t>容：详见本磋商文件第五章</w:t>
            </w:r>
          </w:p>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项目所属行业：</w:t>
            </w:r>
            <w:r>
              <w:rPr>
                <w:rFonts w:hint="eastAsia" w:ascii="仿宋_GB2312" w:hAnsi="仿宋_GB2312" w:eastAsia="仿宋_GB2312" w:cs="仿宋_GB2312"/>
                <w:color w:val="000000" w:themeColor="text1"/>
                <w:sz w:val="24"/>
                <w:szCs w:val="24"/>
                <w:highlight w:val="none"/>
                <w14:textFill>
                  <w14:solidFill>
                    <w14:schemeClr w14:val="tx1"/>
                  </w14:solidFill>
                </w14:textFill>
              </w:rPr>
              <w:t>工程技术与设计服务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w:t>
            </w:r>
          </w:p>
        </w:tc>
        <w:tc>
          <w:tcPr>
            <w:tcW w:w="7650" w:type="dxa"/>
            <w:vAlign w:val="center"/>
          </w:tcPr>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w:t>
            </w:r>
            <w:r>
              <w:rPr>
                <w:rFonts w:hint="eastAsia" w:ascii="仿宋_GB2312" w:hAnsi="仿宋_GB2312" w:eastAsia="仿宋_GB2312" w:cs="仿宋_GB2312"/>
                <w:color w:val="000000" w:themeColor="text1"/>
                <w:kern w:val="0"/>
                <w:sz w:val="24"/>
                <w:highlight w:val="none"/>
                <w14:textFill>
                  <w14:solidFill>
                    <w14:schemeClr w14:val="tx1"/>
                  </w14:solidFill>
                </w14:textFill>
              </w:rPr>
              <w:t>渭南市临渭区自然资源局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p>
        </w:tc>
        <w:tc>
          <w:tcPr>
            <w:tcW w:w="7650" w:type="dxa"/>
            <w:vAlign w:val="center"/>
          </w:tcPr>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w:t>
            </w:r>
          </w:p>
        </w:tc>
        <w:tc>
          <w:tcPr>
            <w:tcW w:w="7650" w:type="dxa"/>
            <w:vAlign w:val="center"/>
          </w:tcPr>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邀请供应商的方式：</w:t>
            </w:r>
          </w:p>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（1）发布磋商公告</w:t>
            </w:r>
          </w:p>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（2）采购人和评审专家分别书面推荐的方式邀请不少于3家</w:t>
            </w:r>
          </w:p>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符合相应资格条件的供应商</w:t>
            </w:r>
          </w:p>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3.1</w:t>
            </w:r>
          </w:p>
        </w:tc>
        <w:tc>
          <w:tcPr>
            <w:tcW w:w="7650" w:type="dxa"/>
            <w:vAlign w:val="center"/>
          </w:tcPr>
          <w:p>
            <w:pPr>
              <w:pStyle w:val="14"/>
              <w:spacing w:line="360" w:lineRule="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2"/>
                <w:highlight w:val="none"/>
                <w14:textFill>
                  <w14:solidFill>
                    <w14:schemeClr w14:val="tx1"/>
                  </w14:solidFill>
                </w14:textFill>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360" w:lineRule="auto"/>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p>
        </w:tc>
        <w:tc>
          <w:tcPr>
            <w:tcW w:w="7650" w:type="dxa"/>
            <w:vAlign w:val="center"/>
          </w:tcPr>
          <w:p>
            <w:pPr>
              <w:pStyle w:val="14"/>
              <w:spacing w:line="360" w:lineRule="auto"/>
              <w:rPr>
                <w:rFonts w:ascii="仿宋_GB2312" w:hAnsi="仿宋_GB2312" w:eastAsia="仿宋_GB2312" w:cs="仿宋_GB2312"/>
                <w:color w:val="000000" w:themeColor="text1"/>
                <w:kern w:val="2"/>
                <w:highlight w:val="none"/>
                <w14:textFill>
                  <w14:solidFill>
                    <w14:schemeClr w14:val="tx1"/>
                  </w14:solidFill>
                </w14:textFill>
              </w:rPr>
            </w:pPr>
            <w:r>
              <w:rPr>
                <w:rFonts w:hint="eastAsia" w:ascii="仿宋_GB2312" w:hAnsi="仿宋_GB2312" w:eastAsia="仿宋_GB2312" w:cs="仿宋_GB2312"/>
                <w:color w:val="000000" w:themeColor="text1"/>
                <w:kern w:val="2"/>
                <w:highlight w:val="none"/>
                <w14:textFill>
                  <w14:solidFill>
                    <w14:schemeClr w14:val="tx1"/>
                  </w14:solidFill>
                </w14:textFill>
              </w:rPr>
              <w:t>是否允许采购进口产品：</w:t>
            </w:r>
            <w:r>
              <w:rPr>
                <w:rFonts w:hint="eastAsia" w:ascii="仿宋_GB2312" w:hAnsi="仿宋_GB2312" w:eastAsia="仿宋_GB2312" w:cs="仿宋_GB2312"/>
                <w:color w:val="000000" w:themeColor="text1"/>
                <w:kern w:val="2"/>
                <w:highlight w:val="none"/>
                <w:u w:val="single"/>
                <w14:textFill>
                  <w14:solidFill>
                    <w14:schemeClr w14:val="tx1"/>
                  </w14:solidFill>
                </w14:textFill>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360" w:lineRule="auto"/>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7650" w:type="dxa"/>
            <w:vAlign w:val="center"/>
          </w:tcPr>
          <w:p>
            <w:pPr>
              <w:pStyle w:val="14"/>
              <w:spacing w:line="360" w:lineRule="auto"/>
              <w:rPr>
                <w:rFonts w:ascii="仿宋_GB2312" w:hAnsi="仿宋_GB2312" w:eastAsia="仿宋_GB2312" w:cs="仿宋_GB2312"/>
                <w:color w:val="000000" w:themeColor="text1"/>
                <w:kern w:val="2"/>
                <w:highlight w:val="none"/>
                <w14:textFill>
                  <w14:solidFill>
                    <w14:schemeClr w14:val="tx1"/>
                  </w14:solidFill>
                </w14:textFill>
              </w:rPr>
            </w:pPr>
            <w:r>
              <w:rPr>
                <w:rFonts w:hint="eastAsia" w:ascii="仿宋_GB2312" w:hAnsi="仿宋_GB2312" w:eastAsia="仿宋_GB2312" w:cs="仿宋_GB2312"/>
                <w:color w:val="000000" w:themeColor="text1"/>
                <w:kern w:val="2"/>
                <w:highlight w:val="none"/>
                <w14:textFill>
                  <w14:solidFill>
                    <w14:schemeClr w14:val="tx1"/>
                  </w14:solidFill>
                </w14:textFill>
              </w:rPr>
              <w:t>是否允许联合体磋商：</w:t>
            </w:r>
            <w:r>
              <w:rPr>
                <w:rFonts w:hint="eastAsia" w:ascii="仿宋_GB2312" w:hAnsi="仿宋_GB2312" w:eastAsia="仿宋_GB2312" w:cs="仿宋_GB2312"/>
                <w:color w:val="000000" w:themeColor="text1"/>
                <w:kern w:val="2"/>
                <w:highlight w:val="none"/>
                <w:u w:val="single"/>
                <w14:textFill>
                  <w14:solidFill>
                    <w14:schemeClr w14:val="tx1"/>
                  </w14:solidFill>
                </w14:textFill>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360" w:lineRule="auto"/>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p>
        </w:tc>
        <w:tc>
          <w:tcPr>
            <w:tcW w:w="7650" w:type="dxa"/>
            <w:vAlign w:val="center"/>
          </w:tcPr>
          <w:p>
            <w:pPr>
              <w:pStyle w:val="14"/>
              <w:spacing w:line="360" w:lineRule="auto"/>
              <w:rPr>
                <w:rFonts w:ascii="仿宋_GB2312" w:hAnsi="仿宋_GB2312" w:eastAsia="仿宋_GB2312" w:cs="仿宋_GB2312"/>
                <w:color w:val="000000" w:themeColor="text1"/>
                <w:kern w:val="2"/>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是否为专门面向</w:t>
            </w:r>
            <w:r>
              <w:rPr>
                <w:rFonts w:ascii="仿宋_GB2312" w:hAnsi="宋体" w:eastAsia="仿宋_GB2312"/>
                <w:color w:val="000000" w:themeColor="text1"/>
                <w:highlight w:val="none"/>
                <w14:textFill>
                  <w14:solidFill>
                    <w14:schemeClr w14:val="tx1"/>
                  </w14:solidFill>
                </w14:textFill>
              </w:rPr>
              <w:t>中小企业采购</w:t>
            </w:r>
            <w:r>
              <w:rPr>
                <w:rFonts w:hint="eastAsia" w:ascii="仿宋_GB2312" w:hAnsi="宋体" w:eastAsia="仿宋_GB2312"/>
                <w:color w:val="000000" w:themeColor="text1"/>
                <w:highlight w:val="none"/>
                <w14:textFill>
                  <w14:solidFill>
                    <w14:schemeClr w14:val="tx1"/>
                  </w14:solidFill>
                </w14:textFill>
              </w:rPr>
              <w:t>：</w:t>
            </w:r>
            <w:r>
              <w:rPr>
                <w:rFonts w:hint="eastAsia" w:ascii="仿宋_GB2312" w:hAnsi="宋体" w:eastAsia="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2"/>
                <w:highlight w:val="none"/>
                <w:u w:val="singl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kern w:val="2"/>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12.1</w:t>
            </w:r>
          </w:p>
        </w:tc>
        <w:tc>
          <w:tcPr>
            <w:tcW w:w="7650" w:type="dxa"/>
            <w:vAlign w:val="center"/>
          </w:tcPr>
          <w:p>
            <w:pPr>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eastAsia="仿宋_GB2312"/>
                <w:color w:val="000000" w:themeColor="text1"/>
                <w:sz w:val="24"/>
                <w14:textFill>
                  <w14:solidFill>
                    <w14:schemeClr w14:val="tx1"/>
                  </w14:solidFill>
                </w14:textFill>
              </w:rPr>
              <w:t>成交响应报价为完成本项目并达到磋商文件要求所需要的全部费用</w:t>
            </w:r>
            <w:r>
              <w:rPr>
                <w:rFonts w:hint="eastAsia" w:ascii="仿宋_GB2312" w:hAnsi="仿宋_GB2312" w:eastAsia="仿宋_GB2312" w:cs="仿宋_GB2312"/>
                <w:color w:val="000000" w:themeColor="text1"/>
                <w:sz w:val="24"/>
                <w:highlight w:val="none"/>
                <w14:textFill>
                  <w14:solidFill>
                    <w14:schemeClr w14:val="tx1"/>
                  </w14:solidFill>
                </w14:textFill>
              </w:rPr>
              <w:t>，包括但不限于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人工费、设备使用费、办公费、服务费、交通费、专家咨询费（如有）</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、保险费（如有）、</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24"/>
                <w:highlight w:val="none"/>
                <w14:textFill>
                  <w14:solidFill>
                    <w14:schemeClr w14:val="tx1"/>
                  </w14:solidFill>
                </w14:textFill>
              </w:rPr>
              <w:t>代理</w:t>
            </w:r>
            <w:r>
              <w:rPr>
                <w:rFonts w:hint="eastAsia" w:ascii="仿宋_GB2312" w:hAnsi="仿宋_GB2312" w:eastAsia="仿宋_GB2312" w:cs="仿宋_GB2312"/>
                <w:color w:val="000000" w:themeColor="text1"/>
                <w:sz w:val="24"/>
                <w:highlight w:val="none"/>
                <w14:textFill>
                  <w14:solidFill>
                    <w14:schemeClr w14:val="tx1"/>
                  </w14:solidFill>
                </w14:textFill>
              </w:rPr>
              <w:t>服务费</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税金等其他一切相关费用。供应商所报的价格应考虑到可能发生的所有与完成本项目相关服务及履行合同义务有关的一切费用。</w:t>
            </w:r>
          </w:p>
          <w:p>
            <w:pPr>
              <w:pStyle w:val="29"/>
              <w:adjustRightInd w:val="0"/>
              <w:snapToGrid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（1）报价货币：人民币；</w:t>
            </w:r>
          </w:p>
          <w:p>
            <w:pPr>
              <w:pStyle w:val="29"/>
              <w:adjustRightInd w:val="0"/>
              <w:snapToGrid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14.1</w:t>
            </w:r>
          </w:p>
        </w:tc>
        <w:tc>
          <w:tcPr>
            <w:tcW w:w="7650" w:type="dxa"/>
            <w:vAlign w:val="center"/>
          </w:tcPr>
          <w:p>
            <w:pPr>
              <w:spacing w:line="360" w:lineRule="auto"/>
              <w:rPr>
                <w:rFonts w:ascii="仿宋_GB2312" w:hAnsi="仿宋" w:eastAsia="仿宋_GB2312"/>
                <w:color w:val="000000" w:themeColor="text1"/>
                <w:sz w:val="24"/>
                <w:highlight w:val="none"/>
                <w:lang w:val="zh-CN"/>
                <w14:textFill>
                  <w14:solidFill>
                    <w14:schemeClr w14:val="tx1"/>
                  </w14:solidFill>
                </w14:textFill>
              </w:rPr>
            </w:pPr>
            <w:r>
              <w:rPr>
                <w:rFonts w:hint="eastAsia" w:ascii="仿宋_GB2312" w:hAnsi="仿宋" w:eastAsia="仿宋_GB2312"/>
                <w:color w:val="000000" w:themeColor="text1"/>
                <w:sz w:val="24"/>
                <w:highlight w:val="none"/>
                <w:lang w:val="zh-CN"/>
                <w14:textFill>
                  <w14:solidFill>
                    <w14:schemeClr w14:val="tx1"/>
                  </w14:solidFill>
                </w14:textFill>
              </w:rPr>
              <w:t>本项目须提供磋商保证金人民币</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壹万元整</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lang w:val="zh-CN"/>
                <w14:textFill>
                  <w14:solidFill>
                    <w14:schemeClr w14:val="tx1"/>
                  </w14:solidFill>
                </w14:textFill>
              </w:rPr>
              <w:t xml:space="preserve">（¥ </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10000.00</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lang w:val="zh-CN"/>
                <w14:textFill>
                  <w14:solidFill>
                    <w14:schemeClr w14:val="tx1"/>
                  </w14:solidFill>
                </w14:textFill>
              </w:rPr>
              <w:t>元）。</w:t>
            </w:r>
          </w:p>
          <w:p>
            <w:pPr>
              <w:autoSpaceDE w:val="0"/>
              <w:autoSpaceDN w:val="0"/>
              <w:adjustRightInd w:val="0"/>
              <w:snapToGrid w:val="0"/>
              <w:spacing w:line="360" w:lineRule="auto"/>
              <w:jc w:val="left"/>
              <w:rPr>
                <w:rFonts w:hint="eastAsia" w:ascii="仿宋_GB2312" w:hAnsi="仿宋" w:eastAsia="仿宋_GB2312"/>
                <w:color w:val="000000" w:themeColor="text1"/>
                <w:sz w:val="24"/>
                <w:highlight w:val="none"/>
                <w:lang w:val="zh-CN"/>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保证金可自主选择采用电汇、银行转账、支票、汇票、本票、金融机构或担保机构出具的保函等非现金形式。</w:t>
            </w:r>
          </w:p>
          <w:p>
            <w:pPr>
              <w:autoSpaceDE w:val="0"/>
              <w:autoSpaceDN w:val="0"/>
              <w:adjustRightInd w:val="0"/>
              <w:snapToGrid w:val="0"/>
              <w:spacing w:line="360" w:lineRule="auto"/>
              <w:jc w:val="lef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保证金户名</w:t>
            </w:r>
            <w:r>
              <w:rPr>
                <w:rFonts w:hint="eastAsia" w:ascii="仿宋_GB2312" w:hAnsi="仿宋" w:eastAsia="仿宋_GB2312"/>
                <w:color w:val="000000" w:themeColor="text1"/>
                <w:sz w:val="24"/>
                <w:highlight w:val="none"/>
                <w14:textFill>
                  <w14:solidFill>
                    <w14:schemeClr w14:val="tx1"/>
                  </w14:solidFill>
                </w14:textFill>
              </w:rPr>
              <w:t>：陕西省采购招标有限责任公司</w:t>
            </w:r>
          </w:p>
          <w:p>
            <w:pPr>
              <w:adjustRightInd w:val="0"/>
              <w:snapToGrid w:val="0"/>
              <w:spacing w:line="360" w:lineRule="auto"/>
              <w:jc w:val="left"/>
              <w:rPr>
                <w:rFonts w:ascii="仿宋_GB2312" w:hAnsi="仿宋" w:eastAsia="仿宋_GB2312"/>
                <w:color w:val="000000" w:themeColor="text1"/>
                <w:spacing w:val="-6"/>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开户银行：</w:t>
            </w:r>
            <w:r>
              <w:rPr>
                <w:rFonts w:hint="eastAsia" w:ascii="仿宋_GB2312" w:hAnsi="仿宋" w:eastAsia="仿宋_GB2312"/>
                <w:color w:val="000000" w:themeColor="text1"/>
                <w:sz w:val="24"/>
                <w:highlight w:val="none"/>
                <w:lang w:val="zh-CN"/>
                <w14:textFill>
                  <w14:solidFill>
                    <w14:schemeClr w14:val="tx1"/>
                  </w14:solidFill>
                </w14:textFill>
              </w:rPr>
              <w:t>中国银行西安南郊支行营业部</w:t>
            </w:r>
          </w:p>
          <w:p>
            <w:pPr>
              <w:adjustRightInd w:val="0"/>
              <w:snapToGrid w:val="0"/>
              <w:spacing w:line="360" w:lineRule="auto"/>
              <w:jc w:val="left"/>
              <w:rPr>
                <w:rFonts w:ascii="仿宋_GB2312" w:hAnsi="仿宋" w:eastAsia="仿宋_GB2312"/>
                <w:color w:val="000000" w:themeColor="text1"/>
                <w:sz w:val="24"/>
                <w:highlight w:val="none"/>
                <w:u w:val="singl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帐</w:t>
            </w:r>
            <w:r>
              <w:rPr>
                <w:rFonts w:hint="eastAsia" w:ascii="仿宋_GB2312" w:hAnsi="仿宋" w:eastAsia="仿宋_GB2312"/>
                <w:color w:val="000000" w:themeColor="text1"/>
                <w:sz w:val="24"/>
                <w:highlight w:val="none"/>
                <w:lang w:val="en-US" w:eastAsia="zh-CN"/>
                <w14:textFill>
                  <w14:solidFill>
                    <w14:schemeClr w14:val="tx1"/>
                  </w14:solidFill>
                </w14:textFill>
              </w:rPr>
              <w:t xml:space="preserve">    </w:t>
            </w:r>
            <w:r>
              <w:rPr>
                <w:rFonts w:hint="eastAsia" w:ascii="仿宋_GB2312" w:hAnsi="仿宋" w:eastAsia="仿宋_GB2312"/>
                <w:color w:val="000000" w:themeColor="text1"/>
                <w:sz w:val="24"/>
                <w:highlight w:val="none"/>
                <w14:textFill>
                  <w14:solidFill>
                    <w14:schemeClr w14:val="tx1"/>
                  </w14:solidFill>
                </w14:textFill>
              </w:rPr>
              <w:t>号：103261567710</w:t>
            </w:r>
            <w:r>
              <w:rPr>
                <w:rFonts w:hint="eastAsia" w:ascii="仿宋_GB2312" w:hAnsi="仿宋" w:eastAsia="仿宋_GB2312"/>
                <w:color w:val="000000" w:themeColor="text1"/>
                <w:sz w:val="24"/>
                <w:highlight w:val="none"/>
                <w:u w:val="single"/>
                <w14:textFill>
                  <w14:solidFill>
                    <w14:schemeClr w14:val="tx1"/>
                  </w14:solidFill>
                </w14:textFill>
              </w:rPr>
              <w:t xml:space="preserve"> </w:t>
            </w:r>
          </w:p>
          <w:p>
            <w:pPr>
              <w:pStyle w:val="29"/>
              <w:adjustRightInd w:val="0"/>
              <w:snapToGrid w:val="0"/>
              <w:spacing w:line="360" w:lineRule="auto"/>
              <w:rPr>
                <w:rFonts w:hint="eastAsia" w:ascii="仿宋_GB2312" w:hAnsi="仿宋" w:eastAsia="仿宋_GB2312"/>
                <w:color w:val="000000" w:themeColor="text1"/>
                <w:sz w:val="24"/>
                <w:highlight w:val="none"/>
                <w:lang w:val="zh-CN"/>
                <w14:textFill>
                  <w14:solidFill>
                    <w14:schemeClr w14:val="tx1"/>
                  </w14:solidFill>
                </w14:textFill>
              </w:rPr>
            </w:pPr>
            <w:r>
              <w:rPr>
                <w:rFonts w:hint="eastAsia" w:ascii="仿宋_GB2312" w:hAnsi="仿宋" w:eastAsia="仿宋_GB2312"/>
                <w:color w:val="000000" w:themeColor="text1"/>
                <w:sz w:val="24"/>
                <w:highlight w:val="none"/>
                <w:lang w:val="zh-CN"/>
                <w14:textFill>
                  <w14:solidFill>
                    <w14:schemeClr w14:val="tx1"/>
                  </w14:solidFill>
                </w14:textFill>
              </w:rPr>
              <w:t>联</w:t>
            </w:r>
            <w:r>
              <w:rPr>
                <w:rFonts w:hint="eastAsia" w:ascii="仿宋_GB2312" w:hAnsi="仿宋" w:eastAsia="仿宋_GB2312"/>
                <w:color w:val="000000" w:themeColor="text1"/>
                <w:sz w:val="24"/>
                <w:highlight w:val="none"/>
                <w:lang w:val="en-US" w:eastAsia="zh-CN"/>
                <w14:textFill>
                  <w14:solidFill>
                    <w14:schemeClr w14:val="tx1"/>
                  </w14:solidFill>
                </w14:textFill>
              </w:rPr>
              <w:t xml:space="preserve"> </w:t>
            </w:r>
            <w:r>
              <w:rPr>
                <w:rFonts w:hint="eastAsia" w:ascii="仿宋_GB2312" w:hAnsi="仿宋" w:eastAsia="仿宋_GB2312"/>
                <w:color w:val="000000" w:themeColor="text1"/>
                <w:sz w:val="24"/>
                <w:highlight w:val="none"/>
                <w:lang w:val="zh-CN"/>
                <w14:textFill>
                  <w14:solidFill>
                    <w14:schemeClr w14:val="tx1"/>
                  </w14:solidFill>
                </w14:textFill>
              </w:rPr>
              <w:t>系</w:t>
            </w:r>
            <w:r>
              <w:rPr>
                <w:rFonts w:hint="eastAsia" w:ascii="仿宋_GB2312" w:hAnsi="仿宋" w:eastAsia="仿宋_GB2312"/>
                <w:color w:val="000000" w:themeColor="text1"/>
                <w:sz w:val="24"/>
                <w:highlight w:val="none"/>
                <w:lang w:val="en-US" w:eastAsia="zh-CN"/>
                <w14:textFill>
                  <w14:solidFill>
                    <w14:schemeClr w14:val="tx1"/>
                  </w14:solidFill>
                </w14:textFill>
              </w:rPr>
              <w:t xml:space="preserve"> </w:t>
            </w:r>
            <w:r>
              <w:rPr>
                <w:rFonts w:hint="eastAsia" w:ascii="仿宋_GB2312" w:hAnsi="仿宋" w:eastAsia="仿宋_GB2312"/>
                <w:color w:val="000000" w:themeColor="text1"/>
                <w:sz w:val="24"/>
                <w:highlight w:val="none"/>
                <w:lang w:val="zh-CN"/>
                <w14:textFill>
                  <w14:solidFill>
                    <w14:schemeClr w14:val="tx1"/>
                  </w14:solidFill>
                </w14:textFill>
              </w:rPr>
              <w:t>人：财务部    联系电话：029-85256853</w:t>
            </w:r>
          </w:p>
          <w:p>
            <w:pPr>
              <w:pStyle w:val="29"/>
              <w:adjustRightInd w:val="0"/>
              <w:snapToGrid w:val="0"/>
              <w:spacing w:line="360" w:lineRule="auto"/>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bCs/>
                <w:color w:val="000000" w:themeColor="text1"/>
                <w14:textFill>
                  <w14:solidFill>
                    <w14:schemeClr w14:val="tx1"/>
                  </w14:solidFill>
                </w14:textFill>
              </w:rPr>
              <w:t>备注：</w:t>
            </w:r>
          </w:p>
          <w:p>
            <w:pPr>
              <w:pStyle w:val="29"/>
              <w:adjustRightInd w:val="0"/>
              <w:snapToGrid w:val="0"/>
              <w:spacing w:line="360" w:lineRule="auto"/>
              <w:ind w:firstLine="422" w:firstLineChars="200"/>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bCs/>
                <w:color w:val="000000" w:themeColor="text1"/>
                <w14:textFill>
                  <w14:solidFill>
                    <w14:schemeClr w14:val="tx1"/>
                  </w14:solidFill>
                </w14:textFill>
              </w:rPr>
              <w:t>1、在汇款时务必注明所响应项目的项目编号，否则，因款项用途不明导致磋商无效等后果由供应商自行承担；</w:t>
            </w:r>
          </w:p>
          <w:p>
            <w:pPr>
              <w:pStyle w:val="29"/>
              <w:adjustRightInd w:val="0"/>
              <w:snapToGrid w:val="0"/>
              <w:spacing w:line="360" w:lineRule="auto"/>
              <w:ind w:firstLine="422" w:firstLineChars="200"/>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bCs/>
                <w:color w:val="000000" w:themeColor="text1"/>
                <w14:textFill>
                  <w14:solidFill>
                    <w14:schemeClr w14:val="tx1"/>
                  </w14:solidFill>
                </w14:textFill>
              </w:rPr>
              <w:t>2、请各供应商在响应文件递交截止时间前，按文件的要求向</w:t>
            </w:r>
            <w:r>
              <w:rPr>
                <w:rFonts w:hint="eastAsia" w:ascii="Times New Roman" w:hAnsi="Times New Roman" w:eastAsia="仿宋_GB2312"/>
                <w:b/>
                <w:bCs/>
                <w:color w:val="000000" w:themeColor="text1"/>
                <w:lang w:eastAsia="zh-CN"/>
                <w14:textFill>
                  <w14:solidFill>
                    <w14:schemeClr w14:val="tx1"/>
                  </w14:solidFill>
                </w14:textFill>
              </w:rPr>
              <w:t>采购</w:t>
            </w:r>
            <w:r>
              <w:rPr>
                <w:rFonts w:ascii="Times New Roman" w:hAnsi="Times New Roman" w:eastAsia="仿宋_GB2312"/>
                <w:b/>
                <w:bCs/>
                <w:color w:val="000000" w:themeColor="text1"/>
                <w14:textFill>
                  <w14:solidFill>
                    <w14:schemeClr w14:val="tx1"/>
                  </w14:solidFill>
                </w14:textFill>
              </w:rPr>
              <w:t>代理机构递交磋商保证金；</w:t>
            </w:r>
          </w:p>
          <w:p>
            <w:pPr>
              <w:pStyle w:val="29"/>
              <w:adjustRightInd w:val="0"/>
              <w:snapToGrid w:val="0"/>
              <w:spacing w:line="360" w:lineRule="auto"/>
              <w:ind w:firstLine="422" w:firstLineChars="200"/>
              <w:rPr>
                <w:rFonts w:hint="eastAsia" w:ascii="仿宋_GB2312" w:hAnsi="仿宋" w:eastAsia="仿宋_GB2312"/>
                <w:color w:val="000000" w:themeColor="text1"/>
                <w:sz w:val="24"/>
                <w:highlight w:val="none"/>
                <w:lang w:val="zh-CN"/>
                <w14:textFill>
                  <w14:solidFill>
                    <w14:schemeClr w14:val="tx1"/>
                  </w14:solidFill>
                </w14:textFill>
              </w:rPr>
            </w:pPr>
            <w:r>
              <w:rPr>
                <w:rFonts w:ascii="Times New Roman" w:hAnsi="Times New Roman" w:eastAsia="仿宋_GB2312"/>
                <w:b/>
                <w:bCs/>
                <w:color w:val="000000" w:themeColor="text1"/>
                <w14:textFill>
                  <w14:solidFill>
                    <w14:schemeClr w14:val="tx1"/>
                  </w14:solidFill>
                </w14:textFill>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15.1</w:t>
            </w:r>
          </w:p>
        </w:tc>
        <w:tc>
          <w:tcPr>
            <w:tcW w:w="7650" w:type="dxa"/>
            <w:vAlign w:val="center"/>
          </w:tcPr>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磋商有效期：自响应文件递交之日起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60  </w:t>
            </w:r>
            <w:r>
              <w:rPr>
                <w:rFonts w:hint="eastAsia" w:ascii="仿宋_GB2312" w:hAnsi="仿宋_GB2312" w:eastAsia="仿宋_GB2312" w:cs="仿宋_GB2312"/>
                <w:color w:val="000000" w:themeColor="text1"/>
                <w:sz w:val="24"/>
                <w:szCs w:val="24"/>
                <w:highlight w:val="none"/>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16.1</w:t>
            </w:r>
          </w:p>
        </w:tc>
        <w:tc>
          <w:tcPr>
            <w:tcW w:w="7650" w:type="dxa"/>
            <w:vAlign w:val="center"/>
          </w:tcPr>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响应文件的份数：正本1份，副本2份，电子版1份（U盘</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1个</w:t>
            </w:r>
            <w:r>
              <w:rPr>
                <w:rFonts w:hint="eastAsia" w:ascii="仿宋_GB2312" w:hAnsi="仿宋_GB2312" w:eastAsia="仿宋_GB2312" w:cs="仿宋_GB2312"/>
                <w:color w:val="000000" w:themeColor="text1"/>
                <w:sz w:val="24"/>
                <w:szCs w:val="24"/>
                <w:highlight w:val="none"/>
                <w14:textFill>
                  <w14:solidFill>
                    <w14:schemeClr w14:val="tx1"/>
                  </w14:solidFill>
                </w14:textFill>
              </w:rPr>
              <w:t>，单独密封）。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成交供应商需另行提供正本1份。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17.2</w:t>
            </w:r>
          </w:p>
        </w:tc>
        <w:tc>
          <w:tcPr>
            <w:tcW w:w="7650" w:type="dxa"/>
            <w:vAlign w:val="center"/>
          </w:tcPr>
          <w:p>
            <w:pPr>
              <w:pStyle w:val="29"/>
              <w:adjustRightInd w:val="0"/>
              <w:snapToGrid w:val="0"/>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密封袋（箱）上须标注：</w:t>
            </w:r>
          </w:p>
          <w:p>
            <w:pPr>
              <w:pStyle w:val="29"/>
              <w:adjustRightInd w:val="0"/>
              <w:snapToGrid w:val="0"/>
              <w:spacing w:line="360" w:lineRule="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（l）采购项目编号：</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SCZF2022-CS-</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2083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/001</w:t>
            </w:r>
          </w:p>
          <w:p>
            <w:pPr>
              <w:pStyle w:val="29"/>
              <w:adjustRightInd w:val="0"/>
              <w:snapToGrid w:val="0"/>
              <w:spacing w:line="360" w:lineRule="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（2）项目名称：</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临渭区国土空间生态修复规划（2021-2035年）</w:t>
            </w:r>
          </w:p>
          <w:p>
            <w:pPr>
              <w:pStyle w:val="29"/>
              <w:adjustRightInd w:val="0"/>
              <w:snapToGrid w:val="0"/>
              <w:spacing w:line="360" w:lineRule="auto"/>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（3）供应商的名称、地址、联系人、电话。</w:t>
            </w:r>
          </w:p>
          <w:p>
            <w:pPr>
              <w:pStyle w:val="29"/>
              <w:adjustRightInd w:val="0"/>
              <w:snapToGrid w:val="0"/>
              <w:spacing w:line="360" w:lineRule="auto"/>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（4）在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（北京时间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2022</w:t>
            </w:r>
            <w:r>
              <w:rPr>
                <w:rFonts w:hint="eastAsia" w:ascii="仿宋_GB2312" w:hAnsi="仿宋_GB2312" w:eastAsia="仿宋_GB2312" w:cs="仿宋_GB2312"/>
                <w:color w:val="000000" w:themeColor="text1"/>
                <w:kern w:val="24"/>
                <w:sz w:val="24"/>
                <w:highlight w:val="none"/>
                <w:u w:val="single"/>
                <w14:textFill>
                  <w14:solidFill>
                    <w14:schemeClr w14:val="tx1"/>
                  </w14:solidFill>
                </w14:textFill>
              </w:rPr>
              <w:t>年</w:t>
            </w:r>
            <w:r>
              <w:rPr>
                <w:rFonts w:hint="eastAsia" w:ascii="仿宋_GB2312" w:hAnsi="仿宋_GB2312" w:eastAsia="仿宋_GB2312" w:cs="仿宋_GB2312"/>
                <w:color w:val="000000" w:themeColor="text1"/>
                <w:kern w:val="24"/>
                <w:sz w:val="24"/>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kern w:val="24"/>
                <w:sz w:val="24"/>
                <w:highlight w:val="none"/>
                <w:u w:val="single"/>
                <w14:textFill>
                  <w14:solidFill>
                    <w14:schemeClr w14:val="tx1"/>
                  </w14:solidFill>
                </w14:textFill>
              </w:rPr>
              <w:t>月</w:t>
            </w:r>
            <w:r>
              <w:rPr>
                <w:rFonts w:hint="eastAsia" w:ascii="仿宋_GB2312" w:hAnsi="仿宋_GB2312" w:eastAsia="仿宋_GB2312" w:cs="仿宋_GB2312"/>
                <w:color w:val="000000" w:themeColor="text1"/>
                <w:kern w:val="24"/>
                <w:sz w:val="24"/>
                <w:highlight w:val="none"/>
                <w:u w:val="single"/>
                <w:lang w:val="en-US" w:eastAsia="zh-CN"/>
                <w14:textFill>
                  <w14:solidFill>
                    <w14:schemeClr w14:val="tx1"/>
                  </w14:solidFill>
                </w14:textFill>
              </w:rPr>
              <w:t>14</w:t>
            </w:r>
            <w:r>
              <w:rPr>
                <w:rFonts w:hint="eastAsia" w:ascii="仿宋_GB2312" w:hAnsi="仿宋_GB2312" w:eastAsia="仿宋_GB2312" w:cs="仿宋_GB2312"/>
                <w:color w:val="000000" w:themeColor="text1"/>
                <w:kern w:val="24"/>
                <w:sz w:val="24"/>
                <w:highlight w:val="none"/>
                <w:u w:val="single"/>
                <w14:textFill>
                  <w14:solidFill>
                    <w14:schemeClr w14:val="tx1"/>
                  </w14:solidFill>
                </w14:textFill>
              </w:rPr>
              <w:t>日</w:t>
            </w:r>
            <w:r>
              <w:rPr>
                <w:rFonts w:hint="eastAsia" w:ascii="仿宋_GB2312" w:hAnsi="仿宋_GB2312" w:eastAsia="仿宋_GB2312" w:cs="仿宋_GB2312"/>
                <w:color w:val="000000" w:themeColor="text1"/>
                <w:kern w:val="0"/>
                <w:sz w:val="24"/>
                <w:highlight w:val="none"/>
                <w:u w:val="single"/>
                <w:lang w:val="en-US" w:eastAsia="zh-CN"/>
                <w14:textFill>
                  <w14:solidFill>
                    <w14:schemeClr w14:val="tx1"/>
                  </w14:solidFill>
                </w14:textFill>
              </w:rPr>
              <w:t>09</w:t>
            </w:r>
            <w:r>
              <w:rPr>
                <w:rFonts w:hint="eastAsia" w:ascii="仿宋_GB2312" w:hAnsi="仿宋_GB2312" w:eastAsia="仿宋_GB2312" w:cs="仿宋_GB2312"/>
                <w:color w:val="000000" w:themeColor="text1"/>
                <w:kern w:val="0"/>
                <w:sz w:val="24"/>
                <w:highlight w:val="none"/>
                <w:u w:val="single"/>
                <w:lang w:eastAsia="zh-CN"/>
                <w14:textFill>
                  <w14:solidFill>
                    <w14:schemeClr w14:val="tx1"/>
                  </w14:solidFill>
                </w14:textFill>
              </w:rPr>
              <w:t>时</w:t>
            </w:r>
            <w:r>
              <w:rPr>
                <w:rFonts w:hint="eastAsia" w:ascii="仿宋_GB2312" w:hAnsi="仿宋_GB2312" w:eastAsia="仿宋_GB2312" w:cs="仿宋_GB2312"/>
                <w:color w:val="000000" w:themeColor="text1"/>
                <w:kern w:val="0"/>
                <w:sz w:val="24"/>
                <w:highlight w:val="none"/>
                <w:u w:val="single"/>
                <w:lang w:val="en-US" w:eastAsia="zh-CN"/>
                <w14:textFill>
                  <w14:solidFill>
                    <w14:schemeClr w14:val="tx1"/>
                  </w14:solidFill>
                </w14:textFill>
              </w:rPr>
              <w:t>00</w:t>
            </w:r>
            <w:r>
              <w:rPr>
                <w:rFonts w:hint="eastAsia" w:ascii="仿宋_GB2312" w:hAnsi="仿宋_GB2312" w:eastAsia="仿宋_GB2312" w:cs="仿宋_GB2312"/>
                <w:color w:val="000000" w:themeColor="text1"/>
                <w:kern w:val="0"/>
                <w:sz w:val="24"/>
                <w:highlight w:val="none"/>
                <w:u w:val="single"/>
                <w:lang w:eastAsia="zh-CN"/>
                <w14:textFill>
                  <w14:solidFill>
                    <w14:schemeClr w14:val="tx1"/>
                  </w14:solidFill>
                </w14:textFill>
              </w:rPr>
              <w:t>分</w:t>
            </w:r>
            <w:r>
              <w:rPr>
                <w:rFonts w:hint="eastAsia" w:ascii="仿宋_GB2312" w:hAnsi="仿宋_GB2312" w:eastAsia="仿宋_GB2312" w:cs="仿宋_GB2312"/>
                <w:color w:val="000000" w:themeColor="text1"/>
                <w:sz w:val="24"/>
                <w:szCs w:val="24"/>
                <w:highlight w:val="none"/>
                <w14:textFill>
                  <w14:solidFill>
                    <w14:schemeClr w14:val="tx1"/>
                  </w14:solidFill>
                </w14:textFill>
              </w:rPr>
              <w:t>（响应文件递交截止时间）之前不得启封</w:t>
            </w:r>
          </w:p>
          <w:p>
            <w:pPr>
              <w:pStyle w:val="29"/>
              <w:adjustRightInd w:val="0"/>
              <w:snapToGrid w:val="0"/>
              <w:spacing w:line="360" w:lineRule="auto"/>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（5）资格证明文件/商务及技术文件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17.3</w:t>
            </w:r>
          </w:p>
        </w:tc>
        <w:tc>
          <w:tcPr>
            <w:tcW w:w="7650" w:type="dxa"/>
            <w:vAlign w:val="center"/>
          </w:tcPr>
          <w:p>
            <w:pPr>
              <w:pStyle w:val="29"/>
              <w:adjustRightInd w:val="0"/>
              <w:snapToGrid w:val="0"/>
              <w:spacing w:line="360" w:lineRule="auto"/>
              <w:ind w:firstLine="120" w:firstLineChars="5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本项目不要求提交样品。</w:t>
            </w:r>
          </w:p>
          <w:p>
            <w:pPr>
              <w:pStyle w:val="29"/>
              <w:adjustRightInd w:val="0"/>
              <w:snapToGrid w:val="0"/>
              <w:spacing w:line="360" w:lineRule="auto"/>
              <w:ind w:firstLine="120" w:firstLineChars="50"/>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□本项目要求提交样品。样品为响应文件的一部分，随响应文件同时递交。</w:t>
            </w:r>
          </w:p>
          <w:p>
            <w:pPr>
              <w:pStyle w:val="29"/>
              <w:adjustRightInd w:val="0"/>
              <w:snapToGrid w:val="0"/>
              <w:spacing w:line="36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（1）样品需标明：项目名称、供应商名称、样品名称等内容。</w:t>
            </w:r>
          </w:p>
          <w:p>
            <w:pPr>
              <w:pStyle w:val="29"/>
              <w:adjustRightInd w:val="0"/>
              <w:snapToGrid w:val="0"/>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18.1</w:t>
            </w:r>
          </w:p>
        </w:tc>
        <w:tc>
          <w:tcPr>
            <w:tcW w:w="7650" w:type="dxa"/>
            <w:vAlign w:val="center"/>
          </w:tcPr>
          <w:p>
            <w:pPr>
              <w:tabs>
                <w:tab w:val="left" w:pos="588"/>
              </w:tabs>
              <w:spacing w:line="360" w:lineRule="auto"/>
              <w:rPr>
                <w:rFonts w:ascii="仿宋_GB2312" w:hAnsi="仿宋_GB2312" w:eastAsia="仿宋_GB2312" w:cs="仿宋_GB2312"/>
                <w:color w:val="000000" w:themeColor="text1"/>
                <w:kern w:val="24"/>
                <w:sz w:val="24"/>
                <w:szCs w:val="21"/>
                <w:highlight w:val="none"/>
                <w14:textFill>
                  <w14:solidFill>
                    <w14:schemeClr w14:val="tx1"/>
                  </w14:solidFill>
                </w14:textFill>
              </w:rPr>
            </w:pPr>
            <w:r>
              <w:rPr>
                <w:rFonts w:hint="eastAsia" w:ascii="仿宋_GB2312" w:hAnsi="仿宋_GB2312" w:eastAsia="仿宋_GB2312" w:cs="仿宋_GB2312"/>
                <w:color w:val="000000" w:themeColor="text1"/>
                <w:kern w:val="24"/>
                <w:sz w:val="24"/>
                <w:szCs w:val="21"/>
                <w:highlight w:val="none"/>
                <w14:textFill>
                  <w14:solidFill>
                    <w14:schemeClr w14:val="tx1"/>
                  </w14:solidFill>
                </w14:textFill>
              </w:rPr>
              <w:t>响应文件递交截止时</w:t>
            </w:r>
            <w:r>
              <w:rPr>
                <w:rFonts w:hint="eastAsia" w:ascii="仿宋_GB2312" w:hAnsi="仿宋_GB2312" w:eastAsia="仿宋_GB2312" w:cs="仿宋_GB2312"/>
                <w:color w:val="000000" w:themeColor="text1"/>
                <w:kern w:val="24"/>
                <w:sz w:val="24"/>
                <w:szCs w:val="21"/>
                <w:highlight w:val="none"/>
                <w:u w:val="none"/>
                <w14:textFill>
                  <w14:solidFill>
                    <w14:schemeClr w14:val="tx1"/>
                  </w14:solidFill>
                </w14:textFill>
              </w:rPr>
              <w:t>间</w:t>
            </w:r>
            <w:r>
              <w:rPr>
                <w:rFonts w:hint="eastAsia" w:ascii="仿宋_GB2312" w:hAnsi="仿宋_GB2312" w:eastAsia="仿宋_GB2312" w:cs="仿宋_GB2312"/>
                <w:color w:val="000000" w:themeColor="text1"/>
                <w:kern w:val="24"/>
                <w:sz w:val="24"/>
                <w:szCs w:val="21"/>
                <w:highlight w:val="none"/>
                <w:u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2022</w:t>
            </w:r>
            <w:r>
              <w:rPr>
                <w:rFonts w:hint="eastAsia" w:ascii="仿宋_GB2312" w:hAnsi="仿宋_GB2312" w:eastAsia="仿宋_GB2312" w:cs="仿宋_GB2312"/>
                <w:color w:val="000000" w:themeColor="text1"/>
                <w:kern w:val="24"/>
                <w:sz w:val="24"/>
                <w:highlight w:val="none"/>
                <w:u w:val="none"/>
                <w14:textFill>
                  <w14:solidFill>
                    <w14:schemeClr w14:val="tx1"/>
                  </w14:solidFill>
                </w14:textFill>
              </w:rPr>
              <w:t>年</w:t>
            </w:r>
            <w:r>
              <w:rPr>
                <w:rFonts w:hint="eastAsia" w:ascii="仿宋_GB2312" w:hAnsi="仿宋_GB2312" w:eastAsia="仿宋_GB2312" w:cs="仿宋_GB2312"/>
                <w:color w:val="000000" w:themeColor="text1"/>
                <w:kern w:val="24"/>
                <w:sz w:val="24"/>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kern w:val="24"/>
                <w:sz w:val="24"/>
                <w:highlight w:val="none"/>
                <w:u w:val="none"/>
                <w14:textFill>
                  <w14:solidFill>
                    <w14:schemeClr w14:val="tx1"/>
                  </w14:solidFill>
                </w14:textFill>
              </w:rPr>
              <w:t>月</w:t>
            </w:r>
            <w:r>
              <w:rPr>
                <w:rFonts w:hint="eastAsia" w:ascii="仿宋_GB2312" w:hAnsi="仿宋_GB2312" w:eastAsia="仿宋_GB2312" w:cs="仿宋_GB2312"/>
                <w:color w:val="000000" w:themeColor="text1"/>
                <w:kern w:val="24"/>
                <w:sz w:val="24"/>
                <w:highlight w:val="none"/>
                <w:u w:val="none"/>
                <w:lang w:val="en-US" w:eastAsia="zh-CN"/>
                <w14:textFill>
                  <w14:solidFill>
                    <w14:schemeClr w14:val="tx1"/>
                  </w14:solidFill>
                </w14:textFill>
              </w:rPr>
              <w:t>14</w:t>
            </w:r>
            <w:r>
              <w:rPr>
                <w:rFonts w:hint="eastAsia" w:ascii="仿宋_GB2312" w:hAnsi="仿宋_GB2312" w:eastAsia="仿宋_GB2312" w:cs="仿宋_GB2312"/>
                <w:color w:val="000000" w:themeColor="text1"/>
                <w:kern w:val="24"/>
                <w:sz w:val="24"/>
                <w:highlight w:val="none"/>
                <w:u w:val="none"/>
                <w14:textFill>
                  <w14:solidFill>
                    <w14:schemeClr w14:val="tx1"/>
                  </w14:solidFill>
                </w14:textFill>
              </w:rPr>
              <w:t>日</w:t>
            </w:r>
            <w:r>
              <w:rPr>
                <w:rFonts w:hint="eastAsia" w:ascii="仿宋_GB2312" w:hAnsi="仿宋_GB2312" w:eastAsia="仿宋_GB2312" w:cs="仿宋_GB2312"/>
                <w:color w:val="000000" w:themeColor="text1"/>
                <w:kern w:val="0"/>
                <w:sz w:val="24"/>
                <w:highlight w:val="none"/>
                <w:u w:val="none"/>
                <w:lang w:val="en-US" w:eastAsia="zh-CN"/>
                <w14:textFill>
                  <w14:solidFill>
                    <w14:schemeClr w14:val="tx1"/>
                  </w14:solidFill>
                </w14:textFill>
              </w:rPr>
              <w:t>09</w:t>
            </w:r>
            <w:r>
              <w:rPr>
                <w:rFonts w:hint="eastAsia" w:ascii="仿宋_GB2312" w:hAnsi="仿宋_GB2312" w:eastAsia="仿宋_GB2312" w:cs="仿宋_GB2312"/>
                <w:color w:val="000000" w:themeColor="text1"/>
                <w:kern w:val="0"/>
                <w:sz w:val="24"/>
                <w:highlight w:val="none"/>
                <w:u w:val="none"/>
                <w:lang w:eastAsia="zh-CN"/>
                <w14:textFill>
                  <w14:solidFill>
                    <w14:schemeClr w14:val="tx1"/>
                  </w14:solidFill>
                </w14:textFill>
              </w:rPr>
              <w:t>时</w:t>
            </w:r>
            <w:r>
              <w:rPr>
                <w:rFonts w:hint="eastAsia" w:ascii="仿宋_GB2312" w:hAnsi="仿宋_GB2312" w:eastAsia="仿宋_GB2312" w:cs="仿宋_GB2312"/>
                <w:color w:val="000000" w:themeColor="text1"/>
                <w:kern w:val="0"/>
                <w:sz w:val="24"/>
                <w:highlight w:val="none"/>
                <w:u w:val="none"/>
                <w:lang w:val="en-US" w:eastAsia="zh-CN"/>
                <w14:textFill>
                  <w14:solidFill>
                    <w14:schemeClr w14:val="tx1"/>
                  </w14:solidFill>
                </w14:textFill>
              </w:rPr>
              <w:t>00</w:t>
            </w:r>
            <w:r>
              <w:rPr>
                <w:rFonts w:hint="eastAsia" w:ascii="仿宋_GB2312" w:hAnsi="仿宋_GB2312" w:eastAsia="仿宋_GB2312" w:cs="仿宋_GB2312"/>
                <w:color w:val="000000" w:themeColor="text1"/>
                <w:kern w:val="0"/>
                <w:sz w:val="24"/>
                <w:highlight w:val="none"/>
                <w:u w:val="none"/>
                <w:lang w:eastAsia="zh-CN"/>
                <w14:textFill>
                  <w14:solidFill>
                    <w14:schemeClr w14:val="tx1"/>
                  </w14:solidFill>
                </w14:textFill>
              </w:rPr>
              <w:t>分</w:t>
            </w:r>
            <w:r>
              <w:rPr>
                <w:rFonts w:hint="eastAsia" w:ascii="仿宋_GB2312" w:hAnsi="仿宋_GB2312" w:eastAsia="仿宋_GB2312" w:cs="仿宋_GB2312"/>
                <w:color w:val="000000" w:themeColor="text1"/>
                <w:kern w:val="24"/>
                <w:sz w:val="24"/>
                <w:szCs w:val="21"/>
                <w:highlight w:val="none"/>
                <w14:textFill>
                  <w14:solidFill>
                    <w14:schemeClr w14:val="tx1"/>
                  </w14:solidFill>
                </w14:textFill>
              </w:rPr>
              <w:t>（北京时间）。</w:t>
            </w:r>
          </w:p>
          <w:p>
            <w:pPr>
              <w:tabs>
                <w:tab w:val="left" w:pos="588"/>
              </w:tabs>
              <w:spacing w:line="360" w:lineRule="auto"/>
              <w:rPr>
                <w:rFonts w:ascii="仿宋_GB2312" w:hAnsi="仿宋_GB2312" w:eastAsia="仿宋_GB2312" w:cs="仿宋_GB2312"/>
                <w:color w:val="000000" w:themeColor="text1"/>
                <w:kern w:val="24"/>
                <w:sz w:val="24"/>
                <w:szCs w:val="21"/>
                <w:highlight w:val="none"/>
                <w14:textFill>
                  <w14:solidFill>
                    <w14:schemeClr w14:val="tx1"/>
                  </w14:solidFill>
                </w14:textFill>
              </w:rPr>
            </w:pPr>
            <w:r>
              <w:rPr>
                <w:rFonts w:hint="eastAsia" w:ascii="仿宋_GB2312" w:hAnsi="仿宋_GB2312" w:eastAsia="仿宋_GB2312" w:cs="仿宋_GB2312"/>
                <w:color w:val="000000" w:themeColor="text1"/>
                <w:kern w:val="24"/>
                <w:sz w:val="24"/>
                <w:szCs w:val="21"/>
                <w:highlight w:val="none"/>
                <w14:textFill>
                  <w14:solidFill>
                    <w14:schemeClr w14:val="tx1"/>
                  </w14:solidFill>
                </w14:textFill>
              </w:rPr>
              <w:t>响应文件递交地点：</w:t>
            </w:r>
            <w:r>
              <w:rPr>
                <w:rFonts w:hint="eastAsia" w:ascii="仿宋_GB2312" w:hAnsi="仿宋_GB2312" w:eastAsia="仿宋_GB2312" w:cs="仿宋_GB2312"/>
                <w:color w:val="000000" w:themeColor="text1"/>
                <w:kern w:val="0"/>
                <w:sz w:val="24"/>
                <w:highlight w:val="none"/>
                <w14:textFill>
                  <w14:solidFill>
                    <w14:schemeClr w14:val="tx1"/>
                  </w14:solidFill>
                </w14:textFill>
              </w:rPr>
              <w:t>西安市高新二路山西证券大厦21层</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第</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会议室</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tabs>
                <w:tab w:val="left" w:pos="588"/>
              </w:tabs>
              <w:spacing w:line="360"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24"/>
                <w:sz w:val="24"/>
                <w:szCs w:val="21"/>
                <w:highlight w:val="none"/>
                <w14:textFill>
                  <w14:solidFill>
                    <w14:schemeClr w14:val="tx1"/>
                  </w14:solidFill>
                </w14:textFill>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36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21.1</w:t>
            </w:r>
          </w:p>
        </w:tc>
        <w:tc>
          <w:tcPr>
            <w:tcW w:w="7650" w:type="dxa"/>
            <w:vAlign w:val="center"/>
          </w:tcPr>
          <w:p>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磋商小组由</w:t>
            </w:r>
            <w:r>
              <w:rPr>
                <w:rFonts w:hint="eastAsia" w:ascii="仿宋_GB2312" w:hAnsi="仿宋_GB2312" w:eastAsia="仿宋_GB2312" w:cs="仿宋_GB2312"/>
                <w:b/>
                <w:bCs/>
                <w:color w:val="000000" w:themeColor="text1"/>
                <w:sz w:val="24"/>
                <w:highlight w:val="none"/>
                <w:u w:val="single"/>
                <w14:textFill>
                  <w14:solidFill>
                    <w14:schemeClr w14:val="tx1"/>
                  </w14:solidFill>
                </w14:textFill>
              </w:rPr>
              <w:t xml:space="preserve"> 3 </w:t>
            </w:r>
            <w:r>
              <w:rPr>
                <w:rFonts w:hint="eastAsia" w:ascii="仿宋_GB2312" w:hAnsi="仿宋_GB2312" w:eastAsia="仿宋_GB2312" w:cs="仿宋_GB2312"/>
                <w:color w:val="000000" w:themeColor="text1"/>
                <w:sz w:val="24"/>
                <w:highlight w:val="none"/>
                <w14:textFill>
                  <w14:solidFill>
                    <w14:schemeClr w14:val="tx1"/>
                  </w14:solidFill>
                </w14:textFill>
              </w:rPr>
              <w:t>人组成，其中评审专家</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highlight w:val="none"/>
                <w14:textFill>
                  <w14:solidFill>
                    <w14:schemeClr w14:val="tx1"/>
                  </w14:solidFill>
                </w14:textFill>
              </w:rPr>
              <w:t>人，采购人代表</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highlight w:val="none"/>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spacing w:line="360" w:lineRule="auto"/>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28.1</w:t>
            </w:r>
          </w:p>
        </w:tc>
        <w:tc>
          <w:tcPr>
            <w:tcW w:w="7650" w:type="dxa"/>
            <w:vAlign w:val="center"/>
          </w:tcPr>
          <w:p>
            <w:pPr>
              <w:spacing w:line="360" w:lineRule="auto"/>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本项目要求履约保证金，金额为成交合同金额的</w:t>
            </w:r>
            <w:r>
              <w:rPr>
                <w:rFonts w:hint="eastAsia" w:eastAsia="仿宋_GB2312"/>
                <w:color w:val="000000" w:themeColor="text1"/>
                <w:sz w:val="24"/>
                <w:u w:val="single"/>
                <w14:textFill>
                  <w14:solidFill>
                    <w14:schemeClr w14:val="tx1"/>
                  </w14:solidFill>
                </w14:textFill>
              </w:rPr>
              <w:t xml:space="preserve">/% </w:t>
            </w:r>
            <w:r>
              <w:rPr>
                <w:rFonts w:eastAsia="仿宋_GB2312"/>
                <w:b/>
                <w:color w:val="000000" w:themeColor="text1"/>
                <w:sz w:val="24"/>
                <w:u w:val="single"/>
                <w14:textFill>
                  <w14:solidFill>
                    <w14:schemeClr w14:val="tx1"/>
                  </w14:solidFill>
                </w14:textFill>
              </w:rPr>
              <w:t xml:space="preserve"> </w:t>
            </w:r>
          </w:p>
          <w:p>
            <w:pPr>
              <w:pStyle w:val="2"/>
              <w:spacing w:line="360" w:lineRule="auto"/>
              <w:rPr>
                <w:rFonts w:ascii="Times New Roman" w:hAnsi="Times New Roman" w:eastAsia="仿宋_GB2312"/>
                <w:color w:val="000000" w:themeColor="text1"/>
                <w14:textFill>
                  <w14:solidFill>
                    <w14:schemeClr w14:val="tx1"/>
                  </w14:solidFill>
                </w14:textFill>
              </w:rPr>
            </w:pPr>
          </w:p>
          <w:p>
            <w:pPr>
              <w:spacing w:line="360" w:lineRule="auto"/>
              <w:jc w:val="left"/>
              <w:rPr>
                <w:rFonts w:ascii="仿宋_GB2312" w:hAnsi="仿宋_GB2312" w:eastAsia="仿宋_GB2312" w:cs="仿宋_GB2312"/>
                <w:color w:val="000000" w:themeColor="text1"/>
                <w:highlight w:val="none"/>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本项目不要求履约保证金。</w:t>
            </w:r>
          </w:p>
        </w:tc>
      </w:tr>
    </w:tbl>
    <w:p>
      <w:pPr>
        <w:outlineLvl w:val="9"/>
        <w:rPr>
          <w:color w:val="000000" w:themeColor="text1"/>
          <w:sz w:val="32"/>
          <w:highlight w:val="none"/>
          <w14:textFill>
            <w14:solidFill>
              <w14:schemeClr w14:val="tx1"/>
            </w14:solidFill>
          </w14:textFill>
        </w:rPr>
      </w:pPr>
      <w:bookmarkStart w:id="70" w:name="_Toc68590968"/>
      <w:bookmarkStart w:id="71" w:name="_Toc230013633"/>
      <w:bookmarkStart w:id="72" w:name="_Toc232395213"/>
      <w:bookmarkStart w:id="73" w:name="_Toc230583542"/>
      <w:bookmarkStart w:id="74" w:name="_Toc176882543"/>
      <w:bookmarkStart w:id="75" w:name="_Toc230099798"/>
      <w:bookmarkStart w:id="76" w:name="_Toc249515279"/>
      <w:bookmarkStart w:id="77" w:name="_Toc249525160"/>
      <w:bookmarkStart w:id="78" w:name="_Toc184043013"/>
      <w:bookmarkStart w:id="79" w:name="_Toc177817335"/>
      <w:bookmarkStart w:id="80" w:name="_Toc177189236"/>
      <w:bookmarkStart w:id="81" w:name="_Toc53722841"/>
      <w:bookmarkStart w:id="82" w:name="_Toc256342144"/>
      <w:bookmarkStart w:id="83" w:name="_Toc232176273"/>
      <w:bookmarkStart w:id="84" w:name="_Toc249515391"/>
      <w:bookmarkStart w:id="85" w:name="_Toc70687140"/>
      <w:bookmarkStart w:id="86" w:name="_Toc177995474"/>
      <w:r>
        <w:rPr>
          <w:color w:val="000000" w:themeColor="text1"/>
          <w:highlight w:val="none"/>
          <w14:textFill>
            <w14:solidFill>
              <w14:schemeClr w14:val="tx1"/>
            </w14:solidFill>
          </w14:textFill>
        </w:rPr>
        <w:br w:type="page"/>
      </w:r>
    </w:p>
    <w:p>
      <w:pPr>
        <w:pStyle w:val="78"/>
        <w:spacing w:before="24" w:after="24"/>
        <w:jc w:val="center"/>
        <w:outlineLvl w:val="1"/>
        <w:rPr>
          <w:rFonts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（二）供应商须知</w:t>
      </w:r>
      <w:bookmarkEnd w:id="70"/>
    </w:p>
    <w:p>
      <w:pPr>
        <w:pStyle w:val="78"/>
        <w:spacing w:before="24" w:after="24"/>
        <w:jc w:val="center"/>
        <w:outlineLvl w:val="2"/>
        <w:rPr>
          <w:rFonts w:ascii="仿宋_GB2312" w:hAnsi="仿宋_GB2312" w:eastAsia="仿宋_GB2312" w:cs="仿宋_GB2312"/>
          <w:color w:val="000000" w:themeColor="text1"/>
          <w:sz w:val="30"/>
          <w:szCs w:val="30"/>
          <w:highlight w:val="none"/>
          <w14:textFill>
            <w14:solidFill>
              <w14:schemeClr w14:val="tx1"/>
            </w14:solidFill>
          </w14:textFill>
        </w:rPr>
      </w:pPr>
      <w:bookmarkStart w:id="87" w:name="_Toc68590969"/>
      <w:r>
        <w:rPr>
          <w:rFonts w:hint="eastAsia" w:ascii="仿宋_GB2312" w:hAnsi="仿宋_GB2312" w:eastAsia="仿宋_GB2312" w:cs="仿宋_GB2312"/>
          <w:color w:val="000000" w:themeColor="text1"/>
          <w:sz w:val="30"/>
          <w:szCs w:val="30"/>
          <w:highlight w:val="none"/>
          <w14:textFill>
            <w14:solidFill>
              <w14:schemeClr w14:val="tx1"/>
            </w14:solidFill>
          </w14:textFill>
        </w:rPr>
        <w:t>一、总  则</w:t>
      </w:r>
      <w:bookmarkEnd w:id="60"/>
      <w:bookmarkEnd w:id="61"/>
      <w:bookmarkEnd w:id="62"/>
      <w:bookmarkEnd w:id="63"/>
      <w:bookmarkEnd w:id="64"/>
      <w:bookmarkEnd w:id="65"/>
      <w:bookmarkEnd w:id="66"/>
      <w:bookmarkEnd w:id="67"/>
      <w:bookmarkEnd w:id="68"/>
      <w:bookmarkEnd w:id="6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rPr>
          <w:rFonts w:ascii="仿宋_GB2312" w:hAnsi="仿宋_GB2312" w:eastAsia="仿宋_GB2312" w:cs="仿宋_GB2312"/>
          <w:color w:val="000000" w:themeColor="text1"/>
          <w:highlight w:val="none"/>
          <w14:textFill>
            <w14:solidFill>
              <w14:schemeClr w14:val="tx1"/>
            </w14:solidFill>
          </w14:textFill>
        </w:rPr>
      </w:pP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88" w:name="_Hlt14560612"/>
      <w:bookmarkEnd w:id="88"/>
      <w:bookmarkStart w:id="89" w:name="_Toc249515280"/>
      <w:bookmarkStart w:id="90" w:name="_Toc184043014"/>
      <w:bookmarkStart w:id="91" w:name="_Toc25504"/>
      <w:bookmarkStart w:id="92" w:name="_Toc249525161"/>
      <w:bookmarkStart w:id="93" w:name="_Toc249515392"/>
      <w:bookmarkStart w:id="94" w:name="_Toc230099802"/>
      <w:bookmarkStart w:id="95" w:name="_Toc230013637"/>
      <w:bookmarkStart w:id="96" w:name="_Toc184025279"/>
      <w:bookmarkStart w:id="97" w:name="_Toc184114070"/>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     项目说明</w:t>
      </w:r>
      <w:bookmarkEnd w:id="89"/>
      <w:bookmarkEnd w:id="90"/>
      <w:bookmarkEnd w:id="91"/>
      <w:bookmarkEnd w:id="92"/>
      <w:bookmarkEnd w:id="93"/>
    </w:p>
    <w:p>
      <w:pPr>
        <w:pStyle w:val="64"/>
        <w:widowControl w:val="0"/>
        <w:tabs>
          <w:tab w:val="left" w:pos="588"/>
        </w:tabs>
        <w:spacing w:before="0" w:beforeAutospacing="0" w:after="0" w:afterAutospacing="0"/>
        <w:textAlignment w:val="auto"/>
        <w:rPr>
          <w:rFonts w:hint="default" w:ascii="Times New Roman" w:hAnsi="Times New Roman" w:eastAsia="仿宋_GB2312" w:cs="Times New Roman"/>
          <w:i w:val="0"/>
          <w:iCs w:val="0"/>
          <w:color w:val="000000" w:themeColor="text1"/>
          <w:kern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Cs w:val="21"/>
          <w:highlight w:val="none"/>
          <w14:textFill>
            <w14:solidFill>
              <w14:schemeClr w14:val="tx1"/>
            </w14:solidFill>
          </w14:textFill>
        </w:rPr>
        <w:t>1.1    项目说明：</w:t>
      </w:r>
      <w:r>
        <w:rPr>
          <w:rFonts w:hint="default" w:ascii="Times New Roman" w:hAnsi="Times New Roman" w:eastAsia="仿宋_GB2312" w:cs="Times New Roman"/>
          <w:b/>
          <w:i w:val="0"/>
          <w:iCs w:val="0"/>
          <w:color w:val="000000" w:themeColor="text1"/>
          <w:kern w:val="24"/>
          <w:szCs w:val="21"/>
          <w:highlight w:val="none"/>
          <w14:textFill>
            <w14:solidFill>
              <w14:schemeClr w14:val="tx1"/>
            </w14:solidFill>
          </w14:textFill>
        </w:rPr>
        <w:t>见供应商须知前附表</w:t>
      </w:r>
      <w:r>
        <w:rPr>
          <w:rFonts w:hint="default" w:ascii="Times New Roman" w:hAnsi="Times New Roman" w:eastAsia="仿宋_GB2312" w:cs="Times New Roman"/>
          <w:i w:val="0"/>
          <w:iCs w:val="0"/>
          <w:color w:val="000000" w:themeColor="text1"/>
          <w:kern w:val="24"/>
          <w:szCs w:val="21"/>
          <w:highlight w:val="none"/>
          <w14:textFill>
            <w14:solidFill>
              <w14:schemeClr w14:val="tx1"/>
            </w14:solidFill>
          </w14:textFill>
        </w:rPr>
        <w:t>。</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98" w:name="_Toc249515281"/>
      <w:bookmarkStart w:id="99" w:name="_Toc184043015"/>
      <w:bookmarkStart w:id="100" w:name="_Toc31509"/>
      <w:bookmarkStart w:id="101" w:name="_Toc249515393"/>
      <w:bookmarkStart w:id="102" w:name="_Toc70687142"/>
      <w:bookmarkStart w:id="103" w:name="_Toc249525162"/>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2.     定义</w:t>
      </w:r>
      <w:bookmarkEnd w:id="98"/>
      <w:bookmarkEnd w:id="99"/>
      <w:bookmarkEnd w:id="100"/>
      <w:bookmarkEnd w:id="101"/>
      <w:bookmarkEnd w:id="102"/>
      <w:bookmarkEnd w:id="103"/>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2.1    采购人：</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见供应商须知前附表</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w:t>
      </w:r>
    </w:p>
    <w:p>
      <w:pPr>
        <w:pStyle w:val="2"/>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2.2    采购代理机构：</w:t>
      </w:r>
      <w:r>
        <w:rPr>
          <w:rFonts w:hint="default" w:ascii="Times New Roman" w:hAnsi="Times New Roman" w:eastAsia="仿宋_GB2312" w:cs="Times New Roman"/>
          <w:b/>
          <w:i w:val="0"/>
          <w:iCs w:val="0"/>
          <w:color w:val="000000" w:themeColor="text1"/>
          <w:kern w:val="24"/>
          <w:sz w:val="24"/>
          <w:szCs w:val="21"/>
          <w:highlight w:val="none"/>
          <w14:textFill>
            <w14:solidFill>
              <w14:schemeClr w14:val="tx1"/>
            </w14:solidFill>
          </w14:textFill>
        </w:rPr>
        <w:t>见供应商须知前附表</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w:t>
      </w:r>
    </w:p>
    <w:p>
      <w:pPr>
        <w:pStyle w:val="2"/>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2.3    供应商：指响应磋商文件要求、参加竞争性磋商采购的法人、其他组织或者自然人。本次政府采购项目邀请供应商方式见</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供应商须知前附表。</w:t>
      </w:r>
    </w:p>
    <w:p>
      <w:pPr>
        <w:pStyle w:val="2"/>
        <w:tabs>
          <w:tab w:val="left" w:pos="360"/>
        </w:tabs>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2.4    磋商小组：指依据《中华人民共和国政府采购法》和财政部《政府采购竞争性磋商采购方式管理暂行办法》有关规定组建，依法依规履行其职责和义务的机构。</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04" w:name="_Toc70687143"/>
      <w:bookmarkStart w:id="105" w:name="_Toc385992329"/>
      <w:bookmarkStart w:id="106" w:name="_Toc389620168"/>
      <w:bookmarkStart w:id="107" w:name="_Toc184043016"/>
      <w:bookmarkStart w:id="108" w:name="_Toc249515282"/>
      <w:bookmarkStart w:id="109" w:name="_Toc23705"/>
      <w:bookmarkStart w:id="110" w:name="_Toc249515394"/>
      <w:bookmarkStart w:id="111" w:name="_Toc249525163"/>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3.     合格的供应商</w:t>
      </w:r>
      <w:bookmarkEnd w:id="104"/>
      <w:bookmarkEnd w:id="105"/>
      <w:bookmarkEnd w:id="106"/>
      <w:bookmarkEnd w:id="107"/>
      <w:bookmarkEnd w:id="108"/>
      <w:bookmarkEnd w:id="109"/>
      <w:bookmarkEnd w:id="110"/>
      <w:bookmarkEnd w:id="111"/>
    </w:p>
    <w:p>
      <w:pPr>
        <w:tabs>
          <w:tab w:val="left" w:pos="588"/>
        </w:tabs>
        <w:spacing w:line="360" w:lineRule="auto"/>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3.1    供应商基本资质要求详见</w:t>
      </w:r>
      <w:r>
        <w:rPr>
          <w:rFonts w:hint="default" w:ascii="Times New Roman" w:hAnsi="Times New Roman" w:eastAsia="仿宋_GB2312" w:cs="Times New Roman"/>
          <w:b/>
          <w:i w:val="0"/>
          <w:iCs w:val="0"/>
          <w:color w:val="000000" w:themeColor="text1"/>
          <w:kern w:val="24"/>
          <w:sz w:val="24"/>
          <w:szCs w:val="21"/>
          <w:highlight w:val="none"/>
          <w14:textFill>
            <w14:solidFill>
              <w14:schemeClr w14:val="tx1"/>
            </w14:solidFill>
          </w14:textFill>
        </w:rPr>
        <w:t>供应商须知前附表</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w:t>
      </w:r>
    </w:p>
    <w:p>
      <w:pPr>
        <w:tabs>
          <w:tab w:val="left" w:pos="588"/>
        </w:tabs>
        <w:spacing w:line="360" w:lineRule="auto"/>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3.2    本项目将执行在政府采购活动中查询及使用信用记录的规定，具体要求为：</w:t>
      </w:r>
    </w:p>
    <w:p>
      <w:pPr>
        <w:tabs>
          <w:tab w:val="left" w:pos="588"/>
        </w:tabs>
        <w:spacing w:line="360" w:lineRule="auto"/>
        <w:ind w:left="840" w:leftChars="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3.2.1  供应商应当未被列入失信被执行人、</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税收违法黑名单</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、政府采购严重违法失信行为记录名单，否则不得参与政府采购活动。</w:t>
      </w:r>
    </w:p>
    <w:p>
      <w:pPr>
        <w:tabs>
          <w:tab w:val="left" w:pos="588"/>
        </w:tabs>
        <w:spacing w:line="360" w:lineRule="auto"/>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3.2.2  信用信息查询的</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 xml:space="preserve">时间：自采购文件发售之日起至资格审查结束之前。 </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 xml:space="preserve">3.2.3  查询渠道：“信用中国”网站（www.creditchina.gov.cn）和中国政府采购网（www.ccgp.gov.cn）； </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3.2.4  信用信息查询记录和证据留存具体方式：将经查询存在不良信用记录的潜在供应商的查询结果网页截图作为查询记录和证据，与其他采购文</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 xml:space="preserve">件一并保存； </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eastAsia="仿宋_GB2312" w:cs="Times New Roman"/>
          <w:i w:val="0"/>
          <w:iCs w:val="0"/>
          <w:color w:val="000000" w:themeColor="text1"/>
          <w:kern w:val="24"/>
          <w:sz w:val="24"/>
          <w:szCs w:val="21"/>
          <w:highlight w:val="none"/>
          <w:lang w:val="en-US" w:eastAsia="zh-CN"/>
          <w14:textFill>
            <w14:solidFill>
              <w14:schemeClr w14:val="tx1"/>
            </w14:solidFill>
          </w14:textFill>
        </w:rPr>
        <w:t>2</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eastAsia="仿宋_GB2312" w:cs="Times New Roman"/>
          <w:i w:val="0"/>
          <w:iCs w:val="0"/>
          <w:color w:val="000000" w:themeColor="text1"/>
          <w:kern w:val="24"/>
          <w:sz w:val="24"/>
          <w:szCs w:val="21"/>
          <w:highlight w:val="none"/>
          <w:lang w:val="en-US" w:eastAsia="zh-CN"/>
          <w14:textFill>
            <w14:solidFill>
              <w14:schemeClr w14:val="tx1"/>
            </w14:solidFill>
          </w14:textFill>
        </w:rPr>
        <w:t>3</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 xml:space="preserve">    供应商必须向采购人</w:t>
      </w:r>
      <w:r>
        <w:rPr>
          <w:rFonts w:hint="default"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或采购代理机构</w:t>
      </w:r>
      <w:r>
        <w:rPr>
          <w:rFonts w:hint="eastAsia" w:eastAsia="仿宋_GB2312" w:cs="Times New Roman"/>
          <w:i w:val="0"/>
          <w:iCs w:val="0"/>
          <w:color w:val="000000" w:themeColor="text1"/>
          <w:kern w:val="24"/>
          <w:sz w:val="24"/>
          <w:szCs w:val="21"/>
          <w:highlight w:val="none"/>
          <w:lang w:val="en-US" w:eastAsia="zh-CN"/>
          <w14:textFill>
            <w14:solidFill>
              <w14:schemeClr w14:val="tx1"/>
            </w14:solidFill>
          </w14:textFill>
        </w:rPr>
        <w:t>获取</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磋商文件，未向采购人</w:t>
      </w:r>
      <w:r>
        <w:rPr>
          <w:rFonts w:hint="default"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或采购代理机构</w:t>
      </w:r>
      <w:r>
        <w:rPr>
          <w:rFonts w:hint="eastAsia" w:eastAsia="仿宋_GB2312" w:cs="Times New Roman"/>
          <w:i w:val="0"/>
          <w:iCs w:val="0"/>
          <w:color w:val="000000" w:themeColor="text1"/>
          <w:kern w:val="24"/>
          <w:sz w:val="24"/>
          <w:szCs w:val="21"/>
          <w:highlight w:val="none"/>
          <w:lang w:val="en-US" w:eastAsia="zh-CN"/>
          <w14:textFill>
            <w14:solidFill>
              <w14:schemeClr w14:val="tx1"/>
            </w14:solidFill>
          </w14:textFill>
        </w:rPr>
        <w:t>获取</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磋商文件的潜在供应商均无资格参加本次采购。</w:t>
      </w:r>
    </w:p>
    <w:p>
      <w:pPr>
        <w:tabs>
          <w:tab w:val="left" w:pos="588"/>
        </w:tabs>
        <w:spacing w:line="360" w:lineRule="auto"/>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eastAsia="仿宋_GB2312" w:cs="Times New Roman"/>
          <w:i w:val="0"/>
          <w:iCs w:val="0"/>
          <w:color w:val="000000" w:themeColor="text1"/>
          <w:kern w:val="24"/>
          <w:sz w:val="24"/>
          <w:szCs w:val="21"/>
          <w:highlight w:val="none"/>
          <w:lang w:val="en-US" w:eastAsia="zh-CN"/>
          <w14:textFill>
            <w14:solidFill>
              <w14:schemeClr w14:val="tx1"/>
            </w14:solidFill>
          </w14:textFill>
        </w:rPr>
        <w:t>4</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 xml:space="preserve">    供应商应遵守《中华人民共和国政府采购法》</w:t>
      </w:r>
      <w:r>
        <w:rPr>
          <w:rFonts w:hint="eastAsia" w:eastAsia="仿宋_GB2312" w:cs="Times New Roman"/>
          <w:i w:val="0"/>
          <w:iCs w:val="0"/>
          <w:color w:val="000000" w:themeColor="text1"/>
          <w:kern w:val="24"/>
          <w:sz w:val="24"/>
          <w:szCs w:val="21"/>
          <w:highlight w:val="none"/>
          <w:lang w:eastAsia="zh-CN"/>
          <w14:textFill>
            <w14:solidFill>
              <w14:schemeClr w14:val="tx1"/>
            </w14:solidFill>
          </w14:textFill>
        </w:rPr>
        <w:t>及其他有关的</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中国法律和法规。</w:t>
      </w:r>
    </w:p>
    <w:p>
      <w:pPr>
        <w:pStyle w:val="2"/>
        <w:ind w:left="840" w:leftChars="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5</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 xml:space="preserve">    若前附表中写明允许采购进口产品，供应商应保证所投产品可履行合法报通关手续进入中国关境内。</w:t>
      </w:r>
    </w:p>
    <w:p>
      <w:pPr>
        <w:pStyle w:val="2"/>
        <w:ind w:left="838" w:leftChars="399" w:firstLine="0" w:firstLineChars="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若前附表中不允许采购进口产品，如供应商所投产品为进口产品，其响应文件将被认定为无效。</w:t>
      </w:r>
    </w:p>
    <w:p>
      <w:pPr>
        <w:pStyle w:val="2"/>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6</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 xml:space="preserve">    如须知前附表中允许联合体投标，对联合体规定如下：</w:t>
      </w:r>
    </w:p>
    <w:p>
      <w:pPr>
        <w:pStyle w:val="2"/>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6</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  两个及以上供应商可以组成一个投标联合体，以一个供应商的身份投标。</w:t>
      </w:r>
    </w:p>
    <w:p>
      <w:pPr>
        <w:pStyle w:val="2"/>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6</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.2  联合体各方均应符合本须知规定。</w:t>
      </w:r>
    </w:p>
    <w:p>
      <w:pPr>
        <w:pStyle w:val="2"/>
        <w:ind w:left="840" w:leftChars="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6</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  采购人根据采购项目对供应商的特殊要求，联合体中至少应当有一方符合相关规定。</w:t>
      </w:r>
    </w:p>
    <w:p>
      <w:pPr>
        <w:pStyle w:val="2"/>
        <w:ind w:left="840" w:leftChars="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6</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.4  联合体各方应签订共同磋商响应协议，明确约定联合体各方承担的工作和相应的责任，并将共同响应协议作为响应文件的内容提交。</w:t>
      </w:r>
    </w:p>
    <w:p>
      <w:pPr>
        <w:pStyle w:val="2"/>
        <w:ind w:left="840" w:leftChars="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6</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.5  大中型企业、其他自然人、法人或者其他组织与小型、微型企业组成联合体共同参加磋商，共同响应协议中应写明小型、微型企业的协议合同金额占到共同响应协议报价总金额的比例。</w:t>
      </w:r>
    </w:p>
    <w:p>
      <w:pPr>
        <w:pStyle w:val="2"/>
        <w:ind w:left="840" w:leftChars="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6</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.6  以联合体形式参加政府采购活动的，联合体各方不得再单独参加或者与其他供应商另外组成联合体参加本项目同一合同项下的磋商，否则相关响应文件将被认定为无效。</w:t>
      </w:r>
    </w:p>
    <w:p>
      <w:pPr>
        <w:pStyle w:val="2"/>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6</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.7  对联合体磋商的其他资格要求见须知前附表。</w:t>
      </w:r>
    </w:p>
    <w:p>
      <w:pPr>
        <w:pStyle w:val="2"/>
        <w:ind w:left="840" w:leftChars="0" w:hanging="840" w:hangingChars="350"/>
        <w:rPr>
          <w:rFonts w:hint="default"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3.</w:t>
      </w:r>
      <w:r>
        <w:rPr>
          <w:rFonts w:hint="eastAsia"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7</w:t>
      </w:r>
      <w:r>
        <w:rPr>
          <w:rFonts w:hint="default" w:ascii="Times New Roman" w:hAnsi="Times New Roman" w:eastAsia="仿宋_GB2312" w:cs="Times New Roman"/>
          <w:i w:val="0"/>
          <w:iCs w:val="0"/>
          <w:color w:val="000000" w:themeColor="text1"/>
          <w:kern w:val="24"/>
          <w:sz w:val="24"/>
          <w:szCs w:val="21"/>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若</w:t>
      </w:r>
      <w:r>
        <w:rPr>
          <w:rFonts w:hint="default" w:ascii="Times New Roman" w:hAnsi="Times New Roman" w:eastAsia="仿宋_GB2312" w:cs="Times New Roman"/>
          <w:i w:val="0"/>
          <w:iCs w:val="0"/>
          <w:color w:val="000000" w:themeColor="text1"/>
          <w:sz w:val="24"/>
          <w:highlight w:val="none"/>
          <w:u w:val="none"/>
          <w14:textFill>
            <w14:solidFill>
              <w14:schemeClr w14:val="tx1"/>
            </w14:solidFill>
          </w14:textFill>
        </w:rPr>
        <w:t>前附表</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中写明专门面向中小企业采购的，如</w:t>
      </w:r>
      <w:r>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t>供应商</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为非中小企业或所投产品为非中小企业产品，其</w:t>
      </w:r>
      <w:r>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t>响应文件</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将被认定为</w:t>
      </w:r>
      <w:r>
        <w:rPr>
          <w:rFonts w:hint="default" w:ascii="Times New Roman" w:hAnsi="Times New Roman" w:eastAsia="仿宋_GB2312" w:cs="Times New Roman"/>
          <w:b w:val="0"/>
          <w:bCs w:val="0"/>
          <w:i w:val="0"/>
          <w:iCs w:val="0"/>
          <w:color w:val="000000" w:themeColor="text1"/>
          <w:sz w:val="24"/>
          <w:highlight w:val="none"/>
          <w14:textFill>
            <w14:solidFill>
              <w14:schemeClr w14:val="tx1"/>
            </w14:solidFill>
          </w14:textFill>
        </w:rPr>
        <w:t>无效。</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12" w:name="_Toc184043017"/>
      <w:bookmarkStart w:id="113" w:name="_Toc249515283"/>
      <w:bookmarkStart w:id="114" w:name="_Toc385992330"/>
      <w:bookmarkStart w:id="115" w:name="_Toc70687144"/>
      <w:bookmarkStart w:id="116" w:name="_Toc249525164"/>
      <w:bookmarkStart w:id="117" w:name="_Toc26580"/>
      <w:bookmarkStart w:id="118" w:name="_Toc249515395"/>
      <w:bookmarkStart w:id="119" w:name="_Toc389620169"/>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4.     磋商费用</w:t>
      </w:r>
      <w:bookmarkEnd w:id="112"/>
      <w:bookmarkEnd w:id="113"/>
      <w:bookmarkEnd w:id="114"/>
      <w:bookmarkEnd w:id="115"/>
      <w:bookmarkEnd w:id="116"/>
      <w:bookmarkEnd w:id="117"/>
      <w:bookmarkEnd w:id="118"/>
      <w:bookmarkEnd w:id="119"/>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4.1    供应商应承担所有与编写和提交响应文件有关的费用，无论磋商过程和结果如何，采购人在任何情况下均无义务和责任承担这些费用。</w:t>
      </w:r>
    </w:p>
    <w:p>
      <w:pPr>
        <w:pStyle w:val="2"/>
        <w:rPr>
          <w:rFonts w:hint="default" w:ascii="Times New Roman" w:hAnsi="Times New Roman" w:eastAsia="仿宋_GB2312" w:cs="Times New Roman"/>
          <w:i w:val="0"/>
          <w:iCs w:val="0"/>
          <w:color w:val="000000" w:themeColor="text1"/>
          <w:highlight w:val="none"/>
          <w14:textFill>
            <w14:solidFill>
              <w14:schemeClr w14:val="tx1"/>
            </w14:solidFill>
          </w14:textFill>
        </w:rPr>
      </w:pPr>
    </w:p>
    <w:p>
      <w:pPr>
        <w:pStyle w:val="78"/>
        <w:spacing w:before="24" w:after="24"/>
        <w:ind w:left="3313"/>
        <w:outlineLvl w:val="2"/>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pPr>
      <w:bookmarkStart w:id="120" w:name="_Toc68590970"/>
      <w:r>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t>二、磋商文件说明</w:t>
      </w:r>
      <w:bookmarkEnd w:id="120"/>
    </w:p>
    <w:p>
      <w:pPr>
        <w:rPr>
          <w:rFonts w:hint="default" w:ascii="Times New Roman" w:hAnsi="Times New Roman" w:eastAsia="仿宋_GB2312" w:cs="Times New Roman"/>
          <w:i w:val="0"/>
          <w:iCs w:val="0"/>
          <w:color w:val="000000" w:themeColor="text1"/>
          <w:highlight w:val="none"/>
          <w14:textFill>
            <w14:solidFill>
              <w14:schemeClr w14:val="tx1"/>
            </w14:solidFill>
          </w14:textFill>
        </w:rPr>
      </w:pPr>
    </w:p>
    <w:p>
      <w:pPr>
        <w:pStyle w:val="6"/>
        <w:numPr>
          <w:ilvl w:val="0"/>
          <w:numId w:val="5"/>
        </w:numP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21" w:name="_Toc128"/>
      <w:bookmarkStart w:id="122" w:name="_Toc184043019"/>
      <w:bookmarkStart w:id="123" w:name="_Toc249515285"/>
      <w:bookmarkStart w:id="124" w:name="_Toc249525166"/>
      <w:bookmarkStart w:id="125" w:name="_Toc385992332"/>
      <w:bookmarkStart w:id="126" w:name="_Toc249515397"/>
      <w:bookmarkStart w:id="127" w:name="_Toc70687146"/>
      <w:bookmarkStart w:id="128" w:name="_Toc389620171"/>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 xml:space="preserve">    通知</w:t>
      </w:r>
      <w:bookmarkEnd w:id="121"/>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5.1    对与本项目有关的通知，采购人或采购代理机构将以书面（包括书面材料、信函、传真、电子邮件等，下同）的形式，送达所有与通知有关的已</w:t>
      </w:r>
      <w:r>
        <w:rPr>
          <w:rFonts w:hint="eastAsia" w:eastAsia="仿宋_GB2312" w:cs="Times New Roman"/>
          <w:i w:val="0"/>
          <w:iCs w:val="0"/>
          <w:color w:val="000000" w:themeColor="text1"/>
          <w:kern w:val="24"/>
          <w:sz w:val="24"/>
          <w:szCs w:val="21"/>
          <w:highlight w:val="none"/>
          <w:lang w:val="en-US" w:eastAsia="zh-CN"/>
          <w14:textFill>
            <w14:solidFill>
              <w14:schemeClr w14:val="tx1"/>
            </w14:solidFill>
          </w14:textFill>
        </w:rPr>
        <w:t>获取</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29" w:name="_Toc27223"/>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6.     磋商文件的构成</w:t>
      </w:r>
      <w:bookmarkEnd w:id="122"/>
      <w:bookmarkEnd w:id="123"/>
      <w:bookmarkEnd w:id="124"/>
      <w:bookmarkEnd w:id="125"/>
      <w:bookmarkEnd w:id="126"/>
      <w:bookmarkEnd w:id="127"/>
      <w:bookmarkEnd w:id="128"/>
      <w:bookmarkEnd w:id="129"/>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6.1    磋商文件用以阐明供应商所需提供的服务、工程或货物</w:t>
      </w:r>
      <w:r>
        <w:rPr>
          <w:rFonts w:hint="eastAsia" w:eastAsia="仿宋_GB2312" w:cs="Times New Roman"/>
          <w:i w:val="0"/>
          <w:iCs w:val="0"/>
          <w:color w:val="000000" w:themeColor="text1"/>
          <w:sz w:val="24"/>
          <w:highlight w:val="none"/>
          <w:lang w:eastAsia="zh-CN"/>
          <w14:textFill>
            <w14:solidFill>
              <w14:schemeClr w14:val="tx1"/>
            </w14:solidFill>
          </w14:textFill>
        </w:rPr>
        <w:t>以及其他</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类似的义务、采购响应程序和合同条款。磋商文件包括如下五章内容：</w:t>
      </w:r>
    </w:p>
    <w:p>
      <w:pPr>
        <w:pStyle w:val="2"/>
        <w:ind w:left="838" w:leftChars="399"/>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第一章</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磋商公告/（或磋商邀请）</w:t>
      </w:r>
    </w:p>
    <w:p>
      <w:pPr>
        <w:pStyle w:val="2"/>
        <w:ind w:left="838" w:leftChars="399"/>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第二章</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供应商须知</w:t>
      </w:r>
    </w:p>
    <w:p>
      <w:pPr>
        <w:pStyle w:val="2"/>
        <w:ind w:left="838" w:leftChars="399"/>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第三章</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评审办法和标准</w:t>
      </w:r>
    </w:p>
    <w:p>
      <w:pPr>
        <w:pStyle w:val="2"/>
        <w:ind w:left="838" w:leftChars="399"/>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第四章</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合同草案条款</w:t>
      </w:r>
    </w:p>
    <w:p>
      <w:pPr>
        <w:pStyle w:val="2"/>
        <w:ind w:left="838" w:leftChars="399"/>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第五章</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采购内容及要求</w:t>
      </w:r>
    </w:p>
    <w:p>
      <w:pPr>
        <w:pStyle w:val="2"/>
        <w:ind w:left="838" w:leftChars="399"/>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第六章</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磋商响应文件格式</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30" w:name="_Toc70687147"/>
      <w:bookmarkStart w:id="131" w:name="_Toc249515398"/>
      <w:bookmarkStart w:id="132" w:name="_Toc385992333"/>
      <w:bookmarkStart w:id="133" w:name="_Toc249525167"/>
      <w:bookmarkStart w:id="134" w:name="_Toc389620172"/>
      <w:bookmarkStart w:id="135" w:name="_Toc184043020"/>
      <w:bookmarkStart w:id="136" w:name="_Toc249515286"/>
      <w:bookmarkStart w:id="137" w:name="_Toc10350"/>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7.     磋商文件的澄清</w:t>
      </w:r>
      <w:bookmarkEnd w:id="130"/>
      <w:bookmarkEnd w:id="131"/>
      <w:bookmarkEnd w:id="132"/>
      <w:bookmarkEnd w:id="133"/>
      <w:bookmarkEnd w:id="134"/>
      <w:bookmarkEnd w:id="135"/>
      <w:bookmarkEnd w:id="136"/>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和修改</w:t>
      </w:r>
      <w:bookmarkEnd w:id="137"/>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bookmarkStart w:id="138" w:name="_Toc389620173"/>
      <w:bookmarkStart w:id="139" w:name="_Toc385992334"/>
      <w:bookmarkStart w:id="140" w:name="_Toc70687148"/>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 xml:space="preserve">7.1    </w:t>
      </w:r>
      <w:bookmarkEnd w:id="138"/>
      <w:bookmarkEnd w:id="139"/>
      <w:bookmarkEnd w:id="140"/>
      <w:bookmarkStart w:id="141" w:name="_Toc496324582"/>
      <w:bookmarkStart w:id="142" w:name="_Toc389620174"/>
      <w:bookmarkStart w:id="143" w:name="_Toc70687149"/>
      <w:bookmarkStart w:id="144" w:name="_Toc500746969"/>
      <w:bookmarkStart w:id="145" w:name="_Toc492955418"/>
      <w:bookmarkStart w:id="146" w:name="_Toc53722843"/>
      <w:bookmarkStart w:id="147" w:name="_Toc500747192"/>
      <w:bookmarkStart w:id="148" w:name="_Toc499711046"/>
      <w:bookmarkStart w:id="149" w:name="_Toc500747065"/>
      <w:bookmarkStart w:id="150" w:name="_Toc503063425"/>
      <w:bookmarkStart w:id="151" w:name="_Toc499711887"/>
      <w:bookmarkStart w:id="152" w:name="_Toc385992335"/>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7.2    磋商文件的修改将以书面形式通知所有</w:t>
      </w:r>
      <w:r>
        <w:rPr>
          <w:rFonts w:hint="eastAsia" w:eastAsia="仿宋_GB2312" w:cs="Times New Roman"/>
          <w:i w:val="0"/>
          <w:iCs w:val="0"/>
          <w:color w:val="000000" w:themeColor="text1"/>
          <w:sz w:val="24"/>
          <w:highlight w:val="none"/>
          <w:lang w:val="en-US" w:eastAsia="zh-CN"/>
          <w14:textFill>
            <w14:solidFill>
              <w14:schemeClr w14:val="tx1"/>
            </w14:solidFill>
          </w14:textFill>
        </w:rPr>
        <w:t>获取</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磋商文件的供应商，并对其具有约束力。供应商在收到上述通知后，应立即向采购人回函确认。</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7.3    澄清或修改的内容可能影响响应文件编制的，采购人或采购代理机构可适当延长首次响应文件递交截止时间，并以书面形式通知所有</w:t>
      </w:r>
      <w:r>
        <w:rPr>
          <w:rFonts w:hint="eastAsia" w:eastAsia="仿宋_GB2312" w:cs="Times New Roman"/>
          <w:i w:val="0"/>
          <w:iCs w:val="0"/>
          <w:color w:val="000000" w:themeColor="text1"/>
          <w:sz w:val="24"/>
          <w:highlight w:val="none"/>
          <w:lang w:val="en-US" w:eastAsia="zh-CN"/>
          <w14:textFill>
            <w14:solidFill>
              <w14:schemeClr w14:val="tx1"/>
            </w14:solidFill>
          </w14:textFill>
        </w:rPr>
        <w:t>获取</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磋商文件的供应商。</w:t>
      </w:r>
    </w:p>
    <w:p>
      <w:pPr>
        <w:pStyle w:val="2"/>
        <w:rPr>
          <w:rFonts w:hint="default"/>
          <w:color w:val="000000" w:themeColor="text1"/>
          <w:highlight w:val="none"/>
          <w14:textFill>
            <w14:solidFill>
              <w14:schemeClr w14:val="tx1"/>
            </w14:solidFill>
          </w14:textFill>
        </w:rPr>
      </w:pPr>
    </w:p>
    <w:p>
      <w:pPr>
        <w:pStyle w:val="78"/>
        <w:spacing w:before="24" w:after="24"/>
        <w:ind w:left="3313"/>
        <w:outlineLvl w:val="2"/>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pPr>
      <w:bookmarkStart w:id="153" w:name="_Toc232395215"/>
      <w:bookmarkStart w:id="154" w:name="_Toc176882545"/>
      <w:bookmarkStart w:id="155" w:name="_Toc177995476"/>
      <w:bookmarkStart w:id="156" w:name="_Toc230583544"/>
      <w:bookmarkStart w:id="157" w:name="_Toc177817337"/>
      <w:bookmarkStart w:id="158" w:name="_Toc249515288"/>
      <w:bookmarkStart w:id="159" w:name="_Toc68590971"/>
      <w:bookmarkStart w:id="160" w:name="_Toc230013635"/>
      <w:bookmarkStart w:id="161" w:name="_Toc177189238"/>
      <w:bookmarkStart w:id="162" w:name="_Toc230099800"/>
      <w:bookmarkStart w:id="163" w:name="_Toc249525169"/>
      <w:bookmarkStart w:id="164" w:name="_Toc184043022"/>
      <w:bookmarkStart w:id="165" w:name="_Toc256342146"/>
      <w:bookmarkStart w:id="166" w:name="_Toc249515400"/>
      <w:bookmarkStart w:id="167" w:name="_Toc232176275"/>
      <w:r>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t>三、响应文件的编写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68" w:name="_Toc70687150"/>
      <w:bookmarkStart w:id="169" w:name="_Toc184043023"/>
      <w:bookmarkStart w:id="170" w:name="_Toc30150"/>
      <w:bookmarkStart w:id="171" w:name="_Toc249525170"/>
      <w:bookmarkStart w:id="172" w:name="_Toc249515289"/>
      <w:bookmarkStart w:id="173" w:name="_Toc249515401"/>
      <w:bookmarkStart w:id="174" w:name="_Toc385992337"/>
      <w:bookmarkStart w:id="175" w:name="_Toc389620176"/>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8.     响应文件语言</w:t>
      </w:r>
      <w:bookmarkEnd w:id="168"/>
      <w:bookmarkEnd w:id="169"/>
      <w:bookmarkEnd w:id="170"/>
      <w:bookmarkEnd w:id="171"/>
      <w:bookmarkEnd w:id="172"/>
      <w:bookmarkEnd w:id="173"/>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8.1    响应文件及与响应相关的所有文件均应以中文书写。</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76" w:name="_Toc70687151"/>
      <w:bookmarkStart w:id="177" w:name="_Toc249525171"/>
      <w:bookmarkStart w:id="178" w:name="_Toc249515290"/>
      <w:bookmarkStart w:id="179" w:name="_Toc18327"/>
      <w:bookmarkStart w:id="180" w:name="_Toc249515402"/>
      <w:bookmarkStart w:id="181" w:name="_Toc184043024"/>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9.     计量单位</w:t>
      </w:r>
      <w:bookmarkEnd w:id="174"/>
      <w:bookmarkEnd w:id="175"/>
      <w:bookmarkEnd w:id="176"/>
      <w:bookmarkEnd w:id="177"/>
      <w:bookmarkEnd w:id="178"/>
      <w:bookmarkEnd w:id="179"/>
      <w:bookmarkEnd w:id="180"/>
      <w:bookmarkEnd w:id="181"/>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9.1    除在磋商文件的技术规格中另有规定外，计量单位应使用中华人民共和国法定计量单位。</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82" w:name="_Toc385992338"/>
      <w:bookmarkStart w:id="183" w:name="_Toc70687152"/>
      <w:bookmarkStart w:id="184" w:name="_Toc249525172"/>
      <w:bookmarkStart w:id="185" w:name="_Toc249515291"/>
      <w:bookmarkStart w:id="186" w:name="_Toc389620177"/>
      <w:bookmarkStart w:id="187" w:name="_Toc184043025"/>
      <w:bookmarkStart w:id="188" w:name="_Toc29318"/>
      <w:bookmarkStart w:id="189" w:name="_Toc249515403"/>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10.    响应文件的组成</w:t>
      </w:r>
      <w:bookmarkEnd w:id="182"/>
      <w:bookmarkEnd w:id="183"/>
      <w:bookmarkEnd w:id="184"/>
      <w:bookmarkEnd w:id="185"/>
      <w:bookmarkEnd w:id="186"/>
      <w:bookmarkEnd w:id="187"/>
      <w:bookmarkEnd w:id="188"/>
      <w:bookmarkEnd w:id="189"/>
    </w:p>
    <w:p>
      <w:pPr>
        <w:tabs>
          <w:tab w:val="left" w:pos="588"/>
        </w:tabs>
        <w:spacing w:line="360" w:lineRule="auto"/>
        <w:ind w:left="840" w:leftChars="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10.1   供应商编写的响应文件</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由《资格证明文件》、《商务及技术文件》两部分</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10.2   供应商提供的以上材料必须真实有效，任何一项的虚假将导致其响应被拒绝。</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90" w:name="_Toc249515404"/>
      <w:bookmarkStart w:id="191" w:name="_Toc184043026"/>
      <w:bookmarkStart w:id="192" w:name="_Toc26312"/>
      <w:bookmarkStart w:id="193" w:name="_Toc249515292"/>
      <w:bookmarkStart w:id="194" w:name="_Toc385992339"/>
      <w:bookmarkStart w:id="195" w:name="_Toc70687153"/>
      <w:bookmarkStart w:id="196" w:name="_Toc249525173"/>
      <w:bookmarkStart w:id="197" w:name="_Toc389620178"/>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11.    响应文件格式</w:t>
      </w:r>
      <w:bookmarkEnd w:id="190"/>
      <w:bookmarkEnd w:id="191"/>
      <w:bookmarkEnd w:id="192"/>
      <w:bookmarkEnd w:id="193"/>
      <w:bookmarkEnd w:id="194"/>
      <w:bookmarkEnd w:id="195"/>
      <w:bookmarkEnd w:id="196"/>
      <w:bookmarkEnd w:id="197"/>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11.1   对于磋商文件第六章中已经提供了格式的响应文件内容，供应商必须按提供的响应文件格式进行填写和编制，没有提供格式的可自行设计。</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98" w:name="_Toc26688"/>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12.    响应报价</w:t>
      </w:r>
      <w:bookmarkEnd w:id="198"/>
    </w:p>
    <w:p>
      <w:pPr>
        <w:tabs>
          <w:tab w:val="left" w:pos="0"/>
          <w:tab w:val="left" w:pos="540"/>
          <w:tab w:val="left" w:pos="720"/>
        </w:tabs>
        <w:spacing w:line="360" w:lineRule="auto"/>
        <w:ind w:left="840" w:hanging="840" w:hangingChars="350"/>
        <w:rPr>
          <w:rFonts w:hint="default" w:ascii="Times New Roman" w:hAnsi="Times New Roman" w:eastAsia="仿宋_GB2312" w:cs="Times New Roman"/>
          <w:i w:val="0"/>
          <w:iCs w:val="0"/>
          <w:color w:val="000000" w:themeColor="text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default" w:ascii="Times New Roman" w:hAnsi="Times New Roman" w:eastAsia="仿宋_GB2312" w:cs="Times New Roman"/>
          <w:b/>
          <w:i w:val="0"/>
          <w:iCs w:val="0"/>
          <w:color w:val="000000" w:themeColor="text1"/>
          <w:kern w:val="24"/>
          <w:sz w:val="24"/>
          <w:szCs w:val="21"/>
          <w:highlight w:val="none"/>
          <w14:textFill>
            <w14:solidFill>
              <w14:schemeClr w14:val="tx1"/>
            </w14:solidFill>
          </w14:textFill>
        </w:rPr>
        <w:t>供应商须知前附表。</w:t>
      </w:r>
    </w:p>
    <w:p>
      <w:pPr>
        <w:tabs>
          <w:tab w:val="left" w:pos="540"/>
          <w:tab w:val="left" w:pos="840"/>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12.2   供应商应在响应分项报价表中详细列出所报货物和</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服务</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12.5   供应商每次对每种</w:t>
      </w:r>
      <w:r>
        <w:rPr>
          <w:rFonts w:hint="default" w:ascii="Times New Roman" w:hAnsi="Times New Roman" w:eastAsia="仿宋_GB2312" w:cs="Times New Roman"/>
          <w:i w:val="0"/>
          <w:iCs w:val="0"/>
          <w:color w:val="000000" w:themeColor="text1"/>
          <w:kern w:val="24"/>
          <w:sz w:val="24"/>
          <w:szCs w:val="21"/>
          <w:highlight w:val="none"/>
          <w:u w:val="single"/>
          <w14:textFill>
            <w14:solidFill>
              <w14:schemeClr w14:val="tx1"/>
            </w14:solidFill>
          </w14:textFill>
        </w:rPr>
        <w:t xml:space="preserve"> 服务</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只允许有一个报价，采购人不接受有任何选择的报价。</w:t>
      </w:r>
    </w:p>
    <w:p>
      <w:pPr>
        <w:tabs>
          <w:tab w:val="left" w:pos="180"/>
          <w:tab w:val="left" w:pos="540"/>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12.6   供应商根据本须知12.2条规定将响应报价分成几部分并按</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磋商文件第六章提供的格式填写“响应分项报价表”，只是为了方便采购人对响应文件进行比较，并不限制采购人</w:t>
      </w:r>
      <w:r>
        <w:rPr>
          <w:rFonts w:hint="eastAsia" w:eastAsia="仿宋_GB2312" w:cs="Times New Roman"/>
          <w:i w:val="0"/>
          <w:iCs w:val="0"/>
          <w:color w:val="000000" w:themeColor="text1"/>
          <w:kern w:val="24"/>
          <w:sz w:val="24"/>
          <w:szCs w:val="21"/>
          <w:highlight w:val="none"/>
          <w:lang w:eastAsia="zh-CN"/>
          <w14:textFill>
            <w14:solidFill>
              <w14:schemeClr w14:val="tx1"/>
            </w14:solidFill>
          </w14:textFill>
        </w:rPr>
        <w:t>以其他方式</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签订合同的权力。</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199" w:name="_Toc385992341"/>
      <w:bookmarkStart w:id="200" w:name="_Toc184043028"/>
      <w:bookmarkStart w:id="201" w:name="_Toc20687"/>
      <w:bookmarkStart w:id="202" w:name="_Toc389620180"/>
      <w:bookmarkStart w:id="203" w:name="_Toc70687155"/>
      <w:bookmarkStart w:id="204" w:name="_Toc249515406"/>
      <w:bookmarkStart w:id="205" w:name="_Toc249525175"/>
      <w:bookmarkStart w:id="206" w:name="_Toc249515294"/>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13.    报价货币</w:t>
      </w:r>
      <w:bookmarkEnd w:id="199"/>
      <w:bookmarkEnd w:id="200"/>
      <w:bookmarkEnd w:id="201"/>
      <w:bookmarkEnd w:id="202"/>
      <w:bookmarkEnd w:id="203"/>
      <w:bookmarkEnd w:id="204"/>
      <w:bookmarkEnd w:id="205"/>
      <w:bookmarkEnd w:id="206"/>
    </w:p>
    <w:p>
      <w:pPr>
        <w:tabs>
          <w:tab w:val="left" w:pos="180"/>
          <w:tab w:val="left" w:pos="540"/>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12.3   磋商响应函、响应报价一览表、响应分项报价表、最后报价表等所有报价一律用人民币填报。采购人不接受任何非人民币币种的报价。</w:t>
      </w:r>
      <w:bookmarkStart w:id="207" w:name="_Toc389620181"/>
      <w:bookmarkStart w:id="208" w:name="_Toc385992342"/>
    </w:p>
    <w:bookmarkEnd w:id="207"/>
    <w:bookmarkEnd w:id="208"/>
    <w:p>
      <w:pPr>
        <w:pStyle w:val="6"/>
        <w:rPr>
          <w:rFonts w:hint="default" w:ascii="Times New Roman" w:hAnsi="Times New Roman" w:eastAsia="仿宋_GB2312" w:cs="Times New Roman"/>
          <w:b/>
          <w:i w:val="0"/>
          <w:iCs w:val="0"/>
          <w:color w:val="000000" w:themeColor="text1"/>
          <w:kern w:val="24"/>
          <w:sz w:val="24"/>
          <w:szCs w:val="21"/>
          <w:highlight w:val="none"/>
          <w14:textFill>
            <w14:solidFill>
              <w14:schemeClr w14:val="tx1"/>
            </w14:solidFill>
          </w14:textFill>
        </w:rPr>
      </w:pPr>
      <w:bookmarkStart w:id="209" w:name="止观"/>
      <w:bookmarkEnd w:id="209"/>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14.    磋商保证金</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t>14.1   本项目须在磋商前向采购代理机构提供</w:t>
      </w:r>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供应商须知前附表</w:t>
      </w:r>
      <w:r>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t>规定金额的保证金，并作为其响应文件的一部分。</w:t>
      </w:r>
    </w:p>
    <w:p>
      <w:pPr>
        <w:tabs>
          <w:tab w:val="left" w:pos="588"/>
        </w:tabs>
        <w:spacing w:line="360" w:lineRule="auto"/>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14.2   保证金的货币为人民币，并采用下列任何一种非现金形式向采购代理机构递交：</w:t>
      </w:r>
    </w:p>
    <w:p>
      <w:pPr>
        <w:numPr>
          <w:ilvl w:val="0"/>
          <w:numId w:val="6"/>
        </w:numPr>
        <w:tabs>
          <w:tab w:val="left" w:pos="588"/>
        </w:tabs>
        <w:spacing w:line="360" w:lineRule="auto"/>
        <w:ind w:hanging="5"/>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电汇；</w:t>
      </w:r>
    </w:p>
    <w:p>
      <w:pPr>
        <w:numPr>
          <w:ilvl w:val="0"/>
          <w:numId w:val="6"/>
        </w:numPr>
        <w:tabs>
          <w:tab w:val="left" w:pos="588"/>
        </w:tabs>
        <w:spacing w:line="360" w:lineRule="auto"/>
        <w:ind w:hanging="5"/>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银行转账；</w:t>
      </w:r>
    </w:p>
    <w:p>
      <w:pPr>
        <w:numPr>
          <w:ilvl w:val="0"/>
          <w:numId w:val="6"/>
        </w:numPr>
        <w:tabs>
          <w:tab w:val="left" w:pos="588"/>
        </w:tabs>
        <w:spacing w:line="360" w:lineRule="auto"/>
        <w:ind w:hanging="5"/>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支票、汇票、本票、金融机构或担保机构出具的保函等非现金形式。</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14.4   凡没有根据本须知第14.1条的规定随附保证金的响应文件，将被视为非响应性予以拒绝。</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14.5   未成交供应商的保证金, 采购代理机构将在成交通知书发出后5个工作日内退还。</w:t>
      </w:r>
    </w:p>
    <w:p>
      <w:pPr>
        <w:tabs>
          <w:tab w:val="left" w:pos="588"/>
        </w:tabs>
        <w:spacing w:line="360" w:lineRule="auto"/>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14.6   成交供应商的保证金在按本须知第26条规定签订合同后5个工作日退还。</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14.7   成交供应商有下列情形之一的，采购代理机构不予退还其交纳的保证金，并在项目财政主管部门备案；情节严重的，由财政部门将其列入</w:t>
      </w:r>
      <w:r>
        <w:rPr>
          <w:rFonts w:hint="eastAsia" w:eastAsia="仿宋_GB2312" w:cs="Times New Roman"/>
          <w:i w:val="0"/>
          <w:iCs w:val="0"/>
          <w:color w:val="000000" w:themeColor="text1"/>
          <w:kern w:val="24"/>
          <w:sz w:val="24"/>
          <w:szCs w:val="21"/>
          <w:highlight w:val="none"/>
          <w:lang w:eastAsia="zh-CN"/>
          <w14:textFill>
            <w14:solidFill>
              <w14:schemeClr w14:val="tx1"/>
            </w14:solidFill>
          </w14:textFill>
        </w:rPr>
        <w:t>不良行为记录</w:t>
      </w: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名单予以通报，在一至三年内禁止参加政府采购活动：</w:t>
      </w:r>
    </w:p>
    <w:p>
      <w:pPr>
        <w:numPr>
          <w:ilvl w:val="0"/>
          <w:numId w:val="7"/>
        </w:numPr>
        <w:tabs>
          <w:tab w:val="left" w:pos="588"/>
        </w:tabs>
        <w:spacing w:line="360" w:lineRule="auto"/>
        <w:ind w:hanging="5"/>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供应商在提交响应文件截止时间后撤销响应文件的；</w:t>
      </w:r>
    </w:p>
    <w:p>
      <w:pPr>
        <w:numPr>
          <w:ilvl w:val="0"/>
          <w:numId w:val="7"/>
        </w:numPr>
        <w:tabs>
          <w:tab w:val="left" w:pos="588"/>
        </w:tabs>
        <w:spacing w:line="360" w:lineRule="auto"/>
        <w:ind w:hanging="5"/>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供应商在响应文件中提供虚假材料的；</w:t>
      </w:r>
    </w:p>
    <w:p>
      <w:pPr>
        <w:numPr>
          <w:ilvl w:val="0"/>
          <w:numId w:val="7"/>
        </w:numPr>
        <w:tabs>
          <w:tab w:val="left" w:pos="588"/>
        </w:tabs>
        <w:spacing w:line="360" w:lineRule="auto"/>
        <w:ind w:hanging="5"/>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 xml:space="preserve">除因不可抗力外，成交供应商在规定期限内未能根据本须知第26条规定签订合同； </w:t>
      </w:r>
    </w:p>
    <w:p>
      <w:pPr>
        <w:numPr>
          <w:ilvl w:val="0"/>
          <w:numId w:val="7"/>
        </w:numPr>
        <w:tabs>
          <w:tab w:val="left" w:pos="588"/>
        </w:tabs>
        <w:spacing w:line="360" w:lineRule="auto"/>
        <w:ind w:hanging="5"/>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供应商与采购人、其他供应商或者采购代理机构恶意串通的；</w:t>
      </w:r>
    </w:p>
    <w:p>
      <w:pPr>
        <w:numPr>
          <w:ilvl w:val="0"/>
          <w:numId w:val="7"/>
        </w:numPr>
        <w:tabs>
          <w:tab w:val="left" w:pos="588"/>
        </w:tabs>
        <w:spacing w:line="360" w:lineRule="auto"/>
        <w:ind w:hanging="5"/>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24"/>
          <w:sz w:val="24"/>
          <w:szCs w:val="21"/>
          <w:highlight w:val="none"/>
          <w14:textFill>
            <w14:solidFill>
              <w14:schemeClr w14:val="tx1"/>
            </w14:solidFill>
          </w14:textFill>
        </w:rPr>
        <w:t>成交供应商未按本须知第29条规定缴纳服务费。</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210" w:name="_Toc249515296"/>
      <w:bookmarkStart w:id="211" w:name="_Toc7949"/>
      <w:bookmarkStart w:id="212" w:name="_Toc249525177"/>
      <w:bookmarkStart w:id="213" w:name="_Toc249515408"/>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15.    磋商有效期</w:t>
      </w:r>
      <w:bookmarkEnd w:id="210"/>
      <w:bookmarkEnd w:id="211"/>
      <w:bookmarkEnd w:id="212"/>
      <w:bookmarkEnd w:id="213"/>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15.1   磋商有效期见</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本须知前附表</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15.2   特殊情况下，采购人可于原磋商有效期满之前要求供应商同意延长有效期，要求与答复均应为书面形式。供应商可以拒绝上述要求，其</w:t>
      </w:r>
      <w:r>
        <w:rPr>
          <w:rFonts w:hint="eastAsia" w:eastAsia="仿宋_GB2312" w:cs="Times New Roman"/>
          <w:i w:val="0"/>
          <w:iCs w:val="0"/>
          <w:color w:val="000000" w:themeColor="text1"/>
          <w:sz w:val="24"/>
          <w:highlight w:val="none"/>
          <w:lang w:eastAsia="zh-CN"/>
          <w14:textFill>
            <w14:solidFill>
              <w14:schemeClr w14:val="tx1"/>
            </w14:solidFill>
          </w14:textFill>
        </w:rPr>
        <w:t>磋商</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保证金不被没收。对于同意该要求的供应商，既不要求也不允许其修改响应文件，但将要求其相应延长磋商保证金的有效期，有关退还和保证金不予退还的规定在磋商有效期的延长期内继续有效。</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214" w:name="_Toc389620185"/>
      <w:bookmarkStart w:id="215" w:name="_Toc16612"/>
      <w:bookmarkStart w:id="216" w:name="_Toc249525178"/>
      <w:bookmarkStart w:id="217" w:name="_Toc249515409"/>
      <w:bookmarkStart w:id="218" w:name="_Toc385992346"/>
      <w:bookmarkStart w:id="219" w:name="_Toc249515297"/>
      <w:bookmarkStart w:id="220" w:name="_Toc70687160"/>
      <w:bookmarkStart w:id="221" w:name="_Toc184043033"/>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16.    响应文件的制作和签署</w:t>
      </w:r>
      <w:bookmarkEnd w:id="214"/>
      <w:bookmarkEnd w:id="215"/>
      <w:bookmarkEnd w:id="216"/>
      <w:bookmarkEnd w:id="217"/>
      <w:bookmarkEnd w:id="218"/>
      <w:bookmarkEnd w:id="219"/>
      <w:bookmarkEnd w:id="220"/>
      <w:bookmarkEnd w:id="221"/>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16.1   供应商应准备一份响应文件正本和“</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供应商须知前附表</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”中规定数目的副本，每套响应文件须清楚地标明“正本”、“副本”。若正本和副本不符，以正本为准。</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16.3   响应文件的正本，一律</w:t>
      </w:r>
      <w:r>
        <w:rPr>
          <w:rFonts w:hint="eastAsia" w:eastAsia="仿宋_GB2312" w:cs="Times New Roman"/>
          <w:i w:val="0"/>
          <w:iCs w:val="0"/>
          <w:color w:val="000000" w:themeColor="text1"/>
          <w:sz w:val="24"/>
          <w:highlight w:val="none"/>
          <w:lang w:eastAsia="zh-CN"/>
          <w14:textFill>
            <w14:solidFill>
              <w14:schemeClr w14:val="tx1"/>
            </w14:solidFill>
          </w14:textFill>
        </w:rPr>
        <w:t>使用</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16.4   任何行间插字、涂改或增删，必须由响应文件签字人将姓或首字母在旁边签字才有效。</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16.5   采购人不接受以电报、电话、传真、电子邮件形式递交的响应文件。</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bookmarkStart w:id="222" w:name="_Hlt491765640"/>
      <w:bookmarkEnd w:id="222"/>
      <w:bookmarkStart w:id="223" w:name="_Toc232395216"/>
      <w:bookmarkStart w:id="224" w:name="_Toc230013636"/>
      <w:bookmarkStart w:id="225" w:name="_Toc176882546"/>
      <w:bookmarkStart w:id="226" w:name="_Toc232176276"/>
      <w:bookmarkStart w:id="227" w:name="_Toc177817338"/>
      <w:bookmarkStart w:id="228" w:name="_Toc500747066"/>
      <w:bookmarkStart w:id="229" w:name="_Toc256342147"/>
      <w:bookmarkStart w:id="230" w:name="_Toc177995477"/>
      <w:bookmarkStart w:id="231" w:name="_Toc500746970"/>
      <w:bookmarkStart w:id="232" w:name="_Toc53722844"/>
      <w:bookmarkStart w:id="233" w:name="_Toc499711888"/>
      <w:bookmarkStart w:id="234" w:name="_Toc503063426"/>
      <w:bookmarkStart w:id="235" w:name="_Toc492955419"/>
      <w:bookmarkStart w:id="236" w:name="_Toc500747193"/>
      <w:bookmarkStart w:id="237" w:name="_Toc249515298"/>
      <w:bookmarkStart w:id="238" w:name="_Toc389620186"/>
      <w:bookmarkStart w:id="239" w:name="_Toc385992347"/>
      <w:bookmarkStart w:id="240" w:name="_Toc496324583"/>
      <w:bookmarkStart w:id="241" w:name="_Toc177189239"/>
      <w:bookmarkStart w:id="242" w:name="_Toc70687161"/>
      <w:bookmarkStart w:id="243" w:name="_Toc184043034"/>
      <w:bookmarkStart w:id="244" w:name="_Toc230583545"/>
      <w:bookmarkStart w:id="245" w:name="_Toc249515410"/>
      <w:bookmarkStart w:id="246" w:name="_Toc499711047"/>
      <w:bookmarkStart w:id="247" w:name="_Toc249525179"/>
      <w:bookmarkStart w:id="248" w:name="_Toc230099801"/>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16.7   响应文件应按照“资格证明文件”和“商务及技术文件”分成两部分，并用不可拆装的方式分别装订成册。</w:t>
      </w:r>
    </w:p>
    <w:p>
      <w:pPr>
        <w:pStyle w:val="2"/>
        <w:rPr>
          <w:rFonts w:hint="default"/>
          <w:color w:val="000000" w:themeColor="text1"/>
          <w:highlight w:val="none"/>
          <w14:textFill>
            <w14:solidFill>
              <w14:schemeClr w14:val="tx1"/>
            </w14:solidFill>
          </w14:textFill>
        </w:rPr>
      </w:pPr>
    </w:p>
    <w:p>
      <w:pPr>
        <w:pStyle w:val="78"/>
        <w:spacing w:before="24" w:after="24"/>
        <w:jc w:val="center"/>
        <w:outlineLvl w:val="2"/>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pPr>
      <w:bookmarkStart w:id="249" w:name="_Toc68590972"/>
      <w:r>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t>四、响应文件的密封和递交</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rPr>
          <w:rFonts w:hint="default" w:ascii="Times New Roman" w:hAnsi="Times New Roman" w:eastAsia="仿宋_GB2312" w:cs="Times New Roman"/>
          <w:i w:val="0"/>
          <w:iCs w:val="0"/>
          <w:color w:val="000000" w:themeColor="text1"/>
          <w:highlight w:val="none"/>
          <w14:textFill>
            <w14:solidFill>
              <w14:schemeClr w14:val="tx1"/>
            </w14:solidFill>
          </w14:textFill>
        </w:rPr>
      </w:pP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250" w:name="_Toc4042"/>
      <w:bookmarkStart w:id="251" w:name="_Toc184043035"/>
      <w:bookmarkStart w:id="252" w:name="_Toc249525180"/>
      <w:bookmarkStart w:id="253" w:name="_Toc70687162"/>
      <w:bookmarkStart w:id="254" w:name="_Toc249515411"/>
      <w:bookmarkStart w:id="255" w:name="_Toc249515299"/>
      <w:bookmarkStart w:id="256" w:name="_Toc385992348"/>
      <w:bookmarkStart w:id="257" w:name="_Toc389620187"/>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17.    响应文件的密封和标记</w:t>
      </w:r>
      <w:bookmarkEnd w:id="250"/>
      <w:bookmarkEnd w:id="251"/>
      <w:bookmarkEnd w:id="252"/>
      <w:bookmarkEnd w:id="253"/>
      <w:bookmarkEnd w:id="254"/>
      <w:bookmarkEnd w:id="255"/>
      <w:bookmarkEnd w:id="256"/>
      <w:bookmarkEnd w:id="257"/>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bookmarkStart w:id="258" w:name="_Toc389620188"/>
      <w:bookmarkStart w:id="259" w:name="_Toc385992349"/>
      <w:bookmarkStart w:id="260" w:name="_Toc70687163"/>
      <w:bookmarkStart w:id="261" w:name="_Toc184043036"/>
      <w:r>
        <w:rPr>
          <w:rFonts w:hint="default" w:ascii="Times New Roman" w:hAnsi="Times New Roman" w:eastAsia="仿宋_GB2312" w:cs="Times New Roman"/>
          <w:i w:val="0"/>
          <w:iCs w:val="0"/>
          <w:color w:val="000000" w:themeColor="text1"/>
          <w:kern w:val="0"/>
          <w:sz w:val="24"/>
          <w:szCs w:val="21"/>
          <w:highlight w:val="none"/>
          <w14:textFill>
            <w14:solidFill>
              <w14:schemeClr w14:val="tx1"/>
            </w14:solidFill>
          </w14:textFill>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1"/>
          <w:highlight w:val="none"/>
          <w14:textFill>
            <w14:solidFill>
              <w14:schemeClr w14:val="tx1"/>
            </w14:solidFill>
          </w14:textFill>
        </w:rPr>
        <w:t>17.2   密封袋（箱）上标识的内容见</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供应商须知前附表。</w:t>
      </w:r>
      <w:r>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t>响应文件</w:t>
      </w:r>
      <w:r>
        <w:rPr>
          <w:rFonts w:hint="default" w:ascii="Times New Roman" w:hAnsi="Times New Roman" w:eastAsia="仿宋_GB2312" w:cs="Times New Roman"/>
          <w:i w:val="0"/>
          <w:iCs w:val="0"/>
          <w:color w:val="000000" w:themeColor="text1"/>
          <w:kern w:val="0"/>
          <w:sz w:val="24"/>
          <w:szCs w:val="21"/>
          <w:highlight w:val="none"/>
          <w14:textFill>
            <w14:solidFill>
              <w14:schemeClr w14:val="tx1"/>
            </w14:solidFill>
          </w14:textFill>
        </w:rPr>
        <w:t>如果</w:t>
      </w:r>
      <w:r>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t>未按上述规定密封和标记，采购代理机构应当拒绝接收。</w:t>
      </w:r>
    </w:p>
    <w:p>
      <w:pPr>
        <w:pStyle w:val="2"/>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17.3   书面方式不能准确描述采购需求或者需要对样品进行主观判断以确认是否满足采购需求的情况下需提交样品。成交单位样品不予退还，成为合同内容的一部分，做为验收依据。样品的要求见</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供应商须知前附表</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w:t>
      </w:r>
    </w:p>
    <w:bookmarkEnd w:id="258"/>
    <w:bookmarkEnd w:id="259"/>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262" w:name="_Toc31171"/>
      <w:bookmarkStart w:id="263" w:name="_Toc249515412"/>
      <w:bookmarkStart w:id="264" w:name="_Toc249525181"/>
      <w:bookmarkStart w:id="265" w:name="_Toc249515300"/>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18.    响应文件递交截止时间</w:t>
      </w:r>
      <w:bookmarkEnd w:id="260"/>
      <w:bookmarkEnd w:id="261"/>
      <w:bookmarkEnd w:id="262"/>
      <w:bookmarkEnd w:id="263"/>
      <w:bookmarkEnd w:id="264"/>
      <w:bookmarkEnd w:id="265"/>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bookmarkStart w:id="266" w:name="_Toc70687164"/>
      <w:bookmarkStart w:id="267" w:name="_Toc184043037"/>
      <w:bookmarkStart w:id="268" w:name="_Toc385992350"/>
      <w:bookmarkStart w:id="269" w:name="_Toc389620189"/>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18.1   响应文件递交截止时间和地点见</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供应商须知前附表</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18.3   采购人可以按本须知第7条规定，通知修改磋商文件，适当延长响应文件递交截止时间。在此情况下，采购人和供应商受响应文件递交截止时间制约的所有权利和义务均应延长至新的截止期。</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270" w:name="_Toc249515413"/>
      <w:bookmarkStart w:id="271" w:name="_Toc249515301"/>
      <w:bookmarkStart w:id="272" w:name="_Toc249525182"/>
      <w:bookmarkStart w:id="273" w:name="_Toc7175"/>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19.    迟交的响应文件</w:t>
      </w:r>
      <w:bookmarkEnd w:id="266"/>
      <w:bookmarkEnd w:id="267"/>
      <w:bookmarkEnd w:id="268"/>
      <w:bookmarkEnd w:id="269"/>
      <w:bookmarkEnd w:id="270"/>
      <w:bookmarkEnd w:id="271"/>
      <w:bookmarkEnd w:id="272"/>
      <w:bookmarkEnd w:id="273"/>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19.1   采购人将拒绝接收第18条规定的响应文件递交截止时间后递交的任何响应文件。</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274" w:name="_Toc249515302"/>
      <w:bookmarkStart w:id="275" w:name="_Toc249525183"/>
      <w:bookmarkStart w:id="276" w:name="_Toc385992351"/>
      <w:bookmarkStart w:id="277" w:name="_Toc184043038"/>
      <w:bookmarkStart w:id="278" w:name="_Toc249515414"/>
      <w:bookmarkStart w:id="279" w:name="_Toc10272"/>
      <w:bookmarkStart w:id="280" w:name="_Toc70687165"/>
      <w:bookmarkStart w:id="281" w:name="_Toc389620190"/>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20.    响应文件的修改和撤</w:t>
      </w:r>
      <w:bookmarkEnd w:id="274"/>
      <w:bookmarkEnd w:id="275"/>
      <w:bookmarkEnd w:id="276"/>
      <w:bookmarkEnd w:id="277"/>
      <w:bookmarkEnd w:id="278"/>
      <w:bookmarkEnd w:id="279"/>
      <w:bookmarkEnd w:id="280"/>
      <w:bookmarkEnd w:id="281"/>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回</w:t>
      </w:r>
    </w:p>
    <w:p>
      <w:pPr>
        <w:tabs>
          <w:tab w:val="left" w:pos="588"/>
        </w:tabs>
        <w:spacing w:line="360" w:lineRule="auto"/>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20.2   在响应文件递交截止时间之后，供应商不得对其响应文件做任何修改。</w:t>
      </w:r>
    </w:p>
    <w:p>
      <w:pPr>
        <w:tabs>
          <w:tab w:val="left" w:pos="588"/>
        </w:tabs>
        <w:spacing w:line="360" w:lineRule="auto"/>
        <w:ind w:left="840" w:hanging="840" w:hangingChars="350"/>
        <w:rPr>
          <w:rFonts w:hint="default"/>
          <w:color w:val="000000" w:themeColor="text1"/>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20.3   供应商不得在响应文件递交截止时间起至响应文件有效期期满前撤销其响应文件。</w:t>
      </w:r>
    </w:p>
    <w:p>
      <w:pPr>
        <w:pStyle w:val="78"/>
        <w:spacing w:before="24" w:after="24"/>
        <w:ind w:left="3313"/>
        <w:outlineLvl w:val="2"/>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pPr>
      <w:bookmarkStart w:id="282" w:name="_Hlt491765712"/>
      <w:bookmarkEnd w:id="282"/>
      <w:bookmarkStart w:id="283" w:name="_Hlt497729441"/>
      <w:bookmarkEnd w:id="283"/>
      <w:bookmarkStart w:id="284" w:name="_Toc256342148"/>
      <w:bookmarkStart w:id="285" w:name="_Toc249515415"/>
      <w:bookmarkStart w:id="286" w:name="_Toc249525184"/>
      <w:bookmarkStart w:id="287" w:name="_Toc249515303"/>
      <w:bookmarkStart w:id="288" w:name="_Toc68590973"/>
      <w:bookmarkStart w:id="289" w:name="_Toc177995478"/>
      <w:bookmarkStart w:id="290" w:name="_Toc70687166"/>
      <w:bookmarkStart w:id="291" w:name="_Toc177189240"/>
      <w:bookmarkStart w:id="292" w:name="_Toc499711048"/>
      <w:bookmarkStart w:id="293" w:name="_Toc53722845"/>
      <w:bookmarkStart w:id="294" w:name="_Toc492955420"/>
      <w:bookmarkStart w:id="295" w:name="_Toc385992352"/>
      <w:bookmarkStart w:id="296" w:name="_Toc177817339"/>
      <w:bookmarkStart w:id="297" w:name="_Toc503063427"/>
      <w:bookmarkStart w:id="298" w:name="_Toc176882547"/>
      <w:bookmarkStart w:id="299" w:name="_Toc500747067"/>
      <w:bookmarkStart w:id="300" w:name="_Toc184043039"/>
      <w:bookmarkStart w:id="301" w:name="_Toc500746971"/>
      <w:bookmarkStart w:id="302" w:name="_Toc496324584"/>
      <w:bookmarkStart w:id="303" w:name="_Toc500747194"/>
      <w:bookmarkStart w:id="304" w:name="_Toc389620191"/>
      <w:bookmarkStart w:id="305" w:name="_Toc499711889"/>
      <w:r>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t>五、评审与</w:t>
      </w:r>
      <w:bookmarkEnd w:id="284"/>
      <w:bookmarkEnd w:id="285"/>
      <w:bookmarkEnd w:id="286"/>
      <w:bookmarkEnd w:id="287"/>
      <w:r>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t>磋商</w:t>
      </w:r>
      <w:bookmarkEnd w:id="288"/>
    </w:p>
    <w:p>
      <w:pPr>
        <w:pStyle w:val="6"/>
        <w:numPr>
          <w:ilvl w:val="0"/>
          <w:numId w:val="8"/>
        </w:numP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pPr>
      <w:bookmarkStart w:id="306" w:name="_Toc249515417"/>
      <w:bookmarkStart w:id="307" w:name="_Toc249525186"/>
      <w:bookmarkStart w:id="308" w:name="_Toc249515305"/>
      <w:bookmarkStart w:id="309" w:name="_Toc16042"/>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 xml:space="preserve">   磋商小组</w:t>
      </w:r>
      <w:bookmarkEnd w:id="306"/>
      <w:bookmarkEnd w:id="307"/>
      <w:bookmarkEnd w:id="308"/>
      <w:bookmarkEnd w:id="309"/>
    </w:p>
    <w:p>
      <w:pPr>
        <w:pStyle w:val="29"/>
        <w:adjustRightInd w:val="0"/>
        <w:snapToGrid w:val="0"/>
        <w:ind w:left="840" w:hanging="840" w:hangingChars="350"/>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21.1   在磋商开始前组建磋商小组，磋商小组由采购人代表和有关专家组成。专家从政府采购评审专家库相关专业中随机抽取。磋商小组组成见</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供应商须知前附表。</w:t>
      </w:r>
    </w:p>
    <w:p>
      <w:pPr>
        <w:pStyle w:val="29"/>
        <w:adjustRightInd w:val="0"/>
        <w:snapToGrid w:val="0"/>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21.2   磋商小组职责</w:t>
      </w:r>
    </w:p>
    <w:p>
      <w:pPr>
        <w:pStyle w:val="29"/>
        <w:adjustRightInd w:val="0"/>
        <w:snapToGrid w:val="0"/>
        <w:ind w:left="840" w:leftChars="400"/>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（1）确认竞争性磋商文件；</w:t>
      </w:r>
    </w:p>
    <w:p>
      <w:pPr>
        <w:pStyle w:val="29"/>
        <w:adjustRightInd w:val="0"/>
        <w:snapToGrid w:val="0"/>
        <w:ind w:left="840" w:leftChars="400"/>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（2）审查通过了资格审查的供应商响应文件并做出评价；</w:t>
      </w:r>
    </w:p>
    <w:p>
      <w:pPr>
        <w:pStyle w:val="29"/>
        <w:adjustRightInd w:val="0"/>
        <w:snapToGrid w:val="0"/>
        <w:ind w:left="840" w:leftChars="400"/>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（3）要求供应商解释或者澄清其响应文件；</w:t>
      </w:r>
    </w:p>
    <w:p>
      <w:pPr>
        <w:pStyle w:val="29"/>
        <w:adjustRightInd w:val="0"/>
        <w:snapToGrid w:val="0"/>
        <w:ind w:left="840" w:leftChars="400"/>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（4）编写评审报告；</w:t>
      </w:r>
    </w:p>
    <w:p>
      <w:pPr>
        <w:pStyle w:val="29"/>
        <w:adjustRightInd w:val="0"/>
        <w:snapToGrid w:val="0"/>
        <w:ind w:left="840" w:leftChars="400"/>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（5）告知采购人、采购代理机构在评审过程中发现的供应商的违法违规行为。</w:t>
      </w:r>
    </w:p>
    <w:p>
      <w:pPr>
        <w:pStyle w:val="29"/>
        <w:adjustRightInd w:val="0"/>
        <w:snapToGrid w:val="0"/>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21.3   磋商小组义务</w:t>
      </w:r>
    </w:p>
    <w:p>
      <w:pPr>
        <w:pStyle w:val="29"/>
        <w:adjustRightInd w:val="0"/>
        <w:snapToGrid w:val="0"/>
        <w:ind w:left="838" w:leftChars="399"/>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（1）遵纪客观、公正、审慎的原则；</w:t>
      </w:r>
    </w:p>
    <w:p>
      <w:pPr>
        <w:pStyle w:val="29"/>
        <w:adjustRightInd w:val="0"/>
        <w:snapToGrid w:val="0"/>
        <w:ind w:left="838" w:leftChars="399"/>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（2）根据磋商文件的规定评审程序、评审方法和评审标准独立进行评审，对个人的评审意见承担法律责任；</w:t>
      </w:r>
    </w:p>
    <w:p>
      <w:pPr>
        <w:pStyle w:val="29"/>
        <w:adjustRightInd w:val="0"/>
        <w:snapToGrid w:val="0"/>
        <w:ind w:left="838" w:leftChars="399"/>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（3）参与评审报告的起草；</w:t>
      </w:r>
    </w:p>
    <w:p>
      <w:pPr>
        <w:pStyle w:val="29"/>
        <w:adjustRightInd w:val="0"/>
        <w:snapToGrid w:val="0"/>
        <w:ind w:left="838" w:leftChars="399"/>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（4）配合采购人、采购代理机构答复供应商提出的质疑；</w:t>
      </w:r>
    </w:p>
    <w:p>
      <w:pPr>
        <w:pStyle w:val="29"/>
        <w:adjustRightInd w:val="0"/>
        <w:snapToGrid w:val="0"/>
        <w:ind w:left="838" w:leftChars="399"/>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（5）配合财政部门的投诉处理和监督检查工作。</w:t>
      </w:r>
    </w:p>
    <w:p>
      <w:pPr>
        <w:pStyle w:val="29"/>
        <w:adjustRightInd w:val="0"/>
        <w:snapToGrid w:val="0"/>
        <w:ind w:left="840" w:hanging="840" w:hangingChars="350"/>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4"/>
          <w:highlight w:val="none"/>
          <w14:textFill>
            <w14:solidFill>
              <w14:schemeClr w14:val="tx1"/>
            </w14:solidFill>
          </w14:textFill>
        </w:rPr>
        <w:t>21.4   确认磋商文件：磋商小组对磋商文件进行审阅，无修改进行签字确认，有修改，修改内容经采购人确认后，磋商小组以书面形式通知所有供应商。</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22.    磋商小组成员有下列情形之一的，应当回避：</w:t>
      </w:r>
    </w:p>
    <w:p>
      <w:pPr>
        <w:pStyle w:val="6"/>
        <w:tabs>
          <w:tab w:val="left" w:pos="360"/>
        </w:tabs>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t>22.1   参加采购活动前3年内与供应商存在劳动关系；</w:t>
      </w:r>
    </w:p>
    <w:p>
      <w:pPr>
        <w:pStyle w:val="6"/>
        <w:tabs>
          <w:tab w:val="left" w:pos="360"/>
        </w:tabs>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t>22.2   参加采购活动前3年内担任供应商的董事、监事；</w:t>
      </w:r>
    </w:p>
    <w:p>
      <w:pPr>
        <w:pStyle w:val="6"/>
        <w:tabs>
          <w:tab w:val="left" w:pos="360"/>
        </w:tabs>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t>22.3   参加采购活动前3年内是供应商的控股股东或者实际控制人；</w:t>
      </w:r>
    </w:p>
    <w:p>
      <w:pPr>
        <w:pStyle w:val="6"/>
        <w:tabs>
          <w:tab w:val="left" w:pos="360"/>
        </w:tabs>
        <w:ind w:left="840" w:hanging="840" w:hangingChars="350"/>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t>22.4   与供应商的法定代表人或者负责人有夫妻、直系血亲、三代以内旁系血亲或者近姻亲关系；</w:t>
      </w:r>
    </w:p>
    <w:p>
      <w:pPr>
        <w:pStyle w:val="6"/>
        <w:tabs>
          <w:tab w:val="left" w:pos="360"/>
        </w:tabs>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szCs w:val="21"/>
          <w:highlight w:val="none"/>
          <w14:textFill>
            <w14:solidFill>
              <w14:schemeClr w14:val="tx1"/>
            </w14:solidFill>
          </w14:textFill>
        </w:rPr>
        <w:t>22.5   与供应商有其他可能影响政府采购活动公平、公正进行的关系。</w:t>
      </w:r>
    </w:p>
    <w:p>
      <w:pPr>
        <w:pStyle w:val="6"/>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310" w:name="_Toc249525187"/>
      <w:bookmarkStart w:id="311" w:name="_Toc249515306"/>
      <w:bookmarkStart w:id="312" w:name="_Toc249515418"/>
      <w:bookmarkStart w:id="313" w:name="_Toc83547667"/>
      <w:bookmarkStart w:id="314" w:name="_Toc20608"/>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23.    磋商程序</w:t>
      </w:r>
    </w:p>
    <w:p>
      <w:pPr>
        <w:pStyle w:val="6"/>
        <w:tabs>
          <w:tab w:val="left" w:pos="360"/>
        </w:tabs>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315" w:name="_Toc58504507"/>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23.1   磋商会议</w:t>
      </w:r>
      <w:bookmarkEnd w:id="315"/>
    </w:p>
    <w:p>
      <w:pPr>
        <w:pStyle w:val="2"/>
        <w:ind w:left="840" w:leftChars="400"/>
        <w:rPr>
          <w:rFonts w:hint="default" w:ascii="Times New Roman" w:hAnsi="Times New Roman" w:eastAsia="仿宋_GB2312" w:cs="Times New Roman"/>
          <w:i w:val="0"/>
          <w:iCs w:val="0"/>
          <w:color w:val="000000" w:themeColor="text1"/>
          <w:sz w:val="24"/>
          <w:szCs w:val="32"/>
          <w:highlight w:val="none"/>
          <w14:textFill>
            <w14:solidFill>
              <w14:schemeClr w14:val="tx1"/>
            </w14:solidFill>
          </w14:textFill>
        </w:rPr>
      </w:pPr>
      <w:bookmarkStart w:id="316" w:name="_Toc58504508"/>
      <w:r>
        <w:rPr>
          <w:rFonts w:hint="default" w:ascii="Times New Roman" w:hAnsi="Times New Roman" w:eastAsia="仿宋_GB2312" w:cs="Times New Roman"/>
          <w:i w:val="0"/>
          <w:iCs w:val="0"/>
          <w:color w:val="000000" w:themeColor="text1"/>
          <w:sz w:val="24"/>
          <w:szCs w:val="32"/>
          <w:highlight w:val="none"/>
          <w14:textFill>
            <w14:solidFill>
              <w14:schemeClr w14:val="tx1"/>
            </w14:solidFill>
          </w14:textFill>
        </w:rPr>
        <w:t>（1）在磋商文件规定的时间和地点，由采购代理机构组织磋商工作，供应商须委派代表参加，签名以证明其出席。</w:t>
      </w:r>
      <w:bookmarkEnd w:id="316"/>
    </w:p>
    <w:p>
      <w:pPr>
        <w:pStyle w:val="2"/>
        <w:ind w:left="840" w:leftChars="400"/>
        <w:rPr>
          <w:rFonts w:hint="default" w:ascii="Times New Roman" w:hAnsi="Times New Roman" w:eastAsia="仿宋_GB2312" w:cs="Times New Roman"/>
          <w:i w:val="0"/>
          <w:iCs w:val="0"/>
          <w:color w:val="000000" w:themeColor="text1"/>
          <w:sz w:val="24"/>
          <w:szCs w:val="32"/>
          <w:highlight w:val="none"/>
          <w14:textFill>
            <w14:solidFill>
              <w14:schemeClr w14:val="tx1"/>
            </w14:solidFill>
          </w14:textFill>
        </w:rPr>
      </w:pPr>
      <w:bookmarkStart w:id="317" w:name="_Toc58504509"/>
      <w:r>
        <w:rPr>
          <w:rFonts w:hint="default" w:ascii="Times New Roman" w:hAnsi="Times New Roman" w:eastAsia="仿宋_GB2312" w:cs="Times New Roman"/>
          <w:i w:val="0"/>
          <w:iCs w:val="0"/>
          <w:color w:val="000000" w:themeColor="text1"/>
          <w:sz w:val="24"/>
          <w:szCs w:val="32"/>
          <w:highlight w:val="none"/>
          <w14:textFill>
            <w14:solidFill>
              <w14:schemeClr w14:val="tx1"/>
            </w14:solidFill>
          </w14:textFill>
        </w:rPr>
        <w:t>（2）各供应商或其推荐的代表与采购监督人共同检查响应文件的密封情况，经检查无误后，签字确认。</w:t>
      </w:r>
      <w:bookmarkEnd w:id="317"/>
    </w:p>
    <w:p>
      <w:pPr>
        <w:pStyle w:val="2"/>
        <w:ind w:left="840" w:leftChars="400"/>
        <w:rPr>
          <w:rFonts w:hint="default" w:ascii="Times New Roman" w:hAnsi="Times New Roman" w:eastAsia="仿宋_GB2312" w:cs="Times New Roman"/>
          <w:i w:val="0"/>
          <w:iCs w:val="0"/>
          <w:color w:val="000000" w:themeColor="text1"/>
          <w:sz w:val="24"/>
          <w:szCs w:val="32"/>
          <w:highlight w:val="none"/>
          <w14:textFill>
            <w14:solidFill>
              <w14:schemeClr w14:val="tx1"/>
            </w14:solidFill>
          </w14:textFill>
        </w:rPr>
      </w:pPr>
      <w:bookmarkStart w:id="318" w:name="_Toc58504510"/>
      <w:r>
        <w:rPr>
          <w:rFonts w:hint="default" w:ascii="Times New Roman" w:hAnsi="Times New Roman" w:eastAsia="仿宋_GB2312" w:cs="Times New Roman"/>
          <w:i w:val="0"/>
          <w:iCs w:val="0"/>
          <w:color w:val="000000" w:themeColor="text1"/>
          <w:sz w:val="24"/>
          <w:szCs w:val="32"/>
          <w:highlight w:val="none"/>
          <w14:textFill>
            <w14:solidFill>
              <w14:schemeClr w14:val="tx1"/>
            </w14:solidFill>
          </w14:textFill>
        </w:rPr>
        <w:t>（3）采购代理机构工作人员按照顺序，将各供应商首次响应文件的份数等内容公布，无异议后，由供应商法定代表人（或授权代表人）和监督人签字确认。</w:t>
      </w:r>
      <w:bookmarkEnd w:id="318"/>
    </w:p>
    <w:p>
      <w:pPr>
        <w:pStyle w:val="6"/>
        <w:tabs>
          <w:tab w:val="left" w:pos="360"/>
        </w:tabs>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319" w:name="_Toc58504511"/>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23.2   响应文件</w:t>
      </w:r>
      <w:bookmarkEnd w:id="310"/>
      <w:bookmarkEnd w:id="311"/>
      <w:bookmarkEnd w:id="312"/>
      <w:bookmarkEnd w:id="313"/>
      <w:bookmarkEnd w:id="314"/>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评审</w:t>
      </w:r>
      <w:bookmarkEnd w:id="319"/>
    </w:p>
    <w:p>
      <w:pPr>
        <w:tabs>
          <w:tab w:val="left" w:pos="360"/>
          <w:tab w:val="left" w:pos="588"/>
        </w:tabs>
        <w:spacing w:line="360" w:lineRule="auto"/>
        <w:ind w:left="843" w:hanging="843"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bookmarkStart w:id="320" w:name="_Toc83547671"/>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23.2.1 响应文件的资格性审查</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。依据《政府采购法》第二十三条和磋商文件的规定，</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采购人或采购代理机构负责</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对响应文件中的资格证明文件、信用查询记录等进行审查，以确认供应商具备相应资格。资格性审查出现下列情况者（但不限于），按无效文件处理：</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highlight w:val="none"/>
          <w14:textFill>
            <w14:solidFill>
              <w14:schemeClr w14:val="tx1"/>
            </w14:solidFill>
          </w14:textFill>
        </w:rPr>
        <w:t>（</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1）供应商不符合《中华人民共和国政府采购法》第二十二条的规定和特定资格条件要求的。</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（2）供应商没有经过正常渠道购买或免费领取磋商文件或供应商的名称与</w:t>
      </w:r>
      <w:r>
        <w:rPr>
          <w:rFonts w:hint="eastAsia"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t>获取</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磋商文件单位的名称不符。</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（4）信用查询中列入失信被执行人、重大税收违法案件当事人名单、政府采购严重违法失信行为记录名单及其他不符合《中华人民共和国政府采购法》第二十二条规定条件的供应商。</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（5）采购人或采购代理机构通过“信用中国”网站</w:t>
      </w:r>
      <w:r>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www.creditchina.gov.cn</w:t>
      </w:r>
      <w:r>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、中国政府采购网</w:t>
      </w:r>
      <w:r>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www.ccgp.gov.cn</w:t>
      </w:r>
      <w:r>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 xml:space="preserve"> 等查询相关主体信用记录，并将查询网页打印、存档备查。</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（6）查询时间为磋商文件发售期至评审截止时间前，此段时间段外，网站信息发生的任何变更均不作为资格审查依据。</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供应商不良信用记录以采购人或采购代理机构查询结果为准。供应商自行提供的与网站信息不一致的其他证明材料亦不作为资格审查依据。</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（7）</w:t>
      </w:r>
      <w:r>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p>
    <w:p>
      <w:pPr>
        <w:pStyle w:val="2"/>
        <w:ind w:left="843" w:hanging="843"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23.2.2 磋商响应文件有效性、完整性和响应程度审查：磋商小组</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负责对通过资格审查的响应文件的有效性、完整性和响应性进行审查，以确定是否满足磋商文件要求，出现下列情况者（但不限于），按无效文件处理。</w:t>
      </w:r>
    </w:p>
    <w:p>
      <w:pPr>
        <w:pStyle w:val="2"/>
        <w:ind w:left="840" w:leftChars="400"/>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（1）供应商未按磋商文件要求加盖单位公章</w:t>
      </w:r>
      <w:r>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p>
    <w:p>
      <w:pPr>
        <w:pStyle w:val="2"/>
        <w:ind w:left="840" w:leftChars="400"/>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（2）磋商响应文件未按磋商文件要求进行法定代表人或其授权代表签字</w:t>
      </w:r>
      <w:r>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（3）无有效期或有效期达不到磋商文件的要求。</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（4）供应商首次磋商报价出现选择性报价。</w:t>
      </w:r>
    </w:p>
    <w:p>
      <w:pPr>
        <w:pStyle w:val="2"/>
        <w:ind w:left="840" w:leftChars="400"/>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（5）首次磋商报价超出采购预算</w:t>
      </w:r>
      <w:r>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p>
    <w:p>
      <w:pPr>
        <w:pStyle w:val="2"/>
        <w:ind w:left="840" w:leftChars="400"/>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（6）响应文件中对合同草案条款附加了采购人难以接受的条件</w:t>
      </w:r>
      <w:r>
        <w:rPr>
          <w:rFonts w:hint="default" w:ascii="Times New Roman" w:hAnsi="Times New Roman" w:eastAsia="仿宋_GB2312" w:cs="Times New Roman"/>
          <w:i w:val="0"/>
          <w:iCs w:val="0"/>
          <w:color w:val="000000" w:themeColor="text1"/>
          <w:sz w:val="24"/>
          <w:highlight w:val="none"/>
          <w:lang w:eastAsia="zh-CN"/>
          <w14:textFill>
            <w14:solidFill>
              <w14:schemeClr w14:val="tx1"/>
            </w14:solidFill>
          </w14:textFill>
        </w:rPr>
        <w:t>。</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（7）磋商内容出现漏项或数量与要求不符，出现重大负偏差。</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（8）响应文件中技术指标达不到采购要求，降低了产品档次或影响产品性能、功能。</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（9）响应报价与市场价偏离较大，低于成本，形成不正当竞争。</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（10）供应商提供虚假证明，开具虚假资质，出现虚假应答或故意隐瞒行为。</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 xml:space="preserve">（11）保证金未提交或未提交至指定账户、或提交保证金不符合磋商文件要求的。 </w:t>
      </w:r>
    </w:p>
    <w:p>
      <w:pPr>
        <w:pStyle w:val="6"/>
        <w:tabs>
          <w:tab w:val="left" w:pos="360"/>
        </w:tabs>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bookmarkStart w:id="321" w:name="_Toc58504512"/>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23.3   磋商</w:t>
      </w:r>
      <w:bookmarkEnd w:id="321"/>
    </w:p>
    <w:p>
      <w:pPr>
        <w:pStyle w:val="2"/>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bookmarkStart w:id="322" w:name="_Toc58504513"/>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23.3.1 磋商小组集中与各供应商分别进行磋商，并给所有参加磋商供应商平等的磋商机会。</w:t>
      </w:r>
      <w:bookmarkEnd w:id="322"/>
    </w:p>
    <w:p>
      <w:pPr>
        <w:pStyle w:val="2"/>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23.3.2 磋商小组在对响应文件的有效性、完整性和响应程度进行审核时，以</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书面形式</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23.3.3 磋商过程中，磋商小组可以根据磋商文件和磋商情况实质性变动采购需求中的技术、服务要求以及合同草案条款，但不得变动磋商文件中的其他内容。实质性变动的内容，</w:t>
      </w:r>
      <w:r>
        <w:rPr>
          <w:rFonts w:hint="default"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t>需</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经采购人代表确认，并成为磋商文件的有效组成部分。</w:t>
      </w:r>
    </w:p>
    <w:p>
      <w:pPr>
        <w:pStyle w:val="2"/>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23.3.4 如出现下述情形之一的，视为供应商主动退出磋商，其响应将被拒绝：</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（1）供应商未按要求确认磋商小组确定的本项目最终技术需求的；</w:t>
      </w:r>
    </w:p>
    <w:p>
      <w:pPr>
        <w:pStyle w:val="2"/>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（2）最后报价未实质性响应磋商小组确定的本项目最终技术需求的，或附有采购人无法接受的条件的。</w:t>
      </w:r>
    </w:p>
    <w:p>
      <w:pPr>
        <w:pStyle w:val="2"/>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 w:val="24"/>
          <w:szCs w:val="21"/>
          <w:highlight w:val="none"/>
          <w14:textFill>
            <w14:solidFill>
              <w14:schemeClr w14:val="tx1"/>
            </w14:solidFill>
          </w14:textFill>
        </w:rPr>
        <w:t>23.4   最后报价</w:t>
      </w:r>
    </w:p>
    <w:p>
      <w:pPr>
        <w:pStyle w:val="2"/>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6"/>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pPr>
      <w:bookmarkStart w:id="323" w:name="_Toc150774646"/>
      <w:bookmarkStart w:id="324" w:name="_Toc151190173"/>
      <w:bookmarkStart w:id="325" w:name="_Toc249525191"/>
      <w:bookmarkStart w:id="326" w:name="_Toc520356170"/>
      <w:bookmarkStart w:id="327" w:name="_Toc149720839"/>
      <w:bookmarkStart w:id="328" w:name="_Toc127151747"/>
      <w:bookmarkStart w:id="329" w:name="_Toc164229387"/>
      <w:bookmarkStart w:id="330" w:name="_Toc150509297"/>
      <w:bookmarkStart w:id="331" w:name="_Toc142311048"/>
      <w:bookmarkStart w:id="332" w:name="_Toc127151546"/>
      <w:bookmarkStart w:id="333" w:name="_Toc127161460"/>
      <w:bookmarkStart w:id="334" w:name="_Toc151193644"/>
      <w:bookmarkStart w:id="335" w:name="_Toc151193934"/>
      <w:bookmarkStart w:id="336" w:name="_Toc151193860"/>
      <w:bookmarkStart w:id="337" w:name="_Toc195842911"/>
      <w:bookmarkStart w:id="338" w:name="_Toc151193788"/>
      <w:bookmarkStart w:id="339" w:name="_Toc150774751"/>
      <w:bookmarkStart w:id="340" w:name="_Toc164229241"/>
      <w:bookmarkStart w:id="341" w:name="_Ref467307010"/>
      <w:bookmarkStart w:id="342" w:name="_Toc249515310"/>
      <w:bookmarkStart w:id="343" w:name="_Toc150480784"/>
      <w:bookmarkStart w:id="344" w:name="_Toc164351640"/>
      <w:bookmarkStart w:id="345" w:name="_Toc151193716"/>
      <w:bookmarkStart w:id="346" w:name="_Toc164608660"/>
      <w:bookmarkStart w:id="347" w:name="_Toc164608815"/>
      <w:bookmarkStart w:id="348" w:name="_Toc249515422"/>
      <w:bookmarkStart w:id="349" w:name="_Toc13753"/>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24.    评审办法及</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落实政府采购政策，详见第三章。</w:t>
      </w:r>
    </w:p>
    <w:p>
      <w:pPr>
        <w:rPr>
          <w:rFonts w:hint="default" w:ascii="Times New Roman" w:hAnsi="Times New Roman" w:eastAsia="仿宋_GB2312" w:cs="Times New Roman"/>
          <w:i w:val="0"/>
          <w:iCs w:val="0"/>
          <w:color w:val="000000" w:themeColor="text1"/>
          <w:highlight w:val="none"/>
          <w14:textFill>
            <w14:solidFill>
              <w14:schemeClr w14:val="tx1"/>
            </w14:solidFill>
          </w14:textFill>
        </w:rPr>
      </w:pP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20"/>
    <w:p>
      <w:pPr>
        <w:pStyle w:val="78"/>
        <w:spacing w:before="24" w:after="24"/>
        <w:jc w:val="center"/>
        <w:outlineLvl w:val="2"/>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pPr>
      <w:bookmarkStart w:id="350" w:name="_Hlt491765714"/>
      <w:bookmarkEnd w:id="350"/>
      <w:bookmarkStart w:id="351" w:name="_Hlt497729446"/>
      <w:bookmarkEnd w:id="351"/>
      <w:bookmarkStart w:id="352" w:name="_Toc256342149"/>
      <w:bookmarkStart w:id="353" w:name="_Toc249515423"/>
      <w:bookmarkStart w:id="354" w:name="_Toc249525192"/>
      <w:bookmarkStart w:id="355" w:name="_Toc232176278"/>
      <w:bookmarkStart w:id="356" w:name="_Toc249515311"/>
      <w:bookmarkStart w:id="357" w:name="_Toc68590974"/>
      <w:bookmarkStart w:id="358" w:name="_Toc232395218"/>
      <w:bookmarkStart w:id="359" w:name="_Toc184043047"/>
      <w:bookmarkStart w:id="360" w:name="_Toc177995479"/>
      <w:bookmarkStart w:id="361" w:name="_Toc177189241"/>
      <w:bookmarkStart w:id="362" w:name="_Toc176882548"/>
      <w:bookmarkStart w:id="363" w:name="_Toc177817340"/>
      <w:bookmarkStart w:id="364" w:name="_Toc503063428"/>
      <w:bookmarkStart w:id="365" w:name="_Toc492955421"/>
      <w:bookmarkStart w:id="366" w:name="_Toc499711049"/>
      <w:bookmarkStart w:id="367" w:name="_Toc385992360"/>
      <w:bookmarkStart w:id="368" w:name="_Toc500746972"/>
      <w:bookmarkStart w:id="369" w:name="_Toc70687174"/>
      <w:bookmarkStart w:id="370" w:name="_Toc500747195"/>
      <w:bookmarkStart w:id="371" w:name="_Toc499711890"/>
      <w:bookmarkStart w:id="372" w:name="_Toc500747068"/>
      <w:bookmarkStart w:id="373" w:name="_Toc389620199"/>
      <w:bookmarkStart w:id="374" w:name="_Toc53722846"/>
      <w:bookmarkStart w:id="375" w:name="_Toc496324585"/>
      <w:r>
        <w:rPr>
          <w:rFonts w:hint="default" w:ascii="Times New Roman" w:hAnsi="Times New Roman" w:eastAsia="仿宋_GB2312" w:cs="Times New Roman"/>
          <w:i w:val="0"/>
          <w:iCs w:val="0"/>
          <w:color w:val="000000" w:themeColor="text1"/>
          <w:sz w:val="30"/>
          <w:szCs w:val="30"/>
          <w:highlight w:val="none"/>
          <w14:textFill>
            <w14:solidFill>
              <w14:schemeClr w14:val="tx1"/>
            </w14:solidFill>
          </w14:textFill>
        </w:rPr>
        <w:t>六、确定成交单位、授予合同</w:t>
      </w:r>
      <w:bookmarkEnd w:id="352"/>
      <w:bookmarkEnd w:id="353"/>
      <w:bookmarkEnd w:id="354"/>
      <w:bookmarkEnd w:id="355"/>
      <w:bookmarkEnd w:id="356"/>
      <w:bookmarkEnd w:id="357"/>
      <w:bookmarkEnd w:id="358"/>
    </w:p>
    <w:p>
      <w:pPr>
        <w:rPr>
          <w:rFonts w:hint="default" w:ascii="Times New Roman" w:hAnsi="Times New Roman" w:eastAsia="仿宋_GB2312" w:cs="Times New Roman"/>
          <w:i w:val="0"/>
          <w:iCs w:val="0"/>
          <w:color w:val="000000" w:themeColor="text1"/>
          <w:highlight w:val="none"/>
          <w14:textFill>
            <w14:solidFill>
              <w14:schemeClr w14:val="tx1"/>
            </w14:solidFill>
          </w14:textFill>
        </w:rPr>
      </w:pP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pStyle w:val="6"/>
        <w:numPr>
          <w:ilvl w:val="0"/>
          <w:numId w:val="9"/>
        </w:numP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pPr>
      <w:bookmarkStart w:id="376" w:name="_Toc389620200"/>
      <w:bookmarkStart w:id="377" w:name="_Toc249515312"/>
      <w:bookmarkStart w:id="378" w:name="_Toc184043048"/>
      <w:bookmarkStart w:id="379" w:name="_Toc249525193"/>
      <w:bookmarkStart w:id="380" w:name="_Toc249515424"/>
      <w:bookmarkStart w:id="381" w:name="_Toc27151"/>
      <w:bookmarkStart w:id="382" w:name="_Toc385992361"/>
      <w:bookmarkStart w:id="383" w:name="_Toc70687175"/>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 xml:space="preserve">   确定成交</w:t>
      </w:r>
      <w:bookmarkEnd w:id="376"/>
      <w:bookmarkEnd w:id="377"/>
      <w:bookmarkEnd w:id="378"/>
      <w:bookmarkEnd w:id="379"/>
      <w:bookmarkEnd w:id="380"/>
      <w:bookmarkEnd w:id="381"/>
      <w:bookmarkEnd w:id="382"/>
      <w:bookmarkEnd w:id="383"/>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单位</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25.1   采购代理机构应在评审结束后两个工作日内，将评审报告送采购人。</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25.3   采购代理机构在接到采购人的成交复函后，</w:t>
      </w:r>
      <w:r>
        <w:rPr>
          <w:rFonts w:hint="eastAsia"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t>两个工作日内</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25.4   采购代理机构将评审过程及成交供应商情况书面报监督机构备案。</w:t>
      </w:r>
      <w:bookmarkStart w:id="384" w:name="_Toc389620203"/>
      <w:bookmarkStart w:id="385" w:name="_Toc385992364"/>
    </w:p>
    <w:bookmarkEnd w:id="384"/>
    <w:bookmarkEnd w:id="385"/>
    <w:p>
      <w:pPr>
        <w:pStyle w:val="6"/>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pPr>
      <w:bookmarkStart w:id="386" w:name="_Toc385992365"/>
      <w:bookmarkStart w:id="387" w:name="_Toc389620204"/>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26.    合同</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26.3   成交供应商签订合同后，持合同原件到采购代理机构，或采购代理机构根据陕西省政府采购网合同备案结果办理保证金退还手续。</w:t>
      </w:r>
    </w:p>
    <w:p>
      <w:pPr>
        <w:pStyle w:val="6"/>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27.    询问与质疑 </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27.1   供应商对政府采购活动事项有疑问的，可以向采购人提出询问。</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27.3   质疑供应商在法定质疑期内须一次性提出针对同一采购程序环节的质疑。</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27.4   供应商提出质疑应当提交质疑函和必要的证明材料。质疑函应当包括下列内容：</w:t>
      </w:r>
    </w:p>
    <w:p>
      <w:pPr>
        <w:pStyle w:val="68"/>
        <w:numPr>
          <w:ilvl w:val="0"/>
          <w:numId w:val="10"/>
        </w:numPr>
        <w:tabs>
          <w:tab w:val="left" w:pos="588"/>
        </w:tabs>
        <w:spacing w:line="360" w:lineRule="auto"/>
        <w:ind w:left="846" w:hanging="6" w:firstLineChars="0"/>
        <w:jc w:val="left"/>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供应商的姓名或者名称、地址、邮编、联系人及联系电话；</w:t>
      </w:r>
    </w:p>
    <w:p>
      <w:pPr>
        <w:pStyle w:val="68"/>
        <w:numPr>
          <w:ilvl w:val="0"/>
          <w:numId w:val="10"/>
        </w:numPr>
        <w:tabs>
          <w:tab w:val="left" w:pos="588"/>
        </w:tabs>
        <w:spacing w:line="360" w:lineRule="auto"/>
        <w:ind w:left="846" w:hanging="6" w:firstLineChars="0"/>
        <w:jc w:val="left"/>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质疑项目的名称、编号；</w:t>
      </w:r>
    </w:p>
    <w:p>
      <w:pPr>
        <w:pStyle w:val="68"/>
        <w:numPr>
          <w:ilvl w:val="0"/>
          <w:numId w:val="10"/>
        </w:numPr>
        <w:tabs>
          <w:tab w:val="left" w:pos="588"/>
        </w:tabs>
        <w:spacing w:line="360" w:lineRule="auto"/>
        <w:ind w:left="846" w:hanging="6" w:firstLineChars="0"/>
        <w:jc w:val="left"/>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具体、明确的质疑事项和与质疑事项相关的请求；</w:t>
      </w:r>
    </w:p>
    <w:p>
      <w:pPr>
        <w:pStyle w:val="68"/>
        <w:numPr>
          <w:ilvl w:val="0"/>
          <w:numId w:val="10"/>
        </w:numPr>
        <w:tabs>
          <w:tab w:val="left" w:pos="588"/>
        </w:tabs>
        <w:spacing w:line="360" w:lineRule="auto"/>
        <w:ind w:left="846" w:hanging="6" w:firstLineChars="0"/>
        <w:jc w:val="left"/>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事实依据；</w:t>
      </w:r>
    </w:p>
    <w:p>
      <w:pPr>
        <w:pStyle w:val="68"/>
        <w:numPr>
          <w:ilvl w:val="0"/>
          <w:numId w:val="10"/>
        </w:numPr>
        <w:tabs>
          <w:tab w:val="left" w:pos="588"/>
        </w:tabs>
        <w:spacing w:line="360" w:lineRule="auto"/>
        <w:ind w:left="846" w:hanging="6" w:firstLineChars="0"/>
        <w:jc w:val="left"/>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必要的法律依据；</w:t>
      </w:r>
    </w:p>
    <w:p>
      <w:pPr>
        <w:pStyle w:val="68"/>
        <w:numPr>
          <w:ilvl w:val="0"/>
          <w:numId w:val="10"/>
        </w:numPr>
        <w:tabs>
          <w:tab w:val="left" w:pos="588"/>
        </w:tabs>
        <w:spacing w:line="360" w:lineRule="auto"/>
        <w:ind w:left="846" w:hanging="6" w:firstLineChars="0"/>
        <w:jc w:val="left"/>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提出质疑的日期。</w:t>
      </w:r>
    </w:p>
    <w:p>
      <w:pPr>
        <w:pStyle w:val="68"/>
        <w:tabs>
          <w:tab w:val="left" w:pos="588"/>
        </w:tabs>
        <w:spacing w:line="360" w:lineRule="auto"/>
        <w:ind w:left="838" w:leftChars="399" w:firstLine="0" w:firstLineChars="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27.5   符合要求的质疑，采购代理机构将予以受理并答复。</w:t>
      </w:r>
    </w:p>
    <w:p>
      <w:pPr>
        <w:tabs>
          <w:tab w:val="left" w:pos="588"/>
        </w:tabs>
        <w:spacing w:line="360" w:lineRule="auto"/>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联系人：</w:t>
      </w:r>
      <w:r>
        <w:rPr>
          <w:rFonts w:hint="eastAsia" w:eastAsia="仿宋_GB2312" w:cs="Times New Roman"/>
          <w:i w:val="0"/>
          <w:iCs w:val="0"/>
          <w:color w:val="000000" w:themeColor="text1"/>
          <w:sz w:val="24"/>
          <w:highlight w:val="none"/>
          <w:lang w:eastAsia="zh-CN"/>
          <w14:textFill>
            <w14:solidFill>
              <w14:schemeClr w14:val="tx1"/>
            </w14:solidFill>
          </w14:textFill>
        </w:rPr>
        <w:t>综合办公室</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，联系电话：029-85235014</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27.6   供应商进行虚假和恶意质疑的，采购代理机构将提供相关资料报监督机构，按其情况进行相应处理。</w:t>
      </w:r>
    </w:p>
    <w:bookmarkEnd w:id="386"/>
    <w:bookmarkEnd w:id="387"/>
    <w:p>
      <w:pPr>
        <w:pStyle w:val="6"/>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pPr>
      <w:bookmarkStart w:id="388" w:name="_Toc25547"/>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28.    履约保证金</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28.1   履约保证金金额见</w:t>
      </w:r>
      <w:r>
        <w:rPr>
          <w:rFonts w:hint="default" w:ascii="Times New Roman" w:hAnsi="Times New Roman" w:eastAsia="仿宋_GB2312" w:cs="Times New Roman"/>
          <w:b/>
          <w:i w:val="0"/>
          <w:iCs w:val="0"/>
          <w:color w:val="000000" w:themeColor="text1"/>
          <w:sz w:val="24"/>
          <w:highlight w:val="none"/>
          <w14:textFill>
            <w14:solidFill>
              <w14:schemeClr w14:val="tx1"/>
            </w14:solidFill>
          </w14:textFill>
        </w:rPr>
        <w:t>供应商须知前附表</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w:t>
      </w:r>
    </w:p>
    <w:p>
      <w:pPr>
        <w:tabs>
          <w:tab w:val="left" w:pos="588"/>
        </w:tabs>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28.2   履约保证金缴纳时间：合同签订前必须交纳至（采购人）。</w:t>
      </w:r>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28.3   履约保证金缴纳形式：成交供应商应当以支票、汇票、本票、保函（格式见附件2）等非现金形式缴纳。</w:t>
      </w:r>
    </w:p>
    <w:p>
      <w:pPr>
        <w:tabs>
          <w:tab w:val="left" w:pos="588"/>
        </w:tabs>
        <w:spacing w:line="360" w:lineRule="auto"/>
        <w:rPr>
          <w:rFonts w:hint="eastAsia"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28.4   履约保证金收取单位名称：</w:t>
      </w:r>
    </w:p>
    <w:p>
      <w:pPr>
        <w:tabs>
          <w:tab w:val="left" w:pos="588"/>
        </w:tabs>
        <w:spacing w:line="360" w:lineRule="auto"/>
        <w:ind w:left="840" w:leftChars="400"/>
        <w:rPr>
          <w:rFonts w:hint="eastAsia"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开户银行：</w:t>
      </w:r>
    </w:p>
    <w:p>
      <w:pPr>
        <w:tabs>
          <w:tab w:val="left" w:pos="588"/>
        </w:tabs>
        <w:spacing w:line="360" w:lineRule="auto"/>
        <w:ind w:left="840" w:leftChars="400"/>
        <w:rPr>
          <w:rFonts w:hint="eastAsia"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账号：</w:t>
      </w:r>
    </w:p>
    <w:p>
      <w:pPr>
        <w:tabs>
          <w:tab w:val="left" w:pos="588"/>
        </w:tabs>
        <w:spacing w:line="360" w:lineRule="auto"/>
        <w:ind w:left="840" w:leftChars="400"/>
        <w:rPr>
          <w:rFonts w:hint="eastAsia"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联系人：            联系电话：</w:t>
      </w:r>
    </w:p>
    <w:p>
      <w:pPr>
        <w:tabs>
          <w:tab w:val="left" w:pos="588"/>
        </w:tabs>
        <w:spacing w:line="360" w:lineRule="auto"/>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28.5   履约保证金退还的方式、时间、条件：</w:t>
      </w:r>
    </w:p>
    <w:p>
      <w:pPr>
        <w:tabs>
          <w:tab w:val="left" w:pos="588"/>
        </w:tabs>
        <w:spacing w:line="360" w:lineRule="auto"/>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28.6   履约保证金不予退还的情况：</w:t>
      </w:r>
    </w:p>
    <w:p>
      <w:pPr>
        <w:tabs>
          <w:tab w:val="left" w:pos="588"/>
        </w:tabs>
        <w:spacing w:line="360" w:lineRule="auto"/>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28.7   逾期退还履约保证金的违约责任：</w:t>
      </w:r>
    </w:p>
    <w:p>
      <w:pPr>
        <w:pStyle w:val="6"/>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29.    成交服务费</w:t>
      </w:r>
      <w:bookmarkEnd w:id="388"/>
    </w:p>
    <w:p>
      <w:pPr>
        <w:tabs>
          <w:tab w:val="left" w:pos="588"/>
        </w:tabs>
        <w:spacing w:line="360" w:lineRule="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29.1   成交供应商在领取成交通知书前，须向采购代理机构支付成交服务费，服务费由采购人与采购代理机构约定：</w:t>
      </w:r>
    </w:p>
    <w:p>
      <w:pPr>
        <w:snapToGrid w:val="0"/>
        <w:spacing w:line="360" w:lineRule="auto"/>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eastAsia" w:eastAsia="仿宋_GB2312" w:cs="Times New Roman"/>
          <w:i w:val="0"/>
          <w:iCs w:val="0"/>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参照原国家计委计价格〔2002〕1980号文和国家发改委发改办价格〔200</w:t>
      </w:r>
      <w:r>
        <w:rPr>
          <w:rFonts w:hint="default"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t>3</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〕857号文的计算方法</w:t>
      </w:r>
      <w:r>
        <w:rPr>
          <w:rFonts w:hint="eastAsia" w:eastAsia="仿宋_GB2312" w:cs="Times New Roman"/>
          <w:i w:val="0"/>
          <w:iCs w:val="0"/>
          <w:color w:val="000000" w:themeColor="text1"/>
          <w:sz w:val="24"/>
          <w:highlight w:val="none"/>
          <w:lang w:eastAsia="zh-CN"/>
          <w14:textFill>
            <w14:solidFill>
              <w14:schemeClr w14:val="tx1"/>
            </w14:solidFill>
          </w14:textFill>
        </w:rPr>
        <w:t>（按标段）</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收取</w:t>
      </w:r>
      <w:r>
        <w:rPr>
          <w:rFonts w:eastAsia="仿宋_GB2312"/>
          <w:color w:val="000000" w:themeColor="text1"/>
          <w:sz w:val="24"/>
          <w14:textFill>
            <w14:solidFill>
              <w14:schemeClr w14:val="tx1"/>
            </w14:solidFill>
          </w14:textFill>
        </w:rPr>
        <w:t>（按标准</w:t>
      </w:r>
      <w:r>
        <w:rPr>
          <w:rFonts w:hint="eastAsia" w:eastAsia="仿宋_GB2312"/>
          <w:color w:val="000000" w:themeColor="text1"/>
          <w:sz w:val="24"/>
          <w:lang w:eastAsia="zh-CN"/>
          <w14:textFill>
            <w14:solidFill>
              <w14:schemeClr w14:val="tx1"/>
            </w14:solidFill>
          </w14:textFill>
        </w:rPr>
        <w:t>收取</w:t>
      </w:r>
      <w:r>
        <w:rPr>
          <w:rFonts w:eastAsia="仿宋_GB2312"/>
          <w:color w:val="000000" w:themeColor="text1"/>
          <w:sz w:val="24"/>
          <w14:textFill>
            <w14:solidFill>
              <w14:schemeClr w14:val="tx1"/>
            </w14:solidFill>
          </w14:textFill>
        </w:rPr>
        <w:t>）</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w:t>
      </w:r>
    </w:p>
    <w:p>
      <w:pPr>
        <w:snapToGrid w:val="0"/>
        <w:spacing w:line="360" w:lineRule="auto"/>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29.2   成交单位的代理服务费交纳信息</w:t>
      </w:r>
    </w:p>
    <w:p>
      <w:pPr>
        <w:snapToGrid w:val="0"/>
        <w:spacing w:line="360" w:lineRule="auto"/>
        <w:ind w:firstLine="840" w:firstLine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银行户名：陕西省采购招标有限责任公司</w:t>
      </w:r>
    </w:p>
    <w:p>
      <w:pPr>
        <w:snapToGrid w:val="0"/>
        <w:spacing w:line="360" w:lineRule="auto"/>
        <w:ind w:firstLine="840" w:firstLine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开户银行：中国光大银行西安友谊路支行</w:t>
      </w:r>
    </w:p>
    <w:p>
      <w:pPr>
        <w:snapToGrid w:val="0"/>
        <w:spacing w:line="360" w:lineRule="auto"/>
        <w:ind w:firstLine="840" w:firstLine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账    号：78560188000095264</w:t>
      </w:r>
    </w:p>
    <w:p>
      <w:pPr>
        <w:snapToGrid w:val="0"/>
        <w:spacing w:line="360" w:lineRule="auto"/>
        <w:ind w:firstLine="840" w:firstLine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联</w:t>
      </w:r>
      <w:r>
        <w:rPr>
          <w:rFonts w:hint="default"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系</w:t>
      </w:r>
      <w:r>
        <w:rPr>
          <w:rFonts w:hint="default"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人：</w:t>
      </w:r>
      <w:r>
        <w:rPr>
          <w:rFonts w:hint="eastAsia" w:eastAsia="仿宋_GB2312" w:cs="Times New Roman"/>
          <w:i w:val="0"/>
          <w:iCs w:val="0"/>
          <w:color w:val="000000" w:themeColor="text1"/>
          <w:sz w:val="24"/>
          <w:highlight w:val="none"/>
          <w:lang w:eastAsia="zh-CN"/>
          <w14:textFill>
            <w14:solidFill>
              <w14:schemeClr w14:val="tx1"/>
            </w14:solidFill>
          </w14:textFill>
        </w:rPr>
        <w:t>财务部</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 xml:space="preserve">   联系电话：029-85263975</w:t>
      </w:r>
    </w:p>
    <w:p>
      <w:pPr>
        <w:snapToGrid w:val="0"/>
        <w:spacing w:line="360" w:lineRule="auto"/>
        <w:rPr>
          <w:rFonts w:hint="default"/>
          <w:color w:val="000000" w:themeColor="text1"/>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29.3   成交服务费已包含在供应商的响应报价中，不在响应分项报价表中单独列项。</w:t>
      </w:r>
    </w:p>
    <w:p>
      <w:pPr>
        <w:pStyle w:val="6"/>
        <w:numPr>
          <w:ilvl w:val="0"/>
          <w:numId w:val="11"/>
        </w:numP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pPr>
      <w:bookmarkStart w:id="389" w:name="_Toc1585"/>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 xml:space="preserve">  采购人追加采购数量的权力</w:t>
      </w:r>
      <w:bookmarkEnd w:id="389"/>
    </w:p>
    <w:p>
      <w:pPr>
        <w:tabs>
          <w:tab w:val="left" w:pos="588"/>
        </w:tabs>
        <w:spacing w:line="360" w:lineRule="auto"/>
        <w:ind w:left="840" w:leftChars="40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bookmarkStart w:id="390" w:name="_Toc385992366"/>
      <w:bookmarkStart w:id="391" w:name="_Toc389620205"/>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在合同履行中，采购人需追加与合同标的相同服务的，在不改变合同其他条款的前提下，采购人有权与成交供应商协商签订补充合同，但所有补充合同的采购金额不得超过原合同采购金额的10%。</w:t>
      </w:r>
    </w:p>
    <w:p>
      <w:pPr>
        <w:pStyle w:val="6"/>
        <w:numPr>
          <w:ilvl w:val="0"/>
          <w:numId w:val="11"/>
        </w:numP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 xml:space="preserve">   其他情况</w:t>
      </w:r>
    </w:p>
    <w:p>
      <w:pPr>
        <w:pStyle w:val="2"/>
        <w:shd w:val="clear" w:color="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shd w:val="clear" w:color="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31.2   连续两次进行竞争性磋商活动，因符合磋商要求供应商不足3家，经请示政府采购管理部门同意后，可继续进行竞争性磋商活动。</w:t>
      </w:r>
    </w:p>
    <w:p>
      <w:pPr>
        <w:pStyle w:val="6"/>
        <w:numPr>
          <w:ilvl w:val="0"/>
          <w:numId w:val="11"/>
        </w:numP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pPr>
      <w:r>
        <w:rPr>
          <w:rFonts w:hint="default" w:ascii="Times New Roman" w:hAnsi="Times New Roman" w:eastAsia="仿宋_GB2312" w:cs="Times New Roman"/>
          <w:b/>
          <w:bCs/>
          <w:i w:val="0"/>
          <w:iCs w:val="0"/>
          <w:color w:val="000000" w:themeColor="text1"/>
          <w:sz w:val="24"/>
          <w:szCs w:val="21"/>
          <w:highlight w:val="none"/>
          <w:lang w:val="en-US" w:eastAsia="zh-CN"/>
          <w14:textFill>
            <w14:solidFill>
              <w14:schemeClr w14:val="tx1"/>
            </w14:solidFill>
          </w14:textFill>
        </w:rPr>
        <w:t xml:space="preserve">   </w:t>
      </w:r>
      <w:r>
        <w:rPr>
          <w:rFonts w:hint="default" w:ascii="Times New Roman" w:hAnsi="Times New Roman" w:eastAsia="仿宋_GB2312" w:cs="Times New Roman"/>
          <w:b/>
          <w:bCs/>
          <w:i w:val="0"/>
          <w:iCs w:val="0"/>
          <w:color w:val="000000" w:themeColor="text1"/>
          <w:sz w:val="24"/>
          <w:szCs w:val="21"/>
          <w:highlight w:val="none"/>
          <w14:textFill>
            <w14:solidFill>
              <w14:schemeClr w14:val="tx1"/>
            </w14:solidFill>
          </w14:textFill>
        </w:rPr>
        <w:t>政府采购信用担保及融资</w:t>
      </w:r>
    </w:p>
    <w:p>
      <w:pPr>
        <w:pStyle w:val="2"/>
        <w:shd w:val="clear" w:color="auto"/>
        <w:ind w:left="840" w:hanging="840"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32.</w:t>
      </w:r>
      <w:r>
        <w:rPr>
          <w:rFonts w:hint="eastAsia"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t>1</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 xml:space="preserve">   供应商递交的履约担保函应符合本磋商文件的规定。</w:t>
      </w:r>
    </w:p>
    <w:p>
      <w:pPr>
        <w:spacing w:line="360" w:lineRule="auto"/>
        <w:ind w:left="850" w:hanging="849" w:hangingChars="354"/>
        <w:rPr>
          <w:rFonts w:hint="default"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32.</w:t>
      </w:r>
      <w:r>
        <w:rPr>
          <w:rFonts w:hint="eastAsia"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t>2</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ascii="Times New Roman" w:hAnsi="Times New Roman" w:eastAsia="仿宋_GB2312" w:cs="Times New Roman"/>
          <w:i w:val="0"/>
          <w:iCs w:val="0"/>
          <w:color w:val="000000" w:themeColor="text1"/>
          <w:sz w:val="24"/>
          <w:highlight w:val="none"/>
          <w:lang w:eastAsia="zh-CN"/>
          <w14:textFill>
            <w14:solidFill>
              <w14:schemeClr w14:val="tx1"/>
            </w14:solidFill>
          </w14:textFill>
        </w:rPr>
        <w:t>（http://www.ccgp-shaanxi.gov.cn/zcdservice/zcd/shanxi/）</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”了解详情。</w:t>
      </w:r>
    </w:p>
    <w:p>
      <w:pPr>
        <w:pStyle w:val="2"/>
        <w:tabs>
          <w:tab w:val="left" w:pos="567"/>
        </w:tabs>
        <w:spacing w:line="360" w:lineRule="auto"/>
        <w:ind w:left="840" w:leftChars="400" w:firstLine="0" w:firstLineChars="0"/>
        <w:rPr>
          <w:rFonts w:hint="eastAsia"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spacing w:line="360" w:lineRule="auto"/>
        <w:ind w:left="840" w:leftChars="400" w:firstLine="0" w:firstLineChars="0"/>
        <w:rPr>
          <w:rFonts w:hint="default"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spacing w:line="360" w:lineRule="auto"/>
        <w:ind w:left="840" w:leftChars="400" w:firstLine="0" w:firstLineChars="0"/>
        <w:rPr>
          <w:rFonts w:hint="default"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spacing w:line="360" w:lineRule="auto"/>
        <w:ind w:left="840" w:leftChars="400" w:firstLine="0" w:firstLineChars="0"/>
        <w:rPr>
          <w:rFonts w:hint="default"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spacing w:line="360" w:lineRule="auto"/>
        <w:ind w:left="840" w:leftChars="400" w:firstLine="0" w:firstLineChars="0"/>
        <w:rPr>
          <w:rFonts w:hint="default"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spacing w:line="360" w:lineRule="auto"/>
        <w:ind w:left="840" w:leftChars="400" w:firstLine="0" w:firstLineChars="0"/>
        <w:rPr>
          <w:rFonts w:hint="eastAsia"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i w:val="0"/>
          <w:iCs w:val="0"/>
          <w:color w:val="000000" w:themeColor="text1"/>
          <w:kern w:val="2"/>
          <w:sz w:val="24"/>
          <w:szCs w:val="24"/>
          <w:highlight w:val="none"/>
          <w:lang w:val="en-US" w:eastAsia="zh-CN" w:bidi="ar-SA"/>
          <w14:textFill>
            <w14:solidFill>
              <w14:schemeClr w14:val="tx1"/>
            </w14:solidFill>
          </w14:textFill>
        </w:rPr>
        <w:t>业务流程简图如下：</w:t>
      </w:r>
    </w:p>
    <w:p>
      <w:pPr>
        <w:pStyle w:val="2"/>
        <w:tabs>
          <w:tab w:val="left" w:pos="567"/>
        </w:tabs>
        <w:spacing w:line="360" w:lineRule="auto"/>
        <w:ind w:left="840" w:leftChars="400"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935" distR="114935" simplePos="0" relativeHeight="251659264" behindDoc="1" locked="0" layoutInCell="1" allowOverlap="1">
            <wp:simplePos x="0" y="0"/>
            <wp:positionH relativeFrom="column">
              <wp:posOffset>19050</wp:posOffset>
            </wp:positionH>
            <wp:positionV relativeFrom="paragraph">
              <wp:posOffset>19050</wp:posOffset>
            </wp:positionV>
            <wp:extent cx="5756275" cy="3310255"/>
            <wp:effectExtent l="0" t="0" r="15875" b="4445"/>
            <wp:wrapTight wrapText="bothSides">
              <wp:wrapPolygon>
                <wp:start x="0" y="0"/>
                <wp:lineTo x="0" y="21505"/>
                <wp:lineTo x="21517" y="21505"/>
                <wp:lineTo x="21517"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756275" cy="3310255"/>
                    </a:xfrm>
                    <a:prstGeom prst="rect">
                      <a:avLst/>
                    </a:prstGeom>
                    <a:noFill/>
                    <a:ln>
                      <a:noFill/>
                    </a:ln>
                  </pic:spPr>
                </pic:pic>
              </a:graphicData>
            </a:graphic>
          </wp:anchor>
        </w:drawing>
      </w:r>
    </w:p>
    <w:p>
      <w:pPr>
        <w:pStyle w:val="2"/>
        <w:shd w:val="clear" w:color="auto"/>
        <w:ind w:left="840" w:hanging="735" w:hangingChars="3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758815" cy="3242310"/>
            <wp:effectExtent l="0" t="0" r="13335" b="152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hint="default" w:ascii="Times New Roman" w:hAnsi="Times New Roman" w:eastAsia="仿宋_GB2312" w:cs="Times New Roman"/>
          <w:i w:val="0"/>
          <w:iCs w:val="0"/>
          <w:color w:val="000000" w:themeColor="text1"/>
          <w:sz w:val="24"/>
          <w:szCs w:val="32"/>
          <w:highlight w:val="none"/>
          <w:lang w:eastAsia="zh-CN"/>
          <w14:textFill>
            <w14:solidFill>
              <w14:schemeClr w14:val="tx1"/>
            </w14:solidFill>
          </w14:textFill>
        </w:rPr>
      </w:pPr>
      <w:r>
        <w:rPr>
          <w:rFonts w:hint="default" w:ascii="Times New Roman" w:hAnsi="Times New Roman" w:eastAsia="仿宋_GB2312" w:cs="Times New Roman"/>
          <w:i w:val="0"/>
          <w:iCs w:val="0"/>
          <w:color w:val="000000" w:themeColor="text1"/>
          <w:sz w:val="24"/>
          <w:szCs w:val="32"/>
          <w:highlight w:val="none"/>
          <w:lang w:val="en-US" w:eastAsia="zh-CN"/>
          <w14:textFill>
            <w14:solidFill>
              <w14:schemeClr w14:val="tx1"/>
            </w14:solidFill>
          </w14:textFill>
        </w:rPr>
        <w:t>省级政府采购项目</w:t>
      </w:r>
      <w:r>
        <w:rPr>
          <w:rFonts w:hint="default" w:ascii="Times New Roman" w:hAnsi="Times New Roman" w:eastAsia="仿宋_GB2312" w:cs="Times New Roman"/>
          <w:i w:val="0"/>
          <w:iCs w:val="0"/>
          <w:color w:val="000000" w:themeColor="text1"/>
          <w:sz w:val="24"/>
          <w:szCs w:val="32"/>
          <w:highlight w:val="none"/>
          <w14:textFill>
            <w14:solidFill>
              <w14:schemeClr w14:val="tx1"/>
            </w14:solidFill>
          </w14:textFill>
        </w:rPr>
        <w:t>贷款银行信息</w:t>
      </w:r>
      <w:r>
        <w:rPr>
          <w:rFonts w:hint="default" w:ascii="Times New Roman" w:hAnsi="Times New Roman" w:eastAsia="仿宋_GB2312" w:cs="Times New Roman"/>
          <w:i w:val="0"/>
          <w:iCs w:val="0"/>
          <w:color w:val="000000" w:themeColor="text1"/>
          <w:sz w:val="24"/>
          <w:szCs w:val="32"/>
          <w:highlight w:val="none"/>
          <w:lang w:eastAsia="zh-CN"/>
          <w14:textFill>
            <w14:solidFill>
              <w14:schemeClr w14:val="tx1"/>
            </w14:solidFill>
          </w14:textFill>
        </w:rPr>
        <w:t>：</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highlight w:val="none"/>
          <w:lang w:val="en-US" w:eastAsia="zh-CN"/>
          <w14:textFill>
            <w14:solidFill>
              <w14:schemeClr w14:val="tx1"/>
            </w14:solidFill>
          </w14:textFill>
        </w:rPr>
        <w:t xml:space="preserve"> </w:t>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一、陕西建行（E政通）</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陕西省分行营业部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西安市南广济街38号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白玉皓</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13201603166</w:t>
      </w:r>
    </w:p>
    <w:p>
      <w:pP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eastAsia" w:eastAsia="仿宋_GB2312" w:cs="Times New Roman"/>
          <w:i w:val="0"/>
          <w:iCs w:val="0"/>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西安莲湖路支行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西安市莲湖路35号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刘  冲</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17702902131</w:t>
      </w:r>
    </w:p>
    <w:p>
      <w:pP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eastAsia" w:eastAsia="仿宋_GB2312" w:cs="Times New Roman"/>
          <w:i w:val="0"/>
          <w:iCs w:val="0"/>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西安曲江支行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西安市雁塔南路2216号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樊理君</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18691568151</w:t>
      </w:r>
    </w:p>
    <w:p>
      <w:pP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eastAsia" w:eastAsia="仿宋_GB2312" w:cs="Times New Roman"/>
          <w:i w:val="0"/>
          <w:iCs w:val="0"/>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西安高新区支行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西安市高新路42号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卞斯超</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15191075651</w:t>
      </w:r>
    </w:p>
    <w:p>
      <w:pP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eastAsia" w:eastAsia="仿宋_GB2312" w:cs="Times New Roman"/>
          <w:i w:val="0"/>
          <w:iCs w:val="0"/>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西安经开区支行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西安市未央路125号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惠  媛</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17792256100</w:t>
      </w:r>
    </w:p>
    <w:p>
      <w:pP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eastAsia" w:eastAsia="仿宋_GB2312" w:cs="Times New Roman"/>
          <w:i w:val="0"/>
          <w:iCs w:val="0"/>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西安南大街支行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西安市南大街15号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乔  鉴</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18089136919</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西安和平路支行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西安市和平路101号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陈  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18691816821</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西安兴庆路支行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西安市兴庆路61号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李  妍</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13892880386</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西安新城支行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西安市南新街29号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朱子君</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18629286269</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西安长安区支行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西安市长安区青年街2号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王淑芸</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13572289603</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咸阳分行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咸阳市西兰路4号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邰  洋</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13299079906</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宝鸡分行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宝鸡市红旗路36号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李  倩</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18629019817</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铜川分行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铜川市新区正阳路与长虹路十字</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张小波</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18691932636</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榆林分行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榆林市高新技术产业园区创业大厦</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张君君</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15991929275</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延安分行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延安市宝塔区中心街</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陈进佃</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15609110557</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汉中分行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汉中市石灰巷21号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王晨旭</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15319375850</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安康分行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安康市育才路102号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张少帅</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13165762680</w:t>
      </w:r>
    </w:p>
    <w:p>
      <w:pPr>
        <w:ind w:firstLine="42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商洛分行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商洛市名人街广电大楼下</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郭  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17809267188</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二、北京银行（政府订单贷）</w:t>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ab/>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西安分行营业部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        刘晓伟</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总经理助理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029-61828763</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18066630518</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西安高新开发区支行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    梁凡</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行长助理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029-61828531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18681945597</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西安曲江文创支行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    蒋超</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室经理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029-65667366</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15891737329</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西安经济技术开发区支行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孟庆龙</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行长助理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029-61828272</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13991990373</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西安长缨路支行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        范凯</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副行长</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029-68717760</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13991315609</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长安区西长安街支行   </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陈明</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行长助理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029-85724301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18149209660</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泾渭工业园支行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        杨奕</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室经理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029-68213773</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15934802021</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北客站科技支行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        周洁</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副行长</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029-61828129</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18629518636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解放路支行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            王莉</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行长助理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029-61828185</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15802966196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延安分行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            奥宝森</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室经理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0911-8076038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15592925222</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三、工商银行（政采贷）</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榆林分行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张岭</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0912-6183827</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15353386777</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宝鸡分行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郭进</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0917-3238282</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18991749262</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安康分行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郑婕</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0915-3236275</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15667856663</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铜川分行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彭东东</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0919-2151878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17392898832</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延安分行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党莹</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经理助理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0911-2380826</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15291142933</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汉中分行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杨薇薇</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部门副经理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0916-2606773</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18591607453</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渭南分行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张欢</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09132095066</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15229730006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咸阳分行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袁霖</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029-33259370</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18591006506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商洛分行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张铮</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经理助理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0914-2310908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18691410305</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商洛分行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余勇博</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0914-2310908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18092802280</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巩越</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029-87609419</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18629450680</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四、中信银行 （政采e贷）</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西安市朱雀大街中段1号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曹晓聪</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13759957407</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咸阳分行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秦皇中路绿苑大厦</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杭群</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13992016859</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宝鸡分行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宝鸡市高新大道50号财富大厦B座</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王尧</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13636762976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渭南分行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渭南市朝阳大街中段信达广场世纪明珠大厦</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杨阳</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18191815559</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榆林分行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榆林市高新区长兴路248号中信银行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刘洪巍</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13636885556</w:t>
      </w:r>
    </w:p>
    <w:p>
      <w:pPr>
        <w:ind w:left="1680" w:leftChars="200" w:hanging="1260" w:hangingChars="6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汉中分行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汉中市汉台区西二环路与劳动西路东南汉中滨江•公园壹号（产业孵化区）3B号楼</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陈真</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18509165068</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五、中国光大银行（阳光政采贷）</w:t>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ab/>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宝鸡分行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杨 欢</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0917-3451055</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18329677163</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榆林分行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尚云鹏</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0912-3548019</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18690473126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延安分行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汪昊田</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0911-8011831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13509115500</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咸阳分行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侯 佳</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32100021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15229500088</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营销一部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李 敏</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87236311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13772031109</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营销二部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朱翰辰</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87236201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17791788078</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营业部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张翔琮</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87236306</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18829235568</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电子城支行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张曼玉</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88247071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18009298787</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明德门支行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王 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85350770</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13991249430</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东大街支行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刘 林</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87438914</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15029673754</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经济开发区支行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陆家俊</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86525176</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18629303397</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凤城九路支行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宋 宜</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89155022</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18966911622</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兴庆路支行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司 洋</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83290033</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18629251819</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长乐西路支行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 超</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82566208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15877390201</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友谊路支行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贠程敏</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88422067</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18792795210</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边家村支行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王 鹏</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85251673</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15309223048</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北关支行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菅新培</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86248203</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18092169361</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南郊支行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程 拓</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85265234</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13772491661</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西关正街</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马 瑜</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89548109</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13772337373</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丈八东路支行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杨筱凡</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81026910</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15129044185</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雁塔路支行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闫梓闶</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82222501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18691561524</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唐延路支行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尉二宝</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88329478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13991930150</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枫林绿洲支行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杨 嘉</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87302120</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13609199490</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南关正街支行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郭 敏</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85230722</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18066610983</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南二环支行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刘 超</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88362861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18192080396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曲江支行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田 鹏</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81205890</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13991937977</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太白路支行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马振林</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68912880</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15353736656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明光路支行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刘二渭</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81623506</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13201793405</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凤城二路支行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 洋</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86680267</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13720423343</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昆明路支行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 洁</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84592506</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13991821278</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丈八北路支行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郭 浩</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81875192</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15667087662</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新城支行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余振东</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87251680</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18066617238</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六、浦发银行 （政采e贷）</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吴晨雨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029-63603803</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15991724645</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陈福全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029-63603441</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17782511994</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韩瑾</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029-63603443</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18202909790</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李瑞雪</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客户经理</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029-63603445</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18220862398</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榆林分行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陈晓晓</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公司业务部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0912-2216068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15691269965</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榆林分行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郭小东</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公司业务部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0912-2216008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15291820586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宝鸡分行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张一岚</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公司业务部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0917-8662919 </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18690008816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宝鸡分行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朱强</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公司业务部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0917-8662926 </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13909176381</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渭南分行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王晓峰</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公司业务部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0913-3357080</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13992363166</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咸阳分行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薛晗</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公司业务部</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029-32083788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15109226216</w:t>
      </w:r>
    </w:p>
    <w:p>
      <w:pP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七、兴业银行（政采贷）</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朱靖</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总监</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029-87482998</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13363979983</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八、中国民生银行（政采贷）</w:t>
      </w:r>
    </w:p>
    <w:p>
      <w:pPr>
        <w:ind w:left="2310" w:leftChars="200" w:hanging="1890" w:hangingChars="900"/>
        <w:rPr>
          <w:rFonts w:hint="eastAsia" w:ascii="Times New Roman" w:hAnsi="Times New Roman" w:eastAsia="仿宋_GB2312" w:cs="Times New Roman"/>
          <w:i w:val="0"/>
          <w:iCs w:val="0"/>
          <w:color w:val="000000" w:themeColor="text1"/>
          <w:szCs w:val="21"/>
          <w:highlight w:val="none"/>
          <w:lang w:eastAsia="zh-CN"/>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民生银行西安分行  联系人：陈经理 联系电话：61815275 /18821669199</w:t>
      </w:r>
    </w:p>
    <w:p>
      <w:pPr>
        <w:ind w:left="2310" w:leftChars="200" w:hanging="1890" w:hangingChars="9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联系人：王经理 联系电话：61815280 /18591953690 </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九、浙商银行 （政采贷）</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西安分行</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西安市雁塔区科技路259号</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曹金辉</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ab/>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18710993980</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 xml:space="preserve">十、 招商银行（政采贷） </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招商银行西安分行   联系人：任瑾；85438988</w:t>
      </w:r>
    </w:p>
    <w:p>
      <w:pP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 xml:space="preserve">十一、 长安银行（小微贷） </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长安银行西安曲江新区支行 地址：西安市曲江新区雁南一路3号  </w:t>
      </w:r>
    </w:p>
    <w:p>
      <w:pPr>
        <w:ind w:firstLine="420" w:firstLineChars="200"/>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 xml:space="preserve">联系人：陈瑶 13629266833 </w:t>
      </w:r>
    </w:p>
    <w:bookmarkEnd w:id="390"/>
    <w:bookmarkEnd w:id="391"/>
    <w:p>
      <w:pPr>
        <w:rPr>
          <w:rFonts w:hint="eastAsia" w:ascii="仿宋_GB2312" w:hAnsi="仿宋_GB2312" w:eastAsia="仿宋_GB2312" w:cs="仿宋_GB2312"/>
          <w:b/>
          <w:i w:val="0"/>
          <w:iCs w:val="0"/>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b/>
          <w:i w:val="0"/>
          <w:iCs w:val="0"/>
          <w:color w:val="000000" w:themeColor="text1"/>
          <w:sz w:val="21"/>
          <w:szCs w:val="21"/>
          <w:highlight w:val="none"/>
          <w14:textFill>
            <w14:solidFill>
              <w14:schemeClr w14:val="tx1"/>
            </w14:solidFill>
          </w14:textFill>
        </w:rPr>
        <w:t>十二、网商银行（合同贷）</w:t>
      </w:r>
    </w:p>
    <w:p>
      <w:pPr>
        <w:rPr>
          <w:rFonts w:hint="eastAsia" w:ascii="仿宋_GB2312" w:hAnsi="仿宋_GB2312" w:eastAsia="仿宋_GB2312" w:cs="仿宋_GB2312"/>
          <w:b/>
          <w:i w:val="0"/>
          <w:i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i w:val="0"/>
          <w:iCs w:val="0"/>
          <w:color w:val="000000" w:themeColor="text1"/>
          <w:sz w:val="21"/>
          <w:szCs w:val="21"/>
          <w:highlight w:val="none"/>
          <w14:textFill>
            <w14:solidFill>
              <w14:schemeClr w14:val="tx1"/>
            </w14:solidFill>
          </w14:textFill>
        </w:rPr>
        <w:t>十三、中国邮政储蓄银行陕西省分行（政采贷）</w:t>
      </w:r>
    </w:p>
    <w:p>
      <w:pPr>
        <w:pStyle w:val="2"/>
        <w:tabs>
          <w:tab w:val="left" w:pos="567"/>
        </w:tabs>
        <w:rPr>
          <w:rFonts w:hint="eastAsia" w:ascii="仿宋_GB2312" w:hAnsi="仿宋_GB2312" w:eastAsia="仿宋_GB2312" w:cs="仿宋_GB2312"/>
          <w:i w:val="0"/>
          <w:iCs w:val="0"/>
          <w:color w:val="000000" w:themeColor="text1"/>
          <w:sz w:val="21"/>
          <w:szCs w:val="21"/>
          <w:highlight w:val="none"/>
          <w:lang w:val="en-US" w:eastAsia="zh-CN"/>
          <w14:textFill>
            <w14:solidFill>
              <w14:schemeClr w14:val="tx1"/>
            </w14:solidFill>
          </w14:textFill>
        </w:rPr>
      </w:pPr>
    </w:p>
    <w:p>
      <w:pPr>
        <w:pStyle w:val="2"/>
        <w:tabs>
          <w:tab w:val="left" w:pos="567"/>
        </w:tabs>
        <w:rPr>
          <w:rFonts w:hint="eastAsia" w:ascii="仿宋_GB2312" w:hAnsi="仿宋_GB2312" w:eastAsia="仿宋_GB2312" w:cs="仿宋_GB2312"/>
          <w:i w:val="0"/>
          <w:i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highlight w:val="none"/>
          <w:lang w:val="en-US" w:eastAsia="zh-CN"/>
          <w14:textFill>
            <w14:solidFill>
              <w14:schemeClr w14:val="tx1"/>
            </w14:solidFill>
          </w14:textFill>
        </w:rPr>
        <w:t>渭南市政府采购</w:t>
      </w:r>
      <w:r>
        <w:rPr>
          <w:rFonts w:hint="eastAsia" w:ascii="仿宋_GB2312" w:hAnsi="仿宋_GB2312" w:eastAsia="仿宋_GB2312" w:cs="仿宋_GB2312"/>
          <w:i w:val="0"/>
          <w:iCs w:val="0"/>
          <w:color w:val="000000" w:themeColor="text1"/>
          <w:sz w:val="24"/>
          <w:szCs w:val="24"/>
          <w:highlight w:val="none"/>
          <w14:textFill>
            <w14:solidFill>
              <w14:schemeClr w14:val="tx1"/>
            </w14:solidFill>
          </w14:textFill>
        </w:rPr>
        <w:t>贷款银行信息</w:t>
      </w:r>
      <w:r>
        <w:rPr>
          <w:rFonts w:hint="eastAsia" w:ascii="仿宋_GB2312" w:hAnsi="仿宋_GB2312" w:eastAsia="仿宋_GB2312" w:cs="仿宋_GB2312"/>
          <w:i w:val="0"/>
          <w:iCs w:val="0"/>
          <w:color w:val="000000" w:themeColor="text1"/>
          <w:sz w:val="24"/>
          <w:szCs w:val="24"/>
          <w:highlight w:val="none"/>
          <w:lang w:eastAsia="zh-CN"/>
          <w14:textFill>
            <w14:solidFill>
              <w14:schemeClr w14:val="tx1"/>
            </w14:solidFill>
          </w14:textFill>
        </w:rPr>
        <w:t>：</w:t>
      </w:r>
    </w:p>
    <w:tbl>
      <w:tblPr>
        <w:tblStyle w:val="5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0"/>
        <w:gridCol w:w="2210"/>
        <w:gridCol w:w="2871"/>
        <w:gridCol w:w="2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13892535580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13892383911</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18191815559</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18191356300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张萱</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13028431555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18091365182</w:t>
            </w:r>
          </w:p>
        </w:tc>
      </w:tr>
    </w:tbl>
    <w:p>
      <w:pPr>
        <w:pStyle w:val="2"/>
        <w:tabs>
          <w:tab w:val="left" w:pos="567"/>
        </w:tabs>
        <w:rPr>
          <w:rFonts w:hint="eastAsia" w:ascii="仿宋_GB2312" w:hAnsi="仿宋_GB2312" w:eastAsia="仿宋_GB2312" w:cs="仿宋_GB2312"/>
          <w:i w:val="0"/>
          <w:iCs w:val="0"/>
          <w:color w:val="000000" w:themeColor="text1"/>
          <w:sz w:val="21"/>
          <w:szCs w:val="21"/>
          <w:highlight w:val="none"/>
          <w:lang w:val="en-US" w:eastAsia="zh-CN"/>
          <w14:textFill>
            <w14:solidFill>
              <w14:schemeClr w14:val="tx1"/>
            </w14:solidFill>
          </w14:textFill>
        </w:rPr>
      </w:pPr>
    </w:p>
    <w:p>
      <w:pPr>
        <w:pStyle w:val="2"/>
        <w:tabs>
          <w:tab w:val="left" w:pos="567"/>
        </w:tabs>
        <w:rPr>
          <w:rFonts w:hint="eastAsia" w:ascii="仿宋_GB2312" w:hAnsi="仿宋_GB2312" w:eastAsia="仿宋_GB2312" w:cs="仿宋_GB2312"/>
          <w:i w:val="0"/>
          <w:i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highlight w:val="none"/>
          <w:lang w:val="en-US" w:eastAsia="zh-CN"/>
          <w14:textFill>
            <w14:solidFill>
              <w14:schemeClr w14:val="tx1"/>
            </w14:solidFill>
          </w14:textFill>
        </w:rPr>
        <w:t>延安市政府采购</w:t>
      </w:r>
      <w:r>
        <w:rPr>
          <w:rFonts w:hint="eastAsia" w:ascii="仿宋_GB2312" w:hAnsi="仿宋_GB2312" w:eastAsia="仿宋_GB2312" w:cs="仿宋_GB2312"/>
          <w:i w:val="0"/>
          <w:iCs w:val="0"/>
          <w:color w:val="000000" w:themeColor="text1"/>
          <w:sz w:val="24"/>
          <w:szCs w:val="24"/>
          <w:highlight w:val="none"/>
          <w14:textFill>
            <w14:solidFill>
              <w14:schemeClr w14:val="tx1"/>
            </w14:solidFill>
          </w14:textFill>
        </w:rPr>
        <w:t>贷款银行信息</w:t>
      </w:r>
      <w:r>
        <w:rPr>
          <w:rFonts w:hint="eastAsia" w:ascii="仿宋_GB2312" w:hAnsi="仿宋_GB2312" w:eastAsia="仿宋_GB2312" w:cs="仿宋_GB2312"/>
          <w:i w:val="0"/>
          <w:iCs w:val="0"/>
          <w:color w:val="000000" w:themeColor="text1"/>
          <w:sz w:val="24"/>
          <w:szCs w:val="24"/>
          <w:highlight w:val="none"/>
          <w:lang w:eastAsia="zh-CN"/>
          <w14:textFill>
            <w14:solidFill>
              <w14:schemeClr w14:val="tx1"/>
            </w14:solidFill>
          </w14:textFill>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银行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地址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联系人</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lang w:val="en-US" w:eastAsia="zh-CN" w:bidi="ar-SA"/>
                <w14:textFill>
                  <w14:solidFill>
                    <w14:schemeClr w14:val="tx1"/>
                  </w14:solidFill>
                </w14:textFill>
              </w:rPr>
              <w:t>中国建设银行延安分行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lang w:val="en-US" w:eastAsia="zh-CN" w:bidi="ar-SA"/>
                <w14:textFill>
                  <w14:solidFill>
                    <w14:schemeClr w14:val="tx1"/>
                  </w14:solidFill>
                </w14:textFill>
              </w:rPr>
              <w:t>延安市宝塔区中心街</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惠玉</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中国工商银行延安分行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延安市宝塔区师范路</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姬悦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3</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北京银行延安分行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延安市宝塔区双拥大道</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奥宝森</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邮储银行延安分行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延安市宝塔区枣园路志丹大厦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杨慧花</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光大银行延安分行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延安市宝塔区卷烟厂东信时代一、二层</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汪昊田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highlight w:val="none"/>
                <w:shd w:val="clear" w:color="auto" w:fill="FFFFFF"/>
                <w:vertAlign w:val="baseline"/>
                <w:lang w:val="en-US" w:eastAsia="zh-CN" w:bidi="ar-SA"/>
                <w14:textFill>
                  <w14:solidFill>
                    <w14:schemeClr w14:val="tx1"/>
                  </w14:solidFill>
                </w14:textFill>
              </w:rPr>
              <w:t>13509115500</w:t>
            </w:r>
          </w:p>
        </w:tc>
      </w:tr>
    </w:tbl>
    <w:p>
      <w:pPr>
        <w:tabs>
          <w:tab w:val="left" w:pos="588"/>
        </w:tabs>
        <w:spacing w:line="360"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br w:type="page"/>
      </w:r>
    </w:p>
    <w:bookmarkEnd w:id="94"/>
    <w:bookmarkEnd w:id="95"/>
    <w:bookmarkEnd w:id="96"/>
    <w:bookmarkEnd w:id="97"/>
    <w:p>
      <w:pPr>
        <w:pStyle w:val="47"/>
        <w:spacing w:line="360" w:lineRule="auto"/>
        <w:rPr>
          <w:rFonts w:ascii="宋体" w:hAnsi="宋体" w:eastAsia="宋体"/>
          <w:color w:val="000000" w:themeColor="text1"/>
          <w:sz w:val="36"/>
          <w:szCs w:val="36"/>
          <w:highlight w:val="none"/>
          <w14:textFill>
            <w14:solidFill>
              <w14:schemeClr w14:val="tx1"/>
            </w14:solidFill>
          </w14:textFill>
        </w:rPr>
      </w:pPr>
      <w:bookmarkStart w:id="392" w:name="_Toc68590975"/>
      <w:bookmarkStart w:id="393" w:name="_Toc58504447"/>
      <w:bookmarkStart w:id="394" w:name="_Toc17469"/>
      <w:r>
        <w:rPr>
          <w:rStyle w:val="204"/>
          <w:rFonts w:hint="eastAsia" w:ascii="宋体" w:hAnsi="宋体" w:eastAsia="宋体"/>
          <w:color w:val="000000" w:themeColor="text1"/>
          <w:sz w:val="36"/>
          <w:szCs w:val="36"/>
          <w:highlight w:val="none"/>
          <w14:textFill>
            <w14:solidFill>
              <w14:schemeClr w14:val="tx1"/>
            </w14:solidFill>
          </w14:textFill>
        </w:rPr>
        <w:t>第三章  评审办法和标准</w:t>
      </w:r>
      <w:bookmarkEnd w:id="392"/>
    </w:p>
    <w:p>
      <w:pPr>
        <w:pStyle w:val="78"/>
        <w:spacing w:before="24" w:after="24"/>
        <w:rPr>
          <w:rFonts w:ascii="仿宋_GB2312" w:hAnsi="仿宋_GB2312" w:eastAsia="仿宋_GB2312" w:cs="仿宋_GB2312"/>
          <w:color w:val="000000" w:themeColor="text1"/>
          <w:sz w:val="28"/>
          <w:szCs w:val="28"/>
          <w:highlight w:val="none"/>
          <w14:textFill>
            <w14:solidFill>
              <w14:schemeClr w14:val="tx1"/>
            </w14:solidFill>
          </w14:textFill>
        </w:rPr>
      </w:pPr>
      <w:bookmarkStart w:id="395" w:name="_Toc7005040"/>
      <w:bookmarkStart w:id="396" w:name="_Toc68590976"/>
      <w:r>
        <w:rPr>
          <w:rFonts w:hint="eastAsia" w:ascii="仿宋_GB2312" w:hAnsi="仿宋_GB2312" w:eastAsia="仿宋_GB2312" w:cs="仿宋_GB2312"/>
          <w:color w:val="000000" w:themeColor="text1"/>
          <w:sz w:val="28"/>
          <w:szCs w:val="28"/>
          <w:highlight w:val="none"/>
          <w14:textFill>
            <w14:solidFill>
              <w14:schemeClr w14:val="tx1"/>
            </w14:solidFill>
          </w14:textFill>
        </w:rPr>
        <w:t>1.评审方法</w:t>
      </w:r>
      <w:bookmarkEnd w:id="395"/>
      <w:bookmarkEnd w:id="396"/>
    </w:p>
    <w:p>
      <w:pPr>
        <w:pStyle w:val="2"/>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8"/>
        <w:spacing w:before="24" w:after="24"/>
        <w:rPr>
          <w:rFonts w:ascii="仿宋_GB2312" w:hAnsi="仿宋_GB2312" w:eastAsia="仿宋_GB2312" w:cs="仿宋_GB2312"/>
          <w:color w:val="000000" w:themeColor="text1"/>
          <w:sz w:val="28"/>
          <w:szCs w:val="28"/>
          <w:highlight w:val="none"/>
          <w14:textFill>
            <w14:solidFill>
              <w14:schemeClr w14:val="tx1"/>
            </w14:solidFill>
          </w14:textFill>
        </w:rPr>
      </w:pPr>
      <w:bookmarkStart w:id="397" w:name="_Toc7005041"/>
      <w:bookmarkStart w:id="398" w:name="_Toc68590977"/>
      <w:r>
        <w:rPr>
          <w:rFonts w:hint="eastAsia" w:ascii="仿宋_GB2312" w:hAnsi="仿宋_GB2312" w:eastAsia="仿宋_GB2312" w:cs="仿宋_GB2312"/>
          <w:color w:val="000000" w:themeColor="text1"/>
          <w:sz w:val="28"/>
          <w:szCs w:val="28"/>
          <w:highlight w:val="none"/>
          <w14:textFill>
            <w14:solidFill>
              <w14:schemeClr w14:val="tx1"/>
            </w14:solidFill>
          </w14:textFill>
        </w:rPr>
        <w:t>2.评审标准</w:t>
      </w:r>
      <w:bookmarkEnd w:id="397"/>
      <w:bookmarkEnd w:id="398"/>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 资格审查和符合性评审标准：见附表一和附表二。</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 分值构成：总分100分，其中</w:t>
      </w:r>
    </w:p>
    <w:p>
      <w:pPr>
        <w:pStyle w:val="2"/>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商务部分分值： 15分； </w:t>
      </w:r>
    </w:p>
    <w:p>
      <w:pPr>
        <w:pStyle w:val="2"/>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技术部分分值： 75分； </w:t>
      </w:r>
    </w:p>
    <w:p>
      <w:pPr>
        <w:pStyle w:val="2"/>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报价部分分值： 10分。</w:t>
      </w:r>
    </w:p>
    <w:p>
      <w:pPr>
        <w:pStyle w:val="2"/>
        <w:rPr>
          <w:rFonts w:ascii="仿宋_GB2312" w:hAnsi="仿宋_GB2312" w:eastAsia="仿宋_GB2312" w:cs="仿宋_GB2312"/>
          <w:color w:val="000000" w:themeColor="text1"/>
          <w:sz w:val="24"/>
          <w:highlight w:val="none"/>
          <w14:textFill>
            <w14:solidFill>
              <w14:schemeClr w14:val="tx1"/>
            </w14:solidFill>
          </w14:textFill>
        </w:rPr>
      </w:pPr>
      <w:bookmarkStart w:id="399" w:name="_Ref426362114"/>
      <w:r>
        <w:rPr>
          <w:rFonts w:hint="eastAsia" w:ascii="仿宋_GB2312" w:hAnsi="仿宋_GB2312" w:eastAsia="仿宋_GB2312" w:cs="仿宋_GB2312"/>
          <w:color w:val="000000" w:themeColor="text1"/>
          <w:sz w:val="24"/>
          <w:highlight w:val="none"/>
          <w14:textFill>
            <w14:solidFill>
              <w14:schemeClr w14:val="tx1"/>
            </w14:solidFill>
          </w14:textFill>
        </w:rPr>
        <w:t>2.3 商务和技术评审标准</w:t>
      </w:r>
      <w:bookmarkEnd w:id="399"/>
    </w:p>
    <w:p>
      <w:pPr>
        <w:pStyle w:val="2"/>
        <w:rPr>
          <w:rFonts w:ascii="仿宋_GB2312" w:hAnsi="仿宋_GB2312" w:eastAsia="仿宋_GB2312" w:cs="仿宋_GB2312"/>
          <w:color w:val="000000" w:themeColor="text1"/>
          <w:sz w:val="24"/>
          <w:highlight w:val="none"/>
          <w14:textFill>
            <w14:solidFill>
              <w14:schemeClr w14:val="tx1"/>
            </w14:solidFill>
          </w14:textFill>
        </w:rPr>
      </w:pPr>
      <w:bookmarkStart w:id="400" w:name="_Ref426362140"/>
      <w:r>
        <w:rPr>
          <w:rFonts w:hint="eastAsia" w:ascii="仿宋_GB2312" w:hAnsi="仿宋_GB2312" w:eastAsia="仿宋_GB2312" w:cs="仿宋_GB2312"/>
          <w:color w:val="000000" w:themeColor="text1"/>
          <w:sz w:val="24"/>
          <w:highlight w:val="none"/>
          <w14:textFill>
            <w14:solidFill>
              <w14:schemeClr w14:val="tx1"/>
            </w14:solidFill>
          </w14:textFill>
        </w:rPr>
        <w:t>2.3.1商务部分评分标准：见附表</w:t>
      </w:r>
      <w:bookmarkEnd w:id="400"/>
      <w:r>
        <w:rPr>
          <w:rFonts w:hint="eastAsia" w:ascii="仿宋_GB2312" w:hAnsi="仿宋_GB2312" w:eastAsia="仿宋_GB2312" w:cs="仿宋_GB2312"/>
          <w:color w:val="000000" w:themeColor="text1"/>
          <w:sz w:val="24"/>
          <w:highlight w:val="none"/>
          <w14:textFill>
            <w14:solidFill>
              <w14:schemeClr w14:val="tx1"/>
            </w14:solidFill>
          </w14:textFill>
        </w:rPr>
        <w:t>三</w:t>
      </w:r>
    </w:p>
    <w:p>
      <w:pPr>
        <w:pStyle w:val="2"/>
        <w:rPr>
          <w:rFonts w:ascii="仿宋_GB2312" w:hAnsi="仿宋_GB2312" w:eastAsia="仿宋_GB2312" w:cs="仿宋_GB2312"/>
          <w:color w:val="000000" w:themeColor="text1"/>
          <w:sz w:val="24"/>
          <w:highlight w:val="none"/>
          <w14:textFill>
            <w14:solidFill>
              <w14:schemeClr w14:val="tx1"/>
            </w14:solidFill>
          </w14:textFill>
        </w:rPr>
      </w:pPr>
      <w:bookmarkStart w:id="401" w:name="_Ref426362158"/>
      <w:r>
        <w:rPr>
          <w:rFonts w:hint="eastAsia" w:ascii="仿宋_GB2312" w:hAnsi="仿宋_GB2312" w:eastAsia="仿宋_GB2312" w:cs="仿宋_GB2312"/>
          <w:color w:val="000000" w:themeColor="text1"/>
          <w:sz w:val="24"/>
          <w:highlight w:val="none"/>
          <w14:textFill>
            <w14:solidFill>
              <w14:schemeClr w14:val="tx1"/>
            </w14:solidFill>
          </w14:textFill>
        </w:rPr>
        <w:t>2.3.2技术部分评分标准：</w:t>
      </w:r>
      <w:bookmarkEnd w:id="401"/>
      <w:r>
        <w:rPr>
          <w:rFonts w:hint="eastAsia" w:ascii="仿宋_GB2312" w:hAnsi="仿宋_GB2312" w:eastAsia="仿宋_GB2312" w:cs="仿宋_GB2312"/>
          <w:color w:val="000000" w:themeColor="text1"/>
          <w:sz w:val="24"/>
          <w:highlight w:val="none"/>
          <w14:textFill>
            <w14:solidFill>
              <w14:schemeClr w14:val="tx1"/>
            </w14:solidFill>
          </w14:textFill>
        </w:rPr>
        <w:t>见附表三</w:t>
      </w:r>
    </w:p>
    <w:p>
      <w:pPr>
        <w:pStyle w:val="2"/>
        <w:rPr>
          <w:rFonts w:ascii="仿宋_GB2312" w:hAnsi="仿宋_GB2312" w:eastAsia="仿宋_GB2312" w:cs="仿宋_GB2312"/>
          <w:color w:val="000000" w:themeColor="text1"/>
          <w:sz w:val="24"/>
          <w:highlight w:val="none"/>
          <w14:textFill>
            <w14:solidFill>
              <w14:schemeClr w14:val="tx1"/>
            </w14:solidFill>
          </w14:textFill>
        </w:rPr>
      </w:pPr>
      <w:bookmarkStart w:id="402" w:name="_Ref426362176"/>
      <w:r>
        <w:rPr>
          <w:rFonts w:hint="eastAsia" w:ascii="仿宋_GB2312" w:hAnsi="仿宋_GB2312" w:eastAsia="仿宋_GB2312" w:cs="仿宋_GB2312"/>
          <w:color w:val="000000" w:themeColor="text1"/>
          <w:sz w:val="24"/>
          <w:highlight w:val="none"/>
          <w14:textFill>
            <w14:solidFill>
              <w14:schemeClr w14:val="tx1"/>
            </w14:solidFill>
          </w14:textFill>
        </w:rPr>
        <w:t>2.3.3报价评分标准：</w:t>
      </w:r>
      <w:bookmarkEnd w:id="402"/>
      <w:r>
        <w:rPr>
          <w:rFonts w:hint="eastAsia" w:ascii="仿宋_GB2312" w:hAnsi="仿宋_GB2312" w:eastAsia="仿宋_GB2312" w:cs="仿宋_GB2312"/>
          <w:color w:val="000000" w:themeColor="text1"/>
          <w:sz w:val="24"/>
          <w:highlight w:val="none"/>
          <w14:textFill>
            <w14:solidFill>
              <w14:schemeClr w14:val="tx1"/>
            </w14:solidFill>
          </w14:textFill>
        </w:rPr>
        <w:t>见附表三</w:t>
      </w:r>
    </w:p>
    <w:p>
      <w:pPr>
        <w:pStyle w:val="2"/>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根据《关于进一步加大政府采购支持中小企业力度的通知》（财库〔2022〕19号）、《政府采购促进中小企业发展管理办法》（财库〔2020〕46号）</w:t>
      </w:r>
      <w:r>
        <w:rPr>
          <w:rFonts w:hint="eastAsia" w:ascii="仿宋_GB2312" w:hAnsi="仿宋_GB2312" w:eastAsia="仿宋_GB2312" w:cs="仿宋_GB2312"/>
          <w:color w:val="000000" w:themeColor="text1"/>
          <w:sz w:val="24"/>
          <w14:textFill>
            <w14:solidFill>
              <w14:schemeClr w14:val="tx1"/>
            </w14:solidFill>
          </w14:textFill>
        </w:rPr>
        <w:t>，本项目已专门面向中小微企业，</w:t>
      </w:r>
      <w:r>
        <w:rPr>
          <w:rFonts w:ascii="仿宋_GB2312" w:hAnsi="仿宋_GB2312" w:eastAsia="仿宋_GB2312" w:cs="仿宋_GB2312"/>
          <w:color w:val="000000" w:themeColor="text1"/>
          <w:sz w:val="24"/>
          <w14:textFill>
            <w14:solidFill>
              <w14:schemeClr w14:val="tx1"/>
            </w14:solidFill>
          </w14:textFill>
        </w:rPr>
        <w:t>对小型和微型企业</w:t>
      </w:r>
      <w:r>
        <w:rPr>
          <w:rFonts w:hint="eastAsia" w:ascii="仿宋_GB2312" w:hAnsi="仿宋_GB2312" w:eastAsia="仿宋_GB2312" w:cs="仿宋_GB2312"/>
          <w:color w:val="000000" w:themeColor="text1"/>
          <w:sz w:val="24"/>
          <w14:textFill>
            <w14:solidFill>
              <w14:schemeClr w14:val="tx1"/>
            </w14:solidFill>
          </w14:textFill>
        </w:rPr>
        <w:t>不再给予价格扣除。</w:t>
      </w:r>
    </w:p>
    <w:p>
      <w:pPr>
        <w:pStyle w:val="2"/>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注：监狱企业、残疾人福利性单位视同小微企业；残疾人福利性单位属于小型、微型企业的，不重复享受政策。</w:t>
      </w:r>
    </w:p>
    <w:p>
      <w:pPr>
        <w:pStyle w:val="2"/>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（2）评审基准价。有效响应文件中的最后报价为评审基准价。</w:t>
      </w:r>
    </w:p>
    <w:p>
      <w:pPr>
        <w:pStyle w:val="2"/>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（3）供应商报价（按本款（1）和（2）进行调整后价格）得分=(评审基准价／最后报价)×价格分值</w:t>
      </w:r>
    </w:p>
    <w:p>
      <w:pPr>
        <w:tabs>
          <w:tab w:val="left" w:pos="588"/>
        </w:tabs>
        <w:spacing w:line="360"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2.3.4 响应文件出现下列情况之一者，磋商小组在评审过程中按以下原则修正：</w:t>
      </w:r>
    </w:p>
    <w:p>
      <w:pPr>
        <w:tabs>
          <w:tab w:val="left" w:pos="588"/>
        </w:tabs>
        <w:spacing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（1）大写金额与小写金额不一致的，以大写金额为准；</w:t>
      </w:r>
    </w:p>
    <w:p>
      <w:pPr>
        <w:tabs>
          <w:tab w:val="left" w:pos="588"/>
        </w:tabs>
        <w:spacing w:line="360" w:lineRule="auto"/>
        <w:ind w:firstLine="600" w:firstLineChars="2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（2）总价金额与按单价汇总金额不一致的，以单价金额计算结果为准；</w:t>
      </w:r>
    </w:p>
    <w:p>
      <w:pPr>
        <w:tabs>
          <w:tab w:val="left" w:pos="588"/>
        </w:tabs>
        <w:spacing w:line="360" w:lineRule="auto"/>
        <w:ind w:firstLine="600" w:firstLineChars="2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（3）单价金额小数点有明显错位的，应以总价为准，并修改单价；</w:t>
      </w:r>
    </w:p>
    <w:p>
      <w:pPr>
        <w:tabs>
          <w:tab w:val="left" w:pos="588"/>
        </w:tabs>
        <w:spacing w:line="360" w:lineRule="auto"/>
        <w:ind w:firstLine="600" w:firstLineChars="2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（4）对不同文字文本响应文件的解释发生异议的，以中文文本为准；</w:t>
      </w:r>
    </w:p>
    <w:p>
      <w:pPr>
        <w:tabs>
          <w:tab w:val="left" w:pos="588"/>
        </w:tabs>
        <w:spacing w:line="360" w:lineRule="auto"/>
        <w:ind w:firstLine="600" w:firstLineChars="2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（5）文字与图表不一致的，以文字为准；</w:t>
      </w:r>
    </w:p>
    <w:p>
      <w:pPr>
        <w:tabs>
          <w:tab w:val="left" w:pos="588"/>
        </w:tabs>
        <w:spacing w:line="360" w:lineRule="auto"/>
        <w:ind w:firstLine="600" w:firstLineChars="2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（6）正本与副本不一致的，以正本为准；</w:t>
      </w:r>
    </w:p>
    <w:p>
      <w:pPr>
        <w:tabs>
          <w:tab w:val="left" w:pos="588"/>
        </w:tabs>
        <w:spacing w:line="360" w:lineRule="auto"/>
        <w:ind w:firstLine="600" w:firstLineChars="2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（7）响应文件的文字叙述与制造厂商的产品样本/检测报告不符时，以产品样本/检测报告为准。</w:t>
      </w:r>
    </w:p>
    <w:p>
      <w:pPr>
        <w:pStyle w:val="78"/>
        <w:spacing w:before="24" w:after="24"/>
        <w:rPr>
          <w:rFonts w:ascii="仿宋_GB2312" w:hAnsi="仿宋_GB2312" w:eastAsia="仿宋_GB2312" w:cs="仿宋_GB2312"/>
          <w:color w:val="000000" w:themeColor="text1"/>
          <w:sz w:val="28"/>
          <w:szCs w:val="28"/>
          <w:highlight w:val="none"/>
          <w14:textFill>
            <w14:solidFill>
              <w14:schemeClr w14:val="tx1"/>
            </w14:solidFill>
          </w14:textFill>
        </w:rPr>
      </w:pPr>
      <w:bookmarkStart w:id="403" w:name="_Toc7005042"/>
      <w:bookmarkStart w:id="404" w:name="_Toc68590978"/>
      <w:r>
        <w:rPr>
          <w:rFonts w:hint="eastAsia" w:ascii="仿宋_GB2312" w:hAnsi="仿宋_GB2312" w:eastAsia="仿宋_GB2312" w:cs="仿宋_GB2312"/>
          <w:color w:val="000000" w:themeColor="text1"/>
          <w:sz w:val="28"/>
          <w:szCs w:val="28"/>
          <w:highlight w:val="none"/>
          <w14:textFill>
            <w14:solidFill>
              <w14:schemeClr w14:val="tx1"/>
            </w14:solidFill>
          </w14:textFill>
        </w:rPr>
        <w:t>3.评审程序</w:t>
      </w:r>
      <w:bookmarkEnd w:id="403"/>
      <w:bookmarkEnd w:id="404"/>
    </w:p>
    <w:p>
      <w:pPr>
        <w:pStyle w:val="2"/>
        <w:rPr>
          <w:rFonts w:ascii="仿宋_GB2312" w:hAnsi="仿宋_GB2312" w:eastAsia="仿宋_GB2312" w:cs="仿宋_GB2312"/>
          <w:b/>
          <w:color w:val="000000" w:themeColor="text1"/>
          <w:sz w:val="24"/>
          <w:highlight w:val="none"/>
          <w14:textFill>
            <w14:solidFill>
              <w14:schemeClr w14:val="tx1"/>
            </w14:solidFill>
          </w14:textFill>
        </w:rPr>
      </w:pPr>
      <w:bookmarkStart w:id="405" w:name="_Toc7005043"/>
      <w:r>
        <w:rPr>
          <w:rFonts w:hint="eastAsia" w:ascii="仿宋_GB2312" w:hAnsi="仿宋_GB2312" w:eastAsia="仿宋_GB2312" w:cs="仿宋_GB2312"/>
          <w:b/>
          <w:color w:val="000000" w:themeColor="text1"/>
          <w:sz w:val="24"/>
          <w:highlight w:val="none"/>
          <w14:textFill>
            <w14:solidFill>
              <w14:schemeClr w14:val="tx1"/>
            </w14:solidFill>
          </w14:textFill>
        </w:rPr>
        <w:t>3.1资格审查及符合性审查</w:t>
      </w:r>
      <w:bookmarkEnd w:id="405"/>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3.1.1 采购人或采购代理机构按附表一所列审查标准对供应商资格进行审查，以确定供应商是否具备磋商资格。</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3.1.2 磋商小组对符合资格要求的响应文件按附表二进行符合性审查，以确定其是否满足磋商文件的实质性要求（见本章内的符合性审查表）。</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磋商小组不接受供应商主动提出的澄清、说明或补正。</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供应商的书面澄清、说明和补正属于响应文件的组成部分。</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磋商小组对供应商提交的澄清、说明或补正有疑问的，可以要求供应商进一步澄清、说明或补正，直至满足评审小组的要求。</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3.1.4 不具备磋商文件要求的资格或未通过符合性审查的供应商，不参与磋商，由磋商小组告知该供应商。</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3.1.5 通过资格审查和符合性审查的合格供应商不足3家的，不再进行评审和磋商。</w:t>
      </w:r>
    </w:p>
    <w:p>
      <w:pPr>
        <w:pStyle w:val="2"/>
        <w:rPr>
          <w:rFonts w:ascii="仿宋_GB2312" w:hAnsi="仿宋_GB2312" w:eastAsia="仿宋_GB2312" w:cs="仿宋_GB2312"/>
          <w:b/>
          <w:color w:val="000000" w:themeColor="text1"/>
          <w:sz w:val="24"/>
          <w:highlight w:val="none"/>
          <w14:textFill>
            <w14:solidFill>
              <w14:schemeClr w14:val="tx1"/>
            </w14:solidFill>
          </w14:textFill>
        </w:rPr>
      </w:pPr>
      <w:bookmarkStart w:id="406" w:name="_Toc7005044"/>
      <w:r>
        <w:rPr>
          <w:rFonts w:hint="eastAsia" w:ascii="仿宋_GB2312" w:hAnsi="仿宋_GB2312" w:eastAsia="仿宋_GB2312" w:cs="仿宋_GB2312"/>
          <w:b/>
          <w:color w:val="000000" w:themeColor="text1"/>
          <w:sz w:val="24"/>
          <w:highlight w:val="none"/>
          <w14:textFill>
            <w14:solidFill>
              <w14:schemeClr w14:val="tx1"/>
            </w14:solidFill>
          </w14:textFill>
        </w:rPr>
        <w:t>3.2 磋商</w:t>
      </w:r>
      <w:bookmarkEnd w:id="406"/>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3.2.1按“供应商须知”第五条规定，由磋商小组与供应商进行磋商。</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3.2.3 磋商结束后，磋商小组可以要求所有继续参加磋商的供应商在规定时间内提交最后报价函，提交最后报价函的供应商不得少于3家。</w:t>
      </w:r>
    </w:p>
    <w:p>
      <w:pPr>
        <w:pStyle w:val="2"/>
        <w:rPr>
          <w:rFonts w:ascii="仿宋_GB2312" w:hAnsi="仿宋_GB2312" w:eastAsia="仿宋_GB2312" w:cs="仿宋_GB2312"/>
          <w:b/>
          <w:color w:val="000000" w:themeColor="text1"/>
          <w:sz w:val="24"/>
          <w:highlight w:val="none"/>
          <w14:textFill>
            <w14:solidFill>
              <w14:schemeClr w14:val="tx1"/>
            </w14:solidFill>
          </w14:textFill>
        </w:rPr>
      </w:pPr>
      <w:bookmarkStart w:id="407" w:name="_Toc7005045"/>
      <w:r>
        <w:rPr>
          <w:rFonts w:hint="eastAsia" w:ascii="仿宋_GB2312" w:hAnsi="仿宋_GB2312" w:eastAsia="仿宋_GB2312" w:cs="仿宋_GB2312"/>
          <w:b/>
          <w:color w:val="000000" w:themeColor="text1"/>
          <w:sz w:val="24"/>
          <w:highlight w:val="none"/>
          <w14:textFill>
            <w14:solidFill>
              <w14:schemeClr w14:val="tx1"/>
            </w14:solidFill>
          </w14:textFill>
        </w:rPr>
        <w:t>3.3评审</w:t>
      </w:r>
      <w:bookmarkEnd w:id="407"/>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3.3.1 比较与评价</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磋商小组按本章第2.3款[商务和技术评审标准]对供应商提交的响应文件（包括最后报价函）进行商务和技术评估，综合比较与评价。</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3.3.2 磋商小组按本章第2.3款规定的量化因素和分值进行打分，并计算出综合评估得分。</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（1）按本章第2.3.1项规定的评审因素和分值对商务部分计算出得分A；</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（2）按本章第2.3.2项规定的评审因素和分值对技术部分计算出得分B；</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（3）按本章第2.3.3项规定的评审因素和分值对报价部分计算出得分C。</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3.3.3评分分值计算保留小数点后两位，小数点后第三位“四舍五入”。</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3.3.4供应商得分=A＋B＋C</w:t>
      </w:r>
    </w:p>
    <w:p>
      <w:pPr>
        <w:pStyle w:val="2"/>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3.4 评审结果</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3.4.1 除第二章“供应商须知”前附表授权直接确定成交供应商外，磋商小组按照得分由高到低的顺序推荐3名成交候选人。</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3.4.2 磋商小组完成评审后，应当向采购人提交书面评审报告。</w:t>
      </w:r>
    </w:p>
    <w:p>
      <w:pPr>
        <w:pStyle w:val="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br w:type="page"/>
      </w:r>
    </w:p>
    <w:p>
      <w:pPr>
        <w:spacing w:line="360" w:lineRule="auto"/>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spacing w:line="360" w:lineRule="auto"/>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b/>
                <w:color w:val="000000" w:themeColor="text1"/>
                <w:szCs w:val="21"/>
                <w:highlight w:val="none"/>
                <w14:textFill>
                  <w14:solidFill>
                    <w14:schemeClr w14:val="tx1"/>
                  </w14:solidFill>
                </w14:textFill>
              </w:rPr>
              <w:t>序号</w:t>
            </w:r>
          </w:p>
        </w:tc>
        <w:tc>
          <w:tcPr>
            <w:tcW w:w="2655" w:type="dxa"/>
            <w:vAlign w:val="center"/>
          </w:tcPr>
          <w:p>
            <w:pPr>
              <w:snapToGrid w:val="0"/>
              <w:spacing w:line="360" w:lineRule="auto"/>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b/>
                <w:color w:val="000000" w:themeColor="text1"/>
                <w:szCs w:val="21"/>
                <w:highlight w:val="none"/>
                <w14:textFill>
                  <w14:solidFill>
                    <w14:schemeClr w14:val="tx1"/>
                  </w14:solidFill>
                </w14:textFill>
              </w:rPr>
              <w:t>评审内容</w:t>
            </w:r>
          </w:p>
        </w:tc>
        <w:tc>
          <w:tcPr>
            <w:tcW w:w="4677" w:type="dxa"/>
            <w:vAlign w:val="center"/>
          </w:tcPr>
          <w:p>
            <w:pPr>
              <w:snapToGrid w:val="0"/>
              <w:spacing w:line="360" w:lineRule="auto"/>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b/>
                <w:color w:val="000000" w:themeColor="text1"/>
                <w:szCs w:val="21"/>
                <w:highlight w:val="none"/>
                <w14:textFill>
                  <w14:solidFill>
                    <w14:schemeClr w14:val="tx1"/>
                  </w14:solidFill>
                </w14:textFill>
              </w:rPr>
              <w:t>评审合格标准</w:t>
            </w:r>
          </w:p>
        </w:tc>
        <w:tc>
          <w:tcPr>
            <w:tcW w:w="1178" w:type="dxa"/>
            <w:vAlign w:val="center"/>
          </w:tcPr>
          <w:p>
            <w:pPr>
              <w:snapToGrid w:val="0"/>
              <w:spacing w:line="360" w:lineRule="auto"/>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b/>
                <w:color w:val="000000" w:themeColor="text1"/>
                <w:szCs w:val="21"/>
                <w:highlight w:val="none"/>
                <w14:textFill>
                  <w14:solidFill>
                    <w14:schemeClr w14:val="tx1"/>
                  </w14:solidFill>
                </w14:textFill>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spacing w:line="360" w:lineRule="auto"/>
              <w:jc w:val="center"/>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w:t>
            </w:r>
          </w:p>
        </w:tc>
        <w:tc>
          <w:tcPr>
            <w:tcW w:w="2655" w:type="dxa"/>
            <w:vAlign w:val="center"/>
          </w:tcPr>
          <w:p>
            <w:pPr>
              <w:snapToGrid w:val="0"/>
              <w:spacing w:line="360" w:lineRule="auto"/>
              <w:jc w:val="left"/>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供应商名称</w:t>
            </w:r>
          </w:p>
        </w:tc>
        <w:tc>
          <w:tcPr>
            <w:tcW w:w="4677" w:type="dxa"/>
            <w:vAlign w:val="center"/>
          </w:tcPr>
          <w:p>
            <w:pPr>
              <w:snapToGrid w:val="0"/>
              <w:spacing w:line="360" w:lineRule="auto"/>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与营业执照一致（符合法定工商变更程序除外）</w:t>
            </w:r>
          </w:p>
        </w:tc>
        <w:tc>
          <w:tcPr>
            <w:tcW w:w="1178" w:type="dxa"/>
            <w:vAlign w:val="center"/>
          </w:tcPr>
          <w:p>
            <w:pPr>
              <w:snapToGrid w:val="0"/>
              <w:spacing w:line="360" w:lineRule="auto"/>
              <w:jc w:val="center"/>
              <w:rPr>
                <w:rFonts w:ascii="仿宋_GB2312" w:hAnsi="仿宋_GB2312" w:eastAsia="仿宋_GB2312" w:cs="仿宋_GB2312"/>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52"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p>
        </w:tc>
        <w:tc>
          <w:tcPr>
            <w:tcW w:w="2655" w:type="dxa"/>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具有独立承担民事责任的能力</w:t>
            </w:r>
          </w:p>
        </w:tc>
        <w:tc>
          <w:tcPr>
            <w:tcW w:w="4677" w:type="dxa"/>
            <w:vAlign w:val="center"/>
          </w:tcPr>
          <w:p>
            <w:pPr>
              <w:snapToGrid w:val="0"/>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提供了有效的法人或者其他组织的营业执照等证明文件，自然人的身份证明</w:t>
            </w:r>
          </w:p>
        </w:tc>
        <w:tc>
          <w:tcPr>
            <w:tcW w:w="1178"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652"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3</w:t>
            </w:r>
          </w:p>
        </w:tc>
        <w:tc>
          <w:tcPr>
            <w:tcW w:w="2655" w:type="dxa"/>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具有健全的财务会计制度</w:t>
            </w:r>
          </w:p>
        </w:tc>
        <w:tc>
          <w:tcPr>
            <w:tcW w:w="4677" w:type="dxa"/>
            <w:vAlign w:val="center"/>
          </w:tcPr>
          <w:p>
            <w:pPr>
              <w:snapToGrid w:val="0"/>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提供了202</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Cs w:val="21"/>
                <w:highlight w:val="none"/>
                <w14:textFill>
                  <w14:solidFill>
                    <w14:schemeClr w14:val="tx1"/>
                  </w14:solidFill>
                </w14:textFill>
              </w:rPr>
              <w:t>年度年的审计报告（包括资产负债表、现金流量表、利润表）或本年度基本开户银行出具的资信证明</w:t>
            </w:r>
          </w:p>
        </w:tc>
        <w:tc>
          <w:tcPr>
            <w:tcW w:w="1178"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52"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4</w:t>
            </w:r>
          </w:p>
        </w:tc>
        <w:tc>
          <w:tcPr>
            <w:tcW w:w="2655" w:type="dxa"/>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具有履行合同所必需的设备和专业技术能力</w:t>
            </w:r>
          </w:p>
        </w:tc>
        <w:tc>
          <w:tcPr>
            <w:tcW w:w="4677" w:type="dxa"/>
            <w:vAlign w:val="top"/>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shd w:val="clear" w:color="auto"/>
                <w14:textFill>
                  <w14:solidFill>
                    <w14:schemeClr w14:val="tx1"/>
                  </w14:solidFill>
                </w14:textFill>
              </w:rPr>
              <w:t>提供了可充分满足履行合同所需设备和专业技术能力的证明材料或承诺</w:t>
            </w:r>
          </w:p>
        </w:tc>
        <w:tc>
          <w:tcPr>
            <w:tcW w:w="1178"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2"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5</w:t>
            </w:r>
          </w:p>
        </w:tc>
        <w:tc>
          <w:tcPr>
            <w:tcW w:w="2655" w:type="dxa"/>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有依法缴纳税收和社会保障资金的良好记录</w:t>
            </w:r>
          </w:p>
        </w:tc>
        <w:tc>
          <w:tcPr>
            <w:tcW w:w="4677" w:type="dxa"/>
            <w:vAlign w:val="center"/>
          </w:tcPr>
          <w:p>
            <w:pPr>
              <w:numPr>
                <w:ilvl w:val="0"/>
                <w:numId w:val="12"/>
              </w:numPr>
              <w:snapToGrid w:val="0"/>
              <w:spacing w:line="360" w:lineRule="auto"/>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提供近六个月中任何一个月依法</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缴纳增值税和企业所得税的凭证（银行出具的缴税凭证或税务机关出具的证明的复印件，并加盖本单位公章）或免税证明（复印件加盖公章）</w:t>
            </w:r>
            <w:r>
              <w:rPr>
                <w:rFonts w:hint="eastAsia" w:ascii="Times New Roman" w:hAnsi="Times New Roman" w:eastAsia="仿宋_GB2312" w:cs="Times New Roman"/>
                <w:i w:val="0"/>
                <w:iCs w:val="0"/>
                <w:color w:val="000000" w:themeColor="text1"/>
                <w:szCs w:val="21"/>
                <w:highlight w:val="none"/>
                <w:lang w:eastAsia="zh-CN"/>
                <w14:textFill>
                  <w14:solidFill>
                    <w14:schemeClr w14:val="tx1"/>
                  </w14:solidFill>
                </w14:textFill>
              </w:rPr>
              <w:t>；</w:t>
            </w:r>
          </w:p>
          <w:p>
            <w:pPr>
              <w:numPr>
                <w:ilvl w:val="0"/>
                <w:numId w:val="12"/>
              </w:numPr>
              <w:snapToGrid w:val="0"/>
              <w:spacing w:line="360" w:lineRule="auto"/>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提供近六个月中至少一个月依法</w:t>
            </w: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缴纳社会保障资金缴纳记录（专用收据或社会保险缴纳清单）或免缴纳证明（复印件加盖公章）</w:t>
            </w:r>
            <w:r>
              <w:rPr>
                <w:rFonts w:hint="eastAsia" w:ascii="Times New Roman" w:hAnsi="Times New Roman" w:eastAsia="仿宋_GB2312" w:cs="Times New Roman"/>
                <w:i w:val="0"/>
                <w:iCs w:val="0"/>
                <w:color w:val="000000" w:themeColor="text1"/>
                <w:szCs w:val="21"/>
                <w:highlight w:val="none"/>
                <w:lang w:eastAsia="zh-CN"/>
                <w14:textFill>
                  <w14:solidFill>
                    <w14:schemeClr w14:val="tx1"/>
                  </w14:solidFill>
                </w14:textFill>
              </w:rPr>
              <w:t>。</w:t>
            </w:r>
          </w:p>
        </w:tc>
        <w:tc>
          <w:tcPr>
            <w:tcW w:w="1178"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6</w:t>
            </w:r>
          </w:p>
        </w:tc>
        <w:tc>
          <w:tcPr>
            <w:tcW w:w="2655" w:type="dxa"/>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参加政府采购活动前三年内，在经营活动中没有重大违法记录</w:t>
            </w:r>
          </w:p>
        </w:tc>
        <w:tc>
          <w:tcPr>
            <w:tcW w:w="4677" w:type="dxa"/>
            <w:vAlign w:val="center"/>
          </w:tcPr>
          <w:p>
            <w:pPr>
              <w:snapToGrid w:val="0"/>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提供了有效的参加政府采购活动前3年内在经营活动中没有重大违法记录的书面声明</w:t>
            </w:r>
          </w:p>
        </w:tc>
        <w:tc>
          <w:tcPr>
            <w:tcW w:w="1178"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7</w:t>
            </w:r>
          </w:p>
        </w:tc>
        <w:tc>
          <w:tcPr>
            <w:tcW w:w="2655" w:type="dxa"/>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法律、行政法规规定的其他条件</w:t>
            </w:r>
          </w:p>
        </w:tc>
        <w:tc>
          <w:tcPr>
            <w:tcW w:w="4677" w:type="dxa"/>
            <w:vAlign w:val="center"/>
          </w:tcPr>
          <w:p>
            <w:pPr>
              <w:snapToGrid w:val="0"/>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不存在违反法律、法规的情况</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8</w:t>
            </w:r>
          </w:p>
        </w:tc>
        <w:tc>
          <w:tcPr>
            <w:tcW w:w="2655" w:type="dxa"/>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“信用中国”网站和中国政府采购网</w:t>
            </w:r>
            <w:r>
              <w:rPr>
                <w:rFonts w:hint="eastAsia" w:ascii="仿宋_GB2312" w:hAnsi="仿宋_GB2312" w:eastAsia="仿宋_GB2312" w:cs="仿宋_GB2312"/>
                <w:color w:val="000000" w:themeColor="text1"/>
                <w:sz w:val="18"/>
                <w:szCs w:val="18"/>
                <w:highlight w:val="none"/>
                <w14:textFill>
                  <w14:solidFill>
                    <w14:schemeClr w14:val="tx1"/>
                  </w14:solidFill>
                </w14:textFill>
              </w:rPr>
              <w:t>（www.ccgp.gov.cn）</w:t>
            </w:r>
            <w:r>
              <w:rPr>
                <w:rFonts w:hint="eastAsia" w:ascii="仿宋_GB2312" w:hAnsi="仿宋_GB2312" w:eastAsia="仿宋_GB2312" w:cs="仿宋_GB2312"/>
                <w:color w:val="000000" w:themeColor="text1"/>
                <w:szCs w:val="21"/>
                <w:highlight w:val="none"/>
                <w14:textFill>
                  <w14:solidFill>
                    <w14:schemeClr w14:val="tx1"/>
                  </w14:solidFill>
                </w14:textFill>
              </w:rPr>
              <w:t>查询记录</w:t>
            </w:r>
          </w:p>
        </w:tc>
        <w:tc>
          <w:tcPr>
            <w:tcW w:w="4677" w:type="dxa"/>
            <w:vAlign w:val="center"/>
          </w:tcPr>
          <w:p>
            <w:pPr>
              <w:snapToGrid w:val="0"/>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未被“信用中国”网站（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"http://www.creditchina.gov.cn）中列入失信被执行人和/"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Cs w:val="21"/>
                <w:highlight w:val="none"/>
                <w14:textFill>
                  <w14:solidFill>
                    <w14:schemeClr w14:val="tx1"/>
                  </w14:solidFill>
                </w14:textFill>
              </w:rPr>
              <w:t>www.creditchina.gov.cn）中列入失信被执行人</w:t>
            </w:r>
            <w:r>
              <w:rPr>
                <w:rFonts w:hint="eastAsia" w:ascii="仿宋_GB2312" w:hAnsi="仿宋_GB2312" w:eastAsia="仿宋_GB2312" w:cs="仿宋_GB2312"/>
                <w:color w:val="000000" w:themeColor="text1"/>
                <w:szCs w:val="21"/>
                <w:highlight w:val="none"/>
                <w14:textFill>
                  <w14:solidFill>
                    <w14:schemeClr w14:val="tx1"/>
                  </w14:solidFill>
                </w14:textFill>
              </w:rPr>
              <w:fldChar w:fldCharType="end"/>
            </w:r>
            <w:r>
              <w:rPr>
                <w:rFonts w:hint="eastAsia" w:ascii="仿宋_GB2312" w:hAnsi="仿宋_GB2312" w:eastAsia="仿宋_GB2312" w:cs="仿宋_GB2312"/>
                <w:color w:val="000000" w:themeColor="text1"/>
                <w:szCs w:val="21"/>
                <w:highlight w:val="none"/>
                <w14:textFill>
                  <w14:solidFill>
                    <w14:schemeClr w14:val="tx1"/>
                  </w14:solidFill>
                </w14:textFill>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9</w:t>
            </w:r>
          </w:p>
        </w:tc>
        <w:tc>
          <w:tcPr>
            <w:tcW w:w="2655" w:type="dxa"/>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单位负责人为同一人或者存在控股、管理关系的不同单位，不得同时参加本项目的磋商</w:t>
            </w:r>
          </w:p>
        </w:tc>
        <w:tc>
          <w:tcPr>
            <w:tcW w:w="4677" w:type="dxa"/>
            <w:vAlign w:val="center"/>
          </w:tcPr>
          <w:p>
            <w:pPr>
              <w:snapToGrid w:val="0"/>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提供了法人代表、控股股东、控股企业及管理、被管理单位情况声明且各供应商之间不存在单位负责人为同一人或者存在控股、管理关系情形</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10</w:t>
            </w:r>
          </w:p>
        </w:tc>
        <w:tc>
          <w:tcPr>
            <w:tcW w:w="2655" w:type="dxa"/>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为本项目提供整体设计、规范编制或者项目管理、监理、检测等服务的供应商，不得再参加本项目磋商</w:t>
            </w:r>
          </w:p>
        </w:tc>
        <w:tc>
          <w:tcPr>
            <w:tcW w:w="4677" w:type="dxa"/>
            <w:vAlign w:val="center"/>
          </w:tcPr>
          <w:p>
            <w:pPr>
              <w:snapToGrid w:val="0"/>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提供了供应商未为本项目提供整体设计、规范编制或者项目管理、监理、检测等服务的声明</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spacing w:line="360" w:lineRule="auto"/>
              <w:jc w:val="center"/>
              <w:rPr>
                <w:rFonts w:hint="default" w:ascii="Times New Roman" w:hAnsi="Times New Roman" w:eastAsia="仿宋_GB2312" w:cs="Times New Roman"/>
                <w:i w:val="0"/>
                <w:iCs w:val="0"/>
                <w:color w:val="000000" w:themeColor="text1"/>
                <w:szCs w:val="21"/>
                <w:highlight w:val="none"/>
                <w:lang w:val="en-US" w:eastAsia="zh-CN"/>
                <w14:textFill>
                  <w14:solidFill>
                    <w14:schemeClr w14:val="tx1"/>
                  </w14:solidFill>
                </w14:textFill>
              </w:rPr>
            </w:pPr>
            <w:r>
              <w:rPr>
                <w:rFonts w:hint="eastAsia" w:eastAsia="仿宋_GB2312" w:cs="Times New Roman"/>
                <w:i w:val="0"/>
                <w:iCs w:val="0"/>
                <w:color w:val="000000" w:themeColor="text1"/>
                <w:szCs w:val="21"/>
                <w:highlight w:val="none"/>
                <w:lang w:val="en-US" w:eastAsia="zh-CN"/>
                <w14:textFill>
                  <w14:solidFill>
                    <w14:schemeClr w14:val="tx1"/>
                  </w14:solidFill>
                </w14:textFill>
              </w:rPr>
              <w:t>11</w:t>
            </w:r>
          </w:p>
        </w:tc>
        <w:tc>
          <w:tcPr>
            <w:tcW w:w="2655" w:type="dxa"/>
            <w:vAlign w:val="center"/>
          </w:tcPr>
          <w:p>
            <w:pPr>
              <w:snapToGrid w:val="0"/>
              <w:spacing w:line="360" w:lineRule="auto"/>
              <w:jc w:val="left"/>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符合本次采购项目的供应商企业类型</w:t>
            </w:r>
          </w:p>
        </w:tc>
        <w:tc>
          <w:tcPr>
            <w:tcW w:w="4677" w:type="dxa"/>
            <w:vAlign w:val="top"/>
          </w:tcPr>
          <w:p>
            <w:pPr>
              <w:snapToGrid w:val="0"/>
              <w:spacing w:line="360" w:lineRule="auto"/>
              <w:jc w:val="left"/>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本项目为专门面向中小企业的项目，供应商须为中小微企业（需如实填写《中小企业声明函》）</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spacing w:line="360" w:lineRule="auto"/>
              <w:jc w:val="center"/>
              <w:rPr>
                <w:rFonts w:hint="default" w:ascii="Times New Roman" w:hAnsi="Times New Roman" w:eastAsia="仿宋_GB2312" w:cs="Times New Roman"/>
                <w:i w:val="0"/>
                <w:iCs w:val="0"/>
                <w:color w:val="000000" w:themeColor="text1"/>
                <w:kern w:val="2"/>
                <w:sz w:val="21"/>
                <w:szCs w:val="21"/>
                <w:highlight w:val="none"/>
                <w:lang w:val="en-US" w:eastAsia="zh-CN" w:bidi="ar-SA"/>
                <w14:textFill>
                  <w14:solidFill>
                    <w14:schemeClr w14:val="tx1"/>
                  </w14:solidFill>
                </w14:textFill>
              </w:rPr>
            </w:pPr>
            <w:r>
              <w:rPr>
                <w:rFonts w:hint="eastAsia" w:eastAsia="仿宋_GB2312" w:cs="Times New Roman"/>
                <w:i w:val="0"/>
                <w:iCs w:val="0"/>
                <w:color w:val="000000" w:themeColor="text1"/>
                <w:szCs w:val="21"/>
                <w:highlight w:val="none"/>
                <w:lang w:val="en-US" w:eastAsia="zh-CN"/>
                <w14:textFill>
                  <w14:solidFill>
                    <w14:schemeClr w14:val="tx1"/>
                  </w14:solidFill>
                </w14:textFill>
              </w:rPr>
              <w:t>12</w:t>
            </w:r>
          </w:p>
        </w:tc>
        <w:tc>
          <w:tcPr>
            <w:tcW w:w="2655" w:type="dxa"/>
            <w:vAlign w:val="center"/>
          </w:tcPr>
          <w:p>
            <w:pPr>
              <w:snapToGrid w:val="0"/>
              <w:spacing w:line="360" w:lineRule="auto"/>
              <w:jc w:val="left"/>
              <w:rPr>
                <w:rFonts w:hint="eastAsia" w:ascii="Times New Roman" w:hAnsi="Times New Roman" w:eastAsia="仿宋_GB2312" w:cs="Times New Roman"/>
                <w:i w:val="0"/>
                <w:i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联合体</w:t>
            </w:r>
          </w:p>
        </w:tc>
        <w:tc>
          <w:tcPr>
            <w:tcW w:w="4677" w:type="dxa"/>
            <w:vAlign w:val="top"/>
          </w:tcPr>
          <w:p>
            <w:pPr>
              <w:snapToGrid w:val="0"/>
              <w:spacing w:line="360" w:lineRule="auto"/>
              <w:jc w:val="left"/>
              <w:rPr>
                <w:rFonts w:hint="eastAsia" w:ascii="Times New Roman" w:hAnsi="Times New Roman" w:eastAsia="仿宋_GB2312" w:cs="Times New Roman"/>
                <w:i w:val="0"/>
                <w:i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磋商文件允许联合体参加磋商时，提供了满足磋商文件要求的联合体协议书。</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52" w:type="dxa"/>
            <w:vMerge w:val="restart"/>
            <w:vAlign w:val="center"/>
          </w:tcPr>
          <w:p>
            <w:pPr>
              <w:snapToGrid w:val="0"/>
              <w:spacing w:line="360" w:lineRule="auto"/>
              <w:jc w:val="center"/>
              <w:rPr>
                <w:rFonts w:hint="default"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13</w:t>
            </w:r>
          </w:p>
        </w:tc>
        <w:tc>
          <w:tcPr>
            <w:tcW w:w="2655" w:type="dxa"/>
            <w:vMerge w:val="restart"/>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供应商特定资格条件</w:t>
            </w:r>
          </w:p>
        </w:tc>
        <w:tc>
          <w:tcPr>
            <w:tcW w:w="4677" w:type="dxa"/>
            <w:vAlign w:val="center"/>
          </w:tcPr>
          <w:p>
            <w:pPr>
              <w:snapToGrid w:val="0"/>
              <w:spacing w:line="360" w:lineRule="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供应商应授权合法的人员参加磋商全过程，其中法定代表人直接参加磋商的，须出具法人身份证，并与营业执照上信息一致。法定代表人授权代表参加磋商的，须出具法定代表人授权书及授权代表身份证。</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2" w:type="dxa"/>
            <w:vMerge w:val="continue"/>
            <w:vAlign w:val="center"/>
          </w:tcPr>
          <w:p>
            <w:pPr>
              <w:snapToGrid w:val="0"/>
              <w:spacing w:line="360" w:lineRule="auto"/>
              <w:jc w:val="cente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2655" w:type="dxa"/>
            <w:vMerge w:val="continue"/>
            <w:vAlign w:val="center"/>
          </w:tcPr>
          <w:p>
            <w:pPr>
              <w:snapToGrid w:val="0"/>
              <w:spacing w:line="360" w:lineRule="auto"/>
              <w:jc w:val="left"/>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4677" w:type="dxa"/>
            <w:vAlign w:val="center"/>
          </w:tcPr>
          <w:p>
            <w:pPr>
              <w:snapToGrid w:val="0"/>
              <w:spacing w:line="360" w:lineRule="auto"/>
              <w:rPr>
                <w:rFonts w:hint="eastAsia" w:ascii="仿宋_GB2312" w:hAnsi="仿宋_GB2312" w:eastAsia="仿宋_GB2312" w:cs="仿宋_GB2312"/>
                <w:strike/>
                <w:dstrike w:val="0"/>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strike w:val="0"/>
                <w:dstrike w:val="0"/>
                <w:color w:val="000000" w:themeColor="text1"/>
                <w:szCs w:val="21"/>
                <w:highlight w:val="none"/>
                <w14:textFill>
                  <w14:solidFill>
                    <w14:schemeClr w14:val="tx1"/>
                  </w14:solidFill>
                </w14:textFill>
              </w:rPr>
              <w:t>提供了土地规划乙级（含乙级）以上</w:t>
            </w:r>
            <w:r>
              <w:rPr>
                <w:rFonts w:hint="eastAsia" w:ascii="仿宋_GB2312" w:hAnsi="仿宋_GB2312" w:eastAsia="仿宋_GB2312" w:cs="仿宋_GB2312"/>
                <w:strike w:val="0"/>
                <w:dstrike w:val="0"/>
                <w:color w:val="000000" w:themeColor="text1"/>
                <w:szCs w:val="21"/>
                <w:highlight w:val="none"/>
                <w:lang w:eastAsia="zh-CN"/>
                <w14:textFill>
                  <w14:solidFill>
                    <w14:schemeClr w14:val="tx1"/>
                  </w14:solidFill>
                </w14:textFill>
              </w:rPr>
              <w:t>资质证书</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52" w:type="dxa"/>
            <w:vMerge w:val="continue"/>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p>
        </w:tc>
        <w:tc>
          <w:tcPr>
            <w:tcW w:w="2655" w:type="dxa"/>
            <w:vMerge w:val="continue"/>
            <w:vAlign w:val="center"/>
          </w:tcPr>
          <w:p>
            <w:pPr>
              <w:snapToGrid w:val="0"/>
              <w:spacing w:line="360" w:lineRule="auto"/>
              <w:jc w:val="left"/>
              <w:rPr>
                <w:rFonts w:ascii="仿宋_GB2312" w:hAnsi="仿宋_GB2312" w:eastAsia="仿宋_GB2312" w:cs="仿宋_GB2312"/>
                <w:color w:val="000000" w:themeColor="text1"/>
                <w:szCs w:val="21"/>
                <w:highlight w:val="none"/>
                <w14:textFill>
                  <w14:solidFill>
                    <w14:schemeClr w14:val="tx1"/>
                  </w14:solidFill>
                </w14:textFill>
              </w:rPr>
            </w:pPr>
          </w:p>
        </w:tc>
        <w:tc>
          <w:tcPr>
            <w:tcW w:w="4677" w:type="dxa"/>
            <w:vAlign w:val="center"/>
          </w:tcPr>
          <w:p>
            <w:pPr>
              <w:snapToGrid w:val="0"/>
              <w:spacing w:line="360" w:lineRule="auto"/>
              <w:rPr>
                <w:rFonts w:ascii="仿宋_GB2312" w:hAnsi="仿宋_GB2312" w:eastAsia="仿宋_GB2312" w:cs="仿宋_GB2312"/>
                <w:strike/>
                <w:dstrike w:val="0"/>
                <w:color w:val="000000" w:themeColor="text1"/>
                <w:szCs w:val="21"/>
                <w:highlight w:val="none"/>
                <w14:textFill>
                  <w14:solidFill>
                    <w14:schemeClr w14:val="tx1"/>
                  </w14:solidFill>
                </w14:textFill>
              </w:rPr>
            </w:pPr>
            <w:r>
              <w:rPr>
                <w:rFonts w:hint="eastAsia" w:eastAsia="仿宋_GB2312" w:cs="Times New Roman"/>
                <w:i w:val="0"/>
                <w:iCs w:val="0"/>
                <w:strike w:val="0"/>
                <w:dstrike w:val="0"/>
                <w:color w:val="000000" w:themeColor="text1"/>
                <w:szCs w:val="21"/>
                <w:highlight w:val="none"/>
                <w:lang w:val="en-US" w:eastAsia="zh-CN"/>
                <w14:textFill>
                  <w14:solidFill>
                    <w14:schemeClr w14:val="tx1"/>
                  </w14:solidFill>
                </w14:textFill>
              </w:rPr>
              <w:t>按照采购公告规定的方式获取了</w:t>
            </w:r>
            <w:r>
              <w:rPr>
                <w:rFonts w:hint="default" w:ascii="Times New Roman" w:hAnsi="Times New Roman" w:eastAsia="仿宋_GB2312" w:cs="Times New Roman"/>
                <w:i w:val="0"/>
                <w:iCs w:val="0"/>
                <w:strike w:val="0"/>
                <w:dstrike w:val="0"/>
                <w:color w:val="000000" w:themeColor="text1"/>
                <w:szCs w:val="21"/>
                <w:highlight w:val="none"/>
                <w14:textFill>
                  <w14:solidFill>
                    <w14:schemeClr w14:val="tx1"/>
                  </w14:solidFill>
                </w14:textFill>
              </w:rPr>
              <w:t>磋商文件</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napToGrid w:val="0"/>
              <w:spacing w:line="360" w:lineRule="auto"/>
              <w:jc w:val="center"/>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结论：“合格”或“不合格”</w:t>
            </w:r>
          </w:p>
        </w:tc>
        <w:tc>
          <w:tcPr>
            <w:tcW w:w="1178" w:type="dxa"/>
            <w:vAlign w:val="center"/>
          </w:tcPr>
          <w:p>
            <w:pPr>
              <w:snapToGrid w:val="0"/>
              <w:spacing w:line="360" w:lineRule="auto"/>
              <w:ind w:left="425"/>
              <w:jc w:val="center"/>
              <w:rPr>
                <w:rFonts w:ascii="仿宋_GB2312" w:hAnsi="仿宋_GB2312" w:eastAsia="仿宋_GB2312" w:cs="仿宋_GB2312"/>
                <w:color w:val="000000" w:themeColor="text1"/>
                <w:szCs w:val="21"/>
                <w:highlight w:val="none"/>
                <w14:textFill>
                  <w14:solidFill>
                    <w14:schemeClr w14:val="tx1"/>
                  </w14:solidFill>
                </w14:textFill>
              </w:rPr>
            </w:pPr>
          </w:p>
        </w:tc>
      </w:tr>
    </w:tbl>
    <w:p>
      <w:pPr>
        <w:spacing w:line="0" w:lineRule="atLeast"/>
        <w:ind w:left="425"/>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注：符合要求用“√”表示，不符合用“×”表示。有一项不符合要求，结论为不合格。</w:t>
      </w:r>
    </w:p>
    <w:p>
      <w:pPr>
        <w:spacing w:line="360" w:lineRule="auto"/>
        <w:jc w:val="center"/>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br w:type="page"/>
      </w:r>
      <w:r>
        <w:rPr>
          <w:rFonts w:hint="eastAsia" w:ascii="仿宋_GB2312" w:hAnsi="仿宋_GB2312" w:eastAsia="仿宋_GB2312" w:cs="仿宋_GB2312"/>
          <w:b/>
          <w:color w:val="000000" w:themeColor="text1"/>
          <w:sz w:val="30"/>
          <w:szCs w:val="30"/>
          <w:highlight w:val="none"/>
          <w14:textFill>
            <w14:solidFill>
              <w14:schemeClr w14:val="tx1"/>
            </w14:solidFill>
          </w14:textFill>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000000" w:themeColor="text1"/>
                <w:szCs w:val="21"/>
                <w:highlight w:val="none"/>
                <w14:textFill>
                  <w14:solidFill>
                    <w14:schemeClr w14:val="tx1"/>
                  </w14:solidFill>
                </w14:textFill>
              </w:rPr>
            </w:pPr>
            <w:r>
              <w:rPr>
                <w:rFonts w:hint="eastAsia" w:ascii="仿宋_GB2312" w:hAnsi="仿宋_GB2312" w:eastAsia="仿宋_GB2312" w:cs="仿宋_GB2312"/>
                <w:b/>
                <w:caps/>
                <w:color w:val="000000" w:themeColor="text1"/>
                <w:szCs w:val="21"/>
                <w:highlight w:val="none"/>
                <w14:textFill>
                  <w14:solidFill>
                    <w14:schemeClr w14:val="tx1"/>
                  </w14:solidFill>
                </w14:textFill>
              </w:rPr>
              <w:t>序号</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000000" w:themeColor="text1"/>
                <w:szCs w:val="21"/>
                <w:highlight w:val="none"/>
                <w14:textFill>
                  <w14:solidFill>
                    <w14:schemeClr w14:val="tx1"/>
                  </w14:solidFill>
                </w14:textFill>
              </w:rPr>
            </w:pPr>
            <w:r>
              <w:rPr>
                <w:rFonts w:hint="eastAsia" w:ascii="仿宋_GB2312" w:hAnsi="仿宋_GB2312" w:eastAsia="仿宋_GB2312" w:cs="仿宋_GB2312"/>
                <w:b/>
                <w:caps/>
                <w:color w:val="000000" w:themeColor="text1"/>
                <w:szCs w:val="21"/>
                <w:highlight w:val="none"/>
                <w14:textFill>
                  <w14:solidFill>
                    <w14:schemeClr w14:val="tx1"/>
                  </w14:solidFill>
                </w14:textFill>
              </w:rPr>
              <w:t>评审项目</w:t>
            </w:r>
          </w:p>
        </w:tc>
        <w:tc>
          <w:tcPr>
            <w:tcW w:w="540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000000" w:themeColor="text1"/>
                <w:szCs w:val="21"/>
                <w:highlight w:val="none"/>
                <w14:textFill>
                  <w14:solidFill>
                    <w14:schemeClr w14:val="tx1"/>
                  </w14:solidFill>
                </w14:textFill>
              </w:rPr>
            </w:pPr>
            <w:r>
              <w:rPr>
                <w:rFonts w:hint="eastAsia" w:ascii="仿宋_GB2312" w:hAnsi="仿宋_GB2312" w:eastAsia="仿宋_GB2312" w:cs="仿宋_GB2312"/>
                <w:b/>
                <w:caps/>
                <w:color w:val="000000" w:themeColor="text1"/>
                <w:szCs w:val="21"/>
                <w:highlight w:val="none"/>
                <w14:textFill>
                  <w14:solidFill>
                    <w14:schemeClr w14:val="tx1"/>
                  </w14:solidFill>
                </w14:textFill>
              </w:rPr>
              <w:t>评审标准</w:t>
            </w:r>
          </w:p>
        </w:tc>
        <w:tc>
          <w:tcPr>
            <w:tcW w:w="131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000000" w:themeColor="text1"/>
                <w:szCs w:val="21"/>
                <w:highlight w:val="none"/>
                <w14:textFill>
                  <w14:solidFill>
                    <w14:schemeClr w14:val="tx1"/>
                  </w14:solidFill>
                </w14:textFill>
              </w:rPr>
            </w:pPr>
            <w:r>
              <w:rPr>
                <w:rFonts w:hint="eastAsia" w:ascii="仿宋_GB2312" w:hAnsi="仿宋_GB2312" w:eastAsia="仿宋_GB2312" w:cs="仿宋_GB2312"/>
                <w:b/>
                <w:caps/>
                <w:color w:val="000000" w:themeColor="text1"/>
                <w:szCs w:val="21"/>
                <w:highlight w:val="none"/>
                <w14:textFill>
                  <w14:solidFill>
                    <w14:schemeClr w14:val="tx1"/>
                  </w14:solidFill>
                </w14:textFill>
              </w:rPr>
              <w:t>评审结论</w:t>
            </w:r>
          </w:p>
          <w:p>
            <w:pPr>
              <w:tabs>
                <w:tab w:val="left" w:pos="1260"/>
                <w:tab w:val="left" w:pos="1620"/>
              </w:tabs>
              <w:adjustRightInd w:val="0"/>
              <w:snapToGrid w:val="0"/>
              <w:jc w:val="center"/>
              <w:textAlignment w:val="baseline"/>
              <w:rPr>
                <w:rFonts w:ascii="仿宋_GB2312" w:hAnsi="仿宋_GB2312" w:eastAsia="仿宋_GB2312" w:cs="仿宋_GB2312"/>
                <w:b/>
                <w:caps/>
                <w:color w:val="000000" w:themeColor="text1"/>
                <w:szCs w:val="21"/>
                <w:highlight w:val="none"/>
                <w14:textFill>
                  <w14:solidFill>
                    <w14:schemeClr w14:val="tx1"/>
                  </w14:solidFill>
                </w14:textFill>
              </w:rPr>
            </w:pPr>
            <w:r>
              <w:rPr>
                <w:rFonts w:hint="eastAsia" w:ascii="仿宋_GB2312" w:hAnsi="仿宋_GB2312" w:eastAsia="仿宋_GB2312" w:cs="仿宋_GB2312"/>
                <w:b/>
                <w:caps/>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b/>
                <w:caps/>
                <w:color w:val="000000" w:themeColor="text1"/>
                <w:szCs w:val="2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_GB2312" w:cs="Times New Roman"/>
                <w:i w:val="0"/>
                <w:i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磋商保证金</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_GB2312" w:cs="Times New Roman"/>
                <w:i w:val="0"/>
                <w:i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按照磋商文件的规定提交磋商保证金（包括形式及金额）</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响应文件签署盖章</w:t>
            </w:r>
          </w:p>
        </w:tc>
        <w:tc>
          <w:tcPr>
            <w:tcW w:w="5401" w:type="dxa"/>
            <w:vAlign w:val="center"/>
          </w:tcPr>
          <w:p>
            <w:pPr>
              <w:tabs>
                <w:tab w:val="left" w:pos="1260"/>
                <w:tab w:val="left" w:pos="1620"/>
              </w:tabs>
              <w:adjustRightInd w:val="0"/>
              <w:snapToGrid w:val="0"/>
              <w:textAlignment w:val="baseline"/>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报价</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附加条件</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公平竞争</w:t>
            </w:r>
          </w:p>
        </w:tc>
        <w:tc>
          <w:tcPr>
            <w:tcW w:w="5401" w:type="dxa"/>
            <w:vAlign w:val="center"/>
          </w:tcPr>
          <w:p>
            <w:pPr>
              <w:tabs>
                <w:tab w:val="left" w:pos="1260"/>
                <w:tab w:val="left" w:pos="1620"/>
              </w:tabs>
              <w:adjustRightInd w:val="0"/>
              <w:snapToGrid w:val="0"/>
              <w:textAlignment w:val="baseline"/>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遵循公平竞争的原则，没有弄虚作假、恶意串通或妨碍其他供应商的竞争行为，损害采购人或者其他供应商的合法权益</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p>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弄虚作假、相互串通的情形见附注</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其他无效情形</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响应文件有效期</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有效期满足磋商文件要求的</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hint="eastAsia" w:ascii="Times New Roman" w:hAnsi="Times New Roman" w:eastAsia="仿宋_GB2312" w:cs="Times New Roman"/>
                <w:i w:val="0"/>
                <w:i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响应文件格式</w:t>
            </w:r>
          </w:p>
        </w:tc>
        <w:tc>
          <w:tcPr>
            <w:tcW w:w="5401" w:type="dxa"/>
            <w:vAlign w:val="center"/>
          </w:tcPr>
          <w:p>
            <w:pPr>
              <w:tabs>
                <w:tab w:val="left" w:pos="1260"/>
                <w:tab w:val="left" w:pos="1620"/>
              </w:tabs>
              <w:adjustRightInd w:val="0"/>
              <w:snapToGrid w:val="0"/>
              <w:textAlignment w:val="baseline"/>
              <w:rPr>
                <w:rFonts w:hint="eastAsia" w:ascii="Times New Roman" w:hAnsi="Times New Roman" w:eastAsia="仿宋_GB2312" w:cs="Times New Roman"/>
                <w:i w:val="0"/>
                <w:i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szCs w:val="21"/>
                <w:highlight w:val="none"/>
                <w14:textFill>
                  <w14:solidFill>
                    <w14:schemeClr w14:val="tx1"/>
                  </w14:solidFill>
                </w14:textFill>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备选方案</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trike/>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响应文件内容</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供应商提供的服务无实质性遗漏</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技术响应</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符合“采购需求”要求，无重大偏差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000000" w:themeColor="text1"/>
                <w:szCs w:val="21"/>
                <w:highlight w:val="none"/>
                <w14:textFill>
                  <w14:solidFill>
                    <w14:schemeClr w14:val="tx1"/>
                  </w14:solidFill>
                </w14:textFill>
              </w:rPr>
            </w:pPr>
            <w:r>
              <w:rPr>
                <w:rFonts w:hint="eastAsia" w:ascii="仿宋_GB2312" w:hAnsi="仿宋_GB2312" w:eastAsia="仿宋_GB2312" w:cs="仿宋_GB2312"/>
                <w:iCs/>
                <w:color w:val="000000" w:themeColor="text1"/>
                <w:szCs w:val="21"/>
                <w:highlight w:val="none"/>
                <w14:textFill>
                  <w14:solidFill>
                    <w14:schemeClr w14:val="tx1"/>
                  </w14:solidFill>
                </w14:textFill>
              </w:rPr>
              <w:t>服务时限和服务地点</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000000" w:themeColor="text1"/>
                <w:szCs w:val="21"/>
                <w:highlight w:val="none"/>
                <w14:textFill>
                  <w14:solidFill>
                    <w14:schemeClr w14:val="tx1"/>
                  </w14:solidFill>
                </w14:textFill>
              </w:rPr>
            </w:pPr>
            <w:r>
              <w:rPr>
                <w:rFonts w:hint="eastAsia" w:ascii="仿宋_GB2312" w:hAnsi="仿宋_GB2312" w:eastAsia="仿宋_GB2312" w:cs="仿宋_GB2312"/>
                <w:iCs/>
                <w:color w:val="000000" w:themeColor="text1"/>
                <w:szCs w:val="21"/>
                <w:highlight w:val="none"/>
                <w14:textFill>
                  <w14:solidFill>
                    <w14:schemeClr w14:val="tx1"/>
                  </w14:solidFill>
                </w14:textFill>
              </w:rPr>
              <w:t>满足磋商文件要求</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000000" w:themeColor="text1"/>
                <w:szCs w:val="21"/>
                <w:highlight w:val="none"/>
                <w14:textFill>
                  <w14:solidFill>
                    <w14:schemeClr w14:val="tx1"/>
                  </w14:solidFill>
                </w14:textFill>
              </w:rPr>
            </w:pPr>
            <w:r>
              <w:rPr>
                <w:rFonts w:hint="eastAsia" w:ascii="仿宋_GB2312" w:hAnsi="仿宋_GB2312" w:eastAsia="仿宋_GB2312" w:cs="仿宋_GB2312"/>
                <w:iCs/>
                <w:color w:val="000000" w:themeColor="text1"/>
                <w:szCs w:val="21"/>
                <w:highlight w:val="none"/>
                <w14:textFill>
                  <w14:solidFill>
                    <w14:schemeClr w14:val="tx1"/>
                  </w14:solidFill>
                </w14:textFill>
              </w:rPr>
              <w:t>付款方式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000000" w:themeColor="text1"/>
                <w:szCs w:val="21"/>
                <w:highlight w:val="none"/>
                <w14:textFill>
                  <w14:solidFill>
                    <w14:schemeClr w14:val="tx1"/>
                  </w14:solidFill>
                </w14:textFill>
              </w:rPr>
            </w:pPr>
            <w:r>
              <w:rPr>
                <w:rFonts w:hint="eastAsia" w:ascii="仿宋_GB2312" w:hAnsi="仿宋_GB2312" w:eastAsia="仿宋_GB2312" w:cs="仿宋_GB2312"/>
                <w:iCs/>
                <w:color w:val="000000" w:themeColor="text1"/>
                <w:szCs w:val="21"/>
                <w:highlight w:val="none"/>
                <w14:textFill>
                  <w14:solidFill>
                    <w14:schemeClr w14:val="tx1"/>
                  </w14:solidFill>
                </w14:textFill>
              </w:rPr>
              <w:t>响应文件无负偏差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965" w:type="dxa"/>
            <w:gridSpan w:val="3"/>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结论：“合格”或“不合格”</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000000" w:themeColor="text1"/>
                <w:szCs w:val="21"/>
                <w:highlight w:val="none"/>
                <w14:textFill>
                  <w14:solidFill>
                    <w14:schemeClr w14:val="tx1"/>
                  </w14:solidFill>
                </w14:textFill>
              </w:rPr>
            </w:pPr>
          </w:p>
        </w:tc>
      </w:tr>
    </w:tbl>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bookmarkStart w:id="408" w:name="_Toc414446034"/>
      <w:bookmarkStart w:id="409" w:name="_Toc410631198"/>
      <w:bookmarkStart w:id="410" w:name="_Toc7005048"/>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注：1、符合磋商文件要求用“</w:t>
      </w:r>
      <w:r>
        <w:rPr>
          <w:rFonts w:hint="eastAsia" w:eastAsia="仿宋_GB2312" w:cs="Times New Roman"/>
          <w:b/>
          <w:i w:val="0"/>
          <w:iCs w:val="0"/>
          <w:color w:val="000000" w:themeColor="text1"/>
          <w:szCs w:val="21"/>
          <w:highlight w:val="none"/>
          <w:lang w:eastAsia="zh-CN"/>
          <w14:textFill>
            <w14:solidFill>
              <w14:schemeClr w14:val="tx1"/>
            </w14:solidFill>
          </w14:textFill>
        </w:rPr>
        <w:t>√</w:t>
      </w: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”表示，不符合用“×”表示。有一项不符合要求，结论为不合格。</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2、有下列情形之一的，视为供应商相互串通：</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（1）不同供应商的响应文件由同一单位或者个人编制；</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（2）不同供应商委托同一单位或者个人办理参与磋商事宜；</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（4）不同供应商的响应文件异常一致或者报价呈规律性差异；</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（5）不同供应商的响应文件相互混装；</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（6）不同供应商的磋商保证金从同一单位或者个人的账户转出。</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3、有下列情形之一的，属于提供虚假材料谋取成交的行为：</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（1）使用伪造、变造的许可证件；</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（2）提供虚假的财务状况或者业绩；</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（3）提供虚假的项目负责人或者主要技术人员简历、劳动关系证明；</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（4）提供虚假的信用状况；</w:t>
      </w:r>
    </w:p>
    <w:p>
      <w:pP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pPr>
      <w:r>
        <w:rPr>
          <w:rFonts w:hint="default" w:ascii="Times New Roman" w:hAnsi="Times New Roman" w:eastAsia="仿宋_GB2312" w:cs="Times New Roman"/>
          <w:b/>
          <w:i w:val="0"/>
          <w:iCs w:val="0"/>
          <w:color w:val="000000" w:themeColor="text1"/>
          <w:szCs w:val="21"/>
          <w:highlight w:val="none"/>
          <w14:textFill>
            <w14:solidFill>
              <w14:schemeClr w14:val="tx1"/>
            </w14:solidFill>
          </w14:textFill>
        </w:rPr>
        <w:t>（5）其他弄虚作假的行为。</w:t>
      </w:r>
    </w:p>
    <w:p>
      <w:pPr>
        <w:rPr>
          <w:rFonts w:hint="eastAsia"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br w:type="page"/>
      </w:r>
    </w:p>
    <w:p>
      <w:pPr>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000000" w:themeColor="text1"/>
          <w:szCs w:val="21"/>
          <w:highlight w:val="none"/>
          <w14:textFill>
            <w14:solidFill>
              <w14:schemeClr w14:val="tx1"/>
            </w14:solidFill>
          </w14:textFill>
        </w:rPr>
      </w:pPr>
    </w:p>
    <w:tbl>
      <w:tblPr>
        <w:tblStyle w:val="50"/>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431"/>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31" w:type="dxa"/>
            <w:vAlign w:val="center"/>
          </w:tcPr>
          <w:p>
            <w:pPr>
              <w:spacing w:line="360" w:lineRule="auto"/>
              <w:jc w:val="center"/>
              <w:rPr>
                <w:rFonts w:ascii="仿宋_GB2312" w:hAnsi="仿宋_GB2312" w:eastAsia="仿宋_GB2312" w:cs="仿宋_GB2312"/>
                <w:b/>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评审项目</w:t>
            </w:r>
          </w:p>
        </w:tc>
        <w:tc>
          <w:tcPr>
            <w:tcW w:w="1431" w:type="dxa"/>
            <w:vAlign w:val="center"/>
          </w:tcPr>
          <w:p>
            <w:pPr>
              <w:spacing w:line="360" w:lineRule="auto"/>
              <w:jc w:val="center"/>
              <w:rPr>
                <w:rFonts w:ascii="仿宋_GB2312" w:hAnsi="仿宋_GB2312" w:eastAsia="仿宋_GB2312" w:cs="仿宋_GB2312"/>
                <w:b/>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评审内容</w:t>
            </w:r>
          </w:p>
        </w:tc>
        <w:tc>
          <w:tcPr>
            <w:tcW w:w="5306" w:type="dxa"/>
            <w:vAlign w:val="center"/>
          </w:tcPr>
          <w:p>
            <w:pPr>
              <w:spacing w:line="360" w:lineRule="auto"/>
              <w:jc w:val="center"/>
              <w:rPr>
                <w:rFonts w:ascii="仿宋_GB2312" w:hAnsi="仿宋_GB2312" w:eastAsia="仿宋_GB2312" w:cs="仿宋_GB2312"/>
                <w:b/>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评  审  标  准</w:t>
            </w:r>
          </w:p>
        </w:tc>
        <w:tc>
          <w:tcPr>
            <w:tcW w:w="1061" w:type="dxa"/>
            <w:vAlign w:val="center"/>
          </w:tcPr>
          <w:p>
            <w:pPr>
              <w:spacing w:line="360" w:lineRule="auto"/>
              <w:jc w:val="center"/>
              <w:rPr>
                <w:rFonts w:ascii="仿宋_GB2312" w:hAnsi="仿宋_GB2312" w:eastAsia="仿宋_GB2312" w:cs="仿宋_GB2312"/>
                <w:b/>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431" w:type="dxa"/>
            <w:vMerge w:val="restart"/>
            <w:vAlign w:val="center"/>
          </w:tcPr>
          <w:p>
            <w:pPr>
              <w:spacing w:line="360" w:lineRule="auto"/>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商务</w:t>
            </w:r>
          </w:p>
          <w:p>
            <w:pPr>
              <w:spacing w:line="360" w:lineRule="auto"/>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（15分）</w:t>
            </w:r>
          </w:p>
        </w:tc>
        <w:tc>
          <w:tcPr>
            <w:tcW w:w="1431" w:type="dxa"/>
            <w:vAlign w:val="center"/>
          </w:tcPr>
          <w:p>
            <w:pPr>
              <w:spacing w:line="360" w:lineRule="auto"/>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业绩</w:t>
            </w:r>
          </w:p>
        </w:tc>
        <w:tc>
          <w:tcPr>
            <w:tcW w:w="5306" w:type="dxa"/>
            <w:vAlign w:val="center"/>
          </w:tcPr>
          <w:p>
            <w:pPr>
              <w:spacing w:line="360" w:lineRule="auto"/>
              <w:rPr>
                <w:rFonts w:hint="eastAsia" w:ascii="仿宋_GB2312" w:hAnsi="仿宋_GB2312" w:eastAsia="仿宋_GB2312" w:cs="仿宋_GB2312"/>
                <w:iCs/>
                <w:color w:val="000000" w:themeColor="text1"/>
                <w:sz w:val="21"/>
                <w:szCs w:val="21"/>
                <w:highlight w:val="none"/>
                <w14:textFill>
                  <w14:solidFill>
                    <w14:schemeClr w14:val="tx1"/>
                  </w14:solidFill>
                </w14:textFill>
              </w:rPr>
            </w:pPr>
            <w:r>
              <w:rPr>
                <w:rFonts w:hint="eastAsia" w:ascii="仿宋_GB2312" w:hAnsi="仿宋_GB2312" w:eastAsia="仿宋_GB2312" w:cs="仿宋_GB2312"/>
                <w:iCs/>
                <w:color w:val="000000" w:themeColor="text1"/>
                <w:sz w:val="21"/>
                <w:szCs w:val="21"/>
                <w:highlight w:val="none"/>
                <w14:textFill>
                  <w14:solidFill>
                    <w14:schemeClr w14:val="tx1"/>
                  </w14:solidFill>
                </w14:textFill>
              </w:rPr>
              <w:t>供应商提供自201</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9</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年</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1</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月1日至今承担过的类似项目业绩，每个业绩得2分，最高得10分。</w:t>
            </w:r>
          </w:p>
          <w:p>
            <w:pPr>
              <w:spacing w:line="360" w:lineRule="auto"/>
              <w:rPr>
                <w:rFonts w:ascii="仿宋_GB2312" w:hAnsi="仿宋_GB2312" w:eastAsia="仿宋_GB2312" w:cs="仿宋_GB2312"/>
                <w:iCs/>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iCs/>
                <w:color w:val="000000" w:themeColor="text1"/>
                <w:sz w:val="21"/>
                <w:szCs w:val="21"/>
                <w:highlight w:val="none"/>
                <w:lang w:eastAsia="zh-CN"/>
                <w14:textFill>
                  <w14:solidFill>
                    <w14:schemeClr w14:val="tx1"/>
                  </w14:solidFill>
                </w14:textFill>
              </w:rPr>
              <w:t>注：</w:t>
            </w:r>
            <w:r>
              <w:rPr>
                <w:rFonts w:hint="eastAsia" w:ascii="仿宋_GB2312" w:hAnsi="仿宋_GB2312" w:eastAsia="仿宋_GB2312" w:cs="仿宋_GB2312"/>
                <w:b/>
                <w:bCs/>
                <w:iCs/>
                <w:color w:val="000000" w:themeColor="text1"/>
                <w:sz w:val="21"/>
                <w:szCs w:val="21"/>
                <w:highlight w:val="none"/>
                <w14:textFill>
                  <w14:solidFill>
                    <w14:schemeClr w14:val="tx1"/>
                  </w14:solidFill>
                </w14:textFill>
              </w:rPr>
              <w:t>供应商需提供服务合同</w:t>
            </w:r>
            <w:r>
              <w:rPr>
                <w:rFonts w:hint="eastAsia" w:ascii="仿宋_GB2312" w:hAnsi="仿宋_GB2312" w:eastAsia="仿宋_GB2312" w:cs="仿宋_GB2312"/>
                <w:b/>
                <w:bCs/>
                <w:iCs/>
                <w:color w:val="000000" w:themeColor="text1"/>
                <w:sz w:val="21"/>
                <w:szCs w:val="21"/>
                <w:highlight w:val="none"/>
                <w:lang w:eastAsia="zh-CN"/>
                <w14:textFill>
                  <w14:solidFill>
                    <w14:schemeClr w14:val="tx1"/>
                  </w14:solidFill>
                </w14:textFill>
              </w:rPr>
              <w:t>复印件</w:t>
            </w:r>
            <w:r>
              <w:rPr>
                <w:rFonts w:hint="eastAsia" w:ascii="仿宋_GB2312" w:hAnsi="仿宋_GB2312" w:eastAsia="仿宋_GB2312" w:cs="仿宋_GB2312"/>
                <w:b/>
                <w:bCs/>
                <w:iCs/>
                <w:color w:val="000000" w:themeColor="text1"/>
                <w:sz w:val="21"/>
                <w:szCs w:val="21"/>
                <w:highlight w:val="none"/>
                <w14:textFill>
                  <w14:solidFill>
                    <w14:schemeClr w14:val="tx1"/>
                  </w14:solidFill>
                </w14:textFill>
              </w:rPr>
              <w:t>（含首页、服务内容、签字盖章页）</w:t>
            </w:r>
            <w:r>
              <w:rPr>
                <w:rFonts w:hint="eastAsia" w:ascii="仿宋_GB2312" w:hAnsi="仿宋_GB2312" w:eastAsia="仿宋_GB2312" w:cs="仿宋_GB2312"/>
                <w:b/>
                <w:bCs/>
                <w:iCs/>
                <w:color w:val="000000" w:themeColor="text1"/>
                <w:sz w:val="21"/>
                <w:szCs w:val="21"/>
                <w:highlight w:val="none"/>
                <w:lang w:eastAsia="zh-CN"/>
                <w14:textFill>
                  <w14:solidFill>
                    <w14:schemeClr w14:val="tx1"/>
                  </w14:solidFill>
                </w14:textFill>
              </w:rPr>
              <w:t>并加盖公章</w:t>
            </w:r>
            <w:r>
              <w:rPr>
                <w:rFonts w:hint="eastAsia" w:ascii="仿宋_GB2312" w:hAnsi="仿宋_GB2312" w:eastAsia="仿宋_GB2312" w:cs="仿宋_GB2312"/>
                <w:b/>
                <w:bCs/>
                <w:iCs/>
                <w:color w:val="000000" w:themeColor="text1"/>
                <w:sz w:val="21"/>
                <w:szCs w:val="21"/>
                <w:highlight w:val="none"/>
                <w14:textFill>
                  <w14:solidFill>
                    <w14:schemeClr w14:val="tx1"/>
                  </w14:solidFill>
                </w14:textFill>
              </w:rPr>
              <w:t>，否则业绩不予认可。</w:t>
            </w:r>
          </w:p>
        </w:tc>
        <w:tc>
          <w:tcPr>
            <w:tcW w:w="1061" w:type="dxa"/>
            <w:vAlign w:val="center"/>
          </w:tcPr>
          <w:p>
            <w:pPr>
              <w:spacing w:line="360" w:lineRule="auto"/>
              <w:jc w:val="center"/>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431" w:type="dxa"/>
            <w:vMerge w:val="continue"/>
            <w:vAlign w:val="center"/>
          </w:tcPr>
          <w:p>
            <w:pPr>
              <w:spacing w:line="360" w:lineRule="auto"/>
              <w:jc w:val="center"/>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1431" w:type="dxa"/>
            <w:vAlign w:val="center"/>
          </w:tcPr>
          <w:p>
            <w:pPr>
              <w:adjustRightInd w:val="0"/>
              <w:snapToGrid w:val="0"/>
              <w:spacing w:line="360" w:lineRule="auto"/>
              <w:jc w:val="center"/>
              <w:rPr>
                <w:rFonts w:ascii="仿宋_GB2312" w:hAnsi="仿宋" w:eastAsia="仿宋_GB2312"/>
                <w:color w:val="000000" w:themeColor="text1"/>
                <w:sz w:val="21"/>
                <w:szCs w:val="21"/>
                <w:highlight w:val="none"/>
                <w14:textFill>
                  <w14:solidFill>
                    <w14:schemeClr w14:val="tx1"/>
                  </w14:solidFill>
                </w14:textFill>
              </w:rPr>
            </w:pPr>
            <w:r>
              <w:rPr>
                <w:rFonts w:eastAsia="仿宋_GB2312"/>
                <w:color w:val="000000" w:themeColor="text1"/>
                <w:sz w:val="21"/>
                <w:szCs w:val="21"/>
                <w:highlight w:val="none"/>
                <w14:textFill>
                  <w14:solidFill>
                    <w14:schemeClr w14:val="tx1"/>
                  </w14:solidFill>
                </w14:textFill>
              </w:rPr>
              <w:t>合同条款</w:t>
            </w:r>
          </w:p>
        </w:tc>
        <w:tc>
          <w:tcPr>
            <w:tcW w:w="5306" w:type="dxa"/>
            <w:vAlign w:val="center"/>
          </w:tcPr>
          <w:p>
            <w:pPr>
              <w:spacing w:line="360" w:lineRule="auto"/>
              <w:rPr>
                <w:rFonts w:ascii="仿宋_GB2312" w:hAnsi="仿宋_GB2312" w:eastAsia="仿宋_GB2312" w:cs="仿宋_GB2312"/>
                <w:iCs/>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zh-CN"/>
                <w14:textFill>
                  <w14:solidFill>
                    <w14:schemeClr w14:val="tx1"/>
                  </w14:solidFill>
                </w14:textFill>
              </w:rPr>
              <w:t>经过有效性和符合性审核合格的投标人，对拟签订合同条款中付款、</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服务期</w:t>
            </w:r>
            <w:r>
              <w:rPr>
                <w:rFonts w:hint="eastAsia" w:ascii="仿宋_GB2312" w:hAnsi="仿宋_GB2312" w:eastAsia="仿宋_GB2312" w:cs="仿宋_GB2312"/>
                <w:iCs/>
                <w:color w:val="000000" w:themeColor="text1"/>
                <w:sz w:val="21"/>
                <w:szCs w:val="21"/>
                <w:highlight w:val="none"/>
                <w:lang w:val="zh-CN"/>
                <w14:textFill>
                  <w14:solidFill>
                    <w14:schemeClr w14:val="tx1"/>
                  </w14:solidFill>
                </w14:textFill>
              </w:rPr>
              <w:t>、验收等方面进行响应说明，按其响应程度计0～</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5</w:t>
            </w:r>
            <w:r>
              <w:rPr>
                <w:rFonts w:hint="eastAsia" w:ascii="仿宋_GB2312" w:hAnsi="仿宋_GB2312" w:eastAsia="仿宋_GB2312" w:cs="仿宋_GB2312"/>
                <w:iCs/>
                <w:color w:val="000000" w:themeColor="text1"/>
                <w:sz w:val="21"/>
                <w:szCs w:val="21"/>
                <w:highlight w:val="none"/>
                <w:lang w:val="zh-CN"/>
                <w14:textFill>
                  <w14:solidFill>
                    <w14:schemeClr w14:val="tx1"/>
                  </w14:solidFill>
                </w14:textFill>
              </w:rPr>
              <w:t>分。</w:t>
            </w:r>
          </w:p>
        </w:tc>
        <w:tc>
          <w:tcPr>
            <w:tcW w:w="1061" w:type="dxa"/>
            <w:vAlign w:val="center"/>
          </w:tcPr>
          <w:p>
            <w:pPr>
              <w:spacing w:line="360" w:lineRule="auto"/>
              <w:jc w:val="center"/>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1431" w:type="dxa"/>
            <w:vMerge w:val="restart"/>
            <w:vAlign w:val="center"/>
          </w:tcPr>
          <w:p>
            <w:pPr>
              <w:spacing w:line="360" w:lineRule="auto"/>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技术</w:t>
            </w:r>
          </w:p>
          <w:p>
            <w:pPr>
              <w:spacing w:line="360" w:lineRule="auto"/>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（75分）</w:t>
            </w:r>
          </w:p>
        </w:tc>
        <w:tc>
          <w:tcPr>
            <w:tcW w:w="1431" w:type="dxa"/>
            <w:vAlign w:val="center"/>
          </w:tcPr>
          <w:p>
            <w:pPr>
              <w:snapToGrid w:val="0"/>
              <w:spacing w:line="360" w:lineRule="auto"/>
              <w:jc w:val="center"/>
              <w:rPr>
                <w:rFonts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服务方案</w:t>
            </w:r>
          </w:p>
        </w:tc>
        <w:tc>
          <w:tcPr>
            <w:tcW w:w="5306" w:type="dxa"/>
            <w:vAlign w:val="center"/>
          </w:tcPr>
          <w:p>
            <w:pPr>
              <w:numPr>
                <w:ilvl w:val="0"/>
                <w:numId w:val="15"/>
              </w:numPr>
              <w:spacing w:line="360" w:lineRule="auto"/>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项目理解。供应商从国家、省、市政策层面、区域层面解读项目背景，结合临渭区现状特征及实际发展情况准确把握临渭区国土空间生态修复规划编制思路。确定底图底数，摸清生态本底，识别生态问题，提出规划定位及指标体系。项目理解全面具体、合理可行得</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7</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10</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 xml:space="preserve">分； 项目理解较全面具体、较合理可行得 </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4</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7</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分；一般得[1-4]分。没有本项内容不得分。</w:t>
            </w:r>
          </w:p>
          <w:p>
            <w:pPr>
              <w:numPr>
                <w:ilvl w:val="0"/>
                <w:numId w:val="15"/>
              </w:numPr>
              <w:spacing w:line="360" w:lineRule="auto"/>
              <w:ind w:left="0" w:leftChars="0" w:firstLine="0" w:firstLineChars="0"/>
              <w:rPr>
                <w:rFonts w:hint="default" w:ascii="仿宋_GB2312" w:hAnsi="仿宋_GB2312" w:eastAsia="仿宋_GB2312" w:cs="仿宋_GB2312"/>
                <w:i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规划方案。规划方案具有针对性，符合国家、省、市相关规定，规划框架完整，成果内容和深度设置合理，明确专题研究方向及规划内容， 提出生态修复保护分区，划定生态修复重点区域，落实重大重点项目。规划方案全面具体、合理可行得</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10</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15</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分； 规划内容的方案较全面具体、较合理可行得</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5</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10</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eastAsia="zh-CN"/>
                <w14:textFill>
                  <w14:solidFill>
                    <w14:schemeClr w14:val="tx1"/>
                  </w14:solidFill>
                </w14:textFill>
              </w:rPr>
              <w:t>分</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 一般的得 [1-5]分。没有本项内容不得分。</w:t>
            </w:r>
          </w:p>
          <w:p>
            <w:pPr>
              <w:numPr>
                <w:ilvl w:val="0"/>
                <w:numId w:val="0"/>
              </w:numPr>
              <w:spacing w:line="360" w:lineRule="auto"/>
              <w:rPr>
                <w:rFonts w:hint="default" w:ascii="仿宋_GB2312" w:hAnsi="仿宋_GB2312" w:eastAsia="仿宋_GB2312" w:cs="仿宋_GB2312"/>
                <w:i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 xml:space="preserve">3、技术路线。基于临渭区生态修复现状分析，结合国家、省、市相关政策，制定本项目技术路线。技术流程清晰、合理全面、具备较高的可行性得 </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7</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10</w:t>
            </w:r>
            <w:r>
              <w:rPr>
                <w:rFonts w:hint="eastAsia" w:ascii="仿宋_GB2312" w:hAnsi="仿宋_GB2312" w:eastAsia="仿宋_GB2312" w:cs="仿宋_GB2312"/>
                <w:iCs/>
                <w:color w:val="000000" w:themeColor="text1"/>
                <w:sz w:val="21"/>
                <w:szCs w:val="21"/>
                <w:highlight w:val="none"/>
                <w14:textFill>
                  <w14:solidFill>
                    <w14:schemeClr w14:val="tx1"/>
                  </w14:solidFill>
                </w14:textFill>
              </w:rPr>
              <w:t>]</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分； 技术流程较清晰、全面、具备可行性得(4-7]分；一般得[1-4]分。没有本项内容不得分。</w:t>
            </w:r>
          </w:p>
          <w:p>
            <w:pPr>
              <w:numPr>
                <w:ilvl w:val="0"/>
                <w:numId w:val="0"/>
              </w:numPr>
              <w:spacing w:line="360" w:lineRule="auto"/>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4、成果内容。能够详细准确的说明提交成果的内容,并对所提交成果的应用做出详细的说明及分析。 提交成果的方案全面具体、合理可行得(7-10] 分； 提交成果的方案较全面具体、较合理可行得(4-7]分；一般得[1-4]分。没有本项内容不得分。</w:t>
            </w:r>
          </w:p>
          <w:p>
            <w:pPr>
              <w:numPr>
                <w:ilvl w:val="0"/>
                <w:numId w:val="0"/>
              </w:numPr>
              <w:spacing w:line="360" w:lineRule="auto"/>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5、质量控制及保证措施。供应商对本项目的质量控制及保证措施全面、科学、合理得（3-5]分；一般得[1-3]分。没有本项内容不得分。</w:t>
            </w:r>
          </w:p>
          <w:p>
            <w:pPr>
              <w:numPr>
                <w:ilvl w:val="0"/>
                <w:numId w:val="0"/>
              </w:numPr>
              <w:spacing w:line="360" w:lineRule="auto"/>
              <w:rPr>
                <w:rFonts w:hint="eastAsia" w:ascii="仿宋_GB2312" w:hAnsi="仿宋_GB2312" w:eastAsia="仿宋_GB2312" w:cs="仿宋_GB2312"/>
                <w:iCs/>
                <w:color w:val="000000" w:themeColor="text1"/>
                <w:sz w:val="21"/>
                <w:szCs w:val="21"/>
                <w:highlight w:val="none"/>
                <w:lang w:val="zh-CN" w:eastAsia="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6、进度计划。供应商对本项目的工作进度安排详细、科学、合理、切实可行得（3-5]分；一般得[1-3]分。没有本项内容不得分。</w:t>
            </w:r>
          </w:p>
          <w:p>
            <w:pPr>
              <w:numPr>
                <w:ilvl w:val="0"/>
                <w:numId w:val="0"/>
              </w:numPr>
              <w:spacing w:line="360" w:lineRule="auto"/>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7、重难点分析及合理化建议，重难点分析和合理化建议方案全面具体、合理可行得（3-5]分； 重难点分析和合理化建议方案较全面具体、较合理可行得[1-3]分。没有本项内容不得分。</w:t>
            </w:r>
          </w:p>
          <w:p>
            <w:pPr>
              <w:pStyle w:val="24"/>
              <w:spacing w:line="360" w:lineRule="auto"/>
              <w:ind w:left="0" w:leftChars="0" w:firstLine="0" w:firstLineChars="0"/>
              <w:rPr>
                <w:rFonts w:ascii="仿宋_GB2312" w:hAnsi="仿宋_GB2312" w:eastAsia="仿宋_GB2312" w:cs="仿宋_GB2312"/>
                <w:iCs/>
                <w:color w:val="000000" w:themeColor="text1"/>
                <w:sz w:val="21"/>
                <w:szCs w:val="21"/>
                <w:highlight w:val="none"/>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8、服务承诺。供应商针对本项目若出现缺陷和瑕疵的应急补救措施和快速响应能力，对于本项目的后续服务工作安排详尽、切实、可行得[3-5]。一般得[1-3]分；没有本项内容不得分。</w:t>
            </w:r>
          </w:p>
        </w:tc>
        <w:tc>
          <w:tcPr>
            <w:tcW w:w="1061" w:type="dxa"/>
            <w:vAlign w:val="center"/>
          </w:tcPr>
          <w:p>
            <w:pPr>
              <w:spacing w:line="360" w:lineRule="auto"/>
              <w:jc w:val="center"/>
              <w:rPr>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65</w:t>
            </w:r>
            <w:r>
              <w:rPr>
                <w:rFonts w:hint="eastAsia" w:ascii="仿宋_GB2312" w:hAnsi="仿宋_GB2312" w:eastAsia="仿宋_GB2312" w:cs="仿宋_GB2312"/>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31" w:type="dxa"/>
            <w:vMerge w:val="continue"/>
            <w:vAlign w:val="center"/>
          </w:tcPr>
          <w:p>
            <w:pPr>
              <w:spacing w:line="360" w:lineRule="auto"/>
              <w:jc w:val="center"/>
              <w:rPr>
                <w:rFonts w:ascii="仿宋_GB2312" w:hAnsi="仿宋_GB2312" w:eastAsia="仿宋_GB2312" w:cs="仿宋_GB2312"/>
                <w:bCs/>
                <w:color w:val="000000" w:themeColor="text1"/>
                <w:sz w:val="21"/>
                <w:szCs w:val="21"/>
                <w:highlight w:val="none"/>
                <w14:textFill>
                  <w14:solidFill>
                    <w14:schemeClr w14:val="tx1"/>
                  </w14:solidFill>
                </w14:textFill>
              </w:rPr>
            </w:pPr>
          </w:p>
        </w:tc>
        <w:tc>
          <w:tcPr>
            <w:tcW w:w="1431" w:type="dxa"/>
            <w:vAlign w:val="center"/>
          </w:tcPr>
          <w:p>
            <w:pPr>
              <w:snapToGrid w:val="0"/>
              <w:spacing w:line="360" w:lineRule="auto"/>
              <w:jc w:val="center"/>
              <w:rPr>
                <w:rFonts w:hint="default" w:ascii="仿宋_GB2312" w:hAnsi="仿宋_GB2312" w:eastAsia="仿宋_GB2312" w:cs="仿宋_GB2312"/>
                <w:color w:val="000000" w:themeColor="text1"/>
                <w:kern w:val="0"/>
                <w:sz w:val="21"/>
                <w:szCs w:val="21"/>
                <w:highlight w:val="none"/>
                <w:lang w:val="en-US"/>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技术团队</w:t>
            </w:r>
          </w:p>
        </w:tc>
        <w:tc>
          <w:tcPr>
            <w:tcW w:w="5306" w:type="dxa"/>
            <w:vAlign w:val="center"/>
          </w:tcPr>
          <w:p>
            <w:pPr>
              <w:numPr>
                <w:ilvl w:val="0"/>
                <w:numId w:val="16"/>
              </w:numPr>
              <w:spacing w:line="360" w:lineRule="auto"/>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项目负责人。项目负责人具有高级职称的得3分。</w:t>
            </w:r>
          </w:p>
          <w:p>
            <w:pPr>
              <w:numPr>
                <w:ilvl w:val="0"/>
                <w:numId w:val="16"/>
              </w:numPr>
              <w:spacing w:line="360" w:lineRule="auto"/>
              <w:rPr>
                <w:rFonts w:hint="default"/>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其他成员，除项目负</w:t>
            </w:r>
            <w:bookmarkStart w:id="520" w:name="_GoBack"/>
            <w:bookmarkEnd w:id="520"/>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责人外，供应商</w:t>
            </w:r>
            <w:r>
              <w:rPr>
                <w:rFonts w:hint="default" w:ascii="仿宋_GB2312" w:hAnsi="仿宋_GB2312" w:eastAsia="仿宋_GB2312" w:cs="仿宋_GB2312"/>
                <w:iCs/>
                <w:color w:val="000000" w:themeColor="text1"/>
                <w:sz w:val="21"/>
                <w:szCs w:val="21"/>
                <w:highlight w:val="none"/>
                <w:lang w:val="en-US" w:eastAsia="zh-CN"/>
                <w14:textFill>
                  <w14:solidFill>
                    <w14:schemeClr w14:val="tx1"/>
                  </w14:solidFill>
                </w14:textFill>
              </w:rPr>
              <w:t>具有满足本项目编制的专业团队</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w:t>
            </w:r>
            <w:r>
              <w:rPr>
                <w:rFonts w:hint="default" w:ascii="仿宋_GB2312" w:hAnsi="仿宋_GB2312" w:eastAsia="仿宋_GB2312" w:cs="仿宋_GB2312"/>
                <w:iCs/>
                <w:color w:val="000000" w:themeColor="text1"/>
                <w:sz w:val="21"/>
                <w:szCs w:val="21"/>
                <w:highlight w:val="none"/>
                <w:lang w:val="en-US" w:eastAsia="zh-CN"/>
                <w14:textFill>
                  <w14:solidFill>
                    <w14:schemeClr w14:val="tx1"/>
                  </w14:solidFill>
                </w14:textFill>
              </w:rPr>
              <w:t>对</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团队</w:t>
            </w:r>
            <w:r>
              <w:rPr>
                <w:rFonts w:hint="default" w:ascii="仿宋_GB2312" w:hAnsi="仿宋_GB2312" w:eastAsia="仿宋_GB2312" w:cs="仿宋_GB2312"/>
                <w:iCs/>
                <w:color w:val="000000" w:themeColor="text1"/>
                <w:sz w:val="21"/>
                <w:szCs w:val="21"/>
                <w:highlight w:val="none"/>
                <w:lang w:val="en-US" w:eastAsia="zh-CN"/>
                <w14:textFill>
                  <w14:solidFill>
                    <w14:schemeClr w14:val="tx1"/>
                  </w14:solidFill>
                </w14:textFill>
              </w:rPr>
              <w:t>专业人员从业年限及职称、获奖情况、资历情况进行评审，</w:t>
            </w:r>
            <w:r>
              <w:rPr>
                <w:rFonts w:hint="eastAsia" w:ascii="仿宋_GB2312" w:hAnsi="仿宋_GB2312" w:eastAsia="仿宋_GB2312" w:cs="仿宋_GB2312"/>
                <w:iCs/>
                <w:color w:val="000000" w:themeColor="text1"/>
                <w:sz w:val="21"/>
                <w:szCs w:val="21"/>
                <w:highlight w:val="none"/>
                <w:lang w:val="en-US" w:eastAsia="zh-CN"/>
                <w14:textFill>
                  <w14:solidFill>
                    <w14:schemeClr w14:val="tx1"/>
                  </w14:solidFill>
                </w14:textFill>
              </w:rPr>
              <w:t>得[1-7]分</w:t>
            </w:r>
            <w:r>
              <w:rPr>
                <w:rFonts w:hint="default" w:ascii="仿宋_GB2312" w:hAnsi="仿宋_GB2312" w:eastAsia="仿宋_GB2312" w:cs="仿宋_GB2312"/>
                <w:iCs/>
                <w:color w:val="000000" w:themeColor="text1"/>
                <w:sz w:val="21"/>
                <w:szCs w:val="21"/>
                <w:highlight w:val="none"/>
                <w:lang w:val="en-US" w:eastAsia="zh-CN"/>
                <w14:textFill>
                  <w14:solidFill>
                    <w14:schemeClr w14:val="tx1"/>
                  </w14:solidFill>
                </w14:textFill>
              </w:rPr>
              <w:t xml:space="preserve">。 </w:t>
            </w:r>
          </w:p>
        </w:tc>
        <w:tc>
          <w:tcPr>
            <w:tcW w:w="1061" w:type="dxa"/>
            <w:vAlign w:val="center"/>
          </w:tcPr>
          <w:p>
            <w:pPr>
              <w:spacing w:line="360" w:lineRule="auto"/>
              <w:jc w:val="center"/>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431" w:type="dxa"/>
            <w:vAlign w:val="center"/>
          </w:tcPr>
          <w:p>
            <w:pPr>
              <w:spacing w:line="360" w:lineRule="auto"/>
              <w:jc w:val="center"/>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价格</w:t>
            </w:r>
          </w:p>
          <w:p>
            <w:pPr>
              <w:spacing w:line="360" w:lineRule="auto"/>
              <w:jc w:val="center"/>
              <w:rPr>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（10分）</w:t>
            </w:r>
          </w:p>
        </w:tc>
        <w:tc>
          <w:tcPr>
            <w:tcW w:w="1431" w:type="dxa"/>
            <w:vAlign w:val="center"/>
          </w:tcPr>
          <w:p>
            <w:pPr>
              <w:spacing w:line="360" w:lineRule="auto"/>
              <w:jc w:val="center"/>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报价得分</w:t>
            </w:r>
          </w:p>
        </w:tc>
        <w:tc>
          <w:tcPr>
            <w:tcW w:w="5306" w:type="dxa"/>
          </w:tcPr>
          <w:p>
            <w:pPr>
              <w:spacing w:line="360" w:lineRule="auto"/>
              <w:jc w:val="left"/>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zh-CN"/>
                <w14:textFill>
                  <w14:solidFill>
                    <w14:schemeClr w14:val="tx1"/>
                  </w14:solidFill>
                </w14:textFill>
              </w:rPr>
              <w:t>满足磋商文件要求且最后报价最低的供应商的价格为磋商基准价，其价格分为满分。其他供应商的价格分统一按照下列公式计算：磋商报价得分=（磋商基准价/最后磋商报价）×报价分值</w:t>
            </w:r>
          </w:p>
        </w:tc>
        <w:tc>
          <w:tcPr>
            <w:tcW w:w="1061" w:type="dxa"/>
            <w:vAlign w:val="center"/>
          </w:tcPr>
          <w:p>
            <w:pPr>
              <w:spacing w:line="360" w:lineRule="auto"/>
              <w:jc w:val="center"/>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10分</w:t>
            </w:r>
          </w:p>
        </w:tc>
      </w:tr>
    </w:tbl>
    <w:p>
      <w:pPr>
        <w:jc w:val="center"/>
        <w:rPr>
          <w:rFonts w:ascii="仿宋_GB2312" w:hAnsi="仿宋_GB2312" w:eastAsia="仿宋_GB2312" w:cs="仿宋_GB2312"/>
          <w:b/>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br w:type="page"/>
      </w:r>
    </w:p>
    <w:p>
      <w:pPr>
        <w:pStyle w:val="47"/>
        <w:spacing w:line="360" w:lineRule="auto"/>
        <w:rPr>
          <w:rStyle w:val="204"/>
          <w:rFonts w:ascii="宋体" w:hAnsi="宋体" w:eastAsia="宋体"/>
          <w:color w:val="000000" w:themeColor="text1"/>
          <w:sz w:val="36"/>
          <w:szCs w:val="36"/>
          <w:highlight w:val="none"/>
          <w14:textFill>
            <w14:solidFill>
              <w14:schemeClr w14:val="tx1"/>
            </w14:solidFill>
          </w14:textFill>
        </w:rPr>
      </w:pPr>
      <w:bookmarkStart w:id="411" w:name="_Toc68590979"/>
      <w:r>
        <w:rPr>
          <w:rStyle w:val="204"/>
          <w:rFonts w:hint="eastAsia" w:ascii="宋体" w:hAnsi="宋体" w:eastAsia="宋体"/>
          <w:color w:val="000000" w:themeColor="text1"/>
          <w:sz w:val="36"/>
          <w:szCs w:val="36"/>
          <w:highlight w:val="none"/>
          <w14:textFill>
            <w14:solidFill>
              <w14:schemeClr w14:val="tx1"/>
            </w14:solidFill>
          </w14:textFill>
        </w:rPr>
        <w:t>第四章  合同草案条款</w:t>
      </w:r>
      <w:bookmarkEnd w:id="19"/>
      <w:bookmarkEnd w:id="393"/>
      <w:bookmarkEnd w:id="394"/>
      <w:bookmarkEnd w:id="411"/>
      <w:bookmarkStart w:id="412" w:name="_Toc415499897"/>
      <w:bookmarkStart w:id="413" w:name="_Toc70687202"/>
      <w:bookmarkStart w:id="414" w:name="_Toc500747233"/>
      <w:bookmarkStart w:id="415" w:name="_Toc232395222"/>
      <w:bookmarkStart w:id="416" w:name="_Toc230583552"/>
      <w:bookmarkStart w:id="417" w:name="_Toc500747010"/>
      <w:bookmarkStart w:id="418" w:name="_Toc492955459"/>
      <w:bookmarkStart w:id="419" w:name="_Toc499711928"/>
      <w:bookmarkStart w:id="420" w:name="_Toc176882552"/>
      <w:bookmarkStart w:id="421" w:name="_Toc184043058"/>
      <w:bookmarkStart w:id="422" w:name="_Toc230013638"/>
      <w:bookmarkStart w:id="423" w:name="_Toc177189245"/>
      <w:bookmarkStart w:id="424" w:name="_Toc249515369"/>
      <w:bookmarkStart w:id="425" w:name="_Toc177817344"/>
      <w:bookmarkStart w:id="426" w:name="_Toc256342152"/>
      <w:bookmarkStart w:id="427" w:name="_Toc28450"/>
      <w:bookmarkStart w:id="428" w:name="_Toc249515482"/>
      <w:bookmarkStart w:id="429" w:name="_Toc496324623"/>
      <w:bookmarkStart w:id="430" w:name="_Toc499711087"/>
      <w:bookmarkStart w:id="431" w:name="_Toc177995483"/>
      <w:bookmarkStart w:id="432" w:name="_Toc249525250"/>
      <w:bookmarkStart w:id="433" w:name="_Toc232176282"/>
      <w:bookmarkStart w:id="434" w:name="_Toc230099803"/>
      <w:bookmarkStart w:id="435" w:name="_Toc53722865"/>
      <w:bookmarkStart w:id="436" w:name="_Toc500747106"/>
      <w:bookmarkStart w:id="437" w:name="_Toc503063458"/>
    </w:p>
    <w:p>
      <w:pPr>
        <w:adjustRightInd w:val="0"/>
        <w:snapToGrid w:val="0"/>
        <w:spacing w:line="360" w:lineRule="auto"/>
        <w:ind w:firstLine="482" w:firstLineChars="200"/>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 xml:space="preserve">甲方：（前款所称采购人）    </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住所：</w:t>
      </w:r>
      <w:r>
        <w:rPr>
          <w:rFonts w:hint="eastAsia" w:ascii="仿宋_GB2312" w:hAnsi="仿宋_GB2312" w:eastAsia="仿宋_GB2312" w:cs="仿宋_GB2312"/>
          <w:b/>
          <w:color w:val="000000" w:themeColor="text1"/>
          <w:sz w:val="24"/>
          <w:highlight w:val="none"/>
          <w14:textFill>
            <w14:solidFill>
              <w14:schemeClr w14:val="tx1"/>
            </w14:solidFill>
          </w14:textFill>
        </w:rPr>
        <w:t xml:space="preserve">    </w:t>
      </w:r>
    </w:p>
    <w:p>
      <w:pPr>
        <w:adjustRightInd w:val="0"/>
        <w:snapToGrid w:val="0"/>
        <w:spacing w:line="360" w:lineRule="auto"/>
        <w:ind w:firstLine="482" w:firstLineChars="200"/>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 xml:space="preserve">乙方：（前款所称成交供应商）  </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住所：</w:t>
      </w:r>
      <w:r>
        <w:rPr>
          <w:rFonts w:hint="eastAsia" w:ascii="仿宋_GB2312" w:hAnsi="仿宋_GB2312" w:eastAsia="仿宋_GB2312" w:cs="仿宋_GB2312"/>
          <w:b/>
          <w:color w:val="000000" w:themeColor="text1"/>
          <w:sz w:val="24"/>
          <w:highlight w:val="none"/>
          <w14:textFill>
            <w14:solidFill>
              <w14:schemeClr w14:val="tx1"/>
            </w14:solidFill>
          </w14:textFill>
        </w:rPr>
        <w:t xml:space="preserve">   </w:t>
      </w:r>
    </w:p>
    <w:p>
      <w:pPr>
        <w:adjustRightInd w:val="0"/>
        <w:snapToGrid w:val="0"/>
        <w:spacing w:line="360" w:lineRule="auto"/>
        <w:ind w:firstLine="482" w:firstLineChars="200"/>
        <w:rPr>
          <w:rFonts w:ascii="仿宋_GB2312" w:hAnsi="仿宋" w:eastAsia="仿宋_GB2312"/>
          <w:color w:val="000000" w:themeColor="text1"/>
          <w:sz w:val="24"/>
          <w:highlight w:val="none"/>
          <w14:textFill>
            <w14:solidFill>
              <w14:schemeClr w14:val="tx1"/>
            </w14:solidFill>
          </w14:textFill>
        </w:rPr>
      </w:pPr>
      <w:bookmarkStart w:id="438" w:name="_Toc19515384"/>
      <w:r>
        <w:rPr>
          <w:rFonts w:hint="eastAsia" w:ascii="仿宋_GB2312" w:hAnsi="仿宋" w:eastAsia="仿宋_GB2312"/>
          <w:b/>
          <w:bCs/>
          <w:color w:val="000000" w:themeColor="text1"/>
          <w:sz w:val="24"/>
          <w:highlight w:val="none"/>
          <w14:textFill>
            <w14:solidFill>
              <w14:schemeClr w14:val="tx1"/>
            </w14:solidFill>
          </w14:textFill>
        </w:rPr>
        <w:t>一、合同内容</w:t>
      </w:r>
      <w:r>
        <w:rPr>
          <w:rFonts w:hint="eastAsia" w:ascii="仿宋_GB2312" w:hAnsi="仿宋" w:eastAsia="仿宋_GB2312"/>
          <w:color w:val="000000" w:themeColor="text1"/>
          <w:sz w:val="24"/>
          <w:highlight w:val="none"/>
          <w14:textFill>
            <w14:solidFill>
              <w14:schemeClr w14:val="tx1"/>
            </w14:solidFill>
          </w14:textFill>
        </w:rPr>
        <w:t>（标的、范围、质量等）:</w:t>
      </w:r>
      <w:bookmarkEnd w:id="438"/>
      <w:r>
        <w:rPr>
          <w:rFonts w:hint="eastAsia" w:ascii="仿宋_GB2312" w:hAnsi="仿宋" w:eastAsia="仿宋_GB2312"/>
          <w:color w:val="000000" w:themeColor="text1"/>
          <w:sz w:val="24"/>
          <w:highlight w:val="none"/>
          <w14:textFill>
            <w14:solidFill>
              <w14:schemeClr w14:val="tx1"/>
            </w14:solidFill>
          </w14:textFill>
        </w:rPr>
        <w:t>本次采购需求包含的全部内容。</w:t>
      </w:r>
    </w:p>
    <w:p>
      <w:pPr>
        <w:adjustRightInd w:val="0"/>
        <w:snapToGrid w:val="0"/>
        <w:spacing w:line="360" w:lineRule="auto"/>
        <w:ind w:firstLine="482" w:firstLineChars="200"/>
        <w:rPr>
          <w:rFonts w:ascii="仿宋_GB2312" w:hAnsi="仿宋" w:eastAsia="仿宋_GB2312"/>
          <w:b/>
          <w:bCs/>
          <w:color w:val="000000" w:themeColor="text1"/>
          <w:sz w:val="24"/>
          <w:highlight w:val="none"/>
          <w14:textFill>
            <w14:solidFill>
              <w14:schemeClr w14:val="tx1"/>
            </w14:solidFill>
          </w14:textFill>
        </w:rPr>
      </w:pPr>
      <w:bookmarkStart w:id="439" w:name="_Toc19515385"/>
      <w:r>
        <w:rPr>
          <w:rFonts w:hint="eastAsia" w:ascii="仿宋_GB2312" w:hAnsi="仿宋" w:eastAsia="仿宋_GB2312"/>
          <w:b/>
          <w:bCs/>
          <w:color w:val="000000" w:themeColor="text1"/>
          <w:sz w:val="24"/>
          <w:highlight w:val="none"/>
          <w14:textFill>
            <w14:solidFill>
              <w14:schemeClr w14:val="tx1"/>
            </w14:solidFill>
          </w14:textFill>
        </w:rPr>
        <w:t>二、合同价款</w:t>
      </w:r>
      <w:bookmarkEnd w:id="439"/>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1、合同总价：</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2、合同总价包括：完成</w:t>
      </w:r>
      <w:r>
        <w:rPr>
          <w:rFonts w:hint="eastAsia" w:ascii="仿宋_GB2312" w:hAnsi="仿宋" w:eastAsia="仿宋_GB2312"/>
          <w:color w:val="000000" w:themeColor="text1"/>
          <w:sz w:val="24"/>
          <w:highlight w:val="none"/>
          <w:lang w:eastAsia="zh-CN"/>
          <w14:textFill>
            <w14:solidFill>
              <w14:schemeClr w14:val="tx1"/>
            </w14:solidFill>
          </w14:textFill>
        </w:rPr>
        <w:t>本项目</w:t>
      </w:r>
      <w:r>
        <w:rPr>
          <w:rFonts w:hint="eastAsia" w:ascii="仿宋_GB2312" w:hAnsi="仿宋" w:eastAsia="仿宋_GB2312"/>
          <w:color w:val="000000" w:themeColor="text1"/>
          <w:sz w:val="24"/>
          <w:highlight w:val="none"/>
          <w14:textFill>
            <w14:solidFill>
              <w14:schemeClr w14:val="tx1"/>
            </w14:solidFill>
          </w14:textFill>
        </w:rPr>
        <w:t>服务要求所需的一切费用。</w:t>
      </w:r>
    </w:p>
    <w:p>
      <w:pPr>
        <w:adjustRightInd w:val="0"/>
        <w:snapToGrid w:val="0"/>
        <w:spacing w:line="360" w:lineRule="auto"/>
        <w:ind w:firstLine="480" w:firstLineChars="200"/>
        <w:rPr>
          <w:rFonts w:hint="eastAsia"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3、合同为固定总价合同，不受市场价变化的影响。</w:t>
      </w:r>
    </w:p>
    <w:p>
      <w:pPr>
        <w:adjustRightInd w:val="0"/>
        <w:snapToGrid w:val="0"/>
        <w:spacing w:line="360" w:lineRule="auto"/>
        <w:ind w:firstLine="482" w:firstLineChars="200"/>
        <w:rPr>
          <w:rFonts w:ascii="仿宋_GB2312" w:hAnsi="仿宋" w:eastAsia="仿宋_GB2312"/>
          <w:b/>
          <w:bCs/>
          <w:color w:val="000000" w:themeColor="text1"/>
          <w:sz w:val="24"/>
          <w:highlight w:val="none"/>
          <w14:textFill>
            <w14:solidFill>
              <w14:schemeClr w14:val="tx1"/>
            </w14:solidFill>
          </w14:textFill>
        </w:rPr>
      </w:pPr>
      <w:bookmarkStart w:id="440" w:name="_Toc19515386"/>
      <w:r>
        <w:rPr>
          <w:rFonts w:hint="eastAsia" w:ascii="仿宋_GB2312" w:hAnsi="仿宋" w:eastAsia="仿宋_GB2312"/>
          <w:b/>
          <w:bCs/>
          <w:color w:val="000000" w:themeColor="text1"/>
          <w:sz w:val="24"/>
          <w:highlight w:val="none"/>
          <w14:textFill>
            <w14:solidFill>
              <w14:schemeClr w14:val="tx1"/>
            </w14:solidFill>
          </w14:textFill>
        </w:rPr>
        <w:t>三、合同结算</w:t>
      </w:r>
      <w:bookmarkEnd w:id="440"/>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1、付款比例：</w:t>
      </w:r>
      <w:r>
        <w:rPr>
          <w:rFonts w:hint="eastAsia" w:ascii="仿宋" w:hAnsi="仿宋" w:eastAsia="仿宋" w:cs="仿宋_GB2312"/>
          <w:color w:val="000000" w:themeColor="text1"/>
          <w:sz w:val="24"/>
          <w:lang w:eastAsia="zh-CN"/>
          <w14:textFill>
            <w14:solidFill>
              <w14:schemeClr w14:val="tx1"/>
            </w14:solidFill>
          </w14:textFill>
        </w:rPr>
        <w:t>乙方</w:t>
      </w:r>
      <w:r>
        <w:rPr>
          <w:rFonts w:hint="eastAsia" w:ascii="仿宋" w:hAnsi="仿宋" w:eastAsia="仿宋" w:cs="仿宋_GB2312"/>
          <w:color w:val="000000" w:themeColor="text1"/>
          <w:sz w:val="24"/>
          <w14:textFill>
            <w14:solidFill>
              <w14:schemeClr w14:val="tx1"/>
            </w14:solidFill>
          </w14:textFill>
        </w:rPr>
        <w:t>提交的成果文件验收合格后，</w:t>
      </w:r>
      <w:r>
        <w:rPr>
          <w:rFonts w:hint="eastAsia" w:ascii="仿宋" w:hAnsi="仿宋" w:eastAsia="仿宋" w:cs="仿宋_GB2312"/>
          <w:color w:val="000000" w:themeColor="text1"/>
          <w:sz w:val="24"/>
          <w:lang w:eastAsia="zh-CN"/>
          <w14:textFill>
            <w14:solidFill>
              <w14:schemeClr w14:val="tx1"/>
            </w14:solidFill>
          </w14:textFill>
        </w:rPr>
        <w:t>甲方</w:t>
      </w:r>
      <w:r>
        <w:rPr>
          <w:rFonts w:hint="eastAsia" w:ascii="仿宋" w:hAnsi="仿宋" w:eastAsia="仿宋" w:cs="仿宋_GB2312"/>
          <w:color w:val="000000" w:themeColor="text1"/>
          <w:sz w:val="24"/>
          <w14:textFill>
            <w14:solidFill>
              <w14:schemeClr w14:val="tx1"/>
            </w14:solidFill>
          </w14:textFill>
        </w:rPr>
        <w:t>一次性支付本项目全部服务费</w:t>
      </w:r>
      <w:r>
        <w:rPr>
          <w:rFonts w:hint="eastAsia" w:ascii="仿宋" w:hAnsi="仿宋" w:eastAsia="仿宋" w:cs="仿宋_GB2312"/>
          <w:color w:val="000000" w:themeColor="text1"/>
          <w:sz w:val="24"/>
          <w:lang w:eastAsia="zh-CN"/>
          <w14:textFill>
            <w14:solidFill>
              <w14:schemeClr w14:val="tx1"/>
            </w14:solidFill>
          </w14:textFill>
        </w:rPr>
        <w:t>用</w:t>
      </w:r>
      <w:r>
        <w:rPr>
          <w:rFonts w:hint="eastAsia" w:ascii="仿宋" w:hAnsi="仿宋" w:eastAsia="仿宋" w:cs="仿宋_GB2312"/>
          <w:color w:val="000000" w:themeColor="text1"/>
          <w:sz w:val="24"/>
          <w14:textFill>
            <w14:solidFill>
              <w14:schemeClr w14:val="tx1"/>
            </w14:solidFill>
          </w14:textFill>
        </w:rPr>
        <w:t>。乙方必须开具真实有效的增值税发票</w:t>
      </w:r>
      <w:r>
        <w:rPr>
          <w:rFonts w:hint="eastAsia" w:ascii="仿宋" w:hAnsi="仿宋" w:eastAsia="仿宋" w:cs="仿宋_GB2312"/>
          <w:color w:val="000000" w:themeColor="text1"/>
          <w:sz w:val="24"/>
          <w:lang w:eastAsia="zh-CN"/>
          <w14:textFill>
            <w14:solidFill>
              <w14:schemeClr w14:val="tx1"/>
            </w14:solidFill>
          </w14:textFill>
        </w:rPr>
        <w:t>。</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2、结算方式：银行转账。</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3、结算单位：由</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u w:val="single"/>
          <w:lang w:eastAsia="zh-CN"/>
          <w14:textFill>
            <w14:solidFill>
              <w14:schemeClr w14:val="tx1"/>
            </w14:solidFill>
          </w14:textFill>
        </w:rPr>
        <w:t>甲方</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14:textFill>
            <w14:solidFill>
              <w14:schemeClr w14:val="tx1"/>
            </w14:solidFill>
          </w14:textFill>
        </w:rPr>
        <w:t>负责结算，乙方开具合同总价数的全额发票</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w:t>
      </w:r>
    </w:p>
    <w:p>
      <w:pPr>
        <w:adjustRightInd w:val="0"/>
        <w:snapToGrid w:val="0"/>
        <w:spacing w:line="360" w:lineRule="auto"/>
        <w:ind w:firstLine="482" w:firstLineChars="200"/>
        <w:rPr>
          <w:rFonts w:ascii="仿宋_GB2312" w:hAnsi="仿宋" w:eastAsia="仿宋_GB2312"/>
          <w:b/>
          <w:bCs/>
          <w:color w:val="000000" w:themeColor="text1"/>
          <w:sz w:val="24"/>
          <w:highlight w:val="none"/>
          <w14:textFill>
            <w14:solidFill>
              <w14:schemeClr w14:val="tx1"/>
            </w14:solidFill>
          </w14:textFill>
        </w:rPr>
      </w:pPr>
      <w:bookmarkStart w:id="441" w:name="_Toc19515387"/>
      <w:r>
        <w:rPr>
          <w:rFonts w:hint="eastAsia" w:ascii="仿宋_GB2312" w:hAnsi="仿宋" w:eastAsia="仿宋_GB2312"/>
          <w:b/>
          <w:bCs/>
          <w:color w:val="000000" w:themeColor="text1"/>
          <w:sz w:val="24"/>
          <w:highlight w:val="none"/>
          <w14:textFill>
            <w14:solidFill>
              <w14:schemeClr w14:val="tx1"/>
            </w14:solidFill>
          </w14:textFill>
        </w:rPr>
        <w:t>四、服务时限、服务地点及方式</w:t>
      </w:r>
      <w:bookmarkEnd w:id="441"/>
    </w:p>
    <w:p>
      <w:pPr>
        <w:adjustRightInd w:val="0"/>
        <w:snapToGrid w:val="0"/>
        <w:spacing w:line="360" w:lineRule="auto"/>
        <w:ind w:firstLine="480" w:firstLineChars="200"/>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1、服务时限：</w:t>
      </w:r>
      <w:r>
        <w:rPr>
          <w:rFonts w:hint="eastAsia" w:ascii="仿宋_GB2312" w:hAnsi="仿宋" w:eastAsia="仿宋_GB2312"/>
          <w:color w:val="000000" w:themeColor="text1"/>
          <w:sz w:val="24"/>
          <w:highlight w:val="none"/>
          <w:lang w:eastAsia="zh-CN"/>
          <w14:textFill>
            <w14:solidFill>
              <w14:schemeClr w14:val="tx1"/>
            </w14:solidFill>
          </w14:textFill>
        </w:rPr>
        <w:t>自</w:t>
      </w:r>
      <w:r>
        <w:rPr>
          <w:rFonts w:hint="eastAsia" w:ascii="仿宋_GB2312" w:hAnsi="仿宋" w:eastAsia="仿宋_GB2312"/>
          <w:color w:val="000000" w:themeColor="text1"/>
          <w:sz w:val="24"/>
          <w:highlight w:val="none"/>
          <w14:textFill>
            <w14:solidFill>
              <w14:schemeClr w14:val="tx1"/>
            </w14:solidFill>
          </w14:textFill>
        </w:rPr>
        <w:t>合同签订后</w:t>
      </w:r>
      <w:r>
        <w:rPr>
          <w:rFonts w:hint="eastAsia" w:ascii="仿宋_GB2312" w:hAnsi="仿宋" w:eastAsia="仿宋_GB2312"/>
          <w:color w:val="000000" w:themeColor="text1"/>
          <w:sz w:val="24"/>
          <w:highlight w:val="none"/>
          <w:u w:val="single"/>
          <w:lang w:val="en-US" w:eastAsia="zh-CN"/>
          <w14:textFill>
            <w14:solidFill>
              <w14:schemeClr w14:val="tx1"/>
            </w14:solidFill>
          </w14:textFill>
        </w:rPr>
        <w:t xml:space="preserve">90 </w:t>
      </w:r>
      <w:r>
        <w:rPr>
          <w:rFonts w:hint="eastAsia" w:ascii="仿宋_GB2312" w:hAnsi="仿宋" w:eastAsia="仿宋_GB2312"/>
          <w:color w:val="000000" w:themeColor="text1"/>
          <w:sz w:val="24"/>
          <w:highlight w:val="none"/>
          <w:u w:val="none"/>
          <w:lang w:val="en-US" w:eastAsia="zh-CN"/>
          <w14:textFill>
            <w14:solidFill>
              <w14:schemeClr w14:val="tx1"/>
            </w14:solidFill>
          </w14:textFill>
        </w:rPr>
        <w:t>日历天</w:t>
      </w:r>
      <w:r>
        <w:rPr>
          <w:rFonts w:hint="eastAsia" w:ascii="仿宋_GB2312" w:hAnsi="仿宋" w:eastAsia="仿宋_GB2312"/>
          <w:color w:val="000000" w:themeColor="text1"/>
          <w:sz w:val="24"/>
          <w:highlight w:val="none"/>
          <w14:textFill>
            <w14:solidFill>
              <w14:schemeClr w14:val="tx1"/>
            </w14:solidFill>
          </w14:textFill>
        </w:rPr>
        <w:t>内按</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要求完成所有</w:t>
      </w:r>
      <w:r>
        <w:rPr>
          <w:rFonts w:hint="eastAsia" w:ascii="仿宋_GB2312" w:hAnsi="仿宋" w:eastAsia="仿宋_GB2312"/>
          <w:color w:val="000000" w:themeColor="text1"/>
          <w:sz w:val="24"/>
          <w:highlight w:val="none"/>
          <w:lang w:val="en-US" w:eastAsia="zh-CN"/>
          <w14:textFill>
            <w14:solidFill>
              <w14:schemeClr w14:val="tx1"/>
            </w14:solidFill>
          </w14:textFill>
        </w:rPr>
        <w:t>采购</w:t>
      </w:r>
      <w:r>
        <w:rPr>
          <w:rFonts w:hint="eastAsia" w:ascii="仿宋_GB2312" w:hAnsi="仿宋" w:eastAsia="仿宋_GB2312"/>
          <w:color w:val="000000" w:themeColor="text1"/>
          <w:sz w:val="24"/>
          <w:highlight w:val="none"/>
          <w14:textFill>
            <w14:solidFill>
              <w14:schemeClr w14:val="tx1"/>
            </w14:solidFill>
          </w14:textFill>
        </w:rPr>
        <w:t>内容。</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2、服务地点：</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指定地点</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3、方式：按照</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要求</w:t>
      </w:r>
    </w:p>
    <w:p>
      <w:pPr>
        <w:adjustRightInd w:val="0"/>
        <w:snapToGrid w:val="0"/>
        <w:spacing w:line="360" w:lineRule="auto"/>
        <w:ind w:firstLine="482" w:firstLineChars="200"/>
        <w:rPr>
          <w:rFonts w:ascii="仿宋_GB2312" w:hAnsi="仿宋" w:eastAsia="仿宋_GB2312"/>
          <w:b/>
          <w:bCs/>
          <w:color w:val="000000" w:themeColor="text1"/>
          <w:sz w:val="24"/>
          <w:highlight w:val="none"/>
          <w14:textFill>
            <w14:solidFill>
              <w14:schemeClr w14:val="tx1"/>
            </w14:solidFill>
          </w14:textFill>
        </w:rPr>
      </w:pPr>
      <w:bookmarkStart w:id="442" w:name="_Toc19515391"/>
      <w:r>
        <w:rPr>
          <w:rFonts w:hint="eastAsia" w:ascii="仿宋_GB2312" w:hAnsi="仿宋" w:eastAsia="仿宋_GB2312"/>
          <w:b/>
          <w:bCs/>
          <w:color w:val="000000" w:themeColor="text1"/>
          <w:sz w:val="24"/>
          <w:highlight w:val="none"/>
          <w14:textFill>
            <w14:solidFill>
              <w14:schemeClr w14:val="tx1"/>
            </w14:solidFill>
          </w14:textFill>
        </w:rPr>
        <w:t>五、服务工作要求和质量保证</w:t>
      </w:r>
    </w:p>
    <w:p>
      <w:pPr>
        <w:adjustRightInd w:val="0"/>
        <w:snapToGrid w:val="0"/>
        <w:spacing w:line="360" w:lineRule="auto"/>
        <w:ind w:firstLine="480" w:firstLineChars="200"/>
        <w:rPr>
          <w:rFonts w:hint="eastAsia"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1、服务要求：</w:t>
      </w:r>
    </w:p>
    <w:p>
      <w:pPr>
        <w:adjustRightInd w:val="0"/>
        <w:snapToGrid w:val="0"/>
        <w:spacing w:line="360" w:lineRule="auto"/>
        <w:ind w:firstLine="480" w:firstLineChars="200"/>
        <w:rPr>
          <w:rFonts w:hint="eastAsia"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1-1乙方须按时完成采购内容，服务期限</w:t>
      </w:r>
      <w:r>
        <w:rPr>
          <w:rFonts w:hint="eastAsia" w:ascii="仿宋" w:hAnsi="仿宋" w:eastAsia="仿宋" w:cs="仿宋_GB2312"/>
          <w:color w:val="000000" w:themeColor="text1"/>
          <w:sz w:val="24"/>
          <w:lang w:val="zh-CN"/>
          <w14:textFill>
            <w14:solidFill>
              <w14:schemeClr w14:val="tx1"/>
            </w14:solidFill>
          </w14:textFill>
        </w:rPr>
        <w:t>所委派的工作人员在开展工作过程中的工作报酬及相关保险费用由乙方自行支付，</w:t>
      </w:r>
      <w:r>
        <w:rPr>
          <w:rFonts w:hint="eastAsia" w:ascii="仿宋_GB2312" w:hAnsi="仿宋" w:eastAsia="仿宋_GB2312"/>
          <w:color w:val="000000" w:themeColor="text1"/>
          <w:sz w:val="24"/>
          <w:highlight w:val="none"/>
          <w:lang w:val="en-US" w:eastAsia="zh-CN"/>
          <w14:textFill>
            <w14:solidFill>
              <w14:schemeClr w14:val="tx1"/>
            </w14:solidFill>
          </w14:textFill>
        </w:rPr>
        <w:t>在服务期间若乙方所派工作人员发生任何伤害，甲方概不负责，由乙方自行处理。</w:t>
      </w:r>
    </w:p>
    <w:p>
      <w:pPr>
        <w:adjustRightInd w:val="0"/>
        <w:snapToGrid w:val="0"/>
        <w:spacing w:line="360" w:lineRule="auto"/>
        <w:ind w:firstLine="480" w:firstLineChars="200"/>
        <w:rPr>
          <w:rFonts w:hint="eastAsia"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1-2乙方服务方案和方式科学、可行，人员配置合理，全面满足要求。</w:t>
      </w:r>
    </w:p>
    <w:p>
      <w:pPr>
        <w:pStyle w:val="2"/>
        <w:ind w:firstLine="480"/>
        <w:rPr>
          <w:rFonts w:hint="eastAsia"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1-3乙方提供的服务，若发生侵权而产生的一切后果，由乙方负责，甲方保留索赔权。</w:t>
      </w:r>
    </w:p>
    <w:p>
      <w:pPr>
        <w:adjustRightInd w:val="0"/>
        <w:snapToGrid w:val="0"/>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1-4乙方服务承诺内容。</w:t>
      </w:r>
    </w:p>
    <w:p>
      <w:pPr>
        <w:adjustRightInd w:val="0"/>
        <w:snapToGrid w:val="0"/>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2、质量要求：</w:t>
      </w:r>
      <w:r>
        <w:rPr>
          <w:rFonts w:hint="eastAsia" w:ascii="仿宋_GB2312" w:hAnsi="仿宋" w:eastAsia="仿宋_GB2312" w:cs="Times New Roman"/>
          <w:color w:val="000000" w:themeColor="text1"/>
          <w:sz w:val="24"/>
          <w:highlight w:val="none"/>
          <w14:textFill>
            <w14:solidFill>
              <w14:schemeClr w14:val="tx1"/>
            </w14:solidFill>
          </w14:textFill>
        </w:rPr>
        <w:t>符合国家法律法规、技术标准与规范要求，通过采购人或上级主管部门组织的成果审查</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adjustRightInd w:val="0"/>
        <w:snapToGrid w:val="0"/>
        <w:spacing w:line="360" w:lineRule="auto"/>
        <w:ind w:firstLine="482" w:firstLineChars="200"/>
        <w:rPr>
          <w:rFonts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b/>
          <w:bCs/>
          <w:color w:val="000000" w:themeColor="text1"/>
          <w:sz w:val="24"/>
          <w:highlight w:val="none"/>
          <w14:textFill>
            <w14:solidFill>
              <w14:schemeClr w14:val="tx1"/>
            </w14:solidFill>
          </w14:textFill>
        </w:rPr>
        <w:t>六、验收</w:t>
      </w:r>
      <w:bookmarkEnd w:id="442"/>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1、验收依据：</w:t>
      </w:r>
    </w:p>
    <w:p>
      <w:pPr>
        <w:adjustRightInd w:val="0"/>
        <w:snapToGrid w:val="0"/>
        <w:spacing w:line="360" w:lineRule="auto"/>
        <w:ind w:firstLine="480" w:firstLineChars="200"/>
        <w:rPr>
          <w:rFonts w:hint="eastAsia" w:eastAsia="仿宋_GB2312"/>
          <w:color w:val="000000" w:themeColor="text1"/>
          <w:sz w:val="24"/>
          <w:lang w:eastAsia="zh-CN"/>
          <w14:textFill>
            <w14:solidFill>
              <w14:schemeClr w14:val="tx1"/>
            </w14:solidFill>
          </w14:textFill>
        </w:rPr>
      </w:pPr>
      <w:bookmarkStart w:id="443" w:name="_Toc19515392"/>
      <w:bookmarkStart w:id="444" w:name="_Toc19515393"/>
      <w:r>
        <w:rPr>
          <w:rFonts w:eastAsia="仿宋_GB2312"/>
          <w:color w:val="000000" w:themeColor="text1"/>
          <w:sz w:val="24"/>
          <w14:textFill>
            <w14:solidFill>
              <w14:schemeClr w14:val="tx1"/>
            </w14:solidFill>
          </w14:textFill>
        </w:rPr>
        <w:t>1、</w:t>
      </w:r>
      <w:r>
        <w:rPr>
          <w:rFonts w:hint="eastAsia" w:eastAsia="仿宋_GB2312"/>
          <w:color w:val="000000" w:themeColor="text1"/>
          <w:sz w:val="24"/>
          <w:lang w:eastAsia="zh-CN"/>
          <w14:textFill>
            <w14:solidFill>
              <w14:schemeClr w14:val="tx1"/>
            </w14:solidFill>
          </w14:textFill>
        </w:rPr>
        <w:t>服务内容完成后先由乙方进行自检，自检合格后邀请甲方进行验收。甲方确认乙方的自检内容后，组织乙方</w:t>
      </w:r>
      <w:r>
        <w:rPr>
          <w:rFonts w:eastAsia="仿宋_GB2312"/>
          <w:color w:val="000000" w:themeColor="text1"/>
          <w:sz w:val="24"/>
          <w14:textFill>
            <w14:solidFill>
              <w14:schemeClr w14:val="tx1"/>
            </w14:solidFill>
          </w14:textFill>
        </w:rPr>
        <w:t>（必要时可聘请相应专家或委托相应部门验收</w:t>
      </w:r>
      <w:r>
        <w:rPr>
          <w:rFonts w:hint="eastAsia" w:eastAsia="仿宋_GB2312"/>
          <w:color w:val="000000" w:themeColor="text1"/>
          <w:sz w:val="24"/>
          <w:lang w:eastAsia="zh-CN"/>
          <w14:textFill>
            <w14:solidFill>
              <w14:schemeClr w14:val="tx1"/>
            </w14:solidFill>
          </w14:textFill>
        </w:rPr>
        <w:t>，由此产生的费用由乙方承担</w:t>
      </w:r>
      <w:r>
        <w:rPr>
          <w:rFonts w:eastAsia="仿宋_GB2312"/>
          <w:color w:val="000000" w:themeColor="text1"/>
          <w:sz w:val="24"/>
          <w14:textFill>
            <w14:solidFill>
              <w14:schemeClr w14:val="tx1"/>
            </w14:solidFill>
          </w14:textFill>
        </w:rPr>
        <w:t>）</w:t>
      </w:r>
      <w:r>
        <w:rPr>
          <w:rFonts w:hint="eastAsia" w:eastAsia="仿宋_GB2312"/>
          <w:color w:val="000000" w:themeColor="text1"/>
          <w:sz w:val="24"/>
          <w:lang w:eastAsia="zh-CN"/>
          <w14:textFill>
            <w14:solidFill>
              <w14:schemeClr w14:val="tx1"/>
            </w14:solidFill>
          </w14:textFill>
        </w:rPr>
        <w:t>进行最终验收，验收时乙方应派员参加，共同对验收结果进行确认，并承担相关责任。验收合格后，填写政府采购项目履约验收单作为对服务的最终认可。</w:t>
      </w:r>
    </w:p>
    <w:p>
      <w:pPr>
        <w:adjustRightInd w:val="0"/>
        <w:snapToGrid w:val="0"/>
        <w:spacing w:line="360" w:lineRule="auto"/>
        <w:ind w:firstLine="480" w:firstLineChars="200"/>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2、</w:t>
      </w:r>
      <w:r>
        <w:rPr>
          <w:rFonts w:eastAsia="仿宋_GB2312"/>
          <w:color w:val="000000" w:themeColor="text1"/>
          <w:sz w:val="24"/>
          <w14:textFill>
            <w14:solidFill>
              <w14:schemeClr w14:val="tx1"/>
            </w14:solidFill>
          </w14:textFill>
        </w:rPr>
        <w:t>最终验收结果作为付款依据，</w:t>
      </w:r>
      <w:r>
        <w:rPr>
          <w:rFonts w:hint="eastAsia" w:eastAsia="仿宋_GB2312"/>
          <w:color w:val="000000" w:themeColor="text1"/>
          <w:sz w:val="24"/>
          <w:lang w:eastAsia="zh-CN"/>
          <w14:textFill>
            <w14:solidFill>
              <w14:schemeClr w14:val="tx1"/>
            </w14:solidFill>
          </w14:textFill>
        </w:rPr>
        <w:t>最终验收后，乙方</w:t>
      </w:r>
      <w:r>
        <w:rPr>
          <w:rFonts w:eastAsia="仿宋_GB2312"/>
          <w:color w:val="000000" w:themeColor="text1"/>
          <w:sz w:val="24"/>
          <w14:textFill>
            <w14:solidFill>
              <w14:schemeClr w14:val="tx1"/>
            </w14:solidFill>
          </w14:textFill>
        </w:rPr>
        <w:t>向甲方提交</w:t>
      </w:r>
      <w:r>
        <w:rPr>
          <w:rFonts w:hint="eastAsia" w:eastAsia="仿宋_GB2312"/>
          <w:color w:val="000000" w:themeColor="text1"/>
          <w:sz w:val="24"/>
          <w:lang w:eastAsia="zh-CN"/>
          <w14:textFill>
            <w14:solidFill>
              <w14:schemeClr w14:val="tx1"/>
            </w14:solidFill>
          </w14:textFill>
        </w:rPr>
        <w:t>服务</w:t>
      </w:r>
      <w:r>
        <w:rPr>
          <w:rFonts w:eastAsia="仿宋_GB2312"/>
          <w:color w:val="000000" w:themeColor="text1"/>
          <w:sz w:val="24"/>
          <w14:textFill>
            <w14:solidFill>
              <w14:schemeClr w14:val="tx1"/>
            </w14:solidFill>
          </w14:textFill>
        </w:rPr>
        <w:t>实施过程中的所有资料，以便甲方日后管理和维护。</w:t>
      </w:r>
    </w:p>
    <w:p>
      <w:pPr>
        <w:adjustRightInd w:val="0"/>
        <w:snapToGrid w:val="0"/>
        <w:spacing w:line="360" w:lineRule="auto"/>
        <w:ind w:firstLine="480" w:firstLineChars="200"/>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3</w:t>
      </w:r>
      <w:r>
        <w:rPr>
          <w:rFonts w:eastAsia="仿宋_GB2312"/>
          <w:color w:val="000000" w:themeColor="text1"/>
          <w:sz w:val="24"/>
          <w14:textFill>
            <w14:solidFill>
              <w14:schemeClr w14:val="tx1"/>
            </w14:solidFill>
          </w14:textFill>
        </w:rPr>
        <w:t>、验收依据：</w:t>
      </w:r>
    </w:p>
    <w:p>
      <w:pPr>
        <w:adjustRightInd w:val="0"/>
        <w:snapToGrid w:val="0"/>
        <w:spacing w:line="360" w:lineRule="auto"/>
        <w:ind w:firstLine="480" w:firstLineChars="200"/>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3</w:t>
      </w:r>
      <w:r>
        <w:rPr>
          <w:rFonts w:eastAsia="仿宋_GB2312"/>
          <w:color w:val="000000" w:themeColor="text1"/>
          <w:sz w:val="24"/>
          <w14:textFill>
            <w14:solidFill>
              <w14:schemeClr w14:val="tx1"/>
            </w14:solidFill>
          </w14:textFill>
        </w:rPr>
        <w:t>-1、合同文本、合同附件、</w:t>
      </w:r>
      <w:r>
        <w:rPr>
          <w:rFonts w:hint="eastAsia" w:eastAsia="仿宋_GB2312"/>
          <w:color w:val="000000" w:themeColor="text1"/>
          <w:sz w:val="24"/>
          <w14:textFill>
            <w14:solidFill>
              <w14:schemeClr w14:val="tx1"/>
            </w14:solidFill>
          </w14:textFill>
        </w:rPr>
        <w:t>竞争性磋商文件</w:t>
      </w:r>
      <w:r>
        <w:rPr>
          <w:rFonts w:eastAsia="仿宋_GB2312"/>
          <w:color w:val="000000" w:themeColor="text1"/>
          <w:sz w:val="24"/>
          <w14:textFill>
            <w14:solidFill>
              <w14:schemeClr w14:val="tx1"/>
            </w14:solidFill>
          </w14:textFill>
        </w:rPr>
        <w:t>、</w:t>
      </w:r>
      <w:r>
        <w:rPr>
          <w:rFonts w:hint="eastAsia" w:eastAsia="仿宋_GB2312"/>
          <w:color w:val="000000" w:themeColor="text1"/>
          <w:sz w:val="24"/>
          <w14:textFill>
            <w14:solidFill>
              <w14:schemeClr w14:val="tx1"/>
            </w14:solidFill>
          </w14:textFill>
        </w:rPr>
        <w:t>成交供应商的响应文件</w:t>
      </w:r>
      <w:r>
        <w:rPr>
          <w:rFonts w:eastAsia="仿宋_GB2312"/>
          <w:color w:val="000000" w:themeColor="text1"/>
          <w:sz w:val="24"/>
          <w14:textFill>
            <w14:solidFill>
              <w14:schemeClr w14:val="tx1"/>
            </w14:solidFill>
          </w14:textFill>
        </w:rPr>
        <w:t>。</w:t>
      </w:r>
    </w:p>
    <w:p>
      <w:pPr>
        <w:adjustRightInd w:val="0"/>
        <w:snapToGrid w:val="0"/>
        <w:spacing w:line="360" w:lineRule="auto"/>
        <w:ind w:firstLine="480" w:firstLineChars="200"/>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3</w:t>
      </w:r>
      <w:r>
        <w:rPr>
          <w:rFonts w:eastAsia="仿宋_GB2312"/>
          <w:color w:val="000000" w:themeColor="text1"/>
          <w:sz w:val="24"/>
          <w14:textFill>
            <w14:solidFill>
              <w14:schemeClr w14:val="tx1"/>
            </w14:solidFill>
          </w14:textFill>
        </w:rPr>
        <w:t>-2、国内相应的标准、规范。</w:t>
      </w:r>
    </w:p>
    <w:p>
      <w:pPr>
        <w:adjustRightInd w:val="0"/>
        <w:snapToGrid w:val="0"/>
        <w:spacing w:line="360" w:lineRule="auto"/>
        <w:ind w:firstLine="482" w:firstLineChars="200"/>
        <w:rPr>
          <w:rFonts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b/>
          <w:bCs/>
          <w:color w:val="000000" w:themeColor="text1"/>
          <w:sz w:val="24"/>
          <w:highlight w:val="none"/>
          <w14:textFill>
            <w14:solidFill>
              <w14:schemeClr w14:val="tx1"/>
            </w14:solidFill>
          </w14:textFill>
        </w:rPr>
        <w:t>七、违约责任</w:t>
      </w:r>
      <w:bookmarkEnd w:id="443"/>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1、按《中华人民共和国民法典》中的相关条款执行。</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2、乙方履约延误</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2-1、如乙方事先未征得甲方同意并得到甲方的谅解而单方面延迟执行合同，将按违约终止合同。</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付时间或对乙方加收误期赔偿金。</w:t>
      </w:r>
      <w:r>
        <w:rPr>
          <w:rFonts w:eastAsia="仿宋_GB2312"/>
          <w:color w:val="000000" w:themeColor="text1"/>
          <w:sz w:val="24"/>
          <w14:textFill>
            <w14:solidFill>
              <w14:schemeClr w14:val="tx1"/>
            </w14:solidFill>
          </w14:textFill>
        </w:rPr>
        <w:t>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4、未经甲方同意，乙方不得擅自将本合同服务分包或转包第三方承担。</w:t>
      </w:r>
    </w:p>
    <w:p>
      <w:pPr>
        <w:adjustRightInd w:val="0"/>
        <w:snapToGrid w:val="0"/>
        <w:spacing w:line="360" w:lineRule="auto"/>
        <w:ind w:firstLine="482" w:firstLineChars="200"/>
        <w:rPr>
          <w:rFonts w:hint="eastAsia" w:ascii="仿宋_GB2312" w:hAnsi="仿宋" w:eastAsia="仿宋_GB2312"/>
          <w:b/>
          <w:bCs/>
          <w:color w:val="000000" w:themeColor="text1"/>
          <w:sz w:val="24"/>
          <w:highlight w:val="none"/>
          <w:lang w:eastAsia="zh-CN"/>
          <w14:textFill>
            <w14:solidFill>
              <w14:schemeClr w14:val="tx1"/>
            </w14:solidFill>
          </w14:textFill>
        </w:rPr>
      </w:pPr>
      <w:r>
        <w:rPr>
          <w:rFonts w:hint="eastAsia" w:ascii="仿宋_GB2312" w:hAnsi="仿宋" w:eastAsia="仿宋_GB2312"/>
          <w:b/>
          <w:bCs/>
          <w:color w:val="000000" w:themeColor="text1"/>
          <w:sz w:val="24"/>
          <w:highlight w:val="none"/>
          <w:lang w:eastAsia="zh-CN"/>
          <w14:textFill>
            <w14:solidFill>
              <w14:schemeClr w14:val="tx1"/>
            </w14:solidFill>
          </w14:textFill>
        </w:rPr>
        <w:t>八、保密要求</w:t>
      </w:r>
    </w:p>
    <w:p>
      <w:pPr>
        <w:spacing w:line="360" w:lineRule="auto"/>
        <w:ind w:firstLine="480" w:firstLineChars="200"/>
        <w:rPr>
          <w:rFonts w:hint="eastAsia"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eastAsia="zh-CN"/>
          <w14:textFill>
            <w14:solidFill>
              <w14:schemeClr w14:val="tx1"/>
            </w14:solidFill>
          </w14:textFill>
        </w:rPr>
        <w:t>乙方应遵守国家有关保密的法律法规和行业规定，并对甲方提供的资料负有保密义务。乙方</w:t>
      </w:r>
      <w:r>
        <w:rPr>
          <w:rFonts w:hint="eastAsia" w:ascii="仿宋_GB2312" w:hAnsi="仿宋" w:eastAsia="仿宋_GB2312"/>
          <w:color w:val="000000" w:themeColor="text1"/>
          <w:sz w:val="24"/>
          <w:highlight w:val="none"/>
          <w14:textFill>
            <w14:solidFill>
              <w14:schemeClr w14:val="tx1"/>
            </w14:solidFill>
          </w14:textFill>
        </w:rPr>
        <w:t>在项目实施过程中，对</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所提供的所</w:t>
      </w:r>
      <w:r>
        <w:rPr>
          <w:rFonts w:hint="eastAsia" w:ascii="仿宋_GB2312" w:hAnsi="仿宋" w:eastAsia="仿宋_GB2312"/>
          <w:color w:val="000000" w:themeColor="text1"/>
          <w:sz w:val="24"/>
          <w:highlight w:val="none"/>
          <w:lang w:eastAsia="zh-CN"/>
          <w14:textFill>
            <w14:solidFill>
              <w14:schemeClr w14:val="tx1"/>
            </w14:solidFill>
          </w14:textFill>
        </w:rPr>
        <w:t>有</w:t>
      </w:r>
      <w:r>
        <w:rPr>
          <w:rFonts w:hint="eastAsia" w:ascii="仿宋_GB2312" w:hAnsi="仿宋" w:eastAsia="仿宋_GB2312"/>
          <w:color w:val="000000" w:themeColor="text1"/>
          <w:sz w:val="24"/>
          <w:highlight w:val="none"/>
          <w14:textFill>
            <w14:solidFill>
              <w14:schemeClr w14:val="tx1"/>
            </w14:solidFill>
          </w14:textFill>
        </w:rPr>
        <w:t>相关资料、数据，未经</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书面同意不得向任何第三人泄露，且保密责任不因合同的终止或解除而失效。如果</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提出要求，</w:t>
      </w:r>
      <w:r>
        <w:rPr>
          <w:rFonts w:hint="eastAsia" w:ascii="仿宋_GB2312" w:hAnsi="仿宋" w:eastAsia="仿宋_GB2312"/>
          <w:color w:val="000000" w:themeColor="text1"/>
          <w:sz w:val="24"/>
          <w:highlight w:val="none"/>
          <w:lang w:eastAsia="zh-CN"/>
          <w14:textFill>
            <w14:solidFill>
              <w14:schemeClr w14:val="tx1"/>
            </w14:solidFill>
          </w14:textFill>
        </w:rPr>
        <w:t>乙方</w:t>
      </w:r>
      <w:r>
        <w:rPr>
          <w:rFonts w:hint="eastAsia" w:ascii="仿宋_GB2312" w:hAnsi="仿宋" w:eastAsia="仿宋_GB2312"/>
          <w:color w:val="000000" w:themeColor="text1"/>
          <w:sz w:val="24"/>
          <w:highlight w:val="none"/>
          <w14:textFill>
            <w14:solidFill>
              <w14:schemeClr w14:val="tx1"/>
            </w14:solidFill>
          </w14:textFill>
        </w:rPr>
        <w:t>须无条件与</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签订保密协议。项目完成后，</w:t>
      </w:r>
      <w:r>
        <w:rPr>
          <w:rFonts w:hint="eastAsia" w:ascii="仿宋_GB2312" w:hAnsi="仿宋" w:eastAsia="仿宋_GB2312"/>
          <w:color w:val="000000" w:themeColor="text1"/>
          <w:sz w:val="24"/>
          <w:highlight w:val="none"/>
          <w:lang w:eastAsia="zh-CN"/>
          <w14:textFill>
            <w14:solidFill>
              <w14:schemeClr w14:val="tx1"/>
            </w14:solidFill>
          </w14:textFill>
        </w:rPr>
        <w:t>乙方</w:t>
      </w:r>
      <w:r>
        <w:rPr>
          <w:rFonts w:hint="eastAsia" w:ascii="仿宋_GB2312" w:hAnsi="仿宋" w:eastAsia="仿宋_GB2312"/>
          <w:color w:val="000000" w:themeColor="text1"/>
          <w:sz w:val="24"/>
          <w:highlight w:val="none"/>
          <w14:textFill>
            <w14:solidFill>
              <w14:schemeClr w14:val="tx1"/>
            </w14:solidFill>
          </w14:textFill>
        </w:rPr>
        <w:t>须把</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提供的所以资料、数据完整归还给</w:t>
      </w:r>
      <w:r>
        <w:rPr>
          <w:rFonts w:hint="eastAsia" w:ascii="仿宋_GB2312" w:hAnsi="仿宋" w:eastAsia="仿宋_GB2312"/>
          <w:color w:val="000000" w:themeColor="text1"/>
          <w:sz w:val="24"/>
          <w:highlight w:val="none"/>
          <w:lang w:eastAsia="zh-CN"/>
          <w14:textFill>
            <w14:solidFill>
              <w14:schemeClr w14:val="tx1"/>
            </w14:solidFill>
          </w14:textFill>
        </w:rPr>
        <w:t>甲方</w:t>
      </w:r>
      <w:r>
        <w:rPr>
          <w:rFonts w:hint="eastAsia" w:ascii="仿宋_GB2312" w:hAnsi="仿宋" w:eastAsia="仿宋_GB2312"/>
          <w:color w:val="000000" w:themeColor="text1"/>
          <w:sz w:val="24"/>
          <w:highlight w:val="none"/>
          <w14:textFill>
            <w14:solidFill>
              <w14:schemeClr w14:val="tx1"/>
            </w14:solidFill>
          </w14:textFill>
        </w:rPr>
        <w:t>，并不得留存任何复制品。</w:t>
      </w:r>
    </w:p>
    <w:p>
      <w:pPr>
        <w:adjustRightInd w:val="0"/>
        <w:snapToGrid w:val="0"/>
        <w:spacing w:line="360" w:lineRule="auto"/>
        <w:ind w:firstLine="482" w:firstLineChars="200"/>
        <w:rPr>
          <w:rFonts w:hint="eastAsia"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b/>
          <w:bCs/>
          <w:color w:val="000000" w:themeColor="text1"/>
          <w:sz w:val="24"/>
          <w:highlight w:val="none"/>
          <w:lang w:val="en-US" w:eastAsia="zh-CN"/>
          <w14:textFill>
            <w14:solidFill>
              <w14:schemeClr w14:val="tx1"/>
            </w14:solidFill>
          </w14:textFill>
        </w:rPr>
        <w:t>九</w:t>
      </w:r>
      <w:r>
        <w:rPr>
          <w:rFonts w:hint="eastAsia" w:ascii="仿宋_GB2312" w:hAnsi="仿宋" w:eastAsia="仿宋_GB2312"/>
          <w:b/>
          <w:bCs/>
          <w:color w:val="000000" w:themeColor="text1"/>
          <w:sz w:val="24"/>
          <w:highlight w:val="none"/>
          <w14:textFill>
            <w14:solidFill>
              <w14:schemeClr w14:val="tx1"/>
            </w14:solidFill>
          </w14:textFill>
        </w:rPr>
        <w:t>、合同组成</w:t>
      </w:r>
      <w:bookmarkEnd w:id="444"/>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1、成交通知书</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2、合同文件</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3、国家相关规范及标准</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4、</w:t>
      </w:r>
      <w:r>
        <w:rPr>
          <w:rFonts w:hint="eastAsia" w:ascii="仿宋_GB2312" w:hAnsi="仿宋" w:eastAsia="仿宋_GB2312"/>
          <w:color w:val="000000" w:themeColor="text1"/>
          <w:sz w:val="24"/>
          <w:highlight w:val="none"/>
          <w:lang w:val="en-US" w:eastAsia="zh-CN"/>
          <w14:textFill>
            <w14:solidFill>
              <w14:schemeClr w14:val="tx1"/>
            </w14:solidFill>
          </w14:textFill>
        </w:rPr>
        <w:t>竞争性</w:t>
      </w:r>
      <w:r>
        <w:rPr>
          <w:rFonts w:hint="eastAsia" w:ascii="仿宋_GB2312" w:hAnsi="仿宋" w:eastAsia="仿宋_GB2312"/>
          <w:color w:val="000000" w:themeColor="text1"/>
          <w:sz w:val="24"/>
          <w:highlight w:val="none"/>
          <w14:textFill>
            <w14:solidFill>
              <w14:schemeClr w14:val="tx1"/>
            </w14:solidFill>
          </w14:textFill>
        </w:rPr>
        <w:t>磋商文件</w:t>
      </w:r>
    </w:p>
    <w:p>
      <w:pPr>
        <w:adjustRightInd w:val="0"/>
        <w:snapToGrid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5、</w:t>
      </w:r>
      <w:r>
        <w:rPr>
          <w:rFonts w:hint="eastAsia" w:ascii="仿宋_GB2312" w:hAnsi="仿宋" w:eastAsia="仿宋_GB2312"/>
          <w:color w:val="000000" w:themeColor="text1"/>
          <w:sz w:val="24"/>
          <w:highlight w:val="none"/>
          <w:lang w:eastAsia="zh-CN"/>
          <w14:textFill>
            <w14:solidFill>
              <w14:schemeClr w14:val="tx1"/>
            </w14:solidFill>
          </w14:textFill>
        </w:rPr>
        <w:t>成交供应商的</w:t>
      </w:r>
      <w:r>
        <w:rPr>
          <w:rFonts w:hint="eastAsia" w:ascii="仿宋_GB2312" w:hAnsi="仿宋" w:eastAsia="仿宋_GB2312"/>
          <w:color w:val="000000" w:themeColor="text1"/>
          <w:sz w:val="24"/>
          <w:highlight w:val="none"/>
          <w14:textFill>
            <w14:solidFill>
              <w14:schemeClr w14:val="tx1"/>
            </w14:solidFill>
          </w14:textFill>
        </w:rPr>
        <w:t>响应文件</w:t>
      </w:r>
    </w:p>
    <w:p>
      <w:pPr>
        <w:adjustRightInd w:val="0"/>
        <w:snapToGrid w:val="0"/>
        <w:spacing w:line="360" w:lineRule="auto"/>
        <w:ind w:firstLine="482" w:firstLineChars="200"/>
        <w:rPr>
          <w:rFonts w:ascii="仿宋_GB2312" w:hAnsi="仿宋" w:eastAsia="仿宋_GB2312"/>
          <w:b/>
          <w:bCs/>
          <w:color w:val="000000" w:themeColor="text1"/>
          <w:sz w:val="24"/>
          <w:highlight w:val="none"/>
          <w14:textFill>
            <w14:solidFill>
              <w14:schemeClr w14:val="tx1"/>
            </w14:solidFill>
          </w14:textFill>
        </w:rPr>
      </w:pPr>
      <w:bookmarkStart w:id="445" w:name="_Toc19515394"/>
      <w:r>
        <w:rPr>
          <w:rFonts w:hint="eastAsia" w:ascii="仿宋_GB2312" w:hAnsi="仿宋" w:eastAsia="仿宋_GB2312"/>
          <w:b/>
          <w:bCs/>
          <w:color w:val="000000" w:themeColor="text1"/>
          <w:sz w:val="24"/>
          <w:highlight w:val="none"/>
          <w:lang w:val="en-US" w:eastAsia="zh-CN"/>
          <w14:textFill>
            <w14:solidFill>
              <w14:schemeClr w14:val="tx1"/>
            </w14:solidFill>
          </w14:textFill>
        </w:rPr>
        <w:t>十</w:t>
      </w:r>
      <w:r>
        <w:rPr>
          <w:rFonts w:hint="eastAsia" w:ascii="仿宋_GB2312" w:hAnsi="仿宋" w:eastAsia="仿宋_GB2312"/>
          <w:b/>
          <w:bCs/>
          <w:color w:val="000000" w:themeColor="text1"/>
          <w:sz w:val="24"/>
          <w:highlight w:val="none"/>
          <w14:textFill>
            <w14:solidFill>
              <w14:schemeClr w14:val="tx1"/>
            </w14:solidFill>
          </w14:textFill>
        </w:rPr>
        <w:t>、解决争议的方法</w:t>
      </w:r>
      <w:bookmarkEnd w:id="445"/>
    </w:p>
    <w:p>
      <w:pPr>
        <w:widowControl/>
        <w:autoSpaceDE w:val="0"/>
        <w:autoSpaceDN w:val="0"/>
        <w:snapToGrid w:val="0"/>
        <w:spacing w:line="360" w:lineRule="auto"/>
        <w:ind w:right="-110" w:firstLine="480" w:firstLineChars="200"/>
        <w:textAlignment w:val="bottom"/>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14:textFill>
            <w14:solidFill>
              <w14:schemeClr w14:val="tx1"/>
            </w14:solidFill>
          </w14:textFill>
        </w:rPr>
        <w:t>凡因本合同引起的或与本合同有关的争议，双方应友好协商解决。协商不成时，双方均同意采用以下第（ 1 ）种争议解决方式：</w:t>
      </w:r>
    </w:p>
    <w:p>
      <w:pPr>
        <w:widowControl/>
        <w:autoSpaceDE w:val="0"/>
        <w:autoSpaceDN w:val="0"/>
        <w:snapToGrid w:val="0"/>
        <w:spacing w:line="360" w:lineRule="auto"/>
        <w:ind w:right="-110" w:firstLine="480" w:firstLineChars="200"/>
        <w:textAlignment w:val="bottom"/>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14:textFill>
            <w14:solidFill>
              <w14:schemeClr w14:val="tx1"/>
            </w14:solidFill>
          </w14:textFill>
        </w:rPr>
        <w:t>（1）甲、乙双方均同意向（甲方所在地人民法院）提起诉讼。</w:t>
      </w:r>
    </w:p>
    <w:p>
      <w:pPr>
        <w:widowControl/>
        <w:autoSpaceDE w:val="0"/>
        <w:autoSpaceDN w:val="0"/>
        <w:snapToGrid w:val="0"/>
        <w:spacing w:line="360" w:lineRule="auto"/>
        <w:ind w:right="-110" w:firstLine="480" w:firstLineChars="200"/>
        <w:textAlignment w:val="bottom"/>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14:textFill>
            <w14:solidFill>
              <w14:schemeClr w14:val="tx1"/>
            </w14:solidFill>
          </w14:textFill>
        </w:rPr>
        <w:t>（2）甲、乙双方均同意向（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"http://www.baidu.com/s?wd=%E4%BB%B2%E8%A3%81%E5%A7%94%E5%91%98%E4%BC%9A&amp;tn=SE_PcZhidaonwhc_ngpagmjz&amp;rsv_dl=gh_pc_zhidao" \t "_blank" </w:instrText>
      </w:r>
      <w:r>
        <w:rPr>
          <w:color w:val="000000" w:themeColor="text1"/>
          <w:highlight w:val="none"/>
          <w14:textFill>
            <w14:solidFill>
              <w14:schemeClr w14:val="tx1"/>
            </w14:solidFill>
          </w14:textFill>
        </w:rPr>
        <w:fldChar w:fldCharType="separate"/>
      </w:r>
      <w:r>
        <w:rPr>
          <w:rFonts w:hint="eastAsia" w:ascii="仿宋_GB2312" w:hAnsi="仿宋" w:eastAsia="仿宋_GB2312"/>
          <w:color w:val="000000" w:themeColor="text1"/>
          <w:kern w:val="0"/>
          <w:sz w:val="24"/>
          <w:highlight w:val="none"/>
          <w14:textFill>
            <w14:solidFill>
              <w14:schemeClr w14:val="tx1"/>
            </w14:solidFill>
          </w14:textFill>
        </w:rPr>
        <w:t>仲裁委员会</w:t>
      </w:r>
      <w:r>
        <w:rPr>
          <w:rFonts w:hint="eastAsia" w:ascii="仿宋_GB2312" w:hAnsi="仿宋" w:eastAsia="仿宋_GB2312"/>
          <w:color w:val="000000" w:themeColor="text1"/>
          <w:kern w:val="0"/>
          <w:sz w:val="24"/>
          <w:highlight w:val="none"/>
          <w14:textFill>
            <w14:solidFill>
              <w14:schemeClr w14:val="tx1"/>
            </w14:solidFill>
          </w14:textFill>
        </w:rPr>
        <w:fldChar w:fldCharType="end"/>
      </w:r>
      <w:r>
        <w:rPr>
          <w:rFonts w:hint="eastAsia" w:ascii="仿宋_GB2312" w:hAnsi="仿宋" w:eastAsia="仿宋_GB2312"/>
          <w:color w:val="000000" w:themeColor="text1"/>
          <w:kern w:val="0"/>
          <w:sz w:val="24"/>
          <w:highlight w:val="none"/>
          <w14:textFill>
            <w14:solidFill>
              <w14:schemeClr w14:val="tx1"/>
            </w14:solidFill>
          </w14:textFill>
        </w:rPr>
        <w:t>）提起仲裁。</w:t>
      </w:r>
    </w:p>
    <w:p>
      <w:pPr>
        <w:adjustRightInd w:val="0"/>
        <w:snapToGrid w:val="0"/>
        <w:spacing w:line="360" w:lineRule="auto"/>
        <w:ind w:firstLine="482" w:firstLineChars="200"/>
        <w:rPr>
          <w:rFonts w:ascii="仿宋_GB2312" w:hAnsi="仿宋" w:eastAsia="仿宋_GB2312"/>
          <w:b/>
          <w:bCs/>
          <w:color w:val="000000" w:themeColor="text1"/>
          <w:sz w:val="24"/>
          <w:highlight w:val="none"/>
          <w14:textFill>
            <w14:solidFill>
              <w14:schemeClr w14:val="tx1"/>
            </w14:solidFill>
          </w14:textFill>
        </w:rPr>
      </w:pPr>
      <w:bookmarkStart w:id="446" w:name="_Toc19515395"/>
      <w:r>
        <w:rPr>
          <w:rFonts w:hint="eastAsia" w:ascii="仿宋_GB2312" w:hAnsi="仿宋" w:eastAsia="仿宋_GB2312"/>
          <w:b/>
          <w:bCs/>
          <w:color w:val="000000" w:themeColor="text1"/>
          <w:sz w:val="24"/>
          <w:highlight w:val="none"/>
          <w14:textFill>
            <w14:solidFill>
              <w14:schemeClr w14:val="tx1"/>
            </w14:solidFill>
          </w14:textFill>
        </w:rPr>
        <w:t>十</w:t>
      </w:r>
      <w:r>
        <w:rPr>
          <w:rFonts w:hint="eastAsia" w:ascii="仿宋_GB2312" w:hAnsi="仿宋" w:eastAsia="仿宋_GB2312"/>
          <w:b/>
          <w:bCs/>
          <w:color w:val="000000" w:themeColor="text1"/>
          <w:sz w:val="24"/>
          <w:highlight w:val="none"/>
          <w:lang w:val="en-US" w:eastAsia="zh-CN"/>
          <w14:textFill>
            <w14:solidFill>
              <w14:schemeClr w14:val="tx1"/>
            </w14:solidFill>
          </w14:textFill>
        </w:rPr>
        <w:t>一</w:t>
      </w:r>
      <w:r>
        <w:rPr>
          <w:rFonts w:hint="eastAsia" w:ascii="仿宋_GB2312" w:hAnsi="仿宋" w:eastAsia="仿宋_GB2312"/>
          <w:b/>
          <w:bCs/>
          <w:color w:val="000000" w:themeColor="text1"/>
          <w:sz w:val="24"/>
          <w:highlight w:val="none"/>
          <w14:textFill>
            <w14:solidFill>
              <w14:schemeClr w14:val="tx1"/>
            </w14:solidFill>
          </w14:textFill>
        </w:rPr>
        <w:t>、合同生效</w:t>
      </w:r>
      <w:r>
        <w:rPr>
          <w:rFonts w:hint="eastAsia" w:ascii="仿宋_GB2312" w:hAnsi="仿宋" w:eastAsia="仿宋_GB2312"/>
          <w:b/>
          <w:bCs/>
          <w:color w:val="000000" w:themeColor="text1"/>
          <w:sz w:val="24"/>
          <w:highlight w:val="none"/>
          <w:lang w:eastAsia="zh-CN"/>
          <w14:textFill>
            <w14:solidFill>
              <w14:schemeClr w14:val="tx1"/>
            </w14:solidFill>
          </w14:textFill>
        </w:rPr>
        <w:t>及其他</w:t>
      </w:r>
      <w:bookmarkEnd w:id="446"/>
    </w:p>
    <w:p>
      <w:pPr>
        <w:widowControl/>
        <w:autoSpaceDE w:val="0"/>
        <w:autoSpaceDN w:val="0"/>
        <w:snapToGrid w:val="0"/>
        <w:spacing w:line="360" w:lineRule="auto"/>
        <w:ind w:right="-110" w:firstLine="480" w:firstLineChars="200"/>
        <w:textAlignment w:val="bottom"/>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14:textFill>
            <w14:solidFill>
              <w14:schemeClr w14:val="tx1"/>
            </w14:solidFill>
          </w14:textFill>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14:textFill>
            <w14:solidFill>
              <w14:schemeClr w14:val="tx1"/>
            </w14:solidFill>
          </w14:textFill>
        </w:rPr>
        <w:t>2、 本合同正本一式</w:t>
      </w:r>
      <w:r>
        <w:rPr>
          <w:rFonts w:hint="eastAsia" w:ascii="仿宋_GB2312" w:hAnsi="仿宋" w:eastAsia="仿宋_GB2312"/>
          <w:color w:val="000000" w:themeColor="text1"/>
          <w:kern w:val="0"/>
          <w:sz w:val="24"/>
          <w:highlight w:val="none"/>
          <w:u w:val="single"/>
          <w14:textFill>
            <w14:solidFill>
              <w14:schemeClr w14:val="tx1"/>
            </w14:solidFill>
          </w14:textFill>
        </w:rPr>
        <w:t xml:space="preserve">  </w:t>
      </w:r>
      <w:r>
        <w:rPr>
          <w:rFonts w:hint="eastAsia" w:ascii="仿宋_GB2312" w:hAnsi="仿宋" w:eastAsia="仿宋_GB2312"/>
          <w:color w:val="000000" w:themeColor="text1"/>
          <w:kern w:val="0"/>
          <w:sz w:val="24"/>
          <w:highlight w:val="none"/>
          <w14:textFill>
            <w14:solidFill>
              <w14:schemeClr w14:val="tx1"/>
            </w14:solidFill>
          </w14:textFill>
        </w:rPr>
        <w:t>份，甲方、乙方双方分别执</w:t>
      </w:r>
      <w:r>
        <w:rPr>
          <w:rFonts w:hint="eastAsia" w:ascii="仿宋_GB2312" w:hAnsi="仿宋" w:eastAsia="仿宋_GB2312"/>
          <w:color w:val="000000" w:themeColor="text1"/>
          <w:kern w:val="0"/>
          <w:sz w:val="24"/>
          <w:highlight w:val="none"/>
          <w:u w:val="single"/>
          <w14:textFill>
            <w14:solidFill>
              <w14:schemeClr w14:val="tx1"/>
            </w14:solidFill>
          </w14:textFill>
        </w:rPr>
        <w:t xml:space="preserve">  </w:t>
      </w:r>
      <w:r>
        <w:rPr>
          <w:rFonts w:hint="eastAsia" w:ascii="仿宋_GB2312" w:hAnsi="仿宋" w:eastAsia="仿宋_GB2312"/>
          <w:color w:val="000000" w:themeColor="text1"/>
          <w:kern w:val="0"/>
          <w:sz w:val="24"/>
          <w:highlight w:val="none"/>
          <w14:textFill>
            <w14:solidFill>
              <w14:schemeClr w14:val="tx1"/>
            </w14:solidFill>
          </w14:textFill>
        </w:rPr>
        <w:t>份，</w:t>
      </w:r>
      <w:r>
        <w:rPr>
          <w:rFonts w:hint="eastAsia" w:ascii="仿宋_GB2312" w:hAnsi="仿宋" w:eastAsia="仿宋_GB2312"/>
          <w:color w:val="000000" w:themeColor="text1"/>
          <w:kern w:val="0"/>
          <w:sz w:val="24"/>
          <w:highlight w:val="none"/>
          <w:u w:val="single"/>
          <w14:textFill>
            <w14:solidFill>
              <w14:schemeClr w14:val="tx1"/>
            </w14:solidFill>
          </w14:textFill>
        </w:rPr>
        <w:t xml:space="preserve">   </w:t>
      </w:r>
      <w:r>
        <w:rPr>
          <w:rFonts w:hint="eastAsia" w:ascii="仿宋_GB2312" w:hAnsi="仿宋" w:eastAsia="仿宋_GB2312"/>
          <w:color w:val="000000" w:themeColor="text1"/>
          <w:kern w:val="0"/>
          <w:sz w:val="24"/>
          <w:highlight w:val="none"/>
          <w14:textFill>
            <w14:solidFill>
              <w14:schemeClr w14:val="tx1"/>
            </w14:solidFill>
          </w14:textFill>
        </w:rPr>
        <w:t>备案</w:t>
      </w:r>
      <w:r>
        <w:rPr>
          <w:rFonts w:hint="eastAsia" w:ascii="仿宋_GB2312" w:hAnsi="仿宋" w:eastAsia="仿宋_GB2312"/>
          <w:color w:val="000000" w:themeColor="text1"/>
          <w:kern w:val="0"/>
          <w:sz w:val="24"/>
          <w:highlight w:val="none"/>
          <w:u w:val="single"/>
          <w14:textFill>
            <w14:solidFill>
              <w14:schemeClr w14:val="tx1"/>
            </w14:solidFill>
          </w14:textFill>
        </w:rPr>
        <w:t xml:space="preserve">  </w:t>
      </w:r>
      <w:r>
        <w:rPr>
          <w:rFonts w:hint="eastAsia" w:ascii="仿宋_GB2312" w:hAnsi="仿宋" w:eastAsia="仿宋_GB2312"/>
          <w:color w:val="000000" w:themeColor="text1"/>
          <w:kern w:val="0"/>
          <w:sz w:val="24"/>
          <w:highlight w:val="none"/>
          <w14:textFill>
            <w14:solidFill>
              <w14:schemeClr w14:val="tx1"/>
            </w14:solidFill>
          </w14:textFill>
        </w:rPr>
        <w:t>份。</w:t>
      </w:r>
    </w:p>
    <w:p>
      <w:pPr>
        <w:widowControl/>
        <w:autoSpaceDE w:val="0"/>
        <w:autoSpaceDN w:val="0"/>
        <w:snapToGrid w:val="0"/>
        <w:spacing w:line="360" w:lineRule="auto"/>
        <w:ind w:right="-110" w:firstLine="480" w:firstLineChars="200"/>
        <w:textAlignment w:val="bottom"/>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14:textFill>
            <w14:solidFill>
              <w14:schemeClr w14:val="tx1"/>
            </w14:solidFill>
          </w14:textFill>
        </w:rPr>
        <w:t>3、合同经甲乙双方盖章、签字后生效，合同签订地点为</w:t>
      </w:r>
      <w:r>
        <w:rPr>
          <w:rFonts w:hint="eastAsia" w:ascii="仿宋_GB2312" w:hAnsi="仿宋" w:eastAsia="仿宋_GB2312"/>
          <w:color w:val="000000" w:themeColor="text1"/>
          <w:kern w:val="0"/>
          <w:sz w:val="24"/>
          <w:highlight w:val="none"/>
          <w:u w:val="single"/>
          <w14:textFill>
            <w14:solidFill>
              <w14:schemeClr w14:val="tx1"/>
            </w14:solidFill>
          </w14:textFill>
        </w:rPr>
        <w:t xml:space="preserve">   </w:t>
      </w:r>
      <w:r>
        <w:rPr>
          <w:rFonts w:hint="eastAsia" w:ascii="仿宋_GB2312" w:hAnsi="仿宋" w:eastAsia="仿宋_GB2312"/>
          <w:color w:val="000000" w:themeColor="text1"/>
          <w:kern w:val="0"/>
          <w:sz w:val="24"/>
          <w:highlight w:val="none"/>
          <w14:textFill>
            <w14:solidFill>
              <w14:schemeClr w14:val="tx1"/>
            </w14:solidFill>
          </w14:textFill>
        </w:rPr>
        <w:t>。</w:t>
      </w:r>
    </w:p>
    <w:p>
      <w:pPr>
        <w:widowControl/>
        <w:autoSpaceDE w:val="0"/>
        <w:autoSpaceDN w:val="0"/>
        <w:snapToGrid w:val="0"/>
        <w:spacing w:line="360" w:lineRule="auto"/>
        <w:ind w:right="-110" w:firstLine="480" w:firstLineChars="200"/>
        <w:textAlignment w:val="bottom"/>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14:textFill>
            <w14:solidFill>
              <w14:schemeClr w14:val="tx1"/>
            </w14:solidFill>
          </w14:textFill>
        </w:rPr>
        <w:t>4、生效时间：</w:t>
      </w:r>
      <w:r>
        <w:rPr>
          <w:rFonts w:hint="eastAsia" w:ascii="仿宋_GB2312" w:hAnsi="仿宋" w:eastAsia="仿宋_GB2312"/>
          <w:color w:val="000000" w:themeColor="text1"/>
          <w:kern w:val="0"/>
          <w:sz w:val="24"/>
          <w:highlight w:val="none"/>
          <w:u w:val="single"/>
          <w14:textFill>
            <w14:solidFill>
              <w14:schemeClr w14:val="tx1"/>
            </w14:solidFill>
          </w14:textFill>
        </w:rPr>
        <w:t xml:space="preserve">   </w:t>
      </w:r>
      <w:r>
        <w:rPr>
          <w:rFonts w:hint="eastAsia" w:ascii="仿宋_GB2312" w:hAnsi="仿宋" w:eastAsia="仿宋_GB2312"/>
          <w:color w:val="000000" w:themeColor="text1"/>
          <w:kern w:val="0"/>
          <w:sz w:val="24"/>
          <w:highlight w:val="none"/>
          <w14:textFill>
            <w14:solidFill>
              <w14:schemeClr w14:val="tx1"/>
            </w14:solidFill>
          </w14:textFill>
        </w:rPr>
        <w:t>年</w:t>
      </w:r>
      <w:r>
        <w:rPr>
          <w:rFonts w:hint="eastAsia" w:ascii="仿宋_GB2312" w:hAnsi="仿宋" w:eastAsia="仿宋_GB2312"/>
          <w:color w:val="000000" w:themeColor="text1"/>
          <w:kern w:val="0"/>
          <w:sz w:val="24"/>
          <w:highlight w:val="none"/>
          <w:u w:val="single"/>
          <w14:textFill>
            <w14:solidFill>
              <w14:schemeClr w14:val="tx1"/>
            </w14:solidFill>
          </w14:textFill>
        </w:rPr>
        <w:t xml:space="preserve">   </w:t>
      </w:r>
      <w:r>
        <w:rPr>
          <w:rFonts w:hint="eastAsia" w:ascii="仿宋_GB2312" w:hAnsi="仿宋" w:eastAsia="仿宋_GB2312"/>
          <w:color w:val="000000" w:themeColor="text1"/>
          <w:kern w:val="0"/>
          <w:sz w:val="24"/>
          <w:highlight w:val="none"/>
          <w14:textFill>
            <w14:solidFill>
              <w14:schemeClr w14:val="tx1"/>
            </w14:solidFill>
          </w14:textFill>
        </w:rPr>
        <w:t>月</w:t>
      </w:r>
      <w:r>
        <w:rPr>
          <w:rFonts w:hint="eastAsia" w:ascii="仿宋_GB2312" w:hAnsi="仿宋" w:eastAsia="仿宋_GB2312"/>
          <w:color w:val="000000" w:themeColor="text1"/>
          <w:kern w:val="0"/>
          <w:sz w:val="24"/>
          <w:highlight w:val="none"/>
          <w:u w:val="single"/>
          <w14:textFill>
            <w14:solidFill>
              <w14:schemeClr w14:val="tx1"/>
            </w14:solidFill>
          </w14:textFill>
        </w:rPr>
        <w:t xml:space="preserve">   </w:t>
      </w:r>
      <w:r>
        <w:rPr>
          <w:rFonts w:hint="eastAsia" w:ascii="仿宋_GB2312" w:hAnsi="仿宋" w:eastAsia="仿宋_GB2312"/>
          <w:color w:val="000000" w:themeColor="text1"/>
          <w:kern w:val="0"/>
          <w:sz w:val="24"/>
          <w:highlight w:val="none"/>
          <w14:textFill>
            <w14:solidFill>
              <w14:schemeClr w14:val="tx1"/>
            </w14:solidFill>
          </w14:textFill>
        </w:rPr>
        <w:t>日</w:t>
      </w: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trHeight w:val="3628" w:hRule="atLeast"/>
          <w:jc w:val="center"/>
        </w:trPr>
        <w:tc>
          <w:tcPr>
            <w:tcW w:w="4643" w:type="dxa"/>
          </w:tcPr>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甲方名称</w:t>
            </w:r>
            <w:r>
              <w:rPr>
                <w:rFonts w:hint="eastAsia" w:ascii="仿宋_GB2312" w:hAnsi="仿宋_GB2312" w:eastAsia="仿宋_GB2312" w:cs="仿宋_GB2312"/>
                <w:color w:val="000000" w:themeColor="text1"/>
                <w:spacing w:val="-20"/>
                <w:kern w:val="0"/>
                <w:sz w:val="24"/>
                <w:highlight w:val="none"/>
                <w14:textFill>
                  <w14:solidFill>
                    <w14:schemeClr w14:val="tx1"/>
                  </w14:solidFill>
                </w14:textFill>
              </w:rPr>
              <w:t>（盖章）</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地址：</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代表人（签字）：</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电话：</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开户银行：</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账号</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tc>
        <w:tc>
          <w:tcPr>
            <w:tcW w:w="4643" w:type="dxa"/>
          </w:tcPr>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乙方名称</w:t>
            </w:r>
            <w:r>
              <w:rPr>
                <w:rFonts w:hint="eastAsia" w:ascii="仿宋_GB2312" w:hAnsi="仿宋_GB2312" w:eastAsia="仿宋_GB2312" w:cs="仿宋_GB2312"/>
                <w:color w:val="000000" w:themeColor="text1"/>
                <w:spacing w:val="-20"/>
                <w:kern w:val="0"/>
                <w:sz w:val="24"/>
                <w:highlight w:val="none"/>
                <w14:textFill>
                  <w14:solidFill>
                    <w14:schemeClr w14:val="tx1"/>
                  </w14:solidFill>
                </w14:textFill>
              </w:rPr>
              <w:t>（盖章）</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地址：</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代表人（签字）：</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电话：</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开户银行：</w:t>
            </w:r>
          </w:p>
          <w:p>
            <w:pPr>
              <w:widowControl/>
              <w:autoSpaceDE w:val="0"/>
              <w:autoSpaceDN w:val="0"/>
              <w:snapToGrid w:val="0"/>
              <w:spacing w:line="360" w:lineRule="auto"/>
              <w:ind w:right="-154"/>
              <w:textAlignment w:val="bottom"/>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账号</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tc>
      </w:tr>
    </w:tbl>
    <w:p>
      <w:pPr>
        <w:pStyle w:val="2"/>
        <w:ind w:firstLine="480" w:firstLineChars="200"/>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年   月   日                              年  月  日</w:t>
      </w:r>
    </w:p>
    <w:p>
      <w:pPr>
        <w:widowControl/>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br w:type="page"/>
      </w:r>
    </w:p>
    <w:p>
      <w:pPr>
        <w:pStyle w:val="47"/>
        <w:numPr>
          <w:ilvl w:val="0"/>
          <w:numId w:val="17"/>
        </w:numPr>
        <w:spacing w:line="360" w:lineRule="auto"/>
        <w:rPr>
          <w:rStyle w:val="204"/>
          <w:rFonts w:hint="eastAsia" w:ascii="宋体" w:hAnsi="宋体" w:eastAsia="宋体"/>
          <w:color w:val="000000" w:themeColor="text1"/>
          <w:sz w:val="36"/>
          <w:szCs w:val="36"/>
          <w:highlight w:val="none"/>
          <w14:textFill>
            <w14:solidFill>
              <w14:schemeClr w14:val="tx1"/>
            </w14:solidFill>
          </w14:textFill>
        </w:rPr>
      </w:pPr>
      <w:bookmarkStart w:id="447" w:name="_Toc68590980"/>
      <w:bookmarkStart w:id="448" w:name="_Toc58504448"/>
      <w:r>
        <w:rPr>
          <w:rStyle w:val="204"/>
          <w:rFonts w:hint="eastAsia" w:ascii="宋体" w:hAnsi="宋体" w:eastAsia="宋体"/>
          <w:color w:val="000000" w:themeColor="text1"/>
          <w:sz w:val="36"/>
          <w:szCs w:val="36"/>
          <w:highlight w:val="none"/>
          <w14:textFill>
            <w14:solidFill>
              <w14:schemeClr w14:val="tx1"/>
            </w14:solidFill>
          </w14:textFill>
        </w:rPr>
        <w:t xml:space="preserve"> 采购内容及要求</w:t>
      </w:r>
      <w:bookmarkEnd w:id="447"/>
      <w:bookmarkEnd w:id="448"/>
    </w:p>
    <w:p>
      <w:pPr>
        <w:spacing w:line="360" w:lineRule="auto"/>
        <w:ind w:firstLine="602" w:firstLineChars="250"/>
        <w:rPr>
          <w:rFonts w:hint="eastAsia" w:ascii="仿宋_GB2312" w:hAnsi="仿宋" w:eastAsia="仿宋_GB2312"/>
          <w:b/>
          <w:bCs/>
          <w:color w:val="000000" w:themeColor="text1"/>
          <w:sz w:val="24"/>
          <w:highlight w:val="none"/>
          <w14:textFill>
            <w14:solidFill>
              <w14:schemeClr w14:val="tx1"/>
            </w14:solidFill>
          </w14:textFill>
        </w:rPr>
      </w:pPr>
      <w:bookmarkStart w:id="449" w:name="_Toc6374_WPSOffice_Level2"/>
      <w:bookmarkStart w:id="450" w:name="_Toc389620241"/>
      <w:bookmarkStart w:id="451" w:name="_Toc68590981"/>
      <w:bookmarkStart w:id="452" w:name="_Toc415499899"/>
      <w:bookmarkStart w:id="453" w:name="_Toc58504449"/>
      <w:bookmarkStart w:id="454" w:name="_Toc385992401"/>
      <w:bookmarkStart w:id="455" w:name="_Toc31008"/>
      <w:r>
        <w:rPr>
          <w:rFonts w:hint="eastAsia" w:ascii="仿宋_GB2312" w:hAnsi="仿宋" w:eastAsia="仿宋_GB2312"/>
          <w:b/>
          <w:bCs/>
          <w:color w:val="000000" w:themeColor="text1"/>
          <w:sz w:val="24"/>
          <w:highlight w:val="none"/>
          <w14:textFill>
            <w14:solidFill>
              <w14:schemeClr w14:val="tx1"/>
            </w14:solidFill>
          </w14:textFill>
        </w:rPr>
        <w:t>一、采购内容</w:t>
      </w:r>
      <w:bookmarkEnd w:id="449"/>
    </w:p>
    <w:p>
      <w:pPr>
        <w:spacing w:line="360" w:lineRule="auto"/>
        <w:ind w:firstLine="602" w:firstLineChars="250"/>
        <w:rPr>
          <w:rFonts w:hint="default" w:ascii="仿宋_GB2312" w:hAnsi="仿宋" w:eastAsia="仿宋_GB2312"/>
          <w:b/>
          <w:bCs/>
          <w:color w:val="000000" w:themeColor="text1"/>
          <w:sz w:val="24"/>
          <w:highlight w:val="none"/>
          <w:lang w:val="en-US" w:eastAsia="zh-CN"/>
          <w14:textFill>
            <w14:solidFill>
              <w14:schemeClr w14:val="tx1"/>
            </w14:solidFill>
          </w14:textFill>
        </w:rPr>
      </w:pPr>
      <w:r>
        <w:rPr>
          <w:rFonts w:hint="eastAsia" w:ascii="仿宋_GB2312" w:hAnsi="仿宋" w:eastAsia="仿宋_GB2312"/>
          <w:b/>
          <w:bCs/>
          <w:color w:val="000000" w:themeColor="text1"/>
          <w:sz w:val="24"/>
          <w:highlight w:val="none"/>
          <w:lang w:val="en-US" w:eastAsia="zh-CN"/>
          <w14:textFill>
            <w14:solidFill>
              <w14:schemeClr w14:val="tx1"/>
            </w14:solidFill>
          </w14:textFill>
        </w:rPr>
        <w:t>1、背景</w:t>
      </w:r>
    </w:p>
    <w:p>
      <w:pPr>
        <w:spacing w:line="360" w:lineRule="auto"/>
        <w:ind w:firstLine="600" w:firstLineChars="25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国土空间生态修复是我国生态文明建设的重大举措，是关系国家生态安全和民生福 祉的重要国家战略任务。2020年6月3日，国家发展改革委和自然资源部联合印发了《全国重要生态系统保护和修复重大工程总体规划（2021-2035 年）》，从国家层面对今后一段时期重要生态系统保护和修复工作进行了系统谋划。2020年8月26日，自然资源部办公厅、财政部办公厅、生态环境部办公厅联合印发《山水林田湖草生态保护修复工程指南（试行）》，强调遵循自然生态系统演替规律和内在机理，对受损、退化、服务 功能下降的生态系统进行整体保护、系统修复、综合治理。2020年9月22日，自然资源部办公厅发布《关于开展省级国土空间生态修复规划编制工作的通知》，要求各省、 自治区、直辖市自然资源主管部门等认真组织编制省级国土空间生态修复规划。可见， 系统实施国土空间生态修复是新时期推进生态文明和美丽中国建设的重大举措，是推进国家治理体系和治理能力现代化的重要议题，是满足人民群众对良好生态环境殷切期盼 的重要途径，也是国土空间规划的重要抓手，已上升为国家战略高度。</w:t>
      </w:r>
    </w:p>
    <w:p>
      <w:pPr>
        <w:numPr>
          <w:ilvl w:val="0"/>
          <w:numId w:val="0"/>
        </w:numPr>
        <w:spacing w:line="360" w:lineRule="auto"/>
        <w:ind w:firstLine="482" w:firstLineChars="200"/>
        <w:rPr>
          <w:rFonts w:hint="default" w:ascii="仿宋_GB2312" w:hAnsi="仿宋" w:eastAsia="仿宋_GB2312"/>
          <w:b/>
          <w:bCs/>
          <w:color w:val="000000" w:themeColor="text1"/>
          <w:sz w:val="24"/>
          <w:highlight w:val="none"/>
          <w:lang w:val="en-US" w:eastAsia="zh-CN"/>
          <w14:textFill>
            <w14:solidFill>
              <w14:schemeClr w14:val="tx1"/>
            </w14:solidFill>
          </w14:textFill>
        </w:rPr>
      </w:pPr>
      <w:r>
        <w:rPr>
          <w:rFonts w:hint="eastAsia" w:ascii="仿宋_GB2312" w:hAnsi="仿宋" w:eastAsia="仿宋_GB2312"/>
          <w:b/>
          <w:bCs/>
          <w:color w:val="000000" w:themeColor="text1"/>
          <w:sz w:val="24"/>
          <w:highlight w:val="none"/>
          <w:lang w:val="en-US" w:eastAsia="zh-CN"/>
          <w14:textFill>
            <w14:solidFill>
              <w14:schemeClr w14:val="tx1"/>
            </w14:solidFill>
          </w14:textFill>
        </w:rPr>
        <w:t>2、采购基本情况</w:t>
      </w:r>
    </w:p>
    <w:p>
      <w:pPr>
        <w:spacing w:line="360" w:lineRule="auto"/>
        <w:ind w:firstLine="600" w:firstLineChars="25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根据《自然资源部办公厅关于开展省级国土空间生态保护和修复规划编制工作的通知》（自然资办发〔2020〕45 号）、陕西省自然资源厅办公室关于印发《陕西省国土空间生态修复规划（2021-2035）编制工作方案》的通知（陕自然资办发〔2020〕126号）及《陕西省自然资源厅关于做好市、县级国土空间生态修复规划编制工作的通知》(陕自然资修复发〔2020〕34 号)等文件及要求，结合渭南市国土空间生态修复规划</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临渭区生态修复需要，以山水林田湖草一体化保护修复为主线，编制临渭区2021-2035年国土空间生态修复规划。</w:t>
      </w:r>
      <w:r>
        <w:rPr>
          <w:rFonts w:hint="eastAsia" w:ascii="仿宋_GB2312" w:hAnsi="仿宋" w:eastAsia="仿宋_GB2312" w:cs="Times New Roman"/>
          <w:color w:val="000000" w:themeColor="text1"/>
          <w:sz w:val="24"/>
          <w:highlight w:val="none"/>
          <w14:textFill>
            <w14:solidFill>
              <w14:schemeClr w14:val="tx1"/>
            </w14:solidFill>
          </w14:textFill>
        </w:rPr>
        <w:t>规划期限为2021-2035年，研判临渭区存在的生态问题，确定规划目标，划定生态修复分区，明确生态修复策略，确定修复重点区域，安排修复项目，完成资金测算与效益分析。</w:t>
      </w:r>
    </w:p>
    <w:p>
      <w:pPr>
        <w:numPr>
          <w:ilvl w:val="0"/>
          <w:numId w:val="0"/>
        </w:numPr>
        <w:spacing w:line="360" w:lineRule="auto"/>
        <w:ind w:firstLine="482" w:firstLineChars="200"/>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3、功能要求</w:t>
      </w:r>
    </w:p>
    <w:p>
      <w:pPr>
        <w:spacing w:line="360" w:lineRule="auto"/>
        <w:ind w:firstLine="600" w:firstLineChars="250"/>
        <w:rPr>
          <w:rFonts w:hint="default" w:ascii="仿宋_GB2312" w:hAnsi="仿宋" w:eastAsia="仿宋_GB2312" w:cs="Times New Roman"/>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 xml:space="preserve">围绕党的十九届五中，六中全会关于生态文明建设“十四五”时期，到2035年的新目标立足落实国家重大战略部署和省级国土空间生态修复任务安排，重点从生态质量、生态修复治理两个方面合理设定生态修复指标体系。需满足的要求提出统筹科学推进国土空间生态修复的总体思路、目标任务、分区、重点区域、项目部署、持续安排、资金估算，保障措施等，形成县级规划文本，说明、图件、专题研究报告、数据库及其他材料等成果 。   </w:t>
      </w:r>
    </w:p>
    <w:p>
      <w:pPr>
        <w:spacing w:line="360" w:lineRule="auto"/>
        <w:ind w:firstLine="602" w:firstLineChars="250"/>
        <w:rPr>
          <w:rFonts w:hint="eastAsia" w:ascii="仿宋_GB2312" w:hAnsi="仿宋" w:eastAsia="仿宋_GB2312" w:cs="Times New Roman"/>
          <w:b/>
          <w:bCs/>
          <w:color w:val="000000" w:themeColor="text1"/>
          <w:sz w:val="24"/>
          <w:highlight w:val="none"/>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二、</w:t>
      </w:r>
      <w:r>
        <w:rPr>
          <w:rFonts w:hint="eastAsia" w:ascii="仿宋_GB2312" w:hAnsi="仿宋" w:eastAsia="仿宋_GB2312" w:cs="Times New Roman"/>
          <w:b/>
          <w:bCs/>
          <w:color w:val="000000" w:themeColor="text1"/>
          <w:sz w:val="24"/>
          <w:highlight w:val="none"/>
          <w14:textFill>
            <w14:solidFill>
              <w14:schemeClr w14:val="tx1"/>
            </w14:solidFill>
          </w14:textFill>
        </w:rPr>
        <w:t>编制原则</w:t>
      </w:r>
    </w:p>
    <w:p>
      <w:pPr>
        <w:spacing w:line="360" w:lineRule="auto"/>
        <w:ind w:firstLine="602" w:firstLineChars="250"/>
        <w:rPr>
          <w:rFonts w:hint="eastAsia" w:ascii="仿宋_GB2312" w:hAnsi="仿宋" w:eastAsia="仿宋_GB2312" w:cs="Times New Roman"/>
          <w:b/>
          <w:bCs/>
          <w:color w:val="000000" w:themeColor="text1"/>
          <w:sz w:val="24"/>
          <w:highlight w:val="none"/>
          <w14:textFill>
            <w14:solidFill>
              <w14:schemeClr w14:val="tx1"/>
            </w14:solidFill>
          </w14:textFill>
        </w:rPr>
      </w:pPr>
      <w:r>
        <w:rPr>
          <w:rFonts w:hint="eastAsia" w:ascii="仿宋_GB2312" w:hAnsi="仿宋" w:eastAsia="仿宋_GB2312" w:cs="Times New Roman"/>
          <w:b/>
          <w:bCs/>
          <w:color w:val="000000" w:themeColor="text1"/>
          <w:sz w:val="24"/>
          <w:highlight w:val="none"/>
          <w14:textFill>
            <w14:solidFill>
              <w14:schemeClr w14:val="tx1"/>
            </w14:solidFill>
          </w14:textFill>
        </w:rPr>
        <w:t>1、战略引领，问题导向</w:t>
      </w:r>
    </w:p>
    <w:p>
      <w:pPr>
        <w:spacing w:line="360" w:lineRule="auto"/>
        <w:ind w:firstLine="600" w:firstLineChars="25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坚持生态优先、绿色发展的道路，落实区域发展重大战略，立足本行政区域自然地理格局和生态系统状况，准确识别突出生态 问题，科学预判主要生态风险，研究提出基于自然的修复途径模式和保障措施。</w:t>
      </w:r>
    </w:p>
    <w:p>
      <w:pPr>
        <w:spacing w:line="360" w:lineRule="auto"/>
        <w:ind w:firstLine="602" w:firstLineChars="250"/>
        <w:rPr>
          <w:rFonts w:hint="eastAsia" w:ascii="仿宋_GB2312" w:hAnsi="仿宋" w:eastAsia="仿宋_GB2312" w:cs="Times New Roman"/>
          <w:b/>
          <w:bCs/>
          <w:color w:val="000000" w:themeColor="text1"/>
          <w:sz w:val="24"/>
          <w:highlight w:val="none"/>
          <w14:textFill>
            <w14:solidFill>
              <w14:schemeClr w14:val="tx1"/>
            </w14:solidFill>
          </w14:textFill>
        </w:rPr>
      </w:pPr>
      <w:r>
        <w:rPr>
          <w:rFonts w:hint="eastAsia" w:ascii="仿宋_GB2312" w:hAnsi="仿宋" w:eastAsia="仿宋_GB2312" w:cs="Times New Roman"/>
          <w:b/>
          <w:bCs/>
          <w:color w:val="000000" w:themeColor="text1"/>
          <w:sz w:val="24"/>
          <w:highlight w:val="none"/>
          <w14:textFill>
            <w14:solidFill>
              <w14:schemeClr w14:val="tx1"/>
            </w14:solidFill>
          </w14:textFill>
        </w:rPr>
        <w:t>2、科学编制，因地制宜</w:t>
      </w:r>
    </w:p>
    <w:p>
      <w:pPr>
        <w:spacing w:line="360" w:lineRule="auto"/>
        <w:ind w:firstLine="600" w:firstLineChars="25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依据相关政策法规、技术规程，科学推进规划编制，合理确定规划目标。基于调查评价和研究分析，充分结合地方实际生态问题，按照自然恢复为主、人工修复为辅的方针，因地制宜提出国土空间生态修复 举措。</w:t>
      </w:r>
    </w:p>
    <w:p>
      <w:pPr>
        <w:spacing w:line="360" w:lineRule="auto"/>
        <w:ind w:firstLine="602" w:firstLineChars="250"/>
        <w:rPr>
          <w:rFonts w:hint="eastAsia" w:ascii="仿宋_GB2312" w:hAnsi="仿宋" w:eastAsia="仿宋_GB2312" w:cs="Times New Roman"/>
          <w:b/>
          <w:bCs/>
          <w:color w:val="000000" w:themeColor="text1"/>
          <w:sz w:val="24"/>
          <w:highlight w:val="none"/>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3、</w:t>
      </w:r>
      <w:r>
        <w:rPr>
          <w:rFonts w:hint="eastAsia" w:ascii="仿宋_GB2312" w:hAnsi="仿宋" w:eastAsia="仿宋_GB2312" w:cs="Times New Roman"/>
          <w:b/>
          <w:bCs/>
          <w:color w:val="000000" w:themeColor="text1"/>
          <w:sz w:val="24"/>
          <w:highlight w:val="none"/>
          <w14:textFill>
            <w14:solidFill>
              <w14:schemeClr w14:val="tx1"/>
            </w14:solidFill>
          </w14:textFill>
        </w:rPr>
        <w:t>统筹协调，加强衔接</w:t>
      </w:r>
    </w:p>
    <w:p>
      <w:pPr>
        <w:numPr>
          <w:ilvl w:val="0"/>
          <w:numId w:val="0"/>
        </w:numPr>
        <w:spacing w:line="360" w:lineRule="auto"/>
        <w:ind w:leftChars="0"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树立山水林田湖草沙生命共同体理念，综合考虑自然生态系统各要素，统筹协调自然生态系统和人工生态系统（主要是农田生态系统和城镇生态系统），坚持流域联动，注重山上山下、岸上岸下、上游下游、河流水面的系统性，体现综合治理，突出整体效益。充分衔接省、市、县重大战略、区域（流域）专项规划、市县国土空间规划和相关部门规划。</w:t>
      </w:r>
    </w:p>
    <w:p>
      <w:pPr>
        <w:spacing w:line="360" w:lineRule="auto"/>
        <w:ind w:firstLine="602" w:firstLineChars="250"/>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4、充分论证，公众参与</w:t>
      </w:r>
    </w:p>
    <w:p>
      <w:pPr>
        <w:numPr>
          <w:ilvl w:val="0"/>
          <w:numId w:val="0"/>
        </w:numPr>
        <w:spacing w:line="360" w:lineRule="auto"/>
        <w:ind w:leftChars="0"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坚持“开门编规划”，建立跨部门、多领域合作的工作机制，组建高水平的编制团队，广泛听取各方意见，凝聚公众智慧，回应社会期盼。</w:t>
      </w:r>
    </w:p>
    <w:p>
      <w:pPr>
        <w:spacing w:line="360" w:lineRule="auto"/>
        <w:ind w:firstLine="602" w:firstLineChars="250"/>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三、规划定位</w:t>
      </w:r>
    </w:p>
    <w:p>
      <w:pPr>
        <w:spacing w:line="360" w:lineRule="auto"/>
        <w:ind w:firstLine="600" w:firstLineChars="25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国土空间生态修复规划是一定时期内开展国土空间生态修复工作的行动纲领和空间引领，是实施本辖区国土空间生态修复的重要依据。规划具有承接性、传导性、协调性，要衔接国土空间规划划定的三条控制线，落实和深化省、市级国土空间生态修复规划目标与任务。国土空间生态修复规划是在排除地质灾害隐患、土壤污染等安全隐患基础上，诊断山、水、林、田、湖、草、沙等生态系统的生态问题，分区分类生态安排部署修复策略和项目。</w:t>
      </w:r>
    </w:p>
    <w:p>
      <w:pPr>
        <w:spacing w:line="360" w:lineRule="auto"/>
        <w:ind w:firstLine="602" w:firstLineChars="250"/>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四、规划任务</w:t>
      </w:r>
    </w:p>
    <w:p>
      <w:pPr>
        <w:spacing w:line="360" w:lineRule="auto"/>
        <w:ind w:firstLine="602" w:firstLineChars="250"/>
        <w:rPr>
          <w:rFonts w:hint="eastAsia" w:ascii="仿宋_GB2312" w:hAnsi="仿宋" w:eastAsia="仿宋_GB2312" w:cs="Times New Roman"/>
          <w:b/>
          <w:bCs/>
          <w:color w:val="000000" w:themeColor="text1"/>
          <w:sz w:val="24"/>
          <w:highlight w:val="none"/>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1、</w:t>
      </w:r>
      <w:r>
        <w:rPr>
          <w:rFonts w:hint="eastAsia" w:ascii="仿宋_GB2312" w:hAnsi="仿宋" w:eastAsia="仿宋_GB2312" w:cs="Times New Roman"/>
          <w:b/>
          <w:bCs/>
          <w:color w:val="000000" w:themeColor="text1"/>
          <w:sz w:val="24"/>
          <w:highlight w:val="none"/>
          <w14:textFill>
            <w14:solidFill>
              <w14:schemeClr w14:val="tx1"/>
            </w14:solidFill>
          </w14:textFill>
        </w:rPr>
        <w:t>衔接落实国家“双重”、省、市级生态修复规划与区域发展战略</w:t>
      </w:r>
    </w:p>
    <w:p>
      <w:pPr>
        <w:spacing w:line="360" w:lineRule="auto"/>
        <w:ind w:firstLine="600" w:firstLineChars="25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贯彻落实国家、省委省政府的重大决策与生态文明建设要求，落实《全国重要生态系统保护和修复重大工程总体规划（2021-2035 年）》，衔接省级、市级国土空间生态修复规划与区域发展战略，落实上级国土空间生态修复目标和任务、重点项目。</w:t>
      </w:r>
    </w:p>
    <w:p>
      <w:pPr>
        <w:numPr>
          <w:ilvl w:val="0"/>
          <w:numId w:val="0"/>
        </w:numPr>
        <w:spacing w:line="360" w:lineRule="auto"/>
        <w:ind w:leftChars="0" w:firstLine="482" w:firstLineChars="200"/>
        <w:rPr>
          <w:rFonts w:hint="eastAsia" w:ascii="仿宋_GB2312" w:hAnsi="仿宋" w:eastAsia="仿宋_GB2312" w:cs="Times New Roman"/>
          <w:b/>
          <w:bCs/>
          <w:color w:val="000000" w:themeColor="text1"/>
          <w:sz w:val="24"/>
          <w:highlight w:val="none"/>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2、</w:t>
      </w:r>
      <w:r>
        <w:rPr>
          <w:rFonts w:hint="eastAsia" w:ascii="仿宋_GB2312" w:hAnsi="仿宋" w:eastAsia="仿宋_GB2312" w:cs="Times New Roman"/>
          <w:b/>
          <w:bCs/>
          <w:color w:val="000000" w:themeColor="text1"/>
          <w:sz w:val="24"/>
          <w:highlight w:val="none"/>
          <w14:textFill>
            <w14:solidFill>
              <w14:schemeClr w14:val="tx1"/>
            </w14:solidFill>
          </w14:textFill>
        </w:rPr>
        <w:t>摸清生态本底，识别生态问题</w:t>
      </w:r>
    </w:p>
    <w:p>
      <w:pPr>
        <w:numPr>
          <w:ilvl w:val="0"/>
          <w:numId w:val="0"/>
        </w:numPr>
        <w:spacing w:line="360" w:lineRule="auto"/>
        <w:ind w:leftChars="0"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充分利用第三次全国国土调查和土壤、矿产、森林、草原、湿地、水等自然资源专项调查成果，全面掌握基础地理条件，充分摸清自然资源禀赋。充分利用本行政区域资源环境承载能力和国土空间开发适宜性评价（简称“双评价”）以及其他专项生态评价成果，分析国土空间利用现状，根据生态系统演替规律和内在机理，结合人类活动影响，进行生态保护重要性、生态脆弱性和恢复力评价，系统诊断生态问题，预判生态风险。</w:t>
      </w:r>
    </w:p>
    <w:p>
      <w:pPr>
        <w:numPr>
          <w:ilvl w:val="0"/>
          <w:numId w:val="0"/>
        </w:numPr>
        <w:spacing w:line="360" w:lineRule="auto"/>
        <w:ind w:leftChars="0" w:firstLine="482" w:firstLineChars="200"/>
        <w:rPr>
          <w:rFonts w:hint="eastAsia" w:ascii="仿宋_GB2312" w:hAnsi="仿宋" w:eastAsia="仿宋_GB2312" w:cs="Times New Roman"/>
          <w:b/>
          <w:bCs/>
          <w:color w:val="000000" w:themeColor="text1"/>
          <w:sz w:val="24"/>
          <w:highlight w:val="none"/>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3、</w:t>
      </w:r>
      <w:r>
        <w:rPr>
          <w:rFonts w:hint="eastAsia" w:ascii="仿宋_GB2312" w:hAnsi="仿宋" w:eastAsia="仿宋_GB2312" w:cs="Times New Roman"/>
          <w:b/>
          <w:bCs/>
          <w:color w:val="000000" w:themeColor="text1"/>
          <w:sz w:val="24"/>
          <w:highlight w:val="none"/>
          <w14:textFill>
            <w14:solidFill>
              <w14:schemeClr w14:val="tx1"/>
            </w14:solidFill>
          </w14:textFill>
        </w:rPr>
        <w:t>明确规划思路，制定规划目标</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综合考虑生态系统的完整性和连通性，结合经济社会发展趋势，明确修复思路，合理制定2025 年、2035 年分阶段目标，科学确定约束性和预期性指标，提出在实施生态修复后生态系统质量改善和功能提升的美好愿景。</w:t>
      </w:r>
    </w:p>
    <w:p>
      <w:pPr>
        <w:numPr>
          <w:ilvl w:val="0"/>
          <w:numId w:val="0"/>
        </w:numPr>
        <w:spacing w:line="360" w:lineRule="auto"/>
        <w:ind w:leftChars="0" w:firstLine="482" w:firstLineChars="200"/>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4、开展系统分析，谋划总体布局</w:t>
      </w:r>
    </w:p>
    <w:p>
      <w:pPr>
        <w:numPr>
          <w:ilvl w:val="0"/>
          <w:numId w:val="0"/>
        </w:numPr>
        <w:spacing w:line="360" w:lineRule="auto"/>
        <w:ind w:leftChars="0"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系统分析自然地理与生态安全格局，结合“三线”划定方案和基础评价结果，综合划定生态修复分区，提出分区国土空间生态修复策略。特别是在生态、农业、城镇三类空间交织衔接的区域，应体现综合治理，突出整体效益。</w:t>
      </w:r>
    </w:p>
    <w:p>
      <w:pPr>
        <w:numPr>
          <w:ilvl w:val="0"/>
          <w:numId w:val="0"/>
        </w:numPr>
        <w:spacing w:line="360" w:lineRule="auto"/>
        <w:ind w:firstLine="482" w:firstLineChars="200"/>
        <w:rPr>
          <w:rFonts w:hint="eastAsia" w:ascii="仿宋_GB2312" w:hAnsi="仿宋" w:eastAsia="仿宋_GB2312" w:cs="Times New Roman"/>
          <w:b/>
          <w:bCs/>
          <w:color w:val="000000" w:themeColor="text1"/>
          <w:sz w:val="24"/>
          <w:highlight w:val="none"/>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5、</w:t>
      </w:r>
      <w:r>
        <w:rPr>
          <w:rFonts w:hint="eastAsia" w:ascii="仿宋_GB2312" w:hAnsi="仿宋" w:eastAsia="仿宋_GB2312" w:cs="Times New Roman"/>
          <w:b/>
          <w:bCs/>
          <w:color w:val="000000" w:themeColor="text1"/>
          <w:sz w:val="24"/>
          <w:highlight w:val="none"/>
          <w14:textFill>
            <w14:solidFill>
              <w14:schemeClr w14:val="tx1"/>
            </w14:solidFill>
          </w14:textFill>
        </w:rPr>
        <w:t>落实工程项目，探索保障机制</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在修复总体目标、分区的基础上，根据生态问题的紧迫性、严重性和生态系统功能重要性、脆弱性和恢复力，划定重点区域，落实重点项目，合理安排项目建设时序，提出规划实施的保障措施</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spacing w:line="360" w:lineRule="auto"/>
        <w:ind w:firstLine="602" w:firstLineChars="250"/>
        <w:rPr>
          <w:rFonts w:hint="default" w:ascii="仿宋_GB2312" w:hAnsi="仿宋" w:eastAsia="仿宋_GB2312"/>
          <w:b/>
          <w:bCs/>
          <w:color w:val="000000" w:themeColor="text1"/>
          <w:sz w:val="24"/>
          <w:highlight w:val="none"/>
          <w:lang w:val="en-US" w:eastAsia="zh-CN"/>
          <w14:textFill>
            <w14:solidFill>
              <w14:schemeClr w14:val="tx1"/>
            </w14:solidFill>
          </w14:textFill>
        </w:rPr>
      </w:pPr>
      <w:r>
        <w:rPr>
          <w:rFonts w:hint="eastAsia" w:ascii="仿宋_GB2312" w:hAnsi="仿宋" w:eastAsia="仿宋_GB2312"/>
          <w:b/>
          <w:bCs/>
          <w:color w:val="000000" w:themeColor="text1"/>
          <w:sz w:val="24"/>
          <w:highlight w:val="none"/>
          <w:lang w:val="en-US" w:eastAsia="zh-CN"/>
          <w14:textFill>
            <w14:solidFill>
              <w14:schemeClr w14:val="tx1"/>
            </w14:solidFill>
          </w14:textFill>
        </w:rPr>
        <w:t>五</w:t>
      </w:r>
      <w:r>
        <w:rPr>
          <w:rFonts w:hint="eastAsia" w:ascii="仿宋_GB2312" w:hAnsi="仿宋" w:eastAsia="仿宋_GB2312"/>
          <w:b/>
          <w:bCs/>
          <w:color w:val="000000" w:themeColor="text1"/>
          <w:sz w:val="24"/>
          <w:highlight w:val="none"/>
          <w:lang w:eastAsia="zh-CN"/>
          <w14:textFill>
            <w14:solidFill>
              <w14:schemeClr w14:val="tx1"/>
            </w14:solidFill>
          </w14:textFill>
        </w:rPr>
        <w:t>、</w:t>
      </w:r>
      <w:r>
        <w:rPr>
          <w:rFonts w:hint="eastAsia" w:ascii="仿宋_GB2312" w:hAnsi="仿宋" w:eastAsia="仿宋_GB2312"/>
          <w:b/>
          <w:bCs/>
          <w:color w:val="000000" w:themeColor="text1"/>
          <w:sz w:val="24"/>
          <w:highlight w:val="none"/>
          <w:lang w:val="en-US" w:eastAsia="zh-CN"/>
          <w14:textFill>
            <w14:solidFill>
              <w14:schemeClr w14:val="tx1"/>
            </w14:solidFill>
          </w14:textFill>
        </w:rPr>
        <w:t>编制依据</w:t>
      </w:r>
    </w:p>
    <w:p>
      <w:pPr>
        <w:numPr>
          <w:ilvl w:val="0"/>
          <w:numId w:val="0"/>
        </w:numPr>
        <w:spacing w:line="360" w:lineRule="auto"/>
        <w:ind w:firstLine="482" w:firstLineChars="200"/>
        <w:rPr>
          <w:rFonts w:hint="default" w:ascii="仿宋_GB2312" w:hAnsi="仿宋" w:eastAsia="仿宋_GB2312" w:cs="Times New Roman"/>
          <w:b/>
          <w:bCs/>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24"/>
          <w:highlight w:val="none"/>
          <w14:textFill>
            <w14:solidFill>
              <w14:schemeClr w14:val="tx1"/>
            </w14:solidFill>
          </w14:textFill>
        </w:rPr>
        <w:t>1、</w:t>
      </w: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法律法规</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(1)《中华人民共和国土地管理法》</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(2)《中华人民共和国矿产资源法》</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(3)《中华人民共和国海洋环境保护法》</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(4)《中华人民共和国森林法》</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(5)《中华人民共和国环境保护法》</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(6)《中华人民共和国水土保持法》</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(7)《中华人民共和国水污染防治法》</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(8)《中华人民共和国土壤污染防治法》</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9</w:t>
      </w:r>
      <w:r>
        <w:rPr>
          <w:rFonts w:hint="eastAsia" w:ascii="仿宋_GB2312" w:hAnsi="仿宋" w:eastAsia="仿宋_GB2312" w:cs="Times New Roman"/>
          <w:color w:val="000000" w:themeColor="text1"/>
          <w:sz w:val="24"/>
          <w:highlight w:val="none"/>
          <w14:textFill>
            <w14:solidFill>
              <w14:schemeClr w14:val="tx1"/>
            </w14:solidFill>
          </w14:textFill>
        </w:rPr>
        <w:t>)《中华人民共和国城乡规划法》</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(1</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0</w:t>
      </w:r>
      <w:r>
        <w:rPr>
          <w:rFonts w:hint="eastAsia" w:ascii="仿宋_GB2312" w:hAnsi="仿宋" w:eastAsia="仿宋_GB2312" w:cs="Times New Roman"/>
          <w:color w:val="000000" w:themeColor="text1"/>
          <w:sz w:val="24"/>
          <w:highlight w:val="none"/>
          <w14:textFill>
            <w14:solidFill>
              <w14:schemeClr w14:val="tx1"/>
            </w14:solidFill>
          </w14:textFill>
        </w:rPr>
        <w:t>)《土地复垦条例》</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(1</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w:t>
      </w:r>
      <w:r>
        <w:rPr>
          <w:rFonts w:hint="eastAsia" w:ascii="仿宋_GB2312" w:hAnsi="仿宋" w:eastAsia="仿宋_GB2312" w:cs="Times New Roman"/>
          <w:color w:val="000000" w:themeColor="text1"/>
          <w:sz w:val="24"/>
          <w:highlight w:val="none"/>
          <w14:textFill>
            <w14:solidFill>
              <w14:schemeClr w14:val="tx1"/>
            </w14:solidFill>
          </w14:textFill>
        </w:rPr>
        <w:t>)《基本农田保护条例》</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(1</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2</w:t>
      </w:r>
      <w:r>
        <w:rPr>
          <w:rFonts w:hint="eastAsia" w:ascii="仿宋_GB2312" w:hAnsi="仿宋" w:eastAsia="仿宋_GB2312" w:cs="Times New Roman"/>
          <w:color w:val="000000" w:themeColor="text1"/>
          <w:sz w:val="24"/>
          <w:highlight w:val="none"/>
          <w14:textFill>
            <w14:solidFill>
              <w14:schemeClr w14:val="tx1"/>
            </w14:solidFill>
          </w14:textFill>
        </w:rPr>
        <w:t>)《地质灾害防治条例》</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default" w:ascii="仿宋_GB2312" w:hAnsi="仿宋" w:eastAsia="仿宋_GB2312" w:cs="Times New Roman"/>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(1</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3</w:t>
      </w:r>
      <w:r>
        <w:rPr>
          <w:rFonts w:hint="eastAsia" w:ascii="仿宋_GB2312" w:hAnsi="仿宋" w:eastAsia="仿宋_GB2312" w:cs="Times New Roman"/>
          <w:color w:val="000000" w:themeColor="text1"/>
          <w:sz w:val="24"/>
          <w:highlight w:val="none"/>
          <w14:textFill>
            <w14:solidFill>
              <w14:schemeClr w14:val="tx1"/>
            </w14:solidFill>
          </w14:textFill>
        </w:rPr>
        <w:t>)《矿山地质环境保护规定》。</w:t>
      </w:r>
    </w:p>
    <w:p>
      <w:pPr>
        <w:numPr>
          <w:ilvl w:val="0"/>
          <w:numId w:val="0"/>
        </w:numPr>
        <w:spacing w:line="360" w:lineRule="auto"/>
        <w:ind w:firstLine="482" w:firstLineChars="200"/>
        <w:rPr>
          <w:rFonts w:hint="default" w:ascii="仿宋_GB2312" w:hAnsi="仿宋" w:eastAsia="仿宋_GB2312" w:cs="Times New Roman"/>
          <w:b/>
          <w:bCs/>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2、政策文件</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(1)《国务院关于印发水污染防治行动计划的通知》(国发(2015)17号)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(2)《国务院关于印发土壤污染防治行动计划的通知》(国发(2016)31号)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(3)《中共中央国务院关于建立国土空间规划体系并监督实施的若干意见》(中发(2019)18号)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(4)《中共中央办公厅国务院办公厅关于在国土空间规划中统筹划定落实三条控制线的指导意见》(厅字(2019)48号)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(5)《中共中央办公厅国务院办公厅关于印发&lt;天然林保护修复制度方案&gt;的通知》(厅字(2019)39号)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(6)《自然资源部关于探索利用市场化方式推进矿山生态修复的意见》(自然资规(2019)6号)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(7)《自然资源部关于开展全域土地综合整治试点工作的通知》(自然资发(2019)194号)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(8)《财政部办公厅自然资源部办公厅生态环境部办公厅关于进一步做好山水林田湖草沙生态保护修复工程试点的通知》(财办资环(2020)15号)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(9)《自然资源部办公厅关于开展省级国十空间生态保护和修复规划编制工作的通知》(自然资办发(2020)45号)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10</w:t>
      </w:r>
      <w:r>
        <w:rPr>
          <w:rFonts w:hint="eastAsia" w:ascii="仿宋_GB2312" w:hAnsi="仿宋" w:eastAsia="仿宋_GB2312" w:cs="Times New Roman"/>
          <w:color w:val="000000" w:themeColor="text1"/>
          <w:sz w:val="24"/>
          <w:highlight w:val="none"/>
          <w14:textFill>
            <w14:solidFill>
              <w14:schemeClr w14:val="tx1"/>
            </w14:solidFill>
          </w14:textFill>
        </w:rPr>
        <w:t>)《陕西省自然资源厅办公室关于印发&lt;陕西省国土空间生态修复规划（2021-2035年）编制工作方案&gt;的通知》（陕自然资源办发〔2020〕126号）；</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11</w:t>
      </w:r>
      <w:r>
        <w:rPr>
          <w:rFonts w:hint="eastAsia" w:ascii="仿宋_GB2312" w:hAnsi="仿宋" w:eastAsia="仿宋_GB2312" w:cs="Times New Roman"/>
          <w:color w:val="000000" w:themeColor="text1"/>
          <w:sz w:val="24"/>
          <w:highlight w:val="none"/>
          <w14:textFill>
            <w14:solidFill>
              <w14:schemeClr w14:val="tx1"/>
            </w14:solidFill>
          </w14:textFill>
        </w:rPr>
        <w:t>)《陕西省自然资源厅关于做好市、县级国土空间生态修复规划编制工作的通知》（陕自然资修复发〔2020〕34号）；</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12</w:t>
      </w:r>
      <w:r>
        <w:rPr>
          <w:rFonts w:hint="eastAsia" w:ascii="仿宋_GB2312" w:hAnsi="仿宋" w:eastAsia="仿宋_GB2312" w:cs="Times New Roman"/>
          <w:color w:val="000000" w:themeColor="text1"/>
          <w:sz w:val="24"/>
          <w:highlight w:val="none"/>
          <w14:textFill>
            <w14:solidFill>
              <w14:schemeClr w14:val="tx1"/>
            </w14:solidFill>
          </w14:textFill>
        </w:rPr>
        <w:t>)《陕西省深入学习浙江“千万工程”经验扎实推进农村人居环境整治的实施意见》的通知（陕办字[2019]103号）；</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13</w:t>
      </w:r>
      <w:r>
        <w:rPr>
          <w:rFonts w:hint="eastAsia" w:ascii="仿宋_GB2312" w:hAnsi="仿宋" w:eastAsia="仿宋_GB2312" w:cs="Times New Roman"/>
          <w:color w:val="000000" w:themeColor="text1"/>
          <w:sz w:val="24"/>
          <w:highlight w:val="none"/>
          <w14:textFill>
            <w14:solidFill>
              <w14:schemeClr w14:val="tx1"/>
            </w14:solidFill>
          </w14:textFill>
        </w:rPr>
        <w:t>)《陕西省自然资源厅关于做好永久基本农田储备区划定工作的通知》（陕自然资耕发[2019]4号）；</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14</w:t>
      </w:r>
      <w:r>
        <w:rPr>
          <w:rFonts w:hint="eastAsia" w:ascii="仿宋_GB2312" w:hAnsi="仿宋" w:eastAsia="仿宋_GB2312" w:cs="Times New Roman"/>
          <w:color w:val="000000" w:themeColor="text1"/>
          <w:sz w:val="24"/>
          <w:highlight w:val="none"/>
          <w14:textFill>
            <w14:solidFill>
              <w14:schemeClr w14:val="tx1"/>
            </w14:solidFill>
          </w14:textFill>
        </w:rPr>
        <w:t>)《陕西省人民政府关于印发秦岭生态环境保护行动方案的通知》（陕政发[2019]3号）；</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15</w:t>
      </w:r>
      <w:r>
        <w:rPr>
          <w:rFonts w:hint="eastAsia" w:ascii="仿宋_GB2312" w:hAnsi="仿宋" w:eastAsia="仿宋_GB2312" w:cs="Times New Roman"/>
          <w:color w:val="000000" w:themeColor="text1"/>
          <w:sz w:val="24"/>
          <w:highlight w:val="none"/>
          <w14:textFill>
            <w14:solidFill>
              <w14:schemeClr w14:val="tx1"/>
            </w14:solidFill>
          </w14:textFill>
        </w:rPr>
        <w:t>)《关于印发陕西省加强矿山地质环境恢复和综合治理实施方案的通知》（陕国土资发[2017]19号）；</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16</w:t>
      </w:r>
      <w:r>
        <w:rPr>
          <w:rFonts w:hint="eastAsia" w:ascii="仿宋_GB2312" w:hAnsi="仿宋" w:eastAsia="仿宋_GB2312" w:cs="Times New Roman"/>
          <w:color w:val="000000" w:themeColor="text1"/>
          <w:sz w:val="24"/>
          <w:highlight w:val="none"/>
          <w14:textFill>
            <w14:solidFill>
              <w14:schemeClr w14:val="tx1"/>
            </w14:solidFill>
          </w14:textFill>
        </w:rPr>
        <w:t>)《关于印发&lt;陕西省地质灾害综合防治体系建设项目与资金管理办法&gt;的通知》（陕自然资发〔2019〕19号）；</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17</w:t>
      </w:r>
      <w:r>
        <w:rPr>
          <w:rFonts w:hint="eastAsia" w:ascii="仿宋_GB2312" w:hAnsi="仿宋" w:eastAsia="仿宋_GB2312" w:cs="Times New Roman"/>
          <w:color w:val="000000" w:themeColor="text1"/>
          <w:sz w:val="24"/>
          <w:highlight w:val="none"/>
          <w14:textFill>
            <w14:solidFill>
              <w14:schemeClr w14:val="tx1"/>
            </w14:solidFill>
          </w14:textFill>
        </w:rPr>
        <w:t>)《中共陕西省委 陕西省人民政府关于加快建立并监督实施陕西省国土空间规划体系的实施意见》（陕发〔2020〕17 号）</w:t>
      </w:r>
      <w:r>
        <w:rPr>
          <w:rFonts w:hint="eastAsia" w:ascii="仿宋_GB2312" w:hAnsi="仿宋" w:eastAsia="仿宋_GB2312" w:cs="Times New Roman"/>
          <w:color w:val="000000" w:themeColor="text1"/>
          <w:sz w:val="24"/>
          <w:highlight w:val="none"/>
          <w:lang w:eastAsia="zh-CN"/>
          <w14:textFill>
            <w14:solidFill>
              <w14:schemeClr w14:val="tx1"/>
            </w14:solidFill>
          </w14:textFill>
        </w:rPr>
        <w:t>等相关政策文件；</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18</w:t>
      </w: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陕西省自然资源厅《关于做好市、县级国土空间生态修复规划编制工作的通知》</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w:t>
      </w:r>
      <w:r>
        <w:rPr>
          <w:rFonts w:hint="eastAsia" w:ascii="仿宋_GB2312" w:hAnsi="仿宋" w:eastAsia="仿宋_GB2312" w:cs="Times New Roman"/>
          <w:color w:val="000000" w:themeColor="text1"/>
          <w:sz w:val="24"/>
          <w:highlight w:val="none"/>
          <w14:textFill>
            <w14:solidFill>
              <w14:schemeClr w14:val="tx1"/>
            </w14:solidFill>
          </w14:textFill>
        </w:rPr>
        <w:t>9)</w:t>
      </w:r>
      <w:r>
        <w:rPr>
          <w:rFonts w:hint="eastAsia" w:ascii="仿宋_GB2312" w:hAnsi="仿宋" w:eastAsia="仿宋_GB2312" w:cs="Times New Roman"/>
          <w:color w:val="000000" w:themeColor="text1"/>
          <w:sz w:val="24"/>
          <w:highlight w:val="none"/>
          <w:lang w:eastAsia="zh-CN"/>
          <w14:textFill>
            <w14:solidFill>
              <w14:schemeClr w14:val="tx1"/>
            </w14:solidFill>
          </w14:textFill>
        </w:rPr>
        <w:t>《陕西省自然资源厅关于印发&lt;陕西省市级国土空间生态复规划编制要点(试行)&gt;和&lt;陕西省县级国土空间生态修复规划编制要点(试行)&gt;的通知》（陕自然资源复发〔2022〕8号）。</w:t>
      </w:r>
    </w:p>
    <w:p>
      <w:pPr>
        <w:numPr>
          <w:ilvl w:val="0"/>
          <w:numId w:val="0"/>
        </w:numPr>
        <w:spacing w:line="360" w:lineRule="auto"/>
        <w:ind w:firstLine="480" w:firstLineChars="200"/>
        <w:rPr>
          <w:rFonts w:hint="default" w:ascii="仿宋_GB2312" w:hAnsi="仿宋" w:eastAsia="仿宋_GB2312" w:cs="Times New Roman"/>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3、相关规划</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w:t>
      </w: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《陕西省国土空间规划》（2021—2035年）</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2</w:t>
      </w: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eastAsia="zh-CN"/>
          <w14:textFill>
            <w14:solidFill>
              <w14:schemeClr w14:val="tx1"/>
            </w14:solidFill>
          </w14:textFill>
        </w:rPr>
        <w:t>《陕西省国土空间生态修复规划》（2021-2035年）；</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3</w:t>
      </w:r>
      <w:r>
        <w:rPr>
          <w:rFonts w:hint="eastAsia" w:ascii="仿宋_GB2312" w:hAnsi="仿宋" w:eastAsia="仿宋_GB2312" w:cs="Times New Roman"/>
          <w:color w:val="000000" w:themeColor="text1"/>
          <w:sz w:val="24"/>
          <w:highlight w:val="none"/>
          <w14:textFill>
            <w14:solidFill>
              <w14:schemeClr w14:val="tx1"/>
            </w14:solidFill>
          </w14:textFill>
        </w:rPr>
        <w:t>)</w:t>
      </w:r>
      <w:r>
        <w:rPr>
          <w:rFonts w:hint="eastAsia" w:ascii="仿宋_GB2312" w:hAnsi="仿宋" w:eastAsia="仿宋_GB2312" w:cs="Times New Roman"/>
          <w:color w:val="000000" w:themeColor="text1"/>
          <w:sz w:val="24"/>
          <w:highlight w:val="none"/>
          <w:lang w:eastAsia="zh-CN"/>
          <w14:textFill>
            <w14:solidFill>
              <w14:schemeClr w14:val="tx1"/>
            </w14:solidFill>
          </w14:textFill>
        </w:rPr>
        <w:t>市、县相关规划。</w:t>
      </w:r>
    </w:p>
    <w:p>
      <w:pPr>
        <w:numPr>
          <w:ilvl w:val="0"/>
          <w:numId w:val="0"/>
        </w:numPr>
        <w:spacing w:line="360" w:lineRule="auto"/>
        <w:ind w:firstLine="480" w:firstLineChars="200"/>
        <w:rPr>
          <w:rFonts w:hint="default" w:ascii="仿宋_GB2312" w:hAnsi="仿宋" w:eastAsia="仿宋_GB2312" w:cs="Times New Roman"/>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4、标准规范</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(1)《省级国土空间生态修复规划编制技术规程(试行)》；</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(2)《市级国土空间总体规划编制指南(试行)》；</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(3)《山水林田湖草生态保护修复工程指南(试行)》；</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(4)《矿山生态修复技术规范(通则)》；</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5</w:t>
      </w:r>
      <w:r>
        <w:rPr>
          <w:rFonts w:hint="eastAsia" w:ascii="仿宋_GB2312" w:hAnsi="仿宋" w:eastAsia="仿宋_GB2312" w:cs="Times New Roman"/>
          <w:color w:val="000000" w:themeColor="text1"/>
          <w:sz w:val="24"/>
          <w:highlight w:val="none"/>
          <w:lang w:eastAsia="zh-CN"/>
          <w14:textFill>
            <w14:solidFill>
              <w14:schemeClr w14:val="tx1"/>
            </w14:solidFill>
          </w14:textFill>
        </w:rPr>
        <w:t>)《河湖生态系统保护和修复工程技术导则》；</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6</w:t>
      </w:r>
      <w:r>
        <w:rPr>
          <w:rFonts w:hint="eastAsia" w:ascii="仿宋_GB2312" w:hAnsi="仿宋" w:eastAsia="仿宋_GB2312" w:cs="Times New Roman"/>
          <w:color w:val="000000" w:themeColor="text1"/>
          <w:sz w:val="24"/>
          <w:highlight w:val="none"/>
          <w:lang w:eastAsia="zh-CN"/>
          <w14:textFill>
            <w14:solidFill>
              <w14:schemeClr w14:val="tx1"/>
            </w14:solidFill>
          </w14:textFill>
        </w:rPr>
        <w:t>)《河湖健康评价指南（试行）》；</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7</w:t>
      </w:r>
      <w:r>
        <w:rPr>
          <w:rFonts w:hint="eastAsia" w:ascii="仿宋_GB2312" w:hAnsi="仿宋" w:eastAsia="仿宋_GB2312" w:cs="Times New Roman"/>
          <w:color w:val="000000" w:themeColor="text1"/>
          <w:sz w:val="24"/>
          <w:highlight w:val="none"/>
          <w:lang w:eastAsia="zh-CN"/>
          <w14:textFill>
            <w14:solidFill>
              <w14:schemeClr w14:val="tx1"/>
            </w14:solidFill>
          </w14:textFill>
        </w:rPr>
        <w:t>)《退耕还林还草作业设计技术规定》；</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8</w:t>
      </w:r>
      <w:r>
        <w:rPr>
          <w:rFonts w:hint="eastAsia" w:ascii="仿宋_GB2312" w:hAnsi="仿宋" w:eastAsia="仿宋_GB2312" w:cs="Times New Roman"/>
          <w:color w:val="000000" w:themeColor="text1"/>
          <w:sz w:val="24"/>
          <w:highlight w:val="none"/>
          <w:lang w:eastAsia="zh-CN"/>
          <w14:textFill>
            <w14:solidFill>
              <w14:schemeClr w14:val="tx1"/>
            </w14:solidFill>
          </w14:textFill>
        </w:rPr>
        <w:t>)《陕西省县级国土空间生态修复规划编制指南（试行）》；</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9</w:t>
      </w:r>
      <w:r>
        <w:rPr>
          <w:rFonts w:hint="eastAsia" w:ascii="仿宋_GB2312" w:hAnsi="仿宋" w:eastAsia="仿宋_GB2312" w:cs="Times New Roman"/>
          <w:color w:val="000000" w:themeColor="text1"/>
          <w:sz w:val="24"/>
          <w:highlight w:val="none"/>
          <w:lang w:eastAsia="zh-CN"/>
          <w14:textFill>
            <w14:solidFill>
              <w14:schemeClr w14:val="tx1"/>
            </w14:solidFill>
          </w14:textFill>
        </w:rPr>
        <w:t>)《生态保护红线划定指南》；</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10</w:t>
      </w:r>
      <w:r>
        <w:rPr>
          <w:rFonts w:hint="eastAsia" w:ascii="仿宋_GB2312" w:hAnsi="仿宋" w:eastAsia="仿宋_GB2312" w:cs="Times New Roman"/>
          <w:color w:val="000000" w:themeColor="text1"/>
          <w:sz w:val="24"/>
          <w:highlight w:val="none"/>
          <w:lang w:eastAsia="zh-CN"/>
          <w14:textFill>
            <w14:solidFill>
              <w14:schemeClr w14:val="tx1"/>
            </w14:solidFill>
          </w14:textFill>
        </w:rPr>
        <w:t>)《资源环境承载能力和国土空间开发适宜性评价指南(试行)》；</w:t>
      </w:r>
    </w:p>
    <w:p>
      <w:pPr>
        <w:numPr>
          <w:ilvl w:val="0"/>
          <w:numId w:val="0"/>
        </w:numPr>
        <w:spacing w:line="360" w:lineRule="auto"/>
        <w:ind w:firstLine="480" w:firstLineChars="20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11</w:t>
      </w:r>
      <w:r>
        <w:rPr>
          <w:rFonts w:hint="eastAsia" w:ascii="仿宋_GB2312" w:hAnsi="仿宋" w:eastAsia="仿宋_GB2312" w:cs="Times New Roman"/>
          <w:color w:val="000000" w:themeColor="text1"/>
          <w:sz w:val="24"/>
          <w:highlight w:val="none"/>
          <w:lang w:eastAsia="zh-CN"/>
          <w14:textFill>
            <w14:solidFill>
              <w14:schemeClr w14:val="tx1"/>
            </w14:solidFill>
          </w14:textFill>
        </w:rPr>
        <w:t>)其他有关国家、地方和行业标准规范。</w:t>
      </w:r>
    </w:p>
    <w:p>
      <w:pPr>
        <w:spacing w:line="360" w:lineRule="auto"/>
        <w:ind w:firstLine="602" w:firstLineChars="250"/>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pPr>
      <w:r>
        <w:rPr>
          <w:rFonts w:hint="eastAsia" w:ascii="仿宋_GB2312" w:hAnsi="仿宋" w:eastAsia="仿宋_GB2312"/>
          <w:b/>
          <w:bCs/>
          <w:color w:val="000000" w:themeColor="text1"/>
          <w:sz w:val="24"/>
          <w:highlight w:val="none"/>
          <w:lang w:val="en-US" w:eastAsia="zh-CN"/>
          <w14:textFill>
            <w14:solidFill>
              <w14:schemeClr w14:val="tx1"/>
            </w14:solidFill>
          </w14:textFill>
        </w:rPr>
        <w:t>六</w:t>
      </w:r>
      <w:r>
        <w:rPr>
          <w:rFonts w:hint="eastAsia" w:ascii="仿宋_GB2312" w:hAnsi="仿宋" w:eastAsia="仿宋_GB2312"/>
          <w:b/>
          <w:bCs/>
          <w:color w:val="000000" w:themeColor="text1"/>
          <w:sz w:val="24"/>
          <w:highlight w:val="none"/>
          <w:lang w:eastAsia="zh-CN"/>
          <w14:textFill>
            <w14:solidFill>
              <w14:schemeClr w14:val="tx1"/>
            </w14:solidFill>
          </w14:textFill>
        </w:rPr>
        <w:t>、</w:t>
      </w:r>
      <w:r>
        <w:rPr>
          <w:rFonts w:hint="eastAsia" w:ascii="仿宋_GB2312" w:hAnsi="仿宋" w:eastAsia="仿宋_GB2312"/>
          <w:b/>
          <w:bCs/>
          <w:color w:val="000000" w:themeColor="text1"/>
          <w:sz w:val="24"/>
          <w:highlight w:val="none"/>
          <w14:textFill>
            <w14:solidFill>
              <w14:schemeClr w14:val="tx1"/>
            </w14:solidFill>
          </w14:textFill>
        </w:rPr>
        <w:t>成果</w:t>
      </w:r>
      <w:r>
        <w:rPr>
          <w:rFonts w:hint="eastAsia" w:ascii="仿宋_GB2312" w:hAnsi="仿宋" w:eastAsia="仿宋_GB2312"/>
          <w:b/>
          <w:bCs/>
          <w:color w:val="000000" w:themeColor="text1"/>
          <w:sz w:val="24"/>
          <w:highlight w:val="none"/>
          <w:lang w:eastAsia="zh-CN"/>
          <w14:textFill>
            <w14:solidFill>
              <w14:schemeClr w14:val="tx1"/>
            </w14:solidFill>
          </w14:textFill>
        </w:rPr>
        <w:t>资料</w:t>
      </w:r>
    </w:p>
    <w:p>
      <w:pPr>
        <w:spacing w:line="360" w:lineRule="auto"/>
        <w:ind w:firstLine="602" w:firstLineChars="250"/>
        <w:rPr>
          <w:rFonts w:hint="default" w:ascii="仿宋_GB2312" w:hAnsi="仿宋" w:eastAsia="仿宋_GB2312" w:cs="Times New Roman"/>
          <w:b/>
          <w:bCs/>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1、</w:t>
      </w:r>
      <w:r>
        <w:rPr>
          <w:rFonts w:hint="eastAsia" w:ascii="仿宋_GB2312" w:hAnsi="仿宋" w:eastAsia="仿宋_GB2312" w:cs="Times New Roman"/>
          <w:b/>
          <w:bCs/>
          <w:color w:val="000000" w:themeColor="text1"/>
          <w:sz w:val="24"/>
          <w:highlight w:val="none"/>
          <w:lang w:eastAsia="zh-CN"/>
          <w14:textFill>
            <w14:solidFill>
              <w14:schemeClr w14:val="tx1"/>
            </w14:solidFill>
          </w14:textFill>
        </w:rPr>
        <w:t>成果</w:t>
      </w: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资料内容</w:t>
      </w:r>
    </w:p>
    <w:p>
      <w:pPr>
        <w:spacing w:line="360" w:lineRule="auto"/>
        <w:ind w:firstLine="600" w:firstLineChars="250"/>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pPr>
      <w:r>
        <w:rPr>
          <w:rFonts w:hint="eastAsia" w:ascii="仿宋_GB2312" w:hAnsi="仿宋" w:eastAsia="仿宋_GB2312" w:cs="Times New Roman"/>
          <w:b w:val="0"/>
          <w:bCs w:val="0"/>
          <w:color w:val="000000" w:themeColor="text1"/>
          <w:sz w:val="24"/>
          <w:highlight w:val="none"/>
          <w:lang w:val="en-US" w:eastAsia="zh-CN"/>
          <w14:textFill>
            <w14:solidFill>
              <w14:schemeClr w14:val="tx1"/>
            </w14:solidFill>
          </w14:textFill>
        </w:rPr>
        <w:t>成果资料主要有：</w:t>
      </w: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规划文本、编制说明、规划图件、</w:t>
      </w:r>
      <w:r>
        <w:rPr>
          <w:rFonts w:hint="eastAsia" w:ascii="仿宋_GB2312" w:hAnsi="仿宋" w:eastAsia="仿宋_GB2312" w:cs="Times New Roman"/>
          <w:b w:val="0"/>
          <w:bCs w:val="0"/>
          <w:color w:val="000000" w:themeColor="text1"/>
          <w:sz w:val="24"/>
          <w:highlight w:val="none"/>
          <w:lang w:val="en-US" w:eastAsia="zh-CN"/>
          <w14:textFill>
            <w14:solidFill>
              <w14:schemeClr w14:val="tx1"/>
            </w14:solidFill>
          </w14:textFill>
        </w:rPr>
        <w:t>附表、</w:t>
      </w: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专题研究报告、数据库及其他材料。提交的成果内容、数量、格式必须满足国家、陕西省和渭南市的有关规定要求。</w:t>
      </w:r>
    </w:p>
    <w:p>
      <w:pPr>
        <w:spacing w:line="360" w:lineRule="auto"/>
        <w:ind w:firstLine="600" w:firstLineChars="250"/>
        <w:rPr>
          <w:rFonts w:hint="default"/>
          <w:color w:val="000000" w:themeColor="text1"/>
          <w:lang w:val="en-US" w:eastAsia="zh-CN"/>
          <w14:textFill>
            <w14:solidFill>
              <w14:schemeClr w14:val="tx1"/>
            </w14:solidFill>
          </w14:textFill>
        </w:rPr>
      </w:pPr>
      <w:r>
        <w:rPr>
          <w:rFonts w:hint="eastAsia" w:ascii="仿宋_GB2312" w:hAnsi="仿宋" w:eastAsia="仿宋_GB2312" w:cs="Times New Roman"/>
          <w:b w:val="0"/>
          <w:bCs w:val="0"/>
          <w:color w:val="000000" w:themeColor="text1"/>
          <w:sz w:val="24"/>
          <w:highlight w:val="none"/>
          <w:lang w:val="en-US" w:eastAsia="zh-CN"/>
          <w14:textFill>
            <w14:solidFill>
              <w14:schemeClr w14:val="tx1"/>
            </w14:solidFill>
          </w14:textFill>
        </w:rPr>
        <w:t>规划文本主要包括总则、背景与形势、问题与评价、总体要求、规划原则与目标、空间格局与分区、任务安排、重点工程、投资与效益、近期计划、实施保障措施等内容。规划图件包括基础分析图、评价分析图、规划成果图等。附表表格主要为规划实施任务分工表和重点建设项目表。编制说明主要包括总则、背景与形势、与相关规划衔接情况、现状与问题、规划原则与目标、规划目标与任务分解、空间格局与分区、修复模式、任务安排、投资与效益、近期计划、实施保障措施、其他需要说明的问题等。数据库基于自然资源“一张图”和国土空间信息平台，整合汇总涉及国土空间数据，包括文档、图件、表格、矢量数据等，按照数据库标准制作数据库，纳入国土空间信息平台。</w:t>
      </w:r>
    </w:p>
    <w:p>
      <w:pPr>
        <w:numPr>
          <w:ilvl w:val="0"/>
          <w:numId w:val="0"/>
        </w:numPr>
        <w:spacing w:line="360" w:lineRule="auto"/>
        <w:ind w:leftChars="0" w:firstLine="482" w:firstLineChars="200"/>
        <w:rPr>
          <w:rFonts w:hint="eastAsia" w:ascii="仿宋_GB2312" w:hAnsi="仿宋" w:eastAsia="仿宋_GB2312" w:cs="Times New Roman"/>
          <w:b/>
          <w:bCs/>
          <w:color w:val="000000" w:themeColor="text1"/>
          <w:sz w:val="24"/>
          <w:highlight w:val="none"/>
          <w:lang w:eastAsia="zh-CN"/>
          <w14:textFill>
            <w14:solidFill>
              <w14:schemeClr w14:val="tx1"/>
            </w14:solidFill>
          </w14:textFill>
        </w:rPr>
      </w:pPr>
      <w:r>
        <w:rPr>
          <w:rFonts w:hint="eastAsia" w:ascii="仿宋_GB2312" w:hAnsi="仿宋" w:eastAsia="仿宋_GB2312" w:cs="Times New Roman"/>
          <w:b/>
          <w:bCs/>
          <w:color w:val="000000" w:themeColor="text1"/>
          <w:sz w:val="24"/>
          <w:highlight w:val="none"/>
          <w:lang w:val="en-US" w:eastAsia="zh-CN"/>
          <w14:textFill>
            <w14:solidFill>
              <w14:schemeClr w14:val="tx1"/>
            </w14:solidFill>
          </w14:textFill>
        </w:rPr>
        <w:t>2、成果资料</w:t>
      </w:r>
      <w:r>
        <w:rPr>
          <w:rFonts w:hint="eastAsia" w:ascii="仿宋_GB2312" w:hAnsi="仿宋" w:eastAsia="仿宋_GB2312" w:cs="Times New Roman"/>
          <w:b/>
          <w:bCs/>
          <w:color w:val="000000" w:themeColor="text1"/>
          <w:sz w:val="24"/>
          <w:highlight w:val="none"/>
          <w:lang w:eastAsia="zh-CN"/>
          <w14:textFill>
            <w14:solidFill>
              <w14:schemeClr w14:val="tx1"/>
            </w14:solidFill>
          </w14:textFill>
        </w:rPr>
        <w:t>总体要求</w:t>
      </w:r>
    </w:p>
    <w:p>
      <w:pPr>
        <w:numPr>
          <w:ilvl w:val="0"/>
          <w:numId w:val="0"/>
        </w:numPr>
        <w:spacing w:line="360" w:lineRule="auto"/>
        <w:ind w:leftChars="0" w:firstLine="480" w:firstLineChars="200"/>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pP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项目设计成果应成册提交,统一采用A3图幅装订成册(含电子文件2套),内容包括文本、图纸、附件三大部分:</w:t>
      </w:r>
    </w:p>
    <w:p>
      <w:pPr>
        <w:spacing w:line="360" w:lineRule="auto"/>
        <w:ind w:firstLine="600" w:firstLineChars="250"/>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pP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(1)文本</w:t>
      </w:r>
      <w:r>
        <w:rPr>
          <w:rFonts w:hint="eastAsia" w:ascii="仿宋_GB2312" w:hAnsi="仿宋" w:eastAsia="仿宋_GB2312" w:cs="Times New Roman"/>
          <w:b w:val="0"/>
          <w:bCs w:val="0"/>
          <w:color w:val="000000" w:themeColor="text1"/>
          <w:sz w:val="24"/>
          <w:highlight w:val="none"/>
          <w:lang w:val="en-US" w:eastAsia="zh-CN"/>
          <w14:textFill>
            <w14:solidFill>
              <w14:schemeClr w14:val="tx1"/>
            </w14:solidFill>
          </w14:textFill>
        </w:rPr>
        <w:t>。</w:t>
      </w: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采用法规条文格式书写、图表形式直接表述,并提出强制性要求和指导性意见文字表述应规范、准确、简洁。</w:t>
      </w:r>
    </w:p>
    <w:p>
      <w:pPr>
        <w:spacing w:line="360" w:lineRule="auto"/>
        <w:ind w:firstLine="600" w:firstLineChars="250"/>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pP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(2)图件。按专项规划编制要求、设计任务及甲方要求提供的图纸。</w:t>
      </w:r>
    </w:p>
    <w:p>
      <w:pPr>
        <w:spacing w:line="360" w:lineRule="auto"/>
        <w:ind w:firstLine="600" w:firstLineChars="250"/>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pP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w:t>
      </w:r>
      <w:r>
        <w:rPr>
          <w:rFonts w:hint="eastAsia" w:ascii="仿宋_GB2312" w:hAnsi="仿宋" w:eastAsia="仿宋_GB2312" w:cs="Times New Roman"/>
          <w:b w:val="0"/>
          <w:bCs w:val="0"/>
          <w:color w:val="000000" w:themeColor="text1"/>
          <w:sz w:val="24"/>
          <w:highlight w:val="none"/>
          <w:lang w:val="en-US" w:eastAsia="zh-CN"/>
          <w14:textFill>
            <w14:solidFill>
              <w14:schemeClr w14:val="tx1"/>
            </w14:solidFill>
          </w14:textFill>
        </w:rPr>
        <w:t>3</w:t>
      </w: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)附件(设计说明书)。</w:t>
      </w:r>
    </w:p>
    <w:p>
      <w:pPr>
        <w:spacing w:line="360" w:lineRule="auto"/>
        <w:ind w:firstLine="600" w:firstLineChars="250"/>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pP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内容为前期现状调研、论证分析、策划研究、设计意图阐述、设计导则解释等,为设计成果审查、批准和规划管理提供全面技术信息支撑。</w:t>
      </w:r>
    </w:p>
    <w:p>
      <w:pPr>
        <w:spacing w:line="360" w:lineRule="auto"/>
        <w:ind w:firstLine="600" w:firstLineChars="250"/>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s="Times New Roman"/>
          <w:b w:val="0"/>
          <w:bCs w:val="0"/>
          <w:color w:val="000000" w:themeColor="text1"/>
          <w:sz w:val="24"/>
          <w:highlight w:val="none"/>
          <w:lang w:eastAsia="zh-CN"/>
          <w14:textFill>
            <w14:solidFill>
              <w14:schemeClr w14:val="tx1"/>
            </w14:solidFill>
          </w14:textFill>
        </w:rPr>
        <w:t>电子文档最终成果包含用于图册打印的jpg、dwg、word、 Excell、ppt、pdf文件。</w:t>
      </w:r>
    </w:p>
    <w:p>
      <w:pPr>
        <w:spacing w:line="360" w:lineRule="auto"/>
        <w:ind w:firstLine="602" w:firstLineChars="250"/>
        <w:rPr>
          <w:rFonts w:hint="eastAsia" w:ascii="仿宋_GB2312" w:hAnsi="仿宋" w:eastAsia="仿宋_GB2312"/>
          <w:b/>
          <w:bCs/>
          <w:color w:val="000000" w:themeColor="text1"/>
          <w:sz w:val="24"/>
          <w:highlight w:val="none"/>
          <w:lang w:eastAsia="zh-CN"/>
          <w14:textFill>
            <w14:solidFill>
              <w14:schemeClr w14:val="tx1"/>
            </w14:solidFill>
          </w14:textFill>
        </w:rPr>
      </w:pPr>
      <w:r>
        <w:rPr>
          <w:rFonts w:hint="eastAsia" w:ascii="仿宋_GB2312" w:hAnsi="仿宋" w:eastAsia="仿宋_GB2312"/>
          <w:b/>
          <w:bCs/>
          <w:color w:val="000000" w:themeColor="text1"/>
          <w:sz w:val="24"/>
          <w:highlight w:val="none"/>
          <w:lang w:val="en-US" w:eastAsia="zh-CN"/>
          <w14:textFill>
            <w14:solidFill>
              <w14:schemeClr w14:val="tx1"/>
            </w14:solidFill>
          </w14:textFill>
        </w:rPr>
        <w:t>七</w:t>
      </w:r>
      <w:r>
        <w:rPr>
          <w:rFonts w:hint="eastAsia" w:ascii="仿宋_GB2312" w:hAnsi="仿宋" w:eastAsia="仿宋_GB2312"/>
          <w:b/>
          <w:bCs/>
          <w:color w:val="000000" w:themeColor="text1"/>
          <w:sz w:val="24"/>
          <w:highlight w:val="none"/>
          <w:lang w:eastAsia="zh-CN"/>
          <w14:textFill>
            <w14:solidFill>
              <w14:schemeClr w14:val="tx1"/>
            </w14:solidFill>
          </w14:textFill>
        </w:rPr>
        <w:t>、采购要求</w:t>
      </w:r>
    </w:p>
    <w:p>
      <w:pPr>
        <w:spacing w:line="360" w:lineRule="auto"/>
        <w:ind w:firstLine="600" w:firstLineChars="250"/>
        <w:rPr>
          <w:rFonts w:hint="eastAsia" w:ascii="仿宋_GB2312" w:hAnsi="仿宋" w:eastAsia="仿宋_GB2312" w:cs="Times New Roman"/>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1、项目服务期：</w:t>
      </w:r>
      <w:r>
        <w:rPr>
          <w:rFonts w:hint="eastAsia" w:ascii="仿宋_GB2312" w:hAnsi="仿宋" w:eastAsia="仿宋_GB2312" w:cs="Times New Roman"/>
          <w:color w:val="000000" w:themeColor="text1"/>
          <w:sz w:val="24"/>
          <w:highlight w:val="none"/>
          <w:lang w:eastAsia="zh-CN"/>
          <w14:textFill>
            <w14:solidFill>
              <w14:schemeClr w14:val="tx1"/>
            </w14:solidFill>
          </w14:textFill>
        </w:rPr>
        <w:t>自</w:t>
      </w: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合同签订后</w:t>
      </w:r>
      <w:r>
        <w:rPr>
          <w:rFonts w:hint="eastAsia" w:ascii="仿宋_GB2312" w:hAnsi="仿宋" w:eastAsia="仿宋_GB2312" w:cs="Times New Roman"/>
          <w:color w:val="000000" w:themeColor="text1"/>
          <w:sz w:val="24"/>
          <w:highlight w:val="none"/>
          <w:u w:val="single"/>
          <w:lang w:val="en-US" w:eastAsia="zh-CN"/>
          <w14:textFill>
            <w14:solidFill>
              <w14:schemeClr w14:val="tx1"/>
            </w14:solidFill>
          </w14:textFill>
        </w:rPr>
        <w:t>90</w:t>
      </w:r>
      <w:r>
        <w:rPr>
          <w:rFonts w:hint="eastAsia" w:ascii="仿宋_GB2312" w:hAnsi="仿宋" w:eastAsia="仿宋_GB2312" w:cs="Times New Roman"/>
          <w:color w:val="000000" w:themeColor="text1"/>
          <w:sz w:val="24"/>
          <w:highlight w:val="none"/>
          <w14:textFill>
            <w14:solidFill>
              <w14:schemeClr w14:val="tx1"/>
            </w14:solidFill>
          </w14:textFill>
        </w:rPr>
        <w:t>日历天</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spacing w:line="360" w:lineRule="auto"/>
        <w:ind w:firstLine="600" w:firstLineChars="25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2、质量要求：符合国家法律法规、技术标准与规范要求，通过采购人或上级主管部门组织的成果审查。</w:t>
      </w:r>
    </w:p>
    <w:p>
      <w:pPr>
        <w:spacing w:line="360" w:lineRule="auto"/>
        <w:ind w:firstLine="600" w:firstLineChars="250"/>
        <w:rPr>
          <w:rFonts w:hint="eastAsia" w:ascii="仿宋_GB2312" w:hAnsi="仿宋" w:eastAsia="仿宋_GB2312" w:cs="Times New Roman"/>
          <w:color w:val="000000" w:themeColor="text1"/>
          <w:sz w:val="24"/>
          <w:highlight w:val="none"/>
          <w:lang w:eastAsia="zh-CN"/>
          <w14:textFill>
            <w14:solidFill>
              <w14:schemeClr w14:val="tx1"/>
            </w14:solidFill>
          </w14:textFill>
        </w:rPr>
      </w:pPr>
      <w:r>
        <w:rPr>
          <w:rFonts w:hint="eastAsia" w:ascii="仿宋_GB2312" w:hAnsi="仿宋" w:eastAsia="仿宋_GB2312" w:cs="Times New Roman"/>
          <w:color w:val="000000" w:themeColor="text1"/>
          <w:sz w:val="24"/>
          <w:highlight w:val="none"/>
          <w14:textFill>
            <w14:solidFill>
              <w14:schemeClr w14:val="tx1"/>
            </w14:solidFill>
          </w14:textFill>
        </w:rPr>
        <w:t>3、服务地点：渭南市临渭区自然资源局指定地点</w:t>
      </w:r>
      <w:r>
        <w:rPr>
          <w:rFonts w:hint="eastAsia" w:ascii="仿宋_GB2312" w:hAnsi="仿宋" w:eastAsia="仿宋_GB2312" w:cs="Times New Roman"/>
          <w:color w:val="000000" w:themeColor="text1"/>
          <w:sz w:val="24"/>
          <w:highlight w:val="none"/>
          <w:lang w:eastAsia="zh-CN"/>
          <w14:textFill>
            <w14:solidFill>
              <w14:schemeClr w14:val="tx1"/>
            </w14:solidFill>
          </w14:textFill>
        </w:rPr>
        <w:t>。</w:t>
      </w:r>
    </w:p>
    <w:p>
      <w:pPr>
        <w:spacing w:line="360" w:lineRule="auto"/>
        <w:ind w:firstLine="600" w:firstLineChars="250"/>
        <w:rPr>
          <w:rFonts w:hint="eastAsia" w:ascii="仿宋_GB2312" w:hAnsi="仿宋" w:eastAsia="仿宋_GB2312" w:cs="Times New Roman"/>
          <w:color w:val="000000" w:themeColor="text1"/>
          <w:sz w:val="24"/>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4、付款方式：本项目无预付款，供应商提交的成果文件验收合格后，采购人一次性支付本项目全部服务费。乙方必须开具真实有效的增值税发票。</w:t>
      </w:r>
    </w:p>
    <w:p>
      <w:pPr>
        <w:spacing w:line="360" w:lineRule="auto"/>
        <w:ind w:firstLine="600" w:firstLineChars="250"/>
        <w:rPr>
          <w:rFonts w:hint="eastAsia" w:ascii="仿宋_GB2312" w:hAnsi="仿宋" w:eastAsia="仿宋_GB2312" w:cs="Times New Roman"/>
          <w:color w:val="000000" w:themeColor="text1"/>
          <w:sz w:val="24"/>
          <w:highlight w:val="none"/>
          <w14:textFill>
            <w14:solidFill>
              <w14:schemeClr w14:val="tx1"/>
            </w14:solidFill>
          </w14:textFill>
        </w:rPr>
      </w:pP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5</w:t>
      </w:r>
      <w:r>
        <w:rPr>
          <w:rFonts w:hint="eastAsia" w:ascii="仿宋_GB2312" w:hAnsi="仿宋" w:eastAsia="仿宋_GB2312" w:cs="Times New Roman"/>
          <w:color w:val="000000" w:themeColor="text1"/>
          <w:sz w:val="24"/>
          <w:highlight w:val="none"/>
          <w14:textFill>
            <w14:solidFill>
              <w14:schemeClr w14:val="tx1"/>
            </w14:solidFill>
          </w14:textFill>
        </w:rPr>
        <w:t>、保密要求：</w:t>
      </w:r>
      <w:r>
        <w:rPr>
          <w:rFonts w:hint="eastAsia" w:ascii="仿宋_GB2312" w:hAnsi="仿宋" w:eastAsia="仿宋_GB2312"/>
          <w:color w:val="000000" w:themeColor="text1"/>
          <w:sz w:val="24"/>
          <w:highlight w:val="none"/>
          <w:lang w:eastAsia="zh-CN"/>
          <w14:textFill>
            <w14:solidFill>
              <w14:schemeClr w14:val="tx1"/>
            </w14:solidFill>
          </w14:textFill>
        </w:rPr>
        <w:t>成交供应商</w:t>
      </w:r>
      <w:r>
        <w:rPr>
          <w:rFonts w:hint="eastAsia" w:ascii="仿宋_GB2312" w:hAnsi="仿宋" w:eastAsia="仿宋_GB2312"/>
          <w:color w:val="000000" w:themeColor="text1"/>
          <w:sz w:val="24"/>
          <w:highlight w:val="none"/>
          <w14:textFill>
            <w14:solidFill>
              <w14:schemeClr w14:val="tx1"/>
            </w14:solidFill>
          </w14:textFill>
        </w:rPr>
        <w:t>应遵守国家有关保密的法律法规和行业规定，并对</w:t>
      </w:r>
      <w:r>
        <w:rPr>
          <w:rFonts w:hint="eastAsia" w:ascii="仿宋_GB2312" w:hAnsi="仿宋" w:eastAsia="仿宋_GB2312"/>
          <w:color w:val="000000" w:themeColor="text1"/>
          <w:sz w:val="24"/>
          <w:highlight w:val="none"/>
          <w:lang w:eastAsia="zh-CN"/>
          <w14:textFill>
            <w14:solidFill>
              <w14:schemeClr w14:val="tx1"/>
            </w14:solidFill>
          </w14:textFill>
        </w:rPr>
        <w:t>采购人</w:t>
      </w:r>
      <w:r>
        <w:rPr>
          <w:rFonts w:hint="eastAsia" w:ascii="仿宋_GB2312" w:hAnsi="仿宋" w:eastAsia="仿宋_GB2312"/>
          <w:color w:val="000000" w:themeColor="text1"/>
          <w:sz w:val="24"/>
          <w:highlight w:val="none"/>
          <w14:textFill>
            <w14:solidFill>
              <w14:schemeClr w14:val="tx1"/>
            </w14:solidFill>
          </w14:textFill>
        </w:rPr>
        <w:t>提供的资料负有保密义务。</w:t>
      </w:r>
      <w:r>
        <w:rPr>
          <w:rFonts w:hint="eastAsia" w:ascii="仿宋_GB2312" w:hAnsi="仿宋" w:eastAsia="仿宋_GB2312" w:cs="Times New Roman"/>
          <w:color w:val="000000" w:themeColor="text1"/>
          <w:sz w:val="24"/>
          <w:highlight w:val="none"/>
          <w14:textFill>
            <w14:solidFill>
              <w14:schemeClr w14:val="tx1"/>
            </w14:solidFill>
          </w14:textFill>
        </w:rPr>
        <w:t>成交供应商在项目实施过程中，对采购人所提供的所以相关资料、数据，未经采购人书面同意不得向任何第三人泄露，且保密责任不因合同的终止或解除而失效。如果采购人提出要求，成交供应商须无条件与采购人签订保密协议。项目完成后，成交供应商须把采购人提供的所以资料、数据完整归还给采购人，并不得留存任何复制品。</w:t>
      </w:r>
    </w:p>
    <w:p>
      <w:pPr>
        <w:spacing w:line="360" w:lineRule="auto"/>
        <w:ind w:firstLine="480" w:firstLineChars="200"/>
        <w:rPr>
          <w:rStyle w:val="204"/>
          <w:rFonts w:hint="eastAsia" w:ascii="宋体" w:hAnsi="宋体" w:eastAsia="宋体"/>
          <w:color w:val="000000" w:themeColor="text1"/>
          <w:sz w:val="36"/>
          <w:szCs w:val="36"/>
          <w:highlight w:val="none"/>
          <w14:textFill>
            <w14:solidFill>
              <w14:schemeClr w14:val="tx1"/>
            </w14:solidFill>
          </w14:textFill>
        </w:rPr>
      </w:pPr>
      <w:r>
        <w:rPr>
          <w:rFonts w:hint="eastAsia" w:ascii="仿宋_GB2312" w:hAnsi="仿宋" w:eastAsia="仿宋_GB2312" w:cs="Times New Roman"/>
          <w:color w:val="000000" w:themeColor="text1"/>
          <w:sz w:val="24"/>
          <w:highlight w:val="none"/>
          <w:lang w:val="en-US" w:eastAsia="zh-CN"/>
          <w14:textFill>
            <w14:solidFill>
              <w14:schemeClr w14:val="tx1"/>
            </w14:solidFill>
          </w14:textFill>
        </w:rPr>
        <w:t>6、验收：国土空间生态修复规划成果与相关规划进行协调衔接，采取多种方式广泛征求公众意见，组织对规划成果进行论证，召开规划听证会，综合各方面意见后修改规划方案、完善规划成果。规划成果符合《陕西省县级国土空间生态修复规划编制指南(试行)》等相关规范、规程要求。</w:t>
      </w:r>
      <w:r>
        <w:rPr>
          <w:rStyle w:val="204"/>
          <w:rFonts w:hint="eastAsia" w:ascii="宋体" w:hAnsi="宋体" w:eastAsia="宋体"/>
          <w:color w:val="000000" w:themeColor="text1"/>
          <w:sz w:val="36"/>
          <w:szCs w:val="36"/>
          <w:highlight w:val="none"/>
          <w14:textFill>
            <w14:solidFill>
              <w14:schemeClr w14:val="tx1"/>
            </w14:solidFill>
          </w14:textFill>
        </w:rPr>
        <w:br w:type="page"/>
      </w:r>
    </w:p>
    <w:p>
      <w:pPr>
        <w:pStyle w:val="47"/>
        <w:spacing w:line="360" w:lineRule="auto"/>
        <w:rPr>
          <w:rFonts w:asciiTheme="minorEastAsia" w:hAnsiTheme="minorEastAsia" w:eastAsiaTheme="minorEastAsia"/>
          <w:color w:val="000000" w:themeColor="text1"/>
          <w:highlight w:val="none"/>
          <w14:textFill>
            <w14:solidFill>
              <w14:schemeClr w14:val="tx1"/>
            </w14:solidFill>
          </w14:textFill>
        </w:rPr>
      </w:pPr>
      <w:r>
        <w:rPr>
          <w:rStyle w:val="204"/>
          <w:rFonts w:hint="eastAsia" w:ascii="宋体" w:hAnsi="宋体" w:eastAsia="宋体"/>
          <w:color w:val="000000" w:themeColor="text1"/>
          <w:sz w:val="36"/>
          <w:szCs w:val="36"/>
          <w:highlight w:val="none"/>
          <w14:textFill>
            <w14:solidFill>
              <w14:schemeClr w14:val="tx1"/>
            </w14:solidFill>
          </w14:textFill>
        </w:rPr>
        <w:t>第六章  磋商响应文件格式</w:t>
      </w:r>
      <w:bookmarkEnd w:id="450"/>
      <w:bookmarkEnd w:id="451"/>
      <w:bookmarkEnd w:id="452"/>
      <w:bookmarkEnd w:id="453"/>
      <w:bookmarkEnd w:id="454"/>
      <w:bookmarkEnd w:id="455"/>
      <w:r>
        <w:rPr>
          <w:rFonts w:hint="eastAsia" w:asciiTheme="minorEastAsia" w:hAnsiTheme="minorEastAsia" w:eastAsiaTheme="minorEastAsia"/>
          <w:color w:val="000000" w:themeColor="text1"/>
          <w:highlight w:val="none"/>
          <w14:textFill>
            <w14:solidFill>
              <w14:schemeClr w14:val="tx1"/>
            </w14:solidFill>
          </w14:textFill>
        </w:rPr>
        <w:br w:type="page"/>
      </w:r>
      <w:r>
        <w:rPr>
          <w:rFonts w:hint="eastAsia" w:asciiTheme="minorEastAsia" w:hAnsiTheme="minorEastAsia" w:eastAsiaTheme="minorEastAsia"/>
          <w:color w:val="000000" w:themeColor="text1"/>
          <w:highlight w:val="none"/>
          <w14:textFill>
            <w14:solidFill>
              <w14:schemeClr w14:val="tx1"/>
            </w14:solidFill>
          </w14:textFill>
        </w:rPr>
        <w:t xml:space="preserve"> </w:t>
      </w:r>
    </w:p>
    <w:p>
      <w:pPr>
        <w:pStyle w:val="159"/>
        <w:ind w:firstLine="6586" w:firstLineChars="2050"/>
        <w:rPr>
          <w:bCs/>
          <w:color w:val="000000" w:themeColor="text1"/>
          <w:highlight w:val="none"/>
          <w:lang w:val="zh-CN"/>
          <w14:textFill>
            <w14:solidFill>
              <w14:schemeClr w14:val="tx1"/>
            </w14:solidFill>
          </w14:textFill>
        </w:rPr>
      </w:pPr>
      <w:bookmarkStart w:id="456" w:name="_Toc62196433"/>
      <w:r>
        <w:rPr>
          <w:rFonts w:hint="eastAsia"/>
          <w:color w:val="000000" w:themeColor="text1"/>
          <w:highlight w:val="none"/>
          <w:lang w:val="zh-CN"/>
          <w14:textFill>
            <w14:solidFill>
              <w14:schemeClr w14:val="tx1"/>
            </w14:solidFill>
          </w14:textFill>
        </w:rPr>
        <w:t>正本/副本</w:t>
      </w:r>
      <w:bookmarkEnd w:id="456"/>
    </w:p>
    <w:p>
      <w:pPr>
        <w:autoSpaceDE w:val="0"/>
        <w:autoSpaceDN w:val="0"/>
        <w:adjustRightInd w:val="0"/>
        <w:snapToGrid w:val="0"/>
        <w:spacing w:line="360" w:lineRule="auto"/>
        <w:jc w:val="left"/>
        <w:rPr>
          <w:rFonts w:ascii="仿宋_GB2312" w:hAnsi="仿宋_GB2312" w:eastAsia="仿宋_GB2312" w:cs="仿宋_GB2312"/>
          <w:b/>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政府采购项目</w:t>
      </w:r>
    </w:p>
    <w:p>
      <w:pPr>
        <w:autoSpaceDE w:val="0"/>
        <w:autoSpaceDN w:val="0"/>
        <w:adjustRightInd w:val="0"/>
        <w:snapToGrid w:val="0"/>
        <w:spacing w:line="360" w:lineRule="auto"/>
        <w:jc w:val="left"/>
        <w:rPr>
          <w:rFonts w:ascii="仿宋_GB2312" w:hAnsi="仿宋_GB2312" w:eastAsia="仿宋_GB2312" w:cs="仿宋_GB2312"/>
          <w:b/>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采购项目编号：</w:t>
      </w:r>
      <w:r>
        <w:rPr>
          <w:rFonts w:hint="eastAsia" w:ascii="仿宋_GB2312" w:hAnsi="仿宋_GB2312" w:eastAsia="仿宋_GB2312" w:cs="仿宋_GB2312"/>
          <w:b/>
          <w:bCs/>
          <w:color w:val="000000" w:themeColor="text1"/>
          <w:sz w:val="30"/>
          <w:szCs w:val="30"/>
          <w:highlight w:val="none"/>
          <w:lang w:val="zh-CN"/>
          <w14:textFill>
            <w14:solidFill>
              <w14:schemeClr w14:val="tx1"/>
            </w14:solidFill>
          </w14:textFill>
        </w:rPr>
        <w:t>SCZF2022-CS-2083/001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19"/>
          <w:szCs w:val="19"/>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19"/>
          <w:szCs w:val="19"/>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19"/>
          <w:szCs w:val="19"/>
          <w:highlight w:val="none"/>
          <w14:textFill>
            <w14:solidFill>
              <w14:schemeClr w14:val="tx1"/>
            </w14:solidFill>
          </w14:textFill>
        </w:rPr>
      </w:pPr>
    </w:p>
    <w:p>
      <w:pPr>
        <w:autoSpaceDE w:val="0"/>
        <w:autoSpaceDN w:val="0"/>
        <w:adjustRightInd w:val="0"/>
        <w:snapToGrid w:val="0"/>
        <w:spacing w:line="360" w:lineRule="auto"/>
        <w:jc w:val="center"/>
        <w:rPr>
          <w:rFonts w:hint="eastAsia" w:ascii="仿宋_GB2312" w:hAnsi="仿宋_GB2312" w:eastAsia="仿宋_GB2312" w:cs="仿宋_GB2312"/>
          <w:b/>
          <w:bCs/>
          <w:color w:val="000000" w:themeColor="text1"/>
          <w:sz w:val="44"/>
          <w:szCs w:val="4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44"/>
          <w:szCs w:val="44"/>
          <w:highlight w:val="none"/>
          <w:lang w:eastAsia="zh-CN"/>
          <w14:textFill>
            <w14:solidFill>
              <w14:schemeClr w14:val="tx1"/>
            </w14:solidFill>
          </w14:textFill>
        </w:rPr>
        <w:t>临渭区国土空间生态修复规划（2021-2035年）</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000000" w:themeColor="text1"/>
          <w:sz w:val="36"/>
          <w:szCs w:val="36"/>
          <w:highlight w:val="none"/>
          <w:lang w:val="zh-CN"/>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000000" w:themeColor="text1"/>
          <w:sz w:val="52"/>
          <w:szCs w:val="5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52"/>
          <w:szCs w:val="52"/>
          <w:highlight w:val="none"/>
          <w:lang w:val="zh-CN"/>
          <w14:textFill>
            <w14:solidFill>
              <w14:schemeClr w14:val="tx1"/>
            </w14:solidFill>
          </w14:textFill>
        </w:rPr>
        <w:t>磋商响应文件</w:t>
      </w:r>
    </w:p>
    <w:p>
      <w:pPr>
        <w:pStyle w:val="196"/>
        <w:ind w:firstLine="3012" w:firstLineChars="1250"/>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zh-CN"/>
          <w14:textFill>
            <w14:solidFill>
              <w14:schemeClr w14:val="tx1"/>
            </w14:solidFill>
          </w14:textFill>
        </w:rPr>
        <w:t xml:space="preserve"> </w:t>
      </w:r>
      <w:r>
        <w:rPr>
          <w:rFonts w:hint="eastAsia" w:ascii="仿宋_GB2312" w:hAnsi="仿宋_GB2312" w:eastAsia="仿宋_GB2312" w:cs="仿宋_GB2312"/>
          <w:b/>
          <w:color w:val="000000" w:themeColor="text1"/>
          <w:sz w:val="30"/>
          <w:szCs w:val="30"/>
          <w:highlight w:val="none"/>
          <w14:textFill>
            <w14:solidFill>
              <w14:schemeClr w14:val="tx1"/>
            </w14:solidFill>
          </w14:textFill>
        </w:rPr>
        <w:t>（</w:t>
      </w:r>
      <w:r>
        <w:rPr>
          <w:rFonts w:hint="eastAsia"/>
          <w:b/>
          <w:color w:val="000000" w:themeColor="text1"/>
          <w:sz w:val="30"/>
          <w:szCs w:val="30"/>
          <w:highlight w:val="none"/>
          <w14:textFill>
            <w14:solidFill>
              <w14:schemeClr w14:val="tx1"/>
            </w14:solidFill>
          </w14:textFill>
        </w:rPr>
        <w:t>资格证明文件</w:t>
      </w:r>
      <w:r>
        <w:rPr>
          <w:rFonts w:hint="eastAsia" w:ascii="仿宋_GB2312" w:hAnsi="仿宋_GB2312" w:eastAsia="仿宋_GB2312" w:cs="仿宋_GB2312"/>
          <w:b/>
          <w:color w:val="000000" w:themeColor="text1"/>
          <w:sz w:val="30"/>
          <w:szCs w:val="30"/>
          <w:highlight w:val="none"/>
          <w14:textFill>
            <w14:solidFill>
              <w14:schemeClr w14:val="tx1"/>
            </w14:solidFill>
          </w14:textFill>
        </w:rPr>
        <w:t>）</w:t>
      </w: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utoSpaceDE w:val="0"/>
        <w:autoSpaceDN w:val="0"/>
        <w:adjustRightInd w:val="0"/>
        <w:snapToGrid w:val="0"/>
        <w:spacing w:line="360" w:lineRule="auto"/>
        <w:rPr>
          <w:rFonts w:ascii="仿宋_GB2312" w:hAnsi="仿宋_GB2312" w:eastAsia="仿宋_GB2312" w:cs="仿宋_GB2312"/>
          <w:b/>
          <w:bCs/>
          <w:color w:val="000000" w:themeColor="text1"/>
          <w:sz w:val="32"/>
          <w:szCs w:val="32"/>
          <w:highlight w:val="none"/>
          <w:lang w:val="zh-CN"/>
          <w14:textFill>
            <w14:solidFill>
              <w14:schemeClr w14:val="tx1"/>
            </w14:solidFill>
          </w14:textFill>
        </w:rPr>
      </w:pPr>
    </w:p>
    <w:p>
      <w:pPr>
        <w:autoSpaceDE w:val="0"/>
        <w:autoSpaceDN w:val="0"/>
        <w:adjustRightInd w:val="0"/>
        <w:snapToGrid w:val="0"/>
        <w:spacing w:line="360" w:lineRule="auto"/>
        <w:rPr>
          <w:rFonts w:ascii="仿宋_GB2312" w:hAnsi="仿宋_GB2312" w:eastAsia="仿宋_GB2312" w:cs="仿宋_GB2312"/>
          <w:b/>
          <w:bCs/>
          <w:color w:val="000000" w:themeColor="text1"/>
          <w:sz w:val="32"/>
          <w:szCs w:val="32"/>
          <w:highlight w:val="none"/>
          <w:lang w:val="zh-CN"/>
          <w14:textFill>
            <w14:solidFill>
              <w14:schemeClr w14:val="tx1"/>
            </w14:solidFill>
          </w14:textFill>
        </w:rPr>
      </w:pPr>
    </w:p>
    <w:p>
      <w:pPr>
        <w:autoSpaceDE w:val="0"/>
        <w:autoSpaceDN w:val="0"/>
        <w:adjustRightInd w:val="0"/>
        <w:snapToGrid w:val="0"/>
        <w:spacing w:line="360" w:lineRule="auto"/>
        <w:rPr>
          <w:rFonts w:ascii="仿宋_GB2312" w:hAnsi="仿宋_GB2312" w:eastAsia="仿宋_GB2312" w:cs="仿宋_GB2312"/>
          <w:color w:val="000000" w:themeColor="text1"/>
          <w:sz w:val="30"/>
          <w:szCs w:val="30"/>
          <w:highlight w:val="none"/>
          <w14:textFill>
            <w14:solidFill>
              <w14:schemeClr w14:val="tx1"/>
            </w14:solidFill>
          </w14:textFill>
        </w:rPr>
      </w:pPr>
    </w:p>
    <w:p>
      <w:pPr>
        <w:autoSpaceDE w:val="0"/>
        <w:autoSpaceDN w:val="0"/>
        <w:adjustRightInd w:val="0"/>
        <w:snapToGrid w:val="0"/>
        <w:spacing w:line="360" w:lineRule="auto"/>
        <w:rPr>
          <w:rFonts w:ascii="仿宋_GB2312" w:hAnsi="仿宋_GB2312" w:eastAsia="仿宋_GB2312" w:cs="仿宋_GB2312"/>
          <w:b/>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供应商：</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p>
    <w:p>
      <w:pPr>
        <w:autoSpaceDE w:val="0"/>
        <w:autoSpaceDN w:val="0"/>
        <w:adjustRightInd w:val="0"/>
        <w:snapToGrid w:val="0"/>
        <w:spacing w:line="360" w:lineRule="auto"/>
        <w:rPr>
          <w:rFonts w:ascii="仿宋_GB2312" w:hAnsi="仿宋_GB2312" w:eastAsia="仿宋_GB2312" w:cs="仿宋_GB2312"/>
          <w:b/>
          <w:bCs/>
          <w:color w:val="000000" w:themeColor="text1"/>
          <w:sz w:val="32"/>
          <w:szCs w:val="32"/>
          <w:highlight w:val="none"/>
          <w14:textFill>
            <w14:solidFill>
              <w14:schemeClr w14:val="tx1"/>
            </w14:solidFill>
          </w14:textFill>
        </w:rPr>
      </w:pPr>
    </w:p>
    <w:p>
      <w:pPr>
        <w:autoSpaceDE w:val="0"/>
        <w:autoSpaceDN w:val="0"/>
        <w:adjustRightInd w:val="0"/>
        <w:snapToGrid w:val="0"/>
        <w:spacing w:line="360" w:lineRule="auto"/>
        <w:ind w:firstLine="1124" w:firstLineChars="350"/>
        <w:rPr>
          <w:rFonts w:ascii="仿宋_GB2312" w:hAnsi="仿宋_GB2312" w:eastAsia="仿宋_GB2312" w:cs="仿宋_GB2312"/>
          <w:b/>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时</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间：</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96"/>
        <w:ind w:firstLine="2249" w:firstLineChars="70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第一部分  身份证明文件</w:t>
      </w:r>
    </w:p>
    <w:p>
      <w:pPr>
        <w:spacing w:after="120"/>
        <w:rPr>
          <w:rFonts w:ascii="仿宋_GB2312" w:hAnsi="仿宋_GB2312" w:eastAsia="仿宋_GB2312" w:cs="仿宋_GB2312"/>
          <w:color w:val="000000" w:themeColor="text1"/>
          <w:highlight w:val="none"/>
          <w14:textFill>
            <w14:solidFill>
              <w14:schemeClr w14:val="tx1"/>
            </w14:solidFill>
          </w14:textFill>
        </w:rPr>
      </w:pPr>
    </w:p>
    <w:p>
      <w:pPr>
        <w:widowControl/>
        <w:jc w:val="center"/>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zh-CN"/>
          <w14:textFill>
            <w14:solidFill>
              <w14:schemeClr w14:val="tx1"/>
            </w14:solidFill>
          </w14:textFill>
        </w:rPr>
        <w:t>1、法定代表人</w:t>
      </w:r>
      <w:r>
        <w:rPr>
          <w:rFonts w:hint="eastAsia" w:ascii="仿宋_GB2312" w:hAnsi="仿宋_GB2312" w:eastAsia="仿宋_GB2312" w:cs="仿宋_GB2312"/>
          <w:b/>
          <w:bCs/>
          <w:i w:val="0"/>
          <w:iCs/>
          <w:color w:val="000000" w:themeColor="text1"/>
          <w:sz w:val="28"/>
          <w:szCs w:val="28"/>
          <w:highlight w:val="none"/>
          <w:lang w:val="zh-CN"/>
          <w14:textFill>
            <w14:solidFill>
              <w14:schemeClr w14:val="tx1"/>
            </w14:solidFill>
          </w14:textFill>
        </w:rPr>
        <w:t>（或单位负责人）</w:t>
      </w:r>
      <w:r>
        <w:rPr>
          <w:rFonts w:hint="eastAsia" w:ascii="仿宋_GB2312" w:hAnsi="仿宋_GB2312" w:eastAsia="仿宋_GB2312" w:cs="仿宋_GB2312"/>
          <w:b/>
          <w:bCs/>
          <w:color w:val="000000" w:themeColor="text1"/>
          <w:sz w:val="28"/>
          <w:szCs w:val="28"/>
          <w:highlight w:val="none"/>
          <w:lang w:val="zh-CN"/>
          <w14:textFill>
            <w14:solidFill>
              <w14:schemeClr w14:val="tx1"/>
            </w14:solidFill>
          </w14:textFill>
        </w:rPr>
        <w:t>授权书</w:t>
      </w:r>
    </w:p>
    <w:p>
      <w:pPr>
        <w:autoSpaceDE w:val="0"/>
        <w:autoSpaceDN w:val="0"/>
        <w:adjustRightInd w:val="0"/>
        <w:spacing w:line="348" w:lineRule="auto"/>
        <w:ind w:firstLine="400"/>
        <w:rPr>
          <w:rFonts w:ascii="仿宋_GB2312" w:hAnsi="仿宋_GB2312" w:eastAsia="仿宋_GB2312" w:cs="仿宋_GB2312"/>
          <w:b/>
          <w:bCs/>
          <w:color w:val="000000" w:themeColor="text1"/>
          <w:sz w:val="20"/>
          <w:highlight w:val="none"/>
          <w14:textFill>
            <w14:solidFill>
              <w14:schemeClr w14:val="tx1"/>
            </w14:solidFill>
          </w14:textFill>
        </w:rPr>
      </w:pPr>
    </w:p>
    <w:p>
      <w:pPr>
        <w:autoSpaceDE w:val="0"/>
        <w:autoSpaceDN w:val="0"/>
        <w:adjustRightInd w:val="0"/>
        <w:spacing w:line="348"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陕西省采购招标有限责任公司：</w:t>
      </w:r>
    </w:p>
    <w:p>
      <w:pPr>
        <w:autoSpaceDE w:val="0"/>
        <w:autoSpaceDN w:val="0"/>
        <w:adjustRightInd w:val="0"/>
        <w:spacing w:line="348" w:lineRule="auto"/>
        <w:ind w:firstLine="64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注册于</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（工商行政管理局名称）</w:t>
      </w:r>
      <w:r>
        <w:rPr>
          <w:rFonts w:hint="eastAsia" w:ascii="仿宋_GB2312" w:hAnsi="仿宋_GB2312" w:eastAsia="仿宋_GB2312" w:cs="仿宋_GB2312"/>
          <w:color w:val="000000" w:themeColor="text1"/>
          <w:sz w:val="24"/>
          <w:highlight w:val="none"/>
          <w:lang w:val="zh-CN"/>
          <w14:textFill>
            <w14:solidFill>
              <w14:schemeClr w14:val="tx1"/>
            </w14:solidFill>
          </w14:textFill>
        </w:rPr>
        <w:t>之</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（供应商全称）</w:t>
      </w:r>
      <w:r>
        <w:rPr>
          <w:rFonts w:hint="eastAsia" w:ascii="仿宋_GB2312" w:hAnsi="仿宋_GB2312" w:eastAsia="仿宋_GB2312" w:cs="仿宋_GB2312"/>
          <w:color w:val="000000" w:themeColor="text1"/>
          <w:sz w:val="24"/>
          <w:highlight w:val="none"/>
          <w:lang w:val="zh-CN"/>
          <w14:textFill>
            <w14:solidFill>
              <w14:schemeClr w14:val="tx1"/>
            </w14:solidFill>
          </w14:textFill>
        </w:rPr>
        <w:t>法人代表</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（姓名、职务）</w:t>
      </w:r>
      <w:r>
        <w:rPr>
          <w:rFonts w:hint="eastAsia" w:ascii="仿宋_GB2312" w:hAnsi="仿宋_GB2312" w:eastAsia="仿宋_GB2312" w:cs="仿宋_GB2312"/>
          <w:color w:val="000000" w:themeColor="text1"/>
          <w:sz w:val="24"/>
          <w:highlight w:val="none"/>
          <w:lang w:val="zh-CN"/>
          <w14:textFill>
            <w14:solidFill>
              <w14:schemeClr w14:val="tx1"/>
            </w14:solidFill>
          </w14:textFill>
        </w:rPr>
        <w:t>授权</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（被授权人姓名、职务）</w:t>
      </w:r>
      <w:r>
        <w:rPr>
          <w:rFonts w:hint="eastAsia" w:ascii="仿宋_GB2312" w:hAnsi="仿宋_GB2312" w:eastAsia="仿宋_GB2312" w:cs="仿宋_GB2312"/>
          <w:color w:val="000000" w:themeColor="text1"/>
          <w:sz w:val="24"/>
          <w:highlight w:val="none"/>
          <w:lang w:val="zh-CN"/>
          <w14:textFill>
            <w14:solidFill>
              <w14:schemeClr w14:val="tx1"/>
            </w14:solidFill>
          </w14:textFill>
        </w:rPr>
        <w:t>为本公司的合法代理人，就</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（项目名称）</w:t>
      </w:r>
      <w:r>
        <w:rPr>
          <w:rFonts w:hint="eastAsia" w:ascii="仿宋_GB2312" w:hAnsi="仿宋_GB2312" w:eastAsia="仿宋_GB2312" w:cs="仿宋_GB2312"/>
          <w:color w:val="000000" w:themeColor="text1"/>
          <w:sz w:val="24"/>
          <w:highlight w:val="none"/>
          <w:lang w:val="zh-CN"/>
          <w14:textFill>
            <w14:solidFill>
              <w14:schemeClr w14:val="tx1"/>
            </w14:solidFill>
          </w14:textFill>
        </w:rPr>
        <w:t>的磋商及合同的执行和完成，以本公司的名义处理一切与之有关的事宜。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本授权自</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日起生效。（</w:t>
      </w:r>
      <w:r>
        <w:rPr>
          <w:rFonts w:hint="eastAsia" w:ascii="仿宋_GB2312" w:hAnsi="仿宋_GB2312" w:eastAsia="仿宋_GB2312" w:cs="仿宋_GB2312"/>
          <w:b/>
          <w:color w:val="000000" w:themeColor="text1"/>
          <w:sz w:val="24"/>
          <w:highlight w:val="none"/>
          <w:lang w:val="zh-CN"/>
          <w14:textFill>
            <w14:solidFill>
              <w14:schemeClr w14:val="tx1"/>
            </w14:solidFill>
          </w14:textFill>
        </w:rPr>
        <w:t>提示：此日期不应晚于磋商响应函签署日期</w:t>
      </w:r>
      <w:r>
        <w:rPr>
          <w:rFonts w:hint="eastAsia" w:ascii="仿宋_GB2312" w:hAnsi="仿宋_GB2312" w:eastAsia="仿宋_GB2312" w:cs="仿宋_GB2312"/>
          <w:color w:val="000000" w:themeColor="text1"/>
          <w:sz w:val="24"/>
          <w:highlight w:val="none"/>
          <w:lang w:val="zh-CN"/>
          <w14:textFill>
            <w14:solidFill>
              <w14:schemeClr w14:val="tx1"/>
            </w14:solidFill>
          </w14:textFill>
        </w:rPr>
        <w:t>）</w:t>
      </w:r>
    </w:p>
    <w:p>
      <w:pPr>
        <w:autoSpaceDE w:val="0"/>
        <w:autoSpaceDN w:val="0"/>
        <w:adjustRightInd w:val="0"/>
        <w:spacing w:line="348" w:lineRule="auto"/>
        <w:rPr>
          <w:rFonts w:ascii="仿宋_GB2312" w:hAnsi="仿宋_GB2312" w:eastAsia="仿宋_GB2312" w:cs="仿宋_GB2312"/>
          <w:color w:val="000000" w:themeColor="text1"/>
          <w:sz w:val="24"/>
          <w:highlight w:val="none"/>
          <w14:textFill>
            <w14:solidFill>
              <w14:schemeClr w14:val="tx1"/>
            </w14:solidFill>
          </w14:textFill>
        </w:rPr>
      </w:pPr>
    </w:p>
    <w:p>
      <w:pPr>
        <w:autoSpaceDE w:val="0"/>
        <w:autoSpaceDN w:val="0"/>
        <w:adjustRightInd w:val="0"/>
        <w:spacing w:line="348" w:lineRule="auto"/>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附：被授权人姓名：</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性别：</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年龄：</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autoSpaceDE w:val="0"/>
        <w:autoSpaceDN w:val="0"/>
        <w:adjustRightInd w:val="0"/>
        <w:spacing w:line="348" w:lineRule="auto"/>
        <w:ind w:firstLine="63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职</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务：</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 xml:space="preserve">身份证号码：             </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autoSpaceDE w:val="0"/>
        <w:autoSpaceDN w:val="0"/>
        <w:adjustRightInd w:val="0"/>
        <w:spacing w:line="348" w:lineRule="auto"/>
        <w:ind w:firstLine="63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通讯地址：</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autoSpaceDE w:val="0"/>
        <w:autoSpaceDN w:val="0"/>
        <w:adjustRightInd w:val="0"/>
        <w:spacing w:line="348" w:lineRule="auto"/>
        <w:ind w:firstLine="63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邮政编码：</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autoSpaceDE w:val="0"/>
        <w:autoSpaceDN w:val="0"/>
        <w:adjustRightInd w:val="0"/>
        <w:spacing w:line="348" w:lineRule="auto"/>
        <w:ind w:firstLine="63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电</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话：</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传真：</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autoSpaceDE w:val="0"/>
        <w:autoSpaceDN w:val="0"/>
        <w:adjustRightInd w:val="0"/>
        <w:spacing w:line="348" w:lineRule="auto"/>
        <w:rPr>
          <w:rFonts w:ascii="仿宋_GB2312" w:hAnsi="仿宋_GB2312" w:eastAsia="仿宋_GB2312" w:cs="仿宋_GB2312"/>
          <w:color w:val="000000" w:themeColor="text1"/>
          <w:sz w:val="24"/>
          <w:highlight w:val="none"/>
          <w14:textFill>
            <w14:solidFill>
              <w14:schemeClr w14:val="tx1"/>
            </w14:solidFill>
          </w14:textFill>
        </w:rPr>
      </w:pPr>
    </w:p>
    <w:p>
      <w:pPr>
        <w:autoSpaceDE w:val="0"/>
        <w:autoSpaceDN w:val="0"/>
        <w:adjustRightInd w:val="0"/>
        <w:spacing w:line="348"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法定代表人</w:t>
      </w:r>
      <w:r>
        <w:rPr>
          <w:rFonts w:hint="eastAsia" w:ascii="仿宋_GB2312" w:hAnsi="仿宋_GB2312" w:eastAsia="仿宋_GB2312" w:cs="仿宋_GB2312"/>
          <w:color w:val="000000" w:themeColor="text1"/>
          <w:sz w:val="24"/>
          <w:highlight w:val="none"/>
          <w14:textFill>
            <w14:solidFill>
              <w14:schemeClr w14:val="tx1"/>
            </w14:solidFill>
          </w14:textFill>
        </w:rPr>
        <w:t>及</w:t>
      </w:r>
      <w:r>
        <w:rPr>
          <w:rFonts w:hint="eastAsia" w:ascii="仿宋_GB2312" w:hAnsi="仿宋_GB2312" w:eastAsia="仿宋_GB2312" w:cs="仿宋_GB2312"/>
          <w:color w:val="000000" w:themeColor="text1"/>
          <w:sz w:val="24"/>
          <w:highlight w:val="none"/>
          <w:lang w:val="zh-CN"/>
          <w14:textFill>
            <w14:solidFill>
              <w14:schemeClr w14:val="tx1"/>
            </w14:solidFill>
          </w14:textFill>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法定代表人身份证复印件</w:t>
            </w:r>
          </w:p>
          <w:p>
            <w:pPr>
              <w:autoSpaceDE w:val="0"/>
              <w:autoSpaceDN w:val="0"/>
              <w:adjustRightInd w:val="0"/>
              <w:spacing w:line="348" w:lineRule="auto"/>
              <w:jc w:val="center"/>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授权代表身份证复印件</w:t>
            </w:r>
          </w:p>
          <w:p>
            <w:pPr>
              <w:autoSpaceDE w:val="0"/>
              <w:autoSpaceDN w:val="0"/>
              <w:adjustRightInd w:val="0"/>
              <w:spacing w:line="348" w:lineRule="auto"/>
              <w:jc w:val="center"/>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（正反面）</w:t>
            </w:r>
          </w:p>
        </w:tc>
      </w:tr>
    </w:tbl>
    <w:p>
      <w:pPr>
        <w:adjustRightInd w:val="0"/>
        <w:snapToGrid w:val="0"/>
        <w:spacing w:line="360" w:lineRule="auto"/>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pPr>
        <w:adjustRightInd w:val="0"/>
        <w:snapToGrid w:val="0"/>
        <w:spacing w:line="360" w:lineRule="auto"/>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p>
    <w:p>
      <w:pPr>
        <w:adjustRightInd w:val="0"/>
        <w:snapToGrid w:val="0"/>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供应商 （</w:t>
      </w:r>
      <w:r>
        <w:rPr>
          <w:rFonts w:hint="eastAsia" w:eastAsia="仿宋_GB2312"/>
          <w:color w:val="000000" w:themeColor="text1"/>
          <w:sz w:val="24"/>
          <w:lang w:val="en-US" w:eastAsia="zh-CN"/>
          <w14:textFill>
            <w14:solidFill>
              <w14:schemeClr w14:val="tx1"/>
            </w14:solidFill>
          </w14:textFill>
        </w:rPr>
        <w:t>盖</w:t>
      </w:r>
      <w:r>
        <w:rPr>
          <w:rFonts w:eastAsia="仿宋_GB2312"/>
          <w:color w:val="000000" w:themeColor="text1"/>
          <w:sz w:val="24"/>
          <w14:textFill>
            <w14:solidFill>
              <w14:schemeClr w14:val="tx1"/>
            </w14:solidFill>
          </w14:textFill>
        </w:rPr>
        <w:t xml:space="preserve">公章）：               </w:t>
      </w:r>
    </w:p>
    <w:p>
      <w:pPr>
        <w:adjustRightInd w:val="0"/>
        <w:snapToGrid w:val="0"/>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法定代表人</w:t>
      </w:r>
      <w:r>
        <w:rPr>
          <w:rFonts w:hint="eastAsia" w:eastAsia="仿宋_GB2312"/>
          <w:color w:val="000000" w:themeColor="text1"/>
          <w:sz w:val="24"/>
          <w14:textFill>
            <w14:solidFill>
              <w14:schemeClr w14:val="tx1"/>
            </w14:solidFill>
          </w14:textFill>
        </w:rPr>
        <w:t>（或单位负责人）</w:t>
      </w:r>
      <w:r>
        <w:rPr>
          <w:rFonts w:eastAsia="仿宋_GB2312"/>
          <w:color w:val="000000" w:themeColor="text1"/>
          <w:sz w:val="24"/>
          <w14:textFill>
            <w14:solidFill>
              <w14:schemeClr w14:val="tx1"/>
            </w14:solidFill>
          </w14:textFill>
        </w:rPr>
        <w:t>（签字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p>
    <w:p>
      <w:pPr>
        <w:adjustRightInd w:val="0"/>
        <w:snapToGrid w:val="0"/>
        <w:spacing w:line="360"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注：自然人</w:t>
      </w:r>
      <w:r>
        <w:rPr>
          <w:rFonts w:hint="eastAsia" w:eastAsia="仿宋_GB2312"/>
          <w:color w:val="000000" w:themeColor="text1"/>
          <w:sz w:val="24"/>
          <w:lang w:eastAsia="zh-CN"/>
          <w14:textFill>
            <w14:solidFill>
              <w14:schemeClr w14:val="tx1"/>
            </w14:solidFill>
          </w14:textFill>
        </w:rPr>
        <w:t>参加磋商</w:t>
      </w:r>
      <w:r>
        <w:rPr>
          <w:rFonts w:eastAsia="仿宋_GB2312"/>
          <w:color w:val="000000" w:themeColor="text1"/>
          <w:sz w:val="24"/>
          <w14:textFill>
            <w14:solidFill>
              <w14:schemeClr w14:val="tx1"/>
            </w14:solidFill>
          </w14:textFill>
        </w:rPr>
        <w:t>的或法定代表人投标的无需提供</w:t>
      </w:r>
    </w:p>
    <w:p>
      <w:pPr>
        <w:adjustRightInd w:val="0"/>
        <w:snapToGrid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p>
      <w:pPr>
        <w:spacing w:after="12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br w:type="page"/>
      </w:r>
    </w:p>
    <w:p>
      <w:pPr>
        <w:autoSpaceDE w:val="0"/>
        <w:autoSpaceDN w:val="0"/>
        <w:adjustRightInd w:val="0"/>
        <w:jc w:val="center"/>
        <w:rPr>
          <w:rFonts w:ascii="仿宋_GB2312" w:hAnsi="仿宋_GB2312" w:eastAsia="仿宋_GB2312" w:cs="仿宋_GB2312"/>
          <w:b/>
          <w:color w:val="000000" w:themeColor="text1"/>
          <w:kern w:val="0"/>
          <w:sz w:val="28"/>
          <w:szCs w:val="28"/>
          <w:highlight w:val="none"/>
          <w14:textFill>
            <w14:solidFill>
              <w14:schemeClr w14:val="tx1"/>
            </w14:solidFill>
          </w14:textFill>
        </w:rPr>
      </w:pPr>
    </w:p>
    <w:p>
      <w:pPr>
        <w:autoSpaceDE w:val="0"/>
        <w:autoSpaceDN w:val="0"/>
        <w:adjustRightInd w:val="0"/>
        <w:jc w:val="center"/>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2、法定代表人</w:t>
      </w:r>
      <w:r>
        <w:rPr>
          <w:rFonts w:hint="eastAsia" w:ascii="仿宋_GB2312" w:hAnsi="仿宋_GB2312" w:eastAsia="仿宋_GB2312" w:cs="仿宋_GB2312"/>
          <w:b/>
          <w:bCs/>
          <w:i w:val="0"/>
          <w:iCs/>
          <w:color w:val="000000" w:themeColor="text1"/>
          <w:sz w:val="32"/>
          <w:szCs w:val="32"/>
          <w:highlight w:val="none"/>
          <w:lang w:val="zh-CN"/>
          <w14:textFill>
            <w14:solidFill>
              <w14:schemeClr w14:val="tx1"/>
            </w14:solidFill>
          </w14:textFill>
        </w:rPr>
        <w:t>（或单位负责人）</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身份证明</w:t>
      </w: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供应商名称：</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w:t>
      </w: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单位性质： </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w:t>
      </w: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地    址： </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成立时间：</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年</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月</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日</w:t>
      </w: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经营期限：    </w:t>
      </w: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姓名：</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性别：</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年龄：</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职务：</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系</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（供应商名称）的法定代表人</w:t>
      </w:r>
      <w:r>
        <w:rPr>
          <w:rFonts w:hint="eastAsia" w:ascii="仿宋_GB2312" w:hAnsi="仿宋_GB2312" w:eastAsia="仿宋_GB2312" w:cs="仿宋_GB2312"/>
          <w:color w:val="000000" w:themeColor="text1"/>
          <w:sz w:val="24"/>
          <w:highlight w:val="none"/>
          <w:lang w:val="zh-CN"/>
          <w14:textFill>
            <w14:solidFill>
              <w14:schemeClr w14:val="tx1"/>
            </w14:solidFill>
          </w14:textFill>
        </w:rPr>
        <w:t>（或单位负责人）</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特此证明。</w:t>
      </w:r>
    </w:p>
    <w:p>
      <w:pPr>
        <w:autoSpaceDE w:val="0"/>
        <w:autoSpaceDN w:val="0"/>
        <w:adjustRightInd w:val="0"/>
        <w:spacing w:line="348"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法定代表人（或单位负责人）身份证复印件</w:t>
      </w:r>
    </w:p>
    <w:tbl>
      <w:tblPr>
        <w:tblStyle w:val="50"/>
        <w:tblW w:w="0" w:type="auto"/>
        <w:tblInd w:w="679" w:type="dxa"/>
        <w:tblLayout w:type="fixed"/>
        <w:tblCellMar>
          <w:top w:w="0" w:type="dxa"/>
          <w:left w:w="108" w:type="dxa"/>
          <w:bottom w:w="0" w:type="dxa"/>
          <w:right w:w="108" w:type="dxa"/>
        </w:tblCellMar>
      </w:tblPr>
      <w:tblGrid>
        <w:gridCol w:w="5984"/>
      </w:tblGrid>
      <w:tr>
        <w:tblPrEx>
          <w:tblCellMar>
            <w:top w:w="0" w:type="dxa"/>
            <w:left w:w="108" w:type="dxa"/>
            <w:bottom w:w="0" w:type="dxa"/>
            <w:right w:w="108" w:type="dxa"/>
          </w:tblCellMar>
        </w:tblPrEx>
        <w:trPr>
          <w:trHeight w:val="2863" w:hRule="atLeast"/>
        </w:trPr>
        <w:tc>
          <w:tcPr>
            <w:tcW w:w="5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法定代表人（或单位负责人）身份证复印件</w:t>
            </w:r>
          </w:p>
          <w:p>
            <w:pPr>
              <w:autoSpaceDE w:val="0"/>
              <w:autoSpaceDN w:val="0"/>
              <w:adjustRightInd w:val="0"/>
              <w:spacing w:line="348" w:lineRule="auto"/>
              <w:jc w:val="center"/>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（正反面）</w:t>
            </w:r>
          </w:p>
        </w:tc>
      </w:tr>
    </w:tbl>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ind w:left="5399" w:leftChars="2571"/>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供应商：（</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盖</w:t>
      </w:r>
      <w:r>
        <w:rPr>
          <w:rFonts w:hint="eastAsia" w:ascii="仿宋_GB2312" w:hAnsi="仿宋_GB2312" w:eastAsia="仿宋_GB2312" w:cs="仿宋_GB2312"/>
          <w:color w:val="000000" w:themeColor="text1"/>
          <w:kern w:val="0"/>
          <w:sz w:val="24"/>
          <w:highlight w:val="none"/>
          <w14:textFill>
            <w14:solidFill>
              <w14:schemeClr w14:val="tx1"/>
            </w14:solidFill>
          </w14:textFill>
        </w:rPr>
        <w:t>公章）</w:t>
      </w:r>
    </w:p>
    <w:p>
      <w:pPr>
        <w:autoSpaceDE w:val="0"/>
        <w:autoSpaceDN w:val="0"/>
        <w:adjustRightInd w:val="0"/>
        <w:spacing w:line="360" w:lineRule="auto"/>
        <w:ind w:left="5399" w:leftChars="2571"/>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ind w:left="6659" w:leftChars="3171"/>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年  月  日</w:t>
      </w:r>
    </w:p>
    <w:p>
      <w:pPr>
        <w:spacing w:after="12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br w:type="page"/>
      </w:r>
    </w:p>
    <w:p>
      <w:pPr>
        <w:widowControl/>
        <w:ind w:firstLine="161" w:firstLineChars="50"/>
        <w:jc w:val="lef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 xml:space="preserve"> </w:t>
      </w:r>
    </w:p>
    <w:p>
      <w:pPr>
        <w:autoSpaceDE w:val="0"/>
        <w:autoSpaceDN w:val="0"/>
        <w:adjustRightInd w:val="0"/>
        <w:jc w:val="center"/>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3、授权代表本单位证明</w:t>
      </w:r>
    </w:p>
    <w:p>
      <w:pPr>
        <w:spacing w:after="120"/>
        <w:rPr>
          <w:rFonts w:ascii="仿宋_GB2312" w:hAnsi="仿宋_GB2312" w:eastAsia="仿宋_GB2312" w:cs="仿宋_GB2312"/>
          <w:color w:val="000000" w:themeColor="text1"/>
          <w:highlight w:val="none"/>
          <w14:textFill>
            <w14:solidFill>
              <w14:schemeClr w14:val="tx1"/>
            </w14:solidFill>
          </w14:textFill>
        </w:rPr>
      </w:pPr>
    </w:p>
    <w:p>
      <w:pPr>
        <w:autoSpaceDE w:val="0"/>
        <w:autoSpaceDN w:val="0"/>
        <w:adjustRightInd w:val="0"/>
        <w:spacing w:line="348" w:lineRule="auto"/>
        <w:jc w:val="center"/>
        <w:rPr>
          <w:rFonts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养老保险缴纳证明或劳动合同复印件</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p>
    <w:p>
      <w:pPr>
        <w:spacing w:after="120"/>
        <w:rPr>
          <w:rFonts w:ascii="仿宋_GB2312" w:hAnsi="仿宋_GB2312" w:eastAsia="仿宋_GB2312" w:cs="仿宋_GB2312"/>
          <w:color w:val="000000" w:themeColor="text1"/>
          <w:highlight w:val="none"/>
          <w:lang w:val="zh-CN"/>
          <w14:textFill>
            <w14:solidFill>
              <w14:schemeClr w14:val="tx1"/>
            </w14:solidFill>
          </w14:textFill>
        </w:rPr>
      </w:pPr>
      <w:r>
        <w:rPr>
          <w:rFonts w:hint="eastAsia" w:ascii="仿宋_GB2312" w:hAnsi="仿宋_GB2312" w:eastAsia="仿宋_GB2312" w:cs="仿宋_GB2312"/>
          <w:color w:val="000000" w:themeColor="text1"/>
          <w:highlight w:val="none"/>
          <w:lang w:val="zh-CN"/>
          <w14:textFill>
            <w14:solidFill>
              <w14:schemeClr w14:val="tx1"/>
            </w14:solidFill>
          </w14:textFill>
        </w:rPr>
        <w:br w:type="page"/>
      </w:r>
    </w:p>
    <w:p>
      <w:pPr>
        <w:spacing w:after="120"/>
        <w:rPr>
          <w:rFonts w:ascii="仿宋_GB2312" w:hAnsi="仿宋_GB2312" w:eastAsia="仿宋_GB2312" w:cs="仿宋_GB2312"/>
          <w:color w:val="000000" w:themeColor="text1"/>
          <w:highlight w:val="none"/>
          <w14:textFill>
            <w14:solidFill>
              <w14:schemeClr w14:val="tx1"/>
            </w14:solidFill>
          </w14:textFill>
        </w:rPr>
      </w:pPr>
    </w:p>
    <w:p>
      <w:pPr>
        <w:pStyle w:val="196"/>
        <w:ind w:firstLine="2570" w:firstLineChars="80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第二部分  资格证明文件</w:t>
      </w:r>
    </w:p>
    <w:p>
      <w:pPr>
        <w:spacing w:after="120"/>
        <w:rPr>
          <w:rFonts w:ascii="仿宋_GB2312" w:hAnsi="仿宋_GB2312" w:eastAsia="仿宋_GB2312" w:cs="仿宋_GB2312"/>
          <w:color w:val="000000" w:themeColor="text1"/>
          <w:highlight w:val="none"/>
          <w14:textFill>
            <w14:solidFill>
              <w14:schemeClr w14:val="tx1"/>
            </w14:solidFill>
          </w14:textFill>
        </w:rPr>
      </w:pPr>
    </w:p>
    <w:p>
      <w:pPr>
        <w:numPr>
          <w:ilvl w:val="1"/>
          <w:numId w:val="18"/>
        </w:numPr>
        <w:tabs>
          <w:tab w:val="left" w:pos="993"/>
          <w:tab w:val="left" w:pos="1030"/>
          <w:tab w:val="left" w:pos="8364"/>
        </w:tabs>
        <w:snapToGrid w:val="0"/>
        <w:spacing w:after="120" w:afterLines="50" w:line="360" w:lineRule="auto"/>
        <w:ind w:right="-57" w:rightChars="-27"/>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供应商的企业法人营业执照副本复印件</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或自然人身份证明</w:t>
      </w:r>
      <w:r>
        <w:rPr>
          <w:rFonts w:hint="eastAsia" w:ascii="仿宋_GB2312" w:hAnsi="仿宋_GB2312" w:eastAsia="仿宋_GB2312" w:cs="仿宋_GB2312"/>
          <w:color w:val="000000" w:themeColor="text1"/>
          <w:sz w:val="24"/>
          <w:highlight w:val="none"/>
          <w14:textFill>
            <w14:solidFill>
              <w14:schemeClr w14:val="tx1"/>
            </w14:solidFill>
          </w14:textFill>
        </w:rPr>
        <w:t>（格式要求见附件6-1）；</w:t>
      </w:r>
    </w:p>
    <w:p>
      <w:pPr>
        <w:numPr>
          <w:ilvl w:val="1"/>
          <w:numId w:val="18"/>
        </w:numPr>
        <w:tabs>
          <w:tab w:val="left" w:pos="993"/>
          <w:tab w:val="left" w:pos="1030"/>
          <w:tab w:val="left" w:pos="8364"/>
        </w:tabs>
        <w:snapToGrid w:val="0"/>
        <w:spacing w:after="120" w:afterLines="50" w:line="360" w:lineRule="auto"/>
        <w:ind w:left="833" w:right="-57" w:rightChars="-27" w:hanging="413"/>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供应商202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highlight w:val="none"/>
          <w14:textFill>
            <w14:solidFill>
              <w14:schemeClr w14:val="tx1"/>
            </w14:solidFill>
          </w14:textFill>
        </w:rPr>
        <w:t>年度的审计报告（包括资产负债表、现金流量表、利润表）或本年度基本开户银行出具的资信证明（格式要求见附件6-2）；</w:t>
      </w:r>
    </w:p>
    <w:p>
      <w:pPr>
        <w:numPr>
          <w:ilvl w:val="1"/>
          <w:numId w:val="18"/>
        </w:numPr>
        <w:tabs>
          <w:tab w:val="left" w:pos="993"/>
          <w:tab w:val="left" w:pos="1030"/>
          <w:tab w:val="left" w:pos="8364"/>
        </w:tabs>
        <w:snapToGrid w:val="0"/>
        <w:spacing w:after="120" w:afterLines="50" w:line="360" w:lineRule="auto"/>
        <w:ind w:left="833" w:right="-57" w:rightChars="-27" w:hanging="413"/>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提供</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近六个月中任何一个月</w:t>
      </w:r>
      <w:r>
        <w:rPr>
          <w:rFonts w:hint="eastAsia" w:ascii="仿宋_GB2312" w:hAnsi="仿宋_GB2312" w:eastAsia="仿宋_GB2312" w:cs="仿宋_GB2312"/>
          <w:color w:val="000000" w:themeColor="text1"/>
          <w:sz w:val="24"/>
          <w:highlight w:val="none"/>
          <w14:textFill>
            <w14:solidFill>
              <w14:schemeClr w14:val="tx1"/>
            </w14:solidFill>
          </w14:textFill>
        </w:rPr>
        <w:t>依法缴纳税收和</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近六个月中至少一个月</w:t>
      </w:r>
      <w:r>
        <w:rPr>
          <w:rFonts w:hint="eastAsia" w:ascii="Times New Roman" w:hAnsi="Times New Roman" w:eastAsia="仿宋_GB2312" w:cs="Times New Roman"/>
          <w:i w:val="0"/>
          <w:iCs w:val="0"/>
          <w:color w:val="000000" w:themeColor="text1"/>
          <w:sz w:val="24"/>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4"/>
          <w:highlight w:val="none"/>
          <w14:textFill>
            <w14:solidFill>
              <w14:schemeClr w14:val="tx1"/>
            </w14:solidFill>
          </w14:textFill>
        </w:rPr>
        <w:t>社会保障资金的证明材料复印件（格式见附件6-3、6-4）</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pPr>
        <w:numPr>
          <w:ilvl w:val="1"/>
          <w:numId w:val="18"/>
        </w:numPr>
        <w:tabs>
          <w:tab w:val="left" w:pos="993"/>
          <w:tab w:val="left" w:pos="1030"/>
          <w:tab w:val="left" w:pos="8364"/>
        </w:tabs>
        <w:snapToGrid w:val="0"/>
        <w:spacing w:after="120" w:afterLines="50" w:line="360" w:lineRule="auto"/>
        <w:ind w:left="993" w:right="-57" w:rightChars="-27" w:hanging="573"/>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具备履行合同所必需的设备和专业技术能力的承诺原件（格式见附件6-5）；</w:t>
      </w:r>
    </w:p>
    <w:p>
      <w:pPr>
        <w:numPr>
          <w:ilvl w:val="1"/>
          <w:numId w:val="18"/>
        </w:numPr>
        <w:tabs>
          <w:tab w:val="left" w:pos="420"/>
          <w:tab w:val="left" w:pos="8364"/>
        </w:tabs>
        <w:snapToGrid w:val="0"/>
        <w:spacing w:after="120" w:afterLines="50" w:line="360" w:lineRule="auto"/>
        <w:ind w:left="853" w:right="-57" w:rightChars="-27" w:hanging="433"/>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供应商参加政府采购活动前3年内在经营活动中没有重大违法记录的书面声明原件（格式见附件6-6）</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pPr>
        <w:numPr>
          <w:ilvl w:val="1"/>
          <w:numId w:val="18"/>
        </w:numPr>
        <w:tabs>
          <w:tab w:val="left" w:pos="200"/>
          <w:tab w:val="left" w:pos="8364"/>
        </w:tabs>
        <w:snapToGrid w:val="0"/>
        <w:spacing w:after="120" w:afterLines="50" w:line="360" w:lineRule="auto"/>
        <w:ind w:left="853" w:right="-57" w:rightChars="-27" w:hanging="433"/>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供应商控股股东名称、控股公司的名称和存在管理、被管理关系的单位名称说明（格式见附件6-7)</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pPr>
        <w:numPr>
          <w:ilvl w:val="1"/>
          <w:numId w:val="18"/>
        </w:numPr>
        <w:tabs>
          <w:tab w:val="left" w:pos="220"/>
          <w:tab w:val="left" w:pos="420"/>
          <w:tab w:val="left" w:pos="8364"/>
        </w:tabs>
        <w:snapToGrid w:val="0"/>
        <w:spacing w:after="120" w:afterLines="50" w:line="360" w:lineRule="auto"/>
        <w:ind w:left="853" w:right="-57" w:rightChars="-27" w:hanging="433"/>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供应商是否属于为本项目提供整体设计、规范编制或者项目管理、监理、检测等服务的供应商声明原件（格式见附件6-8)</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pPr>
        <w:numPr>
          <w:ilvl w:val="1"/>
          <w:numId w:val="18"/>
        </w:numPr>
        <w:tabs>
          <w:tab w:val="left" w:pos="220"/>
          <w:tab w:val="left" w:pos="420"/>
          <w:tab w:val="left" w:pos="8364"/>
        </w:tabs>
        <w:snapToGrid w:val="0"/>
        <w:spacing w:after="120" w:afterLines="50" w:line="360" w:lineRule="auto"/>
        <w:ind w:left="853" w:right="-57" w:rightChars="-27" w:hanging="433"/>
        <w:jc w:val="left"/>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证明供应商符合特定资格条件的证明材料</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供应商须具备土地规划乙级（含乙级）及以上资质</w:t>
      </w:r>
      <w:r>
        <w:rPr>
          <w:rFonts w:hint="eastAsia" w:ascii="仿宋_GB2312" w:hAnsi="仿宋_GB2312" w:eastAsia="仿宋_GB2312" w:cs="仿宋_GB2312"/>
          <w:color w:val="000000" w:themeColor="text1"/>
          <w:sz w:val="24"/>
          <w:highlight w:val="none"/>
          <w14:textFill>
            <w14:solidFill>
              <w14:schemeClr w14:val="tx1"/>
            </w14:solidFill>
          </w14:textFill>
        </w:rPr>
        <w:t>（格式见附件6-9)</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pPr>
        <w:pStyle w:val="63"/>
        <w:numPr>
          <w:ilvl w:val="1"/>
          <w:numId w:val="18"/>
        </w:numPr>
        <w:ind w:left="853" w:leftChars="0" w:hanging="433" w:firstLineChars="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小微企业、监狱企业、残疾人福利单位声明函或证明</w:t>
      </w:r>
      <w:r>
        <w:rPr>
          <w:rFonts w:hint="eastAsia" w:ascii="仿宋_GB2312" w:hAnsi="仿宋_GB2312" w:eastAsia="仿宋_GB2312" w:cs="仿宋_GB2312"/>
          <w:color w:val="000000" w:themeColor="text1"/>
          <w:sz w:val="24"/>
          <w:highlight w:val="none"/>
          <w14:textFill>
            <w14:solidFill>
              <w14:schemeClr w14:val="tx1"/>
            </w14:solidFill>
          </w14:textFill>
        </w:rPr>
        <w:t>（格式见附件6-</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pPr>
        <w:pStyle w:val="63"/>
        <w:rPr>
          <w:rFonts w:hint="eastAsia"/>
          <w:color w:val="000000" w:themeColor="text1"/>
          <w:lang w:eastAsia="zh-CN"/>
          <w14:textFill>
            <w14:solidFill>
              <w14:schemeClr w14:val="tx1"/>
            </w14:solidFill>
          </w14:textFill>
        </w:rPr>
      </w:pPr>
    </w:p>
    <w:p>
      <w:pPr>
        <w:numPr>
          <w:ilvl w:val="0"/>
          <w:numId w:val="0"/>
        </w:numPr>
        <w:tabs>
          <w:tab w:val="left" w:pos="220"/>
          <w:tab w:val="left" w:pos="420"/>
          <w:tab w:val="left" w:pos="8364"/>
        </w:tabs>
        <w:snapToGrid w:val="0"/>
        <w:spacing w:after="120" w:afterLines="50" w:line="360" w:lineRule="auto"/>
        <w:ind w:left="420" w:leftChars="0" w:right="-57" w:rightChars="-27"/>
        <w:jc w:val="left"/>
        <w:rPr>
          <w:rFonts w:hint="eastAsia" w:ascii="仿宋_GB2312" w:hAnsi="仿宋_GB2312" w:eastAsia="仿宋_GB2312" w:cs="仿宋_GB2312"/>
          <w:b/>
          <w:bCs/>
          <w:color w:val="000000" w:themeColor="text1"/>
          <w:sz w:val="24"/>
          <w:highlight w:val="none"/>
          <w14:textFill>
            <w14:solidFill>
              <w14:schemeClr w14:val="tx1"/>
            </w14:solidFill>
          </w14:textFill>
        </w:rPr>
      </w:pPr>
    </w:p>
    <w:p>
      <w:pPr>
        <w:numPr>
          <w:ilvl w:val="0"/>
          <w:numId w:val="0"/>
        </w:numPr>
        <w:tabs>
          <w:tab w:val="left" w:pos="220"/>
          <w:tab w:val="left" w:pos="420"/>
          <w:tab w:val="left" w:pos="8364"/>
        </w:tabs>
        <w:snapToGrid w:val="0"/>
        <w:spacing w:after="120" w:afterLines="50" w:line="360" w:lineRule="auto"/>
        <w:ind w:left="420" w:leftChars="0" w:right="-57" w:rightChars="-27"/>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以上提供的扫描件、复印件必须加盖供应商公章。</w:t>
      </w:r>
    </w:p>
    <w:p>
      <w:pPr>
        <w:spacing w:after="12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br w:type="page"/>
      </w:r>
    </w:p>
    <w:p>
      <w:pPr>
        <w:jc w:val="left"/>
        <w:outlineLvl w:val="2"/>
        <w:rPr>
          <w:rFonts w:ascii="仿宋_GB2312" w:hAnsi="仿宋_GB2312" w:eastAsia="仿宋_GB2312" w:cs="仿宋_GB2312"/>
          <w:b/>
          <w:color w:val="000000" w:themeColor="text1"/>
          <w:sz w:val="24"/>
          <w:highlight w:val="none"/>
          <w14:textFill>
            <w14:solidFill>
              <w14:schemeClr w14:val="tx1"/>
            </w14:solidFill>
          </w14:textFill>
        </w:rPr>
      </w:pPr>
      <w:bookmarkStart w:id="457" w:name="_Toc7005120"/>
      <w:r>
        <w:rPr>
          <w:rFonts w:hint="eastAsia" w:ascii="仿宋_GB2312" w:hAnsi="仿宋_GB2312" w:eastAsia="仿宋_GB2312" w:cs="仿宋_GB2312"/>
          <w:b/>
          <w:color w:val="000000" w:themeColor="text1"/>
          <w:sz w:val="24"/>
          <w:highlight w:val="none"/>
          <w14:textFill>
            <w14:solidFill>
              <w14:schemeClr w14:val="tx1"/>
            </w14:solidFill>
          </w14:textFill>
        </w:rPr>
        <w:t>6-1  供应商的企业法人营业执照副本复印件（加盖公章）</w:t>
      </w:r>
      <w:bookmarkEnd w:id="457"/>
    </w:p>
    <w:p>
      <w:pPr>
        <w:jc w:val="left"/>
        <w:rPr>
          <w:rFonts w:ascii="仿宋_GB2312" w:hAnsi="仿宋_GB2312" w:eastAsia="仿宋_GB2312" w:cs="仿宋_GB2312"/>
          <w:color w:val="000000" w:themeColor="text1"/>
          <w:sz w:val="24"/>
          <w:highlight w:val="none"/>
          <w14:textFill>
            <w14:solidFill>
              <w14:schemeClr w14:val="tx1"/>
            </w14:solidFill>
          </w14:textFill>
        </w:rPr>
      </w:pP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bookmarkStart w:id="458" w:name="_Toc7005123"/>
    </w:p>
    <w:p>
      <w:pPr>
        <w:jc w:val="left"/>
        <w:outlineLvl w:val="2"/>
        <w:rPr>
          <w:rFonts w:ascii="仿宋_GB2312" w:hAnsi="仿宋_GB2312" w:eastAsia="仿宋_GB2312" w:cs="仿宋_GB2312"/>
          <w:b/>
          <w:color w:val="000000" w:themeColor="text1"/>
          <w:sz w:val="24"/>
          <w:highlight w:val="none"/>
          <w14:textFill>
            <w14:solidFill>
              <w14:schemeClr w14:val="tx1"/>
            </w14:solidFill>
          </w14:textFill>
        </w:rPr>
      </w:pPr>
      <w:bookmarkStart w:id="459" w:name="_Ref527015333"/>
      <w:bookmarkStart w:id="460" w:name="_Toc7005121"/>
      <w:r>
        <w:rPr>
          <w:rFonts w:hint="eastAsia" w:ascii="仿宋_GB2312" w:hAnsi="仿宋_GB2312" w:eastAsia="仿宋_GB2312" w:cs="仿宋_GB2312"/>
          <w:b/>
          <w:color w:val="000000" w:themeColor="text1"/>
          <w:sz w:val="24"/>
          <w:highlight w:val="none"/>
          <w14:textFill>
            <w14:solidFill>
              <w14:schemeClr w14:val="tx1"/>
            </w14:solidFill>
          </w14:textFill>
        </w:rPr>
        <w:t xml:space="preserve">6-2  </w:t>
      </w:r>
      <w:bookmarkEnd w:id="459"/>
      <w:bookmarkEnd w:id="460"/>
      <w:r>
        <w:rPr>
          <w:rFonts w:hint="eastAsia" w:ascii="仿宋_GB2312" w:hAnsi="仿宋_GB2312" w:eastAsia="仿宋_GB2312" w:cs="仿宋_GB2312"/>
          <w:b/>
          <w:color w:val="000000" w:themeColor="text1"/>
          <w:sz w:val="24"/>
          <w:highlight w:val="none"/>
          <w14:textFill>
            <w14:solidFill>
              <w14:schemeClr w14:val="tx1"/>
            </w14:solidFill>
          </w14:textFill>
        </w:rPr>
        <w:t>供应商202</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b/>
          <w:color w:val="000000" w:themeColor="text1"/>
          <w:sz w:val="24"/>
          <w:highlight w:val="none"/>
          <w14:textFill>
            <w14:solidFill>
              <w14:schemeClr w14:val="tx1"/>
            </w14:solidFill>
          </w14:textFill>
        </w:rPr>
        <w:t>年度的审计报告（包括资产负债表、现金流量表、利润表）</w:t>
      </w:r>
    </w:p>
    <w:p>
      <w:pPr>
        <w:adjustRightInd w:val="0"/>
        <w:spacing w:line="360" w:lineRule="atLeast"/>
        <w:ind w:firstLine="480" w:firstLineChars="200"/>
        <w:jc w:val="left"/>
        <w:textAlignment w:val="baseline"/>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提供供应商上一年度经审计的财务报表（包括资产负债表、现金流量表、利润表）复印件或扫描件、所有复印件或扫描件需加盖单位公章。</w:t>
      </w:r>
    </w:p>
    <w:p>
      <w:pPr>
        <w:jc w:val="left"/>
        <w:outlineLvl w:val="2"/>
        <w:rPr>
          <w:rFonts w:hint="eastAsia" w:ascii="仿宋_GB2312" w:hAnsi="仿宋_GB2312" w:eastAsia="仿宋_GB2312" w:cs="仿宋_GB2312"/>
          <w:b/>
          <w:color w:val="000000" w:themeColor="text1"/>
          <w:sz w:val="24"/>
          <w:highlight w:val="none"/>
          <w14:textFill>
            <w14:solidFill>
              <w14:schemeClr w14:val="tx1"/>
            </w14:solidFill>
          </w14:textFill>
        </w:rPr>
      </w:pPr>
    </w:p>
    <w:p>
      <w:pPr>
        <w:jc w:val="left"/>
        <w:outlineLvl w:val="2"/>
        <w:rPr>
          <w:rFonts w:hint="eastAsia" w:ascii="仿宋_GB2312" w:hAnsi="仿宋_GB2312" w:eastAsia="仿宋_GB2312" w:cs="仿宋_GB2312"/>
          <w:b/>
          <w:color w:val="000000" w:themeColor="text1"/>
          <w:sz w:val="24"/>
          <w:highlight w:val="none"/>
          <w14:textFill>
            <w14:solidFill>
              <w14:schemeClr w14:val="tx1"/>
            </w14:solidFill>
          </w14:textFill>
        </w:rPr>
      </w:pPr>
    </w:p>
    <w:p>
      <w:pPr>
        <w:pStyle w:val="2"/>
        <w:rPr>
          <w:rFonts w:hint="eastAsia"/>
          <w:color w:val="000000" w:themeColor="text1"/>
          <w14:textFill>
            <w14:solidFill>
              <w14:schemeClr w14:val="tx1"/>
            </w14:solidFill>
          </w14:textFill>
        </w:rPr>
      </w:pPr>
    </w:p>
    <w:p>
      <w:pPr>
        <w:jc w:val="left"/>
        <w:outlineLvl w:val="2"/>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或</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6-2</w:t>
      </w:r>
      <w:r>
        <w:rPr>
          <w:rFonts w:hint="eastAsia" w:ascii="仿宋_GB2312" w:hAnsi="仿宋_GB2312" w:eastAsia="仿宋_GB2312" w:cs="仿宋_GB2312"/>
          <w:b/>
          <w:color w:val="000000" w:themeColor="text1"/>
          <w:sz w:val="24"/>
          <w:highlight w:val="none"/>
          <w14:textFill>
            <w14:solidFill>
              <w14:schemeClr w14:val="tx1"/>
            </w14:solidFill>
          </w14:textFill>
        </w:rPr>
        <w:t>本年度基本开户银行出具的资信证明</w:t>
      </w: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pStyle w:val="3"/>
        <w:rPr>
          <w:color w:val="000000" w:themeColor="text1"/>
          <w14:textFill>
            <w14:solidFill>
              <w14:schemeClr w14:val="tx1"/>
            </w14:solidFill>
          </w14:textFill>
        </w:rPr>
      </w:pPr>
    </w:p>
    <w:p>
      <w:pPr>
        <w:jc w:val="left"/>
        <w:outlineLvl w:val="2"/>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6-3 依法缴纳税收的证明</w:t>
      </w:r>
      <w:bookmarkEnd w:id="458"/>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p>
    <w:p>
      <w:pPr>
        <w:tabs>
          <w:tab w:val="left" w:pos="993"/>
          <w:tab w:val="left" w:pos="1030"/>
          <w:tab w:val="left" w:pos="8364"/>
        </w:tabs>
        <w:snapToGrid w:val="0"/>
        <w:spacing w:after="120" w:afterLines="50"/>
        <w:ind w:right="-57" w:rightChars="-27" w:firstLine="480" w:firstLineChars="200"/>
        <w:jc w:val="left"/>
        <w:rPr>
          <w:rFonts w:eastAsia="仿宋_GB2312"/>
          <w:color w:val="000000" w:themeColor="text1"/>
          <w:sz w:val="24"/>
          <w14:textFill>
            <w14:solidFill>
              <w14:schemeClr w14:val="tx1"/>
            </w14:solidFill>
          </w14:textFill>
        </w:rPr>
      </w:pPr>
      <w:bookmarkStart w:id="461" w:name="_Toc7005124"/>
      <w:r>
        <w:rPr>
          <w:rFonts w:eastAsia="仿宋_GB2312"/>
          <w:color w:val="000000" w:themeColor="text1"/>
          <w:sz w:val="24"/>
          <w14:textFill>
            <w14:solidFill>
              <w14:schemeClr w14:val="tx1"/>
            </w14:solidFill>
          </w14:textFill>
        </w:rPr>
        <w:t>说明：</w:t>
      </w:r>
    </w:p>
    <w:p>
      <w:pPr>
        <w:tabs>
          <w:tab w:val="left" w:pos="993"/>
          <w:tab w:val="left" w:pos="1030"/>
          <w:tab w:val="left" w:pos="8364"/>
        </w:tabs>
        <w:snapToGrid w:val="0"/>
        <w:spacing w:after="120" w:afterLines="50"/>
        <w:ind w:left="479" w:leftChars="228" w:right="-57" w:rightChars="-27" w:firstLine="0" w:firstLineChars="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w:t>
      </w:r>
      <w:r>
        <w:rPr>
          <w:rFonts w:hint="eastAsia" w:eastAsia="仿宋_GB2312"/>
          <w:color w:val="000000" w:themeColor="text1"/>
          <w:sz w:val="24"/>
          <w:lang w:val="en-US" w:eastAsia="zh-CN"/>
          <w14:textFill>
            <w14:solidFill>
              <w14:schemeClr w14:val="tx1"/>
            </w14:solidFill>
          </w14:textFill>
        </w:rPr>
        <w:t xml:space="preserve">. </w:t>
      </w:r>
      <w:r>
        <w:rPr>
          <w:rFonts w:eastAsia="仿宋_GB2312"/>
          <w:color w:val="000000" w:themeColor="text1"/>
          <w:sz w:val="24"/>
          <w14:textFill>
            <w14:solidFill>
              <w14:schemeClr w14:val="tx1"/>
            </w14:solidFill>
          </w14:textFill>
        </w:rPr>
        <w:t>供应商应提供</w:t>
      </w:r>
      <w:r>
        <w:rPr>
          <w:rFonts w:hint="eastAsia" w:eastAsia="仿宋_GB2312"/>
          <w:color w:val="000000" w:themeColor="text1"/>
          <w:sz w:val="24"/>
          <w:lang w:val="en-US" w:eastAsia="zh-CN"/>
          <w14:textFill>
            <w14:solidFill>
              <w14:schemeClr w14:val="tx1"/>
            </w14:solidFill>
          </w14:textFill>
        </w:rPr>
        <w:t>自磋商响应文件递交截止时间前</w:t>
      </w:r>
      <w:r>
        <w:rPr>
          <w:rFonts w:eastAsia="仿宋_GB2312"/>
          <w:color w:val="000000" w:themeColor="text1"/>
          <w:sz w:val="24"/>
          <w14:textFill>
            <w14:solidFill>
              <w14:schemeClr w14:val="tx1"/>
            </w14:solidFill>
          </w14:textFill>
        </w:rPr>
        <w:t>近六个月中任何一个月缴纳增值税和企业所得税的凭证</w:t>
      </w:r>
      <w:r>
        <w:rPr>
          <w:rFonts w:hint="eastAsia" w:eastAsia="仿宋_GB2312"/>
          <w:color w:val="000000" w:themeColor="text1"/>
          <w:sz w:val="24"/>
          <w:lang w:eastAsia="zh-CN"/>
          <w14:textFill>
            <w14:solidFill>
              <w14:schemeClr w14:val="tx1"/>
            </w14:solidFill>
          </w14:textFill>
        </w:rPr>
        <w:t>，</w:t>
      </w:r>
      <w:r>
        <w:rPr>
          <w:rFonts w:hint="eastAsia" w:eastAsia="仿宋_GB2312"/>
          <w:color w:val="000000" w:themeColor="text1"/>
          <w:sz w:val="24"/>
          <w14:textFill>
            <w14:solidFill>
              <w14:schemeClr w14:val="tx1"/>
            </w14:solidFill>
          </w14:textFill>
        </w:rPr>
        <w:t>时间以税款所属时期为准</w:t>
      </w:r>
      <w:r>
        <w:rPr>
          <w:rFonts w:eastAsia="仿宋_GB2312"/>
          <w:color w:val="000000" w:themeColor="text1"/>
          <w:sz w:val="24"/>
          <w14:textFill>
            <w14:solidFill>
              <w14:schemeClr w14:val="tx1"/>
            </w14:solidFill>
          </w14:textFill>
        </w:rPr>
        <w:t>（银行出具的缴税凭证或税务机关出具的证明的复印件，并加盖本单位公章）。</w:t>
      </w:r>
    </w:p>
    <w:p>
      <w:pPr>
        <w:tabs>
          <w:tab w:val="left" w:pos="993"/>
          <w:tab w:val="left" w:pos="1030"/>
          <w:tab w:val="left" w:pos="8364"/>
        </w:tabs>
        <w:snapToGrid w:val="0"/>
        <w:spacing w:after="120" w:afterLines="50"/>
        <w:ind w:right="-57" w:rightChars="-27"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w:t>
      </w:r>
      <w:r>
        <w:rPr>
          <w:rFonts w:hint="eastAsia" w:eastAsia="仿宋_GB2312"/>
          <w:color w:val="000000" w:themeColor="text1"/>
          <w:sz w:val="24"/>
          <w:lang w:val="en-US" w:eastAsia="zh-CN"/>
          <w14:textFill>
            <w14:solidFill>
              <w14:schemeClr w14:val="tx1"/>
            </w14:solidFill>
          </w14:textFill>
        </w:rPr>
        <w:t xml:space="preserve">. </w:t>
      </w:r>
      <w:r>
        <w:rPr>
          <w:rFonts w:eastAsia="仿宋_GB2312"/>
          <w:color w:val="000000" w:themeColor="text1"/>
          <w:sz w:val="24"/>
          <w14:textFill>
            <w14:solidFill>
              <w14:schemeClr w14:val="tx1"/>
            </w14:solidFill>
          </w14:textFill>
        </w:rPr>
        <w:t>依法免税的供应商，应提供相应文件证明其依法免税。</w:t>
      </w: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adjustRightInd w:val="0"/>
        <w:spacing w:line="360" w:lineRule="atLeast"/>
        <w:jc w:val="left"/>
        <w:textAlignment w:val="baseline"/>
        <w:rPr>
          <w:rFonts w:ascii="仿宋_GB2312" w:hAnsi="仿宋_GB2312" w:eastAsia="仿宋_GB2312" w:cs="仿宋_GB2312"/>
          <w:color w:val="000000" w:themeColor="text1"/>
          <w:sz w:val="28"/>
          <w:highlight w:val="none"/>
          <w14:textFill>
            <w14:solidFill>
              <w14:schemeClr w14:val="tx1"/>
            </w14:solidFill>
          </w14:textFill>
        </w:rPr>
      </w:pPr>
    </w:p>
    <w:p>
      <w:pPr>
        <w:jc w:val="left"/>
        <w:outlineLvl w:val="2"/>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6-4社会保障资金缴纳记录</w:t>
      </w:r>
      <w:bookmarkEnd w:id="461"/>
    </w:p>
    <w:p>
      <w:p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cr/>
      </w:r>
    </w:p>
    <w:p>
      <w:pPr>
        <w:tabs>
          <w:tab w:val="left" w:pos="993"/>
          <w:tab w:val="left" w:pos="1030"/>
          <w:tab w:val="left" w:pos="8364"/>
        </w:tabs>
        <w:snapToGrid w:val="0"/>
        <w:spacing w:after="120" w:afterLines="50"/>
        <w:ind w:left="420" w:leftChars="200" w:right="-57" w:rightChars="-27"/>
        <w:jc w:val="left"/>
        <w:rPr>
          <w:rFonts w:eastAsia="仿宋_GB2312"/>
          <w:color w:val="000000" w:themeColor="text1"/>
          <w:sz w:val="24"/>
          <w14:textFill>
            <w14:solidFill>
              <w14:schemeClr w14:val="tx1"/>
            </w14:solidFill>
          </w14:textFill>
        </w:rPr>
      </w:pPr>
      <w:bookmarkStart w:id="462" w:name="_Toc7005125"/>
      <w:r>
        <w:rPr>
          <w:rFonts w:eastAsia="仿宋_GB2312"/>
          <w:color w:val="000000" w:themeColor="text1"/>
          <w:sz w:val="24"/>
          <w14:textFill>
            <w14:solidFill>
              <w14:schemeClr w14:val="tx1"/>
            </w14:solidFill>
          </w14:textFill>
        </w:rPr>
        <w:t>说明：</w:t>
      </w:r>
    </w:p>
    <w:p>
      <w:pPr>
        <w:numPr>
          <w:ilvl w:val="0"/>
          <w:numId w:val="0"/>
        </w:numPr>
        <w:tabs>
          <w:tab w:val="left" w:pos="993"/>
          <w:tab w:val="left" w:pos="1030"/>
          <w:tab w:val="left" w:pos="8364"/>
        </w:tabs>
        <w:snapToGrid w:val="0"/>
        <w:spacing w:after="120" w:afterLines="50"/>
        <w:ind w:left="460" w:leftChars="219" w:right="-57" w:rightChars="-27" w:firstLine="19" w:firstLineChars="8"/>
        <w:jc w:val="left"/>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 xml:space="preserve">1. </w:t>
      </w:r>
      <w:r>
        <w:rPr>
          <w:rFonts w:eastAsia="仿宋_GB2312"/>
          <w:color w:val="000000" w:themeColor="text1"/>
          <w:sz w:val="24"/>
          <w14:textFill>
            <w14:solidFill>
              <w14:schemeClr w14:val="tx1"/>
            </w14:solidFill>
          </w14:textFill>
        </w:rPr>
        <w:t>供应商应提供</w:t>
      </w:r>
      <w:r>
        <w:rPr>
          <w:rFonts w:hint="eastAsia" w:eastAsia="仿宋_GB2312"/>
          <w:color w:val="000000" w:themeColor="text1"/>
          <w:sz w:val="24"/>
          <w:lang w:val="en-US" w:eastAsia="zh-CN"/>
          <w14:textFill>
            <w14:solidFill>
              <w14:schemeClr w14:val="tx1"/>
            </w14:solidFill>
          </w14:textFill>
        </w:rPr>
        <w:t>自磋商响应文件递交截止时间前近</w:t>
      </w:r>
      <w:r>
        <w:rPr>
          <w:rFonts w:eastAsia="仿宋_GB2312"/>
          <w:color w:val="000000" w:themeColor="text1"/>
          <w:sz w:val="24"/>
          <w14:textFill>
            <w14:solidFill>
              <w14:schemeClr w14:val="tx1"/>
            </w14:solidFill>
          </w14:textFill>
        </w:rPr>
        <w:t>六个月中至少一个月的社会缴纳社会保险的凭据（专用收据或社会保险缴纳清单），并加盖本单位公章。</w:t>
      </w:r>
    </w:p>
    <w:p>
      <w:pPr>
        <w:numPr>
          <w:ilvl w:val="0"/>
          <w:numId w:val="0"/>
        </w:numPr>
        <w:tabs>
          <w:tab w:val="left" w:pos="993"/>
          <w:tab w:val="left" w:pos="1030"/>
          <w:tab w:val="left" w:pos="8364"/>
        </w:tabs>
        <w:snapToGrid w:val="0"/>
        <w:spacing w:after="120" w:afterLines="50"/>
        <w:ind w:left="479" w:leftChars="228" w:right="-57" w:rightChars="-27" w:firstLine="0" w:firstLineChars="0"/>
        <w:jc w:val="left"/>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 xml:space="preserve">2. </w:t>
      </w:r>
      <w:r>
        <w:rPr>
          <w:rFonts w:eastAsia="仿宋_GB2312"/>
          <w:color w:val="000000" w:themeColor="text1"/>
          <w:sz w:val="24"/>
          <w14:textFill>
            <w14:solidFill>
              <w14:schemeClr w14:val="tx1"/>
            </w14:solidFill>
          </w14:textFill>
        </w:rPr>
        <w:t>不需要缴纳社会保障资金的供应商，应提供相应文件证明其不需要缴纳社会保障资金。</w:t>
      </w:r>
    </w:p>
    <w:p>
      <w:pPr>
        <w:jc w:val="left"/>
        <w:outlineLvl w:val="9"/>
        <w:rPr>
          <w:rFonts w:ascii="仿宋_GB2312" w:hAnsi="仿宋_GB2312" w:eastAsia="仿宋_GB2312" w:cs="仿宋_GB2312"/>
          <w:color w:val="000000" w:themeColor="text1"/>
          <w:sz w:val="24"/>
          <w:highlight w:val="none"/>
          <w14:textFill>
            <w14:solidFill>
              <w14:schemeClr w14:val="tx1"/>
            </w14:solidFill>
          </w14:textFill>
        </w:rPr>
      </w:pPr>
    </w:p>
    <w:p>
      <w:pPr>
        <w:jc w:val="left"/>
        <w:outlineLvl w:val="9"/>
        <w:rPr>
          <w:rFonts w:ascii="仿宋_GB2312" w:hAnsi="仿宋_GB2312" w:eastAsia="仿宋_GB2312" w:cs="仿宋_GB2312"/>
          <w:color w:val="000000" w:themeColor="text1"/>
          <w:sz w:val="24"/>
          <w:highlight w:val="none"/>
          <w14:textFill>
            <w14:solidFill>
              <w14:schemeClr w14:val="tx1"/>
            </w14:solidFill>
          </w14:textFill>
        </w:rPr>
      </w:pPr>
    </w:p>
    <w:p>
      <w:pPr>
        <w:jc w:val="left"/>
        <w:outlineLvl w:val="9"/>
        <w:rPr>
          <w:rFonts w:ascii="仿宋_GB2312" w:hAnsi="仿宋_GB2312" w:eastAsia="仿宋_GB2312" w:cs="仿宋_GB2312"/>
          <w:b/>
          <w:bCs/>
          <w:color w:val="000000" w:themeColor="text1"/>
          <w:sz w:val="24"/>
          <w:highlight w:val="none"/>
          <w14:textFill>
            <w14:solidFill>
              <w14:schemeClr w14:val="tx1"/>
            </w14:solidFill>
          </w14:textFill>
        </w:rPr>
      </w:pPr>
    </w:p>
    <w:p>
      <w:pPr>
        <w:jc w:val="left"/>
        <w:outlineLvl w:val="2"/>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 xml:space="preserve">6-5 </w:t>
      </w:r>
      <w:r>
        <w:rPr>
          <w:rFonts w:hint="eastAsia" w:ascii="仿宋_GB2312" w:hAnsi="仿宋_GB2312" w:eastAsia="仿宋_GB2312" w:cs="仿宋_GB2312"/>
          <w:b/>
          <w:color w:val="000000" w:themeColor="text1"/>
          <w:sz w:val="24"/>
          <w:highlight w:val="none"/>
          <w14:textFill>
            <w14:solidFill>
              <w14:schemeClr w14:val="tx1"/>
            </w14:solidFill>
          </w14:textFill>
        </w:rPr>
        <w:t>具备履行合同所必需的设备和专业技术能力承诺书</w:t>
      </w:r>
      <w:bookmarkEnd w:id="462"/>
      <w:r>
        <w:rPr>
          <w:rFonts w:hint="eastAsia" w:ascii="仿宋_GB2312" w:hAnsi="仿宋_GB2312" w:eastAsia="仿宋_GB2312" w:cs="仿宋_GB2312"/>
          <w:b/>
          <w:color w:val="000000" w:themeColor="text1"/>
          <w:sz w:val="24"/>
          <w:highlight w:val="none"/>
          <w14:textFill>
            <w14:solidFill>
              <w14:schemeClr w14:val="tx1"/>
            </w14:solidFill>
          </w14:textFill>
        </w:rPr>
        <w:t xml:space="preserve">                                                                                                                                                                                                                                                                                                                                                                                                                                                                                                                                                                                                                                                                                                      </w:t>
      </w:r>
    </w:p>
    <w:p>
      <w:pPr>
        <w:ind w:firstLine="480"/>
        <w:rPr>
          <w:rFonts w:ascii="仿宋_GB2312" w:hAnsi="仿宋_GB2312" w:eastAsia="仿宋_GB2312" w:cs="仿宋_GB2312"/>
          <w:color w:val="000000" w:themeColor="text1"/>
          <w:kern w:val="0"/>
          <w:sz w:val="24"/>
          <w:highlight w:val="none"/>
          <w14:textFill>
            <w14:solidFill>
              <w14:schemeClr w14:val="tx1"/>
            </w14:solidFill>
          </w14:textFill>
        </w:rPr>
      </w:pPr>
    </w:p>
    <w:p>
      <w:pPr>
        <w:ind w:firstLine="480"/>
        <w:rPr>
          <w:rFonts w:ascii="仿宋_GB2312" w:hAnsi="仿宋_GB2312" w:eastAsia="仿宋_GB2312" w:cs="仿宋_GB2312"/>
          <w:color w:val="000000" w:themeColor="text1"/>
          <w:kern w:val="0"/>
          <w:sz w:val="24"/>
          <w:highlight w:val="none"/>
          <w14:textFill>
            <w14:solidFill>
              <w14:schemeClr w14:val="tx1"/>
            </w14:solidFill>
          </w14:textFill>
        </w:rPr>
      </w:pPr>
    </w:p>
    <w:p>
      <w:pPr>
        <w:rPr>
          <w:rFonts w:ascii="仿宋_GB2312" w:hAnsi="仿宋_GB2312" w:eastAsia="仿宋_GB2312" w:cs="仿宋_GB2312"/>
          <w:color w:val="000000" w:themeColor="text1"/>
          <w:kern w:val="0"/>
          <w:sz w:val="24"/>
          <w:highlight w:val="none"/>
          <w:u w:val="none" w:color="000000"/>
          <w14:textFill>
            <w14:solidFill>
              <w14:schemeClr w14:val="tx1"/>
            </w14:solidFill>
          </w14:textFill>
        </w:rPr>
      </w:pPr>
      <w:r>
        <w:rPr>
          <w:rFonts w:hint="eastAsia" w:ascii="仿宋_GB2312" w:hAnsi="仿宋_GB2312" w:eastAsia="仿宋_GB2312" w:cs="仿宋_GB2312"/>
          <w:color w:val="000000" w:themeColor="text1"/>
          <w:kern w:val="0"/>
          <w:sz w:val="24"/>
          <w:highlight w:val="none"/>
          <w:u w:val="none" w:color="000000"/>
          <w14:textFill>
            <w14:solidFill>
              <w14:schemeClr w14:val="tx1"/>
            </w14:solidFill>
          </w14:textFill>
        </w:rPr>
        <w:t xml:space="preserve">陕西省采购招标有限责任公司：   </w:t>
      </w:r>
    </w:p>
    <w:p>
      <w:pPr>
        <w:ind w:firstLine="480"/>
        <w:rPr>
          <w:rFonts w:ascii="仿宋_GB2312" w:hAnsi="仿宋_GB2312" w:eastAsia="仿宋_GB2312" w:cs="仿宋_GB2312"/>
          <w:color w:val="000000" w:themeColor="text1"/>
          <w:kern w:val="0"/>
          <w:sz w:val="24"/>
          <w:highlight w:val="none"/>
          <w14:textFill>
            <w14:solidFill>
              <w14:schemeClr w14:val="tx1"/>
            </w14:solidFill>
          </w14:textFill>
        </w:rPr>
      </w:pPr>
    </w:p>
    <w:p>
      <w:pPr>
        <w:ind w:firstLine="480"/>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我公司承诺</w:t>
      </w:r>
      <w:r>
        <w:rPr>
          <w:rFonts w:hint="eastAsia" w:ascii="仿宋_GB2312" w:hAnsi="仿宋_GB2312" w:eastAsia="仿宋_GB2312" w:cs="仿宋_GB2312"/>
          <w:color w:val="000000" w:themeColor="text1"/>
          <w:sz w:val="24"/>
          <w:highlight w:val="none"/>
          <w14:textFill>
            <w14:solidFill>
              <w14:schemeClr w14:val="tx1"/>
            </w14:solidFill>
          </w14:textFill>
        </w:rPr>
        <w:t>具备履行合同所必需的设备和专业技术能力</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ind w:firstLine="480"/>
        <w:rPr>
          <w:rFonts w:ascii="仿宋_GB2312" w:hAnsi="仿宋_GB2312" w:eastAsia="仿宋_GB2312" w:cs="仿宋_GB2312"/>
          <w:b/>
          <w:color w:val="000000" w:themeColor="text1"/>
          <w:sz w:val="24"/>
          <w:highlight w:val="none"/>
          <w14:textFill>
            <w14:solidFill>
              <w14:schemeClr w14:val="tx1"/>
            </w14:solidFill>
          </w14:textFill>
        </w:rPr>
      </w:pPr>
    </w:p>
    <w:p>
      <w:pPr>
        <w:ind w:firstLine="480"/>
        <w:rPr>
          <w:rFonts w:ascii="仿宋_GB2312" w:hAnsi="仿宋_GB2312" w:eastAsia="仿宋_GB2312" w:cs="仿宋_GB2312"/>
          <w:b/>
          <w:color w:val="000000" w:themeColor="text1"/>
          <w:sz w:val="24"/>
          <w:highlight w:val="none"/>
          <w14:textFill>
            <w14:solidFill>
              <w14:schemeClr w14:val="tx1"/>
            </w14:solidFill>
          </w14:textFill>
        </w:rPr>
      </w:pPr>
    </w:p>
    <w:p>
      <w:pPr>
        <w:ind w:firstLine="480"/>
        <w:rPr>
          <w:rFonts w:ascii="仿宋_GB2312" w:hAnsi="仿宋_GB2312" w:eastAsia="仿宋_GB2312" w:cs="仿宋_GB2312"/>
          <w:b/>
          <w:color w:val="000000" w:themeColor="text1"/>
          <w:sz w:val="24"/>
          <w:highlight w:val="none"/>
          <w14:textFill>
            <w14:solidFill>
              <w14:schemeClr w14:val="tx1"/>
            </w14:solidFill>
          </w14:textFill>
        </w:rPr>
      </w:pPr>
    </w:p>
    <w:p>
      <w:pPr>
        <w:spacing w:before="120" w:after="120" w:line="360" w:lineRule="auto"/>
        <w:ind w:firstLine="480" w:firstLineChars="20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供应商名称（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盖</w:t>
      </w:r>
      <w:r>
        <w:rPr>
          <w:rFonts w:hint="eastAsia" w:ascii="仿宋_GB2312" w:hAnsi="仿宋_GB2312" w:eastAsia="仿宋_GB2312" w:cs="仿宋_GB2312"/>
          <w:color w:val="000000" w:themeColor="text1"/>
          <w:sz w:val="24"/>
          <w:highlight w:val="none"/>
          <w14:textFill>
            <w14:solidFill>
              <w14:schemeClr w14:val="tx1"/>
            </w14:solidFill>
          </w14:textFill>
        </w:rPr>
        <w:t xml:space="preserve">公章）： </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spacing w:before="120" w:after="120" w:line="360" w:lineRule="auto"/>
        <w:ind w:firstLine="480" w:firstLineChars="20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法定代表人或其授权代表（签字或</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盖章</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spacing w:before="120" w:after="120"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日    期：</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月</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日</w:t>
      </w:r>
    </w:p>
    <w:p>
      <w:pPr>
        <w:ind w:right="280"/>
        <w:rPr>
          <w:rFonts w:ascii="仿宋_GB2312" w:hAnsi="仿宋_GB2312" w:eastAsia="仿宋_GB2312" w:cs="仿宋_GB2312"/>
          <w:color w:val="000000" w:themeColor="text1"/>
          <w:sz w:val="24"/>
          <w:highlight w:val="none"/>
          <w14:textFill>
            <w14:solidFill>
              <w14:schemeClr w14:val="tx1"/>
            </w14:solidFill>
          </w14:textFill>
        </w:rPr>
      </w:pPr>
    </w:p>
    <w:p>
      <w:pPr>
        <w:tabs>
          <w:tab w:val="left" w:pos="5580"/>
        </w:tabs>
        <w:spacing w:before="120"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p>
    <w:p>
      <w:pPr>
        <w:widowControl/>
        <w:jc w:val="left"/>
        <w:rPr>
          <w:rFonts w:ascii="仿宋_GB2312" w:hAnsi="仿宋_GB2312" w:eastAsia="仿宋_GB2312" w:cs="仿宋_GB2312"/>
          <w:b/>
          <w:color w:val="000000" w:themeColor="text1"/>
          <w:sz w:val="24"/>
          <w:highlight w:val="none"/>
          <w14:textFill>
            <w14:solidFill>
              <w14:schemeClr w14:val="tx1"/>
            </w14:solidFill>
          </w14:textFill>
        </w:rPr>
      </w:pPr>
    </w:p>
    <w:p>
      <w:pPr>
        <w:numPr>
          <w:ilvl w:val="1"/>
          <w:numId w:val="19"/>
        </w:numPr>
        <w:jc w:val="left"/>
        <w:outlineLvl w:val="2"/>
        <w:rPr>
          <w:rFonts w:ascii="仿宋_GB2312" w:hAnsi="仿宋_GB2312" w:eastAsia="仿宋_GB2312" w:cs="仿宋_GB2312"/>
          <w:b/>
          <w:color w:val="000000" w:themeColor="text1"/>
          <w:sz w:val="24"/>
          <w:szCs w:val="22"/>
          <w:highlight w:val="none"/>
          <w14:textFill>
            <w14:solidFill>
              <w14:schemeClr w14:val="tx1"/>
            </w14:solidFill>
          </w14:textFill>
        </w:rPr>
      </w:pPr>
      <w:bookmarkStart w:id="463" w:name="_Toc7005126"/>
      <w:r>
        <w:rPr>
          <w:rFonts w:hint="eastAsia" w:ascii="仿宋_GB2312" w:hAnsi="仿宋_GB2312" w:eastAsia="仿宋_GB2312" w:cs="仿宋_GB2312"/>
          <w:b/>
          <w:color w:val="000000" w:themeColor="text1"/>
          <w:sz w:val="24"/>
          <w:szCs w:val="22"/>
          <w:highlight w:val="none"/>
          <w14:textFill>
            <w14:solidFill>
              <w14:schemeClr w14:val="tx1"/>
            </w14:solidFill>
          </w14:textFill>
        </w:rPr>
        <w:t>供应商参加政府采购活动前3年内在经营活动中没有重大违法记录的书面声明（格式）</w:t>
      </w:r>
      <w:bookmarkEnd w:id="463"/>
    </w:p>
    <w:p>
      <w:pPr>
        <w:jc w:val="center"/>
        <w:rPr>
          <w:rFonts w:ascii="仿宋_GB2312" w:hAnsi="仿宋_GB2312" w:eastAsia="仿宋_GB2312" w:cs="仿宋_GB2312"/>
          <w:color w:val="000000" w:themeColor="text1"/>
          <w:sz w:val="24"/>
          <w:highlight w:val="none"/>
          <w14:textFill>
            <w14:solidFill>
              <w14:schemeClr w14:val="tx1"/>
            </w14:solidFill>
          </w14:textFill>
        </w:rPr>
      </w:pPr>
    </w:p>
    <w:p>
      <w:pPr>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声明函</w:t>
      </w:r>
    </w:p>
    <w:p>
      <w:pPr>
        <w:jc w:val="center"/>
        <w:rPr>
          <w:rFonts w:ascii="仿宋_GB2312" w:hAnsi="仿宋_GB2312" w:eastAsia="仿宋_GB2312" w:cs="仿宋_GB2312"/>
          <w:color w:val="000000" w:themeColor="text1"/>
          <w:sz w:val="24"/>
          <w:highlight w:val="none"/>
          <w14:textFill>
            <w14:solidFill>
              <w14:schemeClr w14:val="tx1"/>
            </w14:solidFill>
          </w14:textFill>
        </w:rPr>
      </w:pPr>
    </w:p>
    <w:p>
      <w:pPr>
        <w:tabs>
          <w:tab w:val="left" w:pos="5580"/>
        </w:tabs>
        <w:spacing w:before="120" w:line="360" w:lineRule="auto"/>
        <w:rPr>
          <w:rFonts w:ascii="仿宋_GB2312" w:hAnsi="仿宋_GB2312" w:eastAsia="仿宋_GB2312" w:cs="仿宋_GB2312"/>
          <w:color w:val="000000" w:themeColor="text1"/>
          <w:sz w:val="24"/>
          <w:highlight w:val="none"/>
          <w:u w:val="none" w:color="000000"/>
          <w14:textFill>
            <w14:solidFill>
              <w14:schemeClr w14:val="tx1"/>
            </w14:solidFill>
          </w14:textFill>
        </w:rPr>
      </w:pPr>
      <w:r>
        <w:rPr>
          <w:rFonts w:hint="eastAsia" w:ascii="仿宋_GB2312" w:hAnsi="仿宋_GB2312" w:eastAsia="仿宋_GB2312" w:cs="仿宋_GB2312"/>
          <w:color w:val="000000" w:themeColor="text1"/>
          <w:sz w:val="24"/>
          <w:highlight w:val="none"/>
          <w:u w:val="none" w:color="000000"/>
          <w14:textFill>
            <w14:solidFill>
              <w14:schemeClr w14:val="tx1"/>
            </w14:solidFill>
          </w14:textFill>
        </w:rPr>
        <w:t>陕西省采购招标有限责任公司</w:t>
      </w:r>
      <w:r>
        <w:rPr>
          <w:rFonts w:hint="eastAsia" w:ascii="仿宋_GB2312" w:hAnsi="仿宋_GB2312" w:eastAsia="仿宋_GB2312" w:cs="仿宋_GB2312"/>
          <w:color w:val="000000" w:themeColor="text1"/>
          <w:sz w:val="24"/>
          <w:highlight w:val="none"/>
          <w:u w:val="none" w:color="000000"/>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u w:val="none" w:color="000000"/>
          <w14:textFill>
            <w14:solidFill>
              <w14:schemeClr w14:val="tx1"/>
            </w14:solidFill>
          </w14:textFill>
        </w:rPr>
        <w:t xml:space="preserve">  </w:t>
      </w:r>
    </w:p>
    <w:p>
      <w:pPr>
        <w:tabs>
          <w:tab w:val="left" w:pos="5580"/>
        </w:tabs>
        <w:spacing w:before="120"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p>
    <w:p>
      <w:pPr>
        <w:tabs>
          <w:tab w:val="left" w:pos="5580"/>
        </w:tabs>
        <w:spacing w:before="120"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特此声明。</w:t>
      </w:r>
    </w:p>
    <w:p>
      <w:pPr>
        <w:tabs>
          <w:tab w:val="left" w:pos="5580"/>
        </w:tabs>
        <w:spacing w:before="120"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p>
    <w:p>
      <w:pPr>
        <w:spacing w:before="120" w:after="120" w:line="360" w:lineRule="auto"/>
        <w:ind w:firstLine="480" w:firstLineChars="20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供应商名称（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盖</w:t>
      </w:r>
      <w:r>
        <w:rPr>
          <w:rFonts w:hint="eastAsia" w:ascii="仿宋_GB2312" w:hAnsi="仿宋_GB2312" w:eastAsia="仿宋_GB2312" w:cs="仿宋_GB2312"/>
          <w:color w:val="000000" w:themeColor="text1"/>
          <w:sz w:val="24"/>
          <w:highlight w:val="none"/>
          <w14:textFill>
            <w14:solidFill>
              <w14:schemeClr w14:val="tx1"/>
            </w14:solidFill>
          </w14:textFill>
        </w:rPr>
        <w:t xml:space="preserve">公章）： </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spacing w:before="120" w:after="120" w:line="360" w:lineRule="auto"/>
        <w:ind w:firstLine="480" w:firstLineChars="20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法定代表人或其授权代表（签字或</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盖章</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spacing w:before="120" w:after="120"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日    期：</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月</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日</w:t>
      </w:r>
    </w:p>
    <w:p>
      <w:pPr>
        <w:spacing w:after="120"/>
        <w:rPr>
          <w:rFonts w:ascii="仿宋_GB2312" w:hAnsi="仿宋_GB2312" w:eastAsia="仿宋_GB2312" w:cs="仿宋_GB2312"/>
          <w:color w:val="000000" w:themeColor="text1"/>
          <w:highlight w:val="none"/>
          <w14:textFill>
            <w14:solidFill>
              <w14:schemeClr w14:val="tx1"/>
            </w14:solidFill>
          </w14:textFill>
        </w:rPr>
      </w:pPr>
    </w:p>
    <w:p>
      <w:pPr>
        <w:spacing w:after="120"/>
        <w:rPr>
          <w:rFonts w:ascii="仿宋_GB2312" w:hAnsi="仿宋_GB2312" w:eastAsia="仿宋_GB2312" w:cs="仿宋_GB2312"/>
          <w:color w:val="000000" w:themeColor="text1"/>
          <w:highlight w:val="none"/>
          <w14:textFill>
            <w14:solidFill>
              <w14:schemeClr w14:val="tx1"/>
            </w14:solidFill>
          </w14:textFill>
        </w:rPr>
      </w:pPr>
    </w:p>
    <w:p>
      <w:pPr>
        <w:numPr>
          <w:ilvl w:val="1"/>
          <w:numId w:val="20"/>
        </w:numPr>
        <w:jc w:val="left"/>
        <w:outlineLvl w:val="2"/>
        <w:rPr>
          <w:rFonts w:ascii="仿宋_GB2312" w:hAnsi="仿宋_GB2312" w:eastAsia="仿宋_GB2312" w:cs="仿宋_GB2312"/>
          <w:b/>
          <w:color w:val="000000" w:themeColor="text1"/>
          <w:sz w:val="24"/>
          <w:szCs w:val="22"/>
          <w:highlight w:val="none"/>
          <w14:textFill>
            <w14:solidFill>
              <w14:schemeClr w14:val="tx1"/>
            </w14:solidFill>
          </w14:textFill>
        </w:rPr>
      </w:pPr>
      <w:bookmarkStart w:id="464" w:name="_Toc7005127"/>
      <w:r>
        <w:rPr>
          <w:rFonts w:hint="eastAsia" w:ascii="仿宋_GB2312" w:hAnsi="仿宋_GB2312" w:eastAsia="仿宋_GB2312" w:cs="仿宋_GB2312"/>
          <w:b/>
          <w:color w:val="000000" w:themeColor="text1"/>
          <w:sz w:val="24"/>
          <w:szCs w:val="22"/>
          <w:highlight w:val="none"/>
          <w14:textFill>
            <w14:solidFill>
              <w14:schemeClr w14:val="tx1"/>
            </w14:solidFill>
          </w14:textFill>
        </w:rPr>
        <w:t xml:space="preserve"> 供应商控股股东名称、控股公司的名称和存在管理、被管理关系的单位名称说明</w:t>
      </w:r>
      <w:bookmarkEnd w:id="464"/>
    </w:p>
    <w:p>
      <w:pPr>
        <w:ind w:firstLine="420"/>
        <w:rPr>
          <w:rFonts w:ascii="仿宋_GB2312" w:hAnsi="仿宋_GB2312" w:eastAsia="仿宋_GB2312" w:cs="仿宋_GB2312"/>
          <w:color w:val="000000" w:themeColor="text1"/>
          <w:szCs w:val="21"/>
          <w:highlight w:val="none"/>
          <w14:textFill>
            <w14:solidFill>
              <w14:schemeClr w14:val="tx1"/>
            </w14:solidFill>
          </w14:textFill>
        </w:rPr>
      </w:pPr>
    </w:p>
    <w:p>
      <w:pP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陕西省采购招标有限责任公司</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pPr>
        <w:spacing w:after="120"/>
        <w:rPr>
          <w:rFonts w:ascii="仿宋_GB2312" w:hAnsi="仿宋_GB2312" w:eastAsia="仿宋_GB2312" w:cs="仿宋_GB2312"/>
          <w:color w:val="000000" w:themeColor="text1"/>
          <w:highlight w:val="none"/>
          <w14:textFill>
            <w14:solidFill>
              <w14:schemeClr w14:val="tx1"/>
            </w14:solidFill>
          </w14:textFill>
        </w:rPr>
      </w:pPr>
    </w:p>
    <w:p>
      <w:pPr>
        <w:ind w:firstLine="426"/>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与我方的法定代表人（单位负责人）为同一人的企业如下：</w:t>
      </w:r>
    </w:p>
    <w:p>
      <w:pPr>
        <w:ind w:firstLine="426"/>
        <w:rPr>
          <w:rFonts w:ascii="仿宋_GB2312" w:hAnsi="仿宋_GB2312" w:eastAsia="仿宋_GB2312" w:cs="仿宋_GB2312"/>
          <w:color w:val="000000" w:themeColor="text1"/>
          <w:sz w:val="24"/>
          <w:highlight w:val="none"/>
          <w14:textFill>
            <w14:solidFill>
              <w14:schemeClr w14:val="tx1"/>
            </w14:solidFill>
          </w14:textFill>
        </w:rPr>
      </w:pPr>
    </w:p>
    <w:p>
      <w:pPr>
        <w:ind w:firstLine="426"/>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我方的控股股东如下：</w:t>
      </w:r>
    </w:p>
    <w:p>
      <w:pPr>
        <w:ind w:firstLine="426"/>
        <w:rPr>
          <w:rFonts w:ascii="仿宋_GB2312" w:hAnsi="仿宋_GB2312" w:eastAsia="仿宋_GB2312" w:cs="仿宋_GB2312"/>
          <w:color w:val="000000" w:themeColor="text1"/>
          <w:sz w:val="24"/>
          <w:highlight w:val="none"/>
          <w14:textFill>
            <w14:solidFill>
              <w14:schemeClr w14:val="tx1"/>
            </w14:solidFill>
          </w14:textFill>
        </w:rPr>
      </w:pPr>
    </w:p>
    <w:p>
      <w:pPr>
        <w:ind w:firstLine="426"/>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我方直接控股的企业如下：</w:t>
      </w:r>
    </w:p>
    <w:p>
      <w:pPr>
        <w:ind w:firstLine="426"/>
        <w:rPr>
          <w:rFonts w:ascii="仿宋_GB2312" w:hAnsi="仿宋_GB2312" w:eastAsia="仿宋_GB2312" w:cs="仿宋_GB2312"/>
          <w:color w:val="000000" w:themeColor="text1"/>
          <w:sz w:val="24"/>
          <w:highlight w:val="none"/>
          <w14:textFill>
            <w14:solidFill>
              <w14:schemeClr w14:val="tx1"/>
            </w14:solidFill>
          </w14:textFill>
        </w:rPr>
      </w:pPr>
    </w:p>
    <w:p>
      <w:pPr>
        <w:ind w:firstLine="426"/>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与我方存在管理、被管理关系的单位名称如下：</w:t>
      </w:r>
    </w:p>
    <w:p>
      <w:pPr>
        <w:ind w:firstLine="426"/>
        <w:rPr>
          <w:rFonts w:ascii="仿宋_GB2312" w:hAnsi="仿宋_GB2312" w:eastAsia="仿宋_GB2312" w:cs="仿宋_GB2312"/>
          <w:color w:val="000000" w:themeColor="text1"/>
          <w:sz w:val="24"/>
          <w:highlight w:val="none"/>
          <w14:textFill>
            <w14:solidFill>
              <w14:schemeClr w14:val="tx1"/>
            </w14:solidFill>
          </w14:textFill>
        </w:rPr>
      </w:pPr>
    </w:p>
    <w:p>
      <w:pPr>
        <w:ind w:firstLine="426"/>
        <w:rPr>
          <w:rFonts w:ascii="仿宋_GB2312" w:hAnsi="仿宋_GB2312" w:eastAsia="仿宋_GB2312" w:cs="仿宋_GB2312"/>
          <w:color w:val="000000" w:themeColor="text1"/>
          <w:szCs w:val="21"/>
          <w:highlight w:val="none"/>
          <w14:textFill>
            <w14:solidFill>
              <w14:schemeClr w14:val="tx1"/>
            </w14:solidFill>
          </w14:textFill>
        </w:rPr>
      </w:pPr>
    </w:p>
    <w:p>
      <w:pPr>
        <w:spacing w:before="120" w:after="120" w:line="360" w:lineRule="auto"/>
        <w:ind w:firstLine="480" w:firstLineChars="20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供应商名称（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盖</w:t>
      </w:r>
      <w:r>
        <w:rPr>
          <w:rFonts w:hint="eastAsia" w:ascii="仿宋_GB2312" w:hAnsi="仿宋_GB2312" w:eastAsia="仿宋_GB2312" w:cs="仿宋_GB2312"/>
          <w:color w:val="000000" w:themeColor="text1"/>
          <w:sz w:val="24"/>
          <w:highlight w:val="none"/>
          <w14:textFill>
            <w14:solidFill>
              <w14:schemeClr w14:val="tx1"/>
            </w14:solidFill>
          </w14:textFill>
        </w:rPr>
        <w:t xml:space="preserve">公章）： </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spacing w:before="120" w:after="120" w:line="360" w:lineRule="auto"/>
        <w:ind w:firstLine="480" w:firstLineChars="20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法定代表人或其授权代表（签字或</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盖章</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spacing w:before="120" w:after="120"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日    期：</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月</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日</w:t>
      </w:r>
    </w:p>
    <w:p>
      <w:pPr>
        <w:ind w:firstLine="420" w:firstLineChars="200"/>
        <w:rPr>
          <w:rFonts w:ascii="仿宋_GB2312" w:hAnsi="仿宋_GB2312" w:eastAsia="仿宋_GB2312" w:cs="仿宋_GB2312"/>
          <w:color w:val="000000" w:themeColor="text1"/>
          <w:szCs w:val="21"/>
          <w:highlight w:val="none"/>
          <w14:textFill>
            <w14:solidFill>
              <w14:schemeClr w14:val="tx1"/>
            </w14:solidFill>
          </w14:textFill>
        </w:rPr>
      </w:pPr>
    </w:p>
    <w:p>
      <w:pPr>
        <w:ind w:firstLine="420" w:firstLineChars="200"/>
        <w:rPr>
          <w:rFonts w:ascii="仿宋_GB2312" w:hAnsi="仿宋_GB2312" w:eastAsia="仿宋_GB2312" w:cs="仿宋_GB2312"/>
          <w:color w:val="000000" w:themeColor="text1"/>
          <w:szCs w:val="21"/>
          <w:highlight w:val="none"/>
          <w14:textFill>
            <w14:solidFill>
              <w14:schemeClr w14:val="tx1"/>
            </w14:solidFill>
          </w14:textFill>
        </w:rPr>
      </w:pPr>
    </w:p>
    <w:p>
      <w:pPr>
        <w:ind w:firstLine="420" w:firstLineChars="200"/>
        <w:rPr>
          <w:rFonts w:ascii="仿宋_GB2312" w:hAnsi="仿宋_GB2312" w:eastAsia="仿宋_GB2312" w:cs="仿宋_GB2312"/>
          <w:color w:val="000000" w:themeColor="text1"/>
          <w:szCs w:val="21"/>
          <w:highlight w:val="none"/>
          <w14:textFill>
            <w14:solidFill>
              <w14:schemeClr w14:val="tx1"/>
            </w14:solidFill>
          </w14:textFill>
        </w:rPr>
      </w:pPr>
    </w:p>
    <w:p>
      <w:pPr>
        <w:ind w:firstLine="420" w:firstLineChars="200"/>
        <w:rPr>
          <w:rFonts w:ascii="仿宋_GB2312" w:hAnsi="仿宋_GB2312" w:eastAsia="仿宋_GB2312" w:cs="仿宋_GB2312"/>
          <w:color w:val="000000" w:themeColor="text1"/>
          <w:szCs w:val="21"/>
          <w:highlight w:val="none"/>
          <w14:textFill>
            <w14:solidFill>
              <w14:schemeClr w14:val="tx1"/>
            </w14:solidFill>
          </w14:textFill>
        </w:rPr>
      </w:pPr>
    </w:p>
    <w:p>
      <w:pPr>
        <w:numPr>
          <w:ilvl w:val="1"/>
          <w:numId w:val="20"/>
        </w:numPr>
        <w:jc w:val="left"/>
        <w:outlineLvl w:val="2"/>
        <w:rPr>
          <w:rFonts w:ascii="仿宋_GB2312" w:hAnsi="仿宋_GB2312" w:eastAsia="仿宋_GB2312" w:cs="仿宋_GB2312"/>
          <w:b/>
          <w:color w:val="000000" w:themeColor="text1"/>
          <w:sz w:val="24"/>
          <w:szCs w:val="22"/>
          <w:highlight w:val="none"/>
          <w14:textFill>
            <w14:solidFill>
              <w14:schemeClr w14:val="tx1"/>
            </w14:solidFill>
          </w14:textFill>
        </w:rPr>
      </w:pPr>
      <w:bookmarkStart w:id="465" w:name="_Toc7005128"/>
      <w:r>
        <w:rPr>
          <w:rFonts w:hint="eastAsia" w:ascii="仿宋_GB2312" w:hAnsi="仿宋_GB2312" w:eastAsia="仿宋_GB2312" w:cs="仿宋_GB2312"/>
          <w:b/>
          <w:color w:val="000000" w:themeColor="text1"/>
          <w:sz w:val="24"/>
          <w:szCs w:val="22"/>
          <w:highlight w:val="none"/>
          <w14:textFill>
            <w14:solidFill>
              <w14:schemeClr w14:val="tx1"/>
            </w14:solidFill>
          </w14:textFill>
        </w:rPr>
        <w:t xml:space="preserve"> 供应商是否属于为本项目提供整体设计、规范编制或者项目管理、监理、检测等服务的供应商声明</w:t>
      </w:r>
      <w:bookmarkEnd w:id="465"/>
    </w:p>
    <w:p>
      <w:pPr>
        <w:ind w:firstLine="420"/>
        <w:rPr>
          <w:rFonts w:ascii="仿宋_GB2312" w:hAnsi="仿宋_GB2312" w:eastAsia="仿宋_GB2312" w:cs="仿宋_GB2312"/>
          <w:color w:val="000000" w:themeColor="text1"/>
          <w:szCs w:val="21"/>
          <w:highlight w:val="none"/>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陕西省采购招标有限责任公司：</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我方</w:t>
      </w:r>
      <w:r>
        <w:rPr>
          <w:rFonts w:eastAsia="仿宋_GB2312"/>
          <w:color w:val="000000" w:themeColor="text1"/>
          <w:sz w:val="24"/>
          <w:u w:val="single"/>
          <w14:textFill>
            <w14:solidFill>
              <w14:schemeClr w14:val="tx1"/>
            </w14:solidFill>
          </w14:textFill>
        </w:rPr>
        <w:t xml:space="preserve"> 不属于 </w:t>
      </w:r>
      <w:r>
        <w:rPr>
          <w:rFonts w:eastAsia="仿宋_GB2312"/>
          <w:color w:val="000000" w:themeColor="text1"/>
          <w:sz w:val="24"/>
          <w14:textFill>
            <w14:solidFill>
              <w14:schemeClr w14:val="tx1"/>
            </w14:solidFill>
          </w14:textFill>
        </w:rPr>
        <w:t>为本项目提供整体设计、规范编制或者项目管理、监理、检测等服务的供应商。</w:t>
      </w:r>
    </w:p>
    <w:p>
      <w:pPr>
        <w:ind w:firstLine="426"/>
        <w:rPr>
          <w:rFonts w:eastAsia="仿宋_GB2312"/>
          <w:color w:val="000000" w:themeColor="text1"/>
          <w:sz w:val="24"/>
          <w14:textFill>
            <w14:solidFill>
              <w14:schemeClr w14:val="tx1"/>
            </w14:solidFill>
          </w14:textFill>
        </w:rPr>
      </w:pPr>
    </w:p>
    <w:p>
      <w:pPr>
        <w:ind w:firstLine="426"/>
        <w:rPr>
          <w:rFonts w:eastAsia="仿宋_GB2312"/>
          <w:color w:val="000000" w:themeColor="text1"/>
          <w:szCs w:val="21"/>
          <w14:textFill>
            <w14:solidFill>
              <w14:schemeClr w14:val="tx1"/>
            </w14:solidFill>
          </w14:textFill>
        </w:rPr>
      </w:pPr>
    </w:p>
    <w:p>
      <w:pPr>
        <w:spacing w:before="120" w:after="120" w:line="360" w:lineRule="auto"/>
        <w:ind w:firstLine="480" w:firstLineChars="2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供应商（</w:t>
      </w:r>
      <w:r>
        <w:rPr>
          <w:rFonts w:hint="eastAsia" w:eastAsia="仿宋_GB2312"/>
          <w:color w:val="000000" w:themeColor="text1"/>
          <w:sz w:val="24"/>
          <w:lang w:val="en-US" w:eastAsia="zh-CN"/>
          <w14:textFill>
            <w14:solidFill>
              <w14:schemeClr w14:val="tx1"/>
            </w14:solidFill>
          </w14:textFill>
        </w:rPr>
        <w:t>盖</w:t>
      </w:r>
      <w:r>
        <w:rPr>
          <w:rFonts w:eastAsia="仿宋_GB2312"/>
          <w:color w:val="000000" w:themeColor="text1"/>
          <w:sz w:val="24"/>
          <w14:textFill>
            <w14:solidFill>
              <w14:schemeClr w14:val="tx1"/>
            </w14:solidFill>
          </w14:textFill>
        </w:rPr>
        <w:t xml:space="preserve">公章）： </w:t>
      </w:r>
      <w:r>
        <w:rPr>
          <w:rFonts w:eastAsia="仿宋_GB2312"/>
          <w:color w:val="000000" w:themeColor="text1"/>
          <w:sz w:val="24"/>
          <w:u w:val="single"/>
          <w14:textFill>
            <w14:solidFill>
              <w14:schemeClr w14:val="tx1"/>
            </w14:solidFill>
          </w14:textFill>
        </w:rPr>
        <w:t xml:space="preserve">              </w:t>
      </w:r>
    </w:p>
    <w:p>
      <w:pPr>
        <w:spacing w:before="120" w:after="120" w:line="360" w:lineRule="auto"/>
        <w:ind w:firstLine="480" w:firstLineChars="2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法定代表人或其授权代表（签字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widowControl/>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日    期：</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年</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月</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日</w:t>
      </w:r>
    </w:p>
    <w:p>
      <w:pPr>
        <w:pStyle w:val="2"/>
        <w:rPr>
          <w:rFonts w:eastAsia="仿宋_GB2312"/>
          <w:color w:val="000000" w:themeColor="text1"/>
          <w:sz w:val="24"/>
          <w14:textFill>
            <w14:solidFill>
              <w14:schemeClr w14:val="tx1"/>
            </w14:solidFill>
          </w14:textFill>
        </w:rPr>
      </w:pPr>
    </w:p>
    <w:p>
      <w:pPr>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br w:type="page"/>
      </w:r>
    </w:p>
    <w:p>
      <w:pPr>
        <w:pStyle w:val="2"/>
        <w:rPr>
          <w:color w:val="000000" w:themeColor="text1"/>
          <w14:textFill>
            <w14:solidFill>
              <w14:schemeClr w14:val="tx1"/>
            </w14:solidFill>
          </w14:textFill>
        </w:rPr>
      </w:pPr>
    </w:p>
    <w:p>
      <w:pPr>
        <w:numPr>
          <w:ilvl w:val="1"/>
          <w:numId w:val="20"/>
        </w:numPr>
        <w:spacing w:line="360" w:lineRule="auto"/>
        <w:jc w:val="left"/>
        <w:outlineLvl w:val="2"/>
        <w:rPr>
          <w:rFonts w:ascii="仿宋_GB2312" w:hAnsi="仿宋_GB2312" w:eastAsia="仿宋_GB2312" w:cs="仿宋_GB2312"/>
          <w:b/>
          <w:color w:val="000000" w:themeColor="text1"/>
          <w:sz w:val="24"/>
          <w:szCs w:val="22"/>
          <w:highlight w:val="none"/>
          <w14:textFill>
            <w14:solidFill>
              <w14:schemeClr w14:val="tx1"/>
            </w14:solidFill>
          </w14:textFill>
        </w:rPr>
      </w:pPr>
      <w:r>
        <w:rPr>
          <w:rFonts w:hint="eastAsia" w:ascii="仿宋_GB2312" w:hAnsi="仿宋_GB2312" w:eastAsia="仿宋_GB2312" w:cs="仿宋_GB2312"/>
          <w:b/>
          <w:color w:val="000000" w:themeColor="text1"/>
          <w:sz w:val="24"/>
          <w:szCs w:val="22"/>
          <w:highlight w:val="none"/>
          <w14:textFill>
            <w14:solidFill>
              <w14:schemeClr w14:val="tx1"/>
            </w14:solidFill>
          </w14:textFill>
        </w:rPr>
        <w:t xml:space="preserve"> 供应商须</w:t>
      </w:r>
      <w:r>
        <w:rPr>
          <w:rFonts w:hint="eastAsia" w:ascii="仿宋_GB2312" w:hAnsi="仿宋_GB2312" w:eastAsia="仿宋_GB2312" w:cs="仿宋_GB2312"/>
          <w:b/>
          <w:color w:val="000000" w:themeColor="text1"/>
          <w:sz w:val="24"/>
          <w:szCs w:val="22"/>
          <w:highlight w:val="none"/>
          <w:lang w:eastAsia="zh-CN"/>
          <w14:textFill>
            <w14:solidFill>
              <w14:schemeClr w14:val="tx1"/>
            </w14:solidFill>
          </w14:textFill>
        </w:rPr>
        <w:t>具备</w:t>
      </w:r>
      <w:r>
        <w:rPr>
          <w:rFonts w:hint="eastAsia" w:ascii="仿宋_GB2312" w:hAnsi="仿宋_GB2312" w:eastAsia="仿宋_GB2312" w:cs="仿宋_GB2312"/>
          <w:b/>
          <w:color w:val="000000" w:themeColor="text1"/>
          <w:sz w:val="24"/>
          <w:szCs w:val="22"/>
          <w:highlight w:val="none"/>
          <w14:textFill>
            <w14:solidFill>
              <w14:schemeClr w14:val="tx1"/>
            </w14:solidFill>
          </w14:textFill>
        </w:rPr>
        <w:t>土地规划乙级（含乙级）以上资质</w:t>
      </w:r>
    </w:p>
    <w:p>
      <w:pPr>
        <w:pStyle w:val="2"/>
        <w:rPr>
          <w:rFonts w:ascii="仿宋_GB2312" w:hAnsi="仿宋_GB2312" w:eastAsia="仿宋_GB2312" w:cs="仿宋_GB2312"/>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说明：供应商须提供</w:t>
      </w:r>
      <w:r>
        <w:rPr>
          <w:rFonts w:hint="eastAsia" w:ascii="仿宋" w:hAnsi="仿宋" w:eastAsia="仿宋" w:cs="仿宋"/>
          <w:color w:val="000000" w:themeColor="text1"/>
          <w:highlight w:val="none"/>
          <w:lang w:eastAsia="zh-CN"/>
          <w14:textFill>
            <w14:solidFill>
              <w14:schemeClr w14:val="tx1"/>
            </w14:solidFill>
          </w14:textFill>
        </w:rPr>
        <w:t>资质证书</w:t>
      </w:r>
      <w:r>
        <w:rPr>
          <w:rFonts w:hint="eastAsia" w:ascii="仿宋" w:hAnsi="仿宋" w:eastAsia="仿宋" w:cs="仿宋"/>
          <w:color w:val="000000" w:themeColor="text1"/>
          <w:highlight w:val="none"/>
          <w14:textFill>
            <w14:solidFill>
              <w14:schemeClr w14:val="tx1"/>
            </w14:solidFill>
          </w14:textFill>
        </w:rPr>
        <w:t>复印件</w:t>
      </w:r>
      <w:r>
        <w:rPr>
          <w:rFonts w:hint="eastAsia" w:ascii="仿宋" w:hAnsi="仿宋" w:eastAsia="仿宋" w:cs="仿宋"/>
          <w:color w:val="000000" w:themeColor="text1"/>
          <w:highlight w:val="none"/>
          <w:lang w:eastAsia="zh-CN"/>
          <w14:textFill>
            <w14:solidFill>
              <w14:schemeClr w14:val="tx1"/>
            </w14:solidFill>
          </w14:textFill>
        </w:rPr>
        <w:t>并加盖公章。</w:t>
      </w:r>
    </w:p>
    <w:p>
      <w:pPr>
        <w:pStyle w:val="196"/>
        <w:ind w:firstLine="0"/>
        <w:outlineLvl w:val="2"/>
        <w:rPr>
          <w:rFonts w:hint="eastAsia" w:ascii="仿宋_GB2312" w:hAnsi="仿宋_GB2312" w:eastAsia="仿宋_GB2312" w:cs="仿宋_GB2312"/>
          <w:b/>
          <w:color w:val="000000" w:themeColor="text1"/>
          <w:kern w:val="2"/>
          <w:sz w:val="24"/>
          <w:szCs w:val="22"/>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2"/>
          <w:highlight w:val="none"/>
          <w:lang w:val="en-US" w:eastAsia="zh-CN" w:bidi="ar-SA"/>
          <w14:textFill>
            <w14:solidFill>
              <w14:schemeClr w14:val="tx1"/>
            </w14:solidFill>
          </w14:textFill>
        </w:rPr>
        <w:t>6-10小微企业、监狱企业、残疾人福利单位声明函或证明</w:t>
      </w:r>
    </w:p>
    <w:p>
      <w:pPr>
        <w:pStyle w:val="196"/>
        <w:rPr>
          <w:rFonts w:ascii="仿宋" w:hAnsi="仿宋" w:eastAsia="仿宋"/>
          <w:b/>
          <w:bCs/>
          <w:color w:val="000000" w:themeColor="text1"/>
          <w:sz w:val="32"/>
          <w:szCs w:val="32"/>
          <w:highlight w:val="none"/>
          <w14:textFill>
            <w14:solidFill>
              <w14:schemeClr w14:val="tx1"/>
            </w14:solidFill>
          </w14:textFill>
        </w:rPr>
      </w:pPr>
    </w:p>
    <w:p>
      <w:pPr>
        <w:jc w:val="center"/>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一、中小企业声明函</w:t>
      </w:r>
    </w:p>
    <w:p>
      <w:pPr>
        <w:rPr>
          <w:rFonts w:ascii="仿宋_GB2312" w:hAnsi="仿宋_GB2312" w:eastAsia="仿宋_GB2312" w:cs="仿宋_GB2312"/>
          <w:color w:val="000000" w:themeColor="text1"/>
          <w:kern w:val="0"/>
          <w:sz w:val="30"/>
          <w:szCs w:val="30"/>
          <w:highlight w:val="none"/>
          <w14:textFill>
            <w14:solidFill>
              <w14:schemeClr w14:val="tx1"/>
            </w14:solidFill>
          </w14:textFill>
        </w:rPr>
      </w:pPr>
    </w:p>
    <w:p>
      <w:pPr>
        <w:spacing w:line="560" w:lineRule="exact"/>
        <w:ind w:firstLine="480" w:firstLineChars="200"/>
        <w:rPr>
          <w:rFonts w:eastAsia="仿宋_GB2312"/>
          <w:color w:val="000000" w:themeColor="text1"/>
          <w:kern w:val="0"/>
          <w:sz w:val="24"/>
          <w14:textFill>
            <w14:solidFill>
              <w14:schemeClr w14:val="tx1"/>
            </w14:solidFill>
          </w14:textFill>
        </w:rPr>
      </w:pPr>
      <w:bookmarkStart w:id="466" w:name="_Toc7005133"/>
      <w:r>
        <w:rPr>
          <w:rFonts w:eastAsia="仿宋_GB2312"/>
          <w:color w:val="000000" w:themeColor="text1"/>
          <w:kern w:val="0"/>
          <w:sz w:val="24"/>
          <w14:textFill>
            <w14:solidFill>
              <w14:schemeClr w14:val="tx1"/>
            </w14:solidFill>
          </w14:textFill>
        </w:rPr>
        <w:t>本公司</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联合体</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郑重声明，根据《政府采购促进中小企业发展管理办法》</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财库</w:t>
      </w:r>
      <w:r>
        <w:rPr>
          <w:rFonts w:hint="eastAsia" w:eastAsia="仿宋_GB2312"/>
          <w:color w:val="000000" w:themeColor="text1"/>
          <w:kern w:val="0"/>
          <w:sz w:val="24"/>
          <w14:textFill>
            <w14:solidFill>
              <w14:schemeClr w14:val="tx1"/>
            </w14:solidFill>
          </w14:textFill>
        </w:rPr>
        <w:t>﹝</w:t>
      </w:r>
      <w:r>
        <w:rPr>
          <w:rFonts w:eastAsia="仿宋_GB2312"/>
          <w:color w:val="000000" w:themeColor="text1"/>
          <w:kern w:val="0"/>
          <w:sz w:val="24"/>
          <w14:textFill>
            <w14:solidFill>
              <w14:schemeClr w14:val="tx1"/>
            </w14:solidFill>
          </w14:textFill>
        </w:rPr>
        <w:t>2020</w:t>
      </w:r>
      <w:r>
        <w:rPr>
          <w:rFonts w:hint="eastAsia" w:eastAsia="仿宋_GB2312"/>
          <w:color w:val="000000" w:themeColor="text1"/>
          <w:kern w:val="0"/>
          <w:sz w:val="24"/>
          <w14:textFill>
            <w14:solidFill>
              <w14:schemeClr w14:val="tx1"/>
            </w14:solidFill>
          </w14:textFill>
        </w:rPr>
        <w:t>﹞</w:t>
      </w:r>
      <w:r>
        <w:rPr>
          <w:rFonts w:eastAsia="仿宋_GB2312"/>
          <w:color w:val="000000" w:themeColor="text1"/>
          <w:kern w:val="0"/>
          <w:sz w:val="24"/>
          <w14:textFill>
            <w14:solidFill>
              <w14:schemeClr w14:val="tx1"/>
            </w14:solidFill>
          </w14:textFill>
        </w:rPr>
        <w:t>46号</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的规定，本公司</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联合体</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参加</w:t>
      </w:r>
      <w:r>
        <w:rPr>
          <w:rFonts w:eastAsia="仿宋_GB2312"/>
          <w:color w:val="000000" w:themeColor="text1"/>
          <w:kern w:val="0"/>
          <w:sz w:val="24"/>
          <w:u w:val="single"/>
          <w14:textFill>
            <w14:solidFill>
              <w14:schemeClr w14:val="tx1"/>
            </w14:solidFill>
          </w14:textFill>
        </w:rPr>
        <w:t xml:space="preserve">  </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单位名称</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 xml:space="preserve"> </w:t>
      </w:r>
      <w:r>
        <w:rPr>
          <w:rFonts w:eastAsia="仿宋_GB2312"/>
          <w:color w:val="000000" w:themeColor="text1"/>
          <w:kern w:val="0"/>
          <w:sz w:val="24"/>
          <w14:textFill>
            <w14:solidFill>
              <w14:schemeClr w14:val="tx1"/>
            </w14:solidFill>
          </w14:textFill>
        </w:rPr>
        <w:t xml:space="preserve"> 的</w:t>
      </w:r>
      <w:r>
        <w:rPr>
          <w:rFonts w:eastAsia="仿宋_GB2312"/>
          <w:color w:val="000000" w:themeColor="text1"/>
          <w:kern w:val="0"/>
          <w:sz w:val="24"/>
          <w:u w:val="single"/>
          <w14:textFill>
            <w14:solidFill>
              <w14:schemeClr w14:val="tx1"/>
            </w14:solidFill>
          </w14:textFill>
        </w:rPr>
        <w:t xml:space="preserve"> </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项目名称</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 xml:space="preserve"> 采购</w:t>
      </w:r>
      <w:r>
        <w:rPr>
          <w:rFonts w:eastAsia="仿宋_GB2312"/>
          <w:color w:val="000000" w:themeColor="text1"/>
          <w:kern w:val="0"/>
          <w:sz w:val="24"/>
          <w14:textFill>
            <w14:solidFill>
              <w14:schemeClr w14:val="tx1"/>
            </w14:solidFill>
          </w14:textFill>
        </w:rPr>
        <w:t>活动，工程的施工单位全部为符合政策要求的中小企业</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或者</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服务全部由符合政策要求的中小企业承接</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。相关企业</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含联合体中的中小企业、签订分包意向协议的中小企业</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的具体情况如下：</w:t>
      </w:r>
    </w:p>
    <w:p>
      <w:pPr>
        <w:pStyle w:val="68"/>
        <w:numPr>
          <w:ilvl w:val="0"/>
          <w:numId w:val="21"/>
        </w:numPr>
        <w:spacing w:line="560" w:lineRule="exact"/>
        <w:ind w:left="0" w:leftChars="0" w:firstLine="600" w:firstLineChars="0"/>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hint="eastAsia" w:ascii="Times New Roman" w:hAnsi="Times New Roman" w:eastAsia="仿宋_GB2312"/>
          <w:color w:val="000000" w:themeColor="text1"/>
          <w:kern w:val="0"/>
          <w:sz w:val="24"/>
          <w:szCs w:val="24"/>
          <w:u w:val="single"/>
          <w:lang w:eastAsia="zh-CN"/>
          <w14:textFill>
            <w14:solidFill>
              <w14:schemeClr w14:val="tx1"/>
            </w14:solidFill>
          </w14:textFill>
        </w:rPr>
        <w:t>（</w:t>
      </w:r>
      <w:r>
        <w:rPr>
          <w:rFonts w:ascii="Times New Roman" w:hAnsi="Times New Roman" w:eastAsia="仿宋_GB2312"/>
          <w:color w:val="000000" w:themeColor="text1"/>
          <w:kern w:val="0"/>
          <w:sz w:val="24"/>
          <w:szCs w:val="24"/>
          <w:u w:val="single"/>
          <w14:textFill>
            <w14:solidFill>
              <w14:schemeClr w14:val="tx1"/>
            </w14:solidFill>
          </w14:textFill>
        </w:rPr>
        <w:t>标的名称</w:t>
      </w:r>
      <w:r>
        <w:rPr>
          <w:rFonts w:hint="eastAsia" w:ascii="Times New Roman" w:hAnsi="Times New Roman" w:eastAsia="仿宋_GB2312"/>
          <w:color w:val="000000" w:themeColor="text1"/>
          <w:kern w:val="0"/>
          <w:sz w:val="24"/>
          <w:szCs w:val="24"/>
          <w:u w:val="single"/>
          <w:lang w:eastAsia="zh-CN"/>
          <w14:textFill>
            <w14:solidFill>
              <w14:schemeClr w14:val="tx1"/>
            </w14:solidFill>
          </w14:textFill>
        </w:rPr>
        <w:t>）</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ascii="Times New Roman" w:hAnsi="Times New Roman" w:eastAsia="仿宋_GB2312"/>
          <w:color w:val="000000" w:themeColor="text1"/>
          <w:kern w:val="0"/>
          <w:sz w:val="24"/>
          <w:szCs w:val="24"/>
          <w14:textFill>
            <w14:solidFill>
              <w14:schemeClr w14:val="tx1"/>
            </w14:solidFill>
          </w14:textFill>
        </w:rPr>
        <w:t>，属于</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hint="eastAsia" w:ascii="Times New Roman" w:hAnsi="Times New Roman" w:eastAsia="仿宋_GB2312"/>
          <w:color w:val="000000" w:themeColor="text1"/>
          <w:kern w:val="0"/>
          <w:sz w:val="24"/>
          <w:szCs w:val="24"/>
          <w:u w:val="single"/>
          <w:lang w:eastAsia="zh-CN"/>
          <w14:textFill>
            <w14:solidFill>
              <w14:schemeClr w14:val="tx1"/>
            </w14:solidFill>
          </w14:textFill>
        </w:rPr>
        <w:t>（</w:t>
      </w:r>
      <w:r>
        <w:rPr>
          <w:rFonts w:ascii="Times New Roman" w:hAnsi="Times New Roman" w:eastAsia="仿宋_GB2312"/>
          <w:color w:val="000000" w:themeColor="text1"/>
          <w:kern w:val="0"/>
          <w:sz w:val="24"/>
          <w:szCs w:val="24"/>
          <w:u w:val="single"/>
          <w14:textFill>
            <w14:solidFill>
              <w14:schemeClr w14:val="tx1"/>
            </w14:solidFill>
          </w14:textFill>
        </w:rPr>
        <w:t>采购文件中明确的所属行业</w:t>
      </w:r>
      <w:r>
        <w:rPr>
          <w:rFonts w:hint="eastAsia" w:ascii="Times New Roman" w:hAnsi="Times New Roman" w:eastAsia="仿宋_GB2312"/>
          <w:color w:val="000000" w:themeColor="text1"/>
          <w:kern w:val="0"/>
          <w:sz w:val="24"/>
          <w:szCs w:val="24"/>
          <w:u w:val="single"/>
          <w:lang w:eastAsia="zh-CN"/>
          <w14:textFill>
            <w14:solidFill>
              <w14:schemeClr w14:val="tx1"/>
            </w14:solidFill>
          </w14:textFill>
        </w:rPr>
        <w:t>）</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ascii="Times New Roman" w:hAnsi="Times New Roman" w:eastAsia="仿宋_GB2312"/>
          <w:color w:val="000000" w:themeColor="text1"/>
          <w:kern w:val="0"/>
          <w:sz w:val="24"/>
          <w:szCs w:val="24"/>
          <w14:textFill>
            <w14:solidFill>
              <w14:schemeClr w14:val="tx1"/>
            </w14:solidFill>
          </w14:textFill>
        </w:rPr>
        <w:t>；承建</w:t>
      </w:r>
      <w:r>
        <w:rPr>
          <w:rFonts w:hint="eastAsia" w:ascii="Times New Roman" w:hAnsi="Times New Roman" w:eastAsia="仿宋_GB2312"/>
          <w:color w:val="000000" w:themeColor="text1"/>
          <w:kern w:val="0"/>
          <w:sz w:val="24"/>
          <w:szCs w:val="24"/>
          <w:lang w:eastAsia="zh-CN"/>
          <w14:textFill>
            <w14:solidFill>
              <w14:schemeClr w14:val="tx1"/>
            </w14:solidFill>
          </w14:textFill>
        </w:rPr>
        <w:t>（</w:t>
      </w:r>
      <w:r>
        <w:rPr>
          <w:rFonts w:ascii="Times New Roman" w:hAnsi="Times New Roman" w:eastAsia="仿宋_GB2312"/>
          <w:color w:val="000000" w:themeColor="text1"/>
          <w:kern w:val="0"/>
          <w:sz w:val="24"/>
          <w:szCs w:val="24"/>
          <w14:textFill>
            <w14:solidFill>
              <w14:schemeClr w14:val="tx1"/>
            </w14:solidFill>
          </w14:textFill>
        </w:rPr>
        <w:t>承接</w:t>
      </w:r>
      <w:r>
        <w:rPr>
          <w:rFonts w:hint="eastAsia" w:ascii="Times New Roman" w:hAnsi="Times New Roman" w:eastAsia="仿宋_GB2312"/>
          <w:color w:val="000000" w:themeColor="text1"/>
          <w:kern w:val="0"/>
          <w:sz w:val="24"/>
          <w:szCs w:val="24"/>
          <w:lang w:eastAsia="zh-CN"/>
          <w14:textFill>
            <w14:solidFill>
              <w14:schemeClr w14:val="tx1"/>
            </w14:solidFill>
          </w14:textFill>
        </w:rPr>
        <w:t>）</w:t>
      </w:r>
      <w:r>
        <w:rPr>
          <w:rFonts w:ascii="Times New Roman" w:hAnsi="Times New Roman" w:eastAsia="仿宋_GB2312"/>
          <w:color w:val="000000" w:themeColor="text1"/>
          <w:kern w:val="0"/>
          <w:sz w:val="24"/>
          <w:szCs w:val="24"/>
          <w14:textFill>
            <w14:solidFill>
              <w14:schemeClr w14:val="tx1"/>
            </w14:solidFill>
          </w14:textFill>
        </w:rPr>
        <w:t>企业为</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hint="eastAsia" w:ascii="Times New Roman" w:hAnsi="Times New Roman" w:eastAsia="仿宋_GB2312"/>
          <w:color w:val="000000" w:themeColor="text1"/>
          <w:kern w:val="0"/>
          <w:sz w:val="24"/>
          <w:szCs w:val="24"/>
          <w:u w:val="single"/>
          <w:lang w:eastAsia="zh-CN"/>
          <w14:textFill>
            <w14:solidFill>
              <w14:schemeClr w14:val="tx1"/>
            </w14:solidFill>
          </w14:textFill>
        </w:rPr>
        <w:t>（</w:t>
      </w:r>
      <w:r>
        <w:rPr>
          <w:rFonts w:ascii="Times New Roman" w:hAnsi="Times New Roman" w:eastAsia="仿宋_GB2312"/>
          <w:color w:val="000000" w:themeColor="text1"/>
          <w:kern w:val="0"/>
          <w:sz w:val="24"/>
          <w:szCs w:val="24"/>
          <w:u w:val="single"/>
          <w14:textFill>
            <w14:solidFill>
              <w14:schemeClr w14:val="tx1"/>
            </w14:solidFill>
          </w14:textFill>
        </w:rPr>
        <w:t>企业名称</w:t>
      </w:r>
      <w:r>
        <w:rPr>
          <w:rFonts w:hint="eastAsia" w:ascii="Times New Roman" w:hAnsi="Times New Roman" w:eastAsia="仿宋_GB2312"/>
          <w:color w:val="000000" w:themeColor="text1"/>
          <w:kern w:val="0"/>
          <w:sz w:val="24"/>
          <w:szCs w:val="24"/>
          <w:u w:val="single"/>
          <w:lang w:eastAsia="zh-CN"/>
          <w14:textFill>
            <w14:solidFill>
              <w14:schemeClr w14:val="tx1"/>
            </w14:solidFill>
          </w14:textFill>
        </w:rPr>
        <w:t>）</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ascii="Times New Roman" w:hAnsi="Times New Roman" w:eastAsia="仿宋_GB2312"/>
          <w:color w:val="000000" w:themeColor="text1"/>
          <w:kern w:val="0"/>
          <w:sz w:val="24"/>
          <w:szCs w:val="24"/>
          <w14:textFill>
            <w14:solidFill>
              <w14:schemeClr w14:val="tx1"/>
            </w14:solidFill>
          </w14:textFill>
        </w:rPr>
        <w:t>，从业人员</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ascii="Times New Roman" w:hAnsi="Times New Roman" w:eastAsia="仿宋_GB2312"/>
          <w:color w:val="000000" w:themeColor="text1"/>
          <w:kern w:val="0"/>
          <w:sz w:val="24"/>
          <w:szCs w:val="24"/>
          <w14:textFill>
            <w14:solidFill>
              <w14:schemeClr w14:val="tx1"/>
            </w14:solidFill>
          </w14:textFill>
        </w:rPr>
        <w:t>人，营业收入为</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ascii="Times New Roman" w:hAnsi="Times New Roman" w:eastAsia="仿宋_GB2312"/>
          <w:color w:val="000000" w:themeColor="text1"/>
          <w:kern w:val="0"/>
          <w:sz w:val="24"/>
          <w:szCs w:val="24"/>
          <w14:textFill>
            <w14:solidFill>
              <w14:schemeClr w14:val="tx1"/>
            </w14:solidFill>
          </w14:textFill>
        </w:rPr>
        <w:t>万元，资产总额为</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ascii="Times New Roman" w:hAnsi="Times New Roman" w:eastAsia="仿宋_GB2312"/>
          <w:color w:val="000000" w:themeColor="text1"/>
          <w:kern w:val="0"/>
          <w:sz w:val="24"/>
          <w:szCs w:val="24"/>
          <w14:textFill>
            <w14:solidFill>
              <w14:schemeClr w14:val="tx1"/>
            </w14:solidFill>
          </w14:textFill>
        </w:rPr>
        <w:t>万元，属于</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hint="eastAsia" w:ascii="Times New Roman" w:hAnsi="Times New Roman" w:eastAsia="仿宋_GB2312"/>
          <w:color w:val="000000" w:themeColor="text1"/>
          <w:kern w:val="0"/>
          <w:sz w:val="24"/>
          <w:szCs w:val="24"/>
          <w:u w:val="single"/>
          <w:lang w:eastAsia="zh-CN"/>
          <w14:textFill>
            <w14:solidFill>
              <w14:schemeClr w14:val="tx1"/>
            </w14:solidFill>
          </w14:textFill>
        </w:rPr>
        <w:t>（</w:t>
      </w:r>
      <w:r>
        <w:rPr>
          <w:rFonts w:ascii="Times New Roman" w:hAnsi="Times New Roman" w:eastAsia="仿宋_GB2312"/>
          <w:color w:val="000000" w:themeColor="text1"/>
          <w:kern w:val="0"/>
          <w:sz w:val="24"/>
          <w:szCs w:val="24"/>
          <w:u w:val="single"/>
          <w14:textFill>
            <w14:solidFill>
              <w14:schemeClr w14:val="tx1"/>
            </w14:solidFill>
          </w14:textFill>
        </w:rPr>
        <w:t>中型</w:t>
      </w:r>
      <w:r>
        <w:rPr>
          <w:rFonts w:hint="eastAsia" w:ascii="Times New Roman" w:hAnsi="Times New Roman" w:eastAsia="仿宋_GB2312"/>
          <w:color w:val="000000" w:themeColor="text1"/>
          <w:kern w:val="0"/>
          <w:sz w:val="24"/>
          <w:szCs w:val="24"/>
          <w:u w:val="single"/>
          <w:lang w:val="en-US" w:eastAsia="zh-CN"/>
          <w14:textFill>
            <w14:solidFill>
              <w14:schemeClr w14:val="tx1"/>
            </w14:solidFill>
          </w14:textFill>
        </w:rPr>
        <w:t>企业</w:t>
      </w:r>
      <w:r>
        <w:rPr>
          <w:rFonts w:ascii="Times New Roman" w:hAnsi="Times New Roman" w:eastAsia="仿宋_GB2312"/>
          <w:color w:val="000000" w:themeColor="text1"/>
          <w:kern w:val="0"/>
          <w:sz w:val="24"/>
          <w:szCs w:val="24"/>
          <w:u w:val="single"/>
          <w14:textFill>
            <w14:solidFill>
              <w14:schemeClr w14:val="tx1"/>
            </w14:solidFill>
          </w14:textFill>
        </w:rPr>
        <w:t>、小型企业、微型企业</w:t>
      </w:r>
      <w:r>
        <w:rPr>
          <w:rFonts w:hint="eastAsia" w:ascii="Times New Roman" w:hAnsi="Times New Roman" w:eastAsia="仿宋_GB2312"/>
          <w:color w:val="000000" w:themeColor="text1"/>
          <w:kern w:val="0"/>
          <w:sz w:val="24"/>
          <w:szCs w:val="24"/>
          <w:u w:val="single"/>
          <w:lang w:eastAsia="zh-CN"/>
          <w14:textFill>
            <w14:solidFill>
              <w14:schemeClr w14:val="tx1"/>
            </w14:solidFill>
          </w14:textFill>
        </w:rPr>
        <w:t>）</w:t>
      </w:r>
      <w:r>
        <w:rPr>
          <w:rFonts w:ascii="Times New Roman" w:hAnsi="Times New Roman" w:eastAsia="仿宋_GB2312"/>
          <w:color w:val="000000" w:themeColor="text1"/>
          <w:kern w:val="0"/>
          <w:sz w:val="24"/>
          <w:szCs w:val="24"/>
          <w:u w:val="single"/>
          <w14:textFill>
            <w14:solidFill>
              <w14:schemeClr w14:val="tx1"/>
            </w14:solidFill>
          </w14:textFill>
        </w:rPr>
        <w:t xml:space="preserve"> </w:t>
      </w:r>
      <w:r>
        <w:rPr>
          <w:rFonts w:ascii="Times New Roman" w:hAnsi="Times New Roman" w:eastAsia="仿宋_GB2312"/>
          <w:color w:val="000000" w:themeColor="text1"/>
          <w:kern w:val="0"/>
          <w:sz w:val="24"/>
          <w:szCs w:val="24"/>
          <w14:textFill>
            <w14:solidFill>
              <w14:schemeClr w14:val="tx1"/>
            </w14:solidFill>
          </w14:textFill>
        </w:rPr>
        <w:t>；</w:t>
      </w:r>
    </w:p>
    <w:p>
      <w:pPr>
        <w:spacing w:line="560" w:lineRule="exact"/>
        <w:ind w:left="17" w:leftChars="8" w:firstLine="460" w:firstLineChars="192"/>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2.</w:t>
      </w:r>
      <w:r>
        <w:rPr>
          <w:rFonts w:hint="eastAsia" w:eastAsia="仿宋_GB2312"/>
          <w:color w:val="000000" w:themeColor="text1"/>
          <w:kern w:val="0"/>
          <w:sz w:val="24"/>
          <w:lang w:val="en-US" w:eastAsia="zh-CN"/>
          <w14:textFill>
            <w14:solidFill>
              <w14:schemeClr w14:val="tx1"/>
            </w14:solidFill>
          </w14:textFill>
        </w:rPr>
        <w:t xml:space="preserve"> </w:t>
      </w:r>
      <w:r>
        <w:rPr>
          <w:rFonts w:eastAsia="仿宋_GB2312"/>
          <w:color w:val="000000" w:themeColor="text1"/>
          <w:kern w:val="0"/>
          <w:sz w:val="24"/>
          <w:u w:val="single"/>
          <w14:textFill>
            <w14:solidFill>
              <w14:schemeClr w14:val="tx1"/>
            </w14:solidFill>
          </w14:textFill>
        </w:rPr>
        <w:t xml:space="preserve"> </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标的名称</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 xml:space="preserve"> </w:t>
      </w:r>
      <w:r>
        <w:rPr>
          <w:rFonts w:eastAsia="仿宋_GB2312"/>
          <w:color w:val="000000" w:themeColor="text1"/>
          <w:kern w:val="0"/>
          <w:sz w:val="24"/>
          <w14:textFill>
            <w14:solidFill>
              <w14:schemeClr w14:val="tx1"/>
            </w14:solidFill>
          </w14:textFill>
        </w:rPr>
        <w:t>，属于</w:t>
      </w:r>
      <w:r>
        <w:rPr>
          <w:rFonts w:eastAsia="仿宋_GB2312"/>
          <w:color w:val="000000" w:themeColor="text1"/>
          <w:kern w:val="0"/>
          <w:sz w:val="24"/>
          <w:u w:val="single"/>
          <w14:textFill>
            <w14:solidFill>
              <w14:schemeClr w14:val="tx1"/>
            </w14:solidFill>
          </w14:textFill>
        </w:rPr>
        <w:t xml:space="preserve"> </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采购文件中</w:t>
      </w:r>
      <w:r>
        <w:rPr>
          <w:rFonts w:hint="eastAsia" w:eastAsia="仿宋_GB2312"/>
          <w:color w:val="000000" w:themeColor="text1"/>
          <w:kern w:val="0"/>
          <w:sz w:val="24"/>
          <w:u w:val="single"/>
          <w:lang w:val="en-US" w:eastAsia="zh-CN"/>
          <w14:textFill>
            <w14:solidFill>
              <w14:schemeClr w14:val="tx1"/>
            </w14:solidFill>
          </w14:textFill>
        </w:rPr>
        <w:t>明确</w:t>
      </w:r>
      <w:r>
        <w:rPr>
          <w:rFonts w:eastAsia="仿宋_GB2312"/>
          <w:color w:val="000000" w:themeColor="text1"/>
          <w:kern w:val="0"/>
          <w:sz w:val="24"/>
          <w:u w:val="single"/>
          <w14:textFill>
            <w14:solidFill>
              <w14:schemeClr w14:val="tx1"/>
            </w14:solidFill>
          </w14:textFill>
        </w:rPr>
        <w:t>的所属行业</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 xml:space="preserve"> </w:t>
      </w:r>
      <w:r>
        <w:rPr>
          <w:rFonts w:eastAsia="仿宋_GB2312"/>
          <w:color w:val="000000" w:themeColor="text1"/>
          <w:kern w:val="0"/>
          <w:sz w:val="24"/>
          <w14:textFill>
            <w14:solidFill>
              <w14:schemeClr w14:val="tx1"/>
            </w14:solidFill>
          </w14:textFill>
        </w:rPr>
        <w:t>；承建</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承接</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企业为</w:t>
      </w:r>
      <w:r>
        <w:rPr>
          <w:rFonts w:eastAsia="仿宋_GB2312"/>
          <w:color w:val="000000" w:themeColor="text1"/>
          <w:kern w:val="0"/>
          <w:sz w:val="24"/>
          <w:u w:val="single"/>
          <w14:textFill>
            <w14:solidFill>
              <w14:schemeClr w14:val="tx1"/>
            </w14:solidFill>
          </w14:textFill>
        </w:rPr>
        <w:t xml:space="preserve"> </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企业名称</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 xml:space="preserve"> </w:t>
      </w:r>
      <w:r>
        <w:rPr>
          <w:rFonts w:eastAsia="仿宋_GB2312"/>
          <w:color w:val="000000" w:themeColor="text1"/>
          <w:kern w:val="0"/>
          <w:sz w:val="24"/>
          <w14:textFill>
            <w14:solidFill>
              <w14:schemeClr w14:val="tx1"/>
            </w14:solidFill>
          </w14:textFill>
        </w:rPr>
        <w:t>，从业人员</w:t>
      </w:r>
      <w:r>
        <w:rPr>
          <w:rFonts w:eastAsia="仿宋_GB2312"/>
          <w:color w:val="000000" w:themeColor="text1"/>
          <w:kern w:val="0"/>
          <w:sz w:val="24"/>
          <w:u w:val="single"/>
          <w14:textFill>
            <w14:solidFill>
              <w14:schemeClr w14:val="tx1"/>
            </w14:solidFill>
          </w14:textFill>
        </w:rPr>
        <w:t xml:space="preserve">   </w:t>
      </w:r>
      <w:r>
        <w:rPr>
          <w:rFonts w:eastAsia="仿宋_GB2312"/>
          <w:color w:val="000000" w:themeColor="text1"/>
          <w:kern w:val="0"/>
          <w:sz w:val="24"/>
          <w14:textFill>
            <w14:solidFill>
              <w14:schemeClr w14:val="tx1"/>
            </w14:solidFill>
          </w14:textFill>
        </w:rPr>
        <w:t>人，营业收入为</w:t>
      </w:r>
      <w:r>
        <w:rPr>
          <w:rFonts w:eastAsia="仿宋_GB2312"/>
          <w:color w:val="000000" w:themeColor="text1"/>
          <w:kern w:val="0"/>
          <w:sz w:val="24"/>
          <w:u w:val="single"/>
          <w14:textFill>
            <w14:solidFill>
              <w14:schemeClr w14:val="tx1"/>
            </w14:solidFill>
          </w14:textFill>
        </w:rPr>
        <w:t xml:space="preserve">   </w:t>
      </w:r>
      <w:r>
        <w:rPr>
          <w:rFonts w:eastAsia="仿宋_GB2312"/>
          <w:color w:val="000000" w:themeColor="text1"/>
          <w:kern w:val="0"/>
          <w:sz w:val="24"/>
          <w14:textFill>
            <w14:solidFill>
              <w14:schemeClr w14:val="tx1"/>
            </w14:solidFill>
          </w14:textFill>
        </w:rPr>
        <w:t>万元，资产总额为</w:t>
      </w:r>
      <w:r>
        <w:rPr>
          <w:rFonts w:eastAsia="仿宋_GB2312"/>
          <w:color w:val="000000" w:themeColor="text1"/>
          <w:kern w:val="0"/>
          <w:sz w:val="24"/>
          <w:u w:val="single"/>
          <w14:textFill>
            <w14:solidFill>
              <w14:schemeClr w14:val="tx1"/>
            </w14:solidFill>
          </w14:textFill>
        </w:rPr>
        <w:t xml:space="preserve">    </w:t>
      </w:r>
      <w:r>
        <w:rPr>
          <w:rFonts w:eastAsia="仿宋_GB2312"/>
          <w:color w:val="000000" w:themeColor="text1"/>
          <w:kern w:val="0"/>
          <w:sz w:val="24"/>
          <w14:textFill>
            <w14:solidFill>
              <w14:schemeClr w14:val="tx1"/>
            </w14:solidFill>
          </w14:textFill>
        </w:rPr>
        <w:t>万元，属于</w:t>
      </w:r>
      <w:r>
        <w:rPr>
          <w:rFonts w:eastAsia="仿宋_GB2312"/>
          <w:color w:val="000000" w:themeColor="text1"/>
          <w:kern w:val="0"/>
          <w:sz w:val="24"/>
          <w:u w:val="single"/>
          <w14:textFill>
            <w14:solidFill>
              <w14:schemeClr w14:val="tx1"/>
            </w14:solidFill>
          </w14:textFill>
        </w:rPr>
        <w:t xml:space="preserve"> </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中型</w:t>
      </w:r>
      <w:r>
        <w:rPr>
          <w:rFonts w:hint="eastAsia" w:eastAsia="仿宋_GB2312"/>
          <w:color w:val="000000" w:themeColor="text1"/>
          <w:kern w:val="0"/>
          <w:sz w:val="24"/>
          <w:u w:val="single"/>
          <w:lang w:val="en-US" w:eastAsia="zh-CN"/>
          <w14:textFill>
            <w14:solidFill>
              <w14:schemeClr w14:val="tx1"/>
            </w14:solidFill>
          </w14:textFill>
        </w:rPr>
        <w:t>企业</w:t>
      </w:r>
      <w:r>
        <w:rPr>
          <w:rFonts w:eastAsia="仿宋_GB2312"/>
          <w:color w:val="000000" w:themeColor="text1"/>
          <w:kern w:val="0"/>
          <w:sz w:val="24"/>
          <w:u w:val="single"/>
          <w14:textFill>
            <w14:solidFill>
              <w14:schemeClr w14:val="tx1"/>
            </w14:solidFill>
          </w14:textFill>
        </w:rPr>
        <w:t>、小型企业、微型企业</w:t>
      </w:r>
      <w:r>
        <w:rPr>
          <w:rFonts w:hint="eastAsia" w:eastAsia="仿宋_GB2312"/>
          <w:color w:val="000000" w:themeColor="text1"/>
          <w:kern w:val="0"/>
          <w:sz w:val="24"/>
          <w:u w:val="single"/>
          <w:lang w:eastAsia="zh-CN"/>
          <w14:textFill>
            <w14:solidFill>
              <w14:schemeClr w14:val="tx1"/>
            </w14:solidFill>
          </w14:textFill>
        </w:rPr>
        <w:t>）</w:t>
      </w:r>
      <w:r>
        <w:rPr>
          <w:rFonts w:eastAsia="仿宋_GB2312"/>
          <w:color w:val="000000" w:themeColor="text1"/>
          <w:kern w:val="0"/>
          <w:sz w:val="24"/>
          <w:u w:val="single"/>
          <w14:textFill>
            <w14:solidFill>
              <w14:schemeClr w14:val="tx1"/>
            </w14:solidFill>
          </w14:textFill>
        </w:rPr>
        <w:t xml:space="preserve"> </w:t>
      </w:r>
      <w:r>
        <w:rPr>
          <w:rFonts w:eastAsia="仿宋_GB2312"/>
          <w:color w:val="000000" w:themeColor="text1"/>
          <w:kern w:val="0"/>
          <w:sz w:val="24"/>
          <w14:textFill>
            <w14:solidFill>
              <w14:schemeClr w14:val="tx1"/>
            </w14:solidFill>
          </w14:textFill>
        </w:rPr>
        <w:t>；</w:t>
      </w:r>
    </w:p>
    <w:p>
      <w:pPr>
        <w:spacing w:line="560" w:lineRule="exact"/>
        <w:ind w:firstLine="480" w:firstLineChars="200"/>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w:t>
      </w:r>
    </w:p>
    <w:p>
      <w:pPr>
        <w:spacing w:line="560" w:lineRule="exact"/>
        <w:ind w:firstLine="480" w:firstLineChars="200"/>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pPr>
        <w:spacing w:line="560" w:lineRule="exact"/>
        <w:ind w:firstLine="480" w:firstLineChars="200"/>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本企业对上述声明内容的真实性负责。如有虚假，将依法承担相应责任。</w:t>
      </w:r>
    </w:p>
    <w:p>
      <w:pPr>
        <w:spacing w:line="560" w:lineRule="exact"/>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 xml:space="preserve">                                  </w:t>
      </w:r>
    </w:p>
    <w:p>
      <w:pPr>
        <w:spacing w:line="560" w:lineRule="exact"/>
        <w:ind w:firstLine="4320" w:firstLineChars="1800"/>
        <w:rPr>
          <w:rFonts w:hint="eastAsia" w:eastAsia="仿宋_GB2312"/>
          <w:color w:val="000000" w:themeColor="text1"/>
          <w:kern w:val="0"/>
          <w:sz w:val="24"/>
          <w:lang w:eastAsia="zh-CN"/>
          <w14:textFill>
            <w14:solidFill>
              <w14:schemeClr w14:val="tx1"/>
            </w14:solidFill>
          </w14:textFill>
        </w:rPr>
      </w:pPr>
      <w:r>
        <w:rPr>
          <w:rFonts w:eastAsia="仿宋_GB2312"/>
          <w:color w:val="000000" w:themeColor="text1"/>
          <w:kern w:val="0"/>
          <w:sz w:val="24"/>
          <w14:textFill>
            <w14:solidFill>
              <w14:schemeClr w14:val="tx1"/>
            </w14:solidFill>
          </w14:textFill>
        </w:rPr>
        <w:t>企业名称</w:t>
      </w:r>
      <w:r>
        <w:rPr>
          <w:rFonts w:hint="eastAsia" w:eastAsia="仿宋_GB2312"/>
          <w:color w:val="000000" w:themeColor="text1"/>
          <w:kern w:val="0"/>
          <w:sz w:val="24"/>
          <w:lang w:eastAsia="zh-CN"/>
          <w14:textFill>
            <w14:solidFill>
              <w14:schemeClr w14:val="tx1"/>
            </w14:solidFill>
          </w14:textFill>
        </w:rPr>
        <w:t>（</w:t>
      </w:r>
      <w:r>
        <w:rPr>
          <w:rFonts w:eastAsia="仿宋_GB2312"/>
          <w:color w:val="000000" w:themeColor="text1"/>
          <w:kern w:val="0"/>
          <w:sz w:val="24"/>
          <w14:textFill>
            <w14:solidFill>
              <w14:schemeClr w14:val="tx1"/>
            </w14:solidFill>
          </w14:textFill>
        </w:rPr>
        <w:t>盖章</w:t>
      </w:r>
      <w:r>
        <w:rPr>
          <w:rFonts w:hint="eastAsia" w:eastAsia="仿宋_GB2312"/>
          <w:color w:val="000000" w:themeColor="text1"/>
          <w:kern w:val="0"/>
          <w:sz w:val="24"/>
          <w:lang w:eastAsia="zh-CN"/>
          <w14:textFill>
            <w14:solidFill>
              <w14:schemeClr w14:val="tx1"/>
            </w14:solidFill>
          </w14:textFill>
        </w:rPr>
        <w:t>）：</w:t>
      </w:r>
    </w:p>
    <w:p>
      <w:pPr>
        <w:spacing w:line="560" w:lineRule="exact"/>
        <w:ind w:firstLine="4320" w:firstLineChars="1800"/>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日期：</w:t>
      </w:r>
    </w:p>
    <w:p>
      <w:pPr>
        <w:rPr>
          <w:rFonts w:eastAsia="仿宋_GB2312"/>
          <w:color w:val="000000" w:themeColor="text1"/>
          <w:kern w:val="0"/>
          <w:szCs w:val="21"/>
          <w14:textFill>
            <w14:solidFill>
              <w14:schemeClr w14:val="tx1"/>
            </w14:solidFill>
          </w14:textFill>
        </w:rPr>
      </w:pPr>
    </w:p>
    <w:p>
      <w:pP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（从业人员、营业收入、资产总额填报上一年度数据，无上一年度数据的新成立企业可不填报）</w:t>
      </w:r>
    </w:p>
    <w:p>
      <w:pPr>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br w:type="page"/>
      </w:r>
    </w:p>
    <w:p>
      <w:pPr>
        <w:ind w:left="315" w:leftChars="150" w:firstLine="270" w:firstLineChars="150"/>
        <w:rPr>
          <w:rFonts w:ascii="仿宋_GB2312" w:hAnsi="仿宋_GB2312" w:eastAsia="仿宋_GB2312" w:cs="仿宋_GB2312"/>
          <w:color w:val="000000" w:themeColor="text1"/>
          <w:kern w:val="0"/>
          <w:sz w:val="18"/>
          <w:szCs w:val="18"/>
          <w:highlight w:val="none"/>
          <w14:textFill>
            <w14:solidFill>
              <w14:schemeClr w14:val="tx1"/>
            </w14:solidFill>
          </w14:textFill>
        </w:rPr>
      </w:pPr>
    </w:p>
    <w:p>
      <w:pPr>
        <w:jc w:val="center"/>
        <w:outlineLvl w:val="2"/>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二、监狱企业证明</w:t>
      </w:r>
      <w:bookmarkEnd w:id="466"/>
    </w:p>
    <w:p>
      <w:pPr>
        <w:spacing w:after="120"/>
        <w:rPr>
          <w:rFonts w:ascii="仿宋_GB2312" w:hAnsi="仿宋_GB2312" w:eastAsia="仿宋_GB2312" w:cs="仿宋_GB2312"/>
          <w:color w:val="000000" w:themeColor="text1"/>
          <w:highlight w:val="none"/>
          <w14:textFill>
            <w14:solidFill>
              <w14:schemeClr w14:val="tx1"/>
            </w14:solidFill>
          </w14:textFill>
        </w:rPr>
      </w:pPr>
    </w:p>
    <w:p>
      <w:pPr>
        <w:widowControl/>
        <w:spacing w:before="100" w:beforeAutospacing="1" w:after="100" w:afterAutospacing="1" w:line="360" w:lineRule="auto"/>
        <w:ind w:firstLine="480" w:firstLineChars="200"/>
        <w:jc w:val="left"/>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本单位郑重声明下列事项（按照实际情况勾选或填空）：</w:t>
      </w:r>
    </w:p>
    <w:p>
      <w:pPr>
        <w:widowControl/>
        <w:spacing w:before="100" w:beforeAutospacing="1" w:after="100" w:afterAutospacing="1" w:line="360" w:lineRule="auto"/>
        <w:ind w:firstLine="480" w:firstLineChars="200"/>
        <w:jc w:val="left"/>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本单位为直接</w:t>
      </w:r>
      <w:r>
        <w:rPr>
          <w:rFonts w:hint="default" w:ascii="Times New Roman" w:hAnsi="Times New Roman" w:eastAsia="仿宋_GB2312" w:cs="Times New Roman"/>
          <w:i w:val="0"/>
          <w:iCs w:val="0"/>
          <w:color w:val="000000" w:themeColor="text1"/>
          <w:kern w:val="0"/>
          <w:sz w:val="24"/>
          <w:highlight w:val="none"/>
          <w:lang w:val="en-US" w:eastAsia="zh-CN"/>
          <w14:textFill>
            <w14:solidFill>
              <w14:schemeClr w14:val="tx1"/>
            </w14:solidFill>
          </w14:textFill>
        </w:rPr>
        <w:t>供应商，</w:t>
      </w: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提供本单位制造的货物。</w:t>
      </w:r>
    </w:p>
    <w:p>
      <w:pPr>
        <w:widowControl/>
        <w:spacing w:before="100" w:beforeAutospacing="1" w:after="100" w:afterAutospacing="1" w:line="360" w:lineRule="auto"/>
        <w:ind w:firstLine="360" w:firstLineChars="150"/>
        <w:jc w:val="left"/>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（1）本企业（单位）</w:t>
      </w:r>
      <w:r>
        <w:rPr>
          <w:rFonts w:hint="default" w:ascii="Times New Roman" w:hAnsi="Times New Roman" w:eastAsia="仿宋_GB2312" w:cs="Times New Roman"/>
          <w:i w:val="0"/>
          <w:iCs w:val="0"/>
          <w:color w:val="000000" w:themeColor="text1"/>
          <w:kern w:val="0"/>
          <w:sz w:val="24"/>
          <w:highlight w:val="none"/>
          <w:u w:val="single"/>
          <w14:textFill>
            <w14:solidFill>
              <w14:schemeClr w14:val="tx1"/>
            </w14:solidFill>
          </w14:textFill>
        </w:rPr>
        <w:t xml:space="preserve">        </w:t>
      </w: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（2）本企业（单位）</w:t>
      </w:r>
      <w:r>
        <w:rPr>
          <w:rFonts w:hint="default" w:ascii="Times New Roman" w:hAnsi="Times New Roman" w:eastAsia="仿宋_GB2312" w:cs="Times New Roman"/>
          <w:i w:val="0"/>
          <w:iCs w:val="0"/>
          <w:color w:val="000000" w:themeColor="text1"/>
          <w:kern w:val="0"/>
          <w:sz w:val="24"/>
          <w:highlight w:val="none"/>
          <w:u w:val="single"/>
          <w14:textFill>
            <w14:solidFill>
              <w14:schemeClr w14:val="tx1"/>
            </w14:solidFill>
          </w14:textFill>
        </w:rPr>
        <w:t xml:space="preserve">        </w:t>
      </w: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（请填写：是、不是）为联合体一方，提供本企业（单位）制造的货物，由本企业（单位）承担工程、提供服务。本企业（单位）提供协议合同金额占到共同投标协议合同总金额的比例为</w:t>
      </w:r>
      <w:r>
        <w:rPr>
          <w:rFonts w:hint="default" w:ascii="Times New Roman" w:hAnsi="Times New Roman" w:eastAsia="仿宋_GB2312" w:cs="Times New Roman"/>
          <w:i w:val="0"/>
          <w:iCs w:val="0"/>
          <w:color w:val="000000" w:themeColor="text1"/>
          <w:kern w:val="0"/>
          <w:sz w:val="24"/>
          <w:highlight w:val="none"/>
          <w:u w:val="single"/>
          <w14:textFill>
            <w14:solidFill>
              <w14:schemeClr w14:val="tx1"/>
            </w14:solidFill>
          </w14:textFill>
        </w:rPr>
        <w:t xml:space="preserve">       </w:t>
      </w: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w:t>
      </w:r>
    </w:p>
    <w:p>
      <w:pPr>
        <w:widowControl/>
        <w:spacing w:before="100" w:beforeAutospacing="1" w:after="100" w:afterAutospacing="1" w:line="360" w:lineRule="auto"/>
        <w:jc w:val="left"/>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　　本企业（单位）对上述声明的真实性负责。如有虚假，将依法承担相应责任。</w:t>
      </w:r>
    </w:p>
    <w:p>
      <w:pPr>
        <w:widowControl/>
        <w:spacing w:before="100" w:beforeAutospacing="1" w:after="100" w:afterAutospacing="1" w:line="360" w:lineRule="auto"/>
        <w:jc w:val="left"/>
        <w:rPr>
          <w:rFonts w:hint="default" w:ascii="Times New Roman" w:hAnsi="Times New Roman" w:eastAsia="仿宋_GB2312" w:cs="Times New Roman"/>
          <w:b/>
          <w:i w:val="0"/>
          <w:iCs w:val="0"/>
          <w:color w:val="000000" w:themeColor="text1"/>
          <w:kern w:val="0"/>
          <w:sz w:val="24"/>
          <w:szCs w:val="20"/>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　</w:t>
      </w:r>
      <w:r>
        <w:rPr>
          <w:rFonts w:hint="default" w:ascii="Times New Roman" w:hAnsi="Times New Roman" w:eastAsia="仿宋_GB2312" w:cs="Times New Roman"/>
          <w:b/>
          <w:i w:val="0"/>
          <w:iCs w:val="0"/>
          <w:color w:val="000000" w:themeColor="text1"/>
          <w:kern w:val="0"/>
          <w:sz w:val="24"/>
          <w:szCs w:val="20"/>
          <w:highlight w:val="none"/>
          <w14:textFill>
            <w14:solidFill>
              <w14:schemeClr w14:val="tx1"/>
            </w14:solidFill>
          </w14:textFill>
        </w:rPr>
        <w:t>　</w:t>
      </w:r>
    </w:p>
    <w:p>
      <w:pPr>
        <w:widowControl/>
        <w:spacing w:before="100" w:beforeAutospacing="1" w:after="100" w:afterAutospacing="1" w:line="360" w:lineRule="auto"/>
        <w:ind w:firstLine="360" w:firstLineChars="150"/>
        <w:jc w:val="left"/>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lang w:val="en-US" w:eastAsia="zh-CN"/>
          <w14:textFill>
            <w14:solidFill>
              <w14:schemeClr w14:val="tx1"/>
            </w14:solidFill>
          </w14:textFill>
        </w:rPr>
        <w:t>单位名称</w:t>
      </w: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w:t>
      </w:r>
      <w:r>
        <w:rPr>
          <w:rFonts w:hint="eastAsia" w:eastAsia="仿宋_GB2312" w:cs="Times New Roman"/>
          <w:i w:val="0"/>
          <w:iCs w:val="0"/>
          <w:color w:val="000000" w:themeColor="text1"/>
          <w:kern w:val="0"/>
          <w:sz w:val="24"/>
          <w:highlight w:val="none"/>
          <w:lang w:eastAsia="zh-CN"/>
          <w14:textFill>
            <w14:solidFill>
              <w14:schemeClr w14:val="tx1"/>
            </w14:solidFill>
          </w14:textFill>
        </w:rPr>
        <w:t>盖</w:t>
      </w: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公章）：</w:t>
      </w:r>
      <w:r>
        <w:rPr>
          <w:rFonts w:hint="default" w:ascii="Times New Roman" w:hAnsi="Times New Roman" w:eastAsia="仿宋_GB2312" w:cs="Times New Roman"/>
          <w:i w:val="0"/>
          <w:iCs w:val="0"/>
          <w:color w:val="000000" w:themeColor="text1"/>
          <w:kern w:val="0"/>
          <w:sz w:val="24"/>
          <w:highlight w:val="none"/>
          <w:u w:val="single"/>
          <w14:textFill>
            <w14:solidFill>
              <w14:schemeClr w14:val="tx1"/>
            </w14:solidFill>
          </w14:textFill>
        </w:rPr>
        <w:t xml:space="preserve">             </w:t>
      </w:r>
    </w:p>
    <w:p>
      <w:pPr>
        <w:widowControl/>
        <w:spacing w:before="100" w:beforeAutospacing="1" w:after="100" w:afterAutospacing="1" w:line="360" w:lineRule="auto"/>
        <w:jc w:val="left"/>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 xml:space="preserve"> 　法定代表人或授权代表（签字</w:t>
      </w:r>
      <w:r>
        <w:rPr>
          <w:rFonts w:hint="eastAsia" w:eastAsia="仿宋_GB2312" w:cs="Times New Roman"/>
          <w:i w:val="0"/>
          <w:iCs w:val="0"/>
          <w:color w:val="000000" w:themeColor="text1"/>
          <w:kern w:val="0"/>
          <w:sz w:val="24"/>
          <w:highlight w:val="none"/>
          <w:lang w:eastAsia="zh-CN"/>
          <w14:textFill>
            <w14:solidFill>
              <w14:schemeClr w14:val="tx1"/>
            </w14:solidFill>
          </w14:textFill>
        </w:rPr>
        <w:t>或盖章</w:t>
      </w: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 xml:space="preserve">）:  </w:t>
      </w:r>
      <w:r>
        <w:rPr>
          <w:rFonts w:hint="default" w:ascii="Times New Roman" w:hAnsi="Times New Roman" w:eastAsia="仿宋_GB2312" w:cs="Times New Roman"/>
          <w:i w:val="0"/>
          <w:iCs w:val="0"/>
          <w:color w:val="000000" w:themeColor="text1"/>
          <w:kern w:val="0"/>
          <w:sz w:val="24"/>
          <w:highlight w:val="none"/>
          <w:u w:val="single"/>
          <w14:textFill>
            <w14:solidFill>
              <w14:schemeClr w14:val="tx1"/>
            </w14:solidFill>
          </w14:textFill>
        </w:rPr>
        <w:t xml:space="preserve">              </w:t>
      </w: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 xml:space="preserve">           </w:t>
      </w:r>
    </w:p>
    <w:p>
      <w:pPr>
        <w:widowControl/>
        <w:spacing w:before="100" w:beforeAutospacing="1" w:after="100" w:afterAutospacing="1" w:line="360" w:lineRule="auto"/>
        <w:ind w:firstLine="240" w:firstLineChars="100"/>
        <w:jc w:val="left"/>
        <w:rPr>
          <w:rFonts w:hint="default" w:ascii="Times New Roman" w:hAnsi="Times New Roman" w:eastAsia="仿宋_GB2312" w:cs="Times New Roman"/>
          <w:i w:val="0"/>
          <w:iCs w:val="0"/>
          <w:color w:val="000000" w:themeColor="text1"/>
          <w:kern w:val="0"/>
          <w:sz w:val="24"/>
          <w:highlight w:val="none"/>
          <w:u w:val="singl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14:textFill>
            <w14:solidFill>
              <w14:schemeClr w14:val="tx1"/>
            </w14:solidFill>
          </w14:textFill>
        </w:rPr>
        <w:t>日　期：</w:t>
      </w:r>
      <w:r>
        <w:rPr>
          <w:rFonts w:hint="default" w:ascii="Times New Roman" w:hAnsi="Times New Roman" w:eastAsia="仿宋_GB2312" w:cs="Times New Roman"/>
          <w:i w:val="0"/>
          <w:iCs w:val="0"/>
          <w:color w:val="000000" w:themeColor="text1"/>
          <w:kern w:val="0"/>
          <w:sz w:val="24"/>
          <w:highlight w:val="none"/>
          <w:u w:val="single"/>
          <w14:textFill>
            <w14:solidFill>
              <w14:schemeClr w14:val="tx1"/>
            </w14:solidFill>
          </w14:textFill>
        </w:rPr>
        <w:t xml:space="preserve">             </w:t>
      </w:r>
    </w:p>
    <w:p>
      <w:pPr>
        <w:widowControl/>
        <w:spacing w:before="100" w:beforeAutospacing="1" w:after="100" w:afterAutospacing="1" w:line="360" w:lineRule="auto"/>
        <w:jc w:val="left"/>
        <w:rPr>
          <w:rFonts w:hint="default" w:ascii="Times New Roman" w:hAnsi="Times New Roman" w:eastAsia="仿宋_GB2312" w:cs="Times New Roman"/>
          <w:i w:val="0"/>
          <w:iCs w:val="0"/>
          <w:color w:val="000000" w:themeColor="text1"/>
          <w:kern w:val="0"/>
          <w:sz w:val="24"/>
          <w:highlight w:val="none"/>
          <w:u w:val="single"/>
          <w14:textFill>
            <w14:solidFill>
              <w14:schemeClr w14:val="tx1"/>
            </w14:solidFill>
          </w14:textFill>
        </w:rPr>
      </w:pPr>
    </w:p>
    <w:p>
      <w:pPr>
        <w:widowControl/>
        <w:spacing w:before="100" w:beforeAutospacing="1" w:after="100" w:afterAutospacing="1" w:line="360" w:lineRule="auto"/>
        <w:jc w:val="left"/>
        <w:rPr>
          <w:rFonts w:hint="default" w:ascii="Times New Roman" w:hAnsi="Times New Roman" w:eastAsia="仿宋_GB2312" w:cs="Times New Roman"/>
          <w:i w:val="0"/>
          <w:iCs w:val="0"/>
          <w:color w:val="000000" w:themeColor="text1"/>
          <w:sz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highlight w:val="none"/>
          <w:u w:val="none"/>
          <w14:textFill>
            <w14:solidFill>
              <w14:schemeClr w14:val="tx1"/>
            </w14:solidFill>
          </w14:textFill>
        </w:rPr>
        <w:t>注：符合《关于政府采购支持监狱企业发展有关问题的通知》价格扣减条件的供应商须提交。</w:t>
      </w:r>
      <w:r>
        <w:rPr>
          <w:rFonts w:hint="default" w:ascii="Times New Roman" w:hAnsi="Times New Roman" w:eastAsia="仿宋_GB2312" w:cs="Times New Roman"/>
          <w:i w:val="0"/>
          <w:iCs w:val="0"/>
          <w:color w:val="000000" w:themeColor="text1"/>
          <w:kern w:val="0"/>
          <w:sz w:val="24"/>
          <w:highlight w:val="none"/>
          <w:u w:val="none"/>
          <w:lang w:val="en-US" w:eastAsia="zh-CN"/>
          <w14:textFill>
            <w14:solidFill>
              <w14:schemeClr w14:val="tx1"/>
            </w14:solidFill>
          </w14:textFill>
        </w:rPr>
        <w:t>需提供</w:t>
      </w:r>
      <w:r>
        <w:rPr>
          <w:rFonts w:hint="default" w:ascii="Times New Roman" w:hAnsi="Times New Roman" w:eastAsia="仿宋_GB2312" w:cs="Times New Roman"/>
          <w:i w:val="0"/>
          <w:iCs w:val="0"/>
          <w:color w:val="000000" w:themeColor="text1"/>
          <w:sz w:val="24"/>
          <w:highlight w:val="none"/>
          <w:u w:val="none"/>
          <w14:textFill>
            <w14:solidFill>
              <w14:schemeClr w14:val="tx1"/>
            </w14:solidFill>
          </w14:textFill>
        </w:rPr>
        <w:t>省级以上监狱管理局、戒毒管理局（含新疆生产建设兵团）出具的属于监狱企业的证明文件。</w:t>
      </w:r>
    </w:p>
    <w:p>
      <w:pPr>
        <w:rPr>
          <w:rFonts w:ascii="仿宋_GB2312" w:hAnsi="仿宋_GB2312" w:eastAsia="仿宋_GB2312" w:cs="仿宋_GB2312"/>
          <w:color w:val="000000" w:themeColor="text1"/>
          <w:sz w:val="32"/>
          <w:szCs w:val="32"/>
          <w:highlight w:val="none"/>
          <w14:textFill>
            <w14:solidFill>
              <w14:schemeClr w14:val="tx1"/>
            </w14:solidFill>
          </w14:textFill>
        </w:rPr>
      </w:pPr>
    </w:p>
    <w:p>
      <w:pPr>
        <w:rPr>
          <w:rFonts w:ascii="仿宋_GB2312" w:hAnsi="仿宋_GB2312" w:eastAsia="仿宋_GB2312" w:cs="仿宋_GB2312"/>
          <w:color w:val="000000" w:themeColor="text1"/>
          <w:sz w:val="32"/>
          <w:szCs w:val="32"/>
          <w:highlight w:val="none"/>
          <w14:textFill>
            <w14:solidFill>
              <w14:schemeClr w14:val="tx1"/>
            </w14:solidFill>
          </w14:textFill>
        </w:rPr>
      </w:pPr>
    </w:p>
    <w:p>
      <w:pPr>
        <w:jc w:val="center"/>
        <w:outlineLvl w:val="2"/>
        <w:rPr>
          <w:rFonts w:ascii="仿宋_GB2312" w:hAnsi="仿宋_GB2312" w:eastAsia="仿宋_GB2312" w:cs="仿宋_GB2312"/>
          <w:b/>
          <w:color w:val="000000" w:themeColor="text1"/>
          <w:sz w:val="32"/>
          <w:szCs w:val="32"/>
          <w:highlight w:val="none"/>
          <w14:textFill>
            <w14:solidFill>
              <w14:schemeClr w14:val="tx1"/>
            </w14:solidFill>
          </w14:textFill>
        </w:rPr>
      </w:pPr>
      <w:bookmarkStart w:id="467" w:name="_Toc7005134"/>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仿宋_GB2312" w:hAnsi="仿宋_GB2312" w:eastAsia="仿宋_GB2312" w:cs="仿宋_GB2312"/>
          <w:b/>
          <w:color w:val="000000" w:themeColor="text1"/>
          <w:sz w:val="28"/>
          <w:szCs w:val="28"/>
          <w:highlight w:val="none"/>
          <w14:textFill>
            <w14:solidFill>
              <w14:schemeClr w14:val="tx1"/>
            </w14:solidFill>
          </w14:textFill>
        </w:rPr>
        <w:t>三、残疾人福利性单位声明函</w:t>
      </w:r>
      <w:bookmarkEnd w:id="467"/>
    </w:p>
    <w:p>
      <w:pPr>
        <w:spacing w:after="120"/>
        <w:rPr>
          <w:rFonts w:ascii="仿宋_GB2312" w:hAnsi="仿宋_GB2312" w:eastAsia="仿宋_GB2312" w:cs="仿宋_GB2312"/>
          <w:color w:val="000000" w:themeColor="text1"/>
          <w:highlight w:val="none"/>
          <w14:textFill>
            <w14:solidFill>
              <w14:schemeClr w14:val="tx1"/>
            </w14:solidFill>
          </w14:textFill>
        </w:rPr>
      </w:pPr>
    </w:p>
    <w:p>
      <w:pPr>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（注：符合条件的残疾人福利性单位请提供本函，不符合的不提供本函）</w:t>
      </w:r>
    </w:p>
    <w:p>
      <w:pPr>
        <w:rPr>
          <w:rFonts w:ascii="仿宋_GB2312" w:hAnsi="仿宋_GB2312" w:eastAsia="仿宋_GB2312" w:cs="仿宋_GB2312"/>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p>
      <w:pPr>
        <w:spacing w:line="360"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______</w:t>
      </w:r>
      <w:r>
        <w:rPr>
          <w:rFonts w:hint="eastAsia" w:ascii="仿宋_GB2312" w:hAnsi="仿宋_GB2312" w:eastAsia="仿宋_GB2312" w:cs="仿宋_GB2312"/>
          <w:color w:val="000000" w:themeColor="text1"/>
          <w:sz w:val="24"/>
          <w:highlight w:val="none"/>
          <w14:textFill>
            <w14:solidFill>
              <w14:schemeClr w14:val="tx1"/>
            </w14:solidFill>
          </w14:textFill>
        </w:rPr>
        <w:t>单位的</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______</w:t>
      </w:r>
      <w:r>
        <w:rPr>
          <w:rFonts w:hint="eastAsia" w:ascii="仿宋_GB2312" w:hAnsi="仿宋_GB2312" w:eastAsia="仿宋_GB2312"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本单位对上述声明的真实性负责。如有虚假，将依法承担相应责任。</w:t>
      </w:r>
    </w:p>
    <w:p>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p>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pPr>
        <w:rPr>
          <w:rFonts w:ascii="仿宋_GB2312" w:hAnsi="仿宋_GB2312" w:eastAsia="仿宋_GB2312" w:cs="仿宋_GB2312"/>
          <w:color w:val="000000" w:themeColor="text1"/>
          <w:sz w:val="24"/>
          <w:highlight w:val="none"/>
          <w14:textFill>
            <w14:solidFill>
              <w14:schemeClr w14:val="tx1"/>
            </w14:solidFill>
          </w14:textFill>
        </w:rPr>
      </w:pPr>
    </w:p>
    <w:p>
      <w:pP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pPr>
        <w:rPr>
          <w:rFonts w:ascii="仿宋_GB2312" w:hAnsi="仿宋_GB2312" w:eastAsia="仿宋_GB2312" w:cs="仿宋_GB2312"/>
          <w:color w:val="000000" w:themeColor="text1"/>
          <w:sz w:val="24"/>
          <w:highlight w:val="none"/>
          <w14:textFill>
            <w14:solidFill>
              <w14:schemeClr w14:val="tx1"/>
            </w14:solidFill>
          </w14:textFill>
        </w:rPr>
      </w:pPr>
    </w:p>
    <w:p>
      <w:pPr>
        <w:rPr>
          <w:rFonts w:eastAsia="仿宋_GB2312"/>
          <w:color w:val="000000" w:themeColor="text1"/>
          <w:sz w:val="24"/>
          <w14:textFill>
            <w14:solidFill>
              <w14:schemeClr w14:val="tx1"/>
            </w14:solidFill>
          </w14:textFill>
        </w:rPr>
      </w:pPr>
    </w:p>
    <w:p>
      <w:pPr>
        <w:spacing w:line="360" w:lineRule="auto"/>
        <w:ind w:firstLine="1920" w:firstLineChars="800"/>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供应商</w:t>
      </w:r>
      <w:r>
        <w:rPr>
          <w:rFonts w:eastAsia="仿宋_GB2312"/>
          <w:color w:val="000000" w:themeColor="text1"/>
          <w:sz w:val="24"/>
          <w14:textFill>
            <w14:solidFill>
              <w14:schemeClr w14:val="tx1"/>
            </w14:solidFill>
          </w14:textFill>
        </w:rPr>
        <w:t>（盖</w:t>
      </w:r>
      <w:r>
        <w:rPr>
          <w:rFonts w:hint="eastAsia" w:eastAsia="仿宋_GB2312"/>
          <w:color w:val="000000" w:themeColor="text1"/>
          <w:sz w:val="24"/>
          <w:lang w:val="en-US" w:eastAsia="zh-CN"/>
          <w14:textFill>
            <w14:solidFill>
              <w14:schemeClr w14:val="tx1"/>
            </w14:solidFill>
          </w14:textFill>
        </w:rPr>
        <w:t>公</w:t>
      </w:r>
      <w:r>
        <w:rPr>
          <w:rFonts w:eastAsia="仿宋_GB2312"/>
          <w:color w:val="000000" w:themeColor="text1"/>
          <w:sz w:val="24"/>
          <w14:textFill>
            <w14:solidFill>
              <w14:schemeClr w14:val="tx1"/>
            </w14:solidFill>
          </w14:textFill>
        </w:rPr>
        <w:t>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 xml:space="preserve">    </w:t>
      </w:r>
    </w:p>
    <w:p>
      <w:pPr>
        <w:spacing w:line="360" w:lineRule="auto"/>
        <w:ind w:firstLine="1920" w:firstLineChars="8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spacing w:line="360" w:lineRule="auto"/>
        <w:ind w:firstLine="1920" w:firstLineChars="800"/>
        <w:rPr>
          <w:rFonts w:eastAsia="仿宋_GB2312"/>
          <w:color w:val="000000" w:themeColor="text1"/>
          <w:kern w:val="0"/>
          <w:sz w:val="24"/>
          <w:u w:val="single"/>
          <w14:textFill>
            <w14:solidFill>
              <w14:schemeClr w14:val="tx1"/>
            </w14:solidFill>
          </w14:textFill>
        </w:rPr>
      </w:pPr>
      <w:r>
        <w:rPr>
          <w:rFonts w:eastAsia="仿宋_GB2312"/>
          <w:color w:val="000000" w:themeColor="text1"/>
          <w:sz w:val="24"/>
          <w14:textFill>
            <w14:solidFill>
              <w14:schemeClr w14:val="tx1"/>
            </w14:solidFill>
          </w14:textFill>
        </w:rPr>
        <w:t>日    期：</w:t>
      </w:r>
      <w:r>
        <w:rPr>
          <w:rFonts w:eastAsia="仿宋_GB2312"/>
          <w:color w:val="000000" w:themeColor="text1"/>
          <w:sz w:val="32"/>
          <w:u w:val="single"/>
          <w14:textFill>
            <w14:solidFill>
              <w14:schemeClr w14:val="tx1"/>
            </w14:solidFill>
          </w14:textFill>
        </w:rPr>
        <w:t xml:space="preserve">         </w:t>
      </w:r>
    </w:p>
    <w:p>
      <w:pPr>
        <w:ind w:firstLine="3600" w:firstLineChars="1500"/>
        <w:rPr>
          <w:rFonts w:eastAsia="仿宋_GB2312"/>
          <w:color w:val="000000" w:themeColor="text1"/>
          <w:sz w:val="24"/>
          <w14:textFill>
            <w14:solidFill>
              <w14:schemeClr w14:val="tx1"/>
            </w14:solidFill>
          </w14:textFill>
        </w:rPr>
      </w:pPr>
    </w:p>
    <w:p>
      <w:pPr>
        <w:rPr>
          <w:rFonts w:ascii="仿宋_GB2312" w:hAnsi="仿宋_GB2312" w:eastAsia="仿宋_GB2312" w:cs="仿宋_GB2312"/>
          <w:color w:val="000000" w:themeColor="text1"/>
          <w:sz w:val="24"/>
          <w:highlight w:val="none"/>
          <w14:textFill>
            <w14:solidFill>
              <w14:schemeClr w14:val="tx1"/>
            </w14:solidFill>
          </w14:textFill>
        </w:rPr>
      </w:pPr>
    </w:p>
    <w:p>
      <w:pPr>
        <w:snapToGrid w:val="0"/>
        <w:spacing w:before="120" w:beforeLines="50"/>
        <w:jc w:val="center"/>
        <w:rPr>
          <w:rFonts w:ascii="仿宋_GB2312" w:hAnsi="仿宋_GB2312" w:eastAsia="仿宋_GB2312" w:cs="仿宋_GB2312"/>
          <w:b/>
          <w:color w:val="000000" w:themeColor="text1"/>
          <w:sz w:val="24"/>
          <w:szCs w:val="21"/>
          <w:highlight w:val="none"/>
          <w14:textFill>
            <w14:solidFill>
              <w14:schemeClr w14:val="tx1"/>
            </w14:solidFill>
          </w14:textFill>
        </w:rPr>
      </w:pPr>
    </w:p>
    <w:p>
      <w:pPr>
        <w:widowControl/>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br w:type="page"/>
      </w:r>
    </w:p>
    <w:p>
      <w:pPr>
        <w:jc w:val="center"/>
        <w:outlineLvl w:val="2"/>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四、响应承诺书</w:t>
      </w:r>
    </w:p>
    <w:p>
      <w:pPr>
        <w:spacing w:line="360" w:lineRule="auto"/>
        <w:rPr>
          <w:rFonts w:ascii="仿宋_GB2312" w:hAnsi="仿宋_GB2312" w:eastAsia="仿宋_GB2312" w:cs="仿宋_GB2312"/>
          <w:color w:val="000000" w:themeColor="text1"/>
          <w:sz w:val="24"/>
          <w:highlight w:val="none"/>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陕西省采购招标有限责任公司：</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我方在此声明，我方以下事项进行承诺：</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 在本次磋商中我公司无与其他供应商相互串通，或与采购人串通的行为；</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 在本次磋商中我公司无向采购人或磋商小组成员行贿的手段谋取成交的行为；</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 在本次磋商中我公司无出借或借用资质行为、在响应文件中所附资料（业绩、项目负责人资料等）无弄虚作假；</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（4） 我公司没有处于被责令停产、停业、投标资格被取消状态；</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（5）我公司不采用非法手段获取证据进行质疑、投诉，在质疑、投诉过程中不提供虚假情况或进行恶意质疑、投诉。</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上述承诺内容如有不实，我公司愿意承担由此造成的一切法律责任，并承诺以磋商保证金赔偿给采购人造成的损失。</w:t>
      </w:r>
    </w:p>
    <w:p>
      <w:pPr>
        <w:spacing w:line="360"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特此承诺。</w:t>
      </w:r>
    </w:p>
    <w:p>
      <w:pPr>
        <w:spacing w:line="360" w:lineRule="auto"/>
        <w:ind w:firstLine="480" w:firstLineChars="200"/>
        <w:rPr>
          <w:rFonts w:eastAsia="仿宋_GB2312"/>
          <w:color w:val="000000" w:themeColor="text1"/>
          <w:sz w:val="24"/>
          <w14:textFill>
            <w14:solidFill>
              <w14:schemeClr w14:val="tx1"/>
            </w14:solidFill>
          </w14:textFill>
        </w:rPr>
      </w:pPr>
    </w:p>
    <w:p>
      <w:pPr>
        <w:spacing w:line="360" w:lineRule="auto"/>
        <w:ind w:firstLine="1920" w:firstLineChars="800"/>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供应商</w:t>
      </w:r>
      <w:r>
        <w:rPr>
          <w:rFonts w:eastAsia="仿宋_GB2312"/>
          <w:color w:val="000000" w:themeColor="text1"/>
          <w:sz w:val="24"/>
          <w14:textFill>
            <w14:solidFill>
              <w14:schemeClr w14:val="tx1"/>
            </w14:solidFill>
          </w14:textFill>
        </w:rPr>
        <w:t>（盖</w:t>
      </w:r>
      <w:r>
        <w:rPr>
          <w:rFonts w:hint="eastAsia" w:eastAsia="仿宋_GB2312"/>
          <w:color w:val="000000" w:themeColor="text1"/>
          <w:sz w:val="24"/>
          <w:lang w:val="en-US" w:eastAsia="zh-CN"/>
          <w14:textFill>
            <w14:solidFill>
              <w14:schemeClr w14:val="tx1"/>
            </w14:solidFill>
          </w14:textFill>
        </w:rPr>
        <w:t>公</w:t>
      </w:r>
      <w:r>
        <w:rPr>
          <w:rFonts w:eastAsia="仿宋_GB2312"/>
          <w:color w:val="000000" w:themeColor="text1"/>
          <w:sz w:val="24"/>
          <w14:textFill>
            <w14:solidFill>
              <w14:schemeClr w14:val="tx1"/>
            </w14:solidFill>
          </w14:textFill>
        </w:rPr>
        <w:t>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 xml:space="preserve">    </w:t>
      </w:r>
    </w:p>
    <w:p>
      <w:pPr>
        <w:spacing w:line="360" w:lineRule="auto"/>
        <w:ind w:firstLine="1920" w:firstLineChars="8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pStyle w:val="2"/>
        <w:rPr>
          <w:rFonts w:eastAsia="仿宋_GB2312"/>
          <w:color w:val="000000" w:themeColor="text1"/>
          <w:sz w:val="32"/>
          <w:u w:val="single"/>
          <w14:textFill>
            <w14:solidFill>
              <w14:schemeClr w14:val="tx1"/>
            </w14:solidFill>
          </w14:textFill>
        </w:rPr>
      </w:pPr>
      <w:r>
        <w:rPr>
          <w:rFonts w:eastAsia="仿宋_GB2312"/>
          <w:color w:val="000000" w:themeColor="text1"/>
          <w:sz w:val="24"/>
          <w14:textFill>
            <w14:solidFill>
              <w14:schemeClr w14:val="tx1"/>
            </w14:solidFill>
          </w14:textFill>
        </w:rPr>
        <w:t>日    期：</w:t>
      </w:r>
      <w:r>
        <w:rPr>
          <w:rFonts w:eastAsia="仿宋_GB2312"/>
          <w:color w:val="000000" w:themeColor="text1"/>
          <w:sz w:val="32"/>
          <w:u w:val="single"/>
          <w14:textFill>
            <w14:solidFill>
              <w14:schemeClr w14:val="tx1"/>
            </w14:solidFill>
          </w14:textFill>
        </w:rPr>
        <w:t xml:space="preserve">       </w:t>
      </w:r>
    </w:p>
    <w:p>
      <w:pPr>
        <w:rPr>
          <w:rFonts w:eastAsia="仿宋_GB2312"/>
          <w:color w:val="000000" w:themeColor="text1"/>
          <w:sz w:val="32"/>
          <w:u w:val="single"/>
          <w14:textFill>
            <w14:solidFill>
              <w14:schemeClr w14:val="tx1"/>
            </w14:solidFill>
          </w14:textFill>
        </w:rPr>
      </w:pPr>
      <w:r>
        <w:rPr>
          <w:rFonts w:eastAsia="仿宋_GB2312"/>
          <w:color w:val="000000" w:themeColor="text1"/>
          <w:sz w:val="32"/>
          <w:u w:val="single"/>
          <w14:textFill>
            <w14:solidFill>
              <w14:schemeClr w14:val="tx1"/>
            </w14:solidFill>
          </w14:textFill>
        </w:rPr>
        <w:br w:type="page"/>
      </w:r>
    </w:p>
    <w:p>
      <w:pPr>
        <w:pStyle w:val="3"/>
        <w:rPr>
          <w:color w:val="000000" w:themeColor="text1"/>
          <w14:textFill>
            <w14:solidFill>
              <w14:schemeClr w14:val="tx1"/>
            </w14:solidFill>
          </w14:textFill>
        </w:rPr>
      </w:pPr>
    </w:p>
    <w:p>
      <w:pPr>
        <w:spacing w:after="120"/>
        <w:rPr>
          <w:rFonts w:ascii="仿宋_GB2312" w:hAnsi="仿宋_GB2312" w:eastAsia="仿宋_GB2312" w:cs="仿宋_GB2312"/>
          <w:color w:val="000000" w:themeColor="text1"/>
          <w:highlight w:val="none"/>
          <w14:textFill>
            <w14:solidFill>
              <w14:schemeClr w14:val="tx1"/>
            </w14:solidFill>
          </w14:textFill>
        </w:rPr>
      </w:pPr>
    </w:p>
    <w:p>
      <w:pPr>
        <w:pStyle w:val="196"/>
        <w:ind w:firstLine="6927" w:firstLineChars="2300"/>
        <w:rPr>
          <w:b/>
          <w:color w:val="000000" w:themeColor="text1"/>
          <w:sz w:val="30"/>
          <w:szCs w:val="30"/>
          <w:highlight w:val="none"/>
          <w:lang w:val="zh-CN"/>
          <w14:textFill>
            <w14:solidFill>
              <w14:schemeClr w14:val="tx1"/>
            </w14:solidFill>
          </w14:textFill>
        </w:rPr>
      </w:pPr>
      <w:r>
        <w:rPr>
          <w:rFonts w:hint="eastAsia"/>
          <w:b/>
          <w:color w:val="000000" w:themeColor="text1"/>
          <w:sz w:val="30"/>
          <w:szCs w:val="30"/>
          <w:highlight w:val="none"/>
          <w:lang w:val="zh-CN"/>
          <w14:textFill>
            <w14:solidFill>
              <w14:schemeClr w14:val="tx1"/>
            </w14:solidFill>
          </w14:textFill>
        </w:rPr>
        <w:t>正本/副本</w:t>
      </w:r>
    </w:p>
    <w:p>
      <w:pPr>
        <w:autoSpaceDE w:val="0"/>
        <w:autoSpaceDN w:val="0"/>
        <w:adjustRightInd w:val="0"/>
        <w:snapToGrid w:val="0"/>
        <w:spacing w:line="360" w:lineRule="auto"/>
        <w:jc w:val="left"/>
        <w:rPr>
          <w:rFonts w:ascii="仿宋_GB2312" w:hAnsi="仿宋_GB2312" w:eastAsia="仿宋_GB2312" w:cs="仿宋_GB2312"/>
          <w:b/>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政府采购项目</w:t>
      </w:r>
    </w:p>
    <w:p>
      <w:pPr>
        <w:autoSpaceDE w:val="0"/>
        <w:autoSpaceDN w:val="0"/>
        <w:adjustRightInd w:val="0"/>
        <w:snapToGrid w:val="0"/>
        <w:spacing w:line="360" w:lineRule="auto"/>
        <w:jc w:val="left"/>
        <w:rPr>
          <w:rFonts w:ascii="仿宋_GB2312" w:hAnsi="仿宋_GB2312" w:eastAsia="仿宋_GB2312" w:cs="仿宋_GB2312"/>
          <w:b/>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采购项目编号：SCZF2022-CS-2083/001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19"/>
          <w:szCs w:val="19"/>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19"/>
          <w:szCs w:val="19"/>
          <w:highlight w:val="none"/>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000000" w:themeColor="text1"/>
          <w:sz w:val="19"/>
          <w:szCs w:val="19"/>
          <w:highlight w:val="none"/>
          <w14:textFill>
            <w14:solidFill>
              <w14:schemeClr w14:val="tx1"/>
            </w14:solidFill>
          </w14:textFill>
        </w:rPr>
      </w:pPr>
    </w:p>
    <w:p>
      <w:pPr>
        <w:autoSpaceDE w:val="0"/>
        <w:autoSpaceDN w:val="0"/>
        <w:adjustRightInd w:val="0"/>
        <w:snapToGrid w:val="0"/>
        <w:spacing w:line="360" w:lineRule="auto"/>
        <w:jc w:val="center"/>
        <w:rPr>
          <w:rFonts w:hint="eastAsia" w:ascii="仿宋_GB2312" w:hAnsi="仿宋_GB2312" w:eastAsia="仿宋_GB2312" w:cs="仿宋_GB2312"/>
          <w:b/>
          <w:bCs/>
          <w:color w:val="000000" w:themeColor="text1"/>
          <w:sz w:val="44"/>
          <w:szCs w:val="4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44"/>
          <w:szCs w:val="44"/>
          <w:highlight w:val="none"/>
          <w:lang w:eastAsia="zh-CN"/>
          <w14:textFill>
            <w14:solidFill>
              <w14:schemeClr w14:val="tx1"/>
            </w14:solidFill>
          </w14:textFill>
        </w:rPr>
        <w:t>临渭区国土空间生态修复规划（2021-2035年）</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000000" w:themeColor="text1"/>
          <w:sz w:val="36"/>
          <w:szCs w:val="36"/>
          <w:highlight w:val="none"/>
          <w:lang w:val="zh-CN"/>
          <w14:textFill>
            <w14:solidFill>
              <w14:schemeClr w14:val="tx1"/>
            </w14:solidFill>
          </w14:textFill>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000000" w:themeColor="text1"/>
          <w:sz w:val="52"/>
          <w:szCs w:val="5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52"/>
          <w:szCs w:val="52"/>
          <w:highlight w:val="none"/>
          <w:lang w:val="zh-CN"/>
          <w14:textFill>
            <w14:solidFill>
              <w14:schemeClr w14:val="tx1"/>
            </w14:solidFill>
          </w14:textFill>
        </w:rPr>
        <w:t>磋商响应文件</w:t>
      </w:r>
    </w:p>
    <w:p>
      <w:pPr>
        <w:autoSpaceDE w:val="0"/>
        <w:autoSpaceDN w:val="0"/>
        <w:adjustRightInd w:val="0"/>
        <w:snapToGrid w:val="0"/>
        <w:spacing w:line="360" w:lineRule="auto"/>
        <w:rPr>
          <w:rFonts w:ascii="黑体" w:hAnsi="黑体" w:eastAsia="黑体" w:cs="仿宋_GB2312"/>
          <w:b/>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 xml:space="preserve">                    </w:t>
      </w:r>
      <w:r>
        <w:rPr>
          <w:rFonts w:hint="eastAsia" w:ascii="黑体" w:hAnsi="黑体" w:eastAsia="黑体" w:cs="仿宋_GB2312"/>
          <w:b/>
          <w:bCs/>
          <w:color w:val="000000" w:themeColor="text1"/>
          <w:sz w:val="32"/>
          <w:szCs w:val="32"/>
          <w:highlight w:val="none"/>
          <w:lang w:val="zh-CN"/>
          <w14:textFill>
            <w14:solidFill>
              <w14:schemeClr w14:val="tx1"/>
            </w14:solidFill>
          </w14:textFill>
        </w:rPr>
        <w:t>（</w:t>
      </w:r>
      <w:r>
        <w:rPr>
          <w:rStyle w:val="95"/>
          <w:rFonts w:hint="eastAsia"/>
          <w:color w:val="000000" w:themeColor="text1"/>
          <w:highlight w:val="none"/>
          <w14:textFill>
            <w14:solidFill>
              <w14:schemeClr w14:val="tx1"/>
            </w14:solidFill>
          </w14:textFill>
        </w:rPr>
        <w:t>商务及技术文件</w:t>
      </w:r>
      <w:r>
        <w:rPr>
          <w:rFonts w:hint="eastAsia" w:ascii="黑体" w:hAnsi="黑体" w:eastAsia="黑体" w:cs="仿宋_GB2312"/>
          <w:b/>
          <w:bCs/>
          <w:color w:val="000000" w:themeColor="text1"/>
          <w:sz w:val="32"/>
          <w:szCs w:val="32"/>
          <w:highlight w:val="none"/>
          <w:lang w:val="zh-CN"/>
          <w14:textFill>
            <w14:solidFill>
              <w14:schemeClr w14:val="tx1"/>
            </w14:solidFill>
          </w14:textFill>
        </w:rPr>
        <w:t>）</w:t>
      </w:r>
    </w:p>
    <w:p>
      <w:pPr>
        <w:autoSpaceDE w:val="0"/>
        <w:autoSpaceDN w:val="0"/>
        <w:adjustRightInd w:val="0"/>
        <w:snapToGrid w:val="0"/>
        <w:spacing w:line="360" w:lineRule="auto"/>
        <w:rPr>
          <w:rFonts w:ascii="仿宋_GB2312" w:hAnsi="仿宋_GB2312" w:eastAsia="仿宋_GB2312" w:cs="仿宋_GB2312"/>
          <w:b/>
          <w:bCs/>
          <w:color w:val="000000" w:themeColor="text1"/>
          <w:sz w:val="32"/>
          <w:szCs w:val="32"/>
          <w:highlight w:val="none"/>
          <w:lang w:val="zh-CN"/>
          <w14:textFill>
            <w14:solidFill>
              <w14:schemeClr w14:val="tx1"/>
            </w14:solidFill>
          </w14:textFill>
        </w:rPr>
      </w:pPr>
    </w:p>
    <w:p>
      <w:pPr>
        <w:autoSpaceDE w:val="0"/>
        <w:autoSpaceDN w:val="0"/>
        <w:adjustRightInd w:val="0"/>
        <w:snapToGrid w:val="0"/>
        <w:spacing w:line="360" w:lineRule="auto"/>
        <w:rPr>
          <w:rFonts w:ascii="仿宋_GB2312" w:hAnsi="仿宋_GB2312" w:eastAsia="仿宋_GB2312" w:cs="仿宋_GB2312"/>
          <w:b/>
          <w:bCs/>
          <w:color w:val="000000" w:themeColor="text1"/>
          <w:sz w:val="32"/>
          <w:szCs w:val="32"/>
          <w:highlight w:val="none"/>
          <w:lang w:val="zh-CN"/>
          <w14:textFill>
            <w14:solidFill>
              <w14:schemeClr w14:val="tx1"/>
            </w14:solidFill>
          </w14:textFill>
        </w:rPr>
      </w:pPr>
    </w:p>
    <w:p>
      <w:pPr>
        <w:autoSpaceDE w:val="0"/>
        <w:autoSpaceDN w:val="0"/>
        <w:adjustRightInd w:val="0"/>
        <w:snapToGrid w:val="0"/>
        <w:spacing w:line="360" w:lineRule="auto"/>
        <w:rPr>
          <w:rFonts w:ascii="仿宋_GB2312" w:hAnsi="仿宋_GB2312" w:eastAsia="仿宋_GB2312" w:cs="仿宋_GB2312"/>
          <w:b/>
          <w:bCs/>
          <w:color w:val="000000" w:themeColor="text1"/>
          <w:sz w:val="32"/>
          <w:szCs w:val="32"/>
          <w:highlight w:val="none"/>
          <w:lang w:val="zh-CN"/>
          <w14:textFill>
            <w14:solidFill>
              <w14:schemeClr w14:val="tx1"/>
            </w14:solidFill>
          </w14:textFill>
        </w:rPr>
      </w:pPr>
    </w:p>
    <w:p>
      <w:pPr>
        <w:autoSpaceDE w:val="0"/>
        <w:autoSpaceDN w:val="0"/>
        <w:adjustRightInd w:val="0"/>
        <w:snapToGrid w:val="0"/>
        <w:spacing w:line="360" w:lineRule="auto"/>
        <w:rPr>
          <w:rFonts w:ascii="仿宋_GB2312" w:hAnsi="仿宋_GB2312" w:eastAsia="仿宋_GB2312" w:cs="仿宋_GB2312"/>
          <w:color w:val="000000" w:themeColor="text1"/>
          <w:sz w:val="30"/>
          <w:szCs w:val="30"/>
          <w:highlight w:val="none"/>
          <w14:textFill>
            <w14:solidFill>
              <w14:schemeClr w14:val="tx1"/>
            </w14:solidFill>
          </w14:textFill>
        </w:rPr>
      </w:pPr>
    </w:p>
    <w:p>
      <w:pPr>
        <w:pStyle w:val="2"/>
        <w:rPr>
          <w:rFonts w:ascii="仿宋_GB2312" w:hAnsi="仿宋_GB2312" w:eastAsia="仿宋_GB2312" w:cs="仿宋_GB2312"/>
          <w:color w:val="000000" w:themeColor="text1"/>
          <w:sz w:val="30"/>
          <w:szCs w:val="30"/>
          <w:highlight w:val="none"/>
          <w14:textFill>
            <w14:solidFill>
              <w14:schemeClr w14:val="tx1"/>
            </w14:solidFill>
          </w14:textFill>
        </w:rPr>
      </w:pPr>
    </w:p>
    <w:p>
      <w:pPr>
        <w:autoSpaceDE w:val="0"/>
        <w:autoSpaceDN w:val="0"/>
        <w:adjustRightInd w:val="0"/>
        <w:snapToGrid w:val="0"/>
        <w:spacing w:line="360" w:lineRule="auto"/>
        <w:rPr>
          <w:rFonts w:ascii="仿宋_GB2312" w:hAnsi="仿宋_GB2312" w:eastAsia="仿宋_GB2312" w:cs="仿宋_GB2312"/>
          <w:b/>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供应商：</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p>
    <w:p>
      <w:pPr>
        <w:autoSpaceDE w:val="0"/>
        <w:autoSpaceDN w:val="0"/>
        <w:adjustRightInd w:val="0"/>
        <w:snapToGrid w:val="0"/>
        <w:spacing w:line="360" w:lineRule="auto"/>
        <w:rPr>
          <w:rFonts w:ascii="仿宋_GB2312" w:hAnsi="仿宋_GB2312" w:eastAsia="仿宋_GB2312" w:cs="仿宋_GB2312"/>
          <w:b/>
          <w:bCs/>
          <w:color w:val="000000" w:themeColor="text1"/>
          <w:sz w:val="32"/>
          <w:szCs w:val="32"/>
          <w:highlight w:val="none"/>
          <w14:textFill>
            <w14:solidFill>
              <w14:schemeClr w14:val="tx1"/>
            </w14:solidFill>
          </w14:textFill>
        </w:rPr>
      </w:pPr>
    </w:p>
    <w:p>
      <w:pPr>
        <w:autoSpaceDE w:val="0"/>
        <w:autoSpaceDN w:val="0"/>
        <w:adjustRightInd w:val="0"/>
        <w:snapToGrid w:val="0"/>
        <w:spacing w:line="360" w:lineRule="auto"/>
        <w:ind w:firstLine="964" w:firstLineChars="300"/>
        <w:rPr>
          <w:rFonts w:ascii="仿宋_GB2312" w:hAnsi="仿宋_GB2312" w:eastAsia="仿宋_GB2312" w:cs="仿宋_GB2312"/>
          <w:b/>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时</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间：</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rPr>
          <w:rFonts w:ascii="仿宋_GB2312" w:hAnsi="仿宋_GB2312" w:eastAsia="仿宋_GB2312" w:cs="仿宋_GB2312"/>
          <w:color w:val="000000" w:themeColor="text1"/>
          <w:highlight w:val="none"/>
          <w14:textFill>
            <w14:solidFill>
              <w14:schemeClr w14:val="tx1"/>
            </w14:solidFill>
          </w14:textFill>
        </w:rPr>
      </w:pPr>
    </w:p>
    <w:p>
      <w:pPr>
        <w:autoSpaceDE w:val="0"/>
        <w:autoSpaceDN w:val="0"/>
        <w:adjustRightInd w:val="0"/>
        <w:snapToGrid w:val="0"/>
        <w:spacing w:line="360" w:lineRule="auto"/>
        <w:ind w:firstLine="3534" w:firstLineChars="11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目  录</w:t>
      </w:r>
    </w:p>
    <w:p>
      <w:pPr>
        <w:spacing w:after="120"/>
        <w:ind w:firstLine="315" w:firstLineChars="150"/>
        <w:rPr>
          <w:rFonts w:ascii="仿宋_GB2312" w:hAnsi="仿宋_GB2312" w:eastAsia="仿宋_GB2312" w:cs="仿宋_GB2312"/>
          <w:color w:val="000000" w:themeColor="text1"/>
          <w:highlight w:val="none"/>
          <w14:textFill>
            <w14:solidFill>
              <w14:schemeClr w14:val="tx1"/>
            </w14:solidFill>
          </w14:textFill>
        </w:rPr>
      </w:pPr>
    </w:p>
    <w:p>
      <w:pPr>
        <w:spacing w:after="120" w:line="480" w:lineRule="auto"/>
        <w:ind w:firstLine="360" w:firstLineChars="1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第一部分  磋商响应函</w:t>
      </w:r>
    </w:p>
    <w:p>
      <w:pPr>
        <w:spacing w:after="120" w:line="480" w:lineRule="auto"/>
        <w:ind w:firstLine="360" w:firstLineChars="1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第二部分  磋商响应报价表 </w:t>
      </w:r>
    </w:p>
    <w:p>
      <w:pPr>
        <w:spacing w:after="120" w:line="480" w:lineRule="auto"/>
        <w:ind w:firstLine="360" w:firstLineChars="1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第三部分  偏离表</w:t>
      </w:r>
    </w:p>
    <w:p>
      <w:pPr>
        <w:spacing w:after="120" w:line="480" w:lineRule="auto"/>
        <w:ind w:firstLine="360" w:firstLineChars="1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第四部分  响应方案说明</w:t>
      </w:r>
    </w:p>
    <w:p>
      <w:pPr>
        <w:spacing w:after="120" w:line="480" w:lineRule="auto"/>
        <w:ind w:firstLine="360" w:firstLineChars="150"/>
        <w:rPr>
          <w:rFonts w:hint="default" w:ascii="Times New Roman" w:hAnsi="Times New Roman" w:eastAsia="仿宋_GB2312" w:cs="Times New Roman"/>
          <w:i w:val="0"/>
          <w:iCs w:val="0"/>
          <w:color w:val="000000" w:themeColor="text1"/>
          <w:sz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第</w:t>
      </w:r>
      <w:r>
        <w:rPr>
          <w:rFonts w:hint="eastAsia" w:eastAsia="仿宋_GB2312" w:cs="Times New Roman"/>
          <w:i w:val="0"/>
          <w:iCs w:val="0"/>
          <w:color w:val="000000" w:themeColor="text1"/>
          <w:sz w:val="24"/>
          <w:highlight w:val="none"/>
          <w:lang w:eastAsia="zh-CN"/>
          <w14:textFill>
            <w14:solidFill>
              <w14:schemeClr w14:val="tx1"/>
            </w14:solidFill>
          </w14:textFill>
        </w:rPr>
        <w:t>五</w:t>
      </w:r>
      <w:r>
        <w:rPr>
          <w:rFonts w:hint="default" w:ascii="Times New Roman" w:hAnsi="Times New Roman" w:eastAsia="仿宋_GB2312" w:cs="Times New Roman"/>
          <w:i w:val="0"/>
          <w:iCs w:val="0"/>
          <w:color w:val="000000" w:themeColor="text1"/>
          <w:sz w:val="24"/>
          <w:highlight w:val="none"/>
          <w14:textFill>
            <w14:solidFill>
              <w14:schemeClr w14:val="tx1"/>
            </w14:solidFill>
          </w14:textFill>
        </w:rPr>
        <w:t>部分  保证金支付凭证或担保函（复印件）</w:t>
      </w:r>
    </w:p>
    <w:p>
      <w:pPr>
        <w:pStyle w:val="2"/>
        <w:rPr>
          <w:color w:val="000000" w:themeColor="text1"/>
          <w:highlight w:val="none"/>
          <w14:textFill>
            <w14:solidFill>
              <w14:schemeClr w14:val="tx1"/>
            </w14:solidFill>
          </w14:textFill>
        </w:rPr>
      </w:pPr>
    </w:p>
    <w:p>
      <w:pPr>
        <w:pStyle w:val="2"/>
        <w:ind w:firstLine="480"/>
        <w:rPr>
          <w:rFonts w:ascii="仿宋_GB2312" w:hAnsi="仿宋_GB2312" w:eastAsia="仿宋_GB2312" w:cs="仿宋_GB2312"/>
          <w:color w:val="000000" w:themeColor="text1"/>
          <w:sz w:val="24"/>
          <w:highlight w:val="none"/>
          <w14:textFill>
            <w14:solidFill>
              <w14:schemeClr w14:val="tx1"/>
            </w14:solidFill>
          </w14:textFill>
        </w:rPr>
      </w:pPr>
    </w:p>
    <w:p>
      <w:pPr>
        <w:widowControl/>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br w:type="page"/>
      </w:r>
    </w:p>
    <w:p>
      <w:pPr>
        <w:pStyle w:val="196"/>
        <w:ind w:firstLine="2731" w:firstLineChars="85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zh-CN"/>
          <w14:textFill>
            <w14:solidFill>
              <w14:schemeClr w14:val="tx1"/>
            </w14:solidFill>
          </w14:textFill>
        </w:rPr>
        <w:t>第一部分</w:t>
      </w:r>
      <w:r>
        <w:rPr>
          <w:rFonts w:hint="eastAsia" w:ascii="仿宋" w:hAnsi="仿宋" w:eastAsia="仿宋"/>
          <w:b/>
          <w:color w:val="000000" w:themeColor="text1"/>
          <w:sz w:val="32"/>
          <w:szCs w:val="32"/>
          <w:highlight w:val="none"/>
          <w14:textFill>
            <w14:solidFill>
              <w14:schemeClr w14:val="tx1"/>
            </w14:solidFill>
          </w14:textFill>
        </w:rPr>
        <w:t xml:space="preserve">  </w:t>
      </w:r>
      <w:r>
        <w:rPr>
          <w:rFonts w:hint="eastAsia" w:ascii="仿宋" w:hAnsi="仿宋" w:eastAsia="仿宋"/>
          <w:b/>
          <w:color w:val="000000" w:themeColor="text1"/>
          <w:sz w:val="32"/>
          <w:szCs w:val="32"/>
          <w:highlight w:val="none"/>
          <w:lang w:val="zh-CN"/>
          <w14:textFill>
            <w14:solidFill>
              <w14:schemeClr w14:val="tx1"/>
            </w14:solidFill>
          </w14:textFill>
        </w:rPr>
        <w:t>磋商响应函</w:t>
      </w:r>
    </w:p>
    <w:p>
      <w:pPr>
        <w:autoSpaceDE w:val="0"/>
        <w:autoSpaceDN w:val="0"/>
        <w:adjustRightInd w:val="0"/>
        <w:snapToGrid w:val="0"/>
        <w:spacing w:line="312" w:lineRule="auto"/>
        <w:rPr>
          <w:rFonts w:ascii="仿宋_GB2312" w:hAnsi="仿宋_GB2312" w:eastAsia="仿宋_GB2312" w:cs="仿宋_GB2312"/>
          <w:b/>
          <w:bCs/>
          <w:color w:val="000000" w:themeColor="text1"/>
          <w:sz w:val="24"/>
          <w:highlight w:val="none"/>
          <w:lang w:val="zh-CN"/>
          <w14:textFill>
            <w14:solidFill>
              <w14:schemeClr w14:val="tx1"/>
            </w14:solidFill>
          </w14:textFill>
        </w:rPr>
      </w:pPr>
    </w:p>
    <w:p>
      <w:pPr>
        <w:autoSpaceDE w:val="0"/>
        <w:autoSpaceDN w:val="0"/>
        <w:adjustRightInd w:val="0"/>
        <w:snapToGrid w:val="0"/>
        <w:spacing w:line="312" w:lineRule="auto"/>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val="zh-CN"/>
          <w14:textFill>
            <w14:solidFill>
              <w14:schemeClr w14:val="tx1"/>
            </w14:solidFill>
          </w14:textFill>
        </w:rPr>
        <w:t>陕西省采购招标有限责任公司：</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我单位收到贵公司</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 xml:space="preserve">   （项目名称    ）</w:t>
      </w:r>
      <w:r>
        <w:rPr>
          <w:rFonts w:hint="eastAsia" w:ascii="仿宋_GB2312" w:hAnsi="仿宋_GB2312" w:eastAsia="仿宋_GB2312" w:cs="仿宋_GB2312"/>
          <w:color w:val="000000" w:themeColor="text1"/>
          <w:sz w:val="24"/>
          <w:highlight w:val="none"/>
          <w:lang w:val="zh-CN"/>
          <w14:textFill>
            <w14:solidFill>
              <w14:schemeClr w14:val="tx1"/>
            </w14:solidFill>
          </w14:textFill>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一</w:t>
      </w:r>
      <w:r>
        <w:rPr>
          <w:rFonts w:hint="eastAsia" w:ascii="仿宋_GB2312" w:hAnsi="仿宋_GB2312" w:eastAsia="仿宋_GB2312" w:cs="仿宋_GB2312"/>
          <w:color w:val="000000" w:themeColor="text1"/>
          <w:sz w:val="24"/>
          <w:highlight w:val="none"/>
          <w:lang w:val="zh-CN"/>
          <w14:textFill>
            <w14:solidFill>
              <w14:schemeClr w14:val="tx1"/>
            </w14:solidFill>
          </w14:textFill>
        </w:rPr>
        <w:t>、愿意按照竞争性磋商文件中的要求，提供技术服务，完成合同的责任和义务。</w:t>
      </w:r>
    </w:p>
    <w:p>
      <w:pPr>
        <w:autoSpaceDE w:val="0"/>
        <w:autoSpaceDN w:val="0"/>
        <w:adjustRightInd w:val="0"/>
        <w:snapToGrid w:val="0"/>
        <w:spacing w:line="312" w:lineRule="auto"/>
        <w:ind w:left="1605" w:leftChars="250" w:hanging="1080" w:hangingChars="4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二</w:t>
      </w:r>
      <w:r>
        <w:rPr>
          <w:rFonts w:hint="eastAsia" w:ascii="仿宋_GB2312" w:hAnsi="仿宋_GB2312" w:eastAsia="仿宋_GB2312" w:cs="仿宋_GB2312"/>
          <w:color w:val="000000" w:themeColor="text1"/>
          <w:sz w:val="24"/>
          <w:highlight w:val="none"/>
          <w:lang w:val="zh-CN"/>
          <w14:textFill>
            <w14:solidFill>
              <w14:schemeClr w14:val="tx1"/>
            </w14:solidFill>
          </w14:textFill>
        </w:rPr>
        <w:t>、按竞争性磋商文件的规定，我公司的首次磋商响应报价为人民币（大写）：</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元），并对其后的磋商报价负法律责任。</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三</w:t>
      </w:r>
      <w:r>
        <w:rPr>
          <w:rFonts w:hint="eastAsia" w:ascii="仿宋_GB2312" w:hAnsi="仿宋_GB2312" w:eastAsia="仿宋_GB2312" w:cs="仿宋_GB2312"/>
          <w:color w:val="000000" w:themeColor="text1"/>
          <w:sz w:val="24"/>
          <w:highlight w:val="none"/>
          <w:lang w:val="zh-CN"/>
          <w14:textFill>
            <w14:solidFill>
              <w14:schemeClr w14:val="tx1"/>
            </w14:solidFill>
          </w14:textFill>
        </w:rPr>
        <w:t>、我方提交的响应文件正本一份、副本</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lang w:eastAsia="zh-CN"/>
          <w14:textFill>
            <w14:solidFill>
              <w14:schemeClr w14:val="tx1"/>
            </w14:solidFill>
          </w14:textFill>
        </w:rPr>
        <w:t>两</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份。</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四</w:t>
      </w:r>
      <w:r>
        <w:rPr>
          <w:rFonts w:hint="eastAsia" w:ascii="仿宋_GB2312" w:hAnsi="仿宋_GB2312" w:eastAsia="仿宋_GB2312" w:cs="仿宋_GB2312"/>
          <w:color w:val="000000" w:themeColor="text1"/>
          <w:sz w:val="24"/>
          <w:highlight w:val="none"/>
          <w:lang w:val="zh-CN"/>
          <w14:textFill>
            <w14:solidFill>
              <w14:schemeClr w14:val="tx1"/>
            </w14:solidFill>
          </w14:textFill>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五、如果我方在磋商有效期内撤销响应文件，则响应保证金将被贵方不予退还。</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六</w:t>
      </w:r>
      <w:r>
        <w:rPr>
          <w:rFonts w:hint="eastAsia" w:ascii="仿宋_GB2312" w:hAnsi="仿宋_GB2312" w:eastAsia="仿宋_GB2312" w:cs="仿宋_GB2312"/>
          <w:color w:val="000000" w:themeColor="text1"/>
          <w:sz w:val="24"/>
          <w:highlight w:val="none"/>
          <w:lang w:val="zh-CN"/>
          <w14:textFill>
            <w14:solidFill>
              <w14:schemeClr w14:val="tx1"/>
            </w14:solidFill>
          </w14:textFill>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七、我方的响应文件有效期为自磋商之日起</w:t>
      </w:r>
      <w:r>
        <w:rPr>
          <w:rFonts w:hint="eastAsia" w:ascii="仿宋_GB2312" w:hAnsi="仿宋_GB2312" w:eastAsia="仿宋_GB2312" w:cs="仿宋_GB2312"/>
          <w:color w:val="000000" w:themeColor="text1"/>
          <w:sz w:val="24"/>
          <w:highlight w:val="none"/>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60</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八</w:t>
      </w:r>
      <w:r>
        <w:rPr>
          <w:rFonts w:hint="eastAsia" w:ascii="仿宋_GB2312" w:hAnsi="仿宋_GB2312" w:eastAsia="仿宋_GB2312" w:cs="仿宋_GB2312"/>
          <w:color w:val="000000" w:themeColor="text1"/>
          <w:sz w:val="24"/>
          <w:highlight w:val="none"/>
          <w:lang w:val="zh-CN"/>
          <w14:textFill>
            <w14:solidFill>
              <w14:schemeClr w14:val="tx1"/>
            </w14:solidFill>
          </w14:textFill>
        </w:rPr>
        <w:t>、如我方成交：</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（1）我方承诺在收到成交通知书后，在磋商文件规定的期限内与采购人签订合同。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highlight w:val="none"/>
          <w:lang w:val="zh-CN"/>
          <w14:textFill>
            <w14:solidFill>
              <w14:schemeClr w14:val="tx1"/>
            </w14:solidFill>
          </w14:textFill>
        </w:rPr>
        <w:t>）我方承诺按合同约定的期限和地点，提供符合磋商文件要求的全部服务。</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highlight w:val="none"/>
          <w:lang w:val="zh-CN"/>
          <w14:textFill>
            <w14:solidFill>
              <w14:schemeClr w14:val="tx1"/>
            </w14:solidFill>
          </w14:textFill>
        </w:rPr>
        <w:t>）我方保证在领取成交通知书前按要求支付成交服务费。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九、有关于本响应文件的函电，请按下列地址联系。</w:t>
      </w:r>
    </w:p>
    <w:p>
      <w:pPr>
        <w:autoSpaceDE w:val="0"/>
        <w:autoSpaceDN w:val="0"/>
        <w:adjustRightInd w:val="0"/>
        <w:snapToGrid w:val="0"/>
        <w:spacing w:line="312" w:lineRule="auto"/>
        <w:rPr>
          <w:rFonts w:hint="eastAsia" w:ascii="仿宋_GB2312" w:hAnsi="仿宋_GB2312" w:eastAsia="仿宋_GB2312" w:cs="仿宋_GB2312"/>
          <w:color w:val="000000" w:themeColor="text1"/>
          <w:sz w:val="24"/>
          <w:highlight w:val="none"/>
          <w:lang w:val="zh-CN"/>
          <w14:textFill>
            <w14:solidFill>
              <w14:schemeClr w14:val="tx1"/>
            </w14:solidFill>
          </w14:textFill>
        </w:rPr>
      </w:pPr>
    </w:p>
    <w:p>
      <w:pPr>
        <w:autoSpaceDE w:val="0"/>
        <w:autoSpaceDN w:val="0"/>
        <w:adjustRightInd w:val="0"/>
        <w:snapToGrid w:val="0"/>
        <w:spacing w:line="312"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地</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址：</w:t>
      </w:r>
      <w:r>
        <w:rPr>
          <w:rFonts w:hint="eastAsia" w:ascii="仿宋_GB2312" w:hAnsi="仿宋_GB2312" w:eastAsia="仿宋_GB2312" w:cs="仿宋_GB2312"/>
          <w:color w:val="000000" w:themeColor="text1"/>
          <w:sz w:val="24"/>
          <w:highlight w:val="none"/>
          <w14:textFill>
            <w14:solidFill>
              <w14:schemeClr w14:val="tx1"/>
            </w14:solidFill>
          </w14:textFill>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开户银行：</w:t>
      </w:r>
      <w:r>
        <w:rPr>
          <w:rFonts w:hint="eastAsia" w:ascii="仿宋_GB2312" w:hAnsi="仿宋_GB2312" w:eastAsia="仿宋_GB2312" w:cs="仿宋_GB2312"/>
          <w:color w:val="000000" w:themeColor="text1"/>
          <w:sz w:val="24"/>
          <w:highlight w:val="none"/>
          <w14:textFill>
            <w14:solidFill>
              <w14:schemeClr w14:val="tx1"/>
            </w14:solidFill>
          </w14:textFill>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帐</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号：</w:t>
      </w:r>
      <w:r>
        <w:rPr>
          <w:rFonts w:hint="eastAsia" w:ascii="仿宋_GB2312" w:hAnsi="仿宋_GB2312" w:eastAsia="仿宋_GB2312" w:cs="仿宋_GB2312"/>
          <w:color w:val="000000" w:themeColor="text1"/>
          <w:sz w:val="24"/>
          <w:highlight w:val="none"/>
          <w14:textFill>
            <w14:solidFill>
              <w14:schemeClr w14:val="tx1"/>
            </w14:solidFill>
          </w14:textFill>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电</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话：</w:t>
      </w:r>
      <w:r>
        <w:rPr>
          <w:rFonts w:hint="eastAsia" w:ascii="仿宋_GB2312" w:hAnsi="仿宋_GB2312" w:eastAsia="仿宋_GB2312" w:cs="仿宋_GB2312"/>
          <w:color w:val="000000" w:themeColor="text1"/>
          <w:sz w:val="24"/>
          <w:highlight w:val="none"/>
          <w14:textFill>
            <w14:solidFill>
              <w14:schemeClr w14:val="tx1"/>
            </w14:solidFill>
          </w14:textFill>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传</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真：</w:t>
      </w:r>
      <w:r>
        <w:rPr>
          <w:rFonts w:hint="eastAsia" w:ascii="仿宋_GB2312" w:hAnsi="仿宋_GB2312" w:eastAsia="仿宋_GB2312" w:cs="仿宋_GB2312"/>
          <w:color w:val="000000" w:themeColor="text1"/>
          <w:sz w:val="24"/>
          <w:highlight w:val="none"/>
          <w14:textFill>
            <w14:solidFill>
              <w14:schemeClr w14:val="tx1"/>
            </w14:solidFill>
          </w14:textFill>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000000" w:themeColor="text1"/>
          <w:sz w:val="24"/>
          <w:highlight w:val="none"/>
          <w:lang w:val="zh-CN"/>
          <w14:textFill>
            <w14:solidFill>
              <w14:schemeClr w14:val="tx1"/>
            </w14:solidFill>
          </w14:textFill>
        </w:rPr>
      </w:pPr>
    </w:p>
    <w:p>
      <w:pPr>
        <w:spacing w:line="360" w:lineRule="auto"/>
        <w:ind w:firstLine="1920" w:firstLineChars="800"/>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供应商</w:t>
      </w:r>
      <w:r>
        <w:rPr>
          <w:rFonts w:eastAsia="仿宋_GB2312"/>
          <w:color w:val="000000" w:themeColor="text1"/>
          <w:sz w:val="24"/>
          <w14:textFill>
            <w14:solidFill>
              <w14:schemeClr w14:val="tx1"/>
            </w14:solidFill>
          </w14:textFill>
        </w:rPr>
        <w:t>（盖</w:t>
      </w:r>
      <w:r>
        <w:rPr>
          <w:rFonts w:hint="eastAsia" w:eastAsia="仿宋_GB2312"/>
          <w:color w:val="000000" w:themeColor="text1"/>
          <w:sz w:val="24"/>
          <w:lang w:val="en-US" w:eastAsia="zh-CN"/>
          <w14:textFill>
            <w14:solidFill>
              <w14:schemeClr w14:val="tx1"/>
            </w14:solidFill>
          </w14:textFill>
        </w:rPr>
        <w:t>公</w:t>
      </w:r>
      <w:r>
        <w:rPr>
          <w:rFonts w:eastAsia="仿宋_GB2312"/>
          <w:color w:val="000000" w:themeColor="text1"/>
          <w:sz w:val="24"/>
          <w14:textFill>
            <w14:solidFill>
              <w14:schemeClr w14:val="tx1"/>
            </w14:solidFill>
          </w14:textFill>
        </w:rPr>
        <w:t>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 xml:space="preserve">    </w:t>
      </w:r>
    </w:p>
    <w:p>
      <w:pPr>
        <w:spacing w:line="360" w:lineRule="auto"/>
        <w:ind w:firstLine="1920" w:firstLineChars="8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pStyle w:val="2"/>
        <w:ind w:firstLine="1920" w:firstLineChars="800"/>
        <w:rPr>
          <w:rFonts w:ascii="仿宋_GB2312" w:hAnsi="仿宋_GB2312" w:eastAsia="仿宋_GB2312" w:cs="仿宋_GB2312"/>
          <w:color w:val="000000" w:themeColor="text1"/>
          <w:highlight w:val="none"/>
          <w14:textFill>
            <w14:solidFill>
              <w14:schemeClr w14:val="tx1"/>
            </w14:solidFill>
          </w14:textFill>
        </w:rPr>
      </w:pPr>
      <w:r>
        <w:rPr>
          <w:rFonts w:eastAsia="仿宋_GB2312"/>
          <w:color w:val="000000" w:themeColor="text1"/>
          <w:sz w:val="24"/>
          <w14:textFill>
            <w14:solidFill>
              <w14:schemeClr w14:val="tx1"/>
            </w14:solidFill>
          </w14:textFill>
        </w:rPr>
        <w:t>日    期：</w:t>
      </w:r>
      <w:r>
        <w:rPr>
          <w:rFonts w:eastAsia="仿宋_GB2312"/>
          <w:color w:val="000000" w:themeColor="text1"/>
          <w:sz w:val="32"/>
          <w:u w:val="single"/>
          <w14:textFill>
            <w14:solidFill>
              <w14:schemeClr w14:val="tx1"/>
            </w14:solidFill>
          </w14:textFill>
        </w:rPr>
        <w:t xml:space="preserve">       </w:t>
      </w:r>
    </w:p>
    <w:p>
      <w:pPr>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br w:type="page"/>
      </w:r>
    </w:p>
    <w:p>
      <w:pPr>
        <w:pStyle w:val="3"/>
        <w:rPr>
          <w:color w:val="000000" w:themeColor="text1"/>
          <w14:textFill>
            <w14:solidFill>
              <w14:schemeClr w14:val="tx1"/>
            </w14:solidFill>
          </w14:textFill>
        </w:rPr>
      </w:pPr>
    </w:p>
    <w:p>
      <w:pPr>
        <w:pStyle w:val="196"/>
        <w:ind w:firstLine="2470" w:firstLineChars="769"/>
        <w:jc w:val="left"/>
        <w:rPr>
          <w:rFonts w:ascii="仿宋" w:hAnsi="仿宋" w:eastAsia="仿宋"/>
          <w:b/>
          <w:bCs/>
          <w:color w:val="000000" w:themeColor="text1"/>
          <w:sz w:val="32"/>
          <w:szCs w:val="32"/>
          <w:highlight w:val="none"/>
          <w14:textFill>
            <w14:solidFill>
              <w14:schemeClr w14:val="tx1"/>
            </w14:solidFill>
          </w14:textFill>
        </w:rPr>
      </w:pPr>
      <w:bookmarkStart w:id="468" w:name="_Hlt520356241"/>
      <w:bookmarkEnd w:id="468"/>
      <w:bookmarkStart w:id="469" w:name="_Toc230099805"/>
      <w:bookmarkStart w:id="470" w:name="_Toc232176284"/>
      <w:bookmarkStart w:id="471" w:name="_Toc232395224"/>
      <w:bookmarkStart w:id="472" w:name="_Toc249515371"/>
      <w:bookmarkStart w:id="473" w:name="_Toc249525252"/>
      <w:bookmarkStart w:id="474" w:name="_Toc256342154"/>
      <w:bookmarkStart w:id="475" w:name="_Toc230583554"/>
      <w:bookmarkStart w:id="476" w:name="_Toc8496"/>
      <w:bookmarkStart w:id="477" w:name="_Toc415499901"/>
      <w:bookmarkStart w:id="478" w:name="_Toc230013640"/>
      <w:r>
        <w:rPr>
          <w:rFonts w:hint="eastAsia" w:ascii="仿宋" w:hAnsi="仿宋" w:eastAsia="仿宋"/>
          <w:b/>
          <w:color w:val="000000" w:themeColor="text1"/>
          <w:sz w:val="32"/>
          <w:szCs w:val="32"/>
          <w:highlight w:val="none"/>
          <w:lang w:val="zh-CN"/>
          <w14:textFill>
            <w14:solidFill>
              <w14:schemeClr w14:val="tx1"/>
            </w14:solidFill>
          </w14:textFill>
        </w:rPr>
        <w:t>第二部分  磋商响应报价表</w:t>
      </w:r>
    </w:p>
    <w:p>
      <w:pPr>
        <w:autoSpaceDE w:val="0"/>
        <w:autoSpaceDN w:val="0"/>
        <w:adjustRightInd w:val="0"/>
        <w:snapToGrid w:val="0"/>
        <w:spacing w:line="360" w:lineRule="auto"/>
        <w:jc w:val="center"/>
        <w:rPr>
          <w:rFonts w:ascii="仿宋_GB2312" w:hAnsi="仿宋_GB2312" w:eastAsia="仿宋_GB2312" w:cs="仿宋_GB2312"/>
          <w:b/>
          <w:bCs/>
          <w:color w:val="000000" w:themeColor="text1"/>
          <w:sz w:val="32"/>
          <w:szCs w:val="32"/>
          <w:highlight w:val="none"/>
          <w14:textFill>
            <w14:solidFill>
              <w14:schemeClr w14:val="tx1"/>
            </w14:solidFill>
          </w14:textFill>
        </w:rPr>
      </w:pPr>
    </w:p>
    <w:p>
      <w:pPr>
        <w:pStyle w:val="6"/>
        <w:jc w:val="center"/>
        <w:rPr>
          <w:rFonts w:ascii="仿宋_GB2312" w:hAnsi="仿宋_GB2312" w:eastAsia="仿宋_GB2312" w:cs="仿宋_GB2312"/>
          <w:b/>
          <w:bCs/>
          <w:color w:val="000000" w:themeColor="text1"/>
          <w:sz w:val="28"/>
          <w:szCs w:val="36"/>
          <w14:textFill>
            <w14:solidFill>
              <w14:schemeClr w14:val="tx1"/>
            </w14:solidFill>
          </w14:textFill>
        </w:rPr>
      </w:pPr>
      <w:r>
        <w:rPr>
          <w:rFonts w:hint="eastAsia" w:ascii="仿宋_GB2312" w:hAnsi="仿宋_GB2312" w:eastAsia="仿宋_GB2312" w:cs="仿宋_GB2312"/>
          <w:b/>
          <w:bCs/>
          <w:color w:val="000000" w:themeColor="text1"/>
          <w:sz w:val="28"/>
          <w:szCs w:val="36"/>
          <w14:textFill>
            <w14:solidFill>
              <w14:schemeClr w14:val="tx1"/>
            </w14:solidFill>
          </w14:textFill>
        </w:rPr>
        <w:t>首次响应</w:t>
      </w:r>
      <w:r>
        <w:rPr>
          <w:rFonts w:hint="eastAsia" w:ascii="仿宋_GB2312" w:hAnsi="仿宋_GB2312" w:eastAsia="仿宋_GB2312" w:cs="仿宋_GB2312"/>
          <w:b/>
          <w:bCs/>
          <w:color w:val="000000" w:themeColor="text1"/>
          <w:sz w:val="28"/>
          <w:szCs w:val="36"/>
          <w:lang w:val="zh-CN"/>
          <w14:textFill>
            <w14:solidFill>
              <w14:schemeClr w14:val="tx1"/>
            </w14:solidFill>
          </w14:textFill>
        </w:rPr>
        <w:t>报价</w:t>
      </w:r>
      <w:r>
        <w:rPr>
          <w:rFonts w:hint="eastAsia" w:ascii="仿宋_GB2312" w:hAnsi="仿宋_GB2312" w:eastAsia="仿宋_GB2312" w:cs="仿宋_GB2312"/>
          <w:b/>
          <w:bCs/>
          <w:color w:val="000000" w:themeColor="text1"/>
          <w:sz w:val="28"/>
          <w:szCs w:val="36"/>
          <w:lang w:val="en-US" w:eastAsia="zh-CN"/>
          <w14:textFill>
            <w14:solidFill>
              <w14:schemeClr w14:val="tx1"/>
            </w14:solidFill>
          </w14:textFill>
        </w:rPr>
        <w:t>一览</w:t>
      </w:r>
      <w:r>
        <w:rPr>
          <w:rFonts w:hint="eastAsia" w:ascii="仿宋_GB2312" w:hAnsi="仿宋_GB2312" w:eastAsia="仿宋_GB2312" w:cs="仿宋_GB2312"/>
          <w:b/>
          <w:bCs/>
          <w:color w:val="000000" w:themeColor="text1"/>
          <w:sz w:val="28"/>
          <w:szCs w:val="36"/>
          <w:lang w:val="zh-CN"/>
          <w14:textFill>
            <w14:solidFill>
              <w14:schemeClr w14:val="tx1"/>
            </w14:solidFill>
          </w14:textFill>
        </w:rPr>
        <w:t>表</w:t>
      </w:r>
    </w:p>
    <w:p>
      <w:pPr>
        <w:autoSpaceDE w:val="0"/>
        <w:autoSpaceDN w:val="0"/>
        <w:adjustRightInd w:val="0"/>
        <w:snapToGrid w:val="0"/>
        <w:spacing w:line="360" w:lineRule="auto"/>
        <w:jc w:val="left"/>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br w:type="page"/>
            </w:r>
            <w:r>
              <w:rPr>
                <w:rFonts w:hint="eastAsia" w:ascii="仿宋_GB2312" w:hAnsi="仿宋_GB2312" w:eastAsia="仿宋_GB2312" w:cs="仿宋_GB2312"/>
                <w:b/>
                <w:color w:val="000000" w:themeColor="text1"/>
                <w:sz w:val="24"/>
                <w:highlight w:val="none"/>
                <w14:textFill>
                  <w14:solidFill>
                    <w14:schemeClr w14:val="tx1"/>
                  </w14:solidFill>
                </w14:textFill>
              </w:rPr>
              <w:t>项目编号及名称</w:t>
            </w:r>
          </w:p>
        </w:tc>
        <w:tc>
          <w:tcPr>
            <w:tcW w:w="6697" w:type="dxa"/>
            <w:vAlign w:val="center"/>
          </w:tcPr>
          <w:p>
            <w:pPr>
              <w:pStyle w:val="2"/>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项目编号：</w:t>
            </w:r>
            <w:r>
              <w:rPr>
                <w:rFonts w:hint="eastAsia" w:ascii="仿宋_GB2312" w:hAnsi="仿宋_GB2312" w:eastAsia="仿宋_GB2312" w:cs="仿宋_GB2312"/>
                <w:color w:val="000000" w:themeColor="text1"/>
                <w:sz w:val="24"/>
                <w:highlight w:val="none"/>
                <w:lang w:val="zh-CN"/>
                <w14:textFill>
                  <w14:solidFill>
                    <w14:schemeClr w14:val="tx1"/>
                  </w14:solidFill>
                </w14:textFill>
              </w:rPr>
              <w:t>SCZF2022-CS-2083/001</w:t>
            </w:r>
          </w:p>
          <w:p>
            <w:pPr>
              <w:pStyle w:val="2"/>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临渭区国土空间生态修复规划（2021-2035年）</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响应总价</w:t>
            </w:r>
          </w:p>
        </w:tc>
        <w:tc>
          <w:tcPr>
            <w:tcW w:w="6697" w:type="dxa"/>
            <w:vAlign w:val="center"/>
          </w:tcPr>
          <w:p>
            <w:pPr>
              <w:pStyle w:val="2"/>
              <w:rPr>
                <w:rFonts w:ascii="仿宋_GB2312" w:hAnsi="仿宋_GB2312" w:eastAsia="仿宋_GB2312" w:cs="仿宋_GB2312"/>
                <w:i/>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人民币（大写）：</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元（小写：¥ </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服务时限</w:t>
            </w:r>
          </w:p>
        </w:tc>
        <w:tc>
          <w:tcPr>
            <w:tcW w:w="6697" w:type="dxa"/>
            <w:vAlign w:val="center"/>
          </w:tcPr>
          <w:p>
            <w:pPr>
              <w:pStyle w:val="2"/>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服务地点</w:t>
            </w:r>
          </w:p>
        </w:tc>
        <w:tc>
          <w:tcPr>
            <w:tcW w:w="6697" w:type="dxa"/>
            <w:vAlign w:val="center"/>
          </w:tcPr>
          <w:p>
            <w:pPr>
              <w:pStyle w:val="2"/>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备注</w:t>
            </w:r>
          </w:p>
        </w:tc>
        <w:tc>
          <w:tcPr>
            <w:tcW w:w="6697" w:type="dxa"/>
            <w:vAlign w:val="center"/>
          </w:tcPr>
          <w:p>
            <w:pPr>
              <w:pStyle w:val="2"/>
              <w:rPr>
                <w:rFonts w:ascii="仿宋_GB2312" w:hAnsi="仿宋_GB2312" w:eastAsia="仿宋_GB2312" w:cs="仿宋_GB2312"/>
                <w:color w:val="000000" w:themeColor="text1"/>
                <w:sz w:val="24"/>
                <w:highlight w:val="none"/>
                <w14:textFill>
                  <w14:solidFill>
                    <w14:schemeClr w14:val="tx1"/>
                  </w14:solidFill>
                </w14:textFill>
              </w:rPr>
            </w:pPr>
          </w:p>
        </w:tc>
      </w:tr>
    </w:tbl>
    <w:p>
      <w:pPr>
        <w:pStyle w:val="2"/>
        <w:rPr>
          <w:rFonts w:ascii="仿宋_GB2312" w:hAnsi="仿宋_GB2312" w:eastAsia="仿宋_GB2312" w:cs="仿宋_GB2312"/>
          <w:color w:val="000000" w:themeColor="text1"/>
          <w:highlight w:val="none"/>
          <w:lang w:val="zh-CN"/>
          <w14:textFill>
            <w14:solidFill>
              <w14:schemeClr w14:val="tx1"/>
            </w14:solidFill>
          </w14:textFill>
        </w:rPr>
      </w:pPr>
    </w:p>
    <w:p>
      <w:pPr>
        <w:spacing w:line="360" w:lineRule="auto"/>
        <w:ind w:firstLine="1920" w:firstLineChars="800"/>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供应商</w:t>
      </w:r>
      <w:r>
        <w:rPr>
          <w:rFonts w:eastAsia="仿宋_GB2312"/>
          <w:color w:val="000000" w:themeColor="text1"/>
          <w:sz w:val="24"/>
          <w14:textFill>
            <w14:solidFill>
              <w14:schemeClr w14:val="tx1"/>
            </w14:solidFill>
          </w14:textFill>
        </w:rPr>
        <w:t>（盖</w:t>
      </w:r>
      <w:r>
        <w:rPr>
          <w:rFonts w:hint="eastAsia" w:eastAsia="仿宋_GB2312"/>
          <w:color w:val="000000" w:themeColor="text1"/>
          <w:sz w:val="24"/>
          <w:lang w:val="en-US" w:eastAsia="zh-CN"/>
          <w14:textFill>
            <w14:solidFill>
              <w14:schemeClr w14:val="tx1"/>
            </w14:solidFill>
          </w14:textFill>
        </w:rPr>
        <w:t>公</w:t>
      </w:r>
      <w:r>
        <w:rPr>
          <w:rFonts w:eastAsia="仿宋_GB2312"/>
          <w:color w:val="000000" w:themeColor="text1"/>
          <w:sz w:val="24"/>
          <w14:textFill>
            <w14:solidFill>
              <w14:schemeClr w14:val="tx1"/>
            </w14:solidFill>
          </w14:textFill>
        </w:rPr>
        <w:t>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 xml:space="preserve">    </w:t>
      </w:r>
    </w:p>
    <w:p>
      <w:pPr>
        <w:spacing w:line="360" w:lineRule="auto"/>
        <w:ind w:firstLine="1920" w:firstLineChars="8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ind w:firstLine="1920" w:firstLineChars="800"/>
        <w:rPr>
          <w:rFonts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pPr>
      <w:r>
        <w:rPr>
          <w:rFonts w:eastAsia="仿宋_GB2312"/>
          <w:color w:val="000000" w:themeColor="text1"/>
          <w:sz w:val="24"/>
          <w14:textFill>
            <w14:solidFill>
              <w14:schemeClr w14:val="tx1"/>
            </w14:solidFill>
          </w14:textFill>
        </w:rPr>
        <w:t>日    期：</w:t>
      </w:r>
      <w:r>
        <w:rPr>
          <w:rFonts w:hint="eastAsia"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br w:type="page"/>
      </w:r>
    </w:p>
    <w:p>
      <w:pPr>
        <w:keepNext/>
        <w:keepLines/>
        <w:autoSpaceDE w:val="0"/>
        <w:autoSpaceDN w:val="0"/>
        <w:adjustRightInd w:val="0"/>
        <w:spacing w:line="360" w:lineRule="auto"/>
        <w:jc w:val="center"/>
        <w:outlineLvl w:val="2"/>
        <w:rPr>
          <w:rFonts w:hint="eastAsia"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t>（首次）</w:t>
      </w:r>
      <w:r>
        <w:rPr>
          <w:rFonts w:hint="eastAsia" w:ascii="仿宋_GB2312" w:hAnsi="仿宋_GB2312" w:eastAsia="仿宋_GB2312" w:cs="仿宋_GB2312"/>
          <w:b/>
          <w:color w:val="000000" w:themeColor="text1"/>
          <w:kern w:val="0"/>
          <w:sz w:val="32"/>
          <w:szCs w:val="32"/>
          <w:highlight w:val="none"/>
          <w:shd w:val="clear" w:color="auto" w:fill="FFFFFF"/>
          <w:lang w:eastAsia="zh-CN"/>
          <w14:textFill>
            <w14:solidFill>
              <w14:schemeClr w14:val="tx1"/>
            </w14:solidFill>
          </w14:textFill>
        </w:rPr>
        <w:t>响应</w:t>
      </w:r>
      <w:r>
        <w:rPr>
          <w:rFonts w:hint="eastAsia"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t>分项报价表</w:t>
      </w:r>
    </w:p>
    <w:p>
      <w:pPr>
        <w:pStyle w:val="2"/>
        <w:rPr>
          <w:rFonts w:ascii="Times New Roman" w:hAnsi="Times New Roman" w:eastAsia="仿宋_GB2312"/>
          <w:color w:val="000000" w:themeColor="text1"/>
          <w:sz w:val="24"/>
          <w:u w:val="single"/>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项目编号：</w:t>
      </w:r>
      <w:r>
        <w:rPr>
          <w:rFonts w:hint="eastAsia" w:ascii="仿宋_GB2312" w:hAnsi="仿宋_GB2312" w:eastAsia="仿宋_GB2312" w:cs="仿宋_GB2312"/>
          <w:color w:val="000000" w:themeColor="text1"/>
          <w:sz w:val="24"/>
          <w:highlight w:val="none"/>
          <w:lang w:val="zh-CN"/>
          <w14:textFill>
            <w14:solidFill>
              <w14:schemeClr w14:val="tx1"/>
            </w14:solidFill>
          </w14:textFill>
        </w:rPr>
        <w:t>SCZF2022-CS-2083/001</w:t>
      </w:r>
      <w:r>
        <w:rPr>
          <w:rFonts w:ascii="Times New Roman" w:hAnsi="Times New Roman" w:eastAsia="仿宋_GB2312"/>
          <w:color w:val="000000" w:themeColor="text1"/>
          <w:sz w:val="24"/>
          <w:u w:val="single"/>
          <w14:textFill>
            <w14:solidFill>
              <w14:schemeClr w14:val="tx1"/>
            </w14:solidFill>
          </w14:textFill>
        </w:rPr>
        <w:t xml:space="preserve">             </w:t>
      </w:r>
    </w:p>
    <w:p>
      <w:pPr>
        <w:rPr>
          <w:color w:val="000000" w:themeColor="text1"/>
          <w14:textFill>
            <w14:solidFill>
              <w14:schemeClr w14:val="tx1"/>
            </w14:solidFill>
          </w14:textFill>
        </w:rPr>
      </w:pPr>
      <w:r>
        <w:rPr>
          <w:rFonts w:eastAsia="仿宋_GB2312"/>
          <w:color w:val="000000" w:themeColor="text1"/>
          <w:sz w:val="24"/>
          <w14:textFill>
            <w14:solidFill>
              <w14:schemeClr w14:val="tx1"/>
            </w14:solidFill>
          </w14:textFill>
        </w:rPr>
        <w:t>项目名称：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临渭区国土空间生态修复规划（2021-2035年）</w:t>
      </w:r>
    </w:p>
    <w:tbl>
      <w:tblPr>
        <w:tblStyle w:val="50"/>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834"/>
        <w:gridCol w:w="992"/>
        <w:gridCol w:w="824"/>
        <w:gridCol w:w="1350"/>
        <w:gridCol w:w="132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单位</w:t>
            </w: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单价（元）</w:t>
            </w: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小计（元）</w:t>
            </w: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2834"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834"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46" w:type="dxa"/>
            <w:gridSpan w:val="7"/>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总报价 人民币（大写）：</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 xml:space="preserve"> 元（小写：¥</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元）</w:t>
            </w:r>
          </w:p>
        </w:tc>
      </w:tr>
    </w:tbl>
    <w:p>
      <w:pPr>
        <w:autoSpaceDE w:val="0"/>
        <w:autoSpaceDN w:val="0"/>
        <w:adjustRightInd w:val="0"/>
        <w:snapToGrid w:val="0"/>
        <w:spacing w:before="120" w:line="360" w:lineRule="auto"/>
        <w:ind w:left="-206" w:leftChars="-98" w:firstLine="360" w:firstLineChars="150"/>
        <w:jc w:val="left"/>
        <w:rPr>
          <w:rFonts w:ascii="仿宋_GB2312" w:hAnsi="仿宋" w:eastAsia="仿宋_GB2312"/>
          <w:color w:val="000000" w:themeColor="text1"/>
          <w:kern w:val="0"/>
          <w:sz w:val="24"/>
          <w:szCs w:val="28"/>
          <w:highlight w:val="none"/>
          <w14:textFill>
            <w14:solidFill>
              <w14:schemeClr w14:val="tx1"/>
            </w14:solidFill>
          </w14:textFill>
        </w:rPr>
      </w:pPr>
      <w:r>
        <w:rPr>
          <w:rFonts w:hint="eastAsia" w:ascii="仿宋_GB2312" w:hAnsi="仿宋" w:eastAsia="仿宋_GB2312"/>
          <w:color w:val="000000" w:themeColor="text1"/>
          <w:kern w:val="0"/>
          <w:sz w:val="24"/>
          <w:szCs w:val="28"/>
          <w:highlight w:val="none"/>
          <w14:textFill>
            <w14:solidFill>
              <w14:schemeClr w14:val="tx1"/>
            </w14:solidFill>
          </w14:textFill>
        </w:rPr>
        <w:t>注：1.供应商可根据项目实际情况自行扩充本表，本表应包含完成本项目所涉及的全部费用。</w:t>
      </w:r>
    </w:p>
    <w:p>
      <w:pPr>
        <w:pStyle w:val="2"/>
        <w:rPr>
          <w:rFonts w:hint="eastAsia" w:eastAsia="仿宋_GB2312"/>
          <w:color w:val="000000" w:themeColor="text1"/>
          <w:highlight w:val="none"/>
          <w:lang w:eastAsia="zh-CN"/>
          <w14:textFill>
            <w14:solidFill>
              <w14:schemeClr w14:val="tx1"/>
            </w14:solidFill>
          </w14:textFill>
        </w:rPr>
      </w:pPr>
      <w:r>
        <w:rPr>
          <w:rFonts w:hint="eastAsia" w:ascii="仿宋_GB2312" w:hAnsi="仿宋" w:eastAsia="仿宋_GB2312"/>
          <w:color w:val="000000" w:themeColor="text1"/>
          <w:kern w:val="0"/>
          <w:sz w:val="24"/>
          <w:szCs w:val="28"/>
          <w:highlight w:val="none"/>
          <w14:textFill>
            <w14:solidFill>
              <w14:schemeClr w14:val="tx1"/>
            </w14:solidFill>
          </w14:textFill>
        </w:rPr>
        <w:t xml:space="preserve">    </w:t>
      </w:r>
    </w:p>
    <w:p>
      <w:pPr>
        <w:autoSpaceDE w:val="0"/>
        <w:autoSpaceDN w:val="0"/>
        <w:adjustRightInd w:val="0"/>
        <w:snapToGrid w:val="0"/>
        <w:spacing w:before="120" w:line="360" w:lineRule="auto"/>
        <w:ind w:left="-206" w:leftChars="-98"/>
        <w:jc w:val="left"/>
        <w:rPr>
          <w:rFonts w:ascii="仿宋" w:hAnsi="仿宋" w:eastAsia="仿宋"/>
          <w:color w:val="000000" w:themeColor="text1"/>
          <w:kern w:val="0"/>
          <w:sz w:val="24"/>
          <w:szCs w:val="28"/>
          <w:highlight w:val="none"/>
          <w14:textFill>
            <w14:solidFill>
              <w14:schemeClr w14:val="tx1"/>
            </w14:solidFill>
          </w14:textFill>
        </w:rPr>
      </w:pPr>
    </w:p>
    <w:p>
      <w:pPr>
        <w:spacing w:line="360" w:lineRule="auto"/>
        <w:ind w:firstLine="1920" w:firstLineChars="800"/>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供应商</w:t>
      </w:r>
      <w:r>
        <w:rPr>
          <w:rFonts w:eastAsia="仿宋_GB2312"/>
          <w:color w:val="000000" w:themeColor="text1"/>
          <w:sz w:val="24"/>
          <w14:textFill>
            <w14:solidFill>
              <w14:schemeClr w14:val="tx1"/>
            </w14:solidFill>
          </w14:textFill>
        </w:rPr>
        <w:t>（盖</w:t>
      </w:r>
      <w:r>
        <w:rPr>
          <w:rFonts w:hint="eastAsia" w:eastAsia="仿宋_GB2312"/>
          <w:color w:val="000000" w:themeColor="text1"/>
          <w:sz w:val="24"/>
          <w:lang w:val="en-US" w:eastAsia="zh-CN"/>
          <w14:textFill>
            <w14:solidFill>
              <w14:schemeClr w14:val="tx1"/>
            </w14:solidFill>
          </w14:textFill>
        </w:rPr>
        <w:t>公</w:t>
      </w:r>
      <w:r>
        <w:rPr>
          <w:rFonts w:eastAsia="仿宋_GB2312"/>
          <w:color w:val="000000" w:themeColor="text1"/>
          <w:sz w:val="24"/>
          <w14:textFill>
            <w14:solidFill>
              <w14:schemeClr w14:val="tx1"/>
            </w14:solidFill>
          </w14:textFill>
        </w:rPr>
        <w:t>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 xml:space="preserve">    </w:t>
      </w:r>
    </w:p>
    <w:p>
      <w:pPr>
        <w:spacing w:line="360" w:lineRule="auto"/>
        <w:ind w:firstLine="1920" w:firstLineChars="8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adjustRightInd w:val="0"/>
        <w:snapToGrid w:val="0"/>
        <w:spacing w:line="360" w:lineRule="auto"/>
        <w:ind w:firstLine="1920" w:firstLineChars="800"/>
        <w:jc w:val="both"/>
        <w:rPr>
          <w:rFonts w:ascii="仿宋_GB2312" w:hAnsi="仿宋_GB2312" w:eastAsia="仿宋_GB2312" w:cs="仿宋_GB2312"/>
          <w:b/>
          <w:color w:val="000000" w:themeColor="text1"/>
          <w:sz w:val="42"/>
          <w:highlight w:val="none"/>
          <w14:textFill>
            <w14:solidFill>
              <w14:schemeClr w14:val="tx1"/>
            </w14:solidFill>
          </w14:textFill>
        </w:rPr>
      </w:pPr>
      <w:r>
        <w:rPr>
          <w:rFonts w:eastAsia="仿宋_GB2312"/>
          <w:color w:val="000000" w:themeColor="text1"/>
          <w:sz w:val="24"/>
          <w14:textFill>
            <w14:solidFill>
              <w14:schemeClr w14:val="tx1"/>
            </w14:solidFill>
          </w14:textFill>
        </w:rPr>
        <w:t>日    期：</w:t>
      </w:r>
    </w:p>
    <w:p>
      <w:pPr>
        <w:spacing w:line="288" w:lineRule="auto"/>
        <w:ind w:left="424" w:leftChars="202"/>
        <w:rPr>
          <w:rFonts w:ascii="仿宋_GB2312" w:hAnsi="仿宋_GB2312" w:eastAsia="仿宋_GB2312" w:cs="仿宋_GB2312"/>
          <w:bCs/>
          <w:color w:val="000000" w:themeColor="text1"/>
          <w:sz w:val="24"/>
          <w:highlight w:val="none"/>
          <w14:textFill>
            <w14:solidFill>
              <w14:schemeClr w14:val="tx1"/>
            </w14:solidFill>
          </w14:textFill>
        </w:rPr>
      </w:pPr>
    </w:p>
    <w:p>
      <w:pPr>
        <w:pStyle w:val="2"/>
        <w:rPr>
          <w:rFonts w:ascii="仿宋_GB2312" w:hAnsi="仿宋_GB2312" w:eastAsia="仿宋_GB2312" w:cs="仿宋_GB2312"/>
          <w:bCs/>
          <w:color w:val="000000" w:themeColor="text1"/>
          <w:sz w:val="24"/>
          <w:highlight w:val="none"/>
          <w14:textFill>
            <w14:solidFill>
              <w14:schemeClr w14:val="tx1"/>
            </w14:solidFill>
          </w14:textFill>
        </w:rPr>
      </w:pPr>
    </w:p>
    <w:p>
      <w:pPr>
        <w:rPr>
          <w:rFonts w:ascii="仿宋_GB2312" w:hAnsi="仿宋_GB2312" w:eastAsia="仿宋_GB2312" w:cs="仿宋_GB2312"/>
          <w:bCs/>
          <w:color w:val="000000" w:themeColor="text1"/>
          <w:sz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9"/>
    <w:bookmarkEnd w:id="470"/>
    <w:bookmarkEnd w:id="471"/>
    <w:bookmarkEnd w:id="472"/>
    <w:bookmarkEnd w:id="473"/>
    <w:bookmarkEnd w:id="474"/>
    <w:bookmarkEnd w:id="475"/>
    <w:bookmarkEnd w:id="476"/>
    <w:bookmarkEnd w:id="477"/>
    <w:bookmarkEnd w:id="478"/>
    <w:p>
      <w:pPr>
        <w:rPr>
          <w:rFonts w:hint="eastAsia" w:ascii="仿宋" w:hAnsi="仿宋" w:eastAsia="仿宋"/>
          <w:b/>
          <w:color w:val="000000" w:themeColor="text1"/>
          <w:sz w:val="32"/>
          <w:szCs w:val="32"/>
          <w:highlight w:val="none"/>
          <w14:textFill>
            <w14:solidFill>
              <w14:schemeClr w14:val="tx1"/>
            </w14:solidFill>
          </w14:textFill>
        </w:rPr>
      </w:pPr>
      <w:bookmarkStart w:id="479" w:name="_Toc53722866"/>
      <w:bookmarkStart w:id="480" w:name="_Toc249525253"/>
      <w:bookmarkStart w:id="481" w:name="_Toc385992402"/>
      <w:bookmarkStart w:id="482" w:name="_Toc256342155"/>
      <w:bookmarkStart w:id="483" w:name="_Toc499711929"/>
      <w:bookmarkStart w:id="484" w:name="_Toc70687203"/>
      <w:bookmarkStart w:id="485" w:name="_Toc177995484"/>
      <w:bookmarkStart w:id="486" w:name="_Toc500747011"/>
      <w:bookmarkStart w:id="487" w:name="_Toc500747107"/>
      <w:bookmarkStart w:id="488" w:name="_Toc499711088"/>
      <w:bookmarkStart w:id="489" w:name="_Toc176882553"/>
      <w:bookmarkStart w:id="490" w:name="_Toc83547687"/>
      <w:bookmarkStart w:id="491" w:name="_Toc249515372"/>
      <w:bookmarkStart w:id="492" w:name="_Toc503063459"/>
      <w:bookmarkStart w:id="493" w:name="_Toc177189246"/>
      <w:bookmarkStart w:id="494" w:name="_Toc184043059"/>
      <w:bookmarkStart w:id="495" w:name="_Toc415499902"/>
      <w:bookmarkStart w:id="496" w:name="_Toc389620242"/>
      <w:bookmarkStart w:id="497" w:name="_Toc230583555"/>
      <w:bookmarkStart w:id="498" w:name="_Toc225933091"/>
      <w:bookmarkStart w:id="499" w:name="_Toc232395225"/>
      <w:bookmarkStart w:id="500" w:name="_Toc496324624"/>
      <w:bookmarkStart w:id="501" w:name="_Toc177817345"/>
      <w:bookmarkStart w:id="502" w:name="_Toc232176285"/>
      <w:bookmarkStart w:id="503" w:name="_Toc492955460"/>
      <w:bookmarkStart w:id="504" w:name="_Toc230013641"/>
      <w:bookmarkStart w:id="505" w:name="_Toc500747234"/>
      <w:bookmarkStart w:id="506" w:name="_Toc230099806"/>
      <w:r>
        <w:rPr>
          <w:rFonts w:hint="eastAsia" w:ascii="仿宋" w:hAnsi="仿宋" w:eastAsia="仿宋"/>
          <w:b/>
          <w:color w:val="000000" w:themeColor="text1"/>
          <w:sz w:val="32"/>
          <w:szCs w:val="32"/>
          <w:highlight w:val="none"/>
          <w14:textFill>
            <w14:solidFill>
              <w14:schemeClr w14:val="tx1"/>
            </w14:solidFill>
          </w14:textFill>
        </w:rPr>
        <w:br w:type="page"/>
      </w:r>
    </w:p>
    <w:p>
      <w:pPr>
        <w:pStyle w:val="196"/>
        <w:ind w:firstLine="3052" w:firstLineChars="95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第三部分  偏离表</w:t>
      </w:r>
    </w:p>
    <w:p>
      <w:pPr>
        <w:rPr>
          <w:rFonts w:ascii="仿宋_GB2312" w:hAnsi="仿宋_GB2312" w:eastAsia="仿宋_GB2312" w:cs="仿宋_GB2312"/>
          <w:color w:val="000000" w:themeColor="text1"/>
          <w:highlight w:val="none"/>
          <w14:textFill>
            <w14:solidFill>
              <w14:schemeClr w14:val="tx1"/>
            </w14:solidFill>
          </w14:textFill>
        </w:rPr>
      </w:pPr>
    </w:p>
    <w:p>
      <w:pPr>
        <w:autoSpaceDE w:val="0"/>
        <w:autoSpaceDN w:val="0"/>
        <w:adjustRightInd w:val="0"/>
        <w:snapToGrid w:val="0"/>
        <w:spacing w:line="360" w:lineRule="auto"/>
        <w:jc w:val="center"/>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一、商务、合同条款偏离表</w:t>
      </w:r>
    </w:p>
    <w:p>
      <w:pPr>
        <w:pStyle w:val="2"/>
        <w:ind w:firstLine="480" w:firstLineChars="200"/>
        <w:rPr>
          <w:rFonts w:ascii="Times New Roman" w:hAnsi="Times New Roman" w:eastAsia="仿宋_GB2312"/>
          <w:color w:val="000000" w:themeColor="text1"/>
          <w:sz w:val="24"/>
          <w:u w:val="single"/>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项目编号：</w:t>
      </w:r>
      <w:r>
        <w:rPr>
          <w:rFonts w:hint="eastAsia" w:ascii="仿宋_GB2312" w:hAnsi="仿宋_GB2312" w:eastAsia="仿宋_GB2312" w:cs="仿宋_GB2312"/>
          <w:color w:val="000000" w:themeColor="text1"/>
          <w:sz w:val="24"/>
          <w:highlight w:val="none"/>
          <w:lang w:val="zh-CN"/>
          <w14:textFill>
            <w14:solidFill>
              <w14:schemeClr w14:val="tx1"/>
            </w14:solidFill>
          </w14:textFill>
        </w:rPr>
        <w:t>SCZF2022-CS-2083/001</w:t>
      </w:r>
      <w:r>
        <w:rPr>
          <w:rFonts w:ascii="Times New Roman" w:hAnsi="Times New Roman" w:eastAsia="仿宋_GB2312"/>
          <w:color w:val="000000" w:themeColor="text1"/>
          <w:sz w:val="24"/>
          <w:u w:val="single"/>
          <w14:textFill>
            <w14:solidFill>
              <w14:schemeClr w14:val="tx1"/>
            </w14:solidFill>
          </w14:textFill>
        </w:rPr>
        <w:t xml:space="preserve">             </w:t>
      </w:r>
    </w:p>
    <w:p>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eastAsia="仿宋_GB2312"/>
          <w:color w:val="000000" w:themeColor="text1"/>
          <w:sz w:val="24"/>
          <w14:textFill>
            <w14:solidFill>
              <w14:schemeClr w14:val="tx1"/>
            </w14:solidFill>
          </w14:textFill>
        </w:rPr>
        <w:t>项目名称：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临渭区国土空间生态修复规划（2021-2035年）</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2835" w:type="dxa"/>
            <w:vAlign w:val="center"/>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磋商文件商务、合同条款</w:t>
            </w:r>
          </w:p>
        </w:tc>
        <w:tc>
          <w:tcPr>
            <w:tcW w:w="1701" w:type="dxa"/>
            <w:vAlign w:val="center"/>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完全响应</w:t>
            </w:r>
          </w:p>
        </w:tc>
        <w:tc>
          <w:tcPr>
            <w:tcW w:w="1417" w:type="dxa"/>
            <w:vAlign w:val="center"/>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有偏离</w:t>
            </w:r>
          </w:p>
        </w:tc>
        <w:tc>
          <w:tcPr>
            <w:tcW w:w="2195" w:type="dxa"/>
            <w:vAlign w:val="center"/>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835" w:type="dxa"/>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服务地点</w:t>
            </w:r>
          </w:p>
        </w:tc>
        <w:tc>
          <w:tcPr>
            <w:tcW w:w="1701" w:type="dxa"/>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417" w:type="dxa"/>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195" w:type="dxa"/>
          </w:tcPr>
          <w:p>
            <w:pPr>
              <w:pStyle w:val="29"/>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835" w:type="dxa"/>
            <w:vAlign w:val="center"/>
          </w:tcPr>
          <w:p>
            <w:pPr>
              <w:spacing w:line="360" w:lineRule="auto"/>
              <w:jc w:val="center"/>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服务时限</w:t>
            </w:r>
          </w:p>
        </w:tc>
        <w:tc>
          <w:tcPr>
            <w:tcW w:w="1701" w:type="dxa"/>
          </w:tcPr>
          <w:p>
            <w:pPr>
              <w:pStyle w:val="29"/>
              <w:ind w:left="1080" w:leftChars="257" w:hanging="540"/>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417"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19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835" w:type="dxa"/>
            <w:vAlign w:val="center"/>
          </w:tcPr>
          <w:p>
            <w:pPr>
              <w:spacing w:line="360" w:lineRule="auto"/>
              <w:jc w:val="center"/>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付款方式</w:t>
            </w:r>
          </w:p>
        </w:tc>
        <w:tc>
          <w:tcPr>
            <w:tcW w:w="1701"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417"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19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835" w:type="dxa"/>
            <w:vAlign w:val="center"/>
          </w:tcPr>
          <w:p>
            <w:pPr>
              <w:spacing w:line="360" w:lineRule="auto"/>
              <w:jc w:val="center"/>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w:t>
            </w:r>
          </w:p>
        </w:tc>
        <w:tc>
          <w:tcPr>
            <w:tcW w:w="1701"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417"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19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835" w:type="dxa"/>
            <w:vAlign w:val="center"/>
          </w:tcPr>
          <w:p>
            <w:pPr>
              <w:spacing w:line="360" w:lineRule="auto"/>
              <w:jc w:val="center"/>
              <w:rPr>
                <w:rFonts w:ascii="仿宋_GB2312" w:hAnsi="仿宋_GB2312" w:eastAsia="仿宋_GB2312" w:cs="仿宋_GB2312"/>
                <w:bCs/>
                <w:color w:val="000000" w:themeColor="text1"/>
                <w:sz w:val="24"/>
                <w:highlight w:val="none"/>
                <w14:textFill>
                  <w14:solidFill>
                    <w14:schemeClr w14:val="tx1"/>
                  </w14:solidFill>
                </w14:textFill>
              </w:rPr>
            </w:pPr>
          </w:p>
        </w:tc>
        <w:tc>
          <w:tcPr>
            <w:tcW w:w="1701"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417"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19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83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417"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19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83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417"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19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83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417"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19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83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417"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2195" w:type="dxa"/>
          </w:tcPr>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tc>
      </w:tr>
    </w:tbl>
    <w:p>
      <w:pPr>
        <w:pStyle w:val="29"/>
        <w:ind w:left="1080" w:leftChars="257" w:hanging="540"/>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360" w:lineRule="auto"/>
        <w:ind w:firstLine="1920" w:firstLineChars="800"/>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供应商</w:t>
      </w:r>
      <w:r>
        <w:rPr>
          <w:rFonts w:eastAsia="仿宋_GB2312"/>
          <w:color w:val="000000" w:themeColor="text1"/>
          <w:sz w:val="24"/>
          <w14:textFill>
            <w14:solidFill>
              <w14:schemeClr w14:val="tx1"/>
            </w14:solidFill>
          </w14:textFill>
        </w:rPr>
        <w:t>（盖</w:t>
      </w:r>
      <w:r>
        <w:rPr>
          <w:rFonts w:hint="eastAsia" w:eastAsia="仿宋_GB2312"/>
          <w:color w:val="000000" w:themeColor="text1"/>
          <w:sz w:val="24"/>
          <w:lang w:val="en-US" w:eastAsia="zh-CN"/>
          <w14:textFill>
            <w14:solidFill>
              <w14:schemeClr w14:val="tx1"/>
            </w14:solidFill>
          </w14:textFill>
        </w:rPr>
        <w:t>公</w:t>
      </w:r>
      <w:r>
        <w:rPr>
          <w:rFonts w:eastAsia="仿宋_GB2312"/>
          <w:color w:val="000000" w:themeColor="text1"/>
          <w:sz w:val="24"/>
          <w14:textFill>
            <w14:solidFill>
              <w14:schemeClr w14:val="tx1"/>
            </w14:solidFill>
          </w14:textFill>
        </w:rPr>
        <w:t>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 xml:space="preserve">    </w:t>
      </w:r>
    </w:p>
    <w:p>
      <w:pPr>
        <w:spacing w:line="360" w:lineRule="auto"/>
        <w:ind w:firstLine="1920" w:firstLineChars="8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spacing w:before="120" w:after="120" w:line="360" w:lineRule="auto"/>
        <w:ind w:firstLine="1920" w:firstLineChars="800"/>
        <w:rPr>
          <w:rFonts w:ascii="仿宋_GB2312" w:hAnsi="仿宋_GB2312" w:eastAsia="仿宋_GB2312" w:cs="仿宋_GB2312"/>
          <w:color w:val="000000" w:themeColor="text1"/>
          <w:sz w:val="24"/>
          <w:highlight w:val="none"/>
          <w14:textFill>
            <w14:solidFill>
              <w14:schemeClr w14:val="tx1"/>
            </w14:solidFill>
          </w14:textFill>
        </w:rPr>
      </w:pPr>
      <w:r>
        <w:rPr>
          <w:rFonts w:eastAsia="仿宋_GB2312"/>
          <w:color w:val="000000" w:themeColor="text1"/>
          <w:sz w:val="24"/>
          <w14:textFill>
            <w14:solidFill>
              <w14:schemeClr w14:val="tx1"/>
            </w14:solidFill>
          </w14:textFill>
        </w:rPr>
        <w:t>日    期：</w:t>
      </w:r>
      <w:r>
        <w:rPr>
          <w:rFonts w:eastAsia="仿宋_GB2312"/>
          <w:color w:val="000000" w:themeColor="text1"/>
          <w:sz w:val="32"/>
          <w:u w:val="single"/>
          <w14:textFill>
            <w14:solidFill>
              <w14:schemeClr w14:val="tx1"/>
            </w14:solidFill>
          </w14:textFill>
        </w:rPr>
        <w:t xml:space="preserve"> </w:t>
      </w:r>
    </w:p>
    <w:p>
      <w:pPr>
        <w:snapToGrid w:val="0"/>
        <w:spacing w:after="120" w:afterLines="50"/>
        <w:ind w:left="842" w:leftChars="401"/>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注：</w:t>
      </w:r>
    </w:p>
    <w:p>
      <w:pPr>
        <w:snapToGrid w:val="0"/>
        <w:spacing w:after="120" w:afterLines="50"/>
        <w:ind w:left="842" w:leftChars="401"/>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1、对完全响应的，在上表相应列中标注“○”。对有偏离的条目在本表相应列中标注“正偏离”或“负偏离”，并在“偏离简述”栏中加以说明。</w:t>
      </w:r>
    </w:p>
    <w:p>
      <w:pPr>
        <w:snapToGrid w:val="0"/>
        <w:spacing w:after="120" w:afterLines="50"/>
        <w:ind w:left="842" w:leftChars="401"/>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2、正偏离是指应答的条件高于磋商文件要求，负偏离是指应答的条件低于磋商文件要求，正偏离项目不作扣分处理。</w:t>
      </w:r>
    </w:p>
    <w:p>
      <w:pPr>
        <w:snapToGrid w:val="0"/>
        <w:spacing w:after="120" w:afterLines="50"/>
        <w:ind w:left="842" w:leftChars="401"/>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jc w:val="center"/>
        <w:rPr>
          <w:rFonts w:ascii="仿宋_GB2312" w:hAnsi="仿宋_GB2312" w:eastAsia="仿宋_GB2312" w:cs="仿宋_GB2312"/>
          <w:b/>
          <w:color w:val="000000" w:themeColor="text1"/>
          <w:sz w:val="28"/>
          <w:szCs w:val="28"/>
          <w:highlight w:val="none"/>
          <w14:textFill>
            <w14:solidFill>
              <w14:schemeClr w14:val="tx1"/>
            </w14:solidFill>
          </w14:textFill>
        </w:rPr>
      </w:pPr>
      <w:bookmarkStart w:id="507" w:name="_Toc414445775"/>
      <w:bookmarkStart w:id="508" w:name="_Toc7005136"/>
      <w:bookmarkStart w:id="509" w:name="_Toc416103825"/>
      <w:bookmarkStart w:id="510" w:name="_Toc410631184"/>
      <w:r>
        <w:rPr>
          <w:rFonts w:hint="eastAsia" w:ascii="仿宋_GB2312" w:hAnsi="仿宋_GB2312" w:eastAsia="仿宋_GB2312" w:cs="仿宋_GB2312"/>
          <w:b/>
          <w:color w:val="000000" w:themeColor="text1"/>
          <w:sz w:val="28"/>
          <w:szCs w:val="28"/>
          <w:highlight w:val="none"/>
          <w14:textFill>
            <w14:solidFill>
              <w14:schemeClr w14:val="tx1"/>
            </w14:solidFill>
          </w14:textFill>
        </w:rPr>
        <w:br w:type="page"/>
      </w:r>
      <w:r>
        <w:rPr>
          <w:rFonts w:hint="eastAsia" w:ascii="仿宋_GB2312" w:hAnsi="仿宋_GB2312" w:eastAsia="仿宋_GB2312" w:cs="仿宋_GB2312"/>
          <w:b/>
          <w:color w:val="000000" w:themeColor="text1"/>
          <w:sz w:val="28"/>
          <w:szCs w:val="28"/>
          <w:highlight w:val="none"/>
          <w14:textFill>
            <w14:solidFill>
              <w14:schemeClr w14:val="tx1"/>
            </w14:solidFill>
          </w14:textFill>
        </w:rPr>
        <w:t>二、技术偏离表</w:t>
      </w:r>
      <w:bookmarkEnd w:id="507"/>
      <w:bookmarkEnd w:id="508"/>
      <w:bookmarkEnd w:id="509"/>
      <w:bookmarkEnd w:id="510"/>
    </w:p>
    <w:p>
      <w:pPr>
        <w:spacing w:after="240"/>
        <w:ind w:hanging="119"/>
        <w:rPr>
          <w:rFonts w:ascii="仿宋_GB2312" w:hAnsi="仿宋_GB2312" w:eastAsia="仿宋_GB2312" w:cs="仿宋_GB2312"/>
          <w:color w:val="000000" w:themeColor="text1"/>
          <w:highlight w:val="none"/>
          <w14:textFill>
            <w14:solidFill>
              <w14:schemeClr w14:val="tx1"/>
            </w14:solidFill>
          </w14:textFill>
        </w:rPr>
      </w:pPr>
    </w:p>
    <w:p>
      <w:pPr>
        <w:pStyle w:val="2"/>
        <w:ind w:firstLine="480" w:firstLineChars="200"/>
        <w:rPr>
          <w:rFonts w:ascii="Times New Roman" w:hAnsi="Times New Roman" w:eastAsia="仿宋_GB2312"/>
          <w:color w:val="000000" w:themeColor="text1"/>
          <w:sz w:val="24"/>
          <w:u w:val="single"/>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项目编号：</w:t>
      </w:r>
      <w:r>
        <w:rPr>
          <w:rFonts w:hint="eastAsia" w:ascii="仿宋_GB2312" w:hAnsi="仿宋_GB2312" w:eastAsia="仿宋_GB2312" w:cs="仿宋_GB2312"/>
          <w:color w:val="000000" w:themeColor="text1"/>
          <w:sz w:val="24"/>
          <w:highlight w:val="none"/>
          <w:lang w:val="zh-CN"/>
          <w14:textFill>
            <w14:solidFill>
              <w14:schemeClr w14:val="tx1"/>
            </w14:solidFill>
          </w14:textFill>
        </w:rPr>
        <w:t>SCZF2022-CS-2083/001</w:t>
      </w:r>
      <w:r>
        <w:rPr>
          <w:rFonts w:ascii="Times New Roman" w:hAnsi="Times New Roman" w:eastAsia="仿宋_GB2312"/>
          <w:color w:val="000000" w:themeColor="text1"/>
          <w:sz w:val="24"/>
          <w:u w:val="single"/>
          <w14:textFill>
            <w14:solidFill>
              <w14:schemeClr w14:val="tx1"/>
            </w14:solidFill>
          </w14:textFill>
        </w:rPr>
        <w:t xml:space="preserve">             </w:t>
      </w:r>
    </w:p>
    <w:p>
      <w:pPr>
        <w:ind w:firstLine="480" w:firstLineChars="200"/>
        <w:rPr>
          <w:color w:val="000000" w:themeColor="text1"/>
          <w14:textFill>
            <w14:solidFill>
              <w14:schemeClr w14:val="tx1"/>
            </w14:solidFill>
          </w14:textFill>
        </w:rPr>
      </w:pPr>
      <w:r>
        <w:rPr>
          <w:rFonts w:eastAsia="仿宋_GB2312"/>
          <w:color w:val="000000" w:themeColor="text1"/>
          <w:sz w:val="24"/>
          <w14:textFill>
            <w14:solidFill>
              <w14:schemeClr w14:val="tx1"/>
            </w14:solidFill>
          </w14:textFill>
        </w:rPr>
        <w:t>项目名称：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临渭区国土空间生态修复规划（2021-2035年）</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磋商文件条目号</w:t>
            </w:r>
          </w:p>
        </w:tc>
        <w:tc>
          <w:tcPr>
            <w:tcW w:w="1932" w:type="dxa"/>
          </w:tcPr>
          <w:p>
            <w:pPr>
              <w:spacing w:line="40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技术条款要求</w:t>
            </w:r>
          </w:p>
        </w:tc>
        <w:tc>
          <w:tcPr>
            <w:tcW w:w="1236" w:type="dxa"/>
          </w:tcPr>
          <w:p>
            <w:pPr>
              <w:spacing w:line="40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完全响应</w:t>
            </w:r>
          </w:p>
        </w:tc>
        <w:tc>
          <w:tcPr>
            <w:tcW w:w="1236" w:type="dxa"/>
          </w:tcPr>
          <w:p>
            <w:pPr>
              <w:spacing w:line="40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有偏离</w:t>
            </w:r>
          </w:p>
        </w:tc>
        <w:tc>
          <w:tcPr>
            <w:tcW w:w="2394" w:type="dxa"/>
          </w:tcPr>
          <w:p>
            <w:pPr>
              <w:spacing w:line="40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932"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2394"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932"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2394"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932"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2394"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932"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2394"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932"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2394"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932" w:type="dxa"/>
          </w:tcPr>
          <w:p>
            <w:pPr>
              <w:spacing w:line="400" w:lineRule="exact"/>
              <w:rPr>
                <w:rFonts w:ascii="仿宋_GB2312" w:hAnsi="仿宋_GB2312" w:eastAsia="仿宋_GB2312" w:cs="仿宋_GB2312"/>
                <w:bCs/>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2394"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932" w:type="dxa"/>
          </w:tcPr>
          <w:p>
            <w:pPr>
              <w:spacing w:line="400" w:lineRule="exact"/>
              <w:rPr>
                <w:rFonts w:ascii="仿宋_GB2312" w:hAnsi="仿宋_GB2312" w:eastAsia="仿宋_GB2312" w:cs="仿宋_GB2312"/>
                <w:bCs/>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1236"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c>
          <w:tcPr>
            <w:tcW w:w="2394" w:type="dxa"/>
          </w:tcPr>
          <w:p>
            <w:pPr>
              <w:spacing w:line="400" w:lineRule="exact"/>
              <w:rPr>
                <w:rFonts w:ascii="仿宋_GB2312" w:hAnsi="仿宋_GB2312" w:eastAsia="仿宋_GB2312" w:cs="仿宋_GB2312"/>
                <w:color w:val="000000" w:themeColor="text1"/>
                <w:sz w:val="24"/>
                <w:highlight w:val="none"/>
                <w14:textFill>
                  <w14:solidFill>
                    <w14:schemeClr w14:val="tx1"/>
                  </w14:solidFill>
                </w14:textFill>
              </w:rPr>
            </w:pPr>
          </w:p>
        </w:tc>
      </w:tr>
    </w:tbl>
    <w:p>
      <w:pPr>
        <w:spacing w:line="360" w:lineRule="auto"/>
        <w:ind w:firstLine="1920" w:firstLineChars="800"/>
        <w:rPr>
          <w:rFonts w:hint="eastAsia" w:eastAsia="仿宋_GB2312"/>
          <w:color w:val="000000" w:themeColor="text1"/>
          <w:sz w:val="24"/>
          <w:lang w:val="en-US" w:eastAsia="zh-CN"/>
          <w14:textFill>
            <w14:solidFill>
              <w14:schemeClr w14:val="tx1"/>
            </w14:solidFill>
          </w14:textFill>
        </w:rPr>
      </w:pPr>
    </w:p>
    <w:p>
      <w:pPr>
        <w:spacing w:line="360" w:lineRule="auto"/>
        <w:ind w:firstLine="1920" w:firstLineChars="800"/>
        <w:rPr>
          <w:rFonts w:hint="eastAsia" w:eastAsia="仿宋_GB2312"/>
          <w:color w:val="000000" w:themeColor="text1"/>
          <w:sz w:val="24"/>
          <w:lang w:val="en-US" w:eastAsia="zh-CN"/>
          <w14:textFill>
            <w14:solidFill>
              <w14:schemeClr w14:val="tx1"/>
            </w14:solidFill>
          </w14:textFill>
        </w:rPr>
      </w:pPr>
    </w:p>
    <w:p>
      <w:pPr>
        <w:spacing w:line="360" w:lineRule="auto"/>
        <w:ind w:firstLine="1920" w:firstLineChars="800"/>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供应商</w:t>
      </w:r>
      <w:r>
        <w:rPr>
          <w:rFonts w:eastAsia="仿宋_GB2312"/>
          <w:color w:val="000000" w:themeColor="text1"/>
          <w:sz w:val="24"/>
          <w14:textFill>
            <w14:solidFill>
              <w14:schemeClr w14:val="tx1"/>
            </w14:solidFill>
          </w14:textFill>
        </w:rPr>
        <w:t>（盖</w:t>
      </w:r>
      <w:r>
        <w:rPr>
          <w:rFonts w:hint="eastAsia" w:eastAsia="仿宋_GB2312"/>
          <w:color w:val="000000" w:themeColor="text1"/>
          <w:sz w:val="24"/>
          <w:lang w:val="en-US" w:eastAsia="zh-CN"/>
          <w14:textFill>
            <w14:solidFill>
              <w14:schemeClr w14:val="tx1"/>
            </w14:solidFill>
          </w14:textFill>
        </w:rPr>
        <w:t>公</w:t>
      </w:r>
      <w:r>
        <w:rPr>
          <w:rFonts w:eastAsia="仿宋_GB2312"/>
          <w:color w:val="000000" w:themeColor="text1"/>
          <w:sz w:val="24"/>
          <w14:textFill>
            <w14:solidFill>
              <w14:schemeClr w14:val="tx1"/>
            </w14:solidFill>
          </w14:textFill>
        </w:rPr>
        <w:t>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 xml:space="preserve">    </w:t>
      </w:r>
    </w:p>
    <w:p>
      <w:pPr>
        <w:spacing w:line="360" w:lineRule="auto"/>
        <w:ind w:firstLine="1920" w:firstLineChars="8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spacing w:line="360" w:lineRule="auto"/>
        <w:ind w:firstLine="1920" w:firstLineChars="800"/>
        <w:rPr>
          <w:rFonts w:eastAsia="仿宋_GB2312"/>
          <w:color w:val="000000" w:themeColor="text1"/>
          <w:sz w:val="32"/>
          <w:u w:val="single"/>
          <w14:textFill>
            <w14:solidFill>
              <w14:schemeClr w14:val="tx1"/>
            </w14:solidFill>
          </w14:textFill>
        </w:rPr>
      </w:pPr>
      <w:r>
        <w:rPr>
          <w:rFonts w:eastAsia="仿宋_GB2312"/>
          <w:color w:val="000000" w:themeColor="text1"/>
          <w:sz w:val="24"/>
          <w14:textFill>
            <w14:solidFill>
              <w14:schemeClr w14:val="tx1"/>
            </w14:solidFill>
          </w14:textFill>
        </w:rPr>
        <w:t>日    期：</w:t>
      </w:r>
      <w:r>
        <w:rPr>
          <w:rFonts w:eastAsia="仿宋_GB2312"/>
          <w:color w:val="000000" w:themeColor="text1"/>
          <w:sz w:val="32"/>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highlight w:val="none"/>
          <w14:textFill>
            <w14:solidFill>
              <w14:schemeClr w14:val="tx1"/>
            </w14:solidFill>
          </w14:textFill>
        </w:rPr>
      </w:pPr>
    </w:p>
    <w:p>
      <w:pPr>
        <w:pStyle w:val="3"/>
        <w:rPr>
          <w:rFonts w:ascii="仿宋_GB2312" w:hAnsi="仿宋_GB2312" w:eastAsia="仿宋_GB2312" w:cs="仿宋_GB2312"/>
          <w:color w:val="000000" w:themeColor="text1"/>
          <w:highlight w:val="none"/>
          <w14:textFill>
            <w14:solidFill>
              <w14:schemeClr w14:val="tx1"/>
            </w14:solidFill>
          </w14:textFill>
        </w:rPr>
      </w:pPr>
    </w:p>
    <w:p>
      <w:pPr>
        <w:rPr>
          <w:color w:val="000000" w:themeColor="text1"/>
          <w14:textFill>
            <w14:solidFill>
              <w14:schemeClr w14:val="tx1"/>
            </w14:solidFill>
          </w14:textFill>
        </w:rPr>
      </w:pPr>
    </w:p>
    <w:p>
      <w:pPr>
        <w:snapToGrid w:val="0"/>
        <w:spacing w:after="120" w:afterLines="50" w:line="360" w:lineRule="auto"/>
        <w:ind w:left="850" w:hanging="850" w:hangingChars="405"/>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注：1.</w:t>
      </w:r>
      <w:r>
        <w:rPr>
          <w:rFonts w:hint="eastAsia" w:ascii="仿宋_GB2312" w:hAnsi="仿宋_GB2312" w:eastAsia="仿宋_GB2312" w:cs="仿宋_GB2312"/>
          <w:color w:val="000000" w:themeColor="text1"/>
          <w:highlight w:val="none"/>
          <w14:textFill>
            <w14:solidFill>
              <w14:schemeClr w14:val="tx1"/>
            </w14:solidFill>
          </w14:textFill>
        </w:rPr>
        <w:tab/>
      </w:r>
      <w:r>
        <w:rPr>
          <w:rFonts w:hint="eastAsia" w:ascii="仿宋_GB2312" w:hAnsi="仿宋_GB2312" w:eastAsia="仿宋_GB2312" w:cs="仿宋_GB2312"/>
          <w:color w:val="000000" w:themeColor="text1"/>
          <w:highlight w:val="none"/>
          <w14:textFill>
            <w14:solidFill>
              <w14:schemeClr w14:val="tx1"/>
            </w14:solidFill>
          </w14:textFill>
        </w:rPr>
        <w:t>对完全响应的条目在本表相应列中标注“○”。对有偏离的条目在本表相应列中标注“正偏离”或“负偏离”。并在“偏离简述”栏中加以说明。</w:t>
      </w:r>
    </w:p>
    <w:p>
      <w:pPr>
        <w:tabs>
          <w:tab w:val="left" w:pos="1200"/>
        </w:tabs>
        <w:snapToGrid w:val="0"/>
        <w:spacing w:after="120" w:afterLines="50" w:line="360" w:lineRule="auto"/>
        <w:ind w:left="850" w:leftChars="203" w:hanging="424" w:hangingChars="202"/>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ab/>
      </w:r>
      <w:r>
        <w:rPr>
          <w:rFonts w:hint="eastAsia" w:ascii="仿宋_GB2312" w:hAnsi="仿宋_GB2312" w:eastAsia="仿宋_GB2312" w:cs="仿宋_GB2312"/>
          <w:color w:val="000000" w:themeColor="text1"/>
          <w:highlight w:val="none"/>
          <w14:textFill>
            <w14:solidFill>
              <w14:schemeClr w14:val="tx1"/>
            </w14:solidFill>
          </w14:textFill>
        </w:rPr>
        <w:t>正偏离是指应答的条件高于磋商文件要求，负偏离是指应答的条件低于磋商文件要求，正偏离项目不作扣分处理。</w:t>
      </w:r>
    </w:p>
    <w:p>
      <w:pPr>
        <w:tabs>
          <w:tab w:val="left" w:pos="1200"/>
        </w:tabs>
        <w:snapToGrid w:val="0"/>
        <w:spacing w:after="120" w:afterLines="50" w:line="360" w:lineRule="auto"/>
        <w:ind w:left="850" w:leftChars="203" w:hanging="424" w:hangingChars="202"/>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  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line="360" w:lineRule="auto"/>
        <w:ind w:left="850" w:leftChars="203" w:hanging="424" w:hangingChars="202"/>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  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r>
        <w:rPr>
          <w:rFonts w:hint="eastAsia" w:ascii="仿宋_GB2312" w:hAnsi="仿宋_GB2312" w:eastAsia="仿宋_GB2312" w:cs="仿宋_GB2312"/>
          <w:color w:val="000000" w:themeColor="text1"/>
          <w:highlight w:val="none"/>
          <w14:textFill>
            <w14:solidFill>
              <w14:schemeClr w14:val="tx1"/>
            </w14:solidFill>
          </w14:textFill>
        </w:rPr>
        <w:br w:type="page"/>
      </w:r>
    </w:p>
    <w:p>
      <w:pPr>
        <w:pStyle w:val="196"/>
        <w:ind w:firstLine="2570" w:firstLineChars="8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第四部分  响应方案说明</w:t>
      </w:r>
    </w:p>
    <w:p>
      <w:pPr>
        <w:pStyle w:val="2"/>
        <w:rPr>
          <w:rFonts w:ascii="仿宋_GB2312" w:hAnsi="仿宋_GB2312" w:eastAsia="仿宋_GB2312" w:cs="仿宋_GB2312"/>
          <w:color w:val="000000" w:themeColor="text1"/>
          <w:highlight w:val="none"/>
          <w:lang w:val="zh-CN"/>
          <w14:textFill>
            <w14:solidFill>
              <w14:schemeClr w14:val="tx1"/>
            </w14:solidFill>
          </w14:textFill>
        </w:rPr>
      </w:pPr>
    </w:p>
    <w:p>
      <w:pPr>
        <w:autoSpaceDE w:val="0"/>
        <w:autoSpaceDN w:val="0"/>
        <w:adjustRightInd w:val="0"/>
        <w:spacing w:line="360" w:lineRule="auto"/>
        <w:jc w:val="center"/>
        <w:rPr>
          <w:rFonts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（格式自拟，内容需符合评审办法中要求的内容要求）</w:t>
      </w:r>
    </w:p>
    <w:p>
      <w:pPr>
        <w:pStyle w:val="2"/>
        <w:rPr>
          <w:rFonts w:ascii="仿宋_GB2312" w:hAnsi="仿宋_GB2312" w:eastAsia="仿宋_GB2312" w:cs="仿宋_GB2312"/>
          <w:color w:val="000000" w:themeColor="text1"/>
          <w:highlight w:val="none"/>
          <w:lang w:val="zh-CN"/>
          <w14:textFill>
            <w14:solidFill>
              <w14:schemeClr w14:val="tx1"/>
            </w14:solidFill>
          </w14:textFill>
        </w:rPr>
      </w:pPr>
      <w:r>
        <w:rPr>
          <w:rFonts w:hint="eastAsia" w:ascii="仿宋_GB2312" w:hAnsi="仿宋_GB2312" w:eastAsia="仿宋_GB2312" w:cs="仿宋_GB2312"/>
          <w:color w:val="000000" w:themeColor="text1"/>
          <w:highlight w:val="none"/>
          <w:lang w:val="zh-CN"/>
          <w14:textFill>
            <w14:solidFill>
              <w14:schemeClr w14:val="tx1"/>
            </w14:solidFill>
          </w14:textFill>
        </w:rPr>
        <w:br w:type="page"/>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Pr>
        <w:spacing w:after="120"/>
        <w:rPr>
          <w:rFonts w:ascii="仿宋_GB2312" w:hAnsi="仿宋_GB2312" w:eastAsia="仿宋_GB2312" w:cs="仿宋_GB2312"/>
          <w:color w:val="000000" w:themeColor="text1"/>
          <w:highlight w:val="none"/>
          <w14:textFill>
            <w14:solidFill>
              <w14:schemeClr w14:val="tx1"/>
            </w14:solidFill>
          </w14:textFill>
        </w:rPr>
      </w:pPr>
    </w:p>
    <w:p>
      <w:pPr>
        <w:pStyle w:val="5"/>
        <w:bidi w:val="0"/>
        <w:jc w:val="center"/>
        <w:rPr>
          <w:rFonts w:hint="default" w:ascii="仿宋_GB2312" w:hAnsi="仿宋_GB2312" w:eastAsia="仿宋_GB2312" w:cs="仿宋_GB2312"/>
          <w:b/>
          <w:bCs/>
          <w:color w:val="000000" w:themeColor="text1"/>
          <w:highlight w:val="none"/>
          <w14:textFill>
            <w14:solidFill>
              <w14:schemeClr w14:val="tx1"/>
            </w14:solidFill>
          </w14:textFill>
        </w:rPr>
      </w:pPr>
      <w:r>
        <w:rPr>
          <w:rFonts w:hint="default" w:ascii="仿宋_GB2312" w:hAnsi="仿宋_GB2312" w:eastAsia="仿宋_GB2312" w:cs="仿宋_GB2312"/>
          <w:b/>
          <w:bCs/>
          <w:color w:val="000000" w:themeColor="text1"/>
          <w:highlight w:val="none"/>
          <w14:textFill>
            <w14:solidFill>
              <w14:schemeClr w14:val="tx1"/>
            </w14:solidFill>
          </w14:textFill>
        </w:rPr>
        <w:t>第</w:t>
      </w:r>
      <w:r>
        <w:rPr>
          <w:rFonts w:hint="eastAsia" w:ascii="仿宋_GB2312" w:hAnsi="仿宋_GB2312" w:eastAsia="仿宋_GB2312" w:cs="仿宋_GB2312"/>
          <w:b/>
          <w:bCs/>
          <w:color w:val="000000" w:themeColor="text1"/>
          <w:highlight w:val="none"/>
          <w:lang w:eastAsia="zh-CN"/>
          <w14:textFill>
            <w14:solidFill>
              <w14:schemeClr w14:val="tx1"/>
            </w14:solidFill>
          </w14:textFill>
        </w:rPr>
        <w:t>五</w:t>
      </w:r>
      <w:r>
        <w:rPr>
          <w:rFonts w:hint="default" w:ascii="仿宋_GB2312" w:hAnsi="仿宋_GB2312" w:eastAsia="仿宋_GB2312" w:cs="仿宋_GB2312"/>
          <w:b/>
          <w:bCs/>
          <w:color w:val="000000" w:themeColor="text1"/>
          <w:highlight w:val="none"/>
          <w14:textFill>
            <w14:solidFill>
              <w14:schemeClr w14:val="tx1"/>
            </w14:solidFill>
          </w14:textFill>
        </w:rPr>
        <w:t>部分  保证金支付凭证或担保函（复印件）</w:t>
      </w:r>
    </w:p>
    <w:p>
      <w:pPr>
        <w:pStyle w:val="2"/>
        <w:rPr>
          <w:color w:val="000000" w:themeColor="text1"/>
          <w:highlight w:val="none"/>
          <w14:textFill>
            <w14:solidFill>
              <w14:schemeClr w14:val="tx1"/>
            </w14:solidFill>
          </w14:textFill>
        </w:rPr>
        <w:sectPr>
          <w:footerReference r:id="rId4"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pStyle w:val="6"/>
        <w:rPr>
          <w:rFonts w:ascii="仿宋_GB2312" w:hAnsi="仿宋_GB2312" w:eastAsia="仿宋_GB2312" w:cs="仿宋_GB2312"/>
          <w:b/>
          <w:bCs/>
          <w:color w:val="000000" w:themeColor="text1"/>
          <w:sz w:val="28"/>
          <w:szCs w:val="36"/>
          <w14:textFill>
            <w14:solidFill>
              <w14:schemeClr w14:val="tx1"/>
            </w14:solidFill>
          </w14:textFill>
        </w:rPr>
      </w:pPr>
      <w:r>
        <w:rPr>
          <w:rFonts w:hint="eastAsia" w:ascii="仿宋_GB2312" w:hAnsi="仿宋_GB2312" w:eastAsia="仿宋_GB2312" w:cs="仿宋_GB2312"/>
          <w:b/>
          <w:bCs/>
          <w:color w:val="000000" w:themeColor="text1"/>
          <w:sz w:val="28"/>
          <w:szCs w:val="36"/>
          <w14:textFill>
            <w14:solidFill>
              <w14:schemeClr w14:val="tx1"/>
            </w14:solidFill>
          </w14:textFill>
        </w:rPr>
        <w:t>附件1</w:t>
      </w:r>
    </w:p>
    <w:p>
      <w:pPr>
        <w:pStyle w:val="6"/>
        <w:jc w:val="center"/>
        <w:rPr>
          <w:rFonts w:ascii="仿宋_GB2312" w:hAnsi="仿宋_GB2312" w:eastAsia="仿宋_GB2312" w:cs="仿宋_GB2312"/>
          <w:b/>
          <w:bCs/>
          <w:color w:val="000000" w:themeColor="text1"/>
          <w:sz w:val="28"/>
          <w:szCs w:val="36"/>
          <w14:textFill>
            <w14:solidFill>
              <w14:schemeClr w14:val="tx1"/>
            </w14:solidFill>
          </w14:textFill>
        </w:rPr>
      </w:pPr>
      <w:r>
        <w:rPr>
          <w:rFonts w:ascii="仿宋_GB2312" w:hAnsi="仿宋_GB2312" w:eastAsia="仿宋_GB2312" w:cs="仿宋_GB2312"/>
          <w:b/>
          <w:bCs/>
          <w:color w:val="000000" w:themeColor="text1"/>
          <w:sz w:val="28"/>
          <w:szCs w:val="36"/>
          <w14:textFill>
            <w14:solidFill>
              <w14:schemeClr w14:val="tx1"/>
            </w14:solidFill>
          </w14:textFill>
        </w:rPr>
        <w:t>磋商响应担保函</w:t>
      </w:r>
    </w:p>
    <w:p>
      <w:pPr>
        <w:snapToGrid w:val="0"/>
        <w:ind w:firstLine="3360" w:firstLineChars="1400"/>
        <w:rPr>
          <w:rFonts w:eastAsia="仿宋_GB2312"/>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t>（适用于保证金保函）</w:t>
      </w:r>
    </w:p>
    <w:p>
      <w:pPr>
        <w:snapToGrid w:val="0"/>
        <w:ind w:right="480"/>
        <w:jc w:val="center"/>
        <w:rPr>
          <w:rFonts w:hint="eastAsia" w:eastAsia="仿宋_GB2312"/>
          <w:color w:val="000000" w:themeColor="text1"/>
          <w:sz w:val="24"/>
          <w:lang w:eastAsia="zh-CN"/>
          <w14:textFill>
            <w14:solidFill>
              <w14:schemeClr w14:val="tx1"/>
            </w14:solidFill>
          </w14:textFill>
        </w:rPr>
      </w:pPr>
      <w:r>
        <w:rPr>
          <w:rFonts w:eastAsia="仿宋_GB2312"/>
          <w:color w:val="000000" w:themeColor="text1"/>
          <w:sz w:val="24"/>
          <w14:textFill>
            <w14:solidFill>
              <w14:schemeClr w14:val="tx1"/>
            </w14:solidFill>
          </w14:textFill>
        </w:rPr>
        <w:t xml:space="preserve">                                             保函编号</w:t>
      </w:r>
      <w:r>
        <w:rPr>
          <w:rFonts w:hint="eastAsia" w:eastAsia="仿宋_GB2312"/>
          <w:color w:val="000000" w:themeColor="text1"/>
          <w:sz w:val="24"/>
          <w:lang w:eastAsia="zh-CN"/>
          <w14:textFill>
            <w14:solidFill>
              <w14:schemeClr w14:val="tx1"/>
            </w14:solidFill>
          </w14:textFill>
        </w:rPr>
        <w:t>：</w:t>
      </w:r>
    </w:p>
    <w:p>
      <w:pPr>
        <w:snapToGrid w:val="0"/>
        <w:ind w:right="480"/>
        <w:jc w:val="left"/>
        <w:rPr>
          <w:rFonts w:eastAsia="仿宋_GB2312"/>
          <w:color w:val="000000" w:themeColor="text1"/>
          <w:sz w:val="24"/>
          <w14:textFill>
            <w14:solidFill>
              <w14:schemeClr w14:val="tx1"/>
            </w14:solidFill>
          </w14:textFill>
        </w:rPr>
      </w:pPr>
      <w:r>
        <w:rPr>
          <w:rFonts w:eastAsia="仿宋_GB2312"/>
          <w:color w:val="000000" w:themeColor="text1"/>
          <w:sz w:val="24"/>
          <w:u w:val="single"/>
          <w14:textFill>
            <w14:solidFill>
              <w14:schemeClr w14:val="tx1"/>
            </w14:solidFill>
          </w14:textFill>
        </w:rPr>
        <w:t>陕西省采购招标有限责任公司</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下称受益人</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w:t>
      </w:r>
    </w:p>
    <w:p>
      <w:pPr>
        <w:snapToGrid w:val="0"/>
        <w:spacing w:line="288" w:lineRule="auto"/>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鉴于</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下称被保证人</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将于</w:t>
      </w:r>
      <w:r>
        <w:rPr>
          <w:rFonts w:eastAsia="仿宋_GB2312"/>
          <w:color w:val="000000" w:themeColor="text1"/>
          <w:sz w:val="24"/>
          <w:u w:val="single"/>
          <w14:textFill>
            <w14:solidFill>
              <w14:schemeClr w14:val="tx1"/>
            </w14:solidFill>
          </w14:textFill>
        </w:rPr>
        <w:t>    年 月 日</w:t>
      </w:r>
      <w:r>
        <w:rPr>
          <w:rFonts w:eastAsia="仿宋_GB2312"/>
          <w:color w:val="000000" w:themeColor="text1"/>
          <w:sz w:val="24"/>
          <w14:textFill>
            <w14:solidFill>
              <w14:schemeClr w14:val="tx1"/>
            </w14:solidFill>
          </w14:textFill>
        </w:rPr>
        <w:t>参加贵方竞争性磋商文件编号为</w:t>
      </w:r>
      <w:r>
        <w:rPr>
          <w:rFonts w:eastAsia="仿宋_GB2312"/>
          <w:color w:val="000000" w:themeColor="text1"/>
          <w:sz w:val="24"/>
          <w:u w:val="single"/>
          <w14:textFill>
            <w14:solidFill>
              <w14:schemeClr w14:val="tx1"/>
            </w14:solidFill>
          </w14:textFill>
        </w:rPr>
        <w:t> （采购项目编号）</w:t>
      </w:r>
      <w:r>
        <w:rPr>
          <w:rFonts w:eastAsia="仿宋_GB2312"/>
          <w:color w:val="000000" w:themeColor="text1"/>
          <w:sz w:val="24"/>
          <w14:textFill>
            <w14:solidFill>
              <w14:schemeClr w14:val="tx1"/>
            </w14:solidFill>
          </w14:textFill>
        </w:rPr>
        <w:t>的</w:t>
      </w:r>
      <w:r>
        <w:rPr>
          <w:rFonts w:eastAsia="仿宋_GB2312"/>
          <w:color w:val="000000" w:themeColor="text1"/>
          <w:sz w:val="24"/>
          <w:u w:val="single"/>
          <w14:textFill>
            <w14:solidFill>
              <w14:schemeClr w14:val="tx1"/>
            </w14:solidFill>
          </w14:textFill>
        </w:rPr>
        <w:t xml:space="preserve"> （项目名称） </w:t>
      </w:r>
      <w:r>
        <w:rPr>
          <w:rFonts w:eastAsia="仿宋_GB2312"/>
          <w:color w:val="000000" w:themeColor="text1"/>
          <w:sz w:val="24"/>
          <w14:textFill>
            <w14:solidFill>
              <w14:schemeClr w14:val="tx1"/>
            </w14:solidFill>
          </w14:textFill>
        </w:rPr>
        <w:t>的竞争性磋商</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我方接受被保证人的委托</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在此向受益人提供不可撤销的磋商保证：</w:t>
      </w:r>
    </w:p>
    <w:p>
      <w:pPr>
        <w:numPr>
          <w:ilvl w:val="0"/>
          <w:numId w:val="0"/>
        </w:numPr>
        <w:snapToGrid w:val="0"/>
        <w:spacing w:line="288" w:lineRule="auto"/>
        <w:ind w:firstLine="480" w:firstLineChars="200"/>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一、</w:t>
      </w:r>
      <w:r>
        <w:rPr>
          <w:rFonts w:eastAsia="仿宋_GB2312"/>
          <w:color w:val="000000" w:themeColor="text1"/>
          <w:sz w:val="24"/>
          <w14:textFill>
            <w14:solidFill>
              <w14:schemeClr w14:val="tx1"/>
            </w14:solidFill>
          </w14:textFill>
        </w:rPr>
        <w:t>本保证担保的担保金额为</w:t>
      </w:r>
      <w:r>
        <w:rPr>
          <w:rFonts w:eastAsia="仿宋_GB2312"/>
          <w:color w:val="000000" w:themeColor="text1"/>
          <w:sz w:val="24"/>
          <w:u w:val="single"/>
          <w14:textFill>
            <w14:solidFill>
              <w14:schemeClr w14:val="tx1"/>
            </w14:solidFill>
          </w14:textFill>
        </w:rPr>
        <w:t>人民币</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币种</w:t>
      </w:r>
      <w:r>
        <w:rPr>
          <w:rFonts w:hint="eastAsia" w:eastAsia="仿宋_GB2312"/>
          <w:color w:val="000000" w:themeColor="text1"/>
          <w:sz w:val="24"/>
          <w:u w:val="single"/>
          <w:lang w:eastAsia="zh-CN"/>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元</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小写</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元整</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大写）。</w:t>
      </w:r>
    </w:p>
    <w:p>
      <w:pPr>
        <w:numPr>
          <w:ilvl w:val="0"/>
          <w:numId w:val="0"/>
        </w:numPr>
        <w:snapToGrid w:val="0"/>
        <w:spacing w:line="288"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二、本保证担保的保证期间为响应文件的有效期</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或延长的有效期</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延长有效期无须通知我方。</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三、在本保证担保的保证期间内</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如果被保证人出现下列情形之一</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受益人可以向我方提起索赔：</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1.</w:t>
      </w:r>
      <w:r>
        <w:rPr>
          <w:rFonts w:hint="eastAsia" w:eastAsia="仿宋_GB2312"/>
          <w:color w:val="000000" w:themeColor="text1"/>
          <w:sz w:val="24"/>
          <w:lang w:val="en-US" w:eastAsia="zh-CN"/>
          <w14:textFill>
            <w14:solidFill>
              <w14:schemeClr w14:val="tx1"/>
            </w14:solidFill>
          </w14:textFill>
        </w:rPr>
        <w:t xml:space="preserve"> </w:t>
      </w:r>
      <w:r>
        <w:rPr>
          <w:rFonts w:eastAsia="仿宋_GB2312"/>
          <w:color w:val="000000" w:themeColor="text1"/>
          <w:sz w:val="24"/>
          <w14:textFill>
            <w14:solidFill>
              <w14:schemeClr w14:val="tx1"/>
            </w14:solidFill>
          </w14:textFill>
        </w:rPr>
        <w:t>被保证人在响应文件有效期内撤回其响应文件；</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2.</w:t>
      </w:r>
      <w:r>
        <w:rPr>
          <w:rFonts w:hint="eastAsia" w:eastAsia="仿宋_GB2312"/>
          <w:color w:val="000000" w:themeColor="text1"/>
          <w:sz w:val="24"/>
          <w:lang w:val="en-US" w:eastAsia="zh-CN"/>
          <w14:textFill>
            <w14:solidFill>
              <w14:schemeClr w14:val="tx1"/>
            </w14:solidFill>
          </w14:textFill>
        </w:rPr>
        <w:t xml:space="preserve"> </w:t>
      </w:r>
      <w:r>
        <w:rPr>
          <w:rFonts w:eastAsia="仿宋_GB2312"/>
          <w:color w:val="000000" w:themeColor="text1"/>
          <w:sz w:val="24"/>
          <w14:textFill>
            <w14:solidFill>
              <w14:schemeClr w14:val="tx1"/>
            </w14:solidFill>
          </w14:textFill>
        </w:rPr>
        <w:t>被保证人在响应文件有效期内收到受益人发出的成交通知书后</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不能或拒绝按竞争性磋商文件的要求签署合同；</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3.</w:t>
      </w:r>
      <w:r>
        <w:rPr>
          <w:rFonts w:hint="eastAsia" w:eastAsia="仿宋_GB2312"/>
          <w:color w:val="000000" w:themeColor="text1"/>
          <w:sz w:val="24"/>
          <w:lang w:val="en-US" w:eastAsia="zh-CN"/>
          <w14:textFill>
            <w14:solidFill>
              <w14:schemeClr w14:val="tx1"/>
            </w14:solidFill>
          </w14:textFill>
        </w:rPr>
        <w:t xml:space="preserve"> </w:t>
      </w:r>
      <w:r>
        <w:rPr>
          <w:rFonts w:eastAsia="仿宋_GB2312"/>
          <w:color w:val="000000" w:themeColor="text1"/>
          <w:sz w:val="24"/>
          <w14:textFill>
            <w14:solidFill>
              <w14:schemeClr w14:val="tx1"/>
            </w14:solidFill>
          </w14:textFill>
        </w:rPr>
        <w:t>被保证人在有效期内收到受益人发出的成交通知书后</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不能或拒绝按竞争性磋商文件的规定提交履约担保；</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4.</w:t>
      </w:r>
      <w:r>
        <w:rPr>
          <w:rFonts w:hint="eastAsia" w:eastAsia="仿宋_GB2312"/>
          <w:color w:val="000000" w:themeColor="text1"/>
          <w:sz w:val="24"/>
          <w:lang w:val="en-US" w:eastAsia="zh-CN"/>
          <w14:textFill>
            <w14:solidFill>
              <w14:schemeClr w14:val="tx1"/>
            </w14:solidFill>
          </w14:textFill>
        </w:rPr>
        <w:t xml:space="preserve"> </w:t>
      </w:r>
      <w:r>
        <w:rPr>
          <w:rFonts w:eastAsia="仿宋_GB2312"/>
          <w:color w:val="000000" w:themeColor="text1"/>
          <w:sz w:val="24"/>
          <w14:textFill>
            <w14:solidFill>
              <w14:schemeClr w14:val="tx1"/>
            </w14:solidFill>
          </w14:textFill>
        </w:rPr>
        <w:t>被保证人成交后未按照竞争性磋商文件规定交纳代理服务费。</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四、在本保证担保的保证期间内</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我方收到受益人经法定代表人或其授权委托代理人签字并加盖公章的书面索赔通知后</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将不争辩、不挑剔、不可撤销地立即向受益人支付本保证担保的担保金额。</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五、受益人的索赔通知应当说明索赔理由</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并必须在本保证担保的保证期间内送达我方。</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六、本保证担保项下的权利不得转让。</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七、本保证担保的保证期间届满</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或我方已向受益人支付本保证担保的担保金额</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我方的保证责任免除。</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八、本保证担保适用中华人民共和国法律。</w:t>
      </w:r>
    </w:p>
    <w:p>
      <w:pPr>
        <w:numPr>
          <w:ilvl w:val="0"/>
          <w:numId w:val="0"/>
        </w:num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九、本保证担保以中文文本为准</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涂改无效。</w:t>
      </w:r>
    </w:p>
    <w:p>
      <w:pPr>
        <w:snapToGrid w:val="0"/>
        <w:spacing w:line="288" w:lineRule="auto"/>
        <w:rPr>
          <w:rFonts w:hint="eastAsia" w:eastAsia="仿宋_GB2312"/>
          <w:color w:val="000000" w:themeColor="text1"/>
          <w:sz w:val="24"/>
          <w:lang w:eastAsia="zh-CN"/>
          <w14:textFill>
            <w14:solidFill>
              <w14:schemeClr w14:val="tx1"/>
            </w14:solidFill>
          </w14:textFill>
        </w:rPr>
      </w:pPr>
    </w:p>
    <w:p>
      <w:pPr>
        <w:snapToGrid w:val="0"/>
        <w:spacing w:line="288" w:lineRule="auto"/>
        <w:rPr>
          <w:rFonts w:hint="eastAsia" w:eastAsia="仿宋_GB2312"/>
          <w:color w:val="000000" w:themeColor="text1"/>
          <w:sz w:val="24"/>
          <w:u w:val="single"/>
          <w:lang w:eastAsia="zh-CN"/>
          <w14:textFill>
            <w14:solidFill>
              <w14:schemeClr w14:val="tx1"/>
            </w14:solidFill>
          </w14:textFill>
        </w:rPr>
      </w:pPr>
      <w:r>
        <w:rPr>
          <w:rFonts w:eastAsia="仿宋_GB2312"/>
          <w:color w:val="000000" w:themeColor="text1"/>
          <w:sz w:val="24"/>
          <w14:textFill>
            <w14:solidFill>
              <w14:schemeClr w14:val="tx1"/>
            </w14:solidFill>
          </w14:textFill>
        </w:rPr>
        <w:t>保证人</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盖章</w:t>
      </w:r>
      <w:r>
        <w:rPr>
          <w:rFonts w:hint="eastAsia" w:eastAsia="仿宋_GB2312"/>
          <w:color w:val="000000" w:themeColor="text1"/>
          <w:sz w:val="24"/>
          <w:lang w:eastAsia="zh-CN"/>
          <w14:textFill>
            <w14:solidFill>
              <w14:schemeClr w14:val="tx1"/>
            </w14:solidFill>
          </w14:textFill>
        </w:rPr>
        <w:t>）：</w:t>
      </w:r>
    </w:p>
    <w:p>
      <w:pPr>
        <w:snapToGrid w:val="0"/>
        <w:spacing w:line="288" w:lineRule="auto"/>
        <w:rPr>
          <w:rFonts w:hint="default" w:eastAsia="仿宋_GB2312"/>
          <w:color w:val="000000" w:themeColor="text1"/>
          <w:sz w:val="24"/>
          <w:u w:val="single"/>
          <w:lang w:val="en-US" w:eastAsia="zh-CN"/>
          <w14:textFill>
            <w14:solidFill>
              <w14:schemeClr w14:val="tx1"/>
            </w14:solidFill>
          </w14:textFill>
        </w:rPr>
      </w:pPr>
      <w:r>
        <w:rPr>
          <w:rFonts w:eastAsia="仿宋_GB2312"/>
          <w:color w:val="000000" w:themeColor="text1"/>
          <w:sz w:val="24"/>
          <w14:textFill>
            <w14:solidFill>
              <w14:schemeClr w14:val="tx1"/>
            </w14:solidFill>
          </w14:textFill>
        </w:rPr>
        <w:t>法定代表人或其授权委托代理人</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签字或盖章）：</w:t>
      </w:r>
      <w:r>
        <w:rPr>
          <w:rFonts w:hint="eastAsia" w:eastAsia="仿宋_GB2312"/>
          <w:color w:val="000000" w:themeColor="text1"/>
          <w:sz w:val="24"/>
          <w:u w:val="single"/>
          <w:lang w:val="en-US" w:eastAsia="zh-CN"/>
          <w14:textFill>
            <w14:solidFill>
              <w14:schemeClr w14:val="tx1"/>
            </w14:solidFill>
          </w14:textFill>
        </w:rPr>
        <w:t xml:space="preserve">     </w:t>
      </w:r>
    </w:p>
    <w:p>
      <w:pPr>
        <w:snapToGrid w:val="0"/>
        <w:spacing w:line="288" w:lineRule="auto"/>
        <w:rPr>
          <w:rFonts w:hint="eastAsia" w:eastAsia="仿宋_GB2312"/>
          <w:color w:val="000000" w:themeColor="text1"/>
          <w:sz w:val="24"/>
          <w:lang w:eastAsia="zh-CN"/>
          <w14:textFill>
            <w14:solidFill>
              <w14:schemeClr w14:val="tx1"/>
            </w14:solidFill>
          </w14:textFill>
        </w:rPr>
      </w:pPr>
      <w:r>
        <w:rPr>
          <w:rFonts w:eastAsia="仿宋_GB2312"/>
          <w:color w:val="000000" w:themeColor="text1"/>
          <w:sz w:val="24"/>
          <w14:textFill>
            <w14:solidFill>
              <w14:schemeClr w14:val="tx1"/>
            </w14:solidFill>
          </w14:textFill>
        </w:rPr>
        <w:t>单位地址</w:t>
      </w:r>
      <w:r>
        <w:rPr>
          <w:rFonts w:hint="eastAsia" w:eastAsia="仿宋_GB2312"/>
          <w:color w:val="000000" w:themeColor="text1"/>
          <w:sz w:val="24"/>
          <w:lang w:eastAsia="zh-CN"/>
          <w14:textFill>
            <w14:solidFill>
              <w14:schemeClr w14:val="tx1"/>
            </w14:solidFill>
          </w14:textFill>
        </w:rPr>
        <w:t>：</w:t>
      </w:r>
    </w:p>
    <w:p>
      <w:p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电话</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 xml:space="preserve">     </w:t>
      </w:r>
    </w:p>
    <w:p>
      <w:pPr>
        <w:snapToGrid w:val="0"/>
        <w:spacing w:line="288"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日期</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 xml:space="preserve">     年    </w:t>
      </w:r>
      <w:r>
        <w:rPr>
          <w:rFonts w:hint="eastAsia" w:eastAsia="仿宋_GB2312"/>
          <w:color w:val="000000" w:themeColor="text1"/>
          <w:sz w:val="24"/>
          <w:lang w:val="en-US" w:eastAsia="zh-CN"/>
          <w14:textFill>
            <w14:solidFill>
              <w14:schemeClr w14:val="tx1"/>
            </w14:solidFill>
          </w14:textFill>
        </w:rPr>
        <w:t xml:space="preserve"> </w:t>
      </w:r>
      <w:r>
        <w:rPr>
          <w:rFonts w:eastAsia="仿宋_GB2312"/>
          <w:color w:val="000000" w:themeColor="text1"/>
          <w:sz w:val="24"/>
          <w14:textFill>
            <w14:solidFill>
              <w14:schemeClr w14:val="tx1"/>
            </w14:solidFill>
          </w14:textFill>
        </w:rPr>
        <w:t>月    </w:t>
      </w:r>
      <w:r>
        <w:rPr>
          <w:rFonts w:hint="eastAsia" w:eastAsia="仿宋_GB2312"/>
          <w:color w:val="000000" w:themeColor="text1"/>
          <w:sz w:val="24"/>
          <w:lang w:val="en-US" w:eastAsia="zh-CN"/>
          <w14:textFill>
            <w14:solidFill>
              <w14:schemeClr w14:val="tx1"/>
            </w14:solidFill>
          </w14:textFill>
        </w:rPr>
        <w:t xml:space="preserve"> </w:t>
      </w:r>
      <w:r>
        <w:rPr>
          <w:rFonts w:eastAsia="仿宋_GB2312"/>
          <w:color w:val="000000" w:themeColor="text1"/>
          <w:sz w:val="24"/>
          <w14:textFill>
            <w14:solidFill>
              <w14:schemeClr w14:val="tx1"/>
            </w14:solidFill>
          </w14:textFill>
        </w:rPr>
        <w:t>日</w:t>
      </w:r>
    </w:p>
    <w:p>
      <w:pPr>
        <w:pStyle w:val="6"/>
        <w:rPr>
          <w:rFonts w:ascii="Times New Roman" w:hAnsi="Times New Roman" w:eastAsia="仿宋_GB2312"/>
          <w:b/>
          <w:bCs/>
          <w:color w:val="000000" w:themeColor="text1"/>
          <w:kern w:val="0"/>
          <w:sz w:val="32"/>
          <w:szCs w:val="32"/>
          <w14:textFill>
            <w14:solidFill>
              <w14:schemeClr w14:val="tx1"/>
            </w14:solidFill>
          </w14:textFill>
        </w:rPr>
      </w:pPr>
      <w:bookmarkStart w:id="511" w:name="_Toc21748"/>
      <w:bookmarkStart w:id="512" w:name="_Toc16186"/>
      <w:bookmarkStart w:id="513" w:name="_Toc532473491"/>
      <w:bookmarkStart w:id="514" w:name="_Toc515647799"/>
      <w:r>
        <w:rPr>
          <w:rFonts w:ascii="Times New Roman" w:hAnsi="Times New Roman" w:eastAsia="仿宋_GB2312"/>
          <w:color w:val="000000" w:themeColor="text1"/>
          <w:kern w:val="0"/>
          <w:sz w:val="24"/>
          <w14:textFill>
            <w14:solidFill>
              <w14:schemeClr w14:val="tx1"/>
            </w14:solidFill>
          </w14:textFill>
        </w:rPr>
        <w:br w:type="page"/>
      </w:r>
      <w:bookmarkEnd w:id="511"/>
      <w:bookmarkEnd w:id="512"/>
      <w:bookmarkEnd w:id="513"/>
      <w:bookmarkEnd w:id="514"/>
      <w:bookmarkStart w:id="515" w:name="_Toc6548"/>
      <w:bookmarkStart w:id="516" w:name="_Toc20660404"/>
      <w:bookmarkStart w:id="517" w:name="_Toc515647800"/>
      <w:bookmarkStart w:id="518" w:name="_Toc532473492"/>
      <w:bookmarkStart w:id="519" w:name="_Toc10951"/>
      <w:r>
        <w:rPr>
          <w:rFonts w:ascii="仿宋_GB2312" w:hAnsi="仿宋_GB2312" w:eastAsia="仿宋_GB2312" w:cs="仿宋_GB2312"/>
          <w:b/>
          <w:bCs/>
          <w:color w:val="000000" w:themeColor="text1"/>
          <w:sz w:val="28"/>
          <w:szCs w:val="36"/>
          <w14:textFill>
            <w14:solidFill>
              <w14:schemeClr w14:val="tx1"/>
            </w14:solidFill>
          </w14:textFill>
        </w:rPr>
        <w:t>附件2</w:t>
      </w:r>
    </w:p>
    <w:p>
      <w:pPr>
        <w:pStyle w:val="6"/>
        <w:jc w:val="center"/>
        <w:rPr>
          <w:rFonts w:ascii="仿宋_GB2312" w:hAnsi="仿宋_GB2312" w:eastAsia="仿宋_GB2312" w:cs="仿宋_GB2312"/>
          <w:b/>
          <w:bCs/>
          <w:color w:val="000000" w:themeColor="text1"/>
          <w:sz w:val="28"/>
          <w:szCs w:val="36"/>
          <w14:textFill>
            <w14:solidFill>
              <w14:schemeClr w14:val="tx1"/>
            </w14:solidFill>
          </w14:textFill>
        </w:rPr>
      </w:pPr>
      <w:r>
        <w:rPr>
          <w:rFonts w:ascii="仿宋_GB2312" w:hAnsi="仿宋_GB2312" w:eastAsia="仿宋_GB2312" w:cs="仿宋_GB2312"/>
          <w:b/>
          <w:bCs/>
          <w:color w:val="000000" w:themeColor="text1"/>
          <w:sz w:val="28"/>
          <w:szCs w:val="36"/>
          <w14:textFill>
            <w14:solidFill>
              <w14:schemeClr w14:val="tx1"/>
            </w14:solidFill>
          </w14:textFill>
        </w:rPr>
        <w:t>履约担保函格式</w:t>
      </w:r>
      <w:bookmarkEnd w:id="515"/>
      <w:bookmarkEnd w:id="516"/>
      <w:bookmarkEnd w:id="517"/>
      <w:bookmarkEnd w:id="518"/>
      <w:bookmarkEnd w:id="519"/>
    </w:p>
    <w:p>
      <w:pPr>
        <w:snapToGrid w:val="0"/>
        <w:spacing w:line="336" w:lineRule="auto"/>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编号：</w:t>
      </w:r>
    </w:p>
    <w:p>
      <w:pPr>
        <w:snapToGrid w:val="0"/>
        <w:spacing w:line="336" w:lineRule="auto"/>
        <w:rPr>
          <w:rFonts w:eastAsia="仿宋_GB2312"/>
          <w:color w:val="000000" w:themeColor="text1"/>
          <w:sz w:val="28"/>
          <w:szCs w:val="28"/>
          <w14:textFill>
            <w14:solidFill>
              <w14:schemeClr w14:val="tx1"/>
            </w14:solidFill>
          </w14:textFill>
        </w:rPr>
      </w:pPr>
    </w:p>
    <w:p>
      <w:pPr>
        <w:snapToGrid w:val="0"/>
        <w:spacing w:line="336" w:lineRule="auto"/>
        <w:rPr>
          <w:rFonts w:eastAsia="仿宋_GB2312"/>
          <w:color w:val="000000" w:themeColor="text1"/>
          <w:sz w:val="24"/>
          <w14:textFill>
            <w14:solidFill>
              <w14:schemeClr w14:val="tx1"/>
            </w14:solidFill>
          </w14:textFill>
        </w:rPr>
      </w:pP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（采购人名称）：</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鉴于你方与</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（以下简称供应商）于</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年</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月</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日</w:t>
      </w:r>
      <w:r>
        <w:rPr>
          <w:rFonts w:hint="eastAsia" w:eastAsia="仿宋_GB2312"/>
          <w:color w:val="000000" w:themeColor="text1"/>
          <w:sz w:val="24"/>
          <w:lang w:eastAsia="zh-CN"/>
          <w14:textFill>
            <w14:solidFill>
              <w14:schemeClr w14:val="tx1"/>
            </w14:solidFill>
          </w14:textFill>
        </w:rPr>
        <w:t>签订</w:t>
      </w:r>
      <w:r>
        <w:rPr>
          <w:rFonts w:eastAsia="仿宋_GB2312"/>
          <w:color w:val="000000" w:themeColor="text1"/>
          <w:sz w:val="24"/>
          <w14:textFill>
            <w14:solidFill>
              <w14:schemeClr w14:val="tx1"/>
            </w14:solidFill>
          </w14:textFill>
        </w:rPr>
        <w:t>编号为</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的《</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政府采购合同》（以下简称主合同），且依据该合同的约定，供应商应在</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年</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月</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一、保证责任的情形及保证金额</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（一）在供应商出现下列情形之一时，我方承担保证责任：</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1．将成交项目转让给他人，或者在磋商响应文件中未说明，且未经采购人同意，将成交项目分包给他人的；</w:t>
      </w:r>
    </w:p>
    <w:p>
      <w:pPr>
        <w:snapToGrid w:val="0"/>
        <w:spacing w:line="336"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2．主合同约定的应当缴纳履约保证金的情形</w:t>
      </w:r>
      <w:r>
        <w:rPr>
          <w:rFonts w:hint="eastAsia" w:eastAsia="仿宋_GB2312"/>
          <w:color w:val="000000" w:themeColor="text1"/>
          <w:sz w:val="24"/>
          <w:lang w:eastAsia="zh-CN"/>
          <w14:textFill>
            <w14:solidFill>
              <w14:schemeClr w14:val="tx1"/>
            </w14:solidFill>
          </w14:textFill>
        </w:rPr>
        <w:t>：</w:t>
      </w:r>
      <w:r>
        <w:rPr>
          <w:rFonts w:eastAsia="仿宋_GB2312"/>
          <w:color w:val="000000" w:themeColor="text1"/>
          <w:sz w:val="24"/>
          <w14:textFill>
            <w14:solidFill>
              <w14:schemeClr w14:val="tx1"/>
            </w14:solidFill>
          </w14:textFill>
        </w:rPr>
        <w:t xml:space="preserve"> </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（1）未按主合同约定的质量、数量和期限供应货物/提供服务/完成工程的；</w:t>
      </w:r>
    </w:p>
    <w:p>
      <w:pPr>
        <w:snapToGrid w:val="0"/>
        <w:spacing w:line="336" w:lineRule="auto"/>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（二）我方的保证范围是主合同约定的合同价款总额的</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%数额为</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元（大写</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），币种为</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。（即主合同履约保证金金额）</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二、保证的方式及保证期间</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我方保证的方式为：连带责任保证。</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我方保证的期间为：自本合同生效之日起至供应商按照主合同约定的供货/完工期限届满后</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日内。</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三、承担保证责任的程序</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如果你方与供应商因货物质量问题产生争议，你方还需同时提供</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 我方收到你方的书面索赔通知及相应证明材料，在</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工作日内进行核定后按照本保函的承诺承担保证责任。</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四、保证责任的终止</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3．按照法律法规的规定或出现应终止我方保证责任</w:t>
      </w:r>
      <w:r>
        <w:rPr>
          <w:rFonts w:hint="eastAsia" w:eastAsia="仿宋_GB2312"/>
          <w:color w:val="000000" w:themeColor="text1"/>
          <w:sz w:val="24"/>
          <w:lang w:eastAsia="zh-CN"/>
          <w14:textFill>
            <w14:solidFill>
              <w14:schemeClr w14:val="tx1"/>
            </w14:solidFill>
          </w14:textFill>
        </w:rPr>
        <w:t>的其他情形</w:t>
      </w:r>
      <w:r>
        <w:rPr>
          <w:rFonts w:eastAsia="仿宋_GB2312"/>
          <w:color w:val="000000" w:themeColor="text1"/>
          <w:sz w:val="24"/>
          <w14:textFill>
            <w14:solidFill>
              <w14:schemeClr w14:val="tx1"/>
            </w14:solidFill>
          </w14:textFill>
        </w:rPr>
        <w:t>的，我方在本保函项下的保证责任亦终止。</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五、免责条款</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1．因你方违反主合同约定致使供应商不能履行义务的，我方不承担保证责任。</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3．因不可抗力造成供应商不能履行供货义务的，我方不承担保证责任。</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六、争议的解决</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因本保函发生的纠纷，由你我双方协商解决，协商不成的，通过诉讼程序解决，诉讼管辖地法院为</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法院。</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七、保函的生效</w:t>
      </w:r>
    </w:p>
    <w:p>
      <w:pPr>
        <w:snapToGrid w:val="0"/>
        <w:spacing w:line="336" w:lineRule="auto"/>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本保函自我方加盖公章之日起生效。</w:t>
      </w:r>
    </w:p>
    <w:p>
      <w:pPr>
        <w:snapToGrid w:val="0"/>
        <w:spacing w:line="336" w:lineRule="auto"/>
        <w:rPr>
          <w:rFonts w:eastAsia="仿宋_GB2312"/>
          <w:color w:val="000000" w:themeColor="text1"/>
          <w:sz w:val="24"/>
          <w14:textFill>
            <w14:solidFill>
              <w14:schemeClr w14:val="tx1"/>
            </w14:solidFill>
          </w14:textFill>
        </w:rPr>
      </w:pPr>
    </w:p>
    <w:p>
      <w:pPr>
        <w:snapToGrid w:val="0"/>
        <w:spacing w:line="336"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p>
    <w:p>
      <w:pPr>
        <w:spacing w:line="360" w:lineRule="auto"/>
        <w:ind w:left="1080" w:leftChars="257" w:hanging="54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出具保函单位名称（盖公章）：</w:t>
      </w:r>
      <w:r>
        <w:rPr>
          <w:rFonts w:eastAsia="仿宋_GB2312"/>
          <w:color w:val="000000" w:themeColor="text1"/>
          <w:sz w:val="24"/>
          <w:u w:val="single"/>
          <w14:textFill>
            <w14:solidFill>
              <w14:schemeClr w14:val="tx1"/>
            </w14:solidFill>
          </w14:textFill>
        </w:rPr>
        <w:t xml:space="preserve">                   </w:t>
      </w:r>
    </w:p>
    <w:p>
      <w:pPr>
        <w:spacing w:line="360" w:lineRule="auto"/>
        <w:ind w:left="1080" w:leftChars="257" w:hanging="54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签字人姓名和职务：</w:t>
      </w:r>
      <w:r>
        <w:rPr>
          <w:rFonts w:eastAsia="仿宋_GB2312"/>
          <w:color w:val="000000" w:themeColor="text1"/>
          <w:sz w:val="24"/>
          <w:u w:val="single"/>
          <w14:textFill>
            <w14:solidFill>
              <w14:schemeClr w14:val="tx1"/>
            </w14:solidFill>
          </w14:textFill>
        </w:rPr>
        <w:t xml:space="preserve">                             </w:t>
      </w:r>
    </w:p>
    <w:p>
      <w:pPr>
        <w:spacing w:line="360" w:lineRule="auto"/>
        <w:ind w:left="1080" w:leftChars="257" w:hanging="54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签字人签名：</w:t>
      </w:r>
      <w:r>
        <w:rPr>
          <w:rFonts w:eastAsia="仿宋_GB2312"/>
          <w:color w:val="000000" w:themeColor="text1"/>
          <w:sz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rPr>
          <w:rFonts w:ascii="仿宋_GB2312" w:hAnsi="仿宋_GB2312" w:eastAsia="仿宋_GB2312" w:cs="仿宋_GB2312"/>
          <w:b w:val="0"/>
          <w:bCs w:val="0"/>
          <w:color w:val="000000" w:themeColor="text1"/>
          <w:sz w:val="28"/>
          <w:szCs w:val="28"/>
          <w:highlight w:val="none"/>
          <w:lang w:val="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日期</w:t>
      </w:r>
      <w:r>
        <w:rPr>
          <w:rFonts w:eastAsia="仿宋_GB2312"/>
          <w:color w:val="000000" w:themeColor="text1"/>
          <w:sz w:val="24"/>
          <w14:textFill>
            <w14:solidFill>
              <w14:schemeClr w14:val="tx1"/>
            </w14:solidFill>
          </w14:textFill>
        </w:rPr>
        <w:t>：</w:t>
      </w:r>
      <w:r>
        <w:rPr>
          <w:rFonts w:hint="eastAsia" w:eastAsia="仿宋_GB2312"/>
          <w:color w:val="000000" w:themeColor="text1"/>
          <w:sz w:val="24"/>
          <w:lang w:val="en-US" w:eastAsia="zh-CN"/>
          <w14:textFill>
            <w14:solidFill>
              <w14:schemeClr w14:val="tx1"/>
            </w14:solidFill>
          </w14:textFill>
        </w:rPr>
        <w:t xml:space="preserve">   年   月   日</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 xml:space="preserve">     </w:t>
      </w:r>
    </w:p>
    <w:p>
      <w:pPr>
        <w:autoSpaceDE w:val="0"/>
        <w:autoSpaceDN w:val="0"/>
        <w:adjustRightInd w:val="0"/>
        <w:snapToGrid w:val="0"/>
        <w:spacing w:line="360" w:lineRule="auto"/>
        <w:jc w:val="cente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p>
    <w:p>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br w:type="page"/>
      </w:r>
    </w:p>
    <w:p>
      <w:pPr>
        <w:pStyle w:val="6"/>
        <w:rPr>
          <w:rFonts w:ascii="仿宋_GB2312" w:hAnsi="仿宋_GB2312" w:eastAsia="仿宋_GB2312" w:cs="仿宋_GB2312"/>
          <w:b/>
          <w:bCs/>
          <w:color w:val="000000" w:themeColor="text1"/>
          <w:sz w:val="28"/>
          <w:szCs w:val="36"/>
          <w:lang w:val="zh-CN"/>
          <w14:textFill>
            <w14:solidFill>
              <w14:schemeClr w14:val="tx1"/>
            </w14:solidFill>
          </w14:textFill>
        </w:rPr>
      </w:pPr>
      <w:r>
        <w:rPr>
          <w:rFonts w:ascii="仿宋_GB2312" w:hAnsi="仿宋_GB2312" w:eastAsia="仿宋_GB2312" w:cs="仿宋_GB2312"/>
          <w:b/>
          <w:bCs/>
          <w:color w:val="000000" w:themeColor="text1"/>
          <w:sz w:val="28"/>
          <w:szCs w:val="36"/>
          <w:lang w:val="zh-CN"/>
          <w14:textFill>
            <w14:solidFill>
              <w14:schemeClr w14:val="tx1"/>
            </w14:solidFill>
          </w14:textFill>
        </w:rPr>
        <w:t>附件3</w:t>
      </w:r>
    </w:p>
    <w:p>
      <w:pPr>
        <w:autoSpaceDE w:val="0"/>
        <w:autoSpaceDN w:val="0"/>
        <w:adjustRightInd w:val="0"/>
        <w:snapToGrid w:val="0"/>
        <w:spacing w:line="360" w:lineRule="auto"/>
        <w:jc w:val="center"/>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最终</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）磋商响应报价表</w:t>
      </w:r>
    </w:p>
    <w:p>
      <w:pPr>
        <w:spacing w:after="12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14:textFill>
            <w14:solidFill>
              <w14:schemeClr w14:val="tx1"/>
            </w14:solidFill>
          </w14:textFill>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br w:type="page"/>
            </w:r>
            <w:r>
              <w:rPr>
                <w:rFonts w:hint="eastAsia" w:ascii="仿宋_GB2312" w:hAnsi="仿宋_GB2312" w:eastAsia="仿宋_GB2312" w:cs="仿宋_GB2312"/>
                <w:b/>
                <w:color w:val="000000" w:themeColor="text1"/>
                <w:sz w:val="24"/>
                <w:highlight w:val="none"/>
                <w14:textFill>
                  <w14:solidFill>
                    <w14:schemeClr w14:val="tx1"/>
                  </w14:solidFill>
                </w14:textFill>
              </w:rPr>
              <w:t>项目编号及名称</w:t>
            </w:r>
          </w:p>
        </w:tc>
        <w:tc>
          <w:tcPr>
            <w:tcW w:w="6697" w:type="dxa"/>
            <w:vAlign w:val="center"/>
          </w:tcPr>
          <w:p>
            <w:pPr>
              <w:pStyle w:val="2"/>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项目编号：</w:t>
            </w:r>
            <w:r>
              <w:rPr>
                <w:rFonts w:hint="eastAsia" w:ascii="仿宋_GB2312" w:hAnsi="仿宋_GB2312" w:eastAsia="仿宋_GB2312" w:cs="仿宋_GB2312"/>
                <w:color w:val="000000" w:themeColor="text1"/>
                <w:sz w:val="24"/>
                <w:highlight w:val="none"/>
                <w:lang w:val="zh-CN"/>
                <w14:textFill>
                  <w14:solidFill>
                    <w14:schemeClr w14:val="tx1"/>
                  </w14:solidFill>
                </w14:textFill>
              </w:rPr>
              <w:t>SCZF2022-CS-2083/001</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pPr>
              <w:pStyle w:val="2"/>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临渭区国土空间生态修复规划（2021-2035年）</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响应</w:t>
            </w:r>
            <w:r>
              <w:rPr>
                <w:rFonts w:hint="eastAsia" w:ascii="仿宋_GB2312" w:hAnsi="仿宋_GB2312" w:eastAsia="仿宋_GB2312" w:cs="仿宋_GB2312"/>
                <w:b/>
                <w:bCs/>
                <w:color w:val="000000" w:themeColor="text1"/>
                <w:sz w:val="24"/>
                <w:highlight w:val="none"/>
                <w14:textFill>
                  <w14:solidFill>
                    <w14:schemeClr w14:val="tx1"/>
                  </w14:solidFill>
                </w14:textFill>
              </w:rPr>
              <w:t>总价</w:t>
            </w:r>
          </w:p>
        </w:tc>
        <w:tc>
          <w:tcPr>
            <w:tcW w:w="6697" w:type="dxa"/>
            <w:vAlign w:val="center"/>
          </w:tcPr>
          <w:p>
            <w:pPr>
              <w:pStyle w:val="2"/>
              <w:rPr>
                <w:rFonts w:ascii="仿宋_GB2312" w:hAnsi="仿宋_GB2312" w:eastAsia="仿宋_GB2312" w:cs="仿宋_GB2312"/>
                <w:i/>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人民币（大写）：</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元（小写：</w:t>
            </w:r>
            <w:r>
              <w:rPr>
                <w:rFonts w:hint="eastAsia" w:ascii="宋体" w:hAnsi="宋体" w:eastAsia="宋体" w:cs="宋体"/>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服务时限</w:t>
            </w:r>
          </w:p>
        </w:tc>
        <w:tc>
          <w:tcPr>
            <w:tcW w:w="6697" w:type="dxa"/>
            <w:vAlign w:val="center"/>
          </w:tcPr>
          <w:p>
            <w:pPr>
              <w:pStyle w:val="2"/>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服务地点</w:t>
            </w:r>
          </w:p>
        </w:tc>
        <w:tc>
          <w:tcPr>
            <w:tcW w:w="6697" w:type="dxa"/>
            <w:vAlign w:val="center"/>
          </w:tcPr>
          <w:p>
            <w:pPr>
              <w:pStyle w:val="2"/>
              <w:rPr>
                <w:rFonts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882" w:type="dxa"/>
            <w:vAlign w:val="center"/>
          </w:tcPr>
          <w:p>
            <w:pPr>
              <w:pStyle w:val="2"/>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备注</w:t>
            </w:r>
          </w:p>
        </w:tc>
        <w:tc>
          <w:tcPr>
            <w:tcW w:w="6697" w:type="dxa"/>
            <w:vAlign w:val="center"/>
          </w:tcPr>
          <w:p>
            <w:pPr>
              <w:pStyle w:val="2"/>
              <w:rPr>
                <w:rFonts w:ascii="仿宋_GB2312" w:hAnsi="仿宋_GB2312" w:eastAsia="仿宋_GB2312" w:cs="仿宋_GB2312"/>
                <w:color w:val="000000" w:themeColor="text1"/>
                <w:sz w:val="24"/>
                <w:highlight w:val="none"/>
                <w14:textFill>
                  <w14:solidFill>
                    <w14:schemeClr w14:val="tx1"/>
                  </w14:solidFill>
                </w14:textFill>
              </w:rPr>
            </w:pPr>
          </w:p>
        </w:tc>
      </w:tr>
    </w:tbl>
    <w:p>
      <w:pPr>
        <w:pStyle w:val="2"/>
        <w:rPr>
          <w:color w:val="000000" w:themeColor="text1"/>
          <w:highlight w:val="none"/>
          <w:lang w:val="zh-CN"/>
          <w14:textFill>
            <w14:solidFill>
              <w14:schemeClr w14:val="tx1"/>
            </w14:solidFill>
          </w14:textFill>
        </w:rPr>
      </w:pPr>
    </w:p>
    <w:p>
      <w:pPr>
        <w:autoSpaceDE w:val="0"/>
        <w:autoSpaceDN w:val="0"/>
        <w:adjustRightInd w:val="0"/>
        <w:snapToGrid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 xml:space="preserve">                                                                                     </w:t>
      </w:r>
    </w:p>
    <w:p>
      <w:pPr>
        <w:spacing w:line="360" w:lineRule="auto"/>
        <w:ind w:firstLine="1920" w:firstLineChars="800"/>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供应商</w:t>
      </w:r>
      <w:r>
        <w:rPr>
          <w:rFonts w:eastAsia="仿宋_GB2312"/>
          <w:color w:val="000000" w:themeColor="text1"/>
          <w:sz w:val="24"/>
          <w14:textFill>
            <w14:solidFill>
              <w14:schemeClr w14:val="tx1"/>
            </w14:solidFill>
          </w14:textFill>
        </w:rPr>
        <w:t>（盖</w:t>
      </w:r>
      <w:r>
        <w:rPr>
          <w:rFonts w:hint="eastAsia" w:eastAsia="仿宋_GB2312"/>
          <w:color w:val="000000" w:themeColor="text1"/>
          <w:sz w:val="24"/>
          <w:lang w:val="en-US" w:eastAsia="zh-CN"/>
          <w14:textFill>
            <w14:solidFill>
              <w14:schemeClr w14:val="tx1"/>
            </w14:solidFill>
          </w14:textFill>
        </w:rPr>
        <w:t>公</w:t>
      </w:r>
      <w:r>
        <w:rPr>
          <w:rFonts w:eastAsia="仿宋_GB2312"/>
          <w:color w:val="000000" w:themeColor="text1"/>
          <w:sz w:val="24"/>
          <w14:textFill>
            <w14:solidFill>
              <w14:schemeClr w14:val="tx1"/>
            </w14:solidFill>
          </w14:textFill>
        </w:rPr>
        <w:t>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 xml:space="preserve">    </w:t>
      </w:r>
    </w:p>
    <w:p>
      <w:pPr>
        <w:spacing w:line="360" w:lineRule="auto"/>
        <w:ind w:firstLine="1920" w:firstLineChars="8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spacing w:after="120"/>
        <w:ind w:firstLine="1920" w:firstLineChars="800"/>
        <w:rPr>
          <w:rFonts w:ascii="仿宋_GB2312" w:hAnsi="仿宋_GB2312" w:eastAsia="仿宋_GB2312" w:cs="仿宋_GB2312"/>
          <w:b/>
          <w:bCs/>
          <w:color w:val="000000" w:themeColor="text1"/>
          <w:sz w:val="30"/>
          <w:szCs w:val="30"/>
          <w:highlight w:val="none"/>
          <w14:textFill>
            <w14:solidFill>
              <w14:schemeClr w14:val="tx1"/>
            </w14:solidFill>
          </w14:textFill>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eastAsia="仿宋_GB2312"/>
          <w:color w:val="000000" w:themeColor="text1"/>
          <w:sz w:val="24"/>
          <w14:textFill>
            <w14:solidFill>
              <w14:schemeClr w14:val="tx1"/>
            </w14:solidFill>
          </w14:textFill>
        </w:rPr>
        <w:t>日    期：</w:t>
      </w:r>
      <w:r>
        <w:rPr>
          <w:rFonts w:hint="eastAsia" w:ascii="仿宋_GB2312" w:hAnsi="仿宋_GB2312" w:eastAsia="仿宋_GB2312" w:cs="仿宋_GB2312"/>
          <w:color w:val="000000" w:themeColor="text1"/>
          <w:highlight w:val="none"/>
          <w:lang w:val="zh-CN"/>
          <w14:textFill>
            <w14:solidFill>
              <w14:schemeClr w14:val="tx1"/>
            </w14:solidFill>
          </w14:textFill>
        </w:rPr>
        <w:br w:type="page"/>
      </w:r>
    </w:p>
    <w:p>
      <w:pPr>
        <w:keepNext/>
        <w:keepLines/>
        <w:autoSpaceDE w:val="0"/>
        <w:autoSpaceDN w:val="0"/>
        <w:adjustRightInd w:val="0"/>
        <w:spacing w:line="360" w:lineRule="auto"/>
        <w:jc w:val="center"/>
        <w:outlineLvl w:val="2"/>
        <w:rPr>
          <w:rFonts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b/>
          <w:color w:val="000000" w:themeColor="text1"/>
          <w:kern w:val="0"/>
          <w:sz w:val="32"/>
          <w:szCs w:val="32"/>
          <w:highlight w:val="none"/>
          <w:shd w:val="clear" w:color="auto" w:fill="FFFFFF"/>
          <w:lang w:eastAsia="zh-CN"/>
          <w14:textFill>
            <w14:solidFill>
              <w14:schemeClr w14:val="tx1"/>
            </w14:solidFill>
          </w14:textFill>
        </w:rPr>
        <w:t>最终</w:t>
      </w:r>
      <w:r>
        <w:rPr>
          <w:rFonts w:hint="eastAsia"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b/>
          <w:color w:val="000000" w:themeColor="text1"/>
          <w:kern w:val="0"/>
          <w:sz w:val="32"/>
          <w:szCs w:val="32"/>
          <w:highlight w:val="none"/>
          <w:shd w:val="clear" w:color="auto" w:fill="FFFFFF"/>
          <w:lang w:eastAsia="zh-CN"/>
          <w14:textFill>
            <w14:solidFill>
              <w14:schemeClr w14:val="tx1"/>
            </w14:solidFill>
          </w14:textFill>
        </w:rPr>
        <w:t>响应</w:t>
      </w:r>
      <w:r>
        <w:rPr>
          <w:rFonts w:hint="eastAsia"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t>分项报价表</w:t>
      </w:r>
    </w:p>
    <w:p>
      <w:pPr>
        <w:pStyle w:val="2"/>
        <w:rPr>
          <w:rFonts w:ascii="Times New Roman" w:hAnsi="Times New Roman" w:eastAsia="仿宋_GB2312"/>
          <w:color w:val="000000" w:themeColor="text1"/>
          <w:sz w:val="24"/>
          <w:u w:val="single"/>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项目编号：</w:t>
      </w:r>
      <w:r>
        <w:rPr>
          <w:rFonts w:hint="eastAsia" w:ascii="仿宋_GB2312" w:hAnsi="仿宋_GB2312" w:eastAsia="仿宋_GB2312" w:cs="仿宋_GB2312"/>
          <w:color w:val="000000" w:themeColor="text1"/>
          <w:sz w:val="24"/>
          <w:highlight w:val="none"/>
          <w:lang w:val="zh-CN"/>
          <w14:textFill>
            <w14:solidFill>
              <w14:schemeClr w14:val="tx1"/>
            </w14:solidFill>
          </w14:textFill>
        </w:rPr>
        <w:t>SCZF2022-CS-2083/001</w:t>
      </w:r>
      <w:r>
        <w:rPr>
          <w:rFonts w:ascii="Times New Roman" w:hAnsi="Times New Roman" w:eastAsia="仿宋_GB2312"/>
          <w:color w:val="000000" w:themeColor="text1"/>
          <w:sz w:val="24"/>
          <w:u w:val="single"/>
          <w14:textFill>
            <w14:solidFill>
              <w14:schemeClr w14:val="tx1"/>
            </w14:solidFill>
          </w14:textFill>
        </w:rPr>
        <w:t xml:space="preserve">             </w:t>
      </w:r>
    </w:p>
    <w:p>
      <w:pPr>
        <w:rPr>
          <w:rFonts w:ascii="仿宋_GB2312" w:hAnsi="仿宋_GB2312" w:eastAsia="仿宋_GB2312" w:cs="仿宋_GB2312"/>
          <w:b/>
          <w:color w:val="000000" w:themeColor="text1"/>
          <w:kern w:val="0"/>
          <w:sz w:val="32"/>
          <w:szCs w:val="32"/>
          <w:highlight w:val="none"/>
          <w:shd w:val="clear" w:color="auto" w:fill="FFFFFF"/>
          <w14:textFill>
            <w14:solidFill>
              <w14:schemeClr w14:val="tx1"/>
            </w14:solidFill>
          </w14:textFill>
        </w:rPr>
      </w:pPr>
      <w:r>
        <w:rPr>
          <w:rFonts w:eastAsia="仿宋_GB2312"/>
          <w:color w:val="000000" w:themeColor="text1"/>
          <w:sz w:val="24"/>
          <w14:textFill>
            <w14:solidFill>
              <w14:schemeClr w14:val="tx1"/>
            </w14:solidFill>
          </w14:textFill>
        </w:rPr>
        <w:t>项目名称：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临渭区国土空间生态修复规划（2021-2035年）</w:t>
      </w:r>
      <w:r>
        <w:rPr>
          <w:rFonts w:hint="eastAsia" w:ascii="仿宋_GB2312" w:hAnsi="仿宋_GB2312" w:eastAsia="仿宋_GB2312" w:cs="仿宋_GB2312"/>
          <w:color w:val="000000" w:themeColor="text1"/>
          <w:highlight w:val="none"/>
          <w:lang w:val="zh-CN"/>
          <w14:textFill>
            <w14:solidFill>
              <w14:schemeClr w14:val="tx1"/>
            </w14:solidFill>
          </w14:textFill>
        </w:rPr>
        <w:t xml:space="preserve">                     </w:t>
      </w:r>
    </w:p>
    <w:tbl>
      <w:tblPr>
        <w:tblStyle w:val="50"/>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834"/>
        <w:gridCol w:w="992"/>
        <w:gridCol w:w="824"/>
        <w:gridCol w:w="1350"/>
        <w:gridCol w:w="132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单位</w:t>
            </w: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单价（元）</w:t>
            </w: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小计（元）</w:t>
            </w: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2834"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283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834" w:type="dxa"/>
            <w:vAlign w:val="center"/>
          </w:tcPr>
          <w:p>
            <w:pPr>
              <w:adjustRightInd w:val="0"/>
              <w:snapToGrid w:val="0"/>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992"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24"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2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70" w:type="dxa"/>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46" w:type="dxa"/>
            <w:gridSpan w:val="7"/>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总报价 人民币（大写）：</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 xml:space="preserve"> 元（小写：¥</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元）</w:t>
            </w:r>
          </w:p>
        </w:tc>
      </w:tr>
    </w:tbl>
    <w:p>
      <w:pPr>
        <w:autoSpaceDE w:val="0"/>
        <w:autoSpaceDN w:val="0"/>
        <w:adjustRightInd w:val="0"/>
        <w:snapToGrid w:val="0"/>
        <w:spacing w:before="120" w:line="360" w:lineRule="auto"/>
        <w:ind w:left="-206" w:leftChars="-98" w:firstLine="360" w:firstLineChars="150"/>
        <w:jc w:val="left"/>
        <w:rPr>
          <w:rFonts w:ascii="仿宋_GB2312" w:hAnsi="仿宋" w:eastAsia="仿宋_GB2312"/>
          <w:color w:val="000000" w:themeColor="text1"/>
          <w:kern w:val="0"/>
          <w:sz w:val="24"/>
          <w:szCs w:val="28"/>
          <w:highlight w:val="none"/>
          <w14:textFill>
            <w14:solidFill>
              <w14:schemeClr w14:val="tx1"/>
            </w14:solidFill>
          </w14:textFill>
        </w:rPr>
      </w:pPr>
      <w:r>
        <w:rPr>
          <w:rFonts w:hint="eastAsia" w:ascii="仿宋_GB2312" w:hAnsi="仿宋" w:eastAsia="仿宋_GB2312"/>
          <w:color w:val="000000" w:themeColor="text1"/>
          <w:kern w:val="0"/>
          <w:sz w:val="24"/>
          <w:szCs w:val="28"/>
          <w:highlight w:val="none"/>
          <w14:textFill>
            <w14:solidFill>
              <w14:schemeClr w14:val="tx1"/>
            </w14:solidFill>
          </w14:textFill>
        </w:rPr>
        <w:t>注：1.供应商可根据项目实际情况自行扩充本表，本表应包含完成本项目所涉及的全部费用。</w:t>
      </w:r>
    </w:p>
    <w:p>
      <w:pPr>
        <w:pStyle w:val="2"/>
        <w:rPr>
          <w:rFonts w:hint="eastAsia" w:eastAsia="仿宋_GB2312"/>
          <w:color w:val="000000" w:themeColor="text1"/>
          <w:highlight w:val="none"/>
          <w:lang w:eastAsia="zh-CN"/>
          <w14:textFill>
            <w14:solidFill>
              <w14:schemeClr w14:val="tx1"/>
            </w14:solidFill>
          </w14:textFill>
        </w:rPr>
      </w:pPr>
      <w:r>
        <w:rPr>
          <w:rFonts w:hint="eastAsia" w:ascii="仿宋_GB2312" w:hAnsi="仿宋" w:eastAsia="仿宋_GB2312"/>
          <w:color w:val="000000" w:themeColor="text1"/>
          <w:kern w:val="0"/>
          <w:sz w:val="24"/>
          <w:szCs w:val="28"/>
          <w:highlight w:val="none"/>
          <w14:textFill>
            <w14:solidFill>
              <w14:schemeClr w14:val="tx1"/>
            </w14:solidFill>
          </w14:textFill>
        </w:rPr>
        <w:t xml:space="preserve">    </w:t>
      </w:r>
    </w:p>
    <w:p>
      <w:pPr>
        <w:autoSpaceDE w:val="0"/>
        <w:autoSpaceDN w:val="0"/>
        <w:adjustRightInd w:val="0"/>
        <w:snapToGrid w:val="0"/>
        <w:spacing w:before="120" w:line="360" w:lineRule="auto"/>
        <w:ind w:left="-206" w:leftChars="-98"/>
        <w:jc w:val="left"/>
        <w:rPr>
          <w:rFonts w:ascii="仿宋" w:hAnsi="仿宋" w:eastAsia="仿宋"/>
          <w:color w:val="000000" w:themeColor="text1"/>
          <w:kern w:val="0"/>
          <w:sz w:val="24"/>
          <w:szCs w:val="28"/>
          <w:highlight w:val="none"/>
          <w14:textFill>
            <w14:solidFill>
              <w14:schemeClr w14:val="tx1"/>
            </w14:solidFill>
          </w14:textFill>
        </w:rPr>
      </w:pPr>
    </w:p>
    <w:p>
      <w:pPr>
        <w:spacing w:line="360" w:lineRule="auto"/>
        <w:ind w:firstLine="1920" w:firstLineChars="800"/>
        <w:rPr>
          <w:rFonts w:hint="default"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供应商</w:t>
      </w:r>
      <w:r>
        <w:rPr>
          <w:rFonts w:eastAsia="仿宋_GB2312"/>
          <w:color w:val="000000" w:themeColor="text1"/>
          <w:sz w:val="24"/>
          <w14:textFill>
            <w14:solidFill>
              <w14:schemeClr w14:val="tx1"/>
            </w14:solidFill>
          </w14:textFill>
        </w:rPr>
        <w:t>（盖</w:t>
      </w:r>
      <w:r>
        <w:rPr>
          <w:rFonts w:hint="eastAsia" w:eastAsia="仿宋_GB2312"/>
          <w:color w:val="000000" w:themeColor="text1"/>
          <w:sz w:val="24"/>
          <w:lang w:val="en-US" w:eastAsia="zh-CN"/>
          <w14:textFill>
            <w14:solidFill>
              <w14:schemeClr w14:val="tx1"/>
            </w14:solidFill>
          </w14:textFill>
        </w:rPr>
        <w:t>公</w:t>
      </w:r>
      <w:r>
        <w:rPr>
          <w:rFonts w:eastAsia="仿宋_GB2312"/>
          <w:color w:val="000000" w:themeColor="text1"/>
          <w:sz w:val="24"/>
          <w14:textFill>
            <w14:solidFill>
              <w14:schemeClr w14:val="tx1"/>
            </w14:solidFill>
          </w14:textFill>
        </w:rPr>
        <w:t>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 xml:space="preserve">    </w:t>
      </w:r>
    </w:p>
    <w:p>
      <w:pPr>
        <w:spacing w:line="360" w:lineRule="auto"/>
        <w:ind w:firstLine="1920" w:firstLineChars="800"/>
        <w:rPr>
          <w:rFonts w:eastAsia="仿宋_GB2312"/>
          <w:color w:val="000000" w:themeColor="text1"/>
          <w:sz w:val="24"/>
          <w:u w:val="single"/>
          <w14:textFill>
            <w14:solidFill>
              <w14:schemeClr w14:val="tx1"/>
            </w14:solidFill>
          </w14:textFill>
        </w:rPr>
      </w:pPr>
      <w:r>
        <w:rPr>
          <w:rFonts w:eastAsia="仿宋_GB2312"/>
          <w:color w:val="000000" w:themeColor="text1"/>
          <w:sz w:val="24"/>
          <w14:textFill>
            <w14:solidFill>
              <w14:schemeClr w14:val="tx1"/>
            </w14:solidFill>
          </w14:textFill>
        </w:rPr>
        <w:t>法定代表人或授权代表（签字</w:t>
      </w:r>
      <w:r>
        <w:rPr>
          <w:rFonts w:hint="eastAsia" w:eastAsia="仿宋_GB2312"/>
          <w:color w:val="000000" w:themeColor="text1"/>
          <w:sz w:val="24"/>
          <w:lang w:val="en-US" w:eastAsia="zh-CN"/>
          <w14:textFill>
            <w14:solidFill>
              <w14:schemeClr w14:val="tx1"/>
            </w14:solidFill>
          </w14:textFill>
        </w:rPr>
        <w:t>或盖章</w:t>
      </w:r>
      <w:r>
        <w:rPr>
          <w:rFonts w:eastAsia="仿宋_GB2312"/>
          <w:color w:val="000000" w:themeColor="text1"/>
          <w:sz w:val="24"/>
          <w14:textFill>
            <w14:solidFill>
              <w14:schemeClr w14:val="tx1"/>
            </w14:solidFill>
          </w14:textFill>
        </w:rPr>
        <w:t>）：</w:t>
      </w:r>
      <w:r>
        <w:rPr>
          <w:rFonts w:eastAsia="仿宋_GB2312"/>
          <w:color w:val="000000" w:themeColor="text1"/>
          <w:sz w:val="24"/>
          <w:u w:val="single"/>
          <w14:textFill>
            <w14:solidFill>
              <w14:schemeClr w14:val="tx1"/>
            </w14:solidFill>
          </w14:textFill>
        </w:rPr>
        <w:t xml:space="preserve">         </w:t>
      </w:r>
    </w:p>
    <w:p>
      <w:pPr>
        <w:adjustRightInd w:val="0"/>
        <w:snapToGrid w:val="0"/>
        <w:spacing w:line="360" w:lineRule="auto"/>
        <w:ind w:left="-525" w:leftChars="-250" w:firstLine="2400" w:firstLineChars="1000"/>
        <w:rPr>
          <w:rFonts w:ascii="仿宋_GB2312" w:hAnsi="仿宋" w:eastAsia="仿宋_GB2312"/>
          <w:color w:val="000000" w:themeColor="text1"/>
          <w:sz w:val="24"/>
          <w:highlight w:val="none"/>
          <w14:textFill>
            <w14:solidFill>
              <w14:schemeClr w14:val="tx1"/>
            </w14:solidFill>
          </w14:textFill>
        </w:rPr>
      </w:pPr>
      <w:r>
        <w:rPr>
          <w:rFonts w:eastAsia="仿宋_GB2312"/>
          <w:color w:val="000000" w:themeColor="text1"/>
          <w:sz w:val="24"/>
          <w14:textFill>
            <w14:solidFill>
              <w14:schemeClr w14:val="tx1"/>
            </w14:solidFill>
          </w14:textFill>
        </w:rPr>
        <w:t>日    期：</w:t>
      </w:r>
      <w:r>
        <w:rPr>
          <w:rFonts w:eastAsia="仿宋_GB2312"/>
          <w:color w:val="000000" w:themeColor="text1"/>
          <w:sz w:val="32"/>
          <w:u w:val="single"/>
          <w14:textFill>
            <w14:solidFill>
              <w14:schemeClr w14:val="tx1"/>
            </w14:solidFill>
          </w14:textFill>
        </w:rPr>
        <w:t xml:space="preserve">  </w:t>
      </w:r>
    </w:p>
    <w:sectPr>
      <w:footerReference r:id="rId6" w:type="first"/>
      <w:footerReference r:id="rId5"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auto"/>
    <w:pitch w:val="default"/>
    <w:sig w:usb0="00000000" w:usb1="00000000" w:usb2="0000003F" w:usb3="00000000" w:csb0="003F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2000503000000020004"/>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MS Sans Serif">
    <w:altName w:val="Segoe Print"/>
    <w:panose1 w:val="00000000000000000000"/>
    <w:charset w:val="4D"/>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9215" cy="15875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69215" cy="15875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5pt;width:5.45pt;mso-position-horizontal:center;mso-position-horizontal-relative:margin;mso-wrap-style:none;z-index:251660288;mso-width-relative:page;mso-height-relative:page;" filled="f" stroked="f" coordsize="21600,21600" o:gfxdata="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7n429EAAAADAQAADwAAAAAAAAABACAAAAAiAAAAZHJzL2Rvd25yZXYueG1sUEsBAhQA&#10;FAAAAAgAh07iQL1/S/kyAgAAYgQAAA4AAAAAAAAAAQAgAAAAIAEAAGRycy9lMm9Eb2MueG1sUEsF&#10;BgAAAAAGAAYAWQEAAMQFA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E05848B"/>
    <w:multiLevelType w:val="singleLevel"/>
    <w:tmpl w:val="9E05848B"/>
    <w:lvl w:ilvl="0" w:tentative="0">
      <w:start w:val="1"/>
      <w:numFmt w:val="decimal"/>
      <w:suff w:val="nothing"/>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FA2D3D5B"/>
    <w:multiLevelType w:val="singleLevel"/>
    <w:tmpl w:val="FA2D3D5B"/>
    <w:lvl w:ilvl="0" w:tentative="0">
      <w:start w:val="30"/>
      <w:numFmt w:val="decimal"/>
      <w:suff w:val="space"/>
      <w:lvlText w:val="%1."/>
      <w:lvlJc w:val="left"/>
    </w:lvl>
  </w:abstractNum>
  <w:abstractNum w:abstractNumId="3">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1035497F"/>
    <w:multiLevelType w:val="singleLevel"/>
    <w:tmpl w:val="1035497F"/>
    <w:lvl w:ilvl="0" w:tentative="0">
      <w:start w:val="5"/>
      <w:numFmt w:val="decimal"/>
      <w:suff w:val="space"/>
      <w:lvlText w:val="%1."/>
      <w:lvlJc w:val="left"/>
    </w:lvl>
  </w:abstractNum>
  <w:abstractNum w:abstractNumId="8">
    <w:nsid w:val="104467FC"/>
    <w:multiLevelType w:val="singleLevel"/>
    <w:tmpl w:val="104467FC"/>
    <w:lvl w:ilvl="0" w:tentative="0">
      <w:start w:val="5"/>
      <w:numFmt w:val="chineseCounting"/>
      <w:suff w:val="space"/>
      <w:lvlText w:val="第%1章"/>
      <w:lvlJc w:val="left"/>
      <w:rPr>
        <w:rFonts w:hint="eastAsia"/>
      </w:rPr>
    </w:lvl>
  </w:abstractNum>
  <w:abstractNum w:abstractNumId="9">
    <w:nsid w:val="122E49C7"/>
    <w:multiLevelType w:val="singleLevel"/>
    <w:tmpl w:val="122E49C7"/>
    <w:lvl w:ilvl="0" w:tentative="0">
      <w:start w:val="1"/>
      <w:numFmt w:val="decimal"/>
      <w:lvlText w:val="%1."/>
      <w:lvlJc w:val="left"/>
      <w:pPr>
        <w:tabs>
          <w:tab w:val="left" w:pos="312"/>
        </w:tabs>
      </w:pPr>
    </w:lvl>
  </w:abstractNum>
  <w:abstractNum w:abstractNumId="10">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1">
    <w:nsid w:val="2B7A3E69"/>
    <w:multiLevelType w:val="singleLevel"/>
    <w:tmpl w:val="2B7A3E69"/>
    <w:lvl w:ilvl="0" w:tentative="0">
      <w:start w:val="1"/>
      <w:numFmt w:val="decimal"/>
      <w:suff w:val="nothing"/>
      <w:lvlText w:val="%1、"/>
      <w:lvlJc w:val="left"/>
    </w:lvl>
  </w:abstractNum>
  <w:abstractNum w:abstractNumId="12">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3">
    <w:nsid w:val="537AA372"/>
    <w:multiLevelType w:val="singleLevel"/>
    <w:tmpl w:val="537AA372"/>
    <w:lvl w:ilvl="0" w:tentative="0">
      <w:start w:val="21"/>
      <w:numFmt w:val="decimal"/>
      <w:suff w:val="space"/>
      <w:lvlText w:val="%1."/>
      <w:lvlJc w:val="left"/>
    </w:lvl>
  </w:abstractNum>
  <w:abstractNum w:abstractNumId="14">
    <w:nsid w:val="5AAB3475"/>
    <w:multiLevelType w:val="singleLevel"/>
    <w:tmpl w:val="5AAB3475"/>
    <w:lvl w:ilvl="0" w:tentative="0">
      <w:start w:val="1"/>
      <w:numFmt w:val="decimal"/>
      <w:lvlText w:val="%1."/>
      <w:lvlJc w:val="left"/>
      <w:pPr>
        <w:ind w:left="425" w:hanging="425"/>
      </w:pPr>
      <w:rPr>
        <w:rFonts w:hint="default"/>
      </w:rPr>
    </w:lvl>
  </w:abstractNum>
  <w:abstractNum w:abstractNumId="15">
    <w:nsid w:val="5AAB3487"/>
    <w:multiLevelType w:val="singleLevel"/>
    <w:tmpl w:val="5AAB3487"/>
    <w:lvl w:ilvl="0" w:tentative="0">
      <w:start w:val="1"/>
      <w:numFmt w:val="decimal"/>
      <w:lvlText w:val="%1)"/>
      <w:lvlJc w:val="left"/>
      <w:pPr>
        <w:ind w:left="567" w:hanging="425"/>
      </w:pPr>
      <w:rPr>
        <w:rFonts w:hint="default"/>
      </w:rPr>
    </w:lvl>
  </w:abstractNum>
  <w:abstractNum w:abstractNumId="16">
    <w:nsid w:val="624D1350"/>
    <w:multiLevelType w:val="singleLevel"/>
    <w:tmpl w:val="624D1350"/>
    <w:lvl w:ilvl="0" w:tentative="0">
      <w:start w:val="25"/>
      <w:numFmt w:val="decimal"/>
      <w:suff w:val="space"/>
      <w:lvlText w:val="%1."/>
      <w:lvlJc w:val="left"/>
    </w:lvl>
  </w:abstractNum>
  <w:abstractNum w:abstractNumId="17">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0">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7"/>
  </w:num>
  <w:num w:numId="4">
    <w:abstractNumId w:val="20"/>
  </w:num>
  <w:num w:numId="5">
    <w:abstractNumId w:val="7"/>
  </w:num>
  <w:num w:numId="6">
    <w:abstractNumId w:val="12"/>
  </w:num>
  <w:num w:numId="7">
    <w:abstractNumId w:val="1"/>
  </w:num>
  <w:num w:numId="8">
    <w:abstractNumId w:val="13"/>
  </w:num>
  <w:num w:numId="9">
    <w:abstractNumId w:val="16"/>
  </w:num>
  <w:num w:numId="10">
    <w:abstractNumId w:val="6"/>
  </w:num>
  <w:num w:numId="11">
    <w:abstractNumId w:val="2"/>
  </w:num>
  <w:num w:numId="12">
    <w:abstractNumId w:val="9"/>
  </w:num>
  <w:num w:numId="13">
    <w:abstractNumId w:val="14"/>
  </w:num>
  <w:num w:numId="14">
    <w:abstractNumId w:val="15"/>
  </w:num>
  <w:num w:numId="15">
    <w:abstractNumId w:val="11"/>
  </w:num>
  <w:num w:numId="16">
    <w:abstractNumId w:val="0"/>
  </w:num>
  <w:num w:numId="17">
    <w:abstractNumId w:val="8"/>
  </w:num>
  <w:num w:numId="18">
    <w:abstractNumId w:val="5"/>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NGM4ODg0YThkMTUyMWNiZWRkNWQyYTYwNmE2ZDEifQ=="/>
  </w:docVars>
  <w:rsids>
    <w:rsidRoot w:val="00172A27"/>
    <w:rsid w:val="00001110"/>
    <w:rsid w:val="00001AC7"/>
    <w:rsid w:val="000055AF"/>
    <w:rsid w:val="000072AF"/>
    <w:rsid w:val="000076EB"/>
    <w:rsid w:val="00010824"/>
    <w:rsid w:val="00011C69"/>
    <w:rsid w:val="00013DF7"/>
    <w:rsid w:val="00014F87"/>
    <w:rsid w:val="00017F4A"/>
    <w:rsid w:val="00021242"/>
    <w:rsid w:val="0002364E"/>
    <w:rsid w:val="00023724"/>
    <w:rsid w:val="00027D03"/>
    <w:rsid w:val="00030499"/>
    <w:rsid w:val="0003167F"/>
    <w:rsid w:val="000328B3"/>
    <w:rsid w:val="0003496D"/>
    <w:rsid w:val="00035C01"/>
    <w:rsid w:val="000360A4"/>
    <w:rsid w:val="000372E6"/>
    <w:rsid w:val="0004180D"/>
    <w:rsid w:val="000432ED"/>
    <w:rsid w:val="00043EA6"/>
    <w:rsid w:val="000449A9"/>
    <w:rsid w:val="00045B7C"/>
    <w:rsid w:val="000476B4"/>
    <w:rsid w:val="00047D64"/>
    <w:rsid w:val="00050A18"/>
    <w:rsid w:val="000510E7"/>
    <w:rsid w:val="00051DDB"/>
    <w:rsid w:val="000524DF"/>
    <w:rsid w:val="00053593"/>
    <w:rsid w:val="00056A34"/>
    <w:rsid w:val="0005768D"/>
    <w:rsid w:val="000577BB"/>
    <w:rsid w:val="0006065A"/>
    <w:rsid w:val="00060BDF"/>
    <w:rsid w:val="00063243"/>
    <w:rsid w:val="00065875"/>
    <w:rsid w:val="000739EC"/>
    <w:rsid w:val="00074145"/>
    <w:rsid w:val="000747B4"/>
    <w:rsid w:val="00074860"/>
    <w:rsid w:val="00075216"/>
    <w:rsid w:val="00076C6A"/>
    <w:rsid w:val="00077C46"/>
    <w:rsid w:val="00080190"/>
    <w:rsid w:val="00084C1F"/>
    <w:rsid w:val="0008642A"/>
    <w:rsid w:val="000864F6"/>
    <w:rsid w:val="00090E0B"/>
    <w:rsid w:val="0009166F"/>
    <w:rsid w:val="00091EC9"/>
    <w:rsid w:val="00092A1C"/>
    <w:rsid w:val="0009330A"/>
    <w:rsid w:val="0009361A"/>
    <w:rsid w:val="0009381E"/>
    <w:rsid w:val="00093935"/>
    <w:rsid w:val="00094B2B"/>
    <w:rsid w:val="0009799D"/>
    <w:rsid w:val="000A15A6"/>
    <w:rsid w:val="000A177B"/>
    <w:rsid w:val="000A2D28"/>
    <w:rsid w:val="000A3550"/>
    <w:rsid w:val="000A4FE6"/>
    <w:rsid w:val="000A6760"/>
    <w:rsid w:val="000A67E5"/>
    <w:rsid w:val="000B0582"/>
    <w:rsid w:val="000B2748"/>
    <w:rsid w:val="000B5CCC"/>
    <w:rsid w:val="000B6C32"/>
    <w:rsid w:val="000C135C"/>
    <w:rsid w:val="000C1701"/>
    <w:rsid w:val="000C2B76"/>
    <w:rsid w:val="000C3454"/>
    <w:rsid w:val="000C3906"/>
    <w:rsid w:val="000C5BB6"/>
    <w:rsid w:val="000C77A5"/>
    <w:rsid w:val="000C7CC0"/>
    <w:rsid w:val="000D231B"/>
    <w:rsid w:val="000D4A95"/>
    <w:rsid w:val="000D5491"/>
    <w:rsid w:val="000D561C"/>
    <w:rsid w:val="000D6BDC"/>
    <w:rsid w:val="000E103E"/>
    <w:rsid w:val="000E1212"/>
    <w:rsid w:val="000E2D1B"/>
    <w:rsid w:val="000E5101"/>
    <w:rsid w:val="000E638B"/>
    <w:rsid w:val="000F3A5B"/>
    <w:rsid w:val="000F407B"/>
    <w:rsid w:val="000F51CC"/>
    <w:rsid w:val="000F59DD"/>
    <w:rsid w:val="000F5BD7"/>
    <w:rsid w:val="000F6405"/>
    <w:rsid w:val="000F7755"/>
    <w:rsid w:val="00100B66"/>
    <w:rsid w:val="0010198E"/>
    <w:rsid w:val="001019AA"/>
    <w:rsid w:val="001020E7"/>
    <w:rsid w:val="001027AD"/>
    <w:rsid w:val="00106BC6"/>
    <w:rsid w:val="00111815"/>
    <w:rsid w:val="00111ABD"/>
    <w:rsid w:val="00112F6D"/>
    <w:rsid w:val="0011313B"/>
    <w:rsid w:val="00113203"/>
    <w:rsid w:val="00113CEF"/>
    <w:rsid w:val="001141AE"/>
    <w:rsid w:val="00114B7A"/>
    <w:rsid w:val="00122C74"/>
    <w:rsid w:val="00125BDA"/>
    <w:rsid w:val="0012603F"/>
    <w:rsid w:val="00130EAA"/>
    <w:rsid w:val="001313C1"/>
    <w:rsid w:val="00133536"/>
    <w:rsid w:val="00133E16"/>
    <w:rsid w:val="00134EE0"/>
    <w:rsid w:val="0013626A"/>
    <w:rsid w:val="00136E83"/>
    <w:rsid w:val="00141DE2"/>
    <w:rsid w:val="001446F3"/>
    <w:rsid w:val="00144BB5"/>
    <w:rsid w:val="00145200"/>
    <w:rsid w:val="00145E81"/>
    <w:rsid w:val="001500A1"/>
    <w:rsid w:val="0015108F"/>
    <w:rsid w:val="00151401"/>
    <w:rsid w:val="00151CF0"/>
    <w:rsid w:val="00152EE0"/>
    <w:rsid w:val="0015361A"/>
    <w:rsid w:val="00153D2A"/>
    <w:rsid w:val="001570A9"/>
    <w:rsid w:val="001618BA"/>
    <w:rsid w:val="00162B16"/>
    <w:rsid w:val="001633CE"/>
    <w:rsid w:val="00166273"/>
    <w:rsid w:val="00167244"/>
    <w:rsid w:val="00170001"/>
    <w:rsid w:val="00170E92"/>
    <w:rsid w:val="001722A6"/>
    <w:rsid w:val="00172A27"/>
    <w:rsid w:val="00173C23"/>
    <w:rsid w:val="0017426A"/>
    <w:rsid w:val="00175387"/>
    <w:rsid w:val="00175AAF"/>
    <w:rsid w:val="001776F7"/>
    <w:rsid w:val="00180C5B"/>
    <w:rsid w:val="00181E6F"/>
    <w:rsid w:val="00181EE1"/>
    <w:rsid w:val="00182781"/>
    <w:rsid w:val="00183796"/>
    <w:rsid w:val="00185079"/>
    <w:rsid w:val="001866E2"/>
    <w:rsid w:val="00186EFE"/>
    <w:rsid w:val="00187220"/>
    <w:rsid w:val="001933EC"/>
    <w:rsid w:val="00194AEF"/>
    <w:rsid w:val="001A31AB"/>
    <w:rsid w:val="001A4F5C"/>
    <w:rsid w:val="001A51CE"/>
    <w:rsid w:val="001A5571"/>
    <w:rsid w:val="001A5C4E"/>
    <w:rsid w:val="001B1FDC"/>
    <w:rsid w:val="001B2823"/>
    <w:rsid w:val="001B354A"/>
    <w:rsid w:val="001B3620"/>
    <w:rsid w:val="001B388E"/>
    <w:rsid w:val="001B3B0E"/>
    <w:rsid w:val="001B6D37"/>
    <w:rsid w:val="001B7144"/>
    <w:rsid w:val="001B7AB5"/>
    <w:rsid w:val="001C00A4"/>
    <w:rsid w:val="001C1032"/>
    <w:rsid w:val="001C180D"/>
    <w:rsid w:val="001C1BE7"/>
    <w:rsid w:val="001C1D1C"/>
    <w:rsid w:val="001C39F2"/>
    <w:rsid w:val="001C3B26"/>
    <w:rsid w:val="001C5AD4"/>
    <w:rsid w:val="001C5EF5"/>
    <w:rsid w:val="001C615A"/>
    <w:rsid w:val="001D05A5"/>
    <w:rsid w:val="001D0DA4"/>
    <w:rsid w:val="001D10C8"/>
    <w:rsid w:val="001D163A"/>
    <w:rsid w:val="001D2A59"/>
    <w:rsid w:val="001D3446"/>
    <w:rsid w:val="001D4132"/>
    <w:rsid w:val="001D5293"/>
    <w:rsid w:val="001D53A0"/>
    <w:rsid w:val="001D5FDA"/>
    <w:rsid w:val="001D67CA"/>
    <w:rsid w:val="001D7706"/>
    <w:rsid w:val="001E0BCB"/>
    <w:rsid w:val="001E0DE6"/>
    <w:rsid w:val="001E13CC"/>
    <w:rsid w:val="001E2FFE"/>
    <w:rsid w:val="001E440C"/>
    <w:rsid w:val="001E5ACA"/>
    <w:rsid w:val="001E6C18"/>
    <w:rsid w:val="001E6E32"/>
    <w:rsid w:val="001E731C"/>
    <w:rsid w:val="001F2C79"/>
    <w:rsid w:val="001F2DA3"/>
    <w:rsid w:val="001F642F"/>
    <w:rsid w:val="00200AA2"/>
    <w:rsid w:val="00202C65"/>
    <w:rsid w:val="0020378F"/>
    <w:rsid w:val="00210A41"/>
    <w:rsid w:val="00211BDA"/>
    <w:rsid w:val="002120A4"/>
    <w:rsid w:val="0021210E"/>
    <w:rsid w:val="0021263B"/>
    <w:rsid w:val="0021351E"/>
    <w:rsid w:val="00214BC9"/>
    <w:rsid w:val="00214DCA"/>
    <w:rsid w:val="002156D3"/>
    <w:rsid w:val="00220DD5"/>
    <w:rsid w:val="00222276"/>
    <w:rsid w:val="0022235A"/>
    <w:rsid w:val="00223BA1"/>
    <w:rsid w:val="00226F2E"/>
    <w:rsid w:val="0022779B"/>
    <w:rsid w:val="002311D7"/>
    <w:rsid w:val="002314C3"/>
    <w:rsid w:val="002324E9"/>
    <w:rsid w:val="002325CD"/>
    <w:rsid w:val="00234741"/>
    <w:rsid w:val="00236CF9"/>
    <w:rsid w:val="00237812"/>
    <w:rsid w:val="00237A6E"/>
    <w:rsid w:val="00240C69"/>
    <w:rsid w:val="0024262F"/>
    <w:rsid w:val="002432BB"/>
    <w:rsid w:val="0024646A"/>
    <w:rsid w:val="00246479"/>
    <w:rsid w:val="00247D31"/>
    <w:rsid w:val="002527EC"/>
    <w:rsid w:val="00253FB5"/>
    <w:rsid w:val="002545EC"/>
    <w:rsid w:val="0025655B"/>
    <w:rsid w:val="0026051F"/>
    <w:rsid w:val="00262E9E"/>
    <w:rsid w:val="00263F8B"/>
    <w:rsid w:val="0026552B"/>
    <w:rsid w:val="0026635E"/>
    <w:rsid w:val="002713C4"/>
    <w:rsid w:val="0027169F"/>
    <w:rsid w:val="0027314A"/>
    <w:rsid w:val="002732C6"/>
    <w:rsid w:val="00273A16"/>
    <w:rsid w:val="002756DF"/>
    <w:rsid w:val="00276156"/>
    <w:rsid w:val="0028153C"/>
    <w:rsid w:val="002817F5"/>
    <w:rsid w:val="00283343"/>
    <w:rsid w:val="002841C7"/>
    <w:rsid w:val="0028435C"/>
    <w:rsid w:val="002860EA"/>
    <w:rsid w:val="00290692"/>
    <w:rsid w:val="00290B93"/>
    <w:rsid w:val="00291920"/>
    <w:rsid w:val="00293DE8"/>
    <w:rsid w:val="0029438A"/>
    <w:rsid w:val="002944D7"/>
    <w:rsid w:val="00294F2B"/>
    <w:rsid w:val="00295546"/>
    <w:rsid w:val="002957B2"/>
    <w:rsid w:val="00295A6E"/>
    <w:rsid w:val="00295DE6"/>
    <w:rsid w:val="002978E5"/>
    <w:rsid w:val="002A0D21"/>
    <w:rsid w:val="002A36E0"/>
    <w:rsid w:val="002A59D8"/>
    <w:rsid w:val="002A5A2C"/>
    <w:rsid w:val="002A7A85"/>
    <w:rsid w:val="002B1655"/>
    <w:rsid w:val="002B1779"/>
    <w:rsid w:val="002B1CDB"/>
    <w:rsid w:val="002B20C3"/>
    <w:rsid w:val="002B2463"/>
    <w:rsid w:val="002B28F2"/>
    <w:rsid w:val="002B4680"/>
    <w:rsid w:val="002B46E7"/>
    <w:rsid w:val="002B4EAF"/>
    <w:rsid w:val="002B5A81"/>
    <w:rsid w:val="002B5F15"/>
    <w:rsid w:val="002B5FA1"/>
    <w:rsid w:val="002B636C"/>
    <w:rsid w:val="002B646E"/>
    <w:rsid w:val="002B68F2"/>
    <w:rsid w:val="002B7042"/>
    <w:rsid w:val="002C0C66"/>
    <w:rsid w:val="002C20D3"/>
    <w:rsid w:val="002C4263"/>
    <w:rsid w:val="002C4649"/>
    <w:rsid w:val="002C69EA"/>
    <w:rsid w:val="002D1DB2"/>
    <w:rsid w:val="002D224B"/>
    <w:rsid w:val="002D225D"/>
    <w:rsid w:val="002D4A13"/>
    <w:rsid w:val="002E21A3"/>
    <w:rsid w:val="002E321E"/>
    <w:rsid w:val="002E32E8"/>
    <w:rsid w:val="002E3E22"/>
    <w:rsid w:val="002E5A17"/>
    <w:rsid w:val="002E601A"/>
    <w:rsid w:val="002E743F"/>
    <w:rsid w:val="002E75BB"/>
    <w:rsid w:val="002E7D16"/>
    <w:rsid w:val="002E7FFE"/>
    <w:rsid w:val="002F1770"/>
    <w:rsid w:val="002F2F49"/>
    <w:rsid w:val="002F2FB6"/>
    <w:rsid w:val="002F2FF5"/>
    <w:rsid w:val="002F5381"/>
    <w:rsid w:val="002F5F72"/>
    <w:rsid w:val="002F6596"/>
    <w:rsid w:val="002F6981"/>
    <w:rsid w:val="002F71D4"/>
    <w:rsid w:val="00300AB2"/>
    <w:rsid w:val="00300D52"/>
    <w:rsid w:val="003035B9"/>
    <w:rsid w:val="00304929"/>
    <w:rsid w:val="00310940"/>
    <w:rsid w:val="00310A20"/>
    <w:rsid w:val="003121FE"/>
    <w:rsid w:val="00312409"/>
    <w:rsid w:val="00315524"/>
    <w:rsid w:val="00320367"/>
    <w:rsid w:val="00320526"/>
    <w:rsid w:val="00323504"/>
    <w:rsid w:val="003246B0"/>
    <w:rsid w:val="00326D08"/>
    <w:rsid w:val="00327A2E"/>
    <w:rsid w:val="00330018"/>
    <w:rsid w:val="00332853"/>
    <w:rsid w:val="00334EF7"/>
    <w:rsid w:val="00336EA1"/>
    <w:rsid w:val="00337278"/>
    <w:rsid w:val="00337F09"/>
    <w:rsid w:val="003433A9"/>
    <w:rsid w:val="00347DEF"/>
    <w:rsid w:val="00350441"/>
    <w:rsid w:val="00353217"/>
    <w:rsid w:val="00353E67"/>
    <w:rsid w:val="00354C40"/>
    <w:rsid w:val="00355455"/>
    <w:rsid w:val="00355C44"/>
    <w:rsid w:val="00362730"/>
    <w:rsid w:val="00363273"/>
    <w:rsid w:val="0036643F"/>
    <w:rsid w:val="00367444"/>
    <w:rsid w:val="003703B4"/>
    <w:rsid w:val="00370C5B"/>
    <w:rsid w:val="00370E9B"/>
    <w:rsid w:val="00371A76"/>
    <w:rsid w:val="00371D28"/>
    <w:rsid w:val="0037250B"/>
    <w:rsid w:val="00372793"/>
    <w:rsid w:val="00373E63"/>
    <w:rsid w:val="00374526"/>
    <w:rsid w:val="0037458F"/>
    <w:rsid w:val="00377572"/>
    <w:rsid w:val="003778AA"/>
    <w:rsid w:val="003803CD"/>
    <w:rsid w:val="003816EF"/>
    <w:rsid w:val="003816F4"/>
    <w:rsid w:val="00383DEC"/>
    <w:rsid w:val="00384AF9"/>
    <w:rsid w:val="0038577F"/>
    <w:rsid w:val="00386117"/>
    <w:rsid w:val="00387598"/>
    <w:rsid w:val="00387748"/>
    <w:rsid w:val="0039011E"/>
    <w:rsid w:val="00391BC4"/>
    <w:rsid w:val="0039352B"/>
    <w:rsid w:val="00394350"/>
    <w:rsid w:val="00394484"/>
    <w:rsid w:val="00395AC1"/>
    <w:rsid w:val="003970A9"/>
    <w:rsid w:val="00397486"/>
    <w:rsid w:val="003A02D7"/>
    <w:rsid w:val="003A0A59"/>
    <w:rsid w:val="003A1EE5"/>
    <w:rsid w:val="003A6E03"/>
    <w:rsid w:val="003A71B7"/>
    <w:rsid w:val="003B0628"/>
    <w:rsid w:val="003B0955"/>
    <w:rsid w:val="003B62D2"/>
    <w:rsid w:val="003C1B37"/>
    <w:rsid w:val="003C2245"/>
    <w:rsid w:val="003C22A5"/>
    <w:rsid w:val="003C507C"/>
    <w:rsid w:val="003C5F20"/>
    <w:rsid w:val="003D08D2"/>
    <w:rsid w:val="003D1432"/>
    <w:rsid w:val="003D378B"/>
    <w:rsid w:val="003D3B58"/>
    <w:rsid w:val="003D626A"/>
    <w:rsid w:val="003D6CC0"/>
    <w:rsid w:val="003D6F83"/>
    <w:rsid w:val="003E0455"/>
    <w:rsid w:val="003E0C8B"/>
    <w:rsid w:val="003E4BD6"/>
    <w:rsid w:val="003E5669"/>
    <w:rsid w:val="003E6091"/>
    <w:rsid w:val="003E6268"/>
    <w:rsid w:val="003E7192"/>
    <w:rsid w:val="003F01B8"/>
    <w:rsid w:val="003F0ADB"/>
    <w:rsid w:val="003F1C2E"/>
    <w:rsid w:val="003F1C98"/>
    <w:rsid w:val="004004B6"/>
    <w:rsid w:val="00400609"/>
    <w:rsid w:val="0040218C"/>
    <w:rsid w:val="00402745"/>
    <w:rsid w:val="0040289E"/>
    <w:rsid w:val="004035B3"/>
    <w:rsid w:val="00403B79"/>
    <w:rsid w:val="004062D6"/>
    <w:rsid w:val="00410849"/>
    <w:rsid w:val="00411245"/>
    <w:rsid w:val="00413D54"/>
    <w:rsid w:val="00415B55"/>
    <w:rsid w:val="004209A1"/>
    <w:rsid w:val="00421C0B"/>
    <w:rsid w:val="00422470"/>
    <w:rsid w:val="004247BB"/>
    <w:rsid w:val="00424FDA"/>
    <w:rsid w:val="00424FED"/>
    <w:rsid w:val="00425851"/>
    <w:rsid w:val="00425E9F"/>
    <w:rsid w:val="004263D5"/>
    <w:rsid w:val="00427494"/>
    <w:rsid w:val="0043286E"/>
    <w:rsid w:val="00434F69"/>
    <w:rsid w:val="0043573A"/>
    <w:rsid w:val="004368EF"/>
    <w:rsid w:val="004379E4"/>
    <w:rsid w:val="00441E37"/>
    <w:rsid w:val="0044230D"/>
    <w:rsid w:val="00442A84"/>
    <w:rsid w:val="00443C15"/>
    <w:rsid w:val="00447DE2"/>
    <w:rsid w:val="0045358D"/>
    <w:rsid w:val="00453B79"/>
    <w:rsid w:val="004548C7"/>
    <w:rsid w:val="0045688F"/>
    <w:rsid w:val="00457CD2"/>
    <w:rsid w:val="00465B46"/>
    <w:rsid w:val="00467B48"/>
    <w:rsid w:val="00472CDC"/>
    <w:rsid w:val="004741D7"/>
    <w:rsid w:val="00474CB9"/>
    <w:rsid w:val="00475711"/>
    <w:rsid w:val="00476DB9"/>
    <w:rsid w:val="00484FBF"/>
    <w:rsid w:val="0048746D"/>
    <w:rsid w:val="00487C45"/>
    <w:rsid w:val="00491365"/>
    <w:rsid w:val="00492106"/>
    <w:rsid w:val="00492701"/>
    <w:rsid w:val="00492C63"/>
    <w:rsid w:val="00494A82"/>
    <w:rsid w:val="00496238"/>
    <w:rsid w:val="004975CC"/>
    <w:rsid w:val="004A0A68"/>
    <w:rsid w:val="004A1741"/>
    <w:rsid w:val="004A4BC1"/>
    <w:rsid w:val="004A6CB2"/>
    <w:rsid w:val="004A6FFB"/>
    <w:rsid w:val="004A7F99"/>
    <w:rsid w:val="004B012C"/>
    <w:rsid w:val="004B4658"/>
    <w:rsid w:val="004B498E"/>
    <w:rsid w:val="004B620D"/>
    <w:rsid w:val="004B631E"/>
    <w:rsid w:val="004C24F4"/>
    <w:rsid w:val="004C27FA"/>
    <w:rsid w:val="004C2993"/>
    <w:rsid w:val="004C3442"/>
    <w:rsid w:val="004C6D73"/>
    <w:rsid w:val="004C774E"/>
    <w:rsid w:val="004D0CD0"/>
    <w:rsid w:val="004D1511"/>
    <w:rsid w:val="004D300C"/>
    <w:rsid w:val="004D3533"/>
    <w:rsid w:val="004D3A80"/>
    <w:rsid w:val="004D5228"/>
    <w:rsid w:val="004D5F2F"/>
    <w:rsid w:val="004D70A5"/>
    <w:rsid w:val="004D7288"/>
    <w:rsid w:val="004E0461"/>
    <w:rsid w:val="004E069A"/>
    <w:rsid w:val="004E3014"/>
    <w:rsid w:val="004E3536"/>
    <w:rsid w:val="004E387D"/>
    <w:rsid w:val="004F4800"/>
    <w:rsid w:val="004F4B90"/>
    <w:rsid w:val="00500014"/>
    <w:rsid w:val="0050046A"/>
    <w:rsid w:val="00504579"/>
    <w:rsid w:val="0050469C"/>
    <w:rsid w:val="00504CF4"/>
    <w:rsid w:val="00504DD9"/>
    <w:rsid w:val="00505D0E"/>
    <w:rsid w:val="00507308"/>
    <w:rsid w:val="005118AC"/>
    <w:rsid w:val="005120B4"/>
    <w:rsid w:val="0051594D"/>
    <w:rsid w:val="00520A9F"/>
    <w:rsid w:val="00521994"/>
    <w:rsid w:val="00521A26"/>
    <w:rsid w:val="00525DD8"/>
    <w:rsid w:val="0052717C"/>
    <w:rsid w:val="00530A1B"/>
    <w:rsid w:val="00531619"/>
    <w:rsid w:val="005319B8"/>
    <w:rsid w:val="00532551"/>
    <w:rsid w:val="00533DBA"/>
    <w:rsid w:val="005349DD"/>
    <w:rsid w:val="005419CB"/>
    <w:rsid w:val="0054252E"/>
    <w:rsid w:val="005426D8"/>
    <w:rsid w:val="00543323"/>
    <w:rsid w:val="00550090"/>
    <w:rsid w:val="00553079"/>
    <w:rsid w:val="00553423"/>
    <w:rsid w:val="00557FDE"/>
    <w:rsid w:val="00560D7B"/>
    <w:rsid w:val="00562743"/>
    <w:rsid w:val="00562C82"/>
    <w:rsid w:val="00562E5E"/>
    <w:rsid w:val="00563257"/>
    <w:rsid w:val="00566396"/>
    <w:rsid w:val="0057296E"/>
    <w:rsid w:val="00572DA7"/>
    <w:rsid w:val="00573153"/>
    <w:rsid w:val="00573C62"/>
    <w:rsid w:val="00574517"/>
    <w:rsid w:val="005745B3"/>
    <w:rsid w:val="0057547C"/>
    <w:rsid w:val="00575EB0"/>
    <w:rsid w:val="00583D96"/>
    <w:rsid w:val="00591755"/>
    <w:rsid w:val="00592793"/>
    <w:rsid w:val="00593D06"/>
    <w:rsid w:val="005949FE"/>
    <w:rsid w:val="00594BFB"/>
    <w:rsid w:val="005A1CCD"/>
    <w:rsid w:val="005A3176"/>
    <w:rsid w:val="005A3911"/>
    <w:rsid w:val="005A6130"/>
    <w:rsid w:val="005A61AF"/>
    <w:rsid w:val="005A6825"/>
    <w:rsid w:val="005A75CF"/>
    <w:rsid w:val="005B0196"/>
    <w:rsid w:val="005B0EE1"/>
    <w:rsid w:val="005B2D6E"/>
    <w:rsid w:val="005B356C"/>
    <w:rsid w:val="005B38C4"/>
    <w:rsid w:val="005B4441"/>
    <w:rsid w:val="005B4961"/>
    <w:rsid w:val="005B4C20"/>
    <w:rsid w:val="005B4E2F"/>
    <w:rsid w:val="005B6488"/>
    <w:rsid w:val="005B78A7"/>
    <w:rsid w:val="005C1347"/>
    <w:rsid w:val="005C154E"/>
    <w:rsid w:val="005C2FC9"/>
    <w:rsid w:val="005C32D0"/>
    <w:rsid w:val="005C602F"/>
    <w:rsid w:val="005C75CD"/>
    <w:rsid w:val="005D0DAD"/>
    <w:rsid w:val="005D3236"/>
    <w:rsid w:val="005D3496"/>
    <w:rsid w:val="005D3919"/>
    <w:rsid w:val="005D391F"/>
    <w:rsid w:val="005D4608"/>
    <w:rsid w:val="005D5413"/>
    <w:rsid w:val="005D5C6A"/>
    <w:rsid w:val="005D626C"/>
    <w:rsid w:val="005D62BE"/>
    <w:rsid w:val="005E0CC3"/>
    <w:rsid w:val="005E226F"/>
    <w:rsid w:val="005E3117"/>
    <w:rsid w:val="005E62A2"/>
    <w:rsid w:val="005E725B"/>
    <w:rsid w:val="005F057D"/>
    <w:rsid w:val="005F0FEA"/>
    <w:rsid w:val="005F17FB"/>
    <w:rsid w:val="005F1F5C"/>
    <w:rsid w:val="005F2153"/>
    <w:rsid w:val="005F4423"/>
    <w:rsid w:val="005F5D8C"/>
    <w:rsid w:val="005F5F4A"/>
    <w:rsid w:val="005F65DF"/>
    <w:rsid w:val="005F7683"/>
    <w:rsid w:val="0060003E"/>
    <w:rsid w:val="006010EE"/>
    <w:rsid w:val="00607F1D"/>
    <w:rsid w:val="00610176"/>
    <w:rsid w:val="00612CE2"/>
    <w:rsid w:val="00614CFC"/>
    <w:rsid w:val="00615A94"/>
    <w:rsid w:val="00616FCA"/>
    <w:rsid w:val="006274D0"/>
    <w:rsid w:val="0062765A"/>
    <w:rsid w:val="0063060A"/>
    <w:rsid w:val="00630C07"/>
    <w:rsid w:val="00630C0C"/>
    <w:rsid w:val="00641A7B"/>
    <w:rsid w:val="0064266B"/>
    <w:rsid w:val="00643553"/>
    <w:rsid w:val="00643A78"/>
    <w:rsid w:val="00643C14"/>
    <w:rsid w:val="006449AD"/>
    <w:rsid w:val="00650604"/>
    <w:rsid w:val="00651B51"/>
    <w:rsid w:val="0065448D"/>
    <w:rsid w:val="006561CA"/>
    <w:rsid w:val="0065724B"/>
    <w:rsid w:val="00660AD9"/>
    <w:rsid w:val="00661C43"/>
    <w:rsid w:val="00662BF5"/>
    <w:rsid w:val="0066575C"/>
    <w:rsid w:val="00666211"/>
    <w:rsid w:val="006669F7"/>
    <w:rsid w:val="00670409"/>
    <w:rsid w:val="00673717"/>
    <w:rsid w:val="0067503A"/>
    <w:rsid w:val="00675BB2"/>
    <w:rsid w:val="006760B5"/>
    <w:rsid w:val="00682569"/>
    <w:rsid w:val="00682CB2"/>
    <w:rsid w:val="00684CC0"/>
    <w:rsid w:val="00685847"/>
    <w:rsid w:val="006859E8"/>
    <w:rsid w:val="006901CC"/>
    <w:rsid w:val="00691990"/>
    <w:rsid w:val="00692401"/>
    <w:rsid w:val="00692FF0"/>
    <w:rsid w:val="00694AD5"/>
    <w:rsid w:val="00697B37"/>
    <w:rsid w:val="006A07EC"/>
    <w:rsid w:val="006A1B07"/>
    <w:rsid w:val="006A29CE"/>
    <w:rsid w:val="006A414E"/>
    <w:rsid w:val="006A5F7C"/>
    <w:rsid w:val="006A6858"/>
    <w:rsid w:val="006A7003"/>
    <w:rsid w:val="006B00F6"/>
    <w:rsid w:val="006B2641"/>
    <w:rsid w:val="006B39B1"/>
    <w:rsid w:val="006B46BC"/>
    <w:rsid w:val="006C0A08"/>
    <w:rsid w:val="006C0DD3"/>
    <w:rsid w:val="006C0EC8"/>
    <w:rsid w:val="006C18EC"/>
    <w:rsid w:val="006C20DF"/>
    <w:rsid w:val="006C2D2C"/>
    <w:rsid w:val="006C2E89"/>
    <w:rsid w:val="006C3F78"/>
    <w:rsid w:val="006C6120"/>
    <w:rsid w:val="006C7B42"/>
    <w:rsid w:val="006C7DB2"/>
    <w:rsid w:val="006D02B6"/>
    <w:rsid w:val="006D063F"/>
    <w:rsid w:val="006D113B"/>
    <w:rsid w:val="006D2517"/>
    <w:rsid w:val="006D4E50"/>
    <w:rsid w:val="006D5FD5"/>
    <w:rsid w:val="006D6999"/>
    <w:rsid w:val="006E165D"/>
    <w:rsid w:val="006E1A6B"/>
    <w:rsid w:val="006E39E3"/>
    <w:rsid w:val="006E435E"/>
    <w:rsid w:val="006E4B98"/>
    <w:rsid w:val="006E4E35"/>
    <w:rsid w:val="006E5B04"/>
    <w:rsid w:val="006E6E80"/>
    <w:rsid w:val="006E6FAC"/>
    <w:rsid w:val="006F025E"/>
    <w:rsid w:val="006F0986"/>
    <w:rsid w:val="006F105E"/>
    <w:rsid w:val="006F1B11"/>
    <w:rsid w:val="006F1CCF"/>
    <w:rsid w:val="006F1E2E"/>
    <w:rsid w:val="006F2FCD"/>
    <w:rsid w:val="006F38F8"/>
    <w:rsid w:val="006F67DC"/>
    <w:rsid w:val="006F70E2"/>
    <w:rsid w:val="006F72F9"/>
    <w:rsid w:val="006F7A12"/>
    <w:rsid w:val="006F7DCD"/>
    <w:rsid w:val="0070043D"/>
    <w:rsid w:val="00701B6A"/>
    <w:rsid w:val="00701DDD"/>
    <w:rsid w:val="00705212"/>
    <w:rsid w:val="00706691"/>
    <w:rsid w:val="007079A5"/>
    <w:rsid w:val="007108A1"/>
    <w:rsid w:val="007109F6"/>
    <w:rsid w:val="00710D63"/>
    <w:rsid w:val="00711AAB"/>
    <w:rsid w:val="00711EA4"/>
    <w:rsid w:val="00713932"/>
    <w:rsid w:val="007145A0"/>
    <w:rsid w:val="0071693E"/>
    <w:rsid w:val="00716957"/>
    <w:rsid w:val="00720269"/>
    <w:rsid w:val="007219AF"/>
    <w:rsid w:val="007222DC"/>
    <w:rsid w:val="007247E7"/>
    <w:rsid w:val="007249D9"/>
    <w:rsid w:val="00724A04"/>
    <w:rsid w:val="00724A63"/>
    <w:rsid w:val="00725F2B"/>
    <w:rsid w:val="007301C3"/>
    <w:rsid w:val="00732C35"/>
    <w:rsid w:val="00735AA2"/>
    <w:rsid w:val="00735EA4"/>
    <w:rsid w:val="00736197"/>
    <w:rsid w:val="00736388"/>
    <w:rsid w:val="00740059"/>
    <w:rsid w:val="00740FB3"/>
    <w:rsid w:val="007415A5"/>
    <w:rsid w:val="00741789"/>
    <w:rsid w:val="007420E0"/>
    <w:rsid w:val="00744A89"/>
    <w:rsid w:val="00745687"/>
    <w:rsid w:val="00746930"/>
    <w:rsid w:val="00746F9C"/>
    <w:rsid w:val="00747505"/>
    <w:rsid w:val="00747962"/>
    <w:rsid w:val="0075070D"/>
    <w:rsid w:val="00751324"/>
    <w:rsid w:val="00751DE3"/>
    <w:rsid w:val="00752C78"/>
    <w:rsid w:val="00752FBF"/>
    <w:rsid w:val="00755F58"/>
    <w:rsid w:val="00757A38"/>
    <w:rsid w:val="007603C6"/>
    <w:rsid w:val="0076093F"/>
    <w:rsid w:val="007614C2"/>
    <w:rsid w:val="00761B2E"/>
    <w:rsid w:val="00761BF1"/>
    <w:rsid w:val="00762641"/>
    <w:rsid w:val="00766ECF"/>
    <w:rsid w:val="00767EB5"/>
    <w:rsid w:val="00770467"/>
    <w:rsid w:val="00770A05"/>
    <w:rsid w:val="0077123A"/>
    <w:rsid w:val="00772B56"/>
    <w:rsid w:val="0077391F"/>
    <w:rsid w:val="0077421E"/>
    <w:rsid w:val="00774735"/>
    <w:rsid w:val="00777AD6"/>
    <w:rsid w:val="00777B7F"/>
    <w:rsid w:val="00777E0C"/>
    <w:rsid w:val="0078099C"/>
    <w:rsid w:val="00781479"/>
    <w:rsid w:val="007820A4"/>
    <w:rsid w:val="007847E9"/>
    <w:rsid w:val="00787F49"/>
    <w:rsid w:val="00790A08"/>
    <w:rsid w:val="007925D2"/>
    <w:rsid w:val="00795103"/>
    <w:rsid w:val="007971F8"/>
    <w:rsid w:val="00797C0F"/>
    <w:rsid w:val="007A030D"/>
    <w:rsid w:val="007A2788"/>
    <w:rsid w:val="007A471A"/>
    <w:rsid w:val="007A5078"/>
    <w:rsid w:val="007A5A29"/>
    <w:rsid w:val="007A5B87"/>
    <w:rsid w:val="007B0C73"/>
    <w:rsid w:val="007B24DD"/>
    <w:rsid w:val="007B3285"/>
    <w:rsid w:val="007B33D3"/>
    <w:rsid w:val="007B5519"/>
    <w:rsid w:val="007B5BCA"/>
    <w:rsid w:val="007B614F"/>
    <w:rsid w:val="007B61AB"/>
    <w:rsid w:val="007C053F"/>
    <w:rsid w:val="007C16E3"/>
    <w:rsid w:val="007C1F58"/>
    <w:rsid w:val="007C4C08"/>
    <w:rsid w:val="007C5CA5"/>
    <w:rsid w:val="007C6A3F"/>
    <w:rsid w:val="007D0212"/>
    <w:rsid w:val="007D1911"/>
    <w:rsid w:val="007D2F26"/>
    <w:rsid w:val="007D47D5"/>
    <w:rsid w:val="007E070E"/>
    <w:rsid w:val="007E1E5B"/>
    <w:rsid w:val="007E4418"/>
    <w:rsid w:val="007E59D1"/>
    <w:rsid w:val="007E5F14"/>
    <w:rsid w:val="007E5F7F"/>
    <w:rsid w:val="007E607F"/>
    <w:rsid w:val="007E71F5"/>
    <w:rsid w:val="007E73B0"/>
    <w:rsid w:val="007F13A6"/>
    <w:rsid w:val="007F2B9D"/>
    <w:rsid w:val="007F39B9"/>
    <w:rsid w:val="007F4D32"/>
    <w:rsid w:val="007F5A14"/>
    <w:rsid w:val="007F5D1A"/>
    <w:rsid w:val="007F5F6D"/>
    <w:rsid w:val="00800F1C"/>
    <w:rsid w:val="00801DEF"/>
    <w:rsid w:val="0080217E"/>
    <w:rsid w:val="00802AC3"/>
    <w:rsid w:val="00803051"/>
    <w:rsid w:val="008031F1"/>
    <w:rsid w:val="00803F90"/>
    <w:rsid w:val="00804A4E"/>
    <w:rsid w:val="00804BDD"/>
    <w:rsid w:val="0080748A"/>
    <w:rsid w:val="008074F4"/>
    <w:rsid w:val="00807872"/>
    <w:rsid w:val="00816611"/>
    <w:rsid w:val="008168F4"/>
    <w:rsid w:val="00817CCC"/>
    <w:rsid w:val="00820B15"/>
    <w:rsid w:val="0082120C"/>
    <w:rsid w:val="0082170F"/>
    <w:rsid w:val="00824CB8"/>
    <w:rsid w:val="00825EC8"/>
    <w:rsid w:val="00826B74"/>
    <w:rsid w:val="00826BAF"/>
    <w:rsid w:val="00830738"/>
    <w:rsid w:val="00831006"/>
    <w:rsid w:val="00833C15"/>
    <w:rsid w:val="00833F3B"/>
    <w:rsid w:val="008357E9"/>
    <w:rsid w:val="00836A02"/>
    <w:rsid w:val="00837145"/>
    <w:rsid w:val="008373BB"/>
    <w:rsid w:val="0084551C"/>
    <w:rsid w:val="00845769"/>
    <w:rsid w:val="0084595F"/>
    <w:rsid w:val="00845D3B"/>
    <w:rsid w:val="00852537"/>
    <w:rsid w:val="00854F85"/>
    <w:rsid w:val="00855B04"/>
    <w:rsid w:val="00856330"/>
    <w:rsid w:val="0085741F"/>
    <w:rsid w:val="00865051"/>
    <w:rsid w:val="00865539"/>
    <w:rsid w:val="00867C65"/>
    <w:rsid w:val="00872B82"/>
    <w:rsid w:val="00873A4D"/>
    <w:rsid w:val="00874426"/>
    <w:rsid w:val="00875C6E"/>
    <w:rsid w:val="00875CAA"/>
    <w:rsid w:val="008761AB"/>
    <w:rsid w:val="00881621"/>
    <w:rsid w:val="00882667"/>
    <w:rsid w:val="00884A56"/>
    <w:rsid w:val="008855E4"/>
    <w:rsid w:val="008861AE"/>
    <w:rsid w:val="008861EE"/>
    <w:rsid w:val="00886814"/>
    <w:rsid w:val="00887083"/>
    <w:rsid w:val="00891A8E"/>
    <w:rsid w:val="0089296B"/>
    <w:rsid w:val="00894CBE"/>
    <w:rsid w:val="00895E99"/>
    <w:rsid w:val="008A19C5"/>
    <w:rsid w:val="008A2E06"/>
    <w:rsid w:val="008A594E"/>
    <w:rsid w:val="008B16D4"/>
    <w:rsid w:val="008B394E"/>
    <w:rsid w:val="008B4671"/>
    <w:rsid w:val="008B5C32"/>
    <w:rsid w:val="008B7120"/>
    <w:rsid w:val="008B7216"/>
    <w:rsid w:val="008B7980"/>
    <w:rsid w:val="008C000B"/>
    <w:rsid w:val="008C3554"/>
    <w:rsid w:val="008C3D44"/>
    <w:rsid w:val="008C40C7"/>
    <w:rsid w:val="008C4E5C"/>
    <w:rsid w:val="008C50AD"/>
    <w:rsid w:val="008C633E"/>
    <w:rsid w:val="008C78E3"/>
    <w:rsid w:val="008D4439"/>
    <w:rsid w:val="008D47E6"/>
    <w:rsid w:val="008D618D"/>
    <w:rsid w:val="008E1587"/>
    <w:rsid w:val="008E44CC"/>
    <w:rsid w:val="008E4C95"/>
    <w:rsid w:val="008E64B8"/>
    <w:rsid w:val="008E7F4C"/>
    <w:rsid w:val="008F12E0"/>
    <w:rsid w:val="008F2A45"/>
    <w:rsid w:val="008F42F1"/>
    <w:rsid w:val="008F4D98"/>
    <w:rsid w:val="008F5002"/>
    <w:rsid w:val="008F5042"/>
    <w:rsid w:val="008F594F"/>
    <w:rsid w:val="008F64A1"/>
    <w:rsid w:val="00902DE7"/>
    <w:rsid w:val="0090436B"/>
    <w:rsid w:val="00904AE8"/>
    <w:rsid w:val="0091024B"/>
    <w:rsid w:val="0091049B"/>
    <w:rsid w:val="00912229"/>
    <w:rsid w:val="00915DD7"/>
    <w:rsid w:val="00915E8C"/>
    <w:rsid w:val="00920607"/>
    <w:rsid w:val="00921008"/>
    <w:rsid w:val="00921B25"/>
    <w:rsid w:val="00921EB2"/>
    <w:rsid w:val="009224A5"/>
    <w:rsid w:val="00923806"/>
    <w:rsid w:val="009238F5"/>
    <w:rsid w:val="00926474"/>
    <w:rsid w:val="0092714C"/>
    <w:rsid w:val="009271E2"/>
    <w:rsid w:val="009312FA"/>
    <w:rsid w:val="0093138B"/>
    <w:rsid w:val="00931585"/>
    <w:rsid w:val="009326DF"/>
    <w:rsid w:val="0093690A"/>
    <w:rsid w:val="00940098"/>
    <w:rsid w:val="0094157C"/>
    <w:rsid w:val="00945555"/>
    <w:rsid w:val="00946453"/>
    <w:rsid w:val="009523E8"/>
    <w:rsid w:val="00953730"/>
    <w:rsid w:val="0095414E"/>
    <w:rsid w:val="00954420"/>
    <w:rsid w:val="00956B4D"/>
    <w:rsid w:val="00957118"/>
    <w:rsid w:val="00961697"/>
    <w:rsid w:val="009633A0"/>
    <w:rsid w:val="00963818"/>
    <w:rsid w:val="009664CC"/>
    <w:rsid w:val="00966507"/>
    <w:rsid w:val="00966C4E"/>
    <w:rsid w:val="00967743"/>
    <w:rsid w:val="00972AD9"/>
    <w:rsid w:val="00972D74"/>
    <w:rsid w:val="0097394C"/>
    <w:rsid w:val="009743D6"/>
    <w:rsid w:val="009762D4"/>
    <w:rsid w:val="00976333"/>
    <w:rsid w:val="00976425"/>
    <w:rsid w:val="009807BC"/>
    <w:rsid w:val="009808B4"/>
    <w:rsid w:val="00980CEA"/>
    <w:rsid w:val="009810AA"/>
    <w:rsid w:val="00983287"/>
    <w:rsid w:val="00984E79"/>
    <w:rsid w:val="00985D63"/>
    <w:rsid w:val="009864F9"/>
    <w:rsid w:val="00987268"/>
    <w:rsid w:val="009876D6"/>
    <w:rsid w:val="0099054D"/>
    <w:rsid w:val="009913DE"/>
    <w:rsid w:val="00991DA2"/>
    <w:rsid w:val="00992349"/>
    <w:rsid w:val="00992A39"/>
    <w:rsid w:val="00992AA1"/>
    <w:rsid w:val="00994A20"/>
    <w:rsid w:val="009954FA"/>
    <w:rsid w:val="0099572B"/>
    <w:rsid w:val="00995DB1"/>
    <w:rsid w:val="009963C8"/>
    <w:rsid w:val="00996A16"/>
    <w:rsid w:val="00996ADE"/>
    <w:rsid w:val="009A00B0"/>
    <w:rsid w:val="009A0F61"/>
    <w:rsid w:val="009A10A6"/>
    <w:rsid w:val="009A5F8B"/>
    <w:rsid w:val="009B1DDA"/>
    <w:rsid w:val="009B42B8"/>
    <w:rsid w:val="009B5AAB"/>
    <w:rsid w:val="009B5D0A"/>
    <w:rsid w:val="009B5E2B"/>
    <w:rsid w:val="009B633E"/>
    <w:rsid w:val="009C08A6"/>
    <w:rsid w:val="009C0994"/>
    <w:rsid w:val="009C2B6B"/>
    <w:rsid w:val="009C3148"/>
    <w:rsid w:val="009C339F"/>
    <w:rsid w:val="009C33BA"/>
    <w:rsid w:val="009C401D"/>
    <w:rsid w:val="009C596D"/>
    <w:rsid w:val="009C6073"/>
    <w:rsid w:val="009C6D0E"/>
    <w:rsid w:val="009C7C3E"/>
    <w:rsid w:val="009D02D6"/>
    <w:rsid w:val="009D1A82"/>
    <w:rsid w:val="009D1BC2"/>
    <w:rsid w:val="009D4E57"/>
    <w:rsid w:val="009E2546"/>
    <w:rsid w:val="009E4309"/>
    <w:rsid w:val="009E4F28"/>
    <w:rsid w:val="009E6071"/>
    <w:rsid w:val="009E695E"/>
    <w:rsid w:val="009F17C1"/>
    <w:rsid w:val="009F19A2"/>
    <w:rsid w:val="009F1D7B"/>
    <w:rsid w:val="009F5022"/>
    <w:rsid w:val="009F509E"/>
    <w:rsid w:val="009F56F2"/>
    <w:rsid w:val="009F61CC"/>
    <w:rsid w:val="009F684D"/>
    <w:rsid w:val="009F7ED0"/>
    <w:rsid w:val="00A00855"/>
    <w:rsid w:val="00A00C41"/>
    <w:rsid w:val="00A0213B"/>
    <w:rsid w:val="00A02E20"/>
    <w:rsid w:val="00A02E96"/>
    <w:rsid w:val="00A0549E"/>
    <w:rsid w:val="00A0588A"/>
    <w:rsid w:val="00A06297"/>
    <w:rsid w:val="00A10160"/>
    <w:rsid w:val="00A10165"/>
    <w:rsid w:val="00A1256C"/>
    <w:rsid w:val="00A1373A"/>
    <w:rsid w:val="00A13B44"/>
    <w:rsid w:val="00A14716"/>
    <w:rsid w:val="00A14F27"/>
    <w:rsid w:val="00A1535B"/>
    <w:rsid w:val="00A17ED9"/>
    <w:rsid w:val="00A20CF9"/>
    <w:rsid w:val="00A22595"/>
    <w:rsid w:val="00A22B3D"/>
    <w:rsid w:val="00A22E4D"/>
    <w:rsid w:val="00A251FD"/>
    <w:rsid w:val="00A25EE0"/>
    <w:rsid w:val="00A26715"/>
    <w:rsid w:val="00A27D85"/>
    <w:rsid w:val="00A30D88"/>
    <w:rsid w:val="00A32E00"/>
    <w:rsid w:val="00A32E49"/>
    <w:rsid w:val="00A32FE3"/>
    <w:rsid w:val="00A335DD"/>
    <w:rsid w:val="00A34F06"/>
    <w:rsid w:val="00A351FD"/>
    <w:rsid w:val="00A36093"/>
    <w:rsid w:val="00A36F6B"/>
    <w:rsid w:val="00A37966"/>
    <w:rsid w:val="00A4310B"/>
    <w:rsid w:val="00A45ECA"/>
    <w:rsid w:val="00A47F0A"/>
    <w:rsid w:val="00A504A6"/>
    <w:rsid w:val="00A507EC"/>
    <w:rsid w:val="00A50809"/>
    <w:rsid w:val="00A52C70"/>
    <w:rsid w:val="00A556AC"/>
    <w:rsid w:val="00A557DB"/>
    <w:rsid w:val="00A60B1F"/>
    <w:rsid w:val="00A60C26"/>
    <w:rsid w:val="00A6106E"/>
    <w:rsid w:val="00A61248"/>
    <w:rsid w:val="00A62048"/>
    <w:rsid w:val="00A627F3"/>
    <w:rsid w:val="00A62DE0"/>
    <w:rsid w:val="00A63D15"/>
    <w:rsid w:val="00A63DD9"/>
    <w:rsid w:val="00A71B1D"/>
    <w:rsid w:val="00A71C75"/>
    <w:rsid w:val="00A72798"/>
    <w:rsid w:val="00A730EA"/>
    <w:rsid w:val="00A731DD"/>
    <w:rsid w:val="00A747A7"/>
    <w:rsid w:val="00A74C44"/>
    <w:rsid w:val="00A77387"/>
    <w:rsid w:val="00A80309"/>
    <w:rsid w:val="00A808DC"/>
    <w:rsid w:val="00A80EE8"/>
    <w:rsid w:val="00A80F7C"/>
    <w:rsid w:val="00A83726"/>
    <w:rsid w:val="00A85050"/>
    <w:rsid w:val="00A85AED"/>
    <w:rsid w:val="00A86148"/>
    <w:rsid w:val="00A87AD6"/>
    <w:rsid w:val="00A903C3"/>
    <w:rsid w:val="00A91861"/>
    <w:rsid w:val="00A9215C"/>
    <w:rsid w:val="00A92E7D"/>
    <w:rsid w:val="00A93B3E"/>
    <w:rsid w:val="00AA1C1C"/>
    <w:rsid w:val="00AA24F4"/>
    <w:rsid w:val="00AA4365"/>
    <w:rsid w:val="00AA4CDB"/>
    <w:rsid w:val="00AA6C9D"/>
    <w:rsid w:val="00AA77A6"/>
    <w:rsid w:val="00AB002B"/>
    <w:rsid w:val="00AB0C96"/>
    <w:rsid w:val="00AB3374"/>
    <w:rsid w:val="00AB3A97"/>
    <w:rsid w:val="00AB4466"/>
    <w:rsid w:val="00AB4C93"/>
    <w:rsid w:val="00AB504F"/>
    <w:rsid w:val="00AB50DD"/>
    <w:rsid w:val="00AB5D21"/>
    <w:rsid w:val="00AB5D9E"/>
    <w:rsid w:val="00AB6A94"/>
    <w:rsid w:val="00AB762D"/>
    <w:rsid w:val="00AB7CB0"/>
    <w:rsid w:val="00AC1628"/>
    <w:rsid w:val="00AC317E"/>
    <w:rsid w:val="00AC3C7D"/>
    <w:rsid w:val="00AC5E2A"/>
    <w:rsid w:val="00AC6466"/>
    <w:rsid w:val="00AD2213"/>
    <w:rsid w:val="00AD390B"/>
    <w:rsid w:val="00AE1D80"/>
    <w:rsid w:val="00AE5A7D"/>
    <w:rsid w:val="00AE5C52"/>
    <w:rsid w:val="00AF0DCD"/>
    <w:rsid w:val="00AF0FAA"/>
    <w:rsid w:val="00AF1404"/>
    <w:rsid w:val="00AF1C97"/>
    <w:rsid w:val="00AF25E2"/>
    <w:rsid w:val="00AF28CD"/>
    <w:rsid w:val="00AF344F"/>
    <w:rsid w:val="00AF3EFA"/>
    <w:rsid w:val="00AF7122"/>
    <w:rsid w:val="00AF7370"/>
    <w:rsid w:val="00AF78FB"/>
    <w:rsid w:val="00B027B6"/>
    <w:rsid w:val="00B02899"/>
    <w:rsid w:val="00B02F52"/>
    <w:rsid w:val="00B043CA"/>
    <w:rsid w:val="00B06628"/>
    <w:rsid w:val="00B1010A"/>
    <w:rsid w:val="00B134BD"/>
    <w:rsid w:val="00B15DFE"/>
    <w:rsid w:val="00B1668B"/>
    <w:rsid w:val="00B168B4"/>
    <w:rsid w:val="00B16F48"/>
    <w:rsid w:val="00B17419"/>
    <w:rsid w:val="00B20110"/>
    <w:rsid w:val="00B21407"/>
    <w:rsid w:val="00B26DDD"/>
    <w:rsid w:val="00B272D6"/>
    <w:rsid w:val="00B310FE"/>
    <w:rsid w:val="00B31F50"/>
    <w:rsid w:val="00B32028"/>
    <w:rsid w:val="00B335B1"/>
    <w:rsid w:val="00B33FE3"/>
    <w:rsid w:val="00B35514"/>
    <w:rsid w:val="00B35A62"/>
    <w:rsid w:val="00B361C5"/>
    <w:rsid w:val="00B36EA2"/>
    <w:rsid w:val="00B3729D"/>
    <w:rsid w:val="00B42F08"/>
    <w:rsid w:val="00B43BBD"/>
    <w:rsid w:val="00B43EDF"/>
    <w:rsid w:val="00B46D0B"/>
    <w:rsid w:val="00B475F0"/>
    <w:rsid w:val="00B51A48"/>
    <w:rsid w:val="00B5212F"/>
    <w:rsid w:val="00B5280B"/>
    <w:rsid w:val="00B52AF4"/>
    <w:rsid w:val="00B537AA"/>
    <w:rsid w:val="00B53999"/>
    <w:rsid w:val="00B5407E"/>
    <w:rsid w:val="00B56FF2"/>
    <w:rsid w:val="00B574CA"/>
    <w:rsid w:val="00B626AF"/>
    <w:rsid w:val="00B638EB"/>
    <w:rsid w:val="00B63B87"/>
    <w:rsid w:val="00B65B2C"/>
    <w:rsid w:val="00B71330"/>
    <w:rsid w:val="00B7160A"/>
    <w:rsid w:val="00B7182D"/>
    <w:rsid w:val="00B73E8E"/>
    <w:rsid w:val="00B80017"/>
    <w:rsid w:val="00B80E8E"/>
    <w:rsid w:val="00B8179D"/>
    <w:rsid w:val="00B81B74"/>
    <w:rsid w:val="00B847A3"/>
    <w:rsid w:val="00B84903"/>
    <w:rsid w:val="00B85100"/>
    <w:rsid w:val="00B90B2D"/>
    <w:rsid w:val="00B91671"/>
    <w:rsid w:val="00B92025"/>
    <w:rsid w:val="00B967ED"/>
    <w:rsid w:val="00BA13BF"/>
    <w:rsid w:val="00BA17CC"/>
    <w:rsid w:val="00BA6742"/>
    <w:rsid w:val="00BA6A13"/>
    <w:rsid w:val="00BA7DCB"/>
    <w:rsid w:val="00BB003D"/>
    <w:rsid w:val="00BB5E6C"/>
    <w:rsid w:val="00BC1ACF"/>
    <w:rsid w:val="00BC231E"/>
    <w:rsid w:val="00BC3338"/>
    <w:rsid w:val="00BC495B"/>
    <w:rsid w:val="00BC4FE1"/>
    <w:rsid w:val="00BC586E"/>
    <w:rsid w:val="00BC5F50"/>
    <w:rsid w:val="00BC6BF8"/>
    <w:rsid w:val="00BC715E"/>
    <w:rsid w:val="00BC77D8"/>
    <w:rsid w:val="00BC7C63"/>
    <w:rsid w:val="00BD2A8E"/>
    <w:rsid w:val="00BD2C47"/>
    <w:rsid w:val="00BD4D76"/>
    <w:rsid w:val="00BD4E36"/>
    <w:rsid w:val="00BD63E9"/>
    <w:rsid w:val="00BD7201"/>
    <w:rsid w:val="00BD763B"/>
    <w:rsid w:val="00BE0BD0"/>
    <w:rsid w:val="00BE0C40"/>
    <w:rsid w:val="00BE121D"/>
    <w:rsid w:val="00BE3330"/>
    <w:rsid w:val="00BE3904"/>
    <w:rsid w:val="00BE4C8A"/>
    <w:rsid w:val="00BE57BF"/>
    <w:rsid w:val="00BE6414"/>
    <w:rsid w:val="00BF1963"/>
    <w:rsid w:val="00BF1C7B"/>
    <w:rsid w:val="00BF233E"/>
    <w:rsid w:val="00BF2611"/>
    <w:rsid w:val="00BF3315"/>
    <w:rsid w:val="00BF347D"/>
    <w:rsid w:val="00BF63A3"/>
    <w:rsid w:val="00BF6944"/>
    <w:rsid w:val="00C00D16"/>
    <w:rsid w:val="00C02B73"/>
    <w:rsid w:val="00C053B5"/>
    <w:rsid w:val="00C05BD3"/>
    <w:rsid w:val="00C06780"/>
    <w:rsid w:val="00C06B71"/>
    <w:rsid w:val="00C11F27"/>
    <w:rsid w:val="00C125A6"/>
    <w:rsid w:val="00C14A40"/>
    <w:rsid w:val="00C165D8"/>
    <w:rsid w:val="00C17134"/>
    <w:rsid w:val="00C20ACB"/>
    <w:rsid w:val="00C22317"/>
    <w:rsid w:val="00C224CF"/>
    <w:rsid w:val="00C27C23"/>
    <w:rsid w:val="00C300CD"/>
    <w:rsid w:val="00C30671"/>
    <w:rsid w:val="00C34B36"/>
    <w:rsid w:val="00C35E1D"/>
    <w:rsid w:val="00C35F49"/>
    <w:rsid w:val="00C362FD"/>
    <w:rsid w:val="00C413F2"/>
    <w:rsid w:val="00C42167"/>
    <w:rsid w:val="00C430B9"/>
    <w:rsid w:val="00C5104C"/>
    <w:rsid w:val="00C51882"/>
    <w:rsid w:val="00C52136"/>
    <w:rsid w:val="00C53775"/>
    <w:rsid w:val="00C55A1C"/>
    <w:rsid w:val="00C57033"/>
    <w:rsid w:val="00C60741"/>
    <w:rsid w:val="00C6149A"/>
    <w:rsid w:val="00C61A4D"/>
    <w:rsid w:val="00C6345D"/>
    <w:rsid w:val="00C63FF4"/>
    <w:rsid w:val="00C650C0"/>
    <w:rsid w:val="00C655F0"/>
    <w:rsid w:val="00C662AA"/>
    <w:rsid w:val="00C67676"/>
    <w:rsid w:val="00C72612"/>
    <w:rsid w:val="00C72E56"/>
    <w:rsid w:val="00C7375D"/>
    <w:rsid w:val="00C76239"/>
    <w:rsid w:val="00C7646A"/>
    <w:rsid w:val="00C77124"/>
    <w:rsid w:val="00C8142D"/>
    <w:rsid w:val="00C8341A"/>
    <w:rsid w:val="00C8377E"/>
    <w:rsid w:val="00C84A74"/>
    <w:rsid w:val="00C92C7B"/>
    <w:rsid w:val="00C94EED"/>
    <w:rsid w:val="00C95725"/>
    <w:rsid w:val="00C95805"/>
    <w:rsid w:val="00C9738A"/>
    <w:rsid w:val="00CA05B2"/>
    <w:rsid w:val="00CA1478"/>
    <w:rsid w:val="00CA3B51"/>
    <w:rsid w:val="00CA5206"/>
    <w:rsid w:val="00CA5D47"/>
    <w:rsid w:val="00CA6B7F"/>
    <w:rsid w:val="00CA74ED"/>
    <w:rsid w:val="00CA7786"/>
    <w:rsid w:val="00CA7AAA"/>
    <w:rsid w:val="00CB1844"/>
    <w:rsid w:val="00CB44C4"/>
    <w:rsid w:val="00CB450A"/>
    <w:rsid w:val="00CB5439"/>
    <w:rsid w:val="00CB689E"/>
    <w:rsid w:val="00CB694A"/>
    <w:rsid w:val="00CB72D1"/>
    <w:rsid w:val="00CC0844"/>
    <w:rsid w:val="00CC0E95"/>
    <w:rsid w:val="00CC2D24"/>
    <w:rsid w:val="00CC3041"/>
    <w:rsid w:val="00CC579D"/>
    <w:rsid w:val="00CC680C"/>
    <w:rsid w:val="00CD26A8"/>
    <w:rsid w:val="00CD3EB4"/>
    <w:rsid w:val="00CD4F72"/>
    <w:rsid w:val="00CD68B8"/>
    <w:rsid w:val="00CE1EC9"/>
    <w:rsid w:val="00CE3AD3"/>
    <w:rsid w:val="00CE497B"/>
    <w:rsid w:val="00CE68B4"/>
    <w:rsid w:val="00CE768C"/>
    <w:rsid w:val="00CF0E7A"/>
    <w:rsid w:val="00CF16B2"/>
    <w:rsid w:val="00CF3DEE"/>
    <w:rsid w:val="00CF4AE4"/>
    <w:rsid w:val="00CF67A1"/>
    <w:rsid w:val="00D0089B"/>
    <w:rsid w:val="00D00A41"/>
    <w:rsid w:val="00D01379"/>
    <w:rsid w:val="00D02FF3"/>
    <w:rsid w:val="00D036E3"/>
    <w:rsid w:val="00D0569E"/>
    <w:rsid w:val="00D05FB9"/>
    <w:rsid w:val="00D12D97"/>
    <w:rsid w:val="00D149EE"/>
    <w:rsid w:val="00D1610B"/>
    <w:rsid w:val="00D163CB"/>
    <w:rsid w:val="00D17CEB"/>
    <w:rsid w:val="00D2079D"/>
    <w:rsid w:val="00D212D1"/>
    <w:rsid w:val="00D21949"/>
    <w:rsid w:val="00D22CF4"/>
    <w:rsid w:val="00D23560"/>
    <w:rsid w:val="00D25854"/>
    <w:rsid w:val="00D27402"/>
    <w:rsid w:val="00D30334"/>
    <w:rsid w:val="00D30536"/>
    <w:rsid w:val="00D307D5"/>
    <w:rsid w:val="00D311AB"/>
    <w:rsid w:val="00D319F7"/>
    <w:rsid w:val="00D31E4B"/>
    <w:rsid w:val="00D3200E"/>
    <w:rsid w:val="00D323B4"/>
    <w:rsid w:val="00D325EA"/>
    <w:rsid w:val="00D33EF5"/>
    <w:rsid w:val="00D3565A"/>
    <w:rsid w:val="00D35716"/>
    <w:rsid w:val="00D3656F"/>
    <w:rsid w:val="00D36B62"/>
    <w:rsid w:val="00D411BC"/>
    <w:rsid w:val="00D41306"/>
    <w:rsid w:val="00D415B7"/>
    <w:rsid w:val="00D41B94"/>
    <w:rsid w:val="00D42836"/>
    <w:rsid w:val="00D45F64"/>
    <w:rsid w:val="00D47A30"/>
    <w:rsid w:val="00D47E80"/>
    <w:rsid w:val="00D506F5"/>
    <w:rsid w:val="00D51A3F"/>
    <w:rsid w:val="00D52456"/>
    <w:rsid w:val="00D527AC"/>
    <w:rsid w:val="00D52EC6"/>
    <w:rsid w:val="00D54273"/>
    <w:rsid w:val="00D55ADC"/>
    <w:rsid w:val="00D56519"/>
    <w:rsid w:val="00D57D1C"/>
    <w:rsid w:val="00D60A74"/>
    <w:rsid w:val="00D62DF1"/>
    <w:rsid w:val="00D632E1"/>
    <w:rsid w:val="00D667BC"/>
    <w:rsid w:val="00D67830"/>
    <w:rsid w:val="00D71514"/>
    <w:rsid w:val="00D72228"/>
    <w:rsid w:val="00D72BB3"/>
    <w:rsid w:val="00D72C70"/>
    <w:rsid w:val="00D75CAE"/>
    <w:rsid w:val="00D761EE"/>
    <w:rsid w:val="00D829A3"/>
    <w:rsid w:val="00D829AD"/>
    <w:rsid w:val="00D83006"/>
    <w:rsid w:val="00D83EE7"/>
    <w:rsid w:val="00D84C4C"/>
    <w:rsid w:val="00D852B7"/>
    <w:rsid w:val="00D860F4"/>
    <w:rsid w:val="00D86DE9"/>
    <w:rsid w:val="00D8765D"/>
    <w:rsid w:val="00D87D72"/>
    <w:rsid w:val="00D911EB"/>
    <w:rsid w:val="00D91269"/>
    <w:rsid w:val="00D912A3"/>
    <w:rsid w:val="00D92486"/>
    <w:rsid w:val="00D93C1A"/>
    <w:rsid w:val="00D95112"/>
    <w:rsid w:val="00D96F9A"/>
    <w:rsid w:val="00DA0EB8"/>
    <w:rsid w:val="00DA11F1"/>
    <w:rsid w:val="00DA1590"/>
    <w:rsid w:val="00DA178E"/>
    <w:rsid w:val="00DA1939"/>
    <w:rsid w:val="00DA1B04"/>
    <w:rsid w:val="00DA6A22"/>
    <w:rsid w:val="00DB0C2C"/>
    <w:rsid w:val="00DB3420"/>
    <w:rsid w:val="00DB47DD"/>
    <w:rsid w:val="00DB5C9E"/>
    <w:rsid w:val="00DB7111"/>
    <w:rsid w:val="00DC0934"/>
    <w:rsid w:val="00DD10CD"/>
    <w:rsid w:val="00DD41FE"/>
    <w:rsid w:val="00DD4DF9"/>
    <w:rsid w:val="00DD54DA"/>
    <w:rsid w:val="00DD5928"/>
    <w:rsid w:val="00DD7245"/>
    <w:rsid w:val="00DD7647"/>
    <w:rsid w:val="00DD7EB6"/>
    <w:rsid w:val="00DE3F94"/>
    <w:rsid w:val="00DE40ED"/>
    <w:rsid w:val="00DE43C4"/>
    <w:rsid w:val="00DE4818"/>
    <w:rsid w:val="00DE4FE0"/>
    <w:rsid w:val="00DE664C"/>
    <w:rsid w:val="00DE6E8C"/>
    <w:rsid w:val="00DF1B0A"/>
    <w:rsid w:val="00DF2F86"/>
    <w:rsid w:val="00DF3482"/>
    <w:rsid w:val="00DF4336"/>
    <w:rsid w:val="00DF4D97"/>
    <w:rsid w:val="00DF59ED"/>
    <w:rsid w:val="00DF5B62"/>
    <w:rsid w:val="00DF6C35"/>
    <w:rsid w:val="00DF780E"/>
    <w:rsid w:val="00E02177"/>
    <w:rsid w:val="00E03AF9"/>
    <w:rsid w:val="00E04115"/>
    <w:rsid w:val="00E05301"/>
    <w:rsid w:val="00E05A25"/>
    <w:rsid w:val="00E06BE5"/>
    <w:rsid w:val="00E114E0"/>
    <w:rsid w:val="00E11E91"/>
    <w:rsid w:val="00E127EE"/>
    <w:rsid w:val="00E128FE"/>
    <w:rsid w:val="00E136B8"/>
    <w:rsid w:val="00E14A84"/>
    <w:rsid w:val="00E1663B"/>
    <w:rsid w:val="00E166D6"/>
    <w:rsid w:val="00E17419"/>
    <w:rsid w:val="00E20330"/>
    <w:rsid w:val="00E222FB"/>
    <w:rsid w:val="00E251B3"/>
    <w:rsid w:val="00E26662"/>
    <w:rsid w:val="00E26CB6"/>
    <w:rsid w:val="00E272A5"/>
    <w:rsid w:val="00E27ED8"/>
    <w:rsid w:val="00E31002"/>
    <w:rsid w:val="00E31B70"/>
    <w:rsid w:val="00E32C0B"/>
    <w:rsid w:val="00E33989"/>
    <w:rsid w:val="00E34F72"/>
    <w:rsid w:val="00E36E21"/>
    <w:rsid w:val="00E41A7C"/>
    <w:rsid w:val="00E42196"/>
    <w:rsid w:val="00E43AA8"/>
    <w:rsid w:val="00E44511"/>
    <w:rsid w:val="00E4550D"/>
    <w:rsid w:val="00E540B7"/>
    <w:rsid w:val="00E547C7"/>
    <w:rsid w:val="00E6011D"/>
    <w:rsid w:val="00E62F3D"/>
    <w:rsid w:val="00E642D3"/>
    <w:rsid w:val="00E66313"/>
    <w:rsid w:val="00E71EEB"/>
    <w:rsid w:val="00E8023B"/>
    <w:rsid w:val="00E802EA"/>
    <w:rsid w:val="00E80D1E"/>
    <w:rsid w:val="00E813DD"/>
    <w:rsid w:val="00E81B72"/>
    <w:rsid w:val="00E864B3"/>
    <w:rsid w:val="00E86DD6"/>
    <w:rsid w:val="00E90FA3"/>
    <w:rsid w:val="00E939EF"/>
    <w:rsid w:val="00E950EE"/>
    <w:rsid w:val="00E972E9"/>
    <w:rsid w:val="00E9764A"/>
    <w:rsid w:val="00EA2716"/>
    <w:rsid w:val="00EA4AF9"/>
    <w:rsid w:val="00EB13A4"/>
    <w:rsid w:val="00EB1478"/>
    <w:rsid w:val="00EB17A4"/>
    <w:rsid w:val="00EB3115"/>
    <w:rsid w:val="00EB330A"/>
    <w:rsid w:val="00EB43A5"/>
    <w:rsid w:val="00EB556C"/>
    <w:rsid w:val="00EB5B56"/>
    <w:rsid w:val="00EB75AB"/>
    <w:rsid w:val="00EB7E43"/>
    <w:rsid w:val="00EC0200"/>
    <w:rsid w:val="00EC40FC"/>
    <w:rsid w:val="00EC4AB3"/>
    <w:rsid w:val="00EC603D"/>
    <w:rsid w:val="00EC618E"/>
    <w:rsid w:val="00EC7603"/>
    <w:rsid w:val="00EC76E5"/>
    <w:rsid w:val="00ED12D4"/>
    <w:rsid w:val="00ED2422"/>
    <w:rsid w:val="00ED3511"/>
    <w:rsid w:val="00ED4E89"/>
    <w:rsid w:val="00ED5832"/>
    <w:rsid w:val="00ED5B6B"/>
    <w:rsid w:val="00ED65C7"/>
    <w:rsid w:val="00EE038A"/>
    <w:rsid w:val="00EE0792"/>
    <w:rsid w:val="00EE11CA"/>
    <w:rsid w:val="00EE20B7"/>
    <w:rsid w:val="00EE352D"/>
    <w:rsid w:val="00EE4D3D"/>
    <w:rsid w:val="00EE65AE"/>
    <w:rsid w:val="00EE6944"/>
    <w:rsid w:val="00EF18D0"/>
    <w:rsid w:val="00EF1FF8"/>
    <w:rsid w:val="00EF4EBF"/>
    <w:rsid w:val="00EF5014"/>
    <w:rsid w:val="00EF6C24"/>
    <w:rsid w:val="00EF77C3"/>
    <w:rsid w:val="00F00998"/>
    <w:rsid w:val="00F02745"/>
    <w:rsid w:val="00F06D26"/>
    <w:rsid w:val="00F0784F"/>
    <w:rsid w:val="00F11218"/>
    <w:rsid w:val="00F1253D"/>
    <w:rsid w:val="00F16C25"/>
    <w:rsid w:val="00F20486"/>
    <w:rsid w:val="00F204B5"/>
    <w:rsid w:val="00F2089E"/>
    <w:rsid w:val="00F210A0"/>
    <w:rsid w:val="00F22A29"/>
    <w:rsid w:val="00F2464A"/>
    <w:rsid w:val="00F25E73"/>
    <w:rsid w:val="00F26088"/>
    <w:rsid w:val="00F27BAB"/>
    <w:rsid w:val="00F33B00"/>
    <w:rsid w:val="00F40D20"/>
    <w:rsid w:val="00F41DAF"/>
    <w:rsid w:val="00F421D3"/>
    <w:rsid w:val="00F434C4"/>
    <w:rsid w:val="00F44109"/>
    <w:rsid w:val="00F50BB5"/>
    <w:rsid w:val="00F52936"/>
    <w:rsid w:val="00F52B8C"/>
    <w:rsid w:val="00F556A5"/>
    <w:rsid w:val="00F558FD"/>
    <w:rsid w:val="00F57F36"/>
    <w:rsid w:val="00F602DF"/>
    <w:rsid w:val="00F60EAE"/>
    <w:rsid w:val="00F642BE"/>
    <w:rsid w:val="00F646AF"/>
    <w:rsid w:val="00F661D9"/>
    <w:rsid w:val="00F677EF"/>
    <w:rsid w:val="00F67B40"/>
    <w:rsid w:val="00F67C33"/>
    <w:rsid w:val="00F7008C"/>
    <w:rsid w:val="00F70CB1"/>
    <w:rsid w:val="00F70CD9"/>
    <w:rsid w:val="00F74506"/>
    <w:rsid w:val="00F74617"/>
    <w:rsid w:val="00F7696A"/>
    <w:rsid w:val="00F76F48"/>
    <w:rsid w:val="00F77351"/>
    <w:rsid w:val="00F81A9D"/>
    <w:rsid w:val="00F81F9D"/>
    <w:rsid w:val="00F82D59"/>
    <w:rsid w:val="00F83C5D"/>
    <w:rsid w:val="00F83DAA"/>
    <w:rsid w:val="00F854CB"/>
    <w:rsid w:val="00F86717"/>
    <w:rsid w:val="00F874A5"/>
    <w:rsid w:val="00F8784A"/>
    <w:rsid w:val="00F917FF"/>
    <w:rsid w:val="00F92E18"/>
    <w:rsid w:val="00F93B93"/>
    <w:rsid w:val="00F95CCB"/>
    <w:rsid w:val="00F9670E"/>
    <w:rsid w:val="00F977A0"/>
    <w:rsid w:val="00FA09DD"/>
    <w:rsid w:val="00FA0B06"/>
    <w:rsid w:val="00FA1D2C"/>
    <w:rsid w:val="00FA1F1A"/>
    <w:rsid w:val="00FA2237"/>
    <w:rsid w:val="00FA2C5D"/>
    <w:rsid w:val="00FA582A"/>
    <w:rsid w:val="00FA5FF9"/>
    <w:rsid w:val="00FA60C3"/>
    <w:rsid w:val="00FB1CFE"/>
    <w:rsid w:val="00FB2440"/>
    <w:rsid w:val="00FB49E3"/>
    <w:rsid w:val="00FB64AE"/>
    <w:rsid w:val="00FB7402"/>
    <w:rsid w:val="00FB7DA7"/>
    <w:rsid w:val="00FC2897"/>
    <w:rsid w:val="00FC35F5"/>
    <w:rsid w:val="00FC3DC5"/>
    <w:rsid w:val="00FC3DF1"/>
    <w:rsid w:val="00FC4276"/>
    <w:rsid w:val="00FD03CC"/>
    <w:rsid w:val="00FD0452"/>
    <w:rsid w:val="00FD0722"/>
    <w:rsid w:val="00FD2F77"/>
    <w:rsid w:val="00FD2F93"/>
    <w:rsid w:val="00FD4239"/>
    <w:rsid w:val="00FD4339"/>
    <w:rsid w:val="00FD5D05"/>
    <w:rsid w:val="00FD71F3"/>
    <w:rsid w:val="00FE301B"/>
    <w:rsid w:val="00FE41D9"/>
    <w:rsid w:val="00FE453F"/>
    <w:rsid w:val="00FE4AA1"/>
    <w:rsid w:val="00FE624C"/>
    <w:rsid w:val="00FE7373"/>
    <w:rsid w:val="00FF1ECD"/>
    <w:rsid w:val="00FF2826"/>
    <w:rsid w:val="00FF3FE4"/>
    <w:rsid w:val="00FF6AE6"/>
    <w:rsid w:val="00FF7BAF"/>
    <w:rsid w:val="011041E5"/>
    <w:rsid w:val="01181F52"/>
    <w:rsid w:val="01276CE6"/>
    <w:rsid w:val="01391AF7"/>
    <w:rsid w:val="015A0ACF"/>
    <w:rsid w:val="015B1A58"/>
    <w:rsid w:val="01875DDB"/>
    <w:rsid w:val="01A56820"/>
    <w:rsid w:val="01B73196"/>
    <w:rsid w:val="01DB0F21"/>
    <w:rsid w:val="01F85948"/>
    <w:rsid w:val="02395644"/>
    <w:rsid w:val="027D1EDC"/>
    <w:rsid w:val="029F4082"/>
    <w:rsid w:val="02AA6F17"/>
    <w:rsid w:val="02C31095"/>
    <w:rsid w:val="02E6429D"/>
    <w:rsid w:val="032E5AB3"/>
    <w:rsid w:val="0380752A"/>
    <w:rsid w:val="03814E34"/>
    <w:rsid w:val="03C4317A"/>
    <w:rsid w:val="041E1097"/>
    <w:rsid w:val="042F5F1F"/>
    <w:rsid w:val="0458354D"/>
    <w:rsid w:val="04874841"/>
    <w:rsid w:val="04A5262D"/>
    <w:rsid w:val="04AF0DC0"/>
    <w:rsid w:val="04E35F2C"/>
    <w:rsid w:val="04EB4ECE"/>
    <w:rsid w:val="053371D4"/>
    <w:rsid w:val="05A9381E"/>
    <w:rsid w:val="05CA3B1B"/>
    <w:rsid w:val="05D40F8A"/>
    <w:rsid w:val="05E97CB2"/>
    <w:rsid w:val="060D6A3B"/>
    <w:rsid w:val="06193B1E"/>
    <w:rsid w:val="06383C8B"/>
    <w:rsid w:val="067668BE"/>
    <w:rsid w:val="06962778"/>
    <w:rsid w:val="06AB6FF1"/>
    <w:rsid w:val="06C43F5C"/>
    <w:rsid w:val="06C6067E"/>
    <w:rsid w:val="06DF18E2"/>
    <w:rsid w:val="0707497A"/>
    <w:rsid w:val="07394A3D"/>
    <w:rsid w:val="07416329"/>
    <w:rsid w:val="07501B9E"/>
    <w:rsid w:val="079A4BC7"/>
    <w:rsid w:val="07E4672A"/>
    <w:rsid w:val="07FA31D8"/>
    <w:rsid w:val="0838785B"/>
    <w:rsid w:val="08727C1D"/>
    <w:rsid w:val="087D0B78"/>
    <w:rsid w:val="08894DF6"/>
    <w:rsid w:val="08897114"/>
    <w:rsid w:val="08D85287"/>
    <w:rsid w:val="0920129B"/>
    <w:rsid w:val="09823E4D"/>
    <w:rsid w:val="098852A8"/>
    <w:rsid w:val="09EA3E64"/>
    <w:rsid w:val="0A35055A"/>
    <w:rsid w:val="0A4B18CE"/>
    <w:rsid w:val="0A601059"/>
    <w:rsid w:val="0A8A4B12"/>
    <w:rsid w:val="0AB25DFE"/>
    <w:rsid w:val="0AC800D5"/>
    <w:rsid w:val="0AFA19A7"/>
    <w:rsid w:val="0B181252"/>
    <w:rsid w:val="0B2543AA"/>
    <w:rsid w:val="0B275F39"/>
    <w:rsid w:val="0B3D750A"/>
    <w:rsid w:val="0B610075"/>
    <w:rsid w:val="0B651CEF"/>
    <w:rsid w:val="0BDC2769"/>
    <w:rsid w:val="0C275A89"/>
    <w:rsid w:val="0CBB5882"/>
    <w:rsid w:val="0CE73D6B"/>
    <w:rsid w:val="0CF152C0"/>
    <w:rsid w:val="0D0D7D76"/>
    <w:rsid w:val="0D4D6A91"/>
    <w:rsid w:val="0D531CDF"/>
    <w:rsid w:val="0D593705"/>
    <w:rsid w:val="0DBA7E59"/>
    <w:rsid w:val="0DCA3125"/>
    <w:rsid w:val="0E0227F3"/>
    <w:rsid w:val="0E416A77"/>
    <w:rsid w:val="0E5C2657"/>
    <w:rsid w:val="0E5C7CE8"/>
    <w:rsid w:val="0E9B1839"/>
    <w:rsid w:val="0EA34036"/>
    <w:rsid w:val="0EB049DF"/>
    <w:rsid w:val="0EB63F9D"/>
    <w:rsid w:val="0EBC4BEA"/>
    <w:rsid w:val="0EBE4BC2"/>
    <w:rsid w:val="0ED67324"/>
    <w:rsid w:val="0F245037"/>
    <w:rsid w:val="0F250844"/>
    <w:rsid w:val="0F2A015D"/>
    <w:rsid w:val="0F54794B"/>
    <w:rsid w:val="0F6A354E"/>
    <w:rsid w:val="0F88478D"/>
    <w:rsid w:val="0FAC440F"/>
    <w:rsid w:val="0FB73DA5"/>
    <w:rsid w:val="0FCB227F"/>
    <w:rsid w:val="0FDE2587"/>
    <w:rsid w:val="101B0BC4"/>
    <w:rsid w:val="103649EC"/>
    <w:rsid w:val="1040315F"/>
    <w:rsid w:val="10507757"/>
    <w:rsid w:val="10694DDB"/>
    <w:rsid w:val="107A1082"/>
    <w:rsid w:val="109E7189"/>
    <w:rsid w:val="10C72BB3"/>
    <w:rsid w:val="115206FB"/>
    <w:rsid w:val="11531DCE"/>
    <w:rsid w:val="11AD6798"/>
    <w:rsid w:val="11B40613"/>
    <w:rsid w:val="11B43818"/>
    <w:rsid w:val="11BE2022"/>
    <w:rsid w:val="11D83EA2"/>
    <w:rsid w:val="11DD1A47"/>
    <w:rsid w:val="11F55B09"/>
    <w:rsid w:val="122510EE"/>
    <w:rsid w:val="123757B7"/>
    <w:rsid w:val="12405481"/>
    <w:rsid w:val="12837EE6"/>
    <w:rsid w:val="128D1331"/>
    <w:rsid w:val="12C1355D"/>
    <w:rsid w:val="12D876AE"/>
    <w:rsid w:val="12EA1EE6"/>
    <w:rsid w:val="12EF7289"/>
    <w:rsid w:val="133D7CD4"/>
    <w:rsid w:val="134D5A81"/>
    <w:rsid w:val="13A73548"/>
    <w:rsid w:val="13AC42B6"/>
    <w:rsid w:val="13BF6991"/>
    <w:rsid w:val="13EF16D2"/>
    <w:rsid w:val="13F03DED"/>
    <w:rsid w:val="13F95DC4"/>
    <w:rsid w:val="13FD0AA0"/>
    <w:rsid w:val="1413478D"/>
    <w:rsid w:val="142A3E2D"/>
    <w:rsid w:val="144A7973"/>
    <w:rsid w:val="146D253B"/>
    <w:rsid w:val="14E5758A"/>
    <w:rsid w:val="14F168A1"/>
    <w:rsid w:val="14FB7DA2"/>
    <w:rsid w:val="1564780C"/>
    <w:rsid w:val="158710F3"/>
    <w:rsid w:val="15C772F3"/>
    <w:rsid w:val="15CE4C34"/>
    <w:rsid w:val="15F0775C"/>
    <w:rsid w:val="15F43CA1"/>
    <w:rsid w:val="15F56F19"/>
    <w:rsid w:val="160211AB"/>
    <w:rsid w:val="160A0AD0"/>
    <w:rsid w:val="16401732"/>
    <w:rsid w:val="165B6F79"/>
    <w:rsid w:val="166E5EB0"/>
    <w:rsid w:val="167E6C9E"/>
    <w:rsid w:val="16C01EAE"/>
    <w:rsid w:val="16DE6A99"/>
    <w:rsid w:val="16E7186F"/>
    <w:rsid w:val="16F50974"/>
    <w:rsid w:val="177A195D"/>
    <w:rsid w:val="17E50036"/>
    <w:rsid w:val="1820060E"/>
    <w:rsid w:val="18205BA9"/>
    <w:rsid w:val="18370FAA"/>
    <w:rsid w:val="187E488C"/>
    <w:rsid w:val="188D7D42"/>
    <w:rsid w:val="18C45643"/>
    <w:rsid w:val="19470573"/>
    <w:rsid w:val="19575882"/>
    <w:rsid w:val="195E155B"/>
    <w:rsid w:val="197321D5"/>
    <w:rsid w:val="197C38F4"/>
    <w:rsid w:val="19D76D7C"/>
    <w:rsid w:val="1A0C41D1"/>
    <w:rsid w:val="1A336BE7"/>
    <w:rsid w:val="1A422F96"/>
    <w:rsid w:val="1A612D7C"/>
    <w:rsid w:val="1A6C71E4"/>
    <w:rsid w:val="1A807E72"/>
    <w:rsid w:val="1A8A2A47"/>
    <w:rsid w:val="1A9027DE"/>
    <w:rsid w:val="1AA711A4"/>
    <w:rsid w:val="1B16166A"/>
    <w:rsid w:val="1B7B07C6"/>
    <w:rsid w:val="1BB93E83"/>
    <w:rsid w:val="1BC644B6"/>
    <w:rsid w:val="1C517BDA"/>
    <w:rsid w:val="1C583C2E"/>
    <w:rsid w:val="1C613AB1"/>
    <w:rsid w:val="1C8C0466"/>
    <w:rsid w:val="1CAB258F"/>
    <w:rsid w:val="1CB67B60"/>
    <w:rsid w:val="1CC854C2"/>
    <w:rsid w:val="1D0121D0"/>
    <w:rsid w:val="1D026DF0"/>
    <w:rsid w:val="1D3D339A"/>
    <w:rsid w:val="1D5B524F"/>
    <w:rsid w:val="1D6D3522"/>
    <w:rsid w:val="1D951D49"/>
    <w:rsid w:val="1DAB5588"/>
    <w:rsid w:val="1DBA11F5"/>
    <w:rsid w:val="1DD72694"/>
    <w:rsid w:val="1DDE1DE9"/>
    <w:rsid w:val="1DE2203C"/>
    <w:rsid w:val="1DFA7416"/>
    <w:rsid w:val="1E1977AC"/>
    <w:rsid w:val="1E855A11"/>
    <w:rsid w:val="1EB33287"/>
    <w:rsid w:val="1EF000E7"/>
    <w:rsid w:val="1EF459B6"/>
    <w:rsid w:val="1F0703D4"/>
    <w:rsid w:val="1F1F1687"/>
    <w:rsid w:val="1F474868"/>
    <w:rsid w:val="1F5236B6"/>
    <w:rsid w:val="1F752C8F"/>
    <w:rsid w:val="1F883C9F"/>
    <w:rsid w:val="1F971592"/>
    <w:rsid w:val="1FB94E27"/>
    <w:rsid w:val="1FD337CA"/>
    <w:rsid w:val="1FE57CFE"/>
    <w:rsid w:val="1FF41576"/>
    <w:rsid w:val="200A3A73"/>
    <w:rsid w:val="20AF20C5"/>
    <w:rsid w:val="20ED7306"/>
    <w:rsid w:val="20F06D21"/>
    <w:rsid w:val="20F96916"/>
    <w:rsid w:val="211106C5"/>
    <w:rsid w:val="21431785"/>
    <w:rsid w:val="219E251A"/>
    <w:rsid w:val="21C24F4B"/>
    <w:rsid w:val="22071464"/>
    <w:rsid w:val="2232235C"/>
    <w:rsid w:val="223C7791"/>
    <w:rsid w:val="228A51B9"/>
    <w:rsid w:val="22947F00"/>
    <w:rsid w:val="22E7312D"/>
    <w:rsid w:val="22F83C68"/>
    <w:rsid w:val="23291785"/>
    <w:rsid w:val="23710488"/>
    <w:rsid w:val="2381304A"/>
    <w:rsid w:val="23B9719A"/>
    <w:rsid w:val="23BB002C"/>
    <w:rsid w:val="23C33515"/>
    <w:rsid w:val="23DD3D2B"/>
    <w:rsid w:val="23F1680C"/>
    <w:rsid w:val="242E494F"/>
    <w:rsid w:val="243E15D5"/>
    <w:rsid w:val="24551238"/>
    <w:rsid w:val="248E2DBA"/>
    <w:rsid w:val="24FB46C9"/>
    <w:rsid w:val="25224672"/>
    <w:rsid w:val="25250089"/>
    <w:rsid w:val="25252A8D"/>
    <w:rsid w:val="25A67057"/>
    <w:rsid w:val="25B0350C"/>
    <w:rsid w:val="25D54115"/>
    <w:rsid w:val="25F72F27"/>
    <w:rsid w:val="260F4C55"/>
    <w:rsid w:val="26291B1A"/>
    <w:rsid w:val="26763E6F"/>
    <w:rsid w:val="267C3983"/>
    <w:rsid w:val="26C13C34"/>
    <w:rsid w:val="26C27FDD"/>
    <w:rsid w:val="26D82BDE"/>
    <w:rsid w:val="26EB0757"/>
    <w:rsid w:val="270101AC"/>
    <w:rsid w:val="274D71B2"/>
    <w:rsid w:val="2751147F"/>
    <w:rsid w:val="27706CF6"/>
    <w:rsid w:val="279C6957"/>
    <w:rsid w:val="27D32B77"/>
    <w:rsid w:val="27DE5929"/>
    <w:rsid w:val="27E14C4C"/>
    <w:rsid w:val="282160D2"/>
    <w:rsid w:val="286C62A1"/>
    <w:rsid w:val="28A069B8"/>
    <w:rsid w:val="28CB42B1"/>
    <w:rsid w:val="28E35A4A"/>
    <w:rsid w:val="28F72971"/>
    <w:rsid w:val="290F3C6E"/>
    <w:rsid w:val="29710E6B"/>
    <w:rsid w:val="297360F1"/>
    <w:rsid w:val="29C27101"/>
    <w:rsid w:val="2A3073E0"/>
    <w:rsid w:val="2A7C3754"/>
    <w:rsid w:val="2AE35535"/>
    <w:rsid w:val="2B496FA3"/>
    <w:rsid w:val="2B532BFE"/>
    <w:rsid w:val="2B6A469F"/>
    <w:rsid w:val="2BAC65A8"/>
    <w:rsid w:val="2BB024B4"/>
    <w:rsid w:val="2BC60F98"/>
    <w:rsid w:val="2BCB45F0"/>
    <w:rsid w:val="2C066A1A"/>
    <w:rsid w:val="2C0B4AE6"/>
    <w:rsid w:val="2C8165FA"/>
    <w:rsid w:val="2CAC7CBD"/>
    <w:rsid w:val="2CC123A4"/>
    <w:rsid w:val="2CCC08A3"/>
    <w:rsid w:val="2CD7041C"/>
    <w:rsid w:val="2D0A514C"/>
    <w:rsid w:val="2D29436A"/>
    <w:rsid w:val="2D38533F"/>
    <w:rsid w:val="2D3F44AA"/>
    <w:rsid w:val="2DB235BF"/>
    <w:rsid w:val="2DC62C50"/>
    <w:rsid w:val="2E1168F1"/>
    <w:rsid w:val="2E577392"/>
    <w:rsid w:val="2E8B1B62"/>
    <w:rsid w:val="2E96471F"/>
    <w:rsid w:val="2E970AE4"/>
    <w:rsid w:val="2EB227A5"/>
    <w:rsid w:val="2EE5504D"/>
    <w:rsid w:val="2F822BAC"/>
    <w:rsid w:val="2F96630B"/>
    <w:rsid w:val="2FAC7913"/>
    <w:rsid w:val="2FDB086E"/>
    <w:rsid w:val="301F6139"/>
    <w:rsid w:val="302E63CA"/>
    <w:rsid w:val="30641E74"/>
    <w:rsid w:val="30810E1D"/>
    <w:rsid w:val="308F4583"/>
    <w:rsid w:val="308F50ED"/>
    <w:rsid w:val="309644F8"/>
    <w:rsid w:val="30A76ECB"/>
    <w:rsid w:val="30F97581"/>
    <w:rsid w:val="314256C4"/>
    <w:rsid w:val="31947CF5"/>
    <w:rsid w:val="31C65637"/>
    <w:rsid w:val="32371F57"/>
    <w:rsid w:val="32417274"/>
    <w:rsid w:val="326E63F4"/>
    <w:rsid w:val="329F04E5"/>
    <w:rsid w:val="32F9755F"/>
    <w:rsid w:val="331B2806"/>
    <w:rsid w:val="333214D1"/>
    <w:rsid w:val="3370495E"/>
    <w:rsid w:val="33CC0FC6"/>
    <w:rsid w:val="33DD0EAC"/>
    <w:rsid w:val="34143D51"/>
    <w:rsid w:val="34302898"/>
    <w:rsid w:val="345B460B"/>
    <w:rsid w:val="347B1D25"/>
    <w:rsid w:val="348E2B4F"/>
    <w:rsid w:val="349D05AC"/>
    <w:rsid w:val="34BB4966"/>
    <w:rsid w:val="34C401D1"/>
    <w:rsid w:val="35401C98"/>
    <w:rsid w:val="35C97D56"/>
    <w:rsid w:val="35EE5D6B"/>
    <w:rsid w:val="36056CF3"/>
    <w:rsid w:val="3637765B"/>
    <w:rsid w:val="363A3F05"/>
    <w:rsid w:val="365311E6"/>
    <w:rsid w:val="367112A8"/>
    <w:rsid w:val="36F2030A"/>
    <w:rsid w:val="37473FEE"/>
    <w:rsid w:val="374C526C"/>
    <w:rsid w:val="375445E4"/>
    <w:rsid w:val="376964D6"/>
    <w:rsid w:val="378D71CC"/>
    <w:rsid w:val="379A5AEA"/>
    <w:rsid w:val="379C3619"/>
    <w:rsid w:val="382549A5"/>
    <w:rsid w:val="382C7BC7"/>
    <w:rsid w:val="384A2F51"/>
    <w:rsid w:val="387C3364"/>
    <w:rsid w:val="38CC73F3"/>
    <w:rsid w:val="38E47B73"/>
    <w:rsid w:val="39243428"/>
    <w:rsid w:val="395B66C1"/>
    <w:rsid w:val="395E3B0F"/>
    <w:rsid w:val="398F18EA"/>
    <w:rsid w:val="39AE15AC"/>
    <w:rsid w:val="39B656E8"/>
    <w:rsid w:val="39E83FB4"/>
    <w:rsid w:val="3A153790"/>
    <w:rsid w:val="3A1F11A7"/>
    <w:rsid w:val="3A6B223B"/>
    <w:rsid w:val="3A86575A"/>
    <w:rsid w:val="3ADB3314"/>
    <w:rsid w:val="3B115AB0"/>
    <w:rsid w:val="3B341FC1"/>
    <w:rsid w:val="3B6F11E8"/>
    <w:rsid w:val="3B732683"/>
    <w:rsid w:val="3B732951"/>
    <w:rsid w:val="3B851216"/>
    <w:rsid w:val="3BB50A32"/>
    <w:rsid w:val="3C3103EF"/>
    <w:rsid w:val="3C800180"/>
    <w:rsid w:val="3D0B4A9A"/>
    <w:rsid w:val="3D511D9A"/>
    <w:rsid w:val="3D517AA3"/>
    <w:rsid w:val="3D5320BC"/>
    <w:rsid w:val="3D605A78"/>
    <w:rsid w:val="3DA349DC"/>
    <w:rsid w:val="3DD86B5C"/>
    <w:rsid w:val="3DF54661"/>
    <w:rsid w:val="3E342A60"/>
    <w:rsid w:val="3E3457B0"/>
    <w:rsid w:val="3E9753EA"/>
    <w:rsid w:val="3E9948D1"/>
    <w:rsid w:val="3EE41CB3"/>
    <w:rsid w:val="3F0D000C"/>
    <w:rsid w:val="3F43088C"/>
    <w:rsid w:val="3F517BDD"/>
    <w:rsid w:val="3F5E71A0"/>
    <w:rsid w:val="3F7F3F6B"/>
    <w:rsid w:val="3F910ABF"/>
    <w:rsid w:val="3FAA346A"/>
    <w:rsid w:val="3FAB317E"/>
    <w:rsid w:val="40602185"/>
    <w:rsid w:val="406D3C7A"/>
    <w:rsid w:val="408D0A8F"/>
    <w:rsid w:val="408F2E59"/>
    <w:rsid w:val="40D74A6A"/>
    <w:rsid w:val="40DD4529"/>
    <w:rsid w:val="414920DE"/>
    <w:rsid w:val="41550B18"/>
    <w:rsid w:val="41E371A6"/>
    <w:rsid w:val="4206324A"/>
    <w:rsid w:val="423E63F3"/>
    <w:rsid w:val="42977A07"/>
    <w:rsid w:val="42B01A80"/>
    <w:rsid w:val="42B540C6"/>
    <w:rsid w:val="42C817D4"/>
    <w:rsid w:val="430116F2"/>
    <w:rsid w:val="43124DBF"/>
    <w:rsid w:val="43267EE9"/>
    <w:rsid w:val="434114AD"/>
    <w:rsid w:val="43411BCB"/>
    <w:rsid w:val="435C4BA0"/>
    <w:rsid w:val="4373005F"/>
    <w:rsid w:val="43A03188"/>
    <w:rsid w:val="43FB394E"/>
    <w:rsid w:val="43FB4815"/>
    <w:rsid w:val="44067E24"/>
    <w:rsid w:val="4421724A"/>
    <w:rsid w:val="442418FE"/>
    <w:rsid w:val="44781DAA"/>
    <w:rsid w:val="44C9249B"/>
    <w:rsid w:val="44CA357E"/>
    <w:rsid w:val="44F84C67"/>
    <w:rsid w:val="455A6E18"/>
    <w:rsid w:val="4587776E"/>
    <w:rsid w:val="45AB3E74"/>
    <w:rsid w:val="45CF460B"/>
    <w:rsid w:val="45E27E1E"/>
    <w:rsid w:val="46142700"/>
    <w:rsid w:val="46371A7E"/>
    <w:rsid w:val="46A53F9E"/>
    <w:rsid w:val="470316C4"/>
    <w:rsid w:val="470E368E"/>
    <w:rsid w:val="472471F5"/>
    <w:rsid w:val="477631E0"/>
    <w:rsid w:val="479512C3"/>
    <w:rsid w:val="47957523"/>
    <w:rsid w:val="47AC7367"/>
    <w:rsid w:val="47AD6319"/>
    <w:rsid w:val="47BA5BC1"/>
    <w:rsid w:val="47C7285C"/>
    <w:rsid w:val="480C69CA"/>
    <w:rsid w:val="483254D4"/>
    <w:rsid w:val="487519F9"/>
    <w:rsid w:val="490046BC"/>
    <w:rsid w:val="49097735"/>
    <w:rsid w:val="491A7813"/>
    <w:rsid w:val="491B178F"/>
    <w:rsid w:val="496D392E"/>
    <w:rsid w:val="49723BBE"/>
    <w:rsid w:val="497F756E"/>
    <w:rsid w:val="498E7313"/>
    <w:rsid w:val="499B629D"/>
    <w:rsid w:val="49E013B0"/>
    <w:rsid w:val="49E229FC"/>
    <w:rsid w:val="4A013C4D"/>
    <w:rsid w:val="4A0A5885"/>
    <w:rsid w:val="4A5751EC"/>
    <w:rsid w:val="4A7B3947"/>
    <w:rsid w:val="4A817DD7"/>
    <w:rsid w:val="4A9225BA"/>
    <w:rsid w:val="4ABC7435"/>
    <w:rsid w:val="4ADA29D1"/>
    <w:rsid w:val="4B050CA9"/>
    <w:rsid w:val="4B073A5C"/>
    <w:rsid w:val="4B0F195B"/>
    <w:rsid w:val="4B1D22DC"/>
    <w:rsid w:val="4B387880"/>
    <w:rsid w:val="4B44760D"/>
    <w:rsid w:val="4B5C5D27"/>
    <w:rsid w:val="4B5E326D"/>
    <w:rsid w:val="4B840ACD"/>
    <w:rsid w:val="4B88653D"/>
    <w:rsid w:val="4B8C42AD"/>
    <w:rsid w:val="4BC51F60"/>
    <w:rsid w:val="4BF72474"/>
    <w:rsid w:val="4C0B1247"/>
    <w:rsid w:val="4C2E5AE5"/>
    <w:rsid w:val="4C453AEC"/>
    <w:rsid w:val="4C4F0B45"/>
    <w:rsid w:val="4CD45629"/>
    <w:rsid w:val="4CE92A73"/>
    <w:rsid w:val="4D7908B5"/>
    <w:rsid w:val="4DA74A82"/>
    <w:rsid w:val="4DA969FC"/>
    <w:rsid w:val="4DB73FDD"/>
    <w:rsid w:val="4DC1243A"/>
    <w:rsid w:val="4DE8080A"/>
    <w:rsid w:val="4E3A4122"/>
    <w:rsid w:val="4E3B70D2"/>
    <w:rsid w:val="4E487B22"/>
    <w:rsid w:val="4E5C3A58"/>
    <w:rsid w:val="4F066320"/>
    <w:rsid w:val="4F0C4606"/>
    <w:rsid w:val="4F221421"/>
    <w:rsid w:val="4F4E6EBF"/>
    <w:rsid w:val="4F563CC4"/>
    <w:rsid w:val="4F7D4C71"/>
    <w:rsid w:val="4FA80A1B"/>
    <w:rsid w:val="4FCA7073"/>
    <w:rsid w:val="4FE259E9"/>
    <w:rsid w:val="4FFD4509"/>
    <w:rsid w:val="50092961"/>
    <w:rsid w:val="501D7C2E"/>
    <w:rsid w:val="506C3A28"/>
    <w:rsid w:val="50963550"/>
    <w:rsid w:val="50B63F8E"/>
    <w:rsid w:val="50ED4DCC"/>
    <w:rsid w:val="512C7508"/>
    <w:rsid w:val="51696AFA"/>
    <w:rsid w:val="51C748D5"/>
    <w:rsid w:val="51E732F9"/>
    <w:rsid w:val="52306A4E"/>
    <w:rsid w:val="52321D93"/>
    <w:rsid w:val="52420452"/>
    <w:rsid w:val="524A5FDD"/>
    <w:rsid w:val="52533FC1"/>
    <w:rsid w:val="52DD1D3A"/>
    <w:rsid w:val="530973DA"/>
    <w:rsid w:val="530B5585"/>
    <w:rsid w:val="53844EE2"/>
    <w:rsid w:val="53BB70AD"/>
    <w:rsid w:val="53DA43C4"/>
    <w:rsid w:val="53E267AB"/>
    <w:rsid w:val="54760C93"/>
    <w:rsid w:val="54BD0AD2"/>
    <w:rsid w:val="54D02C4B"/>
    <w:rsid w:val="54F0543D"/>
    <w:rsid w:val="55112B45"/>
    <w:rsid w:val="551560C9"/>
    <w:rsid w:val="551D1A51"/>
    <w:rsid w:val="55351206"/>
    <w:rsid w:val="55653C63"/>
    <w:rsid w:val="558B7921"/>
    <w:rsid w:val="558F79BB"/>
    <w:rsid w:val="55A07645"/>
    <w:rsid w:val="55A649AE"/>
    <w:rsid w:val="55D93627"/>
    <w:rsid w:val="55D9613F"/>
    <w:rsid w:val="56206CE8"/>
    <w:rsid w:val="563D7167"/>
    <w:rsid w:val="56462E30"/>
    <w:rsid w:val="56602AF8"/>
    <w:rsid w:val="567B7E1B"/>
    <w:rsid w:val="568F0456"/>
    <w:rsid w:val="569D1848"/>
    <w:rsid w:val="56B13A64"/>
    <w:rsid w:val="56BA3AA0"/>
    <w:rsid w:val="56CF6D97"/>
    <w:rsid w:val="56D66689"/>
    <w:rsid w:val="570E46A2"/>
    <w:rsid w:val="57847C36"/>
    <w:rsid w:val="57C06AC6"/>
    <w:rsid w:val="57CA5A63"/>
    <w:rsid w:val="58012887"/>
    <w:rsid w:val="586A742C"/>
    <w:rsid w:val="5881039C"/>
    <w:rsid w:val="58C134D7"/>
    <w:rsid w:val="58C94C3F"/>
    <w:rsid w:val="58D5685F"/>
    <w:rsid w:val="591E42EB"/>
    <w:rsid w:val="592A1676"/>
    <w:rsid w:val="59551BB4"/>
    <w:rsid w:val="597C07D7"/>
    <w:rsid w:val="5981129D"/>
    <w:rsid w:val="59AF611B"/>
    <w:rsid w:val="59B92A87"/>
    <w:rsid w:val="59E71DDE"/>
    <w:rsid w:val="5A064D2E"/>
    <w:rsid w:val="5A53496E"/>
    <w:rsid w:val="5A7756D8"/>
    <w:rsid w:val="5A96078C"/>
    <w:rsid w:val="5AB26E54"/>
    <w:rsid w:val="5AB67D0C"/>
    <w:rsid w:val="5ABB0552"/>
    <w:rsid w:val="5AC87CD6"/>
    <w:rsid w:val="5AE85A5C"/>
    <w:rsid w:val="5AF4785F"/>
    <w:rsid w:val="5AFE4371"/>
    <w:rsid w:val="5B0E7915"/>
    <w:rsid w:val="5B18744E"/>
    <w:rsid w:val="5B1F58B2"/>
    <w:rsid w:val="5B2A4C3B"/>
    <w:rsid w:val="5B49753A"/>
    <w:rsid w:val="5B53389E"/>
    <w:rsid w:val="5BC63955"/>
    <w:rsid w:val="5C4A2BD7"/>
    <w:rsid w:val="5C602C7F"/>
    <w:rsid w:val="5CAE46CA"/>
    <w:rsid w:val="5CAF68F6"/>
    <w:rsid w:val="5CBF649B"/>
    <w:rsid w:val="5CC2202B"/>
    <w:rsid w:val="5CF84E92"/>
    <w:rsid w:val="5D213D72"/>
    <w:rsid w:val="5D3E2967"/>
    <w:rsid w:val="5D48107A"/>
    <w:rsid w:val="5D63632E"/>
    <w:rsid w:val="5DCF5083"/>
    <w:rsid w:val="5DD63758"/>
    <w:rsid w:val="5DDA2428"/>
    <w:rsid w:val="5DED0F27"/>
    <w:rsid w:val="5DF27921"/>
    <w:rsid w:val="5E2775BD"/>
    <w:rsid w:val="5E2D6BB4"/>
    <w:rsid w:val="5E326512"/>
    <w:rsid w:val="5E4205CC"/>
    <w:rsid w:val="5E504C73"/>
    <w:rsid w:val="5E985E8A"/>
    <w:rsid w:val="5EE54D87"/>
    <w:rsid w:val="5F146F27"/>
    <w:rsid w:val="5F4955F3"/>
    <w:rsid w:val="5F7B45E0"/>
    <w:rsid w:val="5FB455AB"/>
    <w:rsid w:val="5FCF62BF"/>
    <w:rsid w:val="5FD539BB"/>
    <w:rsid w:val="5FD8479E"/>
    <w:rsid w:val="5FE26067"/>
    <w:rsid w:val="5FEF4FD0"/>
    <w:rsid w:val="5FF11588"/>
    <w:rsid w:val="5FF7262C"/>
    <w:rsid w:val="60585DBB"/>
    <w:rsid w:val="605F5EFD"/>
    <w:rsid w:val="609F50E9"/>
    <w:rsid w:val="60BE791B"/>
    <w:rsid w:val="610E4977"/>
    <w:rsid w:val="61394E2C"/>
    <w:rsid w:val="615A41CF"/>
    <w:rsid w:val="617445D1"/>
    <w:rsid w:val="619C0FFB"/>
    <w:rsid w:val="61FE7898"/>
    <w:rsid w:val="62002852"/>
    <w:rsid w:val="620F48D2"/>
    <w:rsid w:val="621C7A8F"/>
    <w:rsid w:val="62640951"/>
    <w:rsid w:val="62A120B8"/>
    <w:rsid w:val="62F475B6"/>
    <w:rsid w:val="630C6A64"/>
    <w:rsid w:val="630E2DDB"/>
    <w:rsid w:val="631F7E44"/>
    <w:rsid w:val="63376FCF"/>
    <w:rsid w:val="637C04DD"/>
    <w:rsid w:val="6388456E"/>
    <w:rsid w:val="63964CCA"/>
    <w:rsid w:val="63B3451B"/>
    <w:rsid w:val="63E513A6"/>
    <w:rsid w:val="644B4B7C"/>
    <w:rsid w:val="646D4453"/>
    <w:rsid w:val="648D18F2"/>
    <w:rsid w:val="64B83D4E"/>
    <w:rsid w:val="64CC3B1B"/>
    <w:rsid w:val="64EA7169"/>
    <w:rsid w:val="652A2E44"/>
    <w:rsid w:val="65322CBF"/>
    <w:rsid w:val="654E4849"/>
    <w:rsid w:val="65686657"/>
    <w:rsid w:val="65747A21"/>
    <w:rsid w:val="65BD69EB"/>
    <w:rsid w:val="65FD3850"/>
    <w:rsid w:val="663F20F7"/>
    <w:rsid w:val="664977CF"/>
    <w:rsid w:val="669628E0"/>
    <w:rsid w:val="66A46E3C"/>
    <w:rsid w:val="66CD4C46"/>
    <w:rsid w:val="66EC4975"/>
    <w:rsid w:val="66F92550"/>
    <w:rsid w:val="67016B09"/>
    <w:rsid w:val="670B5FBB"/>
    <w:rsid w:val="67203D95"/>
    <w:rsid w:val="67492634"/>
    <w:rsid w:val="67597141"/>
    <w:rsid w:val="67902011"/>
    <w:rsid w:val="67AE1FE5"/>
    <w:rsid w:val="67E005F1"/>
    <w:rsid w:val="67F83FF2"/>
    <w:rsid w:val="681B27B3"/>
    <w:rsid w:val="683116BC"/>
    <w:rsid w:val="684115C5"/>
    <w:rsid w:val="688F3871"/>
    <w:rsid w:val="68B97345"/>
    <w:rsid w:val="68CD7200"/>
    <w:rsid w:val="68DC76F5"/>
    <w:rsid w:val="68E74072"/>
    <w:rsid w:val="68FD36D6"/>
    <w:rsid w:val="69173BDC"/>
    <w:rsid w:val="691F4B2B"/>
    <w:rsid w:val="698A46C7"/>
    <w:rsid w:val="69BD4674"/>
    <w:rsid w:val="69CE3A4A"/>
    <w:rsid w:val="69EB46FB"/>
    <w:rsid w:val="6A036769"/>
    <w:rsid w:val="6A325674"/>
    <w:rsid w:val="6A4D2C84"/>
    <w:rsid w:val="6A52291B"/>
    <w:rsid w:val="6A7B10E5"/>
    <w:rsid w:val="6A817F02"/>
    <w:rsid w:val="6A8A48EA"/>
    <w:rsid w:val="6ABF2B74"/>
    <w:rsid w:val="6B263504"/>
    <w:rsid w:val="6B351E6F"/>
    <w:rsid w:val="6B4965EF"/>
    <w:rsid w:val="6B635C45"/>
    <w:rsid w:val="6B6B2088"/>
    <w:rsid w:val="6B7A4051"/>
    <w:rsid w:val="6BE14999"/>
    <w:rsid w:val="6BE937E3"/>
    <w:rsid w:val="6BFB5FD1"/>
    <w:rsid w:val="6C5A0E3F"/>
    <w:rsid w:val="6C9D6CB8"/>
    <w:rsid w:val="6C9E0F7A"/>
    <w:rsid w:val="6CB107A0"/>
    <w:rsid w:val="6D026005"/>
    <w:rsid w:val="6D12175F"/>
    <w:rsid w:val="6D1F5AF0"/>
    <w:rsid w:val="6D825D40"/>
    <w:rsid w:val="6DCC6081"/>
    <w:rsid w:val="6E1D76E4"/>
    <w:rsid w:val="6E544C48"/>
    <w:rsid w:val="6E67178A"/>
    <w:rsid w:val="6E726FB2"/>
    <w:rsid w:val="6E892451"/>
    <w:rsid w:val="6ED54165"/>
    <w:rsid w:val="6F0C74B5"/>
    <w:rsid w:val="6F3657AD"/>
    <w:rsid w:val="6F3B10C9"/>
    <w:rsid w:val="6F5B091E"/>
    <w:rsid w:val="6F635516"/>
    <w:rsid w:val="6F6752D8"/>
    <w:rsid w:val="6F8A1C5E"/>
    <w:rsid w:val="6F974373"/>
    <w:rsid w:val="6FAF7C66"/>
    <w:rsid w:val="6FC71802"/>
    <w:rsid w:val="6FC74058"/>
    <w:rsid w:val="6FC77E41"/>
    <w:rsid w:val="6FFB675E"/>
    <w:rsid w:val="70040E87"/>
    <w:rsid w:val="704871A4"/>
    <w:rsid w:val="70592DFA"/>
    <w:rsid w:val="70694F36"/>
    <w:rsid w:val="70880C5C"/>
    <w:rsid w:val="70B523D0"/>
    <w:rsid w:val="70D11DC8"/>
    <w:rsid w:val="70DD3906"/>
    <w:rsid w:val="70F354F2"/>
    <w:rsid w:val="7105102E"/>
    <w:rsid w:val="7109479F"/>
    <w:rsid w:val="7143434F"/>
    <w:rsid w:val="715E585E"/>
    <w:rsid w:val="71822F83"/>
    <w:rsid w:val="719B076B"/>
    <w:rsid w:val="71DC2403"/>
    <w:rsid w:val="720F6180"/>
    <w:rsid w:val="722B42B6"/>
    <w:rsid w:val="7249173A"/>
    <w:rsid w:val="72E62E0C"/>
    <w:rsid w:val="72EC7281"/>
    <w:rsid w:val="730C5B99"/>
    <w:rsid w:val="73393BC2"/>
    <w:rsid w:val="73471C4F"/>
    <w:rsid w:val="737B44DB"/>
    <w:rsid w:val="73B92E32"/>
    <w:rsid w:val="7407365B"/>
    <w:rsid w:val="741A4B82"/>
    <w:rsid w:val="74262B1B"/>
    <w:rsid w:val="744E07DE"/>
    <w:rsid w:val="74582108"/>
    <w:rsid w:val="746F6A78"/>
    <w:rsid w:val="747F1F65"/>
    <w:rsid w:val="749962A1"/>
    <w:rsid w:val="74A6094A"/>
    <w:rsid w:val="74B23D8F"/>
    <w:rsid w:val="74CC21DF"/>
    <w:rsid w:val="74E16F35"/>
    <w:rsid w:val="74E945C8"/>
    <w:rsid w:val="753F3D93"/>
    <w:rsid w:val="75532D3D"/>
    <w:rsid w:val="75826339"/>
    <w:rsid w:val="758805C2"/>
    <w:rsid w:val="7588697C"/>
    <w:rsid w:val="75F71914"/>
    <w:rsid w:val="761F2330"/>
    <w:rsid w:val="763F26D5"/>
    <w:rsid w:val="764D0528"/>
    <w:rsid w:val="76C82F19"/>
    <w:rsid w:val="76F06BCE"/>
    <w:rsid w:val="77045A49"/>
    <w:rsid w:val="77266E5A"/>
    <w:rsid w:val="77291B31"/>
    <w:rsid w:val="775C7088"/>
    <w:rsid w:val="77676119"/>
    <w:rsid w:val="77701354"/>
    <w:rsid w:val="77713434"/>
    <w:rsid w:val="77750DFA"/>
    <w:rsid w:val="77902D8C"/>
    <w:rsid w:val="779A189F"/>
    <w:rsid w:val="781F51BA"/>
    <w:rsid w:val="78494544"/>
    <w:rsid w:val="78571CD3"/>
    <w:rsid w:val="78E431C4"/>
    <w:rsid w:val="78EB4A40"/>
    <w:rsid w:val="79BB696B"/>
    <w:rsid w:val="79C91DEA"/>
    <w:rsid w:val="79F944AF"/>
    <w:rsid w:val="7A0D129F"/>
    <w:rsid w:val="7A1347A9"/>
    <w:rsid w:val="7A2F69EB"/>
    <w:rsid w:val="7A3016C2"/>
    <w:rsid w:val="7A4413F9"/>
    <w:rsid w:val="7A5711E4"/>
    <w:rsid w:val="7A822D65"/>
    <w:rsid w:val="7AEA0E27"/>
    <w:rsid w:val="7B253B09"/>
    <w:rsid w:val="7B7D275E"/>
    <w:rsid w:val="7BAF6112"/>
    <w:rsid w:val="7BB265A2"/>
    <w:rsid w:val="7BBE1FE9"/>
    <w:rsid w:val="7C4A702F"/>
    <w:rsid w:val="7C735E4E"/>
    <w:rsid w:val="7CD67CB3"/>
    <w:rsid w:val="7CD736FE"/>
    <w:rsid w:val="7CD97B5E"/>
    <w:rsid w:val="7CF260F0"/>
    <w:rsid w:val="7D071AF5"/>
    <w:rsid w:val="7D1D3EEF"/>
    <w:rsid w:val="7D394FD8"/>
    <w:rsid w:val="7D7E7646"/>
    <w:rsid w:val="7D86492C"/>
    <w:rsid w:val="7DC26738"/>
    <w:rsid w:val="7DCF5E11"/>
    <w:rsid w:val="7DF42718"/>
    <w:rsid w:val="7E0E3708"/>
    <w:rsid w:val="7E1F05BC"/>
    <w:rsid w:val="7E4D58EA"/>
    <w:rsid w:val="7E537127"/>
    <w:rsid w:val="7E972C19"/>
    <w:rsid w:val="7EBB2BFC"/>
    <w:rsid w:val="7EF649F8"/>
    <w:rsid w:val="7F181845"/>
    <w:rsid w:val="7F6E4E40"/>
    <w:rsid w:val="7F7E2419"/>
    <w:rsid w:val="7F81240C"/>
    <w:rsid w:val="7F856BE9"/>
    <w:rsid w:val="7FE16B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3"/>
    <w:qFormat/>
    <w:uiPriority w:val="99"/>
    <w:pPr>
      <w:spacing w:before="260" w:after="260" w:line="416" w:lineRule="atLeast"/>
      <w:outlineLvl w:val="1"/>
    </w:pPr>
    <w:rPr>
      <w:rFonts w:ascii="Cambria" w:hAnsi="Cambria"/>
      <w:sz w:val="32"/>
      <w:szCs w:val="32"/>
    </w:rPr>
  </w:style>
  <w:style w:type="paragraph" w:styleId="6">
    <w:name w:val="heading 3"/>
    <w:basedOn w:val="1"/>
    <w:next w:val="1"/>
    <w:link w:val="113"/>
    <w:qFormat/>
    <w:uiPriority w:val="99"/>
    <w:pPr>
      <w:tabs>
        <w:tab w:val="left" w:pos="588"/>
      </w:tabs>
      <w:spacing w:line="360" w:lineRule="auto"/>
      <w:outlineLvl w:val="2"/>
    </w:pPr>
    <w:rPr>
      <w:rFonts w:ascii="Tahoma" w:hAnsi="Tahoma"/>
    </w:rPr>
  </w:style>
  <w:style w:type="paragraph" w:styleId="3">
    <w:name w:val="heading 4"/>
    <w:basedOn w:val="1"/>
    <w:next w:val="1"/>
    <w:link w:val="140"/>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2"/>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3"/>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8"/>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5"/>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4"/>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0"/>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6"/>
    <w:qFormat/>
    <w:uiPriority w:val="0"/>
    <w:pPr>
      <w:spacing w:line="360" w:lineRule="auto"/>
      <w:ind w:firstLine="200" w:firstLineChars="200"/>
    </w:pPr>
    <w:rPr>
      <w:sz w:val="24"/>
      <w:szCs w:val="20"/>
    </w:rPr>
  </w:style>
  <w:style w:type="paragraph" w:styleId="16">
    <w:name w:val="caption"/>
    <w:basedOn w:val="1"/>
    <w:next w:val="1"/>
    <w:link w:val="94"/>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0"/>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0"/>
    <w:qFormat/>
    <w:uiPriority w:val="0"/>
    <w:pPr>
      <w:jc w:val="left"/>
    </w:pPr>
    <w:rPr>
      <w:rFonts w:ascii="Tahoma" w:hAnsi="Tahoma"/>
    </w:rPr>
  </w:style>
  <w:style w:type="paragraph" w:styleId="21">
    <w:name w:val="Salutation"/>
    <w:basedOn w:val="14"/>
    <w:next w:val="14"/>
    <w:link w:val="199"/>
    <w:qFormat/>
    <w:uiPriority w:val="0"/>
    <w:rPr>
      <w:rFonts w:ascii="..ì." w:eastAsia="..ì." w:cs="Times New Roman"/>
      <w:color w:val="auto"/>
      <w:szCs w:val="20"/>
    </w:rPr>
  </w:style>
  <w:style w:type="paragraph" w:styleId="22">
    <w:name w:val="Body Text 3"/>
    <w:basedOn w:val="1"/>
    <w:link w:val="207"/>
    <w:qFormat/>
    <w:uiPriority w:val="99"/>
    <w:pPr>
      <w:spacing w:after="120"/>
    </w:pPr>
    <w:rPr>
      <w:rFonts w:eastAsia="宋体"/>
      <w:sz w:val="16"/>
      <w:szCs w:val="16"/>
    </w:rPr>
  </w:style>
  <w:style w:type="paragraph" w:styleId="23">
    <w:name w:val="Body Text Indent"/>
    <w:basedOn w:val="1"/>
    <w:next w:val="24"/>
    <w:link w:val="166"/>
    <w:qFormat/>
    <w:uiPriority w:val="99"/>
    <w:pPr>
      <w:widowControl/>
      <w:spacing w:line="360" w:lineRule="auto"/>
      <w:ind w:firstLine="709"/>
      <w:jc w:val="left"/>
    </w:pPr>
    <w:rPr>
      <w:rFonts w:ascii="Tahoma" w:hAnsi="Tahoma"/>
    </w:rPr>
  </w:style>
  <w:style w:type="paragraph" w:styleId="24">
    <w:name w:val="Body Text First Indent 2"/>
    <w:basedOn w:val="23"/>
    <w:next w:val="1"/>
    <w:link w:val="167"/>
    <w:qFormat/>
    <w:uiPriority w:val="0"/>
    <w:pPr>
      <w:widowControl w:val="0"/>
      <w:spacing w:after="120" w:line="240" w:lineRule="auto"/>
      <w:ind w:left="420" w:leftChars="200" w:firstLine="420" w:firstLineChars="200"/>
      <w:jc w:val="both"/>
    </w:pPr>
    <w:rPr>
      <w:rFonts w:ascii="Times New Roman" w:hAnsi="Times New Roman" w:eastAsia="宋体"/>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1"/>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7"/>
    <w:qFormat/>
    <w:uiPriority w:val="99"/>
    <w:pPr>
      <w:spacing w:line="360" w:lineRule="auto"/>
      <w:ind w:left="2500" w:leftChars="2500"/>
    </w:pPr>
    <w:rPr>
      <w:rFonts w:ascii="Tahoma" w:hAnsi="Tahoma"/>
    </w:rPr>
  </w:style>
  <w:style w:type="paragraph" w:styleId="32">
    <w:name w:val="Body Text Indent 2"/>
    <w:basedOn w:val="1"/>
    <w:link w:val="162"/>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6"/>
    <w:qFormat/>
    <w:uiPriority w:val="0"/>
    <w:rPr>
      <w:sz w:val="18"/>
      <w:szCs w:val="18"/>
    </w:rPr>
  </w:style>
  <w:style w:type="paragraph" w:styleId="34">
    <w:name w:val="footer"/>
    <w:basedOn w:val="1"/>
    <w:link w:val="137"/>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2"/>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0"/>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68"/>
    <w:qFormat/>
    <w:uiPriority w:val="99"/>
    <w:pPr>
      <w:spacing w:line="360" w:lineRule="auto"/>
      <w:ind w:right="26"/>
    </w:pPr>
    <w:rPr>
      <w:rFonts w:ascii="宋体" w:eastAsia="宋体"/>
      <w:szCs w:val="20"/>
    </w:rPr>
  </w:style>
  <w:style w:type="paragraph" w:styleId="44">
    <w:name w:val="HTML Preformatted"/>
    <w:basedOn w:val="1"/>
    <w:link w:val="2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4"/>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28"/>
    <w:unhideWhenUsed/>
    <w:qFormat/>
    <w:uiPriority w:val="99"/>
    <w:pPr>
      <w:spacing w:line="440" w:lineRule="exact"/>
    </w:pPr>
    <w:rPr>
      <w:b/>
      <w:bCs/>
      <w:sz w:val="24"/>
      <w:szCs w:val="28"/>
    </w:rPr>
  </w:style>
  <w:style w:type="paragraph" w:styleId="49">
    <w:name w:val="Body Text First Indent"/>
    <w:basedOn w:val="2"/>
    <w:next w:val="24"/>
    <w:link w:val="131"/>
    <w:qFormat/>
    <w:uiPriority w:val="0"/>
    <w:pPr>
      <w:spacing w:after="120" w:line="240" w:lineRule="auto"/>
      <w:ind w:firstLine="100" w:firstLineChars="100"/>
    </w:p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正文缩进1"/>
    <w:basedOn w:val="1"/>
    <w:qFormat/>
    <w:uiPriority w:val="0"/>
    <w:pPr>
      <w:ind w:firstLine="420" w:firstLineChars="200"/>
    </w:pPr>
  </w:style>
  <w:style w:type="paragraph" w:customStyle="1" w:styleId="6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unhideWhenUsed/>
    <w:qFormat/>
    <w:uiPriority w:val="0"/>
    <w:pPr>
      <w:ind w:firstLine="420" w:firstLineChars="200"/>
    </w:pPr>
  </w:style>
  <w:style w:type="paragraph" w:customStyle="1" w:styleId="66">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qFormat/>
    <w:uiPriority w:val="99"/>
    <w:pPr>
      <w:ind w:firstLine="420" w:firstLineChars="200"/>
    </w:pPr>
    <w:rPr>
      <w:rFonts w:ascii="Calibri" w:hAnsi="Calibri"/>
      <w:szCs w:val="22"/>
    </w:rPr>
  </w:style>
  <w:style w:type="paragraph" w:styleId="68">
    <w:name w:val="List Paragraph"/>
    <w:basedOn w:val="1"/>
    <w:qFormat/>
    <w:uiPriority w:val="34"/>
    <w:pPr>
      <w:ind w:firstLine="420" w:firstLineChars="200"/>
    </w:pPr>
    <w:rPr>
      <w:rFonts w:ascii="Calibri" w:hAnsi="Calibri" w:eastAsia="宋体"/>
      <w:szCs w:val="22"/>
    </w:rPr>
  </w:style>
  <w:style w:type="paragraph" w:customStyle="1" w:styleId="69">
    <w:name w:val="_Style 2"/>
    <w:basedOn w:val="1"/>
    <w:qFormat/>
    <w:uiPriority w:val="34"/>
    <w:pPr>
      <w:ind w:firstLine="420" w:firstLineChars="200"/>
    </w:pPr>
    <w:rPr>
      <w:rFonts w:ascii="Calibri" w:hAnsi="Calibri"/>
      <w:szCs w:val="22"/>
    </w:rPr>
  </w:style>
  <w:style w:type="paragraph" w:customStyle="1" w:styleId="70">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4"/>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7"/>
    <w:qFormat/>
    <w:uiPriority w:val="0"/>
    <w:pPr>
      <w:tabs>
        <w:tab w:val="left" w:pos="567"/>
      </w:tabs>
      <w:wordWrap w:val="0"/>
      <w:spacing w:line="377" w:lineRule="auto"/>
      <w:ind w:left="567" w:hanging="567"/>
      <w:jc w:val="left"/>
    </w:pPr>
  </w:style>
  <w:style w:type="paragraph" w:customStyle="1" w:styleId="76">
    <w:name w:val="表格格式"/>
    <w:basedOn w:val="1"/>
    <w:qFormat/>
    <w:uiPriority w:val="0"/>
    <w:pPr>
      <w:adjustRightInd w:val="0"/>
      <w:snapToGrid w:val="0"/>
      <w:jc w:val="left"/>
      <w:textAlignment w:val="baseline"/>
    </w:pPr>
    <w:rPr>
      <w:rFonts w:ascii="宋体"/>
      <w:kern w:val="0"/>
      <w:szCs w:val="20"/>
    </w:rPr>
  </w:style>
  <w:style w:type="paragraph" w:customStyle="1" w:styleId="77">
    <w:name w:val="样式5"/>
    <w:basedOn w:val="15"/>
    <w:qFormat/>
    <w:uiPriority w:val="0"/>
    <w:pPr>
      <w:ind w:firstLine="420"/>
    </w:pPr>
    <w:rPr>
      <w:sz w:val="21"/>
      <w:szCs w:val="21"/>
    </w:rPr>
  </w:style>
  <w:style w:type="paragraph" w:customStyle="1" w:styleId="78">
    <w:name w:val="标题2"/>
    <w:basedOn w:val="5"/>
    <w:next w:val="1"/>
    <w:link w:val="95"/>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5"/>
    <w:link w:val="106"/>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qFormat/>
    <w:uiPriority w:val="0"/>
    <w:pPr>
      <w:spacing w:line="300" w:lineRule="auto"/>
      <w:jc w:val="center"/>
      <w:outlineLvl w:val="0"/>
    </w:pPr>
    <w:rPr>
      <w:b/>
      <w:sz w:val="24"/>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6"/>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6"/>
    <w:link w:val="132"/>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
    <w:qFormat/>
    <w:uiPriority w:val="0"/>
    <w:pPr>
      <w:suppressAutoHyphens/>
      <w:spacing w:line="300" w:lineRule="auto"/>
      <w:ind w:left="426"/>
    </w:pPr>
    <w:rPr>
      <w:rFonts w:ascii="宋体" w:hAnsi="宋体"/>
      <w:szCs w:val="20"/>
    </w:rPr>
  </w:style>
  <w:style w:type="paragraph" w:customStyle="1" w:styleId="89">
    <w:name w:val="纯文本1"/>
    <w:basedOn w:val="1"/>
    <w:qFormat/>
    <w:uiPriority w:val="0"/>
    <w:rPr>
      <w:rFonts w:ascii="宋体" w:hAnsi="Courier New"/>
    </w:rPr>
  </w:style>
  <w:style w:type="paragraph" w:customStyle="1" w:styleId="90">
    <w:name w:val="样式 首行不缩进"/>
    <w:basedOn w:val="1"/>
    <w:qFormat/>
    <w:uiPriority w:val="0"/>
    <w:pPr>
      <w:spacing w:before="120" w:after="120" w:line="360" w:lineRule="auto"/>
      <w:jc w:val="center"/>
    </w:pPr>
    <w:rPr>
      <w:rFonts w:cs="宋体"/>
      <w:sz w:val="24"/>
      <w:szCs w:val="20"/>
    </w:rPr>
  </w:style>
  <w:style w:type="paragraph" w:customStyle="1" w:styleId="91">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字符"/>
    <w:link w:val="16"/>
    <w:qFormat/>
    <w:uiPriority w:val="0"/>
    <w:rPr>
      <w:rFonts w:ascii="华文中宋" w:eastAsia="华文中宋"/>
      <w:kern w:val="2"/>
      <w:sz w:val="36"/>
    </w:rPr>
  </w:style>
  <w:style w:type="character" w:customStyle="1" w:styleId="95">
    <w:name w:val="标题2 Char Char"/>
    <w:link w:val="78"/>
    <w:qFormat/>
    <w:uiPriority w:val="0"/>
    <w:rPr>
      <w:rFonts w:eastAsia="黑体"/>
      <w:kern w:val="2"/>
      <w:sz w:val="32"/>
      <w:szCs w:val="24"/>
    </w:rPr>
  </w:style>
  <w:style w:type="character" w:customStyle="1" w:styleId="96">
    <w:name w:val="批注框文本字符"/>
    <w:link w:val="33"/>
    <w:qFormat/>
    <w:uiPriority w:val="0"/>
    <w:rPr>
      <w:kern w:val="2"/>
      <w:sz w:val="18"/>
      <w:szCs w:val="18"/>
    </w:rPr>
  </w:style>
  <w:style w:type="character" w:customStyle="1" w:styleId="97">
    <w:name w:val="refresh"/>
    <w:basedOn w:val="52"/>
    <w:qFormat/>
    <w:uiPriority w:val="0"/>
  </w:style>
  <w:style w:type="character" w:customStyle="1" w:styleId="98">
    <w:name w:val="小列表 Char Char"/>
    <w:link w:val="92"/>
    <w:qFormat/>
    <w:uiPriority w:val="0"/>
    <w:rPr>
      <w:rFonts w:eastAsia="Arial Unicode MS"/>
      <w:kern w:val="2"/>
      <w:sz w:val="24"/>
      <w:szCs w:val="28"/>
    </w:rPr>
  </w:style>
  <w:style w:type="character" w:customStyle="1" w:styleId="99">
    <w:name w:val="del"/>
    <w:basedOn w:val="52"/>
    <w:qFormat/>
    <w:uiPriority w:val="0"/>
  </w:style>
  <w:style w:type="character" w:customStyle="1" w:styleId="100">
    <w:name w:val="批注文字字符"/>
    <w:link w:val="20"/>
    <w:qFormat/>
    <w:uiPriority w:val="0"/>
    <w:rPr>
      <w:rFonts w:ascii="Tahoma" w:hAnsi="Tahoma"/>
      <w:kern w:val="2"/>
      <w:sz w:val="21"/>
      <w:szCs w:val="24"/>
    </w:rPr>
  </w:style>
  <w:style w:type="character" w:customStyle="1" w:styleId="101">
    <w:name w:val="正文缩进 Char1"/>
    <w:qFormat/>
    <w:uiPriority w:val="0"/>
    <w:rPr>
      <w:rFonts w:eastAsia="宋体"/>
      <w:kern w:val="2"/>
      <w:sz w:val="21"/>
      <w:szCs w:val="24"/>
      <w:lang w:val="en-US" w:eastAsia="zh-CN" w:bidi="ar-SA"/>
    </w:rPr>
  </w:style>
  <w:style w:type="character" w:customStyle="1" w:styleId="102">
    <w:name w:val="标题 5字符"/>
    <w:link w:val="7"/>
    <w:qFormat/>
    <w:uiPriority w:val="99"/>
    <w:rPr>
      <w:b/>
      <w:bCs/>
      <w:kern w:val="2"/>
      <w:sz w:val="24"/>
      <w:szCs w:val="28"/>
    </w:rPr>
  </w:style>
  <w:style w:type="character" w:customStyle="1" w:styleId="103">
    <w:name w:val="标题 2字符"/>
    <w:link w:val="5"/>
    <w:qFormat/>
    <w:uiPriority w:val="99"/>
    <w:rPr>
      <w:rFonts w:ascii="Cambria" w:hAnsi="Cambria"/>
      <w:b/>
      <w:bCs/>
      <w:kern w:val="2"/>
      <w:sz w:val="32"/>
      <w:szCs w:val="32"/>
    </w:rPr>
  </w:style>
  <w:style w:type="character" w:customStyle="1" w:styleId="104">
    <w:name w:val="表格字体小四 Char Char"/>
    <w:link w:val="74"/>
    <w:qFormat/>
    <w:uiPriority w:val="0"/>
    <w:rPr>
      <w:kern w:val="2"/>
      <w:sz w:val="24"/>
      <w:szCs w:val="24"/>
      <w:lang w:val="en-US" w:eastAsia="zh-CN" w:bidi="ar-SA"/>
    </w:rPr>
  </w:style>
  <w:style w:type="character" w:customStyle="1" w:styleId="105">
    <w:name w:val="目录 Char Char"/>
    <w:link w:val="73"/>
    <w:qFormat/>
    <w:uiPriority w:val="0"/>
    <w:rPr>
      <w:rFonts w:ascii="仿宋_GB2312" w:hAnsi="宋体" w:eastAsia="仿宋_GB2312"/>
      <w:sz w:val="28"/>
      <w:szCs w:val="28"/>
      <w:lang w:val="en-US" w:eastAsia="zh-CN" w:bidi="ar-SA"/>
    </w:rPr>
  </w:style>
  <w:style w:type="character" w:customStyle="1" w:styleId="106">
    <w:name w:val="三级 Char Char"/>
    <w:link w:val="79"/>
    <w:qFormat/>
    <w:uiPriority w:val="0"/>
    <w:rPr>
      <w:rFonts w:eastAsia="黑体"/>
      <w:bCs/>
      <w:kern w:val="2"/>
      <w:sz w:val="30"/>
      <w:szCs w:val="24"/>
    </w:rPr>
  </w:style>
  <w:style w:type="character" w:customStyle="1" w:styleId="107">
    <w:name w:val="label"/>
    <w:basedOn w:val="52"/>
    <w:qFormat/>
    <w:uiPriority w:val="0"/>
  </w:style>
  <w:style w:type="character" w:customStyle="1" w:styleId="108">
    <w:name w:val="标题 8字符"/>
    <w:link w:val="10"/>
    <w:qFormat/>
    <w:uiPriority w:val="99"/>
    <w:rPr>
      <w:rFonts w:ascii="Arial" w:hAnsi="Arial" w:eastAsia="黑体"/>
      <w:kern w:val="2"/>
      <w:sz w:val="24"/>
      <w:szCs w:val="28"/>
    </w:rPr>
  </w:style>
  <w:style w:type="character" w:customStyle="1" w:styleId="109">
    <w:name w:val="open2"/>
    <w:basedOn w:val="52"/>
    <w:qFormat/>
    <w:uiPriority w:val="0"/>
  </w:style>
  <w:style w:type="character" w:customStyle="1" w:styleId="110">
    <w:name w:val="15"/>
    <w:qFormat/>
    <w:uiPriority w:val="0"/>
    <w:rPr>
      <w:rFonts w:hint="default" w:ascii="Calibri" w:hAnsi="Calibri" w:cs="Calibri"/>
      <w:color w:val="0000FF"/>
      <w:u w:val="single"/>
    </w:rPr>
  </w:style>
  <w:style w:type="character" w:customStyle="1" w:styleId="111">
    <w:name w:val="trans"/>
    <w:basedOn w:val="52"/>
    <w:qFormat/>
    <w:uiPriority w:val="0"/>
  </w:style>
  <w:style w:type="character" w:customStyle="1" w:styleId="112">
    <w:name w:val="del2"/>
    <w:basedOn w:val="52"/>
    <w:qFormat/>
    <w:uiPriority w:val="0"/>
  </w:style>
  <w:style w:type="character" w:customStyle="1" w:styleId="113">
    <w:name w:val="标题 3字符"/>
    <w:link w:val="6"/>
    <w:qFormat/>
    <w:uiPriority w:val="99"/>
    <w:rPr>
      <w:rFonts w:ascii="Tahoma" w:hAnsi="Tahoma"/>
      <w:b/>
      <w:bCs/>
      <w:kern w:val="2"/>
      <w:sz w:val="32"/>
      <w:szCs w:val="32"/>
    </w:rPr>
  </w:style>
  <w:style w:type="character" w:customStyle="1" w:styleId="114">
    <w:name w:val="图题 Char Char"/>
    <w:link w:val="91"/>
    <w:qFormat/>
    <w:uiPriority w:val="0"/>
    <w:rPr>
      <w:kern w:val="2"/>
      <w:sz w:val="24"/>
      <w:szCs w:val="24"/>
      <w:lang w:val="en-US" w:eastAsia="zh-CN" w:bidi="ar-SA"/>
    </w:rPr>
  </w:style>
  <w:style w:type="character" w:customStyle="1" w:styleId="115">
    <w:name w:val="pagelinks"/>
    <w:basedOn w:val="52"/>
    <w:qFormat/>
    <w:uiPriority w:val="0"/>
  </w:style>
  <w:style w:type="character" w:customStyle="1" w:styleId="116">
    <w:name w:val="morewin"/>
    <w:basedOn w:val="52"/>
    <w:qFormat/>
    <w:uiPriority w:val="0"/>
  </w:style>
  <w:style w:type="character" w:customStyle="1" w:styleId="117">
    <w:name w:val="open"/>
    <w:basedOn w:val="52"/>
    <w:qFormat/>
    <w:uiPriority w:val="0"/>
  </w:style>
  <w:style w:type="character" w:customStyle="1" w:styleId="118">
    <w:name w:val="样式2 Char Char"/>
    <w:link w:val="80"/>
    <w:qFormat/>
    <w:uiPriority w:val="0"/>
    <w:rPr>
      <w:b/>
      <w:kern w:val="2"/>
      <w:sz w:val="24"/>
      <w:szCs w:val="24"/>
    </w:rPr>
  </w:style>
  <w:style w:type="character" w:customStyle="1" w:styleId="119">
    <w:name w:val="批注文字 Char"/>
    <w:qFormat/>
    <w:uiPriority w:val="99"/>
    <w:rPr>
      <w:kern w:val="2"/>
      <w:sz w:val="24"/>
      <w:szCs w:val="28"/>
    </w:rPr>
  </w:style>
  <w:style w:type="character" w:customStyle="1" w:styleId="120">
    <w:name w:val="图片 Char Char"/>
    <w:link w:val="87"/>
    <w:qFormat/>
    <w:uiPriority w:val="0"/>
    <w:rPr>
      <w:kern w:val="2"/>
      <w:sz w:val="28"/>
      <w:szCs w:val="28"/>
    </w:rPr>
  </w:style>
  <w:style w:type="character" w:customStyle="1" w:styleId="121">
    <w:name w:val="标题 1字符"/>
    <w:link w:val="4"/>
    <w:qFormat/>
    <w:uiPriority w:val="99"/>
    <w:rPr>
      <w:rFonts w:ascii="Tahoma" w:hAnsi="Tahoma"/>
      <w:b/>
      <w:bCs/>
      <w:kern w:val="44"/>
      <w:sz w:val="24"/>
      <w:szCs w:val="44"/>
    </w:rPr>
  </w:style>
  <w:style w:type="character" w:customStyle="1" w:styleId="122">
    <w:name w:val="页眉字符"/>
    <w:link w:val="35"/>
    <w:qFormat/>
    <w:uiPriority w:val="99"/>
    <w:rPr>
      <w:rFonts w:ascii="Tahoma" w:hAnsi="Tahoma"/>
      <w:kern w:val="2"/>
      <w:sz w:val="18"/>
      <w:szCs w:val="18"/>
    </w:rPr>
  </w:style>
  <w:style w:type="character" w:customStyle="1" w:styleId="123">
    <w:name w:val="标题 7字符"/>
    <w:link w:val="9"/>
    <w:qFormat/>
    <w:uiPriority w:val="99"/>
    <w:rPr>
      <w:b/>
      <w:bCs/>
      <w:kern w:val="2"/>
      <w:sz w:val="24"/>
      <w:szCs w:val="28"/>
    </w:rPr>
  </w:style>
  <w:style w:type="character" w:customStyle="1" w:styleId="124">
    <w:name w:val="标题字符"/>
    <w:link w:val="47"/>
    <w:qFormat/>
    <w:uiPriority w:val="0"/>
    <w:rPr>
      <w:rFonts w:ascii="Cambria" w:hAnsi="Cambria"/>
      <w:b/>
      <w:bCs/>
      <w:kern w:val="2"/>
      <w:sz w:val="32"/>
      <w:szCs w:val="32"/>
    </w:rPr>
  </w:style>
  <w:style w:type="character" w:customStyle="1" w:styleId="125">
    <w:name w:val="标题 9字符"/>
    <w:link w:val="11"/>
    <w:qFormat/>
    <w:uiPriority w:val="99"/>
    <w:rPr>
      <w:rFonts w:ascii="Arial" w:hAnsi="Arial" w:eastAsia="黑体"/>
      <w:kern w:val="2"/>
      <w:sz w:val="24"/>
      <w:szCs w:val="21"/>
    </w:rPr>
  </w:style>
  <w:style w:type="character" w:customStyle="1" w:styleId="126">
    <w:name w:val="error"/>
    <w:qFormat/>
    <w:uiPriority w:val="0"/>
    <w:rPr>
      <w:color w:val="CC0000"/>
    </w:rPr>
  </w:style>
  <w:style w:type="character" w:customStyle="1" w:styleId="127">
    <w:name w:val="add"/>
    <w:basedOn w:val="52"/>
    <w:qFormat/>
    <w:uiPriority w:val="0"/>
  </w:style>
  <w:style w:type="character" w:customStyle="1" w:styleId="128">
    <w:name w:val="批注主题字符"/>
    <w:link w:val="48"/>
    <w:qFormat/>
    <w:uiPriority w:val="99"/>
    <w:rPr>
      <w:rFonts w:ascii="Tahoma" w:hAnsi="Tahoma"/>
      <w:b/>
      <w:bCs/>
      <w:kern w:val="2"/>
      <w:sz w:val="24"/>
      <w:szCs w:val="28"/>
    </w:rPr>
  </w:style>
  <w:style w:type="character" w:customStyle="1" w:styleId="129">
    <w:name w:val="pagebanner"/>
    <w:basedOn w:val="52"/>
    <w:qFormat/>
    <w:uiPriority w:val="0"/>
  </w:style>
  <w:style w:type="character" w:customStyle="1" w:styleId="130">
    <w:name w:val="文档结构图字符"/>
    <w:link w:val="18"/>
    <w:qFormat/>
    <w:uiPriority w:val="99"/>
    <w:rPr>
      <w:rFonts w:ascii="宋体"/>
      <w:kern w:val="2"/>
      <w:sz w:val="18"/>
      <w:szCs w:val="18"/>
    </w:rPr>
  </w:style>
  <w:style w:type="character" w:customStyle="1" w:styleId="131">
    <w:name w:val="正文首行缩进字符"/>
    <w:link w:val="49"/>
    <w:qFormat/>
    <w:uiPriority w:val="0"/>
    <w:rPr>
      <w:rFonts w:ascii="Tahoma" w:hAnsi="Tahoma"/>
      <w:kern w:val="2"/>
      <w:sz w:val="21"/>
      <w:szCs w:val="24"/>
    </w:rPr>
  </w:style>
  <w:style w:type="character" w:customStyle="1" w:styleId="132">
    <w:name w:val="表格标题 Char Char"/>
    <w:link w:val="85"/>
    <w:qFormat/>
    <w:uiPriority w:val="0"/>
    <w:rPr>
      <w:rFonts w:ascii="Arial" w:hAnsi="Arial" w:cs="Arial"/>
      <w:kern w:val="2"/>
      <w:sz w:val="24"/>
      <w:szCs w:val="24"/>
    </w:rPr>
  </w:style>
  <w:style w:type="character" w:customStyle="1" w:styleId="133">
    <w:name w:val="标题 6字符"/>
    <w:link w:val="8"/>
    <w:qFormat/>
    <w:uiPriority w:val="99"/>
    <w:rPr>
      <w:rFonts w:ascii="Arial" w:hAnsi="Arial" w:eastAsia="黑体"/>
      <w:b/>
      <w:bCs/>
      <w:kern w:val="2"/>
      <w:sz w:val="24"/>
      <w:szCs w:val="28"/>
    </w:rPr>
  </w:style>
  <w:style w:type="character" w:customStyle="1" w:styleId="134">
    <w:name w:val="正文文本字符"/>
    <w:link w:val="2"/>
    <w:qFormat/>
    <w:uiPriority w:val="99"/>
    <w:rPr>
      <w:rFonts w:ascii="Tahoma" w:hAnsi="Tahoma"/>
      <w:kern w:val="2"/>
      <w:sz w:val="21"/>
      <w:szCs w:val="24"/>
    </w:rPr>
  </w:style>
  <w:style w:type="character" w:customStyle="1" w:styleId="135">
    <w:name w:val="10"/>
    <w:qFormat/>
    <w:uiPriority w:val="0"/>
    <w:rPr>
      <w:rFonts w:hint="default" w:ascii="Calibri" w:hAnsi="Calibri" w:cs="Calibri"/>
    </w:rPr>
  </w:style>
  <w:style w:type="character" w:customStyle="1" w:styleId="136">
    <w:name w:val="正文缩进字符"/>
    <w:link w:val="15"/>
    <w:qFormat/>
    <w:uiPriority w:val="0"/>
    <w:rPr>
      <w:kern w:val="2"/>
      <w:sz w:val="24"/>
    </w:rPr>
  </w:style>
  <w:style w:type="character" w:customStyle="1" w:styleId="137">
    <w:name w:val="页脚字符"/>
    <w:link w:val="34"/>
    <w:qFormat/>
    <w:uiPriority w:val="99"/>
    <w:rPr>
      <w:rFonts w:ascii="Tahoma" w:hAnsi="Tahoma"/>
      <w:kern w:val="2"/>
      <w:sz w:val="18"/>
      <w:szCs w:val="18"/>
    </w:rPr>
  </w:style>
  <w:style w:type="character" w:customStyle="1" w:styleId="138">
    <w:name w:val="mod"/>
    <w:basedOn w:val="52"/>
    <w:qFormat/>
    <w:uiPriority w:val="0"/>
  </w:style>
  <w:style w:type="character" w:customStyle="1" w:styleId="139">
    <w:name w:val="标题3 Char Char"/>
    <w:link w:val="83"/>
    <w:qFormat/>
    <w:uiPriority w:val="0"/>
    <w:rPr>
      <w:rFonts w:eastAsia="黑体"/>
      <w:kern w:val="2"/>
      <w:sz w:val="28"/>
      <w:szCs w:val="32"/>
    </w:rPr>
  </w:style>
  <w:style w:type="character" w:customStyle="1" w:styleId="140">
    <w:name w:val="标题 4字符"/>
    <w:link w:val="3"/>
    <w:qFormat/>
    <w:uiPriority w:val="99"/>
    <w:rPr>
      <w:b/>
      <w:sz w:val="24"/>
      <w:szCs w:val="24"/>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qFormat/>
    <w:uiPriority w:val="0"/>
    <w:rPr>
      <w:color w:val="BA2636"/>
      <w:sz w:val="12"/>
      <w:szCs w:val="12"/>
    </w:rPr>
  </w:style>
  <w:style w:type="character" w:customStyle="1" w:styleId="143">
    <w:name w:val="gjfg"/>
    <w:basedOn w:val="52"/>
    <w:qFormat/>
    <w:uiPriority w:val="0"/>
  </w:style>
  <w:style w:type="character" w:customStyle="1" w:styleId="144">
    <w:name w:val="redfilenumber"/>
    <w:basedOn w:val="52"/>
    <w:qFormat/>
    <w:uiPriority w:val="0"/>
    <w:rPr>
      <w:color w:val="BA2636"/>
      <w:sz w:val="12"/>
      <w:szCs w:val="12"/>
    </w:rPr>
  </w:style>
  <w:style w:type="character" w:customStyle="1" w:styleId="145">
    <w:name w:val="qxdate"/>
    <w:basedOn w:val="52"/>
    <w:qFormat/>
    <w:uiPriority w:val="0"/>
    <w:rPr>
      <w:color w:val="333333"/>
      <w:sz w:val="12"/>
      <w:szCs w:val="12"/>
    </w:rPr>
  </w:style>
  <w:style w:type="character" w:customStyle="1" w:styleId="146">
    <w:name w:val="prev"/>
    <w:basedOn w:val="52"/>
    <w:qFormat/>
    <w:uiPriority w:val="0"/>
    <w:rPr>
      <w:rFonts w:ascii="微软雅黑" w:hAnsi="微软雅黑" w:eastAsia="微软雅黑" w:cs="微软雅黑"/>
      <w:sz w:val="14"/>
      <w:szCs w:val="14"/>
    </w:rPr>
  </w:style>
  <w:style w:type="character" w:customStyle="1" w:styleId="147">
    <w:name w:val="cfdate"/>
    <w:basedOn w:val="52"/>
    <w:qFormat/>
    <w:uiPriority w:val="0"/>
    <w:rPr>
      <w:color w:val="333333"/>
      <w:sz w:val="12"/>
      <w:szCs w:val="12"/>
    </w:rPr>
  </w:style>
  <w:style w:type="character" w:customStyle="1" w:styleId="148">
    <w:name w:val="displayarti"/>
    <w:basedOn w:val="52"/>
    <w:qFormat/>
    <w:uiPriority w:val="0"/>
    <w:rPr>
      <w:color w:val="FFFFFF"/>
      <w:shd w:val="clear" w:color="auto" w:fill="A00000"/>
    </w:rPr>
  </w:style>
  <w:style w:type="character" w:customStyle="1" w:styleId="149">
    <w:name w:val="next2"/>
    <w:basedOn w:val="52"/>
    <w:qFormat/>
    <w:uiPriority w:val="0"/>
    <w:rPr>
      <w:rFonts w:hint="eastAsia" w:ascii="微软雅黑" w:hAnsi="微软雅黑" w:eastAsia="微软雅黑" w:cs="微软雅黑"/>
      <w:sz w:val="14"/>
      <w:szCs w:val="14"/>
    </w:rPr>
  </w:style>
  <w:style w:type="character" w:customStyle="1" w:styleId="150">
    <w:name w:val="next3"/>
    <w:basedOn w:val="52"/>
    <w:qFormat/>
    <w:uiPriority w:val="0"/>
    <w:rPr>
      <w:color w:val="888888"/>
    </w:rPr>
  </w:style>
  <w:style w:type="character" w:customStyle="1" w:styleId="151">
    <w:name w:val="next"/>
    <w:basedOn w:val="52"/>
    <w:qFormat/>
    <w:uiPriority w:val="0"/>
    <w:rPr>
      <w:rFonts w:ascii="微软雅黑" w:hAnsi="微软雅黑" w:eastAsia="微软雅黑" w:cs="微软雅黑"/>
      <w:sz w:val="14"/>
      <w:szCs w:val="14"/>
    </w:rPr>
  </w:style>
  <w:style w:type="character" w:customStyle="1" w:styleId="152">
    <w:name w:val="prev1"/>
    <w:basedOn w:val="52"/>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qFormat/>
    <w:uiPriority w:val="0"/>
    <w:rPr>
      <w:rFonts w:ascii="仿宋_GB2312" w:eastAsia="仿宋_GB2312"/>
      <w:b/>
      <w:sz w:val="32"/>
      <w:szCs w:val="32"/>
    </w:rPr>
  </w:style>
  <w:style w:type="paragraph" w:customStyle="1" w:styleId="160">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字符"/>
    <w:basedOn w:val="52"/>
    <w:link w:val="32"/>
    <w:qFormat/>
    <w:uiPriority w:val="99"/>
    <w:rPr>
      <w:rFonts w:ascii="Times New Roman" w:hAnsi="Times New Roman" w:eastAsia="宋体" w:cs="Times New Roman"/>
      <w:kern w:val="2"/>
      <w:sz w:val="24"/>
      <w:szCs w:val="30"/>
    </w:rPr>
  </w:style>
  <w:style w:type="paragraph" w:customStyle="1" w:styleId="1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字符"/>
    <w:basedOn w:val="52"/>
    <w:link w:val="23"/>
    <w:qFormat/>
    <w:uiPriority w:val="99"/>
    <w:rPr>
      <w:rFonts w:ascii="Tahoma" w:hAnsi="Tahoma" w:eastAsia="Arial Unicode MS" w:cs="Times New Roman"/>
      <w:kern w:val="2"/>
      <w:sz w:val="21"/>
      <w:szCs w:val="24"/>
    </w:rPr>
  </w:style>
  <w:style w:type="character" w:customStyle="1" w:styleId="167">
    <w:name w:val="正文首行缩进 2字符"/>
    <w:basedOn w:val="166"/>
    <w:link w:val="24"/>
    <w:qFormat/>
    <w:uiPriority w:val="0"/>
    <w:rPr>
      <w:rFonts w:ascii="Times New Roman" w:hAnsi="Times New Roman" w:eastAsia="宋体" w:cs="Times New Roman"/>
      <w:kern w:val="2"/>
      <w:sz w:val="21"/>
      <w:szCs w:val="24"/>
    </w:rPr>
  </w:style>
  <w:style w:type="character" w:customStyle="1" w:styleId="168">
    <w:name w:val="正文文本 2字符"/>
    <w:basedOn w:val="52"/>
    <w:link w:val="43"/>
    <w:qFormat/>
    <w:uiPriority w:val="99"/>
    <w:rPr>
      <w:rFonts w:ascii="宋体" w:hAnsi="Times New Roman" w:eastAsia="宋体" w:cs="Times New Roman"/>
      <w:kern w:val="2"/>
      <w:sz w:val="21"/>
    </w:rPr>
  </w:style>
  <w:style w:type="paragraph" w:customStyle="1" w:styleId="169">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5"/>
    <w:qFormat/>
    <w:uiPriority w:val="0"/>
    <w:pPr>
      <w:keepNext/>
      <w:keepLines/>
      <w:spacing w:line="416" w:lineRule="auto"/>
    </w:pPr>
    <w:rPr>
      <w:rFonts w:ascii="Arial" w:hAnsi="Arial" w:eastAsia="宋体"/>
      <w:bCs/>
      <w:sz w:val="24"/>
    </w:rPr>
  </w:style>
  <w:style w:type="character" w:customStyle="1" w:styleId="171">
    <w:name w:val="Char2"/>
    <w:qFormat/>
    <w:uiPriority w:val="0"/>
    <w:rPr>
      <w:rFonts w:ascii="Arial" w:hAnsi="Arial" w:eastAsia="黑体"/>
      <w:b/>
      <w:bCs/>
      <w:kern w:val="2"/>
      <w:sz w:val="32"/>
      <w:szCs w:val="32"/>
      <w:lang w:val="en-US" w:eastAsia="zh-CN" w:bidi="ar-SA"/>
    </w:rPr>
  </w:style>
  <w:style w:type="character" w:customStyle="1" w:styleId="172">
    <w:name w:val="样式 标题 2 + (符号) 宋体 小四 Char"/>
    <w:qFormat/>
    <w:uiPriority w:val="0"/>
    <w:rPr>
      <w:rFonts w:ascii="Arial" w:hAnsi="Arial" w:eastAsia="宋体"/>
      <w:b/>
      <w:bCs/>
      <w:kern w:val="2"/>
      <w:sz w:val="24"/>
      <w:szCs w:val="32"/>
      <w:lang w:val="en-US" w:eastAsia="zh-CN" w:bidi="ar-SA"/>
    </w:rPr>
  </w:style>
  <w:style w:type="paragraph" w:customStyle="1" w:styleId="173">
    <w:name w:val="样式1"/>
    <w:basedOn w:val="1"/>
    <w:next w:val="6"/>
    <w:qFormat/>
    <w:uiPriority w:val="99"/>
    <w:rPr>
      <w:rFonts w:eastAsia="宋体"/>
      <w:sz w:val="24"/>
      <w:szCs w:val="20"/>
    </w:rPr>
  </w:style>
  <w:style w:type="paragraph" w:customStyle="1" w:styleId="174">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字符"/>
    <w:link w:val="31"/>
    <w:qFormat/>
    <w:uiPriority w:val="99"/>
    <w:rPr>
      <w:rFonts w:ascii="Tahoma" w:hAnsi="Tahoma" w:eastAsia="Arial Unicode MS" w:cs="Times New Roman"/>
      <w:kern w:val="2"/>
      <w:sz w:val="21"/>
      <w:szCs w:val="24"/>
    </w:rPr>
  </w:style>
  <w:style w:type="character" w:customStyle="1" w:styleId="198">
    <w:name w:val="Char Char"/>
    <w:qFormat/>
    <w:uiPriority w:val="0"/>
    <w:rPr>
      <w:rFonts w:eastAsia="宋体"/>
      <w:kern w:val="2"/>
      <w:sz w:val="24"/>
      <w:lang w:val="en-US" w:eastAsia="zh-CN" w:bidi="ar-SA"/>
    </w:rPr>
  </w:style>
  <w:style w:type="character" w:customStyle="1" w:styleId="199">
    <w:name w:val="称呼字符"/>
    <w:basedOn w:val="52"/>
    <w:link w:val="21"/>
    <w:qFormat/>
    <w:uiPriority w:val="0"/>
    <w:rPr>
      <w:rFonts w:ascii="..ì." w:hAnsi="Times New Roman" w:eastAsia="..ì." w:cs="Times New Roman"/>
      <w:sz w:val="24"/>
    </w:rPr>
  </w:style>
  <w:style w:type="character" w:customStyle="1" w:styleId="200">
    <w:name w:val="注释标题字符"/>
    <w:basedOn w:val="52"/>
    <w:link w:val="13"/>
    <w:qFormat/>
    <w:uiPriority w:val="0"/>
    <w:rPr>
      <w:rFonts w:ascii="..ì." w:hAnsi="Times New Roman" w:eastAsia="..ì." w:cs="Times New Roman"/>
      <w:sz w:val="24"/>
    </w:rPr>
  </w:style>
  <w:style w:type="paragraph" w:customStyle="1" w:styleId="201">
    <w:name w:val="1 Char Char Char Char"/>
    <w:basedOn w:val="1"/>
    <w:qFormat/>
    <w:uiPriority w:val="0"/>
    <w:rPr>
      <w:rFonts w:ascii="Tahoma" w:hAnsi="Tahoma" w:eastAsia="宋体"/>
      <w:sz w:val="24"/>
      <w:szCs w:val="20"/>
    </w:rPr>
  </w:style>
  <w:style w:type="paragraph" w:customStyle="1" w:styleId="20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4"/>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qFormat/>
    <w:uiPriority w:val="99"/>
    <w:rPr>
      <w:rFonts w:ascii="黑体" w:eastAsia="黑体"/>
      <w:sz w:val="52"/>
      <w:lang w:bidi="ar-SA"/>
    </w:rPr>
  </w:style>
  <w:style w:type="paragraph" w:customStyle="1" w:styleId="205">
    <w:name w:val="样式 标题 2 + Times New Roman 四号 非加粗 段前: 5 磅 段后: 0 磅 行距: 固定值 20..."/>
    <w:basedOn w:val="5"/>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2"/>
    <w:qFormat/>
    <w:uiPriority w:val="99"/>
    <w:rPr>
      <w:rFonts w:ascii="宋体" w:eastAsia="宋体"/>
      <w:sz w:val="24"/>
      <w:szCs w:val="20"/>
    </w:rPr>
  </w:style>
  <w:style w:type="character" w:customStyle="1" w:styleId="207">
    <w:name w:val="正文文本 3字符"/>
    <w:basedOn w:val="52"/>
    <w:link w:val="22"/>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6"/>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3"/>
    <w:qFormat/>
    <w:uiPriority w:val="99"/>
    <w:pPr>
      <w:ind w:left="432"/>
    </w:pPr>
    <w:rPr>
      <w:rFonts w:eastAsia="宋体"/>
      <w:szCs w:val="20"/>
    </w:rPr>
  </w:style>
  <w:style w:type="character" w:customStyle="1" w:styleId="210">
    <w:name w:val="正文文本缩进 3字符"/>
    <w:link w:val="40"/>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4"/>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qFormat/>
    <w:uiPriority w:val="0"/>
    <w:rPr>
      <w:rFonts w:ascii="Tahoma" w:hAnsi="Tahoma" w:eastAsia="宋体"/>
      <w:sz w:val="24"/>
      <w:szCs w:val="20"/>
    </w:rPr>
  </w:style>
  <w:style w:type="character" w:customStyle="1" w:styleId="213">
    <w:name w:val="font161"/>
    <w:qFormat/>
    <w:uiPriority w:val="99"/>
    <w:rPr>
      <w:b/>
      <w:bCs/>
      <w:sz w:val="32"/>
      <w:szCs w:val="32"/>
    </w:rPr>
  </w:style>
  <w:style w:type="paragraph" w:customStyle="1" w:styleId="214">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qFormat/>
    <w:uiPriority w:val="99"/>
    <w:pPr>
      <w:jc w:val="center"/>
      <w:textAlignment w:val="center"/>
    </w:pPr>
    <w:rPr>
      <w:rFonts w:ascii="华文细黑" w:hAnsi="华文细黑" w:eastAsia="宋体"/>
      <w:kern w:val="0"/>
      <w:szCs w:val="20"/>
    </w:rPr>
  </w:style>
  <w:style w:type="paragraph" w:customStyle="1" w:styleId="216">
    <w:name w:val="表格文字"/>
    <w:basedOn w:val="1"/>
    <w:next w:val="1"/>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qFormat/>
    <w:uiPriority w:val="99"/>
    <w:rPr>
      <w:color w:val="auto"/>
      <w:u w:val="none"/>
    </w:rPr>
  </w:style>
  <w:style w:type="character" w:customStyle="1" w:styleId="220">
    <w:name w:val="Char Char1"/>
    <w:qFormat/>
    <w:uiPriority w:val="0"/>
    <w:rPr>
      <w:rFonts w:eastAsia="宋体"/>
      <w:kern w:val="2"/>
      <w:sz w:val="24"/>
      <w:lang w:val="en-US" w:eastAsia="zh-CN" w:bidi="ar-SA"/>
    </w:rPr>
  </w:style>
  <w:style w:type="character" w:customStyle="1" w:styleId="221">
    <w:name w:val="纯文本字符"/>
    <w:link w:val="29"/>
    <w:qFormat/>
    <w:uiPriority w:val="0"/>
    <w:rPr>
      <w:rFonts w:ascii="宋体" w:hAnsi="Courier New" w:eastAsia="Arial Unicode MS" w:cs="Times New Roman"/>
      <w:kern w:val="2"/>
      <w:sz w:val="21"/>
      <w:szCs w:val="21"/>
    </w:rPr>
  </w:style>
  <w:style w:type="paragraph" w:customStyle="1" w:styleId="222">
    <w:name w:val="Char Char Char Char"/>
    <w:basedOn w:val="1"/>
    <w:qFormat/>
    <w:uiPriority w:val="0"/>
    <w:pPr>
      <w:widowControl/>
      <w:spacing w:after="160" w:line="240" w:lineRule="exact"/>
      <w:jc w:val="left"/>
    </w:pPr>
    <w:rPr>
      <w:rFonts w:eastAsia="宋体"/>
      <w:szCs w:val="20"/>
    </w:rPr>
  </w:style>
  <w:style w:type="paragraph" w:customStyle="1" w:styleId="223">
    <w:name w:val="p17"/>
    <w:basedOn w:val="1"/>
    <w:qFormat/>
    <w:uiPriority w:val="99"/>
    <w:pPr>
      <w:widowControl/>
    </w:pPr>
    <w:rPr>
      <w:rFonts w:eastAsia="宋体"/>
      <w:kern w:val="0"/>
      <w:szCs w:val="21"/>
    </w:rPr>
  </w:style>
  <w:style w:type="character" w:customStyle="1" w:styleId="224">
    <w:name w:val="H4 Char"/>
    <w:qFormat/>
    <w:uiPriority w:val="0"/>
    <w:rPr>
      <w:b/>
      <w:sz w:val="28"/>
    </w:rPr>
  </w:style>
  <w:style w:type="character" w:customStyle="1" w:styleId="225">
    <w:name w:val="Char Char2"/>
    <w:qFormat/>
    <w:uiPriority w:val="0"/>
    <w:rPr>
      <w:rFonts w:eastAsia="宋体"/>
      <w:kern w:val="2"/>
      <w:sz w:val="24"/>
      <w:lang w:val="en-US" w:eastAsia="zh-CN" w:bidi="ar-SA"/>
    </w:rPr>
  </w:style>
  <w:style w:type="character" w:customStyle="1" w:styleId="226">
    <w:name w:val="Char Char111"/>
    <w:qFormat/>
    <w:uiPriority w:val="99"/>
    <w:rPr>
      <w:rFonts w:eastAsia="宋体"/>
      <w:kern w:val="2"/>
      <w:sz w:val="24"/>
      <w:lang w:val="en-US" w:eastAsia="zh-CN" w:bidi="ar-SA"/>
    </w:rPr>
  </w:style>
  <w:style w:type="paragraph" w:customStyle="1" w:styleId="227">
    <w:name w:val="Char Char Char Char111"/>
    <w:basedOn w:val="1"/>
    <w:qFormat/>
    <w:uiPriority w:val="0"/>
    <w:pPr>
      <w:widowControl/>
      <w:spacing w:after="160" w:line="240" w:lineRule="exact"/>
      <w:jc w:val="left"/>
    </w:pPr>
    <w:rPr>
      <w:rFonts w:eastAsia="宋体"/>
      <w:szCs w:val="20"/>
    </w:rPr>
  </w:style>
  <w:style w:type="paragraph" w:customStyle="1" w:styleId="228">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qFormat/>
    <w:uiPriority w:val="0"/>
    <w:pPr>
      <w:numPr>
        <w:ilvl w:val="3"/>
      </w:numPr>
      <w:ind w:left="315"/>
      <w:outlineLvl w:val="3"/>
    </w:pPr>
  </w:style>
  <w:style w:type="paragraph" w:customStyle="1" w:styleId="244">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qFormat/>
    <w:uiPriority w:val="0"/>
    <w:pPr>
      <w:numPr>
        <w:ilvl w:val="4"/>
      </w:numPr>
      <w:tabs>
        <w:tab w:val="left" w:pos="1680"/>
        <w:tab w:val="left" w:pos="2100"/>
      </w:tabs>
      <w:ind w:left="2100" w:hanging="420"/>
      <w:outlineLvl w:val="4"/>
    </w:pPr>
  </w:style>
  <w:style w:type="paragraph" w:customStyle="1" w:styleId="246">
    <w:name w:val="四级条标题"/>
    <w:basedOn w:val="245"/>
    <w:next w:val="1"/>
    <w:qFormat/>
    <w:uiPriority w:val="0"/>
    <w:pPr>
      <w:numPr>
        <w:ilvl w:val="5"/>
      </w:numPr>
      <w:tabs>
        <w:tab w:val="left" w:pos="2520"/>
      </w:tabs>
      <w:ind w:left="2520" w:hanging="420"/>
      <w:outlineLvl w:val="5"/>
    </w:pPr>
  </w:style>
  <w:style w:type="paragraph" w:customStyle="1" w:styleId="247">
    <w:name w:val="五级条标题"/>
    <w:basedOn w:val="246"/>
    <w:next w:val="1"/>
    <w:qFormat/>
    <w:uiPriority w:val="0"/>
    <w:pPr>
      <w:numPr>
        <w:ilvl w:val="6"/>
      </w:numPr>
      <w:tabs>
        <w:tab w:val="left" w:pos="2940"/>
      </w:tabs>
      <w:ind w:left="2940" w:hanging="420"/>
      <w:outlineLvl w:val="6"/>
    </w:pPr>
  </w:style>
  <w:style w:type="character" w:customStyle="1" w:styleId="248">
    <w:name w:val="章标题 Char"/>
    <w:link w:val="241"/>
    <w:qFormat/>
    <w:uiPriority w:val="0"/>
    <w:rPr>
      <w:rFonts w:ascii="黑体" w:eastAsia="黑体"/>
      <w:sz w:val="21"/>
    </w:rPr>
  </w:style>
  <w:style w:type="character" w:customStyle="1" w:styleId="249">
    <w:name w:val="一级条标题 Char"/>
    <w:link w:val="242"/>
    <w:qFormat/>
    <w:uiPriority w:val="0"/>
    <w:rPr>
      <w:rFonts w:ascii="黑体" w:eastAsia="黑体"/>
      <w:sz w:val="21"/>
    </w:rPr>
  </w:style>
  <w:style w:type="character" w:customStyle="1" w:styleId="250">
    <w:name w:val="二级条标题 Char"/>
    <w:link w:val="243"/>
    <w:qFormat/>
    <w:uiPriority w:val="0"/>
    <w:rPr>
      <w:rFonts w:ascii="黑体" w:eastAsia="黑体"/>
      <w:sz w:val="21"/>
    </w:rPr>
  </w:style>
  <w:style w:type="character" w:customStyle="1" w:styleId="251">
    <w:name w:val="Heading 1 Char"/>
    <w:qFormat/>
    <w:locked/>
    <w:uiPriority w:val="0"/>
    <w:rPr>
      <w:rFonts w:ascii="黑体" w:hAnsi="Times New Roman" w:eastAsia="黑体" w:cs="Times New Roman"/>
      <w:kern w:val="0"/>
      <w:sz w:val="20"/>
      <w:szCs w:val="20"/>
    </w:rPr>
  </w:style>
  <w:style w:type="character" w:customStyle="1" w:styleId="252">
    <w:name w:val="Heading 2 Char"/>
    <w:qFormat/>
    <w:locked/>
    <w:uiPriority w:val="0"/>
    <w:rPr>
      <w:rFonts w:ascii="Times New Roman" w:hAnsi="Times New Roman" w:eastAsia="宋体" w:cs="Times New Roman"/>
      <w:b/>
      <w:kern w:val="0"/>
      <w:sz w:val="32"/>
      <w:szCs w:val="32"/>
    </w:rPr>
  </w:style>
  <w:style w:type="character" w:customStyle="1" w:styleId="253">
    <w:name w:val="标题 3 Char1"/>
    <w:qFormat/>
    <w:locked/>
    <w:uiPriority w:val="99"/>
    <w:rPr>
      <w:rFonts w:eastAsia="宋体"/>
      <w:b/>
      <w:sz w:val="32"/>
      <w:lang w:val="en-US" w:eastAsia="zh-CN" w:bidi="ar-SA"/>
    </w:rPr>
  </w:style>
  <w:style w:type="character" w:customStyle="1" w:styleId="254">
    <w:name w:val="Heading 4 Char"/>
    <w:qFormat/>
    <w:locked/>
    <w:uiPriority w:val="0"/>
    <w:rPr>
      <w:rFonts w:ascii="Times New Roman" w:hAnsi="Times New Roman" w:eastAsia="宋体" w:cs="Times New Roman"/>
      <w:b/>
      <w:kern w:val="0"/>
      <w:sz w:val="20"/>
      <w:szCs w:val="20"/>
    </w:rPr>
  </w:style>
  <w:style w:type="character" w:customStyle="1" w:styleId="255">
    <w:name w:val="Heading 5 Char"/>
    <w:qFormat/>
    <w:locked/>
    <w:uiPriority w:val="0"/>
    <w:rPr>
      <w:rFonts w:ascii="Times New Roman" w:hAnsi="Times New Roman" w:eastAsia="宋体" w:cs="Times New Roman"/>
      <w:b/>
      <w:bCs/>
      <w:sz w:val="28"/>
      <w:szCs w:val="28"/>
    </w:rPr>
  </w:style>
  <w:style w:type="character" w:customStyle="1" w:styleId="256">
    <w:name w:val="Heading 6 Char"/>
    <w:qFormat/>
    <w:locked/>
    <w:uiPriority w:val="0"/>
    <w:rPr>
      <w:rFonts w:ascii="Arial" w:hAnsi="Arial" w:eastAsia="黑体" w:cs="Times New Roman"/>
      <w:b/>
      <w:bCs/>
      <w:kern w:val="0"/>
      <w:sz w:val="24"/>
      <w:szCs w:val="24"/>
    </w:rPr>
  </w:style>
  <w:style w:type="character" w:customStyle="1" w:styleId="257">
    <w:name w:val="Heading 7 Char"/>
    <w:qFormat/>
    <w:locked/>
    <w:uiPriority w:val="0"/>
    <w:rPr>
      <w:rFonts w:ascii="Times New Roman" w:hAnsi="Times New Roman" w:eastAsia="宋体" w:cs="Times New Roman"/>
      <w:b/>
      <w:bCs/>
      <w:kern w:val="0"/>
      <w:sz w:val="24"/>
      <w:szCs w:val="24"/>
    </w:rPr>
  </w:style>
  <w:style w:type="character" w:customStyle="1" w:styleId="258">
    <w:name w:val="Heading 8 Char"/>
    <w:qFormat/>
    <w:locked/>
    <w:uiPriority w:val="0"/>
    <w:rPr>
      <w:rFonts w:ascii="Arial" w:hAnsi="Arial" w:eastAsia="黑体" w:cs="Times New Roman"/>
      <w:kern w:val="0"/>
      <w:sz w:val="24"/>
      <w:szCs w:val="24"/>
    </w:rPr>
  </w:style>
  <w:style w:type="character" w:customStyle="1" w:styleId="259">
    <w:name w:val="Heading 9 Char"/>
    <w:qFormat/>
    <w:locked/>
    <w:uiPriority w:val="0"/>
    <w:rPr>
      <w:rFonts w:ascii="Arial" w:hAnsi="Arial" w:eastAsia="黑体" w:cs="Times New Roman"/>
      <w:kern w:val="0"/>
      <w:sz w:val="21"/>
      <w:szCs w:val="21"/>
    </w:rPr>
  </w:style>
  <w:style w:type="character" w:customStyle="1" w:styleId="260">
    <w:name w:val="Document Map Char"/>
    <w:qFormat/>
    <w:locked/>
    <w:uiPriority w:val="0"/>
    <w:rPr>
      <w:rFonts w:ascii="Times New Roman" w:hAnsi="Times New Roman" w:eastAsia="宋体" w:cs="Times New Roman"/>
      <w:sz w:val="24"/>
      <w:szCs w:val="24"/>
      <w:shd w:val="clear" w:color="auto" w:fill="000080"/>
    </w:rPr>
  </w:style>
  <w:style w:type="character" w:customStyle="1" w:styleId="261">
    <w:name w:val="Date Char"/>
    <w:qFormat/>
    <w:locked/>
    <w:uiPriority w:val="0"/>
    <w:rPr>
      <w:rFonts w:ascii="Times New Roman" w:hAnsi="Times New Roman" w:eastAsia="宋体" w:cs="Times New Roman"/>
      <w:sz w:val="20"/>
      <w:szCs w:val="20"/>
    </w:rPr>
  </w:style>
  <w:style w:type="character" w:customStyle="1" w:styleId="262">
    <w:name w:val="Header Char"/>
    <w:qFormat/>
    <w:locked/>
    <w:uiPriority w:val="0"/>
    <w:rPr>
      <w:rFonts w:ascii="Times New Roman" w:hAnsi="Times New Roman" w:eastAsia="宋体" w:cs="Times New Roman"/>
      <w:kern w:val="0"/>
      <w:sz w:val="20"/>
      <w:szCs w:val="20"/>
    </w:rPr>
  </w:style>
  <w:style w:type="character" w:customStyle="1" w:styleId="263">
    <w:name w:val="Footer Char"/>
    <w:qFormat/>
    <w:locked/>
    <w:uiPriority w:val="0"/>
    <w:rPr>
      <w:rFonts w:ascii="Times New Roman" w:hAnsi="Times New Roman" w:eastAsia="宋体" w:cs="Times New Roman"/>
      <w:kern w:val="0"/>
      <w:sz w:val="20"/>
      <w:szCs w:val="20"/>
    </w:rPr>
  </w:style>
  <w:style w:type="character" w:customStyle="1" w:styleId="264">
    <w:name w:val="Plain Text Char"/>
    <w:qFormat/>
    <w:locked/>
    <w:uiPriority w:val="0"/>
    <w:rPr>
      <w:rFonts w:ascii="宋体" w:hAnsi="Courier New" w:eastAsia="宋体" w:cs="Times New Roman"/>
      <w:sz w:val="20"/>
      <w:szCs w:val="20"/>
    </w:rPr>
  </w:style>
  <w:style w:type="character" w:customStyle="1" w:styleId="265">
    <w:name w:val="Body Text Indent 2 Char"/>
    <w:qFormat/>
    <w:locked/>
    <w:uiPriority w:val="0"/>
    <w:rPr>
      <w:rFonts w:ascii="Times New Roman" w:hAnsi="Times New Roman" w:eastAsia="宋体" w:cs="Times New Roman"/>
      <w:sz w:val="30"/>
      <w:szCs w:val="30"/>
    </w:rPr>
  </w:style>
  <w:style w:type="character" w:customStyle="1" w:styleId="266">
    <w:name w:val="Body Text Indent 3 Char"/>
    <w:qFormat/>
    <w:locked/>
    <w:uiPriority w:val="0"/>
    <w:rPr>
      <w:rFonts w:ascii="Times New Roman" w:hAnsi="Times New Roman" w:eastAsia="宋体" w:cs="Times New Roman"/>
      <w:sz w:val="30"/>
      <w:szCs w:val="30"/>
    </w:rPr>
  </w:style>
  <w:style w:type="character" w:customStyle="1" w:styleId="267">
    <w:name w:val="Body Text First Indent 2 Char"/>
    <w:qFormat/>
    <w:locked/>
    <w:uiPriority w:val="0"/>
    <w:rPr>
      <w:rFonts w:ascii="Times New Roman" w:hAnsi="Times New Roman" w:eastAsia="宋体" w:cs="Times New Roman"/>
      <w:kern w:val="2"/>
      <w:sz w:val="24"/>
      <w:szCs w:val="24"/>
    </w:rPr>
  </w:style>
  <w:style w:type="character" w:customStyle="1" w:styleId="268">
    <w:name w:val="Body Text 2 Char"/>
    <w:qFormat/>
    <w:locked/>
    <w:uiPriority w:val="0"/>
    <w:rPr>
      <w:rFonts w:ascii="宋体" w:hAnsi="Times New Roman" w:eastAsia="宋体" w:cs="Times New Roman"/>
      <w:sz w:val="20"/>
      <w:szCs w:val="20"/>
    </w:rPr>
  </w:style>
  <w:style w:type="character" w:customStyle="1" w:styleId="269">
    <w:name w:val="Balloon Text Char"/>
    <w:qFormat/>
    <w:locked/>
    <w:uiPriority w:val="0"/>
    <w:rPr>
      <w:rFonts w:ascii="Times New Roman" w:hAnsi="Times New Roman" w:eastAsia="宋体" w:cs="Times New Roman"/>
      <w:sz w:val="18"/>
      <w:szCs w:val="18"/>
    </w:rPr>
  </w:style>
  <w:style w:type="character" w:customStyle="1" w:styleId="270">
    <w:name w:val="Salutation Char"/>
    <w:qFormat/>
    <w:locked/>
    <w:uiPriority w:val="0"/>
    <w:rPr>
      <w:rFonts w:ascii="..ì." w:hAnsi="Times New Roman" w:eastAsia="..ì." w:cs="Times New Roman"/>
      <w:kern w:val="0"/>
      <w:sz w:val="20"/>
      <w:szCs w:val="20"/>
    </w:rPr>
  </w:style>
  <w:style w:type="character" w:customStyle="1" w:styleId="271">
    <w:name w:val="Note Heading Char"/>
    <w:qFormat/>
    <w:locked/>
    <w:uiPriority w:val="0"/>
    <w:rPr>
      <w:rFonts w:ascii="..ì." w:hAnsi="Times New Roman" w:eastAsia="..ì." w:cs="Times New Roman"/>
      <w:kern w:val="0"/>
      <w:sz w:val="20"/>
      <w:szCs w:val="20"/>
    </w:rPr>
  </w:style>
  <w:style w:type="paragraph" w:customStyle="1" w:styleId="272">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4"/>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qFormat/>
    <w:locked/>
    <w:uiPriority w:val="0"/>
    <w:rPr>
      <w:rFonts w:ascii="Times New Roman" w:hAnsi="Times New Roman" w:eastAsia="宋体" w:cs="Times New Roman"/>
      <w:sz w:val="16"/>
      <w:szCs w:val="16"/>
    </w:rPr>
  </w:style>
  <w:style w:type="character" w:customStyle="1" w:styleId="275">
    <w:name w:val="Title Char"/>
    <w:qFormat/>
    <w:locked/>
    <w:uiPriority w:val="0"/>
    <w:rPr>
      <w:rFonts w:ascii="Arial" w:hAnsi="Arial" w:eastAsia="宋体" w:cs="Times New Roman"/>
      <w:b/>
      <w:kern w:val="0"/>
      <w:sz w:val="20"/>
      <w:szCs w:val="20"/>
    </w:rPr>
  </w:style>
  <w:style w:type="character" w:customStyle="1" w:styleId="276">
    <w:name w:val="Comment Subject Char"/>
    <w:qFormat/>
    <w:locked/>
    <w:uiPriority w:val="0"/>
    <w:rPr>
      <w:rFonts w:ascii="Times New Roman" w:hAnsi="Times New Roman" w:eastAsia="宋体" w:cs="Times New Roman"/>
      <w:b/>
      <w:bCs/>
      <w:sz w:val="24"/>
      <w:szCs w:val="24"/>
    </w:rPr>
  </w:style>
  <w:style w:type="character" w:customStyle="1" w:styleId="277">
    <w:name w:val="Comment Text Char"/>
    <w:qFormat/>
    <w:locked/>
    <w:uiPriority w:val="0"/>
    <w:rPr>
      <w:rFonts w:ascii="Times New Roman" w:hAnsi="Times New Roman" w:eastAsia="宋体"/>
      <w:sz w:val="24"/>
    </w:rPr>
  </w:style>
  <w:style w:type="paragraph" w:customStyle="1" w:styleId="278">
    <w:name w:val="List Paragraph1"/>
    <w:basedOn w:val="1"/>
    <w:qFormat/>
    <w:uiPriority w:val="0"/>
    <w:pPr>
      <w:ind w:firstLine="420" w:firstLineChars="200"/>
    </w:pPr>
    <w:rPr>
      <w:rFonts w:eastAsia="宋体"/>
    </w:rPr>
  </w:style>
  <w:style w:type="paragraph" w:customStyle="1" w:styleId="279">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unhideWhenUsed/>
    <w:qFormat/>
    <w:uiPriority w:val="99"/>
    <w:rPr>
      <w:color w:val="605E5C"/>
      <w:shd w:val="clear" w:color="auto" w:fill="E1DFDD"/>
    </w:rPr>
  </w:style>
  <w:style w:type="character" w:customStyle="1" w:styleId="281">
    <w:name w:val="Char Char11"/>
    <w:qFormat/>
    <w:uiPriority w:val="99"/>
    <w:rPr>
      <w:rFonts w:eastAsia="宋体"/>
      <w:kern w:val="2"/>
      <w:sz w:val="24"/>
      <w:lang w:val="en-US" w:eastAsia="zh-CN"/>
    </w:rPr>
  </w:style>
  <w:style w:type="character" w:customStyle="1" w:styleId="282">
    <w:name w:val="正文文本 Char1"/>
    <w:semiHidden/>
    <w:qFormat/>
    <w:uiPriority w:val="0"/>
    <w:rPr>
      <w:rFonts w:ascii="Times New Roman" w:hAnsi="Times New Roman" w:eastAsia="宋体" w:cs="Times New Roman"/>
      <w:szCs w:val="24"/>
    </w:rPr>
  </w:style>
  <w:style w:type="paragraph" w:customStyle="1" w:styleId="28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qFormat/>
    <w:uiPriority w:val="99"/>
    <w:rPr>
      <w:rFonts w:ascii="Tahoma" w:hAnsi="Tahoma" w:eastAsia="宋体"/>
      <w:sz w:val="24"/>
      <w:szCs w:val="20"/>
    </w:rPr>
  </w:style>
  <w:style w:type="paragraph" w:customStyle="1" w:styleId="285">
    <w:name w:val="Char Char Char Char1"/>
    <w:basedOn w:val="1"/>
    <w:qFormat/>
    <w:uiPriority w:val="99"/>
    <w:pPr>
      <w:widowControl/>
      <w:spacing w:after="160" w:line="240" w:lineRule="exact"/>
      <w:jc w:val="left"/>
    </w:pPr>
    <w:rPr>
      <w:rFonts w:eastAsia="宋体"/>
      <w:szCs w:val="20"/>
    </w:rPr>
  </w:style>
  <w:style w:type="paragraph" w:customStyle="1" w:styleId="286">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qFormat/>
    <w:uiPriority w:val="99"/>
    <w:pPr>
      <w:widowControl/>
      <w:spacing w:after="160" w:line="240" w:lineRule="exact"/>
      <w:jc w:val="left"/>
    </w:pPr>
    <w:rPr>
      <w:rFonts w:eastAsia="宋体"/>
      <w:szCs w:val="20"/>
    </w:rPr>
  </w:style>
  <w:style w:type="paragraph" w:customStyle="1" w:styleId="289">
    <w:name w:val="Char12"/>
    <w:basedOn w:val="1"/>
    <w:qFormat/>
    <w:uiPriority w:val="99"/>
    <w:rPr>
      <w:rFonts w:ascii="Tahoma" w:hAnsi="Tahoma" w:eastAsia="宋体"/>
      <w:sz w:val="24"/>
      <w:szCs w:val="20"/>
    </w:rPr>
  </w:style>
  <w:style w:type="paragraph" w:customStyle="1" w:styleId="290">
    <w:name w:val="Char111"/>
    <w:basedOn w:val="1"/>
    <w:qFormat/>
    <w:uiPriority w:val="99"/>
    <w:rPr>
      <w:rFonts w:ascii="Tahoma" w:hAnsi="Tahoma" w:eastAsia="宋体"/>
      <w:sz w:val="24"/>
      <w:szCs w:val="20"/>
    </w:rPr>
  </w:style>
  <w:style w:type="paragraph" w:customStyle="1" w:styleId="29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qFormat/>
    <w:uiPriority w:val="99"/>
    <w:pPr>
      <w:widowControl/>
      <w:spacing w:after="160" w:line="240" w:lineRule="exact"/>
      <w:jc w:val="left"/>
    </w:pPr>
    <w:rPr>
      <w:rFonts w:eastAsia="宋体"/>
      <w:szCs w:val="20"/>
    </w:rPr>
  </w:style>
  <w:style w:type="character" w:customStyle="1" w:styleId="293">
    <w:name w:val="正文文本 字符"/>
    <w:qFormat/>
    <w:uiPriority w:val="0"/>
    <w:rPr>
      <w:b/>
      <w:i/>
      <w:szCs w:val="24"/>
    </w:rPr>
  </w:style>
  <w:style w:type="paragraph" w:customStyle="1" w:styleId="294">
    <w:name w:val="纯文本2"/>
    <w:basedOn w:val="1"/>
    <w:qFormat/>
    <w:uiPriority w:val="0"/>
    <w:rPr>
      <w:rFonts w:ascii="宋体" w:hAnsi="Courier New" w:cs="Courier New"/>
      <w:szCs w:val="21"/>
    </w:rPr>
  </w:style>
  <w:style w:type="paragraph" w:customStyle="1" w:styleId="295">
    <w:name w:val="TOC 标题3"/>
    <w:basedOn w:val="4"/>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字符"/>
    <w:basedOn w:val="52"/>
    <w:link w:val="44"/>
    <w:qFormat/>
    <w:uiPriority w:val="0"/>
    <w:rPr>
      <w:rFonts w:ascii="黑体" w:hAnsi="Courier New" w:eastAsia="黑体"/>
    </w:rPr>
  </w:style>
  <w:style w:type="paragraph" w:customStyle="1" w:styleId="297">
    <w:name w:val="标书正文"/>
    <w:basedOn w:val="1"/>
    <w:qFormat/>
    <w:uiPriority w:val="0"/>
    <w:pPr>
      <w:widowControl/>
      <w:tabs>
        <w:tab w:val="left" w:pos="1620"/>
      </w:tabs>
      <w:spacing w:line="360" w:lineRule="auto"/>
      <w:ind w:firstLine="200" w:firstLineChars="200"/>
      <w:jc w:val="left"/>
    </w:pPr>
    <w:rPr>
      <w:sz w:val="24"/>
    </w:rPr>
  </w:style>
  <w:style w:type="character" w:customStyle="1" w:styleId="298">
    <w:name w:val="fa"/>
    <w:basedOn w:val="52"/>
    <w:qFormat/>
    <w:uiPriority w:val="0"/>
    <w:rPr>
      <w:color w:val="333333"/>
      <w:sz w:val="19"/>
      <w:szCs w:val="19"/>
    </w:rPr>
  </w:style>
  <w:style w:type="paragraph" w:customStyle="1" w:styleId="299">
    <w:name w:val="_Style 1"/>
    <w:basedOn w:val="1"/>
    <w:qFormat/>
    <w:uiPriority w:val="0"/>
    <w:pPr>
      <w:ind w:firstLine="420" w:firstLineChars="200"/>
    </w:pPr>
    <w:rPr>
      <w:rFonts w:eastAsia="宋体"/>
      <w:szCs w:val="20"/>
    </w:rPr>
  </w:style>
  <w:style w:type="paragraph" w:customStyle="1" w:styleId="300">
    <w:name w:val="Table Paragraph"/>
    <w:basedOn w:val="1"/>
    <w:qFormat/>
    <w:uiPriority w:val="1"/>
    <w:pPr>
      <w:jc w:val="left"/>
    </w:pPr>
    <w:rPr>
      <w:rFonts w:ascii="宋体" w:hAnsi="宋体" w:cs="宋体"/>
      <w:kern w:val="0"/>
      <w:sz w:val="22"/>
      <w:lang w:eastAsia="en-US"/>
    </w:rPr>
  </w:style>
  <w:style w:type="paragraph" w:styleId="301">
    <w:name w:val="No Spacing"/>
    <w:qFormat/>
    <w:uiPriority w:val="99"/>
    <w:pPr>
      <w:widowControl w:val="0"/>
      <w:ind w:firstLine="200" w:firstLineChars="200"/>
      <w:jc w:val="both"/>
    </w:pPr>
    <w:rPr>
      <w:rFonts w:ascii="Times New Roman" w:hAnsi="Times New Roman" w:eastAsia="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0752F-7053-A447-B0F3-BDB1A4E45725}">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72</Pages>
  <Words>33525</Words>
  <Characters>37549</Characters>
  <Lines>1</Lines>
  <Paragraphs>1</Paragraphs>
  <TotalTime>140</TotalTime>
  <ScaleCrop>false</ScaleCrop>
  <LinksUpToDate>false</LinksUpToDate>
  <CharactersWithSpaces>41706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花卷儿</cp:lastModifiedBy>
  <cp:lastPrinted>2021-01-08T03:14:00Z</cp:lastPrinted>
  <dcterms:modified xsi:type="dcterms:W3CDTF">2022-10-14T08:27:55Z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6A2E8350E64649EA9AC7364C1F38B0E1</vt:lpwstr>
  </property>
</Properties>
</file>