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渭南市临渭区自然资源局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临渭区自然资源统一确权登记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项目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采购需求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28"/>
          <w:szCs w:val="28"/>
        </w:rPr>
        <w:t>一、基本要求</w:t>
      </w:r>
    </w:p>
    <w:p>
      <w:pPr>
        <w:suppressAutoHyphens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1、对所属区域内自然资源进行确权登记。</w:t>
      </w:r>
    </w:p>
    <w:p>
      <w:pPr>
        <w:suppressAutoHyphens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除自然资源部、省自然资源厅、市规划和自然资源局直接确权登记之外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lang w:val="en-US" w:eastAsia="zh-CN"/>
        </w:rPr>
        <w:t>临渭区</w:t>
      </w:r>
      <w:r>
        <w:rPr>
          <w:rFonts w:ascii="宋体" w:hAnsi="宋体"/>
          <w:sz w:val="24"/>
          <w:szCs w:val="24"/>
        </w:rPr>
        <w:t>属部门管理的</w:t>
      </w:r>
      <w:r>
        <w:rPr>
          <w:rFonts w:hint="eastAsia" w:ascii="宋体" w:hAnsi="宋体"/>
          <w:sz w:val="24"/>
          <w:szCs w:val="24"/>
        </w:rPr>
        <w:t>所有自然资源进行确权登记。在不动产登记的基础上，构建自然资源统一确权登记制度体系，逐步实现对水流、森林、山岭、草原、荒地、滩涂等所有自然生态空间统一进行确权登记。</w:t>
      </w:r>
    </w:p>
    <w:p>
      <w:pPr>
        <w:suppressAutoHyphens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2、划清</w:t>
      </w:r>
      <w:r>
        <w:rPr>
          <w:rFonts w:ascii="宋体" w:hAnsi="宋体"/>
          <w:b/>
          <w:bCs/>
          <w:sz w:val="24"/>
          <w:szCs w:val="24"/>
        </w:rPr>
        <w:t>“</w:t>
      </w:r>
      <w:r>
        <w:rPr>
          <w:rFonts w:hint="eastAsia" w:ascii="宋体" w:hAnsi="宋体"/>
          <w:b/>
          <w:bCs/>
          <w:sz w:val="24"/>
          <w:szCs w:val="24"/>
        </w:rPr>
        <w:t>四条边界</w:t>
      </w:r>
      <w:r>
        <w:rPr>
          <w:rFonts w:ascii="宋体" w:hAnsi="宋体"/>
          <w:b/>
          <w:bCs/>
          <w:sz w:val="24"/>
          <w:szCs w:val="24"/>
        </w:rPr>
        <w:t>”</w:t>
      </w:r>
    </w:p>
    <w:p>
      <w:pPr>
        <w:suppressAutoHyphens/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清晰界定国土空间各类自然资源资产的产权主体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。</w:t>
      </w:r>
    </w:p>
    <w:p>
      <w:pPr>
        <w:numPr>
          <w:ilvl w:val="0"/>
          <w:numId w:val="1"/>
        </w:numPr>
        <w:suppressAutoHyphens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划清全民所有和集体所有之间的边界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uppressAutoHyphens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划清全民所有、不同层级政府行使所有权的边界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uppressAutoHyphens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划清不同集体所有者的边界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uppressAutoHyphens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划清不同类型自然资源的边界。</w:t>
      </w:r>
    </w:p>
    <w:p>
      <w:pPr>
        <w:suppressAutoHyphens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3、建立自然资源资产产权制度</w:t>
      </w:r>
    </w:p>
    <w:p>
      <w:pPr>
        <w:suppressAutoHyphens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推进确权登记法治化，推劢建立归属清晰、权责明确、监管有效的自然资源资产产权制度，支撑自然资源有效监管和严格保护。</w:t>
      </w:r>
    </w:p>
    <w:p>
      <w:pPr>
        <w:suppressAutoHyphens/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采购项目需要落实的政府采购政策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（1）《财政部 国家发展改革委关于印发〈节能产品政府采购实施意见〉的通知》（财库〔2004〕185号）；（2）《国务院办公厅关于建立政府强制采购节能产品制度的通知》（国办发〔2007〕51号）；（3）《财政部环保总局关于环境标志产品政府采购实施的意见》（财库〔2006〕90号）；（4）《政府采购促进中小企业发展管理办法》（财库〔2020〕46号）；（5）《财政部 司法部关于政府采购支持监狱企业发展有关问题的通知》（财库〔2014〕68号）；（6）《三部门联合发布关于促进残疾人就业政府采购政策的通知》（财库〔2017〕141号）；（7）《财政部发展改革委生态环境部市场监管总局关于调整优化节能产品、环境标志产品政府采购执行机制的通知》（财库〔2019〕9号）；（8）《财政部国务院扶贫办关于运用政府采购政策支持脱贫攻坚的通知》（财库〔2019〕27号）。</w:t>
      </w:r>
    </w:p>
    <w:p>
      <w:pPr>
        <w:suppressAutoHyphens/>
        <w:spacing w:line="360" w:lineRule="auto"/>
        <w:ind w:firstLine="482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5、服务期限：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365</w:t>
      </w:r>
      <w:r>
        <w:rPr>
          <w:rFonts w:hint="eastAsia" w:ascii="宋体" w:hAnsi="宋体" w:eastAsia="宋体" w:cs="Times New Roman"/>
          <w:sz w:val="24"/>
          <w:szCs w:val="24"/>
        </w:rPr>
        <w:t>日历天，2022-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sz w:val="24"/>
          <w:szCs w:val="24"/>
        </w:rPr>
        <w:t>-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 xml:space="preserve"> 00:00:00 至 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-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sz w:val="24"/>
          <w:szCs w:val="24"/>
        </w:rPr>
        <w:t>-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Times New Roman"/>
          <w:sz w:val="24"/>
          <w:szCs w:val="24"/>
        </w:rPr>
        <w:t xml:space="preserve"> 00:00:00（具体服务起止日期可随合同签订时间相应顺延）</w:t>
      </w:r>
    </w:p>
    <w:p>
      <w:pPr>
        <w:suppressAutoHyphens/>
        <w:spacing w:line="360" w:lineRule="auto"/>
        <w:ind w:firstLine="482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6、服务地点：</w:t>
      </w:r>
      <w:r>
        <w:rPr>
          <w:rFonts w:hint="eastAsia" w:ascii="宋体" w:hAnsi="宋体" w:eastAsia="宋体" w:cs="Times New Roman"/>
          <w:sz w:val="24"/>
          <w:szCs w:val="24"/>
        </w:rPr>
        <w:t xml:space="preserve"> 渭南市临渭区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二、需执行的国家相关标准、行业标准、地方标准或者其他标准、规范标准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1、工作成果须符合《陕西省自然资源统一确权登记总体工作方案》规定；</w:t>
      </w:r>
    </w:p>
    <w:p>
      <w:pPr>
        <w:pStyle w:val="2"/>
        <w:ind w:left="0" w:leftChars="0" w:firstLine="480" w:firstLineChars="200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2、工作成果须符合国家其他现行规定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三、服务指标的具体要求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乙方应按照国家有关法律法规和“三包”规定以及招标文件要求和投标文件的“服务承诺”提供服务。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28"/>
          <w:szCs w:val="28"/>
        </w:rPr>
        <w:t>四、拟投入本项目的费用测算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本次采购预算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3516253.84</w:t>
      </w:r>
      <w:r>
        <w:rPr>
          <w:rFonts w:hint="eastAsia" w:ascii="宋体" w:hAnsi="宋体" w:eastAsia="宋体" w:cs="Times New Roman"/>
          <w:sz w:val="24"/>
          <w:szCs w:val="24"/>
        </w:rPr>
        <w:t>元，包括本次项目所需的人工费、服务费、管理费、税金等所有费用。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28"/>
          <w:szCs w:val="28"/>
        </w:rPr>
        <w:t>五、服务质量、标准、期限、效率等要求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服务质量要求：合格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服务标准要求：提供技术资料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服务期限要求：2022-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sz w:val="24"/>
          <w:szCs w:val="24"/>
        </w:rPr>
        <w:t>-1 00:00:00 至 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-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sz w:val="24"/>
          <w:szCs w:val="24"/>
        </w:rPr>
        <w:t>-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Times New Roman"/>
          <w:sz w:val="24"/>
          <w:szCs w:val="24"/>
        </w:rPr>
        <w:t xml:space="preserve"> 00:00:00（具体服务起止日期可随合同签订时间相应顺延）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六、付款方式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依据服务进度分阶段付款，具体依据合同执行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七、验收标准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1.验收依据：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（1）招标文件；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（2）投标文件；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（3）采购合同及补充协议；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（4）行业依据和标准。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2.验收时发现问题的处理办法：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（1）乙方提供不符合招标文件和本合同规定的服务，甲方有权拒绝接受；</w:t>
      </w:r>
    </w:p>
    <w:p>
      <w:pPr>
        <w:numPr>
          <w:ilvl w:val="0"/>
          <w:numId w:val="0"/>
        </w:numPr>
        <w:suppressAutoHyphens/>
        <w:spacing w:line="360" w:lineRule="auto"/>
        <w:ind w:firstLine="480" w:firstLineChars="200"/>
        <w:rPr>
          <w:rFonts w:hint="eastAsia" w:ascii="仿宋_GB2312" w:hAnsi="仿宋" w:eastAsia="仿宋_GB2312" w:cs="宋体"/>
          <w:b/>
          <w:sz w:val="32"/>
          <w:szCs w:val="32"/>
        </w:rPr>
        <w:sectPr>
          <w:footerReference r:id="rId3" w:type="default"/>
          <w:pgSz w:w="11906" w:h="16838"/>
          <w:pgMar w:top="1588" w:right="1588" w:bottom="1588" w:left="1588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2）如发现所提供的服务不符合标准及本合同规定之情形者，甲方有权要求整改，同时做出详尽的现场记录，或由甲乙双方签署备忘录，此现场记录或备忘录可用作补充、整改的有效证据，由此产生的时间延误与有关费用由乙方承担，验收期限相应顺延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B6984"/>
    <w:multiLevelType w:val="singleLevel"/>
    <w:tmpl w:val="429B698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Y2ZiNTlhMmYxMmZjOGUxZDY4ODY1ZWM2Nzk3MDAifQ=="/>
  </w:docVars>
  <w:rsids>
    <w:rsidRoot w:val="00000000"/>
    <w:rsid w:val="15C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2022-11-24T01:11:59Z</dcterms:created>
  <dc:creator>ADMIN</dc:creator>
  <cp:lastModifiedBy>梦回大唐</cp:lastModifiedBy>
  <dcterms:modified xsi:type="dcterms:W3CDTF">2022-11-24T01:12:51Z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55396764C50041B9B8AB39A3C6AC1213</vt:lpwstr>
  </property>
</Properties>
</file>