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pict>
          <v:shape id="_x0000_s1036" o:spid="_x0000_s1036" o:spt="202" type="#_x0000_t202" style="position:absolute;left:0pt;margin-left:326.15pt;margin-top:-20.4pt;height:29.15pt;width:117.7pt;z-index:251668480;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HZGH-2022-042</w:t>
      </w:r>
    </w:p>
    <w:p>
      <w:pPr>
        <w:widowControl/>
        <w:wordWrap w:val="0"/>
        <w:spacing w:line="560" w:lineRule="exact"/>
        <w:rPr>
          <w:rFonts w:hint="eastAsia" w:ascii="仿宋" w:hAnsi="仿宋" w:eastAsia="仿宋" w:cs="仿宋"/>
          <w:b/>
          <w:bCs/>
          <w:color w:val="auto"/>
          <w:spacing w:val="20"/>
          <w:kern w:val="0"/>
          <w:sz w:val="84"/>
          <w:szCs w:val="84"/>
          <w:highlight w:val="none"/>
        </w:rPr>
      </w:pPr>
    </w:p>
    <w:p>
      <w:pPr>
        <w:widowControl/>
        <w:spacing w:line="560" w:lineRule="exact"/>
        <w:jc w:val="both"/>
        <w:rPr>
          <w:rFonts w:hint="eastAsia" w:ascii="仿宋" w:hAnsi="仿宋" w:eastAsia="仿宋" w:cs="仿宋"/>
          <w:b/>
          <w:color w:val="auto"/>
          <w:sz w:val="52"/>
          <w:szCs w:val="52"/>
          <w:highlight w:val="none"/>
        </w:rPr>
      </w:pPr>
    </w:p>
    <w:p>
      <w:pPr>
        <w:spacing w:line="360" w:lineRule="auto"/>
        <w:jc w:val="center"/>
        <w:rPr>
          <w:rFonts w:hint="eastAsia" w:ascii="仿宋" w:hAnsi="仿宋" w:eastAsia="仿宋" w:cs="仿宋"/>
          <w:b/>
          <w:color w:val="auto"/>
          <w:sz w:val="40"/>
          <w:szCs w:val="40"/>
          <w:highlight w:val="none"/>
          <w:shd w:val="clear" w:color="auto" w:fill="FFFFFF"/>
        </w:rPr>
      </w:pPr>
      <w:r>
        <w:rPr>
          <w:rFonts w:hint="eastAsia" w:ascii="仿宋" w:hAnsi="仿宋" w:eastAsia="仿宋" w:cs="仿宋"/>
          <w:b/>
          <w:bCs/>
          <w:color w:val="auto"/>
          <w:sz w:val="52"/>
          <w:szCs w:val="52"/>
          <w:highlight w:val="none"/>
          <w:lang w:eastAsia="zh-CN"/>
        </w:rPr>
        <w:t>2022年防汛及救灾物资补充采购项目</w:t>
      </w:r>
    </w:p>
    <w:p>
      <w:pPr>
        <w:spacing w:beforeLines="50" w:line="560" w:lineRule="exact"/>
        <w:jc w:val="center"/>
        <w:rPr>
          <w:rFonts w:hint="eastAsia" w:ascii="仿宋" w:hAnsi="仿宋" w:eastAsia="仿宋" w:cs="仿宋"/>
          <w:b/>
          <w:bCs/>
          <w:color w:val="auto"/>
          <w:spacing w:val="20"/>
          <w:kern w:val="0"/>
          <w:sz w:val="72"/>
          <w:szCs w:val="72"/>
          <w:highlight w:val="none"/>
        </w:rPr>
      </w:pPr>
    </w:p>
    <w:p>
      <w:pPr>
        <w:spacing w:beforeLines="50" w:line="560" w:lineRule="exact"/>
        <w:jc w:val="center"/>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spacing w:beforeLines="70" w:line="560" w:lineRule="exact"/>
        <w:rPr>
          <w:rFonts w:hint="eastAsia" w:ascii="仿宋" w:hAnsi="仿宋" w:eastAsia="仿宋" w:cs="仿宋"/>
          <w:b/>
          <w:bCs/>
          <w:color w:val="auto"/>
          <w:sz w:val="32"/>
          <w:szCs w:val="32"/>
          <w:highlight w:val="none"/>
        </w:rPr>
      </w:pP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5"/>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pStyle w:val="16"/>
        <w:rPr>
          <w:rFonts w:hint="eastAsia" w:ascii="仿宋" w:hAnsi="仿宋" w:eastAsia="仿宋" w:cs="仿宋"/>
          <w:color w:val="auto"/>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人：渭南市华州区应急管理局</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sz w:val="48"/>
          <w:szCs w:val="48"/>
          <w:highlight w:val="none"/>
          <w:lang w:val="zh-CN"/>
        </w:rPr>
        <w:br w:type="page"/>
      </w:r>
    </w:p>
    <w:p>
      <w:pPr>
        <w:jc w:val="center"/>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spacing w:line="560" w:lineRule="exact"/>
        <w:ind w:firstLine="422"/>
        <w:rPr>
          <w:rFonts w:hint="eastAsia" w:ascii="仿宋" w:hAnsi="仿宋" w:eastAsia="仿宋" w:cs="仿宋"/>
          <w:b/>
          <w:color w:val="auto"/>
          <w:szCs w:val="24"/>
          <w:highlight w:val="none"/>
        </w:rPr>
      </w:pPr>
    </w:p>
    <w:p>
      <w:pPr>
        <w:spacing w:line="560" w:lineRule="exact"/>
        <w:ind w:left="0" w:leftChars="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5、请于购买招标文件后按照规定及时递交投标保证金。</w:t>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6、如在投标文件递交截止时间前放弃本次投标，请以书面形式发出弃标函。</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27</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会议室（西安市朱雀大街南段1号汇成天玺C座18层1818室）递交投标文件并参加开标会议，避免迟误。</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8、请您到达开标会议地点后及时到签到处签字登记。</w:t>
      </w:r>
    </w:p>
    <w:p>
      <w:pPr>
        <w:tabs>
          <w:tab w:val="left" w:pos="1064"/>
        </w:tabs>
        <w:spacing w:line="560" w:lineRule="exact"/>
        <w:ind w:firstLine="42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numPr>
          <w:ilvl w:val="0"/>
          <w:numId w:val="2"/>
        </w:num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b w:val="0"/>
          <w:bCs w:val="0"/>
          <w:color w:val="auto"/>
          <w:szCs w:val="24"/>
          <w:highlight w:val="none"/>
          <w:lang w:eastAsia="zh-CN"/>
        </w:rPr>
        <w:t>投标人</w:t>
      </w:r>
      <w:r>
        <w:rPr>
          <w:rFonts w:hint="eastAsia" w:ascii="仿宋" w:hAnsi="仿宋" w:eastAsia="仿宋" w:cs="仿宋"/>
          <w:b w:val="0"/>
          <w:bCs w:val="0"/>
          <w:color w:val="auto"/>
          <w:szCs w:val="24"/>
          <w:highlight w:val="none"/>
        </w:rPr>
        <w:t>只需拟派1人参与本项目</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须注册</w:t>
      </w:r>
      <w:r>
        <w:rPr>
          <w:rFonts w:hint="eastAsia" w:ascii="仿宋" w:hAnsi="仿宋" w:eastAsia="仿宋" w:cs="仿宋"/>
          <w:b w:val="0"/>
          <w:bCs w:val="0"/>
          <w:color w:val="auto"/>
          <w:szCs w:val="24"/>
          <w:highlight w:val="none"/>
          <w:lang w:eastAsia="zh-CN"/>
        </w:rPr>
        <w:t>西安市</w:t>
      </w:r>
      <w:r>
        <w:rPr>
          <w:rFonts w:hint="eastAsia" w:ascii="仿宋" w:hAnsi="仿宋" w:eastAsia="仿宋" w:cs="仿宋"/>
          <w:b w:val="0"/>
          <w:bCs w:val="0"/>
          <w:color w:val="auto"/>
          <w:szCs w:val="24"/>
          <w:highlight w:val="none"/>
        </w:rPr>
        <w:t>“一码通”且为绿码</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现场测量体温不得超过37℃</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参与</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会议的人员均需</w:t>
      </w:r>
      <w:r>
        <w:rPr>
          <w:rFonts w:hint="eastAsia" w:ascii="仿宋" w:hAnsi="仿宋" w:eastAsia="仿宋" w:cs="仿宋"/>
          <w:b w:val="0"/>
          <w:bCs w:val="0"/>
          <w:color w:val="auto"/>
          <w:szCs w:val="24"/>
          <w:highlight w:val="none"/>
          <w:lang w:eastAsia="zh-CN"/>
        </w:rPr>
        <w:t>佩戴</w:t>
      </w:r>
      <w:r>
        <w:rPr>
          <w:rFonts w:hint="eastAsia" w:ascii="仿宋" w:hAnsi="仿宋" w:eastAsia="仿宋" w:cs="仿宋"/>
          <w:b w:val="0"/>
          <w:bCs w:val="0"/>
          <w:color w:val="auto"/>
          <w:szCs w:val="24"/>
          <w:highlight w:val="none"/>
        </w:rPr>
        <w:t>口罩。</w:t>
      </w:r>
    </w:p>
    <w:p>
      <w:pPr>
        <w:tabs>
          <w:tab w:val="left" w:pos="1064"/>
        </w:tabs>
        <w:spacing w:line="56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6"/>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6"/>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hint="eastAsia" w:ascii="仿宋" w:hAnsi="仿宋" w:eastAsia="仿宋" w:cs="仿宋"/>
          <w:color w:val="auto"/>
          <w:highlight w:val="none"/>
          <w:lang w:val="zh-CN"/>
        </w:rPr>
      </w:pP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3"/>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19866"/>
      <w:bookmarkStart w:id="1" w:name="_Toc458617452"/>
      <w:bookmarkStart w:id="2" w:name="_Toc30185"/>
      <w:bookmarkStart w:id="3" w:name="_Toc458617729"/>
      <w:bookmarkStart w:id="4" w:name="_Toc22111"/>
      <w:r>
        <w:rPr>
          <w:rFonts w:hint="eastAsia" w:ascii="仿宋" w:hAnsi="仿宋" w:eastAsia="仿宋" w:cs="仿宋"/>
          <w:color w:val="auto"/>
          <w:highlight w:val="none"/>
        </w:rPr>
        <w:t xml:space="preserve"> 招标公告</w:t>
      </w:r>
      <w:bookmarkEnd w:id="0"/>
      <w:bookmarkEnd w:id="1"/>
      <w:bookmarkEnd w:id="2"/>
      <w:bookmarkEnd w:id="3"/>
      <w:bookmarkEnd w:id="4"/>
    </w:p>
    <w:p>
      <w:pPr>
        <w:pStyle w:val="8"/>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 xml:space="preserve">项目概况 </w:t>
      </w:r>
    </w:p>
    <w:p>
      <w:pPr>
        <w:pStyle w:val="19"/>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2022年防汛及救灾物资补充采购项目</w:t>
      </w:r>
      <w:r>
        <w:rPr>
          <w:rFonts w:hint="eastAsia" w:ascii="仿宋" w:hAnsi="仿宋" w:eastAsia="仿宋" w:cs="仿宋"/>
          <w:color w:val="auto"/>
          <w:sz w:val="24"/>
          <w:szCs w:val="24"/>
          <w:highlight w:val="none"/>
        </w:rPr>
        <w:t>招标项目的潜在投标人应在西安市朱雀大街南段1号汇成天玺C座18层1812室获取招标文件，并于 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 xml:space="preserve">日 14时30分 （北京时间）前递交投标文件。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HZGH-2022-042</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2022年防汛及救灾物资补充采购项目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636400.00</w:t>
      </w:r>
      <w:r>
        <w:rPr>
          <w:rFonts w:hint="eastAsia" w:ascii="仿宋" w:hAnsi="仿宋" w:eastAsia="仿宋" w:cs="仿宋"/>
          <w:color w:val="auto"/>
          <w:sz w:val="24"/>
          <w:szCs w:val="24"/>
          <w:highlight w:val="none"/>
        </w:rPr>
        <w:t>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2022年防汛及救灾物资补充采购项目</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eastAsia="zh-CN"/>
        </w:rPr>
        <w:t>636400.00</w:t>
      </w:r>
      <w:r>
        <w:rPr>
          <w:rFonts w:hint="eastAsia" w:ascii="仿宋" w:hAnsi="仿宋" w:eastAsia="仿宋" w:cs="仿宋"/>
          <w:i w:val="0"/>
          <w:iCs w:val="0"/>
          <w:caps w:val="0"/>
          <w:color w:val="auto"/>
          <w:spacing w:val="0"/>
          <w:sz w:val="24"/>
          <w:szCs w:val="24"/>
          <w:highlight w:val="none"/>
          <w:shd w:val="clear" w:fill="FFFFFF"/>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eastAsia="zh-CN"/>
        </w:rPr>
        <w:t>636400.00</w:t>
      </w:r>
      <w:r>
        <w:rPr>
          <w:rFonts w:hint="eastAsia" w:ascii="仿宋" w:hAnsi="仿宋" w:eastAsia="仿宋" w:cs="仿宋"/>
          <w:i w:val="0"/>
          <w:iCs w:val="0"/>
          <w:caps w:val="0"/>
          <w:color w:val="auto"/>
          <w:spacing w:val="0"/>
          <w:sz w:val="24"/>
          <w:szCs w:val="24"/>
          <w:highlight w:val="none"/>
          <w:shd w:val="clear" w:fill="FFFFFF"/>
        </w:rPr>
        <w:t>元</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6"/>
        <w:gridCol w:w="790"/>
        <w:gridCol w:w="3095"/>
        <w:gridCol w:w="885"/>
        <w:gridCol w:w="1049"/>
        <w:gridCol w:w="1383"/>
        <w:gridCol w:w="13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66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4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5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其他被服装具</w:t>
            </w:r>
          </w:p>
        </w:tc>
        <w:tc>
          <w:tcPr>
            <w:tcW w:w="166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补充损耗物资，彩条布500捆、手持探照灯200个、网片3000片、编织袋10000条、铁锨200把、雨衣200件、雨鞋200双、雨伞200把、棉被2000床</w:t>
            </w:r>
          </w:p>
        </w:tc>
        <w:tc>
          <w:tcPr>
            <w:tcW w:w="4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5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636400.00</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636400.00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（1）、《政府采购促进中小企业发展管理办法》的通知--财库[2020]46号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（2）、陕西省财政厅关于印发《陕西省中小企业政府采购信用融资办法》--(陕财办采[2018]23号)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（4）、财政部司法部关于政府采购支持监狱企业发展有关问题的通知--财库〔2014〕68号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（5）、《国务院办公厅关于建立政府强制采购节能产品制度的通知》--国办发〔2007〕51号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（6）、《节能产品政府采购实施意见》（财库[2004]185号）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（7）、《环境标志产品政府采购实施的意见》（财库[2006]90号）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（10）、《财政部民政部中国残疾人联合会关于促进残疾人就业政府采购政策的通知》--（财库〔2017〕141号）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（11）、《财政部国务院扶贫办关于运用政府采购政策支持脱贫攻坚的通知》（财库〔2019〕27号）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（12）、《关于进一步加强政府绿色采购有关问题的通知》（陕财办采〔2021〕29号）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（13）、其他需要落实的政府采购政策。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2022年防汛及救灾物资补充采购项目</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提供2022年1月1日至今任意一个月的缴费凭据</w:t>
      </w:r>
      <w:r>
        <w:rPr>
          <w:rFonts w:hint="eastAsia" w:ascii="仿宋" w:hAnsi="仿宋" w:eastAsia="仿宋" w:cs="仿宋"/>
          <w:color w:val="auto"/>
          <w:sz w:val="24"/>
          <w:szCs w:val="24"/>
          <w:highlight w:val="none"/>
        </w:rPr>
        <w:t>；（依法免税的投标人应提供相关文件证明）。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；（依法不需要缴纳社会保障资金的投标人应提供相关证明）。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5、提供具有履行本合同所必需的设备和专业技术能力的说明及承诺；（格式自拟，加盖投标人公章）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3、投标保证金交纳凭证；（保证金交纳凭证复印件加盖公章）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6、本项目专门面向中小企业采购；须符合《政府采购促进中小企业发展管理办法》（财库〔2020〕46号）规定的中小企业参加；(提供《中小企业声明函》，式样见投标文件格式)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日至2022年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日，每天上午09:00:00 至 12:00:00 ，下午 14:00:00 至 17:00:00 （北京时间,法定节假日除外）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地点：西安市朱雀大街南段1号汇成天玺C座18层1812室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方式：现场获取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售价：500元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日14时30分00秒（北京时间）</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地点：西安市朱雀大街南段1号汇成天玺C座18层1818室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六、其他补充事宜</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本项目开标地点：西安市朱雀大街南段1号汇成天玺C座18层1818室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仿宋" w:hAnsi="仿宋" w:eastAsia="仿宋" w:cs="仿宋"/>
          <w:color w:val="auto"/>
          <w:sz w:val="22"/>
          <w:szCs w:val="22"/>
          <w:highlight w:val="none"/>
        </w:rPr>
      </w:pPr>
      <w:r>
        <w:rPr>
          <w:rStyle w:val="26"/>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注：本项目仅对中小企业发售。获取招标文件时（9：00—12：00，14：00--17：00（节假日除外））请携带有效的单位介绍信及被介绍人身份证复印件，加盖投标人公章（鲜章）,可自带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七、对本次招标提出询问，请按以下方式联系。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渭南市华州区应急管理局</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陕西省渭南市华州区子仪大街盐务大厦二楼</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0913-4727183</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党工</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pStyle w:val="1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color w:val="auto"/>
          <w:highlight w:val="none"/>
        </w:rPr>
        <w:pict>
          <v:shape id="Text Box 2" o:spid="_x0000_s1026" o:spt="202" type="#_x0000_t202" style="position:absolute;left:0pt;margin-left:-20.9pt;margin-top:19.85pt;height:69.8pt;width:462.95pt;mso-wrap-distance-bottom:0pt;mso-wrap-distance-left:9pt;mso-wrap-distance-right:9pt;mso-wrap-distance-top:0pt;z-index:251660288;mso-width-relative:page;mso-height-relative:page;" fillcolor="#FFFFFF" filled="t" stroked="t"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on="t" color2="#FFFFFF"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w:r>
    </w:p>
    <w:p>
      <w:pPr>
        <w:pStyle w:val="2"/>
        <w:rPr>
          <w:rFonts w:hint="eastAsia" w:ascii="仿宋" w:hAnsi="仿宋" w:eastAsia="仿宋" w:cs="仿宋"/>
          <w:color w:val="auto"/>
          <w:highlight w:val="none"/>
        </w:rPr>
      </w:pPr>
    </w:p>
    <w:p>
      <w:pPr>
        <w:rPr>
          <w:rFonts w:hint="eastAsia" w:ascii="仿宋" w:hAnsi="仿宋" w:eastAsia="仿宋" w:cs="仿宋"/>
          <w:color w:val="auto"/>
          <w:sz w:val="44"/>
          <w:szCs w:val="44"/>
          <w:highlight w:val="none"/>
        </w:rPr>
      </w:pPr>
      <w:bookmarkStart w:id="5" w:name="_Toc458617730"/>
      <w:bookmarkStart w:id="6" w:name="_Toc458617453"/>
      <w:bookmarkStart w:id="7" w:name="_Toc30520"/>
      <w:r>
        <w:rPr>
          <w:rFonts w:hint="eastAsia" w:ascii="仿宋" w:hAnsi="仿宋" w:eastAsia="仿宋" w:cs="仿宋"/>
          <w:color w:val="auto"/>
          <w:sz w:val="44"/>
          <w:szCs w:val="44"/>
          <w:highlight w:val="none"/>
        </w:rPr>
        <w:br w:type="page"/>
      </w:r>
    </w:p>
    <w:p>
      <w:pPr>
        <w:pStyle w:val="3"/>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4"/>
        <w:spacing w:line="360" w:lineRule="auto"/>
        <w:jc w:val="center"/>
        <w:rPr>
          <w:rFonts w:hint="eastAsia" w:ascii="仿宋" w:hAnsi="仿宋" w:eastAsia="仿宋" w:cs="仿宋"/>
          <w:color w:val="auto"/>
          <w:sz w:val="15"/>
          <w:szCs w:val="15"/>
          <w:highlight w:val="none"/>
        </w:rPr>
      </w:pPr>
      <w:bookmarkStart w:id="8" w:name="_Toc28725"/>
      <w:bookmarkStart w:id="9" w:name="_Toc458617731"/>
      <w:bookmarkStart w:id="10" w:name="_Toc458617454"/>
      <w:r>
        <w:rPr>
          <w:rFonts w:hint="eastAsia" w:ascii="仿宋" w:hAnsi="仿宋" w:eastAsia="仿宋" w:cs="仿宋"/>
          <w:color w:val="auto"/>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渭南市华州区应急管理局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陕西省渭南市华州区子仪大街盐务大厦二楼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0913-4727183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党工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渭南市华州区财政局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2022年防汛及救灾物资补充采购项目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636400.00元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2022年防汛及救灾物资补充采购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7"/>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2022年防汛及救灾物资补充采购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7"/>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7"/>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7"/>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7"/>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3、投标保证金交纳凭证；（保证金交纳凭证复印件加盖公章）</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6、本项目专门面向中小企业采购；须符合《政府采购促进中小企业发展管理办法》（财库〔2020〕46号）规定的中小企业参加；(提供《中小企业声明函》，式样见投标文件格式)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交货期、交货地点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交 货 期：自合同签订之日起</w:t>
            </w:r>
            <w:r>
              <w:rPr>
                <w:rFonts w:hint="eastAsia" w:ascii="仿宋" w:hAnsi="仿宋" w:eastAsia="仿宋" w:cs="仿宋"/>
                <w:color w:val="auto"/>
                <w:szCs w:val="24"/>
                <w:highlight w:val="none"/>
                <w:lang w:val="en-US" w:eastAsia="zh-CN"/>
              </w:rPr>
              <w:t>30个日历日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渭南市华州区应急管理局</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8"/>
              <w:spacing w:line="560" w:lineRule="exact"/>
              <w:rPr>
                <w:rFonts w:hint="eastAsia" w:ascii="仿宋" w:hAnsi="仿宋" w:eastAsia="仿宋" w:cs="仿宋"/>
                <w:color w:val="auto"/>
                <w:sz w:val="24"/>
                <w:szCs w:val="24"/>
                <w:highlight w:val="none"/>
                <w:u w:val="wavyHeavy" w:color="FF0000"/>
              </w:rPr>
            </w:pPr>
          </w:p>
          <w:p>
            <w:pPr>
              <w:pStyle w:val="38"/>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 </w:t>
            </w:r>
          </w:p>
          <w:p>
            <w:pPr>
              <w:pStyle w:val="3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会议室（西安市朱雀大街南段1号汇成天玺C座18层1818室）</w:t>
            </w:r>
          </w:p>
          <w:p>
            <w:pPr>
              <w:pStyle w:val="37"/>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2"/>
              <w:spacing w:line="640" w:lineRule="exact"/>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人民币</w:t>
            </w:r>
            <w:r>
              <w:rPr>
                <w:rFonts w:hint="eastAsia" w:ascii="仿宋" w:hAnsi="仿宋" w:eastAsia="仿宋" w:cs="仿宋"/>
                <w:b/>
                <w:bCs/>
                <w:color w:val="auto"/>
                <w:szCs w:val="24"/>
                <w:highlight w:val="none"/>
                <w:lang w:val="en-US" w:eastAsia="zh-CN"/>
              </w:rPr>
              <w:t>壹万元整</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lang w:eastAsia="zh-CN"/>
              </w:rPr>
              <w:t>2022年</w:t>
            </w:r>
            <w:r>
              <w:rPr>
                <w:rFonts w:hint="eastAsia" w:ascii="仿宋" w:hAnsi="仿宋" w:eastAsia="仿宋" w:cs="仿宋"/>
                <w:b/>
                <w:bCs/>
                <w:color w:val="auto"/>
                <w:szCs w:val="24"/>
                <w:highlight w:val="none"/>
                <w:lang w:val="en-US" w:eastAsia="zh-CN"/>
              </w:rPr>
              <w:t>7</w:t>
            </w:r>
            <w:r>
              <w:rPr>
                <w:rFonts w:hint="eastAsia" w:ascii="仿宋" w:hAnsi="仿宋" w:eastAsia="仿宋" w:cs="仿宋"/>
                <w:b/>
                <w:bCs/>
                <w:color w:val="auto"/>
                <w:szCs w:val="24"/>
                <w:highlight w:val="none"/>
                <w:lang w:eastAsia="zh-CN"/>
              </w:rPr>
              <w:t>月</w:t>
            </w:r>
            <w:r>
              <w:rPr>
                <w:rFonts w:hint="eastAsia" w:ascii="仿宋" w:hAnsi="仿宋" w:eastAsia="仿宋" w:cs="仿宋"/>
                <w:b/>
                <w:bCs/>
                <w:color w:val="auto"/>
                <w:szCs w:val="24"/>
                <w:highlight w:val="none"/>
                <w:lang w:val="en-US" w:eastAsia="zh-CN"/>
              </w:rPr>
              <w:t>27</w:t>
            </w:r>
            <w:r>
              <w:rPr>
                <w:rFonts w:hint="eastAsia" w:ascii="仿宋" w:hAnsi="仿宋" w:eastAsia="仿宋" w:cs="仿宋"/>
                <w:b/>
                <w:bCs/>
                <w:color w:val="auto"/>
                <w:szCs w:val="24"/>
                <w:highlight w:val="none"/>
                <w:lang w:eastAsia="zh-CN"/>
              </w:rPr>
              <w:t>日14:</w:t>
            </w:r>
            <w:r>
              <w:rPr>
                <w:rFonts w:hint="eastAsia" w:ascii="仿宋" w:hAnsi="仿宋" w:eastAsia="仿宋" w:cs="仿宋"/>
                <w:b/>
                <w:bCs/>
                <w:color w:val="auto"/>
                <w:szCs w:val="24"/>
                <w:highlight w:val="none"/>
                <w:lang w:val="en-US" w:eastAsia="zh-CN"/>
              </w:rPr>
              <w:t>3</w:t>
            </w:r>
            <w:r>
              <w:rPr>
                <w:rFonts w:hint="eastAsia" w:ascii="仿宋" w:hAnsi="仿宋" w:eastAsia="仿宋" w:cs="仿宋"/>
                <w:b/>
                <w:bCs/>
                <w:color w:val="auto"/>
                <w:szCs w:val="24"/>
                <w:highlight w:val="none"/>
                <w:lang w:eastAsia="zh-CN"/>
              </w:rPr>
              <w:t>0</w:t>
            </w:r>
            <w:r>
              <w:rPr>
                <w:rFonts w:hint="eastAsia" w:ascii="仿宋" w:hAnsi="仿宋" w:eastAsia="仿宋" w:cs="仿宋"/>
                <w:b/>
                <w:bCs/>
                <w:color w:val="auto"/>
                <w:szCs w:val="24"/>
                <w:highlight w:val="none"/>
              </w:rPr>
              <w:t>前</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）和方式提交保证金，避免银行退票等原因出现保证金未按时到账等情况影响正常投标。请务必在转账时在摘要处注明：项目编号，同时请次日电话查询是否到账：029-8759232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xml:space="preserve">。 </w:t>
            </w:r>
          </w:p>
          <w:p>
            <w:pPr>
              <w:pStyle w:val="2"/>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中信银行：投标保证金、履约保证金（交纳专户）</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 7010 1190 0609 835</w:t>
            </w:r>
          </w:p>
          <w:p>
            <w:pPr>
              <w:pStyle w:val="37"/>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37"/>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注:标书费、招标服务费可以采用转账、现金形式交纳；</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本项目属于交钥匙项目，投标报价=设备价（含税）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8"/>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8"/>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工业</w:t>
            </w:r>
          </w:p>
        </w:tc>
      </w:tr>
    </w:tbl>
    <w:p>
      <w:pPr>
        <w:pStyle w:val="4"/>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732"/>
      <w:bookmarkStart w:id="13" w:name="_Toc458617455"/>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仿宋" w:hAnsi="仿宋" w:eastAsia="仿宋" w:cs="仿宋"/>
          <w:color w:val="auto"/>
          <w:kern w:val="0"/>
          <w:sz w:val="28"/>
          <w:szCs w:val="28"/>
          <w:highlight w:val="none"/>
        </w:rPr>
      </w:pPr>
      <w:bookmarkStart w:id="14" w:name="_Toc458617733"/>
      <w:bookmarkStart w:id="15" w:name="_Toc19356"/>
      <w:bookmarkStart w:id="16" w:name="_Toc458617456"/>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457"/>
      <w:bookmarkStart w:id="18" w:name="_Toc458617734"/>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2、财务状况报告：提供具有财务审计资质单位出具的</w:t>
      </w:r>
      <w:r>
        <w:rPr>
          <w:rFonts w:hint="eastAsia" w:ascii="仿宋" w:hAnsi="仿宋" w:eastAsia="仿宋" w:cs="仿宋"/>
          <w:color w:val="auto"/>
          <w:sz w:val="24"/>
          <w:szCs w:val="24"/>
          <w:highlight w:val="none"/>
          <w:lang w:val="en-US" w:eastAsia="zh-CN"/>
        </w:rPr>
        <w:t>2020年度或2021年度</w:t>
      </w:r>
      <w:r>
        <w:rPr>
          <w:rFonts w:hint="eastAsia" w:ascii="仿宋" w:hAnsi="仿宋" w:eastAsia="仿宋" w:cs="仿宋"/>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rPr>
        <w:t>、投标保证金交纳凭证；（</w:t>
      </w:r>
      <w:r>
        <w:rPr>
          <w:rFonts w:hint="eastAsia" w:ascii="仿宋" w:hAnsi="仿宋" w:eastAsia="仿宋" w:cs="仿宋"/>
          <w:color w:val="auto"/>
          <w:szCs w:val="24"/>
          <w:highlight w:val="none"/>
          <w:lang w:eastAsia="zh-CN"/>
        </w:rPr>
        <w:t>保证金交纳凭证复印件加盖公章</w:t>
      </w:r>
      <w:r>
        <w:rPr>
          <w:rFonts w:hint="eastAsia" w:ascii="仿宋" w:hAnsi="仿宋" w:eastAsia="仿宋" w:cs="仿宋"/>
          <w:color w:val="auto"/>
          <w:szCs w:val="24"/>
          <w:highlight w:val="none"/>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2-6、本项目专门面向中小企业采购；须符合《政府采购促进中小企业发展管理办法》（财库〔2020〕46号）规定的中小企业参加；(提供《中小企业声明函》，式样见投标文件格式)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2-7</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4-4、</w:t>
      </w:r>
      <w:r>
        <w:rPr>
          <w:rFonts w:hint="eastAsia" w:ascii="仿宋" w:hAnsi="仿宋" w:eastAsia="仿宋" w:cs="仿宋"/>
          <w:color w:val="auto"/>
          <w:szCs w:val="24"/>
          <w:highlight w:val="none"/>
        </w:rPr>
        <w:t>选配件报价表（格式，若有）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2018年1月1日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、质量保证</w:t>
      </w:r>
    </w:p>
    <w:p>
      <w:pPr>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eastAsia="zh-CN"/>
        </w:rPr>
        <w:t>及培训计划</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color w:val="auto"/>
          <w:szCs w:val="24"/>
          <w:highlight w:val="none"/>
        </w:rPr>
        <w:t>运输费+安装费+调试费+培训费+产品辅材费+售后服务费+保险费+相关伴随费用等。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p>
      <w:pPr>
        <w:pStyle w:val="4"/>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tabs>
          <w:tab w:val="left" w:pos="7013"/>
        </w:tabs>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spacing w:line="56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u w:val="single"/>
        </w:rPr>
        <w:t>（3）中标人的投标保证金，将在签订合同后5个工作日内执合同予以退还（无息）。（</w:t>
      </w:r>
      <w:r>
        <w:rPr>
          <w:rFonts w:hint="eastAsia" w:ascii="仿宋" w:hAnsi="仿宋" w:eastAsia="仿宋" w:cs="仿宋"/>
          <w:b/>
          <w:color w:val="auto"/>
          <w:szCs w:val="24"/>
          <w:highlight w:val="none"/>
          <w:u w:val="single"/>
          <w:lang w:eastAsia="zh-CN"/>
        </w:rPr>
        <w:t>中标人</w:t>
      </w:r>
      <w:r>
        <w:rPr>
          <w:rFonts w:hint="eastAsia" w:ascii="仿宋" w:hAnsi="仿宋" w:eastAsia="仿宋" w:cs="仿宋"/>
          <w:b/>
          <w:color w:val="auto"/>
          <w:szCs w:val="24"/>
          <w:highlight w:val="none"/>
          <w:u w:val="single"/>
        </w:rPr>
        <w:t>须携带合同原件、合同复印件（加盖单位鲜章）各一份，同时将合同扫描件发送至</w:t>
      </w:r>
      <w:r>
        <w:rPr>
          <w:rFonts w:hint="eastAsia" w:ascii="仿宋" w:hAnsi="仿宋" w:eastAsia="仿宋" w:cs="仿宋"/>
          <w:b/>
          <w:color w:val="auto"/>
          <w:szCs w:val="24"/>
          <w:highlight w:val="none"/>
          <w:u w:val="single"/>
          <w:lang w:val="en-US" w:eastAsia="zh-CN"/>
        </w:rPr>
        <w:t>hzghxmglyxgs@163.com</w:t>
      </w:r>
      <w:r>
        <w:rPr>
          <w:rFonts w:hint="eastAsia" w:ascii="仿宋" w:hAnsi="仿宋" w:eastAsia="仿宋" w:cs="仿宋"/>
          <w:b/>
          <w:color w:val="auto"/>
          <w:szCs w:val="24"/>
          <w:highlight w:val="none"/>
          <w:u w:val="single"/>
        </w:rPr>
        <w:t>邮箱），但因中标人自身原因导致无法及时退还的除外。</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spacing w:line="560" w:lineRule="exact"/>
        <w:ind w:left="574" w:leftChars="239"/>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lang w:val="en-US" w:eastAsia="zh-CN"/>
        </w:rPr>
        <w:t>投标人</w:t>
      </w:r>
      <w:r>
        <w:rPr>
          <w:rFonts w:hint="eastAsia" w:ascii="仿宋" w:hAnsi="仿宋" w:eastAsia="仿宋" w:cs="仿宋"/>
          <w:color w:val="auto"/>
          <w:szCs w:val="24"/>
          <w:highlight w:val="none"/>
          <w:u w:val="single"/>
        </w:rPr>
        <w:t>自行放弃</w:t>
      </w:r>
      <w:r>
        <w:rPr>
          <w:rFonts w:hint="eastAsia" w:ascii="仿宋" w:hAnsi="仿宋" w:eastAsia="仿宋" w:cs="仿宋"/>
          <w:color w:val="auto"/>
          <w:szCs w:val="24"/>
          <w:highlight w:val="none"/>
          <w:u w:val="single"/>
          <w:lang w:eastAsia="zh-CN"/>
        </w:rPr>
        <w:t>投标</w:t>
      </w:r>
      <w:r>
        <w:rPr>
          <w:rFonts w:hint="eastAsia" w:ascii="仿宋" w:hAnsi="仿宋" w:eastAsia="仿宋" w:cs="仿宋"/>
          <w:color w:val="auto"/>
          <w:szCs w:val="24"/>
          <w:highlight w:val="none"/>
          <w:u w:val="single"/>
        </w:rPr>
        <w:t>资格而未在</w:t>
      </w:r>
      <w:r>
        <w:rPr>
          <w:rFonts w:hint="eastAsia" w:ascii="仿宋" w:hAnsi="仿宋" w:eastAsia="仿宋" w:cs="仿宋"/>
          <w:color w:val="auto"/>
          <w:szCs w:val="24"/>
          <w:highlight w:val="none"/>
          <w:u w:val="single"/>
          <w:lang w:eastAsia="zh-CN"/>
        </w:rPr>
        <w:t>开标</w:t>
      </w:r>
      <w:r>
        <w:rPr>
          <w:rFonts w:hint="eastAsia" w:ascii="仿宋" w:hAnsi="仿宋" w:eastAsia="仿宋" w:cs="仿宋"/>
          <w:color w:val="auto"/>
          <w:szCs w:val="24"/>
          <w:highlight w:val="none"/>
          <w:u w:val="single"/>
        </w:rPr>
        <w:t>会议前一天以书面形式告知采购代理</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投标人自行放弃中标资格的；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中标单位不在规定的时效内领取《中标通知书》的；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中标人不按规定支付招标服务费的；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中标人因自身原因未能在规定期限内与采购人签订合同的。</w:t>
      </w:r>
    </w:p>
    <w:p>
      <w:pPr>
        <w:pStyle w:val="4"/>
        <w:spacing w:line="560" w:lineRule="exact"/>
        <w:rPr>
          <w:rFonts w:hint="eastAsia" w:ascii="仿宋" w:hAnsi="仿宋" w:eastAsia="仿宋" w:cs="仿宋"/>
          <w:color w:val="auto"/>
          <w:kern w:val="0"/>
          <w:sz w:val="28"/>
          <w:szCs w:val="28"/>
          <w:highlight w:val="none"/>
        </w:rPr>
      </w:pPr>
      <w:bookmarkStart w:id="27" w:name="_Toc458617736"/>
      <w:bookmarkStart w:id="28" w:name="_Toc458617459"/>
      <w:bookmarkStart w:id="29" w:name="_Toc22244"/>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7"/>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7"/>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7"/>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37"/>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4"/>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spacing w:line="560" w:lineRule="exact"/>
        <w:ind w:firstLine="482" w:firstLineChars="200"/>
        <w:rPr>
          <w:rFonts w:hint="eastAsia" w:ascii="仿宋" w:hAnsi="仿宋" w:eastAsia="仿宋" w:cs="仿宋"/>
          <w:bCs/>
          <w:color w:val="auto"/>
          <w:szCs w:val="24"/>
          <w:highlight w:val="none"/>
        </w:rPr>
      </w:pPr>
      <w:r>
        <w:rPr>
          <w:rFonts w:hint="eastAsia" w:ascii="仿宋" w:hAnsi="仿宋" w:eastAsia="仿宋" w:cs="仿宋"/>
          <w:b/>
          <w:bCs/>
          <w:color w:val="auto"/>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color w:val="auto"/>
          <w:szCs w:val="24"/>
          <w:highlight w:val="none"/>
          <w:lang w:eastAsia="zh-CN"/>
        </w:rPr>
        <w:t>或加盖公章的复印件</w:t>
      </w:r>
      <w:r>
        <w:rPr>
          <w:rFonts w:hint="eastAsia" w:ascii="仿宋" w:hAnsi="仿宋" w:eastAsia="仿宋" w:cs="仿宋"/>
          <w:b/>
          <w:bCs/>
          <w:color w:val="auto"/>
          <w:szCs w:val="24"/>
          <w:highlight w:val="none"/>
        </w:rPr>
        <w:t>，逾期不接受任何补充资料：</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（1）基本资格条件：符合《中华人民共和国政府采购法》第二十二条的规定：</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2、财务状况报告：提供具有财务审计资质单位出具的</w:t>
      </w:r>
      <w:r>
        <w:rPr>
          <w:rFonts w:hint="eastAsia" w:ascii="仿宋" w:hAnsi="仿宋" w:eastAsia="仿宋" w:cs="仿宋"/>
          <w:b w:val="0"/>
          <w:bCs/>
          <w:color w:val="auto"/>
          <w:szCs w:val="24"/>
          <w:highlight w:val="none"/>
          <w:lang w:val="en-US" w:eastAsia="zh-CN"/>
        </w:rPr>
        <w:t>2020年度或2021年度</w:t>
      </w:r>
      <w:r>
        <w:rPr>
          <w:rFonts w:hint="eastAsia" w:ascii="仿宋" w:hAnsi="仿宋" w:eastAsia="仿宋" w:cs="仿宋"/>
          <w:b w:val="0"/>
          <w:bCs/>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37"/>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7"/>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；（依法不需要缴纳社会保障资金的投标人应提供相关证明）。</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rPr>
        <w:t>5、提供具有履行本合同所必需的设备和专业技术能力的说明及承诺；（格式自拟，加盖投标人公章）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6、提供参加政府采购活动前三年内在经营活动中没有重大违法记录的书面声明。（格式自拟，加盖投标人公章）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（2）、特定资格条件：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、投标保证金交纳凭证；（</w:t>
      </w:r>
      <w:r>
        <w:rPr>
          <w:rFonts w:hint="eastAsia" w:ascii="仿宋" w:hAnsi="仿宋" w:eastAsia="仿宋" w:cs="仿宋"/>
          <w:b w:val="0"/>
          <w:bCs/>
          <w:color w:val="auto"/>
          <w:szCs w:val="24"/>
          <w:highlight w:val="none"/>
          <w:lang w:eastAsia="zh-CN"/>
        </w:rPr>
        <w:t>保证金交纳凭证复印件加盖公章</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、单位负责人为同一人或者存在直接控股、管理关系的不同投标人，不得参加同一合同项下的政府采购活动；（提供书面承诺函，格式自拟加盖投标人公章）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val="en-US" w:eastAsia="zh-CN"/>
        </w:rPr>
      </w:pPr>
      <w:r>
        <w:rPr>
          <w:rFonts w:hint="eastAsia" w:ascii="仿宋" w:hAnsi="仿宋" w:eastAsia="仿宋" w:cs="仿宋"/>
          <w:b w:val="0"/>
          <w:bCs/>
          <w:color w:val="auto"/>
          <w:szCs w:val="24"/>
          <w:highlight w:val="none"/>
          <w:lang w:val="en-US" w:eastAsia="zh-CN"/>
        </w:rPr>
        <w:t>6、本项目专门面向中小企业采购；须符合《政府采购促进中小企业发展管理办法》（财库〔2020〕46号）规定的中小企业参加；(提供《中小企业声明函》，式样见投标文件格式)</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39"/>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35</w:t>
            </w:r>
            <w:r>
              <w:rPr>
                <w:rFonts w:hint="eastAsia" w:ascii="仿宋" w:hAnsi="仿宋" w:eastAsia="仿宋" w:cs="仿宋"/>
                <w:color w:val="auto"/>
                <w:kern w:val="0"/>
                <w:szCs w:val="24"/>
                <w:highlight w:val="none"/>
              </w:rPr>
              <w:t>分</w:t>
            </w:r>
          </w:p>
        </w:tc>
        <w:tc>
          <w:tcPr>
            <w:tcW w:w="8084" w:type="dxa"/>
          </w:tcPr>
          <w:p>
            <w:pPr>
              <w:widowControl/>
              <w:numPr>
                <w:ilvl w:val="0"/>
                <w:numId w:val="4"/>
              </w:numPr>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投标人所投产品的技术参数和性能要求完全满足招标文件要求的得</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rPr>
              <w:t>分</w:t>
            </w:r>
            <w:r>
              <w:rPr>
                <w:rFonts w:hint="eastAsia" w:ascii="仿宋" w:hAnsi="仿宋" w:eastAsia="仿宋" w:cs="仿宋"/>
                <w:color w:val="auto"/>
                <w:szCs w:val="24"/>
                <w:highlight w:val="none"/>
                <w:lang w:eastAsia="zh-CN"/>
              </w:rPr>
              <w:t>，参数每负偏离一项扣</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分，扣完为止；</w:t>
            </w:r>
          </w:p>
          <w:p>
            <w:pPr>
              <w:widowControl/>
              <w:numPr>
                <w:ilvl w:val="0"/>
                <w:numId w:val="0"/>
              </w:numPr>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2、产品有详细的使用说明介绍，技术指标满足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每提供一项证明材料得1分，最多得5分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val="en-US" w:eastAsia="zh-CN"/>
              </w:rPr>
              <w:t>详细完整</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（2）、拟投入本项目的</w:t>
            </w:r>
            <w:r>
              <w:rPr>
                <w:rFonts w:hint="eastAsia" w:ascii="仿宋" w:hAnsi="仿宋" w:eastAsia="仿宋" w:cs="仿宋"/>
                <w:color w:val="auto"/>
                <w:szCs w:val="24"/>
                <w:highlight w:val="none"/>
                <w:lang w:eastAsia="zh-CN"/>
              </w:rPr>
              <w:t>技术、管理</w:t>
            </w:r>
            <w:r>
              <w:rPr>
                <w:rFonts w:hint="eastAsia" w:ascii="仿宋" w:hAnsi="仿宋" w:eastAsia="仿宋" w:cs="仿宋"/>
                <w:color w:val="auto"/>
                <w:szCs w:val="24"/>
                <w:highlight w:val="none"/>
              </w:rPr>
              <w:t>人员安排及责任制度</w:t>
            </w:r>
            <w:r>
              <w:rPr>
                <w:rFonts w:hint="eastAsia" w:ascii="仿宋" w:hAnsi="仿宋" w:eastAsia="仿宋" w:cs="仿宋"/>
                <w:color w:val="auto"/>
                <w:szCs w:val="24"/>
                <w:highlight w:val="none"/>
                <w:lang w:eastAsia="zh-CN"/>
              </w:rPr>
              <w:t>合理全面，</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（3）、安装、检测、调试措施</w:t>
            </w:r>
            <w:r>
              <w:rPr>
                <w:rFonts w:hint="eastAsia" w:ascii="仿宋" w:hAnsi="仿宋" w:eastAsia="仿宋" w:cs="仿宋"/>
                <w:color w:val="auto"/>
                <w:szCs w:val="24"/>
                <w:highlight w:val="none"/>
                <w:lang w:val="en-US" w:eastAsia="zh-CN"/>
              </w:rPr>
              <w:t>完整详细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分</w:t>
            </w:r>
          </w:p>
        </w:tc>
        <w:tc>
          <w:tcPr>
            <w:tcW w:w="8084" w:type="dxa"/>
            <w:vAlign w:val="center"/>
          </w:tcPr>
          <w:p>
            <w:pPr>
              <w:pStyle w:val="39"/>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 w:val="24"/>
                <w:szCs w:val="32"/>
                <w:highlight w:val="none"/>
              </w:rPr>
              <w:t>所投产品制造厂家有可靠、完善的管理制度；有具体可行的质量保证承诺，保证使用单位能熟练操作维护和正常使用，需提供相应的证明文件，</w:t>
            </w:r>
            <w:r>
              <w:rPr>
                <w:rFonts w:hint="eastAsia" w:ascii="仿宋" w:hAnsi="仿宋" w:eastAsia="仿宋" w:cs="仿宋"/>
                <w:color w:val="auto"/>
                <w:kern w:val="0"/>
                <w:sz w:val="24"/>
                <w:szCs w:val="32"/>
                <w:highlight w:val="none"/>
                <w:lang w:val="en-US" w:eastAsia="zh-CN"/>
              </w:rPr>
              <w:t>全面得</w:t>
            </w:r>
            <w:r>
              <w:rPr>
                <w:rFonts w:hint="eastAsia" w:ascii="仿宋" w:hAnsi="仿宋" w:eastAsia="仿宋" w:cs="仿宋"/>
                <w:color w:val="auto"/>
                <w:kern w:val="0"/>
                <w:sz w:val="24"/>
                <w:szCs w:val="32"/>
                <w:highlight w:val="none"/>
                <w:lang w:eastAsia="zh-CN"/>
              </w:rPr>
              <w:t>（</w:t>
            </w:r>
            <w:r>
              <w:rPr>
                <w:rFonts w:hint="eastAsia" w:ascii="仿宋" w:hAnsi="仿宋" w:eastAsia="仿宋" w:cs="仿宋"/>
                <w:color w:val="auto"/>
                <w:kern w:val="0"/>
                <w:sz w:val="24"/>
                <w:szCs w:val="32"/>
                <w:highlight w:val="none"/>
                <w:lang w:val="en-US" w:eastAsia="zh-CN"/>
              </w:rPr>
              <w:t>5</w:t>
            </w:r>
            <w:r>
              <w:rPr>
                <w:rFonts w:hint="eastAsia" w:ascii="仿宋" w:hAnsi="仿宋" w:eastAsia="仿宋" w:cs="仿宋"/>
                <w:color w:val="auto"/>
                <w:kern w:val="0"/>
                <w:sz w:val="24"/>
                <w:szCs w:val="32"/>
                <w:highlight w:val="none"/>
                <w:lang w:eastAsia="zh-CN"/>
              </w:rPr>
              <w:t>-</w:t>
            </w:r>
            <w:r>
              <w:rPr>
                <w:rFonts w:hint="eastAsia" w:ascii="仿宋" w:hAnsi="仿宋" w:eastAsia="仿宋" w:cs="仿宋"/>
                <w:color w:val="auto"/>
                <w:kern w:val="0"/>
                <w:sz w:val="24"/>
                <w:szCs w:val="32"/>
                <w:highlight w:val="none"/>
                <w:lang w:val="en-US" w:eastAsia="zh-CN"/>
              </w:rPr>
              <w:t>8</w:t>
            </w:r>
            <w:r>
              <w:rPr>
                <w:rFonts w:hint="eastAsia" w:ascii="仿宋" w:hAnsi="仿宋" w:eastAsia="仿宋" w:cs="仿宋"/>
                <w:color w:val="auto"/>
                <w:kern w:val="0"/>
                <w:sz w:val="24"/>
                <w:szCs w:val="32"/>
                <w:highlight w:val="none"/>
                <w:lang w:eastAsia="zh-CN"/>
              </w:rPr>
              <w:t>]分，</w:t>
            </w:r>
            <w:r>
              <w:rPr>
                <w:rFonts w:hint="eastAsia" w:ascii="仿宋" w:hAnsi="仿宋" w:eastAsia="仿宋" w:cs="仿宋"/>
                <w:color w:val="auto"/>
                <w:kern w:val="0"/>
                <w:sz w:val="24"/>
                <w:szCs w:val="32"/>
                <w:highlight w:val="none"/>
                <w:lang w:val="en-US" w:eastAsia="zh-CN"/>
              </w:rPr>
              <w:t>较为全面得（3</w:t>
            </w:r>
            <w:r>
              <w:rPr>
                <w:rFonts w:hint="eastAsia" w:ascii="仿宋" w:hAnsi="仿宋" w:eastAsia="仿宋" w:cs="仿宋"/>
                <w:color w:val="auto"/>
                <w:kern w:val="0"/>
                <w:sz w:val="24"/>
                <w:szCs w:val="32"/>
                <w:highlight w:val="none"/>
                <w:lang w:eastAsia="zh-CN"/>
              </w:rPr>
              <w:t>-</w:t>
            </w:r>
            <w:r>
              <w:rPr>
                <w:rFonts w:hint="eastAsia" w:ascii="仿宋" w:hAnsi="仿宋" w:eastAsia="仿宋" w:cs="仿宋"/>
                <w:color w:val="auto"/>
                <w:kern w:val="0"/>
                <w:sz w:val="24"/>
                <w:szCs w:val="32"/>
                <w:highlight w:val="none"/>
                <w:lang w:val="en-US" w:eastAsia="zh-CN"/>
              </w:rPr>
              <w:t>5</w:t>
            </w:r>
            <w:r>
              <w:rPr>
                <w:rFonts w:hint="eastAsia" w:ascii="仿宋" w:hAnsi="仿宋" w:eastAsia="仿宋" w:cs="仿宋"/>
                <w:color w:val="auto"/>
                <w:kern w:val="0"/>
                <w:sz w:val="24"/>
                <w:szCs w:val="32"/>
                <w:highlight w:val="none"/>
                <w:lang w:eastAsia="zh-CN"/>
              </w:rPr>
              <w:t>]分，</w:t>
            </w:r>
            <w:r>
              <w:rPr>
                <w:rFonts w:hint="eastAsia" w:ascii="仿宋" w:hAnsi="仿宋" w:eastAsia="仿宋" w:cs="仿宋"/>
                <w:color w:val="auto"/>
                <w:kern w:val="0"/>
                <w:sz w:val="24"/>
                <w:szCs w:val="32"/>
                <w:highlight w:val="none"/>
                <w:lang w:val="en-US" w:eastAsia="zh-CN"/>
              </w:rPr>
              <w:t>一般得[1-3]分，未提供不得分</w:t>
            </w:r>
            <w:r>
              <w:rPr>
                <w:rFonts w:hint="eastAsia" w:ascii="仿宋" w:hAnsi="仿宋" w:eastAsia="仿宋" w:cs="仿宋"/>
                <w:color w:val="auto"/>
                <w:kern w:val="0"/>
                <w:sz w:val="24"/>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eastAsia="zh-CN"/>
              </w:rPr>
              <w:t>多寡</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w:t>
            </w:r>
            <w:r>
              <w:rPr>
                <w:rFonts w:hint="eastAsia" w:ascii="仿宋" w:hAnsi="仿宋" w:eastAsia="仿宋" w:cs="仿宋"/>
                <w:color w:val="auto"/>
                <w:kern w:val="0"/>
                <w:szCs w:val="24"/>
                <w:highlight w:val="none"/>
                <w:lang w:eastAsia="zh-CN"/>
              </w:rPr>
              <w:t>2018年1月1日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，每份计1分，计满</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18</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1、售后服务方案详细、具体、可行（包括投标人售后服务网点的设定、拟投入售后服务人员配置情况、项目交付用户后出现故障响应时间等）</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全面</w:t>
            </w:r>
            <w:bookmarkStart w:id="248" w:name="_GoBack"/>
            <w:bookmarkEnd w:id="248"/>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3、提供详尽的培训方案及培训计划，并列出培训的具体内容及方式，确保使用人员能够独立操作，并进行简单故障排查处理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5"/>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非单一产品采购项目，多家投标人提供的核心产品品牌相同的，按照前款规定处理。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（1）根据《政府采购促进中小企业发展管理办法》（财库【2020】46号）的办法，对于专门面向中小企业采购的项目或者采购包,不再执行价格评审优惠的扶持政策。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）参加本项目的小微企业须提供《</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）小微企业按</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强制类产品不给予计分。 </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4" w:name="_Toc14886425"/>
      <w:bookmarkStart w:id="35" w:name="_Toc22138"/>
      <w:r>
        <w:rPr>
          <w:rFonts w:hint="eastAsia" w:ascii="仿宋" w:hAnsi="仿宋" w:eastAsia="仿宋" w:cs="仿宋"/>
          <w:b/>
          <w:color w:val="auto"/>
          <w:sz w:val="24"/>
          <w:highlight w:val="none"/>
          <w:lang w:val="en-US" w:eastAsia="zh-CN"/>
        </w:rPr>
        <w:t>信用担保</w:t>
      </w:r>
      <w:bookmarkEnd w:id="34"/>
      <w:bookmarkEnd w:id="35"/>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6"/>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color w:val="auto"/>
          <w:szCs w:val="24"/>
          <w:highlight w:val="none"/>
        </w:rPr>
        <w:t>评标</w:t>
      </w:r>
      <w:bookmarkEnd w:id="36"/>
      <w:r>
        <w:rPr>
          <w:rFonts w:hint="eastAsia" w:ascii="仿宋" w:hAnsi="仿宋" w:eastAsia="仿宋" w:cs="仿宋"/>
          <w:color w:val="auto"/>
          <w:szCs w:val="24"/>
          <w:highlight w:val="none"/>
        </w:rPr>
        <w:t>报告。</w:t>
      </w:r>
    </w:p>
    <w:p>
      <w:pPr>
        <w:numPr>
          <w:ilvl w:val="0"/>
          <w:numId w:val="6"/>
        </w:numPr>
        <w:spacing w:line="560" w:lineRule="exact"/>
        <w:ind w:firstLine="480" w:firstLineChars="200"/>
        <w:rPr>
          <w:rFonts w:hint="eastAsia" w:ascii="仿宋" w:hAnsi="仿宋" w:eastAsia="仿宋" w:cs="仿宋"/>
          <w:color w:val="auto"/>
          <w:szCs w:val="24"/>
          <w:highlight w:val="none"/>
        </w:rPr>
      </w:pPr>
      <w:bookmarkStart w:id="37"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8" w:name="_Toc458617461"/>
      <w:bookmarkStart w:id="39" w:name="_Toc458617738"/>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8"/>
      <w:bookmarkEnd w:id="39"/>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790"/>
      <w:bookmarkStart w:id="41" w:name="_Toc458617462"/>
      <w:bookmarkStart w:id="42" w:name="_Toc458617739"/>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spacing w:line="560" w:lineRule="exact"/>
        <w:rPr>
          <w:rFonts w:hint="eastAsia" w:ascii="仿宋" w:hAnsi="仿宋" w:eastAsia="仿宋" w:cs="仿宋"/>
          <w:color w:val="auto"/>
          <w:kern w:val="0"/>
          <w:sz w:val="28"/>
          <w:szCs w:val="28"/>
          <w:highlight w:val="none"/>
        </w:rPr>
      </w:pPr>
      <w:bookmarkStart w:id="43" w:name="_Toc16697"/>
      <w:r>
        <w:rPr>
          <w:rFonts w:hint="eastAsia" w:ascii="仿宋" w:hAnsi="仿宋" w:eastAsia="仿宋" w:cs="仿宋"/>
          <w:color w:val="auto"/>
          <w:kern w:val="0"/>
          <w:sz w:val="28"/>
          <w:szCs w:val="28"/>
          <w:highlight w:val="none"/>
        </w:rPr>
        <w:t>八、合同</w:t>
      </w:r>
      <w:bookmarkEnd w:id="40"/>
      <w:bookmarkEnd w:id="41"/>
      <w:bookmarkEnd w:id="42"/>
      <w:bookmarkEnd w:id="43"/>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1、中标人在收到中标通知书后三十（30）个日历日内，应按招标文件的要求与采购人签订合同。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463"/>
      <w:bookmarkStart w:id="45" w:name="_Toc458617740"/>
    </w:p>
    <w:p>
      <w:pPr>
        <w:pStyle w:val="4"/>
        <w:spacing w:line="560" w:lineRule="exact"/>
        <w:rPr>
          <w:rFonts w:hint="eastAsia" w:ascii="仿宋" w:hAnsi="仿宋" w:eastAsia="仿宋" w:cs="仿宋"/>
          <w:color w:val="auto"/>
          <w:kern w:val="0"/>
          <w:sz w:val="28"/>
          <w:szCs w:val="28"/>
          <w:highlight w:val="none"/>
        </w:rPr>
      </w:pPr>
      <w:bookmarkStart w:id="46" w:name="_Toc10597"/>
      <w:r>
        <w:rPr>
          <w:rFonts w:hint="eastAsia" w:ascii="仿宋" w:hAnsi="仿宋" w:eastAsia="仿宋" w:cs="仿宋"/>
          <w:color w:val="auto"/>
          <w:kern w:val="0"/>
          <w:sz w:val="28"/>
          <w:szCs w:val="28"/>
          <w:highlight w:val="none"/>
        </w:rPr>
        <w:t>九、合同的履约验收</w:t>
      </w:r>
      <w:bookmarkEnd w:id="46"/>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仿宋" w:hAnsi="仿宋" w:eastAsia="仿宋" w:cs="仿宋"/>
          <w:color w:val="auto"/>
          <w:kern w:val="0"/>
          <w:sz w:val="28"/>
          <w:szCs w:val="28"/>
          <w:highlight w:val="none"/>
        </w:rPr>
      </w:pPr>
      <w:bookmarkStart w:id="47" w:name="_Toc2283"/>
      <w:r>
        <w:rPr>
          <w:rFonts w:hint="eastAsia" w:ascii="仿宋" w:hAnsi="仿宋" w:eastAsia="仿宋" w:cs="仿宋"/>
          <w:color w:val="auto"/>
          <w:kern w:val="0"/>
          <w:sz w:val="28"/>
          <w:szCs w:val="28"/>
          <w:highlight w:val="none"/>
        </w:rPr>
        <w:t>十、招标服务费</w:t>
      </w:r>
      <w:bookmarkEnd w:id="44"/>
      <w:bookmarkEnd w:id="45"/>
      <w:bookmarkEnd w:id="47"/>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8" w:name="_Toc193187089"/>
      <w:bookmarkStart w:id="49" w:name="_Toc193126874"/>
      <w:bookmarkStart w:id="50" w:name="_Toc194663910"/>
      <w:bookmarkStart w:id="51" w:name="_Toc188808820"/>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2、招标服务费应采用转账、现金形式交纳。</w:t>
      </w:r>
      <w:r>
        <w:rPr>
          <w:rFonts w:hint="eastAsia" w:ascii="仿宋" w:hAnsi="仿宋" w:eastAsia="仿宋" w:cs="仿宋"/>
          <w:color w:val="auto"/>
          <w:szCs w:val="24"/>
          <w:highlight w:val="none"/>
          <w:lang w:val="en-US" w:eastAsia="zh-CN"/>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2" w:name="_Toc458617741"/>
      <w:bookmarkStart w:id="53" w:name="_Toc458617464"/>
    </w:p>
    <w:p>
      <w:pPr>
        <w:pStyle w:val="4"/>
        <w:spacing w:line="560" w:lineRule="exact"/>
        <w:rPr>
          <w:rFonts w:hint="eastAsia" w:ascii="仿宋" w:hAnsi="仿宋" w:eastAsia="仿宋" w:cs="仿宋"/>
          <w:color w:val="auto"/>
          <w:kern w:val="0"/>
          <w:sz w:val="28"/>
          <w:szCs w:val="28"/>
          <w:highlight w:val="none"/>
        </w:rPr>
      </w:pPr>
      <w:bookmarkStart w:id="54" w:name="_Toc22375"/>
      <w:r>
        <w:rPr>
          <w:rFonts w:hint="eastAsia" w:ascii="仿宋" w:hAnsi="仿宋" w:eastAsia="仿宋" w:cs="仿宋"/>
          <w:color w:val="auto"/>
          <w:kern w:val="0"/>
          <w:sz w:val="28"/>
          <w:szCs w:val="28"/>
          <w:highlight w:val="none"/>
        </w:rPr>
        <w:t>十一、</w:t>
      </w:r>
      <w:bookmarkEnd w:id="48"/>
      <w:bookmarkEnd w:id="49"/>
      <w:bookmarkEnd w:id="50"/>
      <w:bookmarkEnd w:id="51"/>
      <w:bookmarkEnd w:id="52"/>
      <w:bookmarkEnd w:id="53"/>
      <w:r>
        <w:rPr>
          <w:rFonts w:hint="eastAsia" w:ascii="仿宋" w:hAnsi="仿宋" w:eastAsia="仿宋" w:cs="仿宋"/>
          <w:color w:val="auto"/>
          <w:kern w:val="0"/>
          <w:sz w:val="28"/>
          <w:szCs w:val="28"/>
          <w:highlight w:val="none"/>
        </w:rPr>
        <w:t>重新组织采购活动</w:t>
      </w:r>
      <w:bookmarkEnd w:id="54"/>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tabs>
          <w:tab w:val="left" w:pos="6899"/>
        </w:tabs>
        <w:spacing w:line="560" w:lineRule="exact"/>
        <w:rPr>
          <w:rFonts w:hint="eastAsia" w:ascii="仿宋" w:hAnsi="仿宋" w:eastAsia="仿宋" w:cs="仿宋"/>
          <w:color w:val="auto"/>
          <w:kern w:val="0"/>
          <w:sz w:val="28"/>
          <w:szCs w:val="28"/>
          <w:highlight w:val="none"/>
        </w:rPr>
      </w:pPr>
      <w:bookmarkStart w:id="55" w:name="_Toc458617465"/>
      <w:bookmarkStart w:id="56" w:name="_Toc458617742"/>
      <w:bookmarkStart w:id="57" w:name="_Toc17723"/>
      <w:r>
        <w:rPr>
          <w:rFonts w:hint="eastAsia" w:ascii="仿宋" w:hAnsi="仿宋" w:eastAsia="仿宋" w:cs="仿宋"/>
          <w:color w:val="auto"/>
          <w:kern w:val="0"/>
          <w:sz w:val="28"/>
          <w:szCs w:val="28"/>
          <w:highlight w:val="none"/>
        </w:rPr>
        <w:t>十二、</w:t>
      </w:r>
      <w:bookmarkEnd w:id="55"/>
      <w:bookmarkEnd w:id="56"/>
      <w:bookmarkStart w:id="58" w:name="_Toc458617466"/>
      <w:bookmarkStart w:id="59" w:name="_Toc458617743"/>
      <w:r>
        <w:rPr>
          <w:rFonts w:hint="eastAsia" w:ascii="仿宋" w:hAnsi="仿宋" w:eastAsia="仿宋" w:cs="仿宋"/>
          <w:color w:val="auto"/>
          <w:kern w:val="0"/>
          <w:sz w:val="28"/>
          <w:szCs w:val="28"/>
          <w:highlight w:val="none"/>
        </w:rPr>
        <w:t>询问、质疑与投诉</w:t>
      </w:r>
      <w:bookmarkEnd w:id="57"/>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党工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7"/>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渭南市华州区财政局</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bookmarkStart w:id="60" w:name="_Toc20119"/>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、拒绝商业贿赂</w:t>
      </w:r>
      <w:bookmarkEnd w:id="58"/>
      <w:bookmarkEnd w:id="59"/>
      <w:bookmarkEnd w:id="60"/>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1" w:name="_Toc458617467"/>
      <w:bookmarkStart w:id="62" w:name="_Toc458617744"/>
    </w:p>
    <w:p>
      <w:pPr>
        <w:pStyle w:val="3"/>
        <w:numPr>
          <w:ilvl w:val="0"/>
          <w:numId w:val="7"/>
        </w:numPr>
        <w:spacing w:line="560" w:lineRule="exact"/>
        <w:jc w:val="center"/>
        <w:rPr>
          <w:rFonts w:hint="eastAsia" w:ascii="仿宋" w:hAnsi="仿宋" w:eastAsia="仿宋" w:cs="仿宋"/>
          <w:color w:val="auto"/>
          <w:kern w:val="0"/>
          <w:highlight w:val="none"/>
        </w:rPr>
      </w:pPr>
      <w:bookmarkStart w:id="63" w:name="_Toc24042"/>
      <w:r>
        <w:rPr>
          <w:rFonts w:hint="eastAsia" w:ascii="仿宋" w:hAnsi="仿宋" w:eastAsia="仿宋" w:cs="仿宋"/>
          <w:color w:val="auto"/>
          <w:kern w:val="0"/>
          <w:highlight w:val="none"/>
        </w:rPr>
        <w:t xml:space="preserve"> 采购内容及技术要求</w:t>
      </w:r>
      <w:bookmarkEnd w:id="61"/>
      <w:bookmarkEnd w:id="62"/>
      <w:bookmarkEnd w:id="63"/>
      <w:bookmarkStart w:id="64" w:name="_Toc458617745"/>
      <w:bookmarkStart w:id="65" w:name="_Toc492"/>
      <w:bookmarkStart w:id="66" w:name="_Toc458617468"/>
    </w:p>
    <w:p>
      <w:pPr>
        <w:numPr>
          <w:ilvl w:val="0"/>
          <w:numId w:val="0"/>
        </w:numPr>
        <w:rPr>
          <w:rFonts w:hint="eastAsia" w:ascii="仿宋" w:hAnsi="仿宋" w:eastAsia="仿宋" w:cs="仿宋"/>
          <w:color w:val="auto"/>
          <w:highlight w:val="none"/>
        </w:rPr>
      </w:pPr>
    </w:p>
    <w:bookmarkEnd w:id="64"/>
    <w:bookmarkEnd w:id="65"/>
    <w:bookmarkEnd w:id="66"/>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662"/>
        <w:gridCol w:w="5417"/>
        <w:gridCol w:w="816"/>
        <w:gridCol w:w="6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762"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品名</w:t>
            </w:r>
          </w:p>
        </w:tc>
        <w:tc>
          <w:tcPr>
            <w:tcW w:w="3048"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w:t>
            </w:r>
          </w:p>
        </w:tc>
        <w:tc>
          <w:tcPr>
            <w:tcW w:w="439"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374"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彩条布</w:t>
            </w:r>
          </w:p>
        </w:tc>
        <w:tc>
          <w:tcPr>
            <w:tcW w:w="30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尺寸：约4*50m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采用PP材质，韧性好、无异味、耐磨损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特点:防水、防尘、防磨损、韧性好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覆膜:双覆膜</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手持探照灯</w:t>
            </w:r>
          </w:p>
        </w:tc>
        <w:tc>
          <w:tcPr>
            <w:tcW w:w="30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电源方式：充电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光源类型：LED</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可充电：可充电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电池类型：锂电池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材质：工程塑料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亮度：1000流明以上</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网片</w:t>
            </w:r>
          </w:p>
        </w:tc>
        <w:tc>
          <w:tcPr>
            <w:tcW w:w="30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不低于300丝，110*130mm,1*10m</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（允许误差±5mm）</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编织袋</w:t>
            </w:r>
          </w:p>
        </w:tc>
        <w:tc>
          <w:tcPr>
            <w:tcW w:w="30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规格尺寸50cm*80cm（允许误差±5cm）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采用PP颗粒/聚丙烯材质</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铁锨</w:t>
            </w:r>
          </w:p>
        </w:tc>
        <w:tc>
          <w:tcPr>
            <w:tcW w:w="30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尖铲，钢制，经防锈处理，铲头不小于30cm，加把铲长不小于120cm</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雨衣</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（核心产品）</w:t>
            </w:r>
          </w:p>
        </w:tc>
        <w:tc>
          <w:tcPr>
            <w:tcW w:w="30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连体式雨衣套装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防水胶层pvc胶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可定制logo</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雨鞋</w:t>
            </w:r>
          </w:p>
        </w:tc>
        <w:tc>
          <w:tcPr>
            <w:tcW w:w="30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橡胶靴，高筒防水防滑雨鞋</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74" w:type="pc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雨伞</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（核心产品）</w:t>
            </w:r>
          </w:p>
        </w:tc>
        <w:tc>
          <w:tcPr>
            <w:tcW w:w="30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27寸防风长柄自动雨伞，16骨，黑色，可定制logo</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37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74" w:type="pct"/>
            <w:tcBorders>
              <w:top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762"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棉被</w:t>
            </w:r>
          </w:p>
        </w:tc>
        <w:tc>
          <w:tcPr>
            <w:tcW w:w="304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军绿棉花被，1.5*2m，涤棉面料，优质棉芯</w:t>
            </w:r>
          </w:p>
        </w:tc>
        <w:tc>
          <w:tcPr>
            <w:tcW w:w="43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w:t>
            </w:r>
          </w:p>
        </w:tc>
        <w:tc>
          <w:tcPr>
            <w:tcW w:w="374" w:type="pct"/>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床</w:t>
            </w:r>
          </w:p>
        </w:tc>
      </w:tr>
    </w:tbl>
    <w:p>
      <w:pPr>
        <w:spacing w:line="560" w:lineRule="exact"/>
        <w:jc w:val="both"/>
        <w:rPr>
          <w:rFonts w:hint="eastAsia" w:ascii="仿宋" w:hAnsi="仿宋" w:eastAsia="仿宋" w:cs="仿宋"/>
          <w:b/>
          <w:color w:val="auto"/>
          <w:szCs w:val="24"/>
          <w:highlight w:val="none"/>
        </w:rPr>
      </w:pPr>
    </w:p>
    <w:p>
      <w:pPr>
        <w:pStyle w:val="3"/>
        <w:bidi w:val="0"/>
        <w:spacing w:line="360" w:lineRule="auto"/>
        <w:jc w:val="center"/>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3"/>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67" w:name="_Toc167715234"/>
      <w:bookmarkStart w:id="68" w:name="_Toc167714037"/>
      <w:bookmarkStart w:id="69" w:name="_Toc167712839"/>
      <w:r>
        <w:rPr>
          <w:rFonts w:hint="eastAsia" w:ascii="仿宋" w:hAnsi="仿宋" w:eastAsia="仿宋" w:cs="仿宋"/>
          <w:color w:val="auto"/>
          <w:szCs w:val="24"/>
          <w:highlight w:val="none"/>
        </w:rPr>
        <w:t>1、 交货期：</w:t>
      </w:r>
      <w:bookmarkEnd w:id="67"/>
      <w:bookmarkEnd w:id="68"/>
      <w:bookmarkEnd w:id="69"/>
      <w:r>
        <w:rPr>
          <w:rFonts w:hint="eastAsia" w:ascii="仿宋" w:hAnsi="仿宋" w:eastAsia="仿宋" w:cs="仿宋"/>
          <w:color w:val="auto"/>
          <w:szCs w:val="24"/>
          <w:highlight w:val="none"/>
        </w:rPr>
        <w:t>自合同签订之日起</w:t>
      </w:r>
      <w:r>
        <w:rPr>
          <w:rFonts w:hint="eastAsia" w:ascii="仿宋" w:hAnsi="仿宋" w:eastAsia="仿宋" w:cs="仿宋"/>
          <w:color w:val="auto"/>
          <w:szCs w:val="24"/>
          <w:highlight w:val="none"/>
          <w:lang w:val="en-US" w:eastAsia="zh-CN"/>
        </w:rPr>
        <w:t>30个日历日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交货地点：</w:t>
      </w:r>
      <w:r>
        <w:rPr>
          <w:rFonts w:hint="eastAsia" w:ascii="仿宋" w:hAnsi="仿宋" w:eastAsia="仿宋" w:cs="仿宋"/>
          <w:color w:val="auto"/>
          <w:szCs w:val="24"/>
          <w:highlight w:val="none"/>
          <w:lang w:eastAsia="zh-CN"/>
        </w:rPr>
        <w:t>渭南市华州区应急管理局</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二、包装、运输、安装、调试及培训要求：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3、安装、调试及培训：中标人负责所有设备的安装、调试、培训工作，所有费用一次包死在总价内。</w:t>
      </w:r>
      <w:bookmarkStart w:id="70" w:name="_Toc167712864"/>
      <w:bookmarkStart w:id="71" w:name="_Toc167715259"/>
      <w:bookmarkStart w:id="72" w:name="_Toc167714062"/>
      <w:r>
        <w:rPr>
          <w:rFonts w:hint="eastAsia" w:ascii="仿宋" w:hAnsi="仿宋" w:eastAsia="仿宋" w:cs="仿宋"/>
          <w:color w:val="auto"/>
          <w:szCs w:val="24"/>
          <w:highlight w:val="none"/>
        </w:rPr>
        <w:t>每套设备安装调试完毕后，中标人必须安排技术人员对使用单位的设备管理人员进行操作应用及维护保养方面的技能培训</w:t>
      </w:r>
      <w:bookmarkEnd w:id="70"/>
      <w:bookmarkEnd w:id="71"/>
      <w:bookmarkEnd w:id="72"/>
      <w:r>
        <w:rPr>
          <w:rFonts w:hint="eastAsia" w:ascii="仿宋" w:hAnsi="仿宋" w:eastAsia="仿宋" w:cs="仿宋"/>
          <w:color w:val="auto"/>
          <w:szCs w:val="24"/>
          <w:highlight w:val="none"/>
        </w:rPr>
        <w:t>，使其掌握基本技能。</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bookmarkStart w:id="73" w:name="_Toc167715237"/>
      <w:bookmarkStart w:id="74" w:name="_Toc167712842"/>
      <w:bookmarkStart w:id="75" w:name="_Toc167714040"/>
      <w:r>
        <w:rPr>
          <w:rFonts w:hint="eastAsia" w:ascii="仿宋" w:hAnsi="仿宋" w:eastAsia="仿宋" w:cs="仿宋"/>
          <w:color w:val="auto"/>
          <w:szCs w:val="24"/>
          <w:highlight w:val="none"/>
          <w:lang w:val="en-US" w:eastAsia="zh-CN"/>
        </w:rPr>
        <w:t>甲乙双方自行协商</w:t>
      </w:r>
    </w:p>
    <w:p>
      <w:pPr>
        <w:adjustRightInd w:val="0"/>
        <w:snapToGrid w:val="0"/>
        <w:spacing w:line="560" w:lineRule="exact"/>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Cs w:val="24"/>
          <w:highlight w:val="none"/>
        </w:rPr>
        <w:t xml:space="preserve">   四、验收</w:t>
      </w:r>
      <w:bookmarkEnd w:id="73"/>
      <w:bookmarkEnd w:id="74"/>
      <w:bookmarkEnd w:id="75"/>
      <w:bookmarkStart w:id="76" w:name="_Toc167715238"/>
      <w:bookmarkStart w:id="77" w:name="_Toc167714041"/>
      <w:bookmarkStart w:id="78" w:name="_Toc167712843"/>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1、项目验收分初验和终验:</w:t>
      </w:r>
      <w:bookmarkEnd w:id="76"/>
      <w:bookmarkEnd w:id="77"/>
      <w:bookmarkEnd w:id="78"/>
      <w:bookmarkStart w:id="79" w:name="_Toc167715239"/>
      <w:bookmarkStart w:id="80" w:name="_Toc167712844"/>
      <w:bookmarkStart w:id="81" w:name="_Toc167714042"/>
    </w:p>
    <w:bookmarkEnd w:id="79"/>
    <w:bookmarkEnd w:id="80"/>
    <w:bookmarkEnd w:id="81"/>
    <w:p>
      <w:pPr>
        <w:spacing w:line="560" w:lineRule="exact"/>
        <w:ind w:firstLine="480" w:firstLineChars="200"/>
        <w:rPr>
          <w:rFonts w:hint="eastAsia" w:ascii="仿宋" w:hAnsi="仿宋" w:eastAsia="仿宋" w:cs="仿宋"/>
          <w:color w:val="auto"/>
          <w:szCs w:val="24"/>
          <w:highlight w:val="none"/>
        </w:rPr>
      </w:pPr>
      <w:bookmarkStart w:id="82" w:name="_Toc167714044"/>
      <w:bookmarkStart w:id="83" w:name="_Toc167715241"/>
      <w:bookmarkStart w:id="84" w:name="_Toc167712846"/>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3、验收依据</w:t>
      </w:r>
      <w:bookmarkEnd w:id="82"/>
      <w:bookmarkEnd w:id="83"/>
      <w:bookmarkEnd w:id="84"/>
      <w:bookmarkStart w:id="85" w:name="_Toc167714045"/>
      <w:bookmarkStart w:id="86" w:name="_Toc167715242"/>
      <w:bookmarkStart w:id="87" w:name="_Toc167712847"/>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（1）合同文本及合同补充文件（条款）</w:t>
      </w:r>
      <w:bookmarkEnd w:id="85"/>
      <w:bookmarkEnd w:id="86"/>
      <w:bookmarkEnd w:id="87"/>
      <w:r>
        <w:rPr>
          <w:rFonts w:hint="eastAsia" w:ascii="仿宋" w:hAnsi="仿宋" w:eastAsia="仿宋" w:cs="仿宋"/>
          <w:color w:val="auto"/>
          <w:szCs w:val="24"/>
          <w:highlight w:val="none"/>
        </w:rPr>
        <w:t xml:space="preserve">；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spacing w:line="560" w:lineRule="exact"/>
        <w:ind w:firstLine="482" w:firstLineChars="200"/>
        <w:rPr>
          <w:rFonts w:hint="eastAsia" w:ascii="仿宋" w:hAnsi="仿宋" w:eastAsia="仿宋" w:cs="仿宋"/>
          <w:b/>
          <w:color w:val="auto"/>
          <w:szCs w:val="24"/>
          <w:highlight w:val="none"/>
        </w:rPr>
      </w:pPr>
      <w:bookmarkStart w:id="88" w:name="_Toc167714047"/>
      <w:bookmarkStart w:id="89" w:name="_Toc167712849"/>
      <w:bookmarkStart w:id="90" w:name="_Toc167715244"/>
      <w:r>
        <w:rPr>
          <w:rFonts w:hint="eastAsia" w:ascii="仿宋" w:hAnsi="仿宋" w:eastAsia="仿宋" w:cs="仿宋"/>
          <w:b/>
          <w:color w:val="auto"/>
          <w:szCs w:val="24"/>
          <w:highlight w:val="none"/>
        </w:rPr>
        <w:t>五、</w:t>
      </w:r>
      <w:bookmarkEnd w:id="88"/>
      <w:bookmarkEnd w:id="89"/>
      <w:bookmarkEnd w:id="90"/>
      <w:bookmarkStart w:id="91" w:name="_Toc167712853"/>
      <w:bookmarkStart w:id="92" w:name="_Toc167715248"/>
      <w:bookmarkStart w:id="93" w:name="_Toc167714051"/>
      <w:r>
        <w:rPr>
          <w:rFonts w:hint="eastAsia" w:ascii="仿宋" w:hAnsi="仿宋" w:eastAsia="仿宋" w:cs="仿宋"/>
          <w:b/>
          <w:color w:val="auto"/>
          <w:szCs w:val="24"/>
          <w:highlight w:val="none"/>
        </w:rPr>
        <w:t>质量保证</w:t>
      </w:r>
      <w:bookmarkEnd w:id="91"/>
      <w:bookmarkEnd w:id="92"/>
      <w:bookmarkEnd w:id="93"/>
    </w:p>
    <w:p>
      <w:pPr>
        <w:spacing w:line="560" w:lineRule="exact"/>
        <w:ind w:firstLine="472" w:firstLineChars="196"/>
        <w:rPr>
          <w:rFonts w:hint="eastAsia" w:ascii="仿宋" w:hAnsi="仿宋" w:eastAsia="仿宋" w:cs="仿宋"/>
          <w:color w:val="auto"/>
          <w:szCs w:val="24"/>
          <w:highlight w:val="none"/>
        </w:rPr>
      </w:pPr>
      <w:bookmarkStart w:id="94" w:name="_Toc167714055"/>
      <w:bookmarkStart w:id="95" w:name="_Toc167712857"/>
      <w:bookmarkStart w:id="96" w:name="_Toc167715252"/>
      <w:r>
        <w:rPr>
          <w:rFonts w:hint="eastAsia" w:ascii="仿宋" w:hAnsi="仿宋" w:eastAsia="仿宋" w:cs="仿宋"/>
          <w:b/>
          <w:color w:val="auto"/>
          <w:szCs w:val="24"/>
          <w:highlight w:val="none"/>
        </w:rPr>
        <w:t>1、质保期为终验合格后不少于</w:t>
      </w:r>
      <w:r>
        <w:rPr>
          <w:rFonts w:hint="eastAsia" w:ascii="仿宋" w:hAnsi="仿宋" w:eastAsia="仿宋" w:cs="仿宋"/>
          <w:b/>
          <w:color w:val="auto"/>
          <w:szCs w:val="24"/>
          <w:highlight w:val="none"/>
          <w:lang w:val="en-US" w:eastAsia="zh-CN"/>
        </w:rPr>
        <w:t>12个月</w:t>
      </w:r>
      <w:r>
        <w:rPr>
          <w:rFonts w:hint="eastAsia" w:ascii="仿宋" w:hAnsi="仿宋" w:eastAsia="仿宋" w:cs="仿宋"/>
          <w:b w:val="0"/>
          <w:bCs/>
          <w:color w:val="auto"/>
          <w:szCs w:val="24"/>
          <w:highlight w:val="none"/>
        </w:rPr>
        <w:t>（参数中有具体要求的，按参数要求提供质保）</w:t>
      </w:r>
      <w:r>
        <w:rPr>
          <w:rFonts w:hint="eastAsia" w:ascii="仿宋" w:hAnsi="仿宋" w:eastAsia="仿宋" w:cs="仿宋"/>
          <w:b/>
          <w:bCs w:val="0"/>
          <w:color w:val="auto"/>
          <w:szCs w:val="24"/>
          <w:highlight w:val="none"/>
        </w:rPr>
        <w:t>。</w:t>
      </w:r>
      <w:r>
        <w:rPr>
          <w:rFonts w:hint="eastAsia" w:ascii="仿宋" w:hAnsi="仿宋" w:eastAsia="仿宋" w:cs="仿宋"/>
          <w:color w:val="auto"/>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2、中标人承诺的质保期起始时间为终验合格之日。</w:t>
      </w:r>
      <w:bookmarkStart w:id="97" w:name="_Toc167712855"/>
      <w:bookmarkStart w:id="98" w:name="_Toc167715250"/>
      <w:bookmarkStart w:id="99" w:name="_Toc167714053"/>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3、所有产品质量必须符合国家有关规范和相关政策。所有设备及辅材必须是未使用过的新产品，质量优良、渠道正当，配置合理。</w:t>
      </w:r>
      <w:bookmarkEnd w:id="97"/>
      <w:bookmarkEnd w:id="98"/>
      <w:bookmarkEnd w:id="99"/>
      <w:bookmarkStart w:id="100" w:name="_Toc167715251"/>
      <w:bookmarkStart w:id="101" w:name="_Toc167714054"/>
      <w:bookmarkStart w:id="102" w:name="_Toc167712856"/>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4、质保期出现的质量问题由中标人负责解决并承担所有费用。质保期后如需更换零部件，中标人应以优惠价提供。</w:t>
      </w:r>
      <w:bookmarkEnd w:id="100"/>
      <w:bookmarkEnd w:id="101"/>
      <w:bookmarkEnd w:id="102"/>
    </w:p>
    <w:bookmarkEnd w:id="94"/>
    <w:bookmarkEnd w:id="95"/>
    <w:bookmarkEnd w:id="96"/>
    <w:p>
      <w:pPr>
        <w:adjustRightInd w:val="0"/>
        <w:spacing w:line="560" w:lineRule="exact"/>
        <w:ind w:firstLine="482" w:firstLineChars="200"/>
        <w:rPr>
          <w:rFonts w:hint="eastAsia" w:ascii="仿宋" w:hAnsi="仿宋" w:eastAsia="仿宋" w:cs="仿宋"/>
          <w:b/>
          <w:color w:val="auto"/>
          <w:szCs w:val="24"/>
          <w:highlight w:val="none"/>
        </w:rPr>
      </w:pPr>
      <w:bookmarkStart w:id="103" w:name="_Toc167712868"/>
      <w:bookmarkStart w:id="104" w:name="_Toc167714066"/>
      <w:bookmarkStart w:id="105" w:name="_Toc167715263"/>
      <w:r>
        <w:rPr>
          <w:rFonts w:hint="eastAsia" w:ascii="仿宋" w:hAnsi="仿宋" w:eastAsia="仿宋" w:cs="仿宋"/>
          <w:b/>
          <w:color w:val="auto"/>
          <w:szCs w:val="24"/>
          <w:highlight w:val="none"/>
        </w:rPr>
        <w:t>六、合同实施：</w:t>
      </w:r>
      <w:bookmarkEnd w:id="103"/>
      <w:bookmarkEnd w:id="104"/>
      <w:bookmarkEnd w:id="105"/>
      <w:bookmarkStart w:id="106" w:name="_Toc167714067"/>
      <w:bookmarkStart w:id="107" w:name="_Toc167712869"/>
      <w:bookmarkStart w:id="108" w:name="_Toc167715264"/>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106"/>
      <w:bookmarkEnd w:id="107"/>
      <w:bookmarkEnd w:id="108"/>
      <w:r>
        <w:rPr>
          <w:rFonts w:hint="eastAsia" w:ascii="仿宋" w:hAnsi="仿宋" w:eastAsia="仿宋" w:cs="仿宋"/>
          <w:color w:val="auto"/>
          <w:szCs w:val="24"/>
          <w:highlight w:val="none"/>
        </w:rPr>
        <w:t>、中标人应在合同签订后7个日历日内安排人员（项目组成人员简历表所列）与使用单位就送货、安装、调试、培训等工作进行安排、部署。</w:t>
      </w:r>
      <w:bookmarkStart w:id="109" w:name="_Toc167712870"/>
      <w:bookmarkStart w:id="110" w:name="_Toc167714068"/>
      <w:bookmarkStart w:id="111" w:name="_Toc167715265"/>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109"/>
      <w:bookmarkEnd w:id="110"/>
      <w:bookmarkEnd w:id="111"/>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w:pict>
          <v:shape id="_x0000_s1027" o:spid="_x0000_s1027"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112" w:name="_Toc458617469"/>
      <w:bookmarkStart w:id="113" w:name="_Toc458617746"/>
      <w:r>
        <w:rPr>
          <w:rFonts w:hint="eastAsia" w:ascii="仿宋" w:hAnsi="仿宋" w:eastAsia="仿宋" w:cs="仿宋"/>
          <w:color w:val="auto"/>
          <w:highlight w:val="none"/>
        </w:rPr>
        <w:br w:type="page"/>
      </w:r>
    </w:p>
    <w:p>
      <w:pPr>
        <w:pStyle w:val="3"/>
        <w:spacing w:line="560" w:lineRule="exact"/>
        <w:jc w:val="center"/>
        <w:rPr>
          <w:rFonts w:hint="eastAsia" w:ascii="仿宋" w:hAnsi="仿宋" w:eastAsia="仿宋" w:cs="仿宋"/>
          <w:color w:val="auto"/>
          <w:szCs w:val="24"/>
          <w:highlight w:val="none"/>
          <w:lang w:eastAsia="zh-CN"/>
        </w:rPr>
      </w:pPr>
      <w:bookmarkStart w:id="114" w:name="_Toc25447"/>
      <w:r>
        <w:rPr>
          <w:rFonts w:hint="eastAsia" w:ascii="仿宋" w:hAnsi="仿宋" w:eastAsia="仿宋" w:cs="仿宋"/>
          <w:color w:val="auto"/>
          <w:highlight w:val="none"/>
        </w:rPr>
        <w:t>第五章  合同条款</w:t>
      </w:r>
      <w:bookmarkEnd w:id="112"/>
      <w:bookmarkEnd w:id="113"/>
      <w:bookmarkEnd w:id="114"/>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2022年防汛及救灾物资补充采购项目</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HZGH-2022-042</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渭南市华州区财政局</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渭南市华州区应急管理局</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115" w:name="_Toc188808831"/>
      <w:bookmarkStart w:id="116" w:name="_Toc193126879"/>
      <w:bookmarkStart w:id="117" w:name="_Toc194663916"/>
      <w:bookmarkStart w:id="118" w:name="_Toc193187095"/>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甲乙双方自行协商。</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渭南市华州区应急管理局</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115"/>
      <w:bookmarkEnd w:id="116"/>
      <w:bookmarkEnd w:id="117"/>
      <w:bookmarkEnd w:id="118"/>
    </w:tbl>
    <w:p>
      <w:pPr>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渭南市华州区应急管理局</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8"/>
        </w:numPr>
        <w:spacing w:line="560" w:lineRule="exact"/>
        <w:jc w:val="center"/>
        <w:rPr>
          <w:rFonts w:hint="eastAsia" w:ascii="仿宋" w:hAnsi="仿宋" w:eastAsia="仿宋" w:cs="仿宋"/>
          <w:color w:val="auto"/>
          <w:highlight w:val="none"/>
        </w:rPr>
      </w:pPr>
      <w:bookmarkStart w:id="119" w:name="_Toc458617747"/>
      <w:bookmarkStart w:id="120" w:name="_Toc458617470"/>
      <w:r>
        <w:rPr>
          <w:rFonts w:hint="eastAsia" w:ascii="仿宋" w:hAnsi="仿宋" w:eastAsia="仿宋" w:cs="仿宋"/>
          <w:color w:val="auto"/>
          <w:highlight w:val="none"/>
        </w:rPr>
        <w:t xml:space="preserve"> </w:t>
      </w:r>
      <w:bookmarkStart w:id="121" w:name="_Toc19489"/>
      <w:r>
        <w:rPr>
          <w:rFonts w:hint="eastAsia" w:ascii="仿宋" w:hAnsi="仿宋" w:eastAsia="仿宋" w:cs="仿宋"/>
          <w:color w:val="auto"/>
          <w:highlight w:val="none"/>
        </w:rPr>
        <w:t>投标文件格式</w:t>
      </w:r>
      <w:bookmarkEnd w:id="119"/>
      <w:bookmarkEnd w:id="120"/>
      <w:bookmarkEnd w:id="121"/>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2"/>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2"/>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w:pict>
          <v:shape id="_x0000_s1037" o:spid="_x0000_s1037" o:spt="202" type="#_x0000_t202" style="position:absolute;left:0pt;margin-left:326.1pt;margin-top:12pt;height:29.15pt;width:117.7pt;z-index:251671552;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HZGH-2022-042</w:t>
      </w:r>
    </w:p>
    <w:p>
      <w:pPr>
        <w:spacing w:line="560" w:lineRule="exact"/>
        <w:rPr>
          <w:rFonts w:hint="eastAsia" w:ascii="仿宋" w:hAnsi="仿宋" w:eastAsia="仿宋" w:cs="仿宋"/>
          <w:b/>
          <w:color w:val="auto"/>
          <w:sz w:val="36"/>
          <w:szCs w:val="36"/>
          <w:highlight w:val="none"/>
        </w:rPr>
      </w:pPr>
    </w:p>
    <w:p>
      <w:pPr>
        <w:pStyle w:val="16"/>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56"/>
          <w:szCs w:val="56"/>
          <w:highlight w:val="none"/>
          <w:shd w:val="clear" w:color="auto" w:fill="FFFFFF"/>
          <w:lang w:eastAsia="zh-CN"/>
        </w:rPr>
      </w:pPr>
      <w:r>
        <w:rPr>
          <w:rFonts w:hint="eastAsia" w:ascii="仿宋" w:hAnsi="仿宋" w:eastAsia="仿宋" w:cs="仿宋"/>
          <w:b/>
          <w:color w:val="auto"/>
          <w:spacing w:val="-22"/>
          <w:sz w:val="56"/>
          <w:szCs w:val="56"/>
          <w:highlight w:val="none"/>
          <w:shd w:val="clear" w:color="auto" w:fill="FFFFFF"/>
          <w:lang w:eastAsia="zh-CN"/>
        </w:rPr>
        <w:t>2022年防汛及救灾物资补充采购项目</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2"/>
        <w:rPr>
          <w:rFonts w:hint="eastAsia" w:ascii="仿宋" w:hAnsi="仿宋" w:eastAsia="仿宋" w:cs="仿宋"/>
          <w:color w:val="auto"/>
          <w:sz w:val="32"/>
          <w:highlight w:val="none"/>
        </w:rPr>
      </w:pPr>
    </w:p>
    <w:p>
      <w:pPr>
        <w:rPr>
          <w:rFonts w:hint="eastAsia" w:ascii="仿宋" w:hAnsi="仿宋" w:eastAsia="仿宋" w:cs="仿宋"/>
          <w:color w:val="auto"/>
          <w:sz w:val="32"/>
          <w:highlight w:val="none"/>
        </w:rPr>
      </w:pPr>
    </w:p>
    <w:p>
      <w:pPr>
        <w:pStyle w:val="16"/>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22" w:name="_Toc169846873"/>
      <w:bookmarkStart w:id="123" w:name="_Toc167849360"/>
      <w:bookmarkStart w:id="124" w:name="_Toc188808833"/>
      <w:bookmarkStart w:id="125" w:name="_Toc154482479"/>
      <w:bookmarkStart w:id="126" w:name="_Toc167591330"/>
      <w:bookmarkStart w:id="127" w:name="_Toc175033592"/>
      <w:bookmarkStart w:id="128" w:name="_Toc167591492"/>
      <w:bookmarkStart w:id="129" w:name="_Toc167591144"/>
      <w:bookmarkStart w:id="130" w:name="_Toc175032437"/>
      <w:bookmarkStart w:id="131" w:name="_Toc170980552"/>
      <w:bookmarkStart w:id="132" w:name="_Toc173549978"/>
      <w:bookmarkStart w:id="133" w:name="_Toc167590775"/>
      <w:bookmarkStart w:id="134" w:name="_Toc193126881"/>
      <w:bookmarkStart w:id="135" w:name="_Toc170980453"/>
      <w:bookmarkStart w:id="136" w:name="_Toc169846776"/>
      <w:bookmarkStart w:id="137" w:name="_Toc167591043"/>
      <w:bookmarkStart w:id="138" w:name="_Toc193187097"/>
      <w:bookmarkStart w:id="139" w:name="_Toc169838532"/>
      <w:bookmarkStart w:id="140" w:name="_Toc194663918"/>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选配件报价表（格式，若有）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2018年1月1日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售后服务</w:t>
      </w:r>
      <w:r>
        <w:rPr>
          <w:rFonts w:hint="eastAsia" w:ascii="仿宋" w:hAnsi="仿宋" w:eastAsia="仿宋" w:cs="仿宋"/>
          <w:color w:val="auto"/>
          <w:szCs w:val="24"/>
          <w:highlight w:val="none"/>
          <w:lang w:eastAsia="zh-CN"/>
        </w:rPr>
        <w:t>及培训计划</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18</w:t>
      </w:r>
      <w:r>
        <w:rPr>
          <w:rFonts w:hint="eastAsia" w:ascii="仿宋" w:hAnsi="仿宋" w:eastAsia="仿宋" w:cs="仿宋"/>
          <w:color w:val="auto"/>
          <w:kern w:val="0"/>
          <w:szCs w:val="24"/>
          <w:highlight w:val="none"/>
        </w:rPr>
        <w:t>.《残疾人福利性单位声明函》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458617471"/>
      <w:bookmarkStart w:id="142" w:name="_Toc1386"/>
      <w:bookmarkStart w:id="143" w:name="_Toc25120"/>
      <w:bookmarkStart w:id="144" w:name="_Toc193187098"/>
      <w:bookmarkStart w:id="145" w:name="_Toc193126882"/>
      <w:bookmarkStart w:id="146" w:name="_Toc188808834"/>
      <w:bookmarkStart w:id="147" w:name="_Toc194663919"/>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《监狱、戒毒企业声明函》（格式，若有）</w:t>
      </w:r>
    </w:p>
    <w:p>
      <w:pPr>
        <w:pStyle w:val="2"/>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7"/>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41"/>
      <w:bookmarkEnd w:id="142"/>
      <w:bookmarkEnd w:id="143"/>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4、我方完全理解并同意招标文件中有关没收投标保证金、要求专业担保机构先行偿付和拒绝投标的条款。</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6、我方将按招标文件的规定履行合同责任和义务。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7、我方完全理解最低报价不是中标的唯一条件，采购人有权选择质优价廉的货物/服务。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8、我方同意按招标文件规定，遵守贵方有关招标的各项规定。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9、若我方中标，我方保证按有关规定向贵方支付招标服务费。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10、投标有效期为自提交投标文件的截止之日起90个日历日。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11、所有关于本项目的函电，请按下列地址联系：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4"/>
    <w:bookmarkEnd w:id="145"/>
    <w:bookmarkEnd w:id="146"/>
    <w:bookmarkEnd w:id="147"/>
    <w:p>
      <w:pPr>
        <w:pStyle w:val="37"/>
        <w:spacing w:line="560" w:lineRule="exact"/>
        <w:ind w:firstLine="0" w:firstLineChars="0"/>
        <w:rPr>
          <w:rFonts w:hint="eastAsia" w:ascii="仿宋" w:hAnsi="仿宋" w:eastAsia="仿宋" w:cs="仿宋"/>
          <w:bCs/>
          <w:color w:val="auto"/>
          <w:sz w:val="24"/>
          <w:szCs w:val="21"/>
          <w:highlight w:val="none"/>
        </w:rPr>
      </w:pPr>
      <w:bookmarkStart w:id="148" w:name="_Toc458617472"/>
      <w:bookmarkStart w:id="149" w:name="_Toc5497"/>
      <w:bookmarkStart w:id="150" w:name="_Toc6986"/>
      <w:bookmarkStart w:id="151" w:name="_Toc193126889"/>
      <w:bookmarkStart w:id="152" w:name="_Toc188808840"/>
      <w:bookmarkStart w:id="153" w:name="_Toc193187105"/>
      <w:bookmarkStart w:id="154" w:name="_Toc194663926"/>
      <w:r>
        <w:rPr>
          <w:rFonts w:hint="eastAsia" w:ascii="仿宋" w:hAnsi="仿宋" w:eastAsia="仿宋" w:cs="仿宋"/>
          <w:b/>
          <w:color w:val="auto"/>
          <w:highlight w:val="none"/>
        </w:rPr>
        <w:t>2.开标一览表</w:t>
      </w:r>
      <w:bookmarkEnd w:id="148"/>
      <w:bookmarkEnd w:id="149"/>
      <w:bookmarkEnd w:id="150"/>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质保期</w:t>
            </w:r>
          </w:p>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月</w:t>
            </w:r>
            <w:r>
              <w:rPr>
                <w:rFonts w:hint="eastAsia" w:ascii="仿宋" w:hAnsi="仿宋" w:eastAsia="仿宋" w:cs="仿宋"/>
                <w:b/>
                <w:color w:val="auto"/>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5462"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55" w:name="_Toc9029"/>
      <w:bookmarkStart w:id="156" w:name="_Toc10249"/>
      <w:bookmarkStart w:id="157" w:name="_Toc458617473"/>
      <w:bookmarkStart w:id="158" w:name="_Toc167591148"/>
      <w:bookmarkStart w:id="159" w:name="_Toc167591496"/>
      <w:bookmarkStart w:id="160" w:name="_Toc167849364"/>
      <w:bookmarkStart w:id="161" w:name="_Toc193126885"/>
      <w:bookmarkStart w:id="162" w:name="_Toc169838536"/>
      <w:bookmarkStart w:id="163" w:name="_Toc169846877"/>
      <w:bookmarkStart w:id="164" w:name="_Toc194663922"/>
      <w:bookmarkStart w:id="165" w:name="_Toc169846780"/>
      <w:bookmarkStart w:id="166" w:name="_Toc175032441"/>
      <w:bookmarkStart w:id="167" w:name="_Toc170980556"/>
      <w:bookmarkStart w:id="168" w:name="_Toc167590779"/>
      <w:bookmarkStart w:id="169" w:name="_Toc188808836"/>
      <w:bookmarkStart w:id="170" w:name="_Toc154482483"/>
      <w:bookmarkStart w:id="171" w:name="_Toc170980457"/>
      <w:bookmarkStart w:id="172" w:name="_Toc175033596"/>
      <w:bookmarkStart w:id="173" w:name="_Toc173549982"/>
      <w:bookmarkStart w:id="174" w:name="_Toc193187101"/>
      <w:bookmarkStart w:id="175" w:name="_Toc167591334"/>
      <w:bookmarkStart w:id="176" w:name="_Toc167591047"/>
      <w:r>
        <w:rPr>
          <w:rFonts w:hint="eastAsia" w:ascii="仿宋" w:hAnsi="仿宋" w:eastAsia="仿宋" w:cs="仿宋"/>
          <w:b/>
          <w:color w:val="auto"/>
          <w:highlight w:val="none"/>
        </w:rPr>
        <w:br w:type="page"/>
      </w:r>
    </w:p>
    <w:p>
      <w:pPr>
        <w:pStyle w:val="37"/>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5"/>
      <w:bookmarkEnd w:id="156"/>
      <w:bookmarkEnd w:id="157"/>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tbl>
      <w:tblPr>
        <w:tblStyle w:val="2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319"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13" w:type="dxa"/>
            <w:vAlign w:val="center"/>
          </w:tcPr>
          <w:p>
            <w:pPr>
              <w:spacing w:line="560" w:lineRule="exact"/>
              <w:ind w:firstLine="116" w:firstLineChars="48"/>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385"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719"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851"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ind w:left="53"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tc>
      </w:tr>
    </w:tbl>
    <w:p>
      <w:pPr>
        <w:pStyle w:val="37"/>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77" w:name="_Toc4842"/>
      <w:bookmarkStart w:id="178" w:name="_Toc458617474"/>
      <w:bookmarkStart w:id="179" w:name="_Toc193187100"/>
      <w:bookmarkStart w:id="180" w:name="_Toc193126884"/>
      <w:bookmarkStart w:id="181" w:name="_Toc17354"/>
      <w:bookmarkStart w:id="182" w:name="_Toc194663921"/>
      <w:r>
        <w:rPr>
          <w:rFonts w:hint="eastAsia" w:ascii="仿宋" w:hAnsi="仿宋" w:eastAsia="仿宋" w:cs="仿宋"/>
          <w:b/>
          <w:color w:val="auto"/>
          <w:highlight w:val="none"/>
        </w:rPr>
        <w:br w:type="page"/>
      </w:r>
    </w:p>
    <w:p>
      <w:pPr>
        <w:pStyle w:val="37"/>
        <w:spacing w:line="560" w:lineRule="exact"/>
        <w:ind w:firstLineChars="71"/>
        <w:rPr>
          <w:rFonts w:hint="eastAsia" w:ascii="仿宋" w:hAnsi="仿宋" w:eastAsia="仿宋" w:cs="仿宋"/>
          <w:color w:val="auto"/>
          <w:sz w:val="24"/>
          <w:szCs w:val="24"/>
          <w:highlight w:val="none"/>
        </w:rPr>
      </w:pP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.选配件报价表</w:t>
      </w:r>
      <w:bookmarkEnd w:id="177"/>
      <w:bookmarkEnd w:id="178"/>
      <w:bookmarkEnd w:id="179"/>
      <w:bookmarkEnd w:id="180"/>
      <w:bookmarkEnd w:id="181"/>
      <w:bookmarkEnd w:id="182"/>
      <w:r>
        <w:rPr>
          <w:rFonts w:hint="eastAsia" w:ascii="仿宋" w:hAnsi="仿宋" w:eastAsia="仿宋" w:cs="仿宋"/>
          <w:bCs/>
          <w:color w:val="auto"/>
          <w:sz w:val="24"/>
          <w:szCs w:val="24"/>
          <w:highlight w:val="none"/>
        </w:rPr>
        <w:t>（格式，若有）</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pStyle w:val="37"/>
        <w:spacing w:line="560" w:lineRule="exact"/>
        <w:ind w:firstLine="170" w:firstLineChars="7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br w:type="page"/>
      </w:r>
      <w:bookmarkStart w:id="183" w:name="_Toc10875"/>
      <w:bookmarkStart w:id="184" w:name="_Toc16402"/>
      <w:bookmarkStart w:id="185" w:name="_Toc458617475"/>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.货物说明一览表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spacing w:line="560" w:lineRule="exact"/>
        <w:ind w:left="240" w:leftChars="100" w:firstLine="480" w:firstLineChars="200"/>
        <w:rPr>
          <w:rFonts w:hint="eastAsia" w:ascii="仿宋" w:hAnsi="仿宋" w:eastAsia="仿宋" w:cs="仿宋"/>
          <w:color w:val="auto"/>
          <w:highlight w:val="none"/>
          <w:u w:val="single"/>
        </w:rPr>
        <w:sectPr>
          <w:headerReference r:id="rId21" w:type="first"/>
          <w:footerReference r:id="rId23" w:type="first"/>
          <w:headerReference r:id="rId20" w:type="default"/>
          <w:footerReference r:id="rId22" w:type="default"/>
          <w:pgSz w:w="16840" w:h="11905" w:orient="landscape"/>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6" w:name="_Toc194663923"/>
      <w:bookmarkStart w:id="187" w:name="_Toc188808837"/>
      <w:bookmarkStart w:id="188" w:name="_Toc193187102"/>
      <w:bookmarkStart w:id="189" w:name="_Toc193126886"/>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6"/>
    <w:bookmarkEnd w:id="187"/>
    <w:bookmarkEnd w:id="188"/>
    <w:bookmarkEnd w:id="189"/>
    <w:p>
      <w:pPr>
        <w:pStyle w:val="37"/>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90" w:name="_Toc188808838"/>
      <w:bookmarkStart w:id="191" w:name="_Toc193126887"/>
      <w:bookmarkStart w:id="192" w:name="_Toc193187103"/>
      <w:bookmarkStart w:id="193" w:name="_Toc194663924"/>
      <w:r>
        <w:rPr>
          <w:rFonts w:hint="eastAsia" w:ascii="仿宋" w:hAnsi="仿宋" w:eastAsia="仿宋" w:cs="仿宋"/>
          <w:color w:val="auto"/>
          <w:szCs w:val="24"/>
          <w:highlight w:val="none"/>
        </w:rPr>
        <w:t xml:space="preserve">   </w:t>
      </w:r>
    </w:p>
    <w:p>
      <w:pPr>
        <w:pStyle w:val="37"/>
        <w:spacing w:line="560" w:lineRule="exact"/>
        <w:ind w:firstLineChars="71"/>
        <w:rPr>
          <w:rFonts w:hint="eastAsia" w:ascii="仿宋" w:hAnsi="仿宋" w:eastAsia="仿宋" w:cs="仿宋"/>
          <w:b/>
          <w:color w:val="auto"/>
          <w:highlight w:val="none"/>
        </w:rPr>
      </w:pPr>
      <w:bookmarkStart w:id="194" w:name="_Toc2240"/>
      <w:bookmarkStart w:id="195" w:name="_Toc458617476"/>
      <w:bookmarkStart w:id="196" w:name="_Toc11969"/>
    </w:p>
    <w:p>
      <w:pPr>
        <w:pStyle w:val="37"/>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.商务条款响应偏离表</w:t>
      </w:r>
      <w:bookmarkEnd w:id="190"/>
      <w:bookmarkEnd w:id="191"/>
      <w:bookmarkEnd w:id="192"/>
      <w:bookmarkEnd w:id="193"/>
      <w:bookmarkEnd w:id="194"/>
      <w:bookmarkEnd w:id="195"/>
      <w:bookmarkEnd w:id="196"/>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7"/>
        <w:spacing w:line="560" w:lineRule="exact"/>
        <w:ind w:firstLineChars="71"/>
        <w:rPr>
          <w:rFonts w:hint="eastAsia" w:ascii="仿宋" w:hAnsi="仿宋" w:eastAsia="仿宋" w:cs="仿宋"/>
          <w:b/>
          <w:color w:val="auto"/>
          <w:highlight w:val="none"/>
          <w:u w:val="wavyHeavy" w:color="FF0000"/>
        </w:rPr>
      </w:pPr>
      <w:bookmarkStart w:id="197" w:name="_Toc5659"/>
      <w:bookmarkStart w:id="198" w:name="_Toc458617478"/>
      <w:bookmarkStart w:id="199" w:name="_Toc28085"/>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.资格证明文件</w:t>
      </w:r>
      <w:bookmarkEnd w:id="151"/>
      <w:bookmarkEnd w:id="152"/>
      <w:bookmarkEnd w:id="153"/>
      <w:bookmarkEnd w:id="154"/>
      <w:bookmarkEnd w:id="197"/>
      <w:bookmarkEnd w:id="198"/>
      <w:bookmarkEnd w:id="199"/>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val="en-US" w:eastAsia="zh-CN"/>
        </w:rPr>
        <w:t>2020年度或2021年度</w:t>
      </w:r>
      <w:r>
        <w:rPr>
          <w:rFonts w:hint="eastAsia" w:ascii="仿宋" w:hAnsi="仿宋" w:eastAsia="仿宋" w:cs="仿宋"/>
          <w:color w:val="auto"/>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税收缴纳证明：提供2022年1月1日至今任意一个月的缴费凭据；（依法免税的投标人应提供相关文件证明）</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社会保障资金缴纳证明：提供2022年1月1日至今任意一个月的社保缴费凭据或社保机构开具的社会保险参保缴费情况证明；（依法不需要缴纳社会保障资金的投标人应提供相关证明）。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（2）、特定资格条件：</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、投标保证金交纳凭证；（</w:t>
      </w:r>
      <w:r>
        <w:rPr>
          <w:rFonts w:hint="eastAsia" w:ascii="仿宋" w:hAnsi="仿宋" w:eastAsia="仿宋" w:cs="仿宋"/>
          <w:color w:val="auto"/>
          <w:sz w:val="24"/>
          <w:highlight w:val="none"/>
          <w:lang w:eastAsia="zh-CN"/>
        </w:rPr>
        <w:t>保证金交纳凭证复印件加盖公章</w:t>
      </w:r>
      <w:r>
        <w:rPr>
          <w:rFonts w:hint="eastAsia" w:ascii="仿宋" w:hAnsi="仿宋" w:eastAsia="仿宋" w:cs="仿宋"/>
          <w:color w:val="auto"/>
          <w:sz w:val="24"/>
          <w:highlight w:val="none"/>
        </w:rPr>
        <w:t xml:space="preserve">）           </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、单位负责人为同一人或者存在直接控股、管理关系的不同投标人，不得参加同一合同项下的政府采购活动；（提供书面承诺函，格式自拟加盖投标人公章）</w:t>
      </w:r>
    </w:p>
    <w:p>
      <w:pPr>
        <w:pStyle w:val="37"/>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6、本项目专门面向中小企业采购；须符合《政府采购促进中小企业发展管理办法》（财库〔2020〕46号）规定的中小企业参加；(提供《中小企业声明函》，式样见投标文件格式)</w:t>
      </w:r>
    </w:p>
    <w:p>
      <w:pPr>
        <w:pStyle w:val="2"/>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rPr>
          <w:rFonts w:hint="eastAsia" w:ascii="仿宋" w:hAnsi="仿宋" w:eastAsia="仿宋" w:cs="仿宋"/>
          <w:color w:val="auto"/>
          <w:szCs w:val="24"/>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200" w:name="_Toc49019498"/>
      <w:bookmarkStart w:id="201" w:name="_Toc48791236"/>
      <w:bookmarkStart w:id="202" w:name="_Toc47418256"/>
      <w:bookmarkStart w:id="203" w:name="_Toc49019237"/>
      <w:bookmarkStart w:id="204" w:name="_Toc47261886"/>
      <w:bookmarkStart w:id="205" w:name="_Toc48995852"/>
      <w:bookmarkStart w:id="206" w:name="_Toc47418939"/>
      <w:bookmarkStart w:id="207" w:name="_Toc47261691"/>
      <w:bookmarkStart w:id="208" w:name="_Toc47418732"/>
      <w:bookmarkStart w:id="209" w:name="_Toc47262070"/>
      <w:r>
        <w:rPr>
          <w:rFonts w:hint="eastAsia" w:ascii="仿宋" w:hAnsi="仿宋" w:eastAsia="仿宋" w:cs="仿宋"/>
          <w:b/>
          <w:bCs/>
          <w:color w:val="auto"/>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200"/>
      <w:bookmarkEnd w:id="201"/>
      <w:bookmarkEnd w:id="202"/>
      <w:bookmarkEnd w:id="203"/>
      <w:bookmarkEnd w:id="204"/>
      <w:bookmarkEnd w:id="205"/>
      <w:bookmarkEnd w:id="206"/>
      <w:bookmarkEnd w:id="207"/>
      <w:bookmarkEnd w:id="208"/>
      <w:bookmarkEnd w:id="209"/>
    </w:tbl>
    <w:p>
      <w:pPr>
        <w:pStyle w:val="37"/>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7"/>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w:t>
      </w:r>
      <w:r>
        <w:rPr>
          <w:rFonts w:hint="eastAsia" w:ascii="仿宋" w:hAnsi="仿宋" w:eastAsia="仿宋" w:cs="仿宋"/>
          <w:b/>
          <w:color w:val="auto"/>
          <w:highlight w:val="none"/>
          <w:lang w:eastAsia="zh-CN"/>
        </w:rPr>
        <w:t>2018年1月1日</w:t>
      </w:r>
      <w:r>
        <w:rPr>
          <w:rFonts w:hint="eastAsia" w:ascii="仿宋" w:hAnsi="仿宋" w:eastAsia="仿宋" w:cs="仿宋"/>
          <w:b/>
          <w:color w:val="auto"/>
          <w:highlight w:val="none"/>
        </w:rPr>
        <w:t>至今</w:t>
      </w:r>
      <w:bookmarkStart w:id="210" w:name="_Toc193126891"/>
      <w:bookmarkStart w:id="211" w:name="_Toc188808842"/>
      <w:r>
        <w:rPr>
          <w:rFonts w:hint="eastAsia" w:ascii="仿宋" w:hAnsi="仿宋" w:eastAsia="仿宋" w:cs="仿宋"/>
          <w:b/>
          <w:color w:val="auto"/>
          <w:highlight w:val="none"/>
          <w:lang w:eastAsia="zh-CN"/>
        </w:rPr>
        <w:t>类似项目业绩</w:t>
      </w:r>
      <w:r>
        <w:rPr>
          <w:rFonts w:hint="eastAsia" w:ascii="仿宋" w:hAnsi="仿宋" w:eastAsia="仿宋" w:cs="仿宋"/>
          <w:b/>
          <w:color w:val="auto"/>
          <w:highlight w:val="none"/>
        </w:rPr>
        <w:t>（以合同为准</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复印件加盖公章</w:t>
      </w:r>
      <w:r>
        <w:rPr>
          <w:rFonts w:hint="eastAsia" w:ascii="仿宋" w:hAnsi="仿宋" w:eastAsia="仿宋" w:cs="仿宋"/>
          <w:b/>
          <w:color w:val="auto"/>
          <w:highlight w:val="none"/>
        </w:rPr>
        <w:t>）</w:t>
      </w:r>
    </w:p>
    <w:p>
      <w:pPr>
        <w:pStyle w:val="37"/>
        <w:spacing w:line="560" w:lineRule="exact"/>
        <w:ind w:firstLine="0" w:firstLineChars="0"/>
        <w:rPr>
          <w:rFonts w:hint="eastAsia" w:ascii="仿宋" w:hAnsi="仿宋" w:eastAsia="仿宋" w:cs="仿宋"/>
          <w:b/>
          <w:color w:val="auto"/>
          <w:szCs w:val="28"/>
          <w:highlight w:val="none"/>
        </w:rPr>
      </w:pPr>
      <w:bookmarkStart w:id="212" w:name="_Toc14386"/>
      <w:bookmarkStart w:id="213" w:name="_Toc937"/>
      <w:bookmarkStart w:id="214" w:name="_Toc458617479"/>
    </w:p>
    <w:p>
      <w:pPr>
        <w:pStyle w:val="37"/>
        <w:spacing w:line="560" w:lineRule="exact"/>
        <w:ind w:firstLine="0" w:firstLineChars="0"/>
        <w:rPr>
          <w:rFonts w:hint="eastAsia" w:ascii="仿宋" w:hAnsi="仿宋" w:eastAsia="仿宋" w:cs="仿宋"/>
          <w:b/>
          <w:color w:val="auto"/>
          <w:szCs w:val="28"/>
          <w:highlight w:val="none"/>
        </w:rPr>
      </w:pPr>
    </w:p>
    <w:p>
      <w:pPr>
        <w:pStyle w:val="37"/>
        <w:spacing w:line="56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.产品的合法渠道证明文件</w:t>
      </w:r>
      <w:bookmarkEnd w:id="212"/>
      <w:bookmarkEnd w:id="213"/>
      <w:bookmarkEnd w:id="214"/>
      <w:bookmarkStart w:id="215" w:name="_Toc193126901"/>
      <w:bookmarkStart w:id="216" w:name="_Toc193187107"/>
      <w:bookmarkStart w:id="217" w:name="_Toc194663938"/>
      <w:bookmarkStart w:id="218" w:name="_Toc458617480"/>
      <w:bookmarkStart w:id="219" w:name="_Toc23774"/>
      <w:bookmarkStart w:id="220" w:name="_Toc23126"/>
    </w:p>
    <w:p>
      <w:pPr>
        <w:pStyle w:val="2"/>
        <w:rPr>
          <w:rFonts w:hint="eastAsia" w:ascii="仿宋" w:hAnsi="仿宋" w:eastAsia="仿宋" w:cs="仿宋"/>
          <w:color w:val="auto"/>
          <w:highlight w:val="none"/>
        </w:rPr>
      </w:pPr>
    </w:p>
    <w:p>
      <w:pPr>
        <w:pStyle w:val="37"/>
        <w:spacing w:line="560" w:lineRule="exact"/>
        <w:ind w:firstLineChars="71"/>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w:t>
      </w:r>
      <w:bookmarkEnd w:id="215"/>
      <w:bookmarkEnd w:id="216"/>
      <w:bookmarkEnd w:id="217"/>
      <w:r>
        <w:rPr>
          <w:rFonts w:hint="eastAsia" w:ascii="仿宋" w:hAnsi="仿宋" w:eastAsia="仿宋" w:cs="仿宋"/>
          <w:b/>
          <w:color w:val="auto"/>
          <w:highlight w:val="none"/>
        </w:rPr>
        <w:t>项目实施方案</w:t>
      </w:r>
    </w:p>
    <w:bookmarkEnd w:id="218"/>
    <w:bookmarkEnd w:id="219"/>
    <w:bookmarkEnd w:id="220"/>
    <w:p>
      <w:pPr>
        <w:pStyle w:val="37"/>
        <w:spacing w:line="560" w:lineRule="exact"/>
        <w:ind w:firstLineChars="71"/>
        <w:rPr>
          <w:rFonts w:hint="eastAsia" w:ascii="仿宋" w:hAnsi="仿宋" w:eastAsia="仿宋" w:cs="仿宋"/>
          <w:b/>
          <w:color w:val="auto"/>
          <w:szCs w:val="28"/>
          <w:highlight w:val="none"/>
        </w:rPr>
      </w:pPr>
      <w:bookmarkStart w:id="221" w:name="_Toc193187108"/>
      <w:bookmarkStart w:id="222" w:name="_Toc188808852"/>
      <w:bookmarkStart w:id="223" w:name="_Toc194663939"/>
      <w:bookmarkStart w:id="224" w:name="_Toc193126902"/>
    </w:p>
    <w:p>
      <w:pPr>
        <w:pStyle w:val="37"/>
        <w:spacing w:line="560" w:lineRule="exact"/>
        <w:ind w:left="0" w:leftChars="0" w:firstLine="0" w:firstLineChars="0"/>
        <w:rPr>
          <w:rFonts w:hint="eastAsia" w:ascii="仿宋" w:hAnsi="仿宋" w:eastAsia="仿宋" w:cs="仿宋"/>
          <w:b/>
          <w:color w:val="auto"/>
          <w:szCs w:val="28"/>
          <w:highlight w:val="none"/>
        </w:rPr>
      </w:pPr>
    </w:p>
    <w:p>
      <w:pPr>
        <w:pStyle w:val="37"/>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2</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7"/>
        <w:spacing w:line="560" w:lineRule="exact"/>
        <w:ind w:left="0" w:leftChars="0" w:firstLine="0" w:firstLineChars="0"/>
        <w:rPr>
          <w:rFonts w:hint="eastAsia" w:ascii="仿宋" w:hAnsi="仿宋" w:eastAsia="仿宋" w:cs="仿宋"/>
          <w:b/>
          <w:color w:val="auto"/>
          <w:highlight w:val="none"/>
        </w:rPr>
      </w:pPr>
      <w:bookmarkStart w:id="225" w:name="_Toc8306"/>
      <w:bookmarkStart w:id="226" w:name="_Toc17505"/>
      <w:bookmarkStart w:id="227" w:name="_Toc458617481"/>
    </w:p>
    <w:p>
      <w:pPr>
        <w:pStyle w:val="37"/>
        <w:spacing w:line="560" w:lineRule="exact"/>
        <w:ind w:firstLineChars="71"/>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3</w:t>
      </w:r>
      <w:r>
        <w:rPr>
          <w:rFonts w:hint="eastAsia" w:ascii="仿宋" w:hAnsi="仿宋" w:eastAsia="仿宋" w:cs="仿宋"/>
          <w:b/>
          <w:color w:val="auto"/>
          <w:highlight w:val="none"/>
        </w:rPr>
        <w:t>.质量保证</w:t>
      </w:r>
      <w:bookmarkEnd w:id="221"/>
      <w:bookmarkEnd w:id="222"/>
      <w:bookmarkEnd w:id="223"/>
      <w:bookmarkEnd w:id="224"/>
      <w:bookmarkEnd w:id="225"/>
      <w:bookmarkEnd w:id="226"/>
      <w:bookmarkEnd w:id="227"/>
      <w:bookmarkStart w:id="228" w:name="_Toc193187110"/>
      <w:bookmarkStart w:id="229" w:name="_Toc193126904"/>
      <w:bookmarkStart w:id="230" w:name="_Toc194663941"/>
      <w:bookmarkStart w:id="231" w:name="_Toc188808854"/>
      <w:r>
        <w:rPr>
          <w:rFonts w:hint="eastAsia" w:ascii="仿宋" w:hAnsi="仿宋" w:eastAsia="仿宋" w:cs="仿宋"/>
          <w:b/>
          <w:color w:val="auto"/>
          <w:highlight w:val="none"/>
        </w:rPr>
        <w:t xml:space="preserve">承诺 </w:t>
      </w:r>
    </w:p>
    <w:p>
      <w:pPr>
        <w:spacing w:line="560" w:lineRule="exact"/>
        <w:outlineLvl w:val="1"/>
        <w:rPr>
          <w:rFonts w:hint="eastAsia" w:ascii="仿宋" w:hAnsi="仿宋" w:eastAsia="仿宋" w:cs="仿宋"/>
          <w:b/>
          <w:color w:val="auto"/>
          <w:sz w:val="28"/>
          <w:szCs w:val="28"/>
          <w:highlight w:val="none"/>
        </w:rPr>
      </w:pPr>
    </w:p>
    <w:p>
      <w:pPr>
        <w:pStyle w:val="14"/>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7"/>
        <w:spacing w:line="560" w:lineRule="exact"/>
        <w:ind w:left="0" w:leftChars="0" w:firstLine="0" w:firstLineChars="0"/>
        <w:rPr>
          <w:rFonts w:hint="eastAsia" w:ascii="仿宋" w:hAnsi="仿宋" w:eastAsia="仿宋" w:cs="仿宋"/>
          <w:b/>
          <w:color w:val="auto"/>
          <w:highlight w:val="none"/>
        </w:rPr>
      </w:pPr>
      <w:bookmarkStart w:id="232" w:name="_Toc2456"/>
      <w:bookmarkStart w:id="233" w:name="_Toc458617482"/>
      <w:bookmarkStart w:id="234" w:name="_Toc21757"/>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.售后服务</w:t>
      </w:r>
      <w:bookmarkEnd w:id="228"/>
      <w:bookmarkEnd w:id="229"/>
      <w:bookmarkEnd w:id="230"/>
      <w:bookmarkEnd w:id="231"/>
      <w:bookmarkEnd w:id="232"/>
      <w:bookmarkEnd w:id="233"/>
      <w:bookmarkEnd w:id="234"/>
      <w:bookmarkStart w:id="235" w:name="_Toc458617483"/>
      <w:bookmarkStart w:id="236" w:name="_Toc11302"/>
      <w:bookmarkStart w:id="237" w:name="_Toc6260"/>
      <w:bookmarkStart w:id="238" w:name="_Toc194663942"/>
      <w:bookmarkStart w:id="239" w:name="_Toc193187111"/>
      <w:bookmarkStart w:id="240" w:name="_Toc193126905"/>
      <w:bookmarkStart w:id="241" w:name="_Toc188808855"/>
      <w:r>
        <w:rPr>
          <w:rFonts w:hint="eastAsia" w:ascii="仿宋" w:hAnsi="仿宋" w:eastAsia="仿宋" w:cs="仿宋"/>
          <w:b/>
          <w:color w:val="auto"/>
          <w:highlight w:val="none"/>
          <w:lang w:eastAsia="zh-CN"/>
        </w:rPr>
        <w:t>及</w:t>
      </w:r>
      <w:r>
        <w:rPr>
          <w:rFonts w:hint="eastAsia" w:ascii="仿宋" w:hAnsi="仿宋" w:eastAsia="仿宋" w:cs="仿宋"/>
          <w:b/>
          <w:color w:val="auto"/>
          <w:highlight w:val="none"/>
        </w:rPr>
        <w:t>培训计划</w:t>
      </w:r>
      <w:bookmarkEnd w:id="235"/>
      <w:bookmarkEnd w:id="236"/>
      <w:bookmarkEnd w:id="237"/>
    </w:p>
    <w:p>
      <w:pPr>
        <w:pStyle w:val="37"/>
        <w:spacing w:line="560" w:lineRule="exact"/>
        <w:ind w:firstLine="0" w:firstLineChars="0"/>
        <w:rPr>
          <w:rFonts w:hint="eastAsia" w:ascii="仿宋" w:hAnsi="仿宋" w:eastAsia="仿宋" w:cs="仿宋"/>
          <w:b/>
          <w:color w:val="auto"/>
          <w:highlight w:val="none"/>
        </w:rPr>
      </w:pPr>
      <w:bookmarkStart w:id="242" w:name="_Toc458617484"/>
      <w:bookmarkStart w:id="243" w:name="_Toc6949"/>
      <w:bookmarkStart w:id="244" w:name="_Toc27682"/>
    </w:p>
    <w:p>
      <w:pPr>
        <w:pStyle w:val="37"/>
        <w:spacing w:line="560" w:lineRule="exact"/>
        <w:ind w:firstLine="0" w:firstLineChars="0"/>
        <w:rPr>
          <w:rFonts w:hint="eastAsia" w:ascii="仿宋" w:hAnsi="仿宋" w:eastAsia="仿宋" w:cs="仿宋"/>
          <w:b/>
          <w:color w:val="auto"/>
          <w:highlight w:val="none"/>
        </w:rPr>
      </w:pPr>
    </w:p>
    <w:p>
      <w:pPr>
        <w:pStyle w:val="37"/>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.投标人认为有必要补充说明的事宜</w:t>
      </w:r>
      <w:bookmarkEnd w:id="242"/>
      <w:bookmarkEnd w:id="243"/>
      <w:bookmarkEnd w:id="244"/>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7"/>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6</w:t>
      </w:r>
      <w:r>
        <w:rPr>
          <w:rFonts w:hint="eastAsia" w:ascii="仿宋" w:hAnsi="仿宋" w:eastAsia="仿宋" w:cs="仿宋"/>
          <w:b/>
          <w:bCs/>
          <w:color w:val="auto"/>
          <w:szCs w:val="28"/>
          <w:highlight w:val="none"/>
        </w:rPr>
        <w:t>.</w:t>
      </w:r>
      <w:bookmarkEnd w:id="238"/>
      <w:bookmarkEnd w:id="239"/>
      <w:bookmarkEnd w:id="240"/>
      <w:bookmarkEnd w:id="241"/>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6"/>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 xml:space="preserve"> </w:t>
      </w: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5" w:type="first"/>
          <w:footerReference r:id="rId27" w:type="first"/>
          <w:headerReference r:id="rId24" w:type="default"/>
          <w:footerReference r:id="rId26"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210"/>
    <w:bookmarkEnd w:id="211"/>
    <w:p>
      <w:pPr>
        <w:spacing w:line="360" w:lineRule="atLeast"/>
        <w:jc w:val="center"/>
        <w:rPr>
          <w:rFonts w:hint="eastAsia" w:ascii="仿宋" w:hAnsi="仿宋" w:eastAsia="仿宋" w:cs="仿宋"/>
          <w:b/>
          <w:color w:val="auto"/>
          <w:sz w:val="32"/>
          <w:szCs w:val="32"/>
          <w:highlight w:val="none"/>
        </w:rPr>
      </w:pPr>
      <w:bookmarkStart w:id="245" w:name="_Toc458617748"/>
      <w:r>
        <w:rPr>
          <w:rFonts w:hint="eastAsia" w:ascii="仿宋" w:hAnsi="仿宋" w:eastAsia="仿宋" w:cs="仿宋"/>
          <w:b/>
          <w:color w:val="auto"/>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7"/>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17</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45"/>
      <w:bookmarkStart w:id="246" w:name="OLE_LINK19"/>
    </w:p>
    <w:bookmarkEnd w:id="246"/>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2"/>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2"/>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pict>
          <v:shape id="_x0000_s1035" o:spid="_x0000_s1035"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2"/>
        <w:rPr>
          <w:rFonts w:hint="eastAsia" w:ascii="仿宋" w:hAnsi="仿宋" w:eastAsia="仿宋" w:cs="仿宋"/>
          <w:color w:val="auto"/>
          <w:highlight w:val="none"/>
          <w:lang w:val="en-US" w:eastAsia="zh-CN"/>
        </w:rPr>
        <w:sectPr>
          <w:footerReference r:id="rId28" w:type="default"/>
          <w:pgSz w:w="11905" w:h="16840"/>
          <w:pgMar w:top="1417" w:right="1417" w:bottom="1417" w:left="1417" w:header="935" w:footer="907" w:gutter="0"/>
          <w:pgNumType w:fmt="decimal"/>
          <w:cols w:space="0" w:num="1"/>
          <w:titlePg/>
          <w:rtlGutter w:val="0"/>
          <w:docGrid w:linePitch="0" w:charSpace="0"/>
        </w:sectPr>
      </w:pPr>
    </w:p>
    <w:p>
      <w:pPr>
        <w:pStyle w:val="37"/>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47"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47"/>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7"/>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2"/>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29" w:type="first"/>
          <w:footerReference r:id="rId30"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7"/>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w:pict>
          <v:shape id="_x0000_s1038" o:spid="_x0000_s1038" o:spt="202" type="#_x0000_t202" style="position:absolute;left:0pt;margin-left:-16.15pt;margin-top:13.25pt;height:606.8pt;width:447.15pt;z-index:251672576;mso-width-relative:page;mso-height-relative:page;" coordsize="21600,21600">
            <v:path/>
            <v:fill focussize="0,0"/>
            <v:stroke/>
            <v:imagedata o:title=""/>
            <o:lock v:ext="edit" grouping="f" rotation="f" text="f"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2"/>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资质证明材料正面标识式样</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r>
        <w:rPr>
          <w:rFonts w:hint="eastAsia" w:ascii="仿宋" w:hAnsi="仿宋" w:eastAsia="仿宋" w:cs="仿宋"/>
          <w:color w:val="auto"/>
          <w:highlight w:val="none"/>
        </w:rPr>
        <w:pict>
          <v:shape id="_x0000_s1039" o:spid="_x0000_s1039" o:spt="202" type="#_x0000_t202" style="position:absolute;left:0pt;margin-left:-10.9pt;margin-top:-0.9pt;height:641.25pt;width:440.6pt;z-index:251674624;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24"/>
          <w:highlight w:val="none"/>
          <w:lang w:eastAsia="zh-CN"/>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w:pict>
          <v:shape id="_x0000_s1040" o:spid="_x0000_s1040" o:spt="202" type="#_x0000_t202" style="position:absolute;left:0pt;margin-left:-10.9pt;margin-top:14.65pt;height:641.25pt;width:440.6pt;z-index:251673600;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7"/>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7"/>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7"/>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7"/>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7"/>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7"/>
        <w:jc w:val="both"/>
        <w:rPr>
          <w:rFonts w:hint="eastAsia" w:ascii="仿宋" w:hAnsi="仿宋" w:eastAsia="仿宋" w:cs="仿宋"/>
          <w:color w:val="auto"/>
          <w:highlight w:val="none"/>
        </w:rPr>
      </w:pPr>
    </w:p>
    <w:sectPr>
      <w:headerReference r:id="rId31" w:type="first"/>
      <w:footerReference r:id="rId33" w:type="first"/>
      <w:footerReference r:id="rId32"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2059" o:spid="_x0000_s205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14"/>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w:pict>
        <v:shape id="_x0000_s2054" o:spid="_x0000_s2054"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v:imagedata o:title=""/>
          <o:lock v:ext="edit" aspectratio="f"/>
          <v:textbox inset="0mm,0mm,0mm,0mm">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0"/>
      <w:rPr>
        <w:b/>
        <w:bCs/>
        <w:sz w:val="18"/>
        <w:szCs w:val="18"/>
      </w:rPr>
    </w:pPr>
    <w:r>
      <w:rPr>
        <w:rFonts w:hint="eastAsia" w:ascii="仿宋" w:hAnsi="仿宋" w:eastAsia="仿宋" w:cs="仿宋"/>
        <w:b/>
        <w:bCs/>
        <w:sz w:val="18"/>
        <w:szCs w:val="18"/>
      </w:rPr>
      <w:pict>
        <v:shape id="_x0000_s2055" o:spid="_x0000_s2055"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w:pict>
        <v:shape id="_x0000_s2066" o:spid="_x0000_s2066" o:spt="202" type="#_x0000_t202" style="position:absolute;left:0pt;margin-left:186.15pt;margin-top:18.75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w:pict>
        <v:shape id="_x0000_s2067" o:spid="_x0000_s2067" o:spt="202" type="#_x0000_t202" style="position:absolute;left:0pt;margin-left:182.4pt;margin-top:20.6pt;height:144pt;width:144p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w:pict>
        <v:shape id="_x0000_s2058" o:spid="_x0000_s205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w:pict>
        <v:shape id="_x0000_s2050" o:spid="_x0000_s205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 w:val="0"/>
        <w:bCs/>
        <w:u w:val="single"/>
        <w:lang w:eastAsia="zh-CN"/>
      </w:rPr>
      <w:t>2022年防汛及救灾物资补充采购项目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r>
      <w:rPr>
        <w:rFonts w:hint="eastAsia" w:ascii="楷体" w:hAnsi="楷体" w:eastAsia="楷体" w:cs="楷体"/>
        <w:b/>
        <w:u w:val="single"/>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240" w:lineRule="auto"/>
      <w:jc w:val="both"/>
      <w:textAlignment w:val="auto"/>
    </w:pPr>
    <w:r>
      <w:rPr>
        <w:rFonts w:hint="eastAsia" w:ascii="仿宋" w:hAnsi="仿宋" w:eastAsia="仿宋" w:cs="仿宋"/>
        <w:b/>
        <w:bCs w:val="0"/>
        <w:sz w:val="20"/>
        <w:szCs w:val="20"/>
        <w:u w:val="none"/>
        <w:lang w:eastAsia="zh-CN"/>
      </w:rPr>
      <w:t>2022年防汛及救灾物资补充采购项目</w:t>
    </w:r>
    <w:r>
      <w:rPr>
        <w:rFonts w:hint="eastAsia" w:ascii="仿宋" w:hAnsi="仿宋" w:eastAsia="仿宋" w:cs="仿宋"/>
        <w:b/>
        <w:bCs w:val="0"/>
        <w:sz w:val="20"/>
        <w:szCs w:val="20"/>
        <w:u w:val="none"/>
      </w:rPr>
      <w:t xml:space="preserve">                </w:t>
    </w:r>
    <w:r>
      <w:rPr>
        <w:rFonts w:hint="eastAsia" w:ascii="仿宋" w:hAnsi="仿宋" w:eastAsia="仿宋" w:cs="仿宋"/>
        <w:b/>
        <w:bCs w:val="0"/>
        <w:sz w:val="20"/>
        <w:szCs w:val="20"/>
        <w:u w:val="none"/>
        <w:lang w:val="en-US" w:eastAsia="zh-CN"/>
      </w:rPr>
      <w:t xml:space="preserve">                   公开招标文件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2022年防汛及救灾物资补充采购项目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b/>
        <w:bCs w:val="0"/>
        <w:lang w:eastAsia="zh-CN"/>
      </w:rPr>
    </w:pPr>
    <w:r>
      <w:rPr>
        <w:rFonts w:hint="eastAsia" w:ascii="仿宋" w:hAnsi="仿宋" w:eastAsia="仿宋" w:cs="仿宋"/>
        <w:b/>
        <w:bCs w:val="0"/>
        <w:u w:val="none"/>
        <w:lang w:eastAsia="zh-CN"/>
      </w:rPr>
      <w:t>2022年防汛及救灾物资补充采购项目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both"/>
      <w:textAlignment w:val="auto"/>
      <w:rPr>
        <w:rFonts w:hint="eastAsia"/>
        <w:u w:val="none"/>
        <w:lang w:eastAsia="zh-CN"/>
      </w:rPr>
    </w:pPr>
    <w:r>
      <w:rPr>
        <w:rFonts w:hint="eastAsia" w:ascii="仿宋" w:hAnsi="仿宋" w:eastAsia="仿宋" w:cs="仿宋"/>
        <w:b w:val="0"/>
        <w:bCs/>
        <w:u w:val="single"/>
        <w:lang w:eastAsia="zh-CN"/>
      </w:rPr>
      <w:t>2022年防汛及救灾物资补充采购项目</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20"/>
        <w:szCs w:val="20"/>
        <w:u w:val="single"/>
        <w:lang w:eastAsia="zh-CN"/>
      </w:rPr>
      <w:t>2022年防汛及救灾物资补充采购项目</w:t>
    </w:r>
    <w:r>
      <w:rPr>
        <w:rFonts w:hint="eastAsia" w:ascii="仿宋" w:hAnsi="仿宋" w:eastAsia="仿宋" w:cs="仿宋"/>
        <w:b/>
        <w:bCs w:val="0"/>
        <w:sz w:val="20"/>
        <w:szCs w:val="20"/>
        <w:u w:val="single"/>
      </w:rPr>
      <w:t xml:space="preserve">  </w:t>
    </w:r>
    <w:r>
      <w:rPr>
        <w:rFonts w:hint="eastAsia" w:ascii="仿宋" w:hAnsi="仿宋" w:eastAsia="仿宋" w:cs="仿宋"/>
        <w:b/>
        <w:bCs w:val="0"/>
        <w:sz w:val="20"/>
        <w:szCs w:val="20"/>
        <w:u w:val="single"/>
        <w:lang w:val="en-US" w:eastAsia="zh-CN"/>
      </w:rPr>
      <w:t xml:space="preserve">                                 公开招标文件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bCs w:val="0"/>
        <w:u w:val="single"/>
        <w:lang w:eastAsia="zh-CN"/>
      </w:rPr>
      <w:t>2022年防汛及救灾物资补充采购项目</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公开招标文件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ascii="楷体" w:hAnsi="楷体" w:eastAsia="楷体" w:cs="楷体"/>
      </w:rPr>
    </w:pPr>
    <w:r>
      <w:rPr>
        <w:rFonts w:hint="eastAsia" w:ascii="仿宋" w:hAnsi="仿宋" w:eastAsia="仿宋" w:cs="仿宋"/>
        <w:b/>
        <w:bCs w:val="0"/>
        <w:u w:val="none"/>
        <w:lang w:eastAsia="zh-CN"/>
      </w:rPr>
      <w:t>2022年防汛及救灾物资补充采购项目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2022年防汛及救灾物资补充采购项目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AB45C"/>
    <w:multiLevelType w:val="singleLevel"/>
    <w:tmpl w:val="B75AB45C"/>
    <w:lvl w:ilvl="0" w:tentative="0">
      <w:start w:val="10"/>
      <w:numFmt w:val="decimal"/>
      <w:suff w:val="nothing"/>
      <w:lvlText w:val="%1、"/>
      <w:lvlJc w:val="left"/>
    </w:lvl>
  </w:abstractNum>
  <w:abstractNum w:abstractNumId="1">
    <w:nsid w:val="F8DC9CD1"/>
    <w:multiLevelType w:val="singleLevel"/>
    <w:tmpl w:val="F8DC9CD1"/>
    <w:lvl w:ilvl="0" w:tentative="0">
      <w:start w:val="6"/>
      <w:numFmt w:val="chineseCounting"/>
      <w:suff w:val="space"/>
      <w:lvlText w:val="第%1章"/>
      <w:lvlJc w:val="left"/>
      <w:rPr>
        <w:rFonts w:hint="eastAsia"/>
      </w:r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1041D89"/>
    <w:multiLevelType w:val="singleLevel"/>
    <w:tmpl w:val="01041D89"/>
    <w:lvl w:ilvl="0" w:tentative="0">
      <w:start w:val="1"/>
      <w:numFmt w:val="chineseCounting"/>
      <w:suff w:val="space"/>
      <w:lvlText w:val="第%1章"/>
      <w:lvlJc w:val="left"/>
      <w:rPr>
        <w:rFonts w:hint="eastAsia"/>
      </w:rPr>
    </w:lvl>
  </w:abstractNum>
  <w:abstractNum w:abstractNumId="4">
    <w:nsid w:val="1734BF6A"/>
    <w:multiLevelType w:val="singleLevel"/>
    <w:tmpl w:val="1734BF6A"/>
    <w:lvl w:ilvl="0" w:tentative="0">
      <w:start w:val="1"/>
      <w:numFmt w:val="decimal"/>
      <w:suff w:val="nothing"/>
      <w:lvlText w:val="%1、"/>
      <w:lvlJc w:val="left"/>
    </w:lvl>
  </w:abstractNum>
  <w:abstractNum w:abstractNumId="5">
    <w:nsid w:val="576A36EB"/>
    <w:multiLevelType w:val="singleLevel"/>
    <w:tmpl w:val="576A36EB"/>
    <w:lvl w:ilvl="0" w:tentative="0">
      <w:start w:val="1"/>
      <w:numFmt w:val="decimal"/>
      <w:suff w:val="nothing"/>
      <w:lvlText w:val="（%1）"/>
      <w:lvlJc w:val="left"/>
    </w:lvl>
  </w:abstractNum>
  <w:abstractNum w:abstractNumId="6">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131D8C7"/>
    <w:multiLevelType w:val="singleLevel"/>
    <w:tmpl w:val="6131D8C7"/>
    <w:lvl w:ilvl="0" w:tentative="0">
      <w:start w:val="3"/>
      <w:numFmt w:val="chineseCounting"/>
      <w:suff w:val="space"/>
      <w:lvlText w:val="第%1章"/>
      <w:lvlJc w:val="left"/>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jZTVlYjc4MTYxOWE0MmI4MTYyZmE4NjhhODg0NWUifQ=="/>
  </w:docVars>
  <w:rsids>
    <w:rsidRoot w:val="00172A27"/>
    <w:rsid w:val="001332BF"/>
    <w:rsid w:val="00212B6B"/>
    <w:rsid w:val="002D1185"/>
    <w:rsid w:val="003F04EF"/>
    <w:rsid w:val="00415775"/>
    <w:rsid w:val="00415DA5"/>
    <w:rsid w:val="00437251"/>
    <w:rsid w:val="004F223F"/>
    <w:rsid w:val="0054681D"/>
    <w:rsid w:val="00622852"/>
    <w:rsid w:val="006512A4"/>
    <w:rsid w:val="006E4C02"/>
    <w:rsid w:val="0075377D"/>
    <w:rsid w:val="007B1225"/>
    <w:rsid w:val="007B30B1"/>
    <w:rsid w:val="008563F8"/>
    <w:rsid w:val="009140CB"/>
    <w:rsid w:val="00A86B23"/>
    <w:rsid w:val="00B507E4"/>
    <w:rsid w:val="00CA45D3"/>
    <w:rsid w:val="00D04A1F"/>
    <w:rsid w:val="00E84244"/>
    <w:rsid w:val="00F35AEF"/>
    <w:rsid w:val="00FE4037"/>
    <w:rsid w:val="01055DED"/>
    <w:rsid w:val="012357C5"/>
    <w:rsid w:val="0124044D"/>
    <w:rsid w:val="012F172C"/>
    <w:rsid w:val="012F2A87"/>
    <w:rsid w:val="013B4745"/>
    <w:rsid w:val="013F27E7"/>
    <w:rsid w:val="014C0D5E"/>
    <w:rsid w:val="01523E16"/>
    <w:rsid w:val="015509EB"/>
    <w:rsid w:val="0167398B"/>
    <w:rsid w:val="016D5D6E"/>
    <w:rsid w:val="01770D23"/>
    <w:rsid w:val="01792237"/>
    <w:rsid w:val="017D4B6D"/>
    <w:rsid w:val="018B4AD5"/>
    <w:rsid w:val="01A9549C"/>
    <w:rsid w:val="01B444B0"/>
    <w:rsid w:val="01B93012"/>
    <w:rsid w:val="01DC0309"/>
    <w:rsid w:val="01E07E04"/>
    <w:rsid w:val="01E72F16"/>
    <w:rsid w:val="01F6245E"/>
    <w:rsid w:val="020B2B51"/>
    <w:rsid w:val="022C51CF"/>
    <w:rsid w:val="023D0CA8"/>
    <w:rsid w:val="025C1772"/>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92897"/>
    <w:rsid w:val="03114ED8"/>
    <w:rsid w:val="031C45A2"/>
    <w:rsid w:val="03226876"/>
    <w:rsid w:val="032822E5"/>
    <w:rsid w:val="033E3C8D"/>
    <w:rsid w:val="034C72DC"/>
    <w:rsid w:val="0363799C"/>
    <w:rsid w:val="03666CBA"/>
    <w:rsid w:val="03804B01"/>
    <w:rsid w:val="03927018"/>
    <w:rsid w:val="03EC461B"/>
    <w:rsid w:val="03F25C0E"/>
    <w:rsid w:val="0402140E"/>
    <w:rsid w:val="040E606A"/>
    <w:rsid w:val="0413485F"/>
    <w:rsid w:val="042302C3"/>
    <w:rsid w:val="04286C44"/>
    <w:rsid w:val="04681381"/>
    <w:rsid w:val="047000DE"/>
    <w:rsid w:val="048076C9"/>
    <w:rsid w:val="04A35E84"/>
    <w:rsid w:val="04DC01EC"/>
    <w:rsid w:val="04EF0188"/>
    <w:rsid w:val="050359C4"/>
    <w:rsid w:val="05145A42"/>
    <w:rsid w:val="05243AD3"/>
    <w:rsid w:val="05244660"/>
    <w:rsid w:val="053B7608"/>
    <w:rsid w:val="0544323B"/>
    <w:rsid w:val="055B54AB"/>
    <w:rsid w:val="055F0593"/>
    <w:rsid w:val="057C07ED"/>
    <w:rsid w:val="0582059A"/>
    <w:rsid w:val="05881D5D"/>
    <w:rsid w:val="059A78A9"/>
    <w:rsid w:val="059F6C93"/>
    <w:rsid w:val="05C32147"/>
    <w:rsid w:val="05CC27DB"/>
    <w:rsid w:val="05DC421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3B1519"/>
    <w:rsid w:val="074309B5"/>
    <w:rsid w:val="074D45F0"/>
    <w:rsid w:val="075238C8"/>
    <w:rsid w:val="075409F1"/>
    <w:rsid w:val="077716F8"/>
    <w:rsid w:val="0784427C"/>
    <w:rsid w:val="079C558D"/>
    <w:rsid w:val="07A86BC0"/>
    <w:rsid w:val="07B06814"/>
    <w:rsid w:val="07B1292F"/>
    <w:rsid w:val="07B83524"/>
    <w:rsid w:val="07ED6184"/>
    <w:rsid w:val="07FF518E"/>
    <w:rsid w:val="081859DF"/>
    <w:rsid w:val="081E722F"/>
    <w:rsid w:val="08263A7B"/>
    <w:rsid w:val="08343F08"/>
    <w:rsid w:val="08390C7A"/>
    <w:rsid w:val="084F5E63"/>
    <w:rsid w:val="087361B7"/>
    <w:rsid w:val="08865858"/>
    <w:rsid w:val="08C40321"/>
    <w:rsid w:val="08C916A1"/>
    <w:rsid w:val="08D93C4A"/>
    <w:rsid w:val="08F62F8E"/>
    <w:rsid w:val="09132E62"/>
    <w:rsid w:val="091A2465"/>
    <w:rsid w:val="092F3308"/>
    <w:rsid w:val="0952618D"/>
    <w:rsid w:val="096F0401"/>
    <w:rsid w:val="09875E86"/>
    <w:rsid w:val="09917F6C"/>
    <w:rsid w:val="09AF7900"/>
    <w:rsid w:val="09B84246"/>
    <w:rsid w:val="09EE72C6"/>
    <w:rsid w:val="0A0018ED"/>
    <w:rsid w:val="0A0C6A2E"/>
    <w:rsid w:val="0A1B5312"/>
    <w:rsid w:val="0A2817E2"/>
    <w:rsid w:val="0A405FB1"/>
    <w:rsid w:val="0A4B6101"/>
    <w:rsid w:val="0A530AAC"/>
    <w:rsid w:val="0A5663A8"/>
    <w:rsid w:val="0A5D6092"/>
    <w:rsid w:val="0A783EE1"/>
    <w:rsid w:val="0A841FD0"/>
    <w:rsid w:val="0A8660B1"/>
    <w:rsid w:val="0A9E5956"/>
    <w:rsid w:val="0AA4705C"/>
    <w:rsid w:val="0AB80DB3"/>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1B324A"/>
    <w:rsid w:val="0C2A4A9B"/>
    <w:rsid w:val="0C2C5130"/>
    <w:rsid w:val="0C394E6F"/>
    <w:rsid w:val="0C50326D"/>
    <w:rsid w:val="0C7C3AF1"/>
    <w:rsid w:val="0C7F7B3F"/>
    <w:rsid w:val="0C8D0FFD"/>
    <w:rsid w:val="0C9F35C5"/>
    <w:rsid w:val="0CA34C15"/>
    <w:rsid w:val="0CB02C73"/>
    <w:rsid w:val="0CB4444F"/>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37BA7"/>
    <w:rsid w:val="0E035AFD"/>
    <w:rsid w:val="0E0C77C9"/>
    <w:rsid w:val="0E1C5299"/>
    <w:rsid w:val="0E492B32"/>
    <w:rsid w:val="0E50645E"/>
    <w:rsid w:val="0E516D66"/>
    <w:rsid w:val="0E56494C"/>
    <w:rsid w:val="0E613CA6"/>
    <w:rsid w:val="0E687109"/>
    <w:rsid w:val="0EAE1199"/>
    <w:rsid w:val="0EC45296"/>
    <w:rsid w:val="0ECD1414"/>
    <w:rsid w:val="0ED717DB"/>
    <w:rsid w:val="0EDC0DEC"/>
    <w:rsid w:val="0F032FD0"/>
    <w:rsid w:val="0F1C53D9"/>
    <w:rsid w:val="0F22324D"/>
    <w:rsid w:val="0F3B7A08"/>
    <w:rsid w:val="0F473211"/>
    <w:rsid w:val="0F517930"/>
    <w:rsid w:val="0F6E0F54"/>
    <w:rsid w:val="0F730FDF"/>
    <w:rsid w:val="0F851B60"/>
    <w:rsid w:val="0FAB058B"/>
    <w:rsid w:val="0FC95A74"/>
    <w:rsid w:val="0FD348E1"/>
    <w:rsid w:val="0FDD068A"/>
    <w:rsid w:val="0FE42502"/>
    <w:rsid w:val="0FF2353C"/>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2C3F71"/>
    <w:rsid w:val="113863E8"/>
    <w:rsid w:val="11423D95"/>
    <w:rsid w:val="11440F71"/>
    <w:rsid w:val="11625C09"/>
    <w:rsid w:val="11686CB0"/>
    <w:rsid w:val="1194672F"/>
    <w:rsid w:val="11AE5A5C"/>
    <w:rsid w:val="11B22024"/>
    <w:rsid w:val="11E2074A"/>
    <w:rsid w:val="11E410CE"/>
    <w:rsid w:val="11EB0E21"/>
    <w:rsid w:val="12194051"/>
    <w:rsid w:val="12441018"/>
    <w:rsid w:val="12636497"/>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27DB4"/>
    <w:rsid w:val="13435AC3"/>
    <w:rsid w:val="13456171"/>
    <w:rsid w:val="137D3F12"/>
    <w:rsid w:val="1381103D"/>
    <w:rsid w:val="13813A05"/>
    <w:rsid w:val="13974ECE"/>
    <w:rsid w:val="13A0181A"/>
    <w:rsid w:val="13A5784A"/>
    <w:rsid w:val="13BA1D03"/>
    <w:rsid w:val="13C52B29"/>
    <w:rsid w:val="13DF4459"/>
    <w:rsid w:val="13FE4229"/>
    <w:rsid w:val="14090F70"/>
    <w:rsid w:val="140A6FFA"/>
    <w:rsid w:val="14192869"/>
    <w:rsid w:val="14215C1B"/>
    <w:rsid w:val="142E6F39"/>
    <w:rsid w:val="143A24B3"/>
    <w:rsid w:val="14404038"/>
    <w:rsid w:val="14442427"/>
    <w:rsid w:val="1450503A"/>
    <w:rsid w:val="146107D5"/>
    <w:rsid w:val="146D0D6E"/>
    <w:rsid w:val="148467C3"/>
    <w:rsid w:val="14C00317"/>
    <w:rsid w:val="14D07C41"/>
    <w:rsid w:val="14D110EB"/>
    <w:rsid w:val="14E94C0C"/>
    <w:rsid w:val="14EA7F1C"/>
    <w:rsid w:val="14ED2ACB"/>
    <w:rsid w:val="14F345D7"/>
    <w:rsid w:val="14F372D7"/>
    <w:rsid w:val="1506296A"/>
    <w:rsid w:val="151B3FA6"/>
    <w:rsid w:val="15206496"/>
    <w:rsid w:val="152278DB"/>
    <w:rsid w:val="15293666"/>
    <w:rsid w:val="154E568E"/>
    <w:rsid w:val="15612E6D"/>
    <w:rsid w:val="157647B4"/>
    <w:rsid w:val="157E0E4B"/>
    <w:rsid w:val="15816A00"/>
    <w:rsid w:val="158F0C46"/>
    <w:rsid w:val="15BD216B"/>
    <w:rsid w:val="15C70A44"/>
    <w:rsid w:val="15E17FEB"/>
    <w:rsid w:val="15FA64EA"/>
    <w:rsid w:val="16070E41"/>
    <w:rsid w:val="161E1E16"/>
    <w:rsid w:val="16357A0B"/>
    <w:rsid w:val="16446C59"/>
    <w:rsid w:val="164C117E"/>
    <w:rsid w:val="16605739"/>
    <w:rsid w:val="1688735E"/>
    <w:rsid w:val="1697633D"/>
    <w:rsid w:val="16B85F78"/>
    <w:rsid w:val="16C53D60"/>
    <w:rsid w:val="16CB2E16"/>
    <w:rsid w:val="16EE2F79"/>
    <w:rsid w:val="16F4105E"/>
    <w:rsid w:val="17090F66"/>
    <w:rsid w:val="17102234"/>
    <w:rsid w:val="171505C0"/>
    <w:rsid w:val="17162CA4"/>
    <w:rsid w:val="171921EC"/>
    <w:rsid w:val="173338BA"/>
    <w:rsid w:val="173510B8"/>
    <w:rsid w:val="1750478E"/>
    <w:rsid w:val="175301E9"/>
    <w:rsid w:val="17625B4B"/>
    <w:rsid w:val="17646E49"/>
    <w:rsid w:val="176C1469"/>
    <w:rsid w:val="17892EE2"/>
    <w:rsid w:val="17AE1FA3"/>
    <w:rsid w:val="17BC0CF5"/>
    <w:rsid w:val="17BE36CE"/>
    <w:rsid w:val="17DE12E7"/>
    <w:rsid w:val="17EE3867"/>
    <w:rsid w:val="17F20DEB"/>
    <w:rsid w:val="17F6732D"/>
    <w:rsid w:val="18116E71"/>
    <w:rsid w:val="181C111E"/>
    <w:rsid w:val="18275A8E"/>
    <w:rsid w:val="183B5375"/>
    <w:rsid w:val="18513CDE"/>
    <w:rsid w:val="18527BFC"/>
    <w:rsid w:val="1855203D"/>
    <w:rsid w:val="185F4462"/>
    <w:rsid w:val="18825D67"/>
    <w:rsid w:val="18836302"/>
    <w:rsid w:val="18865395"/>
    <w:rsid w:val="18874B24"/>
    <w:rsid w:val="188A78FE"/>
    <w:rsid w:val="18900317"/>
    <w:rsid w:val="18BA0CCF"/>
    <w:rsid w:val="18CB7939"/>
    <w:rsid w:val="18CE7630"/>
    <w:rsid w:val="18E35026"/>
    <w:rsid w:val="18E51E11"/>
    <w:rsid w:val="18E84F59"/>
    <w:rsid w:val="18FA4C52"/>
    <w:rsid w:val="190F021E"/>
    <w:rsid w:val="191275CB"/>
    <w:rsid w:val="19177932"/>
    <w:rsid w:val="191D31E8"/>
    <w:rsid w:val="192D1987"/>
    <w:rsid w:val="192D2635"/>
    <w:rsid w:val="19383276"/>
    <w:rsid w:val="1943640C"/>
    <w:rsid w:val="194C6169"/>
    <w:rsid w:val="196977F2"/>
    <w:rsid w:val="196C4F56"/>
    <w:rsid w:val="197B498D"/>
    <w:rsid w:val="199C65D8"/>
    <w:rsid w:val="19A93FB3"/>
    <w:rsid w:val="19AD6C6F"/>
    <w:rsid w:val="19B6156E"/>
    <w:rsid w:val="19C169F0"/>
    <w:rsid w:val="19E1220D"/>
    <w:rsid w:val="19E768A4"/>
    <w:rsid w:val="1A053724"/>
    <w:rsid w:val="1A0A2802"/>
    <w:rsid w:val="1A20007A"/>
    <w:rsid w:val="1A2127C9"/>
    <w:rsid w:val="1A3441CE"/>
    <w:rsid w:val="1A3A0D62"/>
    <w:rsid w:val="1A422589"/>
    <w:rsid w:val="1A435612"/>
    <w:rsid w:val="1A4C6DBB"/>
    <w:rsid w:val="1A4F2F04"/>
    <w:rsid w:val="1A5C3EFC"/>
    <w:rsid w:val="1A655C5C"/>
    <w:rsid w:val="1A74734D"/>
    <w:rsid w:val="1A80467A"/>
    <w:rsid w:val="1A8E2FFB"/>
    <w:rsid w:val="1A9A6CA4"/>
    <w:rsid w:val="1AA014F2"/>
    <w:rsid w:val="1AAE69FD"/>
    <w:rsid w:val="1AE72B08"/>
    <w:rsid w:val="1AFF2903"/>
    <w:rsid w:val="1B060011"/>
    <w:rsid w:val="1B1B4F5A"/>
    <w:rsid w:val="1B503750"/>
    <w:rsid w:val="1B50707D"/>
    <w:rsid w:val="1B525722"/>
    <w:rsid w:val="1B730FBA"/>
    <w:rsid w:val="1B781C93"/>
    <w:rsid w:val="1B87230D"/>
    <w:rsid w:val="1BBB35A3"/>
    <w:rsid w:val="1BBD281B"/>
    <w:rsid w:val="1BE0539F"/>
    <w:rsid w:val="1BEA36C9"/>
    <w:rsid w:val="1C152E24"/>
    <w:rsid w:val="1C1B7095"/>
    <w:rsid w:val="1C2D5F08"/>
    <w:rsid w:val="1C330BE1"/>
    <w:rsid w:val="1C331FB5"/>
    <w:rsid w:val="1C372579"/>
    <w:rsid w:val="1C383C46"/>
    <w:rsid w:val="1C4673D1"/>
    <w:rsid w:val="1C632A91"/>
    <w:rsid w:val="1C745FAB"/>
    <w:rsid w:val="1C817A29"/>
    <w:rsid w:val="1C865987"/>
    <w:rsid w:val="1CBD2F9B"/>
    <w:rsid w:val="1CC542FF"/>
    <w:rsid w:val="1CCD1B66"/>
    <w:rsid w:val="1CDC25B0"/>
    <w:rsid w:val="1CF562EB"/>
    <w:rsid w:val="1D04432C"/>
    <w:rsid w:val="1D0F6716"/>
    <w:rsid w:val="1D172126"/>
    <w:rsid w:val="1D3A4269"/>
    <w:rsid w:val="1D58544F"/>
    <w:rsid w:val="1D61602F"/>
    <w:rsid w:val="1D7157E9"/>
    <w:rsid w:val="1D9474D1"/>
    <w:rsid w:val="1DA60DBD"/>
    <w:rsid w:val="1DA975B6"/>
    <w:rsid w:val="1DB45E8F"/>
    <w:rsid w:val="1DD161C7"/>
    <w:rsid w:val="1DDF4275"/>
    <w:rsid w:val="1DFC4345"/>
    <w:rsid w:val="1E290DC9"/>
    <w:rsid w:val="1E2C5F17"/>
    <w:rsid w:val="1E4F6E0B"/>
    <w:rsid w:val="1E5A2FDA"/>
    <w:rsid w:val="1E5C4B51"/>
    <w:rsid w:val="1E6964CA"/>
    <w:rsid w:val="1E6A399F"/>
    <w:rsid w:val="1E7237CC"/>
    <w:rsid w:val="1E80551E"/>
    <w:rsid w:val="1E867E3E"/>
    <w:rsid w:val="1EA74D18"/>
    <w:rsid w:val="1EAA4AFF"/>
    <w:rsid w:val="1EB06311"/>
    <w:rsid w:val="1EC60C39"/>
    <w:rsid w:val="1ED01E7C"/>
    <w:rsid w:val="1ED11AC5"/>
    <w:rsid w:val="1ED3701A"/>
    <w:rsid w:val="1ED400B8"/>
    <w:rsid w:val="1ED40BEC"/>
    <w:rsid w:val="1EE12E22"/>
    <w:rsid w:val="1EF601FB"/>
    <w:rsid w:val="1F097C64"/>
    <w:rsid w:val="1F1B7BE1"/>
    <w:rsid w:val="1F292DC2"/>
    <w:rsid w:val="1F2E69D8"/>
    <w:rsid w:val="1F554D19"/>
    <w:rsid w:val="1F6223AD"/>
    <w:rsid w:val="1FA37E2C"/>
    <w:rsid w:val="1FD3721C"/>
    <w:rsid w:val="1FDA5EC4"/>
    <w:rsid w:val="1FEA44CB"/>
    <w:rsid w:val="1FF752B6"/>
    <w:rsid w:val="1FFB7F79"/>
    <w:rsid w:val="1FFD1DA0"/>
    <w:rsid w:val="202B1E56"/>
    <w:rsid w:val="203B5D40"/>
    <w:rsid w:val="20520BA1"/>
    <w:rsid w:val="20525340"/>
    <w:rsid w:val="20731008"/>
    <w:rsid w:val="20DD65CC"/>
    <w:rsid w:val="20EC3370"/>
    <w:rsid w:val="20F81C87"/>
    <w:rsid w:val="210C37AF"/>
    <w:rsid w:val="212479FC"/>
    <w:rsid w:val="2125239E"/>
    <w:rsid w:val="213071C1"/>
    <w:rsid w:val="213345E1"/>
    <w:rsid w:val="214D44F3"/>
    <w:rsid w:val="217E72AA"/>
    <w:rsid w:val="219C2D85"/>
    <w:rsid w:val="21A470C7"/>
    <w:rsid w:val="21A5220F"/>
    <w:rsid w:val="21A76E86"/>
    <w:rsid w:val="21A9409D"/>
    <w:rsid w:val="21C93E43"/>
    <w:rsid w:val="21D9248D"/>
    <w:rsid w:val="21ED33E6"/>
    <w:rsid w:val="21FB7029"/>
    <w:rsid w:val="220C2809"/>
    <w:rsid w:val="22151983"/>
    <w:rsid w:val="221F065E"/>
    <w:rsid w:val="2238284E"/>
    <w:rsid w:val="224D5266"/>
    <w:rsid w:val="22631FB1"/>
    <w:rsid w:val="226B006C"/>
    <w:rsid w:val="227C2CCE"/>
    <w:rsid w:val="228C7A05"/>
    <w:rsid w:val="22972603"/>
    <w:rsid w:val="22AB2F38"/>
    <w:rsid w:val="22AE02AF"/>
    <w:rsid w:val="22BB79DA"/>
    <w:rsid w:val="22C30BD7"/>
    <w:rsid w:val="22D06515"/>
    <w:rsid w:val="22D5669C"/>
    <w:rsid w:val="22DD7278"/>
    <w:rsid w:val="22EB2228"/>
    <w:rsid w:val="23371C43"/>
    <w:rsid w:val="233D6F48"/>
    <w:rsid w:val="234D186E"/>
    <w:rsid w:val="235360D7"/>
    <w:rsid w:val="235D306F"/>
    <w:rsid w:val="2362550E"/>
    <w:rsid w:val="2374115A"/>
    <w:rsid w:val="23865F50"/>
    <w:rsid w:val="238E2AF8"/>
    <w:rsid w:val="23B221C1"/>
    <w:rsid w:val="23B501F5"/>
    <w:rsid w:val="23B77F19"/>
    <w:rsid w:val="23B94AAA"/>
    <w:rsid w:val="23BD6FE3"/>
    <w:rsid w:val="23CB1C0B"/>
    <w:rsid w:val="23E87193"/>
    <w:rsid w:val="240406AE"/>
    <w:rsid w:val="24060E09"/>
    <w:rsid w:val="240E33FD"/>
    <w:rsid w:val="241035B6"/>
    <w:rsid w:val="24173B5E"/>
    <w:rsid w:val="242D1523"/>
    <w:rsid w:val="24350B84"/>
    <w:rsid w:val="243F3724"/>
    <w:rsid w:val="24416D82"/>
    <w:rsid w:val="245840A6"/>
    <w:rsid w:val="24831C33"/>
    <w:rsid w:val="248C32DF"/>
    <w:rsid w:val="248D64FB"/>
    <w:rsid w:val="249C21F4"/>
    <w:rsid w:val="24C061DB"/>
    <w:rsid w:val="24C063A4"/>
    <w:rsid w:val="24C40077"/>
    <w:rsid w:val="24F03545"/>
    <w:rsid w:val="25064086"/>
    <w:rsid w:val="2508510A"/>
    <w:rsid w:val="250F557F"/>
    <w:rsid w:val="25203CCD"/>
    <w:rsid w:val="252D413F"/>
    <w:rsid w:val="252E255C"/>
    <w:rsid w:val="2536380C"/>
    <w:rsid w:val="25430663"/>
    <w:rsid w:val="256154CC"/>
    <w:rsid w:val="25665B84"/>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452162"/>
    <w:rsid w:val="265570F7"/>
    <w:rsid w:val="265F7849"/>
    <w:rsid w:val="2664440E"/>
    <w:rsid w:val="26792478"/>
    <w:rsid w:val="269C5F46"/>
    <w:rsid w:val="26AA3247"/>
    <w:rsid w:val="26AD7B8E"/>
    <w:rsid w:val="26BF7B51"/>
    <w:rsid w:val="26C6302D"/>
    <w:rsid w:val="26CE14DA"/>
    <w:rsid w:val="26EB5B51"/>
    <w:rsid w:val="26EE5A36"/>
    <w:rsid w:val="26EF4DE2"/>
    <w:rsid w:val="26F50BDB"/>
    <w:rsid w:val="26FE4E7F"/>
    <w:rsid w:val="270513CC"/>
    <w:rsid w:val="272A5FBD"/>
    <w:rsid w:val="272C4EF1"/>
    <w:rsid w:val="272E10E9"/>
    <w:rsid w:val="27513170"/>
    <w:rsid w:val="2759523E"/>
    <w:rsid w:val="275B0BB9"/>
    <w:rsid w:val="27775B13"/>
    <w:rsid w:val="27870A9C"/>
    <w:rsid w:val="278C6260"/>
    <w:rsid w:val="278D0C17"/>
    <w:rsid w:val="27925D43"/>
    <w:rsid w:val="27AB7A4E"/>
    <w:rsid w:val="27AF2CA0"/>
    <w:rsid w:val="27B76F7E"/>
    <w:rsid w:val="27C90A53"/>
    <w:rsid w:val="27CE17BE"/>
    <w:rsid w:val="2801667A"/>
    <w:rsid w:val="280E56A9"/>
    <w:rsid w:val="28172BDD"/>
    <w:rsid w:val="2849353B"/>
    <w:rsid w:val="285B02BE"/>
    <w:rsid w:val="28612FE4"/>
    <w:rsid w:val="28811AC2"/>
    <w:rsid w:val="28941480"/>
    <w:rsid w:val="289C575D"/>
    <w:rsid w:val="28A21EE1"/>
    <w:rsid w:val="28A4544E"/>
    <w:rsid w:val="28A50596"/>
    <w:rsid w:val="28A86B5F"/>
    <w:rsid w:val="28CB4833"/>
    <w:rsid w:val="28E97F29"/>
    <w:rsid w:val="29253FFF"/>
    <w:rsid w:val="292672E2"/>
    <w:rsid w:val="292809E6"/>
    <w:rsid w:val="2938145D"/>
    <w:rsid w:val="29422464"/>
    <w:rsid w:val="294301B4"/>
    <w:rsid w:val="29481585"/>
    <w:rsid w:val="294A6AD1"/>
    <w:rsid w:val="294F363A"/>
    <w:rsid w:val="29843C2C"/>
    <w:rsid w:val="299B3C02"/>
    <w:rsid w:val="29AA0B85"/>
    <w:rsid w:val="29B01376"/>
    <w:rsid w:val="29B05C8A"/>
    <w:rsid w:val="29CB6F7F"/>
    <w:rsid w:val="29CC694D"/>
    <w:rsid w:val="29D33A58"/>
    <w:rsid w:val="29E90A73"/>
    <w:rsid w:val="29EF290B"/>
    <w:rsid w:val="2A004A26"/>
    <w:rsid w:val="2A2361E0"/>
    <w:rsid w:val="2A377938"/>
    <w:rsid w:val="2A39304D"/>
    <w:rsid w:val="2A3A1778"/>
    <w:rsid w:val="2A5A1271"/>
    <w:rsid w:val="2A5B5A23"/>
    <w:rsid w:val="2AA00955"/>
    <w:rsid w:val="2ACD779E"/>
    <w:rsid w:val="2AD61463"/>
    <w:rsid w:val="2ADE6251"/>
    <w:rsid w:val="2B01663B"/>
    <w:rsid w:val="2B0330EB"/>
    <w:rsid w:val="2B0D2B5D"/>
    <w:rsid w:val="2B3F0DEA"/>
    <w:rsid w:val="2B4F0E68"/>
    <w:rsid w:val="2B5330CD"/>
    <w:rsid w:val="2B716D0A"/>
    <w:rsid w:val="2B8E79ED"/>
    <w:rsid w:val="2B9745EB"/>
    <w:rsid w:val="2B9F34D7"/>
    <w:rsid w:val="2BF043F9"/>
    <w:rsid w:val="2BF84B95"/>
    <w:rsid w:val="2BFA3C7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A51213"/>
    <w:rsid w:val="2DBC364F"/>
    <w:rsid w:val="2DBE4625"/>
    <w:rsid w:val="2DC055B8"/>
    <w:rsid w:val="2DC113FE"/>
    <w:rsid w:val="2DD15DA4"/>
    <w:rsid w:val="2E2D1F06"/>
    <w:rsid w:val="2E407B36"/>
    <w:rsid w:val="2E487979"/>
    <w:rsid w:val="2E506092"/>
    <w:rsid w:val="2E626225"/>
    <w:rsid w:val="2E631B17"/>
    <w:rsid w:val="2E6C4E49"/>
    <w:rsid w:val="2E757732"/>
    <w:rsid w:val="2E7B0F51"/>
    <w:rsid w:val="2E7E6BE3"/>
    <w:rsid w:val="2E8F5A76"/>
    <w:rsid w:val="2E9E012E"/>
    <w:rsid w:val="2EB251DE"/>
    <w:rsid w:val="2EBB453E"/>
    <w:rsid w:val="2ED32D30"/>
    <w:rsid w:val="2F01235C"/>
    <w:rsid w:val="2F385590"/>
    <w:rsid w:val="2F385D91"/>
    <w:rsid w:val="2F3B117B"/>
    <w:rsid w:val="2F442969"/>
    <w:rsid w:val="2F5F4D24"/>
    <w:rsid w:val="2F726093"/>
    <w:rsid w:val="2F783A2A"/>
    <w:rsid w:val="2F7E20B0"/>
    <w:rsid w:val="2F8F7D10"/>
    <w:rsid w:val="2F906FF8"/>
    <w:rsid w:val="2FE06533"/>
    <w:rsid w:val="2FF729FF"/>
    <w:rsid w:val="301069EF"/>
    <w:rsid w:val="3012492F"/>
    <w:rsid w:val="301B091F"/>
    <w:rsid w:val="30292A80"/>
    <w:rsid w:val="303C0946"/>
    <w:rsid w:val="30546F10"/>
    <w:rsid w:val="30607673"/>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36540"/>
    <w:rsid w:val="3157169C"/>
    <w:rsid w:val="316F12FA"/>
    <w:rsid w:val="317F1F84"/>
    <w:rsid w:val="317F52E7"/>
    <w:rsid w:val="319E21A8"/>
    <w:rsid w:val="31B448F8"/>
    <w:rsid w:val="31C4112D"/>
    <w:rsid w:val="31C613CE"/>
    <w:rsid w:val="31CF19CB"/>
    <w:rsid w:val="31D245A1"/>
    <w:rsid w:val="3210318C"/>
    <w:rsid w:val="32121212"/>
    <w:rsid w:val="3218445A"/>
    <w:rsid w:val="32246337"/>
    <w:rsid w:val="3228271D"/>
    <w:rsid w:val="323D6705"/>
    <w:rsid w:val="32756B2E"/>
    <w:rsid w:val="32B93E22"/>
    <w:rsid w:val="332330F3"/>
    <w:rsid w:val="332E0AFE"/>
    <w:rsid w:val="334E2B10"/>
    <w:rsid w:val="338D5193"/>
    <w:rsid w:val="33944C88"/>
    <w:rsid w:val="339A6860"/>
    <w:rsid w:val="33A3621B"/>
    <w:rsid w:val="33D23C1C"/>
    <w:rsid w:val="33D9318C"/>
    <w:rsid w:val="33E47652"/>
    <w:rsid w:val="33F84719"/>
    <w:rsid w:val="33FE6DB1"/>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E66D5"/>
    <w:rsid w:val="35125D28"/>
    <w:rsid w:val="352552E3"/>
    <w:rsid w:val="35292E4E"/>
    <w:rsid w:val="352A6222"/>
    <w:rsid w:val="3552741C"/>
    <w:rsid w:val="35543CEB"/>
    <w:rsid w:val="3575320F"/>
    <w:rsid w:val="35880003"/>
    <w:rsid w:val="358B37A9"/>
    <w:rsid w:val="35B00755"/>
    <w:rsid w:val="35C672EF"/>
    <w:rsid w:val="35D37514"/>
    <w:rsid w:val="36031236"/>
    <w:rsid w:val="360432C6"/>
    <w:rsid w:val="361643BC"/>
    <w:rsid w:val="3635517E"/>
    <w:rsid w:val="365D70AD"/>
    <w:rsid w:val="368708DF"/>
    <w:rsid w:val="368E4B68"/>
    <w:rsid w:val="36BB53A8"/>
    <w:rsid w:val="36BE5E23"/>
    <w:rsid w:val="36BF5033"/>
    <w:rsid w:val="36E30215"/>
    <w:rsid w:val="36FF448C"/>
    <w:rsid w:val="37046530"/>
    <w:rsid w:val="372C5176"/>
    <w:rsid w:val="37371245"/>
    <w:rsid w:val="374F1BF5"/>
    <w:rsid w:val="375607F8"/>
    <w:rsid w:val="375C07E0"/>
    <w:rsid w:val="378620B5"/>
    <w:rsid w:val="37896CF9"/>
    <w:rsid w:val="379301A5"/>
    <w:rsid w:val="37D5200F"/>
    <w:rsid w:val="37DB6D52"/>
    <w:rsid w:val="37E6048F"/>
    <w:rsid w:val="37EC3B69"/>
    <w:rsid w:val="37EF0D21"/>
    <w:rsid w:val="37F0245C"/>
    <w:rsid w:val="38097EDE"/>
    <w:rsid w:val="380C7A67"/>
    <w:rsid w:val="38351594"/>
    <w:rsid w:val="383B7389"/>
    <w:rsid w:val="383C1711"/>
    <w:rsid w:val="38413AE0"/>
    <w:rsid w:val="386E6D96"/>
    <w:rsid w:val="387434A8"/>
    <w:rsid w:val="387C333D"/>
    <w:rsid w:val="38A87967"/>
    <w:rsid w:val="38B14AD4"/>
    <w:rsid w:val="38BE4D8A"/>
    <w:rsid w:val="38D73CFB"/>
    <w:rsid w:val="38D96215"/>
    <w:rsid w:val="38DC3260"/>
    <w:rsid w:val="390E1E02"/>
    <w:rsid w:val="3915015C"/>
    <w:rsid w:val="392628AE"/>
    <w:rsid w:val="392751D2"/>
    <w:rsid w:val="39406108"/>
    <w:rsid w:val="39497683"/>
    <w:rsid w:val="39695EA8"/>
    <w:rsid w:val="397A53E5"/>
    <w:rsid w:val="398B6386"/>
    <w:rsid w:val="39A668D6"/>
    <w:rsid w:val="39BE3330"/>
    <w:rsid w:val="39C35DCF"/>
    <w:rsid w:val="39C728BC"/>
    <w:rsid w:val="39D57530"/>
    <w:rsid w:val="3A0674A4"/>
    <w:rsid w:val="3A0D43C8"/>
    <w:rsid w:val="3A28763D"/>
    <w:rsid w:val="3A40613F"/>
    <w:rsid w:val="3A475A72"/>
    <w:rsid w:val="3A4A0105"/>
    <w:rsid w:val="3A5272F0"/>
    <w:rsid w:val="3A5D320E"/>
    <w:rsid w:val="3A6E4CBE"/>
    <w:rsid w:val="3A734C3F"/>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76456"/>
    <w:rsid w:val="3B5A5BE4"/>
    <w:rsid w:val="3B676B03"/>
    <w:rsid w:val="3B705648"/>
    <w:rsid w:val="3B853139"/>
    <w:rsid w:val="3B8B3101"/>
    <w:rsid w:val="3B99017C"/>
    <w:rsid w:val="3B9D0916"/>
    <w:rsid w:val="3B9E48BA"/>
    <w:rsid w:val="3BB05953"/>
    <w:rsid w:val="3BC34FD9"/>
    <w:rsid w:val="3BC56483"/>
    <w:rsid w:val="3BCB62E9"/>
    <w:rsid w:val="3BCF25C4"/>
    <w:rsid w:val="3BDB41B0"/>
    <w:rsid w:val="3BE12916"/>
    <w:rsid w:val="3BEC5070"/>
    <w:rsid w:val="3BF61A45"/>
    <w:rsid w:val="3BFC0ABB"/>
    <w:rsid w:val="3BFE1F4A"/>
    <w:rsid w:val="3C207D13"/>
    <w:rsid w:val="3C3B203F"/>
    <w:rsid w:val="3C3C316B"/>
    <w:rsid w:val="3C514A37"/>
    <w:rsid w:val="3C5C3D07"/>
    <w:rsid w:val="3C5E7F90"/>
    <w:rsid w:val="3C756E3E"/>
    <w:rsid w:val="3C7C153C"/>
    <w:rsid w:val="3C802B2B"/>
    <w:rsid w:val="3C8214A5"/>
    <w:rsid w:val="3C836BC3"/>
    <w:rsid w:val="3CA06481"/>
    <w:rsid w:val="3CA52204"/>
    <w:rsid w:val="3CAE6D48"/>
    <w:rsid w:val="3CE547C2"/>
    <w:rsid w:val="3CF9519B"/>
    <w:rsid w:val="3D0A7808"/>
    <w:rsid w:val="3D0E3359"/>
    <w:rsid w:val="3D1B69F5"/>
    <w:rsid w:val="3D265052"/>
    <w:rsid w:val="3D3B6738"/>
    <w:rsid w:val="3D42011F"/>
    <w:rsid w:val="3D6E3256"/>
    <w:rsid w:val="3D80309E"/>
    <w:rsid w:val="3D9C3270"/>
    <w:rsid w:val="3DCC4131"/>
    <w:rsid w:val="3DD07E50"/>
    <w:rsid w:val="3E0878BC"/>
    <w:rsid w:val="3E0C4F21"/>
    <w:rsid w:val="3E122E4D"/>
    <w:rsid w:val="3E136A36"/>
    <w:rsid w:val="3E160C8A"/>
    <w:rsid w:val="3E2312D7"/>
    <w:rsid w:val="3E387F22"/>
    <w:rsid w:val="3E40319B"/>
    <w:rsid w:val="3E570181"/>
    <w:rsid w:val="3E812F4E"/>
    <w:rsid w:val="3E836939"/>
    <w:rsid w:val="3E8454A0"/>
    <w:rsid w:val="3E9A677D"/>
    <w:rsid w:val="3EC0465A"/>
    <w:rsid w:val="3EC771AC"/>
    <w:rsid w:val="3ECB2DBD"/>
    <w:rsid w:val="3ECD05CA"/>
    <w:rsid w:val="3EDC3C7D"/>
    <w:rsid w:val="3EE4627D"/>
    <w:rsid w:val="3EFD11FA"/>
    <w:rsid w:val="3F0C53C6"/>
    <w:rsid w:val="3F1E6A7C"/>
    <w:rsid w:val="3F2102B1"/>
    <w:rsid w:val="3F210EC9"/>
    <w:rsid w:val="3F27793E"/>
    <w:rsid w:val="3F2B7A13"/>
    <w:rsid w:val="3F335F63"/>
    <w:rsid w:val="3F483382"/>
    <w:rsid w:val="3F571E72"/>
    <w:rsid w:val="3F596CF5"/>
    <w:rsid w:val="3F650911"/>
    <w:rsid w:val="3FA60E7C"/>
    <w:rsid w:val="3FC43688"/>
    <w:rsid w:val="3FC5258F"/>
    <w:rsid w:val="3FCE1901"/>
    <w:rsid w:val="3FF33B69"/>
    <w:rsid w:val="3FFC3900"/>
    <w:rsid w:val="4009429C"/>
    <w:rsid w:val="402970A9"/>
    <w:rsid w:val="404F6E14"/>
    <w:rsid w:val="405B2791"/>
    <w:rsid w:val="40606C2F"/>
    <w:rsid w:val="407B1A4D"/>
    <w:rsid w:val="408049E1"/>
    <w:rsid w:val="408137B6"/>
    <w:rsid w:val="408A2B7E"/>
    <w:rsid w:val="409D3C6E"/>
    <w:rsid w:val="40A64900"/>
    <w:rsid w:val="40AB1595"/>
    <w:rsid w:val="40AF007F"/>
    <w:rsid w:val="40BF627F"/>
    <w:rsid w:val="40C81049"/>
    <w:rsid w:val="40CE0ED0"/>
    <w:rsid w:val="40E10A8C"/>
    <w:rsid w:val="410D6A4B"/>
    <w:rsid w:val="410F6A02"/>
    <w:rsid w:val="411141F8"/>
    <w:rsid w:val="41291E14"/>
    <w:rsid w:val="414413B8"/>
    <w:rsid w:val="41465FC8"/>
    <w:rsid w:val="414A7CB0"/>
    <w:rsid w:val="4156445A"/>
    <w:rsid w:val="416A10A3"/>
    <w:rsid w:val="417A5FF0"/>
    <w:rsid w:val="41826AE7"/>
    <w:rsid w:val="418402D9"/>
    <w:rsid w:val="418F7DB9"/>
    <w:rsid w:val="419B175C"/>
    <w:rsid w:val="41B67136"/>
    <w:rsid w:val="41D72072"/>
    <w:rsid w:val="41F528B8"/>
    <w:rsid w:val="41FA48BA"/>
    <w:rsid w:val="421D53C4"/>
    <w:rsid w:val="4228529E"/>
    <w:rsid w:val="422D25F9"/>
    <w:rsid w:val="42307F0D"/>
    <w:rsid w:val="423546AB"/>
    <w:rsid w:val="424D7A5D"/>
    <w:rsid w:val="42516D59"/>
    <w:rsid w:val="42625183"/>
    <w:rsid w:val="426B045B"/>
    <w:rsid w:val="42760EAB"/>
    <w:rsid w:val="42807E2C"/>
    <w:rsid w:val="42874D2A"/>
    <w:rsid w:val="428A21A6"/>
    <w:rsid w:val="428B390F"/>
    <w:rsid w:val="42966D5D"/>
    <w:rsid w:val="429D0D37"/>
    <w:rsid w:val="42AB1075"/>
    <w:rsid w:val="42B03B3D"/>
    <w:rsid w:val="42B23D5F"/>
    <w:rsid w:val="42D17CD5"/>
    <w:rsid w:val="42DB2D12"/>
    <w:rsid w:val="42DD389C"/>
    <w:rsid w:val="42DE2AAC"/>
    <w:rsid w:val="42F94AE0"/>
    <w:rsid w:val="43086A11"/>
    <w:rsid w:val="43087C4A"/>
    <w:rsid w:val="431471CA"/>
    <w:rsid w:val="432C0C29"/>
    <w:rsid w:val="433520F6"/>
    <w:rsid w:val="433C731A"/>
    <w:rsid w:val="43664B49"/>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37092"/>
    <w:rsid w:val="4436153A"/>
    <w:rsid w:val="44363141"/>
    <w:rsid w:val="443F4C85"/>
    <w:rsid w:val="44515DC7"/>
    <w:rsid w:val="4454229E"/>
    <w:rsid w:val="445E05A4"/>
    <w:rsid w:val="44626645"/>
    <w:rsid w:val="44690EA9"/>
    <w:rsid w:val="449648D0"/>
    <w:rsid w:val="44986654"/>
    <w:rsid w:val="449B7DBF"/>
    <w:rsid w:val="44DC29EB"/>
    <w:rsid w:val="44DD1A31"/>
    <w:rsid w:val="44F73CE5"/>
    <w:rsid w:val="44F84650"/>
    <w:rsid w:val="44FD4940"/>
    <w:rsid w:val="452615A5"/>
    <w:rsid w:val="452911C3"/>
    <w:rsid w:val="453110FA"/>
    <w:rsid w:val="45380EAE"/>
    <w:rsid w:val="454C6201"/>
    <w:rsid w:val="454E0A80"/>
    <w:rsid w:val="45607318"/>
    <w:rsid w:val="456848E6"/>
    <w:rsid w:val="456B0E9A"/>
    <w:rsid w:val="457A56BB"/>
    <w:rsid w:val="457F0835"/>
    <w:rsid w:val="45901F42"/>
    <w:rsid w:val="45BD1FBC"/>
    <w:rsid w:val="45CD3F04"/>
    <w:rsid w:val="45D40490"/>
    <w:rsid w:val="45D4449A"/>
    <w:rsid w:val="45D75901"/>
    <w:rsid w:val="45DC4C85"/>
    <w:rsid w:val="45DD1704"/>
    <w:rsid w:val="45DE6F05"/>
    <w:rsid w:val="45ED2C31"/>
    <w:rsid w:val="45F11042"/>
    <w:rsid w:val="460652C7"/>
    <w:rsid w:val="46091005"/>
    <w:rsid w:val="46383D12"/>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4156B1"/>
    <w:rsid w:val="47470C00"/>
    <w:rsid w:val="47617BC5"/>
    <w:rsid w:val="47726B9D"/>
    <w:rsid w:val="47754A35"/>
    <w:rsid w:val="477570E2"/>
    <w:rsid w:val="477804F9"/>
    <w:rsid w:val="47A54B82"/>
    <w:rsid w:val="47B34FC5"/>
    <w:rsid w:val="47B55A11"/>
    <w:rsid w:val="47C1116A"/>
    <w:rsid w:val="47DB0AEF"/>
    <w:rsid w:val="47ED3E2A"/>
    <w:rsid w:val="482468EA"/>
    <w:rsid w:val="48256827"/>
    <w:rsid w:val="48426317"/>
    <w:rsid w:val="48427ACE"/>
    <w:rsid w:val="4848607E"/>
    <w:rsid w:val="48504E40"/>
    <w:rsid w:val="486D3064"/>
    <w:rsid w:val="486E2084"/>
    <w:rsid w:val="489D1D0E"/>
    <w:rsid w:val="48A10C08"/>
    <w:rsid w:val="48AE76E2"/>
    <w:rsid w:val="48B7515A"/>
    <w:rsid w:val="48BB4EC6"/>
    <w:rsid w:val="48C267D2"/>
    <w:rsid w:val="48CD6A98"/>
    <w:rsid w:val="48DB2CE5"/>
    <w:rsid w:val="48DD1AEA"/>
    <w:rsid w:val="48ED73F7"/>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E2BCA"/>
    <w:rsid w:val="4ABD4214"/>
    <w:rsid w:val="4AFA208B"/>
    <w:rsid w:val="4B0A3310"/>
    <w:rsid w:val="4B20492F"/>
    <w:rsid w:val="4B3576CB"/>
    <w:rsid w:val="4B3D1E78"/>
    <w:rsid w:val="4B444FB2"/>
    <w:rsid w:val="4B595064"/>
    <w:rsid w:val="4B672180"/>
    <w:rsid w:val="4B6E1D26"/>
    <w:rsid w:val="4B807E8F"/>
    <w:rsid w:val="4B920889"/>
    <w:rsid w:val="4B996870"/>
    <w:rsid w:val="4BA46E08"/>
    <w:rsid w:val="4BC73B78"/>
    <w:rsid w:val="4BC77460"/>
    <w:rsid w:val="4BCF201E"/>
    <w:rsid w:val="4C0D46FC"/>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BD1C7E"/>
    <w:rsid w:val="4CD5793B"/>
    <w:rsid w:val="4CD80E01"/>
    <w:rsid w:val="4CDE02B9"/>
    <w:rsid w:val="4CFB5C1C"/>
    <w:rsid w:val="4D0F78F1"/>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9B5FEF"/>
    <w:rsid w:val="4ECE0CD5"/>
    <w:rsid w:val="4ED22A57"/>
    <w:rsid w:val="4ED92E23"/>
    <w:rsid w:val="4EE964BF"/>
    <w:rsid w:val="4F0B12EB"/>
    <w:rsid w:val="4F306048"/>
    <w:rsid w:val="4F313C6F"/>
    <w:rsid w:val="4F416BC0"/>
    <w:rsid w:val="4F6A2B78"/>
    <w:rsid w:val="4F762AE3"/>
    <w:rsid w:val="4F8C33D2"/>
    <w:rsid w:val="4F9F3258"/>
    <w:rsid w:val="4F9F3566"/>
    <w:rsid w:val="4FAF0352"/>
    <w:rsid w:val="4FB3614F"/>
    <w:rsid w:val="4FB82BD0"/>
    <w:rsid w:val="4FBC4B75"/>
    <w:rsid w:val="4FFA0AF3"/>
    <w:rsid w:val="502B58CD"/>
    <w:rsid w:val="503324EC"/>
    <w:rsid w:val="503E4E84"/>
    <w:rsid w:val="50432740"/>
    <w:rsid w:val="504D48EB"/>
    <w:rsid w:val="506177CB"/>
    <w:rsid w:val="506D1CE6"/>
    <w:rsid w:val="50756606"/>
    <w:rsid w:val="507C3FF5"/>
    <w:rsid w:val="50950193"/>
    <w:rsid w:val="50B535BC"/>
    <w:rsid w:val="50B82E88"/>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E2361"/>
    <w:rsid w:val="52985353"/>
    <w:rsid w:val="529F24A2"/>
    <w:rsid w:val="52AA7CFA"/>
    <w:rsid w:val="52B171E6"/>
    <w:rsid w:val="52DB122A"/>
    <w:rsid w:val="52E13D67"/>
    <w:rsid w:val="52E27A56"/>
    <w:rsid w:val="52E80195"/>
    <w:rsid w:val="52E82C9B"/>
    <w:rsid w:val="52E846A6"/>
    <w:rsid w:val="52F64BDB"/>
    <w:rsid w:val="531D3476"/>
    <w:rsid w:val="532129F8"/>
    <w:rsid w:val="533233B6"/>
    <w:rsid w:val="5333575C"/>
    <w:rsid w:val="53431BBB"/>
    <w:rsid w:val="5345258D"/>
    <w:rsid w:val="534E32E5"/>
    <w:rsid w:val="53501C8A"/>
    <w:rsid w:val="537C2D95"/>
    <w:rsid w:val="53921F79"/>
    <w:rsid w:val="53942A5B"/>
    <w:rsid w:val="539A0A2E"/>
    <w:rsid w:val="539B0D65"/>
    <w:rsid w:val="539C7BB1"/>
    <w:rsid w:val="53A254EF"/>
    <w:rsid w:val="53B74C02"/>
    <w:rsid w:val="53C63F53"/>
    <w:rsid w:val="53CA60F3"/>
    <w:rsid w:val="53E37A46"/>
    <w:rsid w:val="53E60B87"/>
    <w:rsid w:val="53E813CD"/>
    <w:rsid w:val="54147818"/>
    <w:rsid w:val="54284D48"/>
    <w:rsid w:val="542C0D25"/>
    <w:rsid w:val="543036B4"/>
    <w:rsid w:val="54507C6E"/>
    <w:rsid w:val="54523FAB"/>
    <w:rsid w:val="54606D4B"/>
    <w:rsid w:val="546F563B"/>
    <w:rsid w:val="54737B83"/>
    <w:rsid w:val="54767A69"/>
    <w:rsid w:val="54771DDB"/>
    <w:rsid w:val="54800851"/>
    <w:rsid w:val="548D1DAF"/>
    <w:rsid w:val="549239F0"/>
    <w:rsid w:val="549E6667"/>
    <w:rsid w:val="54B83081"/>
    <w:rsid w:val="54C811C0"/>
    <w:rsid w:val="54CD7213"/>
    <w:rsid w:val="54D27679"/>
    <w:rsid w:val="54FA20B3"/>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66200"/>
    <w:rsid w:val="55FA5978"/>
    <w:rsid w:val="560471D1"/>
    <w:rsid w:val="5620288D"/>
    <w:rsid w:val="56262D0A"/>
    <w:rsid w:val="562F094C"/>
    <w:rsid w:val="56303DF0"/>
    <w:rsid w:val="563C241F"/>
    <w:rsid w:val="5645459C"/>
    <w:rsid w:val="564845D6"/>
    <w:rsid w:val="56497A16"/>
    <w:rsid w:val="564B1CD3"/>
    <w:rsid w:val="56523972"/>
    <w:rsid w:val="56526786"/>
    <w:rsid w:val="568D4159"/>
    <w:rsid w:val="569017FC"/>
    <w:rsid w:val="56AA326E"/>
    <w:rsid w:val="56B557FE"/>
    <w:rsid w:val="56B86A4A"/>
    <w:rsid w:val="56C90586"/>
    <w:rsid w:val="56D20E62"/>
    <w:rsid w:val="56E53FAA"/>
    <w:rsid w:val="56F15FB4"/>
    <w:rsid w:val="57032FAA"/>
    <w:rsid w:val="57083A80"/>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A59C7"/>
    <w:rsid w:val="580C02FC"/>
    <w:rsid w:val="58277B25"/>
    <w:rsid w:val="5830410B"/>
    <w:rsid w:val="58310F67"/>
    <w:rsid w:val="583A1FAC"/>
    <w:rsid w:val="583E68FD"/>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402032"/>
    <w:rsid w:val="59464947"/>
    <w:rsid w:val="594A6B94"/>
    <w:rsid w:val="594D270F"/>
    <w:rsid w:val="595405FB"/>
    <w:rsid w:val="59797E10"/>
    <w:rsid w:val="598007BD"/>
    <w:rsid w:val="59821BF3"/>
    <w:rsid w:val="59831117"/>
    <w:rsid w:val="599D1711"/>
    <w:rsid w:val="59A32903"/>
    <w:rsid w:val="59B25B64"/>
    <w:rsid w:val="59B65B0A"/>
    <w:rsid w:val="59DD38F5"/>
    <w:rsid w:val="59E72771"/>
    <w:rsid w:val="59EF4473"/>
    <w:rsid w:val="59FB19D7"/>
    <w:rsid w:val="59FC1DF4"/>
    <w:rsid w:val="5A0170D0"/>
    <w:rsid w:val="5A207B2C"/>
    <w:rsid w:val="5A2D57D7"/>
    <w:rsid w:val="5A3C0B29"/>
    <w:rsid w:val="5A4D5D2C"/>
    <w:rsid w:val="5A556EDF"/>
    <w:rsid w:val="5A5D1EE9"/>
    <w:rsid w:val="5A646519"/>
    <w:rsid w:val="5A6E4321"/>
    <w:rsid w:val="5A6F07AD"/>
    <w:rsid w:val="5A743B23"/>
    <w:rsid w:val="5A786D03"/>
    <w:rsid w:val="5A8810C1"/>
    <w:rsid w:val="5A953CA8"/>
    <w:rsid w:val="5AA20354"/>
    <w:rsid w:val="5AA4013C"/>
    <w:rsid w:val="5AAA217B"/>
    <w:rsid w:val="5ADD173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84A5F"/>
    <w:rsid w:val="5C6C2D78"/>
    <w:rsid w:val="5C7C22C9"/>
    <w:rsid w:val="5C7E45B0"/>
    <w:rsid w:val="5CCB049C"/>
    <w:rsid w:val="5CD246B1"/>
    <w:rsid w:val="5D104C52"/>
    <w:rsid w:val="5D1610E5"/>
    <w:rsid w:val="5D1F134D"/>
    <w:rsid w:val="5D225E96"/>
    <w:rsid w:val="5D5479DF"/>
    <w:rsid w:val="5D8B235F"/>
    <w:rsid w:val="5D935CC9"/>
    <w:rsid w:val="5D9929C5"/>
    <w:rsid w:val="5DA1690A"/>
    <w:rsid w:val="5DA344BD"/>
    <w:rsid w:val="5DAB1604"/>
    <w:rsid w:val="5DAC7F7B"/>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1B299E"/>
    <w:rsid w:val="5F232B8A"/>
    <w:rsid w:val="5F285753"/>
    <w:rsid w:val="5F3B01E3"/>
    <w:rsid w:val="5F3D041A"/>
    <w:rsid w:val="5F416DD5"/>
    <w:rsid w:val="5F454D59"/>
    <w:rsid w:val="5F4F0951"/>
    <w:rsid w:val="5F660454"/>
    <w:rsid w:val="5F89663A"/>
    <w:rsid w:val="5FA25FD2"/>
    <w:rsid w:val="5FAF21EE"/>
    <w:rsid w:val="5FAF3AE3"/>
    <w:rsid w:val="5FD84CCD"/>
    <w:rsid w:val="5FD95DF5"/>
    <w:rsid w:val="5FE17C6A"/>
    <w:rsid w:val="60153E06"/>
    <w:rsid w:val="601B7860"/>
    <w:rsid w:val="603A6C4E"/>
    <w:rsid w:val="607F4815"/>
    <w:rsid w:val="60C66FF8"/>
    <w:rsid w:val="60C715F3"/>
    <w:rsid w:val="60C831F4"/>
    <w:rsid w:val="60CA46DE"/>
    <w:rsid w:val="60DA1FB7"/>
    <w:rsid w:val="60DB227B"/>
    <w:rsid w:val="60E2185B"/>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D23AE4"/>
    <w:rsid w:val="61D74436"/>
    <w:rsid w:val="61DF72E6"/>
    <w:rsid w:val="61FC40A6"/>
    <w:rsid w:val="620A7850"/>
    <w:rsid w:val="621D6280"/>
    <w:rsid w:val="62232E5A"/>
    <w:rsid w:val="62845FB8"/>
    <w:rsid w:val="62925A24"/>
    <w:rsid w:val="62947959"/>
    <w:rsid w:val="629F4600"/>
    <w:rsid w:val="62B27BC4"/>
    <w:rsid w:val="62B3264F"/>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F840D4"/>
    <w:rsid w:val="641D14C4"/>
    <w:rsid w:val="642719FF"/>
    <w:rsid w:val="644B3147"/>
    <w:rsid w:val="6465549E"/>
    <w:rsid w:val="646C3009"/>
    <w:rsid w:val="64735320"/>
    <w:rsid w:val="64B30238"/>
    <w:rsid w:val="64D01B87"/>
    <w:rsid w:val="64D178B9"/>
    <w:rsid w:val="64D77A7E"/>
    <w:rsid w:val="64E73DF1"/>
    <w:rsid w:val="64F0414B"/>
    <w:rsid w:val="64FD3107"/>
    <w:rsid w:val="64FF1C3C"/>
    <w:rsid w:val="65012D42"/>
    <w:rsid w:val="650A75D2"/>
    <w:rsid w:val="65143021"/>
    <w:rsid w:val="652A63DB"/>
    <w:rsid w:val="652F58D3"/>
    <w:rsid w:val="653E1ABB"/>
    <w:rsid w:val="655B7102"/>
    <w:rsid w:val="656575F4"/>
    <w:rsid w:val="656738B8"/>
    <w:rsid w:val="657021F5"/>
    <w:rsid w:val="65713C4C"/>
    <w:rsid w:val="65722B1B"/>
    <w:rsid w:val="65B826BD"/>
    <w:rsid w:val="65C26555"/>
    <w:rsid w:val="65DC7921"/>
    <w:rsid w:val="65E317A8"/>
    <w:rsid w:val="65ED6C11"/>
    <w:rsid w:val="65FC7C13"/>
    <w:rsid w:val="6613537E"/>
    <w:rsid w:val="66152556"/>
    <w:rsid w:val="66300342"/>
    <w:rsid w:val="66334C1F"/>
    <w:rsid w:val="663A3856"/>
    <w:rsid w:val="663B51C1"/>
    <w:rsid w:val="665A29E1"/>
    <w:rsid w:val="666329BA"/>
    <w:rsid w:val="66680388"/>
    <w:rsid w:val="667416AB"/>
    <w:rsid w:val="667C4915"/>
    <w:rsid w:val="668019A3"/>
    <w:rsid w:val="66A546B3"/>
    <w:rsid w:val="66A912E3"/>
    <w:rsid w:val="66AB6843"/>
    <w:rsid w:val="66B42F90"/>
    <w:rsid w:val="66FC5136"/>
    <w:rsid w:val="66FD4E0B"/>
    <w:rsid w:val="670901AC"/>
    <w:rsid w:val="672A302E"/>
    <w:rsid w:val="67491773"/>
    <w:rsid w:val="675121D1"/>
    <w:rsid w:val="6767500B"/>
    <w:rsid w:val="676F41FA"/>
    <w:rsid w:val="67793F09"/>
    <w:rsid w:val="67841E7B"/>
    <w:rsid w:val="67945E5C"/>
    <w:rsid w:val="67C63136"/>
    <w:rsid w:val="67D172DA"/>
    <w:rsid w:val="67F22E4A"/>
    <w:rsid w:val="67F24D27"/>
    <w:rsid w:val="67F42206"/>
    <w:rsid w:val="683D0B85"/>
    <w:rsid w:val="6859024B"/>
    <w:rsid w:val="68636054"/>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94351D"/>
    <w:rsid w:val="699B55F7"/>
    <w:rsid w:val="69CA04A8"/>
    <w:rsid w:val="69D9013F"/>
    <w:rsid w:val="69F741A2"/>
    <w:rsid w:val="69FE6E97"/>
    <w:rsid w:val="6A185E40"/>
    <w:rsid w:val="6A1C73EF"/>
    <w:rsid w:val="6A1D5127"/>
    <w:rsid w:val="6A3949FB"/>
    <w:rsid w:val="6A3A6264"/>
    <w:rsid w:val="6A457C16"/>
    <w:rsid w:val="6A550048"/>
    <w:rsid w:val="6A6857B4"/>
    <w:rsid w:val="6A6B5D71"/>
    <w:rsid w:val="6A8E0CFE"/>
    <w:rsid w:val="6AA81A91"/>
    <w:rsid w:val="6AAB53B4"/>
    <w:rsid w:val="6AC41808"/>
    <w:rsid w:val="6AE0238F"/>
    <w:rsid w:val="6AF46091"/>
    <w:rsid w:val="6B195886"/>
    <w:rsid w:val="6B447524"/>
    <w:rsid w:val="6B854DB8"/>
    <w:rsid w:val="6BA05817"/>
    <w:rsid w:val="6BEE1234"/>
    <w:rsid w:val="6C0C10C6"/>
    <w:rsid w:val="6C1A02D9"/>
    <w:rsid w:val="6C1F4FB5"/>
    <w:rsid w:val="6C385E5A"/>
    <w:rsid w:val="6C4E481F"/>
    <w:rsid w:val="6C5C7602"/>
    <w:rsid w:val="6C5E67E5"/>
    <w:rsid w:val="6C867BD8"/>
    <w:rsid w:val="6C897CC8"/>
    <w:rsid w:val="6C8D7504"/>
    <w:rsid w:val="6C8E7FF3"/>
    <w:rsid w:val="6C937EAD"/>
    <w:rsid w:val="6CA32D3B"/>
    <w:rsid w:val="6CB055BD"/>
    <w:rsid w:val="6CB56456"/>
    <w:rsid w:val="6CB95002"/>
    <w:rsid w:val="6CCC3A0B"/>
    <w:rsid w:val="6CCF41D4"/>
    <w:rsid w:val="6CE5509D"/>
    <w:rsid w:val="6CEA61B3"/>
    <w:rsid w:val="6D1022EC"/>
    <w:rsid w:val="6D113871"/>
    <w:rsid w:val="6D1B703E"/>
    <w:rsid w:val="6D2546CA"/>
    <w:rsid w:val="6D2C4E96"/>
    <w:rsid w:val="6D2F429A"/>
    <w:rsid w:val="6D445346"/>
    <w:rsid w:val="6D4C40EA"/>
    <w:rsid w:val="6D535020"/>
    <w:rsid w:val="6D6479C3"/>
    <w:rsid w:val="6D857BC4"/>
    <w:rsid w:val="6D954F12"/>
    <w:rsid w:val="6DAC0736"/>
    <w:rsid w:val="6DB93DFC"/>
    <w:rsid w:val="6DCD71EF"/>
    <w:rsid w:val="6DCF0384"/>
    <w:rsid w:val="6DD4077E"/>
    <w:rsid w:val="6DD742F7"/>
    <w:rsid w:val="6DDA142E"/>
    <w:rsid w:val="6DE27BA2"/>
    <w:rsid w:val="6DF712F5"/>
    <w:rsid w:val="6E47267B"/>
    <w:rsid w:val="6E540736"/>
    <w:rsid w:val="6E601F9E"/>
    <w:rsid w:val="6E6925E9"/>
    <w:rsid w:val="6E916B4D"/>
    <w:rsid w:val="6EBD2E31"/>
    <w:rsid w:val="6EC707CC"/>
    <w:rsid w:val="6EE710C0"/>
    <w:rsid w:val="6EED4691"/>
    <w:rsid w:val="6F037511"/>
    <w:rsid w:val="6F087CC4"/>
    <w:rsid w:val="6F1268A1"/>
    <w:rsid w:val="6F151728"/>
    <w:rsid w:val="6F3D79B6"/>
    <w:rsid w:val="6F664487"/>
    <w:rsid w:val="6F6E474D"/>
    <w:rsid w:val="6F6F3E14"/>
    <w:rsid w:val="6F830F20"/>
    <w:rsid w:val="6F8664ED"/>
    <w:rsid w:val="6FC337BC"/>
    <w:rsid w:val="6FC47F24"/>
    <w:rsid w:val="6FC667B7"/>
    <w:rsid w:val="6FD04AE8"/>
    <w:rsid w:val="6FD33091"/>
    <w:rsid w:val="6FDC162A"/>
    <w:rsid w:val="6FDC44E0"/>
    <w:rsid w:val="6FDD6525"/>
    <w:rsid w:val="6FE30F1E"/>
    <w:rsid w:val="6FF9505C"/>
    <w:rsid w:val="703A3132"/>
    <w:rsid w:val="703A3AFA"/>
    <w:rsid w:val="703A4681"/>
    <w:rsid w:val="703F2826"/>
    <w:rsid w:val="70457B12"/>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300F4"/>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9B5B36"/>
    <w:rsid w:val="72B35287"/>
    <w:rsid w:val="72C30A05"/>
    <w:rsid w:val="72C31732"/>
    <w:rsid w:val="72E57670"/>
    <w:rsid w:val="72E849C4"/>
    <w:rsid w:val="72FF46E8"/>
    <w:rsid w:val="7318135E"/>
    <w:rsid w:val="732348BD"/>
    <w:rsid w:val="73470B82"/>
    <w:rsid w:val="73556C95"/>
    <w:rsid w:val="735D56FE"/>
    <w:rsid w:val="736639D2"/>
    <w:rsid w:val="736C5E03"/>
    <w:rsid w:val="73A6170B"/>
    <w:rsid w:val="73D42779"/>
    <w:rsid w:val="73DD51A0"/>
    <w:rsid w:val="73E32F46"/>
    <w:rsid w:val="73E5115F"/>
    <w:rsid w:val="73F05C68"/>
    <w:rsid w:val="73FB6E93"/>
    <w:rsid w:val="73FF497F"/>
    <w:rsid w:val="7410293E"/>
    <w:rsid w:val="74176E58"/>
    <w:rsid w:val="74267DF1"/>
    <w:rsid w:val="742817A0"/>
    <w:rsid w:val="74355268"/>
    <w:rsid w:val="744D7375"/>
    <w:rsid w:val="745A3FA1"/>
    <w:rsid w:val="745A54CE"/>
    <w:rsid w:val="747353EF"/>
    <w:rsid w:val="747B608F"/>
    <w:rsid w:val="74866F5F"/>
    <w:rsid w:val="74974E4F"/>
    <w:rsid w:val="749A6BDF"/>
    <w:rsid w:val="749B2AEE"/>
    <w:rsid w:val="74A521A7"/>
    <w:rsid w:val="74AF0D4A"/>
    <w:rsid w:val="74BE2458"/>
    <w:rsid w:val="74C10DD9"/>
    <w:rsid w:val="74C33E4E"/>
    <w:rsid w:val="74C45CA6"/>
    <w:rsid w:val="74D07EF1"/>
    <w:rsid w:val="74D359E3"/>
    <w:rsid w:val="74DB0660"/>
    <w:rsid w:val="74F75D5F"/>
    <w:rsid w:val="75080509"/>
    <w:rsid w:val="751520A8"/>
    <w:rsid w:val="7532425C"/>
    <w:rsid w:val="7543351B"/>
    <w:rsid w:val="755620AE"/>
    <w:rsid w:val="755E374E"/>
    <w:rsid w:val="756056DD"/>
    <w:rsid w:val="75844AE0"/>
    <w:rsid w:val="758516A6"/>
    <w:rsid w:val="759762C9"/>
    <w:rsid w:val="7598328E"/>
    <w:rsid w:val="75986D1A"/>
    <w:rsid w:val="759D618A"/>
    <w:rsid w:val="75A97067"/>
    <w:rsid w:val="75AE319A"/>
    <w:rsid w:val="75B11ED2"/>
    <w:rsid w:val="75B24EF7"/>
    <w:rsid w:val="75BF1E0A"/>
    <w:rsid w:val="75CC0C58"/>
    <w:rsid w:val="75DF7A1C"/>
    <w:rsid w:val="75F31826"/>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5E6259"/>
    <w:rsid w:val="77606B82"/>
    <w:rsid w:val="777D59E2"/>
    <w:rsid w:val="7784439D"/>
    <w:rsid w:val="7790268A"/>
    <w:rsid w:val="7796561D"/>
    <w:rsid w:val="77BF11BB"/>
    <w:rsid w:val="77C807D0"/>
    <w:rsid w:val="77D914A6"/>
    <w:rsid w:val="77F33EA5"/>
    <w:rsid w:val="77F57B49"/>
    <w:rsid w:val="77FC726A"/>
    <w:rsid w:val="78015423"/>
    <w:rsid w:val="7803361B"/>
    <w:rsid w:val="78065E21"/>
    <w:rsid w:val="78092026"/>
    <w:rsid w:val="7825083A"/>
    <w:rsid w:val="78337982"/>
    <w:rsid w:val="78443A4F"/>
    <w:rsid w:val="785B5E7F"/>
    <w:rsid w:val="786F030A"/>
    <w:rsid w:val="78974E9C"/>
    <w:rsid w:val="78AD3A04"/>
    <w:rsid w:val="78C2184C"/>
    <w:rsid w:val="79070BEF"/>
    <w:rsid w:val="79084E2A"/>
    <w:rsid w:val="790C6BE5"/>
    <w:rsid w:val="79304A13"/>
    <w:rsid w:val="79423DE2"/>
    <w:rsid w:val="795466FB"/>
    <w:rsid w:val="796171A5"/>
    <w:rsid w:val="797C46A7"/>
    <w:rsid w:val="797F058B"/>
    <w:rsid w:val="79983DBB"/>
    <w:rsid w:val="799E3886"/>
    <w:rsid w:val="79AB3CFB"/>
    <w:rsid w:val="79AC51A9"/>
    <w:rsid w:val="79AC5821"/>
    <w:rsid w:val="79B4774B"/>
    <w:rsid w:val="79B93659"/>
    <w:rsid w:val="79D66388"/>
    <w:rsid w:val="79ED09E8"/>
    <w:rsid w:val="79FA3CE1"/>
    <w:rsid w:val="7A200DCD"/>
    <w:rsid w:val="7A2A3475"/>
    <w:rsid w:val="7A51609D"/>
    <w:rsid w:val="7A7A449B"/>
    <w:rsid w:val="7A8A3D33"/>
    <w:rsid w:val="7A8D418E"/>
    <w:rsid w:val="7A94376E"/>
    <w:rsid w:val="7A9D1AF2"/>
    <w:rsid w:val="7AA049F7"/>
    <w:rsid w:val="7AAB1305"/>
    <w:rsid w:val="7AB33BBE"/>
    <w:rsid w:val="7AC5733B"/>
    <w:rsid w:val="7ACD5297"/>
    <w:rsid w:val="7AD73021"/>
    <w:rsid w:val="7AE658A6"/>
    <w:rsid w:val="7AF028DE"/>
    <w:rsid w:val="7AFD2567"/>
    <w:rsid w:val="7B330527"/>
    <w:rsid w:val="7B3D7962"/>
    <w:rsid w:val="7B3E5193"/>
    <w:rsid w:val="7B681689"/>
    <w:rsid w:val="7B76061B"/>
    <w:rsid w:val="7BAD023F"/>
    <w:rsid w:val="7BB65DD0"/>
    <w:rsid w:val="7BC1580A"/>
    <w:rsid w:val="7BDB07B3"/>
    <w:rsid w:val="7C0844BB"/>
    <w:rsid w:val="7C3519A7"/>
    <w:rsid w:val="7C467E54"/>
    <w:rsid w:val="7C504E5F"/>
    <w:rsid w:val="7C636D7B"/>
    <w:rsid w:val="7C66727A"/>
    <w:rsid w:val="7C6D6003"/>
    <w:rsid w:val="7C87012C"/>
    <w:rsid w:val="7C8A5BC2"/>
    <w:rsid w:val="7CC448B2"/>
    <w:rsid w:val="7CC959C7"/>
    <w:rsid w:val="7CEF347D"/>
    <w:rsid w:val="7CF6186E"/>
    <w:rsid w:val="7CFE2AF1"/>
    <w:rsid w:val="7D047736"/>
    <w:rsid w:val="7D0A382D"/>
    <w:rsid w:val="7D11179C"/>
    <w:rsid w:val="7D2F4329"/>
    <w:rsid w:val="7D3704C0"/>
    <w:rsid w:val="7D414A16"/>
    <w:rsid w:val="7D4E5163"/>
    <w:rsid w:val="7D512740"/>
    <w:rsid w:val="7D7E6ECE"/>
    <w:rsid w:val="7D9C4976"/>
    <w:rsid w:val="7DAF3DF1"/>
    <w:rsid w:val="7DC7520F"/>
    <w:rsid w:val="7DDA3896"/>
    <w:rsid w:val="7DE13763"/>
    <w:rsid w:val="7DEC7CA4"/>
    <w:rsid w:val="7DEE020F"/>
    <w:rsid w:val="7DF56D2F"/>
    <w:rsid w:val="7DFA2799"/>
    <w:rsid w:val="7E0B2A9C"/>
    <w:rsid w:val="7E0E6C77"/>
    <w:rsid w:val="7E1C414C"/>
    <w:rsid w:val="7E3048C1"/>
    <w:rsid w:val="7E515808"/>
    <w:rsid w:val="7E5704FB"/>
    <w:rsid w:val="7E5C3572"/>
    <w:rsid w:val="7E5E3D70"/>
    <w:rsid w:val="7E830CAF"/>
    <w:rsid w:val="7E8B0B81"/>
    <w:rsid w:val="7E8F2D75"/>
    <w:rsid w:val="7EA454A5"/>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5">
    <w:name w:val="Normal Indent"/>
    <w:basedOn w:val="1"/>
    <w:qFormat/>
    <w:uiPriority w:val="0"/>
    <w:pPr>
      <w:ind w:firstLine="420"/>
    </w:pPr>
    <w:rPr>
      <w:rFonts w:ascii="Times New Roman" w:hAnsi="Times New Roman"/>
      <w:sz w:val="21"/>
    </w:rPr>
  </w:style>
  <w:style w:type="paragraph" w:styleId="9">
    <w:name w:val="Note Heading"/>
    <w:basedOn w:val="1"/>
    <w:next w:val="1"/>
    <w:qFormat/>
    <w:uiPriority w:val="0"/>
    <w:pPr>
      <w:jc w:val="center"/>
    </w:pPr>
  </w:style>
  <w:style w:type="paragraph" w:styleId="10">
    <w:name w:val="annotation text"/>
    <w:basedOn w:val="1"/>
    <w:qFormat/>
    <w:uiPriority w:val="0"/>
    <w:pPr>
      <w:jc w:val="left"/>
    </w:p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unhideWhenUsed/>
    <w:qFormat/>
    <w:uiPriority w:val="99"/>
    <w:pPr>
      <w:ind w:firstLine="420" w:firstLineChars="100"/>
    </w:pPr>
  </w:style>
  <w:style w:type="paragraph" w:styleId="22">
    <w:name w:val="Body Text First Indent 2"/>
    <w:basedOn w:val="11"/>
    <w:qFormat/>
    <w:uiPriority w:val="0"/>
    <w:pPr>
      <w:tabs>
        <w:tab w:val="left" w:pos="4900"/>
      </w:tabs>
      <w:ind w:firstLine="420" w:firstLineChars="200"/>
    </w:p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正文缩进1"/>
    <w:basedOn w:val="1"/>
    <w:qFormat/>
    <w:uiPriority w:val="0"/>
    <w:pPr>
      <w:ind w:firstLine="420" w:firstLineChars="200"/>
    </w:pPr>
  </w:style>
  <w:style w:type="paragraph" w:customStyle="1" w:styleId="36">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7">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8">
    <w:name w:val="p15"/>
    <w:basedOn w:val="1"/>
    <w:qFormat/>
    <w:uiPriority w:val="99"/>
    <w:pPr>
      <w:widowControl/>
    </w:pPr>
    <w:rPr>
      <w:kern w:val="0"/>
      <w:sz w:val="21"/>
      <w:szCs w:val="21"/>
    </w:rPr>
  </w:style>
  <w:style w:type="paragraph" w:customStyle="1" w:styleId="39">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0">
    <w:name w:val="old"/>
    <w:basedOn w:val="25"/>
    <w:qFormat/>
    <w:uiPriority w:val="0"/>
    <w:rPr>
      <w:color w:val="999999"/>
    </w:rPr>
  </w:style>
  <w:style w:type="character" w:customStyle="1" w:styleId="41">
    <w:name w:val="hover3"/>
    <w:basedOn w:val="25"/>
    <w:qFormat/>
    <w:uiPriority w:val="0"/>
    <w:rPr>
      <w:shd w:val="clear" w:color="auto" w:fill="EEEEEE"/>
    </w:rPr>
  </w:style>
  <w:style w:type="character" w:customStyle="1" w:styleId="42">
    <w:name w:val="glyphicon4"/>
    <w:basedOn w:val="25"/>
    <w:qFormat/>
    <w:uiPriority w:val="0"/>
  </w:style>
  <w:style w:type="character" w:customStyle="1" w:styleId="43">
    <w:name w:val="hour_am"/>
    <w:basedOn w:val="25"/>
    <w:qFormat/>
    <w:uiPriority w:val="0"/>
  </w:style>
  <w:style w:type="character" w:customStyle="1" w:styleId="44">
    <w:name w:val="hour_pm"/>
    <w:basedOn w:val="25"/>
    <w:qFormat/>
    <w:uiPriority w:val="0"/>
  </w:style>
  <w:style w:type="character" w:customStyle="1" w:styleId="45">
    <w:name w:val="button"/>
    <w:basedOn w:val="25"/>
    <w:qFormat/>
    <w:uiPriority w:val="0"/>
  </w:style>
  <w:style w:type="character" w:customStyle="1" w:styleId="46">
    <w:name w:val="tmpztreemove_arrow"/>
    <w:basedOn w:val="25"/>
    <w:qFormat/>
    <w:uiPriority w:val="0"/>
    <w:rPr>
      <w:shd w:val="clear" w:color="auto" w:fill="FFFFFF"/>
    </w:rPr>
  </w:style>
  <w:style w:type="character" w:customStyle="1" w:styleId="47">
    <w:name w:val="indent"/>
    <w:basedOn w:val="25"/>
    <w:qFormat/>
    <w:uiPriority w:val="0"/>
  </w:style>
  <w:style w:type="paragraph" w:customStyle="1" w:styleId="48">
    <w:name w:val="title1"/>
    <w:basedOn w:val="1"/>
    <w:qFormat/>
    <w:uiPriority w:val="0"/>
    <w:pPr>
      <w:spacing w:before="150" w:line="450" w:lineRule="atLeast"/>
      <w:jc w:val="left"/>
    </w:pPr>
    <w:rPr>
      <w:rFonts w:cs="Times New Roman"/>
      <w:b/>
      <w:kern w:val="0"/>
      <w:szCs w:val="24"/>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List Paragraph"/>
    <w:basedOn w:val="1"/>
    <w:qFormat/>
    <w:uiPriority w:val="34"/>
    <w:pPr>
      <w:ind w:firstLine="420" w:firstLineChars="200"/>
    </w:pPr>
  </w:style>
  <w:style w:type="paragraph" w:customStyle="1" w:styleId="51">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2">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3">
    <w:name w:val="NormalCharacter"/>
    <w:qFormat/>
    <w:uiPriority w:val="0"/>
  </w:style>
  <w:style w:type="paragraph" w:customStyle="1" w:styleId="54">
    <w:name w:val="列出段落1"/>
    <w:basedOn w:val="1"/>
    <w:qFormat/>
    <w:uiPriority w:val="0"/>
    <w:pPr>
      <w:ind w:firstLine="420" w:firstLineChars="200"/>
    </w:pPr>
    <w:rPr>
      <w:rFonts w:ascii="Calibri" w:hAnsi="Calibri" w:cs="黑体"/>
      <w:szCs w:val="22"/>
    </w:rPr>
  </w:style>
  <w:style w:type="paragraph" w:customStyle="1" w:styleId="55">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7">
    <w:name w:val="彩色列表 - 强调文字颜色 11"/>
    <w:basedOn w:val="1"/>
    <w:qFormat/>
    <w:uiPriority w:val="34"/>
    <w:pPr>
      <w:ind w:firstLine="420" w:firstLineChars="200"/>
    </w:pPr>
    <w:rPr>
      <w:rFonts w:ascii="Calibri" w:hAnsi="Calibri"/>
      <w:szCs w:val="22"/>
    </w:rPr>
  </w:style>
  <w:style w:type="character" w:customStyle="1" w:styleId="58">
    <w:name w:val="font01"/>
    <w:basedOn w:val="25"/>
    <w:qFormat/>
    <w:uiPriority w:val="0"/>
    <w:rPr>
      <w:rFonts w:hint="default" w:ascii="Arial" w:hAnsi="Arial" w:cs="Arial"/>
      <w:color w:val="000000"/>
      <w:sz w:val="22"/>
      <w:szCs w:val="22"/>
      <w:u w:val="none"/>
    </w:rPr>
  </w:style>
  <w:style w:type="character" w:customStyle="1" w:styleId="59">
    <w:name w:val="font41"/>
    <w:basedOn w:val="25"/>
    <w:qFormat/>
    <w:uiPriority w:val="0"/>
    <w:rPr>
      <w:rFonts w:hint="default" w:ascii="Arial" w:hAnsi="Arial" w:cs="Arial"/>
      <w:color w:val="000000"/>
      <w:sz w:val="22"/>
      <w:szCs w:val="22"/>
      <w:u w:val="none"/>
    </w:rPr>
  </w:style>
  <w:style w:type="character" w:customStyle="1" w:styleId="60">
    <w:name w:val="font101"/>
    <w:basedOn w:val="25"/>
    <w:qFormat/>
    <w:uiPriority w:val="0"/>
    <w:rPr>
      <w:rFonts w:ascii="Arial" w:hAnsi="Arial" w:cs="Arial"/>
      <w:color w:val="000000"/>
      <w:sz w:val="20"/>
      <w:szCs w:val="20"/>
      <w:u w:val="none"/>
    </w:rPr>
  </w:style>
  <w:style w:type="character" w:customStyle="1" w:styleId="61">
    <w:name w:val="font61"/>
    <w:basedOn w:val="25"/>
    <w:qFormat/>
    <w:uiPriority w:val="0"/>
    <w:rPr>
      <w:rFonts w:hint="eastAsia" w:ascii="仿宋" w:hAnsi="仿宋" w:eastAsia="仿宋" w:cs="仿宋"/>
      <w:color w:val="000000"/>
      <w:sz w:val="20"/>
      <w:szCs w:val="20"/>
      <w:u w:val="none"/>
    </w:rPr>
  </w:style>
  <w:style w:type="paragraph" w:customStyle="1" w:styleId="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eastAsia="黑体"/>
      <w:b/>
      <w:szCs w:val="28"/>
    </w:rPr>
  </w:style>
  <w:style w:type="paragraph" w:customStyle="1" w:styleId="64">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5">
    <w:name w:val="font11"/>
    <w:basedOn w:val="25"/>
    <w:qFormat/>
    <w:uiPriority w:val="0"/>
    <w:rPr>
      <w:rFonts w:hint="eastAsia" w:ascii="宋体" w:hAnsi="宋体" w:eastAsia="宋体" w:cs="宋体"/>
      <w:color w:val="000000"/>
      <w:sz w:val="22"/>
      <w:szCs w:val="22"/>
      <w:u w:val="none"/>
    </w:rPr>
  </w:style>
  <w:style w:type="character" w:customStyle="1" w:styleId="66">
    <w:name w:val="nth-of-type(1)"/>
    <w:basedOn w:val="25"/>
    <w:qFormat/>
    <w:uiPriority w:val="0"/>
  </w:style>
  <w:style w:type="character" w:customStyle="1" w:styleId="67">
    <w:name w:val="nth-of-type(1)1"/>
    <w:basedOn w:val="25"/>
    <w:qFormat/>
    <w:uiPriority w:val="0"/>
  </w:style>
  <w:style w:type="character" w:customStyle="1" w:styleId="68">
    <w:name w:val="nth-of-type(1)2"/>
    <w:basedOn w:val="25"/>
    <w:qFormat/>
    <w:uiPriority w:val="0"/>
  </w:style>
  <w:style w:type="character" w:customStyle="1" w:styleId="69">
    <w:name w:val="nth-of-type(1)3"/>
    <w:basedOn w:val="25"/>
    <w:qFormat/>
    <w:uiPriority w:val="0"/>
  </w:style>
  <w:style w:type="character" w:customStyle="1" w:styleId="70">
    <w:name w:val="nth-of-type(1)4"/>
    <w:basedOn w:val="25"/>
    <w:qFormat/>
    <w:uiPriority w:val="0"/>
  </w:style>
  <w:style w:type="character" w:customStyle="1" w:styleId="71">
    <w:name w:val="nth-of-type(1)5"/>
    <w:basedOn w:val="25"/>
    <w:qFormat/>
    <w:uiPriority w:val="0"/>
  </w:style>
  <w:style w:type="character" w:customStyle="1" w:styleId="72">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3">
    <w:name w:val="nth-of-type(1)7"/>
    <w:basedOn w:val="25"/>
    <w:qFormat/>
    <w:uiPriority w:val="0"/>
  </w:style>
  <w:style w:type="character" w:customStyle="1" w:styleId="74">
    <w:name w:val="nth-of-type(1)8"/>
    <w:basedOn w:val="25"/>
    <w:qFormat/>
    <w:uiPriority w:val="0"/>
  </w:style>
  <w:style w:type="character" w:customStyle="1" w:styleId="75">
    <w:name w:val="nth-of-type(1)9"/>
    <w:basedOn w:val="25"/>
    <w:qFormat/>
    <w:uiPriority w:val="0"/>
  </w:style>
  <w:style w:type="character" w:customStyle="1" w:styleId="76">
    <w:name w:val="nth-of-type(1)10"/>
    <w:basedOn w:val="25"/>
    <w:qFormat/>
    <w:uiPriority w:val="0"/>
  </w:style>
  <w:style w:type="character" w:customStyle="1" w:styleId="77">
    <w:name w:val="nth-of-type(1)11"/>
    <w:basedOn w:val="25"/>
    <w:qFormat/>
    <w:uiPriority w:val="0"/>
  </w:style>
  <w:style w:type="character" w:customStyle="1" w:styleId="78">
    <w:name w:val="nth-of-type(1)12"/>
    <w:basedOn w:val="25"/>
    <w:qFormat/>
    <w:uiPriority w:val="0"/>
  </w:style>
  <w:style w:type="character" w:customStyle="1" w:styleId="79">
    <w:name w:val="nth-of-type(1)13"/>
    <w:basedOn w:val="25"/>
    <w:qFormat/>
    <w:uiPriority w:val="0"/>
    <w:rPr>
      <w:sz w:val="21"/>
      <w:szCs w:val="21"/>
    </w:rPr>
  </w:style>
  <w:style w:type="character" w:customStyle="1" w:styleId="80">
    <w:name w:val="nth-of-type(1)14"/>
    <w:basedOn w:val="25"/>
    <w:qFormat/>
    <w:uiPriority w:val="0"/>
  </w:style>
  <w:style w:type="character" w:customStyle="1" w:styleId="81">
    <w:name w:val="nth-of-type(1)15"/>
    <w:basedOn w:val="25"/>
    <w:qFormat/>
    <w:uiPriority w:val="0"/>
  </w:style>
  <w:style w:type="character" w:customStyle="1" w:styleId="82">
    <w:name w:val="nth-of-type(1)16"/>
    <w:basedOn w:val="25"/>
    <w:qFormat/>
    <w:uiPriority w:val="0"/>
  </w:style>
  <w:style w:type="character" w:customStyle="1" w:styleId="83">
    <w:name w:val="nth-of-type(1)17"/>
    <w:basedOn w:val="25"/>
    <w:qFormat/>
    <w:uiPriority w:val="0"/>
  </w:style>
  <w:style w:type="character" w:customStyle="1" w:styleId="84">
    <w:name w:val="nth-of-type(1)18"/>
    <w:basedOn w:val="25"/>
    <w:qFormat/>
    <w:uiPriority w:val="0"/>
  </w:style>
  <w:style w:type="character" w:customStyle="1" w:styleId="85">
    <w:name w:val="hover25"/>
    <w:basedOn w:val="25"/>
    <w:qFormat/>
    <w:uiPriority w:val="0"/>
    <w:rPr>
      <w:color w:val="167AE0"/>
    </w:rPr>
  </w:style>
  <w:style w:type="character" w:customStyle="1" w:styleId="86">
    <w:name w:val="layui-this"/>
    <w:basedOn w:val="25"/>
    <w:qFormat/>
    <w:uiPriority w:val="0"/>
    <w:rPr>
      <w:bdr w:val="single" w:color="EEEEEE" w:sz="6" w:space="0"/>
      <w:shd w:val="clear" w:fill="FFFFFF"/>
    </w:rPr>
  </w:style>
  <w:style w:type="character" w:customStyle="1" w:styleId="87">
    <w:name w:val="nth-of-type(5)"/>
    <w:basedOn w:val="25"/>
    <w:qFormat/>
    <w:uiPriority w:val="0"/>
  </w:style>
  <w:style w:type="character" w:customStyle="1" w:styleId="88">
    <w:name w:val="nth-of-type(5)1"/>
    <w:basedOn w:val="25"/>
    <w:qFormat/>
    <w:uiPriority w:val="0"/>
  </w:style>
  <w:style w:type="character" w:customStyle="1" w:styleId="89">
    <w:name w:val="nth-of-type(5)2"/>
    <w:basedOn w:val="25"/>
    <w:qFormat/>
    <w:uiPriority w:val="0"/>
  </w:style>
  <w:style w:type="character" w:customStyle="1" w:styleId="90">
    <w:name w:val="nth-of-type(5)3"/>
    <w:basedOn w:val="25"/>
    <w:qFormat/>
    <w:uiPriority w:val="0"/>
  </w:style>
  <w:style w:type="character" w:customStyle="1" w:styleId="91">
    <w:name w:val="nth-of-type(5)4"/>
    <w:basedOn w:val="25"/>
    <w:qFormat/>
    <w:uiPriority w:val="0"/>
    <w:rPr>
      <w:sz w:val="21"/>
      <w:szCs w:val="21"/>
    </w:rPr>
  </w:style>
  <w:style w:type="character" w:customStyle="1" w:styleId="92">
    <w:name w:val="nth-of-type(5)5"/>
    <w:basedOn w:val="25"/>
    <w:qFormat/>
    <w:uiPriority w:val="0"/>
  </w:style>
  <w:style w:type="character" w:customStyle="1" w:styleId="93">
    <w:name w:val="nth-of-type(5)6"/>
    <w:basedOn w:val="25"/>
    <w:qFormat/>
    <w:uiPriority w:val="0"/>
  </w:style>
  <w:style w:type="character" w:customStyle="1" w:styleId="94">
    <w:name w:val="nth-of-type(2)"/>
    <w:basedOn w:val="25"/>
    <w:qFormat/>
    <w:uiPriority w:val="0"/>
  </w:style>
  <w:style w:type="character" w:customStyle="1" w:styleId="95">
    <w:name w:val="nth-of-type(2)1"/>
    <w:basedOn w:val="25"/>
    <w:qFormat/>
    <w:uiPriority w:val="0"/>
  </w:style>
  <w:style w:type="character" w:customStyle="1" w:styleId="96">
    <w:name w:val="nth-of-type(2)2"/>
    <w:basedOn w:val="25"/>
    <w:qFormat/>
    <w:uiPriority w:val="0"/>
  </w:style>
  <w:style w:type="character" w:customStyle="1" w:styleId="97">
    <w:name w:val="nth-of-type(2)3"/>
    <w:basedOn w:val="25"/>
    <w:qFormat/>
    <w:uiPriority w:val="0"/>
  </w:style>
  <w:style w:type="character" w:customStyle="1" w:styleId="98">
    <w:name w:val="nth-of-type(2)4"/>
    <w:basedOn w:val="25"/>
    <w:qFormat/>
    <w:uiPriority w:val="0"/>
  </w:style>
  <w:style w:type="character" w:customStyle="1" w:styleId="99">
    <w:name w:val="nth-of-type(2)5"/>
    <w:basedOn w:val="25"/>
    <w:qFormat/>
    <w:uiPriority w:val="0"/>
  </w:style>
  <w:style w:type="character" w:customStyle="1" w:styleId="100">
    <w:name w:val="nth-of-type(2)6"/>
    <w:basedOn w:val="25"/>
    <w:qFormat/>
    <w:uiPriority w:val="0"/>
  </w:style>
  <w:style w:type="character" w:customStyle="1" w:styleId="101">
    <w:name w:val="nth-of-type(2)7"/>
    <w:basedOn w:val="25"/>
    <w:qFormat/>
    <w:uiPriority w:val="0"/>
  </w:style>
  <w:style w:type="character" w:customStyle="1" w:styleId="102">
    <w:name w:val="nth-of-type(2)8"/>
    <w:basedOn w:val="25"/>
    <w:qFormat/>
    <w:uiPriority w:val="0"/>
  </w:style>
  <w:style w:type="character" w:customStyle="1" w:styleId="103">
    <w:name w:val="nth-of-type(2)9"/>
    <w:basedOn w:val="25"/>
    <w:qFormat/>
    <w:uiPriority w:val="0"/>
  </w:style>
  <w:style w:type="character" w:customStyle="1" w:styleId="104">
    <w:name w:val="nth-of-type(2)10"/>
    <w:basedOn w:val="25"/>
    <w:qFormat/>
    <w:uiPriority w:val="0"/>
    <w:rPr>
      <w:sz w:val="21"/>
      <w:szCs w:val="21"/>
    </w:rPr>
  </w:style>
  <w:style w:type="character" w:customStyle="1" w:styleId="105">
    <w:name w:val="nth-of-type(2)11"/>
    <w:basedOn w:val="25"/>
    <w:qFormat/>
    <w:uiPriority w:val="0"/>
  </w:style>
  <w:style w:type="character" w:customStyle="1" w:styleId="106">
    <w:name w:val="nth-of-type(2)12"/>
    <w:basedOn w:val="25"/>
    <w:qFormat/>
    <w:uiPriority w:val="0"/>
  </w:style>
  <w:style w:type="character" w:customStyle="1" w:styleId="107">
    <w:name w:val="nth-of-type(2)13"/>
    <w:basedOn w:val="25"/>
    <w:qFormat/>
    <w:uiPriority w:val="0"/>
  </w:style>
  <w:style w:type="character" w:customStyle="1" w:styleId="108">
    <w:name w:val="nth-of-type(2)14"/>
    <w:basedOn w:val="25"/>
    <w:qFormat/>
    <w:uiPriority w:val="0"/>
  </w:style>
  <w:style w:type="character" w:customStyle="1" w:styleId="109">
    <w:name w:val="before2"/>
    <w:basedOn w:val="25"/>
    <w:qFormat/>
    <w:uiPriority w:val="0"/>
    <w:rPr>
      <w:shd w:val="clear" w:fill="C20E0C"/>
    </w:rPr>
  </w:style>
  <w:style w:type="character" w:customStyle="1" w:styleId="110">
    <w:name w:val="nth-of-type(4)"/>
    <w:basedOn w:val="25"/>
    <w:qFormat/>
    <w:uiPriority w:val="0"/>
  </w:style>
  <w:style w:type="character" w:customStyle="1" w:styleId="111">
    <w:name w:val="nth-of-type(4)1"/>
    <w:basedOn w:val="25"/>
    <w:qFormat/>
    <w:uiPriority w:val="0"/>
  </w:style>
  <w:style w:type="character" w:customStyle="1" w:styleId="112">
    <w:name w:val="nth-of-type(4)2"/>
    <w:basedOn w:val="25"/>
    <w:qFormat/>
    <w:uiPriority w:val="0"/>
  </w:style>
  <w:style w:type="character" w:customStyle="1" w:styleId="113">
    <w:name w:val="nth-of-type(4)3"/>
    <w:basedOn w:val="25"/>
    <w:qFormat/>
    <w:uiPriority w:val="0"/>
  </w:style>
  <w:style w:type="character" w:customStyle="1" w:styleId="114">
    <w:name w:val="nth-of-type(4)4"/>
    <w:basedOn w:val="25"/>
    <w:qFormat/>
    <w:uiPriority w:val="0"/>
    <w:rPr>
      <w:sz w:val="21"/>
      <w:szCs w:val="21"/>
    </w:rPr>
  </w:style>
  <w:style w:type="character" w:customStyle="1" w:styleId="115">
    <w:name w:val="nth-of-type(4)5"/>
    <w:basedOn w:val="25"/>
    <w:qFormat/>
    <w:uiPriority w:val="0"/>
  </w:style>
  <w:style w:type="character" w:customStyle="1" w:styleId="116">
    <w:name w:val="nth-of-type(4)6"/>
    <w:basedOn w:val="25"/>
    <w:qFormat/>
    <w:uiPriority w:val="0"/>
  </w:style>
  <w:style w:type="character" w:customStyle="1" w:styleId="117">
    <w:name w:val="nth-of-type(4)7"/>
    <w:basedOn w:val="25"/>
    <w:qFormat/>
    <w:uiPriority w:val="0"/>
  </w:style>
  <w:style w:type="character" w:customStyle="1" w:styleId="118">
    <w:name w:val="nth-of-type(4)8"/>
    <w:basedOn w:val="25"/>
    <w:qFormat/>
    <w:uiPriority w:val="0"/>
  </w:style>
  <w:style w:type="character" w:customStyle="1" w:styleId="119">
    <w:name w:val="nth-of-type(6)"/>
    <w:basedOn w:val="25"/>
    <w:qFormat/>
    <w:uiPriority w:val="0"/>
  </w:style>
  <w:style w:type="character" w:customStyle="1" w:styleId="120">
    <w:name w:val="nth-of-type(6)1"/>
    <w:basedOn w:val="25"/>
    <w:qFormat/>
    <w:uiPriority w:val="0"/>
    <w:rPr>
      <w:color w:val="0082DF"/>
    </w:rPr>
  </w:style>
  <w:style w:type="character" w:customStyle="1" w:styleId="121">
    <w:name w:val="nth-of-type(6)2"/>
    <w:basedOn w:val="25"/>
    <w:qFormat/>
    <w:uiPriority w:val="0"/>
  </w:style>
  <w:style w:type="character" w:customStyle="1" w:styleId="122">
    <w:name w:val="nth-of-type(6)3"/>
    <w:basedOn w:val="25"/>
    <w:qFormat/>
    <w:uiPriority w:val="0"/>
  </w:style>
  <w:style w:type="character" w:customStyle="1" w:styleId="123">
    <w:name w:val="nth-of-type(6)4"/>
    <w:basedOn w:val="25"/>
    <w:qFormat/>
    <w:uiPriority w:val="0"/>
  </w:style>
  <w:style w:type="character" w:customStyle="1" w:styleId="124">
    <w:name w:val="nth-of-type(6)5"/>
    <w:basedOn w:val="25"/>
    <w:qFormat/>
    <w:uiPriority w:val="0"/>
  </w:style>
  <w:style w:type="character" w:customStyle="1" w:styleId="125">
    <w:name w:val="nth-of-type(8)"/>
    <w:basedOn w:val="25"/>
    <w:qFormat/>
    <w:uiPriority w:val="0"/>
  </w:style>
  <w:style w:type="character" w:customStyle="1" w:styleId="126">
    <w:name w:val="lineshow"/>
    <w:basedOn w:val="25"/>
    <w:qFormat/>
    <w:uiPriority w:val="0"/>
  </w:style>
  <w:style w:type="character" w:customStyle="1" w:styleId="127">
    <w:name w:val="lineshow1"/>
    <w:basedOn w:val="25"/>
    <w:qFormat/>
    <w:uiPriority w:val="0"/>
  </w:style>
  <w:style w:type="character" w:customStyle="1" w:styleId="128">
    <w:name w:val="nth-child(3)"/>
    <w:basedOn w:val="25"/>
    <w:qFormat/>
    <w:uiPriority w:val="0"/>
  </w:style>
  <w:style w:type="character" w:customStyle="1" w:styleId="129">
    <w:name w:val="nth-of-type(7)"/>
    <w:basedOn w:val="25"/>
    <w:qFormat/>
    <w:uiPriority w:val="0"/>
  </w:style>
  <w:style w:type="character" w:customStyle="1" w:styleId="130">
    <w:name w:val="nth-of-type(7)1"/>
    <w:basedOn w:val="25"/>
    <w:qFormat/>
    <w:uiPriority w:val="0"/>
  </w:style>
  <w:style w:type="character" w:customStyle="1" w:styleId="131">
    <w:name w:val="nth-of-type(7)2"/>
    <w:basedOn w:val="25"/>
    <w:qFormat/>
    <w:uiPriority w:val="0"/>
  </w:style>
  <w:style w:type="character" w:customStyle="1" w:styleId="132">
    <w:name w:val="nth-of-type(3)"/>
    <w:basedOn w:val="25"/>
    <w:qFormat/>
    <w:uiPriority w:val="0"/>
  </w:style>
  <w:style w:type="character" w:customStyle="1" w:styleId="133">
    <w:name w:val="nth-of-type(3)1"/>
    <w:basedOn w:val="25"/>
    <w:qFormat/>
    <w:uiPriority w:val="0"/>
  </w:style>
  <w:style w:type="character" w:customStyle="1" w:styleId="134">
    <w:name w:val="nth-of-type(3)2"/>
    <w:basedOn w:val="25"/>
    <w:qFormat/>
    <w:uiPriority w:val="0"/>
  </w:style>
  <w:style w:type="character" w:customStyle="1" w:styleId="135">
    <w:name w:val="nth-of-type(3)3"/>
    <w:basedOn w:val="25"/>
    <w:qFormat/>
    <w:uiPriority w:val="0"/>
    <w:rPr>
      <w:sz w:val="21"/>
      <w:szCs w:val="21"/>
    </w:rPr>
  </w:style>
  <w:style w:type="character" w:customStyle="1" w:styleId="136">
    <w:name w:val="nth-of-type(3)4"/>
    <w:basedOn w:val="25"/>
    <w:qFormat/>
    <w:uiPriority w:val="0"/>
  </w:style>
  <w:style w:type="character" w:customStyle="1" w:styleId="137">
    <w:name w:val="nth-of-type(3)5"/>
    <w:basedOn w:val="25"/>
    <w:qFormat/>
    <w:uiPriority w:val="0"/>
  </w:style>
  <w:style w:type="character" w:customStyle="1" w:styleId="138">
    <w:name w:val="nth-of-type(3)6"/>
    <w:basedOn w:val="25"/>
    <w:qFormat/>
    <w:uiPriority w:val="0"/>
  </w:style>
  <w:style w:type="character" w:customStyle="1" w:styleId="139">
    <w:name w:val="nth-of-type(3)7"/>
    <w:basedOn w:val="25"/>
    <w:qFormat/>
    <w:uiPriority w:val="0"/>
  </w:style>
  <w:style w:type="character" w:customStyle="1" w:styleId="140">
    <w:name w:val="nth-of-type(9)"/>
    <w:basedOn w:val="25"/>
    <w:qFormat/>
    <w:uiPriority w:val="0"/>
  </w:style>
  <w:style w:type="character" w:customStyle="1" w:styleId="141">
    <w:name w:val="nth-of-type(10)"/>
    <w:basedOn w:val="25"/>
    <w:qFormat/>
    <w:uiPriority w:val="0"/>
  </w:style>
  <w:style w:type="character" w:customStyle="1" w:styleId="142">
    <w:name w:val="titleshow"/>
    <w:basedOn w:val="25"/>
    <w:qFormat/>
    <w:uiPriority w:val="0"/>
    <w:rPr>
      <w:color w:val="3E464C"/>
    </w:rPr>
  </w:style>
  <w:style w:type="character" w:customStyle="1" w:styleId="143">
    <w:name w:val="nth-child(2)"/>
    <w:basedOn w:val="25"/>
    <w:qFormat/>
    <w:uiPriority w:val="0"/>
  </w:style>
  <w:style w:type="character" w:customStyle="1" w:styleId="144">
    <w:name w:val="last-child1"/>
    <w:basedOn w:val="25"/>
    <w:qFormat/>
    <w:uiPriority w:val="0"/>
    <w:rPr>
      <w:color w:val="FFFFFF"/>
    </w:rPr>
  </w:style>
  <w:style w:type="character" w:customStyle="1" w:styleId="145">
    <w:name w:val="last-child2"/>
    <w:basedOn w:val="25"/>
    <w:qFormat/>
    <w:uiPriority w:val="0"/>
  </w:style>
  <w:style w:type="character" w:customStyle="1" w:styleId="146">
    <w:name w:val="last-child3"/>
    <w:basedOn w:val="25"/>
    <w:qFormat/>
    <w:uiPriority w:val="0"/>
  </w:style>
  <w:style w:type="character" w:customStyle="1" w:styleId="147">
    <w:name w:val="nth-child(1)"/>
    <w:basedOn w:val="25"/>
    <w:qFormat/>
    <w:uiPriority w:val="0"/>
  </w:style>
  <w:style w:type="character" w:customStyle="1" w:styleId="148">
    <w:name w:val="first-child1"/>
    <w:basedOn w:val="25"/>
    <w:qFormat/>
    <w:uiPriority w:val="0"/>
  </w:style>
  <w:style w:type="character" w:customStyle="1" w:styleId="149">
    <w:name w:val="first-child2"/>
    <w:basedOn w:val="25"/>
    <w:qFormat/>
    <w:uiPriority w:val="0"/>
  </w:style>
  <w:style w:type="character" w:customStyle="1" w:styleId="150">
    <w:name w:val="first-child3"/>
    <w:basedOn w:val="25"/>
    <w:qFormat/>
    <w:uiPriority w:val="0"/>
  </w:style>
  <w:style w:type="character" w:customStyle="1" w:styleId="151">
    <w:name w:val="first-child4"/>
    <w:basedOn w:val="25"/>
    <w:qFormat/>
    <w:uiPriority w:val="0"/>
  </w:style>
  <w:style w:type="character" w:customStyle="1" w:styleId="152">
    <w:name w:val="layui-laypage-curr"/>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9"/>
    <customShpInfo spid="_x0000_s2052"/>
    <customShpInfo spid="_x0000_s2051"/>
    <customShpInfo spid="_x0000_s2054"/>
    <customShpInfo spid="_x0000_s2053"/>
    <customShpInfo spid="_x0000_s2055" textRotate="1"/>
    <customShpInfo spid="_x0000_s2066" textRotate="1"/>
    <customShpInfo spid="_x0000_s2067" textRotate="1"/>
    <customShpInfo spid="_x0000_s2058" textRotate="1"/>
    <customShpInfo spid="_x0000_s1036"/>
    <customShpInfo spid="_x0000_s1026"/>
    <customShpInfo spid="_x0000_s1027"/>
    <customShpInfo spid="_x0000_s1037"/>
    <customShpInfo spid="_x0000_s1035"/>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83</Pages>
  <Words>35399</Words>
  <Characters>37113</Characters>
  <Lines>1</Lines>
  <Paragraphs>1</Paragraphs>
  <TotalTime>42</TotalTime>
  <ScaleCrop>false</ScaleCrop>
  <LinksUpToDate>false</LinksUpToDate>
  <CharactersWithSpaces>39419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2022-07-18T03:05:49Z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