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 w:lineRule="atLeast"/>
        <w:rPr>
          <w:rFonts w:ascii="宋体" w:hAnsi="宋体" w:cs="宋体"/>
          <w:b/>
          <w:bCs/>
          <w:color w:val="auto"/>
          <w:sz w:val="28"/>
          <w:szCs w:val="28"/>
        </w:rPr>
      </w:pPr>
    </w:p>
    <w:p>
      <w:pPr>
        <w:spacing w:line="100" w:lineRule="atLeast"/>
        <w:rPr>
          <w:rFonts w:ascii="宋体" w:hAnsi="宋体" w:cs="宋体"/>
          <w:b/>
          <w:bCs/>
          <w:color w:val="auto"/>
          <w:sz w:val="28"/>
          <w:szCs w:val="28"/>
        </w:rPr>
      </w:pPr>
    </w:p>
    <w:p>
      <w:pPr>
        <w:spacing w:line="100" w:lineRule="atLeast"/>
        <w:rPr>
          <w:rFonts w:ascii="宋体" w:hAnsi="宋体" w:cs="宋体"/>
          <w:b/>
          <w:bCs/>
          <w:color w:val="auto"/>
          <w:sz w:val="28"/>
          <w:szCs w:val="28"/>
        </w:rPr>
      </w:pPr>
      <w:r>
        <w:rPr>
          <w:rFonts w:hint="eastAsia" w:ascii="宋体" w:hAnsi="宋体" w:cs="宋体"/>
          <w:b/>
          <w:bCs/>
          <w:color w:val="auto"/>
          <w:sz w:val="28"/>
          <w:szCs w:val="28"/>
        </w:rPr>
        <w:t>项目编号：SSJY-CG（G）-2022008</w:t>
      </w:r>
    </w:p>
    <w:p>
      <w:pPr>
        <w:tabs>
          <w:tab w:val="left" w:pos="5670"/>
        </w:tabs>
        <w:autoSpaceDE w:val="0"/>
        <w:autoSpaceDN w:val="0"/>
        <w:adjustRightInd w:val="0"/>
        <w:snapToGrid w:val="0"/>
        <w:spacing w:line="360" w:lineRule="auto"/>
        <w:rPr>
          <w:rFonts w:ascii="宋体" w:hAnsi="宋体" w:cs="宋体"/>
          <w:color w:val="auto"/>
          <w:sz w:val="28"/>
          <w:szCs w:val="28"/>
        </w:rPr>
      </w:pPr>
    </w:p>
    <w:p>
      <w:pPr>
        <w:spacing w:line="100" w:lineRule="atLeast"/>
        <w:jc w:val="center"/>
        <w:rPr>
          <w:rFonts w:ascii="宋体" w:hAnsi="宋体" w:cs="宋体"/>
          <w:b/>
          <w:bCs/>
          <w:color w:val="auto"/>
          <w:sz w:val="22"/>
          <w:szCs w:val="22"/>
        </w:rPr>
      </w:pPr>
    </w:p>
    <w:p>
      <w:pPr>
        <w:spacing w:before="120" w:beforeLines="50" w:after="120" w:afterLines="50" w:line="360" w:lineRule="auto"/>
        <w:jc w:val="center"/>
        <w:rPr>
          <w:rFonts w:hint="eastAsia" w:ascii="宋体" w:hAnsi="宋体" w:cs="宋体"/>
          <w:b/>
          <w:bCs/>
          <w:color w:val="auto"/>
          <w:sz w:val="44"/>
          <w:szCs w:val="44"/>
        </w:rPr>
      </w:pPr>
      <w:r>
        <w:rPr>
          <w:rFonts w:hint="eastAsia" w:ascii="宋体" w:hAnsi="宋体" w:cs="宋体"/>
          <w:b/>
          <w:bCs/>
          <w:color w:val="auto"/>
          <w:sz w:val="44"/>
          <w:szCs w:val="44"/>
        </w:rPr>
        <w:t>潼关县教育科技局岳渎小学信息化建设项目</w:t>
      </w:r>
    </w:p>
    <w:p>
      <w:pPr>
        <w:spacing w:before="120" w:beforeLines="50" w:after="120" w:afterLines="50" w:line="360" w:lineRule="auto"/>
        <w:jc w:val="center"/>
        <w:rPr>
          <w:rFonts w:hint="eastAsia" w:ascii="宋体" w:hAnsi="宋体" w:cs="宋体"/>
          <w:b/>
          <w:bCs/>
          <w:color w:val="auto"/>
          <w:sz w:val="56"/>
          <w:szCs w:val="56"/>
        </w:rPr>
      </w:pPr>
    </w:p>
    <w:p>
      <w:pPr>
        <w:pStyle w:val="2"/>
        <w:rPr>
          <w:rFonts w:hint="eastAsia"/>
          <w:color w:val="auto"/>
        </w:rPr>
      </w:pPr>
    </w:p>
    <w:p>
      <w:pPr>
        <w:spacing w:before="120" w:beforeLines="50" w:after="120" w:afterLines="50" w:line="360" w:lineRule="auto"/>
        <w:jc w:val="center"/>
        <w:rPr>
          <w:rFonts w:ascii="宋体" w:hAnsi="宋体" w:cs="宋体"/>
          <w:color w:val="auto"/>
          <w:sz w:val="28"/>
          <w:szCs w:val="28"/>
        </w:rPr>
      </w:pPr>
      <w:r>
        <w:rPr>
          <w:rFonts w:hint="eastAsia" w:ascii="宋体" w:hAnsi="宋体" w:cs="宋体"/>
          <w:b/>
          <w:bCs/>
          <w:color w:val="auto"/>
          <w:sz w:val="56"/>
          <w:szCs w:val="56"/>
        </w:rPr>
        <w:t>竞争性谈判文件</w:t>
      </w:r>
      <w:r>
        <w:rPr>
          <w:rFonts w:hint="eastAsia" w:ascii="宋体" w:hAnsi="宋体" w:cs="宋体"/>
          <w:b/>
          <w:bCs/>
          <w:color w:val="auto"/>
          <w:sz w:val="72"/>
          <w:szCs w:val="72"/>
        </w:rPr>
        <w:drawing>
          <wp:inline distT="0" distB="0" distL="114300" distR="114300">
            <wp:extent cx="3768090" cy="3100070"/>
            <wp:effectExtent l="0" t="0" r="3810" b="5080"/>
            <wp:docPr id="6" name="图片 6" descr="af3f1f6857ba2f38e11dc7bafb9c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f3f1f6857ba2f38e11dc7bafb9c8ea"/>
                    <pic:cNvPicPr>
                      <a:picLocks noChangeAspect="1"/>
                    </pic:cNvPicPr>
                  </pic:nvPicPr>
                  <pic:blipFill>
                    <a:blip r:embed="rId20"/>
                    <a:srcRect r="927" b="18492"/>
                    <a:stretch>
                      <a:fillRect/>
                    </a:stretch>
                  </pic:blipFill>
                  <pic:spPr>
                    <a:xfrm>
                      <a:off x="0" y="0"/>
                      <a:ext cx="3768090" cy="3100070"/>
                    </a:xfrm>
                    <a:prstGeom prst="rect">
                      <a:avLst/>
                    </a:prstGeom>
                  </pic:spPr>
                </pic:pic>
              </a:graphicData>
            </a:graphic>
          </wp:inline>
        </w:drawing>
      </w:r>
    </w:p>
    <w:p>
      <w:pPr>
        <w:rPr>
          <w:rFonts w:ascii="宋体" w:hAnsi="宋体" w:cs="宋体"/>
          <w:b/>
          <w:bCs/>
          <w:color w:val="auto"/>
          <w:sz w:val="28"/>
          <w:szCs w:val="28"/>
        </w:rPr>
      </w:pPr>
      <w:r>
        <w:rPr>
          <w:rFonts w:hint="eastAsia" w:ascii="宋体" w:hAnsi="宋体" w:cs="宋体"/>
          <w:b/>
          <w:bCs/>
          <w:color w:val="auto"/>
          <w:sz w:val="28"/>
          <w:szCs w:val="28"/>
        </w:rPr>
        <w:t xml:space="preserve">        </w:t>
      </w:r>
    </w:p>
    <w:p>
      <w:pPr>
        <w:spacing w:line="360" w:lineRule="auto"/>
        <w:ind w:firstLine="1084" w:firstLineChars="300"/>
        <w:rPr>
          <w:rFonts w:ascii="宋体" w:hAnsi="宋体" w:cs="宋体"/>
          <w:color w:val="auto"/>
          <w:sz w:val="36"/>
          <w:szCs w:val="36"/>
        </w:rPr>
      </w:pPr>
      <w:r>
        <w:rPr>
          <w:rFonts w:hint="eastAsia" w:ascii="宋体" w:hAnsi="宋体" w:cs="宋体"/>
          <w:b/>
          <w:color w:val="auto"/>
          <w:sz w:val="36"/>
          <w:szCs w:val="36"/>
        </w:rPr>
        <w:t>采   购   人：潼关县教育科技局</w:t>
      </w:r>
    </w:p>
    <w:p>
      <w:pPr>
        <w:spacing w:line="360" w:lineRule="auto"/>
        <w:ind w:firstLine="1084" w:firstLineChars="300"/>
        <w:rPr>
          <w:rFonts w:ascii="宋体" w:hAnsi="宋体" w:cs="宋体"/>
          <w:b/>
          <w:color w:val="auto"/>
          <w:sz w:val="36"/>
          <w:szCs w:val="36"/>
        </w:rPr>
      </w:pPr>
      <w:r>
        <w:rPr>
          <w:rFonts w:hint="eastAsia" w:ascii="宋体" w:hAnsi="宋体" w:cs="宋体"/>
          <w:b/>
          <w:color w:val="auto"/>
          <w:sz w:val="36"/>
          <w:szCs w:val="36"/>
        </w:rPr>
        <w:t>采购代理机构：陕西盛仕骄阳项目管理有限公司</w:t>
      </w:r>
    </w:p>
    <w:p>
      <w:pPr>
        <w:autoSpaceDE w:val="0"/>
        <w:autoSpaceDN w:val="0"/>
        <w:adjustRightInd w:val="0"/>
        <w:snapToGrid w:val="0"/>
        <w:spacing w:line="360" w:lineRule="auto"/>
        <w:jc w:val="center"/>
        <w:rPr>
          <w:rFonts w:ascii="宋体" w:hAnsi="宋体" w:cs="宋体"/>
          <w:b/>
          <w:bCs/>
          <w:color w:val="auto"/>
          <w:sz w:val="36"/>
          <w:szCs w:val="36"/>
          <w:lang w:val="zh-CN"/>
        </w:rPr>
      </w:pPr>
      <w:r>
        <w:rPr>
          <w:rFonts w:hint="eastAsia" w:ascii="宋体" w:hAnsi="宋体" w:cs="宋体"/>
          <w:b/>
          <w:color w:val="auto"/>
          <w:sz w:val="36"/>
          <w:szCs w:val="36"/>
        </w:rPr>
        <w:t>二〇二二年五月</w:t>
      </w:r>
    </w:p>
    <w:p>
      <w:pPr>
        <w:autoSpaceDE w:val="0"/>
        <w:autoSpaceDN w:val="0"/>
        <w:adjustRightInd w:val="0"/>
        <w:snapToGrid w:val="0"/>
        <w:spacing w:line="360" w:lineRule="auto"/>
        <w:jc w:val="center"/>
        <w:rPr>
          <w:rFonts w:ascii="宋体" w:hAnsi="宋体" w:cs="宋体"/>
          <w:b/>
          <w:bCs/>
          <w:color w:val="auto"/>
          <w:sz w:val="28"/>
          <w:szCs w:val="28"/>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0"/>
          <w:cols w:space="425" w:num="1"/>
          <w:titlePg/>
          <w:docGrid w:linePitch="312" w:charSpace="0"/>
        </w:sectPr>
      </w:pPr>
    </w:p>
    <w:p>
      <w:pPr>
        <w:autoSpaceDE w:val="0"/>
        <w:autoSpaceDN w:val="0"/>
        <w:adjustRightInd w:val="0"/>
        <w:snapToGrid w:val="0"/>
        <w:spacing w:line="360" w:lineRule="auto"/>
        <w:jc w:val="center"/>
        <w:rPr>
          <w:rFonts w:ascii="宋体" w:hAnsi="宋体" w:cs="宋体"/>
          <w:b/>
          <w:bCs/>
          <w:color w:val="auto"/>
          <w:sz w:val="28"/>
          <w:szCs w:val="28"/>
          <w:lang w:val="zh-CN"/>
        </w:rPr>
      </w:pPr>
    </w:p>
    <w:p>
      <w:pPr>
        <w:autoSpaceDE w:val="0"/>
        <w:autoSpaceDN w:val="0"/>
        <w:adjustRightInd w:val="0"/>
        <w:snapToGri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目  录</w:t>
      </w:r>
    </w:p>
    <w:p>
      <w:pPr>
        <w:autoSpaceDE w:val="0"/>
        <w:autoSpaceDN w:val="0"/>
        <w:adjustRightInd w:val="0"/>
        <w:snapToGrid w:val="0"/>
        <w:spacing w:line="360" w:lineRule="auto"/>
        <w:jc w:val="center"/>
        <w:rPr>
          <w:rFonts w:ascii="宋体" w:hAnsi="宋体" w:cs="宋体"/>
          <w:b/>
          <w:bCs/>
          <w:color w:val="auto"/>
          <w:sz w:val="28"/>
          <w:szCs w:val="28"/>
          <w:lang w:val="zh-CN"/>
        </w:rPr>
      </w:pPr>
    </w:p>
    <w:p>
      <w:pPr>
        <w:pStyle w:val="27"/>
        <w:tabs>
          <w:tab w:val="right" w:leader="dot" w:pos="9070"/>
          <w:tab w:val="clear" w:pos="9060"/>
        </w:tabs>
        <w:rPr>
          <w:rFonts w:ascii="宋体" w:hAnsi="宋体" w:cs="宋体"/>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TOC \o "1-1" \h \z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"_Toc26529" </w:instrText>
      </w:r>
      <w:r>
        <w:rPr>
          <w:color w:val="auto"/>
        </w:rPr>
        <w:fldChar w:fldCharType="separate"/>
      </w:r>
      <w:r>
        <w:rPr>
          <w:rFonts w:hint="eastAsia" w:ascii="宋体" w:hAnsi="宋体" w:cs="宋体"/>
          <w:bCs/>
          <w:color w:val="auto"/>
          <w:sz w:val="24"/>
          <w:lang w:val="zh-CN"/>
        </w:rPr>
        <w:t>第一章  竞争性谈判公告</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_Toc26529 \h </w:instrText>
      </w:r>
      <w:r>
        <w:rPr>
          <w:rFonts w:hint="eastAsia" w:ascii="宋体" w:hAnsi="宋体" w:cs="宋体"/>
          <w:color w:val="auto"/>
          <w:sz w:val="24"/>
        </w:rPr>
        <w:fldChar w:fldCharType="separate"/>
      </w:r>
      <w:r>
        <w:rPr>
          <w:rFonts w:hint="eastAsia" w:ascii="宋体" w:hAnsi="宋体" w:cs="宋体"/>
          <w:color w:val="auto"/>
          <w:sz w:val="24"/>
        </w:rPr>
        <w:t>1</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"_Toc16804" </w:instrText>
      </w:r>
      <w:r>
        <w:rPr>
          <w:color w:val="auto"/>
        </w:rPr>
        <w:fldChar w:fldCharType="separate"/>
      </w:r>
      <w:r>
        <w:rPr>
          <w:rFonts w:hint="eastAsia" w:ascii="宋体" w:hAnsi="宋体" w:cs="宋体"/>
          <w:color w:val="auto"/>
          <w:sz w:val="24"/>
        </w:rPr>
        <w:t>第二章 竞争性谈判须知</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_Toc16804 \h </w:instrText>
      </w:r>
      <w:r>
        <w:rPr>
          <w:rFonts w:hint="eastAsia" w:ascii="宋体" w:hAnsi="宋体" w:cs="宋体"/>
          <w:color w:val="auto"/>
          <w:sz w:val="24"/>
        </w:rPr>
        <w:fldChar w:fldCharType="separate"/>
      </w:r>
      <w:r>
        <w:rPr>
          <w:rFonts w:hint="eastAsia" w:ascii="宋体" w:hAnsi="宋体" w:cs="宋体"/>
          <w:color w:val="auto"/>
          <w:sz w:val="24"/>
        </w:rPr>
        <w:t>5</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"_Toc3444" </w:instrText>
      </w:r>
      <w:r>
        <w:rPr>
          <w:color w:val="auto"/>
        </w:rPr>
        <w:fldChar w:fldCharType="separate"/>
      </w:r>
      <w:r>
        <w:rPr>
          <w:rFonts w:hint="eastAsia" w:ascii="宋体" w:hAnsi="宋体" w:cs="宋体"/>
          <w:color w:val="auto"/>
          <w:sz w:val="24"/>
        </w:rPr>
        <w:t xml:space="preserve">第三章 </w:t>
      </w:r>
      <w:r>
        <w:rPr>
          <w:rFonts w:hint="eastAsia" w:ascii="宋体" w:hAnsi="宋体" w:cs="宋体"/>
          <w:color w:val="auto"/>
          <w:sz w:val="24"/>
          <w:lang w:val="zh-CN"/>
        </w:rPr>
        <w:t>供应商须知</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_Toc3444 \h </w:instrText>
      </w:r>
      <w:r>
        <w:rPr>
          <w:rFonts w:hint="eastAsia" w:ascii="宋体" w:hAnsi="宋体" w:cs="宋体"/>
          <w:color w:val="auto"/>
          <w:sz w:val="24"/>
        </w:rPr>
        <w:fldChar w:fldCharType="separate"/>
      </w:r>
      <w:r>
        <w:rPr>
          <w:rFonts w:hint="eastAsia" w:ascii="宋体" w:hAnsi="宋体" w:cs="宋体"/>
          <w:color w:val="auto"/>
          <w:sz w:val="24"/>
        </w:rPr>
        <w:t>9</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"_Toc21220" </w:instrText>
      </w:r>
      <w:r>
        <w:rPr>
          <w:color w:val="auto"/>
        </w:rPr>
        <w:fldChar w:fldCharType="separate"/>
      </w:r>
      <w:r>
        <w:rPr>
          <w:rFonts w:hint="eastAsia" w:ascii="宋体" w:hAnsi="宋体" w:cs="宋体"/>
          <w:color w:val="auto"/>
          <w:sz w:val="24"/>
        </w:rPr>
        <w:t>第四章 评审办法</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_Toc21220 \h </w:instrText>
      </w:r>
      <w:r>
        <w:rPr>
          <w:rFonts w:hint="eastAsia" w:ascii="宋体" w:hAnsi="宋体" w:cs="宋体"/>
          <w:color w:val="auto"/>
          <w:sz w:val="24"/>
        </w:rPr>
        <w:fldChar w:fldCharType="separate"/>
      </w:r>
      <w:r>
        <w:rPr>
          <w:rFonts w:hint="eastAsia" w:ascii="宋体" w:hAnsi="宋体" w:cs="宋体"/>
          <w:color w:val="auto"/>
          <w:sz w:val="24"/>
        </w:rPr>
        <w:t>32</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"_Toc9383" </w:instrText>
      </w:r>
      <w:r>
        <w:rPr>
          <w:color w:val="auto"/>
        </w:rPr>
        <w:fldChar w:fldCharType="separate"/>
      </w:r>
      <w:r>
        <w:rPr>
          <w:rFonts w:hint="eastAsia" w:ascii="宋体" w:hAnsi="宋体" w:cs="宋体"/>
          <w:color w:val="auto"/>
          <w:sz w:val="24"/>
          <w:lang w:val="zh-CN"/>
        </w:rPr>
        <w:t>第</w:t>
      </w:r>
      <w:r>
        <w:rPr>
          <w:rFonts w:hint="eastAsia" w:ascii="宋体" w:hAnsi="宋体" w:cs="宋体"/>
          <w:color w:val="auto"/>
          <w:sz w:val="24"/>
        </w:rPr>
        <w:t>五</w:t>
      </w:r>
      <w:r>
        <w:rPr>
          <w:rFonts w:hint="eastAsia" w:ascii="宋体" w:hAnsi="宋体" w:cs="宋体"/>
          <w:color w:val="auto"/>
          <w:sz w:val="24"/>
          <w:lang w:val="zh-CN"/>
        </w:rPr>
        <w:t>章</w:t>
      </w:r>
      <w:r>
        <w:rPr>
          <w:rFonts w:hint="eastAsia" w:ascii="宋体" w:hAnsi="宋体" w:cs="宋体"/>
          <w:color w:val="auto"/>
          <w:sz w:val="24"/>
        </w:rPr>
        <w:t xml:space="preserve"> 采购</w:t>
      </w:r>
      <w:r>
        <w:rPr>
          <w:rFonts w:hint="eastAsia" w:ascii="宋体" w:hAnsi="宋体" w:cs="宋体"/>
          <w:color w:val="auto"/>
          <w:sz w:val="24"/>
          <w:lang w:val="zh-CN"/>
        </w:rPr>
        <w:t>内容及要求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_Toc9383 \h </w:instrText>
      </w:r>
      <w:r>
        <w:rPr>
          <w:rFonts w:hint="eastAsia" w:ascii="宋体" w:hAnsi="宋体" w:cs="宋体"/>
          <w:color w:val="auto"/>
          <w:sz w:val="24"/>
        </w:rPr>
        <w:fldChar w:fldCharType="separate"/>
      </w:r>
      <w:r>
        <w:rPr>
          <w:rFonts w:hint="eastAsia" w:ascii="宋体" w:hAnsi="宋体" w:cs="宋体"/>
          <w:color w:val="auto"/>
          <w:sz w:val="24"/>
        </w:rPr>
        <w:t>40</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"_Toc13080" </w:instrText>
      </w:r>
      <w:r>
        <w:rPr>
          <w:color w:val="auto"/>
        </w:rPr>
        <w:fldChar w:fldCharType="separate"/>
      </w:r>
      <w:r>
        <w:rPr>
          <w:rFonts w:hint="eastAsia" w:ascii="宋体" w:hAnsi="宋体" w:cs="宋体"/>
          <w:color w:val="auto"/>
          <w:sz w:val="24"/>
          <w:lang w:val="zh-CN"/>
        </w:rPr>
        <w:t>第</w:t>
      </w:r>
      <w:r>
        <w:rPr>
          <w:rFonts w:hint="eastAsia" w:ascii="宋体" w:hAnsi="宋体" w:cs="宋体"/>
          <w:color w:val="auto"/>
          <w:sz w:val="24"/>
        </w:rPr>
        <w:t>六</w:t>
      </w:r>
      <w:r>
        <w:rPr>
          <w:rFonts w:hint="eastAsia" w:ascii="宋体" w:hAnsi="宋体" w:cs="宋体"/>
          <w:color w:val="auto"/>
          <w:sz w:val="24"/>
          <w:lang w:val="zh-CN"/>
        </w:rPr>
        <w:t>章  商务要求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_Toc13080 \h </w:instrText>
      </w:r>
      <w:r>
        <w:rPr>
          <w:rFonts w:hint="eastAsia" w:ascii="宋体" w:hAnsi="宋体" w:cs="宋体"/>
          <w:color w:val="auto"/>
          <w:sz w:val="24"/>
        </w:rPr>
        <w:fldChar w:fldCharType="separate"/>
      </w:r>
      <w:r>
        <w:rPr>
          <w:rFonts w:hint="eastAsia" w:ascii="宋体" w:hAnsi="宋体" w:cs="宋体"/>
          <w:color w:val="auto"/>
          <w:sz w:val="24"/>
        </w:rPr>
        <w:t>84</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"_Toc28721" </w:instrText>
      </w:r>
      <w:r>
        <w:rPr>
          <w:color w:val="auto"/>
        </w:rPr>
        <w:fldChar w:fldCharType="separate"/>
      </w:r>
      <w:r>
        <w:rPr>
          <w:rFonts w:hint="eastAsia" w:ascii="宋体" w:hAnsi="宋体" w:cs="宋体"/>
          <w:color w:val="auto"/>
          <w:sz w:val="24"/>
          <w:lang w:val="zh-CN"/>
        </w:rPr>
        <w:t>第</w:t>
      </w:r>
      <w:r>
        <w:rPr>
          <w:rFonts w:hint="eastAsia" w:ascii="宋体" w:hAnsi="宋体" w:cs="宋体"/>
          <w:color w:val="auto"/>
          <w:sz w:val="24"/>
        </w:rPr>
        <w:t>七</w:t>
      </w:r>
      <w:r>
        <w:rPr>
          <w:rFonts w:hint="eastAsia" w:ascii="宋体" w:hAnsi="宋体" w:cs="宋体"/>
          <w:color w:val="auto"/>
          <w:sz w:val="24"/>
          <w:lang w:val="zh-CN"/>
        </w:rPr>
        <w:t>章  合同协议书</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_Toc28721 \h </w:instrText>
      </w:r>
      <w:r>
        <w:rPr>
          <w:rFonts w:hint="eastAsia" w:ascii="宋体" w:hAnsi="宋体" w:cs="宋体"/>
          <w:color w:val="auto"/>
          <w:sz w:val="24"/>
        </w:rPr>
        <w:fldChar w:fldCharType="separate"/>
      </w:r>
      <w:r>
        <w:rPr>
          <w:rFonts w:hint="eastAsia" w:ascii="宋体" w:hAnsi="宋体" w:cs="宋体"/>
          <w:color w:val="auto"/>
          <w:sz w:val="24"/>
        </w:rPr>
        <w:t>88</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"_Toc12872" </w:instrText>
      </w:r>
      <w:r>
        <w:rPr>
          <w:color w:val="auto"/>
        </w:rPr>
        <w:fldChar w:fldCharType="separate"/>
      </w:r>
      <w:r>
        <w:rPr>
          <w:rFonts w:hint="eastAsia" w:ascii="宋体" w:hAnsi="宋体" w:cs="宋体"/>
          <w:bCs/>
          <w:color w:val="auto"/>
          <w:sz w:val="24"/>
          <w:lang w:val="zh-CN"/>
        </w:rPr>
        <w:t>第</w:t>
      </w:r>
      <w:r>
        <w:rPr>
          <w:rFonts w:hint="eastAsia" w:ascii="宋体" w:hAnsi="宋体" w:cs="宋体"/>
          <w:bCs/>
          <w:color w:val="auto"/>
          <w:sz w:val="24"/>
        </w:rPr>
        <w:t>八</w:t>
      </w:r>
      <w:r>
        <w:rPr>
          <w:rFonts w:hint="eastAsia" w:ascii="宋体" w:hAnsi="宋体" w:cs="宋体"/>
          <w:bCs/>
          <w:color w:val="auto"/>
          <w:sz w:val="24"/>
          <w:lang w:val="zh-CN"/>
        </w:rPr>
        <w:t>章  响应文件格式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_Toc12872 \h </w:instrText>
      </w:r>
      <w:r>
        <w:rPr>
          <w:rFonts w:hint="eastAsia" w:ascii="宋体" w:hAnsi="宋体" w:cs="宋体"/>
          <w:color w:val="auto"/>
          <w:sz w:val="24"/>
        </w:rPr>
        <w:fldChar w:fldCharType="separate"/>
      </w:r>
      <w:r>
        <w:rPr>
          <w:rFonts w:hint="eastAsia" w:ascii="宋体" w:hAnsi="宋体" w:cs="宋体"/>
          <w:color w:val="auto"/>
          <w:sz w:val="24"/>
        </w:rPr>
        <w:t>96</w:t>
      </w:r>
      <w:r>
        <w:rPr>
          <w:rFonts w:hint="eastAsia" w:ascii="宋体" w:hAnsi="宋体" w:cs="宋体"/>
          <w:color w:val="auto"/>
          <w:sz w:val="24"/>
        </w:rPr>
        <w:fldChar w:fldCharType="end"/>
      </w:r>
      <w:r>
        <w:rPr>
          <w:rFonts w:hint="eastAsia" w:ascii="宋体" w:hAnsi="宋体" w:cs="宋体"/>
          <w:color w:val="auto"/>
          <w:sz w:val="24"/>
        </w:rPr>
        <w:fldChar w:fldCharType="end"/>
      </w:r>
    </w:p>
    <w:p>
      <w:pPr>
        <w:autoSpaceDE w:val="0"/>
        <w:autoSpaceDN w:val="0"/>
        <w:adjustRightInd w:val="0"/>
        <w:snapToGrid w:val="0"/>
        <w:spacing w:line="360" w:lineRule="auto"/>
        <w:rPr>
          <w:rFonts w:ascii="宋体" w:hAnsi="宋体" w:cs="宋体"/>
          <w:b/>
          <w:bCs/>
          <w:color w:val="auto"/>
          <w:sz w:val="28"/>
          <w:szCs w:val="28"/>
        </w:rPr>
      </w:pPr>
      <w:r>
        <w:rPr>
          <w:rFonts w:hint="eastAsia" w:ascii="宋体" w:hAnsi="宋体" w:cs="宋体"/>
          <w:bCs/>
          <w:color w:val="auto"/>
          <w:sz w:val="24"/>
          <w:szCs w:val="24"/>
        </w:rPr>
        <w:fldChar w:fldCharType="end"/>
      </w:r>
    </w:p>
    <w:p>
      <w:pPr>
        <w:autoSpaceDE w:val="0"/>
        <w:autoSpaceDN w:val="0"/>
        <w:adjustRightInd w:val="0"/>
        <w:snapToGrid w:val="0"/>
        <w:spacing w:line="360" w:lineRule="auto"/>
        <w:rPr>
          <w:rFonts w:ascii="宋体" w:hAnsi="宋体" w:cs="宋体"/>
          <w:bCs/>
          <w:color w:val="auto"/>
          <w:sz w:val="28"/>
          <w:szCs w:val="28"/>
        </w:rPr>
      </w:pPr>
    </w:p>
    <w:p>
      <w:pPr>
        <w:autoSpaceDE w:val="0"/>
        <w:autoSpaceDN w:val="0"/>
        <w:adjustRightInd w:val="0"/>
        <w:jc w:val="left"/>
        <w:rPr>
          <w:rFonts w:ascii="宋体" w:hAnsi="宋体" w:cs="宋体"/>
          <w:b/>
          <w:bCs/>
          <w:color w:val="auto"/>
          <w:sz w:val="28"/>
          <w:szCs w:val="28"/>
          <w:lang w:val="zh-CN"/>
        </w:rPr>
      </w:pPr>
      <w:bookmarkStart w:id="123" w:name="_GoBack"/>
      <w:bookmarkEnd w:id="123"/>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snapToGrid w:val="0"/>
        <w:spacing w:line="360" w:lineRule="auto"/>
        <w:rPr>
          <w:rFonts w:ascii="宋体" w:hAnsi="宋体" w:cs="宋体"/>
          <w:b/>
          <w:bCs/>
          <w:color w:val="auto"/>
          <w:sz w:val="28"/>
          <w:szCs w:val="28"/>
          <w:lang w:val="zh-CN"/>
        </w:rPr>
        <w:sectPr>
          <w:headerReference r:id="rId9" w:type="first"/>
          <w:footerReference r:id="rId10" w:type="first"/>
          <w:pgSz w:w="11906" w:h="16838"/>
          <w:pgMar w:top="1418" w:right="1418" w:bottom="1418" w:left="1418" w:header="851" w:footer="992" w:gutter="0"/>
          <w:pgNumType w:start="1"/>
          <w:cols w:space="425" w:num="1"/>
          <w:titlePg/>
          <w:docGrid w:linePitch="312" w:charSpace="0"/>
        </w:sectPr>
      </w:pPr>
    </w:p>
    <w:p>
      <w:pPr>
        <w:pStyle w:val="3"/>
        <w:spacing w:line="520" w:lineRule="exact"/>
        <w:rPr>
          <w:rFonts w:ascii="宋体" w:hAnsi="宋体" w:cs="宋体"/>
          <w:color w:val="auto"/>
          <w:sz w:val="24"/>
          <w:szCs w:val="24"/>
          <w:lang w:val="zh-CN"/>
        </w:rPr>
      </w:pPr>
      <w:bookmarkStart w:id="0" w:name="_Toc26529"/>
      <w:r>
        <w:rPr>
          <w:rFonts w:hint="eastAsia" w:ascii="宋体" w:hAnsi="宋体" w:eastAsia="宋体" w:cs="宋体"/>
          <w:b/>
          <w:bCs/>
          <w:color w:val="auto"/>
          <w:szCs w:val="28"/>
          <w:lang w:val="zh-CN"/>
        </w:rPr>
        <w:t>第一章  竞争性谈判公告</w:t>
      </w:r>
      <w:bookmarkEnd w:id="0"/>
    </w:p>
    <w:tbl>
      <w:tblPr>
        <w:tblStyle w:val="3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500" w:type="dxa"/>
          </w:tcPr>
          <w:p>
            <w:pPr>
              <w:pStyle w:val="8"/>
              <w:keepNext w:val="0"/>
              <w:keepLines w:val="0"/>
              <w:spacing w:before="0" w:after="0" w:line="520" w:lineRule="exact"/>
              <w:rPr>
                <w:rFonts w:ascii="宋体" w:hAnsi="宋体" w:eastAsia="宋体" w:cs="宋体"/>
                <w:color w:val="auto"/>
                <w:sz w:val="28"/>
                <w:szCs w:val="28"/>
              </w:rPr>
            </w:pPr>
            <w:r>
              <w:rPr>
                <w:rFonts w:hint="eastAsia" w:ascii="宋体" w:hAnsi="宋体" w:eastAsia="宋体" w:cs="宋体"/>
                <w:color w:val="auto"/>
                <w:sz w:val="28"/>
                <w:szCs w:val="28"/>
              </w:rPr>
              <w:t xml:space="preserve">项目概况 </w:t>
            </w:r>
          </w:p>
          <w:p>
            <w:pPr>
              <w:pStyle w:val="31"/>
              <w:spacing w:before="0" w:beforeAutospacing="0" w:after="0" w:afterAutospacing="0" w:line="520" w:lineRule="exact"/>
              <w:ind w:firstLine="480" w:firstLineChars="200"/>
              <w:rPr>
                <w:b/>
                <w:bCs/>
                <w:color w:val="auto"/>
                <w:kern w:val="2"/>
              </w:rPr>
            </w:pPr>
            <w:r>
              <w:rPr>
                <w:rFonts w:hint="eastAsia"/>
                <w:color w:val="auto"/>
                <w:kern w:val="2"/>
              </w:rPr>
              <w:t xml:space="preserve">岳渎小学信息化建设项目的潜在供应商在1373107953@qq.com获取采购文件，并于2022年5月30日14时30分（北京时间）前提交响应文件。 </w:t>
            </w:r>
          </w:p>
        </w:tc>
      </w:tr>
    </w:tbl>
    <w:p>
      <w:pPr>
        <w:pStyle w:val="121"/>
        <w:spacing w:before="0" w:beforeAutospacing="0" w:after="0" w:afterAutospacing="0" w:line="520" w:lineRule="exact"/>
        <w:rPr>
          <w:b/>
          <w:bCs/>
          <w:color w:val="auto"/>
          <w:sz w:val="28"/>
          <w:szCs w:val="28"/>
        </w:rPr>
      </w:pPr>
      <w:r>
        <w:rPr>
          <w:rFonts w:hint="eastAsia"/>
          <w:b/>
          <w:bCs/>
          <w:color w:val="auto"/>
          <w:sz w:val="28"/>
          <w:szCs w:val="28"/>
        </w:rPr>
        <w:t>一、项目基本情况</w:t>
      </w:r>
    </w:p>
    <w:p>
      <w:pPr>
        <w:pStyle w:val="31"/>
        <w:spacing w:before="0" w:beforeAutospacing="0" w:after="0" w:afterAutospacing="0" w:line="520" w:lineRule="exact"/>
        <w:ind w:firstLine="480" w:firstLineChars="200"/>
        <w:rPr>
          <w:color w:val="auto"/>
          <w:kern w:val="2"/>
        </w:rPr>
      </w:pPr>
      <w:r>
        <w:rPr>
          <w:rFonts w:hint="eastAsia"/>
          <w:color w:val="auto"/>
          <w:kern w:val="2"/>
        </w:rPr>
        <w:t xml:space="preserve">项目编号：SSJY-CG（G）-2022008 </w:t>
      </w:r>
    </w:p>
    <w:p>
      <w:pPr>
        <w:pStyle w:val="31"/>
        <w:spacing w:before="0" w:beforeAutospacing="0" w:after="0" w:afterAutospacing="0" w:line="520" w:lineRule="exact"/>
        <w:ind w:firstLine="480" w:firstLineChars="200"/>
        <w:rPr>
          <w:color w:val="auto"/>
          <w:kern w:val="2"/>
        </w:rPr>
      </w:pPr>
      <w:r>
        <w:rPr>
          <w:rFonts w:hint="eastAsia"/>
          <w:color w:val="auto"/>
          <w:kern w:val="2"/>
        </w:rPr>
        <w:t>项目名称：岳渎小学信息化建设项目</w:t>
      </w:r>
    </w:p>
    <w:p>
      <w:pPr>
        <w:pStyle w:val="31"/>
        <w:spacing w:before="0" w:beforeAutospacing="0" w:after="0" w:afterAutospacing="0" w:line="520" w:lineRule="exact"/>
        <w:ind w:firstLine="480" w:firstLineChars="200"/>
        <w:rPr>
          <w:color w:val="auto"/>
          <w:kern w:val="2"/>
        </w:rPr>
      </w:pPr>
      <w:r>
        <w:rPr>
          <w:rFonts w:hint="eastAsia"/>
          <w:color w:val="auto"/>
          <w:kern w:val="2"/>
        </w:rPr>
        <w:t>采购方式：竞争性谈判</w:t>
      </w:r>
    </w:p>
    <w:p>
      <w:pPr>
        <w:pStyle w:val="31"/>
        <w:spacing w:before="0" w:beforeAutospacing="0" w:after="0" w:afterAutospacing="0" w:line="520" w:lineRule="exact"/>
        <w:ind w:firstLine="480" w:firstLineChars="200"/>
        <w:rPr>
          <w:color w:val="auto"/>
          <w:kern w:val="2"/>
        </w:rPr>
      </w:pPr>
      <w:r>
        <w:rPr>
          <w:rFonts w:hint="eastAsia"/>
          <w:color w:val="auto"/>
          <w:kern w:val="2"/>
        </w:rPr>
        <w:t>预算金额：1,500,000.00元</w:t>
      </w:r>
    </w:p>
    <w:p>
      <w:pPr>
        <w:pStyle w:val="31"/>
        <w:spacing w:before="0" w:beforeAutospacing="0" w:after="0" w:afterAutospacing="0" w:line="520" w:lineRule="exact"/>
        <w:ind w:firstLine="480" w:firstLineChars="200"/>
        <w:rPr>
          <w:color w:val="auto"/>
          <w:kern w:val="2"/>
        </w:rPr>
      </w:pPr>
      <w:r>
        <w:rPr>
          <w:rFonts w:hint="eastAsia"/>
          <w:color w:val="auto"/>
          <w:kern w:val="2"/>
        </w:rPr>
        <w:t>采购需求：</w:t>
      </w:r>
    </w:p>
    <w:p>
      <w:pPr>
        <w:pStyle w:val="31"/>
        <w:spacing w:before="0" w:beforeAutospacing="0" w:after="0" w:afterAutospacing="0" w:line="520" w:lineRule="exact"/>
        <w:ind w:firstLine="960" w:firstLineChars="400"/>
        <w:jc w:val="both"/>
        <w:rPr>
          <w:color w:val="auto"/>
          <w:kern w:val="2"/>
        </w:rPr>
      </w:pPr>
      <w:r>
        <w:rPr>
          <w:rFonts w:hint="eastAsia"/>
          <w:color w:val="auto"/>
          <w:kern w:val="2"/>
        </w:rPr>
        <w:t>合同包1(潼关县教育科技局岳渎小学信息化建设项目):</w:t>
      </w:r>
    </w:p>
    <w:p>
      <w:pPr>
        <w:pStyle w:val="31"/>
        <w:spacing w:before="0" w:beforeAutospacing="0" w:after="0" w:afterAutospacing="0" w:line="520" w:lineRule="exact"/>
        <w:ind w:firstLine="960" w:firstLineChars="400"/>
        <w:jc w:val="both"/>
        <w:rPr>
          <w:color w:val="auto"/>
          <w:kern w:val="2"/>
        </w:rPr>
      </w:pPr>
      <w:r>
        <w:rPr>
          <w:rFonts w:hint="eastAsia"/>
          <w:color w:val="auto"/>
          <w:kern w:val="2"/>
        </w:rPr>
        <w:t>合同包预算金额：1,500,000.00元</w:t>
      </w:r>
    </w:p>
    <w:p>
      <w:pPr>
        <w:pStyle w:val="31"/>
        <w:spacing w:before="0" w:beforeAutospacing="0" w:after="0" w:afterAutospacing="0" w:line="520" w:lineRule="exact"/>
        <w:ind w:firstLine="960" w:firstLineChars="400"/>
        <w:jc w:val="both"/>
        <w:rPr>
          <w:color w:val="auto"/>
          <w:kern w:val="2"/>
        </w:rPr>
      </w:pPr>
      <w:r>
        <w:rPr>
          <w:rFonts w:hint="eastAsia"/>
          <w:color w:val="auto"/>
          <w:kern w:val="2"/>
        </w:rPr>
        <w:t xml:space="preserve">合同包最高限价：1,500,000.00元 </w:t>
      </w:r>
    </w:p>
    <w:tbl>
      <w:tblPr>
        <w:tblStyle w:val="36"/>
        <w:tblW w:w="5239" w:type="pct"/>
        <w:tblCellSpacing w:w="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94"/>
        <w:gridCol w:w="1525"/>
        <w:gridCol w:w="1563"/>
        <w:gridCol w:w="1238"/>
        <w:gridCol w:w="1786"/>
        <w:gridCol w:w="120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tblHeader/>
          <w:tblCellSpacing w:w="0" w:type="dxa"/>
        </w:trPr>
        <w:tc>
          <w:tcPr>
            <w:tcW w:w="1097"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品目号</w:t>
            </w:r>
          </w:p>
        </w:tc>
        <w:tc>
          <w:tcPr>
            <w:tcW w:w="1400"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品目名称</w:t>
            </w:r>
          </w:p>
        </w:tc>
        <w:tc>
          <w:tcPr>
            <w:tcW w:w="1435"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采购标的</w:t>
            </w:r>
          </w:p>
        </w:tc>
        <w:tc>
          <w:tcPr>
            <w:tcW w:w="1137"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数量</w:t>
            </w:r>
          </w:p>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（单位）</w:t>
            </w:r>
          </w:p>
        </w:tc>
        <w:tc>
          <w:tcPr>
            <w:tcW w:w="1640"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技术规格、参数及要求</w:t>
            </w:r>
          </w:p>
        </w:tc>
        <w:tc>
          <w:tcPr>
            <w:tcW w:w="1107"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品目预算(元)</w:t>
            </w:r>
          </w:p>
        </w:tc>
        <w:tc>
          <w:tcPr>
            <w:tcW w:w="1161"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b/>
                <w:bCs/>
                <w:color w:val="auto"/>
                <w:sz w:val="24"/>
                <w:szCs w:val="24"/>
              </w:rPr>
            </w:pPr>
            <w:r>
              <w:rPr>
                <w:rFonts w:hint="eastAsia" w:ascii="宋体" w:hAnsi="宋体" w:cs="宋体"/>
                <w:b/>
                <w:bCs/>
                <w:color w:val="auto"/>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2" w:hRule="atLeast"/>
          <w:tblCellSpacing w:w="0" w:type="dxa"/>
        </w:trPr>
        <w:tc>
          <w:tcPr>
            <w:tcW w:w="1097"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color w:val="auto"/>
                <w:sz w:val="24"/>
                <w:szCs w:val="24"/>
              </w:rPr>
            </w:pPr>
            <w:r>
              <w:rPr>
                <w:rFonts w:hint="eastAsia" w:ascii="宋体" w:hAnsi="宋体" w:cs="宋体"/>
                <w:color w:val="auto"/>
                <w:sz w:val="24"/>
                <w:szCs w:val="24"/>
              </w:rPr>
              <w:t>1-1</w:t>
            </w:r>
          </w:p>
        </w:tc>
        <w:tc>
          <w:tcPr>
            <w:tcW w:w="1400"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color w:val="auto"/>
                <w:sz w:val="24"/>
                <w:szCs w:val="24"/>
              </w:rPr>
            </w:pPr>
            <w:r>
              <w:rPr>
                <w:rFonts w:hint="eastAsia" w:ascii="宋体" w:hAnsi="宋体" w:cs="宋体"/>
                <w:color w:val="auto"/>
                <w:sz w:val="24"/>
                <w:szCs w:val="24"/>
              </w:rPr>
              <w:t xml:space="preserve"> 小型计算机</w:t>
            </w:r>
          </w:p>
        </w:tc>
        <w:tc>
          <w:tcPr>
            <w:tcW w:w="1435"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color w:val="auto"/>
                <w:sz w:val="24"/>
                <w:szCs w:val="24"/>
              </w:rPr>
            </w:pPr>
            <w:r>
              <w:rPr>
                <w:rFonts w:hint="eastAsia" w:ascii="宋体" w:hAnsi="宋体" w:cs="宋体"/>
                <w:color w:val="auto"/>
                <w:sz w:val="24"/>
                <w:szCs w:val="24"/>
              </w:rPr>
              <w:t>信息化建设</w:t>
            </w:r>
          </w:p>
        </w:tc>
        <w:tc>
          <w:tcPr>
            <w:tcW w:w="1137"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color w:val="auto"/>
                <w:sz w:val="24"/>
                <w:szCs w:val="24"/>
              </w:rPr>
            </w:pPr>
            <w:r>
              <w:rPr>
                <w:rFonts w:hint="eastAsia" w:ascii="宋体" w:hAnsi="宋体" w:cs="宋体"/>
                <w:color w:val="auto"/>
                <w:sz w:val="24"/>
                <w:szCs w:val="24"/>
              </w:rPr>
              <w:t>1(项)</w:t>
            </w:r>
          </w:p>
        </w:tc>
        <w:tc>
          <w:tcPr>
            <w:tcW w:w="1640"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color w:val="auto"/>
                <w:sz w:val="24"/>
                <w:szCs w:val="24"/>
              </w:rPr>
            </w:pPr>
            <w:r>
              <w:rPr>
                <w:rFonts w:hint="eastAsia" w:ascii="宋体" w:hAnsi="宋体" w:cs="宋体"/>
                <w:color w:val="auto"/>
                <w:sz w:val="24"/>
                <w:szCs w:val="24"/>
              </w:rPr>
              <w:t>详见采购文件</w:t>
            </w:r>
          </w:p>
        </w:tc>
        <w:tc>
          <w:tcPr>
            <w:tcW w:w="1107"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color w:val="auto"/>
                <w:sz w:val="24"/>
                <w:szCs w:val="24"/>
              </w:rPr>
            </w:pPr>
            <w:r>
              <w:rPr>
                <w:rFonts w:hint="eastAsia" w:ascii="宋体" w:hAnsi="宋体" w:cs="宋体"/>
                <w:color w:val="auto"/>
                <w:sz w:val="24"/>
                <w:szCs w:val="24"/>
              </w:rPr>
              <w:t>1,500,000.00</w:t>
            </w:r>
          </w:p>
        </w:tc>
        <w:tc>
          <w:tcPr>
            <w:tcW w:w="1161" w:type="dxa"/>
            <w:tcBorders>
              <w:tl2br w:val="nil"/>
              <w:tr2bl w:val="nil"/>
            </w:tcBorders>
            <w:tcMar>
              <w:top w:w="75" w:type="dxa"/>
              <w:left w:w="120" w:type="dxa"/>
              <w:bottom w:w="75" w:type="dxa"/>
              <w:right w:w="120" w:type="dxa"/>
            </w:tcMar>
            <w:vAlign w:val="center"/>
          </w:tcPr>
          <w:p>
            <w:pPr>
              <w:widowControl/>
              <w:spacing w:line="520" w:lineRule="exact"/>
              <w:jc w:val="center"/>
              <w:rPr>
                <w:rFonts w:ascii="宋体" w:hAnsi="宋体" w:cs="宋体"/>
                <w:color w:val="auto"/>
                <w:sz w:val="24"/>
                <w:szCs w:val="24"/>
              </w:rPr>
            </w:pPr>
            <w:r>
              <w:rPr>
                <w:rFonts w:hint="eastAsia" w:ascii="宋体" w:hAnsi="宋体" w:cs="宋体"/>
                <w:color w:val="auto"/>
                <w:sz w:val="24"/>
                <w:szCs w:val="24"/>
              </w:rPr>
              <w:t>1,500,000.00</w:t>
            </w:r>
          </w:p>
        </w:tc>
      </w:tr>
    </w:tbl>
    <w:p>
      <w:pPr>
        <w:pStyle w:val="31"/>
        <w:spacing w:before="0" w:beforeAutospacing="0" w:after="0" w:afterAutospacing="0" w:line="520" w:lineRule="exact"/>
        <w:ind w:firstLine="480" w:firstLineChars="200"/>
        <w:jc w:val="both"/>
        <w:rPr>
          <w:color w:val="auto"/>
          <w:kern w:val="2"/>
        </w:rPr>
      </w:pPr>
      <w:r>
        <w:rPr>
          <w:rFonts w:hint="eastAsia"/>
          <w:color w:val="auto"/>
          <w:kern w:val="2"/>
        </w:rPr>
        <w:t xml:space="preserve">本合同包不接受联合体投标 </w:t>
      </w:r>
    </w:p>
    <w:p>
      <w:pPr>
        <w:pStyle w:val="31"/>
        <w:spacing w:before="0" w:beforeAutospacing="0" w:after="0" w:afterAutospacing="0" w:line="520" w:lineRule="exact"/>
        <w:ind w:firstLine="480" w:firstLineChars="200"/>
        <w:jc w:val="both"/>
        <w:rPr>
          <w:color w:val="auto"/>
          <w:kern w:val="2"/>
        </w:rPr>
      </w:pPr>
      <w:r>
        <w:rPr>
          <w:rFonts w:hint="eastAsia"/>
          <w:color w:val="auto"/>
          <w:kern w:val="2"/>
        </w:rPr>
        <w:t>合同履行期限：40个日历日</w:t>
      </w:r>
    </w:p>
    <w:p>
      <w:pPr>
        <w:pStyle w:val="121"/>
        <w:spacing w:before="0" w:beforeAutospacing="0" w:after="0" w:afterAutospacing="0" w:line="520" w:lineRule="exact"/>
        <w:rPr>
          <w:b/>
          <w:bCs/>
          <w:color w:val="auto"/>
          <w:sz w:val="28"/>
          <w:szCs w:val="28"/>
        </w:rPr>
      </w:pPr>
      <w:r>
        <w:rPr>
          <w:rFonts w:hint="eastAsia"/>
          <w:b/>
          <w:bCs/>
          <w:color w:val="auto"/>
          <w:sz w:val="28"/>
          <w:szCs w:val="28"/>
        </w:rPr>
        <w:t xml:space="preserve">二、 响应供应商的资格要求 </w:t>
      </w:r>
    </w:p>
    <w:p>
      <w:pPr>
        <w:pStyle w:val="31"/>
        <w:spacing w:before="0" w:beforeAutospacing="0" w:after="0" w:afterAutospacing="0" w:line="520" w:lineRule="exact"/>
        <w:ind w:firstLine="480" w:firstLineChars="200"/>
        <w:rPr>
          <w:color w:val="auto"/>
          <w:kern w:val="2"/>
        </w:rPr>
      </w:pPr>
      <w:r>
        <w:rPr>
          <w:rFonts w:hint="eastAsia"/>
          <w:color w:val="auto"/>
          <w:kern w:val="2"/>
        </w:rPr>
        <w:t>1.满足《中华人民共和国政府釆购法》第二十二条规定;</w:t>
      </w:r>
    </w:p>
    <w:p>
      <w:pPr>
        <w:pStyle w:val="31"/>
        <w:spacing w:before="0" w:beforeAutospacing="0" w:after="0" w:afterAutospacing="0" w:line="520" w:lineRule="exact"/>
        <w:ind w:firstLine="480" w:firstLineChars="200"/>
        <w:rPr>
          <w:color w:val="auto"/>
          <w:kern w:val="2"/>
        </w:rPr>
      </w:pPr>
      <w:r>
        <w:rPr>
          <w:rFonts w:hint="eastAsia"/>
          <w:color w:val="auto"/>
          <w:kern w:val="2"/>
        </w:rPr>
        <w:t xml:space="preserve">2.落实政府采购政策需满足的资格要求： </w:t>
      </w:r>
    </w:p>
    <w:p>
      <w:pPr>
        <w:pStyle w:val="31"/>
        <w:spacing w:before="0" w:beforeAutospacing="0" w:after="0" w:afterAutospacing="0" w:line="520" w:lineRule="exact"/>
        <w:ind w:firstLine="480" w:firstLineChars="200"/>
        <w:rPr>
          <w:color w:val="auto"/>
          <w:kern w:val="2"/>
        </w:rPr>
      </w:pPr>
      <w:r>
        <w:rPr>
          <w:rFonts w:hint="eastAsia"/>
          <w:color w:val="auto"/>
          <w:kern w:val="2"/>
        </w:rPr>
        <w:t>合同包1(潼关县教育科技局岳渎小学信息化建设项目)落实政府采购政策需满足的资格要求如下:</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依据《中华人民共和国政府采购法》和《中华人民共和国政府采购法实施条例》的有关规定，落实政府采购政策，详见谈判文件。</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《政府采购促进中小企业发展管理办法》（财库〔2020〕46号）；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《财政部司法部关于政府采购支持监狱企业发展有关问题的通知》（财库〔2014〕68号）；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《国务院办公厅关于建立政府强制采购节能产品制度的通知》（国办发〔2007〕51号）；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《环境标志产品政府采购实施的意见》（财库〔2006〕90号）；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《关于促进残疾人就业政府采购政策的通知》财库〔2017〕141号；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财政部国家发展改革委关于印发〈节能产品政府采购实施意见〉的通知》（财库〔2004〕185号）；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《财政部发展改革委生态环境部市场监管总局关于调整优化节能产品、环境标志产品政府采购执行机制的通知》（财库〔2019〕9号）；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《关于印发环境标志产品政府采购品目清单的通知》（财库〔2019〕18号）；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《关于印发节能产品政府采购品目清单的通知》（财库〔2019〕19号）；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《关于运用政府采购政策支持乡村产业振兴的通知》财库〔2021〕19号；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《陕西省中小企业政府采购信用融资办法》（陕财办采〔2018〕23号）；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《陕西省财政厅关于加快推进我省中小企业政府采购信用融资工作的通知》（陕财办采〔2020〕15号）；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《财政部关于在政府采购活动中查询及使用信用记录有关问题的通知》（财库〔2016〕125 号）；</w:t>
      </w:r>
    </w:p>
    <w:p>
      <w:pPr>
        <w:numPr>
          <w:ilvl w:val="0"/>
          <w:numId w:val="1"/>
        </w:num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其他落实的政府采购政策。若享受以上政策优惠的企业，需提供相应声明函或品目清单范围内产品的有效认证证书。</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3.本项目的特定资格要求：</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合同包1(</w:t>
      </w:r>
      <w:r>
        <w:rPr>
          <w:rFonts w:hint="eastAsia"/>
          <w:color w:val="auto"/>
          <w:kern w:val="2"/>
        </w:rPr>
        <w:t>潼关县教育科技局岳渎小学信息化建设项目</w:t>
      </w:r>
      <w:r>
        <w:rPr>
          <w:rFonts w:hint="eastAsia" w:cs="Times New Roman"/>
          <w:color w:val="auto"/>
          <w:kern w:val="2"/>
        </w:rPr>
        <w:t>)特定资格要求如下:</w:t>
      </w:r>
    </w:p>
    <w:p>
      <w:pPr>
        <w:pStyle w:val="31"/>
        <w:numPr>
          <w:ilvl w:val="0"/>
          <w:numId w:val="2"/>
        </w:numPr>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具有独立承担民事责任能力的法人、其他组织或自然人，并出具合法有效的营业执照或事业单位法人证书等国家规定的相关证明，自然人参与的提供其身份证明；</w:t>
      </w:r>
    </w:p>
    <w:p>
      <w:pPr>
        <w:pStyle w:val="31"/>
        <w:numPr>
          <w:ilvl w:val="0"/>
          <w:numId w:val="2"/>
        </w:numPr>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p>
    <w:p>
      <w:pPr>
        <w:pStyle w:val="31"/>
        <w:numPr>
          <w:ilvl w:val="0"/>
          <w:numId w:val="2"/>
        </w:numPr>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供应商不得为列入信用中国(www.creditchina.gov.cn)记录失信被执行人或重大税收违法案件当事人名单或中国政府采购网(www.ccgp.gov.cn)的政府采购严重违法失信行为记录名单；</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（4）本项目不接受联合体谈判。单位负责人为同一人或者存在控股、管理关系的不同单位不得同时参加。</w:t>
      </w:r>
    </w:p>
    <w:p>
      <w:pPr>
        <w:pStyle w:val="121"/>
        <w:spacing w:before="0" w:beforeAutospacing="0" w:after="0" w:afterAutospacing="0" w:line="520" w:lineRule="exact"/>
        <w:rPr>
          <w:b/>
          <w:bCs/>
          <w:color w:val="auto"/>
          <w:sz w:val="28"/>
          <w:szCs w:val="28"/>
        </w:rPr>
      </w:pPr>
      <w:r>
        <w:rPr>
          <w:rFonts w:hint="eastAsia"/>
          <w:b/>
          <w:bCs/>
          <w:color w:val="auto"/>
          <w:sz w:val="28"/>
          <w:szCs w:val="28"/>
        </w:rPr>
        <w:t>三、获取采购文件</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时间：2022年05月</w:t>
      </w:r>
      <w:r>
        <w:rPr>
          <w:rFonts w:hint="eastAsia" w:cs="Times New Roman"/>
          <w:color w:val="auto"/>
          <w:kern w:val="2"/>
          <w:lang w:val="en-US" w:eastAsia="zh-CN"/>
        </w:rPr>
        <w:t>24</w:t>
      </w:r>
      <w:r>
        <w:rPr>
          <w:rFonts w:hint="eastAsia" w:cs="Times New Roman"/>
          <w:color w:val="auto"/>
          <w:kern w:val="2"/>
        </w:rPr>
        <w:t>日至2022年05月</w:t>
      </w:r>
      <w:r>
        <w:rPr>
          <w:rFonts w:hint="eastAsia" w:cs="Times New Roman"/>
          <w:color w:val="auto"/>
          <w:kern w:val="2"/>
          <w:lang w:val="en-US" w:eastAsia="zh-CN"/>
        </w:rPr>
        <w:t>27</w:t>
      </w:r>
      <w:r>
        <w:rPr>
          <w:rFonts w:hint="eastAsia" w:cs="Times New Roman"/>
          <w:color w:val="auto"/>
          <w:kern w:val="2"/>
        </w:rPr>
        <w:t>日，每天上午09:00:00至12:00:00 ，下午13:30:00至17:30:00（北京时间,法定节假日除外）</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地点：1373107953@qq.com</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方式：</w:t>
      </w:r>
      <w:r>
        <w:rPr>
          <w:rFonts w:hint="eastAsia" w:cs="Times New Roman"/>
          <w:color w:val="auto"/>
          <w:kern w:val="2"/>
          <w:lang w:val="en-US" w:eastAsia="zh-CN"/>
        </w:rPr>
        <w:t>在线</w:t>
      </w:r>
      <w:r>
        <w:rPr>
          <w:rFonts w:hint="eastAsia" w:cs="Times New Roman"/>
          <w:color w:val="auto"/>
          <w:kern w:val="2"/>
        </w:rPr>
        <w:t>获取</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售价：免费获取</w:t>
      </w:r>
    </w:p>
    <w:p>
      <w:pPr>
        <w:pStyle w:val="121"/>
        <w:spacing w:before="0" w:beforeAutospacing="0" w:after="0" w:afterAutospacing="0" w:line="520" w:lineRule="exact"/>
        <w:rPr>
          <w:b/>
          <w:bCs/>
          <w:color w:val="auto"/>
          <w:sz w:val="28"/>
          <w:szCs w:val="28"/>
        </w:rPr>
      </w:pPr>
      <w:r>
        <w:rPr>
          <w:rFonts w:hint="eastAsia"/>
          <w:b/>
          <w:bCs/>
          <w:color w:val="auto"/>
          <w:sz w:val="28"/>
          <w:szCs w:val="28"/>
        </w:rPr>
        <w:t>四、响应文件提交</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截止时间：</w:t>
      </w:r>
      <w:r>
        <w:rPr>
          <w:rFonts w:hint="eastAsia"/>
          <w:color w:val="auto"/>
          <w:kern w:val="2"/>
        </w:rPr>
        <w:t>2022年5月30日</w:t>
      </w:r>
      <w:r>
        <w:rPr>
          <w:rFonts w:hint="eastAsia" w:cs="Times New Roman"/>
          <w:color w:val="auto"/>
          <w:kern w:val="2"/>
        </w:rPr>
        <w:t>14时30分00秒 （北京时间）</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地点：西安市未央区凤城八路与渭滨路十字西北角水晶新天地10楼11004室</w:t>
      </w:r>
    </w:p>
    <w:p>
      <w:pPr>
        <w:pStyle w:val="121"/>
        <w:spacing w:before="0" w:beforeAutospacing="0" w:after="0" w:afterAutospacing="0" w:line="520" w:lineRule="exact"/>
        <w:rPr>
          <w:b/>
          <w:bCs/>
          <w:color w:val="auto"/>
          <w:sz w:val="28"/>
          <w:szCs w:val="28"/>
        </w:rPr>
      </w:pPr>
      <w:r>
        <w:rPr>
          <w:rFonts w:hint="eastAsia"/>
          <w:b/>
          <w:bCs/>
          <w:color w:val="auto"/>
          <w:sz w:val="28"/>
          <w:szCs w:val="28"/>
        </w:rPr>
        <w:t>五、开启</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时间：</w:t>
      </w:r>
      <w:r>
        <w:rPr>
          <w:rFonts w:hint="eastAsia"/>
          <w:color w:val="auto"/>
          <w:kern w:val="2"/>
        </w:rPr>
        <w:t>2022年5月30日</w:t>
      </w:r>
      <w:r>
        <w:rPr>
          <w:rFonts w:hint="eastAsia" w:cs="Times New Roman"/>
          <w:color w:val="auto"/>
          <w:kern w:val="2"/>
        </w:rPr>
        <w:t>14时30分00秒 （北京时间）</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地点：西安市未央区凤城八路与渭滨路十字西北角水晶新天地10楼11004室</w:t>
      </w:r>
    </w:p>
    <w:p>
      <w:pPr>
        <w:pStyle w:val="121"/>
        <w:spacing w:before="0" w:beforeAutospacing="0" w:after="0" w:afterAutospacing="0" w:line="520" w:lineRule="exact"/>
        <w:rPr>
          <w:b/>
          <w:bCs/>
          <w:color w:val="auto"/>
          <w:sz w:val="28"/>
          <w:szCs w:val="28"/>
        </w:rPr>
      </w:pPr>
      <w:r>
        <w:rPr>
          <w:rFonts w:hint="eastAsia"/>
          <w:b/>
          <w:bCs/>
          <w:color w:val="auto"/>
          <w:sz w:val="28"/>
          <w:szCs w:val="28"/>
        </w:rPr>
        <w:t>六、公告期限</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自本公告发布之日起3个工作日。</w:t>
      </w:r>
    </w:p>
    <w:p>
      <w:pPr>
        <w:pStyle w:val="121"/>
        <w:spacing w:before="0" w:beforeAutospacing="0" w:after="0" w:afterAutospacing="0" w:line="520" w:lineRule="exact"/>
        <w:rPr>
          <w:b/>
          <w:bCs/>
          <w:color w:val="auto"/>
          <w:sz w:val="28"/>
          <w:szCs w:val="28"/>
        </w:rPr>
      </w:pPr>
      <w:r>
        <w:rPr>
          <w:rFonts w:hint="eastAsia"/>
          <w:b/>
          <w:bCs/>
          <w:color w:val="auto"/>
          <w:sz w:val="28"/>
          <w:szCs w:val="28"/>
        </w:rPr>
        <w:t>七、其他补充事宜</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1、供应商请于2022年05月</w:t>
      </w:r>
      <w:r>
        <w:rPr>
          <w:rFonts w:hint="eastAsia" w:cs="Times New Roman"/>
          <w:color w:val="auto"/>
          <w:kern w:val="2"/>
          <w:lang w:val="en-US" w:eastAsia="zh-CN"/>
        </w:rPr>
        <w:t>24</w:t>
      </w:r>
      <w:r>
        <w:rPr>
          <w:rFonts w:hint="eastAsia" w:cs="Times New Roman"/>
          <w:color w:val="auto"/>
          <w:kern w:val="2"/>
        </w:rPr>
        <w:t>日至2022年05月</w:t>
      </w:r>
      <w:r>
        <w:rPr>
          <w:rFonts w:hint="eastAsia" w:cs="Times New Roman"/>
          <w:color w:val="auto"/>
          <w:kern w:val="2"/>
          <w:lang w:val="en-US" w:eastAsia="zh-CN"/>
        </w:rPr>
        <w:t>27</w:t>
      </w:r>
      <w:r>
        <w:rPr>
          <w:rFonts w:hint="eastAsia" w:cs="Times New Roman"/>
          <w:color w:val="auto"/>
          <w:kern w:val="2"/>
        </w:rPr>
        <w:t>日，每天上午9:00-12:00，下午14:00-17:00（法定节假日除外），</w:t>
      </w:r>
      <w:r>
        <w:rPr>
          <w:rFonts w:hint="eastAsia" w:ascii="宋体" w:hAnsi="宋体"/>
          <w:color w:val="auto"/>
          <w:sz w:val="24"/>
          <w:szCs w:val="24"/>
        </w:rPr>
        <w:t>凡有意参加本项目的供应商在</w:t>
      </w:r>
      <w:r>
        <w:rPr>
          <w:rFonts w:hint="eastAsia" w:ascii="宋体" w:hAnsi="宋体"/>
          <w:color w:val="auto"/>
          <w:sz w:val="24"/>
          <w:szCs w:val="24"/>
          <w:lang w:val="en-US" w:eastAsia="zh-CN"/>
        </w:rPr>
        <w:t>谈判</w:t>
      </w:r>
      <w:r>
        <w:rPr>
          <w:rFonts w:hint="eastAsia" w:ascii="宋体" w:hAnsi="宋体"/>
          <w:color w:val="auto"/>
          <w:sz w:val="24"/>
          <w:szCs w:val="24"/>
        </w:rPr>
        <w:t>文件获取时间内将单位介绍信及经办人身份证复印件加盖公章的扫描件（备注经办人、联系电话及电子邮箱）发送至</w:t>
      </w:r>
      <w:r>
        <w:rPr>
          <w:rFonts w:hint="eastAsia" w:cs="Times New Roman"/>
          <w:color w:val="auto"/>
          <w:kern w:val="2"/>
          <w:lang w:val="en-US" w:eastAsia="zh-CN"/>
        </w:rPr>
        <w:t>1373107953@qq.com</w:t>
      </w:r>
      <w:r>
        <w:rPr>
          <w:rFonts w:hint="eastAsia" w:ascii="宋体" w:hAnsi="宋体"/>
          <w:color w:val="auto"/>
          <w:sz w:val="24"/>
          <w:szCs w:val="24"/>
        </w:rPr>
        <w:t>邮箱，邮箱标题请以项目名称-单位名称的方式命名，并及时联系采购代理机构进行确认，在报名资料核实无误后发送谈判文件</w:t>
      </w:r>
      <w:r>
        <w:rPr>
          <w:rFonts w:hint="eastAsia" w:cs="Times New Roman"/>
          <w:color w:val="auto"/>
          <w:kern w:val="2"/>
        </w:rPr>
        <w:t>。</w:t>
      </w:r>
    </w:p>
    <w:p>
      <w:pPr>
        <w:pStyle w:val="31"/>
        <w:spacing w:before="0" w:beforeAutospacing="0" w:after="0" w:afterAutospacing="0" w:line="520" w:lineRule="exact"/>
        <w:ind w:firstLine="480" w:firstLineChars="200"/>
        <w:jc w:val="both"/>
        <w:rPr>
          <w:rFonts w:cs="Times New Roman"/>
          <w:color w:val="auto"/>
          <w:kern w:val="2"/>
        </w:rPr>
      </w:pPr>
      <w:r>
        <w:rPr>
          <w:rFonts w:hint="eastAsia" w:cs="Times New Roman"/>
          <w:color w:val="auto"/>
          <w:kern w:val="2"/>
        </w:rPr>
        <w:t>2、供应商按照陕西省财政厅关于政府采购供应商注册登记有关事项的通知中的要求，通过陕西省政府采购网（http://www.ccgp-shaanxi.gov.cn/）注册登记加入陕西省政府采购供应商库。</w:t>
      </w:r>
    </w:p>
    <w:p>
      <w:pPr>
        <w:pStyle w:val="121"/>
        <w:spacing w:before="0" w:beforeAutospacing="0" w:after="0" w:afterAutospacing="0" w:line="520" w:lineRule="exact"/>
        <w:rPr>
          <w:b/>
          <w:bCs/>
          <w:color w:val="auto"/>
          <w:sz w:val="28"/>
          <w:szCs w:val="28"/>
        </w:rPr>
      </w:pPr>
      <w:r>
        <w:rPr>
          <w:rFonts w:hint="eastAsia"/>
          <w:b/>
          <w:bCs/>
          <w:color w:val="auto"/>
          <w:sz w:val="28"/>
          <w:szCs w:val="28"/>
        </w:rPr>
        <w:t>八、凡对本次采购提出询问，请按以下方式联系。</w:t>
      </w:r>
    </w:p>
    <w:p>
      <w:pPr>
        <w:pStyle w:val="8"/>
        <w:keepNext w:val="0"/>
        <w:keepLines w:val="0"/>
        <w:spacing w:before="0" w:after="0" w:line="520" w:lineRule="exact"/>
        <w:ind w:firstLine="482" w:firstLineChars="200"/>
        <w:rPr>
          <w:rFonts w:ascii="宋体" w:hAnsi="宋体" w:eastAsia="宋体"/>
          <w:color w:val="auto"/>
          <w:kern w:val="2"/>
        </w:rPr>
      </w:pPr>
      <w:r>
        <w:rPr>
          <w:rFonts w:hint="eastAsia" w:ascii="宋体" w:hAnsi="宋体" w:eastAsia="宋体"/>
          <w:color w:val="auto"/>
          <w:kern w:val="2"/>
        </w:rPr>
        <w:t>1.釆购人信息</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名称：潼关县教育科技局</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地址：</w:t>
      </w:r>
      <w:r>
        <w:rPr>
          <w:rFonts w:hint="eastAsia"/>
          <w:color w:val="auto"/>
        </w:rPr>
        <w:t>渭南市潼关县育贤街（西段）</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联系方式：0913-3906892</w:t>
      </w:r>
    </w:p>
    <w:p>
      <w:pPr>
        <w:pStyle w:val="8"/>
        <w:keepNext w:val="0"/>
        <w:keepLines w:val="0"/>
        <w:spacing w:before="0" w:after="0" w:line="520" w:lineRule="exact"/>
        <w:ind w:firstLine="482" w:firstLineChars="200"/>
        <w:rPr>
          <w:rFonts w:ascii="宋体" w:hAnsi="宋体" w:eastAsia="宋体"/>
          <w:color w:val="auto"/>
          <w:kern w:val="2"/>
        </w:rPr>
      </w:pPr>
      <w:r>
        <w:rPr>
          <w:rFonts w:hint="eastAsia" w:ascii="宋体" w:hAnsi="宋体" w:eastAsia="宋体"/>
          <w:color w:val="auto"/>
          <w:kern w:val="2"/>
        </w:rPr>
        <w:t>2.釆购代理机构信息</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名称：陕西盛仕骄阳项目管理有限公司</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地址：西安市未央区凤城八路与渭滨路十字西北角水晶新天地10楼11004室</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联系方式：</w:t>
      </w:r>
      <w:r>
        <w:rPr>
          <w:rFonts w:hint="eastAsia"/>
          <w:color w:val="auto"/>
        </w:rPr>
        <w:t>029-89871668</w:t>
      </w:r>
    </w:p>
    <w:p>
      <w:pPr>
        <w:pStyle w:val="8"/>
        <w:keepNext w:val="0"/>
        <w:keepLines w:val="0"/>
        <w:spacing w:before="0" w:after="0" w:line="520" w:lineRule="exact"/>
        <w:ind w:firstLine="482" w:firstLineChars="200"/>
        <w:rPr>
          <w:rFonts w:ascii="宋体" w:hAnsi="宋体" w:eastAsia="宋体"/>
          <w:color w:val="auto"/>
          <w:kern w:val="2"/>
        </w:rPr>
      </w:pPr>
      <w:r>
        <w:rPr>
          <w:rFonts w:hint="eastAsia" w:ascii="宋体" w:hAnsi="宋体" w:eastAsia="宋体"/>
          <w:color w:val="auto"/>
          <w:kern w:val="2"/>
        </w:rPr>
        <w:t xml:space="preserve">3.项目联系方式 </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项目联系人：张工</w:t>
      </w:r>
    </w:p>
    <w:p>
      <w:pPr>
        <w:pStyle w:val="31"/>
        <w:spacing w:before="0" w:beforeAutospacing="0" w:after="0" w:afterAutospacing="0" w:line="520" w:lineRule="exact"/>
        <w:ind w:firstLine="480" w:firstLineChars="200"/>
        <w:rPr>
          <w:rFonts w:cs="Times New Roman"/>
          <w:color w:val="auto"/>
          <w:kern w:val="2"/>
        </w:rPr>
      </w:pPr>
      <w:r>
        <w:rPr>
          <w:rFonts w:hint="eastAsia" w:cs="Times New Roman"/>
          <w:color w:val="auto"/>
          <w:kern w:val="2"/>
        </w:rPr>
        <w:t>电话：</w:t>
      </w:r>
      <w:r>
        <w:rPr>
          <w:rFonts w:hint="eastAsia"/>
          <w:color w:val="auto"/>
        </w:rPr>
        <w:t>029-89871668</w:t>
      </w:r>
    </w:p>
    <w:p>
      <w:pPr>
        <w:pStyle w:val="31"/>
        <w:spacing w:before="0" w:beforeAutospacing="0" w:after="0" w:afterAutospacing="0" w:line="520" w:lineRule="exact"/>
        <w:jc w:val="right"/>
        <w:rPr>
          <w:rFonts w:cs="Times New Roman"/>
          <w:color w:val="auto"/>
          <w:kern w:val="2"/>
        </w:rPr>
      </w:pPr>
      <w:r>
        <w:rPr>
          <w:rFonts w:hint="eastAsia" w:cs="Times New Roman"/>
          <w:color w:val="auto"/>
          <w:kern w:val="2"/>
        </w:rPr>
        <w:t>陕西盛仕骄阳项目管理有限公司</w:t>
      </w:r>
    </w:p>
    <w:p>
      <w:pPr>
        <w:pStyle w:val="31"/>
        <w:spacing w:before="0" w:beforeAutospacing="0" w:after="0" w:afterAutospacing="0" w:line="520" w:lineRule="exact"/>
        <w:jc w:val="center"/>
        <w:rPr>
          <w:rFonts w:cs="Times New Roman"/>
          <w:color w:val="auto"/>
          <w:kern w:val="2"/>
        </w:rPr>
      </w:pPr>
      <w:r>
        <w:rPr>
          <w:rFonts w:hint="eastAsia" w:cs="Times New Roman"/>
          <w:color w:val="auto"/>
          <w:kern w:val="2"/>
        </w:rPr>
        <w:t xml:space="preserve">                                          2022年05月</w:t>
      </w:r>
      <w:r>
        <w:rPr>
          <w:rFonts w:hint="eastAsia" w:cs="Times New Roman"/>
          <w:color w:val="auto"/>
          <w:kern w:val="2"/>
          <w:lang w:val="en-US" w:eastAsia="zh-CN"/>
        </w:rPr>
        <w:t>24</w:t>
      </w:r>
      <w:r>
        <w:rPr>
          <w:rFonts w:hint="eastAsia" w:cs="Times New Roman"/>
          <w:color w:val="auto"/>
          <w:kern w:val="2"/>
        </w:rPr>
        <w:t>日</w:t>
      </w:r>
    </w:p>
    <w:p>
      <w:pPr>
        <w:pStyle w:val="31"/>
        <w:spacing w:before="0" w:beforeAutospacing="0" w:after="0" w:afterAutospacing="0" w:line="360" w:lineRule="auto"/>
        <w:ind w:firstLine="480" w:firstLineChars="200"/>
        <w:rPr>
          <w:color w:val="auto"/>
        </w:rPr>
      </w:pPr>
    </w:p>
    <w:p>
      <w:pPr>
        <w:pStyle w:val="31"/>
        <w:spacing w:before="0" w:beforeAutospacing="0" w:after="0" w:afterAutospacing="0" w:line="520" w:lineRule="exact"/>
        <w:ind w:firstLine="480" w:firstLineChars="200"/>
        <w:rPr>
          <w:color w:val="auto"/>
        </w:rPr>
      </w:pPr>
    </w:p>
    <w:p>
      <w:pPr>
        <w:spacing w:line="520" w:lineRule="exact"/>
        <w:ind w:firstLine="420" w:firstLineChars="200"/>
        <w:rPr>
          <w:rFonts w:ascii="宋体" w:hAnsi="宋体" w:cs="宋体"/>
          <w:color w:val="auto"/>
          <w:sz w:val="24"/>
          <w:szCs w:val="24"/>
        </w:rPr>
      </w:pPr>
      <w:r>
        <w:rPr>
          <w:rFonts w:hint="eastAsia" w:ascii="宋体" w:hAnsi="宋体" w:cs="宋体"/>
          <w:color w:val="auto"/>
          <w:szCs w:val="21"/>
        </w:rPr>
        <w:br w:type="page"/>
      </w:r>
    </w:p>
    <w:p>
      <w:pPr>
        <w:pStyle w:val="3"/>
        <w:rPr>
          <w:rFonts w:ascii="宋体" w:hAnsi="宋体" w:eastAsia="宋体" w:cs="宋体"/>
          <w:b/>
          <w:color w:val="auto"/>
          <w:szCs w:val="28"/>
        </w:rPr>
      </w:pPr>
      <w:bookmarkStart w:id="1" w:name="_Toc16804"/>
      <w:r>
        <w:rPr>
          <w:rFonts w:hint="eastAsia" w:ascii="宋体" w:hAnsi="宋体" w:eastAsia="宋体" w:cs="宋体"/>
          <w:b/>
          <w:color w:val="auto"/>
          <w:szCs w:val="28"/>
        </w:rPr>
        <w:t>第二章 竞争性谈判须知</w:t>
      </w:r>
      <w:bookmarkEnd w:id="1"/>
    </w:p>
    <w:p>
      <w:pPr>
        <w:rPr>
          <w:rFonts w:ascii="宋体" w:hAnsi="宋体" w:cs="宋体"/>
          <w:color w:val="auto"/>
        </w:rPr>
      </w:pPr>
    </w:p>
    <w:tbl>
      <w:tblPr>
        <w:tblStyle w:val="36"/>
        <w:tblW w:w="98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033"/>
        <w:gridCol w:w="72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13" w:type="dxa"/>
            <w:vAlign w:val="center"/>
          </w:tcPr>
          <w:p>
            <w:pPr>
              <w:pStyle w:val="115"/>
              <w:spacing w:line="440" w:lineRule="exact"/>
              <w:ind w:left="9"/>
              <w:jc w:val="center"/>
              <w:rPr>
                <w:color w:val="auto"/>
                <w:lang w:val="zh-CN"/>
              </w:rPr>
            </w:pPr>
            <w:r>
              <w:rPr>
                <w:rFonts w:hint="eastAsia"/>
                <w:color w:val="auto"/>
                <w:lang w:val="zh-CN"/>
              </w:rPr>
              <w:t>序号</w:t>
            </w:r>
          </w:p>
        </w:tc>
        <w:tc>
          <w:tcPr>
            <w:tcW w:w="2033" w:type="dxa"/>
            <w:vAlign w:val="center"/>
          </w:tcPr>
          <w:p>
            <w:pPr>
              <w:pStyle w:val="115"/>
              <w:spacing w:line="440" w:lineRule="exact"/>
              <w:ind w:left="-114"/>
              <w:jc w:val="center"/>
              <w:rPr>
                <w:color w:val="auto"/>
                <w:lang w:val="zh-CN"/>
              </w:rPr>
            </w:pPr>
            <w:r>
              <w:rPr>
                <w:rFonts w:hint="eastAsia"/>
                <w:color w:val="auto"/>
                <w:lang w:val="zh-CN"/>
              </w:rPr>
              <w:t xml:space="preserve">条款名称 </w:t>
            </w:r>
          </w:p>
        </w:tc>
        <w:tc>
          <w:tcPr>
            <w:tcW w:w="7227" w:type="dxa"/>
            <w:vAlign w:val="center"/>
          </w:tcPr>
          <w:p>
            <w:pPr>
              <w:pStyle w:val="115"/>
              <w:spacing w:line="440" w:lineRule="exact"/>
              <w:jc w:val="center"/>
              <w:rPr>
                <w:color w:val="auto"/>
                <w:lang w:val="zh-CN"/>
              </w:rPr>
            </w:pPr>
            <w:r>
              <w:rPr>
                <w:rFonts w:hint="eastAsia"/>
                <w:color w:val="auto"/>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lang w:val="zh-CN"/>
              </w:rPr>
            </w:pPr>
            <w:r>
              <w:rPr>
                <w:rFonts w:hint="eastAsia"/>
                <w:color w:val="auto"/>
                <w:lang w:val="zh-CN"/>
              </w:rPr>
              <w:t>1</w:t>
            </w:r>
          </w:p>
        </w:tc>
        <w:tc>
          <w:tcPr>
            <w:tcW w:w="2033" w:type="dxa"/>
            <w:vAlign w:val="center"/>
          </w:tcPr>
          <w:p>
            <w:pPr>
              <w:pStyle w:val="115"/>
              <w:spacing w:line="440" w:lineRule="exact"/>
              <w:jc w:val="center"/>
              <w:rPr>
                <w:color w:val="auto"/>
                <w:lang w:val="zh-CN"/>
              </w:rPr>
            </w:pPr>
            <w:r>
              <w:rPr>
                <w:rFonts w:hint="eastAsia"/>
                <w:color w:val="auto"/>
                <w:lang w:val="zh-CN"/>
              </w:rPr>
              <w:t>采购人</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名称：潼关县教育科技局</w:t>
            </w:r>
          </w:p>
          <w:p>
            <w:pPr>
              <w:spacing w:line="440" w:lineRule="exact"/>
              <w:rPr>
                <w:rFonts w:ascii="宋体" w:hAnsi="宋体" w:cs="宋体"/>
                <w:color w:val="auto"/>
                <w:sz w:val="24"/>
                <w:szCs w:val="24"/>
              </w:rPr>
            </w:pPr>
            <w:r>
              <w:rPr>
                <w:rFonts w:hint="eastAsia" w:ascii="宋体" w:hAnsi="宋体" w:cs="宋体"/>
                <w:color w:val="auto"/>
                <w:sz w:val="24"/>
                <w:szCs w:val="24"/>
              </w:rPr>
              <w:t>地址：渭南市潼关县育贤街（西段）</w:t>
            </w:r>
          </w:p>
          <w:p>
            <w:pPr>
              <w:spacing w:line="440" w:lineRule="exact"/>
              <w:rPr>
                <w:rFonts w:ascii="宋体" w:hAnsi="宋体" w:cs="宋体"/>
                <w:color w:val="auto"/>
                <w:sz w:val="24"/>
                <w:szCs w:val="24"/>
              </w:rPr>
            </w:pPr>
            <w:r>
              <w:rPr>
                <w:rFonts w:hint="eastAsia" w:ascii="宋体" w:hAnsi="宋体" w:cs="宋体"/>
                <w:color w:val="auto"/>
                <w:sz w:val="24"/>
                <w:szCs w:val="24"/>
              </w:rPr>
              <w:t>联系人:</w:t>
            </w:r>
            <w:r>
              <w:rPr>
                <w:rFonts w:hint="eastAsia" w:cs="宋体"/>
                <w:color w:val="auto"/>
                <w:sz w:val="24"/>
                <w:szCs w:val="24"/>
              </w:rPr>
              <w:t>杨</w:t>
            </w:r>
            <w:r>
              <w:rPr>
                <w:rFonts w:hint="eastAsia" w:ascii="宋体" w:hAnsi="宋体" w:cs="宋体"/>
                <w:color w:val="auto"/>
                <w:sz w:val="24"/>
                <w:szCs w:val="24"/>
              </w:rPr>
              <w:t>老师</w:t>
            </w:r>
          </w:p>
          <w:p>
            <w:pPr>
              <w:spacing w:line="440" w:lineRule="exact"/>
              <w:rPr>
                <w:rFonts w:ascii="宋体" w:hAnsi="宋体" w:cs="宋体"/>
                <w:color w:val="auto"/>
                <w:sz w:val="24"/>
                <w:szCs w:val="24"/>
              </w:rPr>
            </w:pPr>
            <w:r>
              <w:rPr>
                <w:rFonts w:hint="eastAsia" w:ascii="宋体" w:hAnsi="宋体" w:cs="宋体"/>
                <w:color w:val="auto"/>
                <w:sz w:val="24"/>
                <w:szCs w:val="24"/>
              </w:rPr>
              <w:t>电  话:0913-3906892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lang w:val="zh-CN"/>
              </w:rPr>
            </w:pPr>
            <w:r>
              <w:rPr>
                <w:rFonts w:hint="eastAsia"/>
                <w:color w:val="auto"/>
                <w:lang w:val="zh-CN"/>
              </w:rPr>
              <w:t>2</w:t>
            </w:r>
          </w:p>
        </w:tc>
        <w:tc>
          <w:tcPr>
            <w:tcW w:w="2033" w:type="dxa"/>
            <w:vAlign w:val="center"/>
          </w:tcPr>
          <w:p>
            <w:pPr>
              <w:pStyle w:val="115"/>
              <w:spacing w:line="440" w:lineRule="exact"/>
              <w:ind w:left="38"/>
              <w:jc w:val="center"/>
              <w:rPr>
                <w:color w:val="auto"/>
                <w:lang w:val="zh-CN"/>
              </w:rPr>
            </w:pPr>
            <w:r>
              <w:rPr>
                <w:rFonts w:hint="eastAsia"/>
                <w:color w:val="auto"/>
                <w:lang w:val="zh-CN"/>
              </w:rPr>
              <w:t>采购代理机构</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名  称: 陕西盛仕骄阳项目管理有限公司</w:t>
            </w:r>
          </w:p>
          <w:p>
            <w:pPr>
              <w:spacing w:line="440" w:lineRule="exact"/>
              <w:rPr>
                <w:rFonts w:ascii="宋体" w:hAnsi="宋体" w:cs="宋体"/>
                <w:color w:val="auto"/>
                <w:sz w:val="24"/>
                <w:szCs w:val="24"/>
              </w:rPr>
            </w:pPr>
            <w:r>
              <w:rPr>
                <w:rFonts w:hint="eastAsia" w:ascii="宋体" w:hAnsi="宋体" w:cs="宋体"/>
                <w:color w:val="auto"/>
                <w:sz w:val="24"/>
                <w:szCs w:val="24"/>
              </w:rPr>
              <w:t>地  址: 西安市未央区凤城八路与渭滨路十字西北角水晶新天地10楼11004室</w:t>
            </w:r>
          </w:p>
          <w:p>
            <w:pPr>
              <w:spacing w:line="440" w:lineRule="exact"/>
              <w:rPr>
                <w:rFonts w:ascii="宋体" w:hAnsi="宋体" w:cs="宋体"/>
                <w:color w:val="auto"/>
                <w:sz w:val="24"/>
                <w:szCs w:val="24"/>
              </w:rPr>
            </w:pPr>
            <w:r>
              <w:rPr>
                <w:rFonts w:hint="eastAsia" w:ascii="宋体" w:hAnsi="宋体" w:cs="宋体"/>
                <w:color w:val="auto"/>
                <w:sz w:val="24"/>
                <w:szCs w:val="24"/>
              </w:rPr>
              <w:t>联系人: 张工</w:t>
            </w:r>
          </w:p>
          <w:p>
            <w:pPr>
              <w:spacing w:line="440" w:lineRule="exact"/>
              <w:rPr>
                <w:rFonts w:ascii="宋体" w:hAnsi="宋体" w:cs="宋体"/>
                <w:color w:val="auto"/>
                <w:sz w:val="24"/>
                <w:szCs w:val="24"/>
              </w:rPr>
            </w:pPr>
            <w:r>
              <w:rPr>
                <w:rFonts w:hint="eastAsia" w:ascii="宋体" w:hAnsi="宋体" w:cs="宋体"/>
                <w:color w:val="auto"/>
                <w:sz w:val="24"/>
                <w:szCs w:val="24"/>
              </w:rPr>
              <w:t>电  话: 029-89871668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3" w:type="dxa"/>
            <w:vAlign w:val="center"/>
          </w:tcPr>
          <w:p>
            <w:pPr>
              <w:pStyle w:val="115"/>
              <w:spacing w:line="440" w:lineRule="exact"/>
              <w:jc w:val="center"/>
              <w:rPr>
                <w:color w:val="auto"/>
                <w:kern w:val="2"/>
              </w:rPr>
            </w:pPr>
            <w:r>
              <w:rPr>
                <w:rFonts w:hint="eastAsia"/>
                <w:color w:val="auto"/>
                <w:kern w:val="2"/>
              </w:rPr>
              <w:t>3</w:t>
            </w:r>
          </w:p>
        </w:tc>
        <w:tc>
          <w:tcPr>
            <w:tcW w:w="2033" w:type="dxa"/>
            <w:vAlign w:val="center"/>
          </w:tcPr>
          <w:p>
            <w:pPr>
              <w:pStyle w:val="115"/>
              <w:spacing w:line="440" w:lineRule="exact"/>
              <w:ind w:left="38"/>
              <w:jc w:val="center"/>
              <w:rPr>
                <w:color w:val="auto"/>
                <w:kern w:val="2"/>
              </w:rPr>
            </w:pPr>
            <w:r>
              <w:rPr>
                <w:rFonts w:hint="eastAsia"/>
                <w:color w:val="auto"/>
                <w:kern w:val="2"/>
              </w:rPr>
              <w:t>项目名称</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潼关县教育科技局岳渎小学信息化建设项目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13" w:type="dxa"/>
            <w:vAlign w:val="center"/>
          </w:tcPr>
          <w:p>
            <w:pPr>
              <w:pStyle w:val="115"/>
              <w:spacing w:line="440" w:lineRule="exact"/>
              <w:jc w:val="center"/>
              <w:rPr>
                <w:color w:val="auto"/>
                <w:lang w:val="zh-CN"/>
              </w:rPr>
            </w:pPr>
            <w:r>
              <w:rPr>
                <w:rFonts w:hint="eastAsia"/>
                <w:color w:val="auto"/>
                <w:lang w:val="zh-CN"/>
              </w:rPr>
              <w:t>4</w:t>
            </w:r>
          </w:p>
        </w:tc>
        <w:tc>
          <w:tcPr>
            <w:tcW w:w="2033" w:type="dxa"/>
            <w:vAlign w:val="center"/>
          </w:tcPr>
          <w:p>
            <w:pPr>
              <w:pStyle w:val="115"/>
              <w:spacing w:line="440" w:lineRule="exact"/>
              <w:ind w:left="38"/>
              <w:jc w:val="center"/>
              <w:rPr>
                <w:color w:val="auto"/>
                <w:lang w:val="zh-CN"/>
              </w:rPr>
            </w:pPr>
            <w:r>
              <w:rPr>
                <w:rFonts w:hint="eastAsia"/>
                <w:color w:val="auto"/>
                <w:lang w:val="zh-CN"/>
              </w:rPr>
              <w:t>项目编号</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SSJY-CG（G）-2022008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13" w:type="dxa"/>
            <w:vAlign w:val="center"/>
          </w:tcPr>
          <w:p>
            <w:pPr>
              <w:pStyle w:val="115"/>
              <w:spacing w:line="440" w:lineRule="exact"/>
              <w:jc w:val="center"/>
              <w:rPr>
                <w:color w:val="auto"/>
                <w:lang w:val="zh-CN"/>
              </w:rPr>
            </w:pPr>
            <w:r>
              <w:rPr>
                <w:rFonts w:hint="eastAsia"/>
                <w:color w:val="auto"/>
              </w:rPr>
              <w:t>5</w:t>
            </w:r>
          </w:p>
        </w:tc>
        <w:tc>
          <w:tcPr>
            <w:tcW w:w="2033" w:type="dxa"/>
            <w:vAlign w:val="center"/>
          </w:tcPr>
          <w:p>
            <w:pPr>
              <w:pStyle w:val="115"/>
              <w:spacing w:line="440" w:lineRule="exact"/>
              <w:ind w:left="38"/>
              <w:jc w:val="center"/>
              <w:rPr>
                <w:color w:val="auto"/>
                <w:kern w:val="2"/>
              </w:rPr>
            </w:pPr>
            <w:r>
              <w:rPr>
                <w:rFonts w:hint="eastAsia"/>
                <w:color w:val="auto"/>
                <w:kern w:val="2"/>
              </w:rPr>
              <w:t>采购内容</w:t>
            </w:r>
          </w:p>
        </w:tc>
        <w:tc>
          <w:tcPr>
            <w:tcW w:w="7227" w:type="dxa"/>
            <w:vAlign w:val="center"/>
          </w:tcPr>
          <w:p>
            <w:pPr>
              <w:pStyle w:val="115"/>
              <w:spacing w:line="440" w:lineRule="exact"/>
              <w:rPr>
                <w:color w:val="auto"/>
              </w:rPr>
            </w:pPr>
            <w:r>
              <w:rPr>
                <w:rFonts w:hint="eastAsia"/>
                <w:color w:val="auto"/>
              </w:rPr>
              <w:t>采购信息化设备，详见竞争性谈判文件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6</w:t>
            </w:r>
          </w:p>
        </w:tc>
        <w:tc>
          <w:tcPr>
            <w:tcW w:w="2033" w:type="dxa"/>
            <w:vAlign w:val="center"/>
          </w:tcPr>
          <w:p>
            <w:pPr>
              <w:pStyle w:val="115"/>
              <w:spacing w:line="440" w:lineRule="exact"/>
              <w:ind w:left="96"/>
              <w:jc w:val="center"/>
              <w:rPr>
                <w:color w:val="auto"/>
              </w:rPr>
            </w:pPr>
            <w:r>
              <w:rPr>
                <w:rFonts w:hint="eastAsia"/>
                <w:color w:val="auto"/>
              </w:rPr>
              <w:t>采购预算</w:t>
            </w:r>
          </w:p>
        </w:tc>
        <w:tc>
          <w:tcPr>
            <w:tcW w:w="7227" w:type="dxa"/>
            <w:vAlign w:val="center"/>
          </w:tcPr>
          <w:p>
            <w:pPr>
              <w:pStyle w:val="115"/>
              <w:spacing w:line="440" w:lineRule="exact"/>
              <w:jc w:val="both"/>
              <w:rPr>
                <w:color w:val="auto"/>
              </w:rPr>
            </w:pPr>
            <w:r>
              <w:rPr>
                <w:rFonts w:hint="eastAsia"/>
                <w:color w:val="auto"/>
              </w:rPr>
              <w:t>1,500,000.00元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7</w:t>
            </w:r>
          </w:p>
        </w:tc>
        <w:tc>
          <w:tcPr>
            <w:tcW w:w="2033" w:type="dxa"/>
            <w:vAlign w:val="center"/>
          </w:tcPr>
          <w:p>
            <w:pPr>
              <w:pStyle w:val="115"/>
              <w:spacing w:line="440" w:lineRule="exact"/>
              <w:ind w:left="96"/>
              <w:jc w:val="center"/>
              <w:rPr>
                <w:color w:val="auto"/>
              </w:rPr>
            </w:pPr>
            <w:r>
              <w:rPr>
                <w:rFonts w:hint="eastAsia"/>
                <w:color w:val="auto"/>
              </w:rPr>
              <w:t>最高限价</w:t>
            </w:r>
          </w:p>
        </w:tc>
        <w:tc>
          <w:tcPr>
            <w:tcW w:w="7227" w:type="dxa"/>
            <w:vAlign w:val="center"/>
          </w:tcPr>
          <w:p>
            <w:pPr>
              <w:pStyle w:val="115"/>
              <w:spacing w:line="440" w:lineRule="exact"/>
              <w:jc w:val="both"/>
              <w:rPr>
                <w:color w:val="auto"/>
              </w:rPr>
            </w:pPr>
            <w:r>
              <w:rPr>
                <w:rFonts w:hint="eastAsia"/>
                <w:color w:val="auto"/>
              </w:rPr>
              <w:t>1,500,000.00元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8</w:t>
            </w:r>
          </w:p>
        </w:tc>
        <w:tc>
          <w:tcPr>
            <w:tcW w:w="2033" w:type="dxa"/>
            <w:vAlign w:val="center"/>
          </w:tcPr>
          <w:p>
            <w:pPr>
              <w:pStyle w:val="115"/>
              <w:spacing w:line="440" w:lineRule="exact"/>
              <w:ind w:left="96"/>
              <w:jc w:val="center"/>
              <w:rPr>
                <w:color w:val="auto"/>
              </w:rPr>
            </w:pPr>
            <w:r>
              <w:rPr>
                <w:rFonts w:hint="eastAsia"/>
                <w:color w:val="auto"/>
              </w:rPr>
              <w:t>交货期</w:t>
            </w:r>
          </w:p>
        </w:tc>
        <w:tc>
          <w:tcPr>
            <w:tcW w:w="7227" w:type="dxa"/>
            <w:vAlign w:val="center"/>
          </w:tcPr>
          <w:p>
            <w:pPr>
              <w:pStyle w:val="115"/>
              <w:spacing w:line="440" w:lineRule="exact"/>
              <w:jc w:val="both"/>
              <w:rPr>
                <w:color w:val="auto"/>
              </w:rPr>
            </w:pPr>
            <w:r>
              <w:rPr>
                <w:rFonts w:hint="eastAsia"/>
                <w:color w:val="auto"/>
                <w:kern w:val="2"/>
              </w:rPr>
              <w:t>40个日历日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9</w:t>
            </w:r>
          </w:p>
        </w:tc>
        <w:tc>
          <w:tcPr>
            <w:tcW w:w="2033" w:type="dxa"/>
            <w:vAlign w:val="center"/>
          </w:tcPr>
          <w:p>
            <w:pPr>
              <w:pStyle w:val="115"/>
              <w:spacing w:line="440" w:lineRule="exact"/>
              <w:ind w:left="96"/>
              <w:jc w:val="center"/>
              <w:rPr>
                <w:color w:val="auto"/>
                <w:lang w:val="zh-CN"/>
              </w:rPr>
            </w:pPr>
            <w:r>
              <w:rPr>
                <w:rFonts w:hint="eastAsia"/>
                <w:color w:val="auto"/>
                <w:lang w:val="zh-CN"/>
              </w:rPr>
              <w:t>质量要求、验收标准</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质量要求：达到国家现行技术标准。</w:t>
            </w:r>
          </w:p>
          <w:p>
            <w:pPr>
              <w:spacing w:line="440" w:lineRule="exact"/>
              <w:rPr>
                <w:rFonts w:ascii="宋体" w:hAnsi="宋体" w:cs="宋体"/>
                <w:color w:val="auto"/>
                <w:sz w:val="24"/>
                <w:szCs w:val="24"/>
              </w:rPr>
            </w:pPr>
            <w:r>
              <w:rPr>
                <w:rFonts w:hint="eastAsia" w:ascii="宋体" w:hAnsi="宋体" w:cs="宋体"/>
                <w:color w:val="auto"/>
                <w:sz w:val="24"/>
                <w:szCs w:val="24"/>
              </w:rPr>
              <w:t>验收标准：国家标准、行业标准、企业标准。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10</w:t>
            </w:r>
          </w:p>
        </w:tc>
        <w:tc>
          <w:tcPr>
            <w:tcW w:w="2033" w:type="dxa"/>
            <w:vAlign w:val="center"/>
          </w:tcPr>
          <w:p>
            <w:pPr>
              <w:spacing w:line="440" w:lineRule="exact"/>
              <w:jc w:val="center"/>
              <w:rPr>
                <w:rFonts w:ascii="宋体" w:hAnsi="宋体" w:cs="宋体"/>
                <w:color w:val="auto"/>
                <w:sz w:val="24"/>
                <w:szCs w:val="24"/>
                <w:lang w:val="zh-CN"/>
              </w:rPr>
            </w:pPr>
            <w:r>
              <w:rPr>
                <w:rFonts w:hint="eastAsia" w:ascii="宋体" w:hAnsi="宋体" w:cs="宋体"/>
                <w:color w:val="auto"/>
                <w:sz w:val="24"/>
                <w:szCs w:val="24"/>
              </w:rPr>
              <w:t>谈判文件发售</w:t>
            </w:r>
          </w:p>
        </w:tc>
        <w:tc>
          <w:tcPr>
            <w:tcW w:w="7227" w:type="dxa"/>
            <w:vAlign w:val="center"/>
          </w:tcPr>
          <w:p>
            <w:pPr>
              <w:pStyle w:val="122"/>
              <w:spacing w:line="440" w:lineRule="exact"/>
              <w:jc w:val="both"/>
              <w:rPr>
                <w:rFonts w:ascii="宋体" w:hAnsi="宋体" w:cs="宋体"/>
                <w:color w:val="auto"/>
                <w:szCs w:val="24"/>
              </w:rPr>
            </w:pPr>
            <w:r>
              <w:rPr>
                <w:rFonts w:hint="eastAsia" w:ascii="宋体" w:hAnsi="宋体" w:cs="宋体"/>
                <w:color w:val="auto"/>
                <w:spacing w:val="-6"/>
                <w:szCs w:val="24"/>
              </w:rPr>
              <w:t>发售时间：2022年05月</w:t>
            </w:r>
            <w:r>
              <w:rPr>
                <w:rFonts w:hint="eastAsia" w:ascii="宋体" w:hAnsi="宋体" w:cs="宋体"/>
                <w:color w:val="auto"/>
                <w:spacing w:val="-6"/>
                <w:szCs w:val="24"/>
                <w:lang w:val="en-US" w:eastAsia="zh-CN"/>
              </w:rPr>
              <w:t>24</w:t>
            </w:r>
            <w:r>
              <w:rPr>
                <w:rFonts w:hint="eastAsia" w:ascii="宋体" w:hAnsi="宋体" w:cs="宋体"/>
                <w:color w:val="auto"/>
                <w:spacing w:val="-6"/>
                <w:szCs w:val="24"/>
              </w:rPr>
              <w:t>日至2022年05月</w:t>
            </w:r>
            <w:r>
              <w:rPr>
                <w:rFonts w:hint="eastAsia" w:ascii="宋体" w:hAnsi="宋体" w:cs="宋体"/>
                <w:color w:val="auto"/>
                <w:spacing w:val="-6"/>
                <w:szCs w:val="24"/>
                <w:lang w:val="en-US" w:eastAsia="zh-CN"/>
              </w:rPr>
              <w:t>27</w:t>
            </w:r>
            <w:r>
              <w:rPr>
                <w:rFonts w:hint="eastAsia" w:ascii="宋体" w:hAnsi="宋体" w:cs="宋体"/>
                <w:color w:val="auto"/>
                <w:spacing w:val="-6"/>
                <w:szCs w:val="24"/>
              </w:rPr>
              <w:t>日（上午9：00-12:00，下午14:00-17:00）。</w:t>
            </w:r>
          </w:p>
          <w:p>
            <w:pPr>
              <w:spacing w:line="440" w:lineRule="exact"/>
              <w:rPr>
                <w:rFonts w:ascii="宋体" w:hAnsi="宋体" w:cs="宋体"/>
                <w:color w:val="auto"/>
                <w:sz w:val="24"/>
                <w:szCs w:val="24"/>
              </w:rPr>
            </w:pPr>
            <w:r>
              <w:rPr>
                <w:rFonts w:hint="eastAsia" w:ascii="宋体" w:hAnsi="宋体" w:cs="宋体"/>
                <w:color w:val="auto"/>
                <w:sz w:val="24"/>
                <w:szCs w:val="24"/>
              </w:rPr>
              <w:t>发售地点：1373107953@qq.com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13" w:type="dxa"/>
            <w:vAlign w:val="center"/>
          </w:tcPr>
          <w:p>
            <w:pPr>
              <w:pStyle w:val="115"/>
              <w:spacing w:line="440" w:lineRule="exact"/>
              <w:jc w:val="center"/>
              <w:rPr>
                <w:color w:val="auto"/>
              </w:rPr>
            </w:pPr>
            <w:r>
              <w:rPr>
                <w:rFonts w:hint="eastAsia"/>
                <w:color w:val="auto"/>
              </w:rPr>
              <w:t>11</w:t>
            </w:r>
          </w:p>
        </w:tc>
        <w:tc>
          <w:tcPr>
            <w:tcW w:w="2033" w:type="dxa"/>
            <w:vAlign w:val="center"/>
          </w:tcPr>
          <w:p>
            <w:pPr>
              <w:pStyle w:val="115"/>
              <w:spacing w:line="440" w:lineRule="exact"/>
              <w:ind w:left="235"/>
              <w:jc w:val="center"/>
              <w:rPr>
                <w:color w:val="auto"/>
                <w:lang w:val="zh-CN"/>
              </w:rPr>
            </w:pPr>
            <w:r>
              <w:rPr>
                <w:rFonts w:hint="eastAsia"/>
                <w:color w:val="auto"/>
                <w:lang w:val="zh-CN"/>
              </w:rPr>
              <w:t>联合体谈判</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12</w:t>
            </w:r>
          </w:p>
        </w:tc>
        <w:tc>
          <w:tcPr>
            <w:tcW w:w="2033" w:type="dxa"/>
            <w:vAlign w:val="center"/>
          </w:tcPr>
          <w:p>
            <w:pPr>
              <w:pStyle w:val="115"/>
              <w:spacing w:line="440" w:lineRule="exact"/>
              <w:rPr>
                <w:color w:val="auto"/>
                <w:lang w:val="zh-CN"/>
              </w:rPr>
            </w:pPr>
            <w:r>
              <w:rPr>
                <w:rFonts w:hint="eastAsia"/>
                <w:color w:val="auto"/>
                <w:lang w:val="zh-CN"/>
              </w:rPr>
              <w:t>考察现场、标前答</w:t>
            </w:r>
          </w:p>
          <w:p>
            <w:pPr>
              <w:pStyle w:val="115"/>
              <w:spacing w:line="440" w:lineRule="exact"/>
              <w:jc w:val="center"/>
              <w:rPr>
                <w:color w:val="auto"/>
                <w:lang w:val="zh-CN"/>
              </w:rPr>
            </w:pPr>
            <w:r>
              <w:rPr>
                <w:rFonts w:hint="eastAsia"/>
                <w:color w:val="auto"/>
                <w:lang w:val="zh-CN"/>
              </w:rPr>
              <w:t>疑会</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13</w:t>
            </w:r>
          </w:p>
        </w:tc>
        <w:tc>
          <w:tcPr>
            <w:tcW w:w="2033" w:type="dxa"/>
            <w:vAlign w:val="center"/>
          </w:tcPr>
          <w:p>
            <w:pPr>
              <w:pStyle w:val="115"/>
              <w:spacing w:line="440" w:lineRule="exact"/>
              <w:ind w:left="52"/>
              <w:jc w:val="center"/>
              <w:rPr>
                <w:color w:val="auto"/>
                <w:lang w:val="zh-CN"/>
              </w:rPr>
            </w:pPr>
            <w:r>
              <w:rPr>
                <w:rFonts w:hint="eastAsia"/>
                <w:color w:val="auto"/>
                <w:lang w:val="zh-CN"/>
              </w:rPr>
              <w:t>构成竞争性谈判采购文件的其他文件</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竞争性谈判采购文件的澄清、修改书及有关补充通知为竞争性谈判采购文件的有效组成部分。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14</w:t>
            </w:r>
          </w:p>
        </w:tc>
        <w:tc>
          <w:tcPr>
            <w:tcW w:w="2033" w:type="dxa"/>
            <w:vAlign w:val="center"/>
          </w:tcPr>
          <w:p>
            <w:pPr>
              <w:pStyle w:val="122"/>
              <w:spacing w:line="440" w:lineRule="exact"/>
              <w:jc w:val="center"/>
              <w:rPr>
                <w:rFonts w:ascii="宋体" w:hAnsi="宋体" w:cs="宋体"/>
                <w:color w:val="auto"/>
                <w:kern w:val="2"/>
                <w:szCs w:val="24"/>
              </w:rPr>
            </w:pPr>
            <w:r>
              <w:rPr>
                <w:rFonts w:hint="eastAsia" w:ascii="宋体" w:hAnsi="宋体" w:cs="宋体"/>
                <w:color w:val="auto"/>
                <w:szCs w:val="24"/>
              </w:rPr>
              <w:t>谈判文件递交截止时间和地点</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1.谈判文件截止时间：2022年5月30日14:30（北京时间）</w:t>
            </w:r>
          </w:p>
          <w:p>
            <w:pPr>
              <w:spacing w:line="440" w:lineRule="exact"/>
              <w:rPr>
                <w:rFonts w:ascii="宋体" w:hAnsi="宋体" w:cs="宋体"/>
                <w:color w:val="auto"/>
                <w:sz w:val="24"/>
                <w:szCs w:val="24"/>
              </w:rPr>
            </w:pPr>
            <w:r>
              <w:rPr>
                <w:rFonts w:hint="eastAsia" w:ascii="宋体" w:hAnsi="宋体" w:cs="宋体"/>
                <w:color w:val="auto"/>
                <w:sz w:val="24"/>
                <w:szCs w:val="24"/>
              </w:rPr>
              <w:t>2.谈判时间：2022年5月30日14:30（北京时间）</w:t>
            </w:r>
          </w:p>
          <w:p>
            <w:pPr>
              <w:spacing w:line="440" w:lineRule="exact"/>
              <w:rPr>
                <w:rFonts w:ascii="宋体" w:hAnsi="宋体" w:cs="宋体"/>
                <w:color w:val="auto"/>
                <w:sz w:val="24"/>
                <w:szCs w:val="24"/>
              </w:rPr>
            </w:pPr>
            <w:r>
              <w:rPr>
                <w:rFonts w:hint="eastAsia" w:ascii="宋体" w:hAnsi="宋体" w:cs="宋体"/>
                <w:color w:val="auto"/>
                <w:sz w:val="24"/>
                <w:szCs w:val="24"/>
              </w:rPr>
              <w:t>3.谈判地点：西安市未央区凤城八路与渭滨路十字西北角水晶新天地10楼11004室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15</w:t>
            </w:r>
          </w:p>
        </w:tc>
        <w:tc>
          <w:tcPr>
            <w:tcW w:w="2033" w:type="dxa"/>
            <w:vAlign w:val="center"/>
          </w:tcPr>
          <w:p>
            <w:pPr>
              <w:pStyle w:val="115"/>
              <w:spacing w:line="440" w:lineRule="exact"/>
              <w:ind w:left="33"/>
              <w:jc w:val="center"/>
              <w:rPr>
                <w:color w:val="auto"/>
                <w:lang w:val="zh-CN"/>
              </w:rPr>
            </w:pPr>
            <w:r>
              <w:rPr>
                <w:rFonts w:hint="eastAsia"/>
                <w:color w:val="auto"/>
                <w:lang w:val="zh-CN"/>
              </w:rPr>
              <w:t>谈判有效期</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从谈判截止日起90日历天。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kern w:val="2"/>
              </w:rPr>
            </w:pPr>
            <w:r>
              <w:rPr>
                <w:rFonts w:hint="eastAsia"/>
                <w:color w:val="auto"/>
                <w:kern w:val="2"/>
              </w:rPr>
              <w:t>16</w:t>
            </w:r>
          </w:p>
        </w:tc>
        <w:tc>
          <w:tcPr>
            <w:tcW w:w="2033" w:type="dxa"/>
            <w:vAlign w:val="center"/>
          </w:tcPr>
          <w:p>
            <w:pPr>
              <w:pStyle w:val="115"/>
              <w:spacing w:line="440" w:lineRule="exact"/>
              <w:jc w:val="center"/>
              <w:rPr>
                <w:color w:val="auto"/>
                <w:lang w:val="zh-CN"/>
              </w:rPr>
            </w:pPr>
            <w:r>
              <w:rPr>
                <w:rFonts w:hint="eastAsia"/>
                <w:color w:val="auto"/>
                <w:lang w:val="zh-CN"/>
              </w:rPr>
              <w:t>签字盖章</w:t>
            </w:r>
          </w:p>
        </w:tc>
        <w:tc>
          <w:tcPr>
            <w:tcW w:w="7227"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谈判供应商必须按照竞争性谈判采购文件的规定和要求签字、盖章。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Align w:val="center"/>
          </w:tcPr>
          <w:p>
            <w:pPr>
              <w:pStyle w:val="115"/>
              <w:spacing w:line="440" w:lineRule="exact"/>
              <w:jc w:val="center"/>
              <w:rPr>
                <w:color w:val="auto"/>
                <w:lang w:val="zh-CN"/>
              </w:rPr>
            </w:pPr>
            <w:r>
              <w:rPr>
                <w:rFonts w:hint="eastAsia"/>
                <w:color w:val="auto"/>
                <w:lang w:val="zh-CN"/>
              </w:rPr>
              <w:t>1</w:t>
            </w:r>
            <w:r>
              <w:rPr>
                <w:rFonts w:hint="eastAsia"/>
                <w:color w:val="auto"/>
              </w:rPr>
              <w:t>7</w:t>
            </w:r>
          </w:p>
        </w:tc>
        <w:tc>
          <w:tcPr>
            <w:tcW w:w="2033" w:type="dxa"/>
            <w:vAlign w:val="center"/>
          </w:tcPr>
          <w:p>
            <w:pPr>
              <w:pStyle w:val="115"/>
              <w:spacing w:line="440" w:lineRule="exact"/>
              <w:jc w:val="center"/>
              <w:rPr>
                <w:color w:val="auto"/>
                <w:lang w:val="zh-CN"/>
              </w:rPr>
            </w:pPr>
            <w:r>
              <w:rPr>
                <w:rFonts w:hint="eastAsia"/>
                <w:color w:val="auto"/>
                <w:lang w:val="zh-CN"/>
              </w:rPr>
              <w:t>谈判响应文件的装订、数量</w:t>
            </w:r>
          </w:p>
        </w:tc>
        <w:tc>
          <w:tcPr>
            <w:tcW w:w="7227" w:type="dxa"/>
            <w:vAlign w:val="center"/>
          </w:tcPr>
          <w:p>
            <w:pPr>
              <w:spacing w:line="440" w:lineRule="exact"/>
              <w:jc w:val="left"/>
              <w:rPr>
                <w:rFonts w:ascii="宋体" w:hAnsi="宋体" w:cs="宋体"/>
                <w:color w:val="auto"/>
                <w:sz w:val="24"/>
                <w:szCs w:val="24"/>
              </w:rPr>
            </w:pPr>
            <w:r>
              <w:rPr>
                <w:rFonts w:hint="eastAsia" w:ascii="宋体" w:hAnsi="宋体" w:cs="宋体"/>
                <w:color w:val="auto"/>
                <w:sz w:val="24"/>
                <w:szCs w:val="24"/>
              </w:rPr>
              <w:t>谈判响应文件一律采用书籍（胶装）方式装订。</w:t>
            </w:r>
            <w:r>
              <w:rPr>
                <w:rFonts w:hint="eastAsia" w:ascii="宋体" w:hAnsi="宋体" w:cs="宋体"/>
                <w:b/>
                <w:bCs/>
                <w:color w:val="auto"/>
                <w:sz w:val="24"/>
                <w:szCs w:val="24"/>
              </w:rPr>
              <w:t>谈判响应文件正本壹份、副本贰份，电子版（U盘）贰份。</w:t>
            </w:r>
            <w:r>
              <w:rPr>
                <w:rFonts w:hint="eastAsia" w:ascii="宋体" w:hAnsi="宋体" w:cs="宋体"/>
                <w:color w:val="auto"/>
                <w:sz w:val="24"/>
                <w:szCs w:val="24"/>
              </w:rPr>
              <w:t>供应商应将响应文件的正本、所有副本和电子版文件，</w:t>
            </w:r>
            <w:r>
              <w:rPr>
                <w:rFonts w:hint="eastAsia" w:ascii="宋体" w:hAnsi="宋体" w:cs="宋体"/>
                <w:bCs/>
                <w:color w:val="auto"/>
                <w:sz w:val="24"/>
                <w:szCs w:val="24"/>
                <w:lang w:val="zh-CN"/>
              </w:rPr>
              <w:t>正本单独密封在一个密封袋内，所有副本密封在一个密封袋内，</w:t>
            </w:r>
            <w:r>
              <w:rPr>
                <w:rFonts w:hint="eastAsia" w:ascii="宋体" w:hAnsi="宋体" w:cs="宋体"/>
                <w:bCs/>
                <w:color w:val="auto"/>
                <w:sz w:val="24"/>
                <w:szCs w:val="24"/>
              </w:rPr>
              <w:t>电子版文件</w:t>
            </w:r>
            <w:r>
              <w:rPr>
                <w:rFonts w:hint="eastAsia" w:ascii="宋体" w:hAnsi="宋体" w:cs="宋体"/>
                <w:bCs/>
                <w:color w:val="auto"/>
                <w:sz w:val="24"/>
                <w:szCs w:val="24"/>
                <w:lang w:val="zh-CN"/>
              </w:rPr>
              <w:t>单独密封在一个密封袋内，</w:t>
            </w:r>
            <w:r>
              <w:rPr>
                <w:rFonts w:hint="eastAsia" w:ascii="宋体" w:hAnsi="宋体" w:cs="宋体"/>
                <w:color w:val="auto"/>
                <w:sz w:val="24"/>
                <w:szCs w:val="24"/>
              </w:rPr>
              <w:t>在封袋上标明“正本”、“副本”或“电子版”字样，封袋封口处应加贴封条密封，并在封线处加盖公章（骑缝章）。</w:t>
            </w:r>
          </w:p>
          <w:p>
            <w:pPr>
              <w:spacing w:line="440" w:lineRule="exact"/>
              <w:rPr>
                <w:rFonts w:ascii="宋体" w:hAnsi="宋体" w:cs="宋体"/>
                <w:color w:val="auto"/>
                <w:sz w:val="24"/>
                <w:szCs w:val="24"/>
              </w:rPr>
            </w:pPr>
            <w:r>
              <w:rPr>
                <w:rFonts w:hint="eastAsia" w:ascii="宋体" w:hAnsi="宋体" w:cs="宋体"/>
                <w:b/>
                <w:color w:val="auto"/>
                <w:sz w:val="24"/>
                <w:szCs w:val="24"/>
              </w:rPr>
              <w:t>对未按谈判文件要求方式装订和递交的谈判响应文件，将作为无效文件处理。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18</w:t>
            </w:r>
          </w:p>
        </w:tc>
        <w:tc>
          <w:tcPr>
            <w:tcW w:w="2033" w:type="dxa"/>
            <w:vAlign w:val="center"/>
          </w:tcPr>
          <w:p>
            <w:pPr>
              <w:spacing w:line="440" w:lineRule="exact"/>
              <w:jc w:val="center"/>
              <w:rPr>
                <w:rFonts w:ascii="宋体" w:hAnsi="宋体" w:cs="宋体"/>
                <w:color w:val="auto"/>
                <w:sz w:val="24"/>
                <w:szCs w:val="24"/>
                <w:lang w:val="zh-CN"/>
              </w:rPr>
            </w:pPr>
            <w:r>
              <w:rPr>
                <w:rFonts w:hint="eastAsia" w:ascii="宋体" w:hAnsi="宋体" w:cs="宋体"/>
                <w:color w:val="auto"/>
                <w:sz w:val="24"/>
                <w:szCs w:val="24"/>
              </w:rPr>
              <w:t>封套上写明</w:t>
            </w:r>
          </w:p>
        </w:tc>
        <w:tc>
          <w:tcPr>
            <w:tcW w:w="7227" w:type="dxa"/>
            <w:vAlign w:val="center"/>
          </w:tcPr>
          <w:p>
            <w:pPr>
              <w:pStyle w:val="122"/>
              <w:spacing w:line="440" w:lineRule="exact"/>
              <w:jc w:val="both"/>
              <w:rPr>
                <w:rFonts w:ascii="宋体" w:hAnsi="宋体" w:cs="宋体"/>
                <w:color w:val="auto"/>
                <w:szCs w:val="24"/>
              </w:rPr>
            </w:pPr>
            <w:r>
              <w:rPr>
                <w:rFonts w:hint="eastAsia" w:ascii="宋体" w:hAnsi="宋体" w:cs="宋体"/>
                <w:color w:val="auto"/>
                <w:szCs w:val="24"/>
              </w:rPr>
              <w:t>项目名称：</w:t>
            </w:r>
          </w:p>
          <w:p>
            <w:pPr>
              <w:pStyle w:val="122"/>
              <w:spacing w:line="440" w:lineRule="exact"/>
              <w:jc w:val="both"/>
              <w:rPr>
                <w:rFonts w:ascii="宋体" w:hAnsi="宋体" w:cs="宋体"/>
                <w:color w:val="auto"/>
                <w:szCs w:val="24"/>
              </w:rPr>
            </w:pPr>
            <w:r>
              <w:rPr>
                <w:rFonts w:hint="eastAsia" w:ascii="宋体" w:hAnsi="宋体" w:cs="宋体"/>
                <w:color w:val="auto"/>
                <w:szCs w:val="24"/>
              </w:rPr>
              <w:t>项目编号：</w:t>
            </w:r>
          </w:p>
          <w:p>
            <w:pPr>
              <w:pStyle w:val="122"/>
              <w:spacing w:line="440" w:lineRule="exact"/>
              <w:jc w:val="both"/>
              <w:rPr>
                <w:rFonts w:ascii="宋体" w:hAnsi="宋体" w:cs="宋体"/>
                <w:color w:val="auto"/>
                <w:szCs w:val="24"/>
              </w:rPr>
            </w:pPr>
            <w:r>
              <w:rPr>
                <w:rFonts w:hint="eastAsia" w:ascii="宋体" w:hAnsi="宋体" w:cs="宋体"/>
                <w:color w:val="auto"/>
                <w:szCs w:val="24"/>
              </w:rPr>
              <w:t>供应商名称：</w:t>
            </w:r>
          </w:p>
          <w:p>
            <w:pPr>
              <w:pStyle w:val="122"/>
              <w:spacing w:line="440" w:lineRule="exact"/>
              <w:jc w:val="both"/>
              <w:rPr>
                <w:rFonts w:ascii="宋体" w:hAnsi="宋体" w:cs="宋体"/>
                <w:color w:val="auto"/>
                <w:szCs w:val="24"/>
              </w:rPr>
            </w:pPr>
            <w:r>
              <w:rPr>
                <w:rFonts w:hint="eastAsia" w:ascii="宋体" w:hAnsi="宋体" w:cs="宋体"/>
                <w:color w:val="auto"/>
                <w:szCs w:val="24"/>
              </w:rPr>
              <w:t>谈判响应文件在2022年</w:t>
            </w:r>
            <w:r>
              <w:rPr>
                <w:rFonts w:hint="eastAsia" w:ascii="宋体" w:hAnsi="宋体" w:cs="宋体"/>
                <w:color w:val="auto"/>
                <w:szCs w:val="24"/>
                <w:u w:val="single"/>
              </w:rPr>
              <w:t xml:space="preserve">  </w:t>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rPr>
              <w:t>日</w:t>
            </w:r>
            <w:r>
              <w:rPr>
                <w:rFonts w:hint="eastAsia" w:ascii="宋体" w:hAnsi="宋体" w:cs="宋体"/>
                <w:color w:val="auto"/>
                <w:szCs w:val="24"/>
                <w:u w:val="single"/>
              </w:rPr>
              <w:t xml:space="preserve">  </w:t>
            </w:r>
            <w:r>
              <w:rPr>
                <w:rFonts w:hint="eastAsia" w:ascii="宋体" w:hAnsi="宋体" w:cs="宋体"/>
                <w:color w:val="auto"/>
                <w:szCs w:val="24"/>
              </w:rPr>
              <w:t>时</w:t>
            </w:r>
            <w:r>
              <w:rPr>
                <w:rFonts w:hint="eastAsia" w:ascii="宋体" w:hAnsi="宋体" w:cs="宋体"/>
                <w:color w:val="auto"/>
                <w:szCs w:val="24"/>
                <w:u w:val="single"/>
              </w:rPr>
              <w:t xml:space="preserve">  </w:t>
            </w:r>
            <w:r>
              <w:rPr>
                <w:rFonts w:hint="eastAsia" w:ascii="宋体" w:hAnsi="宋体" w:cs="宋体"/>
                <w:color w:val="auto"/>
                <w:szCs w:val="24"/>
              </w:rPr>
              <w:t>分前“不得开启”字样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19</w:t>
            </w:r>
          </w:p>
        </w:tc>
        <w:tc>
          <w:tcPr>
            <w:tcW w:w="2033"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供应商资格要求</w:t>
            </w:r>
          </w:p>
        </w:tc>
        <w:tc>
          <w:tcPr>
            <w:tcW w:w="7227" w:type="dxa"/>
            <w:vAlign w:val="center"/>
          </w:tcPr>
          <w:p>
            <w:pPr>
              <w:numPr>
                <w:ilvl w:val="0"/>
                <w:numId w:val="3"/>
              </w:numPr>
              <w:spacing w:line="440" w:lineRule="exact"/>
              <w:rPr>
                <w:rFonts w:ascii="宋体" w:hAnsi="宋体" w:cs="宋体"/>
                <w:color w:val="auto"/>
                <w:sz w:val="24"/>
                <w:szCs w:val="24"/>
              </w:rPr>
            </w:pPr>
            <w:r>
              <w:rPr>
                <w:rFonts w:hint="eastAsia" w:ascii="宋体" w:hAnsi="宋体" w:cs="宋体"/>
                <w:color w:val="auto"/>
                <w:sz w:val="24"/>
                <w:szCs w:val="24"/>
              </w:rPr>
              <w:t>满足《中华人民共和国政府采购法》第二十二条规定</w:t>
            </w:r>
          </w:p>
          <w:p>
            <w:pPr>
              <w:spacing w:line="440" w:lineRule="exact"/>
              <w:rPr>
                <w:rFonts w:ascii="宋体" w:hAnsi="宋体" w:cs="宋体"/>
                <w:color w:val="auto"/>
                <w:sz w:val="24"/>
                <w:szCs w:val="24"/>
              </w:rPr>
            </w:pPr>
            <w:r>
              <w:rPr>
                <w:rFonts w:hint="eastAsia" w:ascii="宋体" w:hAnsi="宋体" w:cs="宋体"/>
                <w:color w:val="auto"/>
                <w:sz w:val="24"/>
                <w:szCs w:val="24"/>
              </w:rPr>
              <w:t>（1）具有独立承担民事责任能力的法人、其他组织或自然人，并出具合法有效的营业执照或事业单位法人证书等国家规定的相关证明，自然人参与的提供其身份证明；</w:t>
            </w:r>
          </w:p>
          <w:p>
            <w:pPr>
              <w:spacing w:line="440" w:lineRule="exac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zh-CN"/>
              </w:rPr>
              <w:t>财务状况报告：提供具有财务审计资质单位出具的</w:t>
            </w:r>
            <w:r>
              <w:rPr>
                <w:rFonts w:hint="eastAsia" w:ascii="宋体" w:hAnsi="宋体" w:cs="宋体"/>
                <w:color w:val="auto"/>
                <w:sz w:val="24"/>
                <w:szCs w:val="24"/>
              </w:rPr>
              <w:t>2020年或2021年</w:t>
            </w:r>
            <w:r>
              <w:rPr>
                <w:rFonts w:hint="eastAsia" w:ascii="宋体" w:hAnsi="宋体" w:cs="宋体"/>
                <w:color w:val="auto"/>
                <w:sz w:val="24"/>
                <w:szCs w:val="24"/>
                <w:lang w:val="zh-CN"/>
              </w:rPr>
              <w:t>任意一年年度财务报告（成立时间至开标时间不足一年的可提供成立后任意时段的资产负债表）或开标前六个月内其基本账户银行出具的资信证明（附开户许可证）或政府采购信用担保机构出具的投标担保函；</w:t>
            </w:r>
          </w:p>
          <w:p>
            <w:pPr>
              <w:spacing w:line="440" w:lineRule="exact"/>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zh-CN"/>
              </w:rPr>
              <w:t>税收缴纳证明：提供开标前六个月内</w:t>
            </w:r>
            <w:r>
              <w:rPr>
                <w:rFonts w:hint="eastAsia" w:ascii="宋体" w:hAnsi="宋体" w:cs="宋体"/>
                <w:color w:val="auto"/>
                <w:sz w:val="24"/>
                <w:szCs w:val="24"/>
              </w:rPr>
              <w:t>任意</w:t>
            </w:r>
            <w:r>
              <w:rPr>
                <w:rFonts w:hint="eastAsia" w:ascii="宋体" w:hAnsi="宋体" w:cs="宋体"/>
                <w:color w:val="auto"/>
                <w:sz w:val="24"/>
                <w:szCs w:val="24"/>
                <w:lang w:val="zh-CN"/>
              </w:rPr>
              <w:t>一个月已缴纳完税凭证或税务机关开具的完税证明（任意税种）；依法免税的应提供相关文件证明；</w:t>
            </w:r>
            <w:r>
              <w:rPr>
                <w:rFonts w:hint="eastAsia" w:ascii="宋体" w:hAnsi="宋体" w:cs="宋体"/>
                <w:color w:val="auto"/>
                <w:sz w:val="24"/>
                <w:szCs w:val="24"/>
              </w:rPr>
              <w:t xml:space="preserve"> </w:t>
            </w:r>
          </w:p>
          <w:p>
            <w:pPr>
              <w:spacing w:line="440" w:lineRule="exact"/>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zh-CN"/>
              </w:rPr>
              <w:t>社会保障资金缴纳证明：提供开标前六个月内</w:t>
            </w:r>
            <w:r>
              <w:rPr>
                <w:rFonts w:hint="eastAsia" w:ascii="宋体" w:hAnsi="宋体" w:cs="宋体"/>
                <w:color w:val="auto"/>
                <w:sz w:val="24"/>
                <w:szCs w:val="24"/>
              </w:rPr>
              <w:t>任意</w:t>
            </w:r>
            <w:r>
              <w:rPr>
                <w:rFonts w:hint="eastAsia" w:ascii="宋体" w:hAnsi="宋体" w:cs="宋体"/>
                <w:color w:val="auto"/>
                <w:sz w:val="24"/>
                <w:szCs w:val="24"/>
                <w:lang w:val="zh-CN"/>
              </w:rPr>
              <w:t>一个月已缴纳的社会保障资金缴存单据或社保机构开具的社会保险参保缴费情况证明（依法不需要缴纳社会保障资金的投标人应提供相关证明）</w:t>
            </w:r>
          </w:p>
          <w:p>
            <w:pPr>
              <w:spacing w:line="440" w:lineRule="exact"/>
              <w:rPr>
                <w:rFonts w:ascii="宋体" w:hAnsi="宋体" w:cs="宋体"/>
                <w:color w:val="auto"/>
                <w:sz w:val="24"/>
                <w:szCs w:val="24"/>
              </w:rPr>
            </w:pPr>
            <w:r>
              <w:rPr>
                <w:rFonts w:hint="eastAsia" w:ascii="宋体" w:hAnsi="宋体" w:cs="宋体"/>
                <w:color w:val="auto"/>
                <w:sz w:val="24"/>
                <w:szCs w:val="24"/>
              </w:rPr>
              <w:t>（5）具备履行合同所必需的设备和专业技术能力的证明材料(由供应商根据项目需求提供说明材料或者承诺)；（格式自拟）</w:t>
            </w:r>
          </w:p>
          <w:p>
            <w:pPr>
              <w:spacing w:line="440" w:lineRule="exact"/>
              <w:rPr>
                <w:rFonts w:ascii="宋体" w:hAnsi="宋体" w:cs="宋体"/>
                <w:color w:val="auto"/>
                <w:sz w:val="24"/>
                <w:szCs w:val="24"/>
              </w:rPr>
            </w:pPr>
            <w:r>
              <w:rPr>
                <w:rFonts w:hint="eastAsia" w:ascii="宋体" w:hAnsi="宋体" w:cs="宋体"/>
                <w:color w:val="auto"/>
                <w:sz w:val="24"/>
                <w:szCs w:val="24"/>
              </w:rPr>
              <w:t>（6）提供参加政府采购活动前三年内在经营活动中没有重大违法记录的书面声明；（格式自拟）</w:t>
            </w:r>
          </w:p>
          <w:p>
            <w:pPr>
              <w:spacing w:line="440" w:lineRule="exact"/>
              <w:rPr>
                <w:rFonts w:ascii="宋体" w:hAnsi="宋体" w:cs="宋体"/>
                <w:color w:val="auto"/>
                <w:sz w:val="24"/>
                <w:szCs w:val="24"/>
              </w:rPr>
            </w:pPr>
            <w:r>
              <w:rPr>
                <w:rFonts w:hint="eastAsia" w:ascii="宋体" w:hAnsi="宋体" w:cs="宋体"/>
                <w:color w:val="auto"/>
                <w:sz w:val="24"/>
                <w:szCs w:val="24"/>
              </w:rPr>
              <w:t>2、本项目的特定资格要求：</w:t>
            </w:r>
          </w:p>
          <w:p>
            <w:pPr>
              <w:spacing w:line="440" w:lineRule="exact"/>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p>
          <w:p>
            <w:pPr>
              <w:spacing w:line="440" w:lineRule="exact"/>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）供应商不得为列入信用中国(www.creditchina.gov.cn)记录失信被执行人或重大税收违法案件当事人名单或中国政府采购网(www.ccgp.gov.cn)的政府采购严重违法失信行为记录名单；</w:t>
            </w:r>
          </w:p>
          <w:p>
            <w:pPr>
              <w:spacing w:line="440" w:lineRule="exact"/>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）本项目不接受联合体谈判。单位负责人为同一人或者存在控股、管理关系的不同单位不得同时参加。</w:t>
            </w:r>
          </w:p>
          <w:p>
            <w:pPr>
              <w:spacing w:line="44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以上为必备资质，缺一项或某项达不到要求，按无效文件处理。资格审查时以谈判响应文件中所附证明材料为准，原件备查。谈判响应文件正本中的法定代表人身份证明或法定代表人授权书为原件，其他所有资质证明文件的复印件必须加盖单位公章附在谈判响应文件中。</w:t>
            </w:r>
          </w:p>
          <w:p>
            <w:pPr>
              <w:spacing w:line="440" w:lineRule="exact"/>
              <w:ind w:firstLine="482" w:firstLineChars="200"/>
              <w:rPr>
                <w:rFonts w:ascii="宋体" w:hAnsi="宋体" w:cs="宋体"/>
                <w:color w:val="auto"/>
                <w:sz w:val="24"/>
                <w:szCs w:val="24"/>
              </w:rPr>
            </w:pPr>
            <w:r>
              <w:rPr>
                <w:rFonts w:hint="eastAsia" w:ascii="宋体" w:hAnsi="宋体" w:cs="宋体"/>
                <w:b/>
                <w:bCs/>
                <w:color w:val="auto"/>
                <w:sz w:val="24"/>
                <w:szCs w:val="24"/>
              </w:rPr>
              <w:t>未注明要求原件的资格证明文件，在谈判后的任何时间，谈判小组都有权随时要求审查原件，如果不能按规定时间提供，按无效谈判处理。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20</w:t>
            </w:r>
          </w:p>
        </w:tc>
        <w:tc>
          <w:tcPr>
            <w:tcW w:w="2033"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谈判保证金</w:t>
            </w:r>
          </w:p>
        </w:tc>
        <w:tc>
          <w:tcPr>
            <w:tcW w:w="7227" w:type="dxa"/>
            <w:vAlign w:val="center"/>
          </w:tcPr>
          <w:p>
            <w:pPr>
              <w:spacing w:line="440" w:lineRule="exact"/>
              <w:jc w:val="left"/>
              <w:rPr>
                <w:rFonts w:ascii="宋体" w:hAnsi="宋体" w:cs="宋体"/>
                <w:color w:val="auto"/>
                <w:sz w:val="24"/>
                <w:szCs w:val="24"/>
              </w:rPr>
            </w:pPr>
            <w:r>
              <w:rPr>
                <w:rFonts w:hint="eastAsia" w:ascii="宋体" w:hAnsi="宋体" w:cs="宋体"/>
                <w:color w:val="auto"/>
                <w:sz w:val="24"/>
                <w:szCs w:val="24"/>
              </w:rPr>
              <w:t>本项目无谈判保证金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21</w:t>
            </w:r>
          </w:p>
        </w:tc>
        <w:tc>
          <w:tcPr>
            <w:tcW w:w="2033"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履约保证金</w:t>
            </w:r>
          </w:p>
        </w:tc>
        <w:tc>
          <w:tcPr>
            <w:tcW w:w="7227" w:type="dxa"/>
            <w:vAlign w:val="center"/>
          </w:tcPr>
          <w:p>
            <w:pPr>
              <w:spacing w:line="440" w:lineRule="exact"/>
              <w:jc w:val="left"/>
              <w:rPr>
                <w:rFonts w:ascii="宋体" w:hAnsi="宋体" w:cs="宋体"/>
                <w:color w:val="auto"/>
                <w:sz w:val="24"/>
                <w:szCs w:val="24"/>
              </w:rPr>
            </w:pPr>
            <w:r>
              <w:rPr>
                <w:rFonts w:hint="eastAsia" w:ascii="宋体" w:hAnsi="宋体" w:cs="宋体"/>
                <w:color w:val="auto"/>
                <w:sz w:val="24"/>
                <w:szCs w:val="24"/>
              </w:rPr>
              <w:t>本项目无履约保证金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22</w:t>
            </w:r>
          </w:p>
        </w:tc>
        <w:tc>
          <w:tcPr>
            <w:tcW w:w="2033" w:type="dxa"/>
            <w:vAlign w:val="center"/>
          </w:tcPr>
          <w:p>
            <w:pPr>
              <w:spacing w:line="440" w:lineRule="exact"/>
              <w:jc w:val="center"/>
              <w:rPr>
                <w:rFonts w:ascii="宋体" w:hAnsi="宋体" w:cs="宋体"/>
                <w:color w:val="auto"/>
                <w:sz w:val="24"/>
                <w:szCs w:val="24"/>
                <w:lang w:val="zh-CN"/>
              </w:rPr>
            </w:pPr>
            <w:r>
              <w:rPr>
                <w:rFonts w:hint="eastAsia" w:ascii="宋体" w:hAnsi="宋体" w:cs="宋体"/>
                <w:color w:val="auto"/>
                <w:sz w:val="24"/>
                <w:szCs w:val="24"/>
              </w:rPr>
              <w:t>招标代理服务费</w:t>
            </w:r>
          </w:p>
        </w:tc>
        <w:tc>
          <w:tcPr>
            <w:tcW w:w="7227" w:type="dxa"/>
            <w:vAlign w:val="center"/>
          </w:tcPr>
          <w:p>
            <w:pPr>
              <w:numPr>
                <w:ilvl w:val="0"/>
                <w:numId w:val="4"/>
              </w:numPr>
              <w:spacing w:line="440" w:lineRule="exact"/>
              <w:jc w:val="left"/>
              <w:rPr>
                <w:rFonts w:ascii="宋体" w:hAnsi="宋体" w:cs="宋体"/>
                <w:color w:val="auto"/>
                <w:sz w:val="24"/>
                <w:szCs w:val="24"/>
              </w:rPr>
            </w:pPr>
            <w:r>
              <w:rPr>
                <w:rFonts w:hint="eastAsia" w:ascii="宋体" w:hAnsi="宋体" w:cs="宋体"/>
                <w:color w:val="auto"/>
                <w:sz w:val="24"/>
                <w:szCs w:val="24"/>
              </w:rPr>
              <w:t>成交服务费按约定由成交供应商支付，领取成交通知书前，由成交单位向采购代理机构缴纳成交服务费，一次性付清。</w:t>
            </w:r>
          </w:p>
          <w:p>
            <w:pPr>
              <w:numPr>
                <w:ilvl w:val="0"/>
                <w:numId w:val="4"/>
              </w:numPr>
              <w:spacing w:line="440" w:lineRule="exact"/>
              <w:jc w:val="left"/>
              <w:rPr>
                <w:rFonts w:ascii="宋体" w:hAnsi="宋体" w:cs="宋体"/>
                <w:color w:val="auto"/>
                <w:sz w:val="24"/>
                <w:szCs w:val="24"/>
              </w:rPr>
            </w:pPr>
            <w:r>
              <w:rPr>
                <w:rFonts w:hint="eastAsia" w:ascii="宋体" w:hAnsi="宋体" w:cs="宋体"/>
                <w:color w:val="auto"/>
                <w:sz w:val="24"/>
                <w:szCs w:val="24"/>
              </w:rPr>
              <w:t>招标代理服务费依据国家计委计价格[2002]1980号《招标代理服务收费管理暂行办法》和国家发展改革委员会办公厅颁发的《关于招标代理服务收费有关问题的通知》（发改办价格[2003]857号）规定标准收取。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spacing w:line="440" w:lineRule="exact"/>
              <w:jc w:val="center"/>
              <w:rPr>
                <w:color w:val="auto"/>
              </w:rPr>
            </w:pPr>
            <w:r>
              <w:rPr>
                <w:rFonts w:hint="eastAsia"/>
                <w:color w:val="auto"/>
              </w:rPr>
              <w:t>23</w:t>
            </w:r>
          </w:p>
        </w:tc>
        <w:tc>
          <w:tcPr>
            <w:tcW w:w="2033" w:type="dxa"/>
            <w:vAlign w:val="center"/>
          </w:tcPr>
          <w:p>
            <w:pPr>
              <w:pStyle w:val="115"/>
              <w:spacing w:line="440" w:lineRule="exact"/>
              <w:jc w:val="center"/>
              <w:rPr>
                <w:color w:val="auto"/>
              </w:rPr>
            </w:pPr>
            <w:r>
              <w:rPr>
                <w:rFonts w:hint="eastAsia"/>
                <w:color w:val="auto"/>
              </w:rPr>
              <w:t>知识产权</w:t>
            </w:r>
          </w:p>
        </w:tc>
        <w:tc>
          <w:tcPr>
            <w:tcW w:w="7227" w:type="dxa"/>
            <w:vAlign w:val="center"/>
          </w:tcPr>
          <w:p>
            <w:pPr>
              <w:pStyle w:val="115"/>
              <w:spacing w:line="440" w:lineRule="exact"/>
              <w:jc w:val="both"/>
              <w:rPr>
                <w:color w:val="auto"/>
              </w:rPr>
            </w:pPr>
            <w:r>
              <w:rPr>
                <w:rFonts w:hint="eastAsia"/>
                <w:color w:val="auto"/>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3" w:type="dxa"/>
            <w:vAlign w:val="center"/>
          </w:tcPr>
          <w:p>
            <w:pPr>
              <w:pStyle w:val="115"/>
              <w:spacing w:line="440" w:lineRule="exact"/>
              <w:jc w:val="center"/>
              <w:rPr>
                <w:color w:val="auto"/>
              </w:rPr>
            </w:pPr>
            <w:r>
              <w:rPr>
                <w:rFonts w:hint="eastAsia"/>
                <w:color w:val="auto"/>
              </w:rPr>
              <w:t>24</w:t>
            </w:r>
          </w:p>
        </w:tc>
        <w:tc>
          <w:tcPr>
            <w:tcW w:w="2033" w:type="dxa"/>
            <w:vAlign w:val="center"/>
          </w:tcPr>
          <w:p>
            <w:pPr>
              <w:spacing w:line="440" w:lineRule="exact"/>
              <w:jc w:val="center"/>
              <w:rPr>
                <w:rFonts w:ascii="宋体" w:hAnsi="宋体" w:cs="宋体"/>
                <w:color w:val="auto"/>
                <w:kern w:val="0"/>
                <w:sz w:val="24"/>
                <w:szCs w:val="24"/>
              </w:rPr>
            </w:pPr>
            <w:r>
              <w:rPr>
                <w:rFonts w:hint="eastAsia" w:ascii="宋体" w:hAnsi="宋体" w:cs="宋体"/>
                <w:color w:val="auto"/>
                <w:kern w:val="0"/>
                <w:sz w:val="24"/>
                <w:szCs w:val="24"/>
              </w:rPr>
              <w:t>评审方法</w:t>
            </w:r>
          </w:p>
        </w:tc>
        <w:tc>
          <w:tcPr>
            <w:tcW w:w="7227" w:type="dxa"/>
            <w:vAlign w:val="center"/>
          </w:tcPr>
          <w:p>
            <w:pPr>
              <w:spacing w:line="440" w:lineRule="exact"/>
              <w:rPr>
                <w:rFonts w:ascii="宋体" w:hAnsi="宋体" w:cs="宋体"/>
                <w:color w:val="auto"/>
                <w:kern w:val="0"/>
                <w:sz w:val="24"/>
                <w:szCs w:val="24"/>
              </w:rPr>
            </w:pPr>
            <w:r>
              <w:rPr>
                <w:rFonts w:hint="eastAsia" w:ascii="宋体" w:hAnsi="宋体" w:cs="宋体"/>
                <w:color w:val="auto"/>
                <w:kern w:val="0"/>
                <w:sz w:val="24"/>
                <w:szCs w:val="24"/>
              </w:rPr>
              <w:t>最低评标价法（详见第四章）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13" w:type="dxa"/>
            <w:vAlign w:val="center"/>
          </w:tcPr>
          <w:p>
            <w:pPr>
              <w:pStyle w:val="115"/>
              <w:spacing w:line="440" w:lineRule="exact"/>
              <w:jc w:val="center"/>
              <w:rPr>
                <w:color w:val="auto"/>
              </w:rPr>
            </w:pPr>
            <w:r>
              <w:rPr>
                <w:rFonts w:hint="eastAsia"/>
                <w:color w:val="auto"/>
              </w:rPr>
              <w:t>25</w:t>
            </w:r>
          </w:p>
        </w:tc>
        <w:tc>
          <w:tcPr>
            <w:tcW w:w="2033" w:type="dxa"/>
            <w:vAlign w:val="center"/>
          </w:tcPr>
          <w:p>
            <w:pPr>
              <w:spacing w:line="440" w:lineRule="exact"/>
              <w:ind w:left="42" w:leftChars="20"/>
              <w:jc w:val="center"/>
              <w:rPr>
                <w:rFonts w:ascii="宋体" w:hAnsi="宋体" w:cs="宋体"/>
                <w:color w:val="auto"/>
                <w:sz w:val="24"/>
              </w:rPr>
            </w:pPr>
            <w:r>
              <w:rPr>
                <w:rFonts w:hint="eastAsia" w:ascii="宋体" w:hAnsi="宋体" w:cs="宋体"/>
                <w:color w:val="auto"/>
                <w:sz w:val="24"/>
                <w:szCs w:val="24"/>
              </w:rPr>
              <w:t>履约验收</w:t>
            </w:r>
          </w:p>
        </w:tc>
        <w:tc>
          <w:tcPr>
            <w:tcW w:w="7227" w:type="dxa"/>
            <w:vAlign w:val="center"/>
          </w:tcPr>
          <w:p>
            <w:pPr>
              <w:spacing w:line="440" w:lineRule="exact"/>
              <w:ind w:left="42" w:leftChars="20"/>
              <w:rPr>
                <w:rFonts w:ascii="宋体" w:hAnsi="宋体" w:cs="宋体"/>
                <w:color w:val="auto"/>
                <w:sz w:val="24"/>
                <w:szCs w:val="24"/>
              </w:rPr>
            </w:pPr>
            <w:r>
              <w:rPr>
                <w:rFonts w:hint="eastAsia" w:ascii="宋体" w:hAnsi="宋体" w:cs="宋体"/>
                <w:color w:val="auto"/>
                <w:sz w:val="24"/>
                <w:szCs w:val="24"/>
              </w:rPr>
              <w:t>是否委托采购代理机构组织履约验收：</w:t>
            </w:r>
          </w:p>
          <w:p>
            <w:pPr>
              <w:spacing w:line="440" w:lineRule="exact"/>
              <w:ind w:left="42" w:leftChars="20"/>
              <w:rPr>
                <w:rFonts w:ascii="宋体" w:hAnsi="宋体" w:cs="宋体"/>
                <w:color w:val="auto"/>
                <w:sz w:val="24"/>
                <w:szCs w:val="24"/>
              </w:rPr>
            </w:pPr>
            <w:r>
              <w:rPr>
                <w:rFonts w:hint="eastAsia" w:ascii="宋体" w:hAnsi="宋体" w:cs="宋体"/>
                <w:color w:val="auto"/>
                <w:sz w:val="24"/>
                <w:szCs w:val="24"/>
              </w:rPr>
              <w:t>□是，验收费用由采购人/成交供应商支付，费用标准按成交金额的5‰计算，不足5000元的，按5000元收取。</w:t>
            </w:r>
          </w:p>
          <w:p>
            <w:pPr>
              <w:spacing w:line="440" w:lineRule="exact"/>
              <w:ind w:left="42" w:leftChars="20"/>
              <w:rPr>
                <w:rFonts w:ascii="宋体" w:hAnsi="宋体" w:cs="宋体"/>
                <w:color w:val="auto"/>
                <w:sz w:val="24"/>
                <w:szCs w:val="24"/>
              </w:rPr>
            </w:pPr>
            <w:r>
              <w:rPr>
                <w:rFonts w:hint="eastAsia" w:ascii="宋体" w:hAnsi="宋体" w:cs="宋体"/>
                <w:color w:val="auto"/>
                <w:sz w:val="24"/>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13" w:type="dxa"/>
            <w:vAlign w:val="center"/>
          </w:tcPr>
          <w:p>
            <w:pPr>
              <w:pStyle w:val="115"/>
              <w:spacing w:line="440" w:lineRule="exact"/>
              <w:jc w:val="center"/>
              <w:rPr>
                <w:color w:val="auto"/>
              </w:rPr>
            </w:pPr>
            <w:r>
              <w:rPr>
                <w:rFonts w:hint="eastAsia"/>
                <w:color w:val="auto"/>
              </w:rPr>
              <w:t>26</w:t>
            </w:r>
          </w:p>
        </w:tc>
        <w:tc>
          <w:tcPr>
            <w:tcW w:w="2033"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信用担保及信用融资</w:t>
            </w:r>
          </w:p>
        </w:tc>
        <w:tc>
          <w:tcPr>
            <w:tcW w:w="7227" w:type="dxa"/>
            <w:vAlign w:val="center"/>
          </w:tcPr>
          <w:p>
            <w:pPr>
              <w:spacing w:line="440" w:lineRule="exact"/>
              <w:jc w:val="left"/>
              <w:rPr>
                <w:rFonts w:ascii="宋体" w:hAnsi="宋体" w:cs="宋体"/>
                <w:color w:val="auto"/>
                <w:sz w:val="24"/>
                <w:szCs w:val="24"/>
              </w:rPr>
            </w:pPr>
            <w:r>
              <w:rPr>
                <w:rFonts w:hint="eastAsia" w:ascii="宋体" w:hAnsi="宋体" w:cs="宋体"/>
                <w:color w:val="auto"/>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13" w:type="dxa"/>
            <w:vAlign w:val="center"/>
          </w:tcPr>
          <w:p>
            <w:pPr>
              <w:pStyle w:val="115"/>
              <w:spacing w:line="440" w:lineRule="exact"/>
              <w:jc w:val="center"/>
              <w:rPr>
                <w:color w:val="auto"/>
              </w:rPr>
            </w:pPr>
            <w:r>
              <w:rPr>
                <w:rFonts w:hint="eastAsia"/>
                <w:color w:val="auto"/>
              </w:rPr>
              <w:t>27</w:t>
            </w:r>
          </w:p>
        </w:tc>
        <w:tc>
          <w:tcPr>
            <w:tcW w:w="2033" w:type="dxa"/>
            <w:vAlign w:val="center"/>
          </w:tcPr>
          <w:p>
            <w:pPr>
              <w:pStyle w:val="115"/>
              <w:spacing w:line="440" w:lineRule="exact"/>
              <w:jc w:val="center"/>
              <w:rPr>
                <w:color w:val="auto"/>
                <w:kern w:val="2"/>
              </w:rPr>
            </w:pPr>
            <w:r>
              <w:rPr>
                <w:rFonts w:hint="eastAsia"/>
                <w:color w:val="auto"/>
              </w:rPr>
              <w:t>疫情防控措施</w:t>
            </w:r>
          </w:p>
        </w:tc>
        <w:tc>
          <w:tcPr>
            <w:tcW w:w="7227" w:type="dxa"/>
            <w:vAlign w:val="center"/>
          </w:tcPr>
          <w:p>
            <w:pPr>
              <w:pStyle w:val="115"/>
              <w:numPr>
                <w:ilvl w:val="0"/>
                <w:numId w:val="5"/>
              </w:numPr>
              <w:spacing w:line="440" w:lineRule="exact"/>
              <w:jc w:val="both"/>
              <w:rPr>
                <w:color w:val="auto"/>
                <w:kern w:val="2"/>
              </w:rPr>
            </w:pPr>
            <w:r>
              <w:rPr>
                <w:rFonts w:hint="eastAsia"/>
                <w:color w:val="auto"/>
                <w:kern w:val="2"/>
              </w:rPr>
              <w:t>供应商只需拟派1人参与本项目谈判会议；</w:t>
            </w:r>
            <w:r>
              <w:rPr>
                <w:rFonts w:hint="eastAsia"/>
                <w:color w:val="auto"/>
                <w:kern w:val="2"/>
              </w:rPr>
              <w:br w:type="textWrapping"/>
            </w:r>
            <w:r>
              <w:rPr>
                <w:rFonts w:hint="eastAsia"/>
                <w:color w:val="auto"/>
                <w:kern w:val="2"/>
              </w:rPr>
              <w:t>2、供应商拟派人员必须注册陕西“一码通”且为绿码；</w:t>
            </w:r>
            <w:r>
              <w:rPr>
                <w:rFonts w:hint="eastAsia"/>
                <w:color w:val="auto"/>
                <w:kern w:val="2"/>
              </w:rPr>
              <w:br w:type="textWrapping"/>
            </w:r>
            <w:r>
              <w:rPr>
                <w:rFonts w:hint="eastAsia"/>
                <w:color w:val="auto"/>
                <w:kern w:val="2"/>
              </w:rPr>
              <w:t>3、参与谈判会议的人员均需携带口罩等防护措施。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13" w:type="dxa"/>
            <w:vAlign w:val="center"/>
          </w:tcPr>
          <w:p>
            <w:pPr>
              <w:pStyle w:val="115"/>
              <w:spacing w:line="440" w:lineRule="exact"/>
              <w:jc w:val="center"/>
              <w:rPr>
                <w:color w:val="auto"/>
              </w:rPr>
            </w:pPr>
            <w:r>
              <w:rPr>
                <w:rFonts w:hint="eastAsia"/>
                <w:color w:val="auto"/>
              </w:rPr>
              <w:t>28</w:t>
            </w:r>
          </w:p>
        </w:tc>
        <w:tc>
          <w:tcPr>
            <w:tcW w:w="2033" w:type="dxa"/>
            <w:vAlign w:val="center"/>
          </w:tcPr>
          <w:p>
            <w:pPr>
              <w:pStyle w:val="115"/>
              <w:spacing w:line="440" w:lineRule="exact"/>
              <w:jc w:val="center"/>
              <w:rPr>
                <w:color w:val="auto"/>
              </w:rPr>
            </w:pPr>
            <w:r>
              <w:rPr>
                <w:rFonts w:hint="eastAsia"/>
                <w:color w:val="auto"/>
              </w:rPr>
              <w:t>其他</w:t>
            </w:r>
          </w:p>
        </w:tc>
        <w:tc>
          <w:tcPr>
            <w:tcW w:w="7227" w:type="dxa"/>
            <w:vAlign w:val="center"/>
          </w:tcPr>
          <w:p>
            <w:pPr>
              <w:pStyle w:val="115"/>
              <w:spacing w:line="440" w:lineRule="exact"/>
              <w:jc w:val="both"/>
              <w:rPr>
                <w:color w:val="auto"/>
                <w:kern w:val="2"/>
              </w:rPr>
            </w:pPr>
            <w:r>
              <w:rPr>
                <w:rFonts w:hint="eastAsia"/>
                <w:color w:val="auto"/>
                <w:kern w:val="2"/>
              </w:rPr>
              <w:t>1、本项目不专门面向中小企业采购。</w:t>
            </w:r>
          </w:p>
          <w:p>
            <w:pPr>
              <w:pStyle w:val="115"/>
              <w:numPr>
                <w:ilvl w:val="0"/>
                <w:numId w:val="5"/>
              </w:numPr>
              <w:spacing w:line="440" w:lineRule="exact"/>
              <w:jc w:val="both"/>
              <w:rPr>
                <w:color w:val="auto"/>
                <w:kern w:val="2"/>
              </w:rPr>
            </w:pPr>
            <w:r>
              <w:rPr>
                <w:rFonts w:hint="eastAsia"/>
                <w:color w:val="auto"/>
                <w:kern w:val="2"/>
              </w:rPr>
              <w:t>本项目属性为货物。</w:t>
            </w:r>
          </w:p>
        </w:tc>
      </w:tr>
    </w:tbl>
    <w:p>
      <w:pPr>
        <w:autoSpaceDE w:val="0"/>
        <w:autoSpaceDN w:val="0"/>
        <w:adjustRightInd w:val="0"/>
        <w:spacing w:line="360" w:lineRule="auto"/>
        <w:jc w:val="center"/>
        <w:rPr>
          <w:rFonts w:ascii="宋体" w:hAnsi="宋体" w:cs="宋体"/>
          <w:color w:val="auto"/>
          <w:sz w:val="28"/>
          <w:szCs w:val="28"/>
        </w:rPr>
        <w:sectPr>
          <w:footerReference r:id="rId12" w:type="first"/>
          <w:footerReference r:id="rId11" w:type="default"/>
          <w:pgSz w:w="11906" w:h="16838"/>
          <w:pgMar w:top="1418" w:right="1418" w:bottom="1418" w:left="1418" w:header="851" w:footer="992" w:gutter="0"/>
          <w:pgNumType w:start="1"/>
          <w:cols w:space="425" w:num="1"/>
          <w:titlePg/>
          <w:docGrid w:linePitch="312" w:charSpace="0"/>
        </w:sectPr>
      </w:pPr>
    </w:p>
    <w:p>
      <w:pPr>
        <w:pStyle w:val="3"/>
        <w:rPr>
          <w:rFonts w:ascii="宋体" w:hAnsi="宋体" w:eastAsia="宋体" w:cs="宋体"/>
          <w:b/>
          <w:color w:val="auto"/>
          <w:szCs w:val="28"/>
          <w:lang w:val="zh-CN"/>
        </w:rPr>
      </w:pPr>
      <w:bookmarkStart w:id="2" w:name="_Toc3444"/>
      <w:r>
        <w:rPr>
          <w:rFonts w:hint="eastAsia" w:ascii="宋体" w:hAnsi="宋体" w:eastAsia="宋体" w:cs="宋体"/>
          <w:b/>
          <w:color w:val="auto"/>
          <w:szCs w:val="28"/>
        </w:rPr>
        <w:t xml:space="preserve">第三章 </w:t>
      </w:r>
      <w:r>
        <w:rPr>
          <w:rFonts w:hint="eastAsia" w:ascii="宋体" w:hAnsi="宋体" w:eastAsia="宋体" w:cs="宋体"/>
          <w:b/>
          <w:color w:val="auto"/>
          <w:szCs w:val="28"/>
          <w:lang w:val="zh-CN"/>
        </w:rPr>
        <w:t>供应商须知</w:t>
      </w:r>
      <w:bookmarkEnd w:id="2"/>
    </w:p>
    <w:p>
      <w:pPr>
        <w:autoSpaceDE w:val="0"/>
        <w:autoSpaceDN w:val="0"/>
        <w:adjustRightInd w:val="0"/>
        <w:spacing w:line="520" w:lineRule="exact"/>
        <w:ind w:firstLine="573"/>
        <w:jc w:val="center"/>
        <w:rPr>
          <w:rFonts w:ascii="宋体" w:hAnsi="宋体" w:cs="宋体"/>
          <w:b/>
          <w:color w:val="auto"/>
          <w:sz w:val="28"/>
          <w:szCs w:val="28"/>
          <w:lang w:val="zh-CN"/>
        </w:rPr>
      </w:pPr>
      <w:r>
        <w:rPr>
          <w:rFonts w:hint="eastAsia" w:ascii="宋体" w:hAnsi="宋体" w:cs="宋体"/>
          <w:b/>
          <w:color w:val="auto"/>
          <w:sz w:val="28"/>
          <w:szCs w:val="28"/>
        </w:rPr>
        <w:t>A</w:t>
      </w:r>
      <w:r>
        <w:rPr>
          <w:rFonts w:hint="eastAsia" w:ascii="宋体" w:hAnsi="宋体" w:cs="宋体"/>
          <w:b/>
          <w:color w:val="auto"/>
          <w:sz w:val="28"/>
          <w:szCs w:val="28"/>
          <w:lang w:val="zh-CN"/>
        </w:rPr>
        <w:t>、总则</w:t>
      </w:r>
    </w:p>
    <w:p>
      <w:pPr>
        <w:autoSpaceDE w:val="0"/>
        <w:autoSpaceDN w:val="0"/>
        <w:adjustRightInd w:val="0"/>
        <w:spacing w:line="520" w:lineRule="exact"/>
        <w:ind w:firstLine="573"/>
        <w:rPr>
          <w:rFonts w:ascii="宋体" w:hAnsi="宋体" w:cs="宋体"/>
          <w:b/>
          <w:color w:val="auto"/>
          <w:sz w:val="24"/>
          <w:szCs w:val="24"/>
        </w:rPr>
      </w:pPr>
      <w:r>
        <w:rPr>
          <w:rFonts w:hint="eastAsia" w:ascii="宋体" w:hAnsi="宋体" w:cs="宋体"/>
          <w:b/>
          <w:color w:val="auto"/>
          <w:sz w:val="24"/>
          <w:szCs w:val="24"/>
        </w:rPr>
        <w:t>1、资金来源</w:t>
      </w:r>
    </w:p>
    <w:p>
      <w:pPr>
        <w:autoSpaceDE w:val="0"/>
        <w:autoSpaceDN w:val="0"/>
        <w:adjustRightInd w:val="0"/>
        <w:spacing w:line="520" w:lineRule="exact"/>
        <w:ind w:firstLine="573"/>
        <w:rPr>
          <w:rFonts w:ascii="宋体" w:hAnsi="宋体" w:cs="宋体"/>
          <w:bCs/>
          <w:color w:val="auto"/>
          <w:sz w:val="24"/>
          <w:szCs w:val="24"/>
        </w:rPr>
      </w:pPr>
      <w:r>
        <w:rPr>
          <w:rFonts w:hint="eastAsia" w:ascii="宋体" w:hAnsi="宋体" w:cs="宋体"/>
          <w:bCs/>
          <w:color w:val="auto"/>
          <w:sz w:val="24"/>
          <w:szCs w:val="24"/>
        </w:rPr>
        <w:t>1.1本次竞争性谈判所签合同使用财政资金支付，资金已落实到位。</w:t>
      </w:r>
    </w:p>
    <w:p>
      <w:pPr>
        <w:autoSpaceDE w:val="0"/>
        <w:autoSpaceDN w:val="0"/>
        <w:adjustRightInd w:val="0"/>
        <w:spacing w:line="520" w:lineRule="exact"/>
        <w:ind w:firstLine="573"/>
        <w:rPr>
          <w:rFonts w:ascii="宋体" w:hAnsi="宋体" w:cs="宋体"/>
          <w:b/>
          <w:color w:val="auto"/>
          <w:sz w:val="24"/>
          <w:szCs w:val="24"/>
          <w:lang w:val="zh-CN"/>
        </w:rPr>
      </w:pPr>
      <w:r>
        <w:rPr>
          <w:rFonts w:hint="eastAsia" w:ascii="宋体" w:hAnsi="宋体" w:cs="宋体"/>
          <w:b/>
          <w:color w:val="auto"/>
          <w:sz w:val="24"/>
          <w:szCs w:val="24"/>
        </w:rPr>
        <w:t>2</w:t>
      </w:r>
      <w:r>
        <w:rPr>
          <w:rFonts w:hint="eastAsia" w:ascii="宋体" w:hAnsi="宋体" w:cs="宋体"/>
          <w:b/>
          <w:color w:val="auto"/>
          <w:sz w:val="24"/>
          <w:szCs w:val="24"/>
          <w:lang w:val="zh-CN"/>
        </w:rPr>
        <w:t>、</w:t>
      </w:r>
      <w:r>
        <w:rPr>
          <w:rFonts w:hint="eastAsia" w:ascii="宋体" w:hAnsi="宋体" w:cs="宋体"/>
          <w:b/>
          <w:color w:val="auto"/>
          <w:sz w:val="24"/>
          <w:szCs w:val="24"/>
        </w:rPr>
        <w:t>名词解释</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2.</w:t>
      </w:r>
      <w:r>
        <w:rPr>
          <w:rFonts w:hint="eastAsia" w:ascii="宋体" w:hAnsi="宋体" w:cs="宋体"/>
          <w:color w:val="auto"/>
          <w:sz w:val="24"/>
          <w:szCs w:val="24"/>
          <w:lang w:val="zh-CN"/>
        </w:rPr>
        <w:t>1、采 购 人：</w:t>
      </w:r>
      <w:r>
        <w:rPr>
          <w:rFonts w:hint="eastAsia" w:ascii="宋体" w:hAnsi="宋体" w:cs="宋体"/>
          <w:color w:val="auto"/>
          <w:sz w:val="24"/>
          <w:szCs w:val="24"/>
        </w:rPr>
        <w:t>潼关县教育科技局</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zh-CN"/>
        </w:rPr>
        <w:t>2、监督机构：潼关县</w:t>
      </w:r>
      <w:r>
        <w:rPr>
          <w:rFonts w:hint="eastAsia" w:ascii="宋体" w:hAnsi="宋体" w:cs="宋体"/>
          <w:color w:val="auto"/>
          <w:sz w:val="24"/>
          <w:szCs w:val="24"/>
        </w:rPr>
        <w:t>财政局</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2.3</w:t>
      </w:r>
      <w:r>
        <w:rPr>
          <w:rFonts w:hint="eastAsia" w:ascii="宋体" w:hAnsi="宋体" w:cs="宋体"/>
          <w:color w:val="auto"/>
          <w:sz w:val="24"/>
          <w:szCs w:val="24"/>
          <w:lang w:val="zh-CN"/>
        </w:rPr>
        <w:t>、采购代理机构：</w:t>
      </w:r>
      <w:r>
        <w:rPr>
          <w:rFonts w:hint="eastAsia" w:ascii="宋体" w:hAnsi="宋体" w:cs="宋体"/>
          <w:color w:val="auto"/>
          <w:sz w:val="24"/>
          <w:szCs w:val="24"/>
        </w:rPr>
        <w:t>陕西盛仕骄阳项目管理有限公司</w:t>
      </w:r>
      <w:r>
        <w:rPr>
          <w:rFonts w:hint="eastAsia" w:ascii="宋体" w:hAnsi="宋体" w:cs="宋体"/>
          <w:color w:val="auto"/>
          <w:sz w:val="24"/>
          <w:szCs w:val="24"/>
          <w:lang w:val="zh-CN"/>
        </w:rPr>
        <w:t xml:space="preserve"> </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2.4</w:t>
      </w:r>
      <w:r>
        <w:rPr>
          <w:rFonts w:hint="eastAsia" w:ascii="宋体" w:hAnsi="宋体" w:cs="宋体"/>
          <w:color w:val="auto"/>
          <w:sz w:val="24"/>
          <w:szCs w:val="24"/>
          <w:lang w:val="zh-CN"/>
        </w:rPr>
        <w:t>、供应商：响应谈判并且符合竞争性谈判采购文件规定资格条件和参加谈判竞争的法人或其他组织或自然人。</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2.5、</w:t>
      </w:r>
      <w:r>
        <w:rPr>
          <w:rFonts w:hint="eastAsia" w:ascii="宋体" w:hAnsi="宋体" w:cs="宋体"/>
          <w:bCs/>
          <w:color w:val="auto"/>
          <w:sz w:val="24"/>
          <w:szCs w:val="24"/>
          <w:lang w:val="zh-CN"/>
        </w:rPr>
        <w:t>货物</w:t>
      </w:r>
      <w:r>
        <w:rPr>
          <w:rFonts w:hint="eastAsia" w:ascii="宋体" w:hAnsi="宋体" w:cs="宋体"/>
          <w:color w:val="auto"/>
          <w:sz w:val="24"/>
          <w:szCs w:val="24"/>
        </w:rPr>
        <w:t>是指供应商为满足竞争性谈判文件要求而提供的</w:t>
      </w:r>
      <w:r>
        <w:rPr>
          <w:rFonts w:hint="eastAsia" w:ascii="宋体" w:hAnsi="宋体" w:cs="宋体"/>
          <w:bCs/>
          <w:color w:val="auto"/>
          <w:sz w:val="24"/>
          <w:szCs w:val="24"/>
          <w:lang w:val="zh-CN"/>
        </w:rPr>
        <w:t>货物</w:t>
      </w:r>
      <w:r>
        <w:rPr>
          <w:rFonts w:hint="eastAsia" w:ascii="宋体" w:hAnsi="宋体" w:cs="宋体"/>
          <w:color w:val="auto"/>
          <w:sz w:val="24"/>
          <w:szCs w:val="24"/>
        </w:rPr>
        <w:t>。</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2.6、竞争性谈判文件：由采购人或采购代理机构发出的文本、文件，包括全部章节和附件及答疑会议纪要。</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2.7、谈判响应文件：谈判供应商根据本竞争性谈判文件向采购人提交的全部文件。</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 xml:space="preserve">2.8、书面形式：任何手写、打印或印刷的各种函件，包括电传、电报、电子邮件等。 </w:t>
      </w:r>
    </w:p>
    <w:p>
      <w:pPr>
        <w:autoSpaceDE w:val="0"/>
        <w:autoSpaceDN w:val="0"/>
        <w:adjustRightInd w:val="0"/>
        <w:spacing w:line="520" w:lineRule="exact"/>
        <w:ind w:firstLine="573"/>
        <w:rPr>
          <w:rFonts w:ascii="宋体" w:hAnsi="宋体" w:cs="宋体"/>
          <w:b/>
          <w:bCs/>
          <w:color w:val="auto"/>
          <w:sz w:val="24"/>
          <w:szCs w:val="24"/>
          <w:lang w:val="zh-CN"/>
        </w:rPr>
      </w:pPr>
      <w:r>
        <w:rPr>
          <w:rFonts w:hint="eastAsia" w:ascii="宋体" w:hAnsi="宋体" w:cs="宋体"/>
          <w:b/>
          <w:bCs/>
          <w:color w:val="auto"/>
          <w:sz w:val="24"/>
          <w:szCs w:val="24"/>
        </w:rPr>
        <w:t>3、</w:t>
      </w:r>
      <w:r>
        <w:rPr>
          <w:rFonts w:hint="eastAsia" w:ascii="宋体" w:hAnsi="宋体" w:cs="宋体"/>
          <w:b/>
          <w:bCs/>
          <w:color w:val="auto"/>
          <w:sz w:val="24"/>
          <w:szCs w:val="24"/>
          <w:lang w:val="zh-CN"/>
        </w:rPr>
        <w:t>谈判费用</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无论谈判结果如何，谈判供应商自行承担与参加谈判活动有关的全部费用。</w:t>
      </w:r>
    </w:p>
    <w:p>
      <w:pPr>
        <w:autoSpaceDE w:val="0"/>
        <w:autoSpaceDN w:val="0"/>
        <w:adjustRightInd w:val="0"/>
        <w:spacing w:line="520" w:lineRule="exact"/>
        <w:ind w:firstLine="573"/>
        <w:rPr>
          <w:rFonts w:ascii="宋体" w:hAnsi="宋体" w:cs="宋体"/>
          <w:b/>
          <w:bCs/>
          <w:color w:val="auto"/>
          <w:sz w:val="24"/>
          <w:szCs w:val="24"/>
          <w:lang w:val="zh-CN"/>
        </w:rPr>
      </w:pPr>
      <w:r>
        <w:rPr>
          <w:rFonts w:hint="eastAsia" w:ascii="宋体" w:hAnsi="宋体" w:cs="宋体"/>
          <w:b/>
          <w:bCs/>
          <w:color w:val="auto"/>
          <w:sz w:val="24"/>
          <w:szCs w:val="24"/>
        </w:rPr>
        <w:t>4、</w:t>
      </w:r>
      <w:r>
        <w:rPr>
          <w:rFonts w:hint="eastAsia" w:ascii="宋体" w:hAnsi="宋体" w:cs="宋体"/>
          <w:b/>
          <w:bCs/>
          <w:color w:val="auto"/>
          <w:sz w:val="24"/>
          <w:szCs w:val="24"/>
          <w:lang w:val="zh-CN"/>
        </w:rPr>
        <w:t>合格的供应商</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.1、《中华人民共和国政府采购法》第二十二条第一款规定的供应商基本资格条件:</w:t>
      </w:r>
    </w:p>
    <w:p>
      <w:pPr>
        <w:autoSpaceDE w:val="0"/>
        <w:autoSpaceDN w:val="0"/>
        <w:adjustRightInd w:val="0"/>
        <w:spacing w:line="520" w:lineRule="exact"/>
        <w:ind w:firstLine="1132" w:firstLineChars="472"/>
        <w:rPr>
          <w:rFonts w:ascii="宋体" w:hAnsi="宋体" w:cs="宋体"/>
          <w:color w:val="auto"/>
          <w:sz w:val="24"/>
          <w:szCs w:val="24"/>
          <w:lang w:val="zh-CN"/>
        </w:rPr>
      </w:pPr>
      <w:r>
        <w:rPr>
          <w:rFonts w:hint="eastAsia" w:ascii="宋体" w:hAnsi="宋体" w:cs="宋体"/>
          <w:color w:val="auto"/>
          <w:sz w:val="24"/>
          <w:szCs w:val="24"/>
          <w:lang w:val="zh-CN"/>
        </w:rPr>
        <w:t>1）具有独立承担民事责任的能力；</w:t>
      </w:r>
    </w:p>
    <w:p>
      <w:pPr>
        <w:autoSpaceDE w:val="0"/>
        <w:autoSpaceDN w:val="0"/>
        <w:adjustRightInd w:val="0"/>
        <w:spacing w:line="520" w:lineRule="exact"/>
        <w:ind w:firstLine="1132" w:firstLineChars="472"/>
        <w:rPr>
          <w:rFonts w:ascii="宋体" w:hAnsi="宋体" w:cs="宋体"/>
          <w:color w:val="auto"/>
          <w:sz w:val="24"/>
          <w:szCs w:val="24"/>
          <w:lang w:val="zh-CN"/>
        </w:rPr>
      </w:pPr>
      <w:r>
        <w:rPr>
          <w:rFonts w:hint="eastAsia" w:ascii="宋体" w:hAnsi="宋体" w:cs="宋体"/>
          <w:color w:val="auto"/>
          <w:sz w:val="24"/>
          <w:szCs w:val="24"/>
          <w:lang w:val="zh-CN"/>
        </w:rPr>
        <w:t>2）具有良好的商业信誉和健全的财务会计制度；</w:t>
      </w:r>
    </w:p>
    <w:p>
      <w:pPr>
        <w:autoSpaceDE w:val="0"/>
        <w:autoSpaceDN w:val="0"/>
        <w:adjustRightInd w:val="0"/>
        <w:spacing w:line="520" w:lineRule="exact"/>
        <w:ind w:firstLine="1132" w:firstLineChars="472"/>
        <w:rPr>
          <w:rFonts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w:t>
      </w:r>
    </w:p>
    <w:p>
      <w:pPr>
        <w:autoSpaceDE w:val="0"/>
        <w:autoSpaceDN w:val="0"/>
        <w:adjustRightInd w:val="0"/>
        <w:spacing w:line="520" w:lineRule="exact"/>
        <w:ind w:firstLine="1132" w:firstLineChars="472"/>
        <w:rPr>
          <w:rFonts w:ascii="宋体" w:hAnsi="宋体" w:cs="宋体"/>
          <w:color w:val="auto"/>
          <w:sz w:val="24"/>
          <w:szCs w:val="24"/>
          <w:lang w:val="zh-CN"/>
        </w:rPr>
      </w:pPr>
      <w:r>
        <w:rPr>
          <w:rFonts w:hint="eastAsia" w:ascii="宋体" w:hAnsi="宋体" w:cs="宋体"/>
          <w:color w:val="auto"/>
          <w:sz w:val="24"/>
          <w:szCs w:val="24"/>
          <w:lang w:val="zh-CN"/>
        </w:rPr>
        <w:t>4）有依法缴纳税收和社会保障资金的良好记录；</w:t>
      </w:r>
    </w:p>
    <w:p>
      <w:pPr>
        <w:autoSpaceDE w:val="0"/>
        <w:autoSpaceDN w:val="0"/>
        <w:adjustRightInd w:val="0"/>
        <w:spacing w:line="520" w:lineRule="exact"/>
        <w:ind w:firstLine="1132" w:firstLineChars="472"/>
        <w:rPr>
          <w:rFonts w:ascii="宋体" w:hAnsi="宋体" w:cs="宋体"/>
          <w:color w:val="auto"/>
          <w:sz w:val="24"/>
          <w:szCs w:val="24"/>
          <w:lang w:val="zh-CN"/>
        </w:rPr>
      </w:pPr>
      <w:r>
        <w:rPr>
          <w:rFonts w:hint="eastAsia" w:ascii="宋体" w:hAnsi="宋体" w:cs="宋体"/>
          <w:color w:val="auto"/>
          <w:sz w:val="24"/>
          <w:szCs w:val="24"/>
          <w:lang w:val="zh-CN"/>
        </w:rPr>
        <w:t>5）参加政府采购活动前三年内，在经营活动中没有重大违法记录；</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 xml:space="preserve">    6）法律、行政法规规定的其他条件。</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.2、根据本次采购项目的要求，规定的供应商特殊条件（见供应商须知前附表）。</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谈判。</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.4、供应商不得直接或间接地与采购人或采购代理机构有任何关联，亦不得是采购人或采购代理机构的附属机构。如果供应商在谈判中隐瞒了上述关系，一经证实，则该谈判无效。</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.5、供应商必须在</w:t>
      </w:r>
      <w:r>
        <w:rPr>
          <w:rFonts w:hint="eastAsia" w:ascii="宋体" w:hAnsi="宋体" w:cs="宋体"/>
          <w:color w:val="auto"/>
          <w:sz w:val="24"/>
          <w:szCs w:val="24"/>
        </w:rPr>
        <w:t>陕西盛仕骄阳项目管理有限公司报名并领取</w:t>
      </w:r>
      <w:r>
        <w:rPr>
          <w:rFonts w:hint="eastAsia" w:ascii="宋体" w:hAnsi="宋体" w:cs="宋体"/>
          <w:color w:val="auto"/>
          <w:sz w:val="24"/>
          <w:szCs w:val="24"/>
          <w:lang w:val="zh-CN"/>
        </w:rPr>
        <w:t>竞争性谈判文件，方可参加谈判。</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.6、联合体谈判：不接受联合体谈判。</w:t>
      </w:r>
    </w:p>
    <w:p>
      <w:pPr>
        <w:autoSpaceDE w:val="0"/>
        <w:autoSpaceDN w:val="0"/>
        <w:adjustRightInd w:val="0"/>
        <w:spacing w:line="520" w:lineRule="exact"/>
        <w:ind w:firstLine="573"/>
        <w:rPr>
          <w:rFonts w:ascii="宋体" w:hAnsi="宋体" w:cs="宋体"/>
          <w:b/>
          <w:bCs/>
          <w:color w:val="auto"/>
          <w:sz w:val="24"/>
          <w:szCs w:val="24"/>
        </w:rPr>
      </w:pPr>
      <w:r>
        <w:rPr>
          <w:rFonts w:hint="eastAsia" w:ascii="宋体" w:hAnsi="宋体" w:cs="宋体"/>
          <w:b/>
          <w:bCs/>
          <w:color w:val="auto"/>
          <w:sz w:val="24"/>
          <w:szCs w:val="24"/>
        </w:rPr>
        <w:t>5、合格的货物（产品）和服务</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5.1、</w:t>
      </w:r>
      <w:r>
        <w:rPr>
          <w:rFonts w:hint="eastAsia" w:ascii="宋体" w:hAnsi="宋体" w:cs="宋体"/>
          <w:color w:val="auto"/>
          <w:sz w:val="24"/>
          <w:szCs w:val="24"/>
          <w:lang w:val="zh-CN"/>
        </w:rPr>
        <w:t>供应商提供的所有货物和服务，必须是合法生产、合法来源，符合国家有关标准要求，并满足竞争性谈判文件规定的规格、参数、质量、价格、有效期、售后服务及供应商须承担的运输、安装、技术支持、培训和竞争性谈判文件规定的其它伴随服务等要求。</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5.2、</w:t>
      </w:r>
      <w:r>
        <w:rPr>
          <w:rFonts w:hint="eastAsia" w:ascii="宋体" w:hAnsi="宋体" w:cs="宋体"/>
          <w:color w:val="auto"/>
          <w:sz w:val="24"/>
          <w:szCs w:val="24"/>
          <w:lang w:val="zh-CN"/>
        </w:rPr>
        <w:t>采购人有权拒绝接受任何不合格的产品和服务，由此产生的费用及相关后果均由供应商自行承担。</w:t>
      </w:r>
    </w:p>
    <w:p>
      <w:pPr>
        <w:autoSpaceDE w:val="0"/>
        <w:autoSpaceDN w:val="0"/>
        <w:adjustRightInd w:val="0"/>
        <w:spacing w:line="520" w:lineRule="exact"/>
        <w:ind w:firstLine="573"/>
        <w:rPr>
          <w:rFonts w:ascii="宋体" w:hAnsi="宋体" w:cs="宋体"/>
          <w:b/>
          <w:bCs/>
          <w:color w:val="auto"/>
          <w:sz w:val="24"/>
          <w:szCs w:val="24"/>
        </w:rPr>
      </w:pPr>
      <w:r>
        <w:rPr>
          <w:rFonts w:hint="eastAsia" w:ascii="宋体" w:hAnsi="宋体" w:cs="宋体"/>
          <w:b/>
          <w:bCs/>
          <w:color w:val="auto"/>
          <w:sz w:val="24"/>
          <w:szCs w:val="24"/>
        </w:rPr>
        <w:t>6、竞争性谈判响应文件内容的真实性</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6.1、供应商应保证其谈判响应文件中所提供的所有有关谈判的资料、信息是真实的、并且来源于合法的渠道。因谈判响应文件中所提供的有关谈判的资料、信息不真实、或者其来源不合法而导致的所有法律责任，由供应商自行承担。</w:t>
      </w:r>
    </w:p>
    <w:p>
      <w:pPr>
        <w:autoSpaceDE w:val="0"/>
        <w:autoSpaceDN w:val="0"/>
        <w:adjustRightInd w:val="0"/>
        <w:spacing w:line="520" w:lineRule="exact"/>
        <w:ind w:firstLine="573"/>
        <w:jc w:val="center"/>
        <w:rPr>
          <w:rFonts w:ascii="宋体" w:hAnsi="宋体" w:cs="宋体"/>
          <w:b/>
          <w:color w:val="auto"/>
          <w:sz w:val="28"/>
          <w:szCs w:val="28"/>
          <w:lang w:val="zh-CN"/>
        </w:rPr>
      </w:pPr>
      <w:r>
        <w:rPr>
          <w:rFonts w:hint="eastAsia" w:ascii="宋体" w:hAnsi="宋体" w:cs="宋体"/>
          <w:b/>
          <w:color w:val="auto"/>
          <w:sz w:val="28"/>
          <w:szCs w:val="28"/>
        </w:rPr>
        <w:t>B</w:t>
      </w:r>
      <w:r>
        <w:rPr>
          <w:rFonts w:hint="eastAsia" w:ascii="宋体" w:hAnsi="宋体" w:cs="宋体"/>
          <w:b/>
          <w:color w:val="auto"/>
          <w:sz w:val="28"/>
          <w:szCs w:val="28"/>
          <w:lang w:val="zh-CN"/>
        </w:rPr>
        <w:t>、竞争性谈判文件</w:t>
      </w:r>
    </w:p>
    <w:p>
      <w:pPr>
        <w:pStyle w:val="25"/>
        <w:rPr>
          <w:rFonts w:ascii="宋体" w:hAnsi="宋体" w:cs="宋体"/>
          <w:color w:val="auto"/>
          <w:lang w:val="zh-CN"/>
        </w:rPr>
      </w:pPr>
    </w:p>
    <w:p>
      <w:pPr>
        <w:snapToGrid w:val="0"/>
        <w:spacing w:line="52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7、谈判文件的构成</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7.1、谈判文件组成：谈判采购文件是根据本项目的特点和需求编制，包括以下内容：</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第一章 竞争性谈判公告</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第二章 供应商须知前附表</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第三章 供应商须知</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第四章 评审办法</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第五章 采购内容及要求</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第六章 商务要求</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第七章 合同协议书</w:t>
      </w:r>
    </w:p>
    <w:p>
      <w:pPr>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第八章 响应文件格式</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7.</w:t>
      </w:r>
      <w:r>
        <w:rPr>
          <w:rFonts w:hint="eastAsia" w:ascii="宋体" w:hAnsi="宋体" w:cs="宋体"/>
          <w:color w:val="auto"/>
          <w:sz w:val="24"/>
          <w:szCs w:val="24"/>
          <w:lang w:val="zh-CN"/>
        </w:rPr>
        <w:t>2、供应商应认真阅读竞争性谈判文件中所有的事项、格式、条款和规范等要求。如果供应商没有按照竞争性谈判文件要求提交全部资料，或者竞争性谈判响应文件没有对竞争性谈判文件在各方面都做出实质性响应，由此带来不利于供应商的谈判结果，其风险由供应商承担。</w:t>
      </w:r>
    </w:p>
    <w:p>
      <w:pPr>
        <w:autoSpaceDE w:val="0"/>
        <w:autoSpaceDN w:val="0"/>
        <w:adjustRightInd w:val="0"/>
        <w:spacing w:line="520" w:lineRule="exact"/>
        <w:ind w:firstLine="482" w:firstLineChars="200"/>
        <w:rPr>
          <w:rFonts w:ascii="宋体" w:hAnsi="宋体" w:cs="宋体"/>
          <w:b/>
          <w:bCs/>
          <w:color w:val="auto"/>
          <w:sz w:val="24"/>
          <w:szCs w:val="24"/>
          <w:lang w:val="zh-CN"/>
        </w:rPr>
      </w:pPr>
      <w:r>
        <w:rPr>
          <w:rFonts w:hint="eastAsia" w:ascii="宋体" w:hAnsi="宋体" w:cs="宋体"/>
          <w:b/>
          <w:bCs/>
          <w:color w:val="auto"/>
          <w:sz w:val="24"/>
          <w:szCs w:val="24"/>
        </w:rPr>
        <w:t>8</w:t>
      </w:r>
      <w:r>
        <w:rPr>
          <w:rFonts w:hint="eastAsia" w:ascii="宋体" w:hAnsi="宋体" w:cs="宋体"/>
          <w:b/>
          <w:bCs/>
          <w:color w:val="auto"/>
          <w:sz w:val="24"/>
          <w:szCs w:val="24"/>
          <w:lang w:val="zh-CN"/>
        </w:rPr>
        <w:t>、谈判文件的澄清或修改</w:t>
      </w:r>
    </w:p>
    <w:p>
      <w:pPr>
        <w:autoSpaceDE w:val="0"/>
        <w:autoSpaceDN w:val="0"/>
        <w:adjustRightInd w:val="0"/>
        <w:spacing w:line="52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8</w:t>
      </w:r>
      <w:r>
        <w:rPr>
          <w:rFonts w:hint="eastAsia" w:ascii="宋体" w:hAnsi="宋体" w:cs="宋体"/>
          <w:bCs/>
          <w:color w:val="auto"/>
          <w:sz w:val="24"/>
          <w:szCs w:val="24"/>
          <w:lang w:val="zh-CN"/>
        </w:rPr>
        <w:t>.1、在谈判响应文件截止时间前，采购代理机构可以视采购具体情况，延长竞争性谈判响应文件递交截止时间和谈判时间并在财政部门指定的媒体上发布变更公告，同时将变更时间书面通知所有获取竞争性谈判文件的供应商。</w:t>
      </w:r>
    </w:p>
    <w:p>
      <w:pPr>
        <w:autoSpaceDE w:val="0"/>
        <w:autoSpaceDN w:val="0"/>
        <w:adjustRightInd w:val="0"/>
        <w:spacing w:line="52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8</w:t>
      </w:r>
      <w:r>
        <w:rPr>
          <w:rFonts w:hint="eastAsia" w:ascii="宋体" w:hAnsi="宋体" w:cs="宋体"/>
          <w:bCs/>
          <w:color w:val="auto"/>
          <w:sz w:val="24"/>
          <w:szCs w:val="24"/>
          <w:lang w:val="zh-CN"/>
        </w:rPr>
        <w:t>.2、提交响应文件截止之间前，采购人或采购代理机构有权对已发出的谈判文件进行必要的澄清或修改，澄清或修改的内容作为谈判文件的组成部分。澄清或修改的内容可能影响响应文件编制的，采购代理机构应在提交响应文件截止时间至少</w:t>
      </w:r>
      <w:r>
        <w:rPr>
          <w:rFonts w:hint="eastAsia" w:ascii="宋体" w:hAnsi="宋体" w:cs="宋体"/>
          <w:color w:val="auto"/>
          <w:sz w:val="24"/>
          <w:szCs w:val="24"/>
          <w:lang w:bidi="ar"/>
        </w:rPr>
        <w:t>3个工作日</w:t>
      </w:r>
      <w:r>
        <w:rPr>
          <w:rFonts w:hint="eastAsia" w:ascii="宋体" w:hAnsi="宋体" w:cs="宋体"/>
          <w:bCs/>
          <w:color w:val="auto"/>
          <w:sz w:val="24"/>
          <w:szCs w:val="24"/>
          <w:lang w:val="zh-CN"/>
        </w:rPr>
        <w:t>前，以书面形式通知所有获得谈判文件的供应商；不足</w:t>
      </w:r>
      <w:r>
        <w:rPr>
          <w:rFonts w:hint="eastAsia" w:ascii="宋体" w:hAnsi="宋体" w:cs="宋体"/>
          <w:color w:val="auto"/>
          <w:sz w:val="24"/>
          <w:szCs w:val="24"/>
          <w:lang w:bidi="ar"/>
        </w:rPr>
        <w:t>3个工作日</w:t>
      </w:r>
      <w:r>
        <w:rPr>
          <w:rFonts w:hint="eastAsia" w:ascii="宋体" w:hAnsi="宋体" w:cs="宋体"/>
          <w:bCs/>
          <w:color w:val="auto"/>
          <w:sz w:val="24"/>
          <w:szCs w:val="24"/>
          <w:lang w:val="zh-CN"/>
        </w:rPr>
        <w:t>的，采购代理机构应当顺延提交响应文件截止时间。</w:t>
      </w:r>
    </w:p>
    <w:p>
      <w:pPr>
        <w:spacing w:line="560" w:lineRule="exact"/>
        <w:ind w:left="-105" w:leftChars="-50" w:firstLine="480" w:firstLineChars="200"/>
        <w:rPr>
          <w:rFonts w:ascii="宋体" w:hAnsi="宋体" w:cs="宋体"/>
          <w:color w:val="auto"/>
          <w:sz w:val="24"/>
          <w:szCs w:val="24"/>
        </w:rPr>
      </w:pPr>
      <w:r>
        <w:rPr>
          <w:rFonts w:hint="eastAsia" w:ascii="宋体" w:hAnsi="宋体" w:cs="宋体"/>
          <w:color w:val="auto"/>
          <w:sz w:val="24"/>
          <w:szCs w:val="24"/>
        </w:rPr>
        <w:t>8.3、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pPr>
        <w:spacing w:line="560" w:lineRule="exact"/>
        <w:ind w:left="-105" w:leftChars="-50" w:firstLine="480" w:firstLineChars="200"/>
        <w:rPr>
          <w:rFonts w:ascii="宋体" w:hAnsi="宋体" w:cs="宋体"/>
          <w:bCs/>
          <w:color w:val="auto"/>
          <w:sz w:val="24"/>
          <w:szCs w:val="24"/>
        </w:rPr>
      </w:pPr>
      <w:r>
        <w:rPr>
          <w:rFonts w:hint="eastAsia" w:ascii="宋体" w:hAnsi="宋体" w:cs="宋体"/>
          <w:color w:val="auto"/>
          <w:sz w:val="24"/>
          <w:szCs w:val="24"/>
        </w:rPr>
        <w:t>8.4、供应商若对谈判文件有任何疑问，可以以书面形式向采购代理机构提出询问。否则，视为同意谈判文件的一切条款和要求并承担由此引起的一切法律责任。凡因供应商对谈判文件阅读不深、理解不透、误解、疏漏、或因市场行情了解不清造成的后果和风险均由供应商自负。</w:t>
      </w:r>
    </w:p>
    <w:p>
      <w:pPr>
        <w:autoSpaceDE w:val="0"/>
        <w:autoSpaceDN w:val="0"/>
        <w:adjustRightInd w:val="0"/>
        <w:spacing w:line="52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8</w:t>
      </w:r>
      <w:r>
        <w:rPr>
          <w:rFonts w:hint="eastAsia" w:ascii="宋体" w:hAnsi="宋体" w:cs="宋体"/>
          <w:bCs/>
          <w:color w:val="auto"/>
          <w:sz w:val="24"/>
          <w:szCs w:val="24"/>
          <w:lang w:val="zh-CN"/>
        </w:rPr>
        <w:t>.</w:t>
      </w:r>
      <w:r>
        <w:rPr>
          <w:rFonts w:hint="eastAsia" w:ascii="宋体" w:hAnsi="宋体" w:cs="宋体"/>
          <w:bCs/>
          <w:color w:val="auto"/>
          <w:sz w:val="24"/>
          <w:szCs w:val="24"/>
        </w:rPr>
        <w:t>5</w:t>
      </w:r>
      <w:r>
        <w:rPr>
          <w:rFonts w:hint="eastAsia" w:ascii="宋体" w:hAnsi="宋体" w:cs="宋体"/>
          <w:bCs/>
          <w:color w:val="auto"/>
          <w:sz w:val="24"/>
          <w:szCs w:val="24"/>
          <w:lang w:val="zh-CN"/>
        </w:rPr>
        <w:t>、竞争性谈判文件的解释权归采购代理机构所有。如发现竞争性谈判文件内容中与现行的法律法规不相符合的情况，以现行的法律法规为准；竞争性谈判文件中某个或多个条款依我国法律、法规被认定为非法、无效或不可执行的,该无效条款的无效、失效和不可执行,不影响亦不损害其他条款的有效性、生效性和可执行性。</w:t>
      </w:r>
    </w:p>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bidi="ar"/>
        </w:rPr>
        <w:t>8.6、</w:t>
      </w:r>
      <w:bookmarkStart w:id="3" w:name="OLE_LINK4"/>
      <w:r>
        <w:rPr>
          <w:rFonts w:hint="eastAsia" w:ascii="宋体" w:hAnsi="宋体" w:cs="宋体"/>
          <w:color w:val="auto"/>
          <w:sz w:val="24"/>
          <w:szCs w:val="24"/>
          <w:lang w:bidi="ar"/>
        </w:rPr>
        <w:t>供应商认为竞争性谈判文件使自己的权益受到损害的，在收到竞争性谈判文件之日起七个工作日内，以书面形式向采购代理机构提出质疑，逾期提出的无效，因此带来的一切不利后果由供应商自负。</w:t>
      </w:r>
    </w:p>
    <w:bookmarkEnd w:id="3"/>
    <w:p>
      <w:pPr>
        <w:autoSpaceDE w:val="0"/>
        <w:autoSpaceDN w:val="0"/>
        <w:adjustRightInd w:val="0"/>
        <w:spacing w:line="520" w:lineRule="exact"/>
        <w:ind w:firstLine="482" w:firstLineChars="200"/>
        <w:rPr>
          <w:rFonts w:ascii="宋体" w:hAnsi="宋体" w:cs="宋体"/>
          <w:b/>
          <w:color w:val="auto"/>
          <w:sz w:val="24"/>
          <w:szCs w:val="24"/>
          <w:lang w:val="zh-CN"/>
        </w:rPr>
      </w:pPr>
      <w:r>
        <w:rPr>
          <w:rFonts w:hint="eastAsia" w:ascii="宋体" w:hAnsi="宋体" w:cs="宋体"/>
          <w:b/>
          <w:color w:val="auto"/>
          <w:sz w:val="24"/>
          <w:szCs w:val="24"/>
        </w:rPr>
        <w:t>9、</w:t>
      </w:r>
      <w:r>
        <w:rPr>
          <w:rFonts w:hint="eastAsia" w:ascii="宋体" w:hAnsi="宋体" w:cs="宋体"/>
          <w:b/>
          <w:color w:val="auto"/>
          <w:sz w:val="24"/>
          <w:szCs w:val="24"/>
          <w:lang w:val="zh-CN"/>
        </w:rPr>
        <w:t>备选谈判方案</w:t>
      </w:r>
    </w:p>
    <w:p>
      <w:pPr>
        <w:autoSpaceDE w:val="0"/>
        <w:autoSpaceDN w:val="0"/>
        <w:adjustRightInd w:val="0"/>
        <w:spacing w:line="52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lang w:val="zh-CN"/>
        </w:rPr>
        <w:t>本项目不得提供备选方案。</w:t>
      </w:r>
    </w:p>
    <w:p>
      <w:pPr>
        <w:pStyle w:val="25"/>
        <w:rPr>
          <w:rFonts w:ascii="宋体" w:hAnsi="宋体" w:cs="宋体"/>
          <w:color w:val="auto"/>
          <w:lang w:val="zh-CN"/>
        </w:rPr>
      </w:pPr>
    </w:p>
    <w:p>
      <w:pPr>
        <w:numPr>
          <w:ilvl w:val="0"/>
          <w:numId w:val="6"/>
        </w:numPr>
        <w:autoSpaceDE w:val="0"/>
        <w:autoSpaceDN w:val="0"/>
        <w:adjustRightInd w:val="0"/>
        <w:spacing w:line="520" w:lineRule="exact"/>
        <w:ind w:firstLine="573"/>
        <w:jc w:val="center"/>
        <w:rPr>
          <w:rFonts w:ascii="宋体" w:hAnsi="宋体" w:cs="宋体"/>
          <w:b/>
          <w:color w:val="auto"/>
          <w:sz w:val="28"/>
          <w:szCs w:val="28"/>
          <w:lang w:val="zh-CN"/>
        </w:rPr>
      </w:pPr>
      <w:r>
        <w:rPr>
          <w:rFonts w:hint="eastAsia" w:ascii="宋体" w:hAnsi="宋体" w:cs="宋体"/>
          <w:b/>
          <w:color w:val="auto"/>
          <w:sz w:val="28"/>
          <w:szCs w:val="28"/>
          <w:lang w:val="zh-CN"/>
        </w:rPr>
        <w:t>竞争性谈判响应文件</w:t>
      </w:r>
    </w:p>
    <w:p>
      <w:pPr>
        <w:pStyle w:val="25"/>
        <w:rPr>
          <w:rFonts w:ascii="宋体" w:hAnsi="宋体" w:cs="宋体"/>
          <w:color w:val="auto"/>
          <w:lang w:val="zh-CN"/>
        </w:rPr>
      </w:pPr>
    </w:p>
    <w:p>
      <w:pPr>
        <w:autoSpaceDE w:val="0"/>
        <w:autoSpaceDN w:val="0"/>
        <w:adjustRightInd w:val="0"/>
        <w:spacing w:line="520" w:lineRule="exact"/>
        <w:ind w:firstLine="570"/>
        <w:rPr>
          <w:rFonts w:ascii="宋体" w:hAnsi="宋体" w:cs="宋体"/>
          <w:b/>
          <w:color w:val="auto"/>
          <w:sz w:val="24"/>
          <w:szCs w:val="24"/>
        </w:rPr>
      </w:pPr>
      <w:r>
        <w:rPr>
          <w:rFonts w:hint="eastAsia" w:ascii="宋体" w:hAnsi="宋体" w:cs="宋体"/>
          <w:b/>
          <w:color w:val="auto"/>
          <w:sz w:val="24"/>
          <w:szCs w:val="24"/>
        </w:rPr>
        <w:t>10、</w:t>
      </w:r>
      <w:r>
        <w:rPr>
          <w:rFonts w:hint="eastAsia" w:ascii="宋体" w:hAnsi="宋体" w:cs="宋体"/>
          <w:b/>
          <w:color w:val="auto"/>
          <w:sz w:val="24"/>
          <w:szCs w:val="24"/>
          <w:lang w:val="zh-CN"/>
        </w:rPr>
        <w:t>谈判响应文件</w:t>
      </w:r>
      <w:r>
        <w:rPr>
          <w:rFonts w:hint="eastAsia" w:ascii="宋体" w:hAnsi="宋体" w:cs="宋体"/>
          <w:b/>
          <w:color w:val="auto"/>
          <w:sz w:val="24"/>
          <w:szCs w:val="24"/>
        </w:rPr>
        <w:t>编制的原则</w:t>
      </w:r>
    </w:p>
    <w:p>
      <w:pPr>
        <w:autoSpaceDE w:val="0"/>
        <w:autoSpaceDN w:val="0"/>
        <w:adjustRightInd w:val="0"/>
        <w:spacing w:line="520" w:lineRule="exact"/>
        <w:ind w:firstLine="570"/>
        <w:rPr>
          <w:rFonts w:ascii="宋体" w:hAnsi="宋体" w:cs="宋体"/>
          <w:bCs/>
          <w:color w:val="auto"/>
          <w:sz w:val="24"/>
          <w:szCs w:val="24"/>
          <w:lang w:val="zh-CN"/>
        </w:rPr>
      </w:pPr>
      <w:r>
        <w:rPr>
          <w:rFonts w:hint="eastAsia" w:ascii="宋体" w:hAnsi="宋体" w:cs="宋体"/>
          <w:bCs/>
          <w:color w:val="auto"/>
          <w:sz w:val="24"/>
          <w:szCs w:val="24"/>
        </w:rPr>
        <w:t>10.1、供应商应在认真阅读谈判文件所有内容的基础上，按照谈判文件的要求编制完整的响应文件。</w:t>
      </w:r>
      <w:r>
        <w:rPr>
          <w:rFonts w:hint="eastAsia" w:ascii="宋体" w:hAnsi="宋体" w:cs="宋体"/>
          <w:bCs/>
          <w:color w:val="auto"/>
          <w:sz w:val="24"/>
          <w:szCs w:val="24"/>
          <w:lang w:val="zh-CN"/>
        </w:rPr>
        <w:t>谈判响应文件参考给定格式编制，对谈判文件要求做出实质性响应。谈判供应商可根据情况自行扩展，但不得随意删减格式要求内容。</w:t>
      </w:r>
    </w:p>
    <w:p>
      <w:pPr>
        <w:autoSpaceDE w:val="0"/>
        <w:autoSpaceDN w:val="0"/>
        <w:adjustRightInd w:val="0"/>
        <w:spacing w:line="520" w:lineRule="exact"/>
        <w:ind w:firstLine="570"/>
        <w:rPr>
          <w:rFonts w:ascii="宋体" w:hAnsi="宋体" w:cs="宋体"/>
          <w:bCs/>
          <w:color w:val="auto"/>
          <w:sz w:val="24"/>
          <w:szCs w:val="24"/>
        </w:rPr>
      </w:pPr>
      <w:r>
        <w:rPr>
          <w:rFonts w:hint="eastAsia" w:ascii="宋体" w:hAnsi="宋体" w:cs="宋体"/>
          <w:bCs/>
          <w:color w:val="auto"/>
          <w:sz w:val="24"/>
          <w:szCs w:val="24"/>
        </w:rPr>
        <w:t>10.2、供应商必须保证响应文件所提供的全部资料真实可靠，并接受对其中任何资料进一步审查的要求。</w:t>
      </w:r>
    </w:p>
    <w:p>
      <w:pPr>
        <w:autoSpaceDE w:val="0"/>
        <w:autoSpaceDN w:val="0"/>
        <w:adjustRightInd w:val="0"/>
        <w:spacing w:line="520" w:lineRule="exact"/>
        <w:ind w:firstLine="570"/>
        <w:rPr>
          <w:rFonts w:ascii="宋体" w:hAnsi="宋体" w:cs="宋体"/>
          <w:bCs/>
          <w:color w:val="auto"/>
          <w:sz w:val="24"/>
          <w:szCs w:val="24"/>
        </w:rPr>
      </w:pPr>
      <w:r>
        <w:rPr>
          <w:rFonts w:hint="eastAsia" w:ascii="宋体" w:hAnsi="宋体" w:cs="宋体"/>
          <w:bCs/>
          <w:color w:val="auto"/>
          <w:sz w:val="24"/>
          <w:szCs w:val="24"/>
        </w:rPr>
        <w:t>10.3、响应文件须对谈判文件中的内容做出实质性和完整的响应，否则其投标将被拒绝。</w:t>
      </w:r>
    </w:p>
    <w:p>
      <w:pPr>
        <w:autoSpaceDE w:val="0"/>
        <w:autoSpaceDN w:val="0"/>
        <w:adjustRightInd w:val="0"/>
        <w:spacing w:line="520" w:lineRule="exact"/>
        <w:ind w:firstLine="570"/>
        <w:rPr>
          <w:rFonts w:ascii="宋体" w:hAnsi="宋体" w:cs="宋体"/>
          <w:b/>
          <w:color w:val="auto"/>
          <w:sz w:val="24"/>
          <w:szCs w:val="24"/>
          <w:lang w:val="zh-CN"/>
        </w:rPr>
      </w:pPr>
      <w:r>
        <w:rPr>
          <w:rFonts w:hint="eastAsia" w:ascii="宋体" w:hAnsi="宋体" w:cs="宋体"/>
          <w:b/>
          <w:color w:val="auto"/>
          <w:sz w:val="24"/>
          <w:szCs w:val="24"/>
        </w:rPr>
        <w:t>11、</w:t>
      </w:r>
      <w:r>
        <w:rPr>
          <w:rFonts w:hint="eastAsia" w:ascii="宋体" w:hAnsi="宋体" w:cs="宋体"/>
          <w:b/>
          <w:color w:val="auto"/>
          <w:sz w:val="24"/>
          <w:szCs w:val="24"/>
          <w:lang w:val="zh-CN"/>
        </w:rPr>
        <w:t>谈判响应文件计量单位</w:t>
      </w:r>
    </w:p>
    <w:p>
      <w:pPr>
        <w:autoSpaceDE w:val="0"/>
        <w:autoSpaceDN w:val="0"/>
        <w:adjustRightInd w:val="0"/>
        <w:spacing w:line="520" w:lineRule="exact"/>
        <w:ind w:firstLine="570"/>
        <w:rPr>
          <w:rFonts w:ascii="宋体" w:hAnsi="宋体" w:cs="宋体"/>
          <w:bCs/>
          <w:color w:val="auto"/>
          <w:sz w:val="24"/>
          <w:szCs w:val="24"/>
          <w:lang w:val="zh-CN"/>
        </w:rPr>
      </w:pPr>
      <w:r>
        <w:rPr>
          <w:rFonts w:hint="eastAsia" w:ascii="宋体" w:hAnsi="宋体" w:cs="宋体"/>
          <w:bCs/>
          <w:color w:val="auto"/>
          <w:sz w:val="24"/>
          <w:szCs w:val="24"/>
          <w:lang w:val="zh-CN"/>
        </w:rPr>
        <w:t>谈判响应文件中所使用的计量单位，除有特殊要求外，均采用国家法定计量单位。</w:t>
      </w:r>
    </w:p>
    <w:p>
      <w:pPr>
        <w:autoSpaceDE w:val="0"/>
        <w:autoSpaceDN w:val="0"/>
        <w:adjustRightInd w:val="0"/>
        <w:spacing w:line="520" w:lineRule="exact"/>
        <w:ind w:firstLine="570"/>
        <w:rPr>
          <w:rFonts w:ascii="宋体" w:hAnsi="宋体" w:cs="宋体"/>
          <w:b/>
          <w:color w:val="auto"/>
          <w:sz w:val="24"/>
          <w:szCs w:val="24"/>
          <w:lang w:val="zh-CN"/>
        </w:rPr>
      </w:pPr>
      <w:r>
        <w:rPr>
          <w:rFonts w:hint="eastAsia" w:ascii="宋体" w:hAnsi="宋体" w:cs="宋体"/>
          <w:b/>
          <w:color w:val="auto"/>
          <w:sz w:val="24"/>
          <w:szCs w:val="24"/>
        </w:rPr>
        <w:t>12、</w:t>
      </w:r>
      <w:r>
        <w:rPr>
          <w:rFonts w:hint="eastAsia" w:ascii="宋体" w:hAnsi="宋体" w:cs="宋体"/>
          <w:b/>
          <w:color w:val="auto"/>
          <w:sz w:val="24"/>
          <w:szCs w:val="24"/>
          <w:lang w:val="zh-CN"/>
        </w:rPr>
        <w:t>谈判响应文件的组成</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bCs/>
          <w:color w:val="auto"/>
          <w:sz w:val="24"/>
          <w:szCs w:val="24"/>
        </w:rPr>
        <w:t>12.1、</w:t>
      </w:r>
      <w:r>
        <w:rPr>
          <w:rFonts w:hint="eastAsia" w:ascii="宋体" w:hAnsi="宋体" w:eastAsia="宋体" w:cs="宋体"/>
          <w:bCs/>
          <w:color w:val="auto"/>
          <w:sz w:val="24"/>
          <w:szCs w:val="24"/>
          <w:lang w:val="zh-CN"/>
        </w:rPr>
        <w:t>谈判响应文件的组成包含谈判响应函、第一次</w:t>
      </w:r>
      <w:r>
        <w:rPr>
          <w:rFonts w:hint="eastAsia" w:ascii="宋体" w:hAnsi="宋体" w:eastAsia="宋体" w:cs="宋体"/>
          <w:bCs/>
          <w:color w:val="auto"/>
          <w:sz w:val="24"/>
          <w:szCs w:val="24"/>
        </w:rPr>
        <w:t>谈判</w:t>
      </w:r>
      <w:r>
        <w:rPr>
          <w:rFonts w:hint="eastAsia" w:ascii="宋体" w:hAnsi="宋体" w:eastAsia="宋体" w:cs="宋体"/>
          <w:bCs/>
          <w:color w:val="auto"/>
          <w:sz w:val="24"/>
          <w:szCs w:val="24"/>
          <w:lang w:val="zh-CN"/>
        </w:rPr>
        <w:t>报价表、分项报价表、</w:t>
      </w:r>
      <w:r>
        <w:rPr>
          <w:rFonts w:hint="eastAsia" w:ascii="宋体" w:hAnsi="宋体" w:eastAsia="宋体" w:cs="宋体"/>
          <w:color w:val="auto"/>
          <w:sz w:val="24"/>
          <w:szCs w:val="24"/>
        </w:rPr>
        <w:t>货物说明一览表、备选产品配件报价表、</w:t>
      </w:r>
      <w:r>
        <w:rPr>
          <w:rFonts w:hint="eastAsia" w:ascii="宋体" w:hAnsi="宋体" w:eastAsia="宋体" w:cs="宋体"/>
          <w:bCs/>
          <w:color w:val="auto"/>
          <w:kern w:val="0"/>
          <w:sz w:val="24"/>
          <w:szCs w:val="24"/>
        </w:rPr>
        <w:t>偏离表、</w:t>
      </w:r>
      <w:r>
        <w:rPr>
          <w:rFonts w:hint="eastAsia" w:ascii="宋体" w:hAnsi="宋体" w:eastAsia="宋体" w:cs="宋体"/>
          <w:color w:val="auto"/>
          <w:sz w:val="24"/>
          <w:szCs w:val="24"/>
        </w:rPr>
        <w:t>谈判方案说明、近三年完成的类似项目表、供应商资质证明文件、提供政府采购政策证明材料、其他资料</w:t>
      </w:r>
      <w:r>
        <w:rPr>
          <w:rFonts w:hint="eastAsia" w:ascii="宋体" w:hAnsi="宋体" w:eastAsia="宋体" w:cs="宋体"/>
          <w:bCs/>
          <w:color w:val="auto"/>
          <w:sz w:val="24"/>
          <w:szCs w:val="24"/>
          <w:lang w:val="zh-CN"/>
        </w:rPr>
        <w:t>等内容。</w:t>
      </w:r>
    </w:p>
    <w:p>
      <w:pPr>
        <w:autoSpaceDE w:val="0"/>
        <w:autoSpaceDN w:val="0"/>
        <w:adjustRightInd w:val="0"/>
        <w:spacing w:line="520" w:lineRule="exact"/>
        <w:ind w:firstLine="570"/>
        <w:rPr>
          <w:rFonts w:ascii="宋体" w:hAnsi="宋体" w:cs="宋体"/>
          <w:bCs/>
          <w:color w:val="auto"/>
          <w:sz w:val="24"/>
          <w:szCs w:val="24"/>
          <w:lang w:val="zh-CN"/>
        </w:rPr>
      </w:pPr>
      <w:r>
        <w:rPr>
          <w:rFonts w:hint="eastAsia" w:ascii="宋体" w:hAnsi="宋体" w:cs="宋体"/>
          <w:bCs/>
          <w:color w:val="auto"/>
          <w:sz w:val="24"/>
          <w:szCs w:val="24"/>
        </w:rPr>
        <w:t>12</w:t>
      </w:r>
      <w:r>
        <w:rPr>
          <w:rFonts w:hint="eastAsia" w:ascii="宋体" w:hAnsi="宋体" w:cs="宋体"/>
          <w:bCs/>
          <w:color w:val="auto"/>
          <w:sz w:val="24"/>
          <w:szCs w:val="24"/>
          <w:lang w:val="zh-CN"/>
        </w:rPr>
        <w:t>.2、谈判响应文件中谈判报价表内容与分项报价表内容不一致的，以谈判报价表为准。</w:t>
      </w:r>
    </w:p>
    <w:p>
      <w:pPr>
        <w:autoSpaceDE w:val="0"/>
        <w:autoSpaceDN w:val="0"/>
        <w:adjustRightInd w:val="0"/>
        <w:spacing w:line="520" w:lineRule="exact"/>
        <w:ind w:firstLine="570"/>
        <w:rPr>
          <w:rFonts w:ascii="宋体" w:hAnsi="宋体" w:cs="宋体"/>
          <w:bCs/>
          <w:color w:val="auto"/>
          <w:sz w:val="24"/>
          <w:szCs w:val="24"/>
          <w:lang w:val="zh-CN"/>
        </w:rPr>
      </w:pPr>
      <w:r>
        <w:rPr>
          <w:rFonts w:hint="eastAsia" w:ascii="宋体" w:hAnsi="宋体" w:cs="宋体"/>
          <w:bCs/>
          <w:color w:val="auto"/>
          <w:sz w:val="24"/>
          <w:szCs w:val="24"/>
        </w:rPr>
        <w:t>12.3、</w:t>
      </w:r>
      <w:r>
        <w:rPr>
          <w:rFonts w:hint="eastAsia" w:ascii="宋体" w:hAnsi="宋体" w:cs="宋体"/>
          <w:bCs/>
          <w:color w:val="auto"/>
          <w:sz w:val="24"/>
          <w:szCs w:val="24"/>
          <w:lang w:val="zh-CN"/>
        </w:rPr>
        <w:t>本次谈判的最小单元为“包号”，供应商可根据自身的资质情况和经营范围对本次项目进行谈判，不得将其子目再行分解或只对本次项目中的品目进行不完全谈判，任何不完全的响应将会被拒绝。</w:t>
      </w:r>
    </w:p>
    <w:p>
      <w:pPr>
        <w:autoSpaceDE w:val="0"/>
        <w:autoSpaceDN w:val="0"/>
        <w:adjustRightInd w:val="0"/>
        <w:spacing w:line="520" w:lineRule="exact"/>
        <w:ind w:firstLine="573"/>
        <w:rPr>
          <w:rFonts w:ascii="宋体" w:hAnsi="宋体" w:cs="宋体"/>
          <w:b/>
          <w:color w:val="auto"/>
          <w:sz w:val="24"/>
          <w:szCs w:val="24"/>
        </w:rPr>
      </w:pPr>
      <w:r>
        <w:rPr>
          <w:rFonts w:hint="eastAsia" w:ascii="宋体" w:hAnsi="宋体" w:cs="宋体"/>
          <w:b/>
          <w:color w:val="auto"/>
          <w:sz w:val="24"/>
          <w:szCs w:val="24"/>
        </w:rPr>
        <w:t xml:space="preserve">13、竞争性谈判响应文件格式 </w:t>
      </w:r>
    </w:p>
    <w:p>
      <w:pPr>
        <w:autoSpaceDE w:val="0"/>
        <w:autoSpaceDN w:val="0"/>
        <w:adjustRightInd w:val="0"/>
        <w:spacing w:line="520" w:lineRule="exact"/>
        <w:ind w:firstLine="573"/>
        <w:rPr>
          <w:rFonts w:ascii="宋体" w:hAnsi="宋体" w:cs="宋体"/>
          <w:bCs/>
          <w:color w:val="auto"/>
          <w:sz w:val="24"/>
          <w:szCs w:val="24"/>
        </w:rPr>
      </w:pPr>
      <w:r>
        <w:rPr>
          <w:rFonts w:hint="eastAsia" w:ascii="宋体" w:hAnsi="宋体" w:cs="宋体"/>
          <w:bCs/>
          <w:color w:val="auto"/>
          <w:sz w:val="24"/>
          <w:szCs w:val="24"/>
        </w:rPr>
        <w:t>13.1、供应商应按照竞争性谈判文件中第八章“</w:t>
      </w:r>
      <w:r>
        <w:rPr>
          <w:rFonts w:hint="eastAsia" w:ascii="宋体" w:hAnsi="宋体" w:cs="宋体"/>
          <w:bCs/>
          <w:color w:val="auto"/>
          <w:sz w:val="24"/>
          <w:szCs w:val="24"/>
          <w:lang w:val="zh-CN"/>
        </w:rPr>
        <w:t>响应文件格式</w:t>
      </w:r>
      <w:r>
        <w:rPr>
          <w:rFonts w:hint="eastAsia" w:ascii="宋体" w:hAnsi="宋体" w:cs="宋体"/>
          <w:bCs/>
          <w:color w:val="auto"/>
          <w:sz w:val="24"/>
          <w:szCs w:val="24"/>
        </w:rPr>
        <w:t>”所提供的格式和要求制作竞争性谈判响应文件，明确表达谈判意愿，详细说明谈判方案、承诺及价格。</w:t>
      </w:r>
    </w:p>
    <w:p>
      <w:pPr>
        <w:autoSpaceDE w:val="0"/>
        <w:autoSpaceDN w:val="0"/>
        <w:adjustRightInd w:val="0"/>
        <w:spacing w:line="520" w:lineRule="exact"/>
        <w:ind w:firstLine="573"/>
        <w:rPr>
          <w:rFonts w:ascii="宋体" w:hAnsi="宋体" w:cs="宋体"/>
          <w:b/>
          <w:color w:val="auto"/>
          <w:sz w:val="24"/>
          <w:szCs w:val="24"/>
        </w:rPr>
      </w:pPr>
      <w:r>
        <w:rPr>
          <w:rFonts w:hint="eastAsia" w:ascii="宋体" w:hAnsi="宋体" w:cs="宋体"/>
          <w:bCs/>
          <w:color w:val="auto"/>
          <w:sz w:val="24"/>
          <w:szCs w:val="24"/>
        </w:rPr>
        <w:t>13.2、按竞争性谈判文件第五章采购内容及要求和第八章提供的格式和要求编写其竞争性谈判响应文件，供应商不得缺少或留空任何竞争性谈判文件要求填写的表格或提交的资料。</w:t>
      </w:r>
    </w:p>
    <w:p>
      <w:pPr>
        <w:autoSpaceDE w:val="0"/>
        <w:autoSpaceDN w:val="0"/>
        <w:adjustRightInd w:val="0"/>
        <w:spacing w:line="520" w:lineRule="exact"/>
        <w:ind w:firstLine="573"/>
        <w:rPr>
          <w:rFonts w:ascii="宋体" w:hAnsi="宋体" w:cs="宋体"/>
          <w:b/>
          <w:color w:val="auto"/>
          <w:sz w:val="24"/>
          <w:szCs w:val="24"/>
          <w:lang w:val="zh-CN"/>
        </w:rPr>
      </w:pPr>
      <w:r>
        <w:rPr>
          <w:rFonts w:hint="eastAsia" w:ascii="宋体" w:hAnsi="宋体" w:cs="宋体"/>
          <w:b/>
          <w:color w:val="auto"/>
          <w:sz w:val="24"/>
          <w:szCs w:val="24"/>
        </w:rPr>
        <w:t>14、</w:t>
      </w:r>
      <w:r>
        <w:rPr>
          <w:rFonts w:hint="eastAsia" w:ascii="宋体" w:hAnsi="宋体" w:cs="宋体"/>
          <w:b/>
          <w:color w:val="auto"/>
          <w:sz w:val="24"/>
          <w:szCs w:val="24"/>
          <w:lang w:val="zh-CN"/>
        </w:rPr>
        <w:t>谈判报价：</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14.1</w:t>
      </w:r>
      <w:r>
        <w:rPr>
          <w:rFonts w:hint="eastAsia" w:ascii="宋体" w:hAnsi="宋体" w:cs="宋体"/>
          <w:color w:val="auto"/>
          <w:sz w:val="24"/>
          <w:szCs w:val="24"/>
          <w:lang w:val="zh-CN"/>
        </w:rPr>
        <w:t>、供应商依据竞争性谈判采购文件给定的资料及现行规范的相应规定，在充分考虑</w:t>
      </w:r>
      <w:r>
        <w:rPr>
          <w:rFonts w:hint="eastAsia" w:ascii="宋体" w:hAnsi="宋体" w:cs="宋体"/>
          <w:color w:val="auto"/>
          <w:sz w:val="24"/>
          <w:szCs w:val="24"/>
        </w:rPr>
        <w:t>项目的</w:t>
      </w:r>
      <w:r>
        <w:rPr>
          <w:rFonts w:hint="eastAsia" w:ascii="宋体" w:hAnsi="宋体" w:cs="宋体"/>
          <w:color w:val="auto"/>
          <w:sz w:val="24"/>
          <w:szCs w:val="24"/>
          <w:lang w:val="zh-CN"/>
        </w:rPr>
        <w:t>货物总价、货物运达指定地点的运杂费（含运输费、保险费）、安装调试费、检测验收费、其他（含</w:t>
      </w:r>
      <w:r>
        <w:rPr>
          <w:rFonts w:hint="eastAsia" w:ascii="宋体" w:hAnsi="宋体" w:cs="宋体"/>
          <w:color w:val="auto"/>
          <w:sz w:val="24"/>
          <w:szCs w:val="24"/>
        </w:rPr>
        <w:t>人工费、</w:t>
      </w:r>
      <w:r>
        <w:rPr>
          <w:rFonts w:hint="eastAsia" w:ascii="宋体" w:hAnsi="宋体" w:cs="宋体"/>
          <w:color w:val="auto"/>
          <w:sz w:val="24"/>
          <w:szCs w:val="24"/>
          <w:lang w:val="zh-CN"/>
        </w:rPr>
        <w:t>向税务部门交纳的各项税费等）等至交付采购人使用的一切含税费用。谈判报价表中标明本次服务价格，任何有选择的报价将不予接受，按无效谈判处理。</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14.</w:t>
      </w:r>
      <w:r>
        <w:rPr>
          <w:rFonts w:hint="eastAsia" w:ascii="宋体" w:hAnsi="宋体" w:cs="宋体"/>
          <w:color w:val="auto"/>
          <w:sz w:val="24"/>
          <w:szCs w:val="24"/>
          <w:lang w:val="zh-CN"/>
        </w:rPr>
        <w:t>2、谈判供应商根据自身情况、</w:t>
      </w:r>
      <w:r>
        <w:rPr>
          <w:rFonts w:hint="eastAsia" w:ascii="宋体" w:hAnsi="宋体" w:cs="宋体"/>
          <w:color w:val="auto"/>
          <w:sz w:val="24"/>
          <w:szCs w:val="24"/>
        </w:rPr>
        <w:t>项目</w:t>
      </w:r>
      <w:r>
        <w:rPr>
          <w:rFonts w:hint="eastAsia" w:ascii="宋体" w:hAnsi="宋体" w:cs="宋体"/>
          <w:color w:val="auto"/>
          <w:sz w:val="24"/>
          <w:szCs w:val="24"/>
          <w:lang w:val="zh-CN"/>
        </w:rPr>
        <w:t>概况、工作内容、工作量、技术含量、难易程度等因素后自主报价。</w:t>
      </w:r>
    </w:p>
    <w:p>
      <w:pPr>
        <w:pStyle w:val="6"/>
        <w:jc w:val="left"/>
        <w:rPr>
          <w:rFonts w:ascii="宋体" w:hAnsi="宋体" w:eastAsia="宋体" w:cs="宋体"/>
          <w:color w:val="auto"/>
          <w:sz w:val="24"/>
          <w:szCs w:val="24"/>
          <w:lang w:val="zh-CN"/>
        </w:rPr>
      </w:pPr>
      <w:r>
        <w:rPr>
          <w:rFonts w:hint="eastAsia" w:ascii="宋体" w:hAnsi="宋体" w:eastAsia="宋体" w:cs="宋体"/>
          <w:color w:val="auto"/>
          <w:sz w:val="24"/>
          <w:szCs w:val="24"/>
        </w:rPr>
        <w:t xml:space="preserve">     14.3</w:t>
      </w:r>
      <w:r>
        <w:rPr>
          <w:rFonts w:hint="eastAsia" w:ascii="宋体" w:hAnsi="宋体" w:eastAsia="宋体" w:cs="宋体"/>
          <w:color w:val="auto"/>
          <w:sz w:val="24"/>
          <w:szCs w:val="24"/>
          <w:lang w:val="zh-CN"/>
        </w:rPr>
        <w:t>、凡因供应商对谈判采购文件阅读不深、</w:t>
      </w:r>
      <w:r>
        <w:rPr>
          <w:rFonts w:hint="eastAsia" w:ascii="宋体" w:hAnsi="宋体" w:eastAsia="宋体" w:cs="宋体"/>
          <w:color w:val="auto"/>
          <w:sz w:val="24"/>
          <w:szCs w:val="24"/>
        </w:rPr>
        <w:t>理解不透、</w:t>
      </w:r>
      <w:r>
        <w:rPr>
          <w:rFonts w:hint="eastAsia" w:ascii="宋体" w:hAnsi="宋体" w:eastAsia="宋体" w:cs="宋体"/>
          <w:color w:val="auto"/>
          <w:sz w:val="24"/>
          <w:szCs w:val="24"/>
          <w:lang w:val="zh-CN"/>
        </w:rPr>
        <w:t>误解、疏漏、</w:t>
      </w:r>
      <w:r>
        <w:rPr>
          <w:rFonts w:hint="eastAsia" w:ascii="宋体" w:hAnsi="宋体" w:eastAsia="宋体" w:cs="宋体"/>
          <w:color w:val="auto"/>
          <w:sz w:val="24"/>
          <w:szCs w:val="24"/>
        </w:rPr>
        <w:t>或因市场行情了解不清造成的后果和风险均由供应商自负。</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14.4</w:t>
      </w:r>
      <w:r>
        <w:rPr>
          <w:rFonts w:hint="eastAsia" w:ascii="宋体" w:hAnsi="宋体" w:cs="宋体"/>
          <w:color w:val="auto"/>
          <w:sz w:val="24"/>
          <w:szCs w:val="24"/>
          <w:lang w:val="zh-CN"/>
        </w:rPr>
        <w:t>、谈判报价不因市场因素、政府政策调整、费率调整和税收变化等而作任何调整，谈判单位应充分考虑到各种风险因素。</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14.5、</w:t>
      </w:r>
      <w:r>
        <w:rPr>
          <w:rFonts w:hint="eastAsia" w:ascii="宋体" w:hAnsi="宋体" w:cs="宋体"/>
          <w:color w:val="auto"/>
          <w:sz w:val="24"/>
          <w:szCs w:val="24"/>
          <w:lang w:val="zh-CN"/>
        </w:rPr>
        <w:t>最低报价不是确定成交供应商的唯一条件。</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14.6</w:t>
      </w:r>
      <w:r>
        <w:rPr>
          <w:rFonts w:hint="eastAsia" w:ascii="宋体" w:hAnsi="宋体" w:cs="宋体"/>
          <w:color w:val="auto"/>
          <w:sz w:val="24"/>
          <w:szCs w:val="24"/>
          <w:lang w:val="zh-CN"/>
        </w:rPr>
        <w:t>、</w:t>
      </w:r>
      <w:r>
        <w:rPr>
          <w:rFonts w:hint="eastAsia" w:ascii="宋体" w:hAnsi="宋体" w:cs="宋体"/>
          <w:color w:val="auto"/>
          <w:sz w:val="24"/>
          <w:szCs w:val="24"/>
        </w:rPr>
        <w:t>谈判报价货币：人民币，单位:元。</w:t>
      </w:r>
    </w:p>
    <w:p>
      <w:pPr>
        <w:autoSpaceDE w:val="0"/>
        <w:autoSpaceDN w:val="0"/>
        <w:adjustRightInd w:val="0"/>
        <w:spacing w:line="520" w:lineRule="exact"/>
        <w:ind w:firstLine="573"/>
        <w:rPr>
          <w:rFonts w:ascii="宋体" w:hAnsi="宋体" w:cs="宋体"/>
          <w:b/>
          <w:color w:val="auto"/>
          <w:sz w:val="24"/>
          <w:szCs w:val="24"/>
          <w:lang w:val="zh-CN"/>
        </w:rPr>
      </w:pPr>
      <w:r>
        <w:rPr>
          <w:rFonts w:hint="eastAsia" w:ascii="宋体" w:hAnsi="宋体" w:cs="宋体"/>
          <w:color w:val="auto"/>
          <w:sz w:val="24"/>
          <w:szCs w:val="24"/>
        </w:rPr>
        <w:t>14.7</w:t>
      </w:r>
      <w:r>
        <w:rPr>
          <w:rFonts w:hint="eastAsia" w:ascii="宋体" w:hAnsi="宋体" w:cs="宋体"/>
          <w:color w:val="auto"/>
          <w:sz w:val="24"/>
          <w:szCs w:val="24"/>
          <w:lang w:val="zh-CN"/>
        </w:rPr>
        <w:t>、</w:t>
      </w:r>
      <w:r>
        <w:rPr>
          <w:rFonts w:hint="eastAsia" w:ascii="宋体" w:hAnsi="宋体" w:cs="宋体"/>
          <w:b/>
          <w:color w:val="auto"/>
          <w:kern w:val="0"/>
          <w:sz w:val="24"/>
          <w:szCs w:val="24"/>
        </w:rPr>
        <w:t>本次谈判采取二次报价，即：谈判响应文件中的谈判总报价为第一次报价；在谈判供应商初审合格后，第一次报价为有效报价。</w:t>
      </w:r>
      <w:r>
        <w:rPr>
          <w:rFonts w:hint="eastAsia" w:ascii="宋体" w:hAnsi="宋体" w:cs="宋体"/>
          <w:b/>
          <w:color w:val="auto"/>
          <w:sz w:val="24"/>
          <w:szCs w:val="24"/>
        </w:rPr>
        <w:t>通过初审的各供应商单位与谈判小组进行背靠背谈判后，在规定时间内，提交第二次报价，</w:t>
      </w:r>
      <w:r>
        <w:rPr>
          <w:rFonts w:hint="eastAsia" w:ascii="宋体" w:hAnsi="宋体" w:cs="宋体"/>
          <w:b/>
          <w:color w:val="auto"/>
          <w:kern w:val="0"/>
          <w:sz w:val="24"/>
          <w:szCs w:val="24"/>
        </w:rPr>
        <w:t>第二次报价即为最终报价。</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14.8</w:t>
      </w:r>
      <w:r>
        <w:rPr>
          <w:rFonts w:hint="eastAsia" w:ascii="宋体" w:hAnsi="宋体" w:cs="宋体"/>
          <w:color w:val="auto"/>
          <w:sz w:val="24"/>
          <w:szCs w:val="24"/>
          <w:lang w:val="zh-CN"/>
        </w:rPr>
        <w:t>、谈判后所确定的成交价格，在合同执行过程中，不得以任何理由变更。</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14.9、</w:t>
      </w:r>
      <w:r>
        <w:rPr>
          <w:rFonts w:hint="eastAsia" w:ascii="宋体" w:hAnsi="宋体" w:cs="宋体"/>
          <w:color w:val="auto"/>
          <w:sz w:val="24"/>
          <w:szCs w:val="24"/>
          <w:lang w:val="zh-CN"/>
        </w:rPr>
        <w:t>供应商不得以低于成本的报价参加谈判。若谈判小组认为某个供应商的报价明显低于其他通过符合性审查的供应商的报价，有可能影响产品质量或者不能诚信履约的，应当要求其在谈判现场合理的时间内提供书面说明，必要时提交相关证明材料；供应商不能证明其报价合理性的，谈判小组应将其作为无效投标处理。</w:t>
      </w:r>
    </w:p>
    <w:p>
      <w:pPr>
        <w:autoSpaceDE w:val="0"/>
        <w:autoSpaceDN w:val="0"/>
        <w:adjustRightInd w:val="0"/>
        <w:spacing w:line="520" w:lineRule="exact"/>
        <w:ind w:firstLine="573"/>
        <w:rPr>
          <w:rFonts w:ascii="宋体" w:hAnsi="宋体" w:cs="宋体"/>
          <w:b/>
          <w:color w:val="auto"/>
          <w:sz w:val="24"/>
          <w:szCs w:val="24"/>
          <w:lang w:val="zh-CN"/>
        </w:rPr>
      </w:pPr>
      <w:r>
        <w:rPr>
          <w:rFonts w:hint="eastAsia" w:ascii="宋体" w:hAnsi="宋体" w:cs="宋体"/>
          <w:color w:val="auto"/>
          <w:sz w:val="24"/>
          <w:szCs w:val="24"/>
        </w:rPr>
        <w:t>14.10</w:t>
      </w:r>
      <w:r>
        <w:rPr>
          <w:rFonts w:hint="eastAsia" w:ascii="宋体" w:hAnsi="宋体" w:cs="宋体"/>
          <w:color w:val="auto"/>
          <w:sz w:val="24"/>
          <w:szCs w:val="24"/>
          <w:lang w:val="zh-CN"/>
        </w:rPr>
        <w:t>、第一次报价超出采购预算的供应商不进入下一步谈判程序。</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14.11</w:t>
      </w:r>
      <w:r>
        <w:rPr>
          <w:rFonts w:hint="eastAsia" w:ascii="宋体" w:hAnsi="宋体" w:cs="宋体"/>
          <w:color w:val="auto"/>
          <w:sz w:val="24"/>
          <w:szCs w:val="24"/>
          <w:lang w:val="zh-CN"/>
        </w:rPr>
        <w:t>、本项目不公开任何一次报价。</w:t>
      </w:r>
    </w:p>
    <w:p>
      <w:pPr>
        <w:autoSpaceDE w:val="0"/>
        <w:autoSpaceDN w:val="0"/>
        <w:adjustRightInd w:val="0"/>
        <w:spacing w:line="520" w:lineRule="exact"/>
        <w:ind w:firstLine="573"/>
        <w:rPr>
          <w:rFonts w:ascii="宋体" w:hAnsi="宋体" w:cs="宋体"/>
          <w:b/>
          <w:bCs/>
          <w:color w:val="auto"/>
          <w:sz w:val="24"/>
          <w:szCs w:val="24"/>
          <w:lang w:val="zh-CN"/>
        </w:rPr>
      </w:pPr>
      <w:r>
        <w:rPr>
          <w:rFonts w:hint="eastAsia" w:ascii="宋体" w:hAnsi="宋体" w:cs="宋体"/>
          <w:b/>
          <w:bCs/>
          <w:color w:val="auto"/>
          <w:sz w:val="24"/>
          <w:szCs w:val="24"/>
          <w:lang w:val="zh-CN"/>
        </w:rPr>
        <w:t>1</w:t>
      </w:r>
      <w:r>
        <w:rPr>
          <w:rFonts w:hint="eastAsia" w:ascii="宋体" w:hAnsi="宋体" w:cs="宋体"/>
          <w:b/>
          <w:bCs/>
          <w:color w:val="auto"/>
          <w:sz w:val="24"/>
          <w:szCs w:val="24"/>
        </w:rPr>
        <w:t>5</w:t>
      </w:r>
      <w:r>
        <w:rPr>
          <w:rFonts w:hint="eastAsia" w:ascii="宋体" w:hAnsi="宋体" w:cs="宋体"/>
          <w:b/>
          <w:bCs/>
          <w:color w:val="auto"/>
          <w:sz w:val="24"/>
          <w:szCs w:val="24"/>
          <w:lang w:val="zh-CN"/>
        </w:rPr>
        <w:t>、证明供应商合格的资格证明文件</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5</w:t>
      </w:r>
      <w:r>
        <w:rPr>
          <w:rFonts w:hint="eastAsia" w:ascii="宋体" w:hAnsi="宋体" w:cs="宋体"/>
          <w:color w:val="auto"/>
          <w:sz w:val="24"/>
          <w:szCs w:val="24"/>
          <w:lang w:val="zh-CN"/>
        </w:rPr>
        <w:t>.1、供应商应按照竞争性谈判文件供应商须知前附表的要求，在竞争性谈判响应文件中提交合格的资格证明文件。如果资格证明文件不全或不合格的，其谈判响应文件将被作无效文件处理。</w:t>
      </w:r>
    </w:p>
    <w:p>
      <w:pPr>
        <w:autoSpaceDE w:val="0"/>
        <w:autoSpaceDN w:val="0"/>
        <w:adjustRightInd w:val="0"/>
        <w:spacing w:line="520" w:lineRule="exact"/>
        <w:ind w:firstLine="573"/>
        <w:rPr>
          <w:rFonts w:ascii="宋体" w:hAnsi="宋体" w:cs="宋体"/>
          <w:b/>
          <w:bCs/>
          <w:color w:val="auto"/>
          <w:sz w:val="24"/>
          <w:szCs w:val="24"/>
          <w:lang w:val="zh-CN"/>
        </w:rPr>
      </w:pPr>
      <w:r>
        <w:rPr>
          <w:rFonts w:hint="eastAsia" w:ascii="宋体" w:hAnsi="宋体" w:cs="宋体"/>
          <w:b/>
          <w:bCs/>
          <w:color w:val="auto"/>
          <w:sz w:val="24"/>
          <w:szCs w:val="24"/>
          <w:lang w:val="zh-CN"/>
        </w:rPr>
        <w:t>1</w:t>
      </w:r>
      <w:r>
        <w:rPr>
          <w:rFonts w:hint="eastAsia" w:ascii="宋体" w:hAnsi="宋体" w:cs="宋体"/>
          <w:b/>
          <w:bCs/>
          <w:color w:val="auto"/>
          <w:sz w:val="24"/>
          <w:szCs w:val="24"/>
        </w:rPr>
        <w:t>6、</w:t>
      </w:r>
      <w:r>
        <w:rPr>
          <w:rFonts w:hint="eastAsia" w:ascii="宋体" w:hAnsi="宋体" w:cs="宋体"/>
          <w:b/>
          <w:bCs/>
          <w:color w:val="auto"/>
          <w:sz w:val="24"/>
          <w:szCs w:val="24"/>
          <w:lang w:val="zh-CN"/>
        </w:rPr>
        <w:t>证明货物（产品）符合竞争性谈判文件规定的文件</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6</w:t>
      </w:r>
      <w:r>
        <w:rPr>
          <w:rFonts w:hint="eastAsia" w:ascii="宋体" w:hAnsi="宋体" w:cs="宋体"/>
          <w:color w:val="auto"/>
          <w:sz w:val="24"/>
          <w:szCs w:val="24"/>
          <w:lang w:val="zh-CN"/>
        </w:rPr>
        <w:t>.1、供应商应在竞争性谈判响应文件中提交服务满足竞争性谈判文件要求并符合国家法律法规、行业管理部门要求的其他强制性标准的证明文件。缺少证明文件或证明文件不合格的谈判响应文件，与竞争性谈判文件要求有重大偏离的谈判响应文件，不符合国家法律法规、行业管理部门要求的其他强制性标准的谈判响应文件将按无效谈判处理。</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1) 服务主要技术指标和性能的详细说明；</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2）逐条对</w:t>
      </w:r>
      <w:r>
        <w:rPr>
          <w:rFonts w:hint="eastAsia" w:ascii="宋体" w:hAnsi="宋体" w:cs="宋体"/>
          <w:color w:val="auto"/>
          <w:sz w:val="24"/>
          <w:szCs w:val="24"/>
        </w:rPr>
        <w:t>竞争性谈判文件</w:t>
      </w:r>
      <w:r>
        <w:rPr>
          <w:rFonts w:hint="eastAsia" w:ascii="宋体" w:hAnsi="宋体" w:cs="宋体"/>
          <w:color w:val="auto"/>
          <w:sz w:val="24"/>
          <w:szCs w:val="24"/>
          <w:lang w:val="zh-CN"/>
        </w:rPr>
        <w:t>提出的技术要求和商务要求进行应答，说明所提供的服务对</w:t>
      </w:r>
      <w:r>
        <w:rPr>
          <w:rFonts w:hint="eastAsia" w:ascii="宋体" w:hAnsi="宋体" w:cs="宋体"/>
          <w:color w:val="auto"/>
          <w:sz w:val="24"/>
          <w:szCs w:val="24"/>
        </w:rPr>
        <w:t>竞争性谈判文件</w:t>
      </w:r>
      <w:r>
        <w:rPr>
          <w:rFonts w:hint="eastAsia" w:ascii="宋体" w:hAnsi="宋体" w:cs="宋体"/>
          <w:color w:val="auto"/>
          <w:sz w:val="24"/>
          <w:szCs w:val="24"/>
          <w:lang w:val="zh-CN"/>
        </w:rPr>
        <w:t>的技术和商务要求是否做出了实质性响应并提供支持文件；</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3) 服务内容、服务实施方案等的详细说明。</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7、</w:t>
      </w:r>
      <w:r>
        <w:rPr>
          <w:rFonts w:hint="eastAsia" w:ascii="宋体" w:hAnsi="宋体" w:cs="宋体"/>
          <w:color w:val="auto"/>
          <w:sz w:val="24"/>
          <w:szCs w:val="24"/>
          <w:lang w:val="zh-CN"/>
        </w:rPr>
        <w:t>保证金</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7</w:t>
      </w:r>
      <w:r>
        <w:rPr>
          <w:rFonts w:hint="eastAsia" w:ascii="宋体" w:hAnsi="宋体" w:cs="宋体"/>
          <w:color w:val="auto"/>
          <w:sz w:val="24"/>
          <w:szCs w:val="24"/>
          <w:lang w:val="zh-CN"/>
        </w:rPr>
        <w:t>.1、谈判保证金：本项目</w:t>
      </w:r>
      <w:r>
        <w:rPr>
          <w:rFonts w:hint="eastAsia" w:ascii="宋体" w:hAnsi="宋体" w:cs="宋体"/>
          <w:color w:val="auto"/>
          <w:sz w:val="24"/>
          <w:szCs w:val="24"/>
        </w:rPr>
        <w:t>无</w:t>
      </w:r>
      <w:r>
        <w:rPr>
          <w:rFonts w:hint="eastAsia" w:ascii="宋体" w:hAnsi="宋体" w:cs="宋体"/>
          <w:color w:val="auto"/>
          <w:sz w:val="24"/>
          <w:szCs w:val="24"/>
          <w:lang w:val="zh-CN"/>
        </w:rPr>
        <w:t>谈判保证金；</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7</w:t>
      </w:r>
      <w:r>
        <w:rPr>
          <w:rFonts w:hint="eastAsia" w:ascii="宋体" w:hAnsi="宋体" w:cs="宋体"/>
          <w:color w:val="auto"/>
          <w:sz w:val="24"/>
          <w:szCs w:val="24"/>
          <w:lang w:val="zh-CN"/>
        </w:rPr>
        <w:t>.2、履约保证金：本项目</w:t>
      </w:r>
      <w:r>
        <w:rPr>
          <w:rFonts w:hint="eastAsia" w:ascii="宋体" w:hAnsi="宋体" w:cs="宋体"/>
          <w:color w:val="auto"/>
          <w:sz w:val="24"/>
          <w:szCs w:val="24"/>
        </w:rPr>
        <w:t>无</w:t>
      </w:r>
      <w:r>
        <w:rPr>
          <w:rFonts w:hint="eastAsia" w:ascii="宋体" w:hAnsi="宋体" w:cs="宋体"/>
          <w:color w:val="auto"/>
          <w:sz w:val="24"/>
          <w:szCs w:val="24"/>
          <w:lang w:val="zh-CN"/>
        </w:rPr>
        <w:t>履约保证金；</w:t>
      </w:r>
    </w:p>
    <w:p>
      <w:pPr>
        <w:autoSpaceDE w:val="0"/>
        <w:autoSpaceDN w:val="0"/>
        <w:adjustRightInd w:val="0"/>
        <w:spacing w:line="520" w:lineRule="exact"/>
        <w:ind w:firstLine="573"/>
        <w:rPr>
          <w:rFonts w:ascii="宋体" w:hAnsi="宋体" w:cs="宋体"/>
          <w:b/>
          <w:color w:val="auto"/>
          <w:sz w:val="24"/>
          <w:szCs w:val="24"/>
        </w:rPr>
      </w:pPr>
      <w:r>
        <w:rPr>
          <w:rFonts w:hint="eastAsia" w:ascii="宋体" w:hAnsi="宋体" w:cs="宋体"/>
          <w:b/>
          <w:color w:val="auto"/>
          <w:sz w:val="24"/>
          <w:szCs w:val="24"/>
        </w:rPr>
        <w:t>18</w:t>
      </w:r>
      <w:r>
        <w:rPr>
          <w:rFonts w:hint="eastAsia" w:ascii="宋体" w:hAnsi="宋体" w:cs="宋体"/>
          <w:b/>
          <w:color w:val="auto"/>
          <w:sz w:val="24"/>
          <w:szCs w:val="24"/>
          <w:lang w:val="zh-CN"/>
        </w:rPr>
        <w:t>、</w:t>
      </w:r>
      <w:r>
        <w:rPr>
          <w:rFonts w:hint="eastAsia" w:ascii="宋体" w:hAnsi="宋体" w:cs="宋体"/>
          <w:b/>
          <w:color w:val="auto"/>
          <w:sz w:val="24"/>
          <w:szCs w:val="24"/>
        </w:rPr>
        <w:t>谈判有效期</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18.1、</w:t>
      </w:r>
      <w:r>
        <w:rPr>
          <w:rFonts w:hint="eastAsia" w:ascii="宋体" w:hAnsi="宋体" w:cs="宋体"/>
          <w:color w:val="auto"/>
          <w:sz w:val="24"/>
          <w:szCs w:val="24"/>
          <w:lang w:val="zh-CN"/>
        </w:rPr>
        <w:t>谈判有效期见谈判供应商须知前附表。谈判有效期短于此规定期限的谈判，将按无效谈判处理。</w:t>
      </w:r>
    </w:p>
    <w:p>
      <w:pPr>
        <w:autoSpaceDE w:val="0"/>
        <w:autoSpaceDN w:val="0"/>
        <w:adjustRightInd w:val="0"/>
        <w:spacing w:line="520" w:lineRule="exact"/>
        <w:ind w:firstLine="573"/>
        <w:rPr>
          <w:rFonts w:ascii="宋体" w:hAnsi="宋体" w:cs="宋体"/>
          <w:b/>
          <w:color w:val="auto"/>
          <w:sz w:val="24"/>
          <w:szCs w:val="24"/>
          <w:lang w:val="zh-CN"/>
        </w:rPr>
      </w:pPr>
      <w:r>
        <w:rPr>
          <w:rFonts w:hint="eastAsia" w:ascii="宋体" w:hAnsi="宋体" w:cs="宋体"/>
          <w:color w:val="auto"/>
          <w:sz w:val="24"/>
          <w:szCs w:val="24"/>
        </w:rPr>
        <w:t>18.2、在特殊情况下，在原谈判有效期期满之前，采购代理机构可向供应商提出延长谈判有效期的要求。这种要求与答复均应以书面的形式。供应商可以拒绝采购代理机构的这种要求。同意延长的供应商既不能要求也不允许修改其竞争性谈判响应文件。</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b/>
          <w:color w:val="auto"/>
          <w:sz w:val="24"/>
          <w:szCs w:val="24"/>
        </w:rPr>
        <w:t>18.3、</w:t>
      </w:r>
      <w:r>
        <w:rPr>
          <w:rFonts w:hint="eastAsia" w:ascii="宋体" w:hAnsi="宋体" w:cs="宋体"/>
          <w:b/>
          <w:color w:val="auto"/>
          <w:sz w:val="24"/>
          <w:szCs w:val="24"/>
          <w:lang w:val="zh-CN"/>
        </w:rPr>
        <w:t>谈判响应文件有效期为自谈判截止日起90日历天，成交供应商的谈判响应文件有效期自动延长至合同执行完毕。</w:t>
      </w:r>
    </w:p>
    <w:p>
      <w:pPr>
        <w:autoSpaceDE w:val="0"/>
        <w:autoSpaceDN w:val="0"/>
        <w:adjustRightInd w:val="0"/>
        <w:spacing w:line="520" w:lineRule="exact"/>
        <w:ind w:firstLine="573"/>
        <w:rPr>
          <w:rFonts w:ascii="宋体" w:hAnsi="宋体" w:cs="宋体"/>
          <w:b/>
          <w:color w:val="auto"/>
          <w:sz w:val="24"/>
          <w:szCs w:val="24"/>
        </w:rPr>
      </w:pPr>
      <w:r>
        <w:rPr>
          <w:rFonts w:hint="eastAsia" w:ascii="宋体" w:hAnsi="宋体" w:cs="宋体"/>
          <w:b/>
          <w:color w:val="auto"/>
          <w:sz w:val="24"/>
          <w:szCs w:val="24"/>
        </w:rPr>
        <w:t>19</w:t>
      </w:r>
      <w:r>
        <w:rPr>
          <w:rFonts w:hint="eastAsia" w:ascii="宋体" w:hAnsi="宋体" w:cs="宋体"/>
          <w:b/>
          <w:color w:val="auto"/>
          <w:sz w:val="24"/>
          <w:szCs w:val="24"/>
          <w:lang w:val="zh-CN"/>
        </w:rPr>
        <w:t>、谈判响应文件的式样和签署</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19.</w:t>
      </w:r>
      <w:r>
        <w:rPr>
          <w:rFonts w:hint="eastAsia" w:ascii="宋体" w:hAnsi="宋体" w:cs="宋体"/>
          <w:color w:val="auto"/>
          <w:sz w:val="24"/>
          <w:szCs w:val="24"/>
          <w:lang w:val="zh-CN"/>
        </w:rPr>
        <w:t>1、谈判供应商应填写全称，同时加盖谈判供应商单位印章。</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19.2、谈判响应文件中需签字的地方按竞争性谈判文件要求签字，需盖章的地方按竞争性谈判文件要求盖章。</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19.3</w:t>
      </w:r>
      <w:r>
        <w:rPr>
          <w:rFonts w:hint="eastAsia" w:ascii="宋体" w:hAnsi="宋体" w:cs="宋体"/>
          <w:color w:val="auto"/>
          <w:sz w:val="24"/>
          <w:szCs w:val="24"/>
          <w:lang w:val="zh-CN"/>
        </w:rPr>
        <w:t>、</w:t>
      </w:r>
      <w:r>
        <w:rPr>
          <w:rFonts w:hint="eastAsia" w:ascii="宋体" w:hAnsi="宋体" w:cs="宋体"/>
          <w:b/>
          <w:color w:val="auto"/>
          <w:kern w:val="1"/>
          <w:sz w:val="24"/>
          <w:szCs w:val="24"/>
        </w:rPr>
        <w:t>谈判响应文件（正本1份、副本2份、电子文件U盘2份）</w:t>
      </w:r>
      <w:r>
        <w:rPr>
          <w:rFonts w:hint="eastAsia" w:ascii="宋体" w:hAnsi="宋体" w:cs="宋体"/>
          <w:color w:val="auto"/>
          <w:kern w:val="1"/>
          <w:sz w:val="24"/>
          <w:szCs w:val="24"/>
        </w:rPr>
        <w:t>，正、副本须用A4幅面纸张打印或用不褪色的蓝（黑）墨水填写，并清楚标明“正本”“副本”字样，并各自装订成册。副本可以为正本的复印件，但签字盖章处需加盖单位红色印章。如果正本与副本不符，以正本为准。</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19.</w:t>
      </w:r>
      <w:r>
        <w:rPr>
          <w:rFonts w:hint="eastAsia" w:ascii="宋体" w:hAnsi="宋体" w:cs="宋体"/>
          <w:color w:val="auto"/>
          <w:sz w:val="24"/>
          <w:szCs w:val="24"/>
          <w:lang w:val="zh-CN"/>
        </w:rPr>
        <w:t>4、</w:t>
      </w:r>
      <w:r>
        <w:rPr>
          <w:rFonts w:hint="eastAsia" w:ascii="宋体" w:hAnsi="宋体" w:cs="宋体"/>
          <w:b/>
          <w:bCs/>
          <w:color w:val="auto"/>
          <w:sz w:val="24"/>
          <w:szCs w:val="24"/>
          <w:lang w:val="zh-CN"/>
        </w:rPr>
        <w:t>电子文件制作要求，电子文件与纸质正本谈判响应文件的内容应保持一致，具有同等法律效力，包含PDF格式和WORD格式，采用PDF格式的，有盖章和签字的文字页、证件等扫描文件一起编辑到PDF格式文件中，尤其是有盖章和签字的页不能遗漏，采用U盘刻录。</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19.5、</w:t>
      </w:r>
      <w:r>
        <w:rPr>
          <w:rFonts w:hint="eastAsia" w:ascii="宋体" w:hAnsi="宋体" w:cs="宋体"/>
          <w:color w:val="auto"/>
          <w:sz w:val="24"/>
          <w:szCs w:val="24"/>
          <w:lang w:val="zh-CN"/>
        </w:rPr>
        <w:t>谈判响应文件除各供应商对错处做必要修改外，不得行间插字、涂改和增删，如有修改错漏处，必须由供应商法定代表人（或其委托代理人）签字或盖章。</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19.6、</w:t>
      </w:r>
      <w:r>
        <w:rPr>
          <w:rFonts w:hint="eastAsia" w:ascii="宋体" w:hAnsi="宋体" w:cs="宋体"/>
          <w:color w:val="auto"/>
          <w:sz w:val="24"/>
          <w:szCs w:val="24"/>
          <w:lang w:val="zh-CN"/>
        </w:rPr>
        <w:t>因字迹潦草或表达不清所引起的后果由谈判供应商负责。</w:t>
      </w:r>
    </w:p>
    <w:p>
      <w:pPr>
        <w:autoSpaceDE w:val="0"/>
        <w:autoSpaceDN w:val="0"/>
        <w:adjustRightInd w:val="0"/>
        <w:spacing w:line="520" w:lineRule="exact"/>
        <w:ind w:firstLine="573"/>
        <w:rPr>
          <w:rFonts w:ascii="宋体" w:hAnsi="宋体" w:cs="宋体"/>
          <w:b/>
          <w:color w:val="auto"/>
          <w:sz w:val="24"/>
          <w:szCs w:val="24"/>
        </w:rPr>
      </w:pPr>
      <w:r>
        <w:rPr>
          <w:rFonts w:hint="eastAsia" w:ascii="宋体" w:hAnsi="宋体" w:cs="宋体"/>
          <w:b/>
          <w:color w:val="auto"/>
          <w:sz w:val="24"/>
          <w:szCs w:val="24"/>
        </w:rPr>
        <w:t>20、踏勘和谈判预备会</w:t>
      </w:r>
    </w:p>
    <w:p>
      <w:pPr>
        <w:autoSpaceDE w:val="0"/>
        <w:autoSpaceDN w:val="0"/>
        <w:adjustRightInd w:val="0"/>
        <w:spacing w:line="520" w:lineRule="exact"/>
        <w:ind w:firstLine="573"/>
        <w:rPr>
          <w:rFonts w:ascii="宋体" w:hAnsi="宋体" w:cs="宋体"/>
          <w:bCs/>
          <w:color w:val="auto"/>
          <w:sz w:val="24"/>
          <w:szCs w:val="24"/>
        </w:rPr>
      </w:pPr>
      <w:r>
        <w:rPr>
          <w:rFonts w:hint="eastAsia" w:ascii="宋体" w:hAnsi="宋体" w:cs="宋体"/>
          <w:bCs/>
          <w:color w:val="auto"/>
          <w:sz w:val="24"/>
          <w:szCs w:val="24"/>
        </w:rPr>
        <w:t>20.1、本项目不组织统一踏勘。</w:t>
      </w:r>
    </w:p>
    <w:p>
      <w:pPr>
        <w:autoSpaceDE w:val="0"/>
        <w:autoSpaceDN w:val="0"/>
        <w:adjustRightInd w:val="0"/>
        <w:spacing w:line="520" w:lineRule="exact"/>
        <w:ind w:firstLine="573"/>
        <w:rPr>
          <w:rFonts w:ascii="宋体" w:hAnsi="宋体" w:cs="宋体"/>
          <w:bCs/>
          <w:color w:val="auto"/>
          <w:sz w:val="24"/>
          <w:szCs w:val="24"/>
        </w:rPr>
      </w:pPr>
      <w:r>
        <w:rPr>
          <w:rFonts w:hint="eastAsia" w:ascii="宋体" w:hAnsi="宋体" w:cs="宋体"/>
          <w:bCs/>
          <w:color w:val="auto"/>
          <w:sz w:val="24"/>
          <w:szCs w:val="24"/>
        </w:rPr>
        <w:t>20.2、本项目不召开谈判预备会，谈判供应商如有疑问，请以书面形式在规定时间内提交至代理机构。</w:t>
      </w:r>
    </w:p>
    <w:p>
      <w:pPr>
        <w:pStyle w:val="4"/>
        <w:tabs>
          <w:tab w:val="left" w:pos="576"/>
        </w:tabs>
        <w:spacing w:line="360" w:lineRule="auto"/>
        <w:jc w:val="center"/>
        <w:rPr>
          <w:rFonts w:ascii="宋体" w:hAnsi="宋体" w:eastAsia="宋体" w:cs="宋体"/>
          <w:b/>
          <w:color w:val="auto"/>
          <w:szCs w:val="28"/>
          <w:lang w:val="zh-CN"/>
        </w:rPr>
      </w:pPr>
      <w:bookmarkStart w:id="4" w:name="_Toc392236633"/>
      <w:bookmarkStart w:id="5" w:name="_Toc13486"/>
      <w:bookmarkStart w:id="6" w:name="_Toc22633"/>
      <w:bookmarkStart w:id="7" w:name="_Toc23618"/>
      <w:bookmarkStart w:id="8" w:name="_Toc17826"/>
      <w:bookmarkStart w:id="9" w:name="_Toc5363"/>
      <w:bookmarkStart w:id="10" w:name="_Toc29488"/>
      <w:bookmarkStart w:id="11" w:name="_Toc7524491"/>
      <w:bookmarkStart w:id="12" w:name="_Toc10117"/>
      <w:bookmarkStart w:id="13" w:name="_Toc386965846"/>
      <w:bookmarkStart w:id="14" w:name="_Toc233435938"/>
      <w:r>
        <w:rPr>
          <w:rFonts w:hint="eastAsia" w:ascii="宋体" w:hAnsi="宋体" w:eastAsia="宋体" w:cs="宋体"/>
          <w:b/>
          <w:color w:val="auto"/>
          <w:szCs w:val="28"/>
          <w:lang w:val="zh-CN"/>
        </w:rPr>
        <w:t>D、响应文件的递交</w:t>
      </w:r>
      <w:bookmarkEnd w:id="4"/>
      <w:bookmarkEnd w:id="5"/>
      <w:bookmarkEnd w:id="6"/>
      <w:bookmarkEnd w:id="7"/>
      <w:bookmarkEnd w:id="8"/>
      <w:bookmarkEnd w:id="9"/>
      <w:bookmarkEnd w:id="10"/>
      <w:bookmarkEnd w:id="11"/>
      <w:bookmarkEnd w:id="12"/>
      <w:bookmarkEnd w:id="13"/>
      <w:bookmarkEnd w:id="14"/>
    </w:p>
    <w:p>
      <w:pPr>
        <w:pStyle w:val="25"/>
        <w:rPr>
          <w:rFonts w:ascii="宋体" w:hAnsi="宋体" w:cs="宋体"/>
          <w:color w:val="auto"/>
        </w:rPr>
      </w:pPr>
    </w:p>
    <w:p>
      <w:pPr>
        <w:autoSpaceDE w:val="0"/>
        <w:autoSpaceDN w:val="0"/>
        <w:adjustRightInd w:val="0"/>
        <w:spacing w:line="520" w:lineRule="exact"/>
        <w:ind w:firstLine="573"/>
        <w:rPr>
          <w:rFonts w:ascii="宋体" w:hAnsi="宋体" w:cs="宋体"/>
          <w:bCs/>
          <w:color w:val="auto"/>
          <w:sz w:val="24"/>
          <w:szCs w:val="24"/>
          <w:lang w:val="zh-CN"/>
        </w:rPr>
      </w:pPr>
      <w:r>
        <w:rPr>
          <w:rFonts w:hint="eastAsia" w:ascii="宋体" w:hAnsi="宋体" w:cs="宋体"/>
          <w:b/>
          <w:color w:val="auto"/>
          <w:sz w:val="24"/>
          <w:szCs w:val="24"/>
        </w:rPr>
        <w:t>21</w:t>
      </w:r>
      <w:r>
        <w:rPr>
          <w:rFonts w:hint="eastAsia" w:ascii="宋体" w:hAnsi="宋体" w:cs="宋体"/>
          <w:b/>
          <w:color w:val="auto"/>
          <w:sz w:val="24"/>
          <w:szCs w:val="24"/>
          <w:lang w:val="zh-CN"/>
        </w:rPr>
        <w:t>、谈判响应文件的密封、标记及递交</w:t>
      </w:r>
    </w:p>
    <w:p>
      <w:pPr>
        <w:autoSpaceDE w:val="0"/>
        <w:autoSpaceDN w:val="0"/>
        <w:adjustRightInd w:val="0"/>
        <w:spacing w:line="520" w:lineRule="exact"/>
        <w:ind w:firstLine="573"/>
        <w:rPr>
          <w:rFonts w:ascii="宋体" w:hAnsi="宋体" w:cs="宋体"/>
          <w:bCs/>
          <w:color w:val="auto"/>
          <w:sz w:val="24"/>
          <w:szCs w:val="24"/>
          <w:lang w:val="zh-CN"/>
        </w:rPr>
      </w:pPr>
      <w:r>
        <w:rPr>
          <w:rFonts w:hint="eastAsia" w:ascii="宋体" w:hAnsi="宋体" w:cs="宋体"/>
          <w:bCs/>
          <w:color w:val="auto"/>
          <w:sz w:val="24"/>
          <w:szCs w:val="24"/>
        </w:rPr>
        <w:t>21</w:t>
      </w:r>
      <w:r>
        <w:rPr>
          <w:rFonts w:hint="eastAsia" w:ascii="宋体" w:hAnsi="宋体" w:cs="宋体"/>
          <w:bCs/>
          <w:color w:val="auto"/>
          <w:sz w:val="24"/>
          <w:szCs w:val="24"/>
          <w:lang w:val="zh-CN"/>
        </w:rPr>
        <w:t>.1 谈判响应文件应密封在密封袋内。正本单独密封在一个密封袋内，所有副本密封在一个密封袋内，</w:t>
      </w:r>
      <w:r>
        <w:rPr>
          <w:rFonts w:hint="eastAsia" w:ascii="宋体" w:hAnsi="宋体" w:cs="宋体"/>
          <w:bCs/>
          <w:color w:val="auto"/>
          <w:sz w:val="24"/>
          <w:szCs w:val="24"/>
        </w:rPr>
        <w:t>电子版文件</w:t>
      </w:r>
      <w:r>
        <w:rPr>
          <w:rFonts w:hint="eastAsia" w:ascii="宋体" w:hAnsi="宋体" w:cs="宋体"/>
          <w:bCs/>
          <w:color w:val="auto"/>
          <w:sz w:val="24"/>
          <w:szCs w:val="24"/>
          <w:lang w:val="zh-CN"/>
        </w:rPr>
        <w:t>单独密封在一个密封袋内</w:t>
      </w:r>
      <w:r>
        <w:rPr>
          <w:rFonts w:hint="eastAsia" w:ascii="宋体" w:hAnsi="宋体" w:cs="宋体"/>
          <w:bCs/>
          <w:color w:val="auto"/>
          <w:sz w:val="24"/>
          <w:szCs w:val="24"/>
        </w:rPr>
        <w:t>。</w:t>
      </w:r>
      <w:r>
        <w:rPr>
          <w:rFonts w:hint="eastAsia" w:ascii="宋体" w:hAnsi="宋体" w:cs="宋体"/>
          <w:bCs/>
          <w:color w:val="auto"/>
          <w:sz w:val="24"/>
          <w:szCs w:val="24"/>
          <w:lang w:val="zh-CN"/>
        </w:rPr>
        <w:t>封袋封口处应加贴封条密封，并在封线处加盖公章（骑缝章）。</w:t>
      </w:r>
    </w:p>
    <w:p>
      <w:pPr>
        <w:autoSpaceDE w:val="0"/>
        <w:autoSpaceDN w:val="0"/>
        <w:adjustRightInd w:val="0"/>
        <w:spacing w:line="520" w:lineRule="exact"/>
        <w:ind w:firstLine="573"/>
        <w:rPr>
          <w:rFonts w:ascii="宋体" w:hAnsi="宋体" w:cs="宋体"/>
          <w:bCs/>
          <w:color w:val="auto"/>
          <w:sz w:val="24"/>
          <w:szCs w:val="24"/>
          <w:lang w:val="zh-CN"/>
        </w:rPr>
      </w:pPr>
      <w:r>
        <w:rPr>
          <w:rFonts w:hint="eastAsia" w:ascii="宋体" w:hAnsi="宋体" w:cs="宋体"/>
          <w:bCs/>
          <w:color w:val="auto"/>
          <w:sz w:val="24"/>
          <w:szCs w:val="24"/>
        </w:rPr>
        <w:t>21</w:t>
      </w:r>
      <w:r>
        <w:rPr>
          <w:rFonts w:hint="eastAsia" w:ascii="宋体" w:hAnsi="宋体" w:cs="宋体"/>
          <w:bCs/>
          <w:color w:val="auto"/>
          <w:sz w:val="24"/>
          <w:szCs w:val="24"/>
          <w:lang w:val="zh-CN"/>
        </w:rPr>
        <w:t>.2 封皮上写明：</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项目名称：</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项目编号：</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供应商名称：</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谈判响应文件在202</w:t>
      </w:r>
      <w:r>
        <w:rPr>
          <w:rFonts w:hint="eastAsia" w:ascii="宋体" w:hAnsi="宋体" w:cs="宋体"/>
          <w:color w:val="auto"/>
          <w:sz w:val="24"/>
          <w:szCs w:val="24"/>
        </w:rPr>
        <w:t>2</w:t>
      </w:r>
      <w:r>
        <w:rPr>
          <w:rFonts w:hint="eastAsia" w:ascii="宋体" w:hAnsi="宋体" w:cs="宋体"/>
          <w:color w:val="auto"/>
          <w:sz w:val="24"/>
          <w:szCs w:val="24"/>
          <w:lang w:val="zh-CN"/>
        </w:rPr>
        <w:t>年  月  日  时  分前“不得开启”字样</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21.3</w:t>
      </w:r>
      <w:r>
        <w:rPr>
          <w:rFonts w:hint="eastAsia" w:ascii="宋体" w:hAnsi="宋体" w:cs="宋体"/>
          <w:color w:val="auto"/>
          <w:sz w:val="24"/>
          <w:szCs w:val="24"/>
          <w:lang w:val="zh-CN"/>
        </w:rPr>
        <w:t>、响应文件必须密封递交。对封装材料及样式不作特别规定，但供应商应当保证其封装的可靠性，不致因搬运、堆放等原因散开。所有密封袋/箱和响应文件封面须标明项目名称、采购项目编号、供应商名称及“正本”、“副本”</w:t>
      </w:r>
      <w:r>
        <w:rPr>
          <w:rFonts w:hint="eastAsia" w:ascii="宋体" w:hAnsi="宋体" w:cs="宋体"/>
          <w:color w:val="auto"/>
          <w:sz w:val="24"/>
          <w:szCs w:val="24"/>
        </w:rPr>
        <w:t>或“电子文件”等</w:t>
      </w:r>
      <w:r>
        <w:rPr>
          <w:rFonts w:hint="eastAsia" w:ascii="宋体" w:hAnsi="宋体" w:cs="宋体"/>
          <w:color w:val="auto"/>
          <w:sz w:val="24"/>
          <w:szCs w:val="24"/>
          <w:lang w:val="zh-CN"/>
        </w:rPr>
        <w:t>字样。</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21.4、</w:t>
      </w:r>
      <w:r>
        <w:rPr>
          <w:rFonts w:hint="eastAsia" w:ascii="宋体" w:hAnsi="宋体" w:cs="宋体"/>
          <w:color w:val="auto"/>
          <w:sz w:val="24"/>
          <w:szCs w:val="24"/>
          <w:lang w:val="zh-CN"/>
        </w:rPr>
        <w:t>响应文件未按要求密封和加写标记，采购代理机构应当拒收；采购代理机构对误投或过早启封的响应文件概不负责。</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21.5、供应商应按照竞争性谈判公告中规定的时间、地点，在规定的竞争性谈判响应文件递交截止时间前将全部竞争性谈判响应文件和谈判资料递交至采购代理机构接收人处。</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21.6、采购代理机构在竞争性谈判文件规定的竞争性谈判响应文件递交截止时间前，只负责竞争性谈判响应文件的接收、清点、造册登记工作，并请递交人签字确认，对其有效性不负任何责任。</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21.7、无论供应商成交与否，其竞争性谈判响应文件恕不退还。</w:t>
      </w:r>
    </w:p>
    <w:p>
      <w:pPr>
        <w:autoSpaceDE w:val="0"/>
        <w:autoSpaceDN w:val="0"/>
        <w:adjustRightInd w:val="0"/>
        <w:spacing w:line="520" w:lineRule="exact"/>
        <w:ind w:firstLine="573"/>
        <w:rPr>
          <w:rFonts w:ascii="宋体" w:hAnsi="宋体" w:cs="宋体"/>
          <w:b/>
          <w:bCs/>
          <w:color w:val="auto"/>
          <w:sz w:val="24"/>
          <w:szCs w:val="24"/>
        </w:rPr>
      </w:pPr>
      <w:r>
        <w:rPr>
          <w:rFonts w:hint="eastAsia" w:ascii="宋体" w:hAnsi="宋体" w:cs="宋体"/>
          <w:b/>
          <w:bCs/>
          <w:color w:val="auto"/>
          <w:sz w:val="24"/>
          <w:szCs w:val="24"/>
        </w:rPr>
        <w:t>22、谈判截止时间</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22.1、所有响应文件都必须按“采购公告”中规定的统一递交响应文件时间送达“采购公告”中规定的递交地址。</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22.2、出现因谈判文件的修改推迟投标截止日期时，则按修改通知规定的时间递交。</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22.3、在响应文件递交截止时间之后递交的任何响应文件及资料将被拒绝接收。</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22.4、拒绝接受以电报、电话、传真、电子邮件形式的投标。</w:t>
      </w:r>
    </w:p>
    <w:p>
      <w:pPr>
        <w:autoSpaceDE w:val="0"/>
        <w:autoSpaceDN w:val="0"/>
        <w:adjustRightInd w:val="0"/>
        <w:spacing w:line="520" w:lineRule="exact"/>
        <w:ind w:firstLine="482" w:firstLineChars="200"/>
        <w:rPr>
          <w:rFonts w:ascii="宋体" w:hAnsi="宋体" w:cs="宋体"/>
          <w:b/>
          <w:bCs/>
          <w:color w:val="auto"/>
          <w:sz w:val="24"/>
          <w:szCs w:val="24"/>
          <w:lang w:val="zh-CN"/>
        </w:rPr>
      </w:pPr>
      <w:r>
        <w:rPr>
          <w:rFonts w:hint="eastAsia" w:ascii="宋体" w:hAnsi="宋体" w:cs="宋体"/>
          <w:b/>
          <w:bCs/>
          <w:color w:val="auto"/>
          <w:sz w:val="24"/>
          <w:szCs w:val="24"/>
        </w:rPr>
        <w:t>23</w:t>
      </w:r>
      <w:r>
        <w:rPr>
          <w:rFonts w:hint="eastAsia" w:ascii="宋体" w:hAnsi="宋体" w:cs="宋体"/>
          <w:b/>
          <w:bCs/>
          <w:color w:val="auto"/>
          <w:sz w:val="24"/>
          <w:szCs w:val="24"/>
          <w:lang w:val="zh-CN"/>
        </w:rPr>
        <w:t>、</w:t>
      </w:r>
      <w:r>
        <w:rPr>
          <w:rFonts w:hint="eastAsia" w:ascii="宋体" w:hAnsi="宋体" w:cs="宋体"/>
          <w:b/>
          <w:color w:val="auto"/>
          <w:kern w:val="1"/>
          <w:sz w:val="24"/>
          <w:szCs w:val="24"/>
        </w:rPr>
        <w:t>谈判响应文件的修改与撤回</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23.1</w:t>
      </w:r>
      <w:r>
        <w:rPr>
          <w:rFonts w:hint="eastAsia" w:ascii="宋体" w:hAnsi="宋体" w:cs="宋体"/>
          <w:color w:val="auto"/>
          <w:sz w:val="24"/>
          <w:szCs w:val="24"/>
          <w:lang w:val="zh-CN"/>
        </w:rPr>
        <w:t>、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3</w:t>
      </w:r>
      <w:r>
        <w:rPr>
          <w:rFonts w:hint="eastAsia" w:ascii="宋体" w:hAnsi="宋体" w:cs="宋体"/>
          <w:color w:val="auto"/>
          <w:sz w:val="24"/>
          <w:szCs w:val="24"/>
          <w:lang w:val="zh-CN"/>
        </w:rPr>
        <w:t>.2、供应商的修改或撤回或变动价格的通知应按本须知第</w:t>
      </w:r>
      <w:r>
        <w:rPr>
          <w:rFonts w:hint="eastAsia" w:ascii="宋体" w:hAnsi="宋体" w:cs="宋体"/>
          <w:color w:val="auto"/>
          <w:sz w:val="24"/>
          <w:szCs w:val="24"/>
        </w:rPr>
        <w:t>21</w:t>
      </w:r>
      <w:r>
        <w:rPr>
          <w:rFonts w:hint="eastAsia" w:ascii="宋体" w:hAnsi="宋体" w:cs="宋体"/>
          <w:color w:val="auto"/>
          <w:sz w:val="24"/>
          <w:szCs w:val="24"/>
          <w:lang w:val="zh-CN"/>
        </w:rPr>
        <w:t>条的规定编制、密封、标记和递交。</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23.3</w:t>
      </w:r>
      <w:r>
        <w:rPr>
          <w:rFonts w:hint="eastAsia" w:ascii="宋体" w:hAnsi="宋体" w:cs="宋体"/>
          <w:color w:val="auto"/>
          <w:sz w:val="24"/>
          <w:szCs w:val="24"/>
          <w:lang w:val="zh-CN"/>
        </w:rPr>
        <w:t>、在谈判截止时间之后，供应商不得对其谈判响应文件做任何修改或撤回。</w:t>
      </w:r>
    </w:p>
    <w:p>
      <w:pPr>
        <w:pStyle w:val="25"/>
        <w:rPr>
          <w:rFonts w:ascii="宋体" w:hAnsi="宋体" w:cs="宋体"/>
          <w:b/>
          <w:color w:val="auto"/>
          <w:sz w:val="24"/>
          <w:szCs w:val="24"/>
          <w:lang w:val="zh-CN"/>
        </w:rPr>
      </w:pPr>
    </w:p>
    <w:p>
      <w:pPr>
        <w:pStyle w:val="4"/>
        <w:tabs>
          <w:tab w:val="left" w:pos="576"/>
        </w:tabs>
        <w:spacing w:line="360" w:lineRule="auto"/>
        <w:jc w:val="center"/>
        <w:rPr>
          <w:rFonts w:ascii="宋体" w:hAnsi="宋体" w:eastAsia="宋体" w:cs="宋体"/>
          <w:b/>
          <w:color w:val="auto"/>
          <w:szCs w:val="28"/>
          <w:lang w:val="zh-CN"/>
        </w:rPr>
      </w:pPr>
      <w:r>
        <w:rPr>
          <w:rFonts w:hint="eastAsia" w:ascii="宋体" w:hAnsi="宋体" w:eastAsia="宋体" w:cs="宋体"/>
          <w:b/>
          <w:color w:val="auto"/>
          <w:szCs w:val="28"/>
          <w:lang w:val="zh-CN"/>
        </w:rPr>
        <w:t>E、谈判及评审</w:t>
      </w:r>
    </w:p>
    <w:p>
      <w:pPr>
        <w:autoSpaceDE w:val="0"/>
        <w:autoSpaceDN w:val="0"/>
        <w:adjustRightInd w:val="0"/>
        <w:spacing w:line="520" w:lineRule="exact"/>
        <w:ind w:firstLine="573"/>
        <w:rPr>
          <w:rFonts w:ascii="宋体" w:hAnsi="宋体" w:cs="宋体"/>
          <w:b/>
          <w:bCs/>
          <w:color w:val="auto"/>
          <w:sz w:val="24"/>
          <w:szCs w:val="24"/>
        </w:rPr>
      </w:pPr>
      <w:r>
        <w:rPr>
          <w:rFonts w:hint="eastAsia" w:ascii="宋体" w:hAnsi="宋体" w:cs="宋体"/>
          <w:b/>
          <w:bCs/>
          <w:color w:val="auto"/>
          <w:sz w:val="24"/>
          <w:szCs w:val="24"/>
        </w:rPr>
        <w:t>24、谈判大会</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24.1、采购代理机构按竞争性谈判文件规定的时间、地点组织谈判。</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24.2、谈判大会由采购代理机构主持，采购人代表、谈判供应商等相关人员参加。</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24.3、谈判供应商应派法定代表人或者授权代表出席开标会，参加开标的代表应签名报到，以证明其出席。谈判供应商的法定代表人或授权代表未出席开标会的，视为其认同谈判结果。</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24.4、谈判大会程序：</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24.4.1宣布谈判大会现场纪律。</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24.4.2公布递交谈判响应文件的谈判供应商名称。</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24.4.3查验谈判响应文件的密封情况。</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24.5、采购代理机构对开标过程做好记录，并存档备案。</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b/>
          <w:bCs/>
          <w:color w:val="auto"/>
          <w:sz w:val="24"/>
          <w:szCs w:val="24"/>
        </w:rPr>
        <w:t>25、评审程序</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按照竞争性谈判响应文件初审、澄清有关问题、分别谈判、二次报价、比较与评审、推荐成交候选人名单的工作程序进行评审。在上一步评审中被认定为无效谈判者，不进入下一步的评审</w:t>
      </w:r>
    </w:p>
    <w:p>
      <w:pPr>
        <w:autoSpaceDE w:val="0"/>
        <w:autoSpaceDN w:val="0"/>
        <w:adjustRightInd w:val="0"/>
        <w:spacing w:line="520" w:lineRule="exact"/>
        <w:ind w:firstLine="573"/>
        <w:rPr>
          <w:rFonts w:ascii="宋体" w:hAnsi="宋体" w:cs="宋体"/>
          <w:b/>
          <w:bCs/>
          <w:color w:val="auto"/>
          <w:sz w:val="24"/>
          <w:szCs w:val="24"/>
        </w:rPr>
      </w:pPr>
      <w:r>
        <w:rPr>
          <w:rFonts w:hint="eastAsia" w:ascii="宋体" w:hAnsi="宋体" w:cs="宋体"/>
          <w:b/>
          <w:bCs/>
          <w:color w:val="auto"/>
          <w:sz w:val="24"/>
          <w:szCs w:val="24"/>
        </w:rPr>
        <w:t>26、评审组织及评审原则</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26.1、按照《中华人民共和国政府采购法》及实施条例和关于印发《政府采购竞争性谈判采购方式管理暂行办法》的通知（财库【2014】214号），依法组建谈判小组。谈判小组由采购人代表和评审专家组成，成员人数应当为3人以上单数，其中采购人代表须持有授权书。谈判小组按照竞争性谈判文件规定的评审方法独立进行评审工作。</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26.2、竞争性谈判文件和竞争性谈判响应文件是评审的依据。在评审中，不得改变竞争性谈判文件中规定的评审标准、方法和成交条件。</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26.4、如果供应商在澄清规定期限内，未能答复或拒绝答复谈判小组提出的澄清要求，将由谈判小组根据其竞争性谈判响应文件按最大风险进行评审。</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26.5、谈判过程中的实质性变动：</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26.5.1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26.5.2、对竞争性谈判文件做出的实质性变动是谈判文件的有效组成部分，谈判小组应当及时以书面形式通知所有参加谈判的供应商。</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26.6、竞争性谈判响应文件的资格性审查</w:t>
      </w:r>
    </w:p>
    <w:p>
      <w:pPr>
        <w:autoSpaceDE w:val="0"/>
        <w:autoSpaceDN w:val="0"/>
        <w:adjustRightInd w:val="0"/>
        <w:spacing w:line="520" w:lineRule="exact"/>
        <w:ind w:firstLine="573"/>
        <w:rPr>
          <w:rFonts w:ascii="宋体" w:hAnsi="宋体" w:cs="宋体"/>
          <w:color w:val="auto"/>
          <w:sz w:val="24"/>
          <w:szCs w:val="24"/>
        </w:rPr>
      </w:pPr>
      <w:r>
        <w:rPr>
          <w:rFonts w:hint="eastAsia" w:ascii="宋体" w:hAnsi="宋体" w:cs="宋体"/>
          <w:color w:val="auto"/>
          <w:sz w:val="24"/>
          <w:szCs w:val="24"/>
        </w:rPr>
        <w:t>26.6.1开标结束后，采购人或代理机构依据法律法规和谈判文件的规定，对响应文件中的供应商资格证明文件进行审查，以确定供应商是否具备谈判资格。</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出现下列情形的，响应文件将被视为无效：</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(1)不具备谈判文件中规定的资格要求的；</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(2)未按谈判文件要求提供资格证明文件，或未按谈判文件要求加盖公章的；</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(3)监标人认为供应商的资格证明文件存在疑点，需提供更清晰有效的证明文件，供应商不能在规定时限内提供符合谈判文件要求的证明文件的。</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资格审查结束后，监标人应当对审查结果进行签字确认，并告知有关供应商未通过审查的原因。</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通过资格审查的供应商不足 3 家的，不得进行符合性审查，应予以废标。</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26.7、关于信用记录的查询和使用</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26.7.1、供应商不得为列入信用中国(www.creditchina.gov.cn)记录失信被执行人或重大税收违法案件当事人名单或中国政府采购网(www.ccgp.gov.cn)的政府采购严重违法失信行为记录名单。</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26.7.2、供应商在参加政府采购活动前 3 年内因违法经营被禁止在一定期限内参加政府采购活动，期限届满的，可以参加政府采购活动的，但供应商应提供相关证明材料。</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26.7.3、供应商信用记录及企业基本信息查询的时间段为“谈判公告发布之日（含当日）至提交响应文件截止之日（含当日）”。信用记录查询的结果，以纸质截图并附在响应文件中的形式留存。</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26.7.4、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52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注：若供应商在失信行为记录名单中，则其响应文件无效。采购代理机构将打印查询记录作为证据留存。</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26.8、竞争性谈判响应文件的符合性审查</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谈判小组依据谈判文件的规定，对响应文件的有效性、完整性和对谈判文件的响应程度进行审查，以确定是否对谈判文件的全部实质性要求做出响应。</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谈判小组要审查每份响应文件是否实质上响应了谈判文件的要求。实质上没有响应谈判文件要求的响应文件作无效响应处理，谈判小组应告知有关供应商未通过审查的原因。供应商不得通过修正或撤销不符之处而使其成为实质上响应。</w:t>
      </w:r>
    </w:p>
    <w:p>
      <w:pPr>
        <w:autoSpaceDE w:val="0"/>
        <w:autoSpaceDN w:val="0"/>
        <w:adjustRightInd w:val="0"/>
        <w:snapToGrid w:val="0"/>
        <w:spacing w:line="520" w:lineRule="exact"/>
        <w:ind w:firstLine="630"/>
        <w:rPr>
          <w:rFonts w:ascii="宋体" w:hAnsi="宋体" w:cs="宋体"/>
          <w:b/>
          <w:bCs/>
          <w:color w:val="auto"/>
          <w:sz w:val="24"/>
          <w:szCs w:val="24"/>
          <w:lang w:val="zh-CN"/>
        </w:rPr>
      </w:pPr>
      <w:r>
        <w:rPr>
          <w:rFonts w:hint="eastAsia" w:ascii="宋体" w:hAnsi="宋体" w:cs="宋体"/>
          <w:b/>
          <w:bCs/>
          <w:color w:val="auto"/>
          <w:sz w:val="24"/>
          <w:szCs w:val="24"/>
          <w:lang w:val="zh-CN"/>
        </w:rPr>
        <w:t>2</w:t>
      </w:r>
      <w:r>
        <w:rPr>
          <w:rFonts w:hint="eastAsia" w:ascii="宋体" w:hAnsi="宋体" w:cs="宋体"/>
          <w:b/>
          <w:bCs/>
          <w:color w:val="auto"/>
          <w:sz w:val="24"/>
          <w:szCs w:val="24"/>
        </w:rPr>
        <w:t>6.9</w:t>
      </w:r>
      <w:r>
        <w:rPr>
          <w:rFonts w:hint="eastAsia" w:ascii="宋体" w:hAnsi="宋体" w:cs="宋体"/>
          <w:b/>
          <w:bCs/>
          <w:color w:val="auto"/>
          <w:sz w:val="24"/>
          <w:szCs w:val="24"/>
          <w:lang w:val="zh-CN"/>
        </w:rPr>
        <w:t>、</w:t>
      </w:r>
      <w:r>
        <w:rPr>
          <w:rFonts w:hint="eastAsia" w:ascii="宋体" w:hAnsi="宋体" w:cs="宋体"/>
          <w:b/>
          <w:bCs/>
          <w:color w:val="auto"/>
          <w:sz w:val="24"/>
          <w:szCs w:val="24"/>
        </w:rPr>
        <w:t>评审中，</w:t>
      </w:r>
      <w:r>
        <w:rPr>
          <w:rFonts w:hint="eastAsia" w:ascii="宋体" w:hAnsi="宋体" w:cs="宋体"/>
          <w:b/>
          <w:bCs/>
          <w:color w:val="auto"/>
          <w:sz w:val="24"/>
          <w:szCs w:val="24"/>
          <w:lang w:val="zh-CN"/>
        </w:rPr>
        <w:t>谈判采购响应文件出现下列情况，修正原则为：</w:t>
      </w:r>
    </w:p>
    <w:p>
      <w:pPr>
        <w:autoSpaceDE w:val="0"/>
        <w:autoSpaceDN w:val="0"/>
        <w:adjustRightInd w:val="0"/>
        <w:snapToGrid w:val="0"/>
        <w:spacing w:line="520" w:lineRule="exact"/>
        <w:ind w:firstLine="630"/>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6.9.1、谈判响应函内容与谈判报价表内容不一致的，以谈判响应函为准；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6.9.2、</w:t>
      </w:r>
      <w:r>
        <w:rPr>
          <w:rFonts w:hint="eastAsia" w:ascii="宋体" w:hAnsi="宋体" w:cs="宋体"/>
          <w:color w:val="auto"/>
          <w:sz w:val="24"/>
          <w:szCs w:val="24"/>
          <w:lang w:val="zh-CN"/>
        </w:rPr>
        <w:t>报价的大写金额和小写金额不一致的，以大写金额为准；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6.9.3、</w:t>
      </w:r>
      <w:r>
        <w:rPr>
          <w:rFonts w:hint="eastAsia" w:ascii="宋体" w:hAnsi="宋体" w:cs="宋体"/>
          <w:color w:val="auto"/>
          <w:sz w:val="24"/>
          <w:szCs w:val="24"/>
          <w:lang w:val="zh-CN"/>
        </w:rPr>
        <w:t>总价金额与按单价汇总金额不一致的，以单价汇总金额为准；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6.9.4、</w:t>
      </w:r>
      <w:r>
        <w:rPr>
          <w:rFonts w:hint="eastAsia" w:ascii="宋体" w:hAnsi="宋体" w:cs="宋体"/>
          <w:color w:val="auto"/>
          <w:sz w:val="24"/>
          <w:szCs w:val="24"/>
          <w:lang w:val="zh-CN"/>
        </w:rPr>
        <w:t>单价金额小数点有明显错位的，以总价为准，并修改单价；</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6.9.5、</w:t>
      </w:r>
      <w:r>
        <w:rPr>
          <w:rFonts w:hint="eastAsia" w:ascii="宋体" w:hAnsi="宋体" w:cs="宋体"/>
          <w:color w:val="auto"/>
          <w:sz w:val="24"/>
          <w:szCs w:val="24"/>
          <w:lang w:val="zh-CN"/>
        </w:rPr>
        <w:t>谈判响应文件正本与副本不一致的，以正本为准；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6.9.6、</w:t>
      </w:r>
      <w:r>
        <w:rPr>
          <w:rFonts w:hint="eastAsia" w:ascii="宋体" w:hAnsi="宋体" w:cs="宋体"/>
          <w:color w:val="auto"/>
          <w:sz w:val="24"/>
          <w:szCs w:val="24"/>
          <w:lang w:val="zh-CN"/>
        </w:rPr>
        <w:t>多处内容交叉不符时，以谈判小组评审结果为准；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6.9.7、</w:t>
      </w:r>
      <w:r>
        <w:rPr>
          <w:rFonts w:hint="eastAsia" w:ascii="宋体" w:hAnsi="宋体" w:cs="宋体"/>
          <w:color w:val="auto"/>
          <w:sz w:val="24"/>
          <w:szCs w:val="24"/>
          <w:lang w:val="zh-CN"/>
        </w:rPr>
        <w:t>文字与图表不符时，以文字为准；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谈判供应商不同意以上修正，则其投标将被拒绝。谈判供应商同意后，按上述规定修正后的报价对谈判供应商起约束作用。</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26.10、在详细评审之前，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pPr>
        <w:autoSpaceDE w:val="0"/>
        <w:autoSpaceDN w:val="0"/>
        <w:adjustRightInd w:val="0"/>
        <w:snapToGrid w:val="0"/>
        <w:spacing w:line="520" w:lineRule="exact"/>
        <w:ind w:firstLine="630"/>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6.11、</w:t>
      </w:r>
      <w:r>
        <w:rPr>
          <w:rFonts w:hint="eastAsia" w:ascii="宋体" w:hAnsi="宋体" w:cs="宋体"/>
          <w:color w:val="auto"/>
          <w:sz w:val="24"/>
          <w:szCs w:val="24"/>
          <w:lang w:val="zh-CN"/>
        </w:rPr>
        <w:t xml:space="preserve">凡审查、澄清、评价和比较投标的有关资料及被授标意见等内容，谈判小组成员均不得向谈判供应商及与评标无关的其他人透露。 </w:t>
      </w:r>
    </w:p>
    <w:p>
      <w:pPr>
        <w:autoSpaceDE w:val="0"/>
        <w:autoSpaceDN w:val="0"/>
        <w:adjustRightInd w:val="0"/>
        <w:snapToGrid w:val="0"/>
        <w:spacing w:line="520" w:lineRule="exact"/>
        <w:ind w:firstLine="630"/>
        <w:rPr>
          <w:rFonts w:ascii="宋体" w:hAnsi="宋体" w:cs="宋体"/>
          <w:b/>
          <w:bCs/>
          <w:color w:val="auto"/>
          <w:sz w:val="24"/>
          <w:szCs w:val="24"/>
          <w:lang w:val="zh-CN"/>
        </w:rPr>
      </w:pPr>
      <w:r>
        <w:rPr>
          <w:rFonts w:hint="eastAsia" w:ascii="宋体" w:hAnsi="宋体" w:cs="宋体"/>
          <w:b/>
          <w:bCs/>
          <w:color w:val="auto"/>
          <w:sz w:val="24"/>
          <w:szCs w:val="24"/>
        </w:rPr>
        <w:t>27、竞争性谈判响应文件</w:t>
      </w:r>
      <w:r>
        <w:rPr>
          <w:rFonts w:hint="eastAsia" w:ascii="宋体" w:hAnsi="宋体" w:cs="宋体"/>
          <w:b/>
          <w:bCs/>
          <w:color w:val="auto"/>
          <w:sz w:val="24"/>
          <w:szCs w:val="24"/>
          <w:lang w:val="zh-CN"/>
        </w:rPr>
        <w:t>的详细审查</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27</w:t>
      </w:r>
      <w:r>
        <w:rPr>
          <w:rFonts w:hint="eastAsia" w:ascii="宋体" w:hAnsi="宋体" w:cs="宋体"/>
          <w:color w:val="auto"/>
          <w:sz w:val="24"/>
          <w:szCs w:val="24"/>
          <w:lang w:val="zh-CN"/>
        </w:rPr>
        <w:t>.1、经谈判确定最终采购需求和提交最后报价的供应商后，谈判小组采用最低评标价法。</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27</w:t>
      </w:r>
      <w:r>
        <w:rPr>
          <w:rFonts w:hint="eastAsia" w:ascii="宋体" w:hAnsi="宋体" w:cs="宋体"/>
          <w:color w:val="auto"/>
          <w:sz w:val="24"/>
          <w:szCs w:val="24"/>
          <w:lang w:val="zh-CN"/>
        </w:rPr>
        <w:t>.2、最低评标价法，即在全部满足竞争性谈判文件实质性要求前提下，依据统一的价格要素评定最低报价，以提出最低报价的谈判供应商作为成交候选供应商并依次排序。谈判文件中没有规定的评审标准不得作为评审依据。</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27</w:t>
      </w:r>
      <w:r>
        <w:rPr>
          <w:rFonts w:hint="eastAsia" w:ascii="宋体" w:hAnsi="宋体" w:cs="宋体"/>
          <w:color w:val="auto"/>
          <w:sz w:val="24"/>
          <w:szCs w:val="24"/>
          <w:lang w:val="zh-CN"/>
        </w:rPr>
        <w:t>.</w:t>
      </w:r>
      <w:r>
        <w:rPr>
          <w:rFonts w:hint="eastAsia" w:ascii="宋体" w:hAnsi="宋体" w:cs="宋体"/>
          <w:color w:val="auto"/>
          <w:sz w:val="24"/>
          <w:szCs w:val="24"/>
        </w:rPr>
        <w:t>3</w:t>
      </w:r>
      <w:r>
        <w:rPr>
          <w:rFonts w:hint="eastAsia" w:ascii="宋体" w:hAnsi="宋体" w:cs="宋体"/>
          <w:color w:val="auto"/>
          <w:sz w:val="24"/>
          <w:szCs w:val="24"/>
          <w:lang w:val="zh-CN"/>
        </w:rPr>
        <w:t>、评审报告应当由谈判小组全体人员签字认可。对评审报告有异议的谈判小组成员，应当在报告上签署不同意见并说明理由，由谈判小组书面记录相关情况。谈判小组成员拒绝在报告上签字又不书面说明其不同意见和理由的，视为同意评审报告。</w:t>
      </w:r>
    </w:p>
    <w:p>
      <w:pPr>
        <w:autoSpaceDE w:val="0"/>
        <w:autoSpaceDN w:val="0"/>
        <w:adjustRightInd w:val="0"/>
        <w:snapToGrid w:val="0"/>
        <w:spacing w:line="520" w:lineRule="exact"/>
        <w:ind w:firstLine="630"/>
        <w:rPr>
          <w:rFonts w:ascii="宋体" w:hAnsi="宋体" w:cs="宋体"/>
          <w:b/>
          <w:bCs/>
          <w:color w:val="auto"/>
          <w:sz w:val="24"/>
          <w:szCs w:val="24"/>
          <w:lang w:val="zh-CN"/>
        </w:rPr>
      </w:pPr>
      <w:r>
        <w:rPr>
          <w:rFonts w:hint="eastAsia" w:ascii="宋体" w:hAnsi="宋体" w:cs="宋体"/>
          <w:b/>
          <w:bCs/>
          <w:color w:val="auto"/>
          <w:sz w:val="24"/>
          <w:szCs w:val="24"/>
        </w:rPr>
        <w:t>28、</w:t>
      </w:r>
      <w:r>
        <w:rPr>
          <w:rFonts w:hint="eastAsia" w:ascii="宋体" w:hAnsi="宋体" w:cs="宋体"/>
          <w:b/>
          <w:bCs/>
          <w:color w:val="auto"/>
          <w:sz w:val="24"/>
          <w:szCs w:val="24"/>
          <w:lang w:val="zh-CN"/>
        </w:rPr>
        <w:t>评审过程的保密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lang w:val="zh-CN"/>
        </w:rPr>
        <w:t>谈判小组成员和与评审活动有关的工作人员不得泄露有关竞争性谈判响应文件的评审和比较、成交候选人的推荐以及与评审有关的其他情况。</w:t>
      </w:r>
    </w:p>
    <w:p>
      <w:pPr>
        <w:autoSpaceDE w:val="0"/>
        <w:autoSpaceDN w:val="0"/>
        <w:adjustRightInd w:val="0"/>
        <w:snapToGrid w:val="0"/>
        <w:spacing w:line="520" w:lineRule="exact"/>
        <w:ind w:firstLine="630"/>
        <w:rPr>
          <w:rFonts w:ascii="宋体" w:hAnsi="宋体" w:cs="宋体"/>
          <w:b/>
          <w:bCs/>
          <w:color w:val="auto"/>
          <w:sz w:val="24"/>
          <w:szCs w:val="24"/>
          <w:lang w:val="zh-CN"/>
        </w:rPr>
      </w:pPr>
      <w:r>
        <w:rPr>
          <w:rFonts w:hint="eastAsia" w:ascii="宋体" w:hAnsi="宋体" w:cs="宋体"/>
          <w:b/>
          <w:bCs/>
          <w:color w:val="auto"/>
          <w:sz w:val="24"/>
          <w:szCs w:val="24"/>
        </w:rPr>
        <w:t>29、</w:t>
      </w:r>
      <w:r>
        <w:rPr>
          <w:rFonts w:hint="eastAsia" w:ascii="宋体" w:hAnsi="宋体" w:cs="宋体"/>
          <w:b/>
          <w:bCs/>
          <w:color w:val="auto"/>
          <w:sz w:val="24"/>
          <w:szCs w:val="24"/>
          <w:lang w:val="zh-CN"/>
        </w:rPr>
        <w:t>评审方法</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29</w:t>
      </w:r>
      <w:r>
        <w:rPr>
          <w:rFonts w:hint="eastAsia" w:ascii="宋体" w:hAnsi="宋体" w:cs="宋体"/>
          <w:color w:val="auto"/>
          <w:sz w:val="24"/>
          <w:szCs w:val="24"/>
          <w:lang w:val="zh-CN"/>
        </w:rPr>
        <w:t>.1、按照《中华人民共和国政府采购法》及实施条例和关于印发《政府采购竞争性谈判采购方式管理暂行办法》的通知（财库【2014】214号），本次评审采用最低评标价法，即在全部满足竞争性谈判文件实质性要求前提下，谈判小组应当根据</w:t>
      </w:r>
      <w:r>
        <w:rPr>
          <w:rFonts w:hint="eastAsia" w:ascii="宋体" w:hAnsi="宋体" w:cs="宋体"/>
          <w:color w:val="auto"/>
          <w:sz w:val="24"/>
          <w:szCs w:val="24"/>
        </w:rPr>
        <w:t>最终报价由低到高的</w:t>
      </w:r>
      <w:r>
        <w:rPr>
          <w:rFonts w:hint="eastAsia" w:ascii="宋体" w:hAnsi="宋体" w:cs="宋体"/>
          <w:color w:val="auto"/>
          <w:sz w:val="24"/>
          <w:szCs w:val="24"/>
          <w:lang w:val="zh-CN"/>
        </w:rPr>
        <w:t>顺序推存1-3名成交候选人。</w:t>
      </w:r>
    </w:p>
    <w:p>
      <w:pPr>
        <w:autoSpaceDE w:val="0"/>
        <w:autoSpaceDN w:val="0"/>
        <w:adjustRightInd w:val="0"/>
        <w:spacing w:line="520" w:lineRule="exact"/>
        <w:ind w:firstLine="573"/>
        <w:rPr>
          <w:rFonts w:ascii="宋体" w:hAnsi="宋体" w:cs="宋体"/>
          <w:b/>
          <w:bCs/>
          <w:color w:val="auto"/>
          <w:sz w:val="24"/>
          <w:szCs w:val="24"/>
          <w:lang w:val="zh-CN"/>
        </w:rPr>
      </w:pPr>
      <w:r>
        <w:rPr>
          <w:rFonts w:hint="eastAsia" w:ascii="宋体" w:hAnsi="宋体" w:cs="宋体"/>
          <w:b/>
          <w:bCs/>
          <w:color w:val="auto"/>
          <w:sz w:val="24"/>
          <w:szCs w:val="24"/>
        </w:rPr>
        <w:t>30</w:t>
      </w:r>
      <w:r>
        <w:rPr>
          <w:rFonts w:hint="eastAsia" w:ascii="宋体" w:hAnsi="宋体" w:cs="宋体"/>
          <w:b/>
          <w:bCs/>
          <w:color w:val="auto"/>
          <w:sz w:val="24"/>
          <w:szCs w:val="24"/>
          <w:lang w:val="zh-CN"/>
        </w:rPr>
        <w:t>、谈判小组组成及职责</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w:t>
      </w:r>
      <w:r>
        <w:rPr>
          <w:rFonts w:hint="eastAsia" w:ascii="宋体" w:hAnsi="宋体" w:cs="宋体"/>
          <w:color w:val="auto"/>
          <w:sz w:val="24"/>
          <w:szCs w:val="24"/>
          <w:lang w:val="zh-CN"/>
        </w:rPr>
        <w:t>1、为确保评标工作公开、公平、公正，依法成立谈判小组。谈判小组由采购人及和评审专家共3人以上单数组成，其中评审专家人数不得不少于谈判小组成员总数的三分之二，评审专家在陕西省政府采购专家库中随机抽取产生。</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w:t>
      </w:r>
      <w:r>
        <w:rPr>
          <w:rFonts w:hint="eastAsia" w:ascii="宋体" w:hAnsi="宋体" w:cs="宋体"/>
          <w:color w:val="auto"/>
          <w:sz w:val="24"/>
          <w:szCs w:val="24"/>
          <w:lang w:val="zh-CN"/>
        </w:rPr>
        <w:t>2、谈判小组负责具体评审事务，并独立履行下列职责：</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1、遵纪守法，客观、公正、廉洁地履行职责，审查谈判响应文件是否符合竞争性谈判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文件的要求，并做出评价；</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2、要求供应商对谈判响应文件有关事项作出解释或者澄清；</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3、按照竞争性谈判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文件的要求和谈判办法进行评审，推荐成交候选单位名单，对评审意见承担个人责任；</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4、对评审过程和结果以及供应商的商业秘密保密；</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5、参与谈判结果报告的起草；</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6、配合采购代理机构答复供应商提出的质疑；</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7、配合财政部门的投诉处理工作；</w:t>
      </w:r>
    </w:p>
    <w:p>
      <w:pPr>
        <w:autoSpaceDE w:val="0"/>
        <w:autoSpaceDN w:val="0"/>
        <w:adjustRightInd w:val="0"/>
        <w:spacing w:line="520" w:lineRule="exact"/>
        <w:ind w:firstLine="573"/>
        <w:rPr>
          <w:rFonts w:ascii="宋体" w:hAnsi="宋体" w:cs="宋体"/>
          <w:color w:val="auto"/>
          <w:sz w:val="24"/>
          <w:szCs w:val="24"/>
          <w:lang w:val="zh-CN"/>
        </w:rPr>
      </w:pPr>
      <w:r>
        <w:rPr>
          <w:rFonts w:hint="eastAsia" w:ascii="宋体" w:hAnsi="宋体" w:cs="宋体"/>
          <w:color w:val="auto"/>
          <w:sz w:val="24"/>
          <w:szCs w:val="24"/>
        </w:rPr>
        <w:t>30.2.</w:t>
      </w:r>
      <w:r>
        <w:rPr>
          <w:rFonts w:hint="eastAsia" w:ascii="宋体" w:hAnsi="宋体" w:cs="宋体"/>
          <w:color w:val="auto"/>
          <w:sz w:val="24"/>
          <w:szCs w:val="24"/>
          <w:lang w:val="zh-CN"/>
        </w:rPr>
        <w:t>8、依据政府采购法有关精神，有权对谈判过程中出现的一切问题做出处理决定。</w:t>
      </w:r>
    </w:p>
    <w:p>
      <w:pPr>
        <w:spacing w:line="360" w:lineRule="auto"/>
        <w:ind w:firstLine="480" w:firstLineChars="200"/>
        <w:rPr>
          <w:rFonts w:ascii="宋体" w:hAnsi="宋体" w:cs="宋体"/>
          <w:color w:val="auto"/>
          <w:kern w:val="1"/>
          <w:sz w:val="24"/>
          <w:szCs w:val="24"/>
        </w:rPr>
      </w:pPr>
      <w:r>
        <w:rPr>
          <w:rFonts w:hint="eastAsia" w:ascii="宋体" w:hAnsi="宋体" w:cs="宋体"/>
          <w:color w:val="auto"/>
          <w:sz w:val="24"/>
          <w:szCs w:val="24"/>
        </w:rPr>
        <w:t>30.</w:t>
      </w:r>
      <w:r>
        <w:rPr>
          <w:rFonts w:hint="eastAsia" w:ascii="宋体" w:hAnsi="宋体" w:cs="宋体"/>
          <w:color w:val="auto"/>
          <w:kern w:val="1"/>
          <w:sz w:val="24"/>
          <w:szCs w:val="24"/>
        </w:rPr>
        <w:t>3、谈判小组在评审过程中发现供应商有行贿、提供虚假材料或者串通等违法行为的，应当及时向财政部门报告。</w:t>
      </w:r>
    </w:p>
    <w:p>
      <w:pPr>
        <w:spacing w:line="360" w:lineRule="auto"/>
        <w:ind w:firstLine="480" w:firstLineChars="200"/>
        <w:rPr>
          <w:rFonts w:ascii="宋体" w:hAnsi="宋体" w:cs="宋体"/>
          <w:color w:val="auto"/>
          <w:kern w:val="1"/>
          <w:sz w:val="24"/>
          <w:szCs w:val="24"/>
        </w:rPr>
      </w:pPr>
      <w:r>
        <w:rPr>
          <w:rFonts w:hint="eastAsia" w:ascii="宋体" w:hAnsi="宋体" w:cs="宋体"/>
          <w:color w:val="auto"/>
          <w:sz w:val="24"/>
          <w:szCs w:val="24"/>
        </w:rPr>
        <w:t>30.</w:t>
      </w:r>
      <w:r>
        <w:rPr>
          <w:rFonts w:hint="eastAsia" w:ascii="宋体" w:hAnsi="宋体" w:cs="宋体"/>
          <w:color w:val="auto"/>
          <w:kern w:val="1"/>
          <w:sz w:val="24"/>
          <w:szCs w:val="24"/>
        </w:rPr>
        <w:t>4、谈判小组在评审过程中收到非法干涉的，应当及时向财政、监察等部门举报。</w:t>
      </w:r>
    </w:p>
    <w:p>
      <w:pPr>
        <w:autoSpaceDE w:val="0"/>
        <w:autoSpaceDN w:val="0"/>
        <w:adjustRightIn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30.5、谈判小组成员应当按照客观、公正、审慎的原则，根据谈判文件规定的评审程序、评审方法和评审标准进行独立评审。</w:t>
      </w:r>
    </w:p>
    <w:p>
      <w:pPr>
        <w:autoSpaceDE w:val="0"/>
        <w:autoSpaceDN w:val="0"/>
        <w:adjustRightInd w:val="0"/>
        <w:spacing w:line="520" w:lineRule="exact"/>
        <w:ind w:firstLine="482" w:firstLineChars="200"/>
        <w:rPr>
          <w:rFonts w:ascii="宋体" w:hAnsi="宋体" w:cs="宋体"/>
          <w:b/>
          <w:bCs/>
          <w:color w:val="auto"/>
          <w:sz w:val="24"/>
          <w:szCs w:val="24"/>
          <w:lang w:val="zh-CN"/>
        </w:rPr>
      </w:pPr>
      <w:r>
        <w:rPr>
          <w:rFonts w:hint="eastAsia" w:ascii="宋体" w:hAnsi="宋体" w:cs="宋体"/>
          <w:b/>
          <w:bCs/>
          <w:color w:val="auto"/>
          <w:sz w:val="24"/>
          <w:szCs w:val="24"/>
        </w:rPr>
        <w:t>31</w:t>
      </w:r>
      <w:r>
        <w:rPr>
          <w:rFonts w:hint="eastAsia" w:ascii="宋体" w:hAnsi="宋体" w:cs="宋体"/>
          <w:b/>
          <w:bCs/>
          <w:color w:val="auto"/>
          <w:sz w:val="24"/>
          <w:szCs w:val="24"/>
          <w:lang w:val="zh-CN"/>
        </w:rPr>
        <w:t>、谈判小组的职能：</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1、对</w:t>
      </w:r>
      <w:r>
        <w:rPr>
          <w:rFonts w:hint="eastAsia" w:ascii="宋体" w:hAnsi="宋体" w:cs="宋体"/>
          <w:color w:val="auto"/>
          <w:sz w:val="24"/>
          <w:szCs w:val="24"/>
          <w:lang w:val="zh-CN" w:eastAsia="zh-CN"/>
        </w:rPr>
        <w:t>磋商响应文件中资质有效性、</w:t>
      </w:r>
      <w:r>
        <w:rPr>
          <w:rFonts w:hint="eastAsia" w:ascii="宋体" w:hAnsi="宋体" w:cs="宋体"/>
          <w:color w:val="auto"/>
          <w:sz w:val="24"/>
          <w:szCs w:val="24"/>
          <w:lang w:val="zh-CN"/>
        </w:rPr>
        <w:t>符合性进行审查；</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2、与各供应商就谈判采购响应文件（含澄清、说明或补正的内容）中的技术指标、实施方案、谈判报价、商务响应、</w:t>
      </w:r>
      <w:r>
        <w:rPr>
          <w:rFonts w:hint="eastAsia" w:ascii="宋体" w:hAnsi="宋体" w:cs="宋体"/>
          <w:color w:val="auto"/>
          <w:sz w:val="24"/>
          <w:szCs w:val="24"/>
        </w:rPr>
        <w:t>售后服务</w:t>
      </w:r>
      <w:r>
        <w:rPr>
          <w:rFonts w:hint="eastAsia" w:ascii="宋体" w:hAnsi="宋体" w:cs="宋体"/>
          <w:color w:val="auto"/>
          <w:sz w:val="24"/>
          <w:szCs w:val="24"/>
          <w:lang w:val="zh-CN"/>
        </w:rPr>
        <w:t>等进行谈判；</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3、依据采购文件，并视谈判情况，确定进入最终评审的供应商；</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4、排序推荐侯选成交供应商；</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5、协商处理谈判过程中出现的其它相关问题。</w:t>
      </w:r>
    </w:p>
    <w:p>
      <w:pPr>
        <w:autoSpaceDE w:val="0"/>
        <w:autoSpaceDN w:val="0"/>
        <w:adjustRightInd w:val="0"/>
        <w:spacing w:line="520" w:lineRule="exact"/>
        <w:ind w:firstLine="482" w:firstLineChars="200"/>
        <w:rPr>
          <w:rFonts w:ascii="宋体" w:hAnsi="宋体" w:cs="宋体"/>
          <w:b/>
          <w:bCs/>
          <w:color w:val="auto"/>
          <w:sz w:val="24"/>
          <w:szCs w:val="24"/>
          <w:lang w:val="zh-CN"/>
        </w:rPr>
      </w:pPr>
      <w:r>
        <w:rPr>
          <w:rFonts w:hint="eastAsia" w:ascii="宋体" w:hAnsi="宋体" w:cs="宋体"/>
          <w:b/>
          <w:bCs/>
          <w:color w:val="auto"/>
          <w:sz w:val="24"/>
          <w:szCs w:val="24"/>
        </w:rPr>
        <w:t>32</w:t>
      </w:r>
      <w:r>
        <w:rPr>
          <w:rFonts w:hint="eastAsia" w:ascii="宋体" w:hAnsi="宋体" w:cs="宋体"/>
          <w:b/>
          <w:bCs/>
          <w:color w:val="auto"/>
          <w:sz w:val="24"/>
          <w:szCs w:val="24"/>
          <w:lang w:val="zh-CN"/>
        </w:rPr>
        <w:t>、 谈判小组及其成员不得有下列行为：</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32.1、</w:t>
      </w:r>
      <w:r>
        <w:rPr>
          <w:rFonts w:hint="eastAsia" w:ascii="宋体" w:hAnsi="宋体" w:cs="宋体"/>
          <w:color w:val="auto"/>
          <w:sz w:val="24"/>
          <w:szCs w:val="24"/>
          <w:lang w:val="zh-CN"/>
        </w:rPr>
        <w:t>确定参与评审至评审结束前私自接触供应商；</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32.2、</w:t>
      </w:r>
      <w:r>
        <w:rPr>
          <w:rFonts w:hint="eastAsia" w:ascii="宋体" w:hAnsi="宋体" w:cs="宋体"/>
          <w:color w:val="auto"/>
          <w:sz w:val="24"/>
          <w:szCs w:val="24"/>
          <w:lang w:val="zh-CN"/>
        </w:rPr>
        <w:t>接受供应商提出的与响应文件不一致的澄清或者说明，财政部第87号令第五十一条规定的情形除外；</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32.3、</w:t>
      </w:r>
      <w:r>
        <w:rPr>
          <w:rFonts w:hint="eastAsia" w:ascii="宋体" w:hAnsi="宋体" w:cs="宋体"/>
          <w:color w:val="auto"/>
          <w:sz w:val="24"/>
          <w:szCs w:val="24"/>
          <w:lang w:val="zh-CN"/>
        </w:rPr>
        <w:t>违反评审纪律发表倾向性意见或者征询采购人的倾向性意见；</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32.4、</w:t>
      </w:r>
      <w:r>
        <w:rPr>
          <w:rFonts w:hint="eastAsia" w:ascii="宋体" w:hAnsi="宋体" w:cs="宋体"/>
          <w:color w:val="auto"/>
          <w:sz w:val="24"/>
          <w:szCs w:val="24"/>
          <w:lang w:val="zh-CN"/>
        </w:rPr>
        <w:t>对需要专业判断的主观评审因素协商评分；</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32.5、</w:t>
      </w:r>
      <w:r>
        <w:rPr>
          <w:rFonts w:hint="eastAsia" w:ascii="宋体" w:hAnsi="宋体" w:cs="宋体"/>
          <w:color w:val="auto"/>
          <w:sz w:val="24"/>
          <w:szCs w:val="24"/>
          <w:lang w:val="zh-CN"/>
        </w:rPr>
        <w:t>在评审过程中擅离职守，影响评审程序正常进行的；</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32.6、</w:t>
      </w:r>
      <w:r>
        <w:rPr>
          <w:rFonts w:hint="eastAsia" w:ascii="宋体" w:hAnsi="宋体" w:cs="宋体"/>
          <w:color w:val="auto"/>
          <w:sz w:val="24"/>
          <w:szCs w:val="24"/>
          <w:lang w:val="zh-CN"/>
        </w:rPr>
        <w:t>记录、复制或者带走任何评审资料；</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32.7、</w:t>
      </w:r>
      <w:r>
        <w:rPr>
          <w:rFonts w:hint="eastAsia" w:ascii="宋体" w:hAnsi="宋体" w:cs="宋体"/>
          <w:color w:val="auto"/>
          <w:sz w:val="24"/>
          <w:szCs w:val="24"/>
          <w:lang w:val="zh-CN"/>
        </w:rPr>
        <w:t>其他不遵守评审纪律的行为。</w:t>
      </w:r>
    </w:p>
    <w:p>
      <w:pPr>
        <w:autoSpaceDE w:val="0"/>
        <w:autoSpaceDN w:val="0"/>
        <w:adjustRightIn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谈判小组成员有前五项行为之一的，其评审意见无效，并不得获取评审劳务报酬和报销异地评审差旅费。</w:t>
      </w:r>
    </w:p>
    <w:p>
      <w:pPr>
        <w:autoSpaceDE w:val="0"/>
        <w:autoSpaceDN w:val="0"/>
        <w:adjustRightInd w:val="0"/>
        <w:snapToGrid w:val="0"/>
        <w:spacing w:line="560" w:lineRule="exact"/>
        <w:jc w:val="center"/>
        <w:rPr>
          <w:rFonts w:ascii="宋体" w:hAnsi="宋体" w:cs="宋体"/>
          <w:b/>
          <w:color w:val="auto"/>
          <w:sz w:val="24"/>
          <w:szCs w:val="24"/>
          <w:lang w:val="zh-CN"/>
        </w:rPr>
      </w:pPr>
      <w:bookmarkStart w:id="15" w:name="_Toc2468"/>
      <w:bookmarkStart w:id="16" w:name="_Toc7524503"/>
      <w:bookmarkStart w:id="17" w:name="_Toc2781"/>
      <w:bookmarkStart w:id="18" w:name="_Toc392236645"/>
      <w:bookmarkStart w:id="19" w:name="_Toc5977"/>
      <w:bookmarkStart w:id="20" w:name="_Toc386965858"/>
      <w:bookmarkStart w:id="21" w:name="_Toc26534"/>
      <w:bookmarkStart w:id="22" w:name="_Toc24411"/>
      <w:bookmarkStart w:id="23" w:name="_Toc29664"/>
      <w:bookmarkStart w:id="24" w:name="_Toc233435947"/>
      <w:bookmarkStart w:id="25" w:name="_Toc27212"/>
      <w:r>
        <w:rPr>
          <w:rFonts w:hint="eastAsia" w:ascii="宋体" w:hAnsi="宋体" w:cs="宋体"/>
          <w:b/>
          <w:bCs/>
          <w:color w:val="auto"/>
          <w:sz w:val="28"/>
          <w:szCs w:val="28"/>
        </w:rPr>
        <w:t>F</w:t>
      </w:r>
      <w:bookmarkStart w:id="26" w:name="_Hlt491765714"/>
      <w:bookmarkEnd w:id="26"/>
      <w:bookmarkStart w:id="27" w:name="_Hlt497547134"/>
      <w:bookmarkEnd w:id="27"/>
      <w:r>
        <w:rPr>
          <w:rFonts w:hint="eastAsia" w:ascii="宋体" w:hAnsi="宋体" w:cs="宋体"/>
          <w:b/>
          <w:bCs/>
          <w:color w:val="auto"/>
          <w:sz w:val="28"/>
          <w:szCs w:val="28"/>
        </w:rPr>
        <w:t>、</w:t>
      </w:r>
      <w:bookmarkEnd w:id="15"/>
      <w:bookmarkEnd w:id="16"/>
      <w:bookmarkEnd w:id="17"/>
      <w:bookmarkEnd w:id="18"/>
      <w:bookmarkEnd w:id="19"/>
      <w:bookmarkEnd w:id="20"/>
      <w:bookmarkEnd w:id="21"/>
      <w:bookmarkEnd w:id="22"/>
      <w:bookmarkEnd w:id="23"/>
      <w:bookmarkEnd w:id="24"/>
      <w:bookmarkEnd w:id="25"/>
      <w:r>
        <w:rPr>
          <w:rFonts w:hint="eastAsia" w:ascii="宋体" w:hAnsi="宋体" w:cs="宋体"/>
          <w:b/>
          <w:bCs/>
          <w:color w:val="auto"/>
          <w:sz w:val="28"/>
          <w:szCs w:val="28"/>
        </w:rPr>
        <w:t>确定中标</w:t>
      </w:r>
    </w:p>
    <w:p>
      <w:pPr>
        <w:autoSpaceDE w:val="0"/>
        <w:autoSpaceDN w:val="0"/>
        <w:adjustRightInd w:val="0"/>
        <w:snapToGrid w:val="0"/>
        <w:spacing w:line="560" w:lineRule="exact"/>
        <w:ind w:firstLine="472" w:firstLineChars="196"/>
        <w:rPr>
          <w:rFonts w:ascii="宋体" w:hAnsi="宋体" w:cs="宋体"/>
          <w:b/>
          <w:color w:val="auto"/>
          <w:sz w:val="24"/>
          <w:szCs w:val="24"/>
          <w:lang w:val="zh-CN"/>
        </w:rPr>
      </w:pPr>
      <w:r>
        <w:rPr>
          <w:rFonts w:hint="eastAsia" w:ascii="宋体" w:hAnsi="宋体" w:cs="宋体"/>
          <w:b/>
          <w:color w:val="auto"/>
          <w:sz w:val="24"/>
          <w:szCs w:val="24"/>
        </w:rPr>
        <w:t>33</w:t>
      </w:r>
      <w:r>
        <w:rPr>
          <w:rFonts w:hint="eastAsia" w:ascii="宋体" w:hAnsi="宋体" w:cs="宋体"/>
          <w:b/>
          <w:color w:val="auto"/>
          <w:sz w:val="24"/>
          <w:szCs w:val="24"/>
          <w:lang w:val="zh-CN"/>
        </w:rPr>
        <w:t>、成交程序</w:t>
      </w:r>
    </w:p>
    <w:p>
      <w:pPr>
        <w:autoSpaceDE w:val="0"/>
        <w:autoSpaceDN w:val="0"/>
        <w:adjustRightInd w:val="0"/>
        <w:snapToGrid w:val="0"/>
        <w:spacing w:line="560" w:lineRule="exact"/>
        <w:ind w:firstLine="470" w:firstLineChars="196"/>
        <w:rPr>
          <w:rFonts w:ascii="宋体" w:hAnsi="宋体" w:cs="宋体"/>
          <w:color w:val="auto"/>
          <w:sz w:val="24"/>
          <w:szCs w:val="24"/>
          <w:lang w:val="zh-CN"/>
        </w:rPr>
      </w:pPr>
      <w:r>
        <w:rPr>
          <w:rFonts w:hint="eastAsia" w:ascii="宋体" w:hAnsi="宋体" w:cs="宋体"/>
          <w:color w:val="auto"/>
          <w:sz w:val="24"/>
          <w:szCs w:val="24"/>
        </w:rPr>
        <w:t>33</w:t>
      </w:r>
      <w:r>
        <w:rPr>
          <w:rFonts w:hint="eastAsia" w:ascii="宋体" w:hAnsi="宋体" w:cs="宋体"/>
          <w:color w:val="auto"/>
          <w:sz w:val="24"/>
          <w:szCs w:val="24"/>
          <w:lang w:val="zh-CN"/>
        </w:rPr>
        <w:t>.1、谈判小组根据评审方法的规定对供应商进行评审排序，推荐1-3名成交候选人，作为评审结果。评审结果由全体谈判小组成员签字确认。</w:t>
      </w:r>
    </w:p>
    <w:p>
      <w:pPr>
        <w:autoSpaceDE w:val="0"/>
        <w:autoSpaceDN w:val="0"/>
        <w:adjustRightInd w:val="0"/>
        <w:snapToGrid w:val="0"/>
        <w:spacing w:line="560" w:lineRule="exact"/>
        <w:ind w:firstLine="470" w:firstLineChars="196"/>
        <w:rPr>
          <w:rFonts w:ascii="宋体" w:hAnsi="宋体" w:cs="宋体"/>
          <w:color w:val="auto"/>
          <w:sz w:val="24"/>
          <w:szCs w:val="24"/>
          <w:lang w:val="zh-CN"/>
        </w:rPr>
      </w:pPr>
      <w:r>
        <w:rPr>
          <w:rFonts w:hint="eastAsia" w:ascii="宋体" w:hAnsi="宋体" w:cs="宋体"/>
          <w:color w:val="auto"/>
          <w:sz w:val="24"/>
          <w:szCs w:val="24"/>
        </w:rPr>
        <w:t>33</w:t>
      </w:r>
      <w:r>
        <w:rPr>
          <w:rFonts w:hint="eastAsia" w:ascii="宋体" w:hAnsi="宋体" w:cs="宋体"/>
          <w:color w:val="auto"/>
          <w:sz w:val="24"/>
          <w:szCs w:val="24"/>
          <w:lang w:val="zh-CN"/>
        </w:rPr>
        <w:t>.2、采购人根据谈判报告中推荐的成交候选人排列顺序，确定排名第一的为成交供应商。</w:t>
      </w:r>
    </w:p>
    <w:p>
      <w:pPr>
        <w:autoSpaceDE w:val="0"/>
        <w:autoSpaceDN w:val="0"/>
        <w:adjustRightInd w:val="0"/>
        <w:snapToGrid w:val="0"/>
        <w:spacing w:line="560" w:lineRule="exact"/>
        <w:ind w:firstLine="470" w:firstLineChars="196"/>
        <w:rPr>
          <w:rFonts w:ascii="宋体" w:hAnsi="宋体" w:cs="宋体"/>
          <w:color w:val="auto"/>
          <w:sz w:val="24"/>
          <w:szCs w:val="24"/>
          <w:lang w:val="zh-CN"/>
        </w:rPr>
      </w:pPr>
      <w:r>
        <w:rPr>
          <w:rFonts w:hint="eastAsia" w:ascii="宋体" w:hAnsi="宋体" w:cs="宋体"/>
          <w:color w:val="auto"/>
          <w:sz w:val="24"/>
          <w:szCs w:val="24"/>
        </w:rPr>
        <w:t>33</w:t>
      </w:r>
      <w:r>
        <w:rPr>
          <w:rFonts w:hint="eastAsia" w:ascii="宋体" w:hAnsi="宋体" w:cs="宋体"/>
          <w:color w:val="auto"/>
          <w:sz w:val="24"/>
          <w:szCs w:val="24"/>
          <w:lang w:val="zh-CN"/>
        </w:rPr>
        <w:t>.3、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供应商，也可以重新组织竞争性谈判。</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33</w:t>
      </w:r>
      <w:r>
        <w:rPr>
          <w:rFonts w:hint="eastAsia" w:ascii="宋体" w:hAnsi="宋体" w:cs="宋体"/>
          <w:color w:val="auto"/>
          <w:sz w:val="24"/>
          <w:szCs w:val="24"/>
          <w:lang w:val="zh-CN"/>
        </w:rPr>
        <w:t>.4、采购人也可以授权谈判小组评审后直接确定成交供应商。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33</w:t>
      </w:r>
      <w:r>
        <w:rPr>
          <w:rFonts w:hint="eastAsia" w:ascii="宋体" w:hAnsi="宋体" w:cs="宋体"/>
          <w:color w:val="auto"/>
          <w:sz w:val="24"/>
          <w:szCs w:val="24"/>
          <w:lang w:val="zh-CN"/>
        </w:rPr>
        <w:t>.5、成交供应商确定之后，成交结果将在财政部门指定的政府采购信息发布媒体上公告。</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33</w:t>
      </w:r>
      <w:r>
        <w:rPr>
          <w:rFonts w:hint="eastAsia" w:ascii="宋体" w:hAnsi="宋体" w:cs="宋体"/>
          <w:color w:val="auto"/>
          <w:sz w:val="24"/>
          <w:szCs w:val="24"/>
          <w:lang w:val="zh-CN"/>
        </w:rPr>
        <w:t>.6、供应商或者其他利害关系人对评审结果有异议的，应当在法律规定的时间内提出。</w:t>
      </w:r>
    </w:p>
    <w:p>
      <w:pPr>
        <w:autoSpaceDE w:val="0"/>
        <w:autoSpaceDN w:val="0"/>
        <w:adjustRightInd w:val="0"/>
        <w:snapToGrid w:val="0"/>
        <w:spacing w:line="560" w:lineRule="exact"/>
        <w:ind w:firstLine="472" w:firstLineChars="196"/>
        <w:rPr>
          <w:rFonts w:ascii="宋体" w:hAnsi="宋体" w:cs="宋体"/>
          <w:b/>
          <w:color w:val="auto"/>
          <w:sz w:val="24"/>
          <w:szCs w:val="24"/>
        </w:rPr>
      </w:pPr>
      <w:r>
        <w:rPr>
          <w:rFonts w:hint="eastAsia" w:ascii="宋体" w:hAnsi="宋体" w:cs="宋体"/>
          <w:b/>
          <w:color w:val="auto"/>
          <w:sz w:val="24"/>
          <w:szCs w:val="24"/>
        </w:rPr>
        <w:t>34、</w:t>
      </w:r>
      <w:r>
        <w:rPr>
          <w:rFonts w:hint="eastAsia" w:ascii="宋体" w:hAnsi="宋体" w:cs="宋体"/>
          <w:b/>
          <w:color w:val="auto"/>
          <w:sz w:val="24"/>
          <w:szCs w:val="24"/>
          <w:lang w:val="zh-CN"/>
        </w:rPr>
        <w:t>成交</w:t>
      </w:r>
      <w:r>
        <w:rPr>
          <w:rFonts w:hint="eastAsia" w:ascii="宋体" w:hAnsi="宋体" w:cs="宋体"/>
          <w:b/>
          <w:color w:val="auto"/>
          <w:sz w:val="24"/>
          <w:szCs w:val="24"/>
        </w:rPr>
        <w:t>通知</w:t>
      </w:r>
    </w:p>
    <w:p>
      <w:pPr>
        <w:autoSpaceDE w:val="0"/>
        <w:autoSpaceDN w:val="0"/>
        <w:adjustRightInd w:val="0"/>
        <w:snapToGrid w:val="0"/>
        <w:spacing w:line="560" w:lineRule="exact"/>
        <w:ind w:firstLine="470" w:firstLineChars="196"/>
        <w:rPr>
          <w:rFonts w:ascii="宋体" w:hAnsi="宋体" w:cs="宋体"/>
          <w:color w:val="auto"/>
          <w:sz w:val="24"/>
          <w:szCs w:val="24"/>
        </w:rPr>
      </w:pPr>
      <w:r>
        <w:rPr>
          <w:rFonts w:hint="eastAsia" w:ascii="宋体" w:hAnsi="宋体" w:cs="宋体"/>
          <w:color w:val="auto"/>
          <w:sz w:val="24"/>
          <w:szCs w:val="24"/>
        </w:rPr>
        <w:t>34.1、采购代理机构向成交供应商发出《成交通知书》。</w:t>
      </w:r>
      <w:r>
        <w:rPr>
          <w:rFonts w:hint="eastAsia" w:ascii="宋体" w:hAnsi="宋体" w:cs="宋体"/>
          <w:b/>
          <w:bCs/>
          <w:color w:val="auto"/>
          <w:sz w:val="24"/>
          <w:szCs w:val="24"/>
        </w:rPr>
        <w:t>成交供应商领取成交通知书时须携带法定代表人授权书及加盖单位公章的被授权人身份证复印件。</w:t>
      </w:r>
    </w:p>
    <w:p>
      <w:pPr>
        <w:autoSpaceDE w:val="0"/>
        <w:autoSpaceDN w:val="0"/>
        <w:adjustRightInd w:val="0"/>
        <w:snapToGrid w:val="0"/>
        <w:spacing w:line="560" w:lineRule="exact"/>
        <w:ind w:firstLine="470" w:firstLineChars="196"/>
        <w:rPr>
          <w:rFonts w:ascii="宋体" w:hAnsi="宋体" w:cs="宋体"/>
          <w:color w:val="auto"/>
          <w:sz w:val="24"/>
          <w:szCs w:val="24"/>
        </w:rPr>
      </w:pPr>
      <w:r>
        <w:rPr>
          <w:rFonts w:hint="eastAsia" w:ascii="宋体" w:hAnsi="宋体" w:cs="宋体"/>
          <w:color w:val="auto"/>
          <w:sz w:val="24"/>
          <w:szCs w:val="24"/>
        </w:rPr>
        <w:t>34.2、成交通知书对采购人和成交供应商具有同等法律效力。成交通知书发出之后，采购人改变成交结果，或者成交供应商放弃成交，应当承担相应的法律责任。</w:t>
      </w:r>
    </w:p>
    <w:p>
      <w:pPr>
        <w:autoSpaceDE w:val="0"/>
        <w:autoSpaceDN w:val="0"/>
        <w:adjustRightInd w:val="0"/>
        <w:snapToGrid w:val="0"/>
        <w:spacing w:line="560" w:lineRule="exact"/>
        <w:ind w:firstLine="472" w:firstLineChars="196"/>
        <w:rPr>
          <w:rFonts w:ascii="宋体" w:hAnsi="宋体" w:cs="宋体"/>
          <w:b/>
          <w:bCs/>
          <w:color w:val="auto"/>
          <w:sz w:val="24"/>
          <w:szCs w:val="24"/>
        </w:rPr>
      </w:pPr>
      <w:r>
        <w:rPr>
          <w:rFonts w:hint="eastAsia" w:ascii="宋体" w:hAnsi="宋体" w:cs="宋体"/>
          <w:b/>
          <w:bCs/>
          <w:color w:val="auto"/>
          <w:sz w:val="24"/>
          <w:szCs w:val="24"/>
        </w:rPr>
        <w:t>35</w:t>
      </w:r>
      <w:r>
        <w:rPr>
          <w:rFonts w:hint="eastAsia" w:ascii="宋体" w:hAnsi="宋体" w:cs="宋体"/>
          <w:b/>
          <w:bCs/>
          <w:color w:val="auto"/>
          <w:sz w:val="24"/>
          <w:szCs w:val="24"/>
          <w:lang w:val="zh-CN"/>
        </w:rPr>
        <w:t>、</w:t>
      </w:r>
      <w:r>
        <w:rPr>
          <w:rFonts w:hint="eastAsia" w:ascii="宋体" w:hAnsi="宋体" w:cs="宋体"/>
          <w:b/>
          <w:bCs/>
          <w:color w:val="auto"/>
          <w:sz w:val="24"/>
          <w:szCs w:val="24"/>
        </w:rPr>
        <w:t>采购</w:t>
      </w:r>
      <w:r>
        <w:rPr>
          <w:rFonts w:hint="eastAsia" w:ascii="宋体" w:hAnsi="宋体" w:cs="宋体"/>
          <w:b/>
          <w:bCs/>
          <w:color w:val="auto"/>
          <w:sz w:val="24"/>
          <w:szCs w:val="24"/>
          <w:lang w:val="zh-CN"/>
        </w:rPr>
        <w:t>合同</w:t>
      </w:r>
      <w:r>
        <w:rPr>
          <w:rFonts w:hint="eastAsia" w:ascii="宋体" w:hAnsi="宋体" w:cs="宋体"/>
          <w:b/>
          <w:bCs/>
          <w:color w:val="auto"/>
          <w:sz w:val="24"/>
          <w:szCs w:val="24"/>
        </w:rPr>
        <w:t>的签订</w:t>
      </w:r>
    </w:p>
    <w:p>
      <w:pPr>
        <w:autoSpaceDE w:val="0"/>
        <w:autoSpaceDN w:val="0"/>
        <w:adjustRightInd w:val="0"/>
        <w:snapToGrid w:val="0"/>
        <w:spacing w:line="560" w:lineRule="exact"/>
        <w:ind w:firstLine="470" w:firstLineChars="196"/>
        <w:rPr>
          <w:rFonts w:ascii="宋体" w:hAnsi="宋体" w:cs="宋体"/>
          <w:bCs/>
          <w:color w:val="auto"/>
          <w:sz w:val="24"/>
          <w:szCs w:val="24"/>
        </w:rPr>
      </w:pPr>
      <w:r>
        <w:rPr>
          <w:rFonts w:hint="eastAsia" w:ascii="宋体" w:hAnsi="宋体" w:cs="宋体"/>
          <w:bCs/>
          <w:color w:val="auto"/>
          <w:sz w:val="24"/>
          <w:szCs w:val="24"/>
        </w:rPr>
        <w:t>35.1、采购人应当自成交通知书发出之日起三十日内，按照竞争性谈判文件和成交供应商竞争性谈判响应文件（包括评审中形成的澄清文件）的约定，与成交供应商签订书面合同。所签订的合同不得对竞争性谈判文件和成交供应商的竞争性谈判响应文件（包括评审中形成的澄清文件）作实质性修改。</w:t>
      </w:r>
    </w:p>
    <w:p>
      <w:pPr>
        <w:autoSpaceDE w:val="0"/>
        <w:autoSpaceDN w:val="0"/>
        <w:adjustRightInd w:val="0"/>
        <w:snapToGrid w:val="0"/>
        <w:spacing w:line="560" w:lineRule="exact"/>
        <w:ind w:firstLine="470" w:firstLineChars="196"/>
        <w:rPr>
          <w:rFonts w:ascii="宋体" w:hAnsi="宋体" w:cs="宋体"/>
          <w:bCs/>
          <w:color w:val="auto"/>
          <w:sz w:val="24"/>
          <w:szCs w:val="24"/>
        </w:rPr>
      </w:pPr>
      <w:r>
        <w:rPr>
          <w:rFonts w:hint="eastAsia" w:ascii="宋体" w:hAnsi="宋体" w:cs="宋体"/>
          <w:bCs/>
          <w:color w:val="auto"/>
          <w:sz w:val="24"/>
          <w:szCs w:val="24"/>
        </w:rPr>
        <w:t>35.2、采购人自采购合同签订之日起七个工作日内，将采购合同副本报同级人民政府财政部门备案。</w:t>
      </w:r>
    </w:p>
    <w:p>
      <w:pPr>
        <w:autoSpaceDE w:val="0"/>
        <w:autoSpaceDN w:val="0"/>
        <w:adjustRightInd w:val="0"/>
        <w:snapToGrid w:val="0"/>
        <w:spacing w:line="560" w:lineRule="exact"/>
        <w:jc w:val="center"/>
        <w:rPr>
          <w:rFonts w:ascii="宋体" w:hAnsi="宋体" w:cs="宋体"/>
          <w:color w:val="auto"/>
        </w:rPr>
      </w:pPr>
      <w:r>
        <w:rPr>
          <w:rFonts w:hint="eastAsia" w:ascii="宋体" w:hAnsi="宋体" w:cs="宋体"/>
          <w:b/>
          <w:bCs/>
          <w:color w:val="auto"/>
          <w:sz w:val="28"/>
          <w:szCs w:val="28"/>
        </w:rPr>
        <w:t>G、招标代理服务费</w:t>
      </w:r>
    </w:p>
    <w:p>
      <w:pPr>
        <w:autoSpaceDE w:val="0"/>
        <w:autoSpaceDN w:val="0"/>
        <w:adjustRightInd w:val="0"/>
        <w:snapToGrid w:val="0"/>
        <w:spacing w:line="560" w:lineRule="exact"/>
        <w:ind w:firstLine="472" w:firstLineChars="196"/>
        <w:rPr>
          <w:rFonts w:ascii="宋体" w:hAnsi="宋体" w:cs="宋体"/>
          <w:b/>
          <w:color w:val="auto"/>
          <w:sz w:val="24"/>
          <w:szCs w:val="24"/>
        </w:rPr>
      </w:pPr>
      <w:r>
        <w:rPr>
          <w:rFonts w:hint="eastAsia" w:ascii="宋体" w:hAnsi="宋体" w:cs="宋体"/>
          <w:b/>
          <w:color w:val="auto"/>
          <w:sz w:val="24"/>
          <w:szCs w:val="24"/>
        </w:rPr>
        <w:t>36、成交服务费</w:t>
      </w:r>
    </w:p>
    <w:p>
      <w:pPr>
        <w:autoSpaceDE w:val="0"/>
        <w:autoSpaceDN w:val="0"/>
        <w:adjustRightInd w:val="0"/>
        <w:snapToGrid w:val="0"/>
        <w:spacing w:line="560" w:lineRule="exact"/>
        <w:ind w:firstLine="470" w:firstLineChars="196"/>
        <w:rPr>
          <w:rFonts w:ascii="宋体" w:hAnsi="宋体" w:cs="宋体"/>
          <w:color w:val="auto"/>
          <w:sz w:val="24"/>
          <w:szCs w:val="24"/>
        </w:rPr>
      </w:pPr>
      <w:r>
        <w:rPr>
          <w:rFonts w:hint="eastAsia" w:ascii="宋体" w:hAnsi="宋体" w:cs="宋体"/>
          <w:color w:val="auto"/>
          <w:sz w:val="24"/>
          <w:szCs w:val="24"/>
        </w:rPr>
        <w:t>36.1、成交单位在领取成交通知书前，须向采购代理机构支付成交服务费。</w:t>
      </w:r>
    </w:p>
    <w:p>
      <w:pPr>
        <w:autoSpaceDE w:val="0"/>
        <w:autoSpaceDN w:val="0"/>
        <w:adjustRightInd w:val="0"/>
        <w:snapToGrid w:val="0"/>
        <w:spacing w:line="560" w:lineRule="exact"/>
        <w:ind w:firstLine="470" w:firstLineChars="196"/>
        <w:rPr>
          <w:rFonts w:ascii="宋体" w:hAnsi="宋体" w:cs="宋体"/>
          <w:color w:val="auto"/>
          <w:sz w:val="24"/>
          <w:szCs w:val="24"/>
        </w:rPr>
      </w:pPr>
      <w:r>
        <w:rPr>
          <w:rFonts w:hint="eastAsia" w:ascii="宋体" w:hAnsi="宋体" w:cs="宋体"/>
          <w:color w:val="auto"/>
          <w:sz w:val="24"/>
          <w:szCs w:val="24"/>
        </w:rPr>
        <w:t>36.2、成交服务费依据国家计委计价格[2002]1980号《招标代理服务收费管理暂行办法》和国家发展改革委员会办公厅颁发的《关于招标代理服务收费有关问题的通知》（发改办价格[2003]857号）规定标准收取，招标代理服务收费按差额定率累进法计算。此服务费应计入谈判报价中，但不需要单独开列。</w:t>
      </w:r>
    </w:p>
    <w:p>
      <w:pPr>
        <w:autoSpaceDE w:val="0"/>
        <w:autoSpaceDN w:val="0"/>
        <w:adjustRightInd w:val="0"/>
        <w:snapToGrid w:val="0"/>
        <w:spacing w:line="560" w:lineRule="exact"/>
        <w:ind w:firstLine="470" w:firstLineChars="196"/>
        <w:rPr>
          <w:rFonts w:ascii="宋体" w:hAnsi="宋体" w:cs="宋体"/>
          <w:color w:val="auto"/>
          <w:sz w:val="24"/>
          <w:szCs w:val="24"/>
        </w:rPr>
      </w:pPr>
      <w:r>
        <w:rPr>
          <w:rFonts w:hint="eastAsia" w:ascii="宋体" w:hAnsi="宋体" w:cs="宋体"/>
          <w:color w:val="auto"/>
          <w:sz w:val="24"/>
          <w:szCs w:val="24"/>
        </w:rPr>
        <w:t>36.3、服务费账户</w:t>
      </w:r>
    </w:p>
    <w:p>
      <w:pPr>
        <w:autoSpaceDE w:val="0"/>
        <w:autoSpaceDN w:val="0"/>
        <w:adjustRightInd w:val="0"/>
        <w:snapToGrid w:val="0"/>
        <w:spacing w:line="560" w:lineRule="exact"/>
        <w:ind w:left="488" w:leftChars="228" w:hanging="9" w:hangingChars="4"/>
        <w:rPr>
          <w:rFonts w:ascii="宋体" w:hAnsi="宋体" w:cs="宋体"/>
          <w:color w:val="auto"/>
          <w:sz w:val="24"/>
          <w:szCs w:val="24"/>
        </w:rPr>
      </w:pPr>
      <w:r>
        <w:rPr>
          <w:rFonts w:hint="eastAsia" w:ascii="宋体" w:hAnsi="宋体" w:cs="宋体"/>
          <w:color w:val="auto"/>
          <w:sz w:val="24"/>
          <w:szCs w:val="24"/>
        </w:rPr>
        <w:t>单位名称:陕西盛仕骄阳项目管理有限公司</w:t>
      </w:r>
      <w:r>
        <w:rPr>
          <w:rFonts w:hint="eastAsia" w:ascii="宋体" w:hAnsi="宋体" w:cs="宋体"/>
          <w:color w:val="auto"/>
          <w:sz w:val="24"/>
          <w:szCs w:val="24"/>
        </w:rPr>
        <w:br w:type="textWrapping"/>
      </w:r>
      <w:r>
        <w:rPr>
          <w:rFonts w:hint="eastAsia" w:ascii="宋体" w:hAnsi="宋体" w:cs="宋体"/>
          <w:color w:val="auto"/>
          <w:sz w:val="24"/>
          <w:szCs w:val="24"/>
        </w:rPr>
        <w:t>账号：61050175580000000415</w:t>
      </w:r>
      <w:r>
        <w:rPr>
          <w:rFonts w:hint="eastAsia" w:ascii="宋体" w:hAnsi="宋体" w:cs="宋体"/>
          <w:color w:val="auto"/>
          <w:sz w:val="24"/>
          <w:szCs w:val="24"/>
        </w:rPr>
        <w:br w:type="textWrapping"/>
      </w:r>
      <w:r>
        <w:rPr>
          <w:rFonts w:hint="eastAsia" w:ascii="宋体" w:hAnsi="宋体" w:cs="宋体"/>
          <w:color w:val="auto"/>
          <w:sz w:val="24"/>
          <w:szCs w:val="24"/>
        </w:rPr>
        <w:t>开户行：中国建设银行股份有限公司西安徐家湾支行</w:t>
      </w:r>
    </w:p>
    <w:p>
      <w:pPr>
        <w:autoSpaceDE w:val="0"/>
        <w:autoSpaceDN w:val="0"/>
        <w:adjustRightInd w:val="0"/>
        <w:snapToGrid w:val="0"/>
        <w:spacing w:line="560" w:lineRule="exact"/>
        <w:jc w:val="center"/>
        <w:rPr>
          <w:rFonts w:ascii="宋体" w:hAnsi="宋体" w:cs="宋体"/>
          <w:b/>
          <w:bCs/>
          <w:color w:val="auto"/>
          <w:sz w:val="28"/>
          <w:szCs w:val="28"/>
        </w:rPr>
      </w:pPr>
      <w:r>
        <w:rPr>
          <w:rFonts w:hint="eastAsia" w:ascii="宋体" w:hAnsi="宋体" w:cs="宋体"/>
          <w:b/>
          <w:bCs/>
          <w:color w:val="auto"/>
          <w:sz w:val="28"/>
          <w:szCs w:val="28"/>
        </w:rPr>
        <w:t>H、其它</w:t>
      </w:r>
    </w:p>
    <w:p>
      <w:pPr>
        <w:autoSpaceDE w:val="0"/>
        <w:autoSpaceDN w:val="0"/>
        <w:adjustRightInd w:val="0"/>
        <w:snapToGrid w:val="0"/>
        <w:spacing w:line="560" w:lineRule="exact"/>
        <w:ind w:firstLine="630"/>
        <w:rPr>
          <w:rFonts w:ascii="宋体" w:hAnsi="宋体" w:cs="宋体"/>
          <w:b/>
          <w:color w:val="auto"/>
          <w:sz w:val="24"/>
          <w:szCs w:val="24"/>
          <w:lang w:val="zh-CN"/>
        </w:rPr>
      </w:pPr>
      <w:r>
        <w:rPr>
          <w:rFonts w:hint="eastAsia" w:ascii="宋体" w:hAnsi="宋体" w:cs="宋体"/>
          <w:b/>
          <w:color w:val="auto"/>
          <w:sz w:val="24"/>
          <w:szCs w:val="24"/>
        </w:rPr>
        <w:t>37</w:t>
      </w:r>
      <w:r>
        <w:rPr>
          <w:rFonts w:hint="eastAsia" w:ascii="宋体" w:hAnsi="宋体" w:cs="宋体"/>
          <w:b/>
          <w:color w:val="auto"/>
          <w:sz w:val="24"/>
          <w:szCs w:val="24"/>
          <w:lang w:val="zh-CN"/>
        </w:rPr>
        <w:t>、</w:t>
      </w:r>
      <w:r>
        <w:rPr>
          <w:rFonts w:hint="eastAsia" w:ascii="宋体" w:hAnsi="宋体" w:cs="宋体"/>
          <w:b/>
          <w:color w:val="auto"/>
          <w:sz w:val="24"/>
          <w:szCs w:val="24"/>
        </w:rPr>
        <w:t>谈判开始后，出现下列情形之一的，采购代理机构将终止竞争性谈判采购活动，发布项目终止公告并说明原因，重新开展采购活动：</w:t>
      </w:r>
    </w:p>
    <w:p>
      <w:pPr>
        <w:autoSpaceDE w:val="0"/>
        <w:autoSpaceDN w:val="0"/>
        <w:adjustRightInd w:val="0"/>
        <w:snapToGrid w:val="0"/>
        <w:spacing w:line="560" w:lineRule="exact"/>
        <w:ind w:firstLine="630"/>
        <w:rPr>
          <w:rFonts w:ascii="宋体" w:hAnsi="宋体" w:cs="宋体"/>
          <w:bCs/>
          <w:color w:val="auto"/>
          <w:sz w:val="24"/>
          <w:szCs w:val="24"/>
          <w:lang w:val="zh-CN"/>
        </w:rPr>
      </w:pPr>
      <w:r>
        <w:rPr>
          <w:rFonts w:hint="eastAsia" w:ascii="宋体" w:hAnsi="宋体" w:cs="宋体"/>
          <w:bCs/>
          <w:color w:val="auto"/>
          <w:sz w:val="24"/>
          <w:szCs w:val="24"/>
        </w:rPr>
        <w:t>37.1、</w:t>
      </w:r>
      <w:r>
        <w:rPr>
          <w:rFonts w:hint="eastAsia" w:ascii="宋体" w:hAnsi="宋体" w:cs="宋体"/>
          <w:bCs/>
          <w:color w:val="auto"/>
          <w:sz w:val="24"/>
          <w:szCs w:val="24"/>
          <w:lang w:val="zh-CN"/>
        </w:rPr>
        <w:t>因情况变化，不再符合规定的竞争性谈判采购方式适用情形的；</w:t>
      </w:r>
    </w:p>
    <w:p>
      <w:pPr>
        <w:autoSpaceDE w:val="0"/>
        <w:autoSpaceDN w:val="0"/>
        <w:adjustRightInd w:val="0"/>
        <w:snapToGrid w:val="0"/>
        <w:spacing w:line="560" w:lineRule="exact"/>
        <w:ind w:firstLine="630"/>
        <w:rPr>
          <w:rFonts w:ascii="宋体" w:hAnsi="宋体" w:cs="宋体"/>
          <w:bCs/>
          <w:color w:val="auto"/>
          <w:sz w:val="24"/>
          <w:szCs w:val="24"/>
          <w:lang w:val="zh-CN"/>
        </w:rPr>
      </w:pPr>
      <w:r>
        <w:rPr>
          <w:rFonts w:hint="eastAsia" w:ascii="宋体" w:hAnsi="宋体" w:cs="宋体"/>
          <w:bCs/>
          <w:color w:val="auto"/>
          <w:sz w:val="24"/>
          <w:szCs w:val="24"/>
        </w:rPr>
        <w:t>37.2、</w:t>
      </w:r>
      <w:r>
        <w:rPr>
          <w:rFonts w:hint="eastAsia" w:ascii="宋体" w:hAnsi="宋体" w:cs="宋体"/>
          <w:bCs/>
          <w:color w:val="auto"/>
          <w:sz w:val="24"/>
          <w:szCs w:val="24"/>
          <w:lang w:val="zh-CN"/>
        </w:rPr>
        <w:t>出现影响采购公正的违法、违规行为的；</w:t>
      </w:r>
    </w:p>
    <w:p>
      <w:pPr>
        <w:autoSpaceDE w:val="0"/>
        <w:autoSpaceDN w:val="0"/>
        <w:adjustRightInd w:val="0"/>
        <w:snapToGrid w:val="0"/>
        <w:spacing w:line="560" w:lineRule="exact"/>
        <w:ind w:firstLine="630"/>
        <w:rPr>
          <w:rFonts w:ascii="宋体" w:hAnsi="宋体" w:cs="宋体"/>
          <w:bCs/>
          <w:color w:val="auto"/>
          <w:sz w:val="24"/>
          <w:szCs w:val="24"/>
          <w:lang w:val="zh-CN"/>
        </w:rPr>
      </w:pPr>
      <w:r>
        <w:rPr>
          <w:rFonts w:hint="eastAsia" w:ascii="宋体" w:hAnsi="宋体" w:cs="宋体"/>
          <w:bCs/>
          <w:color w:val="auto"/>
          <w:sz w:val="24"/>
          <w:szCs w:val="24"/>
        </w:rPr>
        <w:t>37.3、</w:t>
      </w:r>
      <w:r>
        <w:rPr>
          <w:rFonts w:hint="eastAsia" w:ascii="宋体" w:hAnsi="宋体" w:cs="宋体"/>
          <w:bCs/>
          <w:color w:val="auto"/>
          <w:sz w:val="24"/>
          <w:szCs w:val="24"/>
          <w:lang w:val="zh-CN"/>
        </w:rPr>
        <w:t>在采购过程中符合要求的供应商不足3家的；</w:t>
      </w:r>
    </w:p>
    <w:p>
      <w:pPr>
        <w:autoSpaceDE w:val="0"/>
        <w:autoSpaceDN w:val="0"/>
        <w:adjustRightInd w:val="0"/>
        <w:snapToGrid w:val="0"/>
        <w:spacing w:line="560" w:lineRule="exact"/>
        <w:ind w:firstLine="630"/>
        <w:rPr>
          <w:rFonts w:ascii="宋体" w:hAnsi="宋体" w:cs="宋体"/>
          <w:bCs/>
          <w:color w:val="auto"/>
          <w:sz w:val="24"/>
          <w:szCs w:val="24"/>
          <w:lang w:val="zh-CN"/>
        </w:rPr>
      </w:pPr>
      <w:r>
        <w:rPr>
          <w:rFonts w:hint="eastAsia" w:ascii="宋体" w:hAnsi="宋体" w:cs="宋体"/>
          <w:bCs/>
          <w:color w:val="auto"/>
          <w:sz w:val="24"/>
          <w:szCs w:val="24"/>
        </w:rPr>
        <w:t>37.4、</w:t>
      </w:r>
      <w:r>
        <w:rPr>
          <w:rFonts w:hint="eastAsia" w:ascii="宋体" w:hAnsi="宋体" w:cs="宋体"/>
          <w:bCs/>
          <w:color w:val="auto"/>
          <w:sz w:val="24"/>
          <w:szCs w:val="24"/>
          <w:lang w:val="zh-CN"/>
        </w:rPr>
        <w:t>报价未超过采购预算的供应商不足3家的。</w:t>
      </w:r>
    </w:p>
    <w:p>
      <w:pPr>
        <w:autoSpaceDE w:val="0"/>
        <w:autoSpaceDN w:val="0"/>
        <w:adjustRightInd w:val="0"/>
        <w:snapToGrid w:val="0"/>
        <w:spacing w:line="560" w:lineRule="exact"/>
        <w:ind w:firstLine="630"/>
        <w:rPr>
          <w:rFonts w:ascii="宋体" w:hAnsi="宋体" w:cs="宋体"/>
          <w:bCs/>
          <w:color w:val="auto"/>
          <w:sz w:val="24"/>
          <w:szCs w:val="24"/>
          <w:lang w:val="zh-CN"/>
        </w:rPr>
      </w:pPr>
      <w:r>
        <w:rPr>
          <w:rFonts w:hint="eastAsia" w:ascii="宋体" w:hAnsi="宋体" w:cs="宋体"/>
          <w:bCs/>
          <w:color w:val="auto"/>
          <w:sz w:val="24"/>
          <w:szCs w:val="24"/>
          <w:lang w:val="zh-CN"/>
        </w:rPr>
        <w:t>废标后，采购代理机构应在财政部门指定采购网上公告，并公告废标的详细理由。</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38、</w:t>
      </w:r>
      <w:r>
        <w:rPr>
          <w:rFonts w:hint="eastAsia" w:ascii="宋体" w:hAnsi="宋体" w:cs="宋体"/>
          <w:color w:val="auto"/>
          <w:sz w:val="24"/>
          <w:szCs w:val="24"/>
          <w:lang w:val="zh-CN"/>
        </w:rPr>
        <w:t>谈判开始到成交供应商确定前，谈判小组、采购人及有关人员要严格遵循保密原则，任何一方不得向与评审无关的单位和人员透露与谈判有关的其它供应商的技术资料、价格及其它信息。否则，按《中华人民共和国政府采购法》、《中华人民共和国政府采购法实施条例》及有关法律、法规的法律规定进行相应的处罚。</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39</w:t>
      </w:r>
      <w:r>
        <w:rPr>
          <w:rFonts w:hint="eastAsia" w:ascii="宋体" w:hAnsi="宋体" w:cs="宋体"/>
          <w:color w:val="auto"/>
          <w:sz w:val="24"/>
          <w:szCs w:val="24"/>
          <w:lang w:val="zh-CN"/>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巨大的，供应商还应当对超过部分予以赔偿，并依法承担相应法律责任。</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40、</w:t>
      </w:r>
      <w:r>
        <w:rPr>
          <w:rFonts w:hint="eastAsia" w:ascii="宋体" w:hAnsi="宋体" w:cs="宋体"/>
          <w:color w:val="auto"/>
          <w:sz w:val="24"/>
          <w:szCs w:val="24"/>
          <w:lang w:val="zh-CN"/>
        </w:rPr>
        <w:t>根据《陕西省财政厅关于政府采购供应商注册登记有关事项的通知》的规定，供应商在购买标书后，应及时在陕西省政府采购网</w:t>
      </w:r>
    </w:p>
    <w:p>
      <w:pPr>
        <w:autoSpaceDE w:val="0"/>
        <w:autoSpaceDN w:val="0"/>
        <w:adjustRightInd w:val="0"/>
        <w:snapToGrid w:val="0"/>
        <w:spacing w:line="560" w:lineRule="exact"/>
        <w:ind w:firstLine="630"/>
        <w:rPr>
          <w:rFonts w:ascii="宋体" w:hAnsi="宋体" w:cs="宋体"/>
          <w:color w:val="auto"/>
          <w:sz w:val="28"/>
          <w:szCs w:val="28"/>
          <w:lang w:val="zh-CN"/>
        </w:rPr>
      </w:pPr>
      <w:r>
        <w:rPr>
          <w:rFonts w:hint="eastAsia" w:ascii="宋体" w:hAnsi="宋体" w:cs="宋体"/>
          <w:color w:val="auto"/>
          <w:sz w:val="24"/>
          <w:szCs w:val="24"/>
          <w:lang w:val="zh-CN"/>
        </w:rPr>
        <w:t>（http://www.ccgp-shaanxi.gov.cn/）注册登记加入陕西省政府采购供应商库。因供应商自身原因未及时登记入库而导致的一切后果由供应商自行承担。</w:t>
      </w:r>
    </w:p>
    <w:p>
      <w:pPr>
        <w:autoSpaceDE w:val="0"/>
        <w:autoSpaceDN w:val="0"/>
        <w:adjustRightInd w:val="0"/>
        <w:snapToGrid w:val="0"/>
        <w:spacing w:line="560" w:lineRule="exact"/>
        <w:ind w:firstLine="630"/>
        <w:rPr>
          <w:rFonts w:ascii="宋体" w:hAnsi="宋体" w:cs="宋体"/>
          <w:b/>
          <w:color w:val="auto"/>
          <w:sz w:val="24"/>
          <w:szCs w:val="24"/>
        </w:rPr>
      </w:pPr>
      <w:r>
        <w:rPr>
          <w:rFonts w:hint="eastAsia" w:ascii="宋体" w:hAnsi="宋体" w:cs="宋体"/>
          <w:b/>
          <w:color w:val="auto"/>
          <w:sz w:val="24"/>
          <w:szCs w:val="24"/>
        </w:rPr>
        <w:t>41、特殊情况的处理</w:t>
      </w:r>
    </w:p>
    <w:p>
      <w:pPr>
        <w:autoSpaceDE w:val="0"/>
        <w:autoSpaceDN w:val="0"/>
        <w:adjustRightInd w:val="0"/>
        <w:snapToGrid w:val="0"/>
        <w:spacing w:line="560" w:lineRule="exact"/>
        <w:ind w:firstLine="630"/>
        <w:rPr>
          <w:rFonts w:ascii="宋体" w:hAnsi="宋体" w:cs="宋体"/>
          <w:bCs/>
          <w:color w:val="auto"/>
          <w:sz w:val="24"/>
          <w:szCs w:val="24"/>
        </w:rPr>
      </w:pPr>
      <w:r>
        <w:rPr>
          <w:rFonts w:hint="eastAsia" w:ascii="宋体" w:hAnsi="宋体" w:cs="宋体"/>
          <w:bCs/>
          <w:color w:val="auto"/>
          <w:sz w:val="24"/>
          <w:szCs w:val="24"/>
        </w:rPr>
        <w:t>41.1、单一产品采购项目中，提供相同品牌的产品的不同供应商参加同一合同项下投标的，按以下方法处理：</w:t>
      </w:r>
    </w:p>
    <w:p>
      <w:pPr>
        <w:autoSpaceDE w:val="0"/>
        <w:autoSpaceDN w:val="0"/>
        <w:adjustRightInd w:val="0"/>
        <w:snapToGrid w:val="0"/>
        <w:spacing w:line="560" w:lineRule="exact"/>
        <w:ind w:firstLine="630"/>
        <w:rPr>
          <w:rFonts w:ascii="宋体" w:hAnsi="宋体" w:cs="宋体"/>
          <w:bCs/>
          <w:color w:val="auto"/>
          <w:sz w:val="24"/>
          <w:szCs w:val="24"/>
        </w:rPr>
      </w:pPr>
      <w:r>
        <w:rPr>
          <w:rFonts w:hint="eastAsia" w:ascii="宋体" w:hAnsi="宋体" w:cs="宋体"/>
          <w:bCs/>
          <w:color w:val="auto"/>
          <w:sz w:val="24"/>
          <w:szCs w:val="24"/>
        </w:rPr>
        <w:t>41.1.1、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pPr>
        <w:autoSpaceDE w:val="0"/>
        <w:autoSpaceDN w:val="0"/>
        <w:adjustRightInd w:val="0"/>
        <w:snapToGrid w:val="0"/>
        <w:spacing w:line="560" w:lineRule="exact"/>
        <w:ind w:firstLine="630"/>
        <w:rPr>
          <w:rFonts w:ascii="宋体" w:hAnsi="宋体" w:cs="宋体"/>
          <w:bCs/>
          <w:color w:val="auto"/>
          <w:sz w:val="24"/>
          <w:szCs w:val="24"/>
        </w:rPr>
      </w:pPr>
      <w:r>
        <w:rPr>
          <w:rFonts w:hint="eastAsia" w:ascii="宋体" w:hAnsi="宋体" w:cs="宋体"/>
          <w:bCs/>
          <w:color w:val="auto"/>
          <w:sz w:val="24"/>
          <w:szCs w:val="24"/>
        </w:rPr>
        <w:t>41.2、非单一产品采购项目中，提供相同品牌的核心产品的不同供应商参加同一合同项下投标的，按以下方法处理：</w:t>
      </w:r>
    </w:p>
    <w:p>
      <w:pPr>
        <w:autoSpaceDE w:val="0"/>
        <w:autoSpaceDN w:val="0"/>
        <w:adjustRightInd w:val="0"/>
        <w:snapToGrid w:val="0"/>
        <w:spacing w:line="560" w:lineRule="exact"/>
        <w:ind w:firstLine="630"/>
        <w:rPr>
          <w:rFonts w:ascii="宋体" w:hAnsi="宋体" w:cs="宋体"/>
          <w:bCs/>
          <w:color w:val="auto"/>
          <w:sz w:val="24"/>
          <w:szCs w:val="24"/>
        </w:rPr>
      </w:pPr>
      <w:r>
        <w:rPr>
          <w:rFonts w:hint="eastAsia" w:ascii="宋体" w:hAnsi="宋体" w:cs="宋体"/>
          <w:bCs/>
          <w:color w:val="auto"/>
          <w:sz w:val="24"/>
          <w:szCs w:val="24"/>
        </w:rPr>
        <w:t>41.2.1、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pPr>
        <w:autoSpaceDE w:val="0"/>
        <w:autoSpaceDN w:val="0"/>
        <w:adjustRightInd w:val="0"/>
        <w:snapToGrid w:val="0"/>
        <w:spacing w:line="560" w:lineRule="exact"/>
        <w:ind w:firstLine="630"/>
        <w:rPr>
          <w:rFonts w:ascii="宋体" w:hAnsi="宋体" w:cs="宋体"/>
          <w:bCs/>
          <w:color w:val="auto"/>
          <w:sz w:val="24"/>
          <w:szCs w:val="24"/>
        </w:rPr>
      </w:pPr>
      <w:r>
        <w:rPr>
          <w:rFonts w:hint="eastAsia" w:ascii="宋体" w:hAnsi="宋体" w:cs="宋体"/>
          <w:bCs/>
          <w:color w:val="auto"/>
          <w:sz w:val="24"/>
          <w:szCs w:val="24"/>
        </w:rPr>
        <w:t>41.2.2、核心产品为两个及以上时，当所有核心产品品牌均相同时，在评审时按同一供应商计算；部分核心产品品牌相同时按不同供应商计算。</w:t>
      </w:r>
    </w:p>
    <w:p>
      <w:pPr>
        <w:autoSpaceDE w:val="0"/>
        <w:autoSpaceDN w:val="0"/>
        <w:adjustRightInd w:val="0"/>
        <w:snapToGrid w:val="0"/>
        <w:spacing w:line="560" w:lineRule="exact"/>
        <w:ind w:firstLine="630"/>
        <w:rPr>
          <w:rFonts w:ascii="宋体" w:hAnsi="宋体" w:cs="宋体"/>
          <w:b/>
          <w:color w:val="auto"/>
          <w:sz w:val="24"/>
          <w:szCs w:val="24"/>
          <w:lang w:val="zh-CN"/>
        </w:rPr>
      </w:pPr>
      <w:r>
        <w:rPr>
          <w:rFonts w:hint="eastAsia" w:ascii="宋体" w:hAnsi="宋体" w:cs="宋体"/>
          <w:b/>
          <w:color w:val="auto"/>
          <w:sz w:val="24"/>
          <w:szCs w:val="24"/>
        </w:rPr>
        <w:t>42</w:t>
      </w:r>
      <w:r>
        <w:rPr>
          <w:rFonts w:hint="eastAsia" w:ascii="宋体" w:hAnsi="宋体" w:cs="宋体"/>
          <w:b/>
          <w:color w:val="auto"/>
          <w:sz w:val="24"/>
          <w:szCs w:val="24"/>
          <w:lang w:val="zh-CN"/>
        </w:rPr>
        <w:t>、质疑与投诉</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1、供应商认为采购文件、采购过程、中标或者成交结果使自己的权益受到损害的，可以在知道或者应知其权益受到损害之日起7个工作日内，以书面形式向采购人、采购代理机构提出质疑。</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lang w:val="zh-CN"/>
        </w:rPr>
        <w:t>供应商在法定质疑期内应一次性提出针对同一采购程序环节的质疑。</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lang w:val="zh-CN"/>
        </w:rPr>
        <w:t>质疑接受以书面形式送达 以下地址：</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lang w:val="zh-CN"/>
        </w:rPr>
        <w:t>联系人:</w:t>
      </w:r>
      <w:r>
        <w:rPr>
          <w:rFonts w:hint="eastAsia" w:ascii="宋体" w:hAnsi="宋体" w:cs="宋体"/>
          <w:color w:val="auto"/>
          <w:sz w:val="24"/>
          <w:szCs w:val="24"/>
        </w:rPr>
        <w:t>张工</w:t>
      </w:r>
    </w:p>
    <w:p>
      <w:pPr>
        <w:autoSpaceDE w:val="0"/>
        <w:autoSpaceDN w:val="0"/>
        <w:adjustRightInd w:val="0"/>
        <w:snapToGrid w:val="0"/>
        <w:spacing w:line="560" w:lineRule="exact"/>
        <w:ind w:firstLine="630"/>
        <w:rPr>
          <w:rFonts w:ascii="宋体" w:hAnsi="宋体" w:cs="宋体"/>
          <w:color w:val="auto"/>
          <w:sz w:val="24"/>
          <w:szCs w:val="24"/>
        </w:rPr>
      </w:pPr>
      <w:r>
        <w:rPr>
          <w:rFonts w:hint="eastAsia" w:ascii="宋体" w:hAnsi="宋体" w:cs="宋体"/>
          <w:color w:val="auto"/>
          <w:sz w:val="24"/>
          <w:szCs w:val="24"/>
          <w:lang w:val="zh-CN"/>
        </w:rPr>
        <w:t>联系电话：</w:t>
      </w:r>
      <w:r>
        <w:rPr>
          <w:rFonts w:hint="eastAsia" w:ascii="宋体" w:hAnsi="宋体" w:cs="宋体"/>
          <w:color w:val="auto"/>
          <w:sz w:val="24"/>
          <w:szCs w:val="24"/>
        </w:rPr>
        <w:t>029-89871668</w:t>
      </w:r>
    </w:p>
    <w:p>
      <w:pPr>
        <w:autoSpaceDE w:val="0"/>
        <w:autoSpaceDN w:val="0"/>
        <w:adjustRightInd w:val="0"/>
        <w:snapToGrid w:val="0"/>
        <w:spacing w:line="560" w:lineRule="exact"/>
        <w:ind w:firstLine="630"/>
        <w:rPr>
          <w:rFonts w:ascii="宋体" w:hAnsi="宋体" w:cs="宋体"/>
          <w:color w:val="auto"/>
          <w:sz w:val="24"/>
          <w:szCs w:val="24"/>
        </w:rPr>
      </w:pPr>
      <w:r>
        <w:rPr>
          <w:rFonts w:hint="eastAsia" w:ascii="宋体" w:hAnsi="宋体" w:cs="宋体"/>
          <w:color w:val="auto"/>
          <w:sz w:val="24"/>
          <w:szCs w:val="24"/>
          <w:lang w:val="zh-CN"/>
        </w:rPr>
        <w:t>地址: 西安市未央区凤城八路与渭滨路十字西北角水晶新天地10楼11004室</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2、质疑函应当包括下列内容：</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2</w:t>
      </w:r>
      <w:r>
        <w:rPr>
          <w:rFonts w:hint="eastAsia" w:ascii="宋体" w:hAnsi="宋体" w:cs="宋体"/>
          <w:color w:val="auto"/>
          <w:sz w:val="24"/>
          <w:szCs w:val="24"/>
        </w:rPr>
        <w:t>.1</w:t>
      </w:r>
      <w:r>
        <w:rPr>
          <w:rFonts w:hint="eastAsia" w:ascii="宋体" w:hAnsi="宋体" w:cs="宋体"/>
          <w:color w:val="auto"/>
          <w:sz w:val="24"/>
          <w:szCs w:val="24"/>
          <w:lang w:val="zh-CN"/>
        </w:rPr>
        <w:t>、供应商的姓名或者名称、地址、邮编、联系人及联系电话；</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2</w:t>
      </w:r>
      <w:r>
        <w:rPr>
          <w:rFonts w:hint="eastAsia" w:ascii="宋体" w:hAnsi="宋体" w:cs="宋体"/>
          <w:color w:val="auto"/>
          <w:sz w:val="24"/>
          <w:szCs w:val="24"/>
        </w:rPr>
        <w:t>.2</w:t>
      </w:r>
      <w:r>
        <w:rPr>
          <w:rFonts w:hint="eastAsia" w:ascii="宋体" w:hAnsi="宋体" w:cs="宋体"/>
          <w:color w:val="auto"/>
          <w:sz w:val="24"/>
          <w:szCs w:val="24"/>
          <w:lang w:val="zh-CN"/>
        </w:rPr>
        <w:t>、质疑项目的名称、编号；</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2</w:t>
      </w:r>
      <w:r>
        <w:rPr>
          <w:rFonts w:hint="eastAsia" w:ascii="宋体" w:hAnsi="宋体" w:cs="宋体"/>
          <w:color w:val="auto"/>
          <w:sz w:val="24"/>
          <w:szCs w:val="24"/>
        </w:rPr>
        <w:t>.3</w:t>
      </w:r>
      <w:r>
        <w:rPr>
          <w:rFonts w:hint="eastAsia" w:ascii="宋体" w:hAnsi="宋体" w:cs="宋体"/>
          <w:color w:val="auto"/>
          <w:sz w:val="24"/>
          <w:szCs w:val="24"/>
          <w:lang w:val="zh-CN"/>
        </w:rPr>
        <w:t>、具体、明确的质疑事项和与质疑事项相关的请求；</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2</w:t>
      </w:r>
      <w:r>
        <w:rPr>
          <w:rFonts w:hint="eastAsia" w:ascii="宋体" w:hAnsi="宋体" w:cs="宋体"/>
          <w:color w:val="auto"/>
          <w:sz w:val="24"/>
          <w:szCs w:val="24"/>
        </w:rPr>
        <w:t>.4</w:t>
      </w:r>
      <w:r>
        <w:rPr>
          <w:rFonts w:hint="eastAsia" w:ascii="宋体" w:hAnsi="宋体" w:cs="宋体"/>
          <w:color w:val="auto"/>
          <w:sz w:val="24"/>
          <w:szCs w:val="24"/>
          <w:lang w:val="zh-CN"/>
        </w:rPr>
        <w:t>、事实依据；</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2</w:t>
      </w:r>
      <w:r>
        <w:rPr>
          <w:rFonts w:hint="eastAsia" w:ascii="宋体" w:hAnsi="宋体" w:cs="宋体"/>
          <w:color w:val="auto"/>
          <w:sz w:val="24"/>
          <w:szCs w:val="24"/>
        </w:rPr>
        <w:t>.5</w:t>
      </w:r>
      <w:r>
        <w:rPr>
          <w:rFonts w:hint="eastAsia" w:ascii="宋体" w:hAnsi="宋体" w:cs="宋体"/>
          <w:color w:val="auto"/>
          <w:sz w:val="24"/>
          <w:szCs w:val="24"/>
          <w:lang w:val="zh-CN"/>
        </w:rPr>
        <w:t>、必要的法律依据；</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2</w:t>
      </w:r>
      <w:r>
        <w:rPr>
          <w:rFonts w:hint="eastAsia" w:ascii="宋体" w:hAnsi="宋体" w:cs="宋体"/>
          <w:color w:val="auto"/>
          <w:sz w:val="24"/>
          <w:szCs w:val="24"/>
        </w:rPr>
        <w:t>.6</w:t>
      </w:r>
      <w:r>
        <w:rPr>
          <w:rFonts w:hint="eastAsia" w:ascii="宋体" w:hAnsi="宋体" w:cs="宋体"/>
          <w:color w:val="auto"/>
          <w:sz w:val="24"/>
          <w:szCs w:val="24"/>
          <w:lang w:val="zh-CN"/>
        </w:rPr>
        <w:t>、提出质疑的日期。</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lang w:val="zh-CN"/>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3、有下列情形之一的，属于无效质疑，代理机构和采购人不予受理：</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.1</w:t>
      </w:r>
      <w:r>
        <w:rPr>
          <w:rFonts w:hint="eastAsia" w:ascii="宋体" w:hAnsi="宋体" w:cs="宋体"/>
          <w:color w:val="auto"/>
          <w:sz w:val="24"/>
          <w:szCs w:val="24"/>
          <w:lang w:val="zh-CN"/>
        </w:rPr>
        <w:t>、质疑人不是参与本次政府采购项目的供应商或潜在供应商；</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.2</w:t>
      </w:r>
      <w:r>
        <w:rPr>
          <w:rFonts w:hint="eastAsia" w:ascii="宋体" w:hAnsi="宋体" w:cs="宋体"/>
          <w:color w:val="auto"/>
          <w:sz w:val="24"/>
          <w:szCs w:val="24"/>
          <w:lang w:val="zh-CN"/>
        </w:rPr>
        <w:t>、质疑人与质疑事项不存在利害关系的；</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.3</w:t>
      </w:r>
      <w:r>
        <w:rPr>
          <w:rFonts w:hint="eastAsia" w:ascii="宋体" w:hAnsi="宋体" w:cs="宋体"/>
          <w:color w:val="auto"/>
          <w:sz w:val="24"/>
          <w:szCs w:val="24"/>
          <w:lang w:val="zh-CN"/>
        </w:rPr>
        <w:t>、未在法定期限内提出质疑的；</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.4</w:t>
      </w:r>
      <w:r>
        <w:rPr>
          <w:rFonts w:hint="eastAsia" w:ascii="宋体" w:hAnsi="宋体" w:cs="宋体"/>
          <w:color w:val="auto"/>
          <w:sz w:val="24"/>
          <w:szCs w:val="24"/>
          <w:lang w:val="zh-CN"/>
        </w:rPr>
        <w:t>、质疑未以书面形式提出，或质疑函主要内容构成不完整的，或缺乏必要的证明材料及证明材料不完整的；</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.5</w:t>
      </w:r>
      <w:r>
        <w:rPr>
          <w:rFonts w:hint="eastAsia" w:ascii="宋体" w:hAnsi="宋体" w:cs="宋体"/>
          <w:color w:val="auto"/>
          <w:sz w:val="24"/>
          <w:szCs w:val="24"/>
          <w:lang w:val="zh-CN"/>
        </w:rPr>
        <w:t>、质疑函没有合法有效的签字、盖章或授权的；</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.6</w:t>
      </w:r>
      <w:r>
        <w:rPr>
          <w:rFonts w:hint="eastAsia" w:ascii="宋体" w:hAnsi="宋体" w:cs="宋体"/>
          <w:color w:val="auto"/>
          <w:sz w:val="24"/>
          <w:szCs w:val="24"/>
          <w:lang w:val="zh-CN"/>
        </w:rPr>
        <w:t>、以非法手段取得证据、材料的；</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.7</w:t>
      </w:r>
      <w:r>
        <w:rPr>
          <w:rFonts w:hint="eastAsia" w:ascii="宋体" w:hAnsi="宋体" w:cs="宋体"/>
          <w:color w:val="auto"/>
          <w:sz w:val="24"/>
          <w:szCs w:val="24"/>
          <w:lang w:val="zh-CN"/>
        </w:rPr>
        <w:t>、质疑答复后，同一质疑人就同一事项再次提出质疑的；</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3</w:t>
      </w:r>
      <w:r>
        <w:rPr>
          <w:rFonts w:hint="eastAsia" w:ascii="宋体" w:hAnsi="宋体" w:cs="宋体"/>
          <w:color w:val="auto"/>
          <w:sz w:val="24"/>
          <w:szCs w:val="24"/>
        </w:rPr>
        <w:t>.8</w:t>
      </w:r>
      <w:r>
        <w:rPr>
          <w:rFonts w:hint="eastAsia" w:ascii="宋体" w:hAnsi="宋体" w:cs="宋体"/>
          <w:color w:val="auto"/>
          <w:sz w:val="24"/>
          <w:szCs w:val="24"/>
          <w:lang w:val="zh-CN"/>
        </w:rPr>
        <w:t>、不符合法律、法规、规章和政府采购监管机构规定的其他条件的。</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4、代理机构或采购人将在收到书面质疑后7个工作日内做出答复，并以书面形式通知质疑人和其他有关供应商。</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5、质疑人对代理机构或采购人的答复不满意，以及代理机构或采购人未在规定时间内做出答复的，可以在答复期满后15个工作日内向政府采购监管机构提出投诉。</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6、供应商投诉的事项不得超出已质疑事项的范围。</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7、对捏造事实、提供虚假材料进行质疑、投诉的行为予以严肃处理：</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lang w:val="zh-CN"/>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w:t>
      </w:r>
      <w:r>
        <w:rPr>
          <w:rFonts w:hint="eastAsia" w:ascii="宋体" w:hAnsi="宋体" w:cs="宋体"/>
          <w:color w:val="auto"/>
          <w:sz w:val="24"/>
          <w:szCs w:val="24"/>
          <w:lang w:val="zh-CN"/>
        </w:rPr>
        <w:t>8、对捏造事实诬告陷害他人、诽谤他人的法律适用：</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lang w:val="zh-CN"/>
        </w:rPr>
        <w:t>《中华人民共和国刑法》第243条【诬告陷害罪】捏造事实诬告陷害他人，意图使他人受刑事追究，情节严重的，处三年以下有期徒刑、拘役或者管制；造成严重后果的，处三年以上十年以下有期徒刑。</w:t>
      </w:r>
    </w:p>
    <w:p>
      <w:pPr>
        <w:autoSpaceDE w:val="0"/>
        <w:autoSpaceDN w:val="0"/>
        <w:adjustRightInd w:val="0"/>
        <w:snapToGrid w:val="0"/>
        <w:spacing w:line="560" w:lineRule="exact"/>
        <w:ind w:firstLine="630"/>
        <w:rPr>
          <w:rFonts w:ascii="宋体" w:hAnsi="宋体" w:cs="宋体"/>
          <w:bCs/>
          <w:color w:val="auto"/>
          <w:sz w:val="24"/>
          <w:szCs w:val="24"/>
        </w:rPr>
      </w:pPr>
      <w:r>
        <w:rPr>
          <w:rFonts w:hint="eastAsia" w:ascii="宋体" w:hAnsi="宋体" w:cs="宋体"/>
          <w:color w:val="auto"/>
          <w:sz w:val="24"/>
          <w:szCs w:val="24"/>
          <w:lang w:val="zh-CN"/>
        </w:rPr>
        <w:t>《中华人民共和国刑法》第246条【侮辱罪、诽谤罪】以暴力或者其他方法公然侮辱他人或者捏造事实诽谤他人，情节严重的，处三年以下有期徒刑、拘役、管制或者剥夺政治权。</w:t>
      </w:r>
    </w:p>
    <w:p>
      <w:pPr>
        <w:rPr>
          <w:rFonts w:ascii="宋体" w:hAnsi="宋体" w:cs="宋体"/>
          <w:bCs/>
          <w:color w:val="auto"/>
          <w:sz w:val="24"/>
          <w:szCs w:val="24"/>
        </w:rPr>
      </w:pPr>
    </w:p>
    <w:p>
      <w:pPr>
        <w:pStyle w:val="17"/>
        <w:rPr>
          <w:rFonts w:ascii="宋体" w:hAnsi="宋体" w:cs="宋体"/>
          <w:bCs/>
          <w:color w:val="auto"/>
          <w:sz w:val="24"/>
          <w:szCs w:val="24"/>
        </w:rPr>
      </w:pPr>
    </w:p>
    <w:p>
      <w:pPr>
        <w:rPr>
          <w:rFonts w:ascii="宋体" w:hAnsi="宋体" w:cs="宋体"/>
          <w:bCs/>
          <w:color w:val="auto"/>
          <w:sz w:val="24"/>
          <w:szCs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17"/>
        <w:rPr>
          <w:rFonts w:ascii="宋体" w:hAnsi="宋体" w:cs="宋体"/>
          <w:bCs/>
          <w:color w:val="auto"/>
          <w:sz w:val="24"/>
          <w:szCs w:val="24"/>
        </w:rPr>
      </w:pPr>
    </w:p>
    <w:p>
      <w:pPr>
        <w:rPr>
          <w:rFonts w:ascii="宋体" w:hAnsi="宋体" w:cs="宋体"/>
          <w:bCs/>
          <w:color w:val="auto"/>
          <w:sz w:val="24"/>
          <w:szCs w:val="24"/>
        </w:rPr>
      </w:pPr>
    </w:p>
    <w:p>
      <w:pPr>
        <w:pStyle w:val="17"/>
        <w:rPr>
          <w:rFonts w:ascii="宋体" w:hAnsi="宋体" w:cs="宋体"/>
          <w:bCs/>
          <w:color w:val="auto"/>
          <w:sz w:val="24"/>
          <w:szCs w:val="24"/>
        </w:rPr>
      </w:pPr>
    </w:p>
    <w:p>
      <w:pPr>
        <w:rPr>
          <w:rFonts w:ascii="宋体" w:hAnsi="宋体" w:cs="宋体"/>
          <w:bCs/>
          <w:color w:val="auto"/>
          <w:sz w:val="24"/>
          <w:szCs w:val="24"/>
        </w:rPr>
      </w:pPr>
    </w:p>
    <w:p>
      <w:pPr>
        <w:pStyle w:val="17"/>
        <w:rPr>
          <w:color w:val="auto"/>
        </w:rPr>
      </w:pPr>
    </w:p>
    <w:p>
      <w:pPr>
        <w:jc w:val="center"/>
        <w:rPr>
          <w:rFonts w:ascii="宋体" w:hAnsi="宋体" w:cs="宋体"/>
          <w:bCs/>
          <w:color w:val="auto"/>
          <w:sz w:val="28"/>
          <w:szCs w:val="28"/>
        </w:rPr>
      </w:pPr>
      <w:r>
        <w:rPr>
          <w:rFonts w:hint="eastAsia" w:ascii="宋体" w:hAnsi="宋体" w:cs="宋体"/>
          <w:bCs/>
          <w:color w:val="auto"/>
          <w:sz w:val="24"/>
          <w:szCs w:val="24"/>
        </w:rPr>
        <w:t>质疑函范本</w:t>
      </w:r>
    </w:p>
    <w:tbl>
      <w:tblPr>
        <w:tblStyle w:val="36"/>
        <w:tblW w:w="8354"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8354" w:type="dxa"/>
            <w:vAlign w:val="center"/>
          </w:tcPr>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一、质疑供应商基本信息</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质疑供应商</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地址：                                       邮编：</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联系人：                                     联系电话</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授权代表：</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联系电话：</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地址：                                       邮编：</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二、质疑项目基本情况</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质疑项目的名称：</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质疑项目的编号：</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包号：</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采购人名称：</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采购文件获取日期：</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三、质疑项目具体内容</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质疑事项1：</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事实依据：</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法律依据</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质疑事项2：</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四、与质疑事项相关的质疑请求</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请求：</w:t>
            </w:r>
          </w:p>
          <w:p>
            <w:pPr>
              <w:pStyle w:val="17"/>
              <w:spacing w:line="480" w:lineRule="exact"/>
              <w:ind w:firstLine="480" w:firstLineChars="200"/>
              <w:rPr>
                <w:rFonts w:ascii="宋体" w:hAnsi="宋体" w:cs="宋体"/>
                <w:bCs/>
                <w:color w:val="auto"/>
                <w:sz w:val="24"/>
              </w:rPr>
            </w:pPr>
            <w:r>
              <w:rPr>
                <w:rFonts w:hint="eastAsia" w:ascii="宋体" w:hAnsi="宋体" w:cs="宋体"/>
                <w:bCs/>
                <w:color w:val="auto"/>
                <w:sz w:val="24"/>
              </w:rPr>
              <w:t>签字（签章）：                          公章：</w:t>
            </w:r>
          </w:p>
          <w:p>
            <w:pPr>
              <w:pStyle w:val="17"/>
              <w:spacing w:line="480" w:lineRule="exact"/>
              <w:ind w:firstLine="480" w:firstLineChars="200"/>
              <w:rPr>
                <w:rFonts w:ascii="宋体" w:hAnsi="宋体" w:cs="宋体"/>
                <w:color w:val="auto"/>
              </w:rPr>
            </w:pPr>
            <w:r>
              <w:rPr>
                <w:rFonts w:hint="eastAsia" w:ascii="宋体" w:hAnsi="宋体" w:cs="宋体"/>
                <w:bCs/>
                <w:color w:val="auto"/>
                <w:sz w:val="24"/>
              </w:rPr>
              <w:t>日期：</w:t>
            </w:r>
          </w:p>
        </w:tc>
      </w:tr>
    </w:tbl>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rPr>
        <w:t>42.9、</w:t>
      </w:r>
      <w:r>
        <w:rPr>
          <w:rFonts w:hint="eastAsia" w:ascii="宋体" w:hAnsi="宋体" w:cs="宋体"/>
          <w:color w:val="auto"/>
          <w:sz w:val="24"/>
          <w:szCs w:val="24"/>
          <w:lang w:val="zh-CN"/>
        </w:rPr>
        <w:t>投诉</w:t>
      </w:r>
    </w:p>
    <w:p>
      <w:pPr>
        <w:autoSpaceDE w:val="0"/>
        <w:autoSpaceDN w:val="0"/>
        <w:adjustRightInd w:val="0"/>
        <w:snapToGrid w:val="0"/>
        <w:spacing w:line="560" w:lineRule="exact"/>
        <w:ind w:firstLine="630"/>
        <w:rPr>
          <w:rFonts w:ascii="宋体" w:hAnsi="宋体" w:cs="宋体"/>
          <w:color w:val="auto"/>
          <w:sz w:val="24"/>
          <w:szCs w:val="24"/>
          <w:lang w:val="zh-CN"/>
        </w:rPr>
      </w:pPr>
      <w:r>
        <w:rPr>
          <w:rFonts w:hint="eastAsia" w:ascii="宋体" w:hAnsi="宋体" w:cs="宋体"/>
          <w:color w:val="auto"/>
          <w:sz w:val="24"/>
          <w:szCs w:val="24"/>
          <w:lang w:val="zh-CN"/>
        </w:rPr>
        <w:t>供应商和其他利害关系人认为本次招标采购活动违反法律、法规和规章规定的，有权向有关行政监督机构投诉。</w:t>
      </w:r>
    </w:p>
    <w:p>
      <w:pPr>
        <w:autoSpaceDE w:val="0"/>
        <w:autoSpaceDN w:val="0"/>
        <w:adjustRightInd w:val="0"/>
        <w:snapToGrid w:val="0"/>
        <w:spacing w:line="56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42.9.1、</w:t>
      </w:r>
      <w:r>
        <w:rPr>
          <w:rFonts w:hint="eastAsia" w:ascii="宋体" w:hAnsi="宋体" w:cs="宋体"/>
          <w:color w:val="auto"/>
          <w:sz w:val="24"/>
          <w:szCs w:val="24"/>
          <w:lang w:val="zh-CN"/>
        </w:rPr>
        <w:t>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56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42.9.2、</w:t>
      </w:r>
      <w:r>
        <w:rPr>
          <w:rFonts w:hint="eastAsia" w:ascii="宋体" w:hAnsi="宋体" w:cs="宋体"/>
          <w:color w:val="auto"/>
          <w:sz w:val="24"/>
          <w:szCs w:val="24"/>
          <w:lang w:val="zh-CN"/>
        </w:rPr>
        <w:t>供应商投诉的事项不得超出已质疑事项的范围。</w:t>
      </w:r>
    </w:p>
    <w:p>
      <w:pPr>
        <w:autoSpaceDE w:val="0"/>
        <w:autoSpaceDN w:val="0"/>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42.9.3、</w:t>
      </w:r>
      <w:r>
        <w:rPr>
          <w:rFonts w:hint="eastAsia" w:ascii="宋体" w:hAnsi="宋体" w:cs="宋体"/>
          <w:color w:val="auto"/>
          <w:sz w:val="24"/>
          <w:szCs w:val="24"/>
          <w:lang w:val="zh-CN"/>
        </w:rPr>
        <w:t>投诉书范本格式在中国政府采购网站（http://www.ccgp.gov.cn/）自行下载。</w:t>
      </w:r>
    </w:p>
    <w:p>
      <w:pPr>
        <w:spacing w:line="520" w:lineRule="exact"/>
        <w:ind w:firstLine="480" w:firstLineChars="200"/>
        <w:rPr>
          <w:rFonts w:ascii="宋体" w:hAnsi="宋体" w:cs="宋体"/>
          <w:color w:val="auto"/>
          <w:sz w:val="24"/>
        </w:rPr>
      </w:pPr>
      <w:r>
        <w:rPr>
          <w:rFonts w:hint="eastAsia" w:ascii="宋体" w:hAnsi="宋体" w:cs="宋体"/>
          <w:color w:val="auto"/>
          <w:sz w:val="24"/>
          <w:szCs w:val="24"/>
        </w:rPr>
        <w:t>43、信用担保</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43.1、陕西省政府采购信用担保及信用融资政策</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43.1.1、为发挥政府采购促进中小企业发展的政策功能，陕西省财政厅制定了《关于推进加快我省中小企业政府采购信用融资工作的通知》（陕财办采〔2020〕15号），西安市财政局制定了《西安市财政局关于贯彻落实&lt;西安市政府采购信用担保及信用融资工作实施方案（试行）&gt;有关事宜的通知》（市财发〔2015〕4号），为参与西安市市级政府采购项目的供应商提供政府采购信用担保和融资服务，并按照程序确定了合作的担保机构和商业银行。成交人如果需要融资贷款服务的，可凭成交通知书、政府采购合同等相关资料，按照实施方案规定的程序申请办理，具体规定可登陆西安政府采购网(www.xazfcg.gov.cn)重要通知专栏和西安市财政局网站(www.xaczj.gov.cn)政府采购专栏中查询了解。</w:t>
      </w:r>
    </w:p>
    <w:p>
      <w:pPr>
        <w:pStyle w:val="17"/>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43.1.2、后附：政府采购信用担保及信用融资合作机构联系名单</w:t>
      </w: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sectPr>
          <w:footerReference r:id="rId15" w:type="first"/>
          <w:headerReference r:id="rId13" w:type="default"/>
          <w:footerReference r:id="rId14" w:type="default"/>
          <w:pgSz w:w="11906" w:h="16838"/>
          <w:pgMar w:top="1417" w:right="1418" w:bottom="1417" w:left="1417" w:header="851" w:footer="992" w:gutter="0"/>
          <w:cols w:space="720" w:num="1"/>
          <w:docGrid w:type="lines" w:linePitch="312" w:charSpace="0"/>
        </w:sectPr>
      </w:pPr>
    </w:p>
    <w:tbl>
      <w:tblPr>
        <w:tblStyle w:val="36"/>
        <w:tblW w:w="9193" w:type="dxa"/>
        <w:tblInd w:w="93" w:type="dxa"/>
        <w:tblLayout w:type="fixed"/>
        <w:tblCellMar>
          <w:top w:w="0" w:type="dxa"/>
          <w:left w:w="108" w:type="dxa"/>
          <w:bottom w:w="0" w:type="dxa"/>
          <w:right w:w="108" w:type="dxa"/>
        </w:tblCellMar>
      </w:tblPr>
      <w:tblGrid>
        <w:gridCol w:w="554"/>
        <w:gridCol w:w="2076"/>
        <w:gridCol w:w="1724"/>
        <w:gridCol w:w="1184"/>
        <w:gridCol w:w="1133"/>
        <w:gridCol w:w="1629"/>
        <w:gridCol w:w="893"/>
      </w:tblGrid>
      <w:tr>
        <w:tblPrEx>
          <w:tblCellMar>
            <w:top w:w="0" w:type="dxa"/>
            <w:left w:w="108" w:type="dxa"/>
            <w:bottom w:w="0" w:type="dxa"/>
            <w:right w:w="108" w:type="dxa"/>
          </w:tblCellMar>
        </w:tblPrEx>
        <w:trPr>
          <w:trHeight w:val="699" w:hRule="atLeast"/>
        </w:trPr>
        <w:tc>
          <w:tcPr>
            <w:tcW w:w="8300" w:type="dxa"/>
            <w:gridSpan w:val="6"/>
            <w:tcBorders>
              <w:top w:val="nil"/>
              <w:left w:val="nil"/>
              <w:bottom w:val="single" w:color="000000" w:sz="4" w:space="0"/>
              <w:right w:val="nil"/>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2017年西安市政府采购信用担保及信用融资合作机构联系名单</w:t>
            </w:r>
          </w:p>
        </w:tc>
        <w:tc>
          <w:tcPr>
            <w:tcW w:w="893" w:type="dxa"/>
            <w:tcBorders>
              <w:top w:val="nil"/>
              <w:left w:val="nil"/>
              <w:bottom w:val="nil"/>
              <w:right w:val="nil"/>
            </w:tcBorders>
            <w:vAlign w:val="center"/>
          </w:tcPr>
          <w:p>
            <w:pPr>
              <w:spacing w:line="360" w:lineRule="atLeast"/>
              <w:rPr>
                <w:rFonts w:ascii="宋体" w:hAnsi="宋体" w:cs="宋体"/>
                <w:color w:val="auto"/>
                <w:sz w:val="24"/>
                <w:szCs w:val="24"/>
              </w:rPr>
            </w:pPr>
          </w:p>
        </w:tc>
      </w:tr>
      <w:tr>
        <w:trPr>
          <w:trHeight w:val="57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序号</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合作单位名称</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主办单位名称</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联系部门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联系人员</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联系电话</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CellMar>
            <w:top w:w="0" w:type="dxa"/>
            <w:left w:w="108" w:type="dxa"/>
            <w:bottom w:w="0" w:type="dxa"/>
            <w:right w:w="108" w:type="dxa"/>
          </w:tblCellMar>
        </w:tblPrEx>
        <w:trPr>
          <w:trHeight w:val="10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西安投融资担保有限公司</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西安投融资担保有限公司</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业务五部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李晓</w:t>
            </w:r>
          </w:p>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何彦君</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张华</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88499422 13572821281</w:t>
            </w:r>
          </w:p>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88499422 13679255205</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88499422 18220823060</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信用担保</w:t>
            </w:r>
          </w:p>
        </w:tc>
      </w:tr>
      <w:tr>
        <w:tblPrEx>
          <w:tblCellMar>
            <w:top w:w="0" w:type="dxa"/>
            <w:left w:w="108" w:type="dxa"/>
            <w:bottom w:w="0" w:type="dxa"/>
            <w:right w:w="108" w:type="dxa"/>
          </w:tblCellMar>
        </w:tblPrEx>
        <w:trPr>
          <w:trHeight w:val="10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陕西省信用再担保</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有限责任公司</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陕西省信用再担保</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有限责任公司</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业务三部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夏靖颜</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朱筠祥</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88606038-6027</w:t>
            </w:r>
          </w:p>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18591406320</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18629282228</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信用担保</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中国银行西安二环世纪星支行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公司业务部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 xml:space="preserve">胡涛 </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叶楚沙</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88360743 18629048822</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88360749 13772153612</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中国建设银行股份有限公司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建设银行西安市南大街支行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杨向晖</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87281468</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13379229383</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中国工商银行股份有限公司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陕西省分行营业部</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工商银行陕西分行营业部</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小企业金融业务部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牛国群</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张航</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87609569 18992851811</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87609761 13891883334</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6</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中国农业银行股份有限公司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陕西省分行营业部</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农业银行西安西大街支行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公司业务部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贾珊</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高雅</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87617245 13891957123</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87613444 13659192425</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7</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交通银行股份有限公司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交通银行西安西五路支行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个人贷款中心</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李卫公</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雷强</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87297632 13991290525</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87272444 18629362690</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招商银行股份有限公司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招商银行西安未央路支行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公司银行部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杨皓</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马秦香</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62811553 15002905553</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62811553 13609183259</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9</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中国民生银行股份有限公司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民生银行西安分行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城建金融部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李楠</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88266088-8450</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13572058213</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10</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中国光大银行股份有限公司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光大银行经济技术开发区支行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对公客户经理部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高艺瑄</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15619006186</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昆仑银行股份有限公司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昆仑银行西安分行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机构投行部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韩天清</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86978975</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15609108028</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12</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平安银行股份有限公司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平安银行西安分行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业务发展七部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祝捷</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王尧</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18629505188</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18591767577</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13</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北京银行股份有限公司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北京银行西安分行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营业部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范诗阳</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曹英</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13991945764</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18691892195</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14</w:t>
            </w:r>
          </w:p>
        </w:tc>
        <w:tc>
          <w:tcPr>
            <w:tcW w:w="20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兴业银行股份有限公司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7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兴业银行西安分行</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新城业务总部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徐常磊</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鲁旸</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15991623666</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15389081886</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90" w:hRule="atLeast"/>
        </w:trPr>
        <w:tc>
          <w:tcPr>
            <w:tcW w:w="554" w:type="dxa"/>
            <w:tcBorders>
              <w:top w:val="nil"/>
              <w:left w:val="nil"/>
              <w:bottom w:val="nil"/>
              <w:right w:val="nil"/>
            </w:tcBorders>
            <w:vAlign w:val="center"/>
          </w:tcPr>
          <w:p>
            <w:pPr>
              <w:spacing w:line="360" w:lineRule="atLeast"/>
              <w:rPr>
                <w:rFonts w:ascii="宋体" w:hAnsi="宋体" w:cs="宋体"/>
                <w:color w:val="auto"/>
                <w:sz w:val="24"/>
                <w:szCs w:val="24"/>
              </w:rPr>
            </w:pPr>
          </w:p>
        </w:tc>
        <w:tc>
          <w:tcPr>
            <w:tcW w:w="2076" w:type="dxa"/>
            <w:tcBorders>
              <w:top w:val="nil"/>
              <w:left w:val="nil"/>
              <w:bottom w:val="nil"/>
              <w:right w:val="nil"/>
            </w:tcBorders>
            <w:vAlign w:val="center"/>
          </w:tcPr>
          <w:p>
            <w:pPr>
              <w:spacing w:line="360" w:lineRule="atLeast"/>
              <w:rPr>
                <w:rFonts w:ascii="宋体" w:hAnsi="宋体" w:cs="宋体"/>
                <w:color w:val="auto"/>
                <w:sz w:val="24"/>
                <w:szCs w:val="24"/>
              </w:rPr>
            </w:pPr>
          </w:p>
        </w:tc>
        <w:tc>
          <w:tcPr>
            <w:tcW w:w="1724" w:type="dxa"/>
            <w:tcBorders>
              <w:top w:val="nil"/>
              <w:left w:val="nil"/>
              <w:bottom w:val="nil"/>
              <w:right w:val="nil"/>
            </w:tcBorders>
            <w:vAlign w:val="center"/>
          </w:tcPr>
          <w:p>
            <w:pPr>
              <w:spacing w:line="360" w:lineRule="atLeast"/>
              <w:rPr>
                <w:rFonts w:ascii="宋体" w:hAnsi="宋体" w:cs="宋体"/>
                <w:color w:val="auto"/>
                <w:sz w:val="24"/>
                <w:szCs w:val="24"/>
              </w:rPr>
            </w:pPr>
          </w:p>
        </w:tc>
        <w:tc>
          <w:tcPr>
            <w:tcW w:w="1184" w:type="dxa"/>
            <w:tcBorders>
              <w:top w:val="nil"/>
              <w:left w:val="nil"/>
              <w:bottom w:val="nil"/>
              <w:right w:val="nil"/>
            </w:tcBorders>
            <w:vAlign w:val="center"/>
          </w:tcPr>
          <w:p>
            <w:pPr>
              <w:spacing w:line="360" w:lineRule="atLeast"/>
              <w:rPr>
                <w:rFonts w:ascii="宋体" w:hAnsi="宋体" w:cs="宋体"/>
                <w:color w:val="auto"/>
                <w:sz w:val="24"/>
                <w:szCs w:val="24"/>
              </w:rPr>
            </w:pPr>
          </w:p>
        </w:tc>
        <w:tc>
          <w:tcPr>
            <w:tcW w:w="1133" w:type="dxa"/>
            <w:tcBorders>
              <w:top w:val="nil"/>
              <w:left w:val="nil"/>
              <w:bottom w:val="nil"/>
              <w:right w:val="nil"/>
            </w:tcBorders>
            <w:vAlign w:val="center"/>
          </w:tcPr>
          <w:p>
            <w:pPr>
              <w:spacing w:line="360" w:lineRule="atLeast"/>
              <w:rPr>
                <w:rFonts w:ascii="宋体" w:hAnsi="宋体" w:cs="宋体"/>
                <w:color w:val="auto"/>
                <w:sz w:val="24"/>
                <w:szCs w:val="24"/>
              </w:rPr>
            </w:pPr>
          </w:p>
        </w:tc>
        <w:tc>
          <w:tcPr>
            <w:tcW w:w="1629" w:type="dxa"/>
            <w:tcBorders>
              <w:top w:val="nil"/>
              <w:left w:val="nil"/>
              <w:bottom w:val="nil"/>
              <w:right w:val="nil"/>
            </w:tcBorders>
            <w:vAlign w:val="center"/>
          </w:tcPr>
          <w:p>
            <w:pPr>
              <w:spacing w:line="360" w:lineRule="atLeast"/>
              <w:rPr>
                <w:rFonts w:ascii="宋体" w:hAnsi="宋体" w:cs="宋体"/>
                <w:color w:val="auto"/>
                <w:sz w:val="24"/>
                <w:szCs w:val="24"/>
              </w:rPr>
            </w:pPr>
          </w:p>
        </w:tc>
        <w:tc>
          <w:tcPr>
            <w:tcW w:w="893" w:type="dxa"/>
            <w:tcBorders>
              <w:top w:val="nil"/>
              <w:left w:val="nil"/>
              <w:bottom w:val="nil"/>
              <w:right w:val="nil"/>
            </w:tcBorders>
            <w:vAlign w:val="center"/>
          </w:tcPr>
          <w:p>
            <w:pPr>
              <w:spacing w:line="360" w:lineRule="atLeast"/>
              <w:rPr>
                <w:rFonts w:ascii="宋体" w:hAnsi="宋体" w:cs="宋体"/>
                <w:color w:val="auto"/>
                <w:sz w:val="24"/>
                <w:szCs w:val="24"/>
              </w:rPr>
            </w:pPr>
          </w:p>
        </w:tc>
      </w:tr>
      <w:tr>
        <w:tblPrEx>
          <w:tblCellMar>
            <w:top w:w="0" w:type="dxa"/>
            <w:left w:w="108" w:type="dxa"/>
            <w:bottom w:w="0" w:type="dxa"/>
            <w:right w:w="108" w:type="dxa"/>
          </w:tblCellMar>
        </w:tblPrEx>
        <w:trPr>
          <w:trHeight w:val="763" w:hRule="atLeast"/>
        </w:trPr>
        <w:tc>
          <w:tcPr>
            <w:tcW w:w="9193" w:type="dxa"/>
            <w:gridSpan w:val="7"/>
            <w:tcBorders>
              <w:top w:val="nil"/>
              <w:left w:val="nil"/>
              <w:bottom w:val="nil"/>
              <w:right w:val="nil"/>
            </w:tcBorders>
            <w:vAlign w:val="center"/>
          </w:tcPr>
          <w:p>
            <w:pPr>
              <w:widowControl/>
              <w:spacing w:line="360" w:lineRule="atLeast"/>
              <w:jc w:val="left"/>
              <w:textAlignment w:val="center"/>
              <w:rPr>
                <w:rFonts w:ascii="宋体" w:hAnsi="宋体" w:cs="宋体"/>
                <w:color w:val="auto"/>
                <w:sz w:val="24"/>
                <w:szCs w:val="24"/>
              </w:rPr>
            </w:pPr>
            <w:r>
              <w:rPr>
                <w:rFonts w:hint="eastAsia" w:ascii="宋体" w:hAnsi="宋体" w:cs="宋体"/>
                <w:color w:val="auto"/>
                <w:kern w:val="0"/>
                <w:sz w:val="24"/>
                <w:szCs w:val="24"/>
                <w:lang w:bidi="ar"/>
              </w:rPr>
              <w:t>注：本项工作依据西安市财政局门户网站“政府采购”专栏中《西安市政府采购信用担保及融资工作实施方案（试行）》（市财发[2014]167号）组织开展，本表信息如有变动，请信息报送单位在发生变更之日起3个工作日内向西安市财政局备案，否则责任自负。</w:t>
            </w:r>
          </w:p>
        </w:tc>
      </w:tr>
    </w:tbl>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3"/>
        <w:jc w:val="both"/>
        <w:rPr>
          <w:rFonts w:ascii="宋体" w:hAnsi="宋体" w:eastAsia="宋体" w:cs="宋体"/>
          <w:b/>
          <w:color w:val="auto"/>
          <w:szCs w:val="28"/>
        </w:rPr>
      </w:pPr>
    </w:p>
    <w:p>
      <w:pPr>
        <w:rPr>
          <w:rFonts w:ascii="宋体" w:hAnsi="宋体" w:cs="宋体"/>
          <w:color w:val="auto"/>
        </w:rPr>
      </w:pPr>
    </w:p>
    <w:p>
      <w:pPr>
        <w:pStyle w:val="3"/>
        <w:rPr>
          <w:rFonts w:ascii="宋体" w:hAnsi="宋体" w:eastAsia="宋体" w:cs="宋体"/>
          <w:b/>
          <w:color w:val="auto"/>
          <w:szCs w:val="28"/>
        </w:rPr>
      </w:pPr>
      <w:bookmarkStart w:id="28" w:name="_Toc21220"/>
      <w:r>
        <w:rPr>
          <w:rFonts w:hint="eastAsia" w:ascii="宋体" w:hAnsi="宋体" w:eastAsia="宋体" w:cs="宋体"/>
          <w:b/>
          <w:color w:val="auto"/>
          <w:szCs w:val="28"/>
        </w:rPr>
        <w:t>第四章 评审办法</w:t>
      </w:r>
      <w:bookmarkEnd w:id="28"/>
    </w:p>
    <w:p>
      <w:pPr>
        <w:rPr>
          <w:rFonts w:ascii="宋体" w:hAnsi="宋体" w:cs="宋体"/>
          <w:color w:val="auto"/>
        </w:rPr>
      </w:pPr>
    </w:p>
    <w:p>
      <w:pPr>
        <w:spacing w:line="520" w:lineRule="exact"/>
        <w:rPr>
          <w:rFonts w:ascii="宋体" w:hAnsi="宋体" w:cs="宋体"/>
          <w:b/>
          <w:color w:val="auto"/>
          <w:sz w:val="24"/>
          <w:szCs w:val="24"/>
        </w:rPr>
      </w:pPr>
      <w:r>
        <w:rPr>
          <w:rFonts w:hint="eastAsia" w:ascii="宋体" w:hAnsi="宋体" w:cs="宋体"/>
          <w:b/>
          <w:color w:val="auto"/>
          <w:sz w:val="24"/>
          <w:szCs w:val="24"/>
        </w:rPr>
        <w:t>1、评审方法：</w:t>
      </w:r>
    </w:p>
    <w:p>
      <w:pPr>
        <w:spacing w:line="520" w:lineRule="exact"/>
        <w:ind w:firstLine="520" w:firstLineChars="217"/>
        <w:rPr>
          <w:rFonts w:ascii="宋体" w:hAnsi="宋体" w:cs="宋体"/>
          <w:color w:val="auto"/>
          <w:spacing w:val="4"/>
          <w:sz w:val="24"/>
          <w:szCs w:val="24"/>
        </w:rPr>
      </w:pPr>
      <w:r>
        <w:rPr>
          <w:rFonts w:hint="eastAsia" w:ascii="宋体" w:hAnsi="宋体" w:cs="宋体"/>
          <w:color w:val="auto"/>
          <w:sz w:val="24"/>
          <w:szCs w:val="24"/>
        </w:rPr>
        <w:t>按照《中华人民共和国政府采购法》及实施条例和关于印发《政府采购竞争性谈判采购方式管理暂行办法》的通知（财库【2014】214号）</w:t>
      </w:r>
      <w:r>
        <w:rPr>
          <w:rFonts w:hint="eastAsia" w:ascii="宋体" w:hAnsi="宋体" w:cs="宋体"/>
          <w:color w:val="auto"/>
          <w:spacing w:val="4"/>
          <w:sz w:val="24"/>
          <w:szCs w:val="24"/>
        </w:rPr>
        <w:t>的规定，本次评标采用最低评标价法，即在最大限度地满足竞争性谈判文件实质性要求前提下，按照供应商的最终报价由低到高确定成交候选人并依次排序。</w:t>
      </w:r>
    </w:p>
    <w:p>
      <w:pPr>
        <w:spacing w:line="520" w:lineRule="exact"/>
        <w:rPr>
          <w:rFonts w:ascii="宋体" w:hAnsi="宋体" w:cs="宋体"/>
          <w:b/>
          <w:color w:val="auto"/>
          <w:sz w:val="24"/>
          <w:szCs w:val="24"/>
        </w:rPr>
      </w:pPr>
      <w:r>
        <w:rPr>
          <w:rFonts w:hint="eastAsia" w:ascii="宋体" w:hAnsi="宋体" w:cs="宋体"/>
          <w:b/>
          <w:color w:val="auto"/>
          <w:sz w:val="24"/>
          <w:szCs w:val="24"/>
        </w:rPr>
        <w:t>2、评审标准</w:t>
      </w:r>
    </w:p>
    <w:p>
      <w:pPr>
        <w:tabs>
          <w:tab w:val="left" w:pos="0"/>
        </w:tabs>
        <w:adjustRightInd w:val="0"/>
        <w:snapToGrid w:val="0"/>
        <w:spacing w:line="520" w:lineRule="exact"/>
        <w:ind w:firstLine="472" w:firstLineChars="196"/>
        <w:rPr>
          <w:rFonts w:ascii="宋体" w:hAnsi="宋体" w:cs="宋体"/>
          <w:b/>
          <w:color w:val="auto"/>
          <w:sz w:val="24"/>
          <w:szCs w:val="24"/>
        </w:rPr>
      </w:pPr>
      <w:r>
        <w:rPr>
          <w:rFonts w:hint="eastAsia" w:ascii="宋体" w:hAnsi="宋体" w:cs="宋体"/>
          <w:b/>
          <w:color w:val="auto"/>
          <w:sz w:val="24"/>
          <w:szCs w:val="24"/>
        </w:rPr>
        <w:t>2.1、初步评审标准</w:t>
      </w:r>
    </w:p>
    <w:p>
      <w:pPr>
        <w:tabs>
          <w:tab w:val="left" w:pos="0"/>
        </w:tabs>
        <w:adjustRightInd w:val="0"/>
        <w:snapToGrid w:val="0"/>
        <w:spacing w:line="520" w:lineRule="exact"/>
        <w:ind w:firstLine="470" w:firstLineChars="196"/>
        <w:rPr>
          <w:rFonts w:ascii="宋体" w:hAnsi="宋体" w:cs="宋体"/>
          <w:color w:val="auto"/>
          <w:sz w:val="24"/>
          <w:szCs w:val="24"/>
        </w:rPr>
      </w:pPr>
      <w:r>
        <w:rPr>
          <w:rFonts w:hint="eastAsia" w:ascii="宋体" w:hAnsi="宋体" w:cs="宋体"/>
          <w:color w:val="auto"/>
          <w:sz w:val="24"/>
          <w:szCs w:val="24"/>
        </w:rPr>
        <w:t>2.1.1、资格性审查标准：见附件1初步审查要素表</w:t>
      </w:r>
    </w:p>
    <w:p>
      <w:pPr>
        <w:tabs>
          <w:tab w:val="left" w:pos="0"/>
        </w:tabs>
        <w:adjustRightInd w:val="0"/>
        <w:snapToGrid w:val="0"/>
        <w:spacing w:line="520" w:lineRule="exact"/>
        <w:ind w:firstLine="470" w:firstLineChars="196"/>
        <w:rPr>
          <w:rFonts w:ascii="宋体" w:hAnsi="宋体" w:cs="宋体"/>
          <w:color w:val="auto"/>
          <w:sz w:val="24"/>
          <w:szCs w:val="24"/>
        </w:rPr>
      </w:pPr>
      <w:r>
        <w:rPr>
          <w:rFonts w:hint="eastAsia" w:ascii="宋体" w:hAnsi="宋体" w:cs="宋体"/>
          <w:color w:val="auto"/>
          <w:sz w:val="24"/>
          <w:szCs w:val="24"/>
        </w:rPr>
        <w:t>2.1.2、符合性审查标准：见附件1初步审查要素表</w:t>
      </w:r>
    </w:p>
    <w:p>
      <w:pPr>
        <w:spacing w:line="520" w:lineRule="exact"/>
        <w:rPr>
          <w:rFonts w:ascii="宋体" w:hAnsi="宋体" w:cs="宋体"/>
          <w:b/>
          <w:color w:val="auto"/>
          <w:spacing w:val="4"/>
          <w:sz w:val="24"/>
          <w:szCs w:val="24"/>
        </w:rPr>
      </w:pPr>
      <w:r>
        <w:rPr>
          <w:rFonts w:hint="eastAsia" w:ascii="宋体" w:hAnsi="宋体" w:cs="宋体"/>
          <w:b/>
          <w:color w:val="auto"/>
          <w:spacing w:val="4"/>
          <w:sz w:val="24"/>
          <w:szCs w:val="24"/>
        </w:rPr>
        <w:t>3、评审程序：</w:t>
      </w:r>
    </w:p>
    <w:p>
      <w:pPr>
        <w:pStyle w:val="28"/>
        <w:spacing w:line="520" w:lineRule="exact"/>
        <w:ind w:firstLine="480" w:firstLineChars="200"/>
        <w:rPr>
          <w:rFonts w:hAnsi="宋体" w:cs="宋体"/>
          <w:color w:val="auto"/>
          <w:sz w:val="24"/>
          <w:szCs w:val="24"/>
        </w:rPr>
      </w:pPr>
      <w:r>
        <w:rPr>
          <w:rFonts w:hint="eastAsia" w:hAnsi="宋体" w:cs="宋体"/>
          <w:color w:val="auto"/>
          <w:sz w:val="24"/>
          <w:szCs w:val="24"/>
        </w:rPr>
        <w:t>按照竞争性谈判响应文件初审、澄清有关问题、分别谈判、二次报价推荐成交候选人名单。在上一步评审中被认定为无效谈判者，不进入下一步的评审。</w:t>
      </w:r>
    </w:p>
    <w:p>
      <w:pPr>
        <w:spacing w:line="520" w:lineRule="exact"/>
        <w:ind w:firstLine="496" w:firstLineChars="200"/>
        <w:rPr>
          <w:rFonts w:ascii="宋体" w:hAnsi="宋体" w:cs="宋体"/>
          <w:color w:val="auto"/>
          <w:spacing w:val="4"/>
          <w:sz w:val="24"/>
          <w:szCs w:val="24"/>
        </w:rPr>
      </w:pPr>
      <w:r>
        <w:rPr>
          <w:rFonts w:hint="eastAsia" w:ascii="宋体" w:hAnsi="宋体" w:cs="宋体"/>
          <w:color w:val="auto"/>
          <w:spacing w:val="4"/>
          <w:sz w:val="24"/>
          <w:szCs w:val="24"/>
        </w:rPr>
        <w:t>3.1、对谈判响应文件的初审：</w:t>
      </w:r>
    </w:p>
    <w:p>
      <w:pPr>
        <w:tabs>
          <w:tab w:val="left" w:pos="0"/>
        </w:tabs>
        <w:adjustRightInd w:val="0"/>
        <w:snapToGrid w:val="0"/>
        <w:spacing w:line="520" w:lineRule="exact"/>
        <w:ind w:firstLine="470" w:firstLineChars="196"/>
        <w:rPr>
          <w:rFonts w:ascii="宋体" w:hAnsi="宋体" w:cs="宋体"/>
          <w:color w:val="auto"/>
          <w:sz w:val="24"/>
          <w:szCs w:val="24"/>
        </w:rPr>
      </w:pPr>
      <w:r>
        <w:rPr>
          <w:rFonts w:hint="eastAsia" w:ascii="宋体" w:hAnsi="宋体" w:cs="宋体"/>
          <w:color w:val="auto"/>
          <w:sz w:val="24"/>
          <w:szCs w:val="24"/>
        </w:rPr>
        <w:t>3.1.1、资格性审查：采购人或代理机构将依据本章第 2.1.1 项规定的评审标准对谈判响应文件进行资格性审查。有一项不符合评审标准的，将被视为未实质性响应谈判文件，其谈判响应文件将按无效文件处理。</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3.1.2、符合性审查：谈判小组根据本章第 2.1.2 项规定的评审标准对谈判响应文件进行符合性评审。有一项不符合评审标准的，将被视为未实质性响应谈判文件，其谈判响应文件将按无效文件处理。</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在资格性审查阶段，不符合谈判文件要求的，不得进入符合性审查，在符合性审查时未通过的，不得进入后续评审环节。</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3.2、谈判响应文件的澄清</w:t>
      </w:r>
    </w:p>
    <w:p>
      <w:pPr>
        <w:autoSpaceDE w:val="0"/>
        <w:autoSpaceDN w:val="0"/>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w:t>
      </w:r>
      <w:r>
        <w:rPr>
          <w:rFonts w:hint="eastAsia" w:ascii="宋体" w:hAnsi="宋体" w:cs="宋体"/>
          <w:color w:val="auto"/>
          <w:sz w:val="24"/>
          <w:szCs w:val="24"/>
          <w:lang w:val="zh-CN"/>
        </w:rPr>
        <w:t>1、在评审期间,根据谈判小组的需要，要求供应商对其响应文件进行澄清，有关澄清的要求和答复应以书面形式提交，但不得寻求、提供或允许对谈判价格等实质性内容做任何更改。</w:t>
      </w:r>
    </w:p>
    <w:p>
      <w:pPr>
        <w:autoSpaceDE w:val="0"/>
        <w:autoSpaceDN w:val="0"/>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w:t>
      </w:r>
      <w:r>
        <w:rPr>
          <w:rFonts w:hint="eastAsia" w:ascii="宋体" w:hAnsi="宋体" w:cs="宋体"/>
          <w:color w:val="auto"/>
          <w:sz w:val="24"/>
          <w:szCs w:val="24"/>
          <w:lang w:val="zh-CN"/>
        </w:rPr>
        <w:t>2、供应商应采用书面形式进行澄清或说明，但不得超出响应文件的范围或改变响应文件的实质性内容。</w:t>
      </w:r>
    </w:p>
    <w:p>
      <w:pPr>
        <w:autoSpaceDE w:val="0"/>
        <w:autoSpaceDN w:val="0"/>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3.2.3、</w:t>
      </w:r>
      <w:r>
        <w:rPr>
          <w:rFonts w:hint="eastAsia" w:ascii="宋体" w:hAnsi="宋体" w:cs="宋体"/>
          <w:color w:val="auto"/>
          <w:sz w:val="24"/>
          <w:szCs w:val="24"/>
          <w:lang w:val="zh-CN"/>
        </w:rPr>
        <w:t xml:space="preserve"> 谈判小组所有成员集中与单一供应商分别进行谈判，并给予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加盖公章。</w:t>
      </w:r>
    </w:p>
    <w:p>
      <w:pPr>
        <w:spacing w:line="520" w:lineRule="exact"/>
        <w:ind w:firstLine="482" w:firstLineChars="200"/>
        <w:rPr>
          <w:rFonts w:ascii="宋体" w:hAnsi="宋体" w:cs="宋体"/>
          <w:color w:val="auto"/>
          <w:sz w:val="24"/>
          <w:szCs w:val="24"/>
        </w:rPr>
      </w:pPr>
      <w:r>
        <w:rPr>
          <w:rFonts w:hint="eastAsia" w:ascii="宋体" w:hAnsi="宋体" w:cs="宋体"/>
          <w:b/>
          <w:bCs/>
          <w:color w:val="auto"/>
          <w:sz w:val="24"/>
          <w:szCs w:val="24"/>
        </w:rPr>
        <w:t>4、谈判：</w:t>
      </w:r>
      <w:r>
        <w:rPr>
          <w:rFonts w:hint="eastAsia" w:ascii="宋体" w:hAnsi="宋体" w:cs="宋体"/>
          <w:color w:val="auto"/>
          <w:sz w:val="24"/>
          <w:szCs w:val="24"/>
        </w:rPr>
        <w:t>谈判小组所有成员集中与单一供应商分别进行谈判，并要求供应商在规定的时间内提交最后报价。在谈判过程中，谈判小组可以根据谈判文件和谈判情况实质性变动采购需求中的技术、服务要求以及合同草案条款，但不得变动谈判文件中的其它内容。实质性变动得内容，需经采购人代表确认。</w:t>
      </w:r>
    </w:p>
    <w:p>
      <w:pPr>
        <w:spacing w:line="520" w:lineRule="exact"/>
        <w:ind w:firstLine="602" w:firstLineChars="250"/>
        <w:rPr>
          <w:rFonts w:ascii="宋体" w:hAnsi="宋体" w:cs="宋体"/>
          <w:color w:val="auto"/>
          <w:sz w:val="24"/>
          <w:szCs w:val="24"/>
        </w:rPr>
      </w:pPr>
      <w:r>
        <w:rPr>
          <w:rFonts w:hint="eastAsia" w:ascii="宋体" w:hAnsi="宋体" w:cs="宋体"/>
          <w:b/>
          <w:bCs/>
          <w:color w:val="auto"/>
          <w:sz w:val="24"/>
          <w:szCs w:val="24"/>
        </w:rPr>
        <w:t>5、最低评标价法：</w:t>
      </w:r>
      <w:r>
        <w:rPr>
          <w:rFonts w:hint="eastAsia" w:ascii="宋体" w:hAnsi="宋体" w:cs="宋体"/>
          <w:color w:val="auto"/>
          <w:sz w:val="24"/>
          <w:szCs w:val="24"/>
        </w:rPr>
        <w:t>对于经初审合格的所有供应商，由谈判小组各成员依据最终报价，从低到高依次排序，推荐成交候选人。</w:t>
      </w:r>
    </w:p>
    <w:p>
      <w:pPr>
        <w:autoSpaceDE w:val="0"/>
        <w:autoSpaceDN w:val="0"/>
        <w:adjustRightInd w:val="0"/>
        <w:snapToGrid w:val="0"/>
        <w:spacing w:line="520" w:lineRule="exact"/>
        <w:ind w:firstLine="630"/>
        <w:rPr>
          <w:rFonts w:ascii="宋体" w:hAnsi="宋体" w:cs="宋体"/>
          <w:b/>
          <w:bCs/>
          <w:color w:val="auto"/>
          <w:sz w:val="24"/>
          <w:szCs w:val="24"/>
          <w:lang w:val="zh-CN"/>
        </w:rPr>
      </w:pPr>
      <w:r>
        <w:rPr>
          <w:rFonts w:hint="eastAsia" w:ascii="宋体" w:hAnsi="宋体" w:cs="宋体"/>
          <w:b/>
          <w:bCs/>
          <w:color w:val="auto"/>
          <w:sz w:val="24"/>
          <w:szCs w:val="24"/>
        </w:rPr>
        <w:t>6、</w:t>
      </w:r>
      <w:r>
        <w:rPr>
          <w:rFonts w:hint="eastAsia" w:ascii="宋体" w:hAnsi="宋体" w:cs="宋体"/>
          <w:b/>
          <w:bCs/>
          <w:color w:val="auto"/>
          <w:sz w:val="24"/>
          <w:szCs w:val="24"/>
          <w:lang w:val="zh-CN"/>
        </w:rPr>
        <w:t>评审内容、原则及标准（满分100分）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6</w:t>
      </w:r>
      <w:r>
        <w:rPr>
          <w:rFonts w:hint="eastAsia" w:ascii="宋体" w:hAnsi="宋体" w:cs="宋体"/>
          <w:color w:val="auto"/>
          <w:sz w:val="24"/>
          <w:szCs w:val="24"/>
          <w:lang w:val="zh-CN"/>
        </w:rPr>
        <w:t>.1、谈判小组将遵循公开、公平、公正和择优的原则，对所有供应商的响应文件评审，都采用相同的程序和标准。</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6</w:t>
      </w:r>
      <w:r>
        <w:rPr>
          <w:rFonts w:hint="eastAsia" w:ascii="宋体" w:hAnsi="宋体" w:cs="宋体"/>
          <w:color w:val="auto"/>
          <w:sz w:val="24"/>
          <w:szCs w:val="24"/>
          <w:lang w:val="zh-CN"/>
        </w:rPr>
        <w:t>.2、评审过程的保密：在响应文件的评审、比较、成交候选单位推荐以及授予合同的过程中，供应商向采购人和谈判小组施加影响的任何行为，都将会导致其报价被拒绝。</w:t>
      </w:r>
    </w:p>
    <w:p>
      <w:pPr>
        <w:autoSpaceDE w:val="0"/>
        <w:autoSpaceDN w:val="0"/>
        <w:adjustRightInd w:val="0"/>
        <w:snapToGrid w:val="0"/>
        <w:spacing w:line="520" w:lineRule="exact"/>
        <w:ind w:firstLine="630"/>
        <w:rPr>
          <w:rFonts w:ascii="宋体" w:hAnsi="宋体" w:cs="宋体"/>
          <w:color w:val="auto"/>
          <w:sz w:val="24"/>
          <w:szCs w:val="24"/>
          <w:lang w:val="zh-CN"/>
        </w:rPr>
      </w:pPr>
      <w:r>
        <w:rPr>
          <w:rFonts w:hint="eastAsia" w:ascii="宋体" w:hAnsi="宋体" w:cs="宋体"/>
          <w:color w:val="auto"/>
          <w:sz w:val="24"/>
          <w:szCs w:val="24"/>
        </w:rPr>
        <w:t>6</w:t>
      </w:r>
      <w:r>
        <w:rPr>
          <w:rFonts w:hint="eastAsia" w:ascii="宋体" w:hAnsi="宋体" w:cs="宋体"/>
          <w:color w:val="auto"/>
          <w:sz w:val="24"/>
          <w:szCs w:val="24"/>
          <w:lang w:val="zh-CN"/>
        </w:rPr>
        <w:t>.3、评审原则和办法：</w:t>
      </w:r>
    </w:p>
    <w:p>
      <w:pPr>
        <w:autoSpaceDE w:val="0"/>
        <w:autoSpaceDN w:val="0"/>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6.3.1、最低评标价法</w:t>
      </w:r>
      <w:r>
        <w:rPr>
          <w:rFonts w:hint="eastAsia" w:ascii="宋体" w:hAnsi="宋体" w:cs="宋体"/>
          <w:color w:val="auto"/>
          <w:sz w:val="24"/>
          <w:szCs w:val="24"/>
          <w:lang w:val="zh-CN"/>
        </w:rPr>
        <w:t>：即在全部满足竞争性谈判文件实质性要求前提下，依据统一的价格要素评定最低报价，以提出最低报价的谈判供应商作为成交候选供应商并依次排序。</w:t>
      </w:r>
    </w:p>
    <w:p>
      <w:pPr>
        <w:autoSpaceDE w:val="0"/>
        <w:autoSpaceDN w:val="0"/>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6.3.2、</w:t>
      </w:r>
      <w:r>
        <w:rPr>
          <w:rFonts w:hint="eastAsia" w:ascii="宋体" w:hAnsi="宋体" w:cs="宋体"/>
          <w:color w:val="auto"/>
          <w:sz w:val="24"/>
          <w:szCs w:val="24"/>
          <w:lang w:val="zh-CN"/>
        </w:rPr>
        <w:t>谈判小组按</w:t>
      </w:r>
      <w:r>
        <w:rPr>
          <w:rFonts w:hint="eastAsia" w:ascii="宋体" w:hAnsi="宋体" w:cs="宋体"/>
          <w:color w:val="auto"/>
          <w:sz w:val="24"/>
          <w:szCs w:val="24"/>
        </w:rPr>
        <w:t>最终报价</w:t>
      </w:r>
      <w:r>
        <w:rPr>
          <w:rFonts w:hint="eastAsia" w:ascii="宋体" w:hAnsi="宋体" w:cs="宋体"/>
          <w:color w:val="auto"/>
          <w:sz w:val="24"/>
          <w:szCs w:val="24"/>
          <w:lang w:val="zh-CN"/>
        </w:rPr>
        <w:t>得分由</w:t>
      </w:r>
      <w:r>
        <w:rPr>
          <w:rFonts w:hint="eastAsia" w:ascii="宋体" w:hAnsi="宋体" w:cs="宋体"/>
          <w:color w:val="auto"/>
          <w:sz w:val="24"/>
          <w:szCs w:val="24"/>
        </w:rPr>
        <w:t>低</w:t>
      </w:r>
      <w:r>
        <w:rPr>
          <w:rFonts w:hint="eastAsia" w:ascii="宋体" w:hAnsi="宋体" w:cs="宋体"/>
          <w:color w:val="auto"/>
          <w:sz w:val="24"/>
          <w:szCs w:val="24"/>
          <w:lang w:val="zh-CN"/>
        </w:rPr>
        <w:t>到</w:t>
      </w:r>
      <w:r>
        <w:rPr>
          <w:rFonts w:hint="eastAsia" w:ascii="宋体" w:hAnsi="宋体" w:cs="宋体"/>
          <w:color w:val="auto"/>
          <w:sz w:val="24"/>
          <w:szCs w:val="24"/>
        </w:rPr>
        <w:t>高</w:t>
      </w:r>
      <w:r>
        <w:rPr>
          <w:rFonts w:hint="eastAsia" w:ascii="宋体" w:hAnsi="宋体" w:cs="宋体"/>
          <w:color w:val="auto"/>
          <w:sz w:val="24"/>
          <w:szCs w:val="24"/>
          <w:lang w:val="zh-CN"/>
        </w:rPr>
        <w:t>顺序排列，推荐成交候选单位。得分相同的，则由谈判小组按少数服从多数的原则，综合供应商技术标优劣、单位企业实力、售后服务等情况推荐排序。</w:t>
      </w:r>
    </w:p>
    <w:p>
      <w:pPr>
        <w:autoSpaceDE w:val="0"/>
        <w:autoSpaceDN w:val="0"/>
        <w:adjustRightInd w:val="0"/>
        <w:snapToGrid w:val="0"/>
        <w:spacing w:line="520" w:lineRule="exact"/>
        <w:ind w:firstLine="641" w:firstLineChars="266"/>
        <w:rPr>
          <w:rFonts w:ascii="宋体" w:hAnsi="宋体" w:cs="宋体"/>
          <w:b/>
          <w:bCs/>
          <w:color w:val="auto"/>
          <w:sz w:val="24"/>
          <w:szCs w:val="24"/>
          <w:lang w:val="zh-CN"/>
        </w:rPr>
      </w:pPr>
      <w:r>
        <w:rPr>
          <w:rFonts w:hint="eastAsia" w:ascii="宋体" w:hAnsi="宋体" w:cs="宋体"/>
          <w:b/>
          <w:bCs/>
          <w:color w:val="auto"/>
          <w:sz w:val="24"/>
          <w:szCs w:val="24"/>
        </w:rPr>
        <w:t>7、</w:t>
      </w:r>
      <w:r>
        <w:rPr>
          <w:rFonts w:hint="eastAsia" w:ascii="宋体" w:hAnsi="宋体" w:cs="宋体"/>
          <w:b/>
          <w:bCs/>
          <w:color w:val="auto"/>
          <w:sz w:val="24"/>
          <w:szCs w:val="24"/>
          <w:lang w:val="zh-CN"/>
        </w:rPr>
        <w:t>需要落实的政府采购政策</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7.1、关于印发《政府采购促进中小企业发展管理办法》的通知--财库〔2020〕46号</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根据《政府采购促进中小企业发展管理办法》（财库〔2020〕46 号）的有关规定，在货物采购项目中，货物由小微企业制造，即货物由小微企业生产且使用该小微企业商号或者注册商标；在服务采购项目中，服务由小微企业承建，即服务施工单位为小微企业；在服务采购项目中，服务由小微企业承接，即提供服务的人员为小微企业依照《中华人民共和国民法典》订立劳动合同的从业人员，则参与政府采购活动时，享受中小企业扶持政策。</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在货物采购项目中，供应商提供的货物既有中小企业制造货物，也有大型企业制造货物的，不享受本办法规定的中小企业扶持政策。</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以联合体形式参加政府采购活动，联合体各方均为中小企业的，联合体视同中小企业。其中，联合体各方均为小微企业的，联合体视同小微企业。</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参加政府采购活动的中小企业应提供《中小企业声明函》原件。否则不得享受相关中小企业扶持政策。</w:t>
      </w:r>
    </w:p>
    <w:p>
      <w:pPr>
        <w:spacing w:line="520" w:lineRule="exact"/>
        <w:ind w:firstLine="602" w:firstLineChars="250"/>
        <w:rPr>
          <w:rFonts w:ascii="宋体" w:hAnsi="宋体" w:cs="宋体"/>
          <w:color w:val="auto"/>
          <w:sz w:val="24"/>
          <w:szCs w:val="24"/>
        </w:rPr>
      </w:pPr>
      <w:r>
        <w:rPr>
          <w:rFonts w:hint="eastAsia" w:ascii="宋体" w:hAnsi="宋体" w:cs="宋体"/>
          <w:b/>
          <w:bCs/>
          <w:color w:val="auto"/>
          <w:sz w:val="24"/>
          <w:szCs w:val="24"/>
        </w:rPr>
        <w:t xml:space="preserve">7.2、财政部司法部关于政府采购支持监狱企业发展有关问题的通知--财库〔2014〕68号 </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7.3、《关于促进残疾人就业政府采购政策的通知》（财库〔2017〕141 号）</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根据财政部、民政部、中国残疾人联合会下发的《关于促进残疾人就业政府采购政策的通知》（财库〔2017〕141 号）的规定，残疾人福利性单位提供本单位制造的货物、承担的服务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参加政府采购活动的残疾人单位应提供《残疾人福利性单位声明函》原件。未提供上述声明函原件，不能享受谈判文件规定的价格扣除，但不影响响应文件的有效性。</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7.4、 《国务院办公厅关于建立政府强制采购节能产品制度的通知》--国办发〔2007〕51号</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各级政府机构使用财政性资金进行政府采购活动时，在技术、服务等指标满足采购需求的前提下，要优先采购节能产品，对部分节能效果、性能等达到要求的产品，实行强制采购。</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 xml:space="preserve">7.5、《节能产品政府采购实施意见》--（财库[2004]185号） </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根据《节能产品政府采购实施意见》--（财库[2004]185号）规定，采购人采购的产品在品目清单中并具有认证证书的，在技术、服务等指标同等条件下，应当优先采购节能清单所列的节能产品。</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7.6、《环境标志产品政府采购实施的意见》--财库[2006]90号</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根据《环境标志产品政府采购实施的意见》--财库[2006]90号规定，采购人采购的产品在品目清单中并具有认证证书的，在性能、技术、服务等指标同等条件下，应当优先采购清单中的产品。</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7.7、《关于调整优化节能产品、环境标志产品政府采购执行机制的通知》（财库〔2019〕9 号）</w:t>
      </w:r>
    </w:p>
    <w:p>
      <w:pPr>
        <w:spacing w:line="520" w:lineRule="exact"/>
        <w:ind w:firstLine="600" w:firstLineChars="250"/>
        <w:rPr>
          <w:rFonts w:ascii="宋体" w:hAnsi="宋体" w:cs="宋体"/>
          <w:b/>
          <w:bCs/>
          <w:color w:val="auto"/>
          <w:sz w:val="24"/>
          <w:szCs w:val="24"/>
        </w:rPr>
      </w:pPr>
      <w:r>
        <w:rPr>
          <w:rFonts w:hint="eastAsia" w:ascii="宋体" w:hAnsi="宋体" w:cs="宋体"/>
          <w:color w:val="auto"/>
          <w:sz w:val="24"/>
          <w:szCs w:val="24"/>
        </w:rPr>
        <w:t>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7.8、《关于印发环境标志产品政府采购品目清单的通知》（财库〔2019〕18号）</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7.9、《关于印发节能产品政府采购品目清单的通知》（财库〔2019〕19号）</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7.10、《关于运用政府采购政策支持乡村产业振兴的通知》财库〔2021〕19号</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7.11、《陕西省中小企业政府采购信用融资办法》（陕财办采〔2018〕23号）</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7.12、《陕西省财政厅关于加快推进我省中小企业政府采购信用融资工作的通知》（陕财办采〔2020〕15号）</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7.13、《财政部关于在政府采购活动中查询及使用信用记录有关问题的通知》（财库〔2016〕125 号）</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8、政策性扣减</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8.1、小微企业</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依照&lt;关于印发《政府采购促进中小企业发展管理办法》（财库〔2020〕46号）的规定，中小企业参加政府采购活动，应当出具本办法规定的《中小企业声明函》，否则，按照有关规定予以处理。任何单位和个人不得要求供应商提供《中小企业声明函》之外的中小企业身份证明文件。供应商提供的《中小企业声明函》资料必须真实。</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专门面向中小企业采购项目不享受优惠政策；</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非专门面向中小企业采购项目(价格扣除)：对小型和微型企业的价格给予6%～10%的扣除，用扣除后的价格参与评审。本项目的扣除比例为：小型企业扣除6%，微型企业扣除6%。</w:t>
      </w:r>
    </w:p>
    <w:p>
      <w:pPr>
        <w:spacing w:line="520" w:lineRule="exact"/>
        <w:ind w:firstLine="602" w:firstLineChars="250"/>
        <w:rPr>
          <w:rFonts w:ascii="宋体" w:hAnsi="宋体" w:cs="宋体"/>
          <w:color w:val="auto"/>
          <w:sz w:val="24"/>
          <w:szCs w:val="24"/>
        </w:rPr>
      </w:pPr>
      <w:r>
        <w:rPr>
          <w:rFonts w:hint="eastAsia" w:ascii="宋体" w:hAnsi="宋体" w:cs="宋体"/>
          <w:b/>
          <w:bCs/>
          <w:color w:val="auto"/>
          <w:sz w:val="24"/>
          <w:szCs w:val="24"/>
        </w:rPr>
        <w:t>8.2、支持监狱企业</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非专门面向监狱采购项目(价格扣除)：监狱企业可视同小微企业在价格评审时给予6%～10%的扣除，用扣除后的价格参与评审。本项目的扣除比例为：扣除6%。</w:t>
      </w:r>
    </w:p>
    <w:p>
      <w:pPr>
        <w:spacing w:line="520" w:lineRule="exact"/>
        <w:ind w:firstLine="602" w:firstLineChars="250"/>
        <w:rPr>
          <w:rFonts w:ascii="宋体" w:hAnsi="宋体" w:cs="宋体"/>
          <w:b/>
          <w:bCs/>
          <w:color w:val="auto"/>
          <w:sz w:val="24"/>
          <w:szCs w:val="24"/>
        </w:rPr>
      </w:pPr>
      <w:r>
        <w:rPr>
          <w:rFonts w:hint="eastAsia" w:ascii="宋体" w:hAnsi="宋体" w:cs="宋体"/>
          <w:b/>
          <w:bCs/>
          <w:color w:val="auto"/>
          <w:sz w:val="24"/>
          <w:szCs w:val="24"/>
        </w:rPr>
        <w:t>8.3、其他法律法规强制性规定或扶持政策</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残疾人福利性单位可视同小微企业在价格评审时给予6%～10%的扣除，用扣除后的价格参与评审。</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本项目的扣除比例为：扣除6%；但应满足下列条件：</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1、残疾人福利性单位应符合《财政部、民政部、中国残疾人联合会关于促进残疾人就业政府采购政策的通知》（财库[2017]141号）文件规定，并提供《残疾人福利性单位声明函》，并对声明的真实性负责。</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2、残疾人福利性单位属于小型、微型企业的，不重复享受政策。</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8.4、采购人拟采购产品属于优先采购节能、环境标志产品范围的，应当优先采购节能、环境标志产品；拟采购产品符合政府采购强制采购政策的，实行强制采购。</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（1）采购人依据节能产品、环境标志产品品目清单和节能、环境标志产品认证证书实施政府优先采购和强制采购。</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520" w:lineRule="exact"/>
        <w:ind w:firstLine="600" w:firstLineChars="250"/>
        <w:rPr>
          <w:rFonts w:ascii="宋体" w:hAnsi="宋体" w:cs="宋体"/>
          <w:color w:val="auto"/>
          <w:sz w:val="24"/>
          <w:szCs w:val="24"/>
        </w:rPr>
      </w:pPr>
      <w:r>
        <w:rPr>
          <w:rFonts w:hint="eastAsia" w:ascii="宋体" w:hAnsi="宋体" w:cs="宋体"/>
          <w:color w:val="auto"/>
          <w:sz w:val="24"/>
          <w:szCs w:val="24"/>
        </w:rPr>
        <w:t>8.5、供应商享受支持中小型企业发展政策优惠的，可以同时享受节能、环境标志产品优先采购政策。</w:t>
      </w:r>
    </w:p>
    <w:p>
      <w:pPr>
        <w:pStyle w:val="17"/>
        <w:spacing w:line="520" w:lineRule="exact"/>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 w:val="24"/>
          <w:szCs w:val="24"/>
        </w:rPr>
      </w:pPr>
    </w:p>
    <w:p>
      <w:pPr>
        <w:pStyle w:val="17"/>
        <w:rPr>
          <w:rFonts w:ascii="宋体" w:hAnsi="宋体" w:cs="宋体"/>
          <w:color w:val="auto"/>
          <w:sz w:val="24"/>
          <w:szCs w:val="24"/>
        </w:rPr>
      </w:pPr>
      <w:r>
        <w:rPr>
          <w:rFonts w:hint="eastAsia" w:ascii="宋体" w:hAnsi="宋体" w:cs="宋体"/>
          <w:b/>
          <w:bCs/>
          <w:color w:val="auto"/>
          <w:sz w:val="24"/>
          <w:szCs w:val="24"/>
        </w:rPr>
        <w:t>附件1：</w:t>
      </w:r>
    </w:p>
    <w:p>
      <w:pPr>
        <w:pStyle w:val="17"/>
        <w:jc w:val="center"/>
        <w:rPr>
          <w:rFonts w:ascii="宋体" w:hAnsi="宋体" w:cs="宋体"/>
          <w:b/>
          <w:bCs/>
          <w:color w:val="auto"/>
          <w:sz w:val="24"/>
          <w:szCs w:val="24"/>
        </w:rPr>
      </w:pPr>
      <w:r>
        <w:rPr>
          <w:rFonts w:hint="eastAsia" w:ascii="宋体" w:hAnsi="宋体" w:cs="宋体"/>
          <w:b/>
          <w:bCs/>
          <w:color w:val="auto"/>
          <w:sz w:val="24"/>
          <w:szCs w:val="24"/>
        </w:rPr>
        <w:t>初步审查要素表</w:t>
      </w:r>
    </w:p>
    <w:tbl>
      <w:tblPr>
        <w:tblStyle w:val="36"/>
        <w:tblW w:w="9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597"/>
        <w:gridCol w:w="506"/>
        <w:gridCol w:w="1500"/>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1044" w:type="dxa"/>
            <w:gridSpan w:val="2"/>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条款号</w:t>
            </w:r>
          </w:p>
        </w:tc>
        <w:tc>
          <w:tcPr>
            <w:tcW w:w="2006" w:type="dxa"/>
            <w:gridSpan w:val="2"/>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评审因素</w:t>
            </w:r>
          </w:p>
        </w:tc>
        <w:tc>
          <w:tcPr>
            <w:tcW w:w="6673"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47" w:type="dxa"/>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2.1.1</w:t>
            </w:r>
          </w:p>
        </w:tc>
        <w:tc>
          <w:tcPr>
            <w:tcW w:w="597" w:type="dxa"/>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资格评审</w:t>
            </w:r>
          </w:p>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标准</w:t>
            </w:r>
          </w:p>
        </w:tc>
        <w:tc>
          <w:tcPr>
            <w:tcW w:w="2006" w:type="dxa"/>
            <w:gridSpan w:val="2"/>
            <w:vMerge w:val="restart"/>
            <w:vAlign w:val="center"/>
          </w:tcPr>
          <w:p>
            <w:pPr>
              <w:tabs>
                <w:tab w:val="left" w:pos="0"/>
              </w:tabs>
              <w:adjustRightInd w:val="0"/>
              <w:snapToGrid w:val="0"/>
              <w:spacing w:line="360" w:lineRule="auto"/>
              <w:jc w:val="center"/>
              <w:rPr>
                <w:rFonts w:ascii="宋体" w:hAnsi="宋体" w:cs="宋体"/>
                <w:color w:val="auto"/>
                <w:kern w:val="0"/>
                <w:sz w:val="24"/>
                <w:szCs w:val="24"/>
              </w:rPr>
            </w:pPr>
            <w:r>
              <w:rPr>
                <w:rFonts w:hint="eastAsia" w:ascii="宋体" w:hAnsi="宋体" w:cs="宋体"/>
                <w:bCs/>
                <w:color w:val="auto"/>
                <w:sz w:val="24"/>
                <w:szCs w:val="24"/>
              </w:rPr>
              <w:t>基本资格条件</w:t>
            </w:r>
          </w:p>
        </w:tc>
        <w:tc>
          <w:tcPr>
            <w:tcW w:w="6673" w:type="dxa"/>
            <w:vAlign w:val="center"/>
          </w:tcPr>
          <w:p>
            <w:pPr>
              <w:tabs>
                <w:tab w:val="left" w:pos="0"/>
              </w:tabs>
              <w:adjustRightInd w:val="0"/>
              <w:snapToGrid w:val="0"/>
              <w:spacing w:line="360" w:lineRule="auto"/>
              <w:jc w:val="left"/>
              <w:rPr>
                <w:rFonts w:ascii="宋体" w:hAnsi="宋体" w:cs="宋体"/>
                <w:bCs/>
                <w:color w:val="auto"/>
                <w:sz w:val="24"/>
                <w:szCs w:val="24"/>
              </w:rPr>
            </w:pPr>
            <w:r>
              <w:rPr>
                <w:rFonts w:hint="eastAsia" w:ascii="宋体" w:hAnsi="宋体" w:cs="宋体"/>
                <w:bCs/>
                <w:color w:val="auto"/>
                <w:sz w:val="24"/>
                <w:szCs w:val="24"/>
              </w:rPr>
              <w:t>1、具有独立承担民事责任能力的法人、其他组织或自然人，并出具合法有效的营业执照或事业单位法人证书等国家规定的相关证明，自然人参与的提供其身份证明。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6673" w:type="dxa"/>
            <w:vAlign w:val="center"/>
          </w:tcPr>
          <w:p>
            <w:pPr>
              <w:tabs>
                <w:tab w:val="left" w:pos="0"/>
              </w:tabs>
              <w:adjustRightInd w:val="0"/>
              <w:snapToGrid w:val="0"/>
              <w:spacing w:line="360" w:lineRule="auto"/>
              <w:jc w:val="left"/>
              <w:rPr>
                <w:rFonts w:ascii="宋体" w:hAnsi="宋体" w:cs="宋体"/>
                <w:bCs/>
                <w:color w:val="auto"/>
                <w:sz w:val="24"/>
                <w:szCs w:val="24"/>
              </w:rPr>
            </w:pPr>
            <w:r>
              <w:rPr>
                <w:rFonts w:hint="eastAsia" w:ascii="宋体" w:hAnsi="宋体" w:cs="宋体"/>
                <w:color w:val="auto"/>
                <w:sz w:val="24"/>
                <w:szCs w:val="24"/>
                <w:shd w:val="clear" w:color="auto" w:fill="FFFFFF"/>
              </w:rPr>
              <w:t>2、财务状况报告：</w:t>
            </w:r>
            <w:r>
              <w:rPr>
                <w:rFonts w:hint="eastAsia" w:ascii="宋体" w:hAnsi="宋体" w:cs="宋体"/>
                <w:bCs/>
                <w:color w:val="auto"/>
                <w:sz w:val="24"/>
                <w:szCs w:val="24"/>
              </w:rPr>
              <w:t>提供具有财务审计资质单位出具的2020年或2021年任意一年年度财务报告（成立时间至开标时间不足一年的可提供成立后任意时段的资产负债表）或开标前六个月内其基本账户银行出具的资信证明（附开户许可证）或政府采购信用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continue"/>
            <w:vAlign w:val="center"/>
          </w:tcPr>
          <w:p>
            <w:pPr>
              <w:tabs>
                <w:tab w:val="left" w:pos="0"/>
              </w:tabs>
              <w:adjustRightInd w:val="0"/>
              <w:snapToGrid w:val="0"/>
              <w:spacing w:line="360" w:lineRule="auto"/>
              <w:jc w:val="center"/>
              <w:rPr>
                <w:rFonts w:ascii="宋体" w:hAnsi="宋体" w:cs="宋体"/>
                <w:color w:val="auto"/>
                <w:sz w:val="24"/>
                <w:szCs w:val="24"/>
                <w:shd w:val="clear" w:color="auto" w:fill="FFFFFF"/>
              </w:rPr>
            </w:pPr>
          </w:p>
        </w:tc>
        <w:tc>
          <w:tcPr>
            <w:tcW w:w="6673" w:type="dxa"/>
            <w:vAlign w:val="center"/>
          </w:tcPr>
          <w:p>
            <w:pPr>
              <w:pStyle w:val="31"/>
              <w:spacing w:before="0" w:beforeAutospacing="0" w:after="0" w:afterAutospacing="0" w:line="360" w:lineRule="auto"/>
              <w:rPr>
                <w:color w:val="auto"/>
              </w:rPr>
            </w:pPr>
            <w:r>
              <w:rPr>
                <w:rFonts w:hint="eastAsia"/>
                <w:color w:val="auto"/>
                <w:shd w:val="clear" w:color="auto" w:fill="FFFFFF"/>
              </w:rPr>
              <w:t>3、社保缴纳证明：</w:t>
            </w:r>
            <w:r>
              <w:rPr>
                <w:rFonts w:hint="eastAsia"/>
                <w:color w:val="auto"/>
              </w:rPr>
              <w:t>提供开标前六个月内任意一个月已缴纳的社会保障资金缴存单据或社保机构开具的社会保险参保缴费情况证明（依法不需要缴纳社会保障资金的投标人应提供相关证明）。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6673" w:type="dxa"/>
            <w:vAlign w:val="center"/>
          </w:tcPr>
          <w:p>
            <w:pPr>
              <w:tabs>
                <w:tab w:val="left" w:pos="0"/>
              </w:tabs>
              <w:adjustRightInd w:val="0"/>
              <w:snapToGrid w:val="0"/>
              <w:spacing w:line="360" w:lineRule="auto"/>
              <w:jc w:val="left"/>
              <w:rPr>
                <w:rFonts w:ascii="宋体" w:hAnsi="宋体" w:cs="宋体"/>
                <w:bCs/>
                <w:color w:val="auto"/>
                <w:sz w:val="24"/>
                <w:szCs w:val="24"/>
              </w:rPr>
            </w:pPr>
            <w:r>
              <w:rPr>
                <w:rFonts w:hint="eastAsia" w:ascii="宋体" w:hAnsi="宋体" w:cs="宋体"/>
                <w:color w:val="auto"/>
                <w:sz w:val="24"/>
                <w:szCs w:val="24"/>
                <w:shd w:val="clear" w:color="auto" w:fill="FFFFFF"/>
              </w:rPr>
              <w:t>4、税收缴纳证明：</w:t>
            </w:r>
            <w:r>
              <w:rPr>
                <w:rFonts w:hint="eastAsia" w:ascii="宋体" w:hAnsi="宋体" w:cs="宋体"/>
                <w:color w:val="auto"/>
                <w:sz w:val="24"/>
                <w:szCs w:val="24"/>
              </w:rPr>
              <w:t>提供开标前六个月内任意一个月已缴纳完税凭证或税务机关开具的完税证明（任意税种）；依法免税的应提供相关文件证明。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continue"/>
            <w:vAlign w:val="center"/>
          </w:tcPr>
          <w:p>
            <w:pPr>
              <w:tabs>
                <w:tab w:val="left" w:pos="0"/>
              </w:tabs>
              <w:adjustRightInd w:val="0"/>
              <w:snapToGrid w:val="0"/>
              <w:spacing w:line="360" w:lineRule="auto"/>
              <w:jc w:val="center"/>
              <w:rPr>
                <w:rFonts w:ascii="宋体" w:hAnsi="宋体" w:cs="宋体"/>
                <w:color w:val="auto"/>
                <w:kern w:val="0"/>
                <w:sz w:val="24"/>
                <w:szCs w:val="24"/>
              </w:rPr>
            </w:pPr>
          </w:p>
        </w:tc>
        <w:tc>
          <w:tcPr>
            <w:tcW w:w="6673" w:type="dxa"/>
            <w:vAlign w:val="center"/>
          </w:tcPr>
          <w:p>
            <w:pPr>
              <w:pStyle w:val="31"/>
              <w:spacing w:before="0" w:beforeAutospacing="0" w:after="0" w:afterAutospacing="0" w:line="360" w:lineRule="auto"/>
              <w:rPr>
                <w:color w:val="auto"/>
              </w:rPr>
            </w:pPr>
            <w:r>
              <w:rPr>
                <w:rFonts w:hint="eastAsia"/>
                <w:color w:val="auto"/>
              </w:rPr>
              <w:t>5、具备履行合同所必需的设备和专业技术能力的证明材料(由供应商根据项目需求提供说明材料或者承诺)。 （格式自拟）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continue"/>
            <w:vAlign w:val="center"/>
          </w:tcPr>
          <w:p>
            <w:pPr>
              <w:tabs>
                <w:tab w:val="left" w:pos="0"/>
              </w:tabs>
              <w:adjustRightInd w:val="0"/>
              <w:snapToGrid w:val="0"/>
              <w:spacing w:line="360" w:lineRule="auto"/>
              <w:jc w:val="center"/>
              <w:rPr>
                <w:rFonts w:ascii="宋体" w:hAnsi="宋体" w:cs="宋体"/>
                <w:color w:val="auto"/>
                <w:kern w:val="0"/>
                <w:sz w:val="24"/>
                <w:szCs w:val="24"/>
              </w:rPr>
            </w:pPr>
          </w:p>
        </w:tc>
        <w:tc>
          <w:tcPr>
            <w:tcW w:w="6673" w:type="dxa"/>
            <w:vAlign w:val="center"/>
          </w:tcPr>
          <w:p>
            <w:pPr>
              <w:tabs>
                <w:tab w:val="left" w:pos="0"/>
              </w:tabs>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6、提供参加政府采购活动前三年内在经营活动中没有重大违法记录的书面声明。（格式自拟）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特定资格条件</w:t>
            </w:r>
          </w:p>
        </w:tc>
        <w:tc>
          <w:tcPr>
            <w:tcW w:w="6673" w:type="dxa"/>
            <w:vAlign w:val="center"/>
          </w:tcPr>
          <w:p>
            <w:pPr>
              <w:tabs>
                <w:tab w:val="left" w:pos="0"/>
              </w:tabs>
              <w:adjustRightInd w:val="0"/>
              <w:snapToGrid w:val="0"/>
              <w:spacing w:line="360" w:lineRule="auto"/>
              <w:jc w:val="left"/>
              <w:rPr>
                <w:rFonts w:ascii="宋体" w:hAnsi="宋体" w:cs="宋体"/>
                <w:bCs/>
                <w:color w:val="auto"/>
                <w:sz w:val="24"/>
                <w:szCs w:val="24"/>
              </w:rPr>
            </w:pPr>
            <w:r>
              <w:rPr>
                <w:rFonts w:hint="eastAsia" w:ascii="宋体" w:hAnsi="宋体" w:cs="宋体"/>
                <w:bCs/>
                <w:color w:val="auto"/>
                <w:sz w:val="24"/>
                <w:szCs w:val="24"/>
              </w:rPr>
              <w:t>1、</w:t>
            </w:r>
            <w:r>
              <w:rPr>
                <w:rFonts w:ascii="宋体" w:hAnsi="宋体" w:cs="宋体"/>
                <w:bCs/>
                <w:color w:val="auto"/>
                <w:sz w:val="24"/>
                <w:szCs w:val="24"/>
              </w:rPr>
              <w:t>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6673" w:type="dxa"/>
            <w:vAlign w:val="center"/>
          </w:tcPr>
          <w:p>
            <w:pPr>
              <w:tabs>
                <w:tab w:val="left" w:pos="0"/>
              </w:tabs>
              <w:adjustRightInd w:val="0"/>
              <w:snapToGrid w:val="0"/>
              <w:spacing w:line="360" w:lineRule="auto"/>
              <w:jc w:val="left"/>
              <w:rPr>
                <w:rFonts w:ascii="宋体" w:hAnsi="宋体" w:cs="宋体"/>
                <w:bCs/>
                <w:color w:val="auto"/>
                <w:sz w:val="24"/>
                <w:szCs w:val="24"/>
              </w:rPr>
            </w:pPr>
            <w:r>
              <w:rPr>
                <w:rFonts w:hint="eastAsia" w:ascii="宋体" w:hAnsi="宋体" w:cs="宋体"/>
                <w:bCs/>
                <w:color w:val="auto"/>
                <w:sz w:val="24"/>
                <w:szCs w:val="24"/>
              </w:rPr>
              <w:t>2、供应商不得为列入信用中国(www.creditchina.gov.cn)记录失信被执行人或重大税收违法案件当事人名单或中国政府采购网(www.ccgp.gov.cn)的政府采购严重违法失信行为记录名单；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2006" w:type="dxa"/>
            <w:gridSpan w:val="2"/>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6673" w:type="dxa"/>
            <w:vAlign w:val="center"/>
          </w:tcPr>
          <w:p>
            <w:pPr>
              <w:tabs>
                <w:tab w:val="left" w:pos="0"/>
              </w:tabs>
              <w:adjustRightInd w:val="0"/>
              <w:snapToGrid w:val="0"/>
              <w:spacing w:line="360" w:lineRule="auto"/>
              <w:jc w:val="left"/>
              <w:rPr>
                <w:rFonts w:ascii="宋体" w:hAnsi="宋体" w:cs="宋体"/>
                <w:bCs/>
                <w:color w:val="auto"/>
                <w:sz w:val="24"/>
                <w:szCs w:val="24"/>
              </w:rPr>
            </w:pPr>
            <w:r>
              <w:rPr>
                <w:rFonts w:hint="eastAsia" w:ascii="宋体" w:hAnsi="宋体" w:cs="宋体"/>
                <w:bCs/>
                <w:color w:val="auto"/>
                <w:sz w:val="24"/>
                <w:szCs w:val="24"/>
              </w:rPr>
              <w:t>3、</w:t>
            </w:r>
            <w:r>
              <w:rPr>
                <w:rFonts w:ascii="宋体" w:hAnsi="宋体" w:cs="宋体"/>
                <w:bCs/>
                <w:color w:val="auto"/>
                <w:sz w:val="24"/>
                <w:szCs w:val="24"/>
              </w:rPr>
              <w:t>本项目不接受联合体谈判。单位负责人为同一人或者存在控股、管理关系的不同单位不得同时参加。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3" w:type="dxa"/>
            <w:gridSpan w:val="5"/>
            <w:vAlign w:val="center"/>
          </w:tcPr>
          <w:p>
            <w:pPr>
              <w:tabs>
                <w:tab w:val="left" w:pos="0"/>
              </w:tabs>
              <w:adjustRightInd w:val="0"/>
              <w:snapToGrid w:val="0"/>
              <w:spacing w:line="360" w:lineRule="auto"/>
              <w:jc w:val="left"/>
              <w:rPr>
                <w:rFonts w:ascii="宋体" w:hAnsi="宋体" w:cs="宋体"/>
                <w:bCs/>
                <w:color w:val="auto"/>
                <w:sz w:val="24"/>
                <w:szCs w:val="24"/>
              </w:rPr>
            </w:pPr>
            <w:r>
              <w:rPr>
                <w:rFonts w:hint="eastAsia" w:ascii="宋体" w:hAnsi="宋体" w:cs="宋体"/>
                <w:bCs/>
                <w:color w:val="auto"/>
                <w:sz w:val="24"/>
                <w:szCs w:val="24"/>
              </w:rPr>
              <w:t>注：以上为必备资质，缺一项或某项达不到要求，按无效文件处理。资格审查时以谈判响应文件中所附证明材料为准，原件备查。如谈判响应文件中所附证明材料模糊不清，且未在规定时间提供原件，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2.1.2</w:t>
            </w:r>
          </w:p>
        </w:tc>
        <w:tc>
          <w:tcPr>
            <w:tcW w:w="597" w:type="dxa"/>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符合性评审标准</w:t>
            </w:r>
          </w:p>
        </w:tc>
        <w:tc>
          <w:tcPr>
            <w:tcW w:w="506" w:type="dxa"/>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有效性审查</w:t>
            </w: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谈判响应文件的签署盖章</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谈判响应文件上法定代表人或其授权代表人的签字齐全并加盖公章。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tcPr>
          <w:p>
            <w:pPr>
              <w:tabs>
                <w:tab w:val="left" w:pos="0"/>
              </w:tabs>
              <w:adjustRightInd w:val="0"/>
              <w:snapToGrid w:val="0"/>
              <w:spacing w:line="360" w:lineRule="auto"/>
              <w:rPr>
                <w:rFonts w:ascii="宋体" w:hAnsi="宋体" w:cs="宋体"/>
                <w:bCs/>
                <w:color w:val="auto"/>
                <w:sz w:val="24"/>
                <w:szCs w:val="24"/>
              </w:rPr>
            </w:pPr>
          </w:p>
        </w:tc>
        <w:tc>
          <w:tcPr>
            <w:tcW w:w="597" w:type="dxa"/>
            <w:vMerge w:val="continue"/>
          </w:tcPr>
          <w:p>
            <w:pPr>
              <w:tabs>
                <w:tab w:val="left" w:pos="0"/>
              </w:tabs>
              <w:adjustRightInd w:val="0"/>
              <w:snapToGrid w:val="0"/>
              <w:spacing w:line="360" w:lineRule="auto"/>
              <w:rPr>
                <w:rFonts w:ascii="宋体" w:hAnsi="宋体" w:cs="宋体"/>
                <w:bCs/>
                <w:color w:val="auto"/>
                <w:sz w:val="24"/>
                <w:szCs w:val="24"/>
              </w:rPr>
            </w:pPr>
          </w:p>
        </w:tc>
        <w:tc>
          <w:tcPr>
            <w:tcW w:w="506" w:type="dxa"/>
            <w:vMerge w:val="continue"/>
          </w:tcPr>
          <w:p>
            <w:pPr>
              <w:tabs>
                <w:tab w:val="left" w:pos="0"/>
              </w:tabs>
              <w:adjustRightInd w:val="0"/>
              <w:snapToGrid w:val="0"/>
              <w:spacing w:line="360" w:lineRule="auto"/>
              <w:rPr>
                <w:rFonts w:ascii="宋体" w:hAnsi="宋体" w:cs="宋体"/>
                <w:bCs/>
                <w:color w:val="auto"/>
                <w:sz w:val="24"/>
                <w:szCs w:val="24"/>
              </w:rPr>
            </w:pP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谈判响应文件格式</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应符合“谈判响应文件格式”要求。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tcPr>
          <w:p>
            <w:pPr>
              <w:tabs>
                <w:tab w:val="left" w:pos="0"/>
              </w:tabs>
              <w:adjustRightInd w:val="0"/>
              <w:snapToGrid w:val="0"/>
              <w:spacing w:line="360" w:lineRule="auto"/>
              <w:rPr>
                <w:rFonts w:ascii="宋体" w:hAnsi="宋体" w:cs="宋体"/>
                <w:bCs/>
                <w:color w:val="auto"/>
                <w:sz w:val="24"/>
                <w:szCs w:val="24"/>
              </w:rPr>
            </w:pPr>
          </w:p>
        </w:tc>
        <w:tc>
          <w:tcPr>
            <w:tcW w:w="597" w:type="dxa"/>
            <w:vMerge w:val="continue"/>
          </w:tcPr>
          <w:p>
            <w:pPr>
              <w:tabs>
                <w:tab w:val="left" w:pos="0"/>
              </w:tabs>
              <w:adjustRightInd w:val="0"/>
              <w:snapToGrid w:val="0"/>
              <w:spacing w:line="360" w:lineRule="auto"/>
              <w:rPr>
                <w:rFonts w:ascii="宋体" w:hAnsi="宋体" w:cs="宋体"/>
                <w:bCs/>
                <w:color w:val="auto"/>
                <w:sz w:val="24"/>
                <w:szCs w:val="24"/>
              </w:rPr>
            </w:pPr>
          </w:p>
        </w:tc>
        <w:tc>
          <w:tcPr>
            <w:tcW w:w="506" w:type="dxa"/>
            <w:vMerge w:val="continue"/>
          </w:tcPr>
          <w:p>
            <w:pPr>
              <w:tabs>
                <w:tab w:val="left" w:pos="0"/>
              </w:tabs>
              <w:adjustRightInd w:val="0"/>
              <w:snapToGrid w:val="0"/>
              <w:spacing w:line="360" w:lineRule="auto"/>
              <w:rPr>
                <w:rFonts w:ascii="宋体" w:hAnsi="宋体" w:cs="宋体"/>
                <w:bCs/>
                <w:color w:val="auto"/>
                <w:sz w:val="24"/>
                <w:szCs w:val="24"/>
              </w:rPr>
            </w:pP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报价唯一</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06" w:type="dxa"/>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完整性审查</w:t>
            </w: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谈判响应文件份数</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47" w:type="dxa"/>
            <w:vMerge w:val="continue"/>
          </w:tcPr>
          <w:p>
            <w:pPr>
              <w:tabs>
                <w:tab w:val="left" w:pos="0"/>
              </w:tabs>
              <w:adjustRightInd w:val="0"/>
              <w:snapToGrid w:val="0"/>
              <w:spacing w:line="360" w:lineRule="auto"/>
              <w:rPr>
                <w:rFonts w:ascii="宋体" w:hAnsi="宋体" w:cs="宋体"/>
                <w:bCs/>
                <w:color w:val="auto"/>
                <w:sz w:val="24"/>
                <w:szCs w:val="24"/>
              </w:rPr>
            </w:pPr>
          </w:p>
        </w:tc>
        <w:tc>
          <w:tcPr>
            <w:tcW w:w="597" w:type="dxa"/>
            <w:vMerge w:val="continue"/>
          </w:tcPr>
          <w:p>
            <w:pPr>
              <w:tabs>
                <w:tab w:val="left" w:pos="0"/>
              </w:tabs>
              <w:adjustRightInd w:val="0"/>
              <w:snapToGrid w:val="0"/>
              <w:spacing w:line="360" w:lineRule="auto"/>
              <w:rPr>
                <w:rFonts w:ascii="宋体" w:hAnsi="宋体" w:cs="宋体"/>
                <w:bCs/>
                <w:color w:val="auto"/>
                <w:sz w:val="24"/>
                <w:szCs w:val="24"/>
              </w:rPr>
            </w:pPr>
          </w:p>
        </w:tc>
        <w:tc>
          <w:tcPr>
            <w:tcW w:w="506" w:type="dxa"/>
            <w:vMerge w:val="continue"/>
          </w:tcPr>
          <w:p>
            <w:pPr>
              <w:tabs>
                <w:tab w:val="left" w:pos="0"/>
              </w:tabs>
              <w:adjustRightInd w:val="0"/>
              <w:snapToGrid w:val="0"/>
              <w:spacing w:line="360" w:lineRule="auto"/>
              <w:rPr>
                <w:rFonts w:ascii="宋体" w:hAnsi="宋体" w:cs="宋体"/>
                <w:bCs/>
                <w:color w:val="auto"/>
                <w:sz w:val="24"/>
                <w:szCs w:val="24"/>
              </w:rPr>
            </w:pP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谈判响应文件内容</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谈判响应文件内容齐全、无遗漏。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97" w:type="dxa"/>
            <w:vMerge w:val="continue"/>
            <w:vAlign w:val="center"/>
          </w:tcPr>
          <w:p>
            <w:pPr>
              <w:tabs>
                <w:tab w:val="left" w:pos="0"/>
              </w:tabs>
              <w:adjustRightInd w:val="0"/>
              <w:snapToGrid w:val="0"/>
              <w:spacing w:line="360" w:lineRule="auto"/>
              <w:jc w:val="center"/>
              <w:rPr>
                <w:rFonts w:ascii="宋体" w:hAnsi="宋体" w:cs="宋体"/>
                <w:bCs/>
                <w:color w:val="auto"/>
                <w:sz w:val="24"/>
                <w:szCs w:val="24"/>
              </w:rPr>
            </w:pPr>
          </w:p>
        </w:tc>
        <w:tc>
          <w:tcPr>
            <w:tcW w:w="506" w:type="dxa"/>
            <w:vMerge w:val="restart"/>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响应性审查</w:t>
            </w: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对谈判文件响应程度</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tcPr>
          <w:p>
            <w:pPr>
              <w:tabs>
                <w:tab w:val="left" w:pos="0"/>
              </w:tabs>
              <w:adjustRightInd w:val="0"/>
              <w:snapToGrid w:val="0"/>
              <w:spacing w:line="360" w:lineRule="auto"/>
              <w:rPr>
                <w:rFonts w:ascii="宋体" w:hAnsi="宋体" w:cs="宋体"/>
                <w:bCs/>
                <w:color w:val="auto"/>
                <w:sz w:val="24"/>
                <w:szCs w:val="24"/>
              </w:rPr>
            </w:pPr>
          </w:p>
        </w:tc>
        <w:tc>
          <w:tcPr>
            <w:tcW w:w="597" w:type="dxa"/>
            <w:vMerge w:val="continue"/>
          </w:tcPr>
          <w:p>
            <w:pPr>
              <w:tabs>
                <w:tab w:val="left" w:pos="0"/>
              </w:tabs>
              <w:adjustRightInd w:val="0"/>
              <w:snapToGrid w:val="0"/>
              <w:spacing w:line="360" w:lineRule="auto"/>
              <w:rPr>
                <w:rFonts w:ascii="宋体" w:hAnsi="宋体" w:cs="宋体"/>
                <w:bCs/>
                <w:color w:val="auto"/>
                <w:sz w:val="24"/>
                <w:szCs w:val="24"/>
              </w:rPr>
            </w:pPr>
          </w:p>
        </w:tc>
        <w:tc>
          <w:tcPr>
            <w:tcW w:w="506" w:type="dxa"/>
            <w:vMerge w:val="continue"/>
          </w:tcPr>
          <w:p>
            <w:pPr>
              <w:tabs>
                <w:tab w:val="left" w:pos="0"/>
              </w:tabs>
              <w:adjustRightInd w:val="0"/>
              <w:snapToGrid w:val="0"/>
              <w:spacing w:line="360" w:lineRule="auto"/>
              <w:rPr>
                <w:rFonts w:ascii="宋体" w:hAnsi="宋体" w:cs="宋体"/>
                <w:bCs/>
                <w:color w:val="auto"/>
                <w:sz w:val="24"/>
                <w:szCs w:val="24"/>
              </w:rPr>
            </w:pP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交货期</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应满足谈判文件中要求的交货期。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Merge w:val="continue"/>
          </w:tcPr>
          <w:p>
            <w:pPr>
              <w:tabs>
                <w:tab w:val="left" w:pos="0"/>
              </w:tabs>
              <w:adjustRightInd w:val="0"/>
              <w:snapToGrid w:val="0"/>
              <w:spacing w:line="360" w:lineRule="auto"/>
              <w:rPr>
                <w:rFonts w:ascii="宋体" w:hAnsi="宋体" w:cs="宋体"/>
                <w:bCs/>
                <w:color w:val="auto"/>
                <w:sz w:val="24"/>
                <w:szCs w:val="24"/>
              </w:rPr>
            </w:pPr>
          </w:p>
        </w:tc>
        <w:tc>
          <w:tcPr>
            <w:tcW w:w="597" w:type="dxa"/>
            <w:vMerge w:val="continue"/>
          </w:tcPr>
          <w:p>
            <w:pPr>
              <w:tabs>
                <w:tab w:val="left" w:pos="0"/>
              </w:tabs>
              <w:adjustRightInd w:val="0"/>
              <w:snapToGrid w:val="0"/>
              <w:spacing w:line="360" w:lineRule="auto"/>
              <w:rPr>
                <w:rFonts w:ascii="宋体" w:hAnsi="宋体" w:cs="宋体"/>
                <w:bCs/>
                <w:color w:val="auto"/>
                <w:sz w:val="24"/>
                <w:szCs w:val="24"/>
              </w:rPr>
            </w:pPr>
          </w:p>
        </w:tc>
        <w:tc>
          <w:tcPr>
            <w:tcW w:w="506" w:type="dxa"/>
            <w:vMerge w:val="continue"/>
          </w:tcPr>
          <w:p>
            <w:pPr>
              <w:tabs>
                <w:tab w:val="left" w:pos="0"/>
              </w:tabs>
              <w:adjustRightInd w:val="0"/>
              <w:snapToGrid w:val="0"/>
              <w:spacing w:line="360" w:lineRule="auto"/>
              <w:rPr>
                <w:rFonts w:ascii="宋体" w:hAnsi="宋体" w:cs="宋体"/>
                <w:bCs/>
                <w:color w:val="auto"/>
                <w:sz w:val="24"/>
                <w:szCs w:val="24"/>
              </w:rPr>
            </w:pPr>
          </w:p>
        </w:tc>
        <w:tc>
          <w:tcPr>
            <w:tcW w:w="1500" w:type="dxa"/>
            <w:vAlign w:val="center"/>
          </w:tcPr>
          <w:p>
            <w:pPr>
              <w:tabs>
                <w:tab w:val="left" w:pos="0"/>
              </w:tabs>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投标有效期</w:t>
            </w:r>
          </w:p>
        </w:tc>
        <w:tc>
          <w:tcPr>
            <w:tcW w:w="6673" w:type="dxa"/>
            <w:vAlign w:val="center"/>
          </w:tcPr>
          <w:p>
            <w:pPr>
              <w:tabs>
                <w:tab w:val="left" w:pos="0"/>
              </w:tabs>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应满足谈判文件中的规定。</w:t>
            </w:r>
          </w:p>
        </w:tc>
      </w:tr>
    </w:tbl>
    <w:p>
      <w:pPr>
        <w:rPr>
          <w:rFonts w:ascii="宋体" w:hAnsi="宋体" w:cs="宋体"/>
          <w:b/>
          <w:bCs/>
          <w:color w:val="auto"/>
          <w:sz w:val="24"/>
          <w:szCs w:val="24"/>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2"/>
        <w:rPr>
          <w:rFonts w:ascii="宋体" w:hAnsi="宋体" w:cs="宋体"/>
          <w:b/>
          <w:color w:val="auto"/>
          <w:szCs w:val="28"/>
          <w:lang w:val="zh-CN"/>
        </w:rPr>
      </w:pPr>
      <w:bookmarkStart w:id="29" w:name="_Toc9383"/>
      <w:bookmarkStart w:id="30" w:name="_Toc492476967"/>
    </w:p>
    <w:p>
      <w:pPr>
        <w:pStyle w:val="2"/>
        <w:rPr>
          <w:rFonts w:ascii="宋体" w:hAnsi="宋体" w:cs="宋体"/>
          <w:b/>
          <w:color w:val="auto"/>
          <w:szCs w:val="28"/>
          <w:lang w:val="zh-CN"/>
        </w:rPr>
      </w:pPr>
    </w:p>
    <w:p>
      <w:pPr>
        <w:pStyle w:val="3"/>
        <w:spacing w:line="360" w:lineRule="auto"/>
        <w:rPr>
          <w:rFonts w:ascii="宋体" w:hAnsi="宋体" w:eastAsia="宋体" w:cs="宋体"/>
          <w:color w:val="auto"/>
          <w:lang w:val="zh-CN"/>
        </w:rPr>
      </w:pPr>
      <w:r>
        <w:rPr>
          <w:rFonts w:hint="eastAsia" w:ascii="宋体" w:hAnsi="宋体" w:eastAsia="宋体" w:cs="宋体"/>
          <w:b/>
          <w:color w:val="auto"/>
          <w:szCs w:val="28"/>
          <w:lang w:val="zh-CN"/>
        </w:rPr>
        <w:t>第</w:t>
      </w:r>
      <w:r>
        <w:rPr>
          <w:rFonts w:hint="eastAsia" w:ascii="宋体" w:hAnsi="宋体" w:eastAsia="宋体" w:cs="宋体"/>
          <w:b/>
          <w:color w:val="auto"/>
          <w:szCs w:val="28"/>
        </w:rPr>
        <w:t>五</w:t>
      </w:r>
      <w:r>
        <w:rPr>
          <w:rFonts w:hint="eastAsia" w:ascii="宋体" w:hAnsi="宋体" w:eastAsia="宋体" w:cs="宋体"/>
          <w:b/>
          <w:color w:val="auto"/>
          <w:szCs w:val="28"/>
          <w:lang w:val="zh-CN"/>
        </w:rPr>
        <w:t>章</w:t>
      </w:r>
      <w:r>
        <w:rPr>
          <w:rFonts w:hint="eastAsia" w:ascii="宋体" w:hAnsi="宋体" w:eastAsia="宋体" w:cs="宋体"/>
          <w:b/>
          <w:color w:val="auto"/>
          <w:szCs w:val="28"/>
        </w:rPr>
        <w:t xml:space="preserve"> 采购</w:t>
      </w:r>
      <w:r>
        <w:rPr>
          <w:rFonts w:hint="eastAsia" w:ascii="宋体" w:hAnsi="宋体" w:eastAsia="宋体" w:cs="宋体"/>
          <w:b/>
          <w:color w:val="auto"/>
          <w:szCs w:val="28"/>
          <w:lang w:val="zh-CN"/>
        </w:rPr>
        <w:t>内容及要求</w:t>
      </w:r>
      <w:bookmarkEnd w:id="29"/>
    </w:p>
    <w:p>
      <w:pPr>
        <w:pStyle w:val="33"/>
        <w:spacing w:before="0" w:after="0" w:line="360" w:lineRule="auto"/>
        <w:jc w:val="left"/>
        <w:rPr>
          <w:rFonts w:ascii="宋体" w:hAnsi="宋体" w:eastAsia="宋体" w:cs="宋体"/>
          <w:bCs/>
          <w:color w:val="auto"/>
          <w:kern w:val="2"/>
          <w:sz w:val="24"/>
          <w:szCs w:val="24"/>
        </w:rPr>
      </w:pPr>
      <w:bookmarkStart w:id="31" w:name="_Toc26876"/>
      <w:r>
        <w:rPr>
          <w:rFonts w:hint="eastAsia" w:ascii="宋体" w:hAnsi="宋体" w:eastAsia="宋体" w:cs="宋体"/>
          <w:bCs/>
          <w:color w:val="auto"/>
          <w:kern w:val="2"/>
          <w:sz w:val="24"/>
          <w:szCs w:val="24"/>
        </w:rPr>
        <w:t>1、</w:t>
      </w:r>
      <w:bookmarkEnd w:id="31"/>
      <w:r>
        <w:rPr>
          <w:rFonts w:hint="eastAsia" w:ascii="宋体" w:hAnsi="宋体" w:eastAsia="宋体" w:cs="宋体"/>
          <w:bCs/>
          <w:color w:val="auto"/>
          <w:kern w:val="2"/>
          <w:sz w:val="24"/>
          <w:szCs w:val="24"/>
        </w:rPr>
        <w:t>项目概述</w:t>
      </w:r>
    </w:p>
    <w:p>
      <w:pPr>
        <w:pStyle w:val="33"/>
        <w:spacing w:before="0" w:after="0" w:line="360" w:lineRule="auto"/>
        <w:ind w:firstLine="480" w:firstLineChars="200"/>
        <w:jc w:val="left"/>
        <w:rPr>
          <w:rFonts w:ascii="宋体" w:hAnsi="宋体" w:eastAsia="宋体" w:cs="宋体"/>
          <w:bCs/>
          <w:color w:val="auto"/>
          <w:kern w:val="2"/>
          <w:sz w:val="24"/>
          <w:szCs w:val="24"/>
        </w:rPr>
      </w:pPr>
      <w:r>
        <w:rPr>
          <w:rFonts w:hint="eastAsia" w:ascii="宋体" w:hAnsi="宋体" w:eastAsia="宋体" w:cs="宋体"/>
          <w:b w:val="0"/>
          <w:color w:val="auto"/>
          <w:kern w:val="2"/>
          <w:sz w:val="24"/>
          <w:szCs w:val="24"/>
        </w:rPr>
        <w:t>为了加快完善学校信息化基础建设，营造网络化、数字化、智能化，个性化的教育环境，围绕智慧坏境、智慧管理、智慧教学、智慧育人等要素开展智慧校园建设，拟将潼关县岳渎小学建成一所智慧校园示范学校，按照信息化2.0标准，实现校园教育教学及管理实现信息化。</w:t>
      </w:r>
    </w:p>
    <w:p>
      <w:pPr>
        <w:numPr>
          <w:ilvl w:val="0"/>
          <w:numId w:val="7"/>
        </w:numPr>
        <w:autoSpaceDE w:val="0"/>
        <w:autoSpaceDN w:val="0"/>
        <w:adjustRightIn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采购清单</w:t>
      </w:r>
    </w:p>
    <w:tbl>
      <w:tblPr>
        <w:tblStyle w:val="36"/>
        <w:tblW w:w="8618" w:type="dxa"/>
        <w:jc w:val="center"/>
        <w:tblLayout w:type="autofit"/>
        <w:tblCellMar>
          <w:top w:w="0" w:type="dxa"/>
          <w:left w:w="0" w:type="dxa"/>
          <w:bottom w:w="0" w:type="dxa"/>
          <w:right w:w="0" w:type="dxa"/>
        </w:tblCellMar>
      </w:tblPr>
      <w:tblGrid>
        <w:gridCol w:w="743"/>
        <w:gridCol w:w="3349"/>
        <w:gridCol w:w="1115"/>
        <w:gridCol w:w="1115"/>
        <w:gridCol w:w="2296"/>
      </w:tblGrid>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序号</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sz w:val="24"/>
                <w:szCs w:val="24"/>
              </w:rPr>
              <w:t>货物名称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单位</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备注</w:t>
            </w: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电子班牌21.5寸</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24</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台</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含云平台管理软件</w:t>
            </w:r>
          </w:p>
        </w:tc>
      </w:tr>
      <w:tr>
        <w:tblPrEx>
          <w:tblCellMar>
            <w:top w:w="0" w:type="dxa"/>
            <w:left w:w="0" w:type="dxa"/>
            <w:bottom w:w="0" w:type="dxa"/>
            <w:right w:w="0" w:type="dxa"/>
          </w:tblCellMar>
        </w:tblPrEx>
        <w:trPr>
          <w:trHeight w:val="64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操场吊装LED屏P10面积8.88平米</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套</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门卫室新增监控</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批</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车牌识别系统</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套</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人脸识别系统</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套</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通道人脸组件</w:t>
            </w: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6</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录播室</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含简装、桌椅</w:t>
            </w: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7</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校园电视台</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含简装、共用操作间</w:t>
            </w: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计算机教室</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50</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台</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lang w:eastAsia="zh-CN"/>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9</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办公用台式电脑</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50</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台</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10</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补充教室一体机黑板</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套</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打印机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台</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12</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无人机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套</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13</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数码相机</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台</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szCs w:val="24"/>
              </w:rPr>
            </w:pPr>
          </w:p>
        </w:tc>
      </w:tr>
      <w:tr>
        <w:tblPrEx>
          <w:tblCellMar>
            <w:top w:w="0" w:type="dxa"/>
            <w:left w:w="0" w:type="dxa"/>
            <w:bottom w:w="0" w:type="dxa"/>
            <w:right w:w="0" w:type="dxa"/>
          </w:tblCellMar>
        </w:tblPrEx>
        <w:trPr>
          <w:trHeight w:val="34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14</w:t>
            </w:r>
          </w:p>
        </w:tc>
        <w:tc>
          <w:tcPr>
            <w:tcW w:w="3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阅卷系统</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套</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sz w:val="24"/>
                <w:szCs w:val="24"/>
                <w:lang w:val="en-US" w:eastAsia="zh-CN"/>
              </w:rPr>
            </w:pPr>
          </w:p>
        </w:tc>
      </w:tr>
    </w:tbl>
    <w:p>
      <w:pPr>
        <w:numPr>
          <w:ilvl w:val="0"/>
          <w:numId w:val="7"/>
        </w:numPr>
        <w:autoSpaceDE w:val="0"/>
        <w:autoSpaceDN w:val="0"/>
        <w:adjustRightInd w:val="0"/>
        <w:spacing w:before="120" w:beforeLines="50" w:line="360" w:lineRule="auto"/>
        <w:jc w:val="left"/>
        <w:rPr>
          <w:rFonts w:ascii="宋体" w:hAnsi="宋体" w:cs="宋体"/>
          <w:b/>
          <w:bCs/>
          <w:color w:val="auto"/>
          <w:sz w:val="24"/>
          <w:szCs w:val="24"/>
          <w:lang w:val="zh-CN"/>
        </w:rPr>
      </w:pPr>
      <w:r>
        <w:rPr>
          <w:rFonts w:hint="eastAsia" w:ascii="宋体" w:hAnsi="宋体" w:cs="宋体"/>
          <w:b/>
          <w:bCs/>
          <w:color w:val="auto"/>
          <w:sz w:val="24"/>
          <w:szCs w:val="24"/>
        </w:rPr>
        <w:t>详细技术参数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
        <w:gridCol w:w="453"/>
        <w:gridCol w:w="796"/>
        <w:gridCol w:w="16"/>
        <w:gridCol w:w="16"/>
        <w:gridCol w:w="15"/>
        <w:gridCol w:w="5719"/>
        <w:gridCol w:w="687"/>
        <w:gridCol w:w="500"/>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8860" w:type="dxa"/>
            <w:gridSpan w:val="10"/>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（一）电子班牌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名称</w:t>
            </w:r>
          </w:p>
        </w:tc>
        <w:tc>
          <w:tcPr>
            <w:tcW w:w="571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规  格</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电子班牌</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电子班牌：                                                                                                                                                                                              1、横屏式电容显示屏：19英寸以上，能够支持≥10点触控，屏幕分辨率≥1920*1080，显示比例能够满足16:9；屏幕亮度≥500cd/㎡。</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2、整机须采用防水防尘结构设计，防护等级不低于IP65。</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3、整机背部与墙面须微距全贴合，背面与平整墙面间隙最大处≤2.5mm。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4、整机最大厚度≤29mm。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5、整机正面覆盖钢化玻璃</w:t>
            </w:r>
            <w:r>
              <w:rPr>
                <w:rFonts w:ascii="宋体" w:hAnsi="宋体" w:eastAsia="宋体"/>
                <w:b/>
                <w:bCs/>
                <w:color w:val="auto"/>
                <w:kern w:val="0"/>
                <w:sz w:val="24"/>
                <w:szCs w:val="24"/>
              </w:rPr>
              <w:t>。</w:t>
            </w:r>
          </w:p>
          <w:p>
            <w:pPr>
              <w:snapToGrid w:val="0"/>
              <w:spacing w:before="0" w:after="0" w:line="240" w:lineRule="auto"/>
              <w:ind w:left="0" w:right="0"/>
              <w:jc w:val="left"/>
              <w:rPr>
                <w:rFonts w:ascii="宋体" w:hAnsi="宋体" w:eastAsia="宋体"/>
                <w:b/>
                <w:bCs/>
                <w:color w:val="auto"/>
                <w:kern w:val="0"/>
                <w:sz w:val="24"/>
                <w:szCs w:val="24"/>
              </w:rPr>
            </w:pPr>
            <w:r>
              <w:rPr>
                <w:rFonts w:ascii="宋体" w:hAnsi="宋体" w:eastAsia="宋体"/>
                <w:color w:val="auto"/>
                <w:kern w:val="0"/>
                <w:sz w:val="24"/>
                <w:szCs w:val="24"/>
              </w:rPr>
              <w:t>6、整机正面不能采用贴膜方式具备防眩光功能。</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7、拍摄照片的像素不低于200W，且支持5人及以上同时进行人脸识别，支持学生无卡考勤签到、查看个人课程表、家长留言等个人信息。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8、整机在逆光（人像处于背景照度≥60000Lux）环境下且距离≤0.5m范围内，能够正常进行人脸识别。</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9、内置高灵敏度的全向麦克风，拾音半径≥0.5m，支持学生语音留言，且留言内容同步发送至家长微信。</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10、内置2.0立体声道功放，支持视频及家长留言的音频播放。</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11、刷卡器：具有内置IC卡刷卡器，支持14443协议。使得学生可佩带相应的终端设备完成刷卡签到、查看个人信息等操作。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12、整机须具备至少有一路RJ45网络接口和至少2路USB 2.0接口。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13、整机须采用内置天线设计，无任何天线外露。</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14、整机需支持外接门禁控制。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15、系统运行内存≥2GB，存储容量≥8GB；操作系统版本≥Android 9.0。</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16、整机CPU≥4核，最高主频≥1.9G，操作系统版本≥Android 9.0。</w:t>
            </w:r>
            <w:r>
              <w:rPr>
                <w:rFonts w:ascii="宋体" w:hAnsi="宋体" w:eastAsia="宋体"/>
                <w:b/>
                <w:bCs/>
                <w:color w:val="auto"/>
                <w:kern w:val="0"/>
                <w:sz w:val="24"/>
                <w:szCs w:val="24"/>
              </w:rPr>
              <w:t>提供生产厂家出具的、相应的功能证明材料（包括但不限于测试报告、官网和功能截图等）</w:t>
            </w:r>
            <w:r>
              <w:rPr>
                <w:rFonts w:ascii="宋体" w:hAnsi="宋体" w:eastAsia="宋体"/>
                <w:color w:val="auto"/>
                <w:kern w:val="0"/>
                <w:sz w:val="24"/>
                <w:szCs w:val="24"/>
              </w:rPr>
              <w:t xml:space="preserve">                                                                                             二、云平台软件：                                                                                                                                                                                             1.系统须能够在后台发布班牌展示信息内容，支持照片、视频、新闻、公告、电子欢迎横幅、PDF、第三方链接等类型，内容支持图文混合排版。</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2.信息发布须具备定向发布功能，可按照全校、班级层级进行定向信息推送。</w:t>
            </w:r>
          </w:p>
          <w:p>
            <w:pPr>
              <w:snapToGrid w:val="0"/>
              <w:spacing w:before="0" w:after="0" w:line="240" w:lineRule="auto"/>
              <w:ind w:rightChars="0"/>
              <w:jc w:val="left"/>
              <w:rPr>
                <w:rFonts w:ascii="宋体" w:hAnsi="宋体" w:eastAsia="宋体"/>
                <w:color w:val="auto"/>
                <w:kern w:val="0"/>
                <w:sz w:val="24"/>
                <w:szCs w:val="24"/>
              </w:rPr>
            </w:pPr>
            <w:r>
              <w:rPr>
                <w:rFonts w:ascii="宋体" w:hAnsi="宋体" w:eastAsia="宋体"/>
                <w:color w:val="auto"/>
                <w:kern w:val="0"/>
                <w:sz w:val="24"/>
                <w:szCs w:val="24"/>
              </w:rPr>
              <w:t>3.联动校宣：发布的校级图片、视频、新闻、公告，能够同时传到班牌和一体机（安装校园信息视窗软件）上展示。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sz w:val="24"/>
                <w:szCs w:val="24"/>
              </w:rPr>
              <w:t>4.</w:t>
            </w:r>
            <w:r>
              <w:rPr>
                <w:rFonts w:ascii="宋体" w:hAnsi="宋体" w:eastAsia="宋体"/>
                <w:color w:val="auto"/>
                <w:kern w:val="0"/>
                <w:sz w:val="24"/>
                <w:szCs w:val="24"/>
              </w:rPr>
              <w:t>设置屏保模式后，班牌长时间处于无人操作状态下能够将自动切换至屏幕保护模式，屏保模式下能够选择全校、班级相册轮播、置顶已发布公告等多种内容展示。</w:t>
            </w:r>
          </w:p>
          <w:p>
            <w:pPr>
              <w:snapToGrid w:val="0"/>
              <w:spacing w:before="0" w:after="0" w:line="240" w:lineRule="auto"/>
              <w:ind w:left="0" w:right="0"/>
              <w:jc w:val="left"/>
              <w:rPr>
                <w:rFonts w:ascii="宋体" w:hAnsi="宋体" w:eastAsia="宋体"/>
                <w:b/>
                <w:bCs/>
                <w:color w:val="auto"/>
                <w:kern w:val="0"/>
                <w:sz w:val="24"/>
                <w:szCs w:val="24"/>
              </w:rPr>
            </w:pPr>
            <w:r>
              <w:rPr>
                <w:rFonts w:ascii="宋体" w:hAnsi="宋体" w:eastAsia="宋体"/>
                <w:color w:val="auto"/>
                <w:kern w:val="0"/>
                <w:sz w:val="24"/>
                <w:szCs w:val="24"/>
              </w:rPr>
              <w:t>5.系统内置须能够存储≥200张屏保云图，分属于不同的云图库（如：卫生健康、党建文化、科普知识等），教师可以选择需要的云图库作为班牌屏保。</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6.须新闻公告、相册、视频、海报功能均支持霸屏发布，能够在指定时间段内霸屏内容全屏展示。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7.公告发布支持家长提交回执设置，打开需要家长回执开关后，微信公众号会实时通知家长公告消息，老师可以在小程序实时查看家长提交回执明细。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8.支持发布校级重要公告，新增公告内容同步在全校班牌置顶展示。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9.系统内置≥20套公告模板（如：家长会通知、寒暑假通知等），须供老师发布公告时套用。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10.系统内置≥50海报模板（如，欢迎模式，卫生健康，校园风采，通知公告等），须能够支持老师自定义修改背景及文案。同时可以自定义管理海报分类。</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11.须支持以校级或班级为单位发布事件倒计时，可编辑事件名称和倒计时截止时间，事件剩余时间在班牌实时显示，可同时发布不少于3个事件倒计时。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12.须支持发布班级值日安排，可在班牌显示当日对应的值日生名单。</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13.须支持展示学校所在区域今日及明后两天的天气状况和今日空气质量指数，可详细查看当日PM10、PM2.5、NO2、SO2等常见污染物数据，并根据当前天气状态自动切换对应的主题插图。</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14.须支持对信息发布进行审核权限管理，可同时设置不同审核人，老师进行信息发布时，需由指定老师审核后才可在设备上展示。</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color w:val="auto"/>
                <w:kern w:val="0"/>
                <w:sz w:val="24"/>
                <w:szCs w:val="24"/>
              </w:rPr>
              <w:t>15.须支持信息发布IP白名单管理，可将相关管理人员的办公网络IP地址纳入“IP白名单”，白名单外的IP地址无法获取信息发布权限。</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24</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含云平台软件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（二）操场吊装LED屏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  称</w:t>
            </w:r>
          </w:p>
        </w:tc>
        <w:tc>
          <w:tcPr>
            <w:tcW w:w="571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规格参数</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操场吊装LED屏</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像数点间距≥10.0mm；</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像素密度≥10000Dots/㎡；</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结构特点灯驱合一；</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输入电压(直流)4.8-5.5V；</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模组功率≤17.0W；</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驱动方式1/4扫恒流驱动；</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箱体分辨率≥96*96=9216 Dots；</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屏体亮度≥1000 cd/㎡；</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亮度均匀性＞0.95；</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换帖频率≥60帖/秒；</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刷新频率≥75Hz(全灰度场)；</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控制方式:计算机控制，逐点一一对应，视频同步，实时显示；输入信号DVI/VGA，视频(多种制式)RGBHV、复合视频信号、S-VIDEO、YpbPr(HDTV)；</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工作温度范围-20至50℃；</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最佳视距≥10.0m；</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盲点率小于万分之三；</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最大功耗≤470W/㎡</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平米</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9</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防水后盖</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定制加工塑铝板，按采购人实际需求定制。</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平米</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9</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固定钢架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角钢、根据现场实际需求定制、加工制作</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（三）门卫室新增监控</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名称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规格参数</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数量</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单位</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显示屏</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尺寸：≥50寸；</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对比度：≥6000：1；</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支持VRR可变刷新率/分辨率：超高清4K；支持HD；</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屏幕比例16：9；</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亮度：200-300尼特；</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响应时间≤6ms；</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支持高清2160P；</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CPU：不低于四核；</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WIFI2.4G&amp;5G/智能语音助手/屏占比：≥97%；</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金属边框/接口：HDMI、USB2.0、USB3.0、模拟RF/人工智能语音控制；</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刷屏率：≥120Hz；</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连接方式：有线、无线。</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室外球机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支持3D数字降噪，支持≥120dB宽动态</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支持三码流技术，每路码流可独立配置分辨率及帧率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支持≥22倍光学变倍，≥14倍数字变倍</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支持区域入侵侦测，越界侦测，进入区域侦测和离开区域侦测等智能侦测；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基础参数内置加热玻璃；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须采用高效补光阵列，低功耗，红外补光≥150m</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镜头</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焦距：4.8 mm~110 mm</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云台功能</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水平范围：360°；</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垂直范围：-15°-90°；</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支持预置点个数：≥300个；</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巡航扫描：≥8条，每条可添加不小于32个预置点花样扫描；断电记忆：≥4条：支持守望功能</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视频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图像尺寸≥2560×1440码流类型：主码流；子码流；</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接口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网络接口：RJ45网口，自适应10M/100M网络数据SD卡扩展：支持Micro SD/Micro SDHC/Micro SDXC卡,支持≥256GB；</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补光</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补光灯类型：红外补光补光灯距离≥150m。</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防护</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≥IP66，≥6000V 防雷、防浪涌。</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室外枪机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最高分辨率：≥2560*1440@25fps，在该分辨率下可输出实时图像；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智能侦测：支持越界侦测，区域入侵侦测；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支持背光补偿，强光抑制，3D数字降噪，≥120 dB宽动态适应不同监控环境；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支持白光灯补光，最远≥30m；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符合IP66防尘防水设计；</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视频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最大图像尺寸：≥2560×1440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同时预览路数：≥6路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用户管理：≥32个用户 可配置管理员、操作员、普通用户</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接口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音频：至少1个内置麦克风</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网络：至少1个RJ45 10 M/100 M自适应以太网口</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摄像机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传感器类型：1/1.8" Progressive Scan CMOS</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补光距离：最远≥30m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防补光过曝：支持</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补光灯类型：白光灯</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交换机、网线</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8"/>
              </w:num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千兆以太网交换机：</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POE交换机；传输速率10/100/1000Mbps自适应；</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交换方式：存储-转发；</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背板带宽≥20Gbps；</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MAC地址表≥4K；</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端口结构非模块化；</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端口数量≥10个；</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 xml:space="preserve">端口描述9个10/100/1000Mbps RJ45 </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端口：≥1个千兆SFP光纤口；</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传输模式全双工/半双工自适应；支持VLAN；</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状态指示灯：每台设备具备1个Power指示灯</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每端口具备1个Link/Ack指示灯；</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电源电压53.5VDC/1.22A；</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电源功率整机PoE输出功率≤54W整机功耗≤68W；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支持符合IEEE 802.3af/at标准的受电设备（PD）</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 xml:space="preserve"> PoE端口优先级机制IEEE802.3X全双工流Backpressure半双工流控线速转发                                                                                                                                         2、网线：国标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护套材料：PVC(符合RoHS)，CM</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芯线颜色：对白(蓝)/蓝、第二对白(橙)/橙、第三对白(绿)/绿、第四对白(棕)/棕</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（四）车牌识别系统</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设备名称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规格参数</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栅栏道闸</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机芯、电控箱工作温度：-35℃~+60℃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电源: ≥220V±10%  50/60HZ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额定功率：≤80W；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相对湿度：≤90%RH</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5. 遥控距离：空旷条件下＜100M, ≥30M</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车辆检测器</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工作电压：AC 230/110V±10% 50HZ；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额定功率：≤4.5W；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工作温度：-25℃~65℃；</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工作湿度：≤90%（无凝露）；</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反应时间：≤100ms；</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灵 敏 度：三级可调；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线圈电感量：推荐100uH~300uH；</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线圈规格：≤1*2米，符合国标；</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线圈连接线：≤5米，每米至少双绞20次；</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restart"/>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嵌入式车牌识别一体机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嵌入式车牌算法（综合识别率≥99%），多样车牌\车辆信息识别、车标、车款、车型、车身颜色等车辆结构化信息输出、防止误识别，过滤伪车牌。监控录像、智能补光、前端储存，支持无牌车触发、车牌防伪、云上远程运营维护、脱机自组网；LED显示屏：四行双色P4 LED显示屏，显示车类别，余位、收费、车牌、通知、自定义等信息；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广告显示屏： LCD广告屏≥ 21寸，播放视频、图片，支持用户自定义，支持室外应用等。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收费模式： 中央自助/人工缴费、场内预付、手机端自助付费、出口无感/扫码/被扫/ETC/现金自助/人工缴费等。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车牌识别： 外置至少1路车牌识别摄像头，支持双路协同识别</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车牌识别率： 全天候≥99.8%</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镜头类型：定焦镜头不跑焦</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成像元件：1/3英寸CMOS传感器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像素：≥300万，超高清成像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视频压缩格式：H.264，MPEG4</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最大输出：提供≥2304*1296分辨率的视频和图片输出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内置补光灯规格</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灯珠数量：高亮LED灯≤12颗</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功率：≤12W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开/关控制：光敏控制（外置式），角度可调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补光距离：5m处光照大于50Lux</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整机参数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工作电压：AC 220V±10%/50Hz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功率： ≤45W工作温度： -30℃~70℃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相对湿度： ≤95%，无凝露（常温下）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材质： 机身主体采用厚度≥1.2mm的高强度碳钢板材，喷涂金色+钢化玻璃，面板采用厚度为≥0.5mm的钢化玻璃，整体呈黑色，高档喷粉工艺，喷涂厚度0.8mm~1.0mm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外壳防护等级：≥IP65</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面板：阻燃</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防雷等级：防雷保护不低于三级</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6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管理中心</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1、软件：收费模式可自由修改。内设无牌车处理方式，进出车牌不一致操作方式等。                                        2、网络交换机：动态分配IP；RJ45口数量≥5；10/100M自适应；</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restart"/>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vMerge w:val="restart"/>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（五）人脸识别系统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2"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vMerge w:val="continue"/>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技术规格</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门禁设备</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1、设备外观：LCD触摸显示屏≥6英寸；像素≥200万双目宽动态摄像头，图像传感器星光级及以上，可适应夜间低照度环境；人脸识别距离≥2m，支持照片视频防假；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2、设备容量：≥50000张人脸白名单，1：N人脸比对时间≤0.2s/人；支持≥100000笔事件记录存储；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3、认证方式：支持人脸识别、刷卡（需外接485或韦根读卡器）、刷卡+人脸（需USB身份证阅读器）、人证比对（需外接USB身份证阅读器）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4、通讯方式：上行通讯为TCP/IP；支持Wifi；</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5、视频对讲：支持视频语音对讲功能；可接NVR，支持视频预览；</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6、设备接口：≥LAN*1；≥RS485*1；≥韦根*1；≥USB *1；≥门磁*1、≥开门按钮*1、≥报警输入*2；≥电锁*1、≥报警输出*1；</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7、使用环境：支持室内外环境；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8、安装方式：通道安装；</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9、工作温度：-30~60℃。</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（六）录播教室（单间2机位）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产品名称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主要参数</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数量</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单位</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一、录播教室设备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高清录播主机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整体要求：设备高度≤1U。须采用嵌入式ARM架构设计，Linux操作系统，高度集成多种功能应用，包括导播、录制、跟踪、直播、点播、互动、音频处理等功能。</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2.视频接口：3G-SDI in≥2、HDMI in≥2、HDMI out≥3，采集和输出分辨率支持1080P@30fps。</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3.音频接口：Digital MIC≥3、Line in≥2、Line out≥1、耳机监听Headset≥1，Digital MIC接口支持对数字麦克风进行同步供电。</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4.网络接口：RJ-45≥1，支持1000/100Mbps自适应，支持IPv4、IPv6双协议栈，适应互联网通信发展需求。</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5.其他接口：Console≥2、USB3.0≥2。</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6.存储容量：机械硬盘≥1TB。</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7.电源管理：须采用不高于DC36V安全电压供电，采用无风扇散热设计。</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8.视频录制：录制分辨率支持1080P@30fps、720P@30fps，视频编码协议支持H.264，支持MP4视频封装格式。</w:t>
            </w:r>
          </w:p>
          <w:p>
            <w:pPr>
              <w:snapToGrid w:val="0"/>
              <w:spacing w:before="0" w:after="0" w:line="240" w:lineRule="auto"/>
              <w:jc w:val="left"/>
              <w:rPr>
                <w:rFonts w:ascii="宋体" w:hAnsi="宋体" w:eastAsia="宋体"/>
                <w:color w:val="auto"/>
                <w:sz w:val="24"/>
                <w:szCs w:val="24"/>
              </w:rPr>
            </w:pPr>
            <w:r>
              <w:rPr>
                <w:rFonts w:ascii="宋体" w:hAnsi="宋体" w:eastAsia="宋体"/>
                <w:color w:val="auto"/>
                <w:sz w:val="24"/>
                <w:szCs w:val="24"/>
              </w:rPr>
              <w:t>9.协议支持：支持HTTP、RTMP、RTSP视频传输协议，支持FTP文件传输协议，支持VISCA云台控制协议。</w:t>
            </w:r>
          </w:p>
          <w:p>
            <w:pPr>
              <w:snapToGrid w:val="0"/>
              <w:spacing w:before="0" w:after="0" w:line="240" w:lineRule="auto"/>
              <w:ind w:left="0" w:right="0"/>
              <w:jc w:val="left"/>
              <w:rPr>
                <w:rFonts w:ascii="宋体" w:hAnsi="宋体" w:eastAsia="宋体"/>
                <w:color w:val="auto"/>
                <w:sz w:val="24"/>
                <w:szCs w:val="24"/>
              </w:rPr>
            </w:pPr>
            <w:r>
              <w:rPr>
                <w:rFonts w:ascii="宋体" w:hAnsi="宋体" w:eastAsia="宋体"/>
                <w:color w:val="auto"/>
                <w:sz w:val="24"/>
                <w:szCs w:val="24"/>
              </w:rPr>
              <w:t>10.互动功能：支持H.323、SIP等标准互动传输协议，便捷进行远程互动教学应用，支持BFCP和H.239双流互动协议。</w:t>
            </w:r>
          </w:p>
          <w:p>
            <w:pPr>
              <w:snapToGrid w:val="0"/>
              <w:spacing w:before="0" w:after="0" w:line="240" w:lineRule="auto"/>
              <w:jc w:val="both"/>
              <w:rPr>
                <w:rFonts w:ascii="宋体" w:hAnsi="宋体" w:eastAsia="宋体"/>
                <w:b/>
                <w:bCs/>
                <w:color w:val="auto"/>
                <w:kern w:val="0"/>
                <w:sz w:val="24"/>
                <w:szCs w:val="24"/>
              </w:rPr>
            </w:pPr>
            <w:r>
              <w:rPr>
                <w:rFonts w:ascii="宋体" w:hAnsi="宋体" w:eastAsia="宋体"/>
                <w:b/>
                <w:bCs/>
                <w:color w:val="auto"/>
                <w:kern w:val="0"/>
                <w:sz w:val="24"/>
                <w:szCs w:val="24"/>
              </w:rPr>
              <w:t>★1</w:t>
            </w:r>
            <w:r>
              <w:rPr>
                <w:rFonts w:ascii="宋体" w:hAnsi="宋体" w:eastAsia="宋体"/>
                <w:b/>
                <w:bCs/>
                <w:color w:val="auto"/>
                <w:sz w:val="24"/>
                <w:szCs w:val="24"/>
              </w:rPr>
              <w:t>1</w:t>
            </w:r>
            <w:r>
              <w:rPr>
                <w:rFonts w:ascii="宋体" w:hAnsi="宋体" w:eastAsia="宋体"/>
                <w:b/>
                <w:bCs/>
                <w:color w:val="auto"/>
                <w:kern w:val="0"/>
                <w:sz w:val="24"/>
                <w:szCs w:val="24"/>
              </w:rPr>
              <w:t>.整机使用平均无故障运行时间(MTBF)须≥200000小时。（需提供第三方检测机构提供的检测报告或符合性证书并加盖厂家公章）</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b/>
                <w:bCs/>
                <w:color w:val="auto"/>
                <w:sz w:val="24"/>
                <w:szCs w:val="24"/>
              </w:rPr>
            </w:pPr>
            <w:r>
              <w:rPr>
                <w:rFonts w:ascii="宋体" w:hAnsi="宋体" w:eastAsia="宋体"/>
                <w:b/>
                <w:bCs/>
                <w:color w:val="auto"/>
                <w:sz w:val="24"/>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高清录播管理软件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软件架构：支持B/S架构设计，能够方便教师使用IE、360等主流浏览器通过网络直接访问录播主机进行导播和管理。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2.录制控制：支持录制、暂停、停止等基本功能操作，实现全自动、手动两种录制模式，支持录制过程中实时切换录制模式。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录制管理：支持高低码流同步录制，支持电影模式和资源模式录制，实现复合画面、每个摄像机画面及电脑课件画面的独立封装和点播。支持自定义录制分辨率、帧率和码率，最高支持1080P@30fps，码率支持512kbps到40Mbps可设。</w:t>
            </w:r>
          </w:p>
          <w:p>
            <w:pPr>
              <w:snapToGrid w:val="0"/>
              <w:spacing w:before="0" w:after="0" w:line="240" w:lineRule="auto"/>
              <w:ind w:left="0" w:right="0"/>
              <w:jc w:val="left"/>
              <w:rPr>
                <w:rFonts w:ascii="宋体" w:hAnsi="宋体" w:eastAsia="宋体"/>
                <w:b/>
                <w:bCs/>
                <w:color w:val="auto"/>
                <w:kern w:val="0"/>
                <w:sz w:val="24"/>
                <w:szCs w:val="24"/>
              </w:rPr>
            </w:pPr>
            <w:r>
              <w:rPr>
                <w:rFonts w:ascii="宋体" w:hAnsi="宋体" w:eastAsia="宋体"/>
                <w:color w:val="auto"/>
                <w:kern w:val="0"/>
                <w:sz w:val="24"/>
                <w:szCs w:val="24"/>
              </w:rPr>
              <w:t>4.分段录制：支持分段录制技术，当录制的课程时间较长时，可按照用户设定的文件时长自动分割录制成多个视频文件，提供不分段、30分钟分段、60分钟分段三种方式可选。</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5.同步录制：支持USB接口插入U盘，实现本机和U盘同步录制功能，录制完毕后同时另存为一份录像文件到U盘中。</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导播管理：支持对所有接入视频和录制效果画面的实时预览，手动导播模式下支持信号源实时切换录制。提供双分屏、三分屏、画中画等录制布局，支持自定义布局方式，支持多个视频图层自由叠加组合，自定义布局时可随意拖拉画面窗口。支持渐变、缩放、切换等转场特效。支持添加LOGO，可通过鼠标直接拖拽设置LOGO在画面的显示位置。支持添加字幕，字幕颜色、字幕描边、字幕背景可设。支持设置录制的片头片尾。</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7.摄像机控制：支持鼠标快速定位功能，通过鼠标点击快速居中画面区域，通过鼠标滚轮可以调节云台摄像机的焦距。每个云台摄像机应至少支持8个预置位设置与调用功能。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8.面板管控：Console接口支持接入控制面板，对录播设备进行唤醒、录制管理。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9.视频环出：2路HDMI信号同步输出，录课模式下实时环出录课画面，双流互动模式下双HDMI输出分别实时环出互动主、辅流画面。</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10.音频处理：内置音频处理功能，支持4路音频通道同步处理，包括EQ均衡、AEC回声抑制、AGC自动增益、ANC噪声抑制。</w:t>
            </w:r>
            <w:r>
              <w:rPr>
                <w:rFonts w:ascii="宋体" w:hAnsi="宋体" w:eastAsia="宋体"/>
                <w:b/>
                <w:bCs/>
                <w:color w:val="auto"/>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跟踪功能：基于图像识别分析技术，结合定位分析装置实现课堂教师、学生行为的全自动跟踪功能。包括教师走动、授课特写、课件跟踪、学生起立等场景。课件电脑跟踪支持“鼠键触发检测”和“图像变化检测”两种自动跟踪方式，可自定义电脑信号呈现保留时间。</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12.跟踪屏蔽：支持设置跟踪屏蔽区域，如主动屏蔽掉教师观摩区、窗户窗帘、教室门口、大屏液晶电视等易干扰跟踪效果的地方，所屏蔽的地方系统将不对其进行图像分析跟踪运算，以避免这些地方干扰整体的跟踪效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13.双流互动功能：互动时听课端设备支持将教学场景及教学课件画面以两路独立HDMI信号分别同时环出显示到两个显示设备中。</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14.直播管理：支持自定义直播分辨率和码率，最高支持1080P@30fps，以适应不同网络环境下保持直播的流畅性。支持RTMP和RTSP视频传输协议，支持≥3路RTMP同步推流，可从接入的摄像机信号和电脑信号中选择自定义每路推流信号源，实现多流直播。</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15.录像管理：支持对录制视频按标题、主持人、时间、时长进行排序，便于快速检索所需视频。支持对录像文件进行回放和下载。</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16.视频修复：支持硬盘格式化功能，支持对设备异常断电、宕机造成的损坏视频文件进行修复。</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17.视频上传：支持与资源平台无缝对接，录播设备通过FTP传输协议将录制视频文件自动上传至平台。</w:t>
            </w:r>
          </w:p>
          <w:p>
            <w:pPr>
              <w:snapToGrid w:val="0"/>
              <w:spacing w:before="0" w:after="0" w:line="240" w:lineRule="auto"/>
              <w:ind w:left="0" w:right="0"/>
              <w:jc w:val="left"/>
              <w:rPr>
                <w:rFonts w:ascii="微软雅黑" w:hAnsi="微软雅黑" w:eastAsia="微软雅黑"/>
                <w:color w:val="auto"/>
                <w:sz w:val="24"/>
                <w:szCs w:val="24"/>
              </w:rPr>
            </w:pPr>
            <w:r>
              <w:rPr>
                <w:rFonts w:ascii="宋体" w:hAnsi="宋体" w:eastAsia="宋体"/>
                <w:color w:val="auto"/>
                <w:kern w:val="0"/>
                <w:sz w:val="24"/>
                <w:szCs w:val="24"/>
              </w:rPr>
              <w:t>1</w:t>
            </w:r>
            <w:r>
              <w:rPr>
                <w:rFonts w:ascii="宋体" w:hAnsi="宋体" w:eastAsia="宋体"/>
                <w:color w:val="auto"/>
                <w:sz w:val="24"/>
                <w:szCs w:val="24"/>
              </w:rPr>
              <w:t>8</w:t>
            </w:r>
            <w:r>
              <w:rPr>
                <w:rFonts w:ascii="宋体" w:hAnsi="宋体" w:eastAsia="宋体"/>
                <w:color w:val="auto"/>
                <w:kern w:val="0"/>
                <w:sz w:val="24"/>
                <w:szCs w:val="24"/>
              </w:rPr>
              <w:t>.支持中英文双语版本切换，适合不同教师的应用需求。</w:t>
            </w:r>
            <w:r>
              <w:rPr>
                <w:rFonts w:ascii="宋体" w:hAnsi="宋体" w:eastAsia="宋体"/>
                <w:b/>
                <w:bCs/>
                <w:color w:val="auto"/>
                <w:sz w:val="24"/>
                <w:szCs w:val="24"/>
              </w:rPr>
              <w:t>(需提供录播管理相关功能的软件著作权登记证书复印件。)</w:t>
            </w:r>
          </w:p>
          <w:p>
            <w:pPr>
              <w:snapToGrid w:val="0"/>
              <w:spacing w:before="0" w:after="0" w:line="240" w:lineRule="auto"/>
              <w:ind w:rightChars="0"/>
              <w:jc w:val="left"/>
              <w:rPr>
                <w:rFonts w:ascii="宋体" w:hAnsi="宋体" w:eastAsia="宋体"/>
                <w:b/>
                <w:bCs/>
                <w:color w:val="auto"/>
                <w:kern w:val="0"/>
                <w:sz w:val="24"/>
                <w:szCs w:val="24"/>
              </w:rPr>
            </w:pP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嵌入式导播系统</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1.导播方式：提供本地导播和网页导播多种导播方式，支持外接导播摇杆控制台进行导播操作。</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2.网络导播：为保障低配置电脑也能正常使用，要求支持通过浏览器访问录播主机进入导播界面，在导播界面实现对所有接入视频和录制效果画面的实时预览，并支持在手动导播模式下进行信号源实时切换录制。支持渐变、缩放、切换等转场特效。不接受安装客户端软件进行导播的方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3.导播功能：支持布局切换、转场特效、字幕、LOGO、摄像机控制等基本导播功能。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4.导播预览：支持摄像机和HDMI信号的实时预览，支持点击切换录制画面。</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5.跟踪方式：支持手动、全自动、半自动三种跟踪导播方式，可“一键式”开启全自动图像跟踪拍摄录制。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6.摄像机控制：支持鼠标快速定位功能，通过鼠标点击快速居中画面区域，通过鼠标滚轮可以调节云台摄像机的焦距。每个云台摄像机应至少支持8个预置位设置与调用功能。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7.布局设置：支持自定义布局设置，支持多个视频图层自由布局组合，自定义布局时可自主选择拖动视频源进入布局窗口。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8.字幕台标：支持字幕和字幕背景的透明度设置功能，支持字幕滚动和固定位置两种显示方式；支持上传台标，自定义台标位置。</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15.面板管控：Console接口支持接入控制面板，对录播设备进行唤醒、录制管理。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9.视频环出：2路以上HDMI信号同步输出，录课模式下实时环出录课画面，双流互动模式下支持双HDMI输出分别实时环出互动主、辅流画面。</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10.音频处理：内置音频处理功能，包括混音、EQ均衡、回声抑制等。</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11.跟踪功能：录播主机内置跟踪功能，结合教室定位分析镜头，可完成摄像机画面拍摄和跟踪检测，实现课堂教师、学生行为的全自动跟踪功能。包括教师走动、授课特写、课件跟踪、学生起立等，课件电脑跟踪支持“鼠键触发检测”和“图像变化检测”两种自动跟踪方式，可自定义电脑信号呈现保留时间。为保障系统使用、管理便捷稳定，不接受使用额外配置跟踪主机的方式。</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color w:val="auto"/>
                <w:kern w:val="0"/>
                <w:sz w:val="24"/>
                <w:szCs w:val="24"/>
              </w:rPr>
              <w:t>12.跟踪屏蔽：支持设置跟踪屏蔽区域，如主动屏蔽掉教师观摩区、窗户窗帘、教室门口、大屏液晶电视等易干扰跟踪效果的地方，所屏蔽的地方系统将不对其进行图像分析跟踪运算，以避免这些地方干扰整体的跟踪效果。</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互动教学系统</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snapToGrid w:val="0"/>
              <w:spacing w:before="0" w:after="0" w:line="240" w:lineRule="auto"/>
              <w:ind w:leftChars="0" w:right="0" w:rightChars="0"/>
              <w:jc w:val="left"/>
              <w:rPr>
                <w:rFonts w:ascii="宋体" w:hAnsi="宋体" w:eastAsia="宋体"/>
                <w:b/>
                <w:bCs/>
                <w:color w:val="auto"/>
                <w:kern w:val="0"/>
                <w:sz w:val="24"/>
                <w:szCs w:val="24"/>
              </w:rPr>
            </w:pPr>
            <w:r>
              <w:rPr>
                <w:rFonts w:hint="eastAsia" w:ascii="宋体" w:hAnsi="宋体" w:eastAsia="宋体"/>
                <w:color w:val="auto"/>
                <w:kern w:val="0"/>
                <w:sz w:val="24"/>
                <w:szCs w:val="24"/>
                <w:lang w:val="en-US" w:eastAsia="zh-CN"/>
              </w:rPr>
              <w:t>1.</w:t>
            </w:r>
            <w:r>
              <w:rPr>
                <w:rFonts w:ascii="宋体" w:hAnsi="宋体" w:eastAsia="宋体"/>
                <w:color w:val="auto"/>
                <w:kern w:val="0"/>
                <w:sz w:val="24"/>
                <w:szCs w:val="24"/>
              </w:rPr>
              <w:t>互动通讯录管理：支持查询互动云系统的通讯录数据，查询内容包括所有已在互动云系统注册的录播账号、录播昵称。支持通过通讯录选择互动对象直接呼叫，或手动输入录播账号进行呼叫</w:t>
            </w:r>
            <w:r>
              <w:rPr>
                <w:rFonts w:ascii="宋体" w:hAnsi="宋体" w:eastAsia="宋体"/>
                <w:b/>
                <w:bCs/>
                <w:color w:val="auto"/>
                <w:kern w:val="0"/>
                <w:sz w:val="24"/>
                <w:szCs w:val="24"/>
              </w:rPr>
              <w:t>。</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互动创建：支持通过通讯录选择互动录播并“一键式”呼叫创建互动房间，支持通过会议号和会议密码直接加入已创建的互动房间。支持对每台录播设备自动分配纯数字短号，可以通过短号直接呼叫录播设备创建互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3.授课互动：要求贴近实际同步课堂教学场景，听课端观看的互动画面有主讲端控制。支持将主讲老师和课件信号双分屏或画中画模式共享给听课端观看。</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4.互动画质：录播主机双向互动过程中，在4Mbps带宽下可实现1080P@30FPS画质，支持网络自适应功能。</w:t>
            </w:r>
          </w:p>
          <w:p>
            <w:pPr>
              <w:snapToGrid w:val="0"/>
              <w:spacing w:before="0" w:after="0" w:line="240" w:lineRule="auto"/>
              <w:jc w:val="left"/>
              <w:rPr>
                <w:rFonts w:ascii="宋体" w:hAnsi="宋体" w:eastAsia="宋体"/>
                <w:b/>
                <w:bCs/>
                <w:color w:val="auto"/>
                <w:sz w:val="24"/>
                <w:szCs w:val="24"/>
              </w:rPr>
            </w:pPr>
            <w:r>
              <w:rPr>
                <w:rFonts w:ascii="宋体" w:hAnsi="宋体" w:eastAsia="宋体"/>
                <w:color w:val="auto"/>
                <w:kern w:val="0"/>
                <w:sz w:val="24"/>
                <w:szCs w:val="24"/>
              </w:rPr>
              <w:t>5.互动网络管理：支持网络检测功能，测试录播设备与互动服务器之前的网络通讯情况，包括上下行丢包率数据、带宽数据。互动画面中可叠加显示各互动点的视频码流和丢包率。</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6.双流互动功能：互动时听课端设备支持将教学场景及教学课件画面以两路独立HDMI信号分别同时环出显示到两个显示设备中。</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高清云台摄像机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1.图像传感器：1/2，33英寸逐行扫描CMOS,≥200万像素；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2.SDI高清视频：1080p/60，1080p/50，1080i/60，1080i/50，1080p/30， 1080p/25，720p/60，720p/50；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3.焦距：f=3.7mm-82.91mm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4.光圈：F1.8-F11.0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5.变焦：≥20倍</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6.垂直视场角：43.2°~3.7°</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7.传感器像素：≥800万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8.编码压缩：视频H.264 ，音频压缩：ACC</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9.音频输入：至少一路LINE IN</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10.视频输出：SDI、HDMI</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11.网络接口：内置RJ45 网口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12.控制接口：一路RS422，一路RS-232。</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13.网络流传输协议：RTP、RTSP</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14.USB接口：USB Type-A</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15.支持POC供电、电源适配器供电两种供电方式，根据环境实际情况可灵活选择。</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16.整机使用平均无故障运行时间(MTBF)应≥120000小时。</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17.为保证系统稳定性及兼容性，要求与录播主机为同一品牌。</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高清云台摄像机软件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支持web界面访问，远程访问进行管理。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支持网络参数设置与修改，支持一键恢复默认参数。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支持曝光模式设置功能，包括自动、手动。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支持抗闪烁频率、动态范围、光圈、快门参数设置。</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支持自动白平衡设置功能，红、蓝增益可调。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支持噪声抑制设置功能，支持2D、3D降噪。</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支持摄像机图像质量调节功能，包括亮度、对比度、色调、饱和度。</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 支持摄像机控制功能，包括云台控制、预置位设置与调用、焦距调节等。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7</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数字智能调音矩阵</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1.本机具备≥8路输入，≥4路输出。支持多电平输入，支持幻象供电。</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矩阵功能:输入多路信号并将其按教师设定比例进行混合，分配到多个输出通道中。</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转换器类型 24bit;采样率 48K</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频率响应 20~20KHZ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模/数动态范围（A-计权）114dB</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6. 要求与录播主机为同一品牌。</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7.</w:t>
            </w:r>
            <w:r>
              <w:rPr>
                <w:rFonts w:ascii="宋体" w:hAnsi="宋体" w:eastAsia="宋体"/>
                <w:color w:val="auto"/>
                <w:kern w:val="0"/>
                <w:sz w:val="24"/>
                <w:szCs w:val="24"/>
              </w:rPr>
              <w:t xml:space="preserve"> </w:t>
            </w:r>
            <w:r>
              <w:rPr>
                <w:rFonts w:ascii="宋体" w:hAnsi="宋体" w:eastAsia="宋体"/>
                <w:b/>
                <w:bCs/>
                <w:color w:val="auto"/>
                <w:kern w:val="0"/>
                <w:sz w:val="24"/>
                <w:szCs w:val="24"/>
              </w:rPr>
              <w:t>产品无故障运行时间MTBF＞60000小时。提供生产厂家出具的、相应的功能证明材料（包括但不限于测试报告、官网和功能截图等）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对</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8</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数字音频处理软件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须采用C/S或B/S软件架构设计，支持对音频处理矩阵进行管理。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2.自适应反馈消除功能（AFC）：采用自适应处理的方式对现场扩声系统的啸叫进行有效的消除。</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3.智能自动增益控制（AGC）：自动提升和压缩话筒音量，使之以恒定的电平输出。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4.自适应噪声消除（ANC）：自动噪声消除根据环境的声场变化自动进行噪声消除。</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9</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录播拾音话筒设备</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指向性话筒：心型指向/超心型指向，背极式驻极体。</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2.采用吊装方式，合理分布，教室授课区内任何位置的拾音必须平均、清晰，录制的课件必须保持同样的音质效果；采音时教师及学生均无需手持和携带任何采音设备，完全常态化教学。</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3.频率范围：40-16000Hz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4.灵敏度：-29dB±3dB（1dB=1V/Pa at 1kHz）灵敏度高，失真小，动态范围大</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5.最大声压级：130dB，输出阻抗：500Ω/1600Ω±30%(at 1kHz)，信噪比：≥70dB,根据教室高度配备吊杆。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6.动态范围：106dB（1kHz at Max SPL.）</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7.使用电源：48V 幻象电源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9.内置晶体管放大器。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12.配弹簧传输线。</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13.连接端：XLR三针。</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10</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无线话筒</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主要功能特点：</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1、高保真咪芯，高音细腻，中低频更足，拾音更强大，合金拉丝面板；</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2、大宽体金属机箱，K歌音效完美；                                                                                                                                                                                       3、2通道UHF无线系统，每个通道至少100个频率可选；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4、配有LCD液晶显示，实时反馈系统工作状态；</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5、须采用数字音码锁定技术，有效阻隔使用环境中杂讯干扰；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6、须采用最新红外线自动对频（IR）与自动选频（AFS）技术；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7、只话筒可互换使用，手持管使用金属外观，可选配手持/领夹式/头戴式话筒。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主要技术参数：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1、使用电池，两节1.5V电池；</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2、标准工作电压时正常工作电流(mA)：≥140mA</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3、标准工作电压时正常工作功率：≥0.42W；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4、最低工作电压(V)：≥2.0V；</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5、使用时间(h)：≥3.5/h；</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6、使用方式不少于三种，比如手持式、鹅颈式、头戴式）；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7、载波频段(MHz)UHF：640~699.7MHz；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8、振荡模式PLL锁相环综合控制；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9、频带宽度(MHz)：≥60MHz、；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10、发射功率(mW)：≥18mW/30mW可调；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12、拾音器动圈式；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13、指向特性全指向性；</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14、频率调整IR红外线自动；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15、频率响应(hZ)：30-18,000 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16、输出阻抗(Ω)：≤600Ω；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17、操作显示LCD液晶显示；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18、接触发射强度(dB)大于8dB；</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 xml:space="preserve">29、旋钮带LED蓝灯背光；                                                                                                                                                                                                              30、机身尺寸：≥480*200*35（单位：mm）。                                                                                                                                                                            </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控制系统</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在讲台上镶嵌式安装方式；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控制接口：RS232</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信号指示灯：支持</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支持一键式系统电源开关控制。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具备开始、暂停、停止、锁定电脑信号操作；嵌入式安装于教室前端多媒体讲台上，与自动跟踪设备配合使用，在无控制室人员录制情况下，教师可自主控制课程录播开始、暂停、停止全过程。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支持本地录播全自动的开启、关闭控制；该功能同时支持录播模式和互动模式；支持通过交互控制面板切换互动画面的信号源，并传输到听课室，包括本地老师信号、学生信号、电脑信号、远端课室画面；支持对各画面的自由布局控制，包括单画面全屏、双分屏、三分屏、四分屏、画中画，并传输到听课室</w:t>
            </w:r>
            <w:r>
              <w:rPr>
                <w:rFonts w:ascii="宋体" w:hAnsi="宋体" w:eastAsia="宋体"/>
                <w:b/>
                <w:bCs/>
                <w:color w:val="auto"/>
                <w:kern w:val="0"/>
                <w:sz w:val="24"/>
                <w:szCs w:val="24"/>
              </w:rPr>
              <w:t>。</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color w:val="auto"/>
                <w:kern w:val="0"/>
                <w:sz w:val="24"/>
                <w:szCs w:val="24"/>
              </w:rPr>
              <w:t>7. 支持通过面板一键发起与远端设备互动连接</w:t>
            </w:r>
            <w:r>
              <w:rPr>
                <w:rFonts w:ascii="宋体" w:hAnsi="宋体" w:eastAsia="宋体"/>
                <w:b/>
                <w:bCs/>
                <w:color w:val="auto"/>
                <w:kern w:val="0"/>
                <w:sz w:val="24"/>
                <w:szCs w:val="24"/>
              </w:rPr>
              <w:t>。</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时序电源控制器</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1.接口：至少1路≥220V强电输入，至少8路独立继电器控制，每路都供电源状态指示灯。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采用金属外壳，机架式安装。</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支持对录播系统控制功能，实现通过录制面板一键启动录播系统相关设备的电源；</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 支持录播系统的远程集中统一控制，实现录播主机远程开关机；</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导播控制器</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支持不少于5种特技效果；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支持不少于6布局选择；不少于6路视频直播切换；不少于6个预置位；不少于6个视频预选功能；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支持云台控制功能：上下左右及变焦功能；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支持录制、暂停、停止功能；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支持全自动录播模式和手动录播模式。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支持通过USB线缆连接录播主机；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安装导播控制台软件，并设置录播地址；</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 导播界面与导播控制台按键/状态同步对应；</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多媒体讲桌</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1、标准规格尺寸：≥长1100mm×宽670mm×高950mm。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2、材料：采用钢木结合材料，桌面采用橡木实木面板，讲台两侧安装实木扶手，桌面的面板以及扶手的颜色跟学生的桌椅色彩相近，整体效果比较协调，讲台其余部分采用冷轧钢板喷塑。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3、讲桌上部分弯角采用圆弧一次冲压成型设计。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4、显示器采用翻转式设计，翻转板采用两边轴设计，轴承采用笔记本电脑翻转原理。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5、右边展示台抽屉的关闭不受翻转板的限制，即便是盖上显示器翻板，展示台抽屉照样可以关闭。</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6、笔记本接口模块、电源模块都采用独立式安装，强弱电分离。</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张</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功放</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主要功能特点：</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1、采用双声道高保真全分离件、全频带功率放大系统；</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2、话筒独立控制音量、混响，高低音调；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3、带数码显视屏；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4、四路音源输入，至少前2后1话筒插口（环保麦克风插口自带DC+6V电源），且能对话筒音调的音量、线路的音量，独立调节；</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5、主要功能键采用暗藏式设计；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6、须全中文界面；</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7、带无线话筒USB接口，可（选配）外置2.4G发射器块配套使用2.4G数字无线话筒，实现2.4G数字无线多媒体扩音机；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8、可广泛应用于电教室、多媒体教室、会议室等场所的扩音。</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主要技术参数：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1、额定功率：≥2*100W/8Ω；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2、最大功率：≥2*200W/8Ω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3、频率响应：线路输入 20Hz-20KHz、话筒 60Hz-14KHz；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4、线路音调控制：高音10KHz±12dB、低音 100Hz±12dB；</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5、话筒音调控制：高音 10KHz±12dB 、低音 100Hz±12dB；</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6、额定输入电平：话筒≥15mV（非平衡）、线路≥200mV；</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7、额定输出电平：线路≥0.775V；</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8、失真度： ≤0.5%；</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9、信噪比：≥80dB(A计权)；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10、主保险丝：≥3.15A；</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11、电源：交流220V±10%/50Hz；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12、材质及表面处理：铝合金拉丝处理；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13、面板颜色：银灰；</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14、尺寸：≥（L×W×H）480×280×75 (单位：mm)；</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音箱</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主要功能特点：</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1、两分频设计；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2、箱体结构采用计算机CAD辅助设计；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3、分频器须经过专业扬声器测试系统调校、检测；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4、适用于多媒体课室和电教室。</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主要技术参数：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1、额定功率：≥60W；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2、最大功率：≥180W；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3、额定阻抗：≥8Ω；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4、频率响应：57Hz-19kHz；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5、驱动器：≥1个8寸长冲程低音驱动器、≥1个3寸前纸盆高音；</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6、灵敏度：≥96dB/1W/1M；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7、最大声压级：≥115dB；指向性覆盖角：120°（H）x120°（V）；</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8、连接器：正负极接线夹；</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9、箱体及外饰：高密度中纤板（黑色）箱体，钢网；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10、安装：标配壁挂架；</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11、箱体尺寸（L×W×H）（只）：≥ 250×200×380（单位：mm）。</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对</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restart"/>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17</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智慧黑板</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1．整机采用三拼接平面一体化设计，无推拉式结构及外露连接线，外观简洁，整机均支持粉笔、白板笔等直接书写，整机尺寸长度≥4200mm， 高度≥1200mm。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2.显示面板为UHD超高清LED液晶屏，3.2mm防爆防眩光钢化玻璃；有效显示尺寸 ≥86英寸；可视角度：178°（H）/178°（V）；分辨率：840×2160；亮度：≥400cd/m²；对比度≥1200:1；屏幕比例16:9，使用寿命≥30000hrs，；屏幕显示灰度分辨率达到128灰阶以上，最高可达256。</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3．整机采用全贴合技术，钢化玻璃和液晶显示层无间隙。</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4．内置嵌入式安卓系统，CPU采用不低于四核设计，系统版本不低于Android8.0，运行内存≥3GB，存储空间≥16GB。</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5．采用电容触控技术，支持最小直径2mm有源触摸笔精细独立书写，支持安卓和Windows系统中进行20点触控。</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6．整机能主动感应并自动调节显示亮度实现在不同光照环境下的最舒适的屏幕亮度效果，功能具备自行开启或关闭权限。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7．整机具备防强光干扰性能，在100K LUX的强光照射下，产品各项书写、触控功能正常使用。</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8．整机支持软件防蓝光护眼功能，保护师生的用眼安全。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9．前置物理按键，包含待机机、主页、返回、设置、音量调节等常用功能。</w:t>
            </w:r>
          </w:p>
          <w:p>
            <w:pPr>
              <w:snapToGrid w:val="0"/>
              <w:spacing w:before="0" w:after="0" w:line="240" w:lineRule="auto"/>
              <w:jc w:val="left"/>
              <w:rPr>
                <w:rFonts w:ascii="宋体" w:hAnsi="宋体" w:eastAsia="宋体"/>
                <w:b/>
                <w:bCs/>
                <w:color w:val="auto"/>
                <w:sz w:val="24"/>
                <w:szCs w:val="24"/>
              </w:rPr>
            </w:pPr>
            <w:r>
              <w:rPr>
                <w:rFonts w:ascii="宋体" w:hAnsi="宋体" w:eastAsia="宋体"/>
                <w:color w:val="auto"/>
                <w:kern w:val="0"/>
                <w:sz w:val="24"/>
                <w:szCs w:val="24"/>
              </w:rPr>
              <w:t>10．支持前置最新的Type-C接口，接口可通过一根标准Type-C实现外接电脑设备直接投屏到整机上并进行对外接电脑设备的触摸控制，无需再另接触控USB线；支持Type-C接口U盘传输文件，兼容手机充电功能。前置接口包括一路HDMI输入接口、一路ops电脑USB3.0接口、一路全通道USB接口（支持安卓和任意信号源识别，如鼠标键盘U盘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11．为了提高整机拓展性能，后置接口支持两路HDMI输入接口，至少一路VGA接口，至少一路AV输入接口，至少一路AV输出接口，至少一路YPBPR 输入接口，至少一路方口TouchUSB接口，至少两路LAN接口，至少两路安卓USB接口，至少一路PC-Audio 输入接口，至少一路HDMI 输出接口，至少一路S/PDIF 输出接口，至少一路Audio OUT，至少一路RS232接口。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12．整机内置≥2*15W音响，支持60HZ-10KHZ宽频域。</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13．系统侧边栏：显示屏两侧均有可显示/可隐藏/可切换悬浮球按键，支持手势呼出功能，实现返回，切回主页，设置，任意通道批注，进程管理等系统操作。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嵌入式安卓系统中，教学白板支持手势识别：单点接触书写，两点放大缩小，多点漫游，面接触自动识别板擦功能，如手背贴在电子白板屏幕上时，自动识别橡皮擦功能，快速擦除书写内容；支持笔锋书写模式，贴近实际书写效果；支持手机扫码保存（扫码保存可支持加密分享）、U盘保存、本地保存（可自定义命名、自定义目录、自定义保存文件格式）、邮件发送保存。</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15．任意通道批注，支持十点批注，方便多人同步演示，支持手掌或手背擦除电子批注笔迹，批注内容可以截图的形式保存在白板中，实现二次批注，支持白板文件本地保存，扫码保存，且支持三种格式文件保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16．支持设置锁和开机锁屏，保证设备使用信息安全。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17．支持USB存储禁用、应用安装禁用等功能。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18．管理系统：后台支持信息发布、集控功能，可通过后台远程进行图片发布、文字发布、紧急信息发布、触摸控制、开机LOGO更改、开机信源更改、关机、定时开关机等功能。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19．整机内置无线WIFI模组，双WIFI设定，共模双频，一路作为WIFI连接网络，另一路作为热点投屏，且两路WIFI支持2.4G/5.8G双频段，满足IEEE 802.11 a/b/g/n/ac标准。整机内置隐藏天线，无外置显露天线。</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20．支持网络共享，通过一根网线连接到整机，可以实现安卓系统和Windows系统都上网。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21．整机支持蓝牙功能，通过外接蓝牙设备实现蓝牙传输。</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22．内置≥800万像素的摄像头以及≥1路麦克风，实现远程课程直播、打破空间限制、增强教学互动.</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23．支持记忆通道模式，开机后自动跳转上一次显示通道；支持自动识别外部接入型号，接入信号可自动切换当前信号通道，并可手动关闭自动切换通道。</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整套智慧黑板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18</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内置电脑</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1．CPU：I5及以上处理器；内存：≥DDR4 8G；硬盘：≥256G固态硬盘；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2．接口：≥1个HDMI，≥1个DP，≥6个USB。</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3．系统：标配正版Windows 10及以上操作系统及正版Office专业版办公软件。</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模块化电脑须采用抽拉内置式，采用80pin或以上接口。</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19</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教师工作台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1．教师工作台提供至少两种登录方式，账号密码登录及二维码扫码登录，登录功能支持记录用户信息，形成用户列表，使用户二次登录更便捷，同时实现多应用统一登录功能。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2．教师工作台主界面上呈现多个应用入口，包括课件库、日历、资源、班务、云盘、设备等软件应用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3．教师可直接通过个人工作台进行备课、授课及课件资源的查看及下载。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4．教师注册即可获得不少于1GB的云盘容量空间，无需用户通过完成特定任务才能获取资源存储容量空间，方便教师使用。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5．教师工作台提供课件制作功能，提供多版本教材章节对应课件、教案、素材、习题等资源，针对不同的教材章节自动推送与之精准匹配的教学资源，支持教师选择并引用资源模版进行自由创建课件。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6．支持教师在办公室、家庭等任意场所分享教学课件至班级教室大屏。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7．课件制作过程中系统自动保存课件文件到云端教师专属课件库，随时随地进行二次编辑或用于授课。</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8．支持教师添加教学日程，系统根据日程生成教师课程表，教室大屏设备端依据日程安排呈现课程计划。</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9．提供各个学科、学段、版本的教材资源，并支持查看、下载、收藏、直接引用等操作。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10．教师工作台提供班务管理功能，支持教师创建班级或加入其他教师创建的班级，同时支持解散或退出班级。</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11．支持教师维护自己班级学生信息，支持批量复制学生信息，系统中批量粘贴来添加学生，同时支持修改和删除学生信息。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12．提供学生排座功能，最终以座次表的形式呈现，同时支持单个学生拖动或整排拖动来达到换座位的目的。</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13．远程查看教室终端设备，对设备进行巡课、发送通知、关机等操作。</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14．提供应用管理功能，支持应用下载、安装、升级、卸载等操作。</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20</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白板软件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1．提供备课功能，右侧显示推荐资源。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2．系统所有菜单和按钮均配有明确的图标和中文标识。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3．文本编辑功能，支持文本输入并可快速设置字体、大小、颜色、粗体、斜体、下划线、删除线、上标、下标、格式刷、清除格式等文本输入。</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4．支持文本艺术字修改样式，包括边框、阴影、填充等样式。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5．支持文本多种对齐方式及左右缩进，支持对文本框进行排版，设置层级、旋转、水平、垂直、等距对齐、锁定、组合功能。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6．提供导入音、视频功能。音、视频文件导入到软件中进行播放，可设置单次播放、循环播放。授课过程中视频文件支持拖动位置及大小，可全屏播放。</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7．提供多种常用图形，包括线段、圆、三角形、四边形、多边形、对话框、单双箭头、大中括号、加减乘除等，所有图形均可填充颜色、修改边框颜色以及设置图形透明度。</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8．提供表格工具，鼠标拖动选择行列数插入表格，可设置表格样式、边框颜色、粗细、边框样式，单元格的填充颜色。可插入行、插入列、删除行、删除列，合并行、合并列、拆分行、拆分列。</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9．支持添加思维导图，可增删或拖拽编辑内容、节点。</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10．提供多种学科工具，包含拼音、汉字、几何、统计图表、四线三格、元素周期等。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11．提供多种课堂互动活动，包含趣味分类、超级分类、竞赛PK、选词填空等。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对象特效设置：可对页面对象设置多种进入、退出时的特殊效果，如飞入、淡化、出现、浮入、旋转、劈裂、擦除等效果，支持特效时间、速度、方向设置；支持对教学软件添加的所有对象设置路径轨迹、速度、延时和方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13．具有页面切换特效，包括百叶窗、擦除、向内溶解，棋盘等多种特殊效果。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14．提供多种颜色、粗细程度的笔进行书写，支持多人同时书写。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15．提供多种教学辅助工具，例如直尺、圆规、三角板、聚光灯、放大镜、四线三格、计时器、板中黑板等；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16．支持课件全屏播放，授课模式下可对课件进行批注讲解；</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17．授课模式可自动启用批注工具条，包括有笔、橡皮、几何图形、板中板、聚光灯、放大镜、计时器和上下翻页等功能，支持二维码快速分享课件批注内容。</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微课工具</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1．支持桌面模式、摄像头模式多种模式录制。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2．支持开始、停止录制、保存等操作。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3．支持输入音量调节。</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4．支持自由拖拽系统桌面录制区域、全屏幕录制等多种录制方式。</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5．支持摄像头选择及设置关闭摄像头等操作。</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备课助手</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1．基于PPT、WPS等备课工具，提供教学资源、教学工具，为教师备课提供支持。</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2．提供至少两种登录方式，账号密码登录及二维码扫码登录，登录功能支持记录用户信息，形成用户列表，使用户二次登录更便捷，同时实现多应用统一登录功能。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3．备课提供有课堂活动、思维导图、学科工具、网页工具等工具辅助教师制作课件。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4．支持插入多种课堂互动活动，包含趣味分类、超级分类、竞赛PK、选词填空等。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5．提供网盘功能，支持教师快速打开并编辑课件，支持教师快速引用网盘中的教学资源，如图片、音频、视频、教案、课件、习题等等。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6．支持一键上传课件至网盘，交互大屏端通过打开网盘中的课件进行授课。</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7．须具备有丰富的教学资源，根据教师备课教材章节推送课件、音视频、图片、习题等资源，支持教师直接插入课件或素材来快速便捷制作课件。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8.须具备提供多学科教学的辅助工具，包含拼音、汉字、几何、统计图表、四线三格、元素周期等；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9．支持添加思维导图，可制作思维导图，实现增加、编辑或删除思维导图节点内容。</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10．须具备提供网页的工具，可插入网页。</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网盘</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1．提供给每位教师不少于1G的云存储空间，支持照片、音视频、文档、课件等多种类型文件的云端存储，支持永久保存、随时分享、下载和查看。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2．支持照片、音视频、文档、课件等多种类型文件和文件夹的批量复制、移动备份。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3．提供回收站功能，支持保留10天内删除的文件，支持单个文件还原和多个文件批量还原功能，同时支持一键清空回收站功能。</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4．点击网盘中的文档支持在线编辑或查看文档内容，并支持系统自动保存文档内容。</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授课中心</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1．基于交互大屏终端使用，提供今日课程计划、白板、文件管理/U盘功能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2．提供课件文化、校园通知、今日作业功能。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3．提供课程相关信息及教师分享到交互平板的课件，上课前进入课程提醒页面，展示教师本课时课件。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4．提供白板入口，支持教师快速进入白板书写模式。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5．提供本地文件管理功能入口，方便教师查看管理本地文件。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6．支持自动识别U盘，支持教师以最便捷的方式打开U盘，找到教学资源文件。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7．支持课间休息时全屏播放发布的图片、视频等课间文化和纯文本的课间通知内容。</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8．支持在课间全屏显示各科目今日作业内容，帮助学生抄写作业，记录作业内容。</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9．为应用程序提供快捷使用入口，同时支持应用程序管理。</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授课宝</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1．基于PPT、WPS的授课工具，支持教师随时随地打开课件进行互动教学，同时提供教学工具库。</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2．提供有网盘功能，支持教师在授课过程中随时打开网盘中存储的教学资源辅助教学，同时支持把授课过程中的批注笔记实时存储到网盘中。</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3．提供课堂评价功能，支持教师在授课过程中对学生进行点评、点名、知识点掌握情况评价、批量点评学生等。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4．授课过程中为教师提供笔、橡皮、学科工具等帮助教师实时进行批注。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5．提供黑板模式，支持新建页、翻页，同时支持一键截屏保存至云端网盘中。</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6．提供的工具箱包含有形状、放大镜、聚光灯、计时器、拼音、汉字、函数、几何、四线三格、元素周期等各学科教学辅助工具。</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课堂评价</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1．支持学生座次模式名单，便于教师对号入座评价学生。</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2．支持教师实时对班级学生进行评价，支持对单个学生或同时对多个学生进行评价，记录每一位学生的点评得分，同时提供重新计分功能。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3．支持随机抽取单个学生或多个学生进行提问并根据学生对知识点的掌握情况进行评价。</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4．支持教师对每节课进行学生点名，设置学生考勤状态，记录考勤数据，包括迟到、请假、旷课、正常四种状态。</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5．系统能够给每一位学生生成单独的报表数据，支持查看每个学科的点评结果、考勤情况和知识点掌握情况。</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6．系统提供有班级报表，可查看每个学科的班级表现、班级考勤和知识点掌握情况统计数据，同时提供数据支撑。</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7．提供光荣榜功能，显示班级学生的排名情况。</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27</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资源中心</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1．提供第三方资源接入服务，汇聚多个优质资源服务平台，支持小初高多个学科，资源覆盖K12全学段、全学科。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2．提供云端存储和资源管理，支持随时随地实现资源共享、预览、下载等服务。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3．支持资源下载量、点赞量排序。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4．支持教师上传资源、管理维护资源。提供资源共享、预览、下载等功能。</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5．为业务平台提供资源服务，包括课件资源、微课资源、校本资源等，资源类型涵盖有课件、图片、文档、视频、音频等。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28</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应用中心</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1．提供多种应用程序，包括备课、班务管理、授课等，支持下载、安装、升级、自动安装、卸载应用程序功能。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2．管理已安装的应用程序，支持点击直接打开应用程序，支持应用程序自动升级，同时提供应用程序卸载功能。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3．支持应用程序详情，具有图片、文字描述，详细介绍，版本说明。</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4．提供应用程序分类，支持教师根据分类快速找到想要的应用程序，如：教学管理、系统工具等。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vMerge w:val="continue"/>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29</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教师移动助手</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1．支持微信小程序，不需要安装app；</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2．扫一扫即可打开应用，提供多种功能，包含课件库、资源、网盘、设备集控、班务管理等。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3．支持教师云端课件库，支持对单个或多个课件进行分享、移动和删除，支持重命名课件，提供智能检索功能来搜索课件。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4．提供移动端资源中心，支持课件、教案、其他素材等教学资源，支持教师随时随地搜索查找教学资源，同时支持一键保存资源到个人网盘中进行备用。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5．支持教师个人网盘，支持显示个人网盘内容，提供新建文件夹功能，支持对单个或多个文件进行分享、移动和删除，支持重命名文件和文件夹，支持提供智能检索功能来搜索网盘里的文件。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6．支持添加、管理设备和远程控制设备，给指定设备发送校园通知和课件文化，支持移动端进行文件分发。支持通过设置和执行场景来控制关联的设备。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7．支持查看班级光荣榜，呈现班级点评得分情况以及班级学生得分排行。</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8．提供移动端班务管理入口，支持教师在移动端创建、加入班级，同时支持退出或解散班级，支持教师添加和删除学生信息。</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9．支持教师在移动端对单个学生或同时对多个学生进行评价，记录每一位学生的点评得分；支持随机抽取单个学生或多个学生进行提问并根据学生对知识点的掌握情况进行评价；支持教师对每节课进行学生点名，设置学生考勤状态，记录考勤数据；系统给每一位学生生成单独的报表数据，支持查看每个学科的点评结果、考勤情况和知识点掌握情况；同时系统提供有班级报表，可查看每个学科的班级表现、班级考勤和知识点掌握情况统计数据；提供光荣榜功能，显示班级学生的排名情况。</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30</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互动显示屏</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屏幕尺寸（英寸）≧50英寸屏幕宽高比16:9显示色彩≧16.7M分辨率≧1920×1080 （含吊架)</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亮度指标：≧350CD/㎡</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桌椅</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学生课桌椅：桌面：≧450*650*25mm , 采用全新ABS塑料新料一体注塑成型。桌面正前方有一个笔槽，宽度≧15mm*长度≧470mm。桌面前方有一挡物条，与左右两边连接形成半包围式呈‘冂’字型。靠近身体一边为内弧形，四周成圆角，光滑无毛刺。桌面底部有强化承重之设计，镶入两支强化承重方管，尺寸为：≧30*15*1.0mm优质方管。</w:t>
            </w:r>
            <w:r>
              <w:rPr>
                <w:rFonts w:ascii="宋体" w:hAnsi="宋体" w:eastAsia="宋体"/>
                <w:b/>
                <w:bCs/>
                <w:color w:val="auto"/>
                <w:kern w:val="0"/>
                <w:sz w:val="24"/>
                <w:szCs w:val="24"/>
              </w:rPr>
              <w:t>（提供厂家的ABS相关检测检验报告等证明资料）</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桌斗材质:采用全新PP塑料新料，一体注塑成型。尺寸：≧宽540mm*深390mm*高170mm，边角形状为圆弧边。功能：书箱底部有透水槽缝之设计，至少83条透水槽缝，每条长度为≧40mm。有效防止书籍受潮，左右两侧各设有书包钩，书包钩与书箱一体注塑成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课桌脚：桌子地脚采用：≧30*600*1.2mm扁圆管抬弯成拱形。桌子横档采用≧20*50*1.2mm菱形扁圆管。桌子立柱采用：≧80*30*1.2mm菱形扁圆管。桌子升降管采用：≧25*60*1.2mm菱形扁圆管。桌斗托管采用：≧20*40*1.2mm扁圆管，采用二氧化碳保护焊接，保证无稀焊、漏焊。≧20*40*1.2mm扁圆管折弯呈‘U’型。均采用二氧化碳保护焊接工艺，无稀焊、漏焊。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椅坐面：≧410mm*380mm;靠背：≧410mm*350mm采用全新PP塑料一体注塑成型。坐面设有至少6排散热透气细缝，中间凹型符合人体结构设计。靠背上设有五排通气散热细缝，共计至少10条.靠背面上端设有符合人体手指曲线之手提孔设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凳子地脚采用：≧30*60*1.4mm扁圆管抬弯成拱形。凳子横档采用：≧20*50*1.2mm菱形扁圆管。凳子立柱采用：≧30*80*1.2mm菱形扁圆管。凳子升降管采用：≧25*60*1.2mm菱形扁圆管。采用二氧化碳保护焊接，保证无稀焊、漏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课桌椅脚套、书包勾：采用耐磨PP工程塑料一次性注塑成型。脚套尺寸：≧长80mm*宽63mm*高35mm。</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课桌椅表面处理：钢制部件表面进行磨光去刺、酸洗、磷化、防锈处理后，再进行静电喷塑，高温固化，表面光滑。</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30</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机柜及线材</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≧24U机柜，≧16口千兆交换机（带POE供电），视频线、音频线、网线、HDMI线等辅材</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二、录播教室装修</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保洁</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安装现场的卫生保洁。</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砸墙</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观摩间开窗户</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垃圾外运</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拆除垃圾与装修垃圾装车外运</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室内强电改造</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包含，电线辅料，空开，墙插等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100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弱电布线安装</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人工加线材，国标</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照明</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600*600mm，LED灯</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个</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三间全部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7</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矿棉板吊顶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60*60cm</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52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8</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墙面基础</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轻钢龙骨框架，内部填充岩棉，石膏板封面</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9</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吸音处理</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聚酯纤维扳拼缝铺设</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10</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教室地台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木工板定制地台，尺寸≥4400*1200</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个</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（七）校园电视台（单间1机位）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1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名称</w:t>
            </w:r>
          </w:p>
        </w:tc>
        <w:tc>
          <w:tcPr>
            <w:tcW w:w="575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技术参数</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1.虚拟演播室系统</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虚拟演播室主机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1.为保证系统的安全稳定，采用专业一体化嵌入式设计，主机采用标准1U机箱，ARM 处理器 Linux系统。内置≧2T视频存储硬盘。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2.主机是为教育录播应用而设计的专业设备。设备集HDMI输出、RTSP/H.323/SIP多协议互动、POC摄像机接入等功能为一体。</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3.为保证设备的稳定性，主机管理、导播、视频抠像、虚拟背景实时渲染、录制、直播、点播等功能与一体。</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4.主机需内置抠像功能，无需额外配置抠像服务器或色键器即可完成蓝/绿抠像功能，支持对抠像的自定义设置，可设置抠像阈值，可实现将人物和输入的背景进行叠加录制。为了满足不同角度虚拟场景的拍摄，支持至少2路摄像机的在蓝/绿背景下的实时同步抠像功能，另外至少支持1路摄像机进行实景场景的拍摄录制，支持对虚拟背景信号实时预览。此功能需要进行现场演示予以佐证。</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5.为了满足针对外景的采访接入到校园电视台中，主机支持将网络摄像机的信号接入到主机中，实现演播室与外景的连线，并以双分屏的形式进行显示。此功能需要进行现场演示予以佐证。</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为满足校园电视台的应用场景，要求支持≥4路高清3G-SDI输入接口，≥1路高清HDMI信号和≥1路VGA信号，另外支持≥1路远程网络信号接入；相机视频采集采用3G-SDI方式传输，支持≥1080P@30高清采集和编码录制。为了便于进行录播控制并且实时输出切换后的视频，支持≥2路高清视频输出接口，输出分辨率支持≥1080P@60，输出图像分辨率和帧率可调，输出内容包括导播画面、效果画面和本地导播画面的输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音频输入接口：≥2路麦克风接入，自带幻象供电功能，≥2路线路接入，≥1路线路输出，≥1路为3.5mm本地耳机监听接口。内置音频处理功能，支持EQ均衡调节、增益调节，支持对音频输入输出通道进行音量调节，支持对音频输出通道进行静音设置。</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8.为了便于主机连接鼠标、键盘进行导播控制以及主机连接U盘进行课程视频的下载和上传背景图片素材，要求主机支持≥2路USB3.0接口。</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9.设备支持POC供电，实现高清视频、控制信号与供电信号复合一起，在一根同轴线上传输。</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10.网络接口：≥1路RJ45 LAN接口。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11.视频编码兼容H.265和H.264两种视频编码协议，实现更高效率和更好质量的编码技术。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12.录播设备能够支持本地导播方式，插上显示屏，鼠标键盘就可以完成本地无延迟导播，可扩展硬件导播台；同时能够支持通过主流浏览器如IE、360、火狐等实现网页在线导播。</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13.支持通过RTMP视频传输协议，向直播平台推送直播视频流。支持与资源平台进行对接，支持FTP方式进行视频的上传。</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★14.要求整机使用平均无故障运行时间(MTBF)应≥100000小时。提供生产厂家出具的、相应的功能证明材料（包括但不限于测试报告、官网和功能截图等）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b/>
                <w:bCs/>
                <w:color w:val="auto"/>
                <w:sz w:val="24"/>
                <w:szCs w:val="24"/>
              </w:rPr>
            </w:pPr>
            <w:r>
              <w:rPr>
                <w:rFonts w:ascii="宋体" w:hAnsi="宋体" w:eastAsia="宋体"/>
                <w:b/>
                <w:bCs/>
                <w:color w:val="auto"/>
                <w:sz w:val="24"/>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电视台摄像机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1.支持校园电视台虚拟抠像和实景画面采集；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2.图像传感器：1/2.33英寸逐行扫描CMOS,不少于207万像素；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3.SDI高清视频：1080p/60，1080p/50，1080i/60，1080i/50，1080p/30， 1080p/25，720p/60，720p/50；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4.焦距：f=3.7mm-82.91mm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5.光圈：F1.8-F11.0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6.变焦：≥20倍</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7.垂直视场角：43.2°~3.7°</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8.传感器像素：≥800万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9.编码压缩：视频H.264 ，音频压缩：ACC</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10.音频输入：至少一路 LINE IN</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11.视频输出：SDI、HDMI</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12.网络接口：内置RJ45 网口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13.控制接口：一路RS422，一路RS-232。</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14.网络流传输协议：RTP、RTSP</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15.USB接口：USB Type-A</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16.支持POC供电、电源适配器供电两种供电方式，根据环境实际情况可灵活选择。</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 音频系统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专业播音话筒</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单体：背极式驻极体</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指向性：超心型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频率响应：40Hz—16kHz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低频衰减：内置</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灵敏度：-29dB±3dB（1dB=1V/Pa at 1kHz）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输出抗阻：500Ω±20%（at 1kHz）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最大声压级：≥130dB（T.H.D≤1% at 1kHz）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 信噪比：≥70dB（1KHz at 1Pa）</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 动态范围：≥106dB（1kHz at Max SPL）</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10. 使用电源：≥48V，2mA</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支</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调音台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≥10路MIC/LINE信号输入</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≥4路MONO/STEREO输入，</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≥3路STEREO输入</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≥2路STEREO输出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≥1路MONITOR OUT</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≥1路PHONES输出</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≥1路AUX SEND</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无线话筒</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1、使用电池，两节1.5V电池；</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2、标准工作电压时正常工作电流(mA)：≥140mA</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3、标准工作电压时正常工作功率(W)：≥0.42W；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4、最低工作电压(V)：≥2.0V；</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5、使用时间(h)：3.5/h；</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6、使用方式：至少三种方式，比如手持式、鹅颈式、头戴式；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7、载波频段(MHz)UHF：640~699.7MHz；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8、振荡模式PLL锁相环综合控制；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9、频带宽度(MHz)：≥60MHz、；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10、发射功率(mW)：≥18mW/30mW可调；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12、拾音器动圈式；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13、拾音器灵敏度(dB-38dB±2dB(0dB=1V/PalKHz))；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14、指向特性全指向性；</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15、频率调整IR红外线自动；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16、频率响应(hZ)：30-18,000 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17、输出阻抗(Ω)：≤600Ω；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18、操作显示LCD液晶显示；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19、接触发射强度(dB)：≥8dB；</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 xml:space="preserve">20、旋钮带LED蓝灯背光；                                                                                                                                                                                                              </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3.辅助系统</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摄像机三脚架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1.材质：铝合金；</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2.管径：14~26mm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3.升高：≥150cm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4.最低高度：12~15cm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5.收合高度：≤45cm</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6.载重：≥5kg</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提词器（含支架）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1．系统须支持Windows 7及以上系统。</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2．系统须要求字色、底色256色任意搭配，字体和字的大小任意选择，可选多种角色，以区分男角女角或更多播音角色。</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3．文稿录入、编辑方便，操作简单，自动完成排版,支持txt、rtf、word等格式文本，并支持直接打开图片，word，PPT，视频等文件。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4．须分别采用监视器和高分辨率的彩显，清晰度高，字迹清晰。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5．软件支持汉、藏、蒙、傣、维、朝鲜等少数民族语言。而且还支持国外的一些语言英、日、韩、德、俄、法、阿拉伯文等国家语言。</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6．系统自动记录演播稿，当发生异常停电事故后再加电时自动寻找并且打开演播稿，并保证演播稿的完整性。</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7．相对滚动时间、当前时间可同屏显示，任意设置大小、颜色，一目了然，更易把握节奏；重点语句可通过颜色标明。</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8．控制方式灵活多样，键盘、鼠标、控制手柄均可，字幕速度变化范围可随意调节，前后跳段翻页方便自如；播音稿的行进速度可由播音员自己通过手柄控制，可单、双人控制。</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交换机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≥16口千兆机架式交换机，非网管</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4.软件系统</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虚拟演播室系统软件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校园电视台管理软件：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1.整体设计：采用B/S架构设计，支持主流浏览器直接访问校园电视台主机进行管理。实现跟踪管理、录像管理、用户管理、版本管理、参数管理等各种应用功能的整合管理。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软件支持≥2路抠像信号和≥1路实景摄像机信号预览功能，支持所有输入视频信号的图像预览功能。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3.硬盘管理：支持硬盘格式化功能，支持对设备异常断电、宕机造成的损坏视频文件进行修复。此功能需演示。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软件支持多种虚拟背景叠加并实时渲染输出，支持静态图片、动态视频、摄像机信号灯作为背景，支持虚拟背景预览、叠加后效果输出前预览。。</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5.为了方便通过校园电视台进行虚拟微课的制作，抠像软件支持蓝箱和绿箱的抠像，可见抠像阈值的设置，支持通过HDMI信号输入的静态和动态的背景。</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6.支持直播功能，支持HTTP、RTMP、RTSP多种直播视频流传输协议；支持TCP和UDP传输控制协议。</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7.支持直播推流对接：支持通过RTMP协议向各类型直播服务器推送音视频流，支持同时推送至少3路独立的RTMP直播流。</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8.直播参数：支持高清直播画质，可自定义直播分辨率、码流大小。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9.主机可通过U盘上传背景图片到背景图片库，支持导出背景图片，支持背景图片预览。</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10.平台直播：支持校园电视台主机与资源平台无缝对接，实现一键开启“直播”功能，可通过PC、手机等终端访问平台观看直播。</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12.软件支持人物和背景叠加的效果画面预览，同时支持抠像拍摄和实景拍摄同步进行，并可实时进行抠像拍摄和实景拍摄的切换。</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13.视频封装：支持标准MP4视频封装格式，支持录像文件下载；支持录制参数的设置，可设置按照不同码流进行录制，支持自定义录制分辨率、帧率和码流，码流的设置范围为512kbps到40Mbps。</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录像点播：支持对录制文件进行点播回放，点播分辨率≥1080P，支持拖拽播放进度条播放；支持录制课程的本地下载，支持按照标题、主持人、时间、时长等进行排序，可按主题和主讲人进行分组，可查询录制课程的分辨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导播软件：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1.支持本地导播功能，可直接在虚拟演播室主机接入鼠标、键盘、显示器进行导播操作，保证导播具有较好的实时性和流畅性。</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2.须提供PVW输出前预览窗口和PGM录制监视窗口，所有预操作包括画面切换、背景切换、布局切换等操作均预先在PVW预览窗口显示。确认输出后进行录制并在PGM录制监视窗口显示。</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color w:val="auto"/>
                <w:kern w:val="0"/>
                <w:sz w:val="24"/>
                <w:szCs w:val="24"/>
              </w:rPr>
              <w:t>3.支持5种以上可选布局模式，包括双分屏、画中画模式等。支持虚拟大屏布局模式，抠像人物与HDMI/VGA信号结合营造虚拟大屏效果布局模式。支持自定义布局方式，支持多个视频图层自由叠加组合，支持叠加纯色图层，自定义布局时可随意拖拉画面窗口。</w:t>
            </w:r>
            <w:r>
              <w:rPr>
                <w:rFonts w:ascii="宋体" w:hAnsi="宋体" w:eastAsia="宋体"/>
                <w:b/>
                <w:bCs/>
                <w:color w:val="auto"/>
                <w:kern w:val="0"/>
                <w:sz w:val="24"/>
                <w:szCs w:val="24"/>
              </w:rPr>
              <w:t>针对布局模式软件，提供生产厂家出具的、相应的功能证明材料（包括但不限于测试报告、官网和功能截图等）</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color w:val="auto"/>
                <w:kern w:val="0"/>
                <w:sz w:val="24"/>
                <w:szCs w:val="24"/>
              </w:rPr>
              <w:t>4.须提供3种以上转场特效，包括渐变、扩散、推进等。支持添加LOGO、视频标签、字幕功能，支持通过鼠标直接拖拽设置LOGO在画面的显示位置。支持快速调用预设的字幕内容，支持实时添加字幕，字幕颜色、字幕背景颜色可设，支持字幕循环功能。</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5.需提供流媒体导播软件著作权证书复印件并加盖厂家公章。</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视频编辑软件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1.为保证操作的简便，必须可通过平台启动非编系统对资源进行非编，启动后非编资源可自动上传非编系统。便于教师能够对自己已经录制好的视频进行快速编辑处理；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2.教师能够同时导入多个视频，进行多轨道同步编辑，包括合并、剪辑等功能。支持添加视频轨道、音频轨道、图片轨道和文字轨道。实现了音频、视频、字幕的同步编辑与多格式同步输出。最少支持10个以上音视频、文字轨道；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3.须提供“用户专辑”栏，展示用户添加的各种视音频文件、图片，可按“视频”、“图像”和“音频”进行分类展示，并支持按“名称”、“时长”和“类型”进行快速排列筛选。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4.文件持续时间”和“类型”进行排列。</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5.提供输出效果实时预览窗口，支持对编辑效果的实时输出预览，可对预览视频进行进度条拖动、全屏播放、画面抓拍功能。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6.具有转场特技功能，支持16种以上转场特技效果可供选择。具有滤镜处理功能，支持28种以上滤镜效果可供选择。具有多种视频布局功能，包括2分屏、4分屏、6分屏等至少15种布局模式。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7.资源非编完成后，教师可根据需求设置编辑好的视频码流，并能够一键上传到应用云平台的个人空间当中，同时也能够保存到教师电脑端，以便教师通过移动存储设备拷贝和存档。</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8.要求与虚拟演播室主机为同一品牌。</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5.导播系统</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导播显示器</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≥23英寸高清LED液晶屏；分辨率支持：≥1920*1080；输入接口：至少两种，包括HDMI、VGA等。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无线键鼠</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鼠键接口：USB；鼠键连接方式：无线；键盘类型：全键盘</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非编电脑</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CPU：i5 9500及以上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硬盘：256 SSD +1TB机械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内存：8GB及以上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显卡:≥2GB独显</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显示器：≥23.8英寸 分辨率：≥1080P；(含原厂键鼠)</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提词器电脑</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CPU：i5 9500及以上；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硬盘：≥500GB</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内存：≥4GB DDR4</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显卡：集成显卡</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显示器：≥23寸LED显示器，分辨率：≥1080P；(含原厂键鼠)</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电视机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屏幕尺寸（英寸）≧50英寸；屏幕宽高比：16:9；显示色彩16.7M分辨率≥1920×1080（含吊架)；亮度指标：≧350CD/㎡。</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主持桌椅</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根据用户需求定制。尺寸约为≧2000*750*650mm，产品均采用冷轧板静电粉末喷塑，无污染。</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张</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7</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导播桌</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尺寸约为≧2400*750*650mm，刨花板/三聚氰胺板，配套两张电脑椅</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张</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6.演播室装修部分</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吊顶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矿棉板吊顶60*60cm</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灯光葡萄架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3*3cm的方管焊接，顶面喷黑</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18</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虚拟蓝箱</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蓝箱制作含抠像漆</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35</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抠像地胶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专用抠像地胶</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三基色补光</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LED三基色补光</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个</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抠像桌</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木工板定制喷抠像漆面铺抠像地胶</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个</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7</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墙面基础</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轻钢龙骨找平，填充岩棉，石膏板封面</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54.6</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8</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吸音处理</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木工板定制，地胶铺面</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54.6</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9</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r>
              <w:rPr>
                <w:rFonts w:ascii="宋体" w:hAnsi="宋体" w:eastAsia="宋体"/>
                <w:color w:val="auto"/>
                <w:sz w:val="24"/>
                <w:szCs w:val="24"/>
              </w:rPr>
              <w:t>电路改造</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符合实际情况改造</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10</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弱电布线安装</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国标，符合实际情况安装。</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地台</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木工板定制12平方米</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6.观摩室装修部分</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观摩室墙面基础</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轻钢龙骨框架，内部填充岩棉，石膏板封面</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观摩窗</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≥3000*1100mm钢化玻璃，单透贴</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套装门</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 xml:space="preserve">定制标准套装门≥2100*900mm </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吊顶</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矿棉板吊顶≥60*60cm</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踢脚线</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实木踢脚线≥6.5公分</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米</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隔断墙</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木龙骨打底，填充岩棉，石膏板封面</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平方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（八）计算机教室</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  称</w:t>
            </w:r>
          </w:p>
        </w:tc>
        <w:tc>
          <w:tcPr>
            <w:tcW w:w="571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规格参数</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台式电脑</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1、机型：国产分体式商用台式机；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2、处理器：≥I3以上处理器；</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3、主板：≥Intel B460商用芯片组且集成SATA硬盘供电接口的主板；</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4、内存：≥8GB DDR4 2666MHz 内存，≥2个内存扩展槽；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5、硬盘：≥1T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6、显卡：集成显卡；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7、音频：集成5.1声道高清声卡，至少前2后3音频插孔；</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8、网卡：集成千兆网卡；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9、I/O扩展槽：≥1个PCIe x16, ≥2个PCIe x1,≥1个PCI；</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10、M.2扩展槽：≥2个M.2；</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11、USB接口：前面板≥6个USB3.2接口，背板≥2个USB3.2接口；</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12、视频接口：≥VGA + HDMI等2个视频输出端口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13、其他接口：≥1个串口、≥2个PS/2接口；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14、键盘鼠标：标准商务键盘鼠标；</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15、电源：≥180W功率80Plus节能电源；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16、BIOS：简体中文BIOS；</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17、机箱：≥15L，顶置电源开关，束线锁孔和机箱锁孔采用一体化设计；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18、操作系统：预装正版Windows 10操作系统，支持国产统信桌面操作系统V20或银河麒麟桌面操作系统V10；</w:t>
            </w:r>
            <w:r>
              <w:rPr>
                <w:rFonts w:ascii="宋体" w:hAnsi="宋体" w:eastAsia="宋体"/>
                <w:b/>
                <w:bCs/>
                <w:color w:val="auto"/>
                <w:kern w:val="0"/>
                <w:sz w:val="24"/>
                <w:szCs w:val="24"/>
              </w:rPr>
              <w:t>（需提供操作系统兼容性认证证书，投标机型与证书检测机型一致）</w:t>
            </w:r>
          </w:p>
          <w:p>
            <w:pPr>
              <w:snapToGrid w:val="0"/>
              <w:spacing w:before="0" w:after="0" w:line="240" w:lineRule="auto"/>
              <w:jc w:val="left"/>
              <w:rPr>
                <w:rFonts w:ascii="宋体" w:hAnsi="宋体" w:eastAsia="宋体"/>
                <w:b/>
                <w:bCs/>
                <w:color w:val="auto"/>
                <w:sz w:val="24"/>
                <w:szCs w:val="24"/>
              </w:rPr>
            </w:pPr>
            <w:r>
              <w:rPr>
                <w:rFonts w:ascii="宋体" w:hAnsi="宋体" w:eastAsia="宋体"/>
                <w:color w:val="auto"/>
                <w:kern w:val="0"/>
                <w:sz w:val="24"/>
                <w:szCs w:val="24"/>
              </w:rPr>
              <w:t>19、网络同传及硬盘保护：具备固态机械双硬盘同传保护、高速同传、增量备份、断点续传、软硬件资产管理、上网黑白名单管理、软件自动批量注册及加密传输功能；</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20、显示器：≥21.5英寸液晶显示器，分辨率≥1920x1080、刷新率≥75Hz、亮度≥250cd/m²、对比度≥1000：1</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电脑桌椅</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三聚氰胺板金属翻转器；无扶手钢脚网面椅</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演讲桌</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木质单人；尺寸不小于600*560*1000mm</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个</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电路辅材网络布线</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交换机：≥48个10/100M自适应RJ45端口，所有端口均支持线速转发和MDI/MDIX自动翻转功能，支持19-22英寸机架安装。</w:t>
            </w:r>
          </w:p>
          <w:p>
            <w:pPr>
              <w:numPr>
                <w:ilvl w:val="0"/>
                <w:numId w:val="9"/>
              </w:numPr>
              <w:snapToGrid w:val="0"/>
              <w:spacing w:before="0" w:after="0" w:line="240" w:lineRule="auto"/>
              <w:ind w:right="0"/>
              <w:jc w:val="both"/>
              <w:rPr>
                <w:rFonts w:ascii="宋体" w:hAnsi="宋体" w:eastAsia="宋体"/>
                <w:color w:val="auto"/>
                <w:kern w:val="0"/>
                <w:sz w:val="24"/>
                <w:szCs w:val="24"/>
              </w:rPr>
            </w:pPr>
            <w:r>
              <w:rPr>
                <w:rFonts w:ascii="宋体" w:hAnsi="宋体" w:eastAsia="宋体"/>
                <w:color w:val="auto"/>
                <w:kern w:val="0"/>
                <w:sz w:val="24"/>
                <w:szCs w:val="24"/>
              </w:rPr>
              <w:t xml:space="preserve">  每端口均支持MDI/MDIX自动翻转及双工/速率自协商；支持IEEE 802.3x全双工流控和Backpressure半双工流控。即插即用，无需管理；动态LED指示灯，提供简单的工作状态提示及故障排除手段。网络标准IEEE 802.3 、IEEE 802.3u、IEEE 802.3x；每设备具有至少1个Power指示灯 ；存储转发支持≥16K的MAC地址表深度；工作温度：0℃～40℃；存储温度：-40℃～70℃；工作湿度：10%～90%RH，不凝露；存储湿度：5%～90%RH，不凝露；输入电源 100-240V～50/60Hz；</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2、网线：非屏蔽超五类；每箱≥305米；工作温度：-20℃～75℃；检验依据 ISO/IEC11801、TIA-568-C.2、 YD/T1019；</w:t>
            </w:r>
          </w:p>
          <w:p>
            <w:pPr>
              <w:snapToGrid w:val="0"/>
              <w:spacing w:before="0" w:after="0" w:line="240" w:lineRule="auto"/>
              <w:ind w:right="0"/>
              <w:jc w:val="both"/>
              <w:rPr>
                <w:rFonts w:ascii="宋体" w:hAnsi="宋体" w:eastAsia="宋体"/>
                <w:color w:val="auto"/>
                <w:kern w:val="0"/>
                <w:sz w:val="24"/>
                <w:szCs w:val="24"/>
              </w:rPr>
            </w:pPr>
            <w:r>
              <w:rPr>
                <w:rFonts w:ascii="宋体" w:hAnsi="宋体" w:eastAsia="宋体"/>
                <w:color w:val="auto"/>
                <w:kern w:val="0"/>
                <w:sz w:val="24"/>
                <w:szCs w:val="24"/>
              </w:rPr>
              <w:t xml:space="preserve">芯线导体 芯线材料 无氧铜                                                                                                                                                             </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批</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（九）办公用台式电脑</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  称</w:t>
            </w:r>
          </w:p>
        </w:tc>
        <w:tc>
          <w:tcPr>
            <w:tcW w:w="5734"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规  格</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办公用台式电脑</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CPU：I5-10500及以上处理器 (基础主频≥2.1GHz，≥6核，缓存≥12M)；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2.主板：Intel H470系列及以上芯片组；</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3.内存：≥8G DDR4 2666MHz内存且预留50%空余槽位</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4.显卡：集成显卡；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5.声卡：集成5.1声道声卡；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6.硬盘一：≥1TB SATA3机械硬盘；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7.硬盘二：≥128GB M.2固态硬盘；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8.网卡：集成10/100/1000M以太网卡；</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9.接口：≥8个USB接口(前置至少2个USB 3.2 Gen2 、至少2个USB 3.2 Gen1，后置至少2个USB 2.0)、至少1组PS/2接口、至少1个串口、VGA+HDMI接口（VGA非转接）；</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10.电源：≥180W节能电源；</w:t>
            </w:r>
          </w:p>
          <w:p>
            <w:pPr>
              <w:numPr>
                <w:ilvl w:val="0"/>
                <w:numId w:val="0"/>
              </w:numPr>
              <w:snapToGrid w:val="0"/>
              <w:spacing w:before="0" w:after="0" w:line="240" w:lineRule="auto"/>
              <w:ind w:leftChars="0" w:right="0" w:rightChars="0"/>
              <w:jc w:val="left"/>
              <w:rPr>
                <w:rFonts w:ascii="宋体" w:hAnsi="宋体" w:eastAsia="宋体"/>
                <w:color w:val="auto"/>
                <w:kern w:val="0"/>
                <w:sz w:val="24"/>
                <w:szCs w:val="24"/>
              </w:rPr>
            </w:pPr>
            <w:r>
              <w:rPr>
                <w:rFonts w:ascii="宋体" w:hAnsi="宋体" w:eastAsia="宋体"/>
                <w:color w:val="auto"/>
                <w:kern w:val="0"/>
                <w:sz w:val="24"/>
                <w:szCs w:val="24"/>
              </w:rPr>
              <w:t>11.机箱不大于15.6L；</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12.安全：标配USB智能屏蔽技术，可在BIOS中设置仅识别USB键盘、鼠标，无法识别USB存储设备；</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13.系统：Windows 10以上操作系统</w:t>
            </w:r>
          </w:p>
          <w:p>
            <w:pPr>
              <w:snapToGrid w:val="0"/>
              <w:spacing w:before="0" w:after="0" w:line="240" w:lineRule="auto"/>
              <w:ind w:rightChars="0"/>
              <w:jc w:val="left"/>
              <w:rPr>
                <w:rFonts w:ascii="宋体" w:hAnsi="宋体" w:eastAsia="宋体"/>
                <w:color w:val="auto"/>
                <w:kern w:val="0"/>
                <w:sz w:val="24"/>
                <w:szCs w:val="24"/>
              </w:rPr>
            </w:pPr>
            <w:r>
              <w:rPr>
                <w:rFonts w:ascii="宋体" w:hAnsi="宋体" w:eastAsia="宋体"/>
                <w:color w:val="auto"/>
                <w:kern w:val="0"/>
                <w:sz w:val="24"/>
                <w:szCs w:val="24"/>
              </w:rPr>
              <w:t>14.显示器：≥21.5英寸液晶显示器且分辨率不得低1920*1080</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50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（十）交互式一体机</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名  称</w:t>
            </w:r>
          </w:p>
        </w:tc>
        <w:tc>
          <w:tcPr>
            <w:tcW w:w="571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规  格</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交互式一体机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整体设计：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1、整机推荐一体设计，外部无可见模块连接线。</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2、整机屏幕采用≥75英寸液晶显示器。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3、整机采用UHD超高清LED 液晶屏，显示比例16:9，分辨率≥3840*2160。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4、玻璃厚度≤4mm，玻璃表面硬度≥9H。</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5、整机内置 2.1 声道扬声器，前朝向 ≥15W中高音扬声器 2 个，后朝向 ≥20W 低音扬声器 1 个，额定总功率≥ 50W。</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6、Wi-Fi和AP热点工作距离≥12m。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整机具备≥6个前置按键，实现老师开关机、调出中控菜单、音量+/-、护眼、录屏的操作。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 整机具有护眼功能，可通过前置面板物理功能按键一键启用护眼模式。</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w:t>
            </w:r>
            <w:r>
              <w:rPr>
                <w:rFonts w:ascii="宋体" w:hAnsi="宋体" w:eastAsia="宋体"/>
                <w:b/>
                <w:bCs/>
                <w:color w:val="auto"/>
                <w:kern w:val="0"/>
                <w:sz w:val="24"/>
                <w:szCs w:val="24"/>
              </w:rPr>
              <w:t>★设备支持通过前置面板物理按键一键启动录屏功能，可将屏幕中显示的课件、音频内容与老师人声同时录制。提供生产厂家出具的、相应的功能证明材料（包括但不限于测试报告、官网和功能截图等）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10、摄像头对角角度≥120°。</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11、支持调用内置摄像头实现远程巡课应用。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12、支持前置Type-C接口，通过Type-C接口实现音视频输入，外接电脑设备通过标准Type-C线连接至整机Type-C口。</w:t>
            </w:r>
            <w:r>
              <w:rPr>
                <w:rFonts w:ascii="宋体" w:hAnsi="宋体" w:eastAsia="宋体"/>
                <w:b/>
                <w:bCs/>
                <w:color w:val="auto"/>
                <w:kern w:val="0"/>
                <w:sz w:val="24"/>
                <w:szCs w:val="24"/>
              </w:rPr>
              <w:t>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13、嵌入式Android操作系统下可实现windows系统中常用的教学应用功能，如白板书写、WPS软件使用、网页浏览。</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14、在嵌入式Android操作系统下，能对TV多媒体USB所读取到的文件进行自动归类，可分类查找文档、板书、图片、音视频，检索后可直接在界面中打开。</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w:t>
            </w:r>
            <w:r>
              <w:rPr>
                <w:rFonts w:ascii="宋体" w:hAnsi="宋体" w:eastAsia="宋体"/>
                <w:b/>
                <w:bCs/>
                <w:color w:val="auto"/>
                <w:kern w:val="0"/>
                <w:sz w:val="24"/>
                <w:szCs w:val="24"/>
              </w:rPr>
              <w:t>嵌入式系统版本不低于Android9.0，内存≥2GB，存储空间≥8GB。提供生产厂家出具的、相应的功能证明材料（包括但不限于测试报告、官网和功能截图等）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电脑模块</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主板采用H310芯片组，搭载Intel 酷睿系列 i5 CPU；内存：8GB DDR4笔记本内存或以上配置；硬盘：256GB或以上SSD固态硬盘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PC模块可抽拉式插入整机，可实现无单独接线的插拔。</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和整机的连接采用万兆级接口，传输速率≥10Gbps。</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尺寸≤29mm*5.3mm。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无需工具就可快速拆卸电脑模块。</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具有独立非外扩展的视频输出接口：≥1路HDMI</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白板软件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备授课一体化，具有备课模式及授课模式。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支持个人账号注册登录使用。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提供白板软件手机移动版。</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提供在线云课堂功能，无需额外安装部署直播软件，可实现语音直播、课件同步、互动工具等远程教学功能。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云课堂可以通过生成二维码海报的方式发送给学生用于远程在线教学。</w:t>
            </w:r>
          </w:p>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6. 可提供不小于200G的个人云空间。</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互动教学课件支持开放式云分享：分享者可将互动课件、课件组以公开或加密的web链接和二维码形式进行分享，分享链接可设置访问有效期。</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8.具备微课录制功能，内置于白板软件中，支持快速录制微课，可保存音频和课件的互动操作.微课录制结束后支持二维码分享，学生扫码即可在微信观看，无需下载额外app。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9.AI智能纠错：软件内置的AI智能语义分析模块，可对输入的英文文本的拼写、句型、语法进行错误检查，并支持一键纠错。</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教学管理平台：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后台采用B/S架构设计，支持学校管理者在Windows、Linux、Android、IOS等多种不同的操作系统上通过网页浏览器登陆进行操作，可统计全校教师软件活跃数据、学生点评及课件上传等数据。</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支持管理员及教师使用网页端、移动端登录，移动端支持查看网页端数据信息，教师榜单，并定期推送数据分析报表。</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3.信息化数据雷达图：将信息化教学数据分多维度进行评估，至少包含课件制作、听课评课、师生互动、互动教学等。</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具备教师GPS定位打卡考勤功能。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支持管理者创建教师的教研组织结构。</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能够提供全流程管理服务，包含教学计划、电子教案、听课评课、校本资源、班级氛围的流程管理和数据分析。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教师可以在个人空间直接编写教案，编写教案时可以关联课件，支持教师在个人空间、配套备授课工具查看课件以及教案，方便教师进行教学设计。</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8. 以上所有功能操作需在同一软件平台上实现，且与一体机为同一品牌。</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移动授课软件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 支持Android 4.0及IOS 7.0以上版本系统。</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支持移动设备无线投屏。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支持移动授课软件生成热点，供外部移动设备进行二维码扫描连接。</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支持对移动设备进行接入锁定。</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支持Office、WPS及白板软件课件远程同步，可通过移动端对智能平板上的课件实现页面预览、远程翻页、激光笔、聚光灯、放大镜等功能。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具备移动展台功能。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提供虚拟触摸板工具，能够对交互式一体机进行远程控制。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 具备多图对比展示功能，可将多位学生的作业、试卷或实验结果拍摄上传至交互智能平板进行对比展示。</w:t>
            </w:r>
          </w:p>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color w:val="auto"/>
                <w:kern w:val="0"/>
                <w:sz w:val="24"/>
                <w:szCs w:val="24"/>
              </w:rPr>
              <w:t>9. 以上所有功能操作需在同一软件平台上实现，且与一体机为同一品牌。</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nil"/>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推拉黑板</w:t>
            </w:r>
          </w:p>
        </w:tc>
        <w:tc>
          <w:tcPr>
            <w:tcW w:w="5719" w:type="dxa"/>
            <w:tcBorders>
              <w:top w:val="single" w:color="000000" w:sz="8" w:space="0"/>
              <w:left w:val="single" w:color="000000" w:sz="8" w:space="0"/>
              <w:bottom w:val="single" w:color="000000" w:sz="8" w:space="0"/>
              <w:right w:val="nil"/>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1、外形尺寸≥4000mm*1200mm。</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 产品结构：内外双层结构，支持一体机偏一侧或居中安装方式，可调整。</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 边框：外框铝型材正面尺寸≥65mm，壁厚≥1.0mm,香槟色工业铝型材。耐腐蚀、耐磨性。内框铝型材正面尺寸≥50mm,壁厚≥1.0mm，香槟色工业铝型材。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 书写板面：采用厚度为≥0.30mm墨绿色金属烤漆书写板。</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 夹层：采用高密度聚苯乙烯板做夹层，厚度≥15mm，面层平整，无折痕，不变形，吸音强且环保，书写无噪音。</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 背板：采用镀锌板，厚度≥0.25mm，板面平整，镀层牢固、光滑而均匀。</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 外框四角与绿板四角采用ABS工程塑料。</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8、 整套书写板的两端装置固定挡板，并设有滑动缓冲胶垫。 </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9、 滑轨与外框整体成型。滑轮隐形安装、传动。滑轮后置。</w:t>
            </w:r>
          </w:p>
        </w:tc>
        <w:tc>
          <w:tcPr>
            <w:tcW w:w="687"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（十一）打印机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843"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  称</w:t>
            </w:r>
          </w:p>
        </w:tc>
        <w:tc>
          <w:tcPr>
            <w:tcW w:w="5719"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规  格</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打印机</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A4黑白打印/复印/扫描多功能一体机</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首页输出：≤9秒(A4，就绪模式)/≤18秒(A4，睡眠模式)；月打印负荷：≤10000 页，月打印量：100~2000页；</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打印精度: 最佳模式：≥1200x1200dpi，正常模式：≥600x600dpi；</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打印语言:GDI(基于主机语言)；</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打印速度：≥20页/分钟；</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显示屏:双行液晶显示屏；</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处理器速度：≥600 MHz；</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内存：≥128MB；</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纸张处理：进纸盒≥150页；</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出纸盒≥100页；</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介质重量：60～163克/平方米；</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首页复印输出时间黑白(A4)≤9秒；</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黑白(A4，睡眠模式)：≤17秒；</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复印缩小/放大设置:25% 到 400%；</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复印量（最大）≤99 份；</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扫描类型：平板；</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光学分辨率≤600x600dpi；</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最大扫描尺寸A4：216x297毫米；</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灰度级：≥256；</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接口：高速USB 2.0端口，快速以太网10/100Base-TX端口，无线802.11 b/g/n；</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预装黑色硒鼓。</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10</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（十二）无人机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79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 称</w:t>
            </w:r>
          </w:p>
        </w:tc>
        <w:tc>
          <w:tcPr>
            <w:tcW w:w="5766"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规  格</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无人机</w:t>
            </w:r>
          </w:p>
        </w:tc>
        <w:tc>
          <w:tcPr>
            <w:tcW w:w="576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航拍套装/最大飞行时间≥30分钟；</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抗风≥5级；</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遥控信号距离5-9Km/多方向避障/1080P传输/≥1200万主摄像素/1/2.0英寸CMOS</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202" w:type="dxa"/>
            <w:gridSpan w:val="8"/>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（十三）数码相机</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序号</w:t>
            </w:r>
          </w:p>
        </w:tc>
        <w:tc>
          <w:tcPr>
            <w:tcW w:w="796"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名  称</w:t>
            </w:r>
          </w:p>
        </w:tc>
        <w:tc>
          <w:tcPr>
            <w:tcW w:w="5766"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规  格</w:t>
            </w:r>
          </w:p>
        </w:tc>
        <w:tc>
          <w:tcPr>
            <w:tcW w:w="687"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1</w:t>
            </w:r>
          </w:p>
        </w:tc>
        <w:tc>
          <w:tcPr>
            <w:tcW w:w="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数码相机</w:t>
            </w:r>
          </w:p>
        </w:tc>
        <w:tc>
          <w:tcPr>
            <w:tcW w:w="576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黑色/净重≤120g/锂电/像素≥2000万/变焦≥5倍/广角≥24mm/内存卡≥128G</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3</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8845" w:type="dxa"/>
            <w:gridSpan w:val="9"/>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（十四）阅卷系统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15" w:type="dxa"/>
            <w:tcBorders>
              <w:top w:val="single" w:color="000000" w:sz="8" w:space="0"/>
              <w:left w:val="single" w:color="000000" w:sz="8" w:space="0"/>
              <w:bottom w:val="single" w:color="000000" w:sz="8" w:space="0"/>
              <w:right w:val="nil"/>
            </w:tcBorders>
            <w:vAlign w:val="center"/>
          </w:tcPr>
          <w:p>
            <w:pPr>
              <w:snapToGrid w:val="0"/>
              <w:spacing w:before="0" w:after="0" w:line="240" w:lineRule="auto"/>
              <w:jc w:val="left"/>
              <w:rPr>
                <w:rFonts w:ascii="微软雅黑" w:hAnsi="微软雅黑" w:eastAsia="微软雅黑"/>
                <w:color w:val="auto"/>
                <w:sz w:val="24"/>
                <w:szCs w:val="24"/>
              </w:rPr>
            </w:pPr>
          </w:p>
        </w:tc>
        <w:tc>
          <w:tcPr>
            <w:tcW w:w="453" w:type="dxa"/>
            <w:tcBorders>
              <w:top w:val="single" w:color="000000" w:sz="8" w:space="0"/>
              <w:left w:val="nil"/>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序号</w:t>
            </w:r>
          </w:p>
        </w:tc>
        <w:tc>
          <w:tcPr>
            <w:tcW w:w="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服务模块</w:t>
            </w:r>
          </w:p>
        </w:tc>
        <w:tc>
          <w:tcPr>
            <w:tcW w:w="576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建设内容</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单位</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数量</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用户基础信息管理</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1.须支持对用户信息快捷管理：支持学生、教师信息的快速导入，系统自动生成账号；支持授课关系的快速导入；</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2.须支持设置多种角色：支持设置学校管理员、考试管理员、校长、年级主任、学科组长、班主任、学科教师、学生用户角色；</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3.须支持新高考班级管理：系统支持导入学校的走班教学信息表；支持通过自定义班级名称、分层层次、走班学科进行新高考教学分层走班配置；</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4.须支持批量生成学生条形码；</w:t>
            </w:r>
          </w:p>
        </w:tc>
        <w:tc>
          <w:tcPr>
            <w:tcW w:w="68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套</w:t>
            </w:r>
          </w:p>
        </w:tc>
        <w:tc>
          <w:tcPr>
            <w:tcW w:w="5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2</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b/>
                <w:bCs/>
                <w:color w:val="auto"/>
                <w:kern w:val="0"/>
                <w:sz w:val="24"/>
                <w:szCs w:val="24"/>
              </w:rPr>
            </w:pPr>
            <w:r>
              <w:rPr>
                <w:rFonts w:ascii="宋体" w:hAnsi="宋体" w:eastAsia="宋体"/>
                <w:b/>
                <w:bCs/>
                <w:color w:val="auto"/>
                <w:kern w:val="0"/>
                <w:sz w:val="24"/>
                <w:szCs w:val="24"/>
              </w:rPr>
              <w:t>网阅数据采集</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考试管理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1.须支持学校周测、阶段性考试、联考数据采集；支持考试试卷上传；</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2.需支持智能排考场，对应学生相应的准考证号，可导出excel表格；</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3.须支持分层走班，支持新高考模式下的考试与在线阅卷；</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4.须支持使用自定义学籍号的考试，并在创建考试时进行学籍号校验，批量导出未设置学籍号的学生；</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5.须支持按照角色、科目、部分老师选择屏蔽或发布成绩； </w:t>
            </w:r>
          </w:p>
          <w:p>
            <w:pPr>
              <w:snapToGrid w:val="0"/>
              <w:spacing w:before="0" w:after="0" w:line="240" w:lineRule="auto"/>
              <w:jc w:val="left"/>
              <w:rPr>
                <w:rFonts w:ascii="宋体" w:hAnsi="宋体" w:eastAsia="宋体"/>
                <w:color w:val="auto"/>
                <w:sz w:val="24"/>
                <w:szCs w:val="24"/>
              </w:rPr>
            </w:pPr>
            <w:r>
              <w:rPr>
                <w:rFonts w:ascii="宋体" w:hAnsi="宋体" w:eastAsia="宋体"/>
                <w:color w:val="auto"/>
                <w:kern w:val="0"/>
                <w:sz w:val="24"/>
                <w:szCs w:val="24"/>
              </w:rPr>
              <w:t>6.须支持考试成绩补录，支持小题分补录。</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7.需支持自定义多选题得分规则；</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须支持多种阅卷任务分配方式，包括（1）按照任务总量平均分配；（2）自定义教师阅卷任务量；（3）固定教师阅卷任务量；支持阅卷过程中灵活调整老师任务量。需提供阅卷任务分配相关的软件著作权登记证书；</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9.须支持批量设置阅卷老师、仲裁老师和题组长；需支持快速将选中的阅卷老师分配给所有题；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10.须支持批量设置客观题答案和分值；支持管理员设置步骤分；设置按照切图块进行分开打分；支持管理员给定分值进行打分限制；</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11.v支持对试题设置单评、双评、按比例双评、三评；</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12.须支持集中、分散或集中与分散相结合的方式进行网上阅卷；</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答题卡制作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13.须支持系统新建空白答题卡、题库制卡、三方制卡、导入word试卷制卡；需提供答题卡制作系统相关的软件著作权登记证书。</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14.须支持系统答题卡的编辑、下载、复用；支持自定义答题卡模板，支持答题卡模版二次修改。</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15.须支持答题卡版式按照1栏、2栏和3栏自由排版布局；</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16.须支持填涂式考号、4~12位自定义学籍号、条形码格式的考号版式；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17.须支持设置单选题、判断题、多选题、填空题、解答题、选做题、主客观混合题的题型；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18.须支持客观题选项的横排和竖排布局，支持每列设置不同的题数排版布局；</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19.须支持AB卷标记的试卷类型答题卡制作；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20.须支持设置多张答题卡的双面打印、单面打印模式；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21.须支持使用60克及以上纸张印制的市场通用规格的答题卡，印刷答题卡版面支持A3、A4、8K、16K、B4、B5纸张尺寸规格。</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答题卡扫描识别</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22.须支持分批扫描、先扫描后阅卷、边扫描边阅卷，支持扫描仪群组联网协同工作；</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23.须支持答题卡扫描与准考证号填涂、条形码、客观题、主观题、缺考标记、AB卷及选做题识别同步完成；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24.须支持扫错学科自动检测与提示；支持折角自动检测与提示；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25.须支持直接选定班级或导入指定名单进行扫描识别；支持同一场考试每一个学科设置有不同的参加考试的学生名单；</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26.须支持正反颠倒、上下颠倒及多张答题卡序号混乱情形的扫描识别及结果与图像的自动纠正；</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27.须支持答题卡扫描时针对学生填涂的考号、客观题、选做题、AB卷信息存在错填、误填、漏填的信息具有自动的检测与提示功能；</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28.须支持扫描时打开扫描仪参数面板，并支持对扫描仪参数进行调整；</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29.异常处理需支持边扫描边处理、分批次处理、扫描完统一处理；支持识别异常的批量处理，支持识别异常多人远程同时协助处理；</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在线阅卷</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30.须支持云端阅卷，支持标记优秀卷、典型错误卷、批注；支持键盘给分、鼠标点击打分板给分，并保留阅卷痕迹；需支持阅卷老师在阅卷过程中，设置评分步长；支持提交问题卷；</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31.须支持按班级进行阅卷；</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32.须支持在阅卷过程中，将学生试卷保存到本地；</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33.须支持调整阅卷页面背景色；</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34.须支持移动端阅卷，手写批注并保留阅卷痕迹；阅卷支持打分板、打分栏自由切换；支持阅卷时自由选择是否自动提交；针对多项填空题，支持全部满分或全部零分。支持点击打分；支持设置步长和常用打分项；支持自由选择作文题展示方式；支持滑动回评；支持阅卷老师查看打分曲线；</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 xml:space="preserve">35.须支持管理员、科组长角色对阅卷的总体进度、各题进度、个人进度、阅卷质量进行实时监控；支持将试卷打回给老师重阅； </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36.须支持题组长对单题进行阅卷进度和阅卷质量监控，并支持对该题的评阅试卷进行抽样和打回；</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37.须支持提前统计客观题得分数据，包括最高分、最低分、平均分和得分分布；</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38.须支持增加巡考员角色及支持为巡考员设置巡考学科；支持巡考员对阅卷进度、阅卷质量进行监管；</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39.须支持科组长通过移动端查看阅卷进度、客观题得分分布和老师阅卷质量；支持在移动端处理问题卷；</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40.须支持成绩批量检查及监控；支持在网页上修改提交，重新生成评价分析报告；支持将作弊学生成绩设置为零分；</w:t>
            </w:r>
          </w:p>
        </w:tc>
        <w:tc>
          <w:tcPr>
            <w:tcW w:w="68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5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6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考试数据采集</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1.须支持校级考试、校际间联考，可分散/集中扫描、分散/集中阅卷；</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2.答题卡制作方式多样，兼容学校购买的试卷配套答题卡；</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3.须提供网上阅卷和移动端（手机、PAD）阅卷，可进行阅卷进度监控。</w:t>
            </w:r>
          </w:p>
        </w:tc>
        <w:tc>
          <w:tcPr>
            <w:tcW w:w="68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5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4</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ascii="宋体" w:hAnsi="宋体" w:eastAsia="宋体"/>
                <w:color w:val="auto"/>
                <w:kern w:val="0"/>
                <w:sz w:val="24"/>
                <w:szCs w:val="24"/>
              </w:rPr>
            </w:pPr>
            <w:r>
              <w:rPr>
                <w:rFonts w:ascii="宋体" w:hAnsi="宋体" w:eastAsia="宋体"/>
                <w:color w:val="auto"/>
                <w:kern w:val="0"/>
                <w:sz w:val="24"/>
                <w:szCs w:val="24"/>
              </w:rPr>
              <w:t>自动评分</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b/>
                <w:bCs/>
                <w:color w:val="auto"/>
                <w:kern w:val="0"/>
                <w:sz w:val="24"/>
                <w:szCs w:val="24"/>
              </w:rPr>
            </w:pPr>
            <w:r>
              <w:rPr>
                <w:rFonts w:ascii="宋体" w:hAnsi="宋体" w:eastAsia="宋体"/>
                <w:color w:val="auto"/>
                <w:kern w:val="0"/>
                <w:sz w:val="24"/>
                <w:szCs w:val="24"/>
              </w:rPr>
              <w:t>须支持英语作文自动评分及英语作文人机双评，可导出英语作文人机对比报告。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2.须支持英语填空题自动评分；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3.须支持英语短文改错题自动评分；</w:t>
            </w:r>
          </w:p>
          <w:p>
            <w:pPr>
              <w:snapToGrid w:val="0"/>
              <w:spacing w:before="0" w:after="0" w:line="240" w:lineRule="auto"/>
              <w:ind w:left="0" w:right="0"/>
              <w:jc w:val="left"/>
              <w:rPr>
                <w:rFonts w:ascii="宋体" w:hAnsi="宋体" w:eastAsia="宋体"/>
                <w:color w:val="auto"/>
                <w:kern w:val="0"/>
                <w:sz w:val="24"/>
                <w:szCs w:val="24"/>
              </w:rPr>
            </w:pPr>
            <w:r>
              <w:rPr>
                <w:rFonts w:ascii="宋体" w:hAnsi="宋体" w:eastAsia="宋体"/>
                <w:color w:val="auto"/>
                <w:kern w:val="0"/>
                <w:sz w:val="24"/>
                <w:szCs w:val="24"/>
              </w:rPr>
              <w:t>4.须支持数学填空题自动评分。</w:t>
            </w:r>
          </w:p>
        </w:tc>
        <w:tc>
          <w:tcPr>
            <w:tcW w:w="68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5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5</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基础数据分析</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报告管理</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1.须支持卷面分、等级、等级赋分、标准分（T分数）、学科成绩比较高低五种学生成绩计分方式；支持学校根据实际诉求自主选择总分计分科目、自主设置各学科在总分中所占权重；</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2.须支持优秀率、合格率、良好率、低分率、学业等级、成绩分段、达线分、临界生、优秀生学困生、T分数指标参数自定义设置；</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3.须支持设置试卷分卷，支持设置分卷名称及试题所属分卷并进行分卷分析；</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4.须支持设置试题题型和试题标签，支持同时设置8个试题标签，并支持进行试题题型和试题标签分析。</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联考报告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5.须支持查看联考整体分析，指标包括学科成绩对比、学校成绩对比、学业等级分布、成绩分段对比、进线分析、优秀生学困生对比分析。支持提供报告解读。</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6.须支持查看联考单科分析，指标包括学校成绩对比、学业等级分布、成绩分段对比、进线分析、优秀生学困生对比分析；支持提供报告解读。</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7.须提供联考试卷分析，指标包括试卷概览（整卷难度、信度、区分度）、分卷分析、大题分析、试题分组分析、小题分析、知识点分析、作答详情。</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8.联考分析报告须支持word、excel形式导出。</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校级报告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9.须支持查看校级多学科报告，指标包括学科成绩对比、班级成绩对比、学业等级分布、成绩分段对比、进线分析、临界生对比、优秀学困生对比、优劣势学科对比；</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10.须支持查看校级单学科报告，指标包括班级成绩对比、学业等级分布、成绩分段对比、进线分析、临界生对比、优秀生学困生对比；</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11.须支持查看试卷分析，指标包括试卷整体难度、试题难度比例、信度、区分度、大题分析、小题分析、知识点分析、作答详情；支持选择添加班级进行对比分析；支持分析数据excel格式一键导出；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12.须提供全部和各班学生成绩，指标包括校次、班次及进退步情况、各学科分数；支持各班级和全部学生的学生成绩表、单科成绩汇总、学生小题明细表、题组得分情况统计数据excel格式导出；</w:t>
            </w:r>
          </w:p>
          <w:p>
            <w:pPr>
              <w:snapToGrid w:val="0"/>
              <w:spacing w:before="0" w:after="0" w:line="240" w:lineRule="auto"/>
              <w:jc w:val="left"/>
              <w:rPr>
                <w:rFonts w:ascii="宋体" w:hAnsi="宋体" w:eastAsia="宋体"/>
                <w:color w:val="auto"/>
                <w:kern w:val="0"/>
                <w:sz w:val="24"/>
                <w:szCs w:val="24"/>
              </w:rPr>
            </w:pPr>
            <w:r>
              <w:rPr>
                <w:rFonts w:ascii="宋体" w:hAnsi="宋体" w:eastAsia="宋体"/>
                <w:b/>
                <w:bCs/>
                <w:color w:val="auto"/>
                <w:kern w:val="0"/>
                <w:sz w:val="24"/>
                <w:szCs w:val="24"/>
              </w:rPr>
              <w:t>班级报告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13.须支持班主任查看班级多学科报告，指标包括学科成绩对比、平均分对比、学业等级分布、成绩分段对比、优劣势学科对比；</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14.须支持授课教师查看授课学科的班级单学科报告，指标包括学情概览、平均分对比、学业等级分布、需关注学生、高频错题；</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15.须支持查看班级学生成绩单，支持查看学生单科作答原卷、成绩整体报告和试题解析；支持班级全科和单科成绩表excel格式一键导出；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16.须支持授课教师查看班级试卷分析，指标包括试卷整体难度、试题难度比例、信度、区分度、大题分析、小题分析、知识点分析、作答详情；支持以表格、雷达图两种形式呈现；支持各指标分析数据以excel格式一键导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17.须支持查看试题答题统计，包括试题的班级均分和得分率、年级均分和得分率、客观题选项数据统计和主观题得分数据统计柱状图，并支持查看对应学生名单；支持查看优秀解答和典型错误的典型卷；</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18.须支持移动端的试卷讲评工具：按照题号顺序、学生作答情况、按知识点对试题进行讲解排序，支持单题学生作答情况分段统计、错题名单及学生原卷调取、典型试卷调取。</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6</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智能题库</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hint="eastAsia" w:ascii="宋体" w:hAnsi="宋体" w:eastAsia="宋体"/>
                <w:color w:val="auto"/>
                <w:kern w:val="0"/>
                <w:sz w:val="24"/>
                <w:szCs w:val="24"/>
                <w:lang w:val="en-US" w:eastAsia="zh-CN"/>
              </w:rPr>
              <w:t>1.</w:t>
            </w:r>
            <w:r>
              <w:rPr>
                <w:rFonts w:ascii="宋体" w:hAnsi="宋体" w:eastAsia="宋体"/>
                <w:color w:val="auto"/>
                <w:kern w:val="0"/>
                <w:sz w:val="24"/>
                <w:szCs w:val="24"/>
              </w:rPr>
              <w:t>须提供不少于800万道试题资源，覆盖高中语文、数学、英语、物理、化学、生物、政治、历史、地理、信息技术、通用技术学科，初中语文、数学、英语、物理、化学、生物、政治、历史、地理、道德与法制、历史与社会、科学、信息技术学科，小学语文、数学、英语、科学学科；试题提供组卷次数、作答人数、平均得分率、解析、考情信息，支持教师对试题进行纠错与收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2.须支持选择教材、同步章节，系统自动呈现章节下涵盖知识点、试题，支持按题型、难度、所属试卷类型、知识点个数维度筛选试题进行组卷；</w:t>
            </w:r>
          </w:p>
          <w:p>
            <w:pPr>
              <w:snapToGrid w:val="0"/>
              <w:spacing w:before="0" w:after="0" w:line="240" w:lineRule="auto"/>
              <w:ind w:rightChars="0"/>
              <w:jc w:val="left"/>
              <w:rPr>
                <w:rFonts w:ascii="宋体" w:hAnsi="宋体" w:eastAsia="宋体"/>
                <w:b/>
                <w:bCs/>
                <w:color w:val="auto"/>
                <w:kern w:val="0"/>
                <w:sz w:val="24"/>
                <w:szCs w:val="24"/>
              </w:rPr>
            </w:pPr>
            <w:r>
              <w:rPr>
                <w:rFonts w:ascii="宋体" w:hAnsi="宋体" w:eastAsia="宋体"/>
                <w:color w:val="auto"/>
                <w:kern w:val="0"/>
                <w:sz w:val="24"/>
                <w:szCs w:val="24"/>
              </w:rPr>
              <w:t>3.须支持知识点单选、多选两种知识点组卷方式，知识点多选支持选择知识点交集、知识点并集；支持按年级、题型、难度、所属试卷类型、知识点个数维度筛选试题进行组卷。</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7" w:hRule="atLeast"/>
          <w:jc w:val="center"/>
        </w:trPr>
        <w:tc>
          <w:tcPr>
            <w:tcW w:w="4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7</w:t>
            </w:r>
          </w:p>
        </w:tc>
        <w:tc>
          <w:tcPr>
            <w:tcW w:w="84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A3高速阅卷仪</w:t>
            </w:r>
          </w:p>
        </w:tc>
        <w:tc>
          <w:tcPr>
            <w:tcW w:w="57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1.光源：LED；</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2.扫描类型：U型通道，支持自动进纸扫描；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3.接口：USB2.0或以上；</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4.扫描速度：150 dpi 和 200dpi，黑白、灰度和彩色模式下可达到每分钟80页/160个影像；</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5.光学分辨率：支持100DPI、150DPI、200DPI、300DPI的图像输出；</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6.纸张尺寸检测：支持自动纸张尺寸检测；</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7.ADF容量：≥100张80g/m2 (20 磅) 纸张</w:t>
            </w:r>
          </w:p>
          <w:p>
            <w:pPr>
              <w:snapToGrid w:val="0"/>
              <w:spacing w:before="0" w:after="0" w:line="240" w:lineRule="auto"/>
              <w:jc w:val="left"/>
              <w:rPr>
                <w:rFonts w:ascii="宋体" w:hAnsi="宋体" w:eastAsia="宋体"/>
                <w:color w:val="auto"/>
                <w:kern w:val="0"/>
                <w:sz w:val="24"/>
                <w:szCs w:val="24"/>
              </w:rPr>
            </w:pPr>
            <w:r>
              <w:rPr>
                <w:rFonts w:ascii="宋体" w:hAnsi="宋体" w:eastAsia="宋体"/>
                <w:color w:val="auto"/>
                <w:kern w:val="0"/>
                <w:sz w:val="24"/>
                <w:szCs w:val="24"/>
              </w:rPr>
              <w:t>8.输出文件格式：支持彩色/黑白/灰度情况的单面和双面出图，输出文件格式为PDF、BMP、JPEG、TIFF、PNG常用图像格式；</w:t>
            </w:r>
          </w:p>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重张检测：具备超声波检测技术，智能文档保护；</w:t>
            </w:r>
          </w:p>
        </w:tc>
        <w:tc>
          <w:tcPr>
            <w:tcW w:w="6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台</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kern w:val="0"/>
                <w:sz w:val="24"/>
                <w:szCs w:val="24"/>
              </w:rPr>
            </w:pPr>
            <w:r>
              <w:rPr>
                <w:rFonts w:ascii="宋体" w:hAnsi="宋体" w:eastAsia="宋体"/>
                <w:color w:val="auto"/>
                <w:kern w:val="0"/>
                <w:sz w:val="24"/>
                <w:szCs w:val="24"/>
              </w:rPr>
              <w:t>1</w:t>
            </w:r>
          </w:p>
        </w:tc>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ascii="宋体" w:hAnsi="宋体" w:eastAsia="宋体"/>
                <w:color w:val="auto"/>
                <w:sz w:val="24"/>
                <w:szCs w:val="24"/>
              </w:rPr>
            </w:pPr>
          </w:p>
        </w:tc>
      </w:tr>
    </w:tbl>
    <w:p>
      <w:pPr>
        <w:spacing w:line="360" w:lineRule="auto"/>
        <w:ind w:firstLine="482" w:firstLineChars="200"/>
        <w:rPr>
          <w:rFonts w:hint="eastAsia" w:ascii="宋体" w:hAnsi="宋体" w:cs="宋体" w:eastAsiaTheme="minorEastAsia"/>
          <w:b/>
          <w:color w:val="auto"/>
          <w:sz w:val="24"/>
          <w:szCs w:val="24"/>
          <w:lang w:val="en-US" w:eastAsia="zh-CN"/>
        </w:rPr>
      </w:pPr>
      <w:r>
        <w:rPr>
          <w:rFonts w:hint="eastAsia" w:ascii="宋体" w:hAnsi="宋体" w:cs="宋体"/>
          <w:b/>
          <w:color w:val="auto"/>
          <w:sz w:val="24"/>
          <w:szCs w:val="24"/>
        </w:rPr>
        <w:t>注：</w:t>
      </w:r>
      <w:r>
        <w:rPr>
          <w:rFonts w:hint="eastAsia" w:ascii="宋体" w:hAnsi="宋体" w:cs="宋体"/>
          <w:b/>
          <w:bCs w:val="0"/>
          <w:color w:val="auto"/>
          <w:sz w:val="24"/>
          <w:szCs w:val="24"/>
          <w:lang w:val="en-US" w:eastAsia="zh-CN"/>
        </w:rPr>
        <w:t>1、</w:t>
      </w:r>
      <w:r>
        <w:rPr>
          <w:rFonts w:hint="eastAsia" w:ascii="宋体" w:hAnsi="宋体" w:cs="宋体"/>
          <w:b/>
          <w:bCs w:val="0"/>
          <w:color w:val="auto"/>
          <w:sz w:val="24"/>
          <w:szCs w:val="24"/>
        </w:rPr>
        <w:t>“</w:t>
      </w:r>
      <w:r>
        <w:rPr>
          <w:rFonts w:hint="eastAsia" w:asciiTheme="minorEastAsia" w:hAnsiTheme="minorEastAsia" w:eastAsiaTheme="minorEastAsia" w:cstheme="minorEastAsia"/>
          <w:b/>
          <w:bCs w:val="0"/>
          <w:color w:val="auto"/>
          <w:sz w:val="24"/>
          <w:szCs w:val="24"/>
        </w:rPr>
        <w:t>★”</w:t>
      </w:r>
      <w:r>
        <w:rPr>
          <w:rFonts w:hint="eastAsia" w:asciiTheme="minorEastAsia" w:hAnsiTheme="minorEastAsia" w:eastAsiaTheme="minorEastAsia" w:cstheme="minorEastAsia"/>
          <w:b/>
          <w:bCs w:val="0"/>
          <w:color w:val="auto"/>
          <w:sz w:val="24"/>
          <w:szCs w:val="24"/>
          <w:lang w:val="en-US" w:eastAsia="zh-CN"/>
        </w:rPr>
        <w:t>产品</w:t>
      </w:r>
      <w:r>
        <w:rPr>
          <w:rFonts w:hint="eastAsia" w:asciiTheme="minorEastAsia" w:hAnsiTheme="minorEastAsia" w:eastAsiaTheme="minorEastAsia" w:cstheme="minorEastAsia"/>
          <w:b/>
          <w:bCs w:val="0"/>
          <w:color w:val="auto"/>
          <w:sz w:val="24"/>
          <w:szCs w:val="24"/>
        </w:rPr>
        <w:t>的技术参数必须满足</w:t>
      </w:r>
      <w:r>
        <w:rPr>
          <w:rFonts w:hint="eastAsia" w:asciiTheme="minorEastAsia" w:hAnsiTheme="minorEastAsia" w:eastAsiaTheme="minorEastAsia" w:cstheme="minorEastAsia"/>
          <w:b/>
          <w:bCs w:val="0"/>
          <w:color w:val="auto"/>
          <w:sz w:val="24"/>
          <w:szCs w:val="24"/>
          <w:lang w:eastAsia="zh-CN"/>
        </w:rPr>
        <w:t>，</w:t>
      </w:r>
      <w:r>
        <w:rPr>
          <w:rFonts w:hint="eastAsia" w:asciiTheme="minorEastAsia" w:hAnsiTheme="minorEastAsia" w:eastAsiaTheme="minorEastAsia" w:cstheme="minorEastAsia"/>
          <w:b/>
          <w:bCs w:val="0"/>
          <w:color w:val="auto"/>
          <w:sz w:val="24"/>
          <w:szCs w:val="24"/>
          <w:lang w:val="en-US" w:eastAsia="zh-CN"/>
        </w:rPr>
        <w:t>不得出现负偏离，否则</w:t>
      </w:r>
      <w:r>
        <w:rPr>
          <w:rFonts w:hint="eastAsia" w:asciiTheme="minorEastAsia" w:hAnsiTheme="minorEastAsia" w:eastAsiaTheme="minorEastAsia" w:cstheme="minorEastAsia"/>
          <w:b/>
          <w:bCs w:val="0"/>
          <w:color w:val="auto"/>
          <w:sz w:val="24"/>
          <w:szCs w:val="24"/>
        </w:rPr>
        <w:t>视为无效响应文件</w:t>
      </w:r>
      <w:r>
        <w:rPr>
          <w:rFonts w:hint="eastAsia" w:asciiTheme="minorEastAsia" w:hAnsiTheme="minorEastAsia" w:eastAsiaTheme="minorEastAsia" w:cstheme="minorEastAsia"/>
          <w:b/>
          <w:bCs w:val="0"/>
          <w:color w:val="auto"/>
          <w:sz w:val="24"/>
          <w:szCs w:val="24"/>
          <w:lang w:eastAsia="zh-CN"/>
        </w:rPr>
        <w:t>；</w:t>
      </w:r>
      <w:r>
        <w:rPr>
          <w:rFonts w:hint="eastAsia" w:asciiTheme="minorEastAsia" w:hAnsiTheme="minorEastAsia" w:eastAsiaTheme="minorEastAsia" w:cstheme="minorEastAsia"/>
          <w:b/>
          <w:bCs w:val="0"/>
          <w:color w:val="auto"/>
          <w:sz w:val="24"/>
          <w:szCs w:val="24"/>
          <w:lang w:val="en-US" w:eastAsia="zh-CN"/>
        </w:rPr>
        <w:t>非</w:t>
      </w:r>
      <w:r>
        <w:rPr>
          <w:rFonts w:hint="eastAsia" w:ascii="宋体" w:hAnsi="宋体" w:cs="宋体"/>
          <w:b/>
          <w:bCs w:val="0"/>
          <w:color w:val="auto"/>
          <w:sz w:val="24"/>
          <w:szCs w:val="24"/>
        </w:rPr>
        <w:t>“</w:t>
      </w:r>
      <w:r>
        <w:rPr>
          <w:rFonts w:hint="eastAsia" w:asciiTheme="minorEastAsia" w:hAnsiTheme="minorEastAsia" w:eastAsiaTheme="minorEastAsia" w:cstheme="minorEastAsia"/>
          <w:b/>
          <w:bCs w:val="0"/>
          <w:color w:val="auto"/>
          <w:sz w:val="24"/>
          <w:szCs w:val="24"/>
        </w:rPr>
        <w:t>★”</w:t>
      </w:r>
      <w:r>
        <w:rPr>
          <w:rFonts w:hint="eastAsia" w:asciiTheme="minorEastAsia" w:hAnsiTheme="minorEastAsia" w:eastAsiaTheme="minorEastAsia" w:cstheme="minorEastAsia"/>
          <w:b/>
          <w:bCs w:val="0"/>
          <w:color w:val="auto"/>
          <w:sz w:val="24"/>
          <w:szCs w:val="24"/>
          <w:lang w:val="en-US" w:eastAsia="zh-CN"/>
        </w:rPr>
        <w:t>产品的</w:t>
      </w:r>
      <w:r>
        <w:rPr>
          <w:rFonts w:hint="eastAsia" w:asciiTheme="minorEastAsia" w:hAnsiTheme="minorEastAsia" w:eastAsiaTheme="minorEastAsia" w:cstheme="minorEastAsia"/>
          <w:b/>
          <w:bCs w:val="0"/>
          <w:color w:val="auto"/>
          <w:sz w:val="24"/>
          <w:szCs w:val="24"/>
        </w:rPr>
        <w:t>技术参数</w:t>
      </w:r>
      <w:r>
        <w:rPr>
          <w:rFonts w:hint="eastAsia" w:asciiTheme="minorEastAsia" w:hAnsiTheme="minorEastAsia" w:eastAsiaTheme="minorEastAsia" w:cstheme="minorEastAsia"/>
          <w:b/>
          <w:bCs w:val="0"/>
          <w:color w:val="auto"/>
          <w:sz w:val="24"/>
          <w:szCs w:val="24"/>
          <w:lang w:val="en-US" w:eastAsia="zh-CN"/>
        </w:rPr>
        <w:t>在不影响产品使用性能的情况下，允许出现负偏离，但负偏离比率不得高于20%，</w:t>
      </w:r>
      <w:r>
        <w:rPr>
          <w:rFonts w:hint="eastAsia" w:asciiTheme="minorEastAsia" w:hAnsiTheme="minorEastAsia" w:eastAsiaTheme="minorEastAsia" w:cstheme="minorEastAsia"/>
          <w:b/>
          <w:bCs w:val="0"/>
          <w:color w:val="auto"/>
          <w:sz w:val="24"/>
          <w:szCs w:val="24"/>
        </w:rPr>
        <w:t>否则视为无效响应文件</w:t>
      </w:r>
      <w:r>
        <w:rPr>
          <w:rFonts w:hint="eastAsia" w:asciiTheme="minorEastAsia" w:hAnsiTheme="minorEastAsia" w:eastAsiaTheme="minorEastAsia" w:cstheme="minorEastAsia"/>
          <w:b/>
          <w:bCs w:val="0"/>
          <w:color w:val="auto"/>
          <w:sz w:val="24"/>
          <w:szCs w:val="24"/>
          <w:lang w:eastAsia="zh-CN"/>
        </w:rPr>
        <w:t>。</w:t>
      </w:r>
    </w:p>
    <w:p>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val="en-US" w:eastAsia="zh-CN"/>
        </w:rPr>
        <w:t>2</w:t>
      </w:r>
      <w:r>
        <w:rPr>
          <w:rFonts w:hint="eastAsia" w:ascii="宋体" w:hAnsi="宋体" w:cs="宋体"/>
          <w:b/>
          <w:color w:val="auto"/>
          <w:sz w:val="24"/>
          <w:szCs w:val="24"/>
        </w:rPr>
        <w:t>、</w:t>
      </w:r>
      <w:r>
        <w:rPr>
          <w:rFonts w:hint="eastAsia" w:ascii="宋体" w:hAnsi="宋体" w:cs="宋体"/>
          <w:b/>
          <w:color w:val="auto"/>
          <w:sz w:val="24"/>
          <w:szCs w:val="24"/>
          <w:lang w:val="en-US" w:eastAsia="zh-CN"/>
        </w:rPr>
        <w:t>技术参数</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六</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录播教室（单间2机位）中“高清录播主机”和（七）校园电视台（单间1机位）中“虚拟演播室主机”为核心产品。</w:t>
      </w:r>
    </w:p>
    <w:p>
      <w:pPr>
        <w:spacing w:line="360" w:lineRule="auto"/>
        <w:ind w:firstLine="482" w:firstLineChars="200"/>
        <w:rPr>
          <w:rFonts w:hint="eastAsia" w:asciiTheme="minorEastAsia" w:hAnsiTheme="minorEastAsia" w:eastAsiaTheme="minorEastAsia" w:cstheme="minorEastAsia"/>
          <w:b/>
          <w:bCs w:val="0"/>
          <w:color w:val="auto"/>
          <w:sz w:val="24"/>
          <w:szCs w:val="24"/>
        </w:rPr>
      </w:pPr>
      <w:r>
        <w:rPr>
          <w:rFonts w:hint="eastAsia" w:ascii="宋体" w:hAnsi="宋体" w:cs="宋体"/>
          <w:b/>
          <w:color w:val="auto"/>
          <w:sz w:val="24"/>
          <w:szCs w:val="24"/>
          <w:lang w:val="en-US" w:eastAsia="zh-CN"/>
        </w:rPr>
        <w:t>3</w:t>
      </w:r>
      <w:r>
        <w:rPr>
          <w:rFonts w:hint="eastAsia" w:ascii="宋体" w:hAnsi="宋体" w:cs="宋体"/>
          <w:b/>
          <w:color w:val="auto"/>
          <w:sz w:val="24"/>
          <w:szCs w:val="24"/>
        </w:rPr>
        <w:t>、</w:t>
      </w:r>
      <w:r>
        <w:rPr>
          <w:rFonts w:hint="eastAsia" w:ascii="宋体" w:hAnsi="宋体" w:cs="宋体"/>
          <w:b/>
          <w:color w:val="auto"/>
          <w:sz w:val="24"/>
          <w:szCs w:val="24"/>
          <w:lang w:val="en-US" w:eastAsia="zh-CN"/>
        </w:rPr>
        <w:t>供应商</w:t>
      </w:r>
      <w:r>
        <w:rPr>
          <w:rFonts w:hint="eastAsia" w:ascii="宋体" w:hAnsi="宋体" w:cs="宋体"/>
          <w:b/>
          <w:color w:val="auto"/>
          <w:sz w:val="24"/>
          <w:szCs w:val="24"/>
        </w:rPr>
        <w:t>若为代理商，</w:t>
      </w:r>
      <w:r>
        <w:rPr>
          <w:rFonts w:hint="eastAsia" w:ascii="宋体" w:hAnsi="宋体" w:cs="宋体"/>
          <w:b/>
          <w:color w:val="auto"/>
          <w:sz w:val="24"/>
          <w:szCs w:val="24"/>
          <w:lang w:val="en-US" w:eastAsia="zh-CN"/>
        </w:rPr>
        <w:t>针对电子班牌、录播室、校园电视台、计算机教室、办公用台式电脑、交互式一体机、打印机、阅卷系统等产品，必须</w:t>
      </w:r>
      <w:r>
        <w:rPr>
          <w:rFonts w:hint="eastAsia" w:ascii="宋体" w:hAnsi="宋体" w:cs="宋体"/>
          <w:b/>
          <w:color w:val="auto"/>
          <w:sz w:val="24"/>
          <w:szCs w:val="24"/>
        </w:rPr>
        <w:t>提供厂家</w:t>
      </w:r>
      <w:r>
        <w:rPr>
          <w:rFonts w:hint="eastAsia" w:ascii="宋体" w:hAnsi="宋体" w:cs="宋体"/>
          <w:b/>
          <w:color w:val="auto"/>
          <w:sz w:val="24"/>
          <w:szCs w:val="24"/>
          <w:lang w:val="en-US" w:eastAsia="zh-CN"/>
        </w:rPr>
        <w:t>产品</w:t>
      </w:r>
      <w:r>
        <w:rPr>
          <w:rFonts w:hint="eastAsia" w:ascii="宋体" w:hAnsi="宋体" w:cs="宋体"/>
          <w:b/>
          <w:color w:val="auto"/>
          <w:sz w:val="24"/>
          <w:szCs w:val="24"/>
        </w:rPr>
        <w:t>来源渠道合法的证明文件（不限于销售协议、代理协议、原厂授权等），证明文件复印件加盖供应商公司红章附在响应文件“货物说明一览表”后。</w:t>
      </w:r>
    </w:p>
    <w:p>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val="en-US" w:eastAsia="zh-CN"/>
        </w:rPr>
        <w:t>4、</w:t>
      </w:r>
      <w:r>
        <w:rPr>
          <w:rFonts w:hint="eastAsia" w:ascii="宋体" w:hAnsi="宋体" w:cs="宋体"/>
          <w:b/>
          <w:color w:val="auto"/>
          <w:sz w:val="24"/>
          <w:szCs w:val="24"/>
        </w:rPr>
        <w:t>以上技术参数凡涉及品牌及型号的均为同档次。</w:t>
      </w: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2"/>
        <w:rPr>
          <w:rFonts w:hint="eastAsia" w:ascii="宋体" w:hAnsi="宋体" w:cs="宋体"/>
          <w:b/>
          <w:color w:val="auto"/>
          <w:sz w:val="24"/>
          <w:szCs w:val="24"/>
        </w:rPr>
      </w:pPr>
    </w:p>
    <w:p>
      <w:pPr>
        <w:pStyle w:val="3"/>
        <w:rPr>
          <w:rFonts w:ascii="宋体" w:hAnsi="宋体" w:eastAsia="宋体" w:cs="宋体"/>
          <w:b/>
          <w:color w:val="auto"/>
          <w:szCs w:val="28"/>
          <w:lang w:val="zh-CN"/>
        </w:rPr>
      </w:pPr>
      <w:bookmarkStart w:id="32" w:name="_Toc13080"/>
      <w:r>
        <w:rPr>
          <w:rFonts w:hint="eastAsia" w:ascii="宋体" w:hAnsi="宋体" w:eastAsia="宋体" w:cs="宋体"/>
          <w:b/>
          <w:color w:val="auto"/>
          <w:szCs w:val="28"/>
          <w:lang w:val="zh-CN"/>
        </w:rPr>
        <w:t>第</w:t>
      </w:r>
      <w:r>
        <w:rPr>
          <w:rFonts w:hint="eastAsia" w:ascii="宋体" w:hAnsi="宋体" w:eastAsia="宋体" w:cs="宋体"/>
          <w:b/>
          <w:color w:val="auto"/>
          <w:szCs w:val="28"/>
        </w:rPr>
        <w:t>六</w:t>
      </w:r>
      <w:r>
        <w:rPr>
          <w:rFonts w:hint="eastAsia" w:ascii="宋体" w:hAnsi="宋体" w:eastAsia="宋体" w:cs="宋体"/>
          <w:b/>
          <w:color w:val="auto"/>
          <w:szCs w:val="28"/>
          <w:lang w:val="zh-CN"/>
        </w:rPr>
        <w:t>章  商务要求</w:t>
      </w:r>
      <w:bookmarkEnd w:id="30"/>
      <w:bookmarkEnd w:id="32"/>
    </w:p>
    <w:p>
      <w:pPr>
        <w:rPr>
          <w:rFonts w:ascii="宋体" w:hAnsi="宋体" w:cs="宋体"/>
          <w:color w:val="auto"/>
        </w:rPr>
      </w:pPr>
    </w:p>
    <w:p>
      <w:pPr>
        <w:spacing w:line="360" w:lineRule="auto"/>
        <w:ind w:firstLine="482" w:firstLineChars="200"/>
        <w:jc w:val="left"/>
        <w:rPr>
          <w:rFonts w:ascii="宋体" w:hAnsi="宋体" w:cs="宋体"/>
          <w:color w:val="auto"/>
          <w:sz w:val="24"/>
          <w:szCs w:val="24"/>
        </w:rPr>
      </w:pPr>
      <w:r>
        <w:rPr>
          <w:rFonts w:hint="eastAsia" w:ascii="宋体" w:hAnsi="宋体" w:cs="宋体"/>
          <w:b/>
          <w:color w:val="auto"/>
          <w:sz w:val="24"/>
          <w:szCs w:val="24"/>
        </w:rPr>
        <w:t>1、质量要求：</w:t>
      </w:r>
      <w:r>
        <w:rPr>
          <w:rFonts w:hint="eastAsia" w:ascii="宋体" w:hAnsi="宋体" w:cs="宋体"/>
          <w:color w:val="auto"/>
          <w:sz w:val="24"/>
          <w:szCs w:val="24"/>
        </w:rPr>
        <w:t>符合国家现行技术规范和标准合格。 </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2、质量保证</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2.1供应商提供的产品应是原装正品，符合国家质量检测标准，符合国家环保和节能的要求，具有出厂合格证或国家鉴定合格证。</w:t>
      </w:r>
    </w:p>
    <w:p>
      <w:pPr>
        <w:spacing w:line="360" w:lineRule="auto"/>
        <w:ind w:firstLine="482" w:firstLineChars="200"/>
        <w:rPr>
          <w:rFonts w:hint="eastAsia" w:ascii="宋体" w:hAnsi="宋体" w:cs="宋体"/>
          <w:color w:val="auto"/>
          <w:kern w:val="0"/>
          <w:sz w:val="24"/>
          <w:szCs w:val="24"/>
          <w:lang w:val="en-US" w:eastAsia="zh-CN" w:bidi="ar"/>
        </w:rPr>
      </w:pPr>
      <w:r>
        <w:rPr>
          <w:rFonts w:hint="eastAsia" w:ascii="宋体" w:hAnsi="宋体" w:cs="宋体"/>
          <w:b/>
          <w:color w:val="auto"/>
          <w:sz w:val="24"/>
          <w:szCs w:val="24"/>
        </w:rPr>
        <w:t>2.2质保期：</w:t>
      </w:r>
      <w:r>
        <w:rPr>
          <w:rFonts w:hint="eastAsia" w:ascii="宋体" w:hAnsi="宋体" w:cs="宋体"/>
          <w:b/>
          <w:color w:val="auto"/>
          <w:sz w:val="24"/>
          <w:szCs w:val="24"/>
          <w:lang w:val="en-US" w:eastAsia="zh-CN"/>
        </w:rPr>
        <w:t>一</w:t>
      </w:r>
      <w:r>
        <w:rPr>
          <w:rFonts w:hint="eastAsia" w:ascii="宋体" w:hAnsi="宋体" w:cs="宋体"/>
          <w:b/>
          <w:color w:val="auto"/>
          <w:sz w:val="24"/>
          <w:szCs w:val="24"/>
        </w:rPr>
        <w:t>年。（从验收合格之日起开始计算）</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其中</w:t>
      </w:r>
      <w:r>
        <w:rPr>
          <w:rFonts w:hint="eastAsia" w:ascii="宋体" w:hAnsi="宋体" w:cs="宋体"/>
          <w:color w:val="auto"/>
          <w:kern w:val="0"/>
          <w:sz w:val="24"/>
          <w:szCs w:val="24"/>
          <w:lang w:val="en-US" w:eastAsia="zh-CN" w:bidi="ar"/>
        </w:rPr>
        <w:t>台式电脑、</w:t>
      </w:r>
      <w:r>
        <w:rPr>
          <w:rFonts w:hint="eastAsia" w:ascii="宋体" w:hAnsi="宋体" w:cs="宋体"/>
          <w:color w:val="auto"/>
          <w:sz w:val="24"/>
          <w:szCs w:val="24"/>
          <w:lang w:val="en-US" w:eastAsia="zh-CN"/>
        </w:rPr>
        <w:t>办公用台式电脑、阅卷系统</w:t>
      </w:r>
      <w:r>
        <w:rPr>
          <w:rFonts w:hint="eastAsia" w:ascii="宋体" w:hAnsi="宋体" w:cs="宋体"/>
          <w:color w:val="auto"/>
          <w:kern w:val="0"/>
          <w:sz w:val="24"/>
          <w:szCs w:val="24"/>
          <w:lang w:val="en-US" w:eastAsia="zh-CN" w:bidi="ar"/>
        </w:rPr>
        <w:t>的质保期均不少于三年,质保期内免费提供服务（包括系统升级、软硬件修理更换等）。</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3、实施地点：</w:t>
      </w:r>
      <w:r>
        <w:rPr>
          <w:rFonts w:hint="eastAsia" w:ascii="宋体" w:hAnsi="宋体" w:cs="宋体"/>
          <w:bCs/>
          <w:color w:val="auto"/>
          <w:sz w:val="24"/>
          <w:szCs w:val="24"/>
        </w:rPr>
        <w:t>采购人指定地点。</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4、交货期：40个日历日</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4.1、成交供应商未征得采购人同意和谅解而单方面延迟交货期限，将按违约终止合同。</w:t>
      </w:r>
    </w:p>
    <w:p>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4.2、</w:t>
      </w:r>
      <w:r>
        <w:rPr>
          <w:rFonts w:hint="eastAsia" w:ascii="宋体" w:hAnsi="宋体" w:cs="宋体"/>
          <w:color w:val="auto"/>
          <w:kern w:val="0"/>
          <w:sz w:val="24"/>
          <w:szCs w:val="24"/>
        </w:rPr>
        <w:t>成交</w:t>
      </w:r>
      <w:r>
        <w:rPr>
          <w:rFonts w:hint="eastAsia" w:ascii="宋体" w:hAnsi="宋体" w:cs="宋体"/>
          <w:color w:val="auto"/>
          <w:sz w:val="24"/>
          <w:szCs w:val="24"/>
        </w:rPr>
        <w:t>供应商遇到可能妨碍按时提供货物或服务的情况，应当及时以书面形式通知采购人，说明原由、拖延的期限等；采购人、采购代理机构在收到通知后，尽快进行情况评估并确定是否通过修改合同，酌情延长服务时间或者通过协商加收误期赔偿金。</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5、合同价款：</w:t>
      </w:r>
    </w:p>
    <w:p>
      <w:pPr>
        <w:spacing w:line="360" w:lineRule="auto"/>
        <w:ind w:firstLine="547" w:firstLineChars="228"/>
        <w:rPr>
          <w:rFonts w:ascii="宋体" w:hAnsi="宋体" w:cs="宋体"/>
          <w:color w:val="auto"/>
          <w:sz w:val="24"/>
          <w:szCs w:val="24"/>
        </w:rPr>
      </w:pPr>
      <w:r>
        <w:rPr>
          <w:rFonts w:hint="eastAsia" w:ascii="宋体" w:hAnsi="宋体" w:cs="宋体"/>
          <w:color w:val="auto"/>
          <w:sz w:val="24"/>
          <w:szCs w:val="24"/>
        </w:rPr>
        <w:t>5.1、合同总价包括：</w:t>
      </w:r>
      <w:r>
        <w:rPr>
          <w:rFonts w:hint="eastAsia" w:ascii="宋体" w:hAnsi="宋体" w:cs="宋体"/>
          <w:color w:val="auto"/>
          <w:sz w:val="24"/>
          <w:szCs w:val="24"/>
          <w:lang w:val="zh-CN"/>
        </w:rPr>
        <w:t>货物总价、货物运达指定地点的运杂费（含运输费、保险费）、安装调试费、检测验收费、其他（含</w:t>
      </w:r>
      <w:r>
        <w:rPr>
          <w:rFonts w:hint="eastAsia" w:ascii="宋体" w:hAnsi="宋体" w:cs="宋体"/>
          <w:color w:val="auto"/>
          <w:sz w:val="24"/>
          <w:szCs w:val="24"/>
        </w:rPr>
        <w:t>人工费、</w:t>
      </w:r>
      <w:r>
        <w:rPr>
          <w:rFonts w:hint="eastAsia" w:ascii="宋体" w:hAnsi="宋体" w:cs="宋体"/>
          <w:color w:val="auto"/>
          <w:sz w:val="24"/>
          <w:szCs w:val="24"/>
          <w:lang w:val="zh-CN"/>
        </w:rPr>
        <w:t>向税务部门交纳的各项税费等）等至交付采购人使用的一切含税费用。</w:t>
      </w:r>
      <w:r>
        <w:rPr>
          <w:rFonts w:hint="eastAsia" w:ascii="宋体" w:hAnsi="宋体" w:cs="宋体"/>
          <w:color w:val="auto"/>
          <w:sz w:val="24"/>
          <w:szCs w:val="24"/>
        </w:rPr>
        <w:t xml:space="preserve">     </w:t>
      </w:r>
    </w:p>
    <w:p>
      <w:pPr>
        <w:tabs>
          <w:tab w:val="left" w:pos="735"/>
        </w:tabs>
        <w:adjustRightInd w:val="0"/>
        <w:snapToGrid w:val="0"/>
        <w:spacing w:line="360" w:lineRule="auto"/>
        <w:ind w:firstLine="504" w:firstLineChars="210"/>
        <w:rPr>
          <w:rFonts w:ascii="宋体" w:hAnsi="宋体" w:cs="宋体"/>
          <w:color w:val="auto"/>
          <w:sz w:val="24"/>
          <w:szCs w:val="24"/>
        </w:rPr>
      </w:pPr>
      <w:r>
        <w:rPr>
          <w:rFonts w:hint="eastAsia" w:ascii="宋体" w:hAnsi="宋体" w:cs="宋体"/>
          <w:color w:val="auto"/>
          <w:sz w:val="24"/>
          <w:szCs w:val="24"/>
        </w:rPr>
        <w:t>5.2、本合同总价还包含供应商应当提供的伴随服务和售后服务费用。</w:t>
      </w:r>
    </w:p>
    <w:p>
      <w:pPr>
        <w:tabs>
          <w:tab w:val="left" w:pos="735"/>
        </w:tabs>
        <w:adjustRightInd w:val="0"/>
        <w:snapToGrid w:val="0"/>
        <w:spacing w:line="360" w:lineRule="auto"/>
        <w:ind w:firstLine="504" w:firstLineChars="210"/>
        <w:rPr>
          <w:rFonts w:ascii="宋体" w:hAnsi="宋体" w:cs="宋体"/>
          <w:color w:val="auto"/>
          <w:sz w:val="24"/>
          <w:szCs w:val="24"/>
        </w:rPr>
      </w:pPr>
      <w:r>
        <w:rPr>
          <w:rFonts w:hint="eastAsia" w:ascii="宋体" w:hAnsi="宋体" w:cs="宋体"/>
          <w:color w:val="auto"/>
          <w:sz w:val="24"/>
          <w:szCs w:val="24"/>
        </w:rPr>
        <w:t>5.3、本合同执行期间合同总价不变，采购人无须另向供应商支付本合同约定合同总价之外的其他任何费用。</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6、付款方式：</w:t>
      </w:r>
    </w:p>
    <w:p>
      <w:pPr>
        <w:spacing w:line="360" w:lineRule="auto"/>
        <w:ind w:firstLine="547" w:firstLineChars="228"/>
        <w:rPr>
          <w:rFonts w:ascii="宋体" w:hAnsi="宋体" w:cs="宋体"/>
          <w:color w:val="auto"/>
          <w:sz w:val="24"/>
          <w:szCs w:val="24"/>
        </w:rPr>
      </w:pPr>
      <w:r>
        <w:rPr>
          <w:rFonts w:hint="eastAsia" w:ascii="宋体" w:hAnsi="宋体" w:cs="宋体"/>
          <w:color w:val="auto"/>
          <w:sz w:val="24"/>
          <w:szCs w:val="24"/>
        </w:rPr>
        <w:t>6.1、产品交货、安装、调试完成，</w:t>
      </w:r>
      <w:r>
        <w:rPr>
          <w:rFonts w:hint="eastAsia" w:ascii="宋体" w:hAnsi="宋体" w:cs="宋体"/>
          <w:color w:val="auto"/>
          <w:sz w:val="24"/>
          <w:szCs w:val="24"/>
          <w:lang w:val="zh-CN"/>
        </w:rPr>
        <w:t>经相关专家验收合格后，支付合同总款的95%；</w:t>
      </w:r>
      <w:r>
        <w:rPr>
          <w:rFonts w:hint="eastAsia" w:ascii="宋体" w:hAnsi="宋体" w:cs="宋体"/>
          <w:color w:val="auto"/>
          <w:sz w:val="24"/>
          <w:szCs w:val="24"/>
        </w:rPr>
        <w:t>剩余合同总款的5%在验收合格一年后无任何质量问题无争议索赔的情况下不计息一次付清。</w:t>
      </w:r>
    </w:p>
    <w:p>
      <w:pPr>
        <w:spacing w:line="360" w:lineRule="auto"/>
        <w:ind w:firstLine="547" w:firstLineChars="228"/>
        <w:rPr>
          <w:rFonts w:ascii="宋体" w:hAnsi="宋体" w:cs="宋体"/>
          <w:color w:val="auto"/>
          <w:sz w:val="24"/>
          <w:szCs w:val="24"/>
        </w:rPr>
      </w:pPr>
      <w:r>
        <w:rPr>
          <w:rFonts w:hint="eastAsia" w:ascii="宋体" w:hAnsi="宋体" w:cs="宋体"/>
          <w:color w:val="auto"/>
          <w:sz w:val="24"/>
          <w:szCs w:val="24"/>
        </w:rPr>
        <w:t>6.3、结算方式：采购人与成交供应商直接结算，发票直开采购人。</w:t>
      </w:r>
    </w:p>
    <w:p>
      <w:pPr>
        <w:spacing w:line="360" w:lineRule="auto"/>
        <w:ind w:firstLine="547" w:firstLineChars="228"/>
        <w:rPr>
          <w:rFonts w:ascii="宋体" w:hAnsi="宋体" w:cs="宋体"/>
          <w:color w:val="auto"/>
          <w:sz w:val="24"/>
          <w:szCs w:val="24"/>
        </w:rPr>
      </w:pPr>
      <w:r>
        <w:rPr>
          <w:rFonts w:hint="eastAsia" w:ascii="宋体" w:hAnsi="宋体" w:cs="宋体"/>
          <w:color w:val="auto"/>
          <w:sz w:val="24"/>
          <w:szCs w:val="24"/>
        </w:rPr>
        <w:t>6.4、支付方式：银行转账。</w:t>
      </w:r>
    </w:p>
    <w:p>
      <w:pPr>
        <w:autoSpaceDE w:val="0"/>
        <w:autoSpaceDN w:val="0"/>
        <w:adjustRightIn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7、验收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7.1、到货验收：货物到货后，由采购人与供应商共同进行验收，验收内容包括，外观、规格、数量等与合同要求的一致性。</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7.2、货物运行验收：供应商安装调试合格后，向采购人提出验收申请，采购人接到供应商验收申请后组织验收（必要时可聘请相应专家或委托相应部门验收），验收合格后，出具使用验收合格证明。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7.3、最终验收：最终验收结果作为付款依据，供应商填写验收单，并向采购人提交实施过程中的所有资料，以便采购人日后管理和维护。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7.4、质保期满后：由供应商出具质量报告，作为质保金支付依据，若存在质量问题，应按相应规定协商处理。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7.5、验收依据：</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7.5.1、合同文本、合同附件、</w:t>
      </w:r>
      <w:r>
        <w:rPr>
          <w:rFonts w:hint="eastAsia" w:ascii="宋体" w:hAnsi="宋体" w:cs="宋体"/>
          <w:color w:val="auto"/>
          <w:sz w:val="24"/>
          <w:szCs w:val="24"/>
          <w:lang w:val="zh-CN"/>
        </w:rPr>
        <w:t>竞争性</w:t>
      </w:r>
      <w:r>
        <w:rPr>
          <w:rFonts w:hint="eastAsia" w:ascii="宋体" w:hAnsi="宋体" w:cs="宋体"/>
          <w:color w:val="auto"/>
          <w:sz w:val="24"/>
          <w:szCs w:val="24"/>
        </w:rPr>
        <w:t>采购</w:t>
      </w:r>
      <w:r>
        <w:rPr>
          <w:rFonts w:hint="eastAsia" w:ascii="宋体" w:hAnsi="宋体" w:cs="宋体"/>
          <w:color w:val="auto"/>
          <w:sz w:val="24"/>
          <w:szCs w:val="24"/>
          <w:lang w:val="zh-CN"/>
        </w:rPr>
        <w:t>文件</w:t>
      </w:r>
      <w:r>
        <w:rPr>
          <w:rFonts w:hint="eastAsia" w:ascii="宋体" w:hAnsi="宋体" w:cs="宋体"/>
          <w:color w:val="auto"/>
          <w:sz w:val="24"/>
          <w:szCs w:val="24"/>
        </w:rPr>
        <w:t>、响应文件。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7.5.2、国内相应的标准、规范。</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8.售后服务</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8.1供应商必须具有完善的售后服务体系，高水平的技术维修人员和良好的设备备件供应能力。</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 xml:space="preserve">8.2供应商同意该产品自安装、调试、验收合格并正常使用之日起免费保修，质保期为三年，在质保期内出现的任何质量问题，供应商保证在接到采购人维修通知之日起24小时内派专业维修人员赶赴现场（即采购人指定地点）进行维修。     </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 xml:space="preserve">8.3故障响应时间 </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提供7*24小时的故障服务受理，若出现设备或系统故障，接通知后即响应，应保证12小时内到达用户现场进行维修，一般故障2小时内修复，重大故障24小时内修复；若约定的时间内不能排除故障，则货物的质保期自然顺延。</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8.4质保期内，如经过两次维修后仍达不到此标准，供应商应负责调换部分或整个产品设备，质保期作相应延长，并承担自产品出现故障之日起至产品再次正常运行使用之日期间给采购人造成的所有经济损失。若更换后产品还达不到此标准，供应商应无条件退货，并承担给采购人造成的所有经济损失。</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8.5质保期内，维修费用、供应商维修人员的差旅费及其他相关费用均由供应商承担。</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8.6质保期满后，供应商负责终身优质服务，检修更换的产品配置零件按标准报价的优惠价向采购人提供，免人工费、差旅费及工时费，只收取更换的零配件成本费。</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8.7如因产品本身的隐蔽瑕疵而出现的质量问题，供应商应全面负责维修调试或更新更换并承担全部费用。</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8.8供应商必须严格依据合同约定及竞争性谈判响应文件中的售后服务承诺履行售后服务义务。</w:t>
      </w:r>
    </w:p>
    <w:p>
      <w:pPr>
        <w:widowControl/>
        <w:adjustRightInd w:val="0"/>
        <w:snapToGrid w:val="0"/>
        <w:spacing w:line="360" w:lineRule="auto"/>
        <w:jc w:val="left"/>
        <w:rPr>
          <w:rFonts w:ascii="宋体" w:hAnsi="宋体" w:cs="宋体"/>
          <w:b/>
          <w:color w:val="auto"/>
          <w:sz w:val="24"/>
          <w:szCs w:val="24"/>
        </w:rPr>
      </w:pPr>
      <w:r>
        <w:rPr>
          <w:rFonts w:hint="eastAsia" w:ascii="宋体" w:hAnsi="宋体" w:cs="宋体"/>
          <w:b/>
          <w:color w:val="auto"/>
          <w:sz w:val="24"/>
          <w:szCs w:val="24"/>
        </w:rPr>
        <w:t>9. 安装调试及技术服务要求</w:t>
      </w:r>
    </w:p>
    <w:p>
      <w:pPr>
        <w:widowControl/>
        <w:adjustRightInd w:val="0"/>
        <w:snapToGrid w:val="0"/>
        <w:spacing w:line="360" w:lineRule="auto"/>
        <w:jc w:val="left"/>
        <w:rPr>
          <w:rFonts w:ascii="宋体" w:hAnsi="宋体" w:cs="宋体"/>
          <w:b/>
          <w:color w:val="auto"/>
          <w:kern w:val="0"/>
          <w:sz w:val="24"/>
          <w:szCs w:val="24"/>
        </w:rPr>
      </w:pPr>
      <w:r>
        <w:rPr>
          <w:rFonts w:hint="eastAsia" w:ascii="宋体" w:hAnsi="宋体" w:cs="宋体"/>
          <w:b/>
          <w:color w:val="auto"/>
          <w:sz w:val="24"/>
          <w:szCs w:val="24"/>
        </w:rPr>
        <w:t>9</w:t>
      </w:r>
      <w:r>
        <w:rPr>
          <w:rFonts w:hint="eastAsia" w:ascii="宋体" w:hAnsi="宋体" w:cs="宋体"/>
          <w:b/>
          <w:color w:val="auto"/>
          <w:kern w:val="0"/>
          <w:sz w:val="24"/>
          <w:szCs w:val="24"/>
        </w:rPr>
        <w:t>.1供货要求</w:t>
      </w:r>
    </w:p>
    <w:p>
      <w:pPr>
        <w:widowControl/>
        <w:adjustRightInd w:val="0"/>
        <w:snapToGrid w:val="0"/>
        <w:spacing w:line="360" w:lineRule="auto"/>
        <w:ind w:firstLine="480" w:firstLineChars="200"/>
        <w:jc w:val="left"/>
        <w:rPr>
          <w:rFonts w:ascii="宋体" w:hAnsi="宋体" w:cs="宋体"/>
          <w:color w:val="auto"/>
          <w:kern w:val="0"/>
          <w:sz w:val="24"/>
          <w:szCs w:val="24"/>
          <w:lang w:val="ru-RU"/>
        </w:rPr>
      </w:pPr>
      <w:r>
        <w:rPr>
          <w:rFonts w:hint="eastAsia" w:ascii="宋体" w:hAnsi="宋体" w:cs="宋体"/>
          <w:bCs/>
          <w:color w:val="auto"/>
          <w:sz w:val="24"/>
          <w:szCs w:val="24"/>
        </w:rPr>
        <w:t>9.</w:t>
      </w:r>
      <w:r>
        <w:rPr>
          <w:rFonts w:hint="eastAsia" w:ascii="宋体" w:hAnsi="宋体" w:cs="宋体"/>
          <w:bCs/>
          <w:color w:val="auto"/>
          <w:kern w:val="0"/>
          <w:sz w:val="24"/>
          <w:szCs w:val="24"/>
        </w:rPr>
        <w:t>1.1</w:t>
      </w:r>
      <w:r>
        <w:rPr>
          <w:rFonts w:hint="eastAsia" w:ascii="宋体" w:hAnsi="宋体" w:cs="宋体"/>
          <w:color w:val="auto"/>
          <w:kern w:val="0"/>
          <w:sz w:val="24"/>
          <w:szCs w:val="24"/>
        </w:rPr>
        <w:t xml:space="preserve"> 供应商提供的产品应根据国家现行相关标准、</w:t>
      </w:r>
      <w:r>
        <w:rPr>
          <w:rFonts w:hint="eastAsia" w:ascii="宋体" w:hAnsi="宋体" w:cs="宋体"/>
          <w:color w:val="auto"/>
          <w:kern w:val="0"/>
          <w:sz w:val="24"/>
          <w:szCs w:val="24"/>
          <w:lang w:val="ru-RU"/>
        </w:rPr>
        <w:t>规范和本采购文件、</w:t>
      </w:r>
      <w:r>
        <w:rPr>
          <w:rFonts w:hint="eastAsia" w:ascii="宋体" w:hAnsi="宋体" w:cs="宋体"/>
          <w:color w:val="auto"/>
          <w:kern w:val="0"/>
          <w:sz w:val="24"/>
          <w:szCs w:val="24"/>
          <w:lang w:val="ru-RU" w:eastAsia="ru-RU"/>
        </w:rPr>
        <w:t>采购人要求</w:t>
      </w:r>
      <w:r>
        <w:rPr>
          <w:rFonts w:hint="eastAsia" w:ascii="宋体" w:hAnsi="宋体" w:cs="宋体"/>
          <w:color w:val="auto"/>
          <w:kern w:val="0"/>
          <w:sz w:val="24"/>
          <w:szCs w:val="24"/>
          <w:lang w:val="ru-RU"/>
        </w:rPr>
        <w:t>进行</w:t>
      </w:r>
      <w:r>
        <w:rPr>
          <w:rFonts w:hint="eastAsia" w:ascii="宋体" w:hAnsi="宋体" w:cs="宋体"/>
          <w:color w:val="auto"/>
          <w:kern w:val="0"/>
          <w:sz w:val="24"/>
          <w:szCs w:val="24"/>
          <w:lang w:val="ru-RU" w:eastAsia="ru-RU"/>
        </w:rPr>
        <w:t>设计</w:t>
      </w:r>
      <w:r>
        <w:rPr>
          <w:rFonts w:hint="eastAsia" w:ascii="宋体" w:hAnsi="宋体" w:cs="宋体"/>
          <w:color w:val="auto"/>
          <w:kern w:val="0"/>
          <w:sz w:val="24"/>
          <w:szCs w:val="24"/>
          <w:lang w:val="ru-RU"/>
        </w:rPr>
        <w:t>和制</w:t>
      </w:r>
      <w:r>
        <w:rPr>
          <w:rFonts w:hint="eastAsia" w:ascii="宋体" w:hAnsi="宋体" w:cs="宋体"/>
          <w:color w:val="auto"/>
          <w:kern w:val="0"/>
          <w:sz w:val="24"/>
          <w:szCs w:val="24"/>
        </w:rPr>
        <w:t>造，所有主要部件必须至少达到国内先进水平，结构合理、可靠性高、能耗低、运行噪音低、无污染，操作保养和维护简便。</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bCs/>
          <w:color w:val="auto"/>
          <w:sz w:val="24"/>
          <w:szCs w:val="24"/>
        </w:rPr>
        <w:t>9.</w:t>
      </w:r>
      <w:r>
        <w:rPr>
          <w:rFonts w:hint="eastAsia" w:ascii="宋体" w:hAnsi="宋体" w:cs="宋体"/>
          <w:bCs/>
          <w:color w:val="auto"/>
          <w:kern w:val="0"/>
          <w:sz w:val="24"/>
          <w:szCs w:val="24"/>
        </w:rPr>
        <w:t>1.2</w:t>
      </w:r>
      <w:r>
        <w:rPr>
          <w:rFonts w:hint="eastAsia" w:ascii="宋体" w:hAnsi="宋体" w:cs="宋体"/>
          <w:color w:val="auto"/>
          <w:kern w:val="0"/>
          <w:sz w:val="24"/>
          <w:szCs w:val="24"/>
        </w:rPr>
        <w:t xml:space="preserve"> 供应商须在响应文件中提供详细构造图、设备样本和使用操作说明书。</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bCs/>
          <w:color w:val="auto"/>
          <w:sz w:val="24"/>
          <w:szCs w:val="24"/>
        </w:rPr>
        <w:t>9.</w:t>
      </w:r>
      <w:r>
        <w:rPr>
          <w:rFonts w:hint="eastAsia" w:ascii="宋体" w:hAnsi="宋体" w:cs="宋体"/>
          <w:bCs/>
          <w:color w:val="auto"/>
          <w:kern w:val="0"/>
          <w:sz w:val="24"/>
          <w:szCs w:val="24"/>
        </w:rPr>
        <w:t>1.3</w:t>
      </w:r>
      <w:r>
        <w:rPr>
          <w:rFonts w:hint="eastAsia" w:ascii="宋体" w:hAnsi="宋体" w:cs="宋体"/>
          <w:color w:val="auto"/>
          <w:kern w:val="0"/>
          <w:sz w:val="24"/>
          <w:szCs w:val="24"/>
        </w:rPr>
        <w:t>成交供应商必须按采购人认可的设计方案和材料进行供货。</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bCs/>
          <w:color w:val="auto"/>
          <w:sz w:val="24"/>
          <w:szCs w:val="24"/>
        </w:rPr>
        <w:t>9.1.4</w:t>
      </w:r>
      <w:r>
        <w:rPr>
          <w:rFonts w:hint="eastAsia" w:ascii="宋体" w:hAnsi="宋体" w:cs="宋体"/>
          <w:color w:val="auto"/>
          <w:kern w:val="0"/>
          <w:sz w:val="24"/>
          <w:szCs w:val="24"/>
        </w:rPr>
        <w:t xml:space="preserve"> 供应商必须按采购方的要求和认可，承担设备的安装和调试及试运行直至验收合格交付使用。</w:t>
      </w:r>
    </w:p>
    <w:p>
      <w:pPr>
        <w:widowControl/>
        <w:adjustRightInd w:val="0"/>
        <w:snapToGrid w:val="0"/>
        <w:spacing w:line="360" w:lineRule="auto"/>
        <w:jc w:val="left"/>
        <w:rPr>
          <w:rFonts w:ascii="宋体" w:hAnsi="宋体" w:cs="宋体"/>
          <w:b/>
          <w:bCs/>
          <w:color w:val="auto"/>
          <w:sz w:val="24"/>
          <w:szCs w:val="24"/>
        </w:rPr>
      </w:pPr>
      <w:r>
        <w:rPr>
          <w:rFonts w:hint="eastAsia" w:ascii="宋体" w:hAnsi="宋体" w:cs="宋体"/>
          <w:b/>
          <w:color w:val="auto"/>
          <w:sz w:val="24"/>
          <w:szCs w:val="24"/>
        </w:rPr>
        <w:t>9.2</w:t>
      </w:r>
      <w:r>
        <w:rPr>
          <w:rFonts w:hint="eastAsia" w:ascii="宋体" w:hAnsi="宋体" w:cs="宋体"/>
          <w:b/>
          <w:bCs/>
          <w:color w:val="auto"/>
          <w:sz w:val="24"/>
          <w:szCs w:val="24"/>
        </w:rPr>
        <w:t>安装调试与试运行</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 xml:space="preserve">9.2.1 </w:t>
      </w:r>
      <w:r>
        <w:rPr>
          <w:rFonts w:hint="eastAsia" w:ascii="宋体" w:hAnsi="宋体" w:cs="宋体"/>
          <w:color w:val="auto"/>
          <w:kern w:val="0"/>
          <w:sz w:val="24"/>
          <w:szCs w:val="24"/>
        </w:rPr>
        <w:t>产品</w:t>
      </w:r>
      <w:r>
        <w:rPr>
          <w:rFonts w:hint="eastAsia" w:ascii="宋体" w:hAnsi="宋体" w:cs="宋体"/>
          <w:bCs/>
          <w:color w:val="auto"/>
          <w:sz w:val="24"/>
          <w:szCs w:val="24"/>
        </w:rPr>
        <w:t>到达采购人现场后，按照在采购人确定的时间在采购人所在地现场免费进行开箱查验。</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9.2.3未经采购人书面同意供应商不得将设备委托其他非专业方进行安装。</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9.2.4供应商应派具有相应资格的工程师到现场负责安装和调试，以检测设备的运行效果等，直至调试合格设备正常运行，</w:t>
      </w:r>
      <w:r>
        <w:rPr>
          <w:rFonts w:hint="eastAsia" w:ascii="宋体" w:hAnsi="宋体" w:cs="宋体"/>
          <w:bCs/>
          <w:color w:val="auto"/>
          <w:kern w:val="0"/>
          <w:sz w:val="24"/>
          <w:szCs w:val="24"/>
          <w:lang w:val="ru-RU" w:eastAsia="ru-RU"/>
        </w:rPr>
        <w:t>安装人员</w:t>
      </w:r>
      <w:r>
        <w:rPr>
          <w:rFonts w:hint="eastAsia" w:ascii="宋体" w:hAnsi="宋体" w:cs="宋体"/>
          <w:bCs/>
          <w:color w:val="auto"/>
          <w:kern w:val="0"/>
          <w:sz w:val="24"/>
          <w:szCs w:val="24"/>
          <w:lang w:val="ru-RU"/>
        </w:rPr>
        <w:t>须</w:t>
      </w:r>
      <w:r>
        <w:rPr>
          <w:rFonts w:hint="eastAsia" w:ascii="宋体" w:hAnsi="宋体" w:cs="宋体"/>
          <w:bCs/>
          <w:color w:val="auto"/>
          <w:kern w:val="0"/>
          <w:sz w:val="24"/>
          <w:szCs w:val="24"/>
          <w:lang w:val="ru-RU" w:eastAsia="ru-RU"/>
        </w:rPr>
        <w:t>持有有效上岗证</w:t>
      </w:r>
      <w:r>
        <w:rPr>
          <w:rFonts w:hint="eastAsia" w:ascii="宋体" w:hAnsi="宋体" w:cs="宋体"/>
          <w:bCs/>
          <w:color w:val="auto"/>
          <w:sz w:val="24"/>
          <w:szCs w:val="24"/>
        </w:rPr>
        <w:t>，相关费用由成交供应商负担，费用计入谈判总价，可不单独列支。</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9.2.5 供应商须对安装、调试、记录、试运行等负责，直至取得采购人确认合格的验收报告单，检、试、验收费用包括在总价中。</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9.2.6在开始安装以前，成交供应商必须按采购人提供的资料和要求提交安装作业计划和要求，且须经采购方的同意和认可。</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9.2.7 成交供应商应在采购人代表的监督下，现场对产品进行安装和调试，以确保产品的正常使用。</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9.2.8安装施工期间中标方人员的食宿由成交供应商负责，采购人尽可能为成交供应商提供方便。</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9.2.9 在安装期间要注意成品保护，安装期间因供应商或场地的原因造成对采购人建筑物、构筑物、环保、绿化等破坏由成交供应商负责修复和赔偿。</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9.2.10如果因成交供应商的原因发生的人身伤害等责任事故，一切责任由成交供应商负责。</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9.2.11在货物安装过程中如发生货物质量问题，成交供应商应派人员免费提供现场更换或维修服务，由此发生的费用由成交供应商承担。</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9.2.12由成交供应商提供货物安装、调试所需要的工具、仪器、材料以及劳务人员。所有不需要特殊装修并且是暴露的钢制件应在表面进行除锈防腐处理。</w:t>
      </w:r>
    </w:p>
    <w:p>
      <w:pPr>
        <w:widowControl/>
        <w:adjustRightInd w:val="0"/>
        <w:snapToGrid w:val="0"/>
        <w:spacing w:line="360" w:lineRule="auto"/>
        <w:jc w:val="left"/>
        <w:outlineLvl w:val="2"/>
        <w:rPr>
          <w:rFonts w:ascii="宋体" w:hAnsi="宋体" w:cs="宋体"/>
          <w:b/>
          <w:color w:val="auto"/>
          <w:sz w:val="24"/>
          <w:szCs w:val="24"/>
        </w:rPr>
      </w:pPr>
      <w:r>
        <w:rPr>
          <w:rFonts w:hint="eastAsia" w:ascii="宋体" w:hAnsi="宋体" w:cs="宋体"/>
          <w:b/>
          <w:color w:val="auto"/>
          <w:sz w:val="24"/>
          <w:szCs w:val="24"/>
        </w:rPr>
        <w:t>9.3培训</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9.3.1 成交供应商负责就货物的调试使用和设备操作，免费培训采购人的操作人员，采购人受训人员的培训费用由成交供应商承担，包含在谈判报价中。供应商应在响应文件中提供详细的培训计划（包括培训内容、培训时间等）。</w:t>
      </w:r>
      <w:r>
        <w:rPr>
          <w:rFonts w:hint="eastAsia" w:ascii="宋体" w:hAnsi="宋体" w:cs="宋体"/>
          <w:color w:val="auto"/>
          <w:kern w:val="0"/>
          <w:sz w:val="24"/>
          <w:szCs w:val="24"/>
        </w:rPr>
        <w:t>在响应文件中列出推荐的培训计划（培训时间及人员根据需要确定）。</w:t>
      </w:r>
    </w:p>
    <w:p>
      <w:pPr>
        <w:widowControl/>
        <w:adjustRightInd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9.3.2 成交供应商应安排具有同类产品维修经验3年及以上的人员负责培训。</w:t>
      </w:r>
    </w:p>
    <w:p>
      <w:pPr>
        <w:spacing w:line="360" w:lineRule="auto"/>
        <w:ind w:firstLine="480" w:firstLineChars="200"/>
        <w:rPr>
          <w:rFonts w:ascii="宋体" w:hAnsi="宋体" w:cs="宋体"/>
          <w:b/>
          <w:color w:val="auto"/>
          <w:sz w:val="24"/>
          <w:szCs w:val="24"/>
        </w:rPr>
      </w:pPr>
      <w:r>
        <w:rPr>
          <w:rFonts w:hint="eastAsia" w:ascii="宋体" w:hAnsi="宋体" w:cs="宋体"/>
          <w:bCs/>
          <w:color w:val="auto"/>
          <w:sz w:val="24"/>
          <w:szCs w:val="24"/>
        </w:rPr>
        <w:t>9.3.3 对操作人员的培训内容至少应包括操作和故障应急措施。</w:t>
      </w:r>
    </w:p>
    <w:p>
      <w:pPr>
        <w:widowControl/>
        <w:adjustRightInd w:val="0"/>
        <w:snapToGrid w:val="0"/>
        <w:spacing w:line="360" w:lineRule="auto"/>
        <w:jc w:val="left"/>
        <w:rPr>
          <w:rFonts w:ascii="宋体" w:hAnsi="宋体" w:cs="宋体"/>
          <w:color w:val="auto"/>
          <w:sz w:val="24"/>
          <w:szCs w:val="24"/>
        </w:rPr>
      </w:pPr>
      <w:r>
        <w:rPr>
          <w:rFonts w:hint="eastAsia" w:ascii="宋体" w:hAnsi="宋体" w:cs="宋体"/>
          <w:b/>
          <w:color w:val="auto"/>
          <w:sz w:val="24"/>
          <w:szCs w:val="24"/>
        </w:rPr>
        <w:t>10.违约责任</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10.1按《中华人民共和国民法典》中的相关条款执行。</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10.2未按合同及谈判文件要求提供产品、服务或产品质量不能满足合同要求，采购人有权依据《民法典》有关条款及合同约定解除合同，合同自书面解除通知到达供应商之日起解除，并按以下两种方式追究供应商违约责任：</w:t>
      </w:r>
    </w:p>
    <w:p>
      <w:pPr>
        <w:spacing w:line="360" w:lineRule="auto"/>
        <w:ind w:firstLine="480" w:firstLineChars="200"/>
        <w:rPr>
          <w:rFonts w:ascii="宋体" w:hAnsi="宋体" w:cs="宋体"/>
          <w:bCs/>
          <w:color w:val="auto"/>
          <w:sz w:val="24"/>
          <w:szCs w:val="24"/>
        </w:rPr>
      </w:pPr>
      <w:r>
        <w:rPr>
          <w:rFonts w:hint="eastAsia" w:ascii="宋体" w:hAnsi="宋体" w:cs="宋体"/>
          <w:color w:val="auto"/>
          <w:sz w:val="24"/>
          <w:szCs w:val="24"/>
        </w:rPr>
        <w:t>10</w:t>
      </w:r>
      <w:r>
        <w:rPr>
          <w:rFonts w:hint="eastAsia" w:ascii="宋体" w:hAnsi="宋体" w:cs="宋体"/>
          <w:bCs/>
          <w:color w:val="auto"/>
          <w:sz w:val="24"/>
          <w:szCs w:val="24"/>
        </w:rPr>
        <w:t>.2.1供应商赔偿采购人解除合同的全部损失（包括但不限于重新采购产生的费用）；</w:t>
      </w:r>
    </w:p>
    <w:p>
      <w:pPr>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10.2.2供应商支付采购人违约金，违约金计算方法：供应商支付采购人5万元违约金。</w:t>
      </w: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lang w:val="zh-CN"/>
        </w:rPr>
      </w:pPr>
    </w:p>
    <w:p>
      <w:pPr>
        <w:pStyle w:val="3"/>
        <w:spacing w:line="520" w:lineRule="exact"/>
        <w:rPr>
          <w:rFonts w:ascii="宋体" w:hAnsi="宋体" w:eastAsia="宋体" w:cs="宋体"/>
          <w:b/>
          <w:bCs/>
          <w:color w:val="auto"/>
          <w:sz w:val="24"/>
          <w:szCs w:val="24"/>
        </w:rPr>
      </w:pPr>
      <w:bookmarkStart w:id="33" w:name="_Toc28721"/>
      <w:r>
        <w:rPr>
          <w:rFonts w:hint="eastAsia" w:ascii="宋体" w:hAnsi="宋体" w:eastAsia="宋体" w:cs="宋体"/>
          <w:b/>
          <w:color w:val="auto"/>
          <w:szCs w:val="28"/>
          <w:lang w:val="zh-CN"/>
        </w:rPr>
        <w:t>第</w:t>
      </w:r>
      <w:r>
        <w:rPr>
          <w:rFonts w:hint="eastAsia" w:ascii="宋体" w:hAnsi="宋体" w:eastAsia="宋体" w:cs="宋体"/>
          <w:b/>
          <w:color w:val="auto"/>
          <w:szCs w:val="28"/>
        </w:rPr>
        <w:t>七</w:t>
      </w:r>
      <w:r>
        <w:rPr>
          <w:rFonts w:hint="eastAsia" w:ascii="宋体" w:hAnsi="宋体" w:eastAsia="宋体" w:cs="宋体"/>
          <w:b/>
          <w:color w:val="auto"/>
          <w:szCs w:val="28"/>
          <w:lang w:val="zh-CN"/>
        </w:rPr>
        <w:t>章  合同协议书</w:t>
      </w:r>
      <w:bookmarkEnd w:id="33"/>
      <w:bookmarkStart w:id="34" w:name="_Toc8194597"/>
      <w:bookmarkStart w:id="35" w:name="_Toc389553742"/>
    </w:p>
    <w:p>
      <w:pPr>
        <w:spacing w:line="520" w:lineRule="exact"/>
        <w:jc w:val="center"/>
        <w:rPr>
          <w:rFonts w:ascii="宋体" w:hAnsi="宋体" w:cs="宋体"/>
          <w:b/>
          <w:color w:val="auto"/>
          <w:sz w:val="24"/>
          <w:szCs w:val="24"/>
        </w:rPr>
      </w:pPr>
      <w:r>
        <w:rPr>
          <w:rFonts w:hint="eastAsia" w:ascii="宋体" w:hAnsi="宋体" w:cs="宋体"/>
          <w:b/>
          <w:color w:val="auto"/>
          <w:sz w:val="24"/>
          <w:szCs w:val="24"/>
        </w:rPr>
        <w:t>（合同模板仅供参考，具体以实际签订合同为准）</w:t>
      </w:r>
    </w:p>
    <w:p>
      <w:pPr>
        <w:pStyle w:val="119"/>
        <w:spacing w:line="520" w:lineRule="exact"/>
        <w:ind w:firstLine="480"/>
        <w:rPr>
          <w:rFonts w:ascii="宋体" w:hAnsi="宋体"/>
          <w:color w:val="auto"/>
          <w:szCs w:val="24"/>
        </w:rPr>
      </w:pPr>
      <w:bookmarkStart w:id="36" w:name="_Toc497206293"/>
      <w:bookmarkStart w:id="37" w:name="_Toc497206183"/>
      <w:r>
        <w:rPr>
          <w:rFonts w:hint="eastAsia" w:ascii="宋体" w:hAnsi="宋体"/>
          <w:color w:val="auto"/>
          <w:szCs w:val="24"/>
        </w:rPr>
        <w:t xml:space="preserve">合同编号：                                         </w:t>
      </w:r>
    </w:p>
    <w:p>
      <w:pPr>
        <w:pStyle w:val="119"/>
        <w:spacing w:line="520" w:lineRule="exact"/>
        <w:ind w:firstLine="480"/>
        <w:rPr>
          <w:rFonts w:ascii="宋体" w:hAnsi="宋体"/>
          <w:color w:val="auto"/>
          <w:szCs w:val="24"/>
        </w:rPr>
      </w:pPr>
      <w:r>
        <w:rPr>
          <w:rFonts w:hint="eastAsia" w:ascii="宋体" w:hAnsi="宋体"/>
          <w:color w:val="auto"/>
          <w:szCs w:val="24"/>
        </w:rPr>
        <w:t xml:space="preserve">签订地点：          </w:t>
      </w:r>
    </w:p>
    <w:p>
      <w:pPr>
        <w:pStyle w:val="119"/>
        <w:spacing w:line="520" w:lineRule="exact"/>
        <w:ind w:firstLine="480"/>
        <w:rPr>
          <w:rFonts w:ascii="宋体" w:hAnsi="宋体"/>
          <w:color w:val="auto"/>
          <w:szCs w:val="24"/>
        </w:rPr>
      </w:pPr>
      <w:r>
        <w:rPr>
          <w:rFonts w:hint="eastAsia" w:ascii="宋体" w:hAnsi="宋体"/>
          <w:color w:val="auto"/>
          <w:szCs w:val="24"/>
        </w:rPr>
        <w:t>签订时间</w:t>
      </w:r>
      <w:r>
        <w:rPr>
          <w:rFonts w:hint="eastAsia" w:ascii="宋体" w:hAnsi="宋体"/>
          <w:b/>
          <w:color w:val="auto"/>
          <w:szCs w:val="24"/>
        </w:rPr>
        <w:t>:</w:t>
      </w:r>
      <w:r>
        <w:rPr>
          <w:rFonts w:hint="eastAsia" w:ascii="宋体" w:hAnsi="宋体"/>
          <w:color w:val="auto"/>
          <w:szCs w:val="24"/>
        </w:rPr>
        <w:t xml:space="preserve"> </w:t>
      </w:r>
    </w:p>
    <w:p>
      <w:pPr>
        <w:pStyle w:val="119"/>
        <w:spacing w:line="520" w:lineRule="exact"/>
        <w:ind w:firstLine="480"/>
        <w:rPr>
          <w:rFonts w:ascii="宋体" w:hAnsi="宋体"/>
          <w:color w:val="auto"/>
          <w:szCs w:val="24"/>
        </w:rPr>
      </w:pPr>
      <w:r>
        <w:rPr>
          <w:rFonts w:hint="eastAsia" w:ascii="宋体" w:hAnsi="宋体"/>
          <w:color w:val="auto"/>
          <w:szCs w:val="24"/>
        </w:rPr>
        <w:t xml:space="preserve">采购人（甲方）：                                          </w:t>
      </w:r>
    </w:p>
    <w:p>
      <w:pPr>
        <w:pStyle w:val="119"/>
        <w:spacing w:line="520" w:lineRule="exact"/>
        <w:ind w:firstLine="480"/>
        <w:rPr>
          <w:rFonts w:ascii="宋体" w:hAnsi="宋体"/>
          <w:color w:val="auto"/>
          <w:szCs w:val="24"/>
        </w:rPr>
      </w:pPr>
      <w:r>
        <w:rPr>
          <w:rFonts w:hint="eastAsia" w:ascii="宋体" w:hAnsi="宋体"/>
          <w:color w:val="auto"/>
          <w:szCs w:val="24"/>
        </w:rPr>
        <w:t xml:space="preserve">供应商（乙方）：                              </w:t>
      </w:r>
    </w:p>
    <w:p>
      <w:pPr>
        <w:tabs>
          <w:tab w:val="left" w:pos="735"/>
        </w:tabs>
        <w:autoSpaceDE w:val="0"/>
        <w:autoSpaceDN w:val="0"/>
        <w:adjustRightInd w:val="0"/>
        <w:snapToGrid w:val="0"/>
        <w:spacing w:line="520" w:lineRule="exact"/>
        <w:ind w:firstLine="480" w:firstLineChars="200"/>
        <w:outlineLvl w:val="0"/>
        <w:rPr>
          <w:rFonts w:ascii="宋体" w:hAnsi="宋体" w:cs="宋体"/>
          <w:color w:val="auto"/>
          <w:sz w:val="24"/>
          <w:szCs w:val="24"/>
        </w:rPr>
      </w:pPr>
      <w:bookmarkStart w:id="38" w:name="_Toc28531"/>
      <w:bookmarkStart w:id="39" w:name="_Toc30788"/>
      <w:r>
        <w:rPr>
          <w:rFonts w:hint="eastAsia" w:ascii="宋体" w:hAnsi="宋体" w:cs="宋体"/>
          <w:color w:val="auto"/>
          <w:sz w:val="24"/>
          <w:szCs w:val="24"/>
        </w:rPr>
        <w:t xml:space="preserve">根据《中华人民共和国政府采购法》及实施条例、《中华人民共和国民法典》和甲方采购项目 </w:t>
      </w:r>
      <w:r>
        <w:rPr>
          <w:rFonts w:hint="eastAsia" w:ascii="宋体" w:hAnsi="宋体" w:cs="宋体"/>
          <w:color w:val="auto"/>
          <w:sz w:val="24"/>
          <w:szCs w:val="24"/>
          <w:u w:val="single"/>
        </w:rPr>
        <w:t xml:space="preserve">                 </w:t>
      </w:r>
      <w:r>
        <w:rPr>
          <w:rFonts w:hint="eastAsia" w:ascii="宋体" w:hAnsi="宋体" w:cs="宋体"/>
          <w:color w:val="auto"/>
          <w:sz w:val="24"/>
          <w:szCs w:val="24"/>
        </w:rPr>
        <w:t>（采购项目编号：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）的竞争性谈判文件、成交供应商的谈判响应文件，为保证甲方采购项目的顺利实施，甲、乙双方同意签订本合同，并共同遵守如下条款：</w:t>
      </w:r>
      <w:bookmarkEnd w:id="38"/>
      <w:bookmarkEnd w:id="39"/>
    </w:p>
    <w:p>
      <w:pPr>
        <w:tabs>
          <w:tab w:val="left" w:pos="735"/>
        </w:tabs>
        <w:autoSpaceDE w:val="0"/>
        <w:autoSpaceDN w:val="0"/>
        <w:adjustRightInd w:val="0"/>
        <w:snapToGrid w:val="0"/>
        <w:spacing w:line="520" w:lineRule="exact"/>
        <w:ind w:firstLine="482" w:firstLineChars="200"/>
        <w:outlineLvl w:val="0"/>
        <w:rPr>
          <w:rFonts w:ascii="宋体" w:hAnsi="宋体" w:cs="宋体"/>
          <w:b/>
          <w:color w:val="auto"/>
          <w:sz w:val="24"/>
          <w:szCs w:val="24"/>
        </w:rPr>
      </w:pPr>
      <w:bookmarkStart w:id="40" w:name="_Toc30653"/>
      <w:bookmarkStart w:id="41" w:name="_Toc26352"/>
      <w:r>
        <w:rPr>
          <w:rFonts w:hint="eastAsia" w:ascii="宋体" w:hAnsi="宋体" w:cs="宋体"/>
          <w:b/>
          <w:color w:val="auto"/>
          <w:sz w:val="24"/>
          <w:szCs w:val="24"/>
        </w:rPr>
        <w:t>一、合同标的:</w:t>
      </w:r>
      <w:bookmarkEnd w:id="36"/>
      <w:bookmarkEnd w:id="37"/>
      <w:bookmarkEnd w:id="40"/>
      <w:bookmarkEnd w:id="41"/>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供应商向甲方提供下列货物（产品）：</w:t>
      </w:r>
    </w:p>
    <w:tbl>
      <w:tblPr>
        <w:tblStyle w:val="37"/>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183"/>
        <w:gridCol w:w="711"/>
        <w:gridCol w:w="1308"/>
        <w:gridCol w:w="935"/>
        <w:gridCol w:w="992"/>
        <w:gridCol w:w="1045"/>
        <w:gridCol w:w="103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33" w:type="dxa"/>
            <w:vAlign w:val="center"/>
          </w:tcPr>
          <w:p>
            <w:pPr>
              <w:spacing w:line="520" w:lineRule="exact"/>
              <w:jc w:val="center"/>
              <w:rPr>
                <w:rFonts w:ascii="宋体" w:hAnsi="宋体" w:cs="宋体"/>
                <w:b/>
                <w:color w:val="auto"/>
                <w:sz w:val="24"/>
                <w:szCs w:val="24"/>
              </w:rPr>
            </w:pPr>
            <w:r>
              <w:rPr>
                <w:rFonts w:hint="eastAsia" w:ascii="宋体" w:hAnsi="宋体" w:cs="宋体"/>
                <w:color w:val="auto"/>
                <w:sz w:val="24"/>
                <w:szCs w:val="24"/>
              </w:rPr>
              <w:t>货物名称</w:t>
            </w:r>
          </w:p>
        </w:tc>
        <w:tc>
          <w:tcPr>
            <w:tcW w:w="1183" w:type="dxa"/>
            <w:vAlign w:val="center"/>
          </w:tcPr>
          <w:p>
            <w:pPr>
              <w:spacing w:line="520" w:lineRule="exact"/>
              <w:jc w:val="center"/>
              <w:rPr>
                <w:rFonts w:ascii="宋体" w:hAnsi="宋体" w:cs="宋体"/>
                <w:color w:val="auto"/>
                <w:sz w:val="24"/>
                <w:szCs w:val="24"/>
              </w:rPr>
            </w:pPr>
            <w:r>
              <w:rPr>
                <w:rFonts w:hint="eastAsia" w:ascii="宋体" w:hAnsi="宋体" w:cs="宋体"/>
                <w:color w:val="auto"/>
                <w:sz w:val="24"/>
                <w:szCs w:val="24"/>
              </w:rPr>
              <w:t>型号规格</w:t>
            </w:r>
          </w:p>
        </w:tc>
        <w:tc>
          <w:tcPr>
            <w:tcW w:w="711" w:type="dxa"/>
            <w:vAlign w:val="center"/>
          </w:tcPr>
          <w:p>
            <w:pPr>
              <w:spacing w:line="520" w:lineRule="exact"/>
              <w:jc w:val="center"/>
              <w:rPr>
                <w:rFonts w:ascii="宋体" w:hAnsi="宋体" w:cs="宋体"/>
                <w:b/>
                <w:color w:val="auto"/>
                <w:sz w:val="24"/>
                <w:szCs w:val="24"/>
              </w:rPr>
            </w:pPr>
            <w:r>
              <w:rPr>
                <w:rFonts w:hint="eastAsia" w:ascii="宋体" w:hAnsi="宋体" w:cs="宋体"/>
                <w:color w:val="auto"/>
                <w:sz w:val="24"/>
                <w:szCs w:val="24"/>
              </w:rPr>
              <w:t>品牌</w:t>
            </w:r>
          </w:p>
        </w:tc>
        <w:tc>
          <w:tcPr>
            <w:tcW w:w="1308" w:type="dxa"/>
            <w:vAlign w:val="center"/>
          </w:tcPr>
          <w:p>
            <w:pPr>
              <w:spacing w:line="520" w:lineRule="exact"/>
              <w:jc w:val="center"/>
              <w:rPr>
                <w:rFonts w:ascii="宋体" w:hAnsi="宋体" w:cs="宋体"/>
                <w:color w:val="auto"/>
                <w:sz w:val="24"/>
                <w:szCs w:val="24"/>
              </w:rPr>
            </w:pPr>
            <w:r>
              <w:rPr>
                <w:rFonts w:hint="eastAsia" w:ascii="宋体" w:hAnsi="宋体" w:cs="宋体"/>
                <w:color w:val="auto"/>
                <w:sz w:val="24"/>
                <w:szCs w:val="24"/>
              </w:rPr>
              <w:t>生产厂家</w:t>
            </w:r>
          </w:p>
        </w:tc>
        <w:tc>
          <w:tcPr>
            <w:tcW w:w="935" w:type="dxa"/>
            <w:vAlign w:val="center"/>
          </w:tcPr>
          <w:p>
            <w:pPr>
              <w:spacing w:line="520" w:lineRule="exact"/>
              <w:jc w:val="center"/>
              <w:rPr>
                <w:rFonts w:ascii="宋体" w:hAnsi="宋体" w:cs="宋体"/>
                <w:b/>
                <w:color w:val="auto"/>
                <w:sz w:val="24"/>
                <w:szCs w:val="24"/>
              </w:rPr>
            </w:pPr>
            <w:r>
              <w:rPr>
                <w:rFonts w:hint="eastAsia" w:ascii="宋体" w:hAnsi="宋体" w:cs="宋体"/>
                <w:color w:val="auto"/>
                <w:sz w:val="24"/>
                <w:szCs w:val="24"/>
              </w:rPr>
              <w:t>单位</w:t>
            </w:r>
          </w:p>
        </w:tc>
        <w:tc>
          <w:tcPr>
            <w:tcW w:w="992" w:type="dxa"/>
            <w:vAlign w:val="center"/>
          </w:tcPr>
          <w:p>
            <w:pPr>
              <w:spacing w:line="520" w:lineRule="exact"/>
              <w:jc w:val="center"/>
              <w:rPr>
                <w:rFonts w:ascii="宋体" w:hAnsi="宋体" w:cs="宋体"/>
                <w:b/>
                <w:color w:val="auto"/>
                <w:sz w:val="24"/>
                <w:szCs w:val="24"/>
              </w:rPr>
            </w:pPr>
            <w:r>
              <w:rPr>
                <w:rFonts w:hint="eastAsia" w:ascii="宋体" w:hAnsi="宋体" w:cs="宋体"/>
                <w:color w:val="auto"/>
                <w:sz w:val="24"/>
                <w:szCs w:val="24"/>
              </w:rPr>
              <w:t>数量</w:t>
            </w:r>
          </w:p>
        </w:tc>
        <w:tc>
          <w:tcPr>
            <w:tcW w:w="1045" w:type="dxa"/>
            <w:vAlign w:val="bottom"/>
          </w:tcPr>
          <w:p>
            <w:pPr>
              <w:spacing w:line="520" w:lineRule="exact"/>
              <w:jc w:val="center"/>
              <w:rPr>
                <w:rFonts w:ascii="宋体" w:hAnsi="宋体" w:cs="宋体"/>
                <w:color w:val="auto"/>
                <w:sz w:val="24"/>
                <w:szCs w:val="24"/>
              </w:rPr>
            </w:pPr>
            <w:r>
              <w:rPr>
                <w:rFonts w:hint="eastAsia" w:ascii="宋体" w:hAnsi="宋体" w:cs="宋体"/>
                <w:color w:val="auto"/>
                <w:sz w:val="24"/>
                <w:szCs w:val="24"/>
              </w:rPr>
              <w:t>单价（元）</w:t>
            </w:r>
          </w:p>
        </w:tc>
        <w:tc>
          <w:tcPr>
            <w:tcW w:w="1032" w:type="dxa"/>
            <w:vAlign w:val="center"/>
          </w:tcPr>
          <w:p>
            <w:pPr>
              <w:spacing w:line="520" w:lineRule="exact"/>
              <w:jc w:val="center"/>
              <w:rPr>
                <w:rFonts w:ascii="宋体" w:hAnsi="宋体" w:cs="宋体"/>
                <w:color w:val="auto"/>
                <w:sz w:val="24"/>
                <w:szCs w:val="24"/>
              </w:rPr>
            </w:pPr>
            <w:r>
              <w:rPr>
                <w:rFonts w:hint="eastAsia" w:ascii="宋体" w:hAnsi="宋体" w:cs="宋体"/>
                <w:color w:val="auto"/>
                <w:sz w:val="24"/>
                <w:szCs w:val="24"/>
              </w:rPr>
              <w:t>金额（元）</w:t>
            </w:r>
          </w:p>
        </w:tc>
        <w:tc>
          <w:tcPr>
            <w:tcW w:w="1065" w:type="dxa"/>
            <w:vAlign w:val="center"/>
          </w:tcPr>
          <w:p>
            <w:pPr>
              <w:spacing w:line="520" w:lineRule="exact"/>
              <w:jc w:val="center"/>
              <w:rPr>
                <w:rFonts w:ascii="宋体" w:hAnsi="宋体" w:cs="宋体"/>
                <w:color w:val="auto"/>
                <w:sz w:val="24"/>
                <w:szCs w:val="24"/>
              </w:rPr>
            </w:pPr>
            <w:r>
              <w:rPr>
                <w:rFonts w:hint="eastAsia" w:ascii="宋体" w:hAnsi="宋体" w:cs="宋体"/>
                <w:color w:val="auto"/>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3" w:type="dxa"/>
            <w:vAlign w:val="center"/>
          </w:tcPr>
          <w:p>
            <w:pPr>
              <w:spacing w:line="520" w:lineRule="exact"/>
              <w:jc w:val="center"/>
              <w:rPr>
                <w:rFonts w:ascii="宋体" w:hAnsi="宋体" w:cs="宋体"/>
                <w:b/>
                <w:color w:val="auto"/>
                <w:sz w:val="24"/>
                <w:szCs w:val="24"/>
              </w:rPr>
            </w:pPr>
          </w:p>
        </w:tc>
        <w:tc>
          <w:tcPr>
            <w:tcW w:w="1183" w:type="dxa"/>
            <w:vAlign w:val="center"/>
          </w:tcPr>
          <w:p>
            <w:pPr>
              <w:spacing w:line="520" w:lineRule="exact"/>
              <w:jc w:val="center"/>
              <w:rPr>
                <w:rFonts w:ascii="宋体" w:hAnsi="宋体" w:cs="宋体"/>
                <w:b/>
                <w:color w:val="auto"/>
                <w:sz w:val="24"/>
                <w:szCs w:val="24"/>
              </w:rPr>
            </w:pPr>
          </w:p>
        </w:tc>
        <w:tc>
          <w:tcPr>
            <w:tcW w:w="711" w:type="dxa"/>
            <w:vAlign w:val="center"/>
          </w:tcPr>
          <w:p>
            <w:pPr>
              <w:spacing w:line="520" w:lineRule="exact"/>
              <w:jc w:val="center"/>
              <w:rPr>
                <w:rFonts w:ascii="宋体" w:hAnsi="宋体" w:cs="宋体"/>
                <w:b/>
                <w:color w:val="auto"/>
                <w:sz w:val="24"/>
                <w:szCs w:val="24"/>
              </w:rPr>
            </w:pPr>
          </w:p>
        </w:tc>
        <w:tc>
          <w:tcPr>
            <w:tcW w:w="1308" w:type="dxa"/>
            <w:vAlign w:val="center"/>
          </w:tcPr>
          <w:p>
            <w:pPr>
              <w:spacing w:line="520" w:lineRule="exact"/>
              <w:jc w:val="center"/>
              <w:rPr>
                <w:rFonts w:ascii="宋体" w:hAnsi="宋体" w:cs="宋体"/>
                <w:b/>
                <w:color w:val="auto"/>
                <w:sz w:val="24"/>
                <w:szCs w:val="24"/>
              </w:rPr>
            </w:pPr>
          </w:p>
        </w:tc>
        <w:tc>
          <w:tcPr>
            <w:tcW w:w="935" w:type="dxa"/>
            <w:vAlign w:val="center"/>
          </w:tcPr>
          <w:p>
            <w:pPr>
              <w:spacing w:line="520" w:lineRule="exact"/>
              <w:jc w:val="center"/>
              <w:rPr>
                <w:rFonts w:ascii="宋体" w:hAnsi="宋体" w:cs="宋体"/>
                <w:b/>
                <w:color w:val="auto"/>
                <w:sz w:val="24"/>
                <w:szCs w:val="24"/>
              </w:rPr>
            </w:pPr>
          </w:p>
        </w:tc>
        <w:tc>
          <w:tcPr>
            <w:tcW w:w="992" w:type="dxa"/>
            <w:vAlign w:val="center"/>
          </w:tcPr>
          <w:p>
            <w:pPr>
              <w:spacing w:line="520" w:lineRule="exact"/>
              <w:jc w:val="center"/>
              <w:rPr>
                <w:rFonts w:ascii="宋体" w:hAnsi="宋体" w:cs="宋体"/>
                <w:b/>
                <w:color w:val="auto"/>
                <w:sz w:val="24"/>
                <w:szCs w:val="24"/>
              </w:rPr>
            </w:pPr>
          </w:p>
        </w:tc>
        <w:tc>
          <w:tcPr>
            <w:tcW w:w="1045" w:type="dxa"/>
            <w:vAlign w:val="center"/>
          </w:tcPr>
          <w:p>
            <w:pPr>
              <w:spacing w:line="520" w:lineRule="exact"/>
              <w:jc w:val="center"/>
              <w:rPr>
                <w:rFonts w:ascii="宋体" w:hAnsi="宋体" w:cs="宋体"/>
                <w:b/>
                <w:color w:val="auto"/>
                <w:sz w:val="24"/>
                <w:szCs w:val="24"/>
              </w:rPr>
            </w:pPr>
          </w:p>
        </w:tc>
        <w:tc>
          <w:tcPr>
            <w:tcW w:w="1032" w:type="dxa"/>
            <w:vAlign w:val="center"/>
          </w:tcPr>
          <w:p>
            <w:pPr>
              <w:spacing w:line="520" w:lineRule="exact"/>
              <w:jc w:val="center"/>
              <w:rPr>
                <w:rFonts w:ascii="宋体" w:hAnsi="宋体" w:cs="宋体"/>
                <w:b/>
                <w:color w:val="auto"/>
                <w:sz w:val="24"/>
                <w:szCs w:val="24"/>
              </w:rPr>
            </w:pPr>
          </w:p>
        </w:tc>
        <w:tc>
          <w:tcPr>
            <w:tcW w:w="1065" w:type="dxa"/>
            <w:vAlign w:val="center"/>
          </w:tcPr>
          <w:p>
            <w:pPr>
              <w:spacing w:line="520" w:lineRule="exact"/>
              <w:jc w:val="center"/>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33" w:type="dxa"/>
            <w:vAlign w:val="center"/>
          </w:tcPr>
          <w:p>
            <w:pPr>
              <w:spacing w:line="520" w:lineRule="exact"/>
              <w:jc w:val="center"/>
              <w:rPr>
                <w:rFonts w:ascii="宋体" w:hAnsi="宋体" w:cs="宋体"/>
                <w:b/>
                <w:color w:val="auto"/>
                <w:sz w:val="24"/>
                <w:szCs w:val="24"/>
              </w:rPr>
            </w:pPr>
          </w:p>
        </w:tc>
        <w:tc>
          <w:tcPr>
            <w:tcW w:w="1183" w:type="dxa"/>
            <w:vAlign w:val="center"/>
          </w:tcPr>
          <w:p>
            <w:pPr>
              <w:spacing w:line="520" w:lineRule="exact"/>
              <w:jc w:val="center"/>
              <w:rPr>
                <w:rFonts w:ascii="宋体" w:hAnsi="宋体" w:cs="宋体"/>
                <w:b/>
                <w:color w:val="auto"/>
                <w:sz w:val="24"/>
                <w:szCs w:val="24"/>
              </w:rPr>
            </w:pPr>
          </w:p>
        </w:tc>
        <w:tc>
          <w:tcPr>
            <w:tcW w:w="711" w:type="dxa"/>
            <w:vAlign w:val="center"/>
          </w:tcPr>
          <w:p>
            <w:pPr>
              <w:spacing w:line="520" w:lineRule="exact"/>
              <w:jc w:val="center"/>
              <w:rPr>
                <w:rFonts w:ascii="宋体" w:hAnsi="宋体" w:cs="宋体"/>
                <w:b/>
                <w:color w:val="auto"/>
                <w:sz w:val="24"/>
                <w:szCs w:val="24"/>
              </w:rPr>
            </w:pPr>
          </w:p>
        </w:tc>
        <w:tc>
          <w:tcPr>
            <w:tcW w:w="1308" w:type="dxa"/>
            <w:vAlign w:val="center"/>
          </w:tcPr>
          <w:p>
            <w:pPr>
              <w:spacing w:line="520" w:lineRule="exact"/>
              <w:jc w:val="center"/>
              <w:rPr>
                <w:rFonts w:ascii="宋体" w:hAnsi="宋体" w:cs="宋体"/>
                <w:b/>
                <w:color w:val="auto"/>
                <w:sz w:val="24"/>
                <w:szCs w:val="24"/>
              </w:rPr>
            </w:pPr>
          </w:p>
        </w:tc>
        <w:tc>
          <w:tcPr>
            <w:tcW w:w="935" w:type="dxa"/>
            <w:vAlign w:val="center"/>
          </w:tcPr>
          <w:p>
            <w:pPr>
              <w:spacing w:line="520" w:lineRule="exact"/>
              <w:jc w:val="center"/>
              <w:rPr>
                <w:rFonts w:ascii="宋体" w:hAnsi="宋体" w:cs="宋体"/>
                <w:b/>
                <w:color w:val="auto"/>
                <w:sz w:val="24"/>
                <w:szCs w:val="24"/>
              </w:rPr>
            </w:pPr>
          </w:p>
        </w:tc>
        <w:tc>
          <w:tcPr>
            <w:tcW w:w="992" w:type="dxa"/>
            <w:vAlign w:val="center"/>
          </w:tcPr>
          <w:p>
            <w:pPr>
              <w:spacing w:line="520" w:lineRule="exact"/>
              <w:jc w:val="center"/>
              <w:rPr>
                <w:rFonts w:ascii="宋体" w:hAnsi="宋体" w:cs="宋体"/>
                <w:b/>
                <w:color w:val="auto"/>
                <w:sz w:val="24"/>
                <w:szCs w:val="24"/>
              </w:rPr>
            </w:pPr>
          </w:p>
        </w:tc>
        <w:tc>
          <w:tcPr>
            <w:tcW w:w="1045" w:type="dxa"/>
            <w:vAlign w:val="center"/>
          </w:tcPr>
          <w:p>
            <w:pPr>
              <w:spacing w:line="520" w:lineRule="exact"/>
              <w:jc w:val="center"/>
              <w:rPr>
                <w:rFonts w:ascii="宋体" w:hAnsi="宋体" w:cs="宋体"/>
                <w:b/>
                <w:color w:val="auto"/>
                <w:sz w:val="24"/>
                <w:szCs w:val="24"/>
              </w:rPr>
            </w:pPr>
          </w:p>
        </w:tc>
        <w:tc>
          <w:tcPr>
            <w:tcW w:w="1032" w:type="dxa"/>
            <w:vAlign w:val="center"/>
          </w:tcPr>
          <w:p>
            <w:pPr>
              <w:spacing w:line="520" w:lineRule="exact"/>
              <w:jc w:val="center"/>
              <w:rPr>
                <w:rFonts w:ascii="宋体" w:hAnsi="宋体" w:cs="宋体"/>
                <w:b/>
                <w:color w:val="auto"/>
                <w:sz w:val="24"/>
                <w:szCs w:val="24"/>
              </w:rPr>
            </w:pPr>
          </w:p>
        </w:tc>
        <w:tc>
          <w:tcPr>
            <w:tcW w:w="1065" w:type="dxa"/>
            <w:vAlign w:val="center"/>
          </w:tcPr>
          <w:p>
            <w:pPr>
              <w:spacing w:line="520" w:lineRule="exact"/>
              <w:jc w:val="center"/>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520" w:lineRule="exact"/>
              <w:jc w:val="center"/>
              <w:rPr>
                <w:rFonts w:ascii="宋体" w:hAnsi="宋体" w:cs="宋体"/>
                <w:b/>
                <w:color w:val="auto"/>
                <w:sz w:val="24"/>
                <w:szCs w:val="24"/>
              </w:rPr>
            </w:pPr>
          </w:p>
        </w:tc>
        <w:tc>
          <w:tcPr>
            <w:tcW w:w="1183" w:type="dxa"/>
            <w:vAlign w:val="center"/>
          </w:tcPr>
          <w:p>
            <w:pPr>
              <w:spacing w:line="520" w:lineRule="exact"/>
              <w:jc w:val="center"/>
              <w:rPr>
                <w:rFonts w:ascii="宋体" w:hAnsi="宋体" w:cs="宋体"/>
                <w:b/>
                <w:color w:val="auto"/>
                <w:sz w:val="24"/>
                <w:szCs w:val="24"/>
              </w:rPr>
            </w:pPr>
          </w:p>
        </w:tc>
        <w:tc>
          <w:tcPr>
            <w:tcW w:w="711" w:type="dxa"/>
            <w:vAlign w:val="center"/>
          </w:tcPr>
          <w:p>
            <w:pPr>
              <w:spacing w:line="520" w:lineRule="exact"/>
              <w:jc w:val="center"/>
              <w:rPr>
                <w:rFonts w:ascii="宋体" w:hAnsi="宋体" w:cs="宋体"/>
                <w:b/>
                <w:color w:val="auto"/>
                <w:sz w:val="24"/>
                <w:szCs w:val="24"/>
              </w:rPr>
            </w:pPr>
          </w:p>
        </w:tc>
        <w:tc>
          <w:tcPr>
            <w:tcW w:w="1308" w:type="dxa"/>
            <w:vAlign w:val="center"/>
          </w:tcPr>
          <w:p>
            <w:pPr>
              <w:spacing w:line="520" w:lineRule="exact"/>
              <w:jc w:val="center"/>
              <w:rPr>
                <w:rFonts w:ascii="宋体" w:hAnsi="宋体" w:cs="宋体"/>
                <w:b/>
                <w:color w:val="auto"/>
                <w:sz w:val="24"/>
                <w:szCs w:val="24"/>
              </w:rPr>
            </w:pPr>
          </w:p>
        </w:tc>
        <w:tc>
          <w:tcPr>
            <w:tcW w:w="935" w:type="dxa"/>
            <w:vAlign w:val="center"/>
          </w:tcPr>
          <w:p>
            <w:pPr>
              <w:spacing w:line="520" w:lineRule="exact"/>
              <w:jc w:val="center"/>
              <w:rPr>
                <w:rFonts w:ascii="宋体" w:hAnsi="宋体" w:cs="宋体"/>
                <w:b/>
                <w:color w:val="auto"/>
                <w:sz w:val="24"/>
                <w:szCs w:val="24"/>
              </w:rPr>
            </w:pPr>
          </w:p>
        </w:tc>
        <w:tc>
          <w:tcPr>
            <w:tcW w:w="992" w:type="dxa"/>
            <w:vAlign w:val="center"/>
          </w:tcPr>
          <w:p>
            <w:pPr>
              <w:spacing w:line="520" w:lineRule="exact"/>
              <w:jc w:val="center"/>
              <w:rPr>
                <w:rFonts w:ascii="宋体" w:hAnsi="宋体" w:cs="宋体"/>
                <w:b/>
                <w:color w:val="auto"/>
                <w:sz w:val="24"/>
                <w:szCs w:val="24"/>
              </w:rPr>
            </w:pPr>
          </w:p>
        </w:tc>
        <w:tc>
          <w:tcPr>
            <w:tcW w:w="1045" w:type="dxa"/>
            <w:vAlign w:val="center"/>
          </w:tcPr>
          <w:p>
            <w:pPr>
              <w:spacing w:line="520" w:lineRule="exact"/>
              <w:jc w:val="center"/>
              <w:rPr>
                <w:rFonts w:ascii="宋体" w:hAnsi="宋体" w:cs="宋体"/>
                <w:b/>
                <w:color w:val="auto"/>
                <w:sz w:val="24"/>
                <w:szCs w:val="24"/>
              </w:rPr>
            </w:pPr>
          </w:p>
        </w:tc>
        <w:tc>
          <w:tcPr>
            <w:tcW w:w="1032" w:type="dxa"/>
            <w:vAlign w:val="center"/>
          </w:tcPr>
          <w:p>
            <w:pPr>
              <w:spacing w:line="520" w:lineRule="exact"/>
              <w:jc w:val="center"/>
              <w:rPr>
                <w:rFonts w:ascii="宋体" w:hAnsi="宋体" w:cs="宋体"/>
                <w:b/>
                <w:color w:val="auto"/>
                <w:sz w:val="24"/>
                <w:szCs w:val="24"/>
              </w:rPr>
            </w:pPr>
          </w:p>
        </w:tc>
        <w:tc>
          <w:tcPr>
            <w:tcW w:w="1065" w:type="dxa"/>
            <w:vAlign w:val="center"/>
          </w:tcPr>
          <w:p>
            <w:pPr>
              <w:spacing w:line="520" w:lineRule="exact"/>
              <w:jc w:val="center"/>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520" w:lineRule="exact"/>
              <w:jc w:val="center"/>
              <w:rPr>
                <w:rFonts w:ascii="宋体" w:hAnsi="宋体" w:cs="宋体"/>
                <w:b/>
                <w:color w:val="auto"/>
                <w:sz w:val="24"/>
                <w:szCs w:val="24"/>
              </w:rPr>
            </w:pPr>
          </w:p>
        </w:tc>
        <w:tc>
          <w:tcPr>
            <w:tcW w:w="1183" w:type="dxa"/>
            <w:vAlign w:val="center"/>
          </w:tcPr>
          <w:p>
            <w:pPr>
              <w:spacing w:line="520" w:lineRule="exact"/>
              <w:jc w:val="center"/>
              <w:rPr>
                <w:rFonts w:ascii="宋体" w:hAnsi="宋体" w:cs="宋体"/>
                <w:b/>
                <w:color w:val="auto"/>
                <w:sz w:val="24"/>
                <w:szCs w:val="24"/>
              </w:rPr>
            </w:pPr>
          </w:p>
        </w:tc>
        <w:tc>
          <w:tcPr>
            <w:tcW w:w="711" w:type="dxa"/>
            <w:vAlign w:val="center"/>
          </w:tcPr>
          <w:p>
            <w:pPr>
              <w:spacing w:line="520" w:lineRule="exact"/>
              <w:jc w:val="center"/>
              <w:rPr>
                <w:rFonts w:ascii="宋体" w:hAnsi="宋体" w:cs="宋体"/>
                <w:b/>
                <w:color w:val="auto"/>
                <w:sz w:val="24"/>
                <w:szCs w:val="24"/>
              </w:rPr>
            </w:pPr>
          </w:p>
        </w:tc>
        <w:tc>
          <w:tcPr>
            <w:tcW w:w="1308" w:type="dxa"/>
            <w:vAlign w:val="center"/>
          </w:tcPr>
          <w:p>
            <w:pPr>
              <w:spacing w:line="520" w:lineRule="exact"/>
              <w:jc w:val="center"/>
              <w:rPr>
                <w:rFonts w:ascii="宋体" w:hAnsi="宋体" w:cs="宋体"/>
                <w:b/>
                <w:color w:val="auto"/>
                <w:sz w:val="24"/>
                <w:szCs w:val="24"/>
              </w:rPr>
            </w:pPr>
          </w:p>
        </w:tc>
        <w:tc>
          <w:tcPr>
            <w:tcW w:w="935" w:type="dxa"/>
            <w:vAlign w:val="center"/>
          </w:tcPr>
          <w:p>
            <w:pPr>
              <w:spacing w:line="520" w:lineRule="exact"/>
              <w:jc w:val="center"/>
              <w:rPr>
                <w:rFonts w:ascii="宋体" w:hAnsi="宋体" w:cs="宋体"/>
                <w:b/>
                <w:color w:val="auto"/>
                <w:sz w:val="24"/>
                <w:szCs w:val="24"/>
              </w:rPr>
            </w:pPr>
          </w:p>
        </w:tc>
        <w:tc>
          <w:tcPr>
            <w:tcW w:w="992" w:type="dxa"/>
            <w:vAlign w:val="center"/>
          </w:tcPr>
          <w:p>
            <w:pPr>
              <w:spacing w:line="520" w:lineRule="exact"/>
              <w:jc w:val="center"/>
              <w:rPr>
                <w:rFonts w:ascii="宋体" w:hAnsi="宋体" w:cs="宋体"/>
                <w:b/>
                <w:color w:val="auto"/>
                <w:sz w:val="24"/>
                <w:szCs w:val="24"/>
              </w:rPr>
            </w:pPr>
          </w:p>
        </w:tc>
        <w:tc>
          <w:tcPr>
            <w:tcW w:w="1045" w:type="dxa"/>
            <w:vAlign w:val="center"/>
          </w:tcPr>
          <w:p>
            <w:pPr>
              <w:spacing w:line="520" w:lineRule="exact"/>
              <w:jc w:val="center"/>
              <w:rPr>
                <w:rFonts w:ascii="宋体" w:hAnsi="宋体" w:cs="宋体"/>
                <w:b/>
                <w:color w:val="auto"/>
                <w:sz w:val="24"/>
                <w:szCs w:val="24"/>
              </w:rPr>
            </w:pPr>
          </w:p>
        </w:tc>
        <w:tc>
          <w:tcPr>
            <w:tcW w:w="1032" w:type="dxa"/>
            <w:vAlign w:val="center"/>
          </w:tcPr>
          <w:p>
            <w:pPr>
              <w:spacing w:line="520" w:lineRule="exact"/>
              <w:jc w:val="center"/>
              <w:rPr>
                <w:rFonts w:ascii="宋体" w:hAnsi="宋体" w:cs="宋体"/>
                <w:b/>
                <w:color w:val="auto"/>
                <w:sz w:val="24"/>
                <w:szCs w:val="24"/>
              </w:rPr>
            </w:pPr>
          </w:p>
        </w:tc>
        <w:tc>
          <w:tcPr>
            <w:tcW w:w="1065" w:type="dxa"/>
            <w:vAlign w:val="center"/>
          </w:tcPr>
          <w:p>
            <w:pPr>
              <w:spacing w:line="520" w:lineRule="exact"/>
              <w:jc w:val="center"/>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33" w:type="dxa"/>
            <w:vAlign w:val="center"/>
          </w:tcPr>
          <w:p>
            <w:pPr>
              <w:snapToGrid w:val="0"/>
              <w:spacing w:line="520" w:lineRule="exact"/>
              <w:jc w:val="center"/>
              <w:rPr>
                <w:rFonts w:ascii="宋体" w:hAnsi="宋体" w:cs="宋体"/>
                <w:b/>
                <w:color w:val="auto"/>
                <w:sz w:val="24"/>
                <w:szCs w:val="24"/>
              </w:rPr>
            </w:pPr>
            <w:r>
              <w:rPr>
                <w:rFonts w:hint="eastAsia" w:ascii="宋体" w:hAnsi="宋体" w:cs="宋体"/>
                <w:color w:val="auto"/>
                <w:sz w:val="24"/>
                <w:szCs w:val="24"/>
              </w:rPr>
              <w:t>合计（元）</w:t>
            </w:r>
          </w:p>
        </w:tc>
        <w:tc>
          <w:tcPr>
            <w:tcW w:w="8271" w:type="dxa"/>
            <w:gridSpan w:val="8"/>
            <w:vAlign w:val="center"/>
          </w:tcPr>
          <w:p>
            <w:pPr>
              <w:snapToGrid w:val="0"/>
              <w:spacing w:line="520" w:lineRule="exact"/>
              <w:rPr>
                <w:rFonts w:ascii="宋体" w:hAnsi="宋体" w:cs="宋体"/>
                <w:color w:val="auto"/>
                <w:sz w:val="24"/>
                <w:szCs w:val="24"/>
              </w:rPr>
            </w:pPr>
            <w:r>
              <w:rPr>
                <w:rFonts w:hint="eastAsia" w:ascii="宋体" w:hAnsi="宋体" w:cs="宋体"/>
                <w:color w:val="auto"/>
                <w:sz w:val="24"/>
                <w:szCs w:val="24"/>
              </w:rPr>
              <w:t>小写：</w:t>
            </w:r>
          </w:p>
          <w:p>
            <w:pPr>
              <w:snapToGrid w:val="0"/>
              <w:spacing w:line="520" w:lineRule="exact"/>
              <w:rPr>
                <w:rFonts w:ascii="宋体" w:hAnsi="宋体" w:cs="宋体"/>
                <w:b/>
                <w:color w:val="auto"/>
                <w:sz w:val="24"/>
                <w:szCs w:val="24"/>
              </w:rPr>
            </w:pPr>
            <w:r>
              <w:rPr>
                <w:rFonts w:hint="eastAsia" w:ascii="宋体" w:hAnsi="宋体" w:cs="宋体"/>
                <w:color w:val="auto"/>
                <w:sz w:val="24"/>
                <w:szCs w:val="24"/>
              </w:rPr>
              <w:t>大写：</w:t>
            </w:r>
          </w:p>
        </w:tc>
      </w:tr>
    </w:tbl>
    <w:p>
      <w:pPr>
        <w:tabs>
          <w:tab w:val="left" w:pos="735"/>
        </w:tabs>
        <w:autoSpaceDE w:val="0"/>
        <w:autoSpaceDN w:val="0"/>
        <w:adjustRightInd w:val="0"/>
        <w:snapToGrid w:val="0"/>
        <w:spacing w:line="520" w:lineRule="exact"/>
        <w:ind w:firstLine="482" w:firstLineChars="200"/>
        <w:outlineLvl w:val="0"/>
        <w:rPr>
          <w:rFonts w:ascii="宋体" w:hAnsi="宋体" w:cs="宋体"/>
          <w:b/>
          <w:color w:val="auto"/>
          <w:sz w:val="24"/>
          <w:szCs w:val="24"/>
        </w:rPr>
      </w:pPr>
      <w:bookmarkStart w:id="42" w:name="_Toc27848"/>
      <w:bookmarkStart w:id="43" w:name="_Toc497206294"/>
      <w:bookmarkStart w:id="44" w:name="_Toc497206184"/>
      <w:bookmarkStart w:id="45" w:name="_Toc13114"/>
      <w:r>
        <w:rPr>
          <w:rFonts w:hint="eastAsia" w:ascii="宋体" w:hAnsi="宋体" w:cs="宋体"/>
          <w:b/>
          <w:color w:val="auto"/>
          <w:sz w:val="24"/>
          <w:szCs w:val="24"/>
        </w:rPr>
        <w:t>二、合同价款：</w:t>
      </w:r>
      <w:bookmarkEnd w:id="42"/>
      <w:bookmarkEnd w:id="43"/>
      <w:bookmarkEnd w:id="44"/>
      <w:bookmarkEnd w:id="45"/>
    </w:p>
    <w:p>
      <w:pPr>
        <w:tabs>
          <w:tab w:val="left" w:pos="735"/>
        </w:tabs>
        <w:autoSpaceDE w:val="0"/>
        <w:autoSpaceDN w:val="0"/>
        <w:adjustRightInd w:val="0"/>
        <w:snapToGrid w:val="0"/>
        <w:spacing w:line="520" w:lineRule="exact"/>
        <w:ind w:firstLine="480" w:firstLineChars="200"/>
        <w:rPr>
          <w:rFonts w:ascii="宋体" w:hAnsi="宋体" w:cs="宋体"/>
          <w:b/>
          <w:color w:val="auto"/>
          <w:sz w:val="24"/>
          <w:szCs w:val="24"/>
          <w:u w:val="single"/>
        </w:rPr>
      </w:pPr>
      <w:r>
        <w:rPr>
          <w:rFonts w:hint="eastAsia" w:ascii="宋体" w:hAnsi="宋体" w:cs="宋体"/>
          <w:color w:val="auto"/>
          <w:sz w:val="24"/>
          <w:szCs w:val="24"/>
        </w:rPr>
        <w:t>1、合同总价：</w:t>
      </w:r>
      <w:r>
        <w:rPr>
          <w:rFonts w:hint="eastAsia" w:ascii="宋体" w:hAnsi="宋体" w:cs="宋体"/>
          <w:color w:val="auto"/>
          <w:sz w:val="24"/>
          <w:szCs w:val="24"/>
          <w:u w:val="single"/>
        </w:rPr>
        <w:t xml:space="preserve">          </w:t>
      </w:r>
    </w:p>
    <w:p>
      <w:pPr>
        <w:spacing w:line="520" w:lineRule="exact"/>
        <w:ind w:firstLine="547" w:firstLineChars="228"/>
        <w:rPr>
          <w:rFonts w:ascii="宋体" w:hAnsi="宋体" w:cs="宋体"/>
          <w:color w:val="auto"/>
          <w:sz w:val="24"/>
          <w:szCs w:val="24"/>
        </w:rPr>
      </w:pPr>
      <w:r>
        <w:rPr>
          <w:rFonts w:hint="eastAsia" w:ascii="宋体" w:hAnsi="宋体" w:cs="宋体"/>
          <w:color w:val="auto"/>
          <w:sz w:val="24"/>
          <w:szCs w:val="24"/>
        </w:rPr>
        <w:t>2、合同总价包括：</w:t>
      </w:r>
      <w:r>
        <w:rPr>
          <w:rFonts w:hint="eastAsia" w:ascii="宋体" w:hAnsi="宋体" w:cs="宋体"/>
          <w:color w:val="auto"/>
          <w:sz w:val="24"/>
          <w:szCs w:val="24"/>
          <w:lang w:val="zh-CN"/>
        </w:rPr>
        <w:t>货物总价、货物运达指定地点的运杂费（含运输费、保险费）、安装调试费、检测验收费、其他（含</w:t>
      </w:r>
      <w:r>
        <w:rPr>
          <w:rFonts w:hint="eastAsia" w:ascii="宋体" w:hAnsi="宋体" w:cs="宋体"/>
          <w:color w:val="auto"/>
          <w:sz w:val="24"/>
          <w:szCs w:val="24"/>
        </w:rPr>
        <w:t>人工费、</w:t>
      </w:r>
      <w:r>
        <w:rPr>
          <w:rFonts w:hint="eastAsia" w:ascii="宋体" w:hAnsi="宋体" w:cs="宋体"/>
          <w:color w:val="auto"/>
          <w:sz w:val="24"/>
          <w:szCs w:val="24"/>
          <w:lang w:val="zh-CN"/>
        </w:rPr>
        <w:t>向税务部门交纳的各项税费等）等至交付采购人使用的一切含税费用。</w:t>
      </w:r>
      <w:r>
        <w:rPr>
          <w:rFonts w:hint="eastAsia" w:ascii="宋体" w:hAnsi="宋体" w:cs="宋体"/>
          <w:color w:val="auto"/>
          <w:sz w:val="24"/>
          <w:szCs w:val="24"/>
        </w:rPr>
        <w:t xml:space="preserve">     </w:t>
      </w:r>
    </w:p>
    <w:p>
      <w:pPr>
        <w:tabs>
          <w:tab w:val="left" w:pos="735"/>
        </w:tabs>
        <w:adjustRightInd w:val="0"/>
        <w:snapToGrid w:val="0"/>
        <w:spacing w:line="520" w:lineRule="exact"/>
        <w:ind w:firstLine="504" w:firstLineChars="210"/>
        <w:rPr>
          <w:rFonts w:ascii="宋体" w:hAnsi="宋体" w:cs="宋体"/>
          <w:color w:val="auto"/>
          <w:sz w:val="24"/>
          <w:szCs w:val="24"/>
        </w:rPr>
      </w:pPr>
      <w:r>
        <w:rPr>
          <w:rFonts w:hint="eastAsia" w:ascii="宋体" w:hAnsi="宋体" w:cs="宋体"/>
          <w:color w:val="auto"/>
          <w:sz w:val="24"/>
          <w:szCs w:val="24"/>
        </w:rPr>
        <w:t>3、本合同总价还包含乙方应当提供的伴随服务和售后服务费用。</w:t>
      </w:r>
    </w:p>
    <w:p>
      <w:pPr>
        <w:tabs>
          <w:tab w:val="left" w:pos="735"/>
        </w:tabs>
        <w:adjustRightInd w:val="0"/>
        <w:snapToGrid w:val="0"/>
        <w:spacing w:line="520" w:lineRule="exact"/>
        <w:ind w:firstLine="504" w:firstLineChars="210"/>
        <w:rPr>
          <w:rFonts w:ascii="宋体" w:hAnsi="宋体" w:cs="宋体"/>
          <w:color w:val="auto"/>
          <w:sz w:val="24"/>
          <w:szCs w:val="24"/>
        </w:rPr>
      </w:pPr>
      <w:r>
        <w:rPr>
          <w:rFonts w:hint="eastAsia" w:ascii="宋体" w:hAnsi="宋体" w:cs="宋体"/>
          <w:color w:val="auto"/>
          <w:sz w:val="24"/>
          <w:szCs w:val="24"/>
        </w:rPr>
        <w:t>4、本合同执行期间合同总价不变，甲方无须另向乙方支付本合同约定合同总价之外的其他任何费用。</w:t>
      </w:r>
    </w:p>
    <w:p>
      <w:pPr>
        <w:tabs>
          <w:tab w:val="left" w:pos="735"/>
        </w:tabs>
        <w:adjustRightInd w:val="0"/>
        <w:snapToGrid w:val="0"/>
        <w:spacing w:line="520" w:lineRule="exact"/>
        <w:ind w:firstLine="506" w:firstLineChars="210"/>
        <w:rPr>
          <w:rFonts w:ascii="宋体" w:hAnsi="宋体" w:cs="宋体"/>
          <w:b/>
          <w:color w:val="auto"/>
          <w:sz w:val="24"/>
          <w:szCs w:val="24"/>
        </w:rPr>
      </w:pPr>
      <w:r>
        <w:rPr>
          <w:rFonts w:hint="eastAsia" w:ascii="宋体" w:hAnsi="宋体" w:cs="宋体"/>
          <w:b/>
          <w:color w:val="auto"/>
          <w:sz w:val="24"/>
          <w:szCs w:val="24"/>
        </w:rPr>
        <w:t>三、款项结算</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1、付款方式：</w:t>
      </w:r>
    </w:p>
    <w:p>
      <w:pPr>
        <w:adjustRightInd w:val="0"/>
        <w:snapToGrid w:val="0"/>
        <w:spacing w:line="520" w:lineRule="exact"/>
        <w:ind w:firstLine="480" w:firstLineChars="200"/>
        <w:rPr>
          <w:rFonts w:ascii="宋体" w:hAnsi="宋体" w:cs="宋体"/>
          <w:color w:val="auto"/>
          <w:sz w:val="24"/>
          <w:szCs w:val="24"/>
          <w:lang w:val="zh-CN"/>
        </w:rPr>
      </w:pPr>
      <w:bookmarkStart w:id="46" w:name="_Toc497206187"/>
      <w:bookmarkStart w:id="47" w:name="_Toc497206297"/>
      <w:bookmarkStart w:id="48" w:name="_Toc18747"/>
      <w:bookmarkStart w:id="49" w:name="_Toc14025"/>
      <w:r>
        <w:rPr>
          <w:rFonts w:hint="eastAsia" w:ascii="宋体" w:hAnsi="宋体" w:cs="宋体"/>
          <w:color w:val="auto"/>
          <w:sz w:val="24"/>
          <w:szCs w:val="24"/>
        </w:rPr>
        <w:t>1-1</w:t>
      </w:r>
      <w:r>
        <w:rPr>
          <w:rFonts w:hint="eastAsia" w:ascii="宋体" w:hAnsi="宋体" w:cs="宋体"/>
          <w:color w:val="auto"/>
          <w:sz w:val="24"/>
          <w:szCs w:val="24"/>
          <w:lang w:val="zh-CN"/>
        </w:rPr>
        <w:t>、</w:t>
      </w:r>
      <w:r>
        <w:rPr>
          <w:rFonts w:hint="eastAsia" w:ascii="宋体" w:hAnsi="宋体" w:cs="宋体"/>
          <w:color w:val="auto"/>
          <w:sz w:val="24"/>
          <w:szCs w:val="24"/>
        </w:rPr>
        <w:t>货物交付采购人并经</w:t>
      </w:r>
      <w:r>
        <w:rPr>
          <w:rFonts w:hint="eastAsia" w:ascii="宋体" w:hAnsi="宋体" w:cs="宋体"/>
          <w:color w:val="auto"/>
          <w:sz w:val="24"/>
          <w:szCs w:val="24"/>
          <w:lang w:val="zh-CN"/>
        </w:rPr>
        <w:t>相关专家验收合格后</w:t>
      </w:r>
      <w:r>
        <w:rPr>
          <w:rFonts w:hint="eastAsia" w:ascii="宋体" w:hAnsi="宋体" w:cs="宋体"/>
          <w:color w:val="auto"/>
          <w:sz w:val="24"/>
          <w:szCs w:val="24"/>
        </w:rPr>
        <w:t>，</w:t>
      </w:r>
      <w:r>
        <w:rPr>
          <w:rFonts w:hint="eastAsia" w:ascii="宋体" w:hAnsi="宋体" w:cs="宋体"/>
          <w:color w:val="auto"/>
          <w:sz w:val="24"/>
          <w:szCs w:val="24"/>
          <w:lang w:val="zh-CN"/>
        </w:rPr>
        <w:t>支付合同总款的</w:t>
      </w:r>
      <w:r>
        <w:rPr>
          <w:rFonts w:hint="eastAsia" w:ascii="宋体" w:hAnsi="宋体" w:cs="宋体"/>
          <w:color w:val="auto"/>
          <w:sz w:val="24"/>
          <w:szCs w:val="24"/>
        </w:rPr>
        <w:t>95</w:t>
      </w:r>
      <w:r>
        <w:rPr>
          <w:rFonts w:hint="eastAsia" w:ascii="宋体" w:hAnsi="宋体" w:cs="宋体"/>
          <w:color w:val="auto"/>
          <w:sz w:val="24"/>
          <w:szCs w:val="24"/>
          <w:lang w:val="zh-CN"/>
        </w:rPr>
        <w:t>%；</w:t>
      </w:r>
      <w:r>
        <w:rPr>
          <w:rFonts w:hint="eastAsia" w:ascii="宋体" w:hAnsi="宋体" w:cs="宋体"/>
          <w:color w:val="auto"/>
          <w:sz w:val="24"/>
          <w:szCs w:val="24"/>
        </w:rPr>
        <w:t>剩余合同总款的5%于一年后且无任何质量问题无争议索赔的情况下不计息一次付清。</w:t>
      </w:r>
    </w:p>
    <w:p>
      <w:pPr>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1-</w:t>
      </w:r>
      <w:r>
        <w:rPr>
          <w:rFonts w:hint="eastAsia" w:ascii="宋体" w:hAnsi="宋体" w:cs="宋体"/>
          <w:color w:val="auto"/>
          <w:sz w:val="24"/>
          <w:szCs w:val="24"/>
          <w:lang w:val="zh-CN"/>
        </w:rPr>
        <w:t>2、结算方式：采购人与成交供应商直接结算，发票直开采购人。</w:t>
      </w:r>
    </w:p>
    <w:p>
      <w:pPr>
        <w:adjustRightInd w:val="0"/>
        <w:snapToGrid w:val="0"/>
        <w:spacing w:line="52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1-</w:t>
      </w:r>
      <w:r>
        <w:rPr>
          <w:rFonts w:hint="eastAsia" w:ascii="宋体" w:hAnsi="宋体" w:cs="宋体"/>
          <w:color w:val="auto"/>
          <w:sz w:val="24"/>
          <w:szCs w:val="24"/>
          <w:lang w:val="zh-CN"/>
        </w:rPr>
        <w:t>3、支付方式：银行转账。</w:t>
      </w:r>
    </w:p>
    <w:p>
      <w:pPr>
        <w:adjustRightInd w:val="0"/>
        <w:snapToGrid w:val="0"/>
        <w:spacing w:line="520" w:lineRule="exact"/>
        <w:ind w:firstLine="482" w:firstLineChars="200"/>
        <w:rPr>
          <w:rFonts w:ascii="宋体" w:hAnsi="宋体" w:cs="宋体"/>
          <w:b/>
          <w:bCs/>
          <w:color w:val="auto"/>
          <w:sz w:val="24"/>
          <w:szCs w:val="24"/>
          <w:lang w:val="zh-CN"/>
        </w:rPr>
      </w:pPr>
      <w:r>
        <w:rPr>
          <w:rFonts w:hint="eastAsia" w:ascii="宋体" w:hAnsi="宋体" w:cs="宋体"/>
          <w:b/>
          <w:bCs/>
          <w:color w:val="auto"/>
          <w:sz w:val="24"/>
          <w:szCs w:val="24"/>
          <w:lang w:val="zh-CN"/>
        </w:rPr>
        <w:t>四、交货条件:</w:t>
      </w:r>
      <w:bookmarkEnd w:id="46"/>
      <w:bookmarkEnd w:id="47"/>
      <w:bookmarkEnd w:id="48"/>
      <w:bookmarkEnd w:id="49"/>
    </w:p>
    <w:p>
      <w:pPr>
        <w:tabs>
          <w:tab w:val="left" w:pos="735"/>
        </w:tabs>
        <w:autoSpaceDE w:val="0"/>
        <w:autoSpaceDN w:val="0"/>
        <w:adjustRightInd w:val="0"/>
        <w:snapToGrid w:val="0"/>
        <w:spacing w:line="52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1、交货地点：</w:t>
      </w:r>
      <w:r>
        <w:rPr>
          <w:rFonts w:hint="eastAsia" w:ascii="宋体" w:hAnsi="宋体" w:cs="宋体"/>
          <w:color w:val="auto"/>
          <w:sz w:val="24"/>
          <w:szCs w:val="24"/>
          <w:u w:val="single"/>
        </w:rPr>
        <w:t xml:space="preserve">               </w:t>
      </w:r>
    </w:p>
    <w:p>
      <w:pPr>
        <w:tabs>
          <w:tab w:val="left" w:pos="735"/>
        </w:tabs>
        <w:autoSpaceDE w:val="0"/>
        <w:autoSpaceDN w:val="0"/>
        <w:adjustRightInd w:val="0"/>
        <w:snapToGrid w:val="0"/>
        <w:spacing w:line="52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2、交货期：</w:t>
      </w:r>
      <w:r>
        <w:rPr>
          <w:rFonts w:hint="eastAsia" w:ascii="宋体" w:hAnsi="宋体" w:cs="宋体"/>
          <w:color w:val="auto"/>
          <w:sz w:val="24"/>
          <w:szCs w:val="24"/>
          <w:u w:val="single"/>
        </w:rPr>
        <w:t xml:space="preserve">                 </w:t>
      </w:r>
    </w:p>
    <w:p>
      <w:pPr>
        <w:autoSpaceDE w:val="0"/>
        <w:autoSpaceDN w:val="0"/>
        <w:adjustRightInd w:val="0"/>
        <w:spacing w:line="520" w:lineRule="exact"/>
        <w:ind w:firstLine="482" w:firstLineChars="200"/>
        <w:outlineLvl w:val="0"/>
        <w:rPr>
          <w:rFonts w:ascii="宋体" w:hAnsi="宋体" w:cs="宋体"/>
          <w:b/>
          <w:bCs/>
          <w:color w:val="auto"/>
          <w:sz w:val="24"/>
          <w:szCs w:val="24"/>
          <w:lang w:val="zh-CN"/>
        </w:rPr>
      </w:pPr>
      <w:bookmarkStart w:id="50" w:name="_Toc497206188"/>
      <w:bookmarkStart w:id="51" w:name="_Toc2878"/>
      <w:bookmarkStart w:id="52" w:name="_Toc497206298"/>
      <w:bookmarkStart w:id="53" w:name="_Toc9437"/>
      <w:r>
        <w:rPr>
          <w:rFonts w:hint="eastAsia" w:ascii="宋体" w:hAnsi="宋体" w:cs="宋体"/>
          <w:b/>
          <w:bCs/>
          <w:color w:val="auto"/>
          <w:sz w:val="24"/>
          <w:szCs w:val="24"/>
          <w:lang w:val="zh-CN"/>
        </w:rPr>
        <w:t>五、运输</w:t>
      </w:r>
      <w:bookmarkEnd w:id="50"/>
      <w:bookmarkEnd w:id="51"/>
      <w:bookmarkEnd w:id="52"/>
      <w:bookmarkEnd w:id="53"/>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1、乙方负责所有货物的运输。确保货物安全、完整到达使用地点，运杂费用包含在总价内，包括货物从供货地点到使用地点的运输费、保险费、搬运费、安装调试费等。</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2、所有货物在运输、搬运、安装、调试的过程中，造成甲方损失的，由乙方为甲方修复或更新。</w:t>
      </w:r>
    </w:p>
    <w:p>
      <w:pPr>
        <w:autoSpaceDE w:val="0"/>
        <w:autoSpaceDN w:val="0"/>
        <w:adjustRightInd w:val="0"/>
        <w:spacing w:line="520" w:lineRule="exact"/>
        <w:ind w:firstLine="482" w:firstLineChars="200"/>
        <w:outlineLvl w:val="0"/>
        <w:rPr>
          <w:rFonts w:ascii="宋体" w:hAnsi="宋体" w:cs="宋体"/>
          <w:b/>
          <w:bCs/>
          <w:color w:val="auto"/>
          <w:sz w:val="24"/>
          <w:szCs w:val="24"/>
          <w:lang w:val="zh-CN"/>
        </w:rPr>
      </w:pPr>
      <w:bookmarkStart w:id="54" w:name="_Toc497206189"/>
      <w:bookmarkStart w:id="55" w:name="_Toc497206299"/>
      <w:bookmarkStart w:id="56" w:name="_Toc24786"/>
      <w:bookmarkStart w:id="57" w:name="_Toc6728"/>
      <w:r>
        <w:rPr>
          <w:rFonts w:hint="eastAsia" w:ascii="宋体" w:hAnsi="宋体" w:cs="宋体"/>
          <w:b/>
          <w:bCs/>
          <w:color w:val="auto"/>
          <w:sz w:val="24"/>
          <w:szCs w:val="24"/>
          <w:lang w:val="zh-CN"/>
        </w:rPr>
        <w:t>六、质量保证</w:t>
      </w:r>
      <w:bookmarkEnd w:id="54"/>
      <w:bookmarkEnd w:id="55"/>
      <w:bookmarkEnd w:id="56"/>
      <w:bookmarkEnd w:id="57"/>
    </w:p>
    <w:p>
      <w:pPr>
        <w:autoSpaceDE w:val="0"/>
        <w:autoSpaceDN w:val="0"/>
        <w:adjustRightInd w:val="0"/>
        <w:spacing w:line="520" w:lineRule="exact"/>
        <w:ind w:firstLine="480" w:firstLineChars="200"/>
        <w:outlineLvl w:val="0"/>
        <w:rPr>
          <w:rFonts w:ascii="宋体" w:hAnsi="宋体" w:cs="宋体"/>
          <w:bCs/>
          <w:color w:val="auto"/>
          <w:sz w:val="24"/>
          <w:szCs w:val="24"/>
          <w:lang w:val="zh-CN"/>
        </w:rPr>
      </w:pPr>
      <w:bookmarkStart w:id="58" w:name="_Toc20290"/>
      <w:bookmarkStart w:id="59" w:name="_Toc497206190"/>
      <w:bookmarkStart w:id="60" w:name="_Toc497206300"/>
      <w:bookmarkStart w:id="61" w:name="_Toc22060"/>
      <w:r>
        <w:rPr>
          <w:rFonts w:hint="eastAsia" w:ascii="宋体" w:hAnsi="宋体" w:cs="宋体"/>
          <w:bCs/>
          <w:color w:val="auto"/>
          <w:sz w:val="24"/>
          <w:szCs w:val="24"/>
          <w:lang w:val="zh-CN"/>
        </w:rPr>
        <w:t>1、乙方提供货物必须是原品牌制造厂制造的最新工艺、生产的最新产品。</w:t>
      </w:r>
      <w:bookmarkEnd w:id="58"/>
      <w:bookmarkEnd w:id="59"/>
      <w:bookmarkEnd w:id="60"/>
      <w:bookmarkEnd w:id="61"/>
    </w:p>
    <w:p>
      <w:pPr>
        <w:autoSpaceDE w:val="0"/>
        <w:autoSpaceDN w:val="0"/>
        <w:adjustRightInd w:val="0"/>
        <w:spacing w:line="520" w:lineRule="exact"/>
        <w:ind w:firstLine="480" w:firstLineChars="200"/>
        <w:outlineLvl w:val="0"/>
        <w:rPr>
          <w:rFonts w:ascii="宋体" w:hAnsi="宋体" w:cs="宋体"/>
          <w:bCs/>
          <w:color w:val="auto"/>
          <w:sz w:val="24"/>
          <w:szCs w:val="24"/>
          <w:lang w:val="zh-CN"/>
        </w:rPr>
      </w:pPr>
      <w:bookmarkStart w:id="62" w:name="_Toc497206301"/>
      <w:bookmarkStart w:id="63" w:name="_Toc30985"/>
      <w:bookmarkStart w:id="64" w:name="_Toc13332"/>
      <w:bookmarkStart w:id="65" w:name="_Toc497206191"/>
      <w:r>
        <w:rPr>
          <w:rFonts w:hint="eastAsia" w:ascii="宋体" w:hAnsi="宋体" w:cs="宋体"/>
          <w:bCs/>
          <w:color w:val="auto"/>
          <w:sz w:val="24"/>
          <w:szCs w:val="24"/>
          <w:lang w:val="zh-CN"/>
        </w:rPr>
        <w:t>2、所提供货物必须是经过办理正常手续的全新产品。</w:t>
      </w:r>
      <w:bookmarkEnd w:id="62"/>
      <w:bookmarkEnd w:id="63"/>
      <w:bookmarkEnd w:id="64"/>
      <w:bookmarkEnd w:id="65"/>
    </w:p>
    <w:p>
      <w:pPr>
        <w:autoSpaceDE w:val="0"/>
        <w:autoSpaceDN w:val="0"/>
        <w:adjustRightInd w:val="0"/>
        <w:spacing w:line="520" w:lineRule="exact"/>
        <w:ind w:firstLine="480" w:firstLineChars="200"/>
        <w:outlineLvl w:val="0"/>
        <w:rPr>
          <w:rFonts w:ascii="宋体" w:hAnsi="宋体" w:cs="宋体"/>
          <w:bCs/>
          <w:color w:val="auto"/>
          <w:sz w:val="24"/>
          <w:szCs w:val="24"/>
          <w:lang w:val="zh-CN"/>
        </w:rPr>
      </w:pPr>
      <w:bookmarkStart w:id="66" w:name="_Toc28683"/>
      <w:bookmarkStart w:id="67" w:name="_Toc497206302"/>
      <w:bookmarkStart w:id="68" w:name="_Toc6183"/>
      <w:bookmarkStart w:id="69" w:name="_Toc497206192"/>
      <w:r>
        <w:rPr>
          <w:rFonts w:hint="eastAsia" w:ascii="宋体" w:hAnsi="宋体" w:cs="宋体"/>
          <w:bCs/>
          <w:color w:val="auto"/>
          <w:sz w:val="24"/>
          <w:szCs w:val="24"/>
          <w:lang w:val="zh-CN"/>
        </w:rPr>
        <w:t>3、所供货物是经过国家法定检验、注册、准许市场销售的合法产品。</w:t>
      </w:r>
      <w:bookmarkEnd w:id="66"/>
      <w:bookmarkEnd w:id="67"/>
      <w:bookmarkEnd w:id="68"/>
      <w:bookmarkEnd w:id="69"/>
    </w:p>
    <w:p>
      <w:pPr>
        <w:autoSpaceDE w:val="0"/>
        <w:autoSpaceDN w:val="0"/>
        <w:adjustRightInd w:val="0"/>
        <w:spacing w:line="520" w:lineRule="exact"/>
        <w:ind w:firstLine="480" w:firstLineChars="200"/>
        <w:outlineLvl w:val="0"/>
        <w:rPr>
          <w:rFonts w:ascii="宋体" w:hAnsi="宋体" w:cs="宋体"/>
          <w:bCs/>
          <w:color w:val="auto"/>
          <w:sz w:val="24"/>
          <w:szCs w:val="24"/>
          <w:lang w:val="zh-CN"/>
        </w:rPr>
      </w:pPr>
      <w:bookmarkStart w:id="70" w:name="_Toc497206193"/>
      <w:bookmarkStart w:id="71" w:name="_Toc23508"/>
      <w:bookmarkStart w:id="72" w:name="_Toc497206303"/>
      <w:bookmarkStart w:id="73" w:name="_Toc12897"/>
      <w:r>
        <w:rPr>
          <w:rFonts w:hint="eastAsia" w:ascii="宋体" w:hAnsi="宋体" w:cs="宋体"/>
          <w:bCs/>
          <w:color w:val="auto"/>
          <w:sz w:val="24"/>
          <w:szCs w:val="24"/>
          <w:lang w:val="zh-CN"/>
        </w:rPr>
        <w:t>4、货物性能稳定、具有较好的使用效果，质量保证措施完善，符合国家相应标准。</w:t>
      </w:r>
      <w:bookmarkEnd w:id="70"/>
      <w:bookmarkEnd w:id="71"/>
      <w:bookmarkEnd w:id="72"/>
      <w:bookmarkEnd w:id="73"/>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5、货物的质保期为验收合格后</w:t>
      </w:r>
      <w:r>
        <w:rPr>
          <w:rFonts w:hint="eastAsia" w:ascii="宋体" w:hAnsi="宋体" w:cs="宋体"/>
          <w:color w:val="auto"/>
          <w:sz w:val="24"/>
          <w:szCs w:val="24"/>
          <w:u w:val="single"/>
        </w:rPr>
        <w:t xml:space="preserve">     </w:t>
      </w:r>
      <w:r>
        <w:rPr>
          <w:rFonts w:hint="eastAsia" w:ascii="宋体" w:hAnsi="宋体" w:cs="宋体"/>
          <w:color w:val="auto"/>
          <w:sz w:val="24"/>
          <w:szCs w:val="24"/>
        </w:rPr>
        <w:t>年，终身维护保养，质保期后，只收取成本费用。</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6、包装要求</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2-1、除合同另有规定外，乙方提供的全部货物，均应确保安全无损运抵甲方指定地点。</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2-2、每一个包装箱内应附一份详细装箱单。</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7、乙方应保证甲方在使用该货物或其任何一部分时免受第三方提出侵犯其专利权、商标权或工业设计权的起诉。</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七、售后服务</w:t>
      </w:r>
    </w:p>
    <w:p>
      <w:pPr>
        <w:spacing w:line="520" w:lineRule="exact"/>
        <w:ind w:firstLine="480" w:firstLineChars="200"/>
        <w:rPr>
          <w:rFonts w:ascii="宋体" w:hAnsi="宋体" w:cs="宋体"/>
          <w:bCs/>
          <w:color w:val="auto"/>
          <w:sz w:val="24"/>
          <w:szCs w:val="24"/>
        </w:rPr>
      </w:pPr>
      <w:r>
        <w:rPr>
          <w:rFonts w:hint="eastAsia" w:ascii="宋体" w:hAnsi="宋体" w:cs="宋体"/>
          <w:color w:val="auto"/>
          <w:sz w:val="24"/>
          <w:szCs w:val="24"/>
        </w:rPr>
        <w:t>1、</w:t>
      </w:r>
      <w:r>
        <w:rPr>
          <w:rFonts w:hint="eastAsia" w:ascii="宋体" w:hAnsi="宋体" w:cs="宋体"/>
          <w:bCs/>
          <w:color w:val="auto"/>
          <w:sz w:val="24"/>
          <w:szCs w:val="24"/>
        </w:rPr>
        <w:t>乙方必须具有完善的售后服务体系，高水平的技术维修人员和良好的设备备件供应能力。</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2、乙方同意该产品自安装、调试、验收合格并正常使用之日起免费保修，质保期为一年，在质保期内出现的任何质量问题，乙方保证在接到甲方维修通知之日起24小时内派专业维修人员赶赴现场（即甲方指定地点）进行维修。     </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3、故障响应时间 </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提供7*24小时的故障服务受理，若出现设备或系统故障，接通知后即响应，应保证12小时内到达用户现场进行维修，一般故障2小时内修复，重大故障24小时内修复；若约定的时间内不能排除故障，则货物的质保期自然顺延。</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4、质保期内，如经过两次维修后仍达不到此标准，乙方应负责调换部分或整个产品设备，质保期作相应延长，并承担自产品出现故障之日起至产品再次正常运行使用之日期间给甲方造成的所有经济损失。若更换后产品还达不到此标准，乙方应无条件退货，并承担给甲方造成的所有经济损失。</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5、质保期内，维修费用、乙方维修人员的差旅费及其他相关费用均由乙方承担。</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6、质保期满后，乙方负责终身优质服务，检修更换的产品配置零件按标准报价的优惠价向甲方提供，免人工费、差旅费及工时费，只收取更换的零配件成本费。</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7、如因产品本身的隐蔽瑕疵而出现的质量问题，乙方应全面负责维修调试或更新更换并承担全部费用。</w:t>
      </w:r>
    </w:p>
    <w:p>
      <w:pPr>
        <w:spacing w:line="520" w:lineRule="exact"/>
        <w:ind w:firstLine="480" w:firstLineChars="200"/>
        <w:rPr>
          <w:rFonts w:ascii="宋体" w:hAnsi="宋体" w:cs="宋体"/>
          <w:bCs/>
          <w:color w:val="auto"/>
          <w:sz w:val="24"/>
          <w:szCs w:val="24"/>
        </w:rPr>
      </w:pPr>
      <w:r>
        <w:rPr>
          <w:rFonts w:hint="eastAsia" w:ascii="宋体" w:hAnsi="宋体" w:cs="宋体"/>
          <w:bCs/>
          <w:color w:val="auto"/>
          <w:sz w:val="24"/>
          <w:szCs w:val="24"/>
        </w:rPr>
        <w:t>8、乙方必须严格依据合同约定及竞争性谈判响应文件中的售后服务承诺履行售后服务义务。</w:t>
      </w:r>
    </w:p>
    <w:p>
      <w:pPr>
        <w:spacing w:line="520" w:lineRule="exact"/>
        <w:ind w:firstLine="645"/>
        <w:rPr>
          <w:rFonts w:ascii="宋体" w:hAnsi="宋体" w:cs="宋体"/>
          <w:b/>
          <w:color w:val="auto"/>
          <w:sz w:val="24"/>
          <w:szCs w:val="24"/>
        </w:rPr>
      </w:pPr>
      <w:r>
        <w:rPr>
          <w:rFonts w:hint="eastAsia" w:ascii="宋体" w:hAnsi="宋体" w:cs="宋体"/>
          <w:b/>
          <w:color w:val="auto"/>
          <w:sz w:val="24"/>
          <w:szCs w:val="24"/>
        </w:rPr>
        <w:t>八、技术服务</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1、服务承诺：响应文件中有明确且具体、切实可行的技术服务承诺。</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售后服务体系：</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1-1、提供本地区同类用户售后服务系统网络图、主要负责人的姓名、联系电话、营业场所详细地址。</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1-2、提供具体负责本用户的售后服务人员姓名、联系电话、联系地址。</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2、售后服务承诺：</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2-1、发生故障后最短和最长的响应时间（以接到报修电话起至维修人员到达现场止所需时间）。</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2-2、质量保修期间的承诺。</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2-3、质量保修期后的承诺，包括常年维修服务的收费标准、易损零配件的价格表等。</w:t>
      </w:r>
    </w:p>
    <w:p>
      <w:pPr>
        <w:spacing w:line="520" w:lineRule="exact"/>
        <w:ind w:firstLine="616" w:firstLineChars="257"/>
        <w:rPr>
          <w:rFonts w:ascii="宋体" w:hAnsi="宋体" w:cs="宋体"/>
          <w:color w:val="auto"/>
          <w:sz w:val="24"/>
          <w:szCs w:val="24"/>
        </w:rPr>
      </w:pPr>
      <w:r>
        <w:rPr>
          <w:rFonts w:hint="eastAsia" w:ascii="宋体" w:hAnsi="宋体" w:cs="宋体"/>
          <w:color w:val="auto"/>
          <w:sz w:val="24"/>
          <w:szCs w:val="24"/>
        </w:rPr>
        <w:t>2-4、人员培训：</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tabs>
          <w:tab w:val="left" w:pos="0"/>
        </w:tabs>
        <w:autoSpaceDE w:val="0"/>
        <w:autoSpaceDN w:val="0"/>
        <w:adjustRightInd w:val="0"/>
        <w:spacing w:line="520" w:lineRule="exact"/>
        <w:ind w:firstLine="482" w:firstLineChars="200"/>
        <w:outlineLvl w:val="0"/>
        <w:rPr>
          <w:rFonts w:ascii="宋体" w:hAnsi="宋体" w:cs="宋体"/>
          <w:b/>
          <w:bCs/>
          <w:color w:val="auto"/>
          <w:sz w:val="24"/>
          <w:szCs w:val="24"/>
          <w:lang w:val="zh-CN"/>
        </w:rPr>
      </w:pPr>
      <w:bookmarkStart w:id="74" w:name="_Toc497206194"/>
      <w:bookmarkStart w:id="75" w:name="_Toc23707"/>
      <w:bookmarkStart w:id="76" w:name="_Toc497206304"/>
      <w:bookmarkStart w:id="77" w:name="_Toc4326"/>
      <w:r>
        <w:rPr>
          <w:rFonts w:hint="eastAsia" w:ascii="宋体" w:hAnsi="宋体" w:cs="宋体"/>
          <w:b/>
          <w:bCs/>
          <w:color w:val="auto"/>
          <w:sz w:val="24"/>
          <w:szCs w:val="24"/>
        </w:rPr>
        <w:t>九</w:t>
      </w:r>
      <w:r>
        <w:rPr>
          <w:rFonts w:hint="eastAsia" w:ascii="宋体" w:hAnsi="宋体" w:cs="宋体"/>
          <w:b/>
          <w:bCs/>
          <w:color w:val="auto"/>
          <w:sz w:val="24"/>
          <w:szCs w:val="24"/>
          <w:lang w:val="zh-CN"/>
        </w:rPr>
        <w:t>、验收</w:t>
      </w:r>
      <w:bookmarkEnd w:id="74"/>
      <w:bookmarkEnd w:id="75"/>
      <w:bookmarkEnd w:id="76"/>
      <w:bookmarkEnd w:id="77"/>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1、到货验收：货物到货后，由甲方与乙方共同进行验收，验收内容包括，外观、规格、数量等与合同要求的一致性。</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3、最终验收：最终验收结果作为付款依据，乙方填写验收单，并向甲方提交实施过程中的所有资料，以便甲方日后管理和维护。</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4、质保期满后：由乙方出具质量报告，作为质保金支付依据，若存在质量问题，应按相应规定协商处理。</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5、验收依据：</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5-1、合同文本、合同附件、</w:t>
      </w:r>
      <w:r>
        <w:rPr>
          <w:rFonts w:hint="eastAsia" w:ascii="宋体" w:hAnsi="宋体" w:cs="宋体"/>
          <w:color w:val="auto"/>
          <w:sz w:val="24"/>
          <w:szCs w:val="24"/>
          <w:lang w:val="zh-CN"/>
        </w:rPr>
        <w:t>竞争性</w:t>
      </w:r>
      <w:r>
        <w:rPr>
          <w:rFonts w:hint="eastAsia" w:ascii="宋体" w:hAnsi="宋体" w:cs="宋体"/>
          <w:color w:val="auto"/>
          <w:sz w:val="24"/>
          <w:szCs w:val="24"/>
        </w:rPr>
        <w:t>谈判采购</w:t>
      </w:r>
      <w:r>
        <w:rPr>
          <w:rFonts w:hint="eastAsia" w:ascii="宋体" w:hAnsi="宋体" w:cs="宋体"/>
          <w:color w:val="auto"/>
          <w:sz w:val="24"/>
          <w:szCs w:val="24"/>
          <w:lang w:val="zh-CN"/>
        </w:rPr>
        <w:t>文件</w:t>
      </w:r>
      <w:r>
        <w:rPr>
          <w:rFonts w:hint="eastAsia" w:ascii="宋体" w:hAnsi="宋体" w:cs="宋体"/>
          <w:color w:val="auto"/>
          <w:sz w:val="24"/>
          <w:szCs w:val="24"/>
        </w:rPr>
        <w:t>、响应文件。</w:t>
      </w:r>
    </w:p>
    <w:p>
      <w:pPr>
        <w:snapToGrid w:val="0"/>
        <w:spacing w:line="520" w:lineRule="exact"/>
        <w:ind w:right="893" w:firstLine="480" w:firstLineChars="200"/>
        <w:rPr>
          <w:rFonts w:ascii="宋体" w:hAnsi="宋体" w:cs="宋体"/>
          <w:color w:val="auto"/>
          <w:sz w:val="24"/>
          <w:szCs w:val="24"/>
        </w:rPr>
      </w:pPr>
      <w:r>
        <w:rPr>
          <w:rFonts w:hint="eastAsia" w:ascii="宋体" w:hAnsi="宋体" w:cs="宋体"/>
          <w:color w:val="auto"/>
          <w:sz w:val="24"/>
          <w:szCs w:val="24"/>
        </w:rPr>
        <w:t>5-2、国内相应的标准、规范。</w:t>
      </w:r>
    </w:p>
    <w:p>
      <w:pPr>
        <w:spacing w:line="520" w:lineRule="exact"/>
        <w:ind w:firstLine="482" w:firstLineChars="200"/>
        <w:rPr>
          <w:rFonts w:ascii="宋体" w:hAnsi="宋体" w:cs="宋体"/>
          <w:b/>
          <w:bCs/>
          <w:color w:val="auto"/>
          <w:kern w:val="0"/>
          <w:sz w:val="24"/>
          <w:szCs w:val="24"/>
        </w:rPr>
      </w:pPr>
      <w:bookmarkStart w:id="78" w:name="_Toc25680"/>
      <w:bookmarkStart w:id="79" w:name="_Toc497206305"/>
      <w:bookmarkStart w:id="80" w:name="_Toc29166"/>
      <w:bookmarkStart w:id="81" w:name="_Toc497206195"/>
      <w:r>
        <w:rPr>
          <w:rFonts w:hint="eastAsia" w:ascii="宋体" w:hAnsi="宋体" w:cs="宋体"/>
          <w:b/>
          <w:bCs/>
          <w:color w:val="auto"/>
          <w:sz w:val="24"/>
          <w:szCs w:val="24"/>
        </w:rPr>
        <w:t>十</w:t>
      </w:r>
      <w:r>
        <w:rPr>
          <w:rFonts w:hint="eastAsia" w:ascii="宋体" w:hAnsi="宋体" w:cs="宋体"/>
          <w:b/>
          <w:bCs/>
          <w:color w:val="auto"/>
          <w:sz w:val="24"/>
          <w:szCs w:val="24"/>
          <w:lang w:val="zh-CN"/>
        </w:rPr>
        <w:t>、</w:t>
      </w:r>
      <w:r>
        <w:rPr>
          <w:rFonts w:hint="eastAsia" w:ascii="宋体" w:hAnsi="宋体" w:cs="宋体"/>
          <w:b/>
          <w:bCs/>
          <w:color w:val="auto"/>
          <w:kern w:val="0"/>
          <w:sz w:val="24"/>
          <w:szCs w:val="24"/>
        </w:rPr>
        <w:t>权利与义务</w:t>
      </w:r>
      <w:bookmarkStart w:id="82" w:name="_Toc466270652"/>
      <w:bookmarkStart w:id="83" w:name="_Toc465510860"/>
      <w:bookmarkStart w:id="84" w:name="_Toc468550424"/>
      <w:bookmarkStart w:id="85" w:name="_Toc465511163"/>
      <w:bookmarkStart w:id="86" w:name="_Toc465511118"/>
      <w:bookmarkStart w:id="87" w:name="_Toc476761655"/>
    </w:p>
    <w:p>
      <w:p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1、甲方的权利与义务</w:t>
      </w:r>
      <w:bookmarkEnd w:id="82"/>
      <w:bookmarkEnd w:id="83"/>
      <w:bookmarkEnd w:id="84"/>
      <w:bookmarkEnd w:id="85"/>
      <w:bookmarkEnd w:id="86"/>
      <w:bookmarkEnd w:id="87"/>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（1）甲方有权要求</w:t>
      </w:r>
      <w:r>
        <w:rPr>
          <w:rFonts w:hint="eastAsia" w:ascii="宋体" w:hAnsi="宋体" w:cs="宋体"/>
          <w:color w:val="auto"/>
          <w:kern w:val="28"/>
          <w:sz w:val="24"/>
          <w:szCs w:val="24"/>
        </w:rPr>
        <w:t>乙方供货的项目内容符合国家相关规范，符合国家验收标准，能够通过国家验收。</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（2）</w:t>
      </w:r>
      <w:r>
        <w:rPr>
          <w:rFonts w:hint="eastAsia" w:ascii="宋体" w:hAnsi="宋体" w:cs="宋体"/>
          <w:color w:val="auto"/>
          <w:kern w:val="28"/>
          <w:sz w:val="24"/>
          <w:szCs w:val="24"/>
        </w:rPr>
        <w:t>甲方有权要求乙方配合甲方完成所采购项目内容的预验收工作以及正式验收工作。</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（3）</w:t>
      </w:r>
      <w:r>
        <w:rPr>
          <w:rFonts w:hint="eastAsia" w:ascii="宋体" w:hAnsi="宋体" w:cs="宋体"/>
          <w:color w:val="auto"/>
          <w:kern w:val="28"/>
          <w:sz w:val="24"/>
          <w:szCs w:val="24"/>
        </w:rPr>
        <w:t>甲方有权要求乙方提供的产品所涉及的第三方权利进行免责。</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（4）</w:t>
      </w:r>
      <w:r>
        <w:rPr>
          <w:rFonts w:hint="eastAsia" w:ascii="宋体" w:hAnsi="宋体" w:cs="宋体"/>
          <w:color w:val="auto"/>
          <w:kern w:val="28"/>
          <w:sz w:val="24"/>
          <w:szCs w:val="24"/>
        </w:rPr>
        <w:t>甲方有义务保证按合同所规定的内容及时间支付乙方相关费用。</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（5）</w:t>
      </w:r>
      <w:r>
        <w:rPr>
          <w:rFonts w:hint="eastAsia" w:ascii="宋体" w:hAnsi="宋体" w:cs="宋体"/>
          <w:color w:val="auto"/>
          <w:kern w:val="28"/>
          <w:sz w:val="24"/>
          <w:szCs w:val="24"/>
        </w:rPr>
        <w:t>甲方项目负责人为</w:t>
      </w:r>
      <w:r>
        <w:rPr>
          <w:rFonts w:hint="eastAsia" w:ascii="宋体" w:hAnsi="宋体" w:cs="宋体"/>
          <w:color w:val="auto"/>
          <w:kern w:val="28"/>
          <w:sz w:val="24"/>
          <w:szCs w:val="24"/>
          <w:u w:val="single"/>
        </w:rPr>
        <w:t xml:space="preserve">         </w:t>
      </w:r>
      <w:r>
        <w:rPr>
          <w:rFonts w:hint="eastAsia" w:ascii="宋体" w:hAnsi="宋体" w:cs="宋体"/>
          <w:color w:val="auto"/>
          <w:kern w:val="28"/>
          <w:sz w:val="24"/>
          <w:szCs w:val="24"/>
        </w:rPr>
        <w:t>。</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（6）</w:t>
      </w:r>
      <w:r>
        <w:rPr>
          <w:rFonts w:hint="eastAsia" w:ascii="宋体" w:hAnsi="宋体" w:cs="宋体"/>
          <w:color w:val="auto"/>
          <w:kern w:val="28"/>
          <w:sz w:val="24"/>
          <w:szCs w:val="24"/>
        </w:rPr>
        <w:t>协调乙方供货时与其他单位的关系。</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（7）</w:t>
      </w:r>
      <w:r>
        <w:rPr>
          <w:rFonts w:hint="eastAsia" w:ascii="宋体" w:hAnsi="宋体" w:cs="宋体"/>
          <w:color w:val="auto"/>
          <w:kern w:val="28"/>
          <w:sz w:val="24"/>
          <w:szCs w:val="24"/>
        </w:rPr>
        <w:t>乙方不能按甲方要求及时供货，甲方有单方解除合同的权利。解除合同的同时，甲方有权利与评审报告中排名第二的供应商签订新的供货合同。</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（8）</w:t>
      </w:r>
      <w:r>
        <w:rPr>
          <w:rFonts w:hint="eastAsia" w:ascii="宋体" w:hAnsi="宋体" w:cs="宋体"/>
          <w:color w:val="auto"/>
          <w:kern w:val="28"/>
          <w:sz w:val="24"/>
          <w:szCs w:val="24"/>
        </w:rPr>
        <w:t>因乙方原因供货延误，给甲方造成损失或被第三方要求索赔的，乙方应全额承担。</w:t>
      </w:r>
      <w:bookmarkStart w:id="88" w:name="_Toc466270653"/>
      <w:bookmarkStart w:id="89" w:name="_Toc465510861"/>
      <w:bookmarkStart w:id="90" w:name="_Toc465511164"/>
      <w:bookmarkStart w:id="91" w:name="_Toc468550425"/>
      <w:bookmarkStart w:id="92" w:name="_Toc465511119"/>
      <w:bookmarkStart w:id="93" w:name="_Toc476761656"/>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28"/>
          <w:sz w:val="24"/>
          <w:szCs w:val="24"/>
        </w:rPr>
        <w:t>2、乙方的权利与义务</w:t>
      </w:r>
      <w:bookmarkEnd w:id="88"/>
      <w:bookmarkEnd w:id="89"/>
      <w:bookmarkEnd w:id="90"/>
      <w:bookmarkEnd w:id="91"/>
      <w:bookmarkEnd w:id="92"/>
      <w:bookmarkEnd w:id="93"/>
    </w:p>
    <w:p>
      <w:pPr>
        <w:spacing w:line="520" w:lineRule="exact"/>
        <w:ind w:firstLine="480" w:firstLineChars="200"/>
        <w:rPr>
          <w:rFonts w:ascii="宋体" w:hAnsi="宋体" w:cs="宋体"/>
          <w:color w:val="auto"/>
          <w:sz w:val="24"/>
          <w:szCs w:val="24"/>
        </w:rPr>
      </w:pPr>
      <w:r>
        <w:rPr>
          <w:rFonts w:hint="eastAsia" w:ascii="宋体" w:hAnsi="宋体" w:cs="宋体"/>
          <w:color w:val="auto"/>
          <w:kern w:val="0"/>
          <w:sz w:val="24"/>
          <w:szCs w:val="24"/>
        </w:rPr>
        <w:t>（1）</w:t>
      </w:r>
      <w:r>
        <w:rPr>
          <w:rFonts w:hint="eastAsia" w:ascii="宋体" w:hAnsi="宋体" w:cs="宋体"/>
          <w:color w:val="auto"/>
          <w:kern w:val="28"/>
          <w:sz w:val="24"/>
          <w:szCs w:val="24"/>
        </w:rPr>
        <w:t>乙方应</w:t>
      </w:r>
      <w:r>
        <w:rPr>
          <w:rFonts w:hint="eastAsia" w:ascii="宋体" w:hAnsi="宋体" w:cs="宋体"/>
          <w:color w:val="auto"/>
          <w:sz w:val="24"/>
          <w:szCs w:val="24"/>
        </w:rPr>
        <w:t>按本合同的规定供货，并保证产品质量。</w:t>
      </w:r>
    </w:p>
    <w:p>
      <w:pPr>
        <w:spacing w:line="520" w:lineRule="exact"/>
        <w:ind w:firstLine="480" w:firstLineChars="200"/>
        <w:rPr>
          <w:rFonts w:ascii="宋体" w:hAnsi="宋体" w:cs="宋体"/>
          <w:color w:val="auto"/>
          <w:kern w:val="28"/>
          <w:sz w:val="24"/>
          <w:szCs w:val="24"/>
        </w:rPr>
      </w:pPr>
      <w:r>
        <w:rPr>
          <w:rFonts w:hint="eastAsia" w:ascii="宋体" w:hAnsi="宋体" w:cs="宋体"/>
          <w:color w:val="auto"/>
          <w:kern w:val="0"/>
          <w:sz w:val="24"/>
          <w:szCs w:val="24"/>
        </w:rPr>
        <w:t>（2）</w:t>
      </w:r>
      <w:r>
        <w:rPr>
          <w:rFonts w:hint="eastAsia" w:ascii="宋体" w:hAnsi="宋体" w:cs="宋体"/>
          <w:color w:val="auto"/>
          <w:kern w:val="28"/>
          <w:sz w:val="24"/>
          <w:szCs w:val="24"/>
        </w:rPr>
        <w:t>乙方有义务配合甲方参与项目的预验收、正式竣工验收工作，并确保所供货物符合本项目国家现行标准。</w:t>
      </w:r>
    </w:p>
    <w:p>
      <w:pPr>
        <w:spacing w:line="520" w:lineRule="exact"/>
        <w:ind w:firstLine="480" w:firstLineChars="200"/>
        <w:rPr>
          <w:rFonts w:ascii="宋体" w:hAnsi="宋体" w:cs="宋体"/>
          <w:color w:val="auto"/>
          <w:sz w:val="24"/>
          <w:szCs w:val="24"/>
        </w:rPr>
      </w:pPr>
      <w:r>
        <w:rPr>
          <w:rFonts w:hint="eastAsia" w:ascii="宋体" w:hAnsi="宋体" w:cs="宋体"/>
          <w:color w:val="auto"/>
          <w:kern w:val="0"/>
          <w:sz w:val="24"/>
          <w:szCs w:val="24"/>
        </w:rPr>
        <w:t>（3）</w:t>
      </w:r>
      <w:r>
        <w:rPr>
          <w:rFonts w:hint="eastAsia" w:ascii="宋体" w:hAnsi="宋体" w:cs="宋体"/>
          <w:color w:val="auto"/>
          <w:kern w:val="28"/>
          <w:sz w:val="24"/>
          <w:szCs w:val="24"/>
        </w:rPr>
        <w:t>乙方</w:t>
      </w:r>
      <w:r>
        <w:rPr>
          <w:rFonts w:hint="eastAsia" w:ascii="宋体" w:hAnsi="宋体" w:cs="宋体"/>
          <w:color w:val="auto"/>
          <w:sz w:val="24"/>
          <w:szCs w:val="24"/>
        </w:rPr>
        <w:t>项目负责人为</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pStyle w:val="45"/>
        <w:autoSpaceDN w:val="0"/>
        <w:spacing w:line="520" w:lineRule="exact"/>
        <w:ind w:firstLine="480"/>
        <w:rPr>
          <w:rFonts w:ascii="宋体" w:hAnsi="宋体" w:cs="宋体"/>
          <w:color w:val="auto"/>
          <w:sz w:val="24"/>
          <w:szCs w:val="24"/>
        </w:rPr>
      </w:pPr>
      <w:r>
        <w:rPr>
          <w:rFonts w:hint="eastAsia" w:ascii="宋体" w:hAnsi="宋体" w:cs="宋体"/>
          <w:color w:val="auto"/>
          <w:kern w:val="0"/>
          <w:sz w:val="24"/>
          <w:szCs w:val="24"/>
        </w:rPr>
        <w:t>（4）</w:t>
      </w:r>
      <w:r>
        <w:rPr>
          <w:rFonts w:hint="eastAsia" w:ascii="宋体" w:hAnsi="宋体" w:cs="宋体"/>
          <w:color w:val="auto"/>
          <w:sz w:val="24"/>
          <w:szCs w:val="24"/>
        </w:rPr>
        <w:t>乙方产品进场时应充分了解甲方的现场各项管理标准文件，并在进场后全面服从甲方的管理制度、管理细则等。</w:t>
      </w:r>
    </w:p>
    <w:p>
      <w:pPr>
        <w:spacing w:line="520" w:lineRule="exact"/>
        <w:ind w:firstLine="480" w:firstLineChars="200"/>
        <w:rPr>
          <w:rFonts w:ascii="宋体" w:hAnsi="宋体" w:cs="宋体"/>
          <w:color w:val="auto"/>
          <w:sz w:val="24"/>
          <w:szCs w:val="24"/>
        </w:rPr>
      </w:pPr>
      <w:r>
        <w:rPr>
          <w:rFonts w:hint="eastAsia" w:ascii="宋体" w:hAnsi="宋体" w:cs="宋体"/>
          <w:color w:val="auto"/>
          <w:kern w:val="0"/>
          <w:sz w:val="24"/>
          <w:szCs w:val="24"/>
        </w:rPr>
        <w:t>（5）</w:t>
      </w:r>
      <w:r>
        <w:rPr>
          <w:rFonts w:hint="eastAsia" w:ascii="宋体" w:hAnsi="宋体" w:cs="宋体"/>
          <w:color w:val="auto"/>
          <w:sz w:val="24"/>
          <w:szCs w:val="24"/>
        </w:rPr>
        <w:t>遵守产品安装作业的有关规定，做好作业现场安全管理；协助甲方做好作业现场的安全保卫、防火防盗工作，确保作业顺利进行；接受甲方现场管理人员的监督和检查，保证作业质量和安全文明作业。</w:t>
      </w:r>
    </w:p>
    <w:p>
      <w:pPr>
        <w:spacing w:line="520" w:lineRule="exact"/>
        <w:ind w:firstLine="480" w:firstLineChars="200"/>
        <w:rPr>
          <w:rFonts w:ascii="宋体" w:hAnsi="宋体" w:cs="宋体"/>
          <w:color w:val="auto"/>
          <w:sz w:val="24"/>
          <w:szCs w:val="24"/>
        </w:rPr>
      </w:pPr>
      <w:r>
        <w:rPr>
          <w:rFonts w:hint="eastAsia" w:ascii="宋体" w:hAnsi="宋体" w:cs="宋体"/>
          <w:color w:val="auto"/>
          <w:kern w:val="0"/>
          <w:sz w:val="24"/>
          <w:szCs w:val="24"/>
        </w:rPr>
        <w:t>（6）</w:t>
      </w:r>
      <w:r>
        <w:rPr>
          <w:rFonts w:hint="eastAsia" w:ascii="宋体" w:hAnsi="宋体" w:cs="宋体"/>
          <w:color w:val="auto"/>
          <w:sz w:val="24"/>
          <w:szCs w:val="24"/>
        </w:rPr>
        <w:t>按甲方指定地点将货物码放整齐，及时清运过程中产生的垃圾，保持现场整洁。</w:t>
      </w:r>
    </w:p>
    <w:p>
      <w:pPr>
        <w:spacing w:line="520" w:lineRule="exact"/>
        <w:ind w:firstLine="480" w:firstLineChars="200"/>
        <w:rPr>
          <w:rFonts w:ascii="宋体" w:hAnsi="宋体" w:cs="宋体"/>
          <w:color w:val="auto"/>
          <w:sz w:val="24"/>
          <w:szCs w:val="24"/>
        </w:rPr>
      </w:pPr>
      <w:r>
        <w:rPr>
          <w:rFonts w:hint="eastAsia" w:ascii="宋体" w:hAnsi="宋体" w:cs="宋体"/>
          <w:color w:val="auto"/>
          <w:kern w:val="0"/>
          <w:sz w:val="24"/>
          <w:szCs w:val="24"/>
        </w:rPr>
        <w:t>（7）</w:t>
      </w:r>
      <w:r>
        <w:rPr>
          <w:rFonts w:hint="eastAsia" w:ascii="宋体" w:hAnsi="宋体" w:cs="宋体"/>
          <w:color w:val="auto"/>
          <w:sz w:val="24"/>
          <w:szCs w:val="24"/>
        </w:rPr>
        <w:t>在货物验收时，向买方提供《货物合格证》、《货物使用说明书》等技术文件。</w:t>
      </w:r>
    </w:p>
    <w:p>
      <w:pPr>
        <w:spacing w:line="520" w:lineRule="exact"/>
        <w:ind w:firstLine="480" w:firstLineChars="200"/>
        <w:rPr>
          <w:rFonts w:ascii="宋体" w:hAnsi="宋体" w:cs="宋体"/>
          <w:color w:val="auto"/>
          <w:sz w:val="24"/>
          <w:szCs w:val="24"/>
        </w:rPr>
      </w:pPr>
      <w:r>
        <w:rPr>
          <w:rFonts w:hint="eastAsia" w:ascii="宋体" w:hAnsi="宋体" w:cs="宋体"/>
          <w:color w:val="auto"/>
          <w:kern w:val="0"/>
          <w:sz w:val="24"/>
          <w:szCs w:val="24"/>
        </w:rPr>
        <w:t>（8）</w:t>
      </w:r>
      <w:r>
        <w:rPr>
          <w:rFonts w:hint="eastAsia" w:ascii="宋体" w:hAnsi="宋体" w:cs="宋体"/>
          <w:color w:val="auto"/>
          <w:sz w:val="24"/>
          <w:szCs w:val="24"/>
        </w:rPr>
        <w:t>项目中所涉及的所有相关政府部门审批手续全部由乙方协调办理，且支付相关费用，甲方不再办理其相关手续及支付相关费用。</w:t>
      </w:r>
    </w:p>
    <w:p>
      <w:pPr>
        <w:spacing w:line="520" w:lineRule="exact"/>
        <w:ind w:firstLine="480" w:firstLineChars="200"/>
        <w:rPr>
          <w:rFonts w:ascii="宋体" w:hAnsi="宋体" w:cs="宋体"/>
          <w:color w:val="auto"/>
          <w:sz w:val="24"/>
          <w:szCs w:val="24"/>
        </w:rPr>
      </w:pPr>
      <w:r>
        <w:rPr>
          <w:rFonts w:hint="eastAsia" w:ascii="宋体" w:hAnsi="宋体" w:cs="宋体"/>
          <w:color w:val="auto"/>
          <w:kern w:val="0"/>
          <w:sz w:val="24"/>
          <w:szCs w:val="24"/>
        </w:rPr>
        <w:t>（9）</w:t>
      </w:r>
      <w:r>
        <w:rPr>
          <w:rFonts w:hint="eastAsia" w:ascii="宋体" w:hAnsi="宋体" w:cs="宋体"/>
          <w:color w:val="auto"/>
          <w:sz w:val="24"/>
          <w:szCs w:val="24"/>
        </w:rPr>
        <w:t>质量保证期内发生质量问题的，应当免费及时进行更换或维修。</w:t>
      </w:r>
    </w:p>
    <w:p>
      <w:pPr>
        <w:autoSpaceDE w:val="0"/>
        <w:autoSpaceDN w:val="0"/>
        <w:adjustRightInd w:val="0"/>
        <w:spacing w:line="520" w:lineRule="exact"/>
        <w:ind w:firstLine="482" w:firstLineChars="200"/>
        <w:outlineLvl w:val="0"/>
        <w:rPr>
          <w:rFonts w:ascii="宋体" w:hAnsi="宋体" w:cs="宋体"/>
          <w:b/>
          <w:bCs/>
          <w:color w:val="auto"/>
          <w:sz w:val="24"/>
          <w:szCs w:val="24"/>
          <w:lang w:val="zh-CN"/>
        </w:rPr>
      </w:pPr>
      <w:r>
        <w:rPr>
          <w:rFonts w:hint="eastAsia" w:ascii="宋体" w:hAnsi="宋体" w:cs="宋体"/>
          <w:b/>
          <w:bCs/>
          <w:color w:val="auto"/>
          <w:sz w:val="24"/>
          <w:szCs w:val="24"/>
        </w:rPr>
        <w:t>十一、</w:t>
      </w:r>
      <w:r>
        <w:rPr>
          <w:rFonts w:hint="eastAsia" w:ascii="宋体" w:hAnsi="宋体" w:cs="宋体"/>
          <w:b/>
          <w:bCs/>
          <w:color w:val="auto"/>
          <w:sz w:val="24"/>
          <w:szCs w:val="24"/>
          <w:lang w:val="zh-CN"/>
        </w:rPr>
        <w:t>违约责任</w:t>
      </w:r>
      <w:bookmarkEnd w:id="78"/>
      <w:bookmarkEnd w:id="79"/>
      <w:bookmarkEnd w:id="80"/>
      <w:bookmarkEnd w:id="81"/>
    </w:p>
    <w:p>
      <w:pPr>
        <w:spacing w:line="520" w:lineRule="exact"/>
        <w:ind w:firstLine="480" w:firstLineChars="200"/>
        <w:jc w:val="left"/>
        <w:rPr>
          <w:rFonts w:ascii="宋体" w:hAnsi="宋体" w:cs="宋体"/>
          <w:color w:val="auto"/>
          <w:sz w:val="24"/>
          <w:szCs w:val="24"/>
        </w:rPr>
      </w:pPr>
      <w:bookmarkStart w:id="94" w:name="_Toc497206306"/>
      <w:bookmarkStart w:id="95" w:name="_Toc497206196"/>
      <w:r>
        <w:rPr>
          <w:rFonts w:hint="eastAsia" w:ascii="宋体" w:hAnsi="宋体" w:cs="宋体"/>
          <w:color w:val="auto"/>
          <w:sz w:val="24"/>
          <w:szCs w:val="24"/>
        </w:rPr>
        <w:t>1、甲方违约责任</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（1）甲方无正当理由拒收货物（产品）的，甲方应偿付合同总价</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（2）甲方逾期支付货款的，除应及时付足货款外，应向乙方每天支付欠款总额</w:t>
      </w:r>
      <w:r>
        <w:rPr>
          <w:rFonts w:hint="eastAsia" w:ascii="宋体" w:hAnsi="宋体" w:cs="宋体"/>
          <w:color w:val="auto"/>
          <w:sz w:val="24"/>
          <w:szCs w:val="24"/>
          <w:u w:val="single"/>
        </w:rPr>
        <w:t xml:space="preserve">   </w:t>
      </w:r>
      <w:r>
        <w:rPr>
          <w:rFonts w:hint="eastAsia" w:ascii="宋体" w:hAnsi="宋体" w:cs="宋体"/>
          <w:color w:val="auto"/>
          <w:sz w:val="24"/>
          <w:szCs w:val="24"/>
        </w:rPr>
        <w:t>‰的滞纳金；但累计滞纳金总额不超过欠款总额的</w:t>
      </w:r>
      <w:r>
        <w:rPr>
          <w:rFonts w:hint="eastAsia" w:ascii="宋体" w:hAnsi="宋体" w:cs="宋体"/>
          <w:color w:val="auto"/>
          <w:sz w:val="24"/>
          <w:szCs w:val="24"/>
          <w:u w:val="single"/>
        </w:rPr>
        <w:t xml:space="preserve">  </w:t>
      </w:r>
      <w:r>
        <w:rPr>
          <w:rFonts w:hint="eastAsia" w:ascii="宋体" w:hAnsi="宋体" w:cs="宋体"/>
          <w:color w:val="auto"/>
          <w:sz w:val="24"/>
          <w:szCs w:val="24"/>
        </w:rPr>
        <w:t>%。（非因甲方原因逾期支付货款的除外）</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2、乙方违约责任</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（1）如乙方不能交付货物（产品），甲方有权扣留全部履约保证金；同时乙方应向甲方支付合同总价</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（2）乙方逾期交付符合本合同约定的货物的，每逾期1天，乙方向甲方偿付逾期交货部分货款总额的</w:t>
      </w:r>
      <w:r>
        <w:rPr>
          <w:rFonts w:hint="eastAsia" w:ascii="宋体" w:hAnsi="宋体" w:cs="宋体"/>
          <w:color w:val="auto"/>
          <w:sz w:val="24"/>
          <w:szCs w:val="24"/>
          <w:u w:val="single"/>
        </w:rPr>
        <w:t xml:space="preserve">  </w:t>
      </w:r>
      <w:r>
        <w:rPr>
          <w:rFonts w:hint="eastAsia" w:ascii="宋体" w:hAnsi="宋体" w:cs="宋体"/>
          <w:color w:val="auto"/>
          <w:sz w:val="24"/>
          <w:szCs w:val="24"/>
        </w:rPr>
        <w:t>‰的滞纳金。如乙方逾期交货达</w:t>
      </w:r>
      <w:r>
        <w:rPr>
          <w:rFonts w:hint="eastAsia" w:ascii="宋体" w:hAnsi="宋体" w:cs="宋体"/>
          <w:color w:val="auto"/>
          <w:sz w:val="24"/>
          <w:szCs w:val="24"/>
          <w:u w:val="single"/>
        </w:rPr>
        <w:t xml:space="preserve">   </w:t>
      </w:r>
      <w:r>
        <w:rPr>
          <w:rFonts w:hint="eastAsia" w:ascii="宋体" w:hAnsi="宋体" w:cs="宋体"/>
          <w:color w:val="auto"/>
          <w:sz w:val="24"/>
          <w:szCs w:val="24"/>
        </w:rPr>
        <w:t>天，甲方有权解除合同，解除合同的通知自到达乙方时生效。合同因乙方违约被解除的，乙方应向甲方支付合同总价</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 xml:space="preserve"> 　（3）乙方所交付的货物（产品）品种、重量、规格、技术参数等不符合合同约定的，甲方有权拒收。甲方拒收的，乙方应向甲方支付货款总额</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（4）乙方货物（产品）经甲方送交具有法定资格条件的质量技术监督机构检测后，如检测结果认定货物质量不符合本合同规定标准的，则视为乙方没有按时交货而违约，乙方须在</w:t>
      </w:r>
      <w:r>
        <w:rPr>
          <w:rFonts w:hint="eastAsia" w:ascii="宋体" w:hAnsi="宋体" w:cs="宋体"/>
          <w:color w:val="auto"/>
          <w:sz w:val="24"/>
          <w:szCs w:val="24"/>
          <w:u w:val="single"/>
        </w:rPr>
        <w:t xml:space="preserve">   </w:t>
      </w:r>
      <w:r>
        <w:rPr>
          <w:rFonts w:hint="eastAsia" w:ascii="宋体" w:hAnsi="宋体" w:cs="宋体"/>
          <w:color w:val="auto"/>
          <w:sz w:val="24"/>
          <w:szCs w:val="24"/>
        </w:rPr>
        <w:t>天内无条件更换合格的货物（产品），如逾期不能更换合格的货物（产品），甲方有权终止本合同，乙方应另向甲方支付货款总额的</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　　（5）在乙方承诺的或国家规定的质量保证期内（取两者中最长的期限），如经乙方两次维修或更换，货物（产品）仍不能达到合同约定的质量标准，甲方有权退货，乙方应退回全部货款，并按第3款处理，同时，乙方还须赔偿甲方因此遭受的损失。</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　　（6）乙方未按本合同第十条的规定向甲方交付履约保证金的，应按应交付履约保证金的</w:t>
      </w:r>
      <w:r>
        <w:rPr>
          <w:rFonts w:hint="eastAsia" w:ascii="宋体" w:hAnsi="宋体" w:cs="宋体"/>
          <w:color w:val="auto"/>
          <w:sz w:val="24"/>
          <w:szCs w:val="24"/>
          <w:u w:val="single"/>
        </w:rPr>
        <w:t xml:space="preserve">   </w:t>
      </w:r>
      <w:r>
        <w:rPr>
          <w:rFonts w:hint="eastAsia" w:ascii="宋体" w:hAnsi="宋体" w:cs="宋体"/>
          <w:color w:val="auto"/>
          <w:sz w:val="24"/>
          <w:szCs w:val="24"/>
        </w:rPr>
        <w:t>%向甲方支付违约金，该违约金的支付不影响乙方应承担的其他违约责任。</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　　（7）乙方未按本合同的规定和“服务承诺”提供伴随服务/售后服务的，应按合同总价款的</w:t>
      </w:r>
      <w:r>
        <w:rPr>
          <w:rFonts w:hint="eastAsia" w:ascii="宋体" w:hAnsi="宋体" w:cs="宋体"/>
          <w:color w:val="auto"/>
          <w:sz w:val="24"/>
          <w:szCs w:val="24"/>
          <w:u w:val="single"/>
        </w:rPr>
        <w:t xml:space="preserve">     </w:t>
      </w:r>
      <w:r>
        <w:rPr>
          <w:rFonts w:hint="eastAsia" w:ascii="宋体" w:hAnsi="宋体" w:cs="宋体"/>
          <w:color w:val="auto"/>
          <w:sz w:val="24"/>
          <w:szCs w:val="24"/>
        </w:rPr>
        <w:t>%向甲方承担违约责任。</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（8）乙方在承担上述1-7款一项或多项违约责任后，仍应继续履行合同规定的义务（甲方解除合同的除外）。甲方未能及时追究乙方的任何一项违约责任并不表明甲方放弃追究乙方该项或其他违约责任。</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（9）乙方偿付的违约金不足以弥补甲方损失的，还应按甲方损失尚未弥补的部分，支付赔偿金给甲方。</w:t>
      </w:r>
    </w:p>
    <w:p>
      <w:pPr>
        <w:spacing w:line="520" w:lineRule="exact"/>
        <w:ind w:firstLine="482" w:firstLineChars="200"/>
        <w:jc w:val="left"/>
        <w:rPr>
          <w:rFonts w:ascii="宋体" w:hAnsi="宋体" w:cs="宋体"/>
          <w:b/>
          <w:color w:val="auto"/>
          <w:sz w:val="24"/>
          <w:szCs w:val="24"/>
        </w:rPr>
      </w:pPr>
      <w:r>
        <w:rPr>
          <w:rFonts w:hint="eastAsia" w:ascii="宋体" w:hAnsi="宋体" w:cs="宋体"/>
          <w:b/>
          <w:color w:val="auto"/>
          <w:sz w:val="24"/>
          <w:szCs w:val="24"/>
        </w:rPr>
        <w:t>十二、合同的变更和终止</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除《政府采购法》第49条、第50条第二款规定的情形外，本合同一经签订，甲乙双方不得擅自变更、中止或终止合同。</w:t>
      </w:r>
    </w:p>
    <w:p>
      <w:pPr>
        <w:spacing w:line="520" w:lineRule="exact"/>
        <w:ind w:firstLine="482" w:firstLineChars="200"/>
        <w:jc w:val="left"/>
        <w:rPr>
          <w:rFonts w:ascii="宋体" w:hAnsi="宋体" w:cs="宋体"/>
          <w:b/>
          <w:color w:val="auto"/>
          <w:sz w:val="24"/>
          <w:szCs w:val="24"/>
        </w:rPr>
      </w:pPr>
      <w:r>
        <w:rPr>
          <w:rFonts w:hint="eastAsia" w:ascii="宋体" w:hAnsi="宋体" w:cs="宋体"/>
          <w:b/>
          <w:color w:val="auto"/>
          <w:sz w:val="24"/>
          <w:szCs w:val="24"/>
        </w:rPr>
        <w:t>十三、争议的解决</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1、因货物（产品）的质量问题发生争议，由质量技术监督部门或其指定的质量鉴定机构进行质量鉴定。货物符合标准的，鉴定费由甲方承担；货物（产品）不符合质量标准的，鉴定费由乙方承担。</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2、因履行本合同引起的或与本合同有关的争议，甲、乙双方应首先通过友好协商解决，如果协商不能解决争议，则采取以下第</w:t>
      </w:r>
      <w:r>
        <w:rPr>
          <w:rFonts w:hint="eastAsia" w:ascii="宋体" w:hAnsi="宋体" w:cs="宋体"/>
          <w:color w:val="auto"/>
          <w:sz w:val="24"/>
          <w:szCs w:val="24"/>
          <w:u w:val="single"/>
        </w:rPr>
        <w:t xml:space="preserve">    </w:t>
      </w:r>
      <w:r>
        <w:rPr>
          <w:rFonts w:hint="eastAsia" w:ascii="宋体" w:hAnsi="宋体" w:cs="宋体"/>
          <w:color w:val="auto"/>
          <w:sz w:val="24"/>
          <w:szCs w:val="24"/>
        </w:rPr>
        <w:t>种方式解决争议：</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（1）向甲方所在地有管辖权的人民法院提起诉讼；</w:t>
      </w:r>
    </w:p>
    <w:p>
      <w:pPr>
        <w:spacing w:line="52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（2）向</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仲裁委员会按其仲裁规则申请仲裁。</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3、在诉讼或仲裁期间，本合同应继续履行。</w:t>
      </w:r>
    </w:p>
    <w:p>
      <w:pPr>
        <w:autoSpaceDE w:val="0"/>
        <w:autoSpaceDN w:val="0"/>
        <w:adjustRightInd w:val="0"/>
        <w:spacing w:line="520" w:lineRule="exact"/>
        <w:ind w:firstLine="482" w:firstLineChars="200"/>
        <w:outlineLvl w:val="0"/>
        <w:rPr>
          <w:rFonts w:ascii="宋体" w:hAnsi="宋体" w:cs="宋体"/>
          <w:b/>
          <w:bCs/>
          <w:color w:val="auto"/>
          <w:sz w:val="24"/>
          <w:szCs w:val="24"/>
          <w:lang w:val="zh-CN"/>
        </w:rPr>
      </w:pPr>
      <w:bookmarkStart w:id="96" w:name="_Toc27594"/>
      <w:bookmarkStart w:id="97" w:name="_Toc3203"/>
      <w:r>
        <w:rPr>
          <w:rFonts w:hint="eastAsia" w:ascii="宋体" w:hAnsi="宋体" w:cs="宋体"/>
          <w:b/>
          <w:bCs/>
          <w:color w:val="auto"/>
          <w:sz w:val="24"/>
          <w:szCs w:val="24"/>
          <w:lang w:val="zh-CN"/>
        </w:rPr>
        <w:t>十</w:t>
      </w:r>
      <w:r>
        <w:rPr>
          <w:rFonts w:hint="eastAsia" w:ascii="宋体" w:hAnsi="宋体" w:cs="宋体"/>
          <w:b/>
          <w:bCs/>
          <w:color w:val="auto"/>
          <w:sz w:val="24"/>
          <w:szCs w:val="24"/>
        </w:rPr>
        <w:t>四</w:t>
      </w:r>
      <w:r>
        <w:rPr>
          <w:rFonts w:hint="eastAsia" w:ascii="宋体" w:hAnsi="宋体" w:cs="宋体"/>
          <w:b/>
          <w:bCs/>
          <w:color w:val="auto"/>
          <w:sz w:val="24"/>
          <w:szCs w:val="24"/>
          <w:lang w:val="zh-CN"/>
        </w:rPr>
        <w:t>、合同组成</w:t>
      </w:r>
      <w:bookmarkEnd w:id="94"/>
      <w:bookmarkEnd w:id="95"/>
      <w:bookmarkEnd w:id="96"/>
      <w:bookmarkEnd w:id="97"/>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1、成交通知书</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2、合同文件</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3、国家相关规范及标准</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4、供货技术规格及参数表</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5、竞争性谈判采购文件</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6、响应文件</w:t>
      </w:r>
    </w:p>
    <w:p>
      <w:pPr>
        <w:autoSpaceDE w:val="0"/>
        <w:autoSpaceDN w:val="0"/>
        <w:adjustRightInd w:val="0"/>
        <w:spacing w:line="520" w:lineRule="exact"/>
        <w:ind w:firstLine="482" w:firstLineChars="200"/>
        <w:outlineLvl w:val="0"/>
        <w:rPr>
          <w:rFonts w:ascii="宋体" w:hAnsi="宋体" w:cs="宋体"/>
          <w:b/>
          <w:bCs/>
          <w:color w:val="auto"/>
          <w:sz w:val="24"/>
          <w:szCs w:val="24"/>
        </w:rPr>
      </w:pPr>
      <w:bookmarkStart w:id="98" w:name="_Toc497206197"/>
      <w:bookmarkStart w:id="99" w:name="_Toc893"/>
      <w:bookmarkStart w:id="100" w:name="_Toc497206307"/>
      <w:bookmarkStart w:id="101" w:name="_Toc10604"/>
      <w:r>
        <w:rPr>
          <w:rFonts w:hint="eastAsia" w:ascii="宋体" w:hAnsi="宋体" w:cs="宋体"/>
          <w:b/>
          <w:bCs/>
          <w:color w:val="auto"/>
          <w:sz w:val="24"/>
          <w:szCs w:val="24"/>
          <w:lang w:val="zh-CN"/>
        </w:rPr>
        <w:t>十</w:t>
      </w:r>
      <w:r>
        <w:rPr>
          <w:rFonts w:hint="eastAsia" w:ascii="宋体" w:hAnsi="宋体" w:cs="宋体"/>
          <w:b/>
          <w:bCs/>
          <w:color w:val="auto"/>
          <w:sz w:val="24"/>
          <w:szCs w:val="24"/>
        </w:rPr>
        <w:t>五</w:t>
      </w:r>
      <w:r>
        <w:rPr>
          <w:rFonts w:hint="eastAsia" w:ascii="宋体" w:hAnsi="宋体" w:cs="宋体"/>
          <w:b/>
          <w:bCs/>
          <w:color w:val="auto"/>
          <w:sz w:val="24"/>
          <w:szCs w:val="24"/>
          <w:lang w:val="zh-CN"/>
        </w:rPr>
        <w:t>、合同生效及其它</w:t>
      </w:r>
      <w:bookmarkEnd w:id="98"/>
      <w:bookmarkEnd w:id="99"/>
      <w:bookmarkEnd w:id="100"/>
      <w:bookmarkEnd w:id="101"/>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1、合同未尽事宜、由甲、乙双方协商，作为合同补充，与原合同具有同等法律效力。</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2、本合同正本一式</w:t>
      </w:r>
      <w:r>
        <w:rPr>
          <w:rFonts w:hint="eastAsia" w:ascii="宋体" w:hAnsi="宋体" w:cs="宋体"/>
          <w:color w:val="auto"/>
          <w:sz w:val="24"/>
          <w:szCs w:val="24"/>
          <w:u w:val="single"/>
        </w:rPr>
        <w:t xml:space="preserve">   </w:t>
      </w:r>
      <w:r>
        <w:rPr>
          <w:rFonts w:hint="eastAsia" w:ascii="宋体" w:hAnsi="宋体" w:cs="宋体"/>
          <w:color w:val="auto"/>
          <w:sz w:val="24"/>
          <w:szCs w:val="24"/>
        </w:rPr>
        <w:t>份，甲方、乙方双方分别执</w:t>
      </w:r>
      <w:r>
        <w:rPr>
          <w:rFonts w:hint="eastAsia" w:ascii="宋体" w:hAnsi="宋体" w:cs="宋体"/>
          <w:color w:val="auto"/>
          <w:sz w:val="24"/>
          <w:szCs w:val="24"/>
          <w:u w:val="single"/>
        </w:rPr>
        <w:t xml:space="preserve">   </w:t>
      </w:r>
      <w:r>
        <w:rPr>
          <w:rFonts w:hint="eastAsia" w:ascii="宋体" w:hAnsi="宋体" w:cs="宋体"/>
          <w:color w:val="auto"/>
          <w:sz w:val="24"/>
          <w:szCs w:val="24"/>
        </w:rPr>
        <w:t>份，备案</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3、合同经甲乙双方盖章、签字后生效，合同签订地点为</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adjustRightInd w:val="0"/>
        <w:snapToGrid w:val="0"/>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4、生效时间：    年   月  日</w:t>
      </w:r>
    </w:p>
    <w:p>
      <w:pPr>
        <w:adjustRightInd w:val="0"/>
        <w:snapToGrid w:val="0"/>
        <w:spacing w:line="520" w:lineRule="exact"/>
        <w:ind w:firstLine="480" w:firstLineChars="200"/>
        <w:rPr>
          <w:rFonts w:ascii="宋体" w:hAnsi="宋体" w:cs="宋体"/>
          <w:color w:val="auto"/>
          <w:sz w:val="24"/>
          <w:szCs w:val="24"/>
        </w:rPr>
      </w:pPr>
    </w:p>
    <w:tbl>
      <w:tblPr>
        <w:tblStyle w:val="36"/>
        <w:tblW w:w="9286" w:type="dxa"/>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甲方名称（盖章）:</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地址：</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代表人（签字）：</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电话：</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开户银行：</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帐号：</w:t>
            </w:r>
          </w:p>
        </w:tc>
        <w:tc>
          <w:tcPr>
            <w:tcW w:w="4643" w:type="dxa"/>
          </w:tcPr>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乙方名称（盖章）:</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地址：</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代表人（签字）：</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电话：</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开户银行：</w:t>
            </w:r>
          </w:p>
          <w:p>
            <w:pPr>
              <w:adjustRightInd w:val="0"/>
              <w:snapToGrid w:val="0"/>
              <w:spacing w:line="520" w:lineRule="exact"/>
              <w:ind w:firstLine="645"/>
              <w:rPr>
                <w:rFonts w:ascii="宋体" w:hAnsi="宋体" w:cs="宋体"/>
                <w:color w:val="auto"/>
                <w:kern w:val="0"/>
                <w:sz w:val="24"/>
                <w:szCs w:val="24"/>
              </w:rPr>
            </w:pPr>
            <w:r>
              <w:rPr>
                <w:rFonts w:hint="eastAsia" w:ascii="宋体" w:hAnsi="宋体" w:cs="宋体"/>
                <w:color w:val="auto"/>
                <w:kern w:val="0"/>
                <w:sz w:val="24"/>
                <w:szCs w:val="24"/>
              </w:rPr>
              <w:t>帐号：</w:t>
            </w:r>
          </w:p>
        </w:tc>
      </w:tr>
    </w:tbl>
    <w:p>
      <w:pPr>
        <w:pStyle w:val="17"/>
        <w:spacing w:line="520" w:lineRule="exact"/>
        <w:rPr>
          <w:rFonts w:ascii="宋体" w:hAnsi="宋体" w:cs="宋体"/>
          <w:bCs/>
          <w:color w:val="auto"/>
          <w:sz w:val="24"/>
        </w:rPr>
      </w:pPr>
    </w:p>
    <w:p>
      <w:pPr>
        <w:pStyle w:val="30"/>
        <w:rPr>
          <w:rFonts w:ascii="宋体" w:hAnsi="宋体" w:eastAsia="宋体" w:cs="宋体"/>
          <w:bCs/>
          <w:color w:val="auto"/>
          <w:sz w:val="24"/>
        </w:rPr>
      </w:pPr>
    </w:p>
    <w:p>
      <w:pPr>
        <w:pStyle w:val="30"/>
        <w:rPr>
          <w:rFonts w:ascii="宋体" w:hAnsi="宋体" w:eastAsia="宋体" w:cs="宋体"/>
          <w:bCs/>
          <w:color w:val="auto"/>
          <w:sz w:val="24"/>
        </w:rPr>
      </w:pPr>
    </w:p>
    <w:p>
      <w:pPr>
        <w:pStyle w:val="17"/>
        <w:rPr>
          <w:rFonts w:ascii="宋体" w:hAnsi="宋体" w:cs="宋体"/>
          <w:bCs/>
          <w:color w:val="auto"/>
          <w:sz w:val="24"/>
        </w:rPr>
      </w:pPr>
    </w:p>
    <w:p>
      <w:pPr>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bookmarkEnd w:id="34"/>
    <w:bookmarkEnd w:id="35"/>
    <w:p>
      <w:pPr>
        <w:pStyle w:val="3"/>
        <w:rPr>
          <w:rFonts w:ascii="宋体" w:hAnsi="宋体" w:eastAsia="宋体" w:cs="宋体"/>
          <w:b/>
          <w:bCs/>
          <w:color w:val="auto"/>
          <w:sz w:val="32"/>
          <w:szCs w:val="32"/>
          <w:lang w:val="zh-CN"/>
        </w:rPr>
      </w:pPr>
      <w:bookmarkStart w:id="102" w:name="_Toc12872"/>
      <w:r>
        <w:rPr>
          <w:rFonts w:hint="eastAsia" w:ascii="宋体" w:hAnsi="宋体" w:eastAsia="宋体" w:cs="宋体"/>
          <w:b/>
          <w:bCs/>
          <w:color w:val="auto"/>
          <w:sz w:val="32"/>
          <w:szCs w:val="32"/>
          <w:lang w:val="zh-CN"/>
        </w:rPr>
        <w:t>第</w:t>
      </w:r>
      <w:r>
        <w:rPr>
          <w:rFonts w:hint="eastAsia" w:ascii="宋体" w:hAnsi="宋体" w:eastAsia="宋体" w:cs="宋体"/>
          <w:b/>
          <w:bCs/>
          <w:color w:val="auto"/>
          <w:sz w:val="32"/>
          <w:szCs w:val="32"/>
        </w:rPr>
        <w:t>八</w:t>
      </w:r>
      <w:r>
        <w:rPr>
          <w:rFonts w:hint="eastAsia" w:ascii="宋体" w:hAnsi="宋体" w:eastAsia="宋体" w:cs="宋体"/>
          <w:b/>
          <w:bCs/>
          <w:color w:val="auto"/>
          <w:sz w:val="32"/>
          <w:szCs w:val="32"/>
          <w:lang w:val="zh-CN"/>
        </w:rPr>
        <w:t>章  响应文件格式</w:t>
      </w:r>
      <w:bookmarkEnd w:id="102"/>
    </w:p>
    <w:p>
      <w:pPr>
        <w:autoSpaceDE w:val="0"/>
        <w:autoSpaceDN w:val="0"/>
        <w:adjustRightInd w:val="0"/>
        <w:snapToGrid w:val="0"/>
        <w:spacing w:line="360" w:lineRule="auto"/>
        <w:jc w:val="right"/>
        <w:rPr>
          <w:rFonts w:ascii="宋体" w:hAnsi="宋体" w:cs="宋体"/>
          <w:b/>
          <w:bCs/>
          <w:color w:val="auto"/>
          <w:sz w:val="28"/>
          <w:szCs w:val="28"/>
          <w:lang w:val="zh-CN"/>
        </w:rPr>
      </w:pPr>
    </w:p>
    <w:p>
      <w:pPr>
        <w:spacing w:line="560" w:lineRule="exact"/>
        <w:ind w:firstLine="470" w:firstLineChars="196"/>
        <w:rPr>
          <w:rFonts w:ascii="宋体" w:hAnsi="宋体" w:cs="宋体"/>
          <w:color w:val="auto"/>
          <w:sz w:val="24"/>
          <w:szCs w:val="24"/>
        </w:rPr>
      </w:pPr>
      <w:r>
        <w:rPr>
          <w:rFonts w:hint="eastAsia" w:ascii="宋体" w:hAnsi="宋体" w:cs="宋体"/>
          <w:color w:val="auto"/>
          <w:sz w:val="24"/>
          <w:szCs w:val="24"/>
        </w:rPr>
        <w:t>竞争性谈判响应文件格式是谈判供应商的部分谈判响应文件格式，谈判供应商应按照这些格式编制谈判响应文件。编制谈判响应文件前，请详细阅读竞争性谈判采购文件，理解文件中的每一项要求，逐一做出实质性响应，认为有必要，可做补充说明。</w:t>
      </w:r>
    </w:p>
    <w:p>
      <w:pPr>
        <w:rPr>
          <w:rFonts w:ascii="宋体" w:hAnsi="宋体" w:cs="宋体"/>
          <w:color w:val="auto"/>
          <w:sz w:val="24"/>
          <w:szCs w:val="24"/>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spacing w:line="560" w:lineRule="exact"/>
        <w:ind w:firstLine="472" w:firstLineChars="196"/>
        <w:rPr>
          <w:rFonts w:ascii="宋体" w:hAnsi="宋体" w:cs="宋体"/>
          <w:b/>
          <w:bCs/>
          <w:color w:val="auto"/>
          <w:sz w:val="24"/>
          <w:szCs w:val="24"/>
          <w:lang w:val="zh-CN"/>
        </w:rPr>
      </w:pPr>
      <w:r>
        <w:rPr>
          <w:rFonts w:hint="eastAsia" w:ascii="宋体" w:hAnsi="宋体" w:cs="宋体"/>
          <w:b/>
          <w:bCs/>
          <w:color w:val="auto"/>
          <w:sz w:val="24"/>
          <w:szCs w:val="24"/>
          <w:lang w:val="zh-CN"/>
        </w:rPr>
        <w:t>注:非独立企业法人参与本次谈判的，竞争性谈判响应文件内涉及到法人签字盖章的部分均可由负责人签字盖章，授权书格式参照法人代表授权书。</w:t>
      </w: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pStyle w:val="6"/>
        <w:rPr>
          <w:color w:val="auto"/>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pStyle w:val="17"/>
        <w:rPr>
          <w:rFonts w:ascii="宋体" w:hAnsi="宋体" w:cs="宋体"/>
          <w:b/>
          <w:bCs/>
          <w:color w:val="auto"/>
          <w:szCs w:val="28"/>
          <w:lang w:val="zh-CN"/>
        </w:rPr>
      </w:pPr>
    </w:p>
    <w:p>
      <w:pPr>
        <w:pStyle w:val="17"/>
        <w:rPr>
          <w:rFonts w:ascii="宋体" w:hAnsi="宋体" w:cs="宋体"/>
          <w:b/>
          <w:bCs/>
          <w:color w:val="auto"/>
          <w:szCs w:val="28"/>
          <w:lang w:val="zh-CN"/>
        </w:rPr>
      </w:pPr>
    </w:p>
    <w:p>
      <w:pPr>
        <w:rPr>
          <w:color w:val="auto"/>
          <w:lang w:val="zh-CN"/>
        </w:rPr>
      </w:pPr>
    </w:p>
    <w:p>
      <w:pPr>
        <w:autoSpaceDE w:val="0"/>
        <w:autoSpaceDN w:val="0"/>
        <w:adjustRightInd w:val="0"/>
        <w:snapToGrid w:val="0"/>
        <w:spacing w:line="360" w:lineRule="auto"/>
        <w:jc w:val="right"/>
        <w:rPr>
          <w:rFonts w:ascii="宋体" w:hAnsi="宋体" w:cs="宋体"/>
          <w:b/>
          <w:bCs/>
          <w:color w:val="auto"/>
          <w:sz w:val="36"/>
          <w:szCs w:val="36"/>
          <w:lang w:val="zh-CN"/>
        </w:rPr>
      </w:pPr>
      <w:r>
        <w:rPr>
          <w:rFonts w:hint="eastAsia" w:ascii="宋体" w:hAnsi="宋体" w:cs="宋体"/>
          <w:b/>
          <w:bCs/>
          <w:color w:val="auto"/>
          <w:sz w:val="36"/>
          <w:szCs w:val="36"/>
          <w:lang w:val="zh-CN"/>
        </w:rPr>
        <w:t>正本/副本</w:t>
      </w:r>
    </w:p>
    <w:p>
      <w:pPr>
        <w:pStyle w:val="17"/>
        <w:rPr>
          <w:rFonts w:ascii="宋体" w:hAnsi="宋体" w:cs="宋体"/>
          <w:color w:val="auto"/>
          <w:lang w:val="zh-CN"/>
        </w:rPr>
      </w:pPr>
    </w:p>
    <w:p>
      <w:pPr>
        <w:autoSpaceDE w:val="0"/>
        <w:autoSpaceDN w:val="0"/>
        <w:adjustRightInd w:val="0"/>
        <w:snapToGrid w:val="0"/>
        <w:spacing w:line="360" w:lineRule="auto"/>
        <w:jc w:val="left"/>
        <w:rPr>
          <w:rFonts w:ascii="宋体" w:hAnsi="宋体" w:cs="宋体"/>
          <w:b/>
          <w:bCs/>
          <w:color w:val="auto"/>
          <w:sz w:val="32"/>
          <w:szCs w:val="32"/>
          <w:lang w:val="zh-CN"/>
        </w:rPr>
      </w:pPr>
      <w:r>
        <w:rPr>
          <w:rFonts w:hint="eastAsia" w:ascii="宋体" w:hAnsi="宋体" w:cs="宋体"/>
          <w:b/>
          <w:bCs/>
          <w:color w:val="auto"/>
          <w:sz w:val="32"/>
          <w:szCs w:val="32"/>
          <w:lang w:val="zh-CN"/>
        </w:rPr>
        <w:t xml:space="preserve">政府采购项目                      </w:t>
      </w:r>
    </w:p>
    <w:p>
      <w:pPr>
        <w:spacing w:line="100" w:lineRule="atLeast"/>
        <w:rPr>
          <w:rFonts w:ascii="宋体" w:hAnsi="宋体" w:cs="宋体"/>
          <w:b/>
          <w:bCs/>
          <w:color w:val="auto"/>
          <w:sz w:val="28"/>
          <w:szCs w:val="28"/>
        </w:rPr>
      </w:pPr>
    </w:p>
    <w:p>
      <w:pPr>
        <w:spacing w:line="100" w:lineRule="atLeast"/>
        <w:rPr>
          <w:rFonts w:ascii="宋体" w:hAnsi="宋体" w:cs="宋体"/>
          <w:b/>
          <w:color w:val="auto"/>
          <w:sz w:val="28"/>
          <w:szCs w:val="28"/>
        </w:rPr>
      </w:pPr>
      <w:r>
        <w:rPr>
          <w:rFonts w:hint="eastAsia" w:ascii="宋体" w:hAnsi="宋体" w:cs="宋体"/>
          <w:b/>
          <w:bCs/>
          <w:color w:val="auto"/>
          <w:sz w:val="28"/>
          <w:szCs w:val="28"/>
        </w:rPr>
        <w:t>项目编号：SSJY-CG（G）-2022008</w:t>
      </w:r>
    </w:p>
    <w:p>
      <w:pPr>
        <w:spacing w:line="100" w:lineRule="atLeast"/>
        <w:rPr>
          <w:rFonts w:ascii="宋体" w:hAnsi="宋体" w:cs="宋体"/>
          <w:b/>
          <w:color w:val="auto"/>
          <w:sz w:val="28"/>
          <w:szCs w:val="28"/>
          <w:u w:val="single"/>
        </w:rPr>
      </w:pPr>
    </w:p>
    <w:p>
      <w:pPr>
        <w:pStyle w:val="6"/>
        <w:jc w:val="both"/>
        <w:rPr>
          <w:rFonts w:ascii="宋体" w:hAnsi="宋体" w:eastAsia="宋体" w:cs="宋体"/>
          <w:color w:val="auto"/>
        </w:rPr>
      </w:pPr>
    </w:p>
    <w:p>
      <w:pPr>
        <w:rPr>
          <w:rFonts w:ascii="宋体" w:hAnsi="宋体" w:cs="宋体"/>
          <w:color w:val="auto"/>
        </w:rPr>
      </w:pPr>
    </w:p>
    <w:p>
      <w:pPr>
        <w:rPr>
          <w:rFonts w:ascii="宋体" w:hAnsi="宋体" w:cs="宋体"/>
          <w:color w:val="auto"/>
          <w:sz w:val="32"/>
          <w:szCs w:val="28"/>
        </w:rPr>
      </w:pPr>
    </w:p>
    <w:p>
      <w:pPr>
        <w:jc w:val="center"/>
        <w:rPr>
          <w:rFonts w:ascii="宋体" w:hAnsi="宋体" w:cs="宋体"/>
          <w:b/>
          <w:bCs/>
          <w:color w:val="auto"/>
          <w:sz w:val="56"/>
          <w:szCs w:val="52"/>
        </w:rPr>
      </w:pPr>
      <w:r>
        <w:rPr>
          <w:rFonts w:hint="eastAsia" w:ascii="宋体" w:hAnsi="宋体" w:cs="宋体"/>
          <w:b/>
          <w:bCs/>
          <w:color w:val="auto"/>
          <w:sz w:val="56"/>
          <w:szCs w:val="52"/>
        </w:rPr>
        <w:t>潼关县教育科技局岳渎小学信息化</w:t>
      </w:r>
    </w:p>
    <w:p>
      <w:pPr>
        <w:jc w:val="center"/>
        <w:rPr>
          <w:rFonts w:ascii="宋体" w:hAnsi="宋体" w:cs="宋体"/>
          <w:b/>
          <w:bCs/>
          <w:color w:val="auto"/>
          <w:sz w:val="56"/>
          <w:szCs w:val="52"/>
        </w:rPr>
      </w:pPr>
      <w:r>
        <w:rPr>
          <w:rFonts w:hint="eastAsia" w:ascii="宋体" w:hAnsi="宋体" w:cs="宋体"/>
          <w:b/>
          <w:bCs/>
          <w:color w:val="auto"/>
          <w:sz w:val="56"/>
          <w:szCs w:val="52"/>
        </w:rPr>
        <w:t>建设项目</w:t>
      </w:r>
    </w:p>
    <w:p>
      <w:pPr>
        <w:rPr>
          <w:rFonts w:ascii="宋体" w:hAnsi="宋体" w:cs="宋体"/>
          <w:b/>
          <w:bCs/>
          <w:color w:val="auto"/>
          <w:sz w:val="28"/>
          <w:szCs w:val="28"/>
        </w:rPr>
      </w:pPr>
    </w:p>
    <w:p>
      <w:pPr>
        <w:pStyle w:val="6"/>
        <w:rPr>
          <w:rFonts w:ascii="宋体" w:hAnsi="宋体" w:eastAsia="宋体" w:cs="宋体"/>
          <w:color w:val="auto"/>
        </w:rPr>
      </w:pPr>
    </w:p>
    <w:p>
      <w:pPr>
        <w:rPr>
          <w:color w:val="auto"/>
        </w:rPr>
      </w:pPr>
    </w:p>
    <w:p>
      <w:pPr>
        <w:rPr>
          <w:rFonts w:ascii="宋体" w:hAnsi="宋体" w:cs="宋体"/>
          <w:color w:val="auto"/>
        </w:rPr>
      </w:pPr>
    </w:p>
    <w:p>
      <w:pPr>
        <w:tabs>
          <w:tab w:val="left" w:pos="5670"/>
        </w:tabs>
        <w:autoSpaceDE w:val="0"/>
        <w:autoSpaceDN w:val="0"/>
        <w:adjustRightInd w:val="0"/>
        <w:snapToGrid w:val="0"/>
        <w:spacing w:line="360" w:lineRule="auto"/>
        <w:jc w:val="center"/>
        <w:rPr>
          <w:rFonts w:ascii="宋体" w:hAnsi="宋体" w:cs="宋体"/>
          <w:b/>
          <w:bCs/>
          <w:color w:val="auto"/>
          <w:sz w:val="52"/>
          <w:szCs w:val="52"/>
          <w:lang w:val="zh-CN"/>
        </w:rPr>
      </w:pPr>
      <w:r>
        <w:rPr>
          <w:rFonts w:hint="eastAsia" w:ascii="宋体" w:hAnsi="宋体" w:cs="宋体"/>
          <w:b/>
          <w:bCs/>
          <w:color w:val="auto"/>
          <w:sz w:val="52"/>
          <w:szCs w:val="52"/>
          <w:lang w:val="zh-CN"/>
        </w:rPr>
        <w:t>竞争性谈判响应文件</w:t>
      </w:r>
    </w:p>
    <w:p>
      <w:pPr>
        <w:tabs>
          <w:tab w:val="left" w:pos="5670"/>
        </w:tabs>
        <w:autoSpaceDE w:val="0"/>
        <w:autoSpaceDN w:val="0"/>
        <w:adjustRightInd w:val="0"/>
        <w:snapToGrid w:val="0"/>
        <w:spacing w:line="360" w:lineRule="auto"/>
        <w:rPr>
          <w:rFonts w:ascii="宋体" w:hAnsi="宋体" w:cs="宋体"/>
          <w:color w:val="auto"/>
          <w:sz w:val="28"/>
          <w:szCs w:val="28"/>
        </w:rPr>
      </w:pPr>
    </w:p>
    <w:p>
      <w:pPr>
        <w:pStyle w:val="17"/>
        <w:rPr>
          <w:rFonts w:ascii="宋体" w:hAnsi="宋体" w:cs="宋体"/>
          <w:color w:val="auto"/>
        </w:rPr>
      </w:pPr>
    </w:p>
    <w:p>
      <w:pPr>
        <w:tabs>
          <w:tab w:val="left" w:pos="5670"/>
        </w:tabs>
        <w:autoSpaceDE w:val="0"/>
        <w:autoSpaceDN w:val="0"/>
        <w:adjustRightInd w:val="0"/>
        <w:snapToGrid w:val="0"/>
        <w:spacing w:line="360" w:lineRule="auto"/>
        <w:jc w:val="center"/>
        <w:rPr>
          <w:rFonts w:ascii="宋体" w:hAnsi="宋体" w:cs="宋体"/>
          <w:color w:val="auto"/>
          <w:sz w:val="28"/>
          <w:szCs w:val="28"/>
        </w:rPr>
      </w:pPr>
    </w:p>
    <w:p>
      <w:pPr>
        <w:autoSpaceDE w:val="0"/>
        <w:autoSpaceDN w:val="0"/>
        <w:adjustRightInd w:val="0"/>
        <w:snapToGrid w:val="0"/>
        <w:spacing w:line="360" w:lineRule="auto"/>
        <w:rPr>
          <w:rFonts w:ascii="宋体" w:hAnsi="宋体" w:cs="宋体"/>
          <w:color w:val="auto"/>
          <w:sz w:val="28"/>
          <w:szCs w:val="28"/>
          <w:u w:val="single"/>
        </w:rPr>
      </w:pPr>
    </w:p>
    <w:p>
      <w:pPr>
        <w:autoSpaceDE w:val="0"/>
        <w:autoSpaceDN w:val="0"/>
        <w:adjustRightInd w:val="0"/>
        <w:snapToGrid w:val="0"/>
        <w:spacing w:line="360" w:lineRule="auto"/>
        <w:ind w:firstLine="869" w:firstLineChars="309"/>
        <w:rPr>
          <w:rFonts w:ascii="宋体" w:hAnsi="宋体" w:cs="宋体"/>
          <w:b/>
          <w:bCs/>
          <w:color w:val="auto"/>
          <w:sz w:val="28"/>
          <w:szCs w:val="28"/>
          <w:u w:val="single"/>
        </w:rPr>
      </w:pPr>
      <w:r>
        <w:rPr>
          <w:rFonts w:hint="eastAsia" w:ascii="宋体" w:hAnsi="宋体" w:cs="宋体"/>
          <w:b/>
          <w:bCs/>
          <w:color w:val="auto"/>
          <w:sz w:val="28"/>
          <w:szCs w:val="28"/>
          <w:lang w:val="zh-CN"/>
        </w:rPr>
        <w:t>谈判供应商：</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（单位盖章）</w:t>
      </w:r>
    </w:p>
    <w:p>
      <w:pPr>
        <w:autoSpaceDE w:val="0"/>
        <w:autoSpaceDN w:val="0"/>
        <w:adjustRightInd w:val="0"/>
        <w:snapToGrid w:val="0"/>
        <w:spacing w:line="360" w:lineRule="auto"/>
        <w:ind w:firstLine="869" w:firstLineChars="309"/>
        <w:jc w:val="left"/>
        <w:rPr>
          <w:rFonts w:ascii="宋体" w:hAnsi="宋体" w:cs="宋体"/>
          <w:b/>
          <w:bCs/>
          <w:color w:val="auto"/>
          <w:sz w:val="28"/>
          <w:szCs w:val="28"/>
          <w:u w:val="single"/>
        </w:rPr>
      </w:pPr>
      <w:r>
        <w:rPr>
          <w:rFonts w:hint="eastAsia" w:ascii="宋体" w:hAnsi="宋体" w:cs="宋体"/>
          <w:b/>
          <w:bCs/>
          <w:color w:val="auto"/>
          <w:sz w:val="28"/>
          <w:szCs w:val="28"/>
        </w:rPr>
        <w:t>法定代表人或其授权代表：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（签字或盖章）</w:t>
      </w:r>
    </w:p>
    <w:p>
      <w:pPr>
        <w:autoSpaceDE w:val="0"/>
        <w:autoSpaceDN w:val="0"/>
        <w:adjustRightInd w:val="0"/>
        <w:snapToGrid w:val="0"/>
        <w:spacing w:line="360" w:lineRule="auto"/>
        <w:ind w:firstLine="869" w:firstLineChars="309"/>
        <w:rPr>
          <w:rFonts w:ascii="宋体" w:hAnsi="宋体" w:cs="宋体"/>
          <w:bCs/>
          <w:color w:val="auto"/>
          <w:sz w:val="28"/>
          <w:szCs w:val="28"/>
        </w:rPr>
      </w:pPr>
      <w:r>
        <w:rPr>
          <w:rFonts w:hint="eastAsia" w:ascii="宋体" w:hAnsi="宋体" w:cs="宋体"/>
          <w:b/>
          <w:bCs/>
          <w:color w:val="auto"/>
          <w:sz w:val="28"/>
          <w:szCs w:val="28"/>
          <w:lang w:val="zh-CN"/>
        </w:rPr>
        <w:t>时  间：</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 xml:space="preserve">      </w:t>
      </w:r>
      <w:r>
        <w:rPr>
          <w:rFonts w:hint="eastAsia" w:ascii="宋体" w:hAnsi="宋体" w:cs="宋体"/>
          <w:bCs/>
          <w:color w:val="auto"/>
          <w:sz w:val="28"/>
          <w:szCs w:val="28"/>
        </w:rPr>
        <w:t xml:space="preserve">     </w:t>
      </w:r>
    </w:p>
    <w:p>
      <w:pPr>
        <w:autoSpaceDE w:val="0"/>
        <w:autoSpaceDN w:val="0"/>
        <w:adjustRightInd w:val="0"/>
        <w:snapToGrid w:val="0"/>
        <w:spacing w:line="360" w:lineRule="auto"/>
        <w:rPr>
          <w:rFonts w:ascii="宋体" w:hAnsi="宋体" w:cs="宋体"/>
          <w:b/>
          <w:bCs/>
          <w:color w:val="auto"/>
          <w:sz w:val="28"/>
          <w:szCs w:val="28"/>
          <w:lang w:val="zh-CN"/>
        </w:rPr>
        <w:sectPr>
          <w:headerReference r:id="rId16" w:type="default"/>
          <w:footerReference r:id="rId17" w:type="default"/>
          <w:pgSz w:w="11906" w:h="16838"/>
          <w:pgMar w:top="1418" w:right="1418" w:bottom="1418" w:left="1418" w:header="851" w:footer="992" w:gutter="0"/>
          <w:cols w:space="425" w:num="1"/>
          <w:docGrid w:linePitch="312" w:charSpace="0"/>
        </w:sectPr>
      </w:pPr>
    </w:p>
    <w:p>
      <w:pPr>
        <w:autoSpaceDE w:val="0"/>
        <w:autoSpaceDN w:val="0"/>
        <w:adjustRightInd w:val="0"/>
        <w:snapToGrid w:val="0"/>
        <w:spacing w:line="360" w:lineRule="auto"/>
        <w:jc w:val="center"/>
        <w:rPr>
          <w:rFonts w:ascii="宋体" w:hAnsi="宋体" w:cs="宋体"/>
          <w:b/>
          <w:bCs/>
          <w:color w:val="auto"/>
          <w:sz w:val="28"/>
          <w:szCs w:val="28"/>
          <w:lang w:val="zh-CN"/>
        </w:rPr>
      </w:pPr>
    </w:p>
    <w:p>
      <w:pPr>
        <w:autoSpaceDE w:val="0"/>
        <w:autoSpaceDN w:val="0"/>
        <w:adjustRightInd w:val="0"/>
        <w:snapToGrid w:val="0"/>
        <w:spacing w:line="360" w:lineRule="auto"/>
        <w:jc w:val="center"/>
        <w:rPr>
          <w:rFonts w:ascii="宋体" w:hAnsi="宋体" w:cs="宋体"/>
          <w:b/>
          <w:bCs/>
          <w:color w:val="auto"/>
          <w:sz w:val="36"/>
          <w:szCs w:val="36"/>
          <w:lang w:val="zh-CN"/>
        </w:rPr>
      </w:pPr>
      <w:r>
        <w:rPr>
          <w:rFonts w:hint="eastAsia" w:ascii="宋体" w:hAnsi="宋体" w:cs="宋体"/>
          <w:b/>
          <w:bCs/>
          <w:color w:val="auto"/>
          <w:sz w:val="36"/>
          <w:szCs w:val="36"/>
          <w:lang w:val="zh-CN"/>
        </w:rPr>
        <w:t>目   录</w:t>
      </w:r>
    </w:p>
    <w:p>
      <w:pPr>
        <w:autoSpaceDE w:val="0"/>
        <w:autoSpaceDN w:val="0"/>
        <w:adjustRightInd w:val="0"/>
        <w:snapToGrid w:val="0"/>
        <w:spacing w:line="360" w:lineRule="auto"/>
        <w:jc w:val="center"/>
        <w:rPr>
          <w:rFonts w:ascii="宋体" w:hAnsi="宋体" w:cs="宋体"/>
          <w:b/>
          <w:bCs/>
          <w:color w:val="auto"/>
          <w:sz w:val="28"/>
          <w:szCs w:val="28"/>
          <w:lang w:val="zh-CN"/>
        </w:rPr>
      </w:pP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第一部分    谈判响应函 </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第二部分    第一次谈判报价表 </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第三部分    分项报价表 </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第四部分    货物说明一览表</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第五部分    备选产品配件报价表</w:t>
      </w:r>
    </w:p>
    <w:p>
      <w:pPr>
        <w:pStyle w:val="4"/>
        <w:spacing w:line="640" w:lineRule="exact"/>
        <w:ind w:firstLine="480" w:firstLineChars="200"/>
        <w:rPr>
          <w:rFonts w:ascii="宋体" w:hAnsi="宋体" w:eastAsia="宋体" w:cs="宋体"/>
          <w:bCs/>
          <w:color w:val="auto"/>
          <w:kern w:val="0"/>
          <w:sz w:val="24"/>
          <w:szCs w:val="24"/>
        </w:rPr>
      </w:pPr>
      <w:r>
        <w:rPr>
          <w:rFonts w:hint="eastAsia" w:ascii="宋体" w:hAnsi="宋体" w:eastAsia="宋体" w:cs="宋体"/>
          <w:color w:val="auto"/>
          <w:sz w:val="24"/>
          <w:szCs w:val="24"/>
        </w:rPr>
        <w:t xml:space="preserve">第六部分    </w:t>
      </w:r>
      <w:r>
        <w:rPr>
          <w:rFonts w:hint="eastAsia" w:ascii="宋体" w:hAnsi="宋体" w:eastAsia="宋体" w:cs="宋体"/>
          <w:bCs/>
          <w:color w:val="auto"/>
          <w:kern w:val="0"/>
          <w:sz w:val="24"/>
          <w:szCs w:val="24"/>
        </w:rPr>
        <w:t xml:space="preserve">偏离表 </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第七部分    谈判方案说明 </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第八部分    供应商承诺书</w:t>
      </w:r>
    </w:p>
    <w:p>
      <w:pPr>
        <w:pStyle w:val="4"/>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第九部分 </w:t>
      </w:r>
      <w:r>
        <w:rPr>
          <w:rFonts w:ascii="宋体" w:hAnsi="宋体" w:eastAsia="宋体" w:cs="宋体"/>
          <w:color w:val="auto"/>
          <w:sz w:val="24"/>
          <w:szCs w:val="24"/>
        </w:rPr>
        <w:t xml:space="preserve">   </w:t>
      </w:r>
      <w:r>
        <w:rPr>
          <w:rFonts w:hint="eastAsia" w:ascii="宋体" w:hAnsi="宋体" w:eastAsia="宋体" w:cs="宋体"/>
          <w:color w:val="auto"/>
          <w:sz w:val="24"/>
          <w:szCs w:val="24"/>
        </w:rPr>
        <w:t>近三年完成的类似项目表</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第十部分    供应商资质证明文件</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第十一部分 </w:t>
      </w:r>
      <w:r>
        <w:rPr>
          <w:rFonts w:ascii="宋体" w:hAnsi="宋体" w:eastAsia="宋体" w:cs="宋体"/>
          <w:color w:val="auto"/>
          <w:sz w:val="24"/>
          <w:szCs w:val="24"/>
        </w:rPr>
        <w:t xml:space="preserve"> </w:t>
      </w:r>
      <w:r>
        <w:rPr>
          <w:rFonts w:hint="eastAsia" w:ascii="宋体" w:hAnsi="宋体" w:eastAsia="宋体" w:cs="宋体"/>
          <w:color w:val="auto"/>
          <w:sz w:val="24"/>
          <w:szCs w:val="24"/>
        </w:rPr>
        <w:t>提供政府采购政策证明材料</w:t>
      </w:r>
    </w:p>
    <w:p>
      <w:pPr>
        <w:pStyle w:val="4"/>
        <w:spacing w:line="6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第十二部分  其他资料</w:t>
      </w: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center"/>
        <w:rPr>
          <w:rFonts w:ascii="宋体" w:hAnsi="宋体" w:cs="宋体"/>
          <w:b/>
          <w:bCs/>
          <w:color w:val="auto"/>
          <w:sz w:val="28"/>
          <w:szCs w:val="28"/>
          <w:lang w:val="zh-CN"/>
        </w:rPr>
        <w:sectPr>
          <w:pgSz w:w="11906" w:h="16838"/>
          <w:pgMar w:top="1418" w:right="1418" w:bottom="1418" w:left="1418" w:header="851" w:footer="992" w:gutter="0"/>
          <w:cols w:space="425" w:num="1"/>
          <w:docGrid w:linePitch="312" w:charSpace="0"/>
        </w:sectPr>
      </w:pPr>
    </w:p>
    <w:p>
      <w:pPr>
        <w:autoSpaceDE w:val="0"/>
        <w:autoSpaceDN w:val="0"/>
        <w:adjustRightInd w:val="0"/>
        <w:jc w:val="center"/>
        <w:rPr>
          <w:rFonts w:ascii="宋体" w:hAnsi="宋体" w:cs="宋体"/>
          <w:b/>
          <w:bCs/>
          <w:color w:val="auto"/>
          <w:sz w:val="28"/>
          <w:szCs w:val="28"/>
          <w:lang w:val="zh-CN"/>
        </w:rPr>
      </w:pPr>
      <w:r>
        <w:rPr>
          <w:rFonts w:hint="eastAsia" w:ascii="宋体" w:hAnsi="宋体" w:cs="宋体"/>
          <w:b/>
          <w:bCs/>
          <w:color w:val="auto"/>
          <w:sz w:val="28"/>
          <w:szCs w:val="28"/>
          <w:lang w:val="zh-CN"/>
        </w:rPr>
        <w:t>第一部分  谈判响应函</w:t>
      </w:r>
    </w:p>
    <w:p>
      <w:pPr>
        <w:autoSpaceDE w:val="0"/>
        <w:autoSpaceDN w:val="0"/>
        <w:adjustRightInd w:val="0"/>
        <w:spacing w:line="480" w:lineRule="exact"/>
        <w:rPr>
          <w:rFonts w:ascii="宋体" w:hAnsi="宋体" w:cs="宋体"/>
          <w:color w:val="auto"/>
          <w:sz w:val="24"/>
          <w:szCs w:val="24"/>
        </w:rPr>
      </w:pPr>
    </w:p>
    <w:p>
      <w:pPr>
        <w:autoSpaceDE w:val="0"/>
        <w:autoSpaceDN w:val="0"/>
        <w:adjustRightInd w:val="0"/>
        <w:spacing w:line="480" w:lineRule="exact"/>
        <w:rPr>
          <w:rFonts w:ascii="宋体" w:hAnsi="宋体" w:cs="宋体"/>
          <w:b/>
          <w:bCs/>
          <w:color w:val="auto"/>
          <w:sz w:val="24"/>
          <w:szCs w:val="24"/>
          <w:lang w:val="zh-CN"/>
        </w:rPr>
      </w:pPr>
      <w:r>
        <w:rPr>
          <w:rFonts w:hint="eastAsia" w:ascii="宋体" w:hAnsi="宋体" w:cs="宋体"/>
          <w:color w:val="auto"/>
          <w:sz w:val="24"/>
          <w:szCs w:val="24"/>
        </w:rPr>
        <w:t>陕西盛仕骄阳项目管理有限公司</w:t>
      </w:r>
      <w:r>
        <w:rPr>
          <w:rFonts w:hint="eastAsia" w:ascii="宋体" w:hAnsi="宋体" w:cs="宋体"/>
          <w:b/>
          <w:bCs/>
          <w:color w:val="auto"/>
          <w:sz w:val="24"/>
          <w:szCs w:val="24"/>
          <w:lang w:val="zh-CN"/>
        </w:rPr>
        <w:t>：</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lang w:val="zh-CN"/>
        </w:rPr>
        <w:t>我单位收到贵公司</w:t>
      </w:r>
      <w:r>
        <w:rPr>
          <w:rFonts w:hint="eastAsia" w:ascii="宋体" w:hAnsi="宋体" w:cs="宋体"/>
          <w:color w:val="auto"/>
          <w:sz w:val="24"/>
          <w:szCs w:val="24"/>
          <w:u w:val="single"/>
        </w:rPr>
        <w:t xml:space="preserve">  （项目编号）    </w:t>
      </w:r>
      <w:r>
        <w:rPr>
          <w:rFonts w:hint="eastAsia" w:ascii="宋体" w:hAnsi="宋体" w:cs="宋体"/>
          <w:color w:val="auto"/>
          <w:sz w:val="24"/>
          <w:szCs w:val="24"/>
          <w:lang w:val="zh-CN"/>
        </w:rPr>
        <w:t>号谈判采购文件，经详细研究，我们决定参加本次谈判活动。为此，我方郑重声明以下诸点，并负法律责任。</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、愿意按照竞争性谈判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文件中的一切要求，提供谈判技术服务，完成合同的责任和义务。</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zh-CN"/>
        </w:rPr>
        <w:t>、按竞争性谈判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文件的规定，我公司的第一次谈判总报价为：人民币（</w:t>
      </w:r>
      <w:r>
        <w:rPr>
          <w:rFonts w:hint="eastAsia" w:ascii="宋体" w:hAnsi="宋体" w:cs="宋体"/>
          <w:color w:val="auto"/>
          <w:sz w:val="24"/>
          <w:szCs w:val="24"/>
          <w:u w:val="single"/>
          <w:lang w:val="zh-CN"/>
        </w:rPr>
        <w:t>大写）：</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zh-CN"/>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zh-CN"/>
        </w:rPr>
        <w:t>元）</w:t>
      </w:r>
      <w:r>
        <w:rPr>
          <w:rFonts w:hint="eastAsia" w:ascii="宋体" w:hAnsi="宋体" w:cs="宋体"/>
          <w:color w:val="auto"/>
          <w:sz w:val="24"/>
          <w:szCs w:val="24"/>
          <w:lang w:val="zh-CN"/>
        </w:rPr>
        <w:t>，并对其后的谈判报价负法律责任。</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zh-CN"/>
        </w:rPr>
        <w:t>、我方提交的响应文件正本一份、副本</w:t>
      </w:r>
      <w:r>
        <w:rPr>
          <w:rFonts w:hint="eastAsia" w:ascii="宋体" w:hAnsi="宋体" w:cs="宋体"/>
          <w:color w:val="auto"/>
          <w:sz w:val="24"/>
          <w:szCs w:val="24"/>
        </w:rPr>
        <w:t>两</w:t>
      </w:r>
      <w:r>
        <w:rPr>
          <w:rFonts w:hint="eastAsia" w:ascii="宋体" w:hAnsi="宋体" w:cs="宋体"/>
          <w:color w:val="auto"/>
          <w:sz w:val="24"/>
          <w:szCs w:val="24"/>
          <w:lang w:val="zh-CN"/>
        </w:rPr>
        <w:t>份、电子标书</w:t>
      </w:r>
      <w:r>
        <w:rPr>
          <w:rFonts w:hint="eastAsia" w:ascii="宋体" w:hAnsi="宋体" w:cs="宋体"/>
          <w:color w:val="auto"/>
          <w:sz w:val="24"/>
          <w:szCs w:val="24"/>
        </w:rPr>
        <w:t>两</w:t>
      </w:r>
      <w:r>
        <w:rPr>
          <w:rFonts w:hint="eastAsia" w:ascii="宋体" w:hAnsi="宋体" w:cs="宋体"/>
          <w:color w:val="auto"/>
          <w:sz w:val="24"/>
          <w:szCs w:val="24"/>
          <w:lang w:val="zh-CN"/>
        </w:rPr>
        <w:t>份。</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zh-CN"/>
        </w:rPr>
        <w:t>、我方已详细阅读了竞争性谈判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文件，完全理解并放弃提出含糊不清或易形成歧义的表述和资料。</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zh-CN"/>
        </w:rPr>
        <w:t>、谈判后在规定的有效期内撤回谈判，我方愿接受政府采购的有关处罚决定。</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val="zh-CN"/>
        </w:rPr>
        <w:t>、同意向贵方提供可能要求的，与本次谈判有关的任何证据或资料，且尊重谈判小组的评审结论和结果。我们完全理解最低谈判报价不作为成交的唯一条件，且尊重谈判小组的评审结论和成交结果。</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val="zh-CN"/>
        </w:rPr>
        <w:t>、我方的响应文件在谈判后有效期为</w:t>
      </w:r>
      <w:r>
        <w:rPr>
          <w:rFonts w:hint="eastAsia" w:ascii="宋体" w:hAnsi="宋体" w:cs="宋体"/>
          <w:color w:val="auto"/>
          <w:sz w:val="24"/>
          <w:szCs w:val="24"/>
        </w:rPr>
        <w:t>90</w:t>
      </w:r>
      <w:r>
        <w:rPr>
          <w:rFonts w:hint="eastAsia" w:ascii="宋体" w:hAnsi="宋体" w:cs="宋体"/>
          <w:color w:val="auto"/>
          <w:sz w:val="24"/>
          <w:szCs w:val="24"/>
          <w:lang w:val="zh-CN"/>
        </w:rPr>
        <w:t>个日历天，若我方成交，响应文件有效期延长至合同执行完毕。</w:t>
      </w:r>
    </w:p>
    <w:p>
      <w:pPr>
        <w:autoSpaceDE w:val="0"/>
        <w:autoSpaceDN w:val="0"/>
        <w:adjustRightInd w:val="0"/>
        <w:snapToGrid w:val="0"/>
        <w:spacing w:line="480" w:lineRule="exact"/>
        <w:ind w:firstLine="629"/>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zh-CN"/>
        </w:rPr>
        <w:t>、有关于本谈判文件的函电，请按下列地址联系。</w:t>
      </w:r>
    </w:p>
    <w:p>
      <w:pPr>
        <w:autoSpaceDE w:val="0"/>
        <w:autoSpaceDN w:val="0"/>
        <w:adjustRightInd w:val="0"/>
        <w:snapToGrid w:val="0"/>
        <w:spacing w:line="480" w:lineRule="exact"/>
        <w:rPr>
          <w:rFonts w:ascii="宋体" w:hAnsi="宋体" w:cs="宋体"/>
          <w:color w:val="auto"/>
          <w:sz w:val="24"/>
          <w:szCs w:val="24"/>
        </w:rPr>
      </w:pPr>
      <w:r>
        <w:rPr>
          <w:rFonts w:hint="eastAsia" w:ascii="宋体" w:hAnsi="宋体" w:cs="宋体"/>
          <w:color w:val="auto"/>
          <w:sz w:val="24"/>
          <w:szCs w:val="24"/>
          <w:lang w:val="zh-CN"/>
        </w:rPr>
        <w:t>供应商全称（印章）：</w:t>
      </w:r>
    </w:p>
    <w:p>
      <w:pPr>
        <w:autoSpaceDE w:val="0"/>
        <w:autoSpaceDN w:val="0"/>
        <w:adjustRightInd w:val="0"/>
        <w:snapToGrid w:val="0"/>
        <w:spacing w:line="480" w:lineRule="exact"/>
        <w:rPr>
          <w:rFonts w:ascii="宋体" w:hAnsi="宋体" w:cs="宋体"/>
          <w:color w:val="auto"/>
          <w:sz w:val="24"/>
          <w:szCs w:val="24"/>
        </w:rPr>
      </w:pPr>
      <w:r>
        <w:rPr>
          <w:rFonts w:hint="eastAsia" w:ascii="宋体" w:hAnsi="宋体" w:cs="宋体"/>
          <w:color w:val="auto"/>
          <w:sz w:val="24"/>
          <w:szCs w:val="24"/>
          <w:lang w:val="zh-CN"/>
        </w:rPr>
        <w:t>地</w:t>
      </w:r>
      <w:r>
        <w:rPr>
          <w:rFonts w:hint="eastAsia" w:ascii="宋体" w:hAnsi="宋体" w:cs="宋体"/>
          <w:color w:val="auto"/>
          <w:sz w:val="24"/>
          <w:szCs w:val="24"/>
        </w:rPr>
        <w:t xml:space="preserve">    </w:t>
      </w:r>
      <w:r>
        <w:rPr>
          <w:rFonts w:hint="eastAsia" w:ascii="宋体" w:hAnsi="宋体" w:cs="宋体"/>
          <w:color w:val="auto"/>
          <w:sz w:val="24"/>
          <w:szCs w:val="24"/>
          <w:lang w:val="zh-CN"/>
        </w:rPr>
        <w:t>址：</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autoSpaceDE w:val="0"/>
        <w:autoSpaceDN w:val="0"/>
        <w:adjustRightInd w:val="0"/>
        <w:snapToGrid w:val="0"/>
        <w:spacing w:line="480" w:lineRule="exact"/>
        <w:rPr>
          <w:rFonts w:ascii="宋体" w:hAnsi="宋体" w:cs="宋体"/>
          <w:color w:val="auto"/>
          <w:sz w:val="24"/>
          <w:szCs w:val="24"/>
        </w:rPr>
      </w:pPr>
      <w:r>
        <w:rPr>
          <w:rFonts w:hint="eastAsia" w:ascii="宋体" w:hAnsi="宋体" w:cs="宋体"/>
          <w:color w:val="auto"/>
          <w:sz w:val="24"/>
          <w:szCs w:val="24"/>
          <w:lang w:val="zh-CN"/>
        </w:rPr>
        <w:t>开户银行：</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autoSpaceDE w:val="0"/>
        <w:autoSpaceDN w:val="0"/>
        <w:adjustRightInd w:val="0"/>
        <w:snapToGrid w:val="0"/>
        <w:spacing w:line="480" w:lineRule="exact"/>
        <w:rPr>
          <w:rFonts w:ascii="宋体" w:hAnsi="宋体" w:cs="宋体"/>
          <w:color w:val="auto"/>
          <w:sz w:val="24"/>
          <w:szCs w:val="24"/>
        </w:rPr>
      </w:pPr>
      <w:r>
        <w:rPr>
          <w:rFonts w:hint="eastAsia" w:ascii="宋体" w:hAnsi="宋体" w:cs="宋体"/>
          <w:color w:val="auto"/>
          <w:sz w:val="24"/>
          <w:szCs w:val="24"/>
          <w:lang w:val="zh-CN"/>
        </w:rPr>
        <w:t>账</w:t>
      </w:r>
      <w:r>
        <w:rPr>
          <w:rFonts w:hint="eastAsia" w:ascii="宋体" w:hAnsi="宋体" w:cs="宋体"/>
          <w:color w:val="auto"/>
          <w:sz w:val="24"/>
          <w:szCs w:val="24"/>
        </w:rPr>
        <w:t xml:space="preserve">    </w:t>
      </w:r>
      <w:r>
        <w:rPr>
          <w:rFonts w:hint="eastAsia" w:ascii="宋体" w:hAnsi="宋体" w:cs="宋体"/>
          <w:color w:val="auto"/>
          <w:sz w:val="24"/>
          <w:szCs w:val="24"/>
          <w:lang w:val="zh-CN"/>
        </w:rPr>
        <w:t>号：</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autoSpaceDE w:val="0"/>
        <w:autoSpaceDN w:val="0"/>
        <w:adjustRightInd w:val="0"/>
        <w:snapToGrid w:val="0"/>
        <w:spacing w:line="480" w:lineRule="exact"/>
        <w:rPr>
          <w:rFonts w:ascii="宋体" w:hAnsi="宋体" w:cs="宋体"/>
          <w:color w:val="auto"/>
          <w:sz w:val="24"/>
          <w:szCs w:val="24"/>
        </w:rPr>
      </w:pPr>
      <w:r>
        <w:rPr>
          <w:rFonts w:hint="eastAsia" w:ascii="宋体" w:hAnsi="宋体" w:cs="宋体"/>
          <w:color w:val="auto"/>
          <w:sz w:val="24"/>
          <w:szCs w:val="24"/>
          <w:lang w:val="zh-CN"/>
        </w:rPr>
        <w:t>电</w:t>
      </w:r>
      <w:r>
        <w:rPr>
          <w:rFonts w:hint="eastAsia" w:ascii="宋体" w:hAnsi="宋体" w:cs="宋体"/>
          <w:color w:val="auto"/>
          <w:sz w:val="24"/>
          <w:szCs w:val="24"/>
        </w:rPr>
        <w:t xml:space="preserve">    </w:t>
      </w:r>
      <w:r>
        <w:rPr>
          <w:rFonts w:hint="eastAsia" w:ascii="宋体" w:hAnsi="宋体" w:cs="宋体"/>
          <w:color w:val="auto"/>
          <w:sz w:val="24"/>
          <w:szCs w:val="24"/>
          <w:lang w:val="zh-CN"/>
        </w:rPr>
        <w:t>话：</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autoSpaceDE w:val="0"/>
        <w:autoSpaceDN w:val="0"/>
        <w:adjustRightInd w:val="0"/>
        <w:snapToGrid w:val="0"/>
        <w:spacing w:line="480" w:lineRule="exact"/>
        <w:rPr>
          <w:rFonts w:ascii="宋体" w:hAnsi="宋体" w:cs="宋体"/>
          <w:color w:val="auto"/>
          <w:sz w:val="24"/>
          <w:szCs w:val="24"/>
        </w:rPr>
      </w:pPr>
      <w:r>
        <w:rPr>
          <w:rFonts w:hint="eastAsia" w:ascii="宋体" w:hAnsi="宋体" w:cs="宋体"/>
          <w:color w:val="auto"/>
          <w:sz w:val="24"/>
          <w:szCs w:val="24"/>
          <w:lang w:val="zh-CN"/>
        </w:rPr>
        <w:t>传</w:t>
      </w:r>
      <w:r>
        <w:rPr>
          <w:rFonts w:hint="eastAsia" w:ascii="宋体" w:hAnsi="宋体" w:cs="宋体"/>
          <w:color w:val="auto"/>
          <w:sz w:val="24"/>
          <w:szCs w:val="24"/>
        </w:rPr>
        <w:t xml:space="preserve">    </w:t>
      </w:r>
      <w:r>
        <w:rPr>
          <w:rFonts w:hint="eastAsia" w:ascii="宋体" w:hAnsi="宋体" w:cs="宋体"/>
          <w:color w:val="auto"/>
          <w:sz w:val="24"/>
          <w:szCs w:val="24"/>
          <w:lang w:val="zh-CN"/>
        </w:rPr>
        <w:t>真：</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autoSpaceDE w:val="0"/>
        <w:autoSpaceDN w:val="0"/>
        <w:adjustRightInd w:val="0"/>
        <w:snapToGrid w:val="0"/>
        <w:spacing w:line="480" w:lineRule="exact"/>
        <w:rPr>
          <w:rFonts w:ascii="宋体" w:hAnsi="宋体" w:cs="宋体"/>
          <w:color w:val="auto"/>
          <w:sz w:val="24"/>
          <w:szCs w:val="24"/>
        </w:rPr>
      </w:pPr>
      <w:r>
        <w:rPr>
          <w:rFonts w:hint="eastAsia" w:ascii="宋体" w:hAnsi="宋体" w:cs="宋体"/>
          <w:color w:val="auto"/>
          <w:sz w:val="24"/>
          <w:szCs w:val="24"/>
          <w:lang w:val="zh-CN"/>
        </w:rPr>
        <w:t>法定代表人或授权代表（签名或盖章）：</w:t>
      </w:r>
      <w:r>
        <w:rPr>
          <w:rFonts w:hint="eastAsia" w:ascii="宋体" w:hAnsi="宋体" w:cs="宋体"/>
          <w:b/>
          <w:color w:val="auto"/>
          <w:szCs w:val="21"/>
          <w:u w:val="single"/>
          <w:lang w:val="zh-CN"/>
        </w:rPr>
        <w:t xml:space="preserve">                </w:t>
      </w:r>
    </w:p>
    <w:p>
      <w:pPr>
        <w:autoSpaceDE w:val="0"/>
        <w:autoSpaceDN w:val="0"/>
        <w:adjustRightInd w:val="0"/>
        <w:snapToGrid w:val="0"/>
        <w:spacing w:line="480" w:lineRule="exact"/>
        <w:rPr>
          <w:rFonts w:ascii="宋体" w:hAnsi="宋体" w:cs="宋体"/>
          <w:color w:val="auto"/>
          <w:sz w:val="24"/>
          <w:szCs w:val="24"/>
        </w:rPr>
      </w:pPr>
    </w:p>
    <w:p>
      <w:pPr>
        <w:autoSpaceDE w:val="0"/>
        <w:autoSpaceDN w:val="0"/>
        <w:adjustRightInd w:val="0"/>
        <w:spacing w:line="480" w:lineRule="exact"/>
        <w:jc w:val="center"/>
        <w:rPr>
          <w:rFonts w:ascii="宋体" w:hAnsi="宋体" w:cs="宋体"/>
          <w:color w:val="auto"/>
          <w:sz w:val="24"/>
          <w:szCs w:val="24"/>
          <w:lang w:val="zh-CN"/>
        </w:rPr>
      </w:pPr>
      <w:r>
        <w:rPr>
          <w:rFonts w:hint="eastAsia" w:ascii="宋体" w:hAnsi="宋体" w:cs="宋体"/>
          <w:color w:val="auto"/>
          <w:sz w:val="24"/>
          <w:szCs w:val="24"/>
        </w:rPr>
        <w:t xml:space="preserve">                                   </w:t>
      </w:r>
      <w:r>
        <w:rPr>
          <w:rFonts w:hint="eastAsia" w:ascii="宋体" w:hAnsi="宋体" w:cs="宋体"/>
          <w:b/>
          <w:color w:val="auto"/>
          <w:szCs w:val="21"/>
          <w:u w:val="single"/>
          <w:lang w:val="zh-CN"/>
        </w:rPr>
        <w:t xml:space="preserve">       </w:t>
      </w:r>
      <w:r>
        <w:rPr>
          <w:rFonts w:hint="eastAsia" w:ascii="宋体" w:hAnsi="宋体" w:cs="宋体"/>
          <w:color w:val="auto"/>
          <w:sz w:val="24"/>
          <w:szCs w:val="24"/>
          <w:lang w:val="zh-CN"/>
        </w:rPr>
        <w:t>年</w:t>
      </w:r>
      <w:r>
        <w:rPr>
          <w:rFonts w:hint="eastAsia" w:ascii="宋体" w:hAnsi="宋体" w:cs="宋体"/>
          <w:b/>
          <w:color w:val="auto"/>
          <w:szCs w:val="21"/>
          <w:u w:val="single"/>
          <w:lang w:val="zh-CN"/>
        </w:rPr>
        <w:t xml:space="preserve">       </w:t>
      </w:r>
      <w:r>
        <w:rPr>
          <w:rFonts w:hint="eastAsia" w:ascii="宋体" w:hAnsi="宋体" w:cs="宋体"/>
          <w:color w:val="auto"/>
          <w:sz w:val="24"/>
          <w:szCs w:val="24"/>
          <w:lang w:val="zh-CN"/>
        </w:rPr>
        <w:t>月</w:t>
      </w:r>
      <w:r>
        <w:rPr>
          <w:rFonts w:hint="eastAsia" w:ascii="宋体" w:hAnsi="宋体" w:cs="宋体"/>
          <w:b/>
          <w:color w:val="auto"/>
          <w:szCs w:val="21"/>
          <w:u w:val="single"/>
          <w:lang w:val="zh-CN"/>
        </w:rPr>
        <w:t xml:space="preserve">       </w:t>
      </w:r>
      <w:r>
        <w:rPr>
          <w:rFonts w:hint="eastAsia" w:ascii="宋体" w:hAnsi="宋体" w:cs="宋体"/>
          <w:color w:val="auto"/>
          <w:sz w:val="24"/>
          <w:szCs w:val="24"/>
          <w:lang w:val="zh-CN"/>
        </w:rPr>
        <w:t>日</w:t>
      </w:r>
    </w:p>
    <w:p>
      <w:pPr>
        <w:autoSpaceDE w:val="0"/>
        <w:autoSpaceDN w:val="0"/>
        <w:adjustRightInd w:val="0"/>
        <w:rPr>
          <w:rFonts w:ascii="宋体" w:hAnsi="宋体" w:cs="宋体"/>
          <w:b/>
          <w:bCs/>
          <w:color w:val="auto"/>
          <w:sz w:val="24"/>
          <w:szCs w:val="24"/>
          <w:lang w:val="zh-CN"/>
        </w:rPr>
        <w:sectPr>
          <w:pgSz w:w="11906" w:h="16838"/>
          <w:pgMar w:top="1418" w:right="1418" w:bottom="1418" w:left="1418" w:header="851" w:footer="992" w:gutter="0"/>
          <w:cols w:space="425" w:num="1"/>
          <w:docGrid w:linePitch="312" w:charSpace="0"/>
        </w:sectPr>
      </w:pPr>
    </w:p>
    <w:p>
      <w:pPr>
        <w:autoSpaceDE w:val="0"/>
        <w:autoSpaceDN w:val="0"/>
        <w:adjustRightInd w:val="0"/>
        <w:spacing w:line="560" w:lineRule="exact"/>
        <w:jc w:val="center"/>
        <w:rPr>
          <w:rFonts w:ascii="宋体" w:hAnsi="宋体" w:cs="宋体"/>
          <w:b/>
          <w:bCs/>
          <w:color w:val="auto"/>
          <w:sz w:val="28"/>
          <w:szCs w:val="28"/>
          <w:lang w:val="zh-CN"/>
        </w:rPr>
      </w:pPr>
      <w:r>
        <w:rPr>
          <w:rFonts w:hint="eastAsia" w:ascii="宋体" w:hAnsi="宋体" w:cs="宋体"/>
          <w:b/>
          <w:bCs/>
          <w:color w:val="auto"/>
          <w:sz w:val="28"/>
          <w:szCs w:val="28"/>
          <w:lang w:val="zh-CN"/>
        </w:rPr>
        <w:t>第二部分   第一次谈判报价表</w:t>
      </w:r>
    </w:p>
    <w:p>
      <w:pPr>
        <w:autoSpaceDE w:val="0"/>
        <w:autoSpaceDN w:val="0"/>
        <w:adjustRightInd w:val="0"/>
        <w:rPr>
          <w:rFonts w:ascii="宋体" w:hAnsi="宋体" w:cs="宋体"/>
          <w:bCs/>
          <w:color w:val="auto"/>
          <w:sz w:val="28"/>
          <w:szCs w:val="28"/>
          <w:lang w:val="zh-CN"/>
        </w:rPr>
      </w:pPr>
    </w:p>
    <w:p>
      <w:pPr>
        <w:autoSpaceDE w:val="0"/>
        <w:autoSpaceDN w:val="0"/>
        <w:adjustRightInd w:val="0"/>
        <w:jc w:val="center"/>
        <w:rPr>
          <w:rFonts w:ascii="宋体" w:hAnsi="宋体" w:cs="宋体"/>
          <w:b/>
          <w:bCs/>
          <w:color w:val="auto"/>
          <w:sz w:val="28"/>
          <w:szCs w:val="28"/>
          <w:lang w:val="zh-CN"/>
        </w:rPr>
      </w:pPr>
    </w:p>
    <w:p>
      <w:pPr>
        <w:autoSpaceDE w:val="0"/>
        <w:autoSpaceDN w:val="0"/>
        <w:adjustRightInd w:val="0"/>
        <w:snapToGrid w:val="0"/>
        <w:spacing w:line="360" w:lineRule="auto"/>
        <w:ind w:right="1280" w:firstLine="600" w:firstLineChars="250"/>
        <w:rPr>
          <w:rFonts w:ascii="宋体" w:hAnsi="宋体" w:cs="宋体"/>
          <w:color w:val="auto"/>
          <w:sz w:val="24"/>
          <w:szCs w:val="24"/>
        </w:rPr>
      </w:pPr>
      <w:r>
        <w:rPr>
          <w:rFonts w:hint="eastAsia" w:ascii="宋体" w:hAnsi="宋体" w:cs="宋体"/>
          <w:bCs/>
          <w:color w:val="auto"/>
          <w:kern w:val="0"/>
          <w:sz w:val="24"/>
          <w:szCs w:val="24"/>
        </w:rPr>
        <w:t>谈判项目编号：                               单位:</w:t>
      </w:r>
      <w:r>
        <w:rPr>
          <w:rFonts w:hint="eastAsia" w:ascii="宋体" w:hAnsi="宋体" w:cs="宋体"/>
          <w:color w:val="auto"/>
          <w:sz w:val="24"/>
          <w:szCs w:val="24"/>
          <w:lang w:val="zh-CN"/>
        </w:rPr>
        <w:t xml:space="preserve"> 元</w:t>
      </w:r>
      <w:r>
        <w:rPr>
          <w:rFonts w:hint="eastAsia" w:ascii="宋体" w:hAnsi="宋体" w:cs="宋体"/>
          <w:color w:val="auto"/>
          <w:sz w:val="24"/>
          <w:szCs w:val="24"/>
        </w:rPr>
        <w:t>/日历日</w:t>
      </w:r>
    </w:p>
    <w:tbl>
      <w:tblPr>
        <w:tblStyle w:val="36"/>
        <w:tblW w:w="92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17"/>
        <w:gridCol w:w="3070"/>
        <w:gridCol w:w="30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9244" w:type="dxa"/>
            <w:gridSpan w:val="3"/>
            <w:vAlign w:val="center"/>
          </w:tcPr>
          <w:p>
            <w:pPr>
              <w:widowControl/>
              <w:jc w:val="left"/>
              <w:rPr>
                <w:rFonts w:ascii="宋体" w:hAnsi="宋体" w:cs="宋体"/>
                <w:b/>
                <w:bCs/>
                <w:color w:val="auto"/>
                <w:kern w:val="0"/>
                <w:sz w:val="24"/>
                <w:szCs w:val="24"/>
              </w:rPr>
            </w:pPr>
            <w:r>
              <w:rPr>
                <w:rFonts w:hint="eastAsia" w:ascii="宋体" w:hAnsi="宋体" w:cs="宋体"/>
                <w:b/>
                <w:bCs/>
                <w:color w:val="auto"/>
                <w:kern w:val="0"/>
                <w:sz w:val="24"/>
                <w:szCs w:val="24"/>
              </w:rPr>
              <w:t>供应商名称：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0" w:hRule="atLeast"/>
          <w:jc w:val="center"/>
        </w:trPr>
        <w:tc>
          <w:tcPr>
            <w:tcW w:w="3117" w:type="dxa"/>
            <w:vAlign w:val="center"/>
          </w:tcPr>
          <w:p>
            <w:pPr>
              <w:jc w:val="center"/>
              <w:rPr>
                <w:rFonts w:ascii="宋体" w:hAnsi="宋体" w:cs="宋体"/>
                <w:b/>
                <w:color w:val="auto"/>
                <w:sz w:val="24"/>
                <w:szCs w:val="24"/>
              </w:rPr>
            </w:pPr>
            <w:r>
              <w:rPr>
                <w:rFonts w:hint="eastAsia" w:ascii="宋体" w:hAnsi="宋体" w:cs="宋体"/>
                <w:b/>
                <w:color w:val="auto"/>
                <w:sz w:val="24"/>
                <w:szCs w:val="24"/>
              </w:rPr>
              <w:t>总报价</w:t>
            </w:r>
          </w:p>
        </w:tc>
        <w:tc>
          <w:tcPr>
            <w:tcW w:w="3070" w:type="dxa"/>
            <w:shd w:val="clear" w:color="auto" w:fill="auto"/>
            <w:vAlign w:val="center"/>
          </w:tcPr>
          <w:p>
            <w:pPr>
              <w:jc w:val="center"/>
              <w:rPr>
                <w:rFonts w:ascii="宋体" w:hAnsi="宋体" w:cs="宋体"/>
                <w:b/>
                <w:color w:val="auto"/>
                <w:sz w:val="24"/>
                <w:szCs w:val="24"/>
              </w:rPr>
            </w:pPr>
            <w:r>
              <w:rPr>
                <w:rFonts w:hint="eastAsia" w:ascii="宋体" w:hAnsi="宋体" w:cs="宋体"/>
                <w:b/>
                <w:color w:val="auto"/>
                <w:sz w:val="24"/>
                <w:szCs w:val="24"/>
              </w:rPr>
              <w:t>交货期</w:t>
            </w:r>
          </w:p>
        </w:tc>
        <w:tc>
          <w:tcPr>
            <w:tcW w:w="3057" w:type="dxa"/>
            <w:shd w:val="clear" w:color="auto" w:fill="auto"/>
            <w:vAlign w:val="center"/>
          </w:tcPr>
          <w:p>
            <w:pPr>
              <w:jc w:val="center"/>
              <w:rPr>
                <w:rFonts w:ascii="宋体" w:hAnsi="宋体" w:cs="宋体"/>
                <w:b/>
                <w:color w:val="auto"/>
                <w:sz w:val="24"/>
                <w:szCs w:val="24"/>
              </w:rPr>
            </w:pPr>
            <w:r>
              <w:rPr>
                <w:rFonts w:hint="eastAsia" w:ascii="宋体" w:hAnsi="宋体" w:cs="宋体"/>
                <w:b/>
                <w:color w:val="auto"/>
                <w:sz w:val="24"/>
                <w:szCs w:val="24"/>
              </w:rPr>
              <w:t>质保期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4" w:hRule="atLeast"/>
          <w:jc w:val="center"/>
        </w:trPr>
        <w:tc>
          <w:tcPr>
            <w:tcW w:w="3117" w:type="dxa"/>
            <w:vAlign w:val="center"/>
          </w:tcPr>
          <w:p>
            <w:pPr>
              <w:widowControl/>
              <w:jc w:val="center"/>
              <w:rPr>
                <w:rFonts w:ascii="宋体" w:hAnsi="宋体" w:cs="宋体"/>
                <w:color w:val="auto"/>
                <w:kern w:val="0"/>
                <w:sz w:val="24"/>
                <w:szCs w:val="24"/>
              </w:rPr>
            </w:pPr>
          </w:p>
        </w:tc>
        <w:tc>
          <w:tcPr>
            <w:tcW w:w="3070" w:type="dxa"/>
            <w:shd w:val="clear" w:color="auto" w:fill="auto"/>
            <w:vAlign w:val="center"/>
          </w:tcPr>
          <w:p>
            <w:pPr>
              <w:widowControl/>
              <w:jc w:val="center"/>
              <w:rPr>
                <w:rFonts w:ascii="宋体" w:hAnsi="宋体" w:cs="宋体"/>
                <w:color w:val="auto"/>
                <w:kern w:val="0"/>
                <w:sz w:val="24"/>
                <w:szCs w:val="24"/>
              </w:rPr>
            </w:pPr>
          </w:p>
        </w:tc>
        <w:tc>
          <w:tcPr>
            <w:tcW w:w="3057" w:type="dxa"/>
            <w:shd w:val="clear" w:color="auto" w:fill="auto"/>
            <w:vAlign w:val="center"/>
          </w:tcPr>
          <w:p>
            <w:pPr>
              <w:widowControl/>
              <w:jc w:val="center"/>
              <w:rPr>
                <w:rFonts w:ascii="宋体" w:hAnsi="宋体" w:cs="宋体"/>
                <w:color w:val="auto"/>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9" w:hRule="atLeast"/>
          <w:jc w:val="center"/>
        </w:trPr>
        <w:tc>
          <w:tcPr>
            <w:tcW w:w="9244" w:type="dxa"/>
            <w:gridSpan w:val="3"/>
            <w:vAlign w:val="center"/>
          </w:tcPr>
          <w:p>
            <w:pPr>
              <w:autoSpaceDE w:val="0"/>
              <w:autoSpaceDN w:val="0"/>
              <w:adjustRightInd w:val="0"/>
              <w:snapToGrid w:val="0"/>
              <w:spacing w:line="360" w:lineRule="auto"/>
              <w:rPr>
                <w:rFonts w:ascii="宋体" w:hAnsi="宋体" w:cs="宋体"/>
                <w:b/>
                <w:color w:val="auto"/>
                <w:sz w:val="24"/>
                <w:szCs w:val="24"/>
                <w:lang w:val="zh-CN"/>
              </w:rPr>
            </w:pPr>
            <w:r>
              <w:rPr>
                <w:rFonts w:hint="eastAsia" w:ascii="宋体" w:hAnsi="宋体" w:cs="宋体"/>
                <w:b/>
                <w:color w:val="auto"/>
                <w:sz w:val="24"/>
                <w:szCs w:val="24"/>
                <w:lang w:val="zh-CN"/>
              </w:rPr>
              <w:t>合计：</w:t>
            </w:r>
          </w:p>
          <w:p>
            <w:pPr>
              <w:widowControl/>
              <w:jc w:val="left"/>
              <w:rPr>
                <w:rFonts w:ascii="宋体" w:hAnsi="宋体" w:cs="宋体"/>
                <w:b/>
                <w:color w:val="auto"/>
                <w:sz w:val="24"/>
                <w:szCs w:val="24"/>
                <w:lang w:val="zh-CN"/>
              </w:rPr>
            </w:pPr>
            <w:r>
              <w:rPr>
                <w:rFonts w:hint="eastAsia" w:ascii="宋体" w:hAnsi="宋体" w:cs="宋体"/>
                <w:b/>
                <w:color w:val="auto"/>
                <w:sz w:val="24"/>
                <w:szCs w:val="24"/>
                <w:lang w:val="zh-CN"/>
              </w:rPr>
              <w:t xml:space="preserve">人民币：大写 </w:t>
            </w:r>
            <w:r>
              <w:rPr>
                <w:rFonts w:hint="eastAsia" w:ascii="宋体" w:hAnsi="宋体" w:cs="宋体"/>
                <w:b/>
                <w:color w:val="auto"/>
                <w:sz w:val="24"/>
                <w:szCs w:val="24"/>
                <w:u w:val="single"/>
                <w:lang w:val="zh-CN"/>
              </w:rPr>
              <w:t xml:space="preserve">                </w:t>
            </w:r>
            <w:r>
              <w:rPr>
                <w:rFonts w:hint="eastAsia" w:ascii="宋体" w:hAnsi="宋体" w:cs="宋体"/>
                <w:b/>
                <w:color w:val="auto"/>
                <w:sz w:val="24"/>
                <w:szCs w:val="24"/>
                <w:lang w:val="zh-CN"/>
              </w:rPr>
              <w:t xml:space="preserve">     </w:t>
            </w:r>
            <w:r>
              <w:rPr>
                <w:rFonts w:hint="eastAsia" w:ascii="宋体" w:hAnsi="宋体" w:cs="宋体"/>
                <w:b/>
                <w:color w:val="auto"/>
                <w:sz w:val="24"/>
                <w:szCs w:val="24"/>
              </w:rPr>
              <w:t xml:space="preserve">          </w:t>
            </w:r>
            <w:r>
              <w:rPr>
                <w:rFonts w:hint="eastAsia" w:ascii="宋体" w:hAnsi="宋体" w:cs="宋体"/>
                <w:b/>
                <w:color w:val="auto"/>
                <w:sz w:val="24"/>
                <w:szCs w:val="24"/>
                <w:lang w:val="zh-CN"/>
              </w:rPr>
              <w:t xml:space="preserve">   小写：￥</w:t>
            </w:r>
          </w:p>
        </w:tc>
      </w:tr>
    </w:tbl>
    <w:p>
      <w:pPr>
        <w:autoSpaceDE w:val="0"/>
        <w:autoSpaceDN w:val="0"/>
        <w:adjustRightInd w:val="0"/>
        <w:snapToGrid w:val="0"/>
        <w:spacing w:line="360" w:lineRule="auto"/>
        <w:rPr>
          <w:rFonts w:ascii="宋体" w:hAnsi="宋体" w:cs="宋体"/>
          <w:b/>
          <w:bCs/>
          <w:color w:val="auto"/>
          <w:sz w:val="28"/>
          <w:szCs w:val="28"/>
        </w:rPr>
      </w:pPr>
    </w:p>
    <w:p>
      <w:p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  注：1、报价应按谈判总价填写，最多保留小数点后两位，大小写不一致时，以大写为准。</w:t>
      </w:r>
    </w:p>
    <w:p>
      <w:pPr>
        <w:autoSpaceDE w:val="0"/>
        <w:autoSpaceDN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2、各供应商必须严格按照上表要求填写。</w:t>
      </w:r>
    </w:p>
    <w:p>
      <w:pPr>
        <w:autoSpaceDE w:val="0"/>
        <w:autoSpaceDN w:val="0"/>
        <w:adjustRightInd w:val="0"/>
        <w:snapToGrid w:val="0"/>
        <w:spacing w:line="360" w:lineRule="auto"/>
        <w:rPr>
          <w:rFonts w:ascii="宋体" w:hAnsi="宋体" w:cs="宋体"/>
          <w:b/>
          <w:bCs/>
          <w:color w:val="auto"/>
          <w:sz w:val="24"/>
          <w:szCs w:val="24"/>
        </w:rPr>
      </w:pPr>
    </w:p>
    <w:p>
      <w:pPr>
        <w:autoSpaceDE w:val="0"/>
        <w:autoSpaceDN w:val="0"/>
        <w:adjustRightInd w:val="0"/>
        <w:snapToGrid w:val="0"/>
        <w:spacing w:line="360" w:lineRule="auto"/>
        <w:rPr>
          <w:rFonts w:ascii="宋体" w:hAnsi="宋体" w:cs="宋体"/>
          <w:b/>
          <w:bCs/>
          <w:color w:val="auto"/>
          <w:sz w:val="24"/>
          <w:szCs w:val="24"/>
        </w:rPr>
      </w:pPr>
    </w:p>
    <w:p>
      <w:pPr>
        <w:autoSpaceDE w:val="0"/>
        <w:autoSpaceDN w:val="0"/>
        <w:adjustRightInd w:val="0"/>
        <w:snapToGrid w:val="0"/>
        <w:spacing w:line="360" w:lineRule="auto"/>
        <w:rPr>
          <w:rFonts w:ascii="宋体" w:hAnsi="宋体" w:cs="宋体"/>
          <w:b/>
          <w:bCs/>
          <w:color w:val="auto"/>
          <w:sz w:val="24"/>
          <w:szCs w:val="24"/>
        </w:rPr>
      </w:pPr>
      <w:r>
        <w:rPr>
          <w:rFonts w:hint="eastAsia" w:ascii="宋体" w:hAnsi="宋体" w:cs="宋体"/>
          <w:b/>
          <w:bCs/>
          <w:color w:val="auto"/>
          <w:sz w:val="24"/>
          <w:szCs w:val="24"/>
        </w:rPr>
        <w:t xml:space="preserve">                                            </w:t>
      </w:r>
    </w:p>
    <w:p>
      <w:pPr>
        <w:autoSpaceDE w:val="0"/>
        <w:autoSpaceDN w:val="0"/>
        <w:adjustRightInd w:val="0"/>
        <w:snapToGrid w:val="0"/>
        <w:spacing w:line="360" w:lineRule="auto"/>
        <w:rPr>
          <w:rFonts w:ascii="宋体" w:hAnsi="宋体" w:cs="宋体"/>
          <w:color w:val="auto"/>
          <w:sz w:val="24"/>
          <w:szCs w:val="24"/>
        </w:rPr>
      </w:pPr>
      <w:r>
        <w:rPr>
          <w:rFonts w:hint="eastAsia" w:ascii="宋体" w:hAnsi="宋体" w:cs="宋体"/>
          <w:b/>
          <w:bCs/>
          <w:color w:val="auto"/>
          <w:sz w:val="24"/>
          <w:szCs w:val="24"/>
        </w:rPr>
        <w:t xml:space="preserve">                                </w:t>
      </w:r>
    </w:p>
    <w:p>
      <w:pPr>
        <w:autoSpaceDE w:val="0"/>
        <w:autoSpaceDN w:val="0"/>
        <w:adjustRightInd w:val="0"/>
        <w:snapToGrid w:val="0"/>
        <w:spacing w:line="360" w:lineRule="auto"/>
        <w:ind w:firstLine="241" w:firstLineChars="100"/>
        <w:rPr>
          <w:rFonts w:ascii="宋体" w:hAnsi="宋体" w:cs="宋体"/>
          <w:b/>
          <w:color w:val="auto"/>
          <w:sz w:val="24"/>
          <w:szCs w:val="24"/>
          <w:lang w:val="zh-CN"/>
        </w:rPr>
      </w:pPr>
    </w:p>
    <w:p>
      <w:pPr>
        <w:autoSpaceDE w:val="0"/>
        <w:autoSpaceDN w:val="0"/>
        <w:adjustRightInd w:val="0"/>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lang w:val="zh-CN"/>
        </w:rPr>
        <w:t>供应商名称（单位公章）：</w:t>
      </w:r>
      <w:r>
        <w:rPr>
          <w:rFonts w:hint="eastAsia" w:ascii="宋体" w:hAnsi="宋体" w:cs="宋体"/>
          <w:color w:val="auto"/>
          <w:sz w:val="24"/>
          <w:szCs w:val="24"/>
        </w:rPr>
        <w:t xml:space="preserve">                  </w:t>
      </w:r>
    </w:p>
    <w:p>
      <w:pPr>
        <w:autoSpaceDE w:val="0"/>
        <w:autoSpaceDN w:val="0"/>
        <w:adjustRightInd w:val="0"/>
        <w:snapToGrid w:val="0"/>
        <w:spacing w:line="360" w:lineRule="auto"/>
        <w:ind w:firstLine="240" w:firstLineChars="100"/>
        <w:rPr>
          <w:rFonts w:ascii="宋体" w:hAnsi="宋体" w:cs="宋体"/>
          <w:color w:val="auto"/>
          <w:sz w:val="24"/>
          <w:szCs w:val="24"/>
          <w:lang w:val="zh-CN"/>
        </w:rPr>
      </w:pPr>
      <w:r>
        <w:rPr>
          <w:rFonts w:hint="eastAsia" w:ascii="宋体" w:hAnsi="宋体" w:cs="宋体"/>
          <w:color w:val="auto"/>
          <w:sz w:val="24"/>
          <w:szCs w:val="24"/>
          <w:lang w:val="zh-CN"/>
        </w:rPr>
        <w:t>法定代表人或授权代表（签名或盖章）：</w:t>
      </w:r>
      <w:r>
        <w:rPr>
          <w:rFonts w:hint="eastAsia" w:ascii="宋体" w:hAnsi="宋体" w:cs="宋体"/>
          <w:color w:val="auto"/>
          <w:sz w:val="24"/>
          <w:szCs w:val="24"/>
        </w:rPr>
        <w:t xml:space="preserve">                     </w:t>
      </w:r>
      <w:r>
        <w:rPr>
          <w:rFonts w:hint="eastAsia" w:ascii="宋体" w:hAnsi="宋体" w:cs="宋体"/>
          <w:color w:val="auto"/>
          <w:sz w:val="24"/>
          <w:szCs w:val="24"/>
          <w:lang w:val="zh-CN"/>
        </w:rPr>
        <w:t>日期：</w:t>
      </w:r>
    </w:p>
    <w:p>
      <w:pPr>
        <w:autoSpaceDE w:val="0"/>
        <w:autoSpaceDN w:val="0"/>
        <w:adjustRightInd w:val="0"/>
        <w:snapToGrid w:val="0"/>
        <w:spacing w:line="560" w:lineRule="exact"/>
        <w:ind w:firstLine="1820" w:firstLineChars="650"/>
        <w:rPr>
          <w:rFonts w:ascii="宋体" w:hAnsi="宋体" w:cs="宋体"/>
          <w:color w:val="auto"/>
          <w:sz w:val="28"/>
          <w:szCs w:val="28"/>
          <w:lang w:val="zh-CN"/>
        </w:rPr>
      </w:pPr>
    </w:p>
    <w:p>
      <w:pPr>
        <w:autoSpaceDE w:val="0"/>
        <w:autoSpaceDN w:val="0"/>
        <w:adjustRightInd w:val="0"/>
        <w:snapToGrid w:val="0"/>
        <w:spacing w:line="560" w:lineRule="exact"/>
        <w:ind w:firstLine="1820" w:firstLineChars="650"/>
        <w:rPr>
          <w:rFonts w:ascii="宋体" w:hAnsi="宋体" w:cs="宋体"/>
          <w:color w:val="auto"/>
          <w:sz w:val="28"/>
          <w:szCs w:val="28"/>
          <w:lang w:val="zh-CN"/>
        </w:rPr>
      </w:pPr>
    </w:p>
    <w:p>
      <w:pPr>
        <w:autoSpaceDE w:val="0"/>
        <w:autoSpaceDN w:val="0"/>
        <w:adjustRightInd w:val="0"/>
        <w:snapToGrid w:val="0"/>
        <w:spacing w:line="560" w:lineRule="exact"/>
        <w:ind w:firstLine="1820" w:firstLineChars="650"/>
        <w:rPr>
          <w:rFonts w:ascii="宋体" w:hAnsi="宋体" w:cs="宋体"/>
          <w:color w:val="auto"/>
          <w:sz w:val="28"/>
          <w:szCs w:val="28"/>
          <w:lang w:val="zh-CN"/>
        </w:rPr>
      </w:pPr>
    </w:p>
    <w:p>
      <w:pPr>
        <w:autoSpaceDE w:val="0"/>
        <w:autoSpaceDN w:val="0"/>
        <w:adjustRightInd w:val="0"/>
        <w:snapToGrid w:val="0"/>
        <w:spacing w:line="560" w:lineRule="exact"/>
        <w:ind w:firstLine="1820" w:firstLineChars="650"/>
        <w:rPr>
          <w:rFonts w:ascii="宋体" w:hAnsi="宋体" w:cs="宋体"/>
          <w:color w:val="auto"/>
          <w:sz w:val="28"/>
          <w:szCs w:val="28"/>
          <w:lang w:val="zh-CN"/>
        </w:rPr>
      </w:pPr>
    </w:p>
    <w:p>
      <w:pPr>
        <w:autoSpaceDE w:val="0"/>
        <w:autoSpaceDN w:val="0"/>
        <w:adjustRightInd w:val="0"/>
        <w:snapToGrid w:val="0"/>
        <w:spacing w:line="560" w:lineRule="exact"/>
        <w:ind w:firstLine="1820" w:firstLineChars="650"/>
        <w:rPr>
          <w:rFonts w:ascii="宋体" w:hAnsi="宋体" w:cs="宋体"/>
          <w:color w:val="auto"/>
          <w:sz w:val="28"/>
          <w:szCs w:val="28"/>
          <w:lang w:val="zh-CN"/>
        </w:rPr>
      </w:pPr>
    </w:p>
    <w:p>
      <w:pPr>
        <w:autoSpaceDE w:val="0"/>
        <w:autoSpaceDN w:val="0"/>
        <w:adjustRightInd w:val="0"/>
        <w:snapToGrid w:val="0"/>
        <w:spacing w:line="560" w:lineRule="exact"/>
        <w:rPr>
          <w:rFonts w:ascii="宋体" w:hAnsi="宋体" w:cs="宋体"/>
          <w:color w:val="auto"/>
          <w:sz w:val="28"/>
          <w:szCs w:val="28"/>
          <w:lang w:val="zh-CN"/>
        </w:rPr>
      </w:pPr>
    </w:p>
    <w:p>
      <w:pPr>
        <w:autoSpaceDE w:val="0"/>
        <w:autoSpaceDN w:val="0"/>
        <w:adjustRightInd w:val="0"/>
        <w:snapToGrid w:val="0"/>
        <w:spacing w:line="560" w:lineRule="exact"/>
        <w:jc w:val="center"/>
        <w:rPr>
          <w:rFonts w:ascii="宋体" w:hAnsi="宋体" w:cs="宋体"/>
          <w:b/>
          <w:color w:val="auto"/>
          <w:sz w:val="36"/>
          <w:szCs w:val="36"/>
        </w:rPr>
      </w:pPr>
      <w:r>
        <w:rPr>
          <w:rFonts w:hint="eastAsia" w:ascii="宋体" w:hAnsi="宋体" w:cs="宋体"/>
          <w:b/>
          <w:bCs/>
          <w:color w:val="auto"/>
          <w:sz w:val="28"/>
          <w:szCs w:val="28"/>
          <w:lang w:val="zh-CN"/>
        </w:rPr>
        <w:t>第三部分   分项报价表</w:t>
      </w:r>
    </w:p>
    <w:p>
      <w:pPr>
        <w:spacing w:line="360" w:lineRule="auto"/>
        <w:jc w:val="left"/>
        <w:rPr>
          <w:rFonts w:ascii="宋体" w:hAnsi="宋体" w:cs="宋体"/>
          <w:color w:val="auto"/>
          <w:sz w:val="24"/>
          <w:szCs w:val="24"/>
        </w:rPr>
      </w:pPr>
    </w:p>
    <w:p>
      <w:pPr>
        <w:spacing w:line="360" w:lineRule="auto"/>
        <w:ind w:firstLine="240" w:firstLineChars="100"/>
        <w:jc w:val="left"/>
        <w:rPr>
          <w:rFonts w:ascii="宋体" w:hAnsi="宋体" w:cs="宋体"/>
          <w:color w:val="auto"/>
          <w:sz w:val="24"/>
          <w:szCs w:val="24"/>
        </w:rPr>
      </w:pPr>
      <w:r>
        <w:rPr>
          <w:rFonts w:hint="eastAsia" w:ascii="宋体" w:hAnsi="宋体" w:cs="宋体"/>
          <w:color w:val="auto"/>
          <w:sz w:val="24"/>
          <w:szCs w:val="24"/>
        </w:rPr>
        <w:t>供应商名称：                                  项目编号：</w:t>
      </w:r>
    </w:p>
    <w:tbl>
      <w:tblPr>
        <w:tblStyle w:val="36"/>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861"/>
        <w:gridCol w:w="1267"/>
        <w:gridCol w:w="731"/>
        <w:gridCol w:w="1127"/>
        <w:gridCol w:w="830"/>
        <w:gridCol w:w="764"/>
        <w:gridCol w:w="1245"/>
        <w:gridCol w:w="114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547" w:type="dxa"/>
            <w:tcBorders>
              <w:top w:val="single" w:color="auto" w:sz="12" w:space="0"/>
              <w:left w:val="single" w:color="auto" w:sz="12" w:space="0"/>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1861"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货物名称</w:t>
            </w:r>
          </w:p>
        </w:tc>
        <w:tc>
          <w:tcPr>
            <w:tcW w:w="1267"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型号规格</w:t>
            </w:r>
          </w:p>
        </w:tc>
        <w:tc>
          <w:tcPr>
            <w:tcW w:w="731"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品牌</w:t>
            </w:r>
          </w:p>
        </w:tc>
        <w:tc>
          <w:tcPr>
            <w:tcW w:w="1127"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生产</w:t>
            </w:r>
          </w:p>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厂家</w:t>
            </w:r>
          </w:p>
        </w:tc>
        <w:tc>
          <w:tcPr>
            <w:tcW w:w="830"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单位</w:t>
            </w:r>
          </w:p>
        </w:tc>
        <w:tc>
          <w:tcPr>
            <w:tcW w:w="764"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数量</w:t>
            </w:r>
          </w:p>
        </w:tc>
        <w:tc>
          <w:tcPr>
            <w:tcW w:w="1245"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单价（元）</w:t>
            </w:r>
          </w:p>
        </w:tc>
        <w:tc>
          <w:tcPr>
            <w:tcW w:w="1140" w:type="dxa"/>
            <w:tcBorders>
              <w:top w:val="single" w:color="auto" w:sz="12" w:space="0"/>
              <w:left w:val="nil"/>
              <w:bottom w:val="single" w:color="auto" w:sz="4" w:space="0"/>
              <w:right w:val="single" w:color="auto" w:sz="4" w:space="0"/>
            </w:tcBorders>
            <w:vAlign w:val="center"/>
          </w:tcPr>
          <w:p>
            <w:pPr>
              <w:snapToGrid w:val="0"/>
              <w:spacing w:line="273" w:lineRule="auto"/>
              <w:jc w:val="center"/>
              <w:rPr>
                <w:rFonts w:ascii="宋体" w:hAnsi="宋体" w:cs="宋体"/>
                <w:b/>
                <w:bCs/>
                <w:color w:val="auto"/>
                <w:sz w:val="24"/>
                <w:szCs w:val="24"/>
              </w:rPr>
            </w:pPr>
            <w:r>
              <w:rPr>
                <w:rFonts w:hint="eastAsia" w:ascii="宋体" w:hAnsi="宋体" w:cs="宋体"/>
                <w:b/>
                <w:bCs/>
                <w:color w:val="auto"/>
                <w:sz w:val="24"/>
                <w:szCs w:val="24"/>
              </w:rPr>
              <w:t>金额（元）</w:t>
            </w:r>
          </w:p>
        </w:tc>
        <w:tc>
          <w:tcPr>
            <w:tcW w:w="878" w:type="dxa"/>
            <w:tcBorders>
              <w:top w:val="single" w:color="auto" w:sz="12" w:space="0"/>
              <w:left w:val="nil"/>
              <w:bottom w:val="single" w:color="auto" w:sz="4" w:space="0"/>
              <w:right w:val="single" w:color="auto" w:sz="12" w:space="0"/>
            </w:tcBorders>
            <w:vAlign w:val="center"/>
          </w:tcPr>
          <w:p>
            <w:pPr>
              <w:snapToGrid w:val="0"/>
              <w:spacing w:line="273" w:lineRule="auto"/>
              <w:ind w:left="105" w:leftChars="50"/>
              <w:jc w:val="center"/>
              <w:rPr>
                <w:rFonts w:ascii="宋体" w:hAnsi="宋体" w:cs="宋体"/>
                <w:b/>
                <w:bCs/>
                <w:color w:val="auto"/>
                <w:sz w:val="24"/>
                <w:szCs w:val="24"/>
              </w:rPr>
            </w:pPr>
            <w:r>
              <w:rPr>
                <w:rFonts w:hint="eastAsia" w:ascii="宋体" w:hAnsi="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26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pPr>
              <w:snapToGrid w:val="0"/>
              <w:spacing w:line="400" w:lineRule="exact"/>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pPr>
              <w:snapToGri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26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pPr>
              <w:snapToGrid w:val="0"/>
              <w:spacing w:line="400" w:lineRule="exact"/>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pPr>
              <w:snapToGri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26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pPr>
              <w:snapToGrid w:val="0"/>
              <w:spacing w:line="400" w:lineRule="exact"/>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pPr>
              <w:snapToGri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货物运达指定地点的运杂费（含运输费、保险费等）</w:t>
            </w:r>
          </w:p>
        </w:tc>
        <w:tc>
          <w:tcPr>
            <w:tcW w:w="126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pPr>
              <w:snapToGrid w:val="0"/>
              <w:spacing w:line="400" w:lineRule="exact"/>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pPr>
              <w:snapToGri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安装调试费</w:t>
            </w:r>
          </w:p>
        </w:tc>
        <w:tc>
          <w:tcPr>
            <w:tcW w:w="126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pPr>
              <w:snapToGrid w:val="0"/>
              <w:spacing w:line="400" w:lineRule="exact"/>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pPr>
              <w:snapToGri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检测验收费</w:t>
            </w:r>
          </w:p>
        </w:tc>
        <w:tc>
          <w:tcPr>
            <w:tcW w:w="126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pPr>
              <w:snapToGrid w:val="0"/>
              <w:spacing w:line="400" w:lineRule="exact"/>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pPr>
              <w:snapToGri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其它</w:t>
            </w:r>
          </w:p>
        </w:tc>
        <w:tc>
          <w:tcPr>
            <w:tcW w:w="126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3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27"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3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764" w:type="dxa"/>
            <w:tcBorders>
              <w:top w:val="single" w:color="auto" w:sz="4" w:space="0"/>
              <w:left w:val="nil"/>
              <w:bottom w:val="single" w:color="auto" w:sz="4" w:space="0"/>
              <w:right w:val="single" w:color="auto" w:sz="4" w:space="0"/>
            </w:tcBorders>
          </w:tcPr>
          <w:p>
            <w:pPr>
              <w:snapToGrid w:val="0"/>
              <w:spacing w:line="400" w:lineRule="exact"/>
              <w:jc w:val="center"/>
              <w:rPr>
                <w:rFonts w:ascii="宋体" w:hAnsi="宋体" w:cs="宋体"/>
                <w:color w:val="auto"/>
                <w:sz w:val="24"/>
                <w:szCs w:val="24"/>
              </w:rPr>
            </w:pPr>
          </w:p>
        </w:tc>
        <w:tc>
          <w:tcPr>
            <w:tcW w:w="124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140"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878" w:type="dxa"/>
            <w:tcBorders>
              <w:top w:val="single" w:color="auto" w:sz="4" w:space="0"/>
              <w:left w:val="nil"/>
              <w:bottom w:val="single" w:color="auto" w:sz="4" w:space="0"/>
              <w:right w:val="single" w:color="auto" w:sz="12" w:space="0"/>
            </w:tcBorders>
            <w:vAlign w:val="center"/>
          </w:tcPr>
          <w:p>
            <w:pPr>
              <w:snapToGri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547"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p>
        </w:tc>
        <w:tc>
          <w:tcPr>
            <w:tcW w:w="1861"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合计（元）</w:t>
            </w:r>
          </w:p>
        </w:tc>
        <w:tc>
          <w:tcPr>
            <w:tcW w:w="7982" w:type="dxa"/>
            <w:gridSpan w:val="8"/>
            <w:tcBorders>
              <w:top w:val="single" w:color="auto" w:sz="4" w:space="0"/>
              <w:left w:val="nil"/>
              <w:bottom w:val="single" w:color="auto" w:sz="4" w:space="0"/>
              <w:right w:val="single" w:color="auto" w:sz="12" w:space="0"/>
            </w:tcBorders>
            <w:vAlign w:val="center"/>
          </w:tcPr>
          <w:p>
            <w:pPr>
              <w:snapToGrid w:val="0"/>
              <w:spacing w:line="400" w:lineRule="exact"/>
              <w:rPr>
                <w:rFonts w:ascii="宋体" w:hAnsi="宋体" w:cs="宋体"/>
                <w:color w:val="auto"/>
                <w:sz w:val="24"/>
                <w:szCs w:val="24"/>
              </w:rPr>
            </w:pPr>
            <w:r>
              <w:rPr>
                <w:rFonts w:hint="eastAsia" w:ascii="宋体" w:hAnsi="宋体" w:cs="宋体"/>
                <w:color w:val="auto"/>
                <w:sz w:val="24"/>
                <w:szCs w:val="24"/>
              </w:rPr>
              <w:t>小写：</w:t>
            </w:r>
          </w:p>
          <w:p>
            <w:pPr>
              <w:snapToGrid w:val="0"/>
              <w:spacing w:line="400" w:lineRule="exact"/>
              <w:rPr>
                <w:rFonts w:ascii="宋体" w:hAnsi="宋体" w:cs="宋体"/>
                <w:color w:val="auto"/>
                <w:sz w:val="24"/>
                <w:szCs w:val="24"/>
              </w:rPr>
            </w:pPr>
            <w:r>
              <w:rPr>
                <w:rFonts w:hint="eastAsia" w:ascii="宋体" w:hAnsi="宋体" w:cs="宋体"/>
                <w:color w:val="auto"/>
                <w:sz w:val="24"/>
                <w:szCs w:val="24"/>
              </w:rPr>
              <w:t>大写：</w:t>
            </w:r>
          </w:p>
        </w:tc>
      </w:tr>
    </w:tbl>
    <w:p>
      <w:pPr>
        <w:rPr>
          <w:color w:val="auto"/>
        </w:rPr>
      </w:pPr>
    </w:p>
    <w:p>
      <w:pPr>
        <w:spacing w:before="120" w:beforeLines="50" w:line="360" w:lineRule="auto"/>
        <w:ind w:firstLine="420" w:firstLineChars="200"/>
        <w:rPr>
          <w:rFonts w:ascii="宋体" w:hAnsi="宋体" w:cs="宋体"/>
          <w:color w:val="auto"/>
          <w:szCs w:val="21"/>
        </w:rPr>
      </w:pPr>
      <w:r>
        <w:rPr>
          <w:rFonts w:hint="eastAsia" w:ascii="宋体" w:hAnsi="宋体" w:cs="宋体"/>
          <w:color w:val="auto"/>
          <w:szCs w:val="21"/>
        </w:rPr>
        <w:t>注：1、谈判供应商必须按“分项报价表”的格式详细报出谈判价的各个组成部分的报价，否则作无效文件处理；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2、“分项报价表”各分项报价合计应当与“第一次谈判报价表”总报价相等；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3、“分项报价表”报价最多保留小数点后两位；</w:t>
      </w:r>
    </w:p>
    <w:p>
      <w:pPr>
        <w:spacing w:line="360" w:lineRule="auto"/>
        <w:ind w:firstLine="420" w:firstLineChars="200"/>
        <w:rPr>
          <w:rFonts w:ascii="宋体" w:hAnsi="宋体" w:cs="宋体"/>
          <w:color w:val="auto"/>
          <w:szCs w:val="21"/>
        </w:rPr>
      </w:pPr>
      <w:r>
        <w:rPr>
          <w:rFonts w:hint="eastAsia" w:ascii="宋体" w:hAnsi="宋体" w:cs="宋体"/>
          <w:color w:val="auto"/>
          <w:szCs w:val="21"/>
        </w:rPr>
        <w:t>4、如果按单价计算的结果与金额不一致时，以单价为准修正金额；</w:t>
      </w:r>
    </w:p>
    <w:p>
      <w:pPr>
        <w:spacing w:line="360" w:lineRule="auto"/>
        <w:ind w:firstLine="420" w:firstLineChars="200"/>
        <w:rPr>
          <w:rFonts w:ascii="宋体" w:hAnsi="宋体" w:cs="宋体"/>
          <w:color w:val="auto"/>
          <w:szCs w:val="21"/>
        </w:rPr>
      </w:pPr>
      <w:r>
        <w:rPr>
          <w:rFonts w:hint="eastAsia" w:ascii="宋体" w:hAnsi="宋体" w:cs="宋体"/>
          <w:color w:val="auto"/>
          <w:szCs w:val="21"/>
        </w:rPr>
        <w:t>5、对具体附属的服务项目进行说明。</w:t>
      </w:r>
    </w:p>
    <w:p>
      <w:pPr>
        <w:pStyle w:val="6"/>
        <w:rPr>
          <w:rFonts w:ascii="宋体" w:hAnsi="宋体" w:eastAsia="宋体" w:cs="宋体"/>
          <w:color w:val="auto"/>
        </w:rPr>
      </w:pPr>
    </w:p>
    <w:p>
      <w:pPr>
        <w:autoSpaceDE w:val="0"/>
        <w:autoSpaceDN w:val="0"/>
        <w:adjustRightInd w:val="0"/>
        <w:snapToGrid w:val="0"/>
        <w:spacing w:line="360" w:lineRule="auto"/>
        <w:ind w:firstLine="240" w:firstLineChars="100"/>
        <w:rPr>
          <w:rFonts w:ascii="宋体" w:hAnsi="宋体" w:cs="宋体"/>
          <w:color w:val="auto"/>
          <w:sz w:val="24"/>
          <w:szCs w:val="24"/>
          <w:lang w:val="zh-CN"/>
        </w:rPr>
      </w:pPr>
      <w:r>
        <w:rPr>
          <w:rFonts w:hint="eastAsia" w:ascii="宋体" w:hAnsi="宋体" w:cs="宋体"/>
          <w:color w:val="auto"/>
          <w:sz w:val="24"/>
          <w:szCs w:val="24"/>
          <w:lang w:val="zh-CN"/>
        </w:rPr>
        <w:t>供应商名称：（盖章）</w:t>
      </w:r>
    </w:p>
    <w:p>
      <w:pPr>
        <w:autoSpaceDE w:val="0"/>
        <w:autoSpaceDN w:val="0"/>
        <w:adjustRightInd w:val="0"/>
        <w:snapToGrid w:val="0"/>
        <w:spacing w:line="360" w:lineRule="auto"/>
        <w:ind w:firstLine="240" w:firstLineChars="100"/>
        <w:rPr>
          <w:rFonts w:ascii="宋体" w:hAnsi="宋体" w:cs="宋体"/>
          <w:color w:val="auto"/>
          <w:sz w:val="24"/>
          <w:szCs w:val="24"/>
          <w:lang w:val="zh-CN"/>
        </w:rPr>
      </w:pPr>
      <w:r>
        <w:rPr>
          <w:rFonts w:hint="eastAsia" w:ascii="宋体" w:hAnsi="宋体" w:cs="宋体"/>
          <w:color w:val="auto"/>
          <w:sz w:val="24"/>
          <w:szCs w:val="24"/>
          <w:lang w:val="zh-CN"/>
        </w:rPr>
        <w:t>法定代表人或授权代表（签名或盖章）：         日期：</w:t>
      </w:r>
    </w:p>
    <w:p>
      <w:pPr>
        <w:pStyle w:val="17"/>
        <w:rPr>
          <w:rFonts w:ascii="宋体" w:hAnsi="宋体" w:cs="宋体"/>
          <w:color w:val="auto"/>
        </w:rPr>
      </w:pPr>
    </w:p>
    <w:p>
      <w:pPr>
        <w:pStyle w:val="30"/>
        <w:rPr>
          <w:rFonts w:ascii="宋体" w:hAnsi="宋体" w:eastAsia="宋体" w:cs="宋体"/>
          <w:color w:val="auto"/>
        </w:rPr>
      </w:pPr>
    </w:p>
    <w:p>
      <w:pPr>
        <w:pStyle w:val="30"/>
        <w:rPr>
          <w:rFonts w:ascii="宋体" w:hAnsi="宋体" w:eastAsia="宋体" w:cs="宋体"/>
          <w:color w:val="auto"/>
        </w:rPr>
      </w:pPr>
    </w:p>
    <w:p>
      <w:pPr>
        <w:pStyle w:val="12"/>
        <w:ind w:firstLine="0"/>
        <w:rPr>
          <w:rFonts w:ascii="宋体" w:hAnsi="宋体" w:cs="宋体"/>
          <w:color w:val="auto"/>
          <w:highlight w:val="yellow"/>
          <w:lang w:val="zh-CN"/>
        </w:rPr>
      </w:pPr>
    </w:p>
    <w:p>
      <w:pPr>
        <w:rPr>
          <w:rFonts w:ascii="宋体" w:hAnsi="宋体" w:cs="宋体"/>
          <w:color w:val="auto"/>
          <w:highlight w:val="yellow"/>
          <w:lang w:val="zh-CN"/>
        </w:rPr>
      </w:pPr>
    </w:p>
    <w:p>
      <w:pPr>
        <w:adjustRightInd w:val="0"/>
        <w:snapToGri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rPr>
        <w:t>第四部分  货物</w:t>
      </w:r>
      <w:r>
        <w:rPr>
          <w:rFonts w:hint="eastAsia" w:ascii="宋体" w:hAnsi="宋体" w:cs="宋体"/>
          <w:b/>
          <w:bCs/>
          <w:color w:val="auto"/>
          <w:sz w:val="28"/>
          <w:szCs w:val="28"/>
          <w:lang w:val="zh-CN"/>
        </w:rPr>
        <w:t>说明一览表</w:t>
      </w:r>
    </w:p>
    <w:p>
      <w:pPr>
        <w:pStyle w:val="12"/>
        <w:ind w:firstLine="140" w:firstLineChars="67"/>
        <w:rPr>
          <w:rFonts w:ascii="宋体" w:hAnsi="宋体" w:cs="宋体"/>
          <w:color w:val="auto"/>
          <w:szCs w:val="21"/>
        </w:rPr>
      </w:pPr>
    </w:p>
    <w:p>
      <w:pPr>
        <w:pStyle w:val="12"/>
        <w:ind w:firstLine="160" w:firstLineChars="67"/>
        <w:rPr>
          <w:rFonts w:ascii="宋体" w:hAnsi="宋体" w:cs="宋体"/>
          <w:color w:val="auto"/>
          <w:sz w:val="24"/>
          <w:szCs w:val="24"/>
        </w:rPr>
      </w:pPr>
      <w:r>
        <w:rPr>
          <w:rFonts w:hint="eastAsia" w:ascii="宋体" w:hAnsi="宋体" w:cs="宋体"/>
          <w:color w:val="auto"/>
          <w:sz w:val="24"/>
          <w:szCs w:val="24"/>
        </w:rPr>
        <w:t>供应商名称:                                       项目编号：</w:t>
      </w:r>
    </w:p>
    <w:p>
      <w:pPr>
        <w:rPr>
          <w:color w:val="auto"/>
        </w:rPr>
      </w:pPr>
    </w:p>
    <w:tbl>
      <w:tblPr>
        <w:tblStyle w:val="3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74"/>
        <w:gridCol w:w="1203"/>
        <w:gridCol w:w="1963"/>
        <w:gridCol w:w="1317"/>
        <w:gridCol w:w="1051"/>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序号</w:t>
            </w:r>
          </w:p>
        </w:tc>
        <w:tc>
          <w:tcPr>
            <w:tcW w:w="1374" w:type="dxa"/>
            <w:vAlign w:val="center"/>
          </w:tcPr>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货物名称</w:t>
            </w:r>
          </w:p>
        </w:tc>
        <w:tc>
          <w:tcPr>
            <w:tcW w:w="1203" w:type="dxa"/>
            <w:vAlign w:val="center"/>
          </w:tcPr>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品牌</w:t>
            </w:r>
          </w:p>
        </w:tc>
        <w:tc>
          <w:tcPr>
            <w:tcW w:w="1963" w:type="dxa"/>
            <w:vAlign w:val="center"/>
          </w:tcPr>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规格技术参数</w:t>
            </w:r>
          </w:p>
        </w:tc>
        <w:tc>
          <w:tcPr>
            <w:tcW w:w="1317" w:type="dxa"/>
            <w:vAlign w:val="center"/>
          </w:tcPr>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生产厂家</w:t>
            </w:r>
          </w:p>
        </w:tc>
        <w:tc>
          <w:tcPr>
            <w:tcW w:w="1051" w:type="dxa"/>
            <w:vAlign w:val="center"/>
          </w:tcPr>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数量</w:t>
            </w:r>
          </w:p>
        </w:tc>
        <w:tc>
          <w:tcPr>
            <w:tcW w:w="1562" w:type="dxa"/>
            <w:vAlign w:val="center"/>
          </w:tcPr>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交货期</w:t>
            </w:r>
          </w:p>
          <w:p>
            <w:pPr>
              <w:snapToGrid w:val="0"/>
              <w:spacing w:line="276" w:lineRule="auto"/>
              <w:ind w:firstLine="17" w:firstLineChars="8"/>
              <w:jc w:val="center"/>
              <w:rPr>
                <w:rFonts w:ascii="宋体" w:hAnsi="宋体" w:cs="宋体"/>
                <w:b/>
                <w:color w:val="auto"/>
                <w:szCs w:val="21"/>
              </w:rPr>
            </w:pPr>
            <w:r>
              <w:rPr>
                <w:rFonts w:hint="eastAsia" w:ascii="宋体" w:hAnsi="宋体" w:cs="宋体"/>
                <w:b/>
                <w:color w:val="auto"/>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ind w:firstLine="16" w:firstLineChars="8"/>
              <w:jc w:val="center"/>
              <w:rPr>
                <w:rFonts w:ascii="宋体" w:hAnsi="宋体" w:cs="宋体"/>
                <w:color w:val="auto"/>
                <w:szCs w:val="21"/>
              </w:rPr>
            </w:pPr>
          </w:p>
        </w:tc>
        <w:tc>
          <w:tcPr>
            <w:tcW w:w="1374" w:type="dxa"/>
            <w:vAlign w:val="center"/>
          </w:tcPr>
          <w:p>
            <w:pPr>
              <w:pStyle w:val="12"/>
              <w:ind w:firstLine="16" w:firstLineChars="8"/>
              <w:jc w:val="center"/>
              <w:rPr>
                <w:rFonts w:ascii="宋体" w:hAnsi="宋体" w:cs="宋体"/>
                <w:color w:val="auto"/>
                <w:szCs w:val="21"/>
              </w:rPr>
            </w:pPr>
          </w:p>
        </w:tc>
        <w:tc>
          <w:tcPr>
            <w:tcW w:w="1203" w:type="dxa"/>
            <w:vAlign w:val="center"/>
          </w:tcPr>
          <w:p>
            <w:pPr>
              <w:pStyle w:val="12"/>
              <w:ind w:firstLine="16" w:firstLineChars="8"/>
              <w:jc w:val="center"/>
              <w:rPr>
                <w:rFonts w:ascii="宋体" w:hAnsi="宋体" w:cs="宋体"/>
                <w:color w:val="auto"/>
                <w:szCs w:val="21"/>
              </w:rPr>
            </w:pPr>
          </w:p>
        </w:tc>
        <w:tc>
          <w:tcPr>
            <w:tcW w:w="1963" w:type="dxa"/>
            <w:vAlign w:val="center"/>
          </w:tcPr>
          <w:p>
            <w:pPr>
              <w:pStyle w:val="12"/>
              <w:ind w:firstLine="16" w:firstLineChars="8"/>
              <w:jc w:val="center"/>
              <w:rPr>
                <w:rFonts w:ascii="宋体" w:hAnsi="宋体" w:cs="宋体"/>
                <w:color w:val="auto"/>
                <w:szCs w:val="21"/>
              </w:rPr>
            </w:pPr>
          </w:p>
        </w:tc>
        <w:tc>
          <w:tcPr>
            <w:tcW w:w="1317" w:type="dxa"/>
            <w:vAlign w:val="center"/>
          </w:tcPr>
          <w:p>
            <w:pPr>
              <w:pStyle w:val="12"/>
              <w:ind w:firstLine="16" w:firstLineChars="8"/>
              <w:jc w:val="center"/>
              <w:rPr>
                <w:rFonts w:ascii="宋体" w:hAnsi="宋体" w:cs="宋体"/>
                <w:color w:val="auto"/>
                <w:szCs w:val="21"/>
              </w:rPr>
            </w:pPr>
          </w:p>
        </w:tc>
        <w:tc>
          <w:tcPr>
            <w:tcW w:w="1051" w:type="dxa"/>
            <w:vAlign w:val="center"/>
          </w:tcPr>
          <w:p>
            <w:pPr>
              <w:pStyle w:val="12"/>
              <w:ind w:firstLine="16" w:firstLineChars="8"/>
              <w:jc w:val="center"/>
              <w:rPr>
                <w:rFonts w:ascii="宋体" w:hAnsi="宋体" w:cs="宋体"/>
                <w:color w:val="auto"/>
                <w:szCs w:val="21"/>
              </w:rPr>
            </w:pPr>
          </w:p>
        </w:tc>
        <w:tc>
          <w:tcPr>
            <w:tcW w:w="1562" w:type="dxa"/>
            <w:vAlign w:val="center"/>
          </w:tcPr>
          <w:p>
            <w:pPr>
              <w:pStyle w:val="12"/>
              <w:ind w:firstLine="16" w:firstLineChars="8"/>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ind w:firstLine="16" w:firstLineChars="8"/>
              <w:jc w:val="center"/>
              <w:rPr>
                <w:rFonts w:ascii="宋体" w:hAnsi="宋体" w:cs="宋体"/>
                <w:color w:val="auto"/>
                <w:szCs w:val="21"/>
              </w:rPr>
            </w:pPr>
          </w:p>
        </w:tc>
        <w:tc>
          <w:tcPr>
            <w:tcW w:w="1374" w:type="dxa"/>
            <w:vAlign w:val="center"/>
          </w:tcPr>
          <w:p>
            <w:pPr>
              <w:pStyle w:val="12"/>
              <w:ind w:firstLine="16" w:firstLineChars="8"/>
              <w:jc w:val="center"/>
              <w:rPr>
                <w:rFonts w:ascii="宋体" w:hAnsi="宋体" w:cs="宋体"/>
                <w:color w:val="auto"/>
                <w:szCs w:val="21"/>
              </w:rPr>
            </w:pPr>
          </w:p>
        </w:tc>
        <w:tc>
          <w:tcPr>
            <w:tcW w:w="1203" w:type="dxa"/>
            <w:vAlign w:val="center"/>
          </w:tcPr>
          <w:p>
            <w:pPr>
              <w:pStyle w:val="12"/>
              <w:ind w:firstLine="16" w:firstLineChars="8"/>
              <w:jc w:val="center"/>
              <w:rPr>
                <w:rFonts w:ascii="宋体" w:hAnsi="宋体" w:cs="宋体"/>
                <w:color w:val="auto"/>
                <w:szCs w:val="21"/>
              </w:rPr>
            </w:pPr>
          </w:p>
        </w:tc>
        <w:tc>
          <w:tcPr>
            <w:tcW w:w="1963" w:type="dxa"/>
            <w:vAlign w:val="center"/>
          </w:tcPr>
          <w:p>
            <w:pPr>
              <w:pStyle w:val="12"/>
              <w:ind w:firstLine="16" w:firstLineChars="8"/>
              <w:jc w:val="center"/>
              <w:rPr>
                <w:rFonts w:ascii="宋体" w:hAnsi="宋体" w:cs="宋体"/>
                <w:color w:val="auto"/>
                <w:szCs w:val="21"/>
              </w:rPr>
            </w:pPr>
          </w:p>
        </w:tc>
        <w:tc>
          <w:tcPr>
            <w:tcW w:w="1317" w:type="dxa"/>
            <w:vAlign w:val="center"/>
          </w:tcPr>
          <w:p>
            <w:pPr>
              <w:pStyle w:val="12"/>
              <w:ind w:firstLine="16" w:firstLineChars="8"/>
              <w:jc w:val="center"/>
              <w:rPr>
                <w:rFonts w:ascii="宋体" w:hAnsi="宋体" w:cs="宋体"/>
                <w:color w:val="auto"/>
                <w:szCs w:val="21"/>
              </w:rPr>
            </w:pPr>
          </w:p>
        </w:tc>
        <w:tc>
          <w:tcPr>
            <w:tcW w:w="1051" w:type="dxa"/>
            <w:vAlign w:val="center"/>
          </w:tcPr>
          <w:p>
            <w:pPr>
              <w:pStyle w:val="12"/>
              <w:ind w:firstLine="16" w:firstLineChars="8"/>
              <w:jc w:val="center"/>
              <w:rPr>
                <w:rFonts w:ascii="宋体" w:hAnsi="宋体" w:cs="宋体"/>
                <w:color w:val="auto"/>
                <w:szCs w:val="21"/>
              </w:rPr>
            </w:pPr>
          </w:p>
        </w:tc>
        <w:tc>
          <w:tcPr>
            <w:tcW w:w="1562" w:type="dxa"/>
            <w:vAlign w:val="center"/>
          </w:tcPr>
          <w:p>
            <w:pPr>
              <w:pStyle w:val="12"/>
              <w:ind w:firstLine="16" w:firstLineChars="8"/>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ind w:firstLine="16" w:firstLineChars="8"/>
              <w:jc w:val="center"/>
              <w:rPr>
                <w:rFonts w:ascii="宋体" w:hAnsi="宋体" w:cs="宋体"/>
                <w:color w:val="auto"/>
                <w:szCs w:val="21"/>
              </w:rPr>
            </w:pPr>
          </w:p>
        </w:tc>
        <w:tc>
          <w:tcPr>
            <w:tcW w:w="1374" w:type="dxa"/>
            <w:vAlign w:val="center"/>
          </w:tcPr>
          <w:p>
            <w:pPr>
              <w:pStyle w:val="12"/>
              <w:ind w:firstLine="16" w:firstLineChars="8"/>
              <w:jc w:val="center"/>
              <w:rPr>
                <w:rFonts w:ascii="宋体" w:hAnsi="宋体" w:cs="宋体"/>
                <w:color w:val="auto"/>
                <w:szCs w:val="21"/>
              </w:rPr>
            </w:pPr>
          </w:p>
        </w:tc>
        <w:tc>
          <w:tcPr>
            <w:tcW w:w="1203" w:type="dxa"/>
            <w:vAlign w:val="center"/>
          </w:tcPr>
          <w:p>
            <w:pPr>
              <w:pStyle w:val="12"/>
              <w:ind w:firstLine="16" w:firstLineChars="8"/>
              <w:jc w:val="center"/>
              <w:rPr>
                <w:rFonts w:ascii="宋体" w:hAnsi="宋体" w:cs="宋体"/>
                <w:color w:val="auto"/>
                <w:szCs w:val="21"/>
              </w:rPr>
            </w:pPr>
          </w:p>
        </w:tc>
        <w:tc>
          <w:tcPr>
            <w:tcW w:w="1963" w:type="dxa"/>
            <w:vAlign w:val="center"/>
          </w:tcPr>
          <w:p>
            <w:pPr>
              <w:pStyle w:val="12"/>
              <w:ind w:firstLine="16" w:firstLineChars="8"/>
              <w:jc w:val="center"/>
              <w:rPr>
                <w:rFonts w:ascii="宋体" w:hAnsi="宋体" w:cs="宋体"/>
                <w:color w:val="auto"/>
                <w:szCs w:val="21"/>
              </w:rPr>
            </w:pPr>
          </w:p>
        </w:tc>
        <w:tc>
          <w:tcPr>
            <w:tcW w:w="1317" w:type="dxa"/>
            <w:vAlign w:val="center"/>
          </w:tcPr>
          <w:p>
            <w:pPr>
              <w:pStyle w:val="12"/>
              <w:ind w:firstLine="16" w:firstLineChars="8"/>
              <w:jc w:val="center"/>
              <w:rPr>
                <w:rFonts w:ascii="宋体" w:hAnsi="宋体" w:cs="宋体"/>
                <w:color w:val="auto"/>
                <w:szCs w:val="21"/>
              </w:rPr>
            </w:pPr>
          </w:p>
        </w:tc>
        <w:tc>
          <w:tcPr>
            <w:tcW w:w="1051" w:type="dxa"/>
            <w:vAlign w:val="center"/>
          </w:tcPr>
          <w:p>
            <w:pPr>
              <w:pStyle w:val="12"/>
              <w:ind w:firstLine="16" w:firstLineChars="8"/>
              <w:jc w:val="center"/>
              <w:rPr>
                <w:rFonts w:ascii="宋体" w:hAnsi="宋体" w:cs="宋体"/>
                <w:color w:val="auto"/>
                <w:szCs w:val="21"/>
              </w:rPr>
            </w:pPr>
          </w:p>
        </w:tc>
        <w:tc>
          <w:tcPr>
            <w:tcW w:w="1562" w:type="dxa"/>
            <w:vAlign w:val="center"/>
          </w:tcPr>
          <w:p>
            <w:pPr>
              <w:pStyle w:val="12"/>
              <w:ind w:firstLine="16" w:firstLineChars="8"/>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ind w:firstLine="16" w:firstLineChars="8"/>
              <w:jc w:val="center"/>
              <w:rPr>
                <w:rFonts w:ascii="宋体" w:hAnsi="宋体" w:cs="宋体"/>
                <w:color w:val="auto"/>
                <w:szCs w:val="21"/>
              </w:rPr>
            </w:pPr>
          </w:p>
        </w:tc>
        <w:tc>
          <w:tcPr>
            <w:tcW w:w="1374" w:type="dxa"/>
            <w:vAlign w:val="center"/>
          </w:tcPr>
          <w:p>
            <w:pPr>
              <w:pStyle w:val="12"/>
              <w:ind w:firstLine="16" w:firstLineChars="8"/>
              <w:jc w:val="center"/>
              <w:rPr>
                <w:rFonts w:ascii="宋体" w:hAnsi="宋体" w:cs="宋体"/>
                <w:color w:val="auto"/>
                <w:szCs w:val="21"/>
              </w:rPr>
            </w:pPr>
          </w:p>
        </w:tc>
        <w:tc>
          <w:tcPr>
            <w:tcW w:w="1203" w:type="dxa"/>
            <w:vAlign w:val="center"/>
          </w:tcPr>
          <w:p>
            <w:pPr>
              <w:pStyle w:val="12"/>
              <w:ind w:firstLine="16" w:firstLineChars="8"/>
              <w:jc w:val="center"/>
              <w:rPr>
                <w:rFonts w:ascii="宋体" w:hAnsi="宋体" w:cs="宋体"/>
                <w:color w:val="auto"/>
                <w:szCs w:val="21"/>
              </w:rPr>
            </w:pPr>
          </w:p>
        </w:tc>
        <w:tc>
          <w:tcPr>
            <w:tcW w:w="1963" w:type="dxa"/>
            <w:vAlign w:val="center"/>
          </w:tcPr>
          <w:p>
            <w:pPr>
              <w:pStyle w:val="12"/>
              <w:ind w:firstLine="16" w:firstLineChars="8"/>
              <w:jc w:val="center"/>
              <w:rPr>
                <w:rFonts w:ascii="宋体" w:hAnsi="宋体" w:cs="宋体"/>
                <w:color w:val="auto"/>
                <w:szCs w:val="21"/>
              </w:rPr>
            </w:pPr>
          </w:p>
        </w:tc>
        <w:tc>
          <w:tcPr>
            <w:tcW w:w="1317" w:type="dxa"/>
            <w:vAlign w:val="center"/>
          </w:tcPr>
          <w:p>
            <w:pPr>
              <w:pStyle w:val="12"/>
              <w:ind w:firstLine="16" w:firstLineChars="8"/>
              <w:jc w:val="center"/>
              <w:rPr>
                <w:rFonts w:ascii="宋体" w:hAnsi="宋体" w:cs="宋体"/>
                <w:color w:val="auto"/>
                <w:szCs w:val="21"/>
              </w:rPr>
            </w:pPr>
          </w:p>
        </w:tc>
        <w:tc>
          <w:tcPr>
            <w:tcW w:w="1051" w:type="dxa"/>
            <w:vAlign w:val="center"/>
          </w:tcPr>
          <w:p>
            <w:pPr>
              <w:pStyle w:val="12"/>
              <w:ind w:firstLine="16" w:firstLineChars="8"/>
              <w:jc w:val="center"/>
              <w:rPr>
                <w:rFonts w:ascii="宋体" w:hAnsi="宋体" w:cs="宋体"/>
                <w:color w:val="auto"/>
                <w:szCs w:val="21"/>
              </w:rPr>
            </w:pPr>
          </w:p>
        </w:tc>
        <w:tc>
          <w:tcPr>
            <w:tcW w:w="1562" w:type="dxa"/>
            <w:vAlign w:val="center"/>
          </w:tcPr>
          <w:p>
            <w:pPr>
              <w:pStyle w:val="12"/>
              <w:ind w:firstLine="16" w:firstLineChars="8"/>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ind w:firstLine="16" w:firstLineChars="8"/>
              <w:jc w:val="center"/>
              <w:rPr>
                <w:rFonts w:ascii="宋体" w:hAnsi="宋体" w:cs="宋体"/>
                <w:color w:val="auto"/>
                <w:szCs w:val="21"/>
              </w:rPr>
            </w:pPr>
          </w:p>
        </w:tc>
        <w:tc>
          <w:tcPr>
            <w:tcW w:w="1374" w:type="dxa"/>
            <w:vAlign w:val="center"/>
          </w:tcPr>
          <w:p>
            <w:pPr>
              <w:pStyle w:val="12"/>
              <w:ind w:firstLine="16" w:firstLineChars="8"/>
              <w:jc w:val="center"/>
              <w:rPr>
                <w:rFonts w:ascii="宋体" w:hAnsi="宋体" w:cs="宋体"/>
                <w:color w:val="auto"/>
                <w:szCs w:val="21"/>
              </w:rPr>
            </w:pPr>
          </w:p>
        </w:tc>
        <w:tc>
          <w:tcPr>
            <w:tcW w:w="1203" w:type="dxa"/>
            <w:vAlign w:val="center"/>
          </w:tcPr>
          <w:p>
            <w:pPr>
              <w:pStyle w:val="12"/>
              <w:ind w:firstLine="16" w:firstLineChars="8"/>
              <w:jc w:val="center"/>
              <w:rPr>
                <w:rFonts w:ascii="宋体" w:hAnsi="宋体" w:cs="宋体"/>
                <w:color w:val="auto"/>
                <w:szCs w:val="21"/>
              </w:rPr>
            </w:pPr>
          </w:p>
        </w:tc>
        <w:tc>
          <w:tcPr>
            <w:tcW w:w="1963" w:type="dxa"/>
            <w:vAlign w:val="center"/>
          </w:tcPr>
          <w:p>
            <w:pPr>
              <w:pStyle w:val="12"/>
              <w:ind w:firstLine="16" w:firstLineChars="8"/>
              <w:jc w:val="center"/>
              <w:rPr>
                <w:rFonts w:ascii="宋体" w:hAnsi="宋体" w:cs="宋体"/>
                <w:color w:val="auto"/>
                <w:szCs w:val="21"/>
              </w:rPr>
            </w:pPr>
          </w:p>
        </w:tc>
        <w:tc>
          <w:tcPr>
            <w:tcW w:w="1317" w:type="dxa"/>
            <w:vAlign w:val="center"/>
          </w:tcPr>
          <w:p>
            <w:pPr>
              <w:pStyle w:val="12"/>
              <w:ind w:firstLine="16" w:firstLineChars="8"/>
              <w:jc w:val="center"/>
              <w:rPr>
                <w:rFonts w:ascii="宋体" w:hAnsi="宋体" w:cs="宋体"/>
                <w:color w:val="auto"/>
                <w:szCs w:val="21"/>
              </w:rPr>
            </w:pPr>
          </w:p>
        </w:tc>
        <w:tc>
          <w:tcPr>
            <w:tcW w:w="1051" w:type="dxa"/>
            <w:vAlign w:val="center"/>
          </w:tcPr>
          <w:p>
            <w:pPr>
              <w:pStyle w:val="12"/>
              <w:ind w:firstLine="16" w:firstLineChars="8"/>
              <w:jc w:val="center"/>
              <w:rPr>
                <w:rFonts w:ascii="宋体" w:hAnsi="宋体" w:cs="宋体"/>
                <w:color w:val="auto"/>
                <w:szCs w:val="21"/>
              </w:rPr>
            </w:pPr>
          </w:p>
        </w:tc>
        <w:tc>
          <w:tcPr>
            <w:tcW w:w="1562" w:type="dxa"/>
            <w:vAlign w:val="center"/>
          </w:tcPr>
          <w:p>
            <w:pPr>
              <w:pStyle w:val="12"/>
              <w:ind w:firstLine="16" w:firstLineChars="8"/>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ind w:firstLine="16" w:firstLineChars="8"/>
              <w:jc w:val="center"/>
              <w:rPr>
                <w:rFonts w:ascii="宋体" w:hAnsi="宋体" w:cs="宋体"/>
                <w:color w:val="auto"/>
                <w:szCs w:val="21"/>
              </w:rPr>
            </w:pPr>
          </w:p>
        </w:tc>
        <w:tc>
          <w:tcPr>
            <w:tcW w:w="1374" w:type="dxa"/>
            <w:vAlign w:val="center"/>
          </w:tcPr>
          <w:p>
            <w:pPr>
              <w:pStyle w:val="12"/>
              <w:ind w:firstLine="16" w:firstLineChars="8"/>
              <w:jc w:val="center"/>
              <w:rPr>
                <w:rFonts w:ascii="宋体" w:hAnsi="宋体" w:cs="宋体"/>
                <w:color w:val="auto"/>
                <w:szCs w:val="21"/>
              </w:rPr>
            </w:pPr>
          </w:p>
        </w:tc>
        <w:tc>
          <w:tcPr>
            <w:tcW w:w="1203" w:type="dxa"/>
            <w:vAlign w:val="center"/>
          </w:tcPr>
          <w:p>
            <w:pPr>
              <w:pStyle w:val="12"/>
              <w:ind w:firstLine="16" w:firstLineChars="8"/>
              <w:jc w:val="center"/>
              <w:rPr>
                <w:rFonts w:ascii="宋体" w:hAnsi="宋体" w:cs="宋体"/>
                <w:color w:val="auto"/>
                <w:szCs w:val="21"/>
              </w:rPr>
            </w:pPr>
          </w:p>
        </w:tc>
        <w:tc>
          <w:tcPr>
            <w:tcW w:w="1963" w:type="dxa"/>
            <w:vAlign w:val="center"/>
          </w:tcPr>
          <w:p>
            <w:pPr>
              <w:pStyle w:val="12"/>
              <w:ind w:firstLine="16" w:firstLineChars="8"/>
              <w:jc w:val="center"/>
              <w:rPr>
                <w:rFonts w:ascii="宋体" w:hAnsi="宋体" w:cs="宋体"/>
                <w:color w:val="auto"/>
                <w:szCs w:val="21"/>
              </w:rPr>
            </w:pPr>
          </w:p>
        </w:tc>
        <w:tc>
          <w:tcPr>
            <w:tcW w:w="1317" w:type="dxa"/>
            <w:vAlign w:val="center"/>
          </w:tcPr>
          <w:p>
            <w:pPr>
              <w:pStyle w:val="12"/>
              <w:ind w:firstLine="16" w:firstLineChars="8"/>
              <w:jc w:val="center"/>
              <w:rPr>
                <w:rFonts w:ascii="宋体" w:hAnsi="宋体" w:cs="宋体"/>
                <w:color w:val="auto"/>
                <w:szCs w:val="21"/>
              </w:rPr>
            </w:pPr>
          </w:p>
        </w:tc>
        <w:tc>
          <w:tcPr>
            <w:tcW w:w="1051" w:type="dxa"/>
            <w:vAlign w:val="center"/>
          </w:tcPr>
          <w:p>
            <w:pPr>
              <w:pStyle w:val="12"/>
              <w:ind w:firstLine="16" w:firstLineChars="8"/>
              <w:jc w:val="center"/>
              <w:rPr>
                <w:rFonts w:ascii="宋体" w:hAnsi="宋体" w:cs="宋体"/>
                <w:color w:val="auto"/>
                <w:szCs w:val="21"/>
              </w:rPr>
            </w:pPr>
          </w:p>
        </w:tc>
        <w:tc>
          <w:tcPr>
            <w:tcW w:w="1562" w:type="dxa"/>
            <w:vAlign w:val="center"/>
          </w:tcPr>
          <w:p>
            <w:pPr>
              <w:pStyle w:val="12"/>
              <w:ind w:firstLine="16" w:firstLineChars="8"/>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ind w:firstLine="16" w:firstLineChars="8"/>
              <w:jc w:val="center"/>
              <w:rPr>
                <w:rFonts w:ascii="宋体" w:hAnsi="宋体" w:cs="宋体"/>
                <w:color w:val="auto"/>
                <w:szCs w:val="21"/>
              </w:rPr>
            </w:pPr>
          </w:p>
        </w:tc>
        <w:tc>
          <w:tcPr>
            <w:tcW w:w="1374" w:type="dxa"/>
            <w:vAlign w:val="center"/>
          </w:tcPr>
          <w:p>
            <w:pPr>
              <w:pStyle w:val="12"/>
              <w:ind w:firstLine="16" w:firstLineChars="8"/>
              <w:jc w:val="center"/>
              <w:rPr>
                <w:rFonts w:ascii="宋体" w:hAnsi="宋体" w:cs="宋体"/>
                <w:color w:val="auto"/>
                <w:szCs w:val="21"/>
              </w:rPr>
            </w:pPr>
          </w:p>
        </w:tc>
        <w:tc>
          <w:tcPr>
            <w:tcW w:w="1203" w:type="dxa"/>
            <w:vAlign w:val="center"/>
          </w:tcPr>
          <w:p>
            <w:pPr>
              <w:pStyle w:val="12"/>
              <w:ind w:firstLine="16" w:firstLineChars="8"/>
              <w:jc w:val="center"/>
              <w:rPr>
                <w:rFonts w:ascii="宋体" w:hAnsi="宋体" w:cs="宋体"/>
                <w:color w:val="auto"/>
                <w:szCs w:val="21"/>
              </w:rPr>
            </w:pPr>
          </w:p>
        </w:tc>
        <w:tc>
          <w:tcPr>
            <w:tcW w:w="1963" w:type="dxa"/>
            <w:vAlign w:val="center"/>
          </w:tcPr>
          <w:p>
            <w:pPr>
              <w:pStyle w:val="12"/>
              <w:ind w:firstLine="16" w:firstLineChars="8"/>
              <w:jc w:val="center"/>
              <w:rPr>
                <w:rFonts w:ascii="宋体" w:hAnsi="宋体" w:cs="宋体"/>
                <w:color w:val="auto"/>
                <w:szCs w:val="21"/>
              </w:rPr>
            </w:pPr>
          </w:p>
        </w:tc>
        <w:tc>
          <w:tcPr>
            <w:tcW w:w="1317" w:type="dxa"/>
            <w:vAlign w:val="center"/>
          </w:tcPr>
          <w:p>
            <w:pPr>
              <w:pStyle w:val="12"/>
              <w:ind w:firstLine="16" w:firstLineChars="8"/>
              <w:jc w:val="center"/>
              <w:rPr>
                <w:rFonts w:ascii="宋体" w:hAnsi="宋体" w:cs="宋体"/>
                <w:color w:val="auto"/>
                <w:szCs w:val="21"/>
              </w:rPr>
            </w:pPr>
          </w:p>
        </w:tc>
        <w:tc>
          <w:tcPr>
            <w:tcW w:w="1051" w:type="dxa"/>
            <w:vAlign w:val="center"/>
          </w:tcPr>
          <w:p>
            <w:pPr>
              <w:pStyle w:val="12"/>
              <w:ind w:firstLine="16" w:firstLineChars="8"/>
              <w:jc w:val="center"/>
              <w:rPr>
                <w:rFonts w:ascii="宋体" w:hAnsi="宋体" w:cs="宋体"/>
                <w:color w:val="auto"/>
                <w:szCs w:val="21"/>
              </w:rPr>
            </w:pPr>
          </w:p>
        </w:tc>
        <w:tc>
          <w:tcPr>
            <w:tcW w:w="1562" w:type="dxa"/>
            <w:vAlign w:val="center"/>
          </w:tcPr>
          <w:p>
            <w:pPr>
              <w:pStyle w:val="12"/>
              <w:ind w:firstLine="16" w:firstLineChars="8"/>
              <w:jc w:val="center"/>
              <w:rPr>
                <w:rFonts w:ascii="宋体" w:hAnsi="宋体" w:cs="宋体"/>
                <w:color w:val="auto"/>
                <w:szCs w:val="21"/>
              </w:rPr>
            </w:pPr>
          </w:p>
        </w:tc>
      </w:tr>
    </w:tbl>
    <w:p>
      <w:pPr>
        <w:pStyle w:val="12"/>
        <w:ind w:firstLine="840" w:firstLineChars="400"/>
        <w:rPr>
          <w:rFonts w:ascii="宋体" w:hAnsi="宋体" w:cs="宋体"/>
          <w:color w:val="auto"/>
          <w:szCs w:val="21"/>
        </w:rPr>
      </w:pPr>
    </w:p>
    <w:p>
      <w:pPr>
        <w:adjustRightInd w:val="0"/>
        <w:spacing w:line="360" w:lineRule="auto"/>
        <w:ind w:firstLine="385" w:firstLineChars="175"/>
        <w:jc w:val="left"/>
        <w:rPr>
          <w:rFonts w:ascii="宋体" w:hAnsi="宋体" w:cs="宋体"/>
          <w:color w:val="auto"/>
          <w:sz w:val="22"/>
          <w:szCs w:val="22"/>
        </w:rPr>
      </w:pPr>
      <w:r>
        <w:rPr>
          <w:rFonts w:hint="eastAsia" w:ascii="宋体" w:hAnsi="宋体" w:cs="宋体"/>
          <w:color w:val="auto"/>
          <w:sz w:val="22"/>
          <w:szCs w:val="22"/>
        </w:rPr>
        <w:t>注：1、本表须逐项填写，不得空缺；如空缺将视为没有实质性响应谈判文件。</w:t>
      </w:r>
    </w:p>
    <w:p>
      <w:pPr>
        <w:adjustRightInd w:val="0"/>
        <w:spacing w:line="360" w:lineRule="auto"/>
        <w:ind w:firstLine="385" w:firstLineChars="175"/>
        <w:jc w:val="left"/>
        <w:rPr>
          <w:rFonts w:ascii="宋体" w:hAnsi="宋体" w:cs="宋体"/>
          <w:color w:val="auto"/>
          <w:sz w:val="22"/>
          <w:szCs w:val="22"/>
        </w:rPr>
      </w:pPr>
      <w:r>
        <w:rPr>
          <w:rFonts w:hint="eastAsia" w:ascii="宋体" w:hAnsi="宋体" w:cs="宋体"/>
          <w:color w:val="auto"/>
          <w:sz w:val="22"/>
          <w:szCs w:val="22"/>
        </w:rPr>
        <w:t xml:space="preserve">    2、设备各项详细技术性能可另页描述；若设备没有注册商标和具体型号须注明。</w:t>
      </w:r>
    </w:p>
    <w:p>
      <w:pPr>
        <w:pStyle w:val="12"/>
        <w:rPr>
          <w:rFonts w:ascii="宋体" w:hAnsi="宋体" w:cs="宋体"/>
          <w:color w:val="auto"/>
          <w:sz w:val="22"/>
          <w:szCs w:val="22"/>
        </w:rPr>
      </w:pPr>
    </w:p>
    <w:p>
      <w:pPr>
        <w:pStyle w:val="12"/>
        <w:ind w:firstLine="0"/>
        <w:rPr>
          <w:rFonts w:ascii="宋体" w:hAnsi="宋体" w:cs="宋体"/>
          <w:color w:val="auto"/>
          <w:sz w:val="22"/>
          <w:szCs w:val="22"/>
        </w:rPr>
      </w:pPr>
    </w:p>
    <w:p>
      <w:pPr>
        <w:pStyle w:val="12"/>
        <w:ind w:firstLine="0"/>
        <w:rPr>
          <w:rFonts w:ascii="宋体" w:hAnsi="宋体" w:cs="宋体"/>
          <w:color w:val="auto"/>
          <w:sz w:val="22"/>
          <w:szCs w:val="22"/>
        </w:rPr>
      </w:pPr>
    </w:p>
    <w:p>
      <w:pPr>
        <w:pStyle w:val="12"/>
        <w:ind w:firstLine="0"/>
        <w:rPr>
          <w:rFonts w:ascii="宋体" w:hAnsi="宋体" w:cs="宋体"/>
          <w:color w:val="auto"/>
          <w:sz w:val="22"/>
          <w:szCs w:val="22"/>
        </w:rPr>
      </w:pPr>
    </w:p>
    <w:p>
      <w:pPr>
        <w:rPr>
          <w:color w:val="auto"/>
        </w:rPr>
      </w:pPr>
    </w:p>
    <w:p>
      <w:pPr>
        <w:rPr>
          <w:color w:val="auto"/>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pPr>
        <w:adjustRightInd w:val="0"/>
        <w:spacing w:line="360" w:lineRule="auto"/>
        <w:ind w:firstLine="720" w:firstLineChars="300"/>
        <w:jc w:val="left"/>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sectPr>
          <w:footerReference r:id="rId18" w:type="even"/>
          <w:pgSz w:w="11906" w:h="16838"/>
          <w:pgMar w:top="1418" w:right="1418" w:bottom="1418" w:left="1418" w:header="851" w:footer="992" w:gutter="0"/>
          <w:cols w:space="425" w:num="1"/>
          <w:docGrid w:linePitch="312" w:charSpace="0"/>
        </w:sectPr>
      </w:pPr>
    </w:p>
    <w:p>
      <w:pPr>
        <w:pStyle w:val="5"/>
        <w:spacing w:line="520" w:lineRule="exact"/>
        <w:jc w:val="center"/>
        <w:rPr>
          <w:rFonts w:ascii="宋体" w:hAnsi="宋体" w:eastAsia="宋体" w:cs="宋体"/>
          <w:b/>
          <w:bCs/>
          <w:color w:val="auto"/>
          <w:sz w:val="28"/>
          <w:szCs w:val="28"/>
        </w:rPr>
      </w:pPr>
      <w:r>
        <w:rPr>
          <w:rFonts w:hint="eastAsia" w:ascii="宋体" w:hAnsi="宋体" w:eastAsia="宋体" w:cs="宋体"/>
          <w:b/>
          <w:bCs/>
          <w:color w:val="auto"/>
          <w:sz w:val="28"/>
          <w:szCs w:val="28"/>
          <w:lang w:val="zh-CN"/>
        </w:rPr>
        <w:t>第五</w:t>
      </w:r>
      <w:r>
        <w:rPr>
          <w:rFonts w:hint="eastAsia" w:ascii="宋体" w:hAnsi="宋体" w:eastAsia="宋体" w:cs="宋体"/>
          <w:b/>
          <w:bCs/>
          <w:color w:val="auto"/>
          <w:sz w:val="28"/>
          <w:szCs w:val="28"/>
        </w:rPr>
        <w:t>部分</w:t>
      </w:r>
      <w:r>
        <w:rPr>
          <w:rFonts w:hint="eastAsia" w:ascii="宋体" w:hAnsi="宋体" w:eastAsia="宋体" w:cs="宋体"/>
          <w:b/>
          <w:bCs/>
          <w:color w:val="auto"/>
          <w:sz w:val="28"/>
          <w:szCs w:val="28"/>
          <w:lang w:val="zh-CN"/>
        </w:rPr>
        <w:t xml:space="preserve">   备选产品配件报价表</w:t>
      </w:r>
    </w:p>
    <w:p>
      <w:pPr>
        <w:spacing w:after="120" w:afterLines="50" w:line="360" w:lineRule="auto"/>
        <w:ind w:firstLine="960" w:firstLineChars="400"/>
        <w:outlineLvl w:val="1"/>
        <w:rPr>
          <w:rFonts w:ascii="宋体" w:hAnsi="宋体" w:cs="宋体"/>
          <w:color w:val="auto"/>
          <w:sz w:val="24"/>
          <w:szCs w:val="24"/>
        </w:rPr>
      </w:pPr>
      <w:bookmarkStart w:id="103" w:name="_Toc29751"/>
    </w:p>
    <w:p>
      <w:pPr>
        <w:spacing w:after="120" w:afterLines="50" w:line="360" w:lineRule="auto"/>
        <w:ind w:firstLine="960" w:firstLineChars="400"/>
        <w:outlineLvl w:val="1"/>
        <w:rPr>
          <w:rFonts w:ascii="宋体" w:hAnsi="宋体" w:cs="宋体"/>
          <w:color w:val="auto"/>
          <w:sz w:val="24"/>
          <w:szCs w:val="24"/>
        </w:rPr>
      </w:pPr>
      <w:r>
        <w:rPr>
          <w:rFonts w:hint="eastAsia" w:ascii="宋体" w:hAnsi="宋体" w:cs="宋体"/>
          <w:color w:val="auto"/>
          <w:sz w:val="24"/>
          <w:szCs w:val="24"/>
        </w:rPr>
        <w:t>供应商名称：                                                            项目编号：</w:t>
      </w:r>
      <w:bookmarkEnd w:id="103"/>
    </w:p>
    <w:tbl>
      <w:tblPr>
        <w:tblStyle w:val="36"/>
        <w:tblpPr w:leftFromText="180" w:rightFromText="180" w:vertAnchor="text" w:horzAnchor="margin" w:tblpXSpec="center" w:tblpY="86"/>
        <w:tblW w:w="12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70"/>
        <w:gridCol w:w="1015"/>
        <w:gridCol w:w="1341"/>
        <w:gridCol w:w="2259"/>
        <w:gridCol w:w="860"/>
        <w:gridCol w:w="840"/>
        <w:gridCol w:w="1280"/>
        <w:gridCol w:w="123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83" w:type="dxa"/>
            <w:tcBorders>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序号</w:t>
            </w:r>
          </w:p>
        </w:tc>
        <w:tc>
          <w:tcPr>
            <w:tcW w:w="1470"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产品名称</w:t>
            </w:r>
          </w:p>
        </w:tc>
        <w:tc>
          <w:tcPr>
            <w:tcW w:w="1015"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品牌</w:t>
            </w:r>
          </w:p>
        </w:tc>
        <w:tc>
          <w:tcPr>
            <w:tcW w:w="1341" w:type="dxa"/>
            <w:tcBorders>
              <w:left w:val="single" w:color="auto" w:sz="4" w:space="0"/>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 xml:space="preserve"> 型号规格</w:t>
            </w:r>
          </w:p>
        </w:tc>
        <w:tc>
          <w:tcPr>
            <w:tcW w:w="2259"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生产厂家</w:t>
            </w:r>
          </w:p>
        </w:tc>
        <w:tc>
          <w:tcPr>
            <w:tcW w:w="860"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单位</w:t>
            </w:r>
          </w:p>
        </w:tc>
        <w:tc>
          <w:tcPr>
            <w:tcW w:w="840"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数量</w:t>
            </w:r>
          </w:p>
        </w:tc>
        <w:tc>
          <w:tcPr>
            <w:tcW w:w="1280" w:type="dxa"/>
            <w:tcBorders>
              <w:left w:val="single" w:color="auto" w:sz="4" w:space="0"/>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 xml:space="preserve"> 单价（元）</w:t>
            </w:r>
          </w:p>
        </w:tc>
        <w:tc>
          <w:tcPr>
            <w:tcW w:w="1236" w:type="dxa"/>
            <w:tcBorders>
              <w:left w:val="single" w:color="auto" w:sz="4" w:space="0"/>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金额（元）</w:t>
            </w:r>
          </w:p>
        </w:tc>
        <w:tc>
          <w:tcPr>
            <w:tcW w:w="1544" w:type="dxa"/>
            <w:tcBorders>
              <w:left w:val="single" w:color="auto" w:sz="4" w:space="0"/>
              <w:bottom w:val="single" w:color="auto" w:sz="4" w:space="0"/>
            </w:tcBorders>
            <w:vAlign w:val="center"/>
          </w:tcPr>
          <w:p>
            <w:pPr>
              <w:snapToGrid w:val="0"/>
              <w:spacing w:line="400" w:lineRule="exact"/>
              <w:ind w:firstLine="105" w:firstLineChars="50"/>
              <w:jc w:val="center"/>
              <w:rPr>
                <w:rFonts w:ascii="宋体" w:hAnsi="宋体" w:cs="宋体"/>
                <w:b/>
                <w:color w:val="auto"/>
                <w:szCs w:val="21"/>
              </w:rPr>
            </w:pPr>
            <w:r>
              <w:rPr>
                <w:rFonts w:hint="eastAsia" w:ascii="宋体" w:hAnsi="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83" w:type="dxa"/>
            <w:tcBorders>
              <w:top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18"/>
                <w:szCs w:val="18"/>
              </w:rPr>
            </w:pPr>
          </w:p>
        </w:tc>
        <w:tc>
          <w:tcPr>
            <w:tcW w:w="101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tcBorders>
            <w:vAlign w:val="center"/>
          </w:tcPr>
          <w:p>
            <w:pPr>
              <w:snapToGrid w:val="0"/>
              <w:spacing w:line="400" w:lineRule="exact"/>
              <w:jc w:val="center"/>
              <w:rPr>
                <w:rFonts w:ascii="宋体" w:hAnsi="宋体" w:cs="宋体"/>
                <w:color w:val="auto"/>
                <w:sz w:val="24"/>
              </w:rPr>
            </w:pPr>
          </w:p>
        </w:tc>
      </w:tr>
    </w:tbl>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32"/>
          <w:szCs w:val="28"/>
        </w:rPr>
      </w:pPr>
    </w:p>
    <w:p>
      <w:pPr>
        <w:tabs>
          <w:tab w:val="left" w:pos="11985"/>
        </w:tabs>
        <w:spacing w:line="400" w:lineRule="exact"/>
        <w:ind w:left="799" w:leftChars="171" w:hanging="440" w:hangingChars="200"/>
        <w:rPr>
          <w:rFonts w:ascii="宋体" w:hAnsi="宋体" w:cs="宋体"/>
          <w:color w:val="auto"/>
          <w:sz w:val="22"/>
          <w:szCs w:val="22"/>
        </w:rPr>
      </w:pPr>
      <w:r>
        <w:rPr>
          <w:rFonts w:hint="eastAsia" w:ascii="宋体" w:hAnsi="宋体" w:cs="宋体"/>
          <w:color w:val="auto"/>
          <w:sz w:val="22"/>
          <w:szCs w:val="28"/>
        </w:rPr>
        <w:t xml:space="preserve">     注：</w:t>
      </w:r>
      <w:r>
        <w:rPr>
          <w:rFonts w:hint="eastAsia" w:ascii="宋体" w:hAnsi="宋体" w:cs="宋体"/>
          <w:color w:val="auto"/>
          <w:sz w:val="22"/>
          <w:szCs w:val="22"/>
        </w:rPr>
        <w:t>1、“备选产品</w:t>
      </w:r>
      <w:r>
        <w:rPr>
          <w:rFonts w:hint="eastAsia" w:ascii="宋体" w:hAnsi="宋体" w:cs="宋体"/>
          <w:bCs/>
          <w:color w:val="auto"/>
          <w:sz w:val="22"/>
          <w:szCs w:val="22"/>
        </w:rPr>
        <w:t>配件报价表</w:t>
      </w:r>
      <w:r>
        <w:rPr>
          <w:rFonts w:hint="eastAsia" w:ascii="宋体" w:hAnsi="宋体" w:cs="宋体"/>
          <w:color w:val="auto"/>
          <w:sz w:val="22"/>
          <w:szCs w:val="22"/>
        </w:rPr>
        <w:t>”</w:t>
      </w:r>
      <w:r>
        <w:rPr>
          <w:rFonts w:hint="eastAsia" w:ascii="宋体" w:hAnsi="宋体" w:cs="宋体"/>
          <w:color w:val="auto"/>
          <w:sz w:val="22"/>
          <w:szCs w:val="28"/>
        </w:rPr>
        <w:t xml:space="preserve"> </w:t>
      </w:r>
      <w:r>
        <w:rPr>
          <w:rFonts w:hint="eastAsia" w:ascii="宋体" w:hAnsi="宋体" w:cs="宋体"/>
          <w:color w:val="auto"/>
          <w:sz w:val="22"/>
          <w:szCs w:val="22"/>
        </w:rPr>
        <w:t>报价最多保留小数点后两位；</w:t>
      </w:r>
      <w:r>
        <w:rPr>
          <w:rFonts w:hint="eastAsia" w:ascii="宋体" w:hAnsi="宋体" w:cs="宋体"/>
          <w:color w:val="auto"/>
          <w:sz w:val="22"/>
          <w:szCs w:val="22"/>
        </w:rPr>
        <w:tab/>
      </w:r>
    </w:p>
    <w:p>
      <w:pPr>
        <w:spacing w:line="400" w:lineRule="exact"/>
        <w:ind w:left="828" w:leftChars="185" w:hanging="440" w:hangingChars="200"/>
        <w:rPr>
          <w:rFonts w:ascii="宋体" w:hAnsi="宋体" w:cs="宋体"/>
          <w:bCs/>
          <w:color w:val="auto"/>
          <w:sz w:val="22"/>
          <w:szCs w:val="22"/>
        </w:rPr>
      </w:pPr>
      <w:r>
        <w:rPr>
          <w:rFonts w:hint="eastAsia" w:ascii="宋体" w:hAnsi="宋体" w:cs="宋体"/>
          <w:color w:val="auto"/>
          <w:sz w:val="22"/>
          <w:szCs w:val="22"/>
        </w:rPr>
        <w:t xml:space="preserve">         2、备选产品</w:t>
      </w:r>
      <w:r>
        <w:rPr>
          <w:rFonts w:hint="eastAsia" w:ascii="宋体" w:hAnsi="宋体" w:cs="宋体"/>
          <w:bCs/>
          <w:color w:val="auto"/>
          <w:sz w:val="22"/>
          <w:szCs w:val="22"/>
        </w:rPr>
        <w:t>配件，仅作为采购人后期选择购买，其报价不包含在本次谈判总价内。</w:t>
      </w:r>
    </w:p>
    <w:p>
      <w:pPr>
        <w:adjustRightInd w:val="0"/>
        <w:spacing w:line="400" w:lineRule="exact"/>
        <w:ind w:firstLine="1050" w:firstLineChars="500"/>
        <w:jc w:val="left"/>
        <w:rPr>
          <w:rFonts w:ascii="宋体" w:hAnsi="宋体" w:cs="宋体"/>
          <w:bCs/>
          <w:color w:val="auto"/>
          <w:szCs w:val="21"/>
        </w:rPr>
      </w:pPr>
      <w:r>
        <w:rPr>
          <w:rFonts w:hint="eastAsia" w:ascii="宋体" w:hAnsi="宋体" w:cs="宋体"/>
          <w:bCs/>
          <w:color w:val="auto"/>
          <w:szCs w:val="21"/>
        </w:rPr>
        <w:t xml:space="preserve">   </w:t>
      </w:r>
    </w:p>
    <w:p>
      <w:pPr>
        <w:adjustRightInd w:val="0"/>
        <w:spacing w:line="400" w:lineRule="exact"/>
        <w:ind w:firstLine="1200" w:firstLineChars="500"/>
        <w:jc w:val="left"/>
        <w:rPr>
          <w:rFonts w:ascii="宋体" w:hAnsi="宋体" w:cs="宋体"/>
          <w:bCs/>
          <w:color w:val="auto"/>
          <w:sz w:val="24"/>
          <w:szCs w:val="24"/>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pStyle w:val="4"/>
        <w:spacing w:line="360" w:lineRule="auto"/>
        <w:rPr>
          <w:rFonts w:ascii="宋体" w:hAnsi="宋体" w:eastAsia="宋体" w:cs="宋体"/>
          <w:color w:val="auto"/>
          <w:szCs w:val="28"/>
        </w:rPr>
        <w:sectPr>
          <w:pgSz w:w="16838" w:h="11906" w:orient="landscape"/>
          <w:pgMar w:top="1418" w:right="1418" w:bottom="1418" w:left="1418" w:header="851" w:footer="992" w:gutter="0"/>
          <w:cols w:space="720" w:num="1"/>
          <w:docGrid w:linePitch="312" w:charSpace="0"/>
        </w:sectPr>
      </w:pPr>
    </w:p>
    <w:p>
      <w:pPr>
        <w:pStyle w:val="4"/>
        <w:spacing w:before="120" w:beforeLines="50" w:after="120" w:afterLines="50" w:line="360" w:lineRule="auto"/>
        <w:jc w:val="center"/>
        <w:rPr>
          <w:rFonts w:ascii="宋体" w:hAnsi="宋体" w:eastAsia="宋体" w:cs="宋体"/>
          <w:b/>
          <w:bCs/>
          <w:color w:val="auto"/>
          <w:szCs w:val="28"/>
          <w:highlight w:val="yellow"/>
          <w:lang w:val="zh-CN"/>
        </w:rPr>
      </w:pPr>
      <w:r>
        <w:rPr>
          <w:rFonts w:hint="eastAsia" w:ascii="宋体" w:hAnsi="宋体" w:eastAsia="宋体" w:cs="宋体"/>
          <w:b/>
          <w:bCs/>
          <w:color w:val="auto"/>
          <w:szCs w:val="28"/>
          <w:highlight w:val="yellow"/>
        </w:rPr>
        <w:t xml:space="preserve">第六部分 </w:t>
      </w:r>
      <w:r>
        <w:rPr>
          <w:rFonts w:hint="eastAsia" w:ascii="宋体" w:hAnsi="宋体" w:eastAsia="宋体" w:cs="宋体"/>
          <w:b/>
          <w:bCs/>
          <w:color w:val="auto"/>
          <w:szCs w:val="28"/>
          <w:highlight w:val="yellow"/>
          <w:lang w:val="zh-CN"/>
        </w:rPr>
        <w:t xml:space="preserve">偏离表 </w:t>
      </w:r>
    </w:p>
    <w:p>
      <w:pPr>
        <w:adjustRightInd w:val="0"/>
        <w:snapToGrid w:val="0"/>
        <w:spacing w:before="120" w:beforeLines="50" w:after="120" w:afterLines="50" w:line="360" w:lineRule="auto"/>
        <w:jc w:val="center"/>
        <w:rPr>
          <w:rFonts w:ascii="宋体" w:hAnsi="宋体" w:cs="宋体"/>
          <w:b/>
          <w:bCs/>
          <w:color w:val="auto"/>
          <w:sz w:val="28"/>
          <w:szCs w:val="28"/>
          <w:highlight w:val="yellow"/>
          <w:lang w:val="zh-CN"/>
        </w:rPr>
      </w:pPr>
      <w:r>
        <w:rPr>
          <w:rFonts w:hint="eastAsia" w:ascii="宋体" w:hAnsi="宋体" w:cs="宋体"/>
          <w:b/>
          <w:bCs/>
          <w:color w:val="auto"/>
          <w:sz w:val="28"/>
          <w:szCs w:val="28"/>
          <w:highlight w:val="yellow"/>
        </w:rPr>
        <w:t>1、</w:t>
      </w:r>
      <w:r>
        <w:rPr>
          <w:rFonts w:hint="eastAsia" w:ascii="宋体" w:hAnsi="宋体" w:cs="宋体"/>
          <w:b/>
          <w:bCs/>
          <w:color w:val="auto"/>
          <w:sz w:val="28"/>
          <w:szCs w:val="28"/>
          <w:highlight w:val="yellow"/>
          <w:lang w:val="zh-CN"/>
        </w:rPr>
        <w:t>技术偏离表</w:t>
      </w:r>
    </w:p>
    <w:tbl>
      <w:tblPr>
        <w:tblStyle w:val="36"/>
        <w:tblpPr w:leftFromText="180" w:rightFromText="180" w:vertAnchor="text" w:horzAnchor="page" w:tblpX="1398" w:tblpY="789"/>
        <w:tblOverlap w:val="never"/>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2362"/>
        <w:gridCol w:w="2010"/>
        <w:gridCol w:w="2379"/>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75" w:type="dxa"/>
            <w:vAlign w:val="center"/>
          </w:tcPr>
          <w:p>
            <w:pPr>
              <w:pStyle w:val="113"/>
              <w:rPr>
                <w:rFonts w:ascii="宋体" w:hAnsi="宋体" w:cs="宋体"/>
                <w:color w:val="auto"/>
              </w:rPr>
            </w:pPr>
            <w:r>
              <w:rPr>
                <w:rFonts w:hint="eastAsia" w:ascii="宋体" w:hAnsi="宋体" w:cs="宋体"/>
                <w:color w:val="auto"/>
              </w:rPr>
              <w:t>序号</w:t>
            </w:r>
          </w:p>
        </w:tc>
        <w:tc>
          <w:tcPr>
            <w:tcW w:w="2362" w:type="dxa"/>
            <w:vAlign w:val="center"/>
          </w:tcPr>
          <w:p>
            <w:pPr>
              <w:pStyle w:val="113"/>
              <w:jc w:val="center"/>
              <w:rPr>
                <w:rFonts w:ascii="宋体" w:hAnsi="宋体" w:cs="宋体"/>
                <w:color w:val="auto"/>
              </w:rPr>
            </w:pPr>
            <w:r>
              <w:rPr>
                <w:rFonts w:hint="eastAsia" w:ascii="宋体" w:hAnsi="宋体" w:cs="宋体"/>
                <w:color w:val="auto"/>
              </w:rPr>
              <w:t>货物名称</w:t>
            </w:r>
          </w:p>
        </w:tc>
        <w:tc>
          <w:tcPr>
            <w:tcW w:w="2010" w:type="dxa"/>
            <w:vAlign w:val="center"/>
          </w:tcPr>
          <w:p>
            <w:pPr>
              <w:pStyle w:val="113"/>
              <w:jc w:val="center"/>
              <w:rPr>
                <w:rFonts w:ascii="宋体" w:hAnsi="宋体" w:cs="宋体"/>
                <w:color w:val="auto"/>
              </w:rPr>
            </w:pPr>
            <w:r>
              <w:rPr>
                <w:rFonts w:hint="eastAsia" w:ascii="宋体" w:hAnsi="宋体" w:cs="宋体"/>
                <w:color w:val="auto"/>
              </w:rPr>
              <w:t>竞争性谈判文件要求</w:t>
            </w:r>
          </w:p>
        </w:tc>
        <w:tc>
          <w:tcPr>
            <w:tcW w:w="2379" w:type="dxa"/>
            <w:vAlign w:val="center"/>
          </w:tcPr>
          <w:p>
            <w:pPr>
              <w:pStyle w:val="113"/>
              <w:jc w:val="center"/>
              <w:rPr>
                <w:rFonts w:ascii="宋体" w:hAnsi="宋体" w:cs="宋体"/>
                <w:color w:val="auto"/>
              </w:rPr>
            </w:pPr>
            <w:r>
              <w:rPr>
                <w:rFonts w:hint="eastAsia" w:ascii="宋体" w:hAnsi="宋体" w:cs="宋体"/>
                <w:color w:val="auto"/>
              </w:rPr>
              <w:t>竞争性谈判响应</w:t>
            </w:r>
          </w:p>
        </w:tc>
        <w:tc>
          <w:tcPr>
            <w:tcW w:w="2265" w:type="dxa"/>
            <w:vAlign w:val="center"/>
          </w:tcPr>
          <w:p>
            <w:pPr>
              <w:pStyle w:val="113"/>
              <w:jc w:val="center"/>
              <w:rPr>
                <w:rFonts w:ascii="宋体" w:hAnsi="宋体" w:cs="宋体"/>
                <w:color w:val="auto"/>
              </w:rPr>
            </w:pPr>
            <w:r>
              <w:rPr>
                <w:rFonts w:hint="eastAsia" w:ascii="宋体" w:hAnsi="宋体" w:cs="宋体"/>
                <w:color w:val="auto"/>
              </w:rPr>
              <w:t>偏离对货物（产品）性能的影响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rPr>
            </w:pPr>
          </w:p>
        </w:tc>
        <w:tc>
          <w:tcPr>
            <w:tcW w:w="2362" w:type="dxa"/>
          </w:tcPr>
          <w:p>
            <w:pPr>
              <w:pStyle w:val="113"/>
              <w:spacing w:line="360" w:lineRule="auto"/>
              <w:rPr>
                <w:rFonts w:ascii="宋体" w:hAnsi="宋体" w:cs="宋体"/>
                <w:color w:val="auto"/>
              </w:rPr>
            </w:pPr>
          </w:p>
        </w:tc>
        <w:tc>
          <w:tcPr>
            <w:tcW w:w="2010" w:type="dxa"/>
          </w:tcPr>
          <w:p>
            <w:pPr>
              <w:pStyle w:val="113"/>
              <w:spacing w:line="360" w:lineRule="auto"/>
              <w:rPr>
                <w:rFonts w:ascii="宋体" w:hAnsi="宋体" w:cs="宋体"/>
                <w:color w:val="auto"/>
              </w:rPr>
            </w:pPr>
          </w:p>
        </w:tc>
        <w:tc>
          <w:tcPr>
            <w:tcW w:w="2379" w:type="dxa"/>
          </w:tcPr>
          <w:p>
            <w:pPr>
              <w:pStyle w:val="113"/>
              <w:spacing w:line="360" w:lineRule="auto"/>
              <w:rPr>
                <w:rFonts w:ascii="宋体" w:hAnsi="宋体" w:cs="宋体"/>
                <w:color w:val="auto"/>
              </w:rPr>
            </w:pPr>
          </w:p>
        </w:tc>
        <w:tc>
          <w:tcPr>
            <w:tcW w:w="2265" w:type="dxa"/>
          </w:tcPr>
          <w:p>
            <w:pPr>
              <w:pStyle w:val="113"/>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bl>
    <w:p>
      <w:pPr>
        <w:pStyle w:val="12"/>
        <w:ind w:firstLine="160" w:firstLineChars="67"/>
        <w:rPr>
          <w:rFonts w:ascii="宋体" w:hAnsi="宋体" w:cs="宋体"/>
          <w:color w:val="auto"/>
          <w:sz w:val="24"/>
          <w:szCs w:val="24"/>
        </w:rPr>
      </w:pPr>
      <w:r>
        <w:rPr>
          <w:rFonts w:hint="eastAsia" w:ascii="宋体" w:hAnsi="宋体" w:cs="宋体"/>
          <w:color w:val="auto"/>
          <w:sz w:val="24"/>
          <w:szCs w:val="24"/>
        </w:rPr>
        <w:t>供应商名称:                                      项目编号：</w:t>
      </w:r>
    </w:p>
    <w:p>
      <w:pPr>
        <w:adjustRightInd w:val="0"/>
        <w:spacing w:line="360" w:lineRule="auto"/>
        <w:ind w:firstLine="385" w:firstLineChars="175"/>
        <w:jc w:val="left"/>
        <w:rPr>
          <w:rFonts w:ascii="宋体" w:hAnsi="宋体" w:cs="宋体"/>
          <w:color w:val="auto"/>
          <w:sz w:val="22"/>
          <w:szCs w:val="22"/>
        </w:rPr>
      </w:pPr>
    </w:p>
    <w:p>
      <w:pPr>
        <w:adjustRightInd w:val="0"/>
        <w:spacing w:line="360" w:lineRule="auto"/>
        <w:ind w:firstLine="385" w:firstLineChars="175"/>
        <w:jc w:val="left"/>
        <w:rPr>
          <w:rFonts w:ascii="宋体" w:hAnsi="宋体" w:cs="宋体"/>
          <w:color w:val="auto"/>
          <w:sz w:val="22"/>
          <w:szCs w:val="22"/>
        </w:rPr>
      </w:pPr>
      <w:r>
        <w:rPr>
          <w:rFonts w:hint="eastAsia" w:ascii="宋体" w:hAnsi="宋体" w:cs="宋体"/>
          <w:color w:val="auto"/>
          <w:sz w:val="22"/>
          <w:szCs w:val="22"/>
        </w:rPr>
        <w:t>注：1.本表应严格按照“第四章 采购内容及要求”中采购的产品参数填写；“竞争性谈判文件要求”须按谈判采购文件的技术参数填写；“</w:t>
      </w:r>
      <w:r>
        <w:rPr>
          <w:rFonts w:hint="eastAsia" w:ascii="宋体" w:hAnsi="宋体" w:cs="宋体"/>
          <w:color w:val="auto"/>
        </w:rPr>
        <w:t>竞争性谈判</w:t>
      </w:r>
      <w:r>
        <w:rPr>
          <w:rFonts w:hint="eastAsia" w:ascii="宋体" w:hAnsi="宋体" w:cs="宋体"/>
          <w:color w:val="auto"/>
          <w:sz w:val="22"/>
          <w:szCs w:val="22"/>
        </w:rPr>
        <w:t>响应”为供应商所提供的产品参数；“偏离对货物（产品）性能的影响”填写：优于、相同或低于。</w:t>
      </w:r>
    </w:p>
    <w:p>
      <w:pPr>
        <w:adjustRightInd w:val="0"/>
        <w:spacing w:line="360" w:lineRule="auto"/>
        <w:ind w:firstLine="385" w:firstLineChars="175"/>
        <w:jc w:val="left"/>
        <w:rPr>
          <w:rFonts w:ascii="宋体" w:hAnsi="宋体" w:cs="宋体"/>
          <w:color w:val="auto"/>
          <w:sz w:val="22"/>
          <w:szCs w:val="22"/>
        </w:rPr>
      </w:pPr>
      <w:r>
        <w:rPr>
          <w:rFonts w:hint="eastAsia" w:ascii="宋体" w:hAnsi="宋体" w:cs="宋体"/>
          <w:color w:val="auto"/>
          <w:sz w:val="22"/>
          <w:szCs w:val="22"/>
        </w:rPr>
        <w:t>2．供应商必须据实填写，不得虚假响应，否则将取消其谈判或成交资格，并按有关规定进行处罚。</w:t>
      </w:r>
    </w:p>
    <w:p>
      <w:pPr>
        <w:adjustRightInd w:val="0"/>
        <w:spacing w:line="360" w:lineRule="auto"/>
        <w:ind w:firstLine="420" w:firstLineChars="175"/>
        <w:jc w:val="left"/>
        <w:rPr>
          <w:rFonts w:ascii="宋体" w:hAnsi="宋体" w:cs="宋体"/>
          <w:bCs/>
          <w:color w:val="auto"/>
          <w:sz w:val="24"/>
          <w:szCs w:val="24"/>
        </w:rPr>
      </w:pPr>
    </w:p>
    <w:p>
      <w:pPr>
        <w:pStyle w:val="6"/>
        <w:rPr>
          <w:rFonts w:ascii="宋体" w:hAnsi="宋体" w:eastAsia="宋体" w:cs="宋体"/>
          <w:bCs/>
          <w:color w:val="auto"/>
          <w:sz w:val="24"/>
          <w:szCs w:val="24"/>
        </w:rPr>
      </w:pPr>
    </w:p>
    <w:p>
      <w:pPr>
        <w:rPr>
          <w:color w:val="auto"/>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pPr>
        <w:adjustRightInd w:val="0"/>
        <w:spacing w:line="360" w:lineRule="auto"/>
        <w:ind w:firstLine="720" w:firstLineChars="300"/>
        <w:jc w:val="left"/>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pStyle w:val="12"/>
        <w:rPr>
          <w:color w:val="auto"/>
          <w:lang w:val="zh-CN"/>
        </w:rPr>
      </w:pPr>
    </w:p>
    <w:p>
      <w:pPr>
        <w:rPr>
          <w:color w:val="auto"/>
          <w:lang w:val="zh-CN"/>
        </w:rPr>
      </w:pPr>
    </w:p>
    <w:p>
      <w:pPr>
        <w:pStyle w:val="2"/>
        <w:rPr>
          <w:color w:val="auto"/>
          <w:lang w:val="zh-CN"/>
        </w:rPr>
      </w:pPr>
    </w:p>
    <w:p>
      <w:pPr>
        <w:pStyle w:val="2"/>
        <w:rPr>
          <w:color w:val="auto"/>
          <w:lang w:val="zh-CN"/>
        </w:rPr>
      </w:pPr>
    </w:p>
    <w:p>
      <w:pPr>
        <w:adjustRightInd w:val="0"/>
        <w:snapToGrid w:val="0"/>
        <w:spacing w:before="120" w:beforeLines="50" w:after="120" w:afterLines="50" w:line="360" w:lineRule="auto"/>
        <w:jc w:val="center"/>
        <w:rPr>
          <w:rFonts w:ascii="宋体" w:hAnsi="宋体" w:cs="宋体"/>
          <w:b/>
          <w:bCs/>
          <w:color w:val="auto"/>
          <w:sz w:val="28"/>
          <w:szCs w:val="28"/>
          <w:lang w:val="zh-CN"/>
        </w:rPr>
      </w:pPr>
      <w:r>
        <w:rPr>
          <w:rFonts w:hint="eastAsia" w:ascii="宋体" w:hAnsi="宋体" w:cs="宋体"/>
          <w:b/>
          <w:bCs/>
          <w:color w:val="auto"/>
          <w:sz w:val="28"/>
          <w:szCs w:val="28"/>
        </w:rPr>
        <w:t>2、</w:t>
      </w:r>
      <w:r>
        <w:rPr>
          <w:rFonts w:hint="eastAsia" w:ascii="宋体" w:hAnsi="宋体" w:cs="宋体"/>
          <w:b/>
          <w:bCs/>
          <w:color w:val="auto"/>
          <w:sz w:val="28"/>
          <w:szCs w:val="28"/>
          <w:lang w:val="zh-CN"/>
        </w:rPr>
        <w:t>商务偏离表</w:t>
      </w:r>
    </w:p>
    <w:p>
      <w:pPr>
        <w:pStyle w:val="2"/>
        <w:rPr>
          <w:color w:val="auto"/>
          <w:lang w:val="zh-CN"/>
        </w:rPr>
      </w:pPr>
    </w:p>
    <w:p>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                           项目编号：</w:t>
      </w:r>
    </w:p>
    <w:tbl>
      <w:tblPr>
        <w:tblStyle w:val="36"/>
        <w:tblpPr w:leftFromText="180" w:rightFromText="180" w:vertAnchor="text" w:horzAnchor="margin" w:tblpXSpec="center" w:tblpY="81"/>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2"/>
        <w:gridCol w:w="2723"/>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2602"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谈判采购商务要求</w:t>
            </w:r>
          </w:p>
        </w:tc>
        <w:tc>
          <w:tcPr>
            <w:tcW w:w="2723"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谈判响应文件商务响应</w:t>
            </w:r>
          </w:p>
        </w:tc>
        <w:tc>
          <w:tcPr>
            <w:tcW w:w="2542"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bl>
    <w:p>
      <w:pPr>
        <w:spacing w:line="360" w:lineRule="auto"/>
        <w:rPr>
          <w:rFonts w:ascii="宋体" w:hAnsi="宋体" w:cs="宋体"/>
          <w:color w:val="auto"/>
          <w:sz w:val="24"/>
          <w:szCs w:val="24"/>
        </w:rPr>
      </w:pPr>
    </w:p>
    <w:p>
      <w:pPr>
        <w:spacing w:line="360" w:lineRule="auto"/>
        <w:ind w:firstLine="630" w:firstLineChars="300"/>
        <w:rPr>
          <w:rFonts w:ascii="宋体" w:hAnsi="宋体" w:cs="宋体"/>
          <w:color w:val="auto"/>
          <w:szCs w:val="21"/>
        </w:rPr>
      </w:pPr>
      <w:r>
        <w:rPr>
          <w:rFonts w:hint="eastAsia" w:ascii="宋体" w:hAnsi="宋体" w:cs="宋体"/>
          <w:color w:val="auto"/>
          <w:szCs w:val="21"/>
        </w:rPr>
        <w:t>注： 1.本表应严格按照“第五章 商务要求”中所包含的商务条款填写；“谈判采购商务要求”须按谈判采购文件的商务条款填写；“谈判响应文件商务响应”为供应商所响应的商务条款；“偏离及其影响” 填写：优于、相同或低于。</w:t>
      </w:r>
    </w:p>
    <w:p>
      <w:pPr>
        <w:spacing w:line="360" w:lineRule="auto"/>
        <w:ind w:firstLine="630" w:firstLineChars="300"/>
        <w:rPr>
          <w:rFonts w:ascii="宋体" w:hAnsi="宋体" w:cs="宋体"/>
          <w:color w:val="auto"/>
          <w:szCs w:val="21"/>
        </w:rPr>
      </w:pPr>
      <w:r>
        <w:rPr>
          <w:rFonts w:hint="eastAsia" w:ascii="宋体" w:hAnsi="宋体" w:cs="宋体"/>
          <w:color w:val="auto"/>
          <w:szCs w:val="21"/>
        </w:rPr>
        <w:t>2．供应商必须据实填写，不得虚假响应，否则将取消其谈判或成交资格，并按有关规定进处罚。</w:t>
      </w:r>
    </w:p>
    <w:p>
      <w:pPr>
        <w:spacing w:line="360" w:lineRule="auto"/>
        <w:ind w:firstLine="840" w:firstLineChars="300"/>
        <w:rPr>
          <w:rFonts w:ascii="宋体" w:hAnsi="宋体" w:cs="宋体"/>
          <w:color w:val="auto"/>
          <w:sz w:val="28"/>
          <w:szCs w:val="28"/>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pPr>
        <w:adjustRightInd w:val="0"/>
        <w:spacing w:line="360" w:lineRule="auto"/>
        <w:ind w:firstLine="720" w:firstLineChars="300"/>
        <w:jc w:val="left"/>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autoSpaceDE w:val="0"/>
        <w:autoSpaceDN w:val="0"/>
        <w:adjustRightInd w:val="0"/>
        <w:spacing w:line="360" w:lineRule="auto"/>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36"/>
          <w:szCs w:val="36"/>
          <w:lang w:val="zh-CN"/>
        </w:rPr>
      </w:pPr>
    </w:p>
    <w:p>
      <w:pPr>
        <w:pStyle w:val="6"/>
        <w:rPr>
          <w:color w:val="auto"/>
          <w:lang w:val="zh-CN"/>
        </w:rPr>
      </w:pPr>
    </w:p>
    <w:p>
      <w:pPr>
        <w:autoSpaceDE w:val="0"/>
        <w:autoSpaceDN w:val="0"/>
        <w:adjustRightInd w:val="0"/>
        <w:spacing w:line="360" w:lineRule="auto"/>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第</w:t>
      </w:r>
      <w:r>
        <w:rPr>
          <w:rFonts w:hint="eastAsia" w:ascii="宋体" w:hAnsi="宋体" w:cs="宋体"/>
          <w:b/>
          <w:bCs/>
          <w:color w:val="auto"/>
          <w:sz w:val="28"/>
          <w:szCs w:val="28"/>
        </w:rPr>
        <w:t>七</w:t>
      </w:r>
      <w:r>
        <w:rPr>
          <w:rFonts w:hint="eastAsia" w:ascii="宋体" w:hAnsi="宋体" w:cs="宋体"/>
          <w:b/>
          <w:bCs/>
          <w:color w:val="auto"/>
          <w:sz w:val="28"/>
          <w:szCs w:val="28"/>
          <w:lang w:val="zh-CN"/>
        </w:rPr>
        <w:t>部分  谈判方案说明</w:t>
      </w:r>
    </w:p>
    <w:p>
      <w:pPr>
        <w:autoSpaceDE w:val="0"/>
        <w:autoSpaceDN w:val="0"/>
        <w:adjustRightInd w:val="0"/>
        <w:spacing w:line="360" w:lineRule="auto"/>
        <w:jc w:val="center"/>
        <w:rPr>
          <w:rFonts w:ascii="宋体" w:hAnsi="宋体" w:cs="宋体"/>
          <w:b/>
          <w:bCs/>
          <w:color w:val="auto"/>
          <w:sz w:val="36"/>
          <w:szCs w:val="36"/>
          <w:lang w:val="zh-CN"/>
        </w:rPr>
      </w:pP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依照谈判文件“第五章 采购</w:t>
      </w:r>
      <w:r>
        <w:rPr>
          <w:rFonts w:hint="eastAsia" w:ascii="宋体" w:hAnsi="宋体" w:cs="宋体"/>
          <w:color w:val="auto"/>
          <w:sz w:val="24"/>
          <w:szCs w:val="24"/>
          <w:lang w:val="zh-CN"/>
        </w:rPr>
        <w:t>内容及要求</w:t>
      </w:r>
      <w:r>
        <w:rPr>
          <w:rFonts w:hint="eastAsia" w:ascii="宋体" w:hAnsi="宋体" w:cs="宋体"/>
          <w:color w:val="auto"/>
          <w:sz w:val="24"/>
          <w:szCs w:val="24"/>
        </w:rPr>
        <w:t>”编制谈判方案，格式自拟，包括但不限于以下内容：</w:t>
      </w:r>
    </w:p>
    <w:p>
      <w:pPr>
        <w:numPr>
          <w:ilvl w:val="0"/>
          <w:numId w:val="10"/>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项目实施方案（包含供货计划、安排及组织措施）；</w:t>
      </w:r>
    </w:p>
    <w:p>
      <w:pPr>
        <w:numPr>
          <w:ilvl w:val="0"/>
          <w:numId w:val="10"/>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人员的配备；</w:t>
      </w:r>
    </w:p>
    <w:p>
      <w:pPr>
        <w:numPr>
          <w:ilvl w:val="0"/>
          <w:numId w:val="10"/>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货物来源渠道及质量保证；</w:t>
      </w:r>
    </w:p>
    <w:p>
      <w:pPr>
        <w:numPr>
          <w:ilvl w:val="0"/>
          <w:numId w:val="10"/>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售后服务；</w:t>
      </w:r>
    </w:p>
    <w:p>
      <w:pPr>
        <w:numPr>
          <w:ilvl w:val="0"/>
          <w:numId w:val="10"/>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供应商认为有必要说明的其他问题。</w:t>
      </w:r>
    </w:p>
    <w:p>
      <w:pPr>
        <w:jc w:val="center"/>
        <w:rPr>
          <w:rFonts w:ascii="宋体" w:hAnsi="宋体" w:cs="宋体"/>
          <w:b/>
          <w:color w:val="auto"/>
          <w:sz w:val="32"/>
          <w:szCs w:val="32"/>
        </w:rPr>
      </w:pPr>
    </w:p>
    <w:p>
      <w:pPr>
        <w:autoSpaceDE w:val="0"/>
        <w:autoSpaceDN w:val="0"/>
        <w:adjustRightInd w:val="0"/>
        <w:spacing w:line="360" w:lineRule="auto"/>
        <w:jc w:val="center"/>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p>
    <w:p>
      <w:pPr>
        <w:pStyle w:val="17"/>
        <w:rPr>
          <w:rFonts w:ascii="宋体" w:hAnsi="宋体" w:cs="宋体"/>
          <w:b/>
          <w:bCs/>
          <w:color w:val="auto"/>
          <w:szCs w:val="28"/>
          <w:lang w:val="zh-CN"/>
        </w:rPr>
      </w:pPr>
    </w:p>
    <w:p>
      <w:pPr>
        <w:rPr>
          <w:rFonts w:ascii="宋体" w:hAnsi="宋体" w:cs="宋体"/>
          <w:b/>
          <w:bCs/>
          <w:color w:val="auto"/>
          <w:sz w:val="28"/>
          <w:szCs w:val="28"/>
          <w:lang w:val="zh-CN"/>
        </w:rPr>
      </w:pPr>
    </w:p>
    <w:p>
      <w:pPr>
        <w:pStyle w:val="17"/>
        <w:rPr>
          <w:rFonts w:ascii="宋体" w:hAnsi="宋体" w:cs="宋体"/>
          <w:b/>
          <w:bCs/>
          <w:color w:val="auto"/>
          <w:szCs w:val="28"/>
          <w:lang w:val="zh-CN"/>
        </w:rPr>
      </w:pPr>
    </w:p>
    <w:p>
      <w:pPr>
        <w:rPr>
          <w:rFonts w:ascii="宋体" w:hAnsi="宋体" w:cs="宋体"/>
          <w:b/>
          <w:bCs/>
          <w:color w:val="auto"/>
          <w:sz w:val="28"/>
          <w:szCs w:val="28"/>
          <w:lang w:val="zh-CN"/>
        </w:rPr>
      </w:pPr>
    </w:p>
    <w:p>
      <w:pPr>
        <w:pStyle w:val="17"/>
        <w:rPr>
          <w:color w:val="auto"/>
          <w:lang w:val="zh-CN"/>
        </w:rPr>
      </w:pPr>
    </w:p>
    <w:p>
      <w:pPr>
        <w:autoSpaceDE w:val="0"/>
        <w:autoSpaceDN w:val="0"/>
        <w:adjustRightInd w:val="0"/>
        <w:spacing w:line="360" w:lineRule="auto"/>
        <w:jc w:val="center"/>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hint="eastAsia"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第</w:t>
      </w:r>
      <w:r>
        <w:rPr>
          <w:rFonts w:hint="eastAsia" w:ascii="宋体" w:hAnsi="宋体" w:cs="宋体"/>
          <w:b/>
          <w:bCs/>
          <w:color w:val="auto"/>
          <w:sz w:val="28"/>
          <w:szCs w:val="28"/>
        </w:rPr>
        <w:t>八</w:t>
      </w:r>
      <w:r>
        <w:rPr>
          <w:rFonts w:hint="eastAsia" w:ascii="宋体" w:hAnsi="宋体" w:cs="宋体"/>
          <w:b/>
          <w:bCs/>
          <w:color w:val="auto"/>
          <w:sz w:val="28"/>
          <w:szCs w:val="28"/>
          <w:lang w:val="zh-CN"/>
        </w:rPr>
        <w:t>部分  供应商承诺书</w:t>
      </w:r>
    </w:p>
    <w:p>
      <w:pPr>
        <w:autoSpaceDE w:val="0"/>
        <w:autoSpaceDN w:val="0"/>
        <w:adjustRightInd w:val="0"/>
        <w:spacing w:line="560" w:lineRule="exact"/>
        <w:jc w:val="center"/>
        <w:rPr>
          <w:rFonts w:ascii="宋体" w:hAnsi="宋体" w:cs="宋体"/>
          <w:b/>
          <w:bCs/>
          <w:color w:val="auto"/>
          <w:sz w:val="24"/>
          <w:szCs w:val="24"/>
          <w:lang w:val="zh-CN"/>
        </w:rPr>
      </w:pPr>
      <w:r>
        <w:rPr>
          <w:rFonts w:hint="eastAsia" w:ascii="宋体" w:hAnsi="宋体" w:cs="宋体"/>
          <w:b/>
          <w:bCs/>
          <w:color w:val="auto"/>
          <w:sz w:val="24"/>
          <w:szCs w:val="24"/>
        </w:rPr>
        <w:t xml:space="preserve">8.1 </w:t>
      </w:r>
      <w:r>
        <w:rPr>
          <w:rFonts w:hint="eastAsia" w:ascii="宋体" w:hAnsi="宋体" w:cs="宋体"/>
          <w:b/>
          <w:bCs/>
          <w:color w:val="auto"/>
          <w:sz w:val="24"/>
          <w:szCs w:val="24"/>
          <w:lang w:val="zh-CN"/>
        </w:rPr>
        <w:t>政府采购供应商拒绝政府采购</w:t>
      </w:r>
      <w:bookmarkStart w:id="104" w:name="_Toc438541326"/>
      <w:bookmarkStart w:id="105" w:name="_Toc437425973"/>
      <w:bookmarkStart w:id="106" w:name="_Toc28167"/>
      <w:bookmarkStart w:id="107" w:name="_Toc435777821"/>
      <w:bookmarkStart w:id="108" w:name="_Toc437247481"/>
      <w:r>
        <w:rPr>
          <w:rFonts w:hint="eastAsia" w:ascii="宋体" w:hAnsi="宋体" w:cs="宋体"/>
          <w:b/>
          <w:bCs/>
          <w:color w:val="auto"/>
          <w:sz w:val="24"/>
          <w:szCs w:val="24"/>
          <w:lang w:val="zh-CN"/>
        </w:rPr>
        <w:t>领域</w:t>
      </w:r>
      <w:bookmarkStart w:id="109" w:name="_Toc435777721"/>
      <w:bookmarkStart w:id="110" w:name="_Toc435776434"/>
      <w:r>
        <w:rPr>
          <w:rFonts w:hint="eastAsia" w:ascii="宋体" w:hAnsi="宋体" w:cs="宋体"/>
          <w:b/>
          <w:bCs/>
          <w:color w:val="auto"/>
          <w:sz w:val="24"/>
          <w:szCs w:val="24"/>
          <w:lang w:val="zh-CN"/>
        </w:rPr>
        <w:t>商业</w:t>
      </w:r>
      <w:bookmarkEnd w:id="104"/>
      <w:bookmarkEnd w:id="105"/>
      <w:bookmarkEnd w:id="106"/>
      <w:bookmarkEnd w:id="107"/>
      <w:bookmarkEnd w:id="108"/>
      <w:bookmarkEnd w:id="109"/>
      <w:bookmarkEnd w:id="110"/>
      <w:r>
        <w:rPr>
          <w:rFonts w:hint="eastAsia" w:ascii="宋体" w:hAnsi="宋体" w:cs="宋体"/>
          <w:b/>
          <w:bCs/>
          <w:color w:val="auto"/>
          <w:sz w:val="24"/>
          <w:szCs w:val="24"/>
          <w:lang w:val="zh-CN"/>
        </w:rPr>
        <w:t>贿赂承诺书</w:t>
      </w:r>
    </w:p>
    <w:p>
      <w:p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为响应党中央、国务院关于治理政府采购领域商业贿赂行为的号召，我单位在此庄严承诺：</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在参与政府采购活动中遵纪守法、诚信经营、公平竞标。</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不向采购人、采购代理机构和政府采购评审专家进行任何形式的商业贿赂以谋取交易机会。</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不向采购代理机构和采购人提供虚假资质文件或采用虚假应标方式参与政府采购市场竞争并谋取成交、成交。</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不采取“围标、陪标”等商业欺诈手段获得政府采购定单。</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不采取不正当手段低毁、排挤其他供应商。</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不在提供商品和服务时“偷梁换柱、以次充好”损害采购人的合法权益。</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不与采购人、采购代理机构、政府采购评审专家或其它供应商恶意串通，进行质疑和投诉，维护政府采购市场秩序。</w:t>
      </w:r>
    </w:p>
    <w:p>
      <w:pPr>
        <w:numPr>
          <w:ilvl w:val="0"/>
          <w:numId w:val="11"/>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尊重和接受政府采购监督管理部门的监督和采购代理机构的招标要求，承担因违约行为给采购人造成的损失。</w:t>
      </w:r>
    </w:p>
    <w:p>
      <w:pPr>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9、不发生其他有悖于政府采购公开、公平、公正和诚信原则的行为。</w:t>
      </w:r>
    </w:p>
    <w:p>
      <w:pPr>
        <w:pStyle w:val="112"/>
        <w:spacing w:line="520" w:lineRule="exact"/>
        <w:ind w:left="200" w:firstLine="0" w:firstLineChars="0"/>
        <w:rPr>
          <w:rFonts w:ascii="宋体" w:hAnsi="宋体" w:cs="宋体"/>
          <w:color w:val="auto"/>
          <w:sz w:val="24"/>
        </w:rPr>
      </w:pP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承诺单位：                  （公      章）</w:t>
      </w: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法定代表人或授权代表：      （签字或盖章）</w:t>
      </w: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地    址：                               </w:t>
      </w: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邮    编：                               </w:t>
      </w:r>
    </w:p>
    <w:p>
      <w:pPr>
        <w:tabs>
          <w:tab w:val="left" w:pos="5580"/>
        </w:tabs>
        <w:adjustRightInd w:val="0"/>
        <w:spacing w:line="520" w:lineRule="exact"/>
        <w:ind w:firstLine="480" w:firstLineChars="200"/>
        <w:rPr>
          <w:rFonts w:ascii="宋体" w:hAnsi="宋体" w:cs="宋体"/>
          <w:color w:val="auto"/>
          <w:kern w:val="0"/>
          <w:sz w:val="28"/>
          <w:szCs w:val="28"/>
        </w:rPr>
      </w:pPr>
      <w:r>
        <w:rPr>
          <w:rFonts w:hint="eastAsia" w:ascii="宋体" w:hAnsi="宋体" w:cs="宋体"/>
          <w:color w:val="auto"/>
          <w:kern w:val="0"/>
          <w:sz w:val="24"/>
          <w:szCs w:val="24"/>
        </w:rPr>
        <w:t xml:space="preserve">电    话：                            </w:t>
      </w:r>
      <w:r>
        <w:rPr>
          <w:rFonts w:hint="eastAsia" w:ascii="宋体" w:hAnsi="宋体" w:cs="宋体"/>
          <w:color w:val="auto"/>
          <w:kern w:val="0"/>
          <w:sz w:val="28"/>
          <w:szCs w:val="28"/>
        </w:rPr>
        <w:t xml:space="preserve">   </w:t>
      </w:r>
    </w:p>
    <w:p>
      <w:pPr>
        <w:autoSpaceDE w:val="0"/>
        <w:autoSpaceDN w:val="0"/>
        <w:adjustRightInd w:val="0"/>
        <w:spacing w:line="520" w:lineRule="exact"/>
        <w:rPr>
          <w:rFonts w:ascii="宋体" w:hAnsi="宋体" w:cs="宋体"/>
          <w:color w:val="auto"/>
          <w:sz w:val="28"/>
          <w:szCs w:val="28"/>
        </w:rPr>
      </w:pPr>
    </w:p>
    <w:p>
      <w:pPr>
        <w:autoSpaceDE w:val="0"/>
        <w:autoSpaceDN w:val="0"/>
        <w:adjustRightInd w:val="0"/>
        <w:spacing w:before="120" w:beforeLines="50" w:after="120" w:afterLines="50" w:line="560" w:lineRule="exact"/>
        <w:rPr>
          <w:rFonts w:ascii="宋体" w:hAnsi="宋体" w:cs="宋体"/>
          <w:b/>
          <w:bCs/>
          <w:color w:val="auto"/>
          <w:sz w:val="24"/>
          <w:szCs w:val="24"/>
        </w:rPr>
      </w:pPr>
    </w:p>
    <w:p>
      <w:pPr>
        <w:pStyle w:val="2"/>
        <w:rPr>
          <w:color w:val="auto"/>
        </w:rPr>
      </w:pPr>
    </w:p>
    <w:p>
      <w:pPr>
        <w:autoSpaceDE w:val="0"/>
        <w:autoSpaceDN w:val="0"/>
        <w:adjustRightInd w:val="0"/>
        <w:spacing w:before="120" w:beforeLines="50" w:after="120" w:afterLines="50" w:line="560" w:lineRule="exact"/>
        <w:jc w:val="center"/>
        <w:rPr>
          <w:rFonts w:ascii="宋体" w:hAnsi="宋体" w:cs="宋体"/>
          <w:b/>
          <w:bCs/>
          <w:color w:val="auto"/>
          <w:sz w:val="28"/>
          <w:szCs w:val="28"/>
          <w:lang w:val="zh-CN"/>
        </w:rPr>
      </w:pPr>
      <w:r>
        <w:rPr>
          <w:rFonts w:hint="eastAsia" w:ascii="宋体" w:hAnsi="宋体" w:cs="宋体"/>
          <w:b/>
          <w:bCs/>
          <w:color w:val="auto"/>
          <w:sz w:val="24"/>
          <w:szCs w:val="24"/>
        </w:rPr>
        <w:t>8.2供应商书面声明书</w:t>
      </w:r>
    </w:p>
    <w:p>
      <w:pPr>
        <w:pStyle w:val="17"/>
        <w:rPr>
          <w:rFonts w:ascii="宋体" w:hAnsi="宋体" w:cs="宋体"/>
          <w:color w:val="auto"/>
          <w:sz w:val="24"/>
          <w:szCs w:val="24"/>
        </w:rPr>
      </w:pPr>
    </w:p>
    <w:p>
      <w:pPr>
        <w:pStyle w:val="17"/>
        <w:rPr>
          <w:rFonts w:ascii="宋体" w:hAnsi="宋体" w:cs="宋体"/>
          <w:b/>
          <w:color w:val="auto"/>
          <w:sz w:val="24"/>
          <w:szCs w:val="24"/>
        </w:rPr>
      </w:pPr>
      <w:r>
        <w:rPr>
          <w:rFonts w:hint="eastAsia" w:ascii="宋体" w:hAnsi="宋体" w:cs="宋体"/>
          <w:color w:val="auto"/>
          <w:sz w:val="24"/>
          <w:szCs w:val="24"/>
        </w:rPr>
        <w:t>陕西盛仕骄阳项目管理有限公司：</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作为参加贵单位组织的</w:t>
      </w:r>
      <w:r>
        <w:rPr>
          <w:rFonts w:hint="eastAsia" w:ascii="宋体" w:hAnsi="宋体" w:cs="宋体"/>
          <w:color w:val="auto"/>
          <w:sz w:val="24"/>
          <w:szCs w:val="24"/>
          <w:u w:val="single"/>
        </w:rPr>
        <w:t xml:space="preserve">                </w:t>
      </w:r>
      <w:r>
        <w:rPr>
          <w:rFonts w:hint="eastAsia" w:ascii="宋体" w:hAnsi="宋体" w:cs="宋体"/>
          <w:color w:val="auto"/>
          <w:sz w:val="24"/>
          <w:szCs w:val="24"/>
        </w:rPr>
        <w:t>的供应商，本公司郑重承诺：</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1、在参加本项目谈判之前不存在被依法禁止经营行为、财产被接管或冻结的情况，如有隐瞒实情，愿承担一切责任及后果。</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2、近三年受到有关行政主管部门的行政处理、不良行为记录为</w:t>
      </w:r>
      <w:r>
        <w:rPr>
          <w:rFonts w:hint="eastAsia" w:ascii="宋体" w:hAnsi="宋体" w:cs="宋体"/>
          <w:color w:val="auto"/>
          <w:sz w:val="24"/>
          <w:szCs w:val="24"/>
          <w:u w:val="single"/>
        </w:rPr>
        <w:t xml:space="preserve">    </w:t>
      </w:r>
      <w:r>
        <w:rPr>
          <w:rFonts w:hint="eastAsia" w:ascii="宋体" w:hAnsi="宋体" w:cs="宋体"/>
          <w:color w:val="auto"/>
          <w:sz w:val="24"/>
          <w:szCs w:val="24"/>
        </w:rPr>
        <w:t>次（没有填零），如有隐瞒实情，愿承担一切责任及后果。</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3、参加本次谈判提交的所有资质证明文件及业绩证明文件是真实的、有效的，如有隐瞒实情，愿承担一切责任及后果。</w:t>
      </w:r>
    </w:p>
    <w:p>
      <w:pPr>
        <w:autoSpaceDE w:val="0"/>
        <w:autoSpaceDN w:val="0"/>
        <w:adjustRightInd w:val="0"/>
        <w:spacing w:line="560" w:lineRule="exact"/>
        <w:ind w:firstLine="482" w:firstLineChars="200"/>
        <w:rPr>
          <w:rFonts w:ascii="宋体" w:hAnsi="宋体" w:cs="宋体"/>
          <w:b/>
          <w:color w:val="auto"/>
          <w:sz w:val="24"/>
          <w:szCs w:val="24"/>
        </w:rPr>
      </w:pPr>
    </w:p>
    <w:p>
      <w:pPr>
        <w:autoSpaceDE w:val="0"/>
        <w:autoSpaceDN w:val="0"/>
        <w:adjustRightInd w:val="0"/>
        <w:spacing w:line="560" w:lineRule="exact"/>
        <w:jc w:val="center"/>
        <w:rPr>
          <w:rFonts w:ascii="宋体" w:hAnsi="宋体" w:cs="宋体"/>
          <w:b/>
          <w:color w:val="auto"/>
          <w:sz w:val="24"/>
          <w:szCs w:val="24"/>
        </w:rPr>
      </w:pPr>
    </w:p>
    <w:p>
      <w:pPr>
        <w:adjustRightInd w:val="0"/>
        <w:snapToGrid w:val="0"/>
        <w:spacing w:line="560" w:lineRule="exact"/>
        <w:ind w:firstLine="360" w:firstLineChars="150"/>
        <w:rPr>
          <w:rFonts w:ascii="宋体" w:hAnsi="宋体" w:cs="宋体"/>
          <w:color w:val="auto"/>
          <w:sz w:val="24"/>
          <w:szCs w:val="24"/>
        </w:rPr>
      </w:pPr>
      <w:r>
        <w:rPr>
          <w:rFonts w:hint="eastAsia" w:ascii="宋体" w:hAnsi="宋体" w:cs="宋体"/>
          <w:color w:val="auto"/>
          <w:sz w:val="24"/>
          <w:szCs w:val="24"/>
        </w:rPr>
        <w:t>供应商                           法定代表人/委托代理人</w:t>
      </w:r>
    </w:p>
    <w:p>
      <w:pPr>
        <w:adjustRightInd w:val="0"/>
        <w:snapToGrid w:val="0"/>
        <w:spacing w:line="560" w:lineRule="exact"/>
        <w:ind w:firstLine="240" w:firstLineChars="100"/>
        <w:rPr>
          <w:rFonts w:ascii="宋体" w:hAnsi="宋体" w:cs="宋体"/>
          <w:color w:val="auto"/>
          <w:sz w:val="24"/>
          <w:szCs w:val="24"/>
        </w:rPr>
      </w:pPr>
      <w:r>
        <w:rPr>
          <w:rFonts w:hint="eastAsia" w:ascii="宋体" w:hAnsi="宋体" w:cs="宋体"/>
          <w:color w:val="auto"/>
          <w:sz w:val="24"/>
          <w:szCs w:val="24"/>
        </w:rPr>
        <w:t>（单位公章）：                             （签字或盖章）：</w:t>
      </w:r>
    </w:p>
    <w:p>
      <w:pPr>
        <w:adjustRightInd w:val="0"/>
        <w:snapToGrid w:val="0"/>
        <w:spacing w:line="560" w:lineRule="exact"/>
        <w:ind w:firstLine="240" w:firstLineChars="100"/>
        <w:rPr>
          <w:rFonts w:ascii="宋体" w:hAnsi="宋体" w:cs="宋体"/>
          <w:color w:val="auto"/>
          <w:sz w:val="24"/>
          <w:szCs w:val="24"/>
        </w:rPr>
      </w:pPr>
    </w:p>
    <w:p>
      <w:pPr>
        <w:adjustRightInd w:val="0"/>
        <w:snapToGrid w:val="0"/>
        <w:spacing w:line="560" w:lineRule="exact"/>
        <w:ind w:firstLine="4920" w:firstLineChars="2050"/>
        <w:jc w:val="left"/>
        <w:rPr>
          <w:rFonts w:ascii="宋体" w:hAnsi="宋体" w:cs="宋体"/>
          <w:color w:val="auto"/>
          <w:sz w:val="24"/>
          <w:szCs w:val="24"/>
          <w:u w:val="single"/>
        </w:rPr>
      </w:pPr>
      <w:r>
        <w:rPr>
          <w:rFonts w:hint="eastAsia" w:ascii="宋体" w:hAnsi="宋体" w:cs="宋体"/>
          <w:color w:val="auto"/>
          <w:sz w:val="24"/>
          <w:szCs w:val="24"/>
        </w:rPr>
        <w:t>_____年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p>
    <w:p>
      <w:pPr>
        <w:pStyle w:val="17"/>
        <w:rPr>
          <w:rFonts w:ascii="宋体" w:hAnsi="宋体" w:cs="宋体"/>
          <w:color w:val="auto"/>
          <w:sz w:val="24"/>
          <w:szCs w:val="24"/>
          <w:u w:val="single"/>
        </w:rPr>
      </w:pPr>
    </w:p>
    <w:p>
      <w:pPr>
        <w:rPr>
          <w:rFonts w:ascii="宋体" w:hAnsi="宋体" w:cs="宋体"/>
          <w:color w:val="auto"/>
          <w:sz w:val="24"/>
          <w:szCs w:val="24"/>
          <w:u w:val="single"/>
        </w:rPr>
      </w:pPr>
    </w:p>
    <w:p>
      <w:pPr>
        <w:pStyle w:val="17"/>
        <w:rPr>
          <w:rFonts w:ascii="宋体" w:hAnsi="宋体" w:cs="宋体"/>
          <w:color w:val="auto"/>
          <w:sz w:val="24"/>
          <w:szCs w:val="24"/>
          <w:u w:val="single"/>
        </w:rPr>
      </w:pPr>
    </w:p>
    <w:p>
      <w:pPr>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jc w:val="center"/>
        <w:rPr>
          <w:rFonts w:ascii="宋体" w:hAnsi="宋体" w:cs="宋体"/>
          <w:b/>
          <w:bCs/>
          <w:color w:val="auto"/>
          <w:sz w:val="28"/>
          <w:szCs w:val="28"/>
          <w:lang w:val="zh-CN"/>
        </w:rPr>
      </w:pPr>
      <w:r>
        <w:rPr>
          <w:rFonts w:hint="eastAsia" w:ascii="宋体" w:hAnsi="宋体" w:cs="宋体"/>
          <w:b/>
          <w:bCs/>
          <w:color w:val="auto"/>
          <w:sz w:val="28"/>
          <w:szCs w:val="28"/>
          <w:lang w:val="zh-CN"/>
        </w:rPr>
        <w:t>第</w:t>
      </w:r>
      <w:r>
        <w:rPr>
          <w:rFonts w:hint="eastAsia" w:ascii="宋体" w:hAnsi="宋体" w:cs="宋体"/>
          <w:b/>
          <w:bCs/>
          <w:color w:val="auto"/>
          <w:sz w:val="28"/>
          <w:szCs w:val="28"/>
        </w:rPr>
        <w:t>九</w:t>
      </w:r>
      <w:r>
        <w:rPr>
          <w:rFonts w:hint="eastAsia" w:ascii="宋体" w:hAnsi="宋体" w:cs="宋体"/>
          <w:b/>
          <w:bCs/>
          <w:color w:val="auto"/>
          <w:sz w:val="28"/>
          <w:szCs w:val="28"/>
          <w:lang w:val="zh-CN"/>
        </w:rPr>
        <w:t>部分  近三年完成的类似项目表</w:t>
      </w:r>
    </w:p>
    <w:p>
      <w:pPr>
        <w:rPr>
          <w:color w:val="auto"/>
        </w:rPr>
      </w:pPr>
    </w:p>
    <w:tbl>
      <w:tblPr>
        <w:tblStyle w:val="36"/>
        <w:tblW w:w="915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2554"/>
        <w:gridCol w:w="1575"/>
        <w:gridCol w:w="33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1065"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2554"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项目内容</w:t>
            </w: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完成日期</w:t>
            </w:r>
          </w:p>
        </w:tc>
        <w:tc>
          <w:tcPr>
            <w:tcW w:w="3351"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bl>
    <w:p>
      <w:pPr>
        <w:pStyle w:val="17"/>
        <w:spacing w:line="360" w:lineRule="auto"/>
        <w:rPr>
          <w:rFonts w:ascii="宋体" w:hAnsi="宋体" w:cs="宋体"/>
          <w:color w:val="auto"/>
          <w:sz w:val="24"/>
          <w:szCs w:val="24"/>
        </w:rPr>
      </w:pPr>
    </w:p>
    <w:p>
      <w:pPr>
        <w:spacing w:line="360" w:lineRule="auto"/>
        <w:rPr>
          <w:rFonts w:ascii="宋体" w:hAnsi="宋体" w:cs="宋体"/>
          <w:color w:val="auto"/>
          <w:sz w:val="22"/>
          <w:szCs w:val="22"/>
        </w:rPr>
      </w:pPr>
      <w:r>
        <w:rPr>
          <w:rFonts w:hint="eastAsia" w:ascii="宋体" w:hAnsi="宋体" w:cs="宋体"/>
          <w:color w:val="auto"/>
          <w:sz w:val="22"/>
          <w:szCs w:val="22"/>
        </w:rPr>
        <w:t>备注：1、2019年至今以来的类似项目业绩须附合同或成交通知书等资料加盖公章的复印件。</w:t>
      </w:r>
    </w:p>
    <w:p>
      <w:pPr>
        <w:spacing w:line="360" w:lineRule="auto"/>
        <w:ind w:firstLine="660" w:firstLineChars="300"/>
        <w:rPr>
          <w:rFonts w:ascii="宋体" w:hAnsi="宋体" w:cs="宋体"/>
          <w:color w:val="auto"/>
          <w:sz w:val="22"/>
          <w:szCs w:val="22"/>
        </w:rPr>
      </w:pPr>
      <w:r>
        <w:rPr>
          <w:rFonts w:hint="eastAsia" w:ascii="宋体" w:hAnsi="宋体" w:cs="宋体"/>
          <w:color w:val="auto"/>
          <w:sz w:val="22"/>
          <w:szCs w:val="22"/>
        </w:rPr>
        <w:t>2、供应商应如实列出以上情况，如有隐瞒，一经查实将导致其投标申请被拒绝。</w:t>
      </w:r>
    </w:p>
    <w:p>
      <w:pPr>
        <w:pStyle w:val="12"/>
        <w:ind w:firstLine="0"/>
        <w:rPr>
          <w:rFonts w:ascii="宋体" w:hAnsi="宋体" w:cs="宋体"/>
          <w:color w:val="auto"/>
          <w:szCs w:val="21"/>
        </w:rPr>
      </w:pPr>
    </w:p>
    <w:p>
      <w:pPr>
        <w:pStyle w:val="12"/>
        <w:ind w:firstLine="0"/>
        <w:rPr>
          <w:rFonts w:ascii="宋体" w:hAnsi="宋体" w:cs="宋体"/>
          <w:color w:val="auto"/>
          <w:szCs w:val="21"/>
        </w:rPr>
      </w:pPr>
    </w:p>
    <w:p>
      <w:pPr>
        <w:pStyle w:val="12"/>
        <w:rPr>
          <w:rFonts w:ascii="宋体" w:hAnsi="宋体" w:cs="宋体"/>
          <w:color w:val="auto"/>
          <w:szCs w:val="21"/>
        </w:rPr>
      </w:pPr>
    </w:p>
    <w:p>
      <w:pPr>
        <w:adjustRightInd w:val="0"/>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供应商名称：         （盖章）</w:t>
      </w:r>
    </w:p>
    <w:p>
      <w:pPr>
        <w:spacing w:before="240" w:beforeLines="100" w:after="120" w:afterLines="50" w:line="360" w:lineRule="auto"/>
        <w:ind w:firstLine="480" w:firstLineChars="200"/>
        <w:rPr>
          <w:rFonts w:ascii="宋体" w:hAnsi="宋体" w:cs="宋体"/>
          <w:b/>
          <w:bCs/>
          <w:color w:val="auto"/>
          <w:kern w:val="0"/>
          <w:sz w:val="28"/>
          <w:szCs w:val="28"/>
        </w:rPr>
      </w:pPr>
      <w:r>
        <w:rPr>
          <w:rFonts w:hint="eastAsia" w:ascii="宋体" w:hAnsi="宋体" w:cs="宋体"/>
          <w:color w:val="auto"/>
          <w:sz w:val="24"/>
          <w:szCs w:val="24"/>
        </w:rPr>
        <w:t>法定代表人或授权代表（签名或盖章）</w:t>
      </w:r>
      <w:r>
        <w:rPr>
          <w:rFonts w:hint="eastAsia" w:ascii="宋体" w:hAnsi="宋体" w:cs="宋体"/>
          <w:bCs/>
          <w:color w:val="auto"/>
          <w:sz w:val="24"/>
          <w:szCs w:val="24"/>
        </w:rPr>
        <w:t>：               日期:</w:t>
      </w:r>
    </w:p>
    <w:p>
      <w:pPr>
        <w:pStyle w:val="2"/>
        <w:rPr>
          <w:rFonts w:ascii="宋体" w:hAnsi="宋体" w:cs="宋体"/>
          <w:color w:val="auto"/>
          <w:highlight w:val="yellow"/>
        </w:rPr>
        <w:sectPr>
          <w:pgSz w:w="11906" w:h="16838"/>
          <w:pgMar w:top="1418" w:right="1418" w:bottom="1418" w:left="1418" w:header="851" w:footer="992" w:gutter="0"/>
          <w:cols w:space="425" w:num="1"/>
          <w:docGrid w:linePitch="312" w:charSpace="0"/>
        </w:sectPr>
      </w:pPr>
    </w:p>
    <w:p>
      <w:pPr>
        <w:autoSpaceDE w:val="0"/>
        <w:autoSpaceDN w:val="0"/>
        <w:adjustRightInd w:val="0"/>
        <w:spacing w:line="520" w:lineRule="exact"/>
        <w:jc w:val="center"/>
        <w:rPr>
          <w:rFonts w:ascii="宋体" w:hAnsi="宋体" w:cs="宋体"/>
          <w:b/>
          <w:bCs/>
          <w:color w:val="auto"/>
          <w:sz w:val="28"/>
          <w:szCs w:val="28"/>
          <w:lang w:val="zh-CN"/>
        </w:rPr>
      </w:pPr>
      <w:r>
        <w:rPr>
          <w:rFonts w:hint="eastAsia" w:ascii="宋体" w:hAnsi="宋体" w:cs="宋体"/>
          <w:b/>
          <w:bCs/>
          <w:color w:val="auto"/>
          <w:sz w:val="28"/>
          <w:szCs w:val="28"/>
          <w:lang w:val="zh-CN"/>
        </w:rPr>
        <w:t>第</w:t>
      </w:r>
      <w:r>
        <w:rPr>
          <w:rFonts w:hint="eastAsia" w:ascii="宋体" w:hAnsi="宋体" w:cs="宋体"/>
          <w:b/>
          <w:bCs/>
          <w:color w:val="auto"/>
          <w:sz w:val="28"/>
          <w:szCs w:val="28"/>
        </w:rPr>
        <w:t>十</w:t>
      </w:r>
      <w:r>
        <w:rPr>
          <w:rFonts w:hint="eastAsia" w:ascii="宋体" w:hAnsi="宋体" w:cs="宋体"/>
          <w:b/>
          <w:bCs/>
          <w:color w:val="auto"/>
          <w:sz w:val="28"/>
          <w:szCs w:val="28"/>
          <w:lang w:val="zh-CN"/>
        </w:rPr>
        <w:t>部分</w:t>
      </w:r>
      <w:r>
        <w:rPr>
          <w:rFonts w:hint="eastAsia" w:ascii="宋体" w:hAnsi="宋体" w:cs="宋体"/>
          <w:b/>
          <w:bCs/>
          <w:color w:val="auto"/>
          <w:sz w:val="28"/>
          <w:szCs w:val="28"/>
        </w:rPr>
        <w:t xml:space="preserve">  </w:t>
      </w:r>
      <w:r>
        <w:rPr>
          <w:rFonts w:hint="eastAsia" w:ascii="宋体" w:hAnsi="宋体" w:cs="宋体"/>
          <w:b/>
          <w:bCs/>
          <w:color w:val="auto"/>
          <w:sz w:val="28"/>
          <w:szCs w:val="28"/>
          <w:lang w:val="zh-CN"/>
        </w:rPr>
        <w:t>供应商资质证明文件</w:t>
      </w:r>
    </w:p>
    <w:p>
      <w:pPr>
        <w:pStyle w:val="81"/>
        <w:spacing w:line="520" w:lineRule="exact"/>
        <w:rPr>
          <w:rFonts w:ascii="宋体" w:hAnsi="宋体" w:cs="宋体"/>
          <w:b/>
          <w:color w:val="auto"/>
        </w:rPr>
      </w:pPr>
      <w:r>
        <w:rPr>
          <w:rFonts w:hint="eastAsia" w:ascii="宋体" w:hAnsi="宋体" w:cs="宋体"/>
          <w:b/>
          <w:color w:val="auto"/>
        </w:rPr>
        <w:t>1、谈判供应商基本情况表；（详见附件1）</w:t>
      </w:r>
    </w:p>
    <w:p>
      <w:pPr>
        <w:pStyle w:val="81"/>
        <w:spacing w:line="520" w:lineRule="exact"/>
        <w:rPr>
          <w:rFonts w:ascii="宋体" w:hAnsi="宋体" w:cs="宋体"/>
          <w:b/>
          <w:color w:val="auto"/>
        </w:rPr>
      </w:pPr>
      <w:r>
        <w:rPr>
          <w:rFonts w:hint="eastAsia" w:ascii="宋体" w:hAnsi="宋体" w:cs="宋体"/>
          <w:b/>
          <w:color w:val="auto"/>
        </w:rPr>
        <w:t>2、基本资格条件：符合《中华人民共和国政府采购法》第二十二条的规定：</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（1）供应商为合法注册的法人或其他组织或自然人，提供营业执照（或事业法人证）,自然人提供身份证明；</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2）财务状况报告：提供具有财务审计资质单位出具的2019年或2020年任意一年年度财务报告（成立时间至开标时间不足一年的可提供成立后任意时段的资产负债表）或开标前六个月内其基本账户银行出具的资信证明（附开户许可证）或政府采购信用担保机构出具的投标担保函；</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 xml:space="preserve">（3）税收缴纳证明：提供开标前六个月内任意一个月已缴纳完税凭证或税务机关开具的完税证明（任意税种）；依法免税的应提供相关文件证明； </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（4）社会保障资金缴纳证明：提供开标前六个月内任意一个月已缴纳的社会保障资金缴存单据或社保机构开具的社会保险参保缴费情况证明（依法不需要缴纳社会保障资金的投标人应提供相关证明）</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（5）具备履行合同所必需的设备和专业技术能力的证明材料(由供应商根据项目需求提供说明材料或者承诺)；（格式自拟）</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（6）提供参加政府采购活动前三年内在经营活动中没有重大违法记录的书面声明；（格式自拟）</w:t>
      </w:r>
    </w:p>
    <w:p>
      <w:pPr>
        <w:pStyle w:val="81"/>
        <w:spacing w:line="520" w:lineRule="exact"/>
        <w:rPr>
          <w:rFonts w:ascii="宋体" w:hAnsi="宋体" w:cs="宋体"/>
          <w:color w:val="auto"/>
        </w:rPr>
      </w:pPr>
      <w:r>
        <w:rPr>
          <w:rFonts w:hint="eastAsia" w:ascii="宋体" w:hAnsi="宋体" w:cs="宋体"/>
          <w:b/>
          <w:color w:val="auto"/>
        </w:rPr>
        <w:t>3、特定资格条件：</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1）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r>
        <w:rPr>
          <w:rFonts w:hint="eastAsia" w:ascii="宋体" w:hAnsi="宋体" w:cs="宋体"/>
          <w:b/>
          <w:bCs/>
          <w:color w:val="auto"/>
          <w:sz w:val="24"/>
          <w:szCs w:val="24"/>
        </w:rPr>
        <w:t>（详见附件2）</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（2）供应商不得为列入信用中国(www.creditchina.gov.cn)记录失信被执行人或重大税收违法案件当事人名单或中国政府采购网(www.ccgp.gov.cn)的政府采购严重违法失信行为记录名单；</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（3）本项目不接受联合体谈判，单位负责人为同一人或者存在控股、管理关系的不同单位不得同时谈判。</w:t>
      </w:r>
      <w:r>
        <w:rPr>
          <w:rFonts w:hint="eastAsia" w:ascii="宋体" w:hAnsi="宋体" w:cs="宋体"/>
          <w:b/>
          <w:bCs/>
          <w:color w:val="auto"/>
          <w:sz w:val="24"/>
          <w:szCs w:val="24"/>
        </w:rPr>
        <w:t>（详见附件3）</w:t>
      </w:r>
    </w:p>
    <w:p>
      <w:pPr>
        <w:pStyle w:val="2"/>
        <w:rPr>
          <w:rFonts w:ascii="宋体" w:hAnsi="宋体" w:cs="宋体"/>
          <w:b/>
          <w:bCs/>
          <w:color w:val="auto"/>
          <w:sz w:val="24"/>
        </w:rPr>
      </w:pPr>
    </w:p>
    <w:p>
      <w:pPr>
        <w:spacing w:line="52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注：供应商按以上序号顺序提供相关资格证明文件的复印件或扫描件，并逐页加盖单位公章。</w:t>
      </w: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rPr>
          <w:rFonts w:ascii="宋体" w:hAnsi="宋体" w:cs="宋体"/>
          <w:color w:val="auto"/>
        </w:rPr>
      </w:pPr>
    </w:p>
    <w:p>
      <w:pPr>
        <w:pStyle w:val="17"/>
        <w:rPr>
          <w:rFonts w:ascii="宋体" w:hAnsi="宋体" w:cs="宋体"/>
          <w:color w:val="auto"/>
        </w:rPr>
      </w:pPr>
    </w:p>
    <w:p>
      <w:pPr>
        <w:pStyle w:val="4"/>
        <w:spacing w:line="400" w:lineRule="exact"/>
        <w:rPr>
          <w:rFonts w:ascii="宋体" w:hAnsi="宋体" w:eastAsia="宋体" w:cs="宋体"/>
          <w:b/>
          <w:bCs/>
          <w:color w:val="auto"/>
          <w:kern w:val="0"/>
          <w:szCs w:val="28"/>
        </w:rPr>
      </w:pPr>
      <w:r>
        <w:rPr>
          <w:rFonts w:hint="eastAsia" w:ascii="宋体" w:hAnsi="宋体" w:eastAsia="宋体" w:cs="宋体"/>
          <w:b/>
          <w:bCs/>
          <w:color w:val="auto"/>
          <w:kern w:val="0"/>
          <w:szCs w:val="28"/>
        </w:rPr>
        <w:t>附件1：</w:t>
      </w:r>
    </w:p>
    <w:p>
      <w:pPr>
        <w:pStyle w:val="4"/>
        <w:spacing w:line="400" w:lineRule="exact"/>
        <w:jc w:val="center"/>
        <w:rPr>
          <w:rFonts w:ascii="宋体" w:hAnsi="宋体" w:eastAsia="宋体" w:cs="宋体"/>
          <w:b/>
          <w:bCs/>
          <w:color w:val="auto"/>
          <w:kern w:val="0"/>
          <w:szCs w:val="28"/>
        </w:rPr>
      </w:pPr>
      <w:r>
        <w:rPr>
          <w:rFonts w:hint="eastAsia" w:ascii="宋体" w:hAnsi="宋体" w:eastAsia="宋体" w:cs="宋体"/>
          <w:b/>
          <w:bCs/>
          <w:color w:val="auto"/>
          <w:kern w:val="0"/>
          <w:szCs w:val="28"/>
        </w:rPr>
        <w:t>谈判供应商基本情况表</w:t>
      </w:r>
    </w:p>
    <w:tbl>
      <w:tblPr>
        <w:tblStyle w:val="36"/>
        <w:tblW w:w="906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1117"/>
        <w:gridCol w:w="1333"/>
        <w:gridCol w:w="1250"/>
        <w:gridCol w:w="1484"/>
        <w:gridCol w:w="1023"/>
        <w:gridCol w:w="116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谈判供应商 名称</w:t>
            </w:r>
          </w:p>
        </w:tc>
        <w:tc>
          <w:tcPr>
            <w:tcW w:w="7370" w:type="dxa"/>
            <w:gridSpan w:val="6"/>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注册地址</w:t>
            </w:r>
          </w:p>
        </w:tc>
        <w:tc>
          <w:tcPr>
            <w:tcW w:w="37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邮政编码</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联系方式</w:t>
            </w:r>
          </w:p>
        </w:tc>
        <w:tc>
          <w:tcPr>
            <w:tcW w:w="11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联系人</w:t>
            </w:r>
          </w:p>
        </w:tc>
        <w:tc>
          <w:tcPr>
            <w:tcW w:w="258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电话</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7"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360" w:lineRule="auto"/>
              <w:jc w:val="left"/>
              <w:rPr>
                <w:rFonts w:ascii="宋体" w:hAnsi="宋体" w:cs="宋体"/>
                <w:color w:val="auto"/>
                <w:kern w:val="0"/>
                <w:sz w:val="24"/>
                <w:szCs w:val="24"/>
              </w:rPr>
            </w:pPr>
          </w:p>
        </w:tc>
        <w:tc>
          <w:tcPr>
            <w:tcW w:w="11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传真</w:t>
            </w:r>
          </w:p>
        </w:tc>
        <w:tc>
          <w:tcPr>
            <w:tcW w:w="258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网址</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单位性质</w:t>
            </w:r>
          </w:p>
        </w:tc>
        <w:tc>
          <w:tcPr>
            <w:tcW w:w="7370"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法定代表人</w:t>
            </w:r>
          </w:p>
        </w:tc>
        <w:tc>
          <w:tcPr>
            <w:tcW w:w="11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姓名</w:t>
            </w:r>
          </w:p>
        </w:tc>
        <w:tc>
          <w:tcPr>
            <w:tcW w:w="13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技术职称</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0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电话</w:t>
            </w:r>
          </w:p>
        </w:tc>
        <w:tc>
          <w:tcPr>
            <w:tcW w:w="116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b/>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技术负责人</w:t>
            </w:r>
          </w:p>
        </w:tc>
        <w:tc>
          <w:tcPr>
            <w:tcW w:w="111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姓名</w:t>
            </w:r>
          </w:p>
        </w:tc>
        <w:tc>
          <w:tcPr>
            <w:tcW w:w="133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技术职称</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0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电话</w:t>
            </w:r>
          </w:p>
        </w:tc>
        <w:tc>
          <w:tcPr>
            <w:tcW w:w="116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b/>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企业资质等级</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kern w:val="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kern w:val="0"/>
                <w:sz w:val="24"/>
                <w:szCs w:val="24"/>
              </w:rPr>
            </w:pPr>
            <w:r>
              <w:rPr>
                <w:rFonts w:hint="eastAsia" w:ascii="宋体" w:hAnsi="宋体" w:cs="宋体"/>
                <w:color w:val="auto"/>
                <w:kern w:val="0"/>
                <w:sz w:val="24"/>
                <w:szCs w:val="24"/>
              </w:rPr>
              <w:t>成立时间</w:t>
            </w:r>
          </w:p>
        </w:tc>
        <w:tc>
          <w:tcPr>
            <w:tcW w:w="3670" w:type="dxa"/>
            <w:gridSpan w:val="3"/>
            <w:tcBorders>
              <w:top w:val="single" w:color="auto" w:sz="6" w:space="0"/>
              <w:left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注册资金</w:t>
            </w:r>
          </w:p>
        </w:tc>
        <w:tc>
          <w:tcPr>
            <w:tcW w:w="2450"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万元</w:t>
            </w:r>
          </w:p>
        </w:tc>
        <w:tc>
          <w:tcPr>
            <w:tcW w:w="1250" w:type="dxa"/>
            <w:vMerge w:val="restart"/>
            <w:tcBorders>
              <w:top w:val="single" w:color="auto" w:sz="4" w:space="0"/>
              <w:left w:val="single" w:color="auto" w:sz="6" w:space="0"/>
              <w:right w:val="single" w:color="auto" w:sz="6"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固定资产</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原值</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万元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流动资金</w:t>
            </w:r>
          </w:p>
        </w:tc>
        <w:tc>
          <w:tcPr>
            <w:tcW w:w="24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 xml:space="preserve">         万元</w:t>
            </w:r>
          </w:p>
        </w:tc>
        <w:tc>
          <w:tcPr>
            <w:tcW w:w="1250" w:type="dxa"/>
            <w:vMerge w:val="continue"/>
            <w:tcBorders>
              <w:left w:val="single" w:color="auto" w:sz="6" w:space="0"/>
              <w:bottom w:val="single" w:color="auto" w:sz="6" w:space="0"/>
              <w:right w:val="single" w:color="auto" w:sz="6" w:space="0"/>
            </w:tcBorders>
            <w:vAlign w:val="center"/>
          </w:tcPr>
          <w:p>
            <w:pPr>
              <w:widowControl/>
              <w:spacing w:line="360" w:lineRule="auto"/>
              <w:jc w:val="left"/>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净值</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万元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开户银行</w:t>
            </w:r>
          </w:p>
        </w:tc>
        <w:tc>
          <w:tcPr>
            <w:tcW w:w="24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vMerge w:val="restart"/>
            <w:tcBorders>
              <w:top w:val="single" w:color="auto" w:sz="6" w:space="0"/>
              <w:left w:val="single" w:color="auto" w:sz="6" w:space="0"/>
              <w:right w:val="single" w:color="auto" w:sz="6"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职工总数  XX人</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生产工人</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基本银行账号</w:t>
            </w:r>
          </w:p>
        </w:tc>
        <w:tc>
          <w:tcPr>
            <w:tcW w:w="24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vMerge w:val="continue"/>
            <w:tcBorders>
              <w:left w:val="single" w:color="auto" w:sz="6" w:space="0"/>
              <w:bottom w:val="single" w:color="auto" w:sz="6" w:space="0"/>
              <w:right w:val="single" w:color="auto" w:sz="6" w:space="0"/>
            </w:tcBorders>
            <w:vAlign w:val="center"/>
          </w:tcPr>
          <w:p>
            <w:pPr>
              <w:widowControl/>
              <w:spacing w:line="360" w:lineRule="auto"/>
              <w:jc w:val="left"/>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技术人员</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22" w:hRule="atLeast"/>
        </w:trPr>
        <w:tc>
          <w:tcPr>
            <w:tcW w:w="1697" w:type="dxa"/>
            <w:tcBorders>
              <w:top w:val="single" w:color="auto" w:sz="6" w:space="0"/>
              <w:left w:val="single" w:color="auto" w:sz="12"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经营范围</w:t>
            </w:r>
          </w:p>
        </w:tc>
        <w:tc>
          <w:tcPr>
            <w:tcW w:w="737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rPr>
                <w:rFonts w:ascii="宋体" w:hAnsi="宋体" w:cs="宋体"/>
                <w:b/>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00" w:hRule="atLeast"/>
        </w:trPr>
        <w:tc>
          <w:tcPr>
            <w:tcW w:w="1697"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备注</w:t>
            </w:r>
          </w:p>
        </w:tc>
        <w:tc>
          <w:tcPr>
            <w:tcW w:w="7370" w:type="dxa"/>
            <w:gridSpan w:val="6"/>
            <w:tcBorders>
              <w:top w:val="single" w:color="auto" w:sz="6" w:space="0"/>
              <w:left w:val="single" w:color="auto" w:sz="6" w:space="0"/>
              <w:bottom w:val="single" w:color="auto" w:sz="12" w:space="0"/>
              <w:right w:val="single" w:color="auto" w:sz="12" w:space="0"/>
            </w:tcBorders>
          </w:tcPr>
          <w:p>
            <w:pPr>
              <w:autoSpaceDE w:val="0"/>
              <w:autoSpaceDN w:val="0"/>
              <w:adjustRightInd w:val="0"/>
              <w:spacing w:line="360" w:lineRule="auto"/>
              <w:jc w:val="left"/>
              <w:rPr>
                <w:rFonts w:ascii="宋体" w:hAnsi="宋体" w:cs="宋体"/>
                <w:color w:val="auto"/>
                <w:kern w:val="0"/>
                <w:sz w:val="24"/>
                <w:szCs w:val="24"/>
              </w:rPr>
            </w:pPr>
          </w:p>
        </w:tc>
      </w:tr>
    </w:tbl>
    <w:p>
      <w:pPr>
        <w:adjustRightInd w:val="0"/>
        <w:spacing w:before="156" w:beforeLines="50" w:line="360" w:lineRule="auto"/>
        <w:jc w:val="left"/>
        <w:rPr>
          <w:rFonts w:ascii="宋体" w:hAnsi="宋体" w:cs="宋体"/>
          <w:color w:val="auto"/>
          <w:sz w:val="24"/>
        </w:rPr>
      </w:pPr>
      <w:r>
        <w:rPr>
          <w:rFonts w:hint="eastAsia" w:ascii="宋体" w:hAnsi="宋体" w:cs="宋体"/>
          <w:color w:val="auto"/>
          <w:sz w:val="24"/>
        </w:rPr>
        <w:t>供应商名称：         （盖章）</w:t>
      </w:r>
    </w:p>
    <w:p>
      <w:pPr>
        <w:autoSpaceDE w:val="0"/>
        <w:autoSpaceDN w:val="0"/>
        <w:adjustRightInd w:val="0"/>
        <w:spacing w:line="360" w:lineRule="auto"/>
        <w:rPr>
          <w:rFonts w:ascii="宋体" w:hAnsi="宋体" w:cs="宋体"/>
          <w:b/>
          <w:bCs/>
          <w:color w:val="auto"/>
          <w:sz w:val="28"/>
          <w:szCs w:val="28"/>
          <w:lang w:val="zh-CN"/>
        </w:rPr>
      </w:pPr>
      <w:r>
        <w:rPr>
          <w:rFonts w:hint="eastAsia" w:ascii="宋体" w:hAnsi="宋体" w:cs="宋体"/>
          <w:color w:val="auto"/>
          <w:sz w:val="24"/>
        </w:rPr>
        <w:t>法定代表人或授权代表（签名或盖章）</w:t>
      </w:r>
      <w:r>
        <w:rPr>
          <w:rFonts w:hint="eastAsia" w:ascii="宋体" w:hAnsi="宋体" w:cs="宋体"/>
          <w:bCs/>
          <w:color w:val="auto"/>
          <w:sz w:val="24"/>
        </w:rPr>
        <w:t xml:space="preserve">：               日期: </w:t>
      </w:r>
    </w:p>
    <w:p>
      <w:pPr>
        <w:pStyle w:val="12"/>
        <w:rPr>
          <w:rFonts w:ascii="宋体" w:hAnsi="宋体" w:cs="宋体"/>
          <w:color w:val="auto"/>
        </w:rPr>
      </w:pPr>
    </w:p>
    <w:p>
      <w:pPr>
        <w:pStyle w:val="12"/>
        <w:rPr>
          <w:rFonts w:ascii="宋体" w:hAnsi="宋体" w:cs="宋体"/>
          <w:b/>
          <w:bCs/>
          <w:color w:val="auto"/>
          <w:kern w:val="0"/>
          <w:sz w:val="28"/>
          <w:szCs w:val="28"/>
        </w:rPr>
      </w:pPr>
    </w:p>
    <w:p>
      <w:pPr>
        <w:pStyle w:val="4"/>
        <w:spacing w:line="400" w:lineRule="exact"/>
        <w:rPr>
          <w:rFonts w:ascii="宋体" w:hAnsi="宋体" w:eastAsia="宋体" w:cs="宋体"/>
          <w:b/>
          <w:bCs/>
          <w:color w:val="auto"/>
          <w:kern w:val="0"/>
          <w:szCs w:val="28"/>
        </w:rPr>
      </w:pPr>
      <w:r>
        <w:rPr>
          <w:rFonts w:hint="eastAsia" w:ascii="宋体" w:hAnsi="宋体" w:eastAsia="宋体" w:cs="宋体"/>
          <w:b/>
          <w:bCs/>
          <w:color w:val="auto"/>
          <w:kern w:val="0"/>
          <w:szCs w:val="28"/>
        </w:rPr>
        <w:t>附件2：</w:t>
      </w:r>
    </w:p>
    <w:p>
      <w:pPr>
        <w:pStyle w:val="4"/>
        <w:spacing w:line="400" w:lineRule="exact"/>
        <w:rPr>
          <w:rFonts w:ascii="宋体" w:hAnsi="宋体" w:eastAsia="宋体" w:cs="宋体"/>
          <w:b/>
          <w:bCs/>
          <w:color w:val="auto"/>
          <w:szCs w:val="28"/>
          <w:lang w:val="zh-CN"/>
        </w:rPr>
      </w:pPr>
      <w:r>
        <w:rPr>
          <w:rFonts w:hint="eastAsia" w:ascii="宋体" w:hAnsi="宋体" w:eastAsia="宋体" w:cs="宋体"/>
          <w:b/>
          <w:bCs/>
          <w:color w:val="auto"/>
          <w:szCs w:val="28"/>
          <w:lang w:val="zh-CN"/>
        </w:rPr>
        <w:t>法定代表人直接参加谈判的，须出具法定代表人身份证明及法人身份证原件及复印件，法定代表人授权代表参加谈判的，须出具法定代表人授权书及授权代表身份证原件及复印件；</w:t>
      </w:r>
    </w:p>
    <w:p>
      <w:pPr>
        <w:autoSpaceDE w:val="0"/>
        <w:autoSpaceDN w:val="0"/>
        <w:adjustRightInd w:val="0"/>
        <w:spacing w:line="288" w:lineRule="auto"/>
        <w:jc w:val="center"/>
        <w:rPr>
          <w:rFonts w:ascii="宋体" w:hAnsi="宋体" w:cs="宋体"/>
          <w:color w:val="auto"/>
          <w:lang w:val="zh-CN"/>
        </w:rPr>
      </w:pPr>
      <w:r>
        <w:rPr>
          <w:rFonts w:hint="eastAsia" w:ascii="宋体" w:hAnsi="宋体" w:cs="宋体"/>
          <w:b/>
          <w:color w:val="auto"/>
          <w:sz w:val="28"/>
          <w:szCs w:val="28"/>
        </w:rPr>
        <w:t>2.1 法定代表人身份证明</w:t>
      </w:r>
    </w:p>
    <w:tbl>
      <w:tblPr>
        <w:tblStyle w:val="36"/>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945"/>
        <w:gridCol w:w="1965"/>
        <w:gridCol w:w="1336"/>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36" w:type="dxa"/>
            <w:gridSpan w:val="5"/>
          </w:tcPr>
          <w:p>
            <w:pPr>
              <w:autoSpaceDE w:val="0"/>
              <w:autoSpaceDN w:val="0"/>
              <w:adjustRightInd w:val="0"/>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企</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业</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法</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人</w:t>
            </w: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企 业 名 称 </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法 定 地 址</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邮 政 编 码</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网       址</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工商登记机关</w:t>
            </w:r>
          </w:p>
        </w:tc>
        <w:tc>
          <w:tcPr>
            <w:tcW w:w="5676" w:type="dxa"/>
            <w:gridSpan w:val="3"/>
            <w:vAlign w:val="center"/>
          </w:tcPr>
          <w:p>
            <w:pPr>
              <w:autoSpaceDE w:val="0"/>
              <w:autoSpaceDN w:val="0"/>
              <w:adjustRightInd w:val="0"/>
              <w:spacing w:line="400" w:lineRule="exact"/>
              <w:ind w:firstLine="2400" w:firstLineChars="1000"/>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税务登记机关</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法</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定</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代</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表</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人</w:t>
            </w:r>
          </w:p>
        </w:tc>
        <w:tc>
          <w:tcPr>
            <w:tcW w:w="1945" w:type="dxa"/>
            <w:vAlign w:val="center"/>
          </w:tcPr>
          <w:p>
            <w:pPr>
              <w:autoSpaceDE w:val="0"/>
              <w:autoSpaceDN w:val="0"/>
              <w:adjustRightInd w:val="0"/>
              <w:spacing w:line="400" w:lineRule="exact"/>
              <w:ind w:firstLine="240" w:firstLineChars="100"/>
              <w:jc w:val="center"/>
              <w:rPr>
                <w:rFonts w:ascii="宋体" w:hAnsi="宋体" w:cs="宋体"/>
                <w:color w:val="auto"/>
                <w:kern w:val="0"/>
                <w:sz w:val="24"/>
                <w:szCs w:val="24"/>
              </w:rPr>
            </w:pPr>
            <w:r>
              <w:rPr>
                <w:rFonts w:hint="eastAsia" w:ascii="宋体" w:hAnsi="宋体" w:cs="宋体"/>
                <w:color w:val="auto"/>
                <w:kern w:val="0"/>
                <w:sz w:val="24"/>
                <w:szCs w:val="24"/>
              </w:rPr>
              <w:t>姓    名</w:t>
            </w:r>
          </w:p>
        </w:tc>
        <w:tc>
          <w:tcPr>
            <w:tcW w:w="1965" w:type="dxa"/>
            <w:vAlign w:val="center"/>
          </w:tcPr>
          <w:p>
            <w:pPr>
              <w:autoSpaceDE w:val="0"/>
              <w:autoSpaceDN w:val="0"/>
              <w:adjustRightInd w:val="0"/>
              <w:spacing w:line="400" w:lineRule="exact"/>
              <w:jc w:val="center"/>
              <w:rPr>
                <w:rFonts w:ascii="宋体" w:hAnsi="宋体" w:cs="宋体"/>
                <w:color w:val="auto"/>
                <w:kern w:val="0"/>
                <w:sz w:val="24"/>
                <w:szCs w:val="24"/>
              </w:rPr>
            </w:pPr>
          </w:p>
        </w:tc>
        <w:tc>
          <w:tcPr>
            <w:tcW w:w="1336"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性    别</w:t>
            </w:r>
          </w:p>
        </w:tc>
        <w:tc>
          <w:tcPr>
            <w:tcW w:w="2375" w:type="dxa"/>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ind w:firstLine="240" w:firstLineChars="100"/>
              <w:jc w:val="center"/>
              <w:rPr>
                <w:rFonts w:ascii="宋体" w:hAnsi="宋体" w:cs="宋体"/>
                <w:color w:val="auto"/>
                <w:kern w:val="0"/>
                <w:sz w:val="24"/>
                <w:szCs w:val="24"/>
              </w:rPr>
            </w:pPr>
            <w:r>
              <w:rPr>
                <w:rFonts w:hint="eastAsia" w:ascii="宋体" w:hAnsi="宋体" w:cs="宋体"/>
                <w:color w:val="auto"/>
                <w:kern w:val="0"/>
                <w:sz w:val="24"/>
                <w:szCs w:val="24"/>
              </w:rPr>
              <w:t>职    务</w:t>
            </w:r>
          </w:p>
        </w:tc>
        <w:tc>
          <w:tcPr>
            <w:tcW w:w="1965" w:type="dxa"/>
            <w:vAlign w:val="center"/>
          </w:tcPr>
          <w:p>
            <w:pPr>
              <w:autoSpaceDE w:val="0"/>
              <w:autoSpaceDN w:val="0"/>
              <w:adjustRightInd w:val="0"/>
              <w:spacing w:line="400" w:lineRule="exact"/>
              <w:jc w:val="center"/>
              <w:rPr>
                <w:rFonts w:ascii="宋体" w:hAnsi="宋体" w:cs="宋体"/>
                <w:color w:val="auto"/>
                <w:kern w:val="0"/>
                <w:sz w:val="24"/>
                <w:szCs w:val="24"/>
              </w:rPr>
            </w:pPr>
          </w:p>
        </w:tc>
        <w:tc>
          <w:tcPr>
            <w:tcW w:w="1336"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联系电话</w:t>
            </w:r>
          </w:p>
        </w:tc>
        <w:tc>
          <w:tcPr>
            <w:tcW w:w="2375" w:type="dxa"/>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ind w:firstLine="240" w:firstLineChars="100"/>
              <w:jc w:val="center"/>
              <w:rPr>
                <w:rFonts w:ascii="宋体" w:hAnsi="宋体" w:cs="宋体"/>
                <w:color w:val="auto"/>
                <w:kern w:val="0"/>
                <w:sz w:val="24"/>
                <w:szCs w:val="24"/>
              </w:rPr>
            </w:pPr>
            <w:r>
              <w:rPr>
                <w:rFonts w:hint="eastAsia" w:ascii="宋体" w:hAnsi="宋体" w:cs="宋体"/>
                <w:color w:val="auto"/>
                <w:kern w:val="0"/>
                <w:sz w:val="24"/>
                <w:szCs w:val="24"/>
              </w:rPr>
              <w:t>传    真</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11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sz w:val="24"/>
                <w:szCs w:val="24"/>
                <w:lang w:val="zh-CN"/>
              </w:rPr>
              <w:t>法定代表人身份证复印件（正反面）</w:t>
            </w:r>
          </w:p>
        </w:tc>
        <w:tc>
          <w:tcPr>
            <w:tcW w:w="3910" w:type="dxa"/>
            <w:gridSpan w:val="2"/>
            <w:vMerge w:val="restart"/>
            <w:vAlign w:val="center"/>
          </w:tcPr>
          <w:p>
            <w:pPr>
              <w:autoSpaceDE w:val="0"/>
              <w:autoSpaceDN w:val="0"/>
              <w:adjustRightInd w:val="0"/>
              <w:spacing w:line="400" w:lineRule="exact"/>
              <w:rPr>
                <w:rFonts w:ascii="宋体" w:hAnsi="宋体" w:cs="宋体"/>
                <w:color w:val="auto"/>
                <w:kern w:val="0"/>
                <w:sz w:val="24"/>
                <w:szCs w:val="24"/>
              </w:rPr>
            </w:pPr>
            <w:r>
              <w:rPr>
                <w:rFonts w:hint="eastAsia" w:ascii="宋体" w:hAnsi="宋体" w:cs="宋体"/>
                <w:color w:val="auto"/>
                <w:kern w:val="0"/>
                <w:sz w:val="24"/>
                <w:szCs w:val="24"/>
              </w:rPr>
              <w:t>二代身份证正、反两面都需复印</w:t>
            </w:r>
          </w:p>
        </w:tc>
        <w:tc>
          <w:tcPr>
            <w:tcW w:w="3711" w:type="dxa"/>
            <w:gridSpan w:val="2"/>
            <w:vAlign w:val="center"/>
          </w:tcPr>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  </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 （法定代表人签字）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3910" w:type="dxa"/>
            <w:gridSpan w:val="2"/>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3711" w:type="dxa"/>
            <w:gridSpan w:val="2"/>
            <w:vAlign w:val="center"/>
          </w:tcPr>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ind w:firstLine="120" w:firstLineChars="50"/>
              <w:jc w:val="center"/>
              <w:rPr>
                <w:rFonts w:ascii="宋体" w:hAnsi="宋体" w:cs="宋体"/>
                <w:color w:val="auto"/>
                <w:kern w:val="0"/>
                <w:sz w:val="24"/>
                <w:szCs w:val="24"/>
              </w:rPr>
            </w:pPr>
            <w:r>
              <w:rPr>
                <w:rFonts w:hint="eastAsia" w:ascii="宋体" w:hAnsi="宋体" w:cs="宋体"/>
                <w:color w:val="auto"/>
                <w:kern w:val="0"/>
                <w:sz w:val="24"/>
                <w:szCs w:val="24"/>
              </w:rPr>
              <w:t>（企业公章）</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    </w:t>
            </w:r>
          </w:p>
          <w:p>
            <w:pPr>
              <w:autoSpaceDE w:val="0"/>
              <w:autoSpaceDN w:val="0"/>
              <w:adjustRightInd w:val="0"/>
              <w:spacing w:line="400" w:lineRule="exact"/>
              <w:ind w:firstLine="1440" w:firstLineChars="600"/>
              <w:jc w:val="center"/>
              <w:rPr>
                <w:rFonts w:ascii="宋体" w:hAnsi="宋体" w:cs="宋体"/>
                <w:color w:val="auto"/>
                <w:kern w:val="0"/>
                <w:sz w:val="24"/>
                <w:szCs w:val="24"/>
              </w:rPr>
            </w:pPr>
            <w:r>
              <w:rPr>
                <w:rFonts w:hint="eastAsia" w:ascii="宋体" w:hAnsi="宋体" w:cs="宋体"/>
                <w:color w:val="auto"/>
                <w:kern w:val="0"/>
                <w:sz w:val="24"/>
                <w:szCs w:val="24"/>
              </w:rPr>
              <w:t>年  月  日</w:t>
            </w:r>
          </w:p>
        </w:tc>
      </w:tr>
    </w:tbl>
    <w:p>
      <w:pPr>
        <w:autoSpaceDE w:val="0"/>
        <w:autoSpaceDN w:val="0"/>
        <w:adjustRightInd w:val="0"/>
        <w:spacing w:line="288" w:lineRule="auto"/>
        <w:jc w:val="center"/>
        <w:rPr>
          <w:rFonts w:ascii="宋体" w:hAnsi="宋体" w:cs="宋体"/>
          <w:b/>
          <w:bCs/>
          <w:color w:val="auto"/>
          <w:sz w:val="28"/>
          <w:szCs w:val="28"/>
        </w:rPr>
      </w:pPr>
    </w:p>
    <w:p>
      <w:pPr>
        <w:autoSpaceDE w:val="0"/>
        <w:autoSpaceDN w:val="0"/>
        <w:adjustRightInd w:val="0"/>
        <w:spacing w:line="288" w:lineRule="auto"/>
        <w:jc w:val="center"/>
        <w:rPr>
          <w:rFonts w:ascii="宋体" w:hAnsi="宋体" w:cs="宋体"/>
          <w:b/>
          <w:bCs/>
          <w:color w:val="auto"/>
          <w:sz w:val="28"/>
          <w:szCs w:val="28"/>
        </w:rPr>
      </w:pPr>
    </w:p>
    <w:p>
      <w:pPr>
        <w:autoSpaceDE w:val="0"/>
        <w:autoSpaceDN w:val="0"/>
        <w:adjustRightInd w:val="0"/>
        <w:spacing w:line="288" w:lineRule="auto"/>
        <w:jc w:val="center"/>
        <w:rPr>
          <w:rFonts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zh-CN"/>
        </w:rPr>
        <w:t>2</w:t>
      </w:r>
      <w:r>
        <w:rPr>
          <w:rFonts w:hint="eastAsia" w:ascii="宋体" w:hAnsi="宋体" w:cs="宋体"/>
          <w:b/>
          <w:color w:val="auto"/>
          <w:sz w:val="28"/>
          <w:szCs w:val="28"/>
        </w:rPr>
        <w:t xml:space="preserve"> </w:t>
      </w:r>
      <w:r>
        <w:rPr>
          <w:rFonts w:hint="eastAsia" w:ascii="宋体" w:hAnsi="宋体" w:cs="宋体"/>
          <w:b/>
          <w:color w:val="auto"/>
          <w:sz w:val="28"/>
          <w:szCs w:val="28"/>
          <w:lang w:val="zh-CN"/>
        </w:rPr>
        <w:t>法定代表人授权委托书</w:t>
      </w:r>
    </w:p>
    <w:p>
      <w:pPr>
        <w:autoSpaceDE w:val="0"/>
        <w:autoSpaceDN w:val="0"/>
        <w:adjustRightInd w:val="0"/>
        <w:spacing w:line="500" w:lineRule="exact"/>
        <w:rPr>
          <w:rFonts w:ascii="宋体" w:hAnsi="宋体" w:cs="宋体"/>
          <w:b/>
          <w:color w:val="auto"/>
          <w:sz w:val="24"/>
          <w:szCs w:val="24"/>
        </w:rPr>
      </w:pPr>
      <w:r>
        <w:rPr>
          <w:rFonts w:hint="eastAsia" w:ascii="宋体" w:hAnsi="宋体" w:cs="宋体"/>
          <w:color w:val="auto"/>
          <w:sz w:val="24"/>
          <w:szCs w:val="24"/>
        </w:rPr>
        <w:t>陕西盛仕骄阳项目管理有限公司：</w:t>
      </w:r>
    </w:p>
    <w:p>
      <w:pPr>
        <w:autoSpaceDE w:val="0"/>
        <w:autoSpaceDN w:val="0"/>
        <w:adjustRightInd w:val="0"/>
        <w:spacing w:line="500" w:lineRule="exact"/>
        <w:ind w:firstLine="640"/>
        <w:rPr>
          <w:rFonts w:ascii="宋体" w:hAnsi="宋体" w:cs="宋体"/>
          <w:color w:val="auto"/>
          <w:sz w:val="24"/>
          <w:szCs w:val="24"/>
        </w:rPr>
      </w:pPr>
      <w:r>
        <w:rPr>
          <w:rFonts w:hint="eastAsia" w:ascii="宋体" w:hAnsi="宋体" w:cs="宋体"/>
          <w:color w:val="auto"/>
          <w:sz w:val="24"/>
          <w:szCs w:val="24"/>
          <w:lang w:val="zh-CN"/>
        </w:rPr>
        <w:t>注册于</w:t>
      </w:r>
      <w:r>
        <w:rPr>
          <w:rFonts w:hint="eastAsia" w:ascii="宋体" w:hAnsi="宋体" w:cs="宋体"/>
          <w:color w:val="auto"/>
          <w:sz w:val="24"/>
          <w:szCs w:val="24"/>
          <w:u w:val="single"/>
          <w:lang w:val="zh-CN"/>
        </w:rPr>
        <w:t>（工商行政管理局名称）</w:t>
      </w:r>
      <w:r>
        <w:rPr>
          <w:rFonts w:hint="eastAsia" w:ascii="宋体" w:hAnsi="宋体" w:cs="宋体"/>
          <w:color w:val="auto"/>
          <w:sz w:val="24"/>
          <w:szCs w:val="24"/>
          <w:lang w:val="zh-CN"/>
        </w:rPr>
        <w:t>之</w:t>
      </w:r>
      <w:r>
        <w:rPr>
          <w:rFonts w:hint="eastAsia" w:ascii="宋体" w:hAnsi="宋体" w:cs="宋体"/>
          <w:color w:val="auto"/>
          <w:sz w:val="24"/>
          <w:szCs w:val="24"/>
          <w:u w:val="single"/>
          <w:lang w:val="zh-CN"/>
        </w:rPr>
        <w:t>（供应商全称）</w:t>
      </w:r>
      <w:r>
        <w:rPr>
          <w:rFonts w:hint="eastAsia" w:ascii="宋体" w:hAnsi="宋体" w:cs="宋体"/>
          <w:color w:val="auto"/>
          <w:sz w:val="24"/>
          <w:szCs w:val="24"/>
          <w:lang w:val="zh-CN"/>
        </w:rPr>
        <w:t>法人代表</w:t>
      </w:r>
      <w:r>
        <w:rPr>
          <w:rFonts w:hint="eastAsia" w:ascii="宋体" w:hAnsi="宋体" w:cs="宋体"/>
          <w:color w:val="auto"/>
          <w:sz w:val="24"/>
          <w:szCs w:val="24"/>
          <w:u w:val="single"/>
          <w:lang w:val="zh-CN"/>
        </w:rPr>
        <w:t>（姓名、职务）</w:t>
      </w:r>
      <w:r>
        <w:rPr>
          <w:rFonts w:hint="eastAsia" w:ascii="宋体" w:hAnsi="宋体" w:cs="宋体"/>
          <w:color w:val="auto"/>
          <w:sz w:val="24"/>
          <w:szCs w:val="24"/>
          <w:lang w:val="zh-CN"/>
        </w:rPr>
        <w:t>授权</w:t>
      </w:r>
      <w:r>
        <w:rPr>
          <w:rFonts w:hint="eastAsia" w:ascii="宋体" w:hAnsi="宋体" w:cs="宋体"/>
          <w:color w:val="auto"/>
          <w:sz w:val="24"/>
          <w:szCs w:val="24"/>
          <w:u w:val="single"/>
          <w:lang w:val="zh-CN"/>
        </w:rPr>
        <w:t>（被授权人姓名、职务）</w:t>
      </w:r>
      <w:r>
        <w:rPr>
          <w:rFonts w:hint="eastAsia" w:ascii="宋体" w:hAnsi="宋体" w:cs="宋体"/>
          <w:color w:val="auto"/>
          <w:sz w:val="24"/>
          <w:szCs w:val="24"/>
          <w:lang w:val="zh-CN"/>
        </w:rPr>
        <w:t>为本公司的合法代理人，就</w:t>
      </w:r>
      <w:r>
        <w:rPr>
          <w:rFonts w:hint="eastAsia" w:ascii="宋体" w:hAnsi="宋体" w:cs="宋体"/>
          <w:color w:val="auto"/>
          <w:sz w:val="24"/>
          <w:szCs w:val="24"/>
          <w:u w:val="single"/>
          <w:lang w:val="zh-CN"/>
        </w:rPr>
        <w:t>（项目名称）</w:t>
      </w:r>
      <w:r>
        <w:rPr>
          <w:rFonts w:hint="eastAsia" w:ascii="宋体" w:hAnsi="宋体" w:cs="宋体"/>
          <w:color w:val="auto"/>
          <w:sz w:val="24"/>
          <w:szCs w:val="24"/>
          <w:lang w:val="zh-CN"/>
        </w:rPr>
        <w:t>的谈判及合同的执行和完成，以本公司的名义处理一切与之有关的事宜。</w:t>
      </w:r>
    </w:p>
    <w:p>
      <w:pPr>
        <w:autoSpaceDE w:val="0"/>
        <w:autoSpaceDN w:val="0"/>
        <w:adjustRightInd w:val="0"/>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 xml:space="preserve"> 委托期限：</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w:t>
      </w:r>
    </w:p>
    <w:p>
      <w:pPr>
        <w:autoSpaceDE w:val="0"/>
        <w:autoSpaceDN w:val="0"/>
        <w:adjustRightInd w:val="0"/>
        <w:spacing w:line="500" w:lineRule="exact"/>
        <w:ind w:firstLine="720" w:firstLineChars="300"/>
        <w:rPr>
          <w:rFonts w:ascii="宋体" w:hAnsi="宋体" w:cs="宋体"/>
          <w:color w:val="auto"/>
          <w:sz w:val="24"/>
          <w:szCs w:val="24"/>
          <w:lang w:val="zh-CN"/>
        </w:rPr>
      </w:pPr>
      <w:r>
        <w:rPr>
          <w:rFonts w:hint="eastAsia" w:ascii="宋体" w:hAnsi="宋体" w:cs="宋体"/>
          <w:color w:val="auto"/>
          <w:sz w:val="24"/>
          <w:szCs w:val="24"/>
          <w:lang w:val="zh-CN"/>
        </w:rPr>
        <w:t>代理人无转委托权。</w:t>
      </w:r>
    </w:p>
    <w:p>
      <w:pPr>
        <w:pStyle w:val="35"/>
        <w:rPr>
          <w:rFonts w:ascii="宋体" w:hAnsi="宋体" w:eastAsia="宋体" w:cs="宋体"/>
          <w:color w:val="auto"/>
          <w:sz w:val="13"/>
          <w:szCs w:val="4"/>
          <w:lang w:val="zh-CN"/>
        </w:rPr>
      </w:pPr>
    </w:p>
    <w:p>
      <w:pPr>
        <w:autoSpaceDE w:val="0"/>
        <w:autoSpaceDN w:val="0"/>
        <w:adjustRightInd w:val="0"/>
        <w:spacing w:line="500" w:lineRule="exact"/>
        <w:rPr>
          <w:rFonts w:ascii="宋体" w:hAnsi="宋体" w:cs="宋体"/>
          <w:color w:val="auto"/>
          <w:sz w:val="24"/>
          <w:szCs w:val="24"/>
          <w:u w:val="single"/>
        </w:rPr>
      </w:pPr>
      <w:r>
        <w:rPr>
          <w:rFonts w:hint="eastAsia" w:ascii="宋体" w:hAnsi="宋体" w:cs="宋体"/>
          <w:color w:val="auto"/>
          <w:sz w:val="24"/>
          <w:szCs w:val="24"/>
          <w:lang w:val="zh-CN"/>
        </w:rPr>
        <w:t>附：全权代表姓名：</w:t>
      </w:r>
      <w:r>
        <w:rPr>
          <w:rFonts w:hint="eastAsia" w:ascii="宋体" w:hAnsi="宋体" w:cs="宋体"/>
          <w:color w:val="auto"/>
          <w:sz w:val="24"/>
          <w:szCs w:val="24"/>
          <w:u w:val="single"/>
        </w:rPr>
        <w:t xml:space="preserve">         </w:t>
      </w:r>
      <w:r>
        <w:rPr>
          <w:rFonts w:hint="eastAsia" w:ascii="宋体" w:hAnsi="宋体" w:cs="宋体"/>
          <w:color w:val="auto"/>
          <w:sz w:val="24"/>
          <w:szCs w:val="24"/>
          <w:lang w:val="zh-CN"/>
        </w:rPr>
        <w:t>性别：</w:t>
      </w:r>
      <w:r>
        <w:rPr>
          <w:rFonts w:hint="eastAsia" w:ascii="宋体" w:hAnsi="宋体" w:cs="宋体"/>
          <w:color w:val="auto"/>
          <w:sz w:val="24"/>
          <w:szCs w:val="24"/>
          <w:u w:val="single"/>
        </w:rPr>
        <w:t xml:space="preserve">       </w:t>
      </w:r>
      <w:r>
        <w:rPr>
          <w:rFonts w:hint="eastAsia" w:ascii="宋体" w:hAnsi="宋体" w:cs="宋体"/>
          <w:color w:val="auto"/>
          <w:sz w:val="24"/>
          <w:szCs w:val="24"/>
          <w:lang w:val="zh-CN"/>
        </w:rPr>
        <w:t>年龄：</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职</w:t>
      </w:r>
      <w:r>
        <w:rPr>
          <w:rFonts w:hint="eastAsia" w:ascii="宋体" w:hAnsi="宋体" w:cs="宋体"/>
          <w:color w:val="auto"/>
          <w:sz w:val="24"/>
          <w:szCs w:val="24"/>
        </w:rPr>
        <w:t xml:space="preserve">    </w:t>
      </w:r>
      <w:r>
        <w:rPr>
          <w:rFonts w:hint="eastAsia" w:ascii="宋体" w:hAnsi="宋体" w:cs="宋体"/>
          <w:color w:val="auto"/>
          <w:sz w:val="24"/>
          <w:szCs w:val="24"/>
          <w:lang w:val="zh-CN"/>
        </w:rPr>
        <w:t>务：</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rPr>
      </w:pPr>
      <w:r>
        <w:rPr>
          <w:rFonts w:hint="eastAsia" w:ascii="宋体" w:hAnsi="宋体" w:cs="宋体"/>
          <w:color w:val="auto"/>
          <w:sz w:val="24"/>
          <w:szCs w:val="24"/>
          <w:lang w:val="zh-CN"/>
        </w:rPr>
        <w:t>身份证号码：</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通讯地址：</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邮政编码：</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电</w:t>
      </w:r>
      <w:r>
        <w:rPr>
          <w:rFonts w:hint="eastAsia" w:ascii="宋体" w:hAnsi="宋体" w:cs="宋体"/>
          <w:color w:val="auto"/>
          <w:sz w:val="24"/>
          <w:szCs w:val="24"/>
        </w:rPr>
        <w:t xml:space="preserve">    </w:t>
      </w:r>
      <w:r>
        <w:rPr>
          <w:rFonts w:hint="eastAsia" w:ascii="宋体" w:hAnsi="宋体" w:cs="宋体"/>
          <w:color w:val="auto"/>
          <w:sz w:val="24"/>
          <w:szCs w:val="24"/>
          <w:lang w:val="zh-CN"/>
        </w:rPr>
        <w:t>话：</w:t>
      </w:r>
      <w:r>
        <w:rPr>
          <w:rFonts w:hint="eastAsia" w:ascii="宋体" w:hAnsi="宋体" w:cs="宋体"/>
          <w:color w:val="auto"/>
          <w:sz w:val="24"/>
          <w:szCs w:val="24"/>
          <w:u w:val="single"/>
        </w:rPr>
        <w:t xml:space="preserve">                                       </w:t>
      </w:r>
    </w:p>
    <w:p>
      <w:pPr>
        <w:autoSpaceDE w:val="0"/>
        <w:autoSpaceDN w:val="0"/>
        <w:adjustRightInd w:val="0"/>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w:t>
      </w:r>
      <w:r>
        <w:rPr>
          <w:rFonts w:hint="eastAsia" w:ascii="宋体" w:hAnsi="宋体" w:cs="宋体"/>
          <w:color w:val="auto"/>
          <w:sz w:val="24"/>
          <w:szCs w:val="24"/>
        </w:rPr>
        <w:t>、</w:t>
      </w:r>
      <w:r>
        <w:rPr>
          <w:rFonts w:hint="eastAsia" w:ascii="宋体" w:hAnsi="宋体" w:cs="宋体"/>
          <w:color w:val="auto"/>
          <w:sz w:val="24"/>
          <w:szCs w:val="24"/>
          <w:lang w:val="zh-CN"/>
        </w:rPr>
        <w:t>授权代表身份证复印件（正反面）</w:t>
      </w:r>
    </w:p>
    <w:tbl>
      <w:tblPr>
        <w:tblStyle w:val="36"/>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99" w:hRule="atLeast"/>
        </w:trPr>
        <w:tc>
          <w:tcPr>
            <w:tcW w:w="4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8" w:lineRule="auto"/>
              <w:jc w:val="center"/>
              <w:rPr>
                <w:rFonts w:ascii="宋体" w:hAnsi="宋体" w:cs="宋体"/>
                <w:color w:val="auto"/>
                <w:sz w:val="24"/>
                <w:szCs w:val="24"/>
                <w:lang w:val="zh-CN"/>
              </w:rPr>
            </w:pPr>
            <w:r>
              <w:rPr>
                <w:rFonts w:hint="eastAsia" w:ascii="宋体" w:hAnsi="宋体" w:cs="宋体"/>
                <w:color w:val="auto"/>
                <w:sz w:val="24"/>
                <w:szCs w:val="24"/>
                <w:lang w:val="zh-CN"/>
              </w:rPr>
              <w:t>法定代表人身份证复印件</w:t>
            </w:r>
          </w:p>
        </w:tc>
        <w:tc>
          <w:tcPr>
            <w:tcW w:w="388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48" w:lineRule="auto"/>
              <w:jc w:val="center"/>
              <w:rPr>
                <w:rFonts w:ascii="宋体" w:hAnsi="宋体" w:cs="宋体"/>
                <w:color w:val="auto"/>
                <w:sz w:val="24"/>
                <w:szCs w:val="24"/>
                <w:lang w:val="zh-CN"/>
              </w:rPr>
            </w:pPr>
            <w:r>
              <w:rPr>
                <w:rFonts w:hint="eastAsia" w:ascii="宋体" w:hAnsi="宋体" w:cs="宋体"/>
                <w:color w:val="auto"/>
                <w:sz w:val="24"/>
                <w:szCs w:val="24"/>
                <w:lang w:val="zh-CN"/>
              </w:rPr>
              <w:t>授权代表身份证复印件</w:t>
            </w:r>
          </w:p>
        </w:tc>
      </w:tr>
    </w:tbl>
    <w:p>
      <w:pPr>
        <w:autoSpaceDE w:val="0"/>
        <w:autoSpaceDN w:val="0"/>
        <w:adjustRightInd w:val="0"/>
        <w:spacing w:line="560" w:lineRule="exact"/>
        <w:ind w:firstLine="720" w:firstLineChars="300"/>
        <w:rPr>
          <w:rFonts w:ascii="宋体" w:hAnsi="宋体" w:cs="宋体"/>
          <w:color w:val="auto"/>
          <w:sz w:val="24"/>
          <w:szCs w:val="24"/>
        </w:rPr>
      </w:pPr>
      <w:r>
        <w:rPr>
          <w:rFonts w:hint="eastAsia" w:ascii="宋体" w:hAnsi="宋体" w:cs="宋体"/>
          <w:color w:val="auto"/>
          <w:sz w:val="24"/>
          <w:szCs w:val="24"/>
          <w:lang w:val="zh-CN"/>
        </w:rPr>
        <w:t>供应商名称（公章）：           法定代表人（</w:t>
      </w:r>
      <w:r>
        <w:rPr>
          <w:rFonts w:hint="eastAsia" w:ascii="宋体" w:hAnsi="宋体" w:cs="宋体"/>
          <w:color w:val="auto"/>
          <w:sz w:val="24"/>
          <w:szCs w:val="24"/>
        </w:rPr>
        <w:t>签字</w:t>
      </w:r>
      <w:r>
        <w:rPr>
          <w:rFonts w:hint="eastAsia" w:ascii="宋体" w:hAnsi="宋体" w:cs="宋体"/>
          <w:color w:val="auto"/>
          <w:sz w:val="24"/>
          <w:szCs w:val="24"/>
          <w:lang w:val="zh-CN"/>
        </w:rPr>
        <w:t>）：</w:t>
      </w:r>
      <w:r>
        <w:rPr>
          <w:rFonts w:hint="eastAsia" w:ascii="宋体" w:hAnsi="宋体" w:cs="宋体"/>
          <w:color w:val="auto"/>
          <w:sz w:val="24"/>
          <w:szCs w:val="24"/>
        </w:rPr>
        <w:t xml:space="preserve"> </w:t>
      </w:r>
    </w:p>
    <w:p>
      <w:pPr>
        <w:autoSpaceDE w:val="0"/>
        <w:autoSpaceDN w:val="0"/>
        <w:adjustRightInd w:val="0"/>
        <w:spacing w:line="560" w:lineRule="exact"/>
        <w:ind w:firstLine="720" w:firstLineChars="300"/>
        <w:rPr>
          <w:rFonts w:ascii="宋体" w:hAnsi="宋体" w:cs="宋体"/>
          <w:color w:val="auto"/>
          <w:sz w:val="24"/>
          <w:szCs w:val="24"/>
        </w:rPr>
      </w:pPr>
      <w:r>
        <w:rPr>
          <w:rFonts w:hint="eastAsia" w:ascii="宋体" w:hAnsi="宋体" w:cs="宋体"/>
          <w:color w:val="auto"/>
          <w:sz w:val="24"/>
          <w:szCs w:val="24"/>
        </w:rPr>
        <w:t xml:space="preserve">被授权人：（签字）             授权日期： </w:t>
      </w:r>
    </w:p>
    <w:p>
      <w:pPr>
        <w:autoSpaceDE w:val="0"/>
        <w:autoSpaceDN w:val="0"/>
        <w:adjustRightInd w:val="0"/>
        <w:spacing w:line="560" w:lineRule="exact"/>
        <w:ind w:firstLine="720" w:firstLineChars="300"/>
        <w:rPr>
          <w:rFonts w:ascii="宋体" w:hAnsi="宋体" w:cs="宋体"/>
          <w:b/>
          <w:bCs/>
          <w:color w:val="auto"/>
          <w:sz w:val="22"/>
          <w:szCs w:val="18"/>
          <w:lang w:val="zh-CN"/>
        </w:rPr>
      </w:pPr>
      <w:r>
        <w:rPr>
          <w:rFonts w:hint="eastAsia" w:ascii="宋体" w:hAnsi="宋体" w:cs="宋体"/>
          <w:color w:val="auto"/>
          <w:sz w:val="24"/>
          <w:szCs w:val="24"/>
          <w:lang w:val="zh-CN"/>
        </w:rPr>
        <w:t>本授权有效期：</w:t>
      </w:r>
      <w:r>
        <w:rPr>
          <w:rFonts w:hint="eastAsia" w:ascii="宋体" w:hAnsi="宋体" w:cs="宋体"/>
          <w:color w:val="auto"/>
          <w:sz w:val="24"/>
          <w:szCs w:val="24"/>
        </w:rPr>
        <w:t>自本委托书签署之日起至投标有效期满。</w:t>
      </w:r>
    </w:p>
    <w:p>
      <w:pPr>
        <w:snapToGrid w:val="0"/>
        <w:spacing w:line="400" w:lineRule="exact"/>
        <w:rPr>
          <w:rFonts w:ascii="宋体" w:hAnsi="宋体" w:cs="宋体"/>
          <w:b/>
          <w:bCs/>
          <w:color w:val="auto"/>
          <w:sz w:val="22"/>
          <w:szCs w:val="18"/>
          <w:lang w:val="zh-CN"/>
        </w:rPr>
      </w:pPr>
    </w:p>
    <w:p>
      <w:pPr>
        <w:snapToGrid w:val="0"/>
        <w:spacing w:line="400" w:lineRule="exact"/>
        <w:ind w:firstLine="883" w:firstLineChars="400"/>
        <w:rPr>
          <w:rFonts w:ascii="宋体" w:hAnsi="宋体" w:cs="宋体"/>
          <w:b/>
          <w:color w:val="auto"/>
          <w:sz w:val="22"/>
          <w:szCs w:val="18"/>
          <w:lang w:val="zh-CN"/>
        </w:rPr>
      </w:pPr>
      <w:r>
        <w:rPr>
          <w:rFonts w:hint="eastAsia" w:ascii="宋体" w:hAnsi="宋体" w:cs="宋体"/>
          <w:b/>
          <w:bCs/>
          <w:color w:val="auto"/>
          <w:sz w:val="22"/>
          <w:szCs w:val="18"/>
          <w:lang w:val="zh-CN"/>
        </w:rPr>
        <w:t>注：1、</w:t>
      </w:r>
      <w:r>
        <w:rPr>
          <w:rFonts w:hint="eastAsia" w:ascii="宋体" w:hAnsi="宋体" w:cs="宋体"/>
          <w:b/>
          <w:color w:val="auto"/>
          <w:sz w:val="22"/>
          <w:szCs w:val="18"/>
        </w:rPr>
        <w:t>法定代表人直接参与，可不填</w:t>
      </w:r>
      <w:r>
        <w:rPr>
          <w:rFonts w:hint="eastAsia" w:ascii="宋体" w:hAnsi="宋体" w:cs="宋体"/>
          <w:b/>
          <w:color w:val="auto"/>
          <w:sz w:val="22"/>
          <w:szCs w:val="18"/>
          <w:lang w:val="zh-CN"/>
        </w:rPr>
        <w:t>法定代表人授权委托书。</w:t>
      </w:r>
    </w:p>
    <w:p>
      <w:pPr>
        <w:pStyle w:val="17"/>
        <w:rPr>
          <w:rFonts w:ascii="宋体" w:hAnsi="宋体" w:cs="宋体"/>
          <w:color w:val="auto"/>
          <w:lang w:val="zh-CN"/>
        </w:rPr>
      </w:pPr>
    </w:p>
    <w:p>
      <w:pPr>
        <w:rPr>
          <w:rFonts w:ascii="宋体" w:hAnsi="宋体" w:cs="宋体"/>
          <w:color w:val="auto"/>
          <w:lang w:val="zh-CN"/>
        </w:rPr>
      </w:pPr>
    </w:p>
    <w:p>
      <w:pPr>
        <w:pStyle w:val="4"/>
        <w:spacing w:line="400" w:lineRule="exact"/>
        <w:rPr>
          <w:rFonts w:ascii="宋体" w:hAnsi="宋体" w:eastAsia="宋体" w:cs="宋体"/>
          <w:b/>
          <w:bCs/>
          <w:color w:val="auto"/>
          <w:kern w:val="0"/>
          <w:szCs w:val="28"/>
        </w:rPr>
      </w:pPr>
      <w:bookmarkStart w:id="111" w:name="_Toc249845977"/>
      <w:bookmarkStart w:id="112" w:name="_Toc245024005"/>
      <w:bookmarkStart w:id="113" w:name="_Toc266881405"/>
      <w:bookmarkStart w:id="114" w:name="_Toc253143224"/>
      <w:bookmarkStart w:id="115" w:name="_Toc249846232"/>
      <w:bookmarkStart w:id="116" w:name="_Toc266093553"/>
      <w:bookmarkStart w:id="117" w:name="_Toc245024004"/>
      <w:bookmarkStart w:id="118" w:name="_Toc266881404"/>
      <w:bookmarkStart w:id="119" w:name="_Toc249846231"/>
      <w:bookmarkStart w:id="120" w:name="_Toc253143223"/>
      <w:bookmarkStart w:id="121" w:name="_Toc249845976"/>
      <w:bookmarkStart w:id="122" w:name="_Toc266093552"/>
      <w:r>
        <w:rPr>
          <w:rFonts w:hint="eastAsia" w:ascii="宋体" w:hAnsi="宋体" w:eastAsia="宋体" w:cs="宋体"/>
          <w:b/>
          <w:bCs/>
          <w:color w:val="auto"/>
          <w:kern w:val="0"/>
          <w:szCs w:val="28"/>
        </w:rPr>
        <w:t>附件3：</w:t>
      </w:r>
    </w:p>
    <w:p>
      <w:pPr>
        <w:pStyle w:val="12"/>
        <w:ind w:firstLine="0"/>
        <w:jc w:val="center"/>
        <w:rPr>
          <w:rFonts w:ascii="宋体" w:hAnsi="宋体" w:cs="宋体"/>
          <w:b/>
          <w:color w:val="auto"/>
          <w:sz w:val="28"/>
          <w:szCs w:val="28"/>
        </w:rPr>
      </w:pPr>
      <w:r>
        <w:rPr>
          <w:rFonts w:hint="eastAsia" w:ascii="宋体" w:hAnsi="宋体" w:cs="宋体"/>
          <w:b/>
          <w:color w:val="auto"/>
          <w:sz w:val="28"/>
          <w:szCs w:val="28"/>
        </w:rPr>
        <w:t>3.1供应商企业关系关联承诺书</w:t>
      </w:r>
    </w:p>
    <w:p>
      <w:pPr>
        <w:numPr>
          <w:ilvl w:val="0"/>
          <w:numId w:val="12"/>
        </w:numPr>
        <w:spacing w:line="520" w:lineRule="exact"/>
        <w:ind w:firstLine="241" w:firstLineChars="100"/>
        <w:rPr>
          <w:rFonts w:ascii="宋体" w:hAnsi="宋体" w:cs="宋体"/>
          <w:b/>
          <w:bCs/>
          <w:color w:val="auto"/>
          <w:sz w:val="24"/>
          <w:szCs w:val="24"/>
        </w:rPr>
      </w:pPr>
      <w:r>
        <w:rPr>
          <w:rFonts w:hint="eastAsia" w:ascii="宋体" w:hAnsi="宋体" w:cs="宋体"/>
          <w:b/>
          <w:bCs/>
          <w:color w:val="auto"/>
          <w:sz w:val="24"/>
          <w:szCs w:val="24"/>
        </w:rPr>
        <w:t>投标人股东及股权证明。（提供国家企业信用信息公示系统的网页截图）。</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2、供应商在本项目投标中，不存在与其它供应商负责人为同一人，有控股、管理等关联关系承诺：</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2.1管理关系说明：</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我单位管理的具有独立法人的下属单位有</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我单位的上级管理单位有</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2.2股权关系说明：</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我单位控股的单位有</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我单位被</w:t>
      </w:r>
      <w:r>
        <w:rPr>
          <w:rFonts w:hint="eastAsia" w:ascii="宋体" w:hAnsi="宋体" w:cs="宋体"/>
          <w:color w:val="auto"/>
          <w:sz w:val="24"/>
          <w:szCs w:val="24"/>
          <w:u w:val="single"/>
        </w:rPr>
        <w:t xml:space="preserve">              </w:t>
      </w:r>
      <w:r>
        <w:rPr>
          <w:rFonts w:hint="eastAsia" w:ascii="宋体" w:hAnsi="宋体" w:cs="宋体"/>
          <w:color w:val="auto"/>
          <w:sz w:val="24"/>
          <w:szCs w:val="24"/>
        </w:rPr>
        <w:t>单位控股。</w:t>
      </w:r>
    </w:p>
    <w:p>
      <w:pPr>
        <w:spacing w:line="520" w:lineRule="exact"/>
        <w:ind w:firstLine="240" w:firstLineChars="100"/>
        <w:rPr>
          <w:rFonts w:ascii="宋体" w:hAnsi="宋体" w:cs="宋体"/>
          <w:color w:val="auto"/>
          <w:sz w:val="24"/>
          <w:szCs w:val="24"/>
          <w:u w:val="single"/>
        </w:rPr>
      </w:pPr>
      <w:r>
        <w:rPr>
          <w:rFonts w:hint="eastAsia" w:ascii="宋体" w:hAnsi="宋体" w:cs="宋体"/>
          <w:color w:val="auto"/>
          <w:sz w:val="24"/>
          <w:szCs w:val="24"/>
        </w:rPr>
        <w:t>2.3单位负责人：</w:t>
      </w:r>
      <w:r>
        <w:rPr>
          <w:rFonts w:hint="eastAsia" w:ascii="宋体" w:hAnsi="宋体" w:cs="宋体"/>
          <w:color w:val="auto"/>
          <w:sz w:val="24"/>
          <w:szCs w:val="24"/>
          <w:u w:val="single"/>
        </w:rPr>
        <w:t xml:space="preserve">                </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u w:val="single"/>
        </w:rPr>
        <w:t xml:space="preserve">              </w:t>
      </w:r>
      <w:r>
        <w:rPr>
          <w:rFonts w:hint="eastAsia" w:ascii="宋体" w:hAnsi="宋体" w:cs="宋体"/>
          <w:color w:val="auto"/>
          <w:sz w:val="24"/>
          <w:szCs w:val="24"/>
        </w:rPr>
        <w:t>（是或否，没有填否） 为采购项目提供整体设计、规范编制或者项目管理、监理、检测等服务的供应商。</w:t>
      </w:r>
    </w:p>
    <w:p>
      <w:pPr>
        <w:spacing w:line="520" w:lineRule="exact"/>
        <w:ind w:firstLine="240" w:firstLineChars="100"/>
        <w:rPr>
          <w:rFonts w:ascii="宋体" w:hAnsi="宋体" w:cs="宋体"/>
          <w:color w:val="auto"/>
          <w:sz w:val="24"/>
          <w:szCs w:val="24"/>
          <w:u w:val="single"/>
        </w:rPr>
      </w:pPr>
      <w:r>
        <w:rPr>
          <w:rFonts w:hint="eastAsia" w:ascii="宋体" w:hAnsi="宋体" w:cs="宋体"/>
          <w:color w:val="auto"/>
          <w:sz w:val="24"/>
          <w:szCs w:val="24"/>
        </w:rPr>
        <w:t>4、其他与本项目有关的利害关系说明：</w:t>
      </w:r>
      <w:r>
        <w:rPr>
          <w:rFonts w:hint="eastAsia" w:ascii="宋体" w:hAnsi="宋体" w:cs="宋体"/>
          <w:color w:val="auto"/>
          <w:sz w:val="24"/>
          <w:szCs w:val="24"/>
          <w:u w:val="single"/>
        </w:rPr>
        <w:t xml:space="preserve">                               </w:t>
      </w:r>
    </w:p>
    <w:p>
      <w:pPr>
        <w:pStyle w:val="17"/>
        <w:spacing w:line="520" w:lineRule="exact"/>
        <w:rPr>
          <w:rFonts w:ascii="宋体" w:hAnsi="宋体" w:cs="宋体"/>
          <w:color w:val="auto"/>
          <w:sz w:val="24"/>
          <w:szCs w:val="24"/>
        </w:rPr>
      </w:pP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我单位承诺以上说明真实有效，无虚假内容或隐瞒。</w:t>
      </w:r>
    </w:p>
    <w:p>
      <w:pPr>
        <w:spacing w:line="520" w:lineRule="exact"/>
        <w:ind w:firstLine="240" w:firstLineChars="100"/>
        <w:rPr>
          <w:rFonts w:ascii="宋体" w:hAnsi="宋体" w:cs="宋体"/>
          <w:color w:val="auto"/>
          <w:sz w:val="24"/>
          <w:szCs w:val="24"/>
        </w:rPr>
      </w:pPr>
    </w:p>
    <w:p>
      <w:pPr>
        <w:pStyle w:val="17"/>
        <w:spacing w:line="520" w:lineRule="exact"/>
        <w:rPr>
          <w:rFonts w:ascii="宋体" w:hAnsi="宋体" w:cs="宋体"/>
          <w:color w:val="auto"/>
          <w:sz w:val="24"/>
          <w:szCs w:val="24"/>
        </w:rPr>
      </w:pPr>
    </w:p>
    <w:p>
      <w:pPr>
        <w:spacing w:line="520" w:lineRule="exact"/>
        <w:ind w:firstLine="2400" w:firstLineChars="10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pPr>
        <w:spacing w:line="520" w:lineRule="exact"/>
        <w:ind w:firstLine="2400" w:firstLineChars="1000"/>
        <w:rPr>
          <w:rFonts w:ascii="宋体" w:hAnsi="宋体" w:cs="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color w:val="auto"/>
          <w:sz w:val="24"/>
          <w:szCs w:val="24"/>
        </w:rPr>
        <w:t xml:space="preserve">                  日      期：      年   月    日</w:t>
      </w:r>
    </w:p>
    <w:p>
      <w:pPr>
        <w:pStyle w:val="12"/>
        <w:ind w:firstLine="0"/>
        <w:jc w:val="center"/>
        <w:rPr>
          <w:rFonts w:ascii="宋体" w:hAnsi="宋体" w:cs="宋体"/>
          <w:b/>
          <w:color w:val="auto"/>
          <w:sz w:val="32"/>
          <w:szCs w:val="32"/>
        </w:rPr>
      </w:pPr>
    </w:p>
    <w:p>
      <w:pPr>
        <w:rPr>
          <w:color w:val="auto"/>
        </w:rPr>
      </w:pPr>
    </w:p>
    <w:p>
      <w:pPr>
        <w:pStyle w:val="2"/>
        <w:rPr>
          <w:color w:val="auto"/>
        </w:rPr>
      </w:pPr>
    </w:p>
    <w:p>
      <w:pPr>
        <w:pStyle w:val="2"/>
        <w:rPr>
          <w:color w:val="auto"/>
        </w:rPr>
      </w:pPr>
    </w:p>
    <w:p>
      <w:pPr>
        <w:pStyle w:val="2"/>
        <w:rPr>
          <w:color w:val="auto"/>
        </w:rPr>
      </w:pPr>
    </w:p>
    <w:p>
      <w:pPr>
        <w:pStyle w:val="2"/>
        <w:rPr>
          <w:rFonts w:hint="eastAsia"/>
          <w:color w:val="auto"/>
        </w:rPr>
      </w:pPr>
    </w:p>
    <w:p>
      <w:pPr>
        <w:pStyle w:val="12"/>
        <w:ind w:firstLine="0"/>
        <w:jc w:val="center"/>
        <w:rPr>
          <w:rFonts w:ascii="宋体" w:hAnsi="宋体" w:cs="宋体"/>
          <w:color w:val="auto"/>
          <w:sz w:val="28"/>
          <w:szCs w:val="28"/>
        </w:rPr>
      </w:pPr>
      <w:r>
        <w:rPr>
          <w:rFonts w:hint="eastAsia" w:ascii="宋体" w:hAnsi="宋体" w:cs="宋体"/>
          <w:b/>
          <w:color w:val="auto"/>
          <w:sz w:val="28"/>
          <w:szCs w:val="28"/>
        </w:rPr>
        <w:t>3.2非联合体投标声明</w:t>
      </w:r>
      <w:bookmarkEnd w:id="111"/>
      <w:bookmarkEnd w:id="112"/>
      <w:bookmarkEnd w:id="113"/>
      <w:bookmarkEnd w:id="114"/>
      <w:bookmarkEnd w:id="115"/>
      <w:bookmarkEnd w:id="116"/>
    </w:p>
    <w:p>
      <w:pPr>
        <w:pStyle w:val="148"/>
        <w:spacing w:before="0" w:beforeAutospacing="0" w:after="0" w:afterAutospacing="0" w:line="432" w:lineRule="auto"/>
        <w:rPr>
          <w:rFonts w:hAnsi="宋体"/>
          <w:color w:val="auto"/>
          <w:sz w:val="24"/>
          <w:szCs w:val="24"/>
        </w:rPr>
      </w:pPr>
      <w:r>
        <w:rPr>
          <w:rFonts w:hint="eastAsia" w:hAnsi="宋体"/>
          <w:color w:val="auto"/>
          <w:sz w:val="24"/>
          <w:szCs w:val="24"/>
          <w:u w:val="single"/>
        </w:rPr>
        <w:t>      (采购人)</w:t>
      </w:r>
      <w:r>
        <w:rPr>
          <w:rFonts w:hint="eastAsia" w:hAnsi="宋体"/>
          <w:b/>
          <w:color w:val="auto"/>
          <w:sz w:val="24"/>
          <w:szCs w:val="24"/>
        </w:rPr>
        <w:t>：</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本公司就参加</w:t>
      </w:r>
      <w:r>
        <w:rPr>
          <w:rFonts w:hint="eastAsia" w:hAnsi="宋体"/>
          <w:color w:val="auto"/>
          <w:sz w:val="24"/>
          <w:szCs w:val="24"/>
          <w:u w:val="single"/>
        </w:rPr>
        <w:t xml:space="preserve">             </w:t>
      </w:r>
      <w:r>
        <w:rPr>
          <w:rFonts w:hint="eastAsia" w:hAnsi="宋体"/>
          <w:color w:val="auto"/>
          <w:sz w:val="24"/>
          <w:szCs w:val="24"/>
        </w:rPr>
        <w:t>投标工作，作出郑重声明：</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一、本公司保证投标报名材料及其后提供的一切材料都是真实的。</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二、本公司保证在本项目投标中不与其他单位围标、串标，不出让投标资格，不向</w:t>
      </w:r>
      <w:r>
        <w:rPr>
          <w:rFonts w:hint="eastAsia"/>
          <w:color w:val="auto"/>
          <w:sz w:val="24"/>
          <w:szCs w:val="24"/>
        </w:rPr>
        <w:t>采购人</w:t>
      </w:r>
      <w:r>
        <w:rPr>
          <w:rFonts w:hint="eastAsia" w:hAnsi="宋体"/>
          <w:color w:val="auto"/>
          <w:sz w:val="24"/>
          <w:szCs w:val="24"/>
        </w:rPr>
        <w:t>或谈判小组成员行贿。</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三、本公司没有处于被责令停业的状态；没有处于被建设行政主管部门取消投标资格的处罚期内；没有处于财产被接管、冻结、破产的状态；本公司没有在投标报名截止时间前三年内被人民法院判决犯有行贿罪的记录。</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四、本公司保证本项目并非联合体投标，本项目由本公司独立承担。本公司违反上述保证，或本声明陈述与事实不符，经查实，本公司愿意接受公开通报，承担由此带来的法律后果。</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特此声明！</w:t>
      </w:r>
    </w:p>
    <w:p>
      <w:pPr>
        <w:pStyle w:val="149"/>
        <w:spacing w:before="0" w:beforeAutospacing="0" w:after="0" w:afterAutospacing="0" w:line="432" w:lineRule="auto"/>
        <w:ind w:right="1449" w:firstLine="2160" w:firstLineChars="900"/>
        <w:rPr>
          <w:rFonts w:hAnsi="宋体"/>
          <w:color w:val="auto"/>
          <w:sz w:val="24"/>
          <w:szCs w:val="24"/>
        </w:rPr>
      </w:pPr>
    </w:p>
    <w:p>
      <w:pPr>
        <w:pStyle w:val="149"/>
        <w:spacing w:before="0" w:beforeAutospacing="0" w:after="0" w:afterAutospacing="0" w:line="432" w:lineRule="auto"/>
        <w:ind w:right="1449" w:firstLine="2160" w:firstLineChars="900"/>
        <w:rPr>
          <w:rFonts w:hAnsi="宋体"/>
          <w:color w:val="auto"/>
          <w:sz w:val="24"/>
          <w:szCs w:val="24"/>
        </w:rPr>
      </w:pPr>
    </w:p>
    <w:p>
      <w:pPr>
        <w:pStyle w:val="149"/>
        <w:spacing w:before="0" w:beforeAutospacing="0" w:after="0" w:afterAutospacing="0" w:line="432" w:lineRule="auto"/>
        <w:ind w:right="1449"/>
        <w:rPr>
          <w:rFonts w:hAnsi="宋体"/>
          <w:color w:val="auto"/>
          <w:sz w:val="24"/>
          <w:szCs w:val="24"/>
        </w:rPr>
      </w:pPr>
    </w:p>
    <w:p>
      <w:pPr>
        <w:pStyle w:val="149"/>
        <w:spacing w:before="0" w:beforeAutospacing="0" w:after="0" w:afterAutospacing="0" w:line="432" w:lineRule="auto"/>
        <w:ind w:right="1449" w:firstLine="2168" w:firstLineChars="900"/>
        <w:rPr>
          <w:rFonts w:hAnsi="宋体"/>
          <w:b/>
          <w:bCs/>
          <w:color w:val="auto"/>
          <w:sz w:val="24"/>
          <w:szCs w:val="24"/>
        </w:rPr>
      </w:pPr>
    </w:p>
    <w:bookmarkEnd w:id="117"/>
    <w:bookmarkEnd w:id="118"/>
    <w:bookmarkEnd w:id="119"/>
    <w:bookmarkEnd w:id="120"/>
    <w:bookmarkEnd w:id="121"/>
    <w:bookmarkEnd w:id="122"/>
    <w:p>
      <w:pPr>
        <w:pStyle w:val="149"/>
        <w:spacing w:before="0" w:beforeAutospacing="0" w:after="0" w:afterAutospacing="0" w:line="432" w:lineRule="auto"/>
        <w:ind w:right="87" w:firstLine="3373" w:firstLineChars="1400"/>
        <w:jc w:val="center"/>
        <w:rPr>
          <w:rFonts w:hAnsi="宋体"/>
          <w:b/>
          <w:bCs/>
          <w:color w:val="auto"/>
          <w:sz w:val="24"/>
          <w:szCs w:val="24"/>
        </w:rPr>
      </w:pPr>
      <w:r>
        <w:rPr>
          <w:rFonts w:hint="eastAsia" w:hAnsi="宋体"/>
          <w:b/>
          <w:bCs/>
          <w:color w:val="auto"/>
          <w:sz w:val="24"/>
          <w:szCs w:val="24"/>
        </w:rPr>
        <w:t xml:space="preserve">        声明企业：</w:t>
      </w:r>
      <w:r>
        <w:rPr>
          <w:rFonts w:hint="eastAsia"/>
          <w:b/>
          <w:bCs/>
          <w:color w:val="auto"/>
          <w:sz w:val="24"/>
          <w:szCs w:val="24"/>
          <w:u w:val="single"/>
        </w:rPr>
        <w:t xml:space="preserve">                   </w:t>
      </w:r>
      <w:r>
        <w:rPr>
          <w:rFonts w:hint="eastAsia" w:hAnsi="宋体"/>
          <w:b/>
          <w:bCs/>
          <w:color w:val="auto"/>
          <w:sz w:val="24"/>
          <w:szCs w:val="24"/>
        </w:rPr>
        <w:t>(企业公章)</w:t>
      </w:r>
    </w:p>
    <w:p>
      <w:pPr>
        <w:pStyle w:val="149"/>
        <w:tabs>
          <w:tab w:val="left" w:pos="7770"/>
        </w:tabs>
        <w:spacing w:before="0" w:beforeAutospacing="0" w:after="0" w:afterAutospacing="0" w:line="432" w:lineRule="auto"/>
        <w:ind w:right="-113" w:firstLine="4337" w:firstLineChars="1800"/>
        <w:rPr>
          <w:rFonts w:hAnsi="宋体"/>
          <w:b/>
          <w:bCs/>
          <w:color w:val="auto"/>
          <w:sz w:val="24"/>
          <w:szCs w:val="24"/>
        </w:rPr>
      </w:pPr>
      <w:r>
        <w:rPr>
          <w:rFonts w:hint="eastAsia"/>
          <w:b/>
          <w:bCs/>
          <w:color w:val="auto"/>
          <w:sz w:val="24"/>
          <w:szCs w:val="24"/>
        </w:rPr>
        <w:t>法定代表</w:t>
      </w:r>
      <w:r>
        <w:rPr>
          <w:rFonts w:hint="eastAsia" w:hAnsi="宋体"/>
          <w:b/>
          <w:bCs/>
          <w:color w:val="auto"/>
          <w:sz w:val="24"/>
          <w:szCs w:val="24"/>
        </w:rPr>
        <w:t>人或授权委托人签字：</w:t>
      </w:r>
      <w:r>
        <w:rPr>
          <w:rFonts w:hint="eastAsia"/>
          <w:b/>
          <w:bCs/>
          <w:color w:val="auto"/>
          <w:sz w:val="24"/>
          <w:szCs w:val="24"/>
          <w:u w:val="single"/>
        </w:rPr>
        <w:t xml:space="preserve">           </w:t>
      </w:r>
      <w:r>
        <w:rPr>
          <w:rFonts w:hint="eastAsia" w:hAnsi="宋体"/>
          <w:b/>
          <w:bCs/>
          <w:color w:val="auto"/>
          <w:sz w:val="24"/>
          <w:szCs w:val="24"/>
        </w:rPr>
        <w:t xml:space="preserve">      </w:t>
      </w:r>
    </w:p>
    <w:p>
      <w:pPr>
        <w:pStyle w:val="17"/>
        <w:ind w:firstLine="4337" w:firstLineChars="1800"/>
        <w:rPr>
          <w:color w:val="auto"/>
          <w:sz w:val="24"/>
          <w:szCs w:val="18"/>
          <w:lang w:val="zh-CN"/>
        </w:rPr>
      </w:pPr>
      <w:r>
        <w:rPr>
          <w:rFonts w:hint="eastAsia" w:ascii="宋体" w:hAnsi="宋体" w:cs="宋体"/>
          <w:b/>
          <w:bCs/>
          <w:color w:val="auto"/>
          <w:sz w:val="24"/>
          <w:szCs w:val="24"/>
        </w:rPr>
        <w:t>日     期：</w:t>
      </w:r>
      <w:r>
        <w:rPr>
          <w:rFonts w:hint="eastAsia" w:cs="宋体"/>
          <w:b/>
          <w:bCs/>
          <w:color w:val="auto"/>
          <w:sz w:val="24"/>
          <w:szCs w:val="24"/>
        </w:rPr>
        <w:t xml:space="preserve">   </w:t>
      </w:r>
      <w:r>
        <w:rPr>
          <w:rFonts w:hint="eastAsia" w:ascii="宋体" w:hAnsi="宋体" w:cs="宋体"/>
          <w:b/>
          <w:bCs/>
          <w:color w:val="auto"/>
          <w:sz w:val="24"/>
          <w:szCs w:val="24"/>
        </w:rPr>
        <w:t xml:space="preserve">  年   月 </w:t>
      </w:r>
      <w:r>
        <w:rPr>
          <w:rFonts w:hint="eastAsia" w:cs="宋体"/>
          <w:b/>
          <w:bCs/>
          <w:color w:val="auto"/>
          <w:sz w:val="24"/>
          <w:szCs w:val="24"/>
        </w:rPr>
        <w:t xml:space="preserve">   </w:t>
      </w:r>
      <w:r>
        <w:rPr>
          <w:rFonts w:hint="eastAsia" w:ascii="宋体" w:hAnsi="宋体" w:cs="宋体"/>
          <w:b/>
          <w:bCs/>
          <w:color w:val="auto"/>
          <w:sz w:val="24"/>
          <w:szCs w:val="24"/>
        </w:rPr>
        <w:t>日</w:t>
      </w:r>
    </w:p>
    <w:p>
      <w:pPr>
        <w:rPr>
          <w:rFonts w:ascii="宋体" w:hAnsi="宋体" w:cs="宋体"/>
          <w:color w:val="auto"/>
          <w:lang w:val="zh-CN"/>
        </w:rPr>
      </w:pPr>
    </w:p>
    <w:p>
      <w:pPr>
        <w:pStyle w:val="17"/>
        <w:rPr>
          <w:rFonts w:ascii="宋体" w:hAnsi="宋体" w:cs="宋体"/>
          <w:color w:val="auto"/>
          <w:lang w:val="zh-CN"/>
        </w:rPr>
      </w:pPr>
    </w:p>
    <w:p>
      <w:pPr>
        <w:rPr>
          <w:color w:val="auto"/>
          <w:lang w:val="zh-CN"/>
        </w:rPr>
      </w:pPr>
    </w:p>
    <w:p>
      <w:pPr>
        <w:spacing w:line="520" w:lineRule="exact"/>
        <w:rPr>
          <w:rFonts w:ascii="宋体" w:hAnsi="宋体" w:cs="宋体"/>
          <w:b/>
          <w:color w:val="auto"/>
          <w:sz w:val="30"/>
          <w:szCs w:val="30"/>
        </w:rPr>
      </w:pPr>
    </w:p>
    <w:p>
      <w:pPr>
        <w:pStyle w:val="35"/>
        <w:rPr>
          <w:rFonts w:ascii="宋体" w:hAnsi="宋体" w:eastAsia="宋体" w:cs="宋体"/>
          <w:b/>
          <w:bCs/>
          <w:color w:val="auto"/>
          <w:sz w:val="30"/>
          <w:szCs w:val="30"/>
        </w:rPr>
      </w:pPr>
    </w:p>
    <w:p>
      <w:pPr>
        <w:rPr>
          <w:rFonts w:ascii="宋体" w:hAnsi="宋体" w:cs="宋体"/>
          <w:b/>
          <w:bCs/>
          <w:color w:val="auto"/>
          <w:sz w:val="30"/>
          <w:szCs w:val="30"/>
        </w:rPr>
      </w:pPr>
      <w:r>
        <w:rPr>
          <w:rFonts w:hint="eastAsia" w:ascii="宋体" w:hAnsi="宋体" w:cs="宋体"/>
          <w:b/>
          <w:bCs/>
          <w:color w:val="auto"/>
          <w:sz w:val="30"/>
          <w:szCs w:val="30"/>
        </w:rPr>
        <w:br w:type="page"/>
      </w:r>
    </w:p>
    <w:p>
      <w:pPr>
        <w:autoSpaceDE w:val="0"/>
        <w:autoSpaceDN w:val="0"/>
        <w:adjustRightInd w:val="0"/>
        <w:spacing w:line="560" w:lineRule="exact"/>
        <w:jc w:val="center"/>
        <w:rPr>
          <w:rFonts w:ascii="宋体" w:hAnsi="宋体" w:cs="宋体"/>
          <w:b/>
          <w:bCs/>
          <w:color w:val="auto"/>
          <w:sz w:val="30"/>
          <w:szCs w:val="30"/>
        </w:rPr>
      </w:pPr>
      <w:r>
        <w:rPr>
          <w:rFonts w:hint="eastAsia" w:ascii="宋体" w:hAnsi="宋体" w:cs="宋体"/>
          <w:b/>
          <w:bCs/>
          <w:color w:val="auto"/>
          <w:sz w:val="30"/>
          <w:szCs w:val="30"/>
        </w:rPr>
        <w:t>第十一部分 提供政府采购政策证明材料</w:t>
      </w:r>
    </w:p>
    <w:p>
      <w:pPr>
        <w:autoSpaceDE w:val="0"/>
        <w:autoSpaceDN w:val="0"/>
        <w:adjustRightInd w:val="0"/>
        <w:spacing w:line="560" w:lineRule="exact"/>
        <w:rPr>
          <w:rFonts w:ascii="宋体" w:hAnsi="宋体" w:cs="宋体"/>
          <w:b/>
          <w:bCs/>
          <w:color w:val="auto"/>
          <w:sz w:val="30"/>
          <w:szCs w:val="30"/>
        </w:rPr>
      </w:pPr>
    </w:p>
    <w:p>
      <w:pPr>
        <w:pStyle w:val="4"/>
        <w:spacing w:line="400" w:lineRule="exact"/>
        <w:jc w:val="center"/>
        <w:rPr>
          <w:rFonts w:ascii="宋体" w:hAnsi="宋体" w:eastAsia="宋体" w:cs="宋体"/>
          <w:b/>
          <w:bCs/>
          <w:color w:val="auto"/>
          <w:kern w:val="0"/>
          <w:szCs w:val="28"/>
        </w:rPr>
      </w:pPr>
      <w:r>
        <w:rPr>
          <w:rFonts w:hint="eastAsia" w:ascii="宋体" w:hAnsi="宋体" w:eastAsia="宋体" w:cs="宋体"/>
          <w:b/>
          <w:bCs/>
          <w:color w:val="auto"/>
          <w:kern w:val="0"/>
          <w:szCs w:val="28"/>
        </w:rPr>
        <w:t>1、小微企业声明函（若有）</w:t>
      </w:r>
    </w:p>
    <w:p>
      <w:pPr>
        <w:autoSpaceDE w:val="0"/>
        <w:autoSpaceDN w:val="0"/>
        <w:adjustRightInd w:val="0"/>
        <w:spacing w:line="520" w:lineRule="exact"/>
        <w:jc w:val="center"/>
        <w:rPr>
          <w:rFonts w:ascii="宋体" w:hAnsi="宋体" w:cs="宋体"/>
          <w:color w:val="auto"/>
          <w:sz w:val="28"/>
          <w:szCs w:val="28"/>
        </w:rPr>
      </w:pPr>
    </w:p>
    <w:p>
      <w:pPr>
        <w:adjustRightInd w:val="0"/>
        <w:snapToGrid w:val="0"/>
        <w:spacing w:line="360" w:lineRule="auto"/>
        <w:ind w:firstLine="484" w:firstLineChars="202"/>
        <w:rPr>
          <w:rFonts w:ascii="宋体" w:hAnsi="宋体"/>
          <w:color w:val="auto"/>
          <w:sz w:val="24"/>
          <w:szCs w:val="24"/>
        </w:rPr>
      </w:pPr>
      <w:r>
        <w:rPr>
          <w:rFonts w:ascii="宋体" w:hAnsi="宋体"/>
          <w:color w:val="auto"/>
          <w:sz w:val="24"/>
          <w:szCs w:val="24"/>
        </w:rPr>
        <w:t>本公司（联合体）郑重声明，根据《政府采购促进中小企业发展管理办法》（财库﹝2020﹞46号）的规定，本公司（联合体）参加</w:t>
      </w:r>
      <w:r>
        <w:rPr>
          <w:rFonts w:ascii="宋体" w:hAnsi="宋体"/>
          <w:color w:val="auto"/>
          <w:sz w:val="24"/>
          <w:szCs w:val="24"/>
          <w:u w:val="single"/>
        </w:rPr>
        <w:t>（单位名称）</w:t>
      </w:r>
      <w:r>
        <w:rPr>
          <w:rFonts w:ascii="宋体" w:hAnsi="宋体"/>
          <w:color w:val="auto"/>
          <w:sz w:val="24"/>
          <w:szCs w:val="24"/>
        </w:rPr>
        <w:t>的</w:t>
      </w:r>
      <w:r>
        <w:rPr>
          <w:rFonts w:ascii="宋体" w:hAnsi="宋体"/>
          <w:color w:val="auto"/>
          <w:sz w:val="24"/>
          <w:szCs w:val="24"/>
          <w:u w:val="single"/>
        </w:rPr>
        <w:t>（项目名称）</w:t>
      </w:r>
      <w:r>
        <w:rPr>
          <w:rFonts w:ascii="宋体" w:hAnsi="宋体"/>
          <w:color w:val="auto"/>
          <w:sz w:val="24"/>
          <w:szCs w:val="24"/>
        </w:rPr>
        <w:t>采购活动，工程的施工单位全部为符合政策要求的中小企业（或者：服务全部由符合政策要求的中小企业承接）。 相关企业（ 含联合体中的中小企业、 签订分包意向协议的中小企业）的具体情况如下：</w:t>
      </w:r>
    </w:p>
    <w:p>
      <w:pPr>
        <w:adjustRightInd w:val="0"/>
        <w:snapToGrid w:val="0"/>
        <w:spacing w:line="360" w:lineRule="auto"/>
        <w:ind w:firstLine="484" w:firstLineChars="202"/>
        <w:rPr>
          <w:rFonts w:ascii="宋体" w:hAnsi="宋体"/>
          <w:color w:val="auto"/>
          <w:sz w:val="24"/>
          <w:szCs w:val="24"/>
        </w:rPr>
      </w:pPr>
      <w:r>
        <w:rPr>
          <w:rFonts w:ascii="宋体" w:hAnsi="宋体"/>
          <w:color w:val="auto"/>
          <w:sz w:val="24"/>
          <w:szCs w:val="24"/>
        </w:rPr>
        <w:t xml:space="preserve">1. </w:t>
      </w:r>
      <w:r>
        <w:rPr>
          <w:rFonts w:ascii="宋体" w:hAnsi="宋体"/>
          <w:color w:val="auto"/>
          <w:sz w:val="24"/>
          <w:szCs w:val="24"/>
          <w:u w:val="single"/>
        </w:rPr>
        <w:t>（标的名称）</w:t>
      </w:r>
      <w:r>
        <w:rPr>
          <w:rFonts w:ascii="宋体" w:hAnsi="宋体"/>
          <w:color w:val="auto"/>
          <w:sz w:val="24"/>
          <w:szCs w:val="24"/>
        </w:rPr>
        <w:t>，属于</w:t>
      </w:r>
      <w:r>
        <w:rPr>
          <w:rFonts w:ascii="宋体" w:hAnsi="宋体"/>
          <w:color w:val="auto"/>
          <w:sz w:val="24"/>
          <w:szCs w:val="24"/>
          <w:u w:val="single"/>
        </w:rPr>
        <w:t>（采购文件中明确的所属行业）</w:t>
      </w:r>
      <w:r>
        <w:rPr>
          <w:rFonts w:ascii="宋体" w:hAnsi="宋体"/>
          <w:color w:val="auto"/>
          <w:sz w:val="24"/>
          <w:szCs w:val="24"/>
        </w:rPr>
        <w:t>；承建（承接）企业为</w:t>
      </w:r>
      <w:r>
        <w:rPr>
          <w:rFonts w:ascii="宋体" w:hAnsi="宋体"/>
          <w:color w:val="auto"/>
          <w:sz w:val="24"/>
          <w:szCs w:val="24"/>
          <w:u w:val="single"/>
        </w:rPr>
        <w:t>（企业名称）</w:t>
      </w:r>
      <w:r>
        <w:rPr>
          <w:rFonts w:ascii="宋体" w:hAnsi="宋体"/>
          <w:color w:val="auto"/>
          <w:sz w:val="24"/>
          <w:szCs w:val="24"/>
        </w:rPr>
        <w:t>，从业人员</w:t>
      </w:r>
      <w:r>
        <w:rPr>
          <w:rFonts w:ascii="宋体" w:hAnsi="宋体"/>
          <w:color w:val="auto"/>
          <w:sz w:val="24"/>
          <w:szCs w:val="24"/>
          <w:u w:val="single"/>
        </w:rPr>
        <w:t xml:space="preserve">     </w:t>
      </w:r>
      <w:r>
        <w:rPr>
          <w:rFonts w:ascii="宋体" w:hAnsi="宋体"/>
          <w:color w:val="auto"/>
          <w:sz w:val="24"/>
          <w:szCs w:val="24"/>
        </w:rPr>
        <w:t>人，营业收入为</w:t>
      </w:r>
      <w:r>
        <w:rPr>
          <w:rFonts w:ascii="宋体" w:hAnsi="宋体"/>
          <w:color w:val="auto"/>
          <w:sz w:val="24"/>
          <w:szCs w:val="24"/>
          <w:u w:val="single"/>
        </w:rPr>
        <w:t xml:space="preserve">     </w:t>
      </w:r>
      <w:r>
        <w:rPr>
          <w:rFonts w:ascii="宋体" w:hAnsi="宋体"/>
          <w:color w:val="auto"/>
          <w:sz w:val="24"/>
          <w:szCs w:val="24"/>
        </w:rPr>
        <w:t>万元，资产总额为</w:t>
      </w:r>
      <w:r>
        <w:rPr>
          <w:rFonts w:ascii="宋体" w:hAnsi="宋体"/>
          <w:color w:val="auto"/>
          <w:sz w:val="24"/>
          <w:szCs w:val="24"/>
          <w:u w:val="single"/>
        </w:rPr>
        <w:t xml:space="preserve">     </w:t>
      </w:r>
      <w:r>
        <w:rPr>
          <w:rFonts w:ascii="宋体" w:hAnsi="宋体"/>
          <w:color w:val="auto"/>
          <w:sz w:val="24"/>
          <w:szCs w:val="24"/>
        </w:rPr>
        <w:t>万元</w:t>
      </w:r>
      <w:r>
        <w:rPr>
          <w:rFonts w:hint="eastAsia" w:ascii="宋体" w:hAnsi="宋体"/>
          <w:color w:val="auto"/>
          <w:sz w:val="24"/>
          <w:szCs w:val="24"/>
          <w:vertAlign w:val="superscript"/>
        </w:rPr>
        <w:t>1</w:t>
      </w:r>
      <w:r>
        <w:rPr>
          <w:rFonts w:ascii="宋体" w:hAnsi="宋体"/>
          <w:color w:val="auto"/>
          <w:sz w:val="24"/>
          <w:szCs w:val="24"/>
        </w:rPr>
        <w:t>，属于</w:t>
      </w:r>
      <w:r>
        <w:rPr>
          <w:rFonts w:ascii="宋体" w:hAnsi="宋体"/>
          <w:color w:val="auto"/>
          <w:sz w:val="24"/>
          <w:szCs w:val="24"/>
          <w:u w:val="single"/>
        </w:rPr>
        <w:t>（中型企业、小型企业、微型企业）</w:t>
      </w:r>
      <w:r>
        <w:rPr>
          <w:rFonts w:ascii="宋体" w:hAnsi="宋体"/>
          <w:color w:val="auto"/>
          <w:sz w:val="24"/>
          <w:szCs w:val="24"/>
        </w:rPr>
        <w:t>；</w:t>
      </w:r>
    </w:p>
    <w:p>
      <w:pPr>
        <w:adjustRightInd w:val="0"/>
        <w:snapToGrid w:val="0"/>
        <w:spacing w:line="360" w:lineRule="auto"/>
        <w:ind w:firstLine="484" w:firstLineChars="202"/>
        <w:rPr>
          <w:rFonts w:ascii="宋体" w:hAnsi="宋体"/>
          <w:color w:val="auto"/>
          <w:sz w:val="24"/>
          <w:szCs w:val="24"/>
        </w:rPr>
      </w:pPr>
      <w:r>
        <w:rPr>
          <w:rFonts w:ascii="宋体" w:hAnsi="宋体"/>
          <w:color w:val="auto"/>
          <w:sz w:val="24"/>
          <w:szCs w:val="24"/>
        </w:rPr>
        <w:t xml:space="preserve">2. </w:t>
      </w:r>
      <w:r>
        <w:rPr>
          <w:rFonts w:ascii="宋体" w:hAnsi="宋体"/>
          <w:color w:val="auto"/>
          <w:sz w:val="24"/>
          <w:szCs w:val="24"/>
          <w:u w:val="single"/>
        </w:rPr>
        <w:t xml:space="preserve">（标的名称） </w:t>
      </w:r>
      <w:r>
        <w:rPr>
          <w:rFonts w:ascii="宋体" w:hAnsi="宋体"/>
          <w:color w:val="auto"/>
          <w:sz w:val="24"/>
          <w:szCs w:val="24"/>
        </w:rPr>
        <w:t>，属于</w:t>
      </w:r>
      <w:r>
        <w:rPr>
          <w:rFonts w:ascii="宋体" w:hAnsi="宋体"/>
          <w:color w:val="auto"/>
          <w:sz w:val="24"/>
          <w:szCs w:val="24"/>
          <w:u w:val="single"/>
        </w:rPr>
        <w:t>（采购文件中明确的所属行业）</w:t>
      </w:r>
      <w:r>
        <w:rPr>
          <w:rFonts w:ascii="宋体" w:hAnsi="宋体"/>
          <w:color w:val="auto"/>
          <w:sz w:val="24"/>
          <w:szCs w:val="24"/>
        </w:rPr>
        <w:t>；承建（承接）企业为</w:t>
      </w:r>
      <w:r>
        <w:rPr>
          <w:rFonts w:ascii="宋体" w:hAnsi="宋体"/>
          <w:color w:val="auto"/>
          <w:sz w:val="24"/>
          <w:szCs w:val="24"/>
          <w:u w:val="single"/>
        </w:rPr>
        <w:t>（企业名称）</w:t>
      </w:r>
      <w:r>
        <w:rPr>
          <w:rFonts w:ascii="宋体" w:hAnsi="宋体"/>
          <w:color w:val="auto"/>
          <w:sz w:val="24"/>
          <w:szCs w:val="24"/>
        </w:rPr>
        <w:t>，从业人员</w:t>
      </w:r>
      <w:r>
        <w:rPr>
          <w:rFonts w:ascii="宋体" w:hAnsi="宋体"/>
          <w:color w:val="auto"/>
          <w:sz w:val="24"/>
          <w:szCs w:val="24"/>
          <w:u w:val="single"/>
        </w:rPr>
        <w:t xml:space="preserve">     </w:t>
      </w:r>
      <w:r>
        <w:rPr>
          <w:rFonts w:ascii="宋体" w:hAnsi="宋体"/>
          <w:color w:val="auto"/>
          <w:sz w:val="24"/>
          <w:szCs w:val="24"/>
        </w:rPr>
        <w:t>人，营业收入为</w:t>
      </w:r>
      <w:r>
        <w:rPr>
          <w:rFonts w:ascii="宋体" w:hAnsi="宋体"/>
          <w:color w:val="auto"/>
          <w:sz w:val="24"/>
          <w:szCs w:val="24"/>
          <w:u w:val="single"/>
        </w:rPr>
        <w:t xml:space="preserve">     </w:t>
      </w:r>
      <w:r>
        <w:rPr>
          <w:rFonts w:ascii="宋体" w:hAnsi="宋体"/>
          <w:color w:val="auto"/>
          <w:sz w:val="24"/>
          <w:szCs w:val="24"/>
        </w:rPr>
        <w:t>万元，资产总额为</w:t>
      </w:r>
      <w:r>
        <w:rPr>
          <w:rFonts w:ascii="宋体" w:hAnsi="宋体"/>
          <w:color w:val="auto"/>
          <w:sz w:val="24"/>
          <w:szCs w:val="24"/>
          <w:u w:val="single"/>
        </w:rPr>
        <w:t xml:space="preserve">     </w:t>
      </w:r>
      <w:r>
        <w:rPr>
          <w:rFonts w:ascii="宋体" w:hAnsi="宋体"/>
          <w:color w:val="auto"/>
          <w:sz w:val="24"/>
          <w:szCs w:val="24"/>
        </w:rPr>
        <w:t>万元，属于</w:t>
      </w:r>
      <w:r>
        <w:rPr>
          <w:rFonts w:ascii="宋体" w:hAnsi="宋体"/>
          <w:color w:val="auto"/>
          <w:sz w:val="24"/>
          <w:szCs w:val="24"/>
          <w:u w:val="single"/>
        </w:rPr>
        <w:t>（中型企业、小型企业、微型企业）</w:t>
      </w:r>
      <w:r>
        <w:rPr>
          <w:rFonts w:ascii="宋体" w:hAnsi="宋体"/>
          <w:color w:val="auto"/>
          <w:sz w:val="24"/>
          <w:szCs w:val="24"/>
        </w:rPr>
        <w:t>；</w:t>
      </w:r>
    </w:p>
    <w:p>
      <w:pPr>
        <w:adjustRightInd w:val="0"/>
        <w:snapToGrid w:val="0"/>
        <w:spacing w:line="360" w:lineRule="auto"/>
        <w:ind w:firstLine="484" w:firstLineChars="202"/>
        <w:rPr>
          <w:rFonts w:ascii="宋体" w:hAnsi="宋体"/>
          <w:color w:val="auto"/>
          <w:sz w:val="24"/>
          <w:szCs w:val="24"/>
        </w:rPr>
      </w:pPr>
      <w:r>
        <w:rPr>
          <w:rFonts w:ascii="宋体" w:hAnsi="宋体"/>
          <w:color w:val="auto"/>
          <w:sz w:val="24"/>
          <w:szCs w:val="24"/>
        </w:rPr>
        <w:t>……</w:t>
      </w:r>
    </w:p>
    <w:p>
      <w:pPr>
        <w:adjustRightInd w:val="0"/>
        <w:snapToGrid w:val="0"/>
        <w:spacing w:line="360" w:lineRule="auto"/>
        <w:ind w:firstLine="484" w:firstLineChars="202"/>
        <w:rPr>
          <w:rFonts w:ascii="宋体" w:hAnsi="宋体"/>
          <w:color w:val="auto"/>
          <w:sz w:val="24"/>
          <w:szCs w:val="24"/>
        </w:rPr>
      </w:pPr>
      <w:r>
        <w:rPr>
          <w:rFonts w:ascii="宋体" w:hAnsi="宋体"/>
          <w:color w:val="auto"/>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rPr>
          <w:rFonts w:ascii="宋体" w:hAnsi="宋体"/>
          <w:color w:val="auto"/>
          <w:sz w:val="24"/>
          <w:szCs w:val="24"/>
        </w:rPr>
      </w:pPr>
      <w:r>
        <w:rPr>
          <w:rFonts w:ascii="宋体" w:hAnsi="宋体"/>
          <w:color w:val="auto"/>
          <w:sz w:val="24"/>
          <w:szCs w:val="24"/>
        </w:rPr>
        <w:t>本企业对上述声明内容的真实性负责。如有虚假，将依法承担相应责任。</w:t>
      </w:r>
    </w:p>
    <w:p>
      <w:pPr>
        <w:pStyle w:val="17"/>
        <w:spacing w:line="360" w:lineRule="auto"/>
        <w:jc w:val="both"/>
        <w:rPr>
          <w:rFonts w:ascii="宋体" w:hAnsi="宋体"/>
          <w:color w:val="auto"/>
          <w:sz w:val="24"/>
          <w:szCs w:val="24"/>
        </w:rPr>
      </w:pPr>
    </w:p>
    <w:p>
      <w:pPr>
        <w:adjustRightInd w:val="0"/>
        <w:snapToGrid w:val="0"/>
        <w:spacing w:line="360" w:lineRule="auto"/>
        <w:ind w:firstLine="5520" w:firstLineChars="2300"/>
        <w:rPr>
          <w:rFonts w:ascii="宋体" w:hAnsi="宋体"/>
          <w:color w:val="auto"/>
          <w:sz w:val="24"/>
          <w:szCs w:val="24"/>
        </w:rPr>
      </w:pPr>
      <w:r>
        <w:rPr>
          <w:rFonts w:ascii="宋体" w:hAnsi="宋体"/>
          <w:color w:val="auto"/>
          <w:sz w:val="24"/>
          <w:szCs w:val="24"/>
        </w:rPr>
        <w:t>企业名称（盖章）：</w:t>
      </w:r>
    </w:p>
    <w:p>
      <w:pPr>
        <w:adjustRightInd w:val="0"/>
        <w:snapToGrid w:val="0"/>
        <w:spacing w:line="360" w:lineRule="auto"/>
        <w:ind w:firstLine="5520" w:firstLineChars="2300"/>
        <w:rPr>
          <w:rFonts w:ascii="宋体" w:hAnsi="宋体"/>
          <w:color w:val="auto"/>
          <w:sz w:val="24"/>
          <w:szCs w:val="24"/>
        </w:rPr>
      </w:pPr>
      <w:r>
        <w:rPr>
          <w:rFonts w:ascii="宋体" w:hAnsi="宋体"/>
          <w:color w:val="auto"/>
          <w:sz w:val="24"/>
          <w:szCs w:val="24"/>
        </w:rPr>
        <w:t>日期：</w:t>
      </w:r>
      <w:r>
        <w:rPr>
          <w:rFonts w:ascii="宋体" w:hAnsi="宋体"/>
          <w:color w:val="auto"/>
          <w:sz w:val="24"/>
          <w:szCs w:val="24"/>
        </w:rPr>
        <w:br w:type="textWrapping"/>
      </w:r>
    </w:p>
    <w:p>
      <w:pPr>
        <w:tabs>
          <w:tab w:val="left" w:pos="1755"/>
        </w:tabs>
        <w:spacing w:line="360" w:lineRule="auto"/>
        <w:ind w:firstLine="480" w:firstLineChars="200"/>
        <w:rPr>
          <w:rFonts w:ascii="宋体" w:hAnsi="宋体" w:cs="仿宋"/>
          <w:b/>
          <w:bCs/>
          <w:color w:val="auto"/>
          <w:sz w:val="24"/>
          <w:szCs w:val="24"/>
        </w:rPr>
      </w:pPr>
      <w:r>
        <w:rPr>
          <w:rFonts w:ascii="宋体" w:hAnsi="宋体"/>
          <w:color w:val="auto"/>
          <w:sz w:val="24"/>
          <w:szCs w:val="24"/>
          <w:vertAlign w:val="superscript"/>
        </w:rPr>
        <w:t xml:space="preserve">1 </w:t>
      </w:r>
      <w:r>
        <w:rPr>
          <w:rFonts w:ascii="宋体" w:hAnsi="宋体"/>
          <w:color w:val="auto"/>
          <w:sz w:val="24"/>
          <w:szCs w:val="24"/>
        </w:rPr>
        <w:t>从业人员、营业收入、资产总额填报上一年度数据，无上一年度数据的新成立企业可不填报。</w:t>
      </w:r>
    </w:p>
    <w:p>
      <w:pPr>
        <w:spacing w:line="360" w:lineRule="auto"/>
        <w:jc w:val="center"/>
        <w:outlineLvl w:val="1"/>
        <w:rPr>
          <w:rFonts w:ascii="宋体" w:hAnsi="宋体" w:cs="宋体"/>
          <w:bCs/>
          <w:color w:val="auto"/>
          <w:sz w:val="28"/>
          <w:szCs w:val="28"/>
        </w:rPr>
      </w:pPr>
    </w:p>
    <w:p>
      <w:pPr>
        <w:pStyle w:val="17"/>
        <w:rPr>
          <w:color w:val="auto"/>
        </w:rPr>
      </w:pPr>
    </w:p>
    <w:p>
      <w:pPr>
        <w:pStyle w:val="14"/>
        <w:rPr>
          <w:rFonts w:ascii="宋体" w:hAnsi="宋体" w:cs="宋体"/>
          <w:color w:val="auto"/>
        </w:rPr>
      </w:pPr>
    </w:p>
    <w:p>
      <w:pPr>
        <w:pStyle w:val="4"/>
        <w:spacing w:line="400" w:lineRule="exact"/>
        <w:jc w:val="center"/>
        <w:rPr>
          <w:rFonts w:ascii="宋体" w:hAnsi="宋体" w:eastAsia="宋体" w:cs="宋体"/>
          <w:b/>
          <w:bCs/>
          <w:color w:val="auto"/>
          <w:kern w:val="0"/>
          <w:szCs w:val="28"/>
          <w:lang w:val="zh-CN"/>
        </w:rPr>
      </w:pPr>
      <w:r>
        <w:rPr>
          <w:rFonts w:hint="eastAsia" w:ascii="宋体" w:hAnsi="宋体" w:eastAsia="宋体" w:cs="宋体"/>
          <w:b/>
          <w:bCs/>
          <w:color w:val="auto"/>
          <w:kern w:val="0"/>
          <w:szCs w:val="28"/>
        </w:rPr>
        <w:t>2、</w:t>
      </w:r>
      <w:r>
        <w:rPr>
          <w:rFonts w:hint="eastAsia" w:ascii="宋体" w:hAnsi="宋体" w:eastAsia="宋体" w:cs="宋体"/>
          <w:b/>
          <w:bCs/>
          <w:color w:val="auto"/>
          <w:kern w:val="0"/>
          <w:szCs w:val="28"/>
          <w:lang w:val="zh-CN"/>
        </w:rPr>
        <w:t>监狱企业证明文件（若有）</w:t>
      </w:r>
    </w:p>
    <w:p>
      <w:pPr>
        <w:spacing w:line="520" w:lineRule="exact"/>
        <w:jc w:val="center"/>
        <w:rPr>
          <w:rFonts w:ascii="宋体" w:hAnsi="宋体" w:cs="宋体"/>
          <w:color w:val="auto"/>
          <w:sz w:val="24"/>
          <w:szCs w:val="24"/>
        </w:rPr>
      </w:pPr>
    </w:p>
    <w:p>
      <w:pPr>
        <w:spacing w:line="520" w:lineRule="exact"/>
        <w:jc w:val="center"/>
        <w:rPr>
          <w:rFonts w:ascii="宋体" w:hAnsi="宋体" w:cs="宋体"/>
          <w:color w:val="auto"/>
          <w:sz w:val="24"/>
          <w:szCs w:val="24"/>
        </w:rPr>
      </w:pPr>
      <w:r>
        <w:rPr>
          <w:rFonts w:hint="eastAsia" w:ascii="宋体" w:hAnsi="宋体" w:cs="宋体"/>
          <w:color w:val="auto"/>
          <w:sz w:val="24"/>
          <w:szCs w:val="24"/>
        </w:rPr>
        <w:t>（注:监狱企业谈判的应提供由省级以上监狱管理局、监督管理局出具的证明文件。）</w:t>
      </w:r>
    </w:p>
    <w:p>
      <w:pPr>
        <w:spacing w:line="360" w:lineRule="auto"/>
        <w:jc w:val="center"/>
        <w:outlineLvl w:val="1"/>
        <w:rPr>
          <w:rFonts w:ascii="宋体" w:hAnsi="宋体" w:cs="宋体"/>
          <w:b/>
          <w:color w:val="auto"/>
          <w:sz w:val="28"/>
          <w:szCs w:val="28"/>
        </w:rPr>
      </w:pPr>
    </w:p>
    <w:p>
      <w:pPr>
        <w:spacing w:line="360" w:lineRule="auto"/>
        <w:jc w:val="center"/>
        <w:outlineLvl w:val="1"/>
        <w:rPr>
          <w:rFonts w:ascii="宋体" w:hAnsi="宋体" w:cs="宋体"/>
          <w:b/>
          <w:color w:val="auto"/>
          <w:sz w:val="28"/>
          <w:szCs w:val="28"/>
        </w:rPr>
      </w:pPr>
    </w:p>
    <w:p>
      <w:pPr>
        <w:spacing w:line="360" w:lineRule="auto"/>
        <w:jc w:val="center"/>
        <w:outlineLvl w:val="1"/>
        <w:rPr>
          <w:rFonts w:ascii="宋体" w:hAnsi="宋体" w:cs="宋体"/>
          <w:b/>
          <w:color w:val="auto"/>
          <w:sz w:val="28"/>
          <w:szCs w:val="28"/>
        </w:rPr>
      </w:pPr>
    </w:p>
    <w:p>
      <w:pPr>
        <w:spacing w:line="360" w:lineRule="auto"/>
        <w:jc w:val="center"/>
        <w:outlineLvl w:val="1"/>
        <w:rPr>
          <w:rFonts w:ascii="宋体" w:hAnsi="宋体" w:cs="宋体"/>
          <w:b/>
          <w:color w:val="auto"/>
          <w:sz w:val="28"/>
          <w:szCs w:val="28"/>
        </w:rPr>
      </w:pPr>
    </w:p>
    <w:p>
      <w:pPr>
        <w:spacing w:line="360" w:lineRule="auto"/>
        <w:jc w:val="center"/>
        <w:outlineLvl w:val="1"/>
        <w:rPr>
          <w:rFonts w:ascii="宋体" w:hAnsi="宋体" w:cs="宋体"/>
          <w:b/>
          <w:color w:val="auto"/>
          <w:sz w:val="28"/>
          <w:szCs w:val="28"/>
        </w:rPr>
      </w:pPr>
    </w:p>
    <w:p>
      <w:pPr>
        <w:pStyle w:val="17"/>
        <w:rPr>
          <w:rFonts w:ascii="宋体" w:hAnsi="宋体" w:cs="宋体"/>
          <w:color w:val="auto"/>
        </w:rPr>
      </w:pPr>
    </w:p>
    <w:p>
      <w:pPr>
        <w:spacing w:line="360" w:lineRule="auto"/>
        <w:jc w:val="center"/>
        <w:outlineLvl w:val="1"/>
        <w:rPr>
          <w:rFonts w:ascii="宋体" w:hAnsi="宋体" w:cs="宋体"/>
          <w:b/>
          <w:color w:val="auto"/>
          <w:sz w:val="28"/>
          <w:szCs w:val="28"/>
        </w:rPr>
      </w:pPr>
    </w:p>
    <w:p>
      <w:pPr>
        <w:pStyle w:val="17"/>
        <w:rPr>
          <w:rFonts w:ascii="宋体" w:hAnsi="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30"/>
        <w:rPr>
          <w:rFonts w:ascii="宋体" w:hAnsi="宋体" w:eastAsia="宋体" w:cs="宋体"/>
          <w:b/>
          <w:color w:val="auto"/>
          <w:szCs w:val="28"/>
        </w:rPr>
      </w:pPr>
    </w:p>
    <w:p>
      <w:pPr>
        <w:pStyle w:val="17"/>
        <w:rPr>
          <w:rFonts w:ascii="宋体" w:hAnsi="宋体" w:cs="宋体"/>
          <w:color w:val="auto"/>
        </w:rPr>
      </w:pPr>
    </w:p>
    <w:p>
      <w:pPr>
        <w:spacing w:line="360" w:lineRule="auto"/>
        <w:jc w:val="center"/>
        <w:outlineLvl w:val="1"/>
        <w:rPr>
          <w:rFonts w:ascii="宋体" w:hAnsi="宋体" w:cs="宋体"/>
          <w:b/>
          <w:color w:val="auto"/>
          <w:sz w:val="28"/>
          <w:szCs w:val="28"/>
        </w:rPr>
      </w:pPr>
    </w:p>
    <w:p>
      <w:pPr>
        <w:pStyle w:val="4"/>
        <w:spacing w:line="400" w:lineRule="exact"/>
        <w:jc w:val="center"/>
        <w:rPr>
          <w:rFonts w:ascii="宋体" w:hAnsi="宋体" w:eastAsia="宋体" w:cs="宋体"/>
          <w:b/>
          <w:bCs/>
          <w:color w:val="auto"/>
          <w:kern w:val="0"/>
          <w:szCs w:val="28"/>
          <w:lang w:val="zh-CN"/>
        </w:rPr>
      </w:pPr>
      <w:r>
        <w:rPr>
          <w:rFonts w:hint="eastAsia" w:ascii="宋体" w:hAnsi="宋体" w:eastAsia="宋体" w:cs="宋体"/>
          <w:b/>
          <w:bCs/>
          <w:color w:val="auto"/>
          <w:kern w:val="0"/>
          <w:szCs w:val="28"/>
        </w:rPr>
        <w:t>3、</w:t>
      </w:r>
      <w:r>
        <w:rPr>
          <w:rFonts w:hint="eastAsia" w:ascii="宋体" w:hAnsi="宋体" w:eastAsia="宋体" w:cs="宋体"/>
          <w:b/>
          <w:bCs/>
          <w:color w:val="auto"/>
          <w:kern w:val="0"/>
          <w:szCs w:val="28"/>
          <w:lang w:val="zh-CN"/>
        </w:rPr>
        <w:t>节能、环保设备（产品）认证证书（若有）</w:t>
      </w:r>
    </w:p>
    <w:p>
      <w:pPr>
        <w:spacing w:line="520" w:lineRule="exact"/>
        <w:jc w:val="center"/>
        <w:rPr>
          <w:rFonts w:ascii="宋体" w:hAnsi="宋体" w:cs="宋体"/>
          <w:color w:val="auto"/>
          <w:sz w:val="28"/>
          <w:szCs w:val="28"/>
        </w:rPr>
      </w:pPr>
    </w:p>
    <w:p>
      <w:pPr>
        <w:spacing w:line="520" w:lineRule="exact"/>
        <w:jc w:val="center"/>
        <w:rPr>
          <w:rFonts w:ascii="宋体" w:hAnsi="宋体" w:cs="宋体"/>
          <w:color w:val="auto"/>
          <w:sz w:val="24"/>
          <w:szCs w:val="24"/>
        </w:rPr>
      </w:pPr>
      <w:r>
        <w:rPr>
          <w:rFonts w:hint="eastAsia" w:ascii="宋体" w:hAnsi="宋体" w:cs="宋体"/>
          <w:color w:val="auto"/>
          <w:sz w:val="24"/>
          <w:szCs w:val="24"/>
        </w:rPr>
        <w:t>（注：参与谈判的供应商具有节能、环保产品的应提供。）</w:t>
      </w:r>
    </w:p>
    <w:p>
      <w:pPr>
        <w:spacing w:line="560" w:lineRule="exact"/>
        <w:ind w:left="703" w:hanging="703" w:hangingChars="250"/>
        <w:jc w:val="left"/>
        <w:rPr>
          <w:rFonts w:ascii="宋体" w:hAnsi="宋体" w:cs="宋体"/>
          <w:b/>
          <w:color w:val="auto"/>
          <w:sz w:val="28"/>
          <w:szCs w:val="28"/>
        </w:rPr>
      </w:pPr>
    </w:p>
    <w:p>
      <w:pPr>
        <w:spacing w:line="360" w:lineRule="auto"/>
        <w:jc w:val="center"/>
        <w:outlineLvl w:val="1"/>
        <w:rPr>
          <w:rFonts w:ascii="宋体" w:hAnsi="宋体" w:cs="宋体"/>
          <w:color w:val="auto"/>
          <w:sz w:val="28"/>
          <w:szCs w:val="28"/>
        </w:rPr>
      </w:pPr>
    </w:p>
    <w:p>
      <w:pPr>
        <w:spacing w:line="360" w:lineRule="auto"/>
        <w:jc w:val="center"/>
        <w:outlineLvl w:val="1"/>
        <w:rPr>
          <w:rFonts w:ascii="宋体" w:hAnsi="宋体" w:cs="宋体"/>
          <w:color w:val="auto"/>
          <w:sz w:val="28"/>
          <w:szCs w:val="28"/>
        </w:rPr>
      </w:pPr>
    </w:p>
    <w:p>
      <w:pPr>
        <w:spacing w:line="360" w:lineRule="auto"/>
        <w:jc w:val="center"/>
        <w:outlineLvl w:val="1"/>
        <w:rPr>
          <w:rFonts w:ascii="宋体" w:hAnsi="宋体" w:cs="宋体"/>
          <w:color w:val="auto"/>
          <w:sz w:val="28"/>
          <w:szCs w:val="28"/>
        </w:rPr>
      </w:pPr>
    </w:p>
    <w:p>
      <w:pPr>
        <w:spacing w:line="360" w:lineRule="auto"/>
        <w:jc w:val="center"/>
        <w:outlineLvl w:val="1"/>
        <w:rPr>
          <w:rFonts w:ascii="宋体" w:hAnsi="宋体" w:cs="宋体"/>
          <w:color w:val="auto"/>
          <w:sz w:val="28"/>
          <w:szCs w:val="28"/>
        </w:rPr>
      </w:pPr>
    </w:p>
    <w:p>
      <w:pPr>
        <w:pStyle w:val="17"/>
        <w:rPr>
          <w:rFonts w:ascii="宋体" w:hAnsi="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spacing w:line="360" w:lineRule="auto"/>
        <w:jc w:val="center"/>
        <w:outlineLvl w:val="1"/>
        <w:rPr>
          <w:rFonts w:ascii="宋体" w:hAnsi="宋体" w:cs="宋体"/>
          <w:color w:val="auto"/>
          <w:sz w:val="28"/>
          <w:szCs w:val="28"/>
        </w:rPr>
      </w:pPr>
    </w:p>
    <w:p>
      <w:pPr>
        <w:pStyle w:val="17"/>
        <w:rPr>
          <w:rFonts w:ascii="宋体" w:hAnsi="宋体" w:cs="宋体"/>
          <w:color w:val="auto"/>
        </w:rPr>
      </w:pPr>
    </w:p>
    <w:p>
      <w:pPr>
        <w:pStyle w:val="4"/>
        <w:spacing w:line="400" w:lineRule="exact"/>
        <w:jc w:val="center"/>
        <w:rPr>
          <w:rFonts w:ascii="宋体" w:hAnsi="宋体" w:eastAsia="宋体" w:cs="宋体"/>
          <w:b/>
          <w:bCs/>
          <w:color w:val="auto"/>
          <w:kern w:val="0"/>
          <w:szCs w:val="28"/>
          <w:lang w:val="zh-CN"/>
        </w:rPr>
      </w:pPr>
      <w:r>
        <w:rPr>
          <w:rFonts w:hint="eastAsia" w:ascii="宋体" w:hAnsi="宋体" w:eastAsia="宋体" w:cs="宋体"/>
          <w:b/>
          <w:bCs/>
          <w:color w:val="auto"/>
          <w:kern w:val="0"/>
          <w:szCs w:val="28"/>
        </w:rPr>
        <w:t>4、</w:t>
      </w:r>
      <w:r>
        <w:rPr>
          <w:rFonts w:hint="eastAsia" w:ascii="宋体" w:hAnsi="宋体" w:eastAsia="宋体" w:cs="宋体"/>
          <w:b/>
          <w:bCs/>
          <w:color w:val="auto"/>
          <w:kern w:val="0"/>
          <w:szCs w:val="28"/>
          <w:lang w:val="zh-CN"/>
        </w:rPr>
        <w:t>残疾人福利性单位证明文件（若有）</w:t>
      </w:r>
    </w:p>
    <w:p>
      <w:pPr>
        <w:pStyle w:val="17"/>
        <w:rPr>
          <w:rFonts w:ascii="宋体" w:hAnsi="宋体" w:cs="宋体"/>
          <w:color w:val="auto"/>
          <w:lang w:val="zh-CN"/>
        </w:rPr>
      </w:pPr>
    </w:p>
    <w:p>
      <w:pPr>
        <w:widowControl/>
        <w:spacing w:after="240" w:line="360" w:lineRule="atLeast"/>
        <w:jc w:val="left"/>
        <w:textAlignment w:val="baseline"/>
        <w:rPr>
          <w:rFonts w:ascii="宋体" w:hAnsi="宋体" w:cs="宋体"/>
          <w:b/>
          <w:color w:val="auto"/>
          <w:sz w:val="24"/>
          <w:szCs w:val="24"/>
        </w:rPr>
      </w:pPr>
      <w:r>
        <w:rPr>
          <w:rFonts w:hint="eastAsia" w:ascii="宋体" w:hAnsi="宋体" w:cs="宋体"/>
          <w:b/>
          <w:color w:val="auto"/>
          <w:sz w:val="24"/>
          <w:szCs w:val="24"/>
        </w:rPr>
        <w:t>致陕西盛仕骄阳项目管理有限公司：</w:t>
      </w:r>
    </w:p>
    <w:p>
      <w:pPr>
        <w:spacing w:line="588" w:lineRule="exact"/>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pPr>
        <w:spacing w:line="588" w:lineRule="exact"/>
        <w:ind w:firstLine="480" w:firstLineChars="200"/>
        <w:rPr>
          <w:rFonts w:ascii="宋体" w:hAnsi="宋体" w:cs="宋体"/>
          <w:color w:val="auto"/>
          <w:sz w:val="24"/>
          <w:szCs w:val="24"/>
        </w:rPr>
      </w:pPr>
    </w:p>
    <w:p>
      <w:pPr>
        <w:spacing w:line="588" w:lineRule="exact"/>
        <w:ind w:firstLine="480" w:firstLineChars="200"/>
        <w:rPr>
          <w:rFonts w:ascii="宋体" w:hAnsi="宋体" w:cs="宋体"/>
          <w:color w:val="auto"/>
          <w:sz w:val="24"/>
          <w:szCs w:val="24"/>
        </w:rPr>
      </w:pPr>
    </w:p>
    <w:p>
      <w:pPr>
        <w:tabs>
          <w:tab w:val="left" w:pos="4860"/>
        </w:tabs>
        <w:spacing w:line="588" w:lineRule="exact"/>
        <w:ind w:right="1560" w:firstLine="480" w:firstLineChars="200"/>
        <w:jc w:val="center"/>
        <w:rPr>
          <w:rFonts w:ascii="宋体" w:hAnsi="宋体" w:cs="宋体"/>
          <w:color w:val="auto"/>
          <w:sz w:val="24"/>
          <w:szCs w:val="24"/>
        </w:rPr>
      </w:pPr>
      <w:r>
        <w:rPr>
          <w:rFonts w:hint="eastAsia" w:ascii="宋体" w:hAnsi="宋体" w:cs="宋体"/>
          <w:color w:val="auto"/>
          <w:sz w:val="24"/>
          <w:szCs w:val="24"/>
        </w:rPr>
        <w:t xml:space="preserve">                              单位名称（盖章）：</w:t>
      </w:r>
    </w:p>
    <w:p>
      <w:pPr>
        <w:tabs>
          <w:tab w:val="left" w:pos="4860"/>
        </w:tabs>
        <w:spacing w:line="588" w:lineRule="exact"/>
        <w:ind w:right="1560" w:firstLine="480" w:firstLineChars="200"/>
        <w:jc w:val="center"/>
        <w:rPr>
          <w:rFonts w:ascii="宋体" w:hAnsi="宋体" w:cs="宋体"/>
          <w:color w:val="auto"/>
          <w:sz w:val="24"/>
          <w:szCs w:val="24"/>
        </w:rPr>
      </w:pPr>
      <w:r>
        <w:rPr>
          <w:rFonts w:hint="eastAsia" w:ascii="宋体" w:hAnsi="宋体" w:cs="宋体"/>
          <w:color w:val="auto"/>
          <w:sz w:val="24"/>
          <w:szCs w:val="24"/>
        </w:rPr>
        <w:t xml:space="preserve">                      日  期：</w:t>
      </w:r>
    </w:p>
    <w:p>
      <w:pPr>
        <w:tabs>
          <w:tab w:val="left" w:pos="4860"/>
        </w:tabs>
        <w:spacing w:line="588" w:lineRule="exact"/>
        <w:ind w:right="1560" w:firstLine="480" w:firstLineChars="200"/>
        <w:jc w:val="center"/>
        <w:rPr>
          <w:rFonts w:ascii="宋体" w:hAnsi="宋体" w:cs="宋体"/>
          <w:color w:val="auto"/>
          <w:sz w:val="24"/>
          <w:szCs w:val="24"/>
        </w:rPr>
      </w:pPr>
    </w:p>
    <w:p>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注：残疾人福利性单位的应填写。</w:t>
      </w: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ind w:left="2520"/>
        <w:rPr>
          <w:rFonts w:ascii="宋体" w:hAnsi="宋体" w:cs="宋体"/>
          <w:b/>
          <w:bCs/>
          <w:color w:val="auto"/>
          <w:sz w:val="30"/>
          <w:szCs w:val="30"/>
        </w:rPr>
      </w:pPr>
      <w:r>
        <w:rPr>
          <w:rFonts w:hint="eastAsia" w:ascii="宋体" w:hAnsi="宋体" w:cs="宋体"/>
          <w:b/>
          <w:bCs/>
          <w:color w:val="auto"/>
          <w:sz w:val="30"/>
          <w:szCs w:val="30"/>
        </w:rPr>
        <w:t>第十二部分 其他资料</w:t>
      </w:r>
    </w:p>
    <w:p>
      <w:pPr>
        <w:pStyle w:val="17"/>
        <w:rPr>
          <w:rFonts w:ascii="宋体" w:hAnsi="宋体" w:cs="宋体"/>
          <w:color w:val="auto"/>
        </w:rPr>
      </w:pPr>
    </w:p>
    <w:p>
      <w:pPr>
        <w:pStyle w:val="17"/>
        <w:numPr>
          <w:ilvl w:val="0"/>
          <w:numId w:val="13"/>
        </w:numPr>
        <w:spacing w:line="360" w:lineRule="auto"/>
        <w:rPr>
          <w:rFonts w:ascii="宋体" w:hAnsi="宋体" w:cs="宋体"/>
          <w:bCs/>
          <w:color w:val="auto"/>
          <w:sz w:val="24"/>
          <w:szCs w:val="24"/>
        </w:rPr>
      </w:pPr>
      <w:r>
        <w:rPr>
          <w:rFonts w:hint="eastAsia" w:ascii="宋体" w:hAnsi="宋体" w:cs="宋体"/>
          <w:bCs/>
          <w:color w:val="auto"/>
          <w:sz w:val="24"/>
          <w:szCs w:val="24"/>
        </w:rPr>
        <w:t>基本存款账户开户许可证（基本账户信息表）。</w:t>
      </w:r>
    </w:p>
    <w:p>
      <w:pPr>
        <w:pStyle w:val="17"/>
        <w:numPr>
          <w:ilvl w:val="0"/>
          <w:numId w:val="13"/>
        </w:numPr>
        <w:spacing w:line="360" w:lineRule="auto"/>
        <w:rPr>
          <w:rFonts w:ascii="宋体" w:hAnsi="宋体" w:cs="宋体"/>
          <w:color w:val="auto"/>
          <w:sz w:val="24"/>
          <w:szCs w:val="24"/>
        </w:rPr>
      </w:pPr>
      <w:r>
        <w:rPr>
          <w:rFonts w:hint="eastAsia" w:ascii="宋体" w:hAnsi="宋体" w:cs="宋体"/>
          <w:color w:val="auto"/>
          <w:sz w:val="24"/>
          <w:szCs w:val="24"/>
        </w:rPr>
        <w:t>依据竞争性谈判文件要求，供应商认为有必要说明的其他内容。</w:t>
      </w:r>
    </w:p>
    <w:p>
      <w:pPr>
        <w:pStyle w:val="17"/>
        <w:spacing w:line="360" w:lineRule="auto"/>
        <w:rPr>
          <w:rFonts w:ascii="宋体" w:hAnsi="宋体" w:cs="宋体"/>
          <w:color w:val="auto"/>
          <w:sz w:val="24"/>
          <w:szCs w:val="24"/>
        </w:rPr>
      </w:pPr>
      <w:r>
        <w:rPr>
          <w:rFonts w:hint="eastAsia" w:ascii="宋体" w:hAnsi="宋体" w:cs="宋体"/>
          <w:color w:val="auto"/>
          <w:sz w:val="24"/>
          <w:szCs w:val="24"/>
        </w:rPr>
        <w:t>3、其他可以证明供应商实力的文件。</w:t>
      </w:r>
    </w:p>
    <w:p>
      <w:pPr>
        <w:pStyle w:val="34"/>
        <w:ind w:firstLine="0"/>
        <w:rPr>
          <w:rFonts w:ascii="宋体" w:hAnsi="宋体" w:cs="宋体"/>
          <w:color w:val="auto"/>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25"/>
      <w:tabs>
        <w:tab w:val="right" w:pos="9135"/>
        <w:tab w:val="clear" w:pos="8306"/>
      </w:tabs>
      <w:ind w:right="-6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066" w:firstLineChars="22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GFtyHqkBAABCAwAADgAA&#10;AAAAAAABACAAAAAeAQAAZHJzL2Uyb0RvYy54bWxQSwUGAAAAAAYABgBZAQAAOQ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w:t>
                    </w:r>
                    <w:r>
                      <w:fldChar w:fldCharType="end"/>
                    </w:r>
                  </w:p>
                </w:txbxContent>
              </v:textbox>
            </v:shape>
          </w:pict>
        </mc:Fallback>
      </mc:AlternateContent>
    </w:r>
  </w:p>
  <w:p>
    <w:pPr>
      <w:pStyle w:val="25"/>
      <w:tabs>
        <w:tab w:val="right" w:pos="9135"/>
        <w:tab w:val="clear" w:pos="8306"/>
      </w:tabs>
      <w:ind w:right="-6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AVfQY6kBAABCAwAADgAA&#10;AAAAAAABACAAAAAeAQAAZHJzL2Uyb0RvYy54bWxQSwUGAAAAAAYABgBZAQAAOQ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6480"/>
        <w:tab w:val="clear" w:pos="8306"/>
      </w:tabs>
      <w:jc w:val="both"/>
    </w:pPr>
    <w:r>
      <mc:AlternateContent>
        <mc:Choice Requires="wps">
          <w:drawing>
            <wp:anchor distT="0" distB="0" distL="114300" distR="114300" simplePos="0" relativeHeight="251666432" behindDoc="0" locked="0" layoutInCell="1" allowOverlap="1">
              <wp:simplePos x="0" y="0"/>
              <wp:positionH relativeFrom="margin">
                <wp:posOffset>2427605</wp:posOffset>
              </wp:positionH>
              <wp:positionV relativeFrom="paragraph">
                <wp:posOffset>-76200</wp:posOffset>
              </wp:positionV>
              <wp:extent cx="1828800" cy="1828800"/>
              <wp:effectExtent l="0" t="0" r="0" b="0"/>
              <wp:wrapNone/>
              <wp:docPr id="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 xml:space="preserve"> </w:t>
                          </w:r>
                          <w:r>
                            <w:t xml:space="preserve">共 </w:t>
                          </w:r>
                          <w:r>
                            <w:fldChar w:fldCharType="begin"/>
                          </w:r>
                          <w:r>
                            <w:instrText xml:space="preserve"> NUMPAGES  \* MERGEFORMAT </w:instrText>
                          </w:r>
                          <w:r>
                            <w:fldChar w:fldCharType="separate"/>
                          </w:r>
                          <w:r>
                            <w:t>68</w:t>
                          </w:r>
                          <w:r>
                            <w:fldChar w:fldCharType="end"/>
                          </w:r>
                          <w:r>
                            <w:t xml:space="preserve"> 页</w:t>
                          </w:r>
                        </w:p>
                      </w:txbxContent>
                    </wps:txbx>
                    <wps:bodyPr wrap="none" lIns="0" tIns="0" rIns="0" bIns="0">
                      <a:spAutoFit/>
                    </wps:bodyPr>
                  </wps:wsp>
                </a:graphicData>
              </a:graphic>
            </wp:anchor>
          </w:drawing>
        </mc:Choice>
        <mc:Fallback>
          <w:pict>
            <v:shape id="文本框 1031" o:spid="_x0000_s1026" o:spt="202" type="#_x0000_t202" style="position:absolute;left:0pt;margin-left:191.15pt;margin-top:-6pt;height:144pt;width:144pt;mso-position-horizontal-relative:margin;mso-wrap-style:none;z-index:251666432;mso-width-relative:page;mso-height-relative:page;" filled="f" stroked="f" coordsize="21600,21600" o:gfxdata="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FdIg2gAAAAsBAAAPAAAAAAAAAAEAIAAAACIAAABkcnMvZG93bnJldi54bWxQSwECFAAUAAAA&#10;CACHTuJApMtclbMBAABMAwAADgAAAAAAAAABACAAAAApAQAAZHJzL2Uyb0RvYy54bWxQSwUGAAAA&#10;AAYABgBZAQAATgUAAAAA&#10;">
              <v:fill on="f" focussize="0,0"/>
              <v:stroke on="f" weight="1.25pt"/>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t>1</w:t>
                    </w:r>
                    <w:r>
                      <w:fldChar w:fldCharType="end"/>
                    </w:r>
                    <w:r>
                      <w:t xml:space="preserve"> 页</w:t>
                    </w:r>
                    <w:r>
                      <w:rPr>
                        <w:rFonts w:hint="eastAsia"/>
                      </w:rPr>
                      <w:t xml:space="preserve"> </w:t>
                    </w:r>
                    <w:r>
                      <w:t xml:space="preserve">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rPr>
      <w:t xml:space="preserve">                                                     </w:t>
    </w:r>
    <w:r>
      <mc:AlternateContent>
        <mc:Choice Requires="wps">
          <w:drawing>
            <wp:anchor distT="0" distB="0" distL="114300" distR="114300" simplePos="0" relativeHeight="25166540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540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QC4YnUAAAACAEA&#10;AA8AAAAAAAAAAQAgAAAAIgAAAGRycy9kb3ducmV2LnhtbFBLAQIUABQAAAAIAIdO4kBN0LiPrAEA&#10;AE8DAAAOAAAAAAAAAAEAIAAAACMBAABkcnMvZTJvRG9jLnhtbFBLBQYAAAAABgAGAFkBAABBBQAA&#10;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QC4YnUAAAACAEA&#10;AA8AAAAAAAAAAQAgAAAAIgAAAGRycy9kb3ducmV2LnhtbFBLAQIUABQAAAAIAIdO4kCLB909rAEA&#10;AE8DAAAOAAAAAAAAAAEAIAAAACMBAABkcnMvZTJvRG9jLnhtbFBLBQYAAAAABgAGAFkBAABBBQAA&#10;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QC4YnUAAAACAEA&#10;AA8AAAAAAAAAAQAgAAAAIgAAAGRycy9kb3ducmV2LnhtbFBLAQIUABQAAAAIAIdO4kCAeQIwrAEA&#10;AE8DAAAOAAAAAAAAAAEAIAAAACMBAABkcnMvZTJvRG9jLnhtbFBLBQYAAAAABgAGAFkBAABBBQAA&#10;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2948305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32.15pt;margin-top:0pt;height:144pt;width:144pt;mso-position-horizontal-relative:margin;mso-wrap-style:none;z-index:251661312;mso-width-relative:page;mso-height-relative:page;" filled="f" stroked="f" coordsize="21600,21600" o:gfxdata="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jwXT7UAAAACAEA&#10;AA8AAAAAAAAAAQAgAAAAIgAAAGRycy9kb3ducmV2LnhtbFBLAQIUABQAAAAIAIdO4kBGrmeCrAEA&#10;AE8DAAAOAAAAAAAAAAEAIAAAACMBAABkcnMvZTJvRG9jLnhtbFBLBQYAAAAABgAGAFkBAABBBQAA&#10;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rPr>
      <w:tab/>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TVIuunAQAAPwMAAA4AAAAA&#10;AAAAAQAgAAAAHgEAAGRycy9lMm9Eb2MueG1sUEsFBgAAAAAGAAYAWQEAAD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KaDgG+qAQAAQgMAAA4A&#10;AAAAAAAAAQAgAAAAHgEAAGRycy9lMm9Eb2MueG1sUEsFBgAAAAAGAAYAWQEAADo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cs="宋体"/>
      </w:rPr>
    </w:pPr>
    <w:r>
      <w:rPr>
        <w:rFonts w:hint="eastAsia" w:ascii="宋体" w:hAnsi="宋体" w:cs="宋体"/>
      </w:rPr>
      <w:t>项目编号：SSJY-CG（G）-2022008                              潼关县教育科技局岳渎小学信息化建设项目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rFonts w:ascii="宋体"/>
        <w:b/>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cs="宋体"/>
        <w:b/>
        <w:bCs/>
        <w:iCs/>
      </w:rPr>
    </w:pPr>
    <w:r>
      <w:rPr>
        <w:rFonts w:hint="eastAsia" w:ascii="宋体" w:hAnsi="宋体" w:cs="宋体"/>
      </w:rPr>
      <w:t>项目编号：SSJY-CG（G）-2022008                               潼关县教育科技局岳渎小学信息化建设项目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ascii="宋体" w:hAnsi="宋体" w:cs="宋体"/>
      </w:rPr>
      <w:t>项目编号：SSJY-CG（G）-2022008                               潼关县教育科技局岳渎小学信息化建设项目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80" w:firstLineChars="100"/>
      <w:jc w:val="both"/>
      <w:rPr>
        <w:rFonts w:ascii="仿宋" w:hAnsi="仿宋" w:eastAsia="仿宋"/>
        <w:b/>
        <w:bCs/>
        <w:iCs/>
      </w:rPr>
    </w:pPr>
    <w:r>
      <w:rPr>
        <w:rFonts w:hint="eastAsia" w:ascii="宋体" w:hAnsi="宋体" w:cs="宋体"/>
      </w:rPr>
      <w:t>项目编号：SSJY-CG（G）-2022008                            潼关县教育科技局岳渎小学信息化建设项目</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B36D4C"/>
    <w:multiLevelType w:val="singleLevel"/>
    <w:tmpl w:val="ABB36D4C"/>
    <w:lvl w:ilvl="0" w:tentative="0">
      <w:start w:val="1"/>
      <w:numFmt w:val="decimal"/>
      <w:suff w:val="nothing"/>
      <w:lvlText w:val="（%1）"/>
      <w:lvlJc w:val="left"/>
    </w:lvl>
  </w:abstractNum>
  <w:abstractNum w:abstractNumId="1">
    <w:nsid w:val="B807DD56"/>
    <w:multiLevelType w:val="singleLevel"/>
    <w:tmpl w:val="B807DD56"/>
    <w:lvl w:ilvl="0" w:tentative="0">
      <w:start w:val="1"/>
      <w:numFmt w:val="decimal"/>
      <w:suff w:val="nothing"/>
      <w:lvlText w:val="%1、"/>
      <w:lvlJc w:val="left"/>
      <w:pPr>
        <w:ind w:left="210"/>
      </w:pPr>
    </w:lvl>
  </w:abstractNum>
  <w:abstractNum w:abstractNumId="2">
    <w:nsid w:val="D94435E6"/>
    <w:multiLevelType w:val="singleLevel"/>
    <w:tmpl w:val="D94435E6"/>
    <w:lvl w:ilvl="0" w:tentative="0">
      <w:start w:val="1"/>
      <w:numFmt w:val="decimal"/>
      <w:suff w:val="nothing"/>
      <w:lvlText w:val="%1、"/>
      <w:lvlJc w:val="left"/>
    </w:lvl>
  </w:abstractNum>
  <w:abstractNum w:abstractNumId="3">
    <w:nsid w:val="E407AC31"/>
    <w:multiLevelType w:val="singleLevel"/>
    <w:tmpl w:val="E407AC31"/>
    <w:lvl w:ilvl="0" w:tentative="0">
      <w:start w:val="3"/>
      <w:numFmt w:val="upperLetter"/>
      <w:suff w:val="nothing"/>
      <w:lvlText w:val="%1、"/>
      <w:lvlJc w:val="left"/>
    </w:lvl>
  </w:abstractNum>
  <w:abstractNum w:abstractNumId="4">
    <w:nsid w:val="FADF2A1F"/>
    <w:multiLevelType w:val="singleLevel"/>
    <w:tmpl w:val="FADF2A1F"/>
    <w:lvl w:ilvl="0" w:tentative="0">
      <w:start w:val="1"/>
      <w:numFmt w:val="decimal"/>
      <w:lvlText w:val="%1."/>
      <w:lvlJc w:val="left"/>
      <w:pPr>
        <w:tabs>
          <w:tab w:val="left" w:pos="312"/>
        </w:tabs>
      </w:pPr>
    </w:lvl>
  </w:abstractNum>
  <w:abstractNum w:abstractNumId="5">
    <w:nsid w:val="0053208E"/>
    <w:multiLevelType w:val="singleLevel"/>
    <w:tmpl w:val="0053208E"/>
    <w:lvl w:ilvl="0" w:tentative="0">
      <w:start w:val="1"/>
      <w:numFmt w:val="decimal"/>
      <w:lvlText w:val="%1、"/>
      <w:lvlJc w:val="left"/>
      <w:pPr>
        <w:ind w:left="420" w:hanging="420"/>
      </w:pPr>
      <w:rPr>
        <w:rFonts w:hint="default" w:ascii="宋体" w:hAnsi="宋体" w:eastAsia="宋体"/>
        <w:bCs/>
      </w:rPr>
    </w:lvl>
  </w:abstractNum>
  <w:abstractNum w:abstractNumId="6">
    <w:nsid w:val="2BA6A28D"/>
    <w:multiLevelType w:val="singleLevel"/>
    <w:tmpl w:val="2BA6A28D"/>
    <w:lvl w:ilvl="0" w:tentative="0">
      <w:start w:val="1"/>
      <w:numFmt w:val="decimal"/>
      <w:suff w:val="nothing"/>
      <w:lvlText w:val="%1、"/>
      <w:lvlJc w:val="left"/>
    </w:lvl>
  </w:abstractNum>
  <w:abstractNum w:abstractNumId="7">
    <w:nsid w:val="2CCCDFED"/>
    <w:multiLevelType w:val="singleLevel"/>
    <w:tmpl w:val="2CCCDFED"/>
    <w:lvl w:ilvl="0" w:tentative="0">
      <w:start w:val="1"/>
      <w:numFmt w:val="decimal"/>
      <w:suff w:val="nothing"/>
      <w:lvlText w:val="%1、"/>
      <w:lvlJc w:val="left"/>
    </w:lvl>
  </w:abstractNum>
  <w:abstractNum w:abstractNumId="8">
    <w:nsid w:val="4775D5B2"/>
    <w:multiLevelType w:val="singleLevel"/>
    <w:tmpl w:val="4775D5B2"/>
    <w:lvl w:ilvl="0" w:tentative="0">
      <w:start w:val="1"/>
      <w:numFmt w:val="decimal"/>
      <w:suff w:val="nothing"/>
      <w:lvlText w:val="（%1）"/>
      <w:lvlJc w:val="left"/>
    </w:lvl>
  </w:abstractNum>
  <w:abstractNum w:abstractNumId="9">
    <w:nsid w:val="56650600"/>
    <w:multiLevelType w:val="singleLevel"/>
    <w:tmpl w:val="56650600"/>
    <w:lvl w:ilvl="0" w:tentative="0">
      <w:start w:val="1"/>
      <w:numFmt w:val="decimal"/>
      <w:suff w:val="nothing"/>
      <w:lvlText w:val="%1、"/>
      <w:lvlJc w:val="left"/>
    </w:lvl>
  </w:abstractNum>
  <w:abstractNum w:abstractNumId="10">
    <w:nsid w:val="59ADCABA"/>
    <w:multiLevelType w:val="singleLevel"/>
    <w:tmpl w:val="59ADCABA"/>
    <w:lvl w:ilvl="0" w:tentative="0">
      <w:start w:val="1"/>
      <w:numFmt w:val="decimal"/>
      <w:lvlText w:val="%1、"/>
      <w:lvlJc w:val="left"/>
      <w:pPr>
        <w:ind w:left="420" w:hanging="420"/>
      </w:pPr>
      <w:rPr>
        <w:rFonts w:hint="default" w:ascii="宋体" w:hAnsi="宋体" w:eastAsia="宋体"/>
        <w:bCs/>
      </w:rPr>
    </w:lvl>
  </w:abstractNum>
  <w:abstractNum w:abstractNumId="11">
    <w:nsid w:val="61C57EB4"/>
    <w:multiLevelType w:val="singleLevel"/>
    <w:tmpl w:val="61C57EB4"/>
    <w:lvl w:ilvl="0" w:tentative="0">
      <w:start w:val="2"/>
      <w:numFmt w:val="decimal"/>
      <w:suff w:val="nothing"/>
      <w:lvlText w:val="%1、"/>
      <w:lvlJc w:val="left"/>
    </w:lvl>
  </w:abstractNum>
  <w:abstractNum w:abstractNumId="12">
    <w:nsid w:val="721298DB"/>
    <w:multiLevelType w:val="singleLevel"/>
    <w:tmpl w:val="721298DB"/>
    <w:lvl w:ilvl="0" w:tentative="0">
      <w:start w:val="1"/>
      <w:numFmt w:val="decimal"/>
      <w:suff w:val="nothing"/>
      <w:lvlText w:val="%1、"/>
      <w:lvlJc w:val="left"/>
    </w:lvl>
  </w:abstractNum>
  <w:num w:numId="1">
    <w:abstractNumId w:val="0"/>
  </w:num>
  <w:num w:numId="2">
    <w:abstractNumId w:val="8"/>
  </w:num>
  <w:num w:numId="3">
    <w:abstractNumId w:val="1"/>
  </w:num>
  <w:num w:numId="4">
    <w:abstractNumId w:val="4"/>
  </w:num>
  <w:num w:numId="5">
    <w:abstractNumId w:val="7"/>
  </w:num>
  <w:num w:numId="6">
    <w:abstractNumId w:val="3"/>
  </w:num>
  <w:num w:numId="7">
    <w:abstractNumId w:val="11"/>
  </w:num>
  <w:num w:numId="8">
    <w:abstractNumId w:val="5"/>
  </w:num>
  <w:num w:numId="9">
    <w:abstractNumId w:val="10"/>
  </w:num>
  <w:num w:numId="10">
    <w:abstractNumId w:val="12"/>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NmFmNGE0MmRhNzY4N2EzYmQxNTgzN2FjZjg3NmQifQ=="/>
  </w:docVars>
  <w:rsids>
    <w:rsidRoot w:val="00AF7032"/>
    <w:rsid w:val="00002082"/>
    <w:rsid w:val="00002415"/>
    <w:rsid w:val="00005936"/>
    <w:rsid w:val="00005C9D"/>
    <w:rsid w:val="000072CF"/>
    <w:rsid w:val="00010847"/>
    <w:rsid w:val="00011C1D"/>
    <w:rsid w:val="00012265"/>
    <w:rsid w:val="000126E0"/>
    <w:rsid w:val="00015A2B"/>
    <w:rsid w:val="000169B2"/>
    <w:rsid w:val="00017B40"/>
    <w:rsid w:val="0002051E"/>
    <w:rsid w:val="000224F5"/>
    <w:rsid w:val="000246B1"/>
    <w:rsid w:val="00025AB7"/>
    <w:rsid w:val="00030A37"/>
    <w:rsid w:val="0003191A"/>
    <w:rsid w:val="00032033"/>
    <w:rsid w:val="000333D3"/>
    <w:rsid w:val="00035A02"/>
    <w:rsid w:val="00040727"/>
    <w:rsid w:val="00040B71"/>
    <w:rsid w:val="00041A78"/>
    <w:rsid w:val="0004320A"/>
    <w:rsid w:val="00043FD9"/>
    <w:rsid w:val="00044112"/>
    <w:rsid w:val="00045317"/>
    <w:rsid w:val="000459D4"/>
    <w:rsid w:val="00045BD4"/>
    <w:rsid w:val="000468ED"/>
    <w:rsid w:val="0004767C"/>
    <w:rsid w:val="000530F3"/>
    <w:rsid w:val="00053B9E"/>
    <w:rsid w:val="00055378"/>
    <w:rsid w:val="00055A76"/>
    <w:rsid w:val="00064E85"/>
    <w:rsid w:val="000671E1"/>
    <w:rsid w:val="00070C79"/>
    <w:rsid w:val="00071475"/>
    <w:rsid w:val="0007459A"/>
    <w:rsid w:val="00074C03"/>
    <w:rsid w:val="00075479"/>
    <w:rsid w:val="00077E8A"/>
    <w:rsid w:val="00082634"/>
    <w:rsid w:val="00083291"/>
    <w:rsid w:val="00083C78"/>
    <w:rsid w:val="00084442"/>
    <w:rsid w:val="0009325C"/>
    <w:rsid w:val="0009348E"/>
    <w:rsid w:val="00093572"/>
    <w:rsid w:val="00093A93"/>
    <w:rsid w:val="00095FC9"/>
    <w:rsid w:val="000A138F"/>
    <w:rsid w:val="000A1BAC"/>
    <w:rsid w:val="000A2B04"/>
    <w:rsid w:val="000A41EA"/>
    <w:rsid w:val="000A48D7"/>
    <w:rsid w:val="000A677E"/>
    <w:rsid w:val="000B0DDD"/>
    <w:rsid w:val="000B5D53"/>
    <w:rsid w:val="000B6887"/>
    <w:rsid w:val="000B724B"/>
    <w:rsid w:val="000C06B0"/>
    <w:rsid w:val="000C07E3"/>
    <w:rsid w:val="000C0D27"/>
    <w:rsid w:val="000C4415"/>
    <w:rsid w:val="000C5E84"/>
    <w:rsid w:val="000D3948"/>
    <w:rsid w:val="000D5DDA"/>
    <w:rsid w:val="000D6550"/>
    <w:rsid w:val="000D6BD8"/>
    <w:rsid w:val="000E2FFA"/>
    <w:rsid w:val="000E361A"/>
    <w:rsid w:val="000E3DC9"/>
    <w:rsid w:val="000E59FD"/>
    <w:rsid w:val="000E6228"/>
    <w:rsid w:val="000E6D2D"/>
    <w:rsid w:val="000E76E4"/>
    <w:rsid w:val="000F0D15"/>
    <w:rsid w:val="000F1D56"/>
    <w:rsid w:val="000F441B"/>
    <w:rsid w:val="000F6C6D"/>
    <w:rsid w:val="000F6EDE"/>
    <w:rsid w:val="000F72A8"/>
    <w:rsid w:val="001004B7"/>
    <w:rsid w:val="00102146"/>
    <w:rsid w:val="001035A1"/>
    <w:rsid w:val="00103B71"/>
    <w:rsid w:val="00103E26"/>
    <w:rsid w:val="00105186"/>
    <w:rsid w:val="00105A1D"/>
    <w:rsid w:val="00105ABF"/>
    <w:rsid w:val="001067C6"/>
    <w:rsid w:val="00106C53"/>
    <w:rsid w:val="001072D5"/>
    <w:rsid w:val="001105A6"/>
    <w:rsid w:val="00110A4F"/>
    <w:rsid w:val="0011202A"/>
    <w:rsid w:val="00113D2E"/>
    <w:rsid w:val="0011475D"/>
    <w:rsid w:val="00115266"/>
    <w:rsid w:val="001163E5"/>
    <w:rsid w:val="001213EB"/>
    <w:rsid w:val="0012297F"/>
    <w:rsid w:val="0012548F"/>
    <w:rsid w:val="001254A6"/>
    <w:rsid w:val="00126169"/>
    <w:rsid w:val="0012658C"/>
    <w:rsid w:val="001268BB"/>
    <w:rsid w:val="00134C63"/>
    <w:rsid w:val="00135A73"/>
    <w:rsid w:val="00136679"/>
    <w:rsid w:val="0013708B"/>
    <w:rsid w:val="001378FA"/>
    <w:rsid w:val="001405BE"/>
    <w:rsid w:val="0014192C"/>
    <w:rsid w:val="00141A55"/>
    <w:rsid w:val="00141C57"/>
    <w:rsid w:val="00141FF0"/>
    <w:rsid w:val="00143963"/>
    <w:rsid w:val="00144D56"/>
    <w:rsid w:val="001477D9"/>
    <w:rsid w:val="00150743"/>
    <w:rsid w:val="00152EAA"/>
    <w:rsid w:val="00153340"/>
    <w:rsid w:val="00154781"/>
    <w:rsid w:val="00154885"/>
    <w:rsid w:val="00154E32"/>
    <w:rsid w:val="00155883"/>
    <w:rsid w:val="00155A12"/>
    <w:rsid w:val="001560DB"/>
    <w:rsid w:val="00157555"/>
    <w:rsid w:val="001615C5"/>
    <w:rsid w:val="00163CB7"/>
    <w:rsid w:val="00163DAC"/>
    <w:rsid w:val="00165D7C"/>
    <w:rsid w:val="00166581"/>
    <w:rsid w:val="00166874"/>
    <w:rsid w:val="00170DEA"/>
    <w:rsid w:val="00170E44"/>
    <w:rsid w:val="00171185"/>
    <w:rsid w:val="001714A6"/>
    <w:rsid w:val="001721BB"/>
    <w:rsid w:val="001726A8"/>
    <w:rsid w:val="00173436"/>
    <w:rsid w:val="00173664"/>
    <w:rsid w:val="001744BE"/>
    <w:rsid w:val="0017467F"/>
    <w:rsid w:val="00177672"/>
    <w:rsid w:val="00181543"/>
    <w:rsid w:val="00183D46"/>
    <w:rsid w:val="0018405A"/>
    <w:rsid w:val="00186867"/>
    <w:rsid w:val="00186BB2"/>
    <w:rsid w:val="001900C9"/>
    <w:rsid w:val="001920AB"/>
    <w:rsid w:val="0019280B"/>
    <w:rsid w:val="00195BC5"/>
    <w:rsid w:val="001A4555"/>
    <w:rsid w:val="001A5EB8"/>
    <w:rsid w:val="001A7A12"/>
    <w:rsid w:val="001B04F5"/>
    <w:rsid w:val="001B15C5"/>
    <w:rsid w:val="001B35E2"/>
    <w:rsid w:val="001B377D"/>
    <w:rsid w:val="001B4584"/>
    <w:rsid w:val="001B45ED"/>
    <w:rsid w:val="001B4E18"/>
    <w:rsid w:val="001B56E5"/>
    <w:rsid w:val="001B7387"/>
    <w:rsid w:val="001C1E52"/>
    <w:rsid w:val="001C2365"/>
    <w:rsid w:val="001C2A9C"/>
    <w:rsid w:val="001C43E7"/>
    <w:rsid w:val="001C4D04"/>
    <w:rsid w:val="001C6156"/>
    <w:rsid w:val="001C66A2"/>
    <w:rsid w:val="001D204D"/>
    <w:rsid w:val="001D5F0D"/>
    <w:rsid w:val="001D64A0"/>
    <w:rsid w:val="001D6D11"/>
    <w:rsid w:val="001D72AB"/>
    <w:rsid w:val="001E0640"/>
    <w:rsid w:val="001E0784"/>
    <w:rsid w:val="001E1D5E"/>
    <w:rsid w:val="001E3E03"/>
    <w:rsid w:val="001E3EF8"/>
    <w:rsid w:val="001E456B"/>
    <w:rsid w:val="001E4B10"/>
    <w:rsid w:val="001F07D0"/>
    <w:rsid w:val="001F082A"/>
    <w:rsid w:val="001F0913"/>
    <w:rsid w:val="001F0CA9"/>
    <w:rsid w:val="001F3D73"/>
    <w:rsid w:val="001F5855"/>
    <w:rsid w:val="001F6CB3"/>
    <w:rsid w:val="00201148"/>
    <w:rsid w:val="00202413"/>
    <w:rsid w:val="00203E84"/>
    <w:rsid w:val="002040BE"/>
    <w:rsid w:val="00205BFA"/>
    <w:rsid w:val="0020729D"/>
    <w:rsid w:val="00207B01"/>
    <w:rsid w:val="002110B4"/>
    <w:rsid w:val="002114D1"/>
    <w:rsid w:val="00211D96"/>
    <w:rsid w:val="00217065"/>
    <w:rsid w:val="0021747B"/>
    <w:rsid w:val="00221F84"/>
    <w:rsid w:val="00223601"/>
    <w:rsid w:val="002252DC"/>
    <w:rsid w:val="00227C56"/>
    <w:rsid w:val="0023030C"/>
    <w:rsid w:val="0023048D"/>
    <w:rsid w:val="00230B14"/>
    <w:rsid w:val="0023396B"/>
    <w:rsid w:val="00234950"/>
    <w:rsid w:val="0023569D"/>
    <w:rsid w:val="00236DE4"/>
    <w:rsid w:val="002427BB"/>
    <w:rsid w:val="002430B3"/>
    <w:rsid w:val="0024320F"/>
    <w:rsid w:val="002437D2"/>
    <w:rsid w:val="002451B8"/>
    <w:rsid w:val="002467D6"/>
    <w:rsid w:val="00250413"/>
    <w:rsid w:val="0025138E"/>
    <w:rsid w:val="00253A2F"/>
    <w:rsid w:val="0025491A"/>
    <w:rsid w:val="002552A8"/>
    <w:rsid w:val="00255643"/>
    <w:rsid w:val="00256CA1"/>
    <w:rsid w:val="00256EE9"/>
    <w:rsid w:val="00256FF8"/>
    <w:rsid w:val="00260761"/>
    <w:rsid w:val="002608C1"/>
    <w:rsid w:val="00260F58"/>
    <w:rsid w:val="002626FB"/>
    <w:rsid w:val="002630E7"/>
    <w:rsid w:val="002637BE"/>
    <w:rsid w:val="00264377"/>
    <w:rsid w:val="0026651C"/>
    <w:rsid w:val="00266EDB"/>
    <w:rsid w:val="002670EF"/>
    <w:rsid w:val="00267768"/>
    <w:rsid w:val="00267DE8"/>
    <w:rsid w:val="00270243"/>
    <w:rsid w:val="00270763"/>
    <w:rsid w:val="002722E8"/>
    <w:rsid w:val="002742B6"/>
    <w:rsid w:val="0027517B"/>
    <w:rsid w:val="00275DB6"/>
    <w:rsid w:val="00277227"/>
    <w:rsid w:val="002775B4"/>
    <w:rsid w:val="0027781D"/>
    <w:rsid w:val="002779FF"/>
    <w:rsid w:val="00281921"/>
    <w:rsid w:val="00283837"/>
    <w:rsid w:val="0028537E"/>
    <w:rsid w:val="0028547F"/>
    <w:rsid w:val="0028691C"/>
    <w:rsid w:val="00291EE5"/>
    <w:rsid w:val="00294B5D"/>
    <w:rsid w:val="00295C0B"/>
    <w:rsid w:val="002A135F"/>
    <w:rsid w:val="002A1A17"/>
    <w:rsid w:val="002A1F94"/>
    <w:rsid w:val="002A26F0"/>
    <w:rsid w:val="002A48E1"/>
    <w:rsid w:val="002A5A8E"/>
    <w:rsid w:val="002A7770"/>
    <w:rsid w:val="002B0704"/>
    <w:rsid w:val="002B1C26"/>
    <w:rsid w:val="002B215D"/>
    <w:rsid w:val="002B433F"/>
    <w:rsid w:val="002B5708"/>
    <w:rsid w:val="002C2B5B"/>
    <w:rsid w:val="002C3CF1"/>
    <w:rsid w:val="002C412E"/>
    <w:rsid w:val="002C587F"/>
    <w:rsid w:val="002C72E2"/>
    <w:rsid w:val="002D101E"/>
    <w:rsid w:val="002D1744"/>
    <w:rsid w:val="002D25D7"/>
    <w:rsid w:val="002D2DC4"/>
    <w:rsid w:val="002D3376"/>
    <w:rsid w:val="002D3C31"/>
    <w:rsid w:val="002D6432"/>
    <w:rsid w:val="002D64D9"/>
    <w:rsid w:val="002E0586"/>
    <w:rsid w:val="002E1258"/>
    <w:rsid w:val="002E30BB"/>
    <w:rsid w:val="002E33CC"/>
    <w:rsid w:val="002E388A"/>
    <w:rsid w:val="002E4F44"/>
    <w:rsid w:val="002E4FC1"/>
    <w:rsid w:val="002E6F47"/>
    <w:rsid w:val="002F27B9"/>
    <w:rsid w:val="002F48FF"/>
    <w:rsid w:val="00302C50"/>
    <w:rsid w:val="003039C4"/>
    <w:rsid w:val="00303B84"/>
    <w:rsid w:val="00303DA7"/>
    <w:rsid w:val="003044B5"/>
    <w:rsid w:val="00304CFB"/>
    <w:rsid w:val="003074CF"/>
    <w:rsid w:val="00307529"/>
    <w:rsid w:val="00311931"/>
    <w:rsid w:val="00311A32"/>
    <w:rsid w:val="00315645"/>
    <w:rsid w:val="00317F13"/>
    <w:rsid w:val="00321D3B"/>
    <w:rsid w:val="00323212"/>
    <w:rsid w:val="003236EA"/>
    <w:rsid w:val="00323D53"/>
    <w:rsid w:val="003243B7"/>
    <w:rsid w:val="00324A81"/>
    <w:rsid w:val="00324C9F"/>
    <w:rsid w:val="00331F40"/>
    <w:rsid w:val="0033248E"/>
    <w:rsid w:val="003324EB"/>
    <w:rsid w:val="00332F45"/>
    <w:rsid w:val="00333F98"/>
    <w:rsid w:val="003340C6"/>
    <w:rsid w:val="00335141"/>
    <w:rsid w:val="00335C1C"/>
    <w:rsid w:val="003405B4"/>
    <w:rsid w:val="003412F6"/>
    <w:rsid w:val="00344DF7"/>
    <w:rsid w:val="00344E5F"/>
    <w:rsid w:val="003503B2"/>
    <w:rsid w:val="003505FC"/>
    <w:rsid w:val="00350814"/>
    <w:rsid w:val="003534C3"/>
    <w:rsid w:val="0035393A"/>
    <w:rsid w:val="00353CD1"/>
    <w:rsid w:val="00356A62"/>
    <w:rsid w:val="00356BF7"/>
    <w:rsid w:val="00360E0C"/>
    <w:rsid w:val="003624DB"/>
    <w:rsid w:val="00362A4B"/>
    <w:rsid w:val="003640D3"/>
    <w:rsid w:val="00364411"/>
    <w:rsid w:val="0036462B"/>
    <w:rsid w:val="0036717A"/>
    <w:rsid w:val="00367937"/>
    <w:rsid w:val="003712EB"/>
    <w:rsid w:val="003729CC"/>
    <w:rsid w:val="00372B57"/>
    <w:rsid w:val="003735D4"/>
    <w:rsid w:val="003735E0"/>
    <w:rsid w:val="00373DF9"/>
    <w:rsid w:val="0037424E"/>
    <w:rsid w:val="00374B72"/>
    <w:rsid w:val="00375CEA"/>
    <w:rsid w:val="00376CB8"/>
    <w:rsid w:val="0037701C"/>
    <w:rsid w:val="00377356"/>
    <w:rsid w:val="00381736"/>
    <w:rsid w:val="00382796"/>
    <w:rsid w:val="00383EAF"/>
    <w:rsid w:val="003840BD"/>
    <w:rsid w:val="003841CA"/>
    <w:rsid w:val="00384514"/>
    <w:rsid w:val="00384996"/>
    <w:rsid w:val="00384CC9"/>
    <w:rsid w:val="00387BB9"/>
    <w:rsid w:val="00387C8B"/>
    <w:rsid w:val="00391469"/>
    <w:rsid w:val="00392427"/>
    <w:rsid w:val="003928BC"/>
    <w:rsid w:val="0039370A"/>
    <w:rsid w:val="0039407E"/>
    <w:rsid w:val="00394BEF"/>
    <w:rsid w:val="00395B68"/>
    <w:rsid w:val="00396437"/>
    <w:rsid w:val="00396D7C"/>
    <w:rsid w:val="003A035C"/>
    <w:rsid w:val="003A1594"/>
    <w:rsid w:val="003A229B"/>
    <w:rsid w:val="003A4942"/>
    <w:rsid w:val="003A632F"/>
    <w:rsid w:val="003A69BE"/>
    <w:rsid w:val="003B08CF"/>
    <w:rsid w:val="003B212A"/>
    <w:rsid w:val="003B3871"/>
    <w:rsid w:val="003B5EFD"/>
    <w:rsid w:val="003B714C"/>
    <w:rsid w:val="003C083B"/>
    <w:rsid w:val="003C314A"/>
    <w:rsid w:val="003C3DF8"/>
    <w:rsid w:val="003C3E18"/>
    <w:rsid w:val="003C4F16"/>
    <w:rsid w:val="003D0954"/>
    <w:rsid w:val="003D1FD9"/>
    <w:rsid w:val="003D292A"/>
    <w:rsid w:val="003D2A24"/>
    <w:rsid w:val="003D2A81"/>
    <w:rsid w:val="003D4A34"/>
    <w:rsid w:val="003D56AA"/>
    <w:rsid w:val="003D58DC"/>
    <w:rsid w:val="003D6281"/>
    <w:rsid w:val="003E0030"/>
    <w:rsid w:val="003E0200"/>
    <w:rsid w:val="003E0220"/>
    <w:rsid w:val="003E0847"/>
    <w:rsid w:val="003E0C0F"/>
    <w:rsid w:val="003E3186"/>
    <w:rsid w:val="003E3E5F"/>
    <w:rsid w:val="003E46D1"/>
    <w:rsid w:val="003E7798"/>
    <w:rsid w:val="003F04DD"/>
    <w:rsid w:val="003F09FC"/>
    <w:rsid w:val="003F1B20"/>
    <w:rsid w:val="003F1BC3"/>
    <w:rsid w:val="003F23C8"/>
    <w:rsid w:val="003F465F"/>
    <w:rsid w:val="004035AC"/>
    <w:rsid w:val="00406E67"/>
    <w:rsid w:val="0040756D"/>
    <w:rsid w:val="00411CE5"/>
    <w:rsid w:val="00411D84"/>
    <w:rsid w:val="00412521"/>
    <w:rsid w:val="004132BF"/>
    <w:rsid w:val="004150B7"/>
    <w:rsid w:val="0041590C"/>
    <w:rsid w:val="004163DE"/>
    <w:rsid w:val="00425E73"/>
    <w:rsid w:val="004279DE"/>
    <w:rsid w:val="00427A8D"/>
    <w:rsid w:val="00431A22"/>
    <w:rsid w:val="00431AD1"/>
    <w:rsid w:val="00431F92"/>
    <w:rsid w:val="004332F3"/>
    <w:rsid w:val="00433768"/>
    <w:rsid w:val="00435065"/>
    <w:rsid w:val="00435286"/>
    <w:rsid w:val="00440D0D"/>
    <w:rsid w:val="004423D0"/>
    <w:rsid w:val="004462F7"/>
    <w:rsid w:val="00446E51"/>
    <w:rsid w:val="00447312"/>
    <w:rsid w:val="00447968"/>
    <w:rsid w:val="00447AFB"/>
    <w:rsid w:val="00452FC4"/>
    <w:rsid w:val="0045350F"/>
    <w:rsid w:val="00453D40"/>
    <w:rsid w:val="00455A99"/>
    <w:rsid w:val="00455CB3"/>
    <w:rsid w:val="00460D00"/>
    <w:rsid w:val="0046194D"/>
    <w:rsid w:val="00466857"/>
    <w:rsid w:val="00467125"/>
    <w:rsid w:val="00470730"/>
    <w:rsid w:val="00470843"/>
    <w:rsid w:val="00470E12"/>
    <w:rsid w:val="00471114"/>
    <w:rsid w:val="00471382"/>
    <w:rsid w:val="00472C0F"/>
    <w:rsid w:val="00474426"/>
    <w:rsid w:val="0047444C"/>
    <w:rsid w:val="0047449F"/>
    <w:rsid w:val="004745E2"/>
    <w:rsid w:val="004745ED"/>
    <w:rsid w:val="00475700"/>
    <w:rsid w:val="00475C50"/>
    <w:rsid w:val="00475E03"/>
    <w:rsid w:val="004764D6"/>
    <w:rsid w:val="00476E47"/>
    <w:rsid w:val="004770F5"/>
    <w:rsid w:val="0047760D"/>
    <w:rsid w:val="00477B49"/>
    <w:rsid w:val="00480295"/>
    <w:rsid w:val="00480610"/>
    <w:rsid w:val="00481416"/>
    <w:rsid w:val="0048144C"/>
    <w:rsid w:val="00491E9B"/>
    <w:rsid w:val="0049243F"/>
    <w:rsid w:val="0049284F"/>
    <w:rsid w:val="00492B9F"/>
    <w:rsid w:val="00493ADE"/>
    <w:rsid w:val="00493C05"/>
    <w:rsid w:val="00496347"/>
    <w:rsid w:val="00497C87"/>
    <w:rsid w:val="00497D09"/>
    <w:rsid w:val="004A043A"/>
    <w:rsid w:val="004A16AB"/>
    <w:rsid w:val="004A2D41"/>
    <w:rsid w:val="004A5412"/>
    <w:rsid w:val="004A57E0"/>
    <w:rsid w:val="004A629D"/>
    <w:rsid w:val="004B1732"/>
    <w:rsid w:val="004B396B"/>
    <w:rsid w:val="004B41C5"/>
    <w:rsid w:val="004B5ED3"/>
    <w:rsid w:val="004B65CF"/>
    <w:rsid w:val="004C008D"/>
    <w:rsid w:val="004C1D03"/>
    <w:rsid w:val="004C22F8"/>
    <w:rsid w:val="004C2759"/>
    <w:rsid w:val="004C43D2"/>
    <w:rsid w:val="004C5858"/>
    <w:rsid w:val="004C5F30"/>
    <w:rsid w:val="004D0E8B"/>
    <w:rsid w:val="004D1106"/>
    <w:rsid w:val="004D13ED"/>
    <w:rsid w:val="004D1E5A"/>
    <w:rsid w:val="004D2599"/>
    <w:rsid w:val="004D378F"/>
    <w:rsid w:val="004D5B0A"/>
    <w:rsid w:val="004E054A"/>
    <w:rsid w:val="004E0659"/>
    <w:rsid w:val="004E0804"/>
    <w:rsid w:val="004E158D"/>
    <w:rsid w:val="004E22C7"/>
    <w:rsid w:val="004E2CF6"/>
    <w:rsid w:val="004E2DE2"/>
    <w:rsid w:val="004E322A"/>
    <w:rsid w:val="004E33B4"/>
    <w:rsid w:val="004E67BF"/>
    <w:rsid w:val="004E67FA"/>
    <w:rsid w:val="004E68C9"/>
    <w:rsid w:val="004E784C"/>
    <w:rsid w:val="004E7BB3"/>
    <w:rsid w:val="004E7F44"/>
    <w:rsid w:val="004F0BC3"/>
    <w:rsid w:val="004F2C06"/>
    <w:rsid w:val="004F673F"/>
    <w:rsid w:val="00500F13"/>
    <w:rsid w:val="0050147E"/>
    <w:rsid w:val="00503A47"/>
    <w:rsid w:val="00504129"/>
    <w:rsid w:val="005047FE"/>
    <w:rsid w:val="00507B60"/>
    <w:rsid w:val="005117BF"/>
    <w:rsid w:val="00512F95"/>
    <w:rsid w:val="00513B00"/>
    <w:rsid w:val="00514427"/>
    <w:rsid w:val="005165D8"/>
    <w:rsid w:val="00517522"/>
    <w:rsid w:val="00517C5F"/>
    <w:rsid w:val="0052010E"/>
    <w:rsid w:val="0052123A"/>
    <w:rsid w:val="00522288"/>
    <w:rsid w:val="005224CD"/>
    <w:rsid w:val="005225E5"/>
    <w:rsid w:val="00523464"/>
    <w:rsid w:val="005239FC"/>
    <w:rsid w:val="00523FDB"/>
    <w:rsid w:val="005241AD"/>
    <w:rsid w:val="005244F4"/>
    <w:rsid w:val="0052781F"/>
    <w:rsid w:val="00530004"/>
    <w:rsid w:val="00530DC9"/>
    <w:rsid w:val="005328BF"/>
    <w:rsid w:val="005328E0"/>
    <w:rsid w:val="00533515"/>
    <w:rsid w:val="005348E1"/>
    <w:rsid w:val="00536980"/>
    <w:rsid w:val="005377A9"/>
    <w:rsid w:val="005405E3"/>
    <w:rsid w:val="0054070D"/>
    <w:rsid w:val="00540B99"/>
    <w:rsid w:val="00540B9D"/>
    <w:rsid w:val="005417D5"/>
    <w:rsid w:val="00542795"/>
    <w:rsid w:val="005431BF"/>
    <w:rsid w:val="005444BC"/>
    <w:rsid w:val="0054491F"/>
    <w:rsid w:val="00544DF5"/>
    <w:rsid w:val="0054734D"/>
    <w:rsid w:val="00550B80"/>
    <w:rsid w:val="005523CE"/>
    <w:rsid w:val="00553A9C"/>
    <w:rsid w:val="00555944"/>
    <w:rsid w:val="0055658D"/>
    <w:rsid w:val="00556655"/>
    <w:rsid w:val="00557550"/>
    <w:rsid w:val="005605F5"/>
    <w:rsid w:val="00561950"/>
    <w:rsid w:val="0056225D"/>
    <w:rsid w:val="005641C1"/>
    <w:rsid w:val="00565682"/>
    <w:rsid w:val="005669F0"/>
    <w:rsid w:val="00567E42"/>
    <w:rsid w:val="005706D9"/>
    <w:rsid w:val="0057125D"/>
    <w:rsid w:val="005732F7"/>
    <w:rsid w:val="0057354B"/>
    <w:rsid w:val="005739C3"/>
    <w:rsid w:val="00573E6A"/>
    <w:rsid w:val="005748E0"/>
    <w:rsid w:val="00576B34"/>
    <w:rsid w:val="005774A7"/>
    <w:rsid w:val="00581E85"/>
    <w:rsid w:val="00582116"/>
    <w:rsid w:val="00582CB2"/>
    <w:rsid w:val="005846FE"/>
    <w:rsid w:val="00584831"/>
    <w:rsid w:val="00584D47"/>
    <w:rsid w:val="00584D94"/>
    <w:rsid w:val="005855BF"/>
    <w:rsid w:val="005859F8"/>
    <w:rsid w:val="0058716E"/>
    <w:rsid w:val="005877E2"/>
    <w:rsid w:val="00587DB6"/>
    <w:rsid w:val="005903F5"/>
    <w:rsid w:val="00592347"/>
    <w:rsid w:val="0059380C"/>
    <w:rsid w:val="00595B75"/>
    <w:rsid w:val="00597F9A"/>
    <w:rsid w:val="005A1429"/>
    <w:rsid w:val="005A35DF"/>
    <w:rsid w:val="005A609B"/>
    <w:rsid w:val="005A6E6F"/>
    <w:rsid w:val="005B106C"/>
    <w:rsid w:val="005B26A3"/>
    <w:rsid w:val="005B275F"/>
    <w:rsid w:val="005B5F24"/>
    <w:rsid w:val="005B6A74"/>
    <w:rsid w:val="005C263D"/>
    <w:rsid w:val="005C305F"/>
    <w:rsid w:val="005C5F6A"/>
    <w:rsid w:val="005D112A"/>
    <w:rsid w:val="005D2084"/>
    <w:rsid w:val="005D2B81"/>
    <w:rsid w:val="005D2BA1"/>
    <w:rsid w:val="005D57AF"/>
    <w:rsid w:val="005D6535"/>
    <w:rsid w:val="005D6B43"/>
    <w:rsid w:val="005D6DC7"/>
    <w:rsid w:val="005E0246"/>
    <w:rsid w:val="005E32CB"/>
    <w:rsid w:val="005E3905"/>
    <w:rsid w:val="005E6610"/>
    <w:rsid w:val="005E73D2"/>
    <w:rsid w:val="005E7E54"/>
    <w:rsid w:val="005F1632"/>
    <w:rsid w:val="005F1B2A"/>
    <w:rsid w:val="005F333E"/>
    <w:rsid w:val="005F390A"/>
    <w:rsid w:val="005F63CA"/>
    <w:rsid w:val="005F6919"/>
    <w:rsid w:val="0060112D"/>
    <w:rsid w:val="00602891"/>
    <w:rsid w:val="00604F16"/>
    <w:rsid w:val="00606411"/>
    <w:rsid w:val="006113C1"/>
    <w:rsid w:val="006137F4"/>
    <w:rsid w:val="006138C1"/>
    <w:rsid w:val="006146C5"/>
    <w:rsid w:val="0061660D"/>
    <w:rsid w:val="0061773F"/>
    <w:rsid w:val="00620CE9"/>
    <w:rsid w:val="00623E70"/>
    <w:rsid w:val="00624945"/>
    <w:rsid w:val="006249F4"/>
    <w:rsid w:val="0062680D"/>
    <w:rsid w:val="00641552"/>
    <w:rsid w:val="006450EC"/>
    <w:rsid w:val="006472A6"/>
    <w:rsid w:val="00647880"/>
    <w:rsid w:val="006510D4"/>
    <w:rsid w:val="0065639F"/>
    <w:rsid w:val="00657CB1"/>
    <w:rsid w:val="0066023B"/>
    <w:rsid w:val="00660CE3"/>
    <w:rsid w:val="006614CA"/>
    <w:rsid w:val="00664032"/>
    <w:rsid w:val="006642FF"/>
    <w:rsid w:val="00673652"/>
    <w:rsid w:val="00675317"/>
    <w:rsid w:val="0067594E"/>
    <w:rsid w:val="00675E03"/>
    <w:rsid w:val="00676806"/>
    <w:rsid w:val="006774E4"/>
    <w:rsid w:val="00682727"/>
    <w:rsid w:val="00687191"/>
    <w:rsid w:val="00687E84"/>
    <w:rsid w:val="00690081"/>
    <w:rsid w:val="006900BF"/>
    <w:rsid w:val="0069117F"/>
    <w:rsid w:val="00691DA1"/>
    <w:rsid w:val="006929C0"/>
    <w:rsid w:val="006948DF"/>
    <w:rsid w:val="00694EEC"/>
    <w:rsid w:val="00696404"/>
    <w:rsid w:val="00697883"/>
    <w:rsid w:val="00697C01"/>
    <w:rsid w:val="006A1DD5"/>
    <w:rsid w:val="006A1EF4"/>
    <w:rsid w:val="006A223F"/>
    <w:rsid w:val="006A4020"/>
    <w:rsid w:val="006A6E58"/>
    <w:rsid w:val="006B0022"/>
    <w:rsid w:val="006B0E5A"/>
    <w:rsid w:val="006B38B4"/>
    <w:rsid w:val="006B4EF7"/>
    <w:rsid w:val="006C1A67"/>
    <w:rsid w:val="006C4BED"/>
    <w:rsid w:val="006C593B"/>
    <w:rsid w:val="006D0C57"/>
    <w:rsid w:val="006D3AAB"/>
    <w:rsid w:val="006D51A6"/>
    <w:rsid w:val="006E1140"/>
    <w:rsid w:val="006E1365"/>
    <w:rsid w:val="006E18D8"/>
    <w:rsid w:val="006E2BBF"/>
    <w:rsid w:val="006E3150"/>
    <w:rsid w:val="006E5FB3"/>
    <w:rsid w:val="006E5FDA"/>
    <w:rsid w:val="006E6359"/>
    <w:rsid w:val="006E6C23"/>
    <w:rsid w:val="006E7917"/>
    <w:rsid w:val="006F04E9"/>
    <w:rsid w:val="006F2175"/>
    <w:rsid w:val="006F2F95"/>
    <w:rsid w:val="006F3E16"/>
    <w:rsid w:val="006F630B"/>
    <w:rsid w:val="006F7C6E"/>
    <w:rsid w:val="0070050B"/>
    <w:rsid w:val="007012E6"/>
    <w:rsid w:val="00705BCF"/>
    <w:rsid w:val="00706E1D"/>
    <w:rsid w:val="00710635"/>
    <w:rsid w:val="00711DE4"/>
    <w:rsid w:val="007123C4"/>
    <w:rsid w:val="007159E8"/>
    <w:rsid w:val="00716EC6"/>
    <w:rsid w:val="00717540"/>
    <w:rsid w:val="007202C1"/>
    <w:rsid w:val="00720AE7"/>
    <w:rsid w:val="00721DB4"/>
    <w:rsid w:val="007221FC"/>
    <w:rsid w:val="00722332"/>
    <w:rsid w:val="00723E45"/>
    <w:rsid w:val="00725BBA"/>
    <w:rsid w:val="00726AAC"/>
    <w:rsid w:val="0073125C"/>
    <w:rsid w:val="0073360F"/>
    <w:rsid w:val="007356B1"/>
    <w:rsid w:val="00736051"/>
    <w:rsid w:val="0074085C"/>
    <w:rsid w:val="00741C13"/>
    <w:rsid w:val="0074366B"/>
    <w:rsid w:val="007437D2"/>
    <w:rsid w:val="0074500F"/>
    <w:rsid w:val="00745217"/>
    <w:rsid w:val="00746F98"/>
    <w:rsid w:val="00747739"/>
    <w:rsid w:val="00750707"/>
    <w:rsid w:val="00753BEE"/>
    <w:rsid w:val="0075586A"/>
    <w:rsid w:val="007561F1"/>
    <w:rsid w:val="00756FE2"/>
    <w:rsid w:val="00757012"/>
    <w:rsid w:val="007573A2"/>
    <w:rsid w:val="00757C7E"/>
    <w:rsid w:val="00757DAD"/>
    <w:rsid w:val="00764926"/>
    <w:rsid w:val="00764C65"/>
    <w:rsid w:val="00767B25"/>
    <w:rsid w:val="00771A04"/>
    <w:rsid w:val="0077369F"/>
    <w:rsid w:val="00773968"/>
    <w:rsid w:val="00774928"/>
    <w:rsid w:val="00774BA8"/>
    <w:rsid w:val="007750D1"/>
    <w:rsid w:val="00776176"/>
    <w:rsid w:val="00780533"/>
    <w:rsid w:val="00780C8B"/>
    <w:rsid w:val="00782A51"/>
    <w:rsid w:val="00782EBE"/>
    <w:rsid w:val="007859C5"/>
    <w:rsid w:val="007873D7"/>
    <w:rsid w:val="00790DD2"/>
    <w:rsid w:val="00791DB3"/>
    <w:rsid w:val="007927AA"/>
    <w:rsid w:val="00792DE2"/>
    <w:rsid w:val="00792E07"/>
    <w:rsid w:val="0079485E"/>
    <w:rsid w:val="00795C9D"/>
    <w:rsid w:val="00796A53"/>
    <w:rsid w:val="007A1D8D"/>
    <w:rsid w:val="007A522A"/>
    <w:rsid w:val="007A5ACD"/>
    <w:rsid w:val="007A61C6"/>
    <w:rsid w:val="007B048E"/>
    <w:rsid w:val="007B07E5"/>
    <w:rsid w:val="007B1F53"/>
    <w:rsid w:val="007B20DF"/>
    <w:rsid w:val="007B2D90"/>
    <w:rsid w:val="007B4A3D"/>
    <w:rsid w:val="007B6ADB"/>
    <w:rsid w:val="007B70CF"/>
    <w:rsid w:val="007B7EDD"/>
    <w:rsid w:val="007C0180"/>
    <w:rsid w:val="007C03C4"/>
    <w:rsid w:val="007C0F6E"/>
    <w:rsid w:val="007C131B"/>
    <w:rsid w:val="007C157C"/>
    <w:rsid w:val="007C32F2"/>
    <w:rsid w:val="007C39C0"/>
    <w:rsid w:val="007C4039"/>
    <w:rsid w:val="007C41F8"/>
    <w:rsid w:val="007C434D"/>
    <w:rsid w:val="007C4928"/>
    <w:rsid w:val="007C4BA8"/>
    <w:rsid w:val="007C5D3E"/>
    <w:rsid w:val="007C6C79"/>
    <w:rsid w:val="007C70B8"/>
    <w:rsid w:val="007C7710"/>
    <w:rsid w:val="007D07B6"/>
    <w:rsid w:val="007D0C40"/>
    <w:rsid w:val="007D1A4E"/>
    <w:rsid w:val="007D1B00"/>
    <w:rsid w:val="007D283D"/>
    <w:rsid w:val="007D2D85"/>
    <w:rsid w:val="007D30B8"/>
    <w:rsid w:val="007D34D2"/>
    <w:rsid w:val="007D48D3"/>
    <w:rsid w:val="007D6327"/>
    <w:rsid w:val="007E4281"/>
    <w:rsid w:val="007E4E49"/>
    <w:rsid w:val="007E4F85"/>
    <w:rsid w:val="007E5229"/>
    <w:rsid w:val="007E5CDC"/>
    <w:rsid w:val="007E5D75"/>
    <w:rsid w:val="007E5DBD"/>
    <w:rsid w:val="007E65EF"/>
    <w:rsid w:val="007E6C6C"/>
    <w:rsid w:val="007F0537"/>
    <w:rsid w:val="007F0CDE"/>
    <w:rsid w:val="007F1365"/>
    <w:rsid w:val="007F1A40"/>
    <w:rsid w:val="007F37AA"/>
    <w:rsid w:val="007F3B4B"/>
    <w:rsid w:val="007F450A"/>
    <w:rsid w:val="007F67D0"/>
    <w:rsid w:val="007F72D3"/>
    <w:rsid w:val="007F7FBC"/>
    <w:rsid w:val="00801186"/>
    <w:rsid w:val="0080144C"/>
    <w:rsid w:val="00801C3D"/>
    <w:rsid w:val="00802CFB"/>
    <w:rsid w:val="0080520F"/>
    <w:rsid w:val="0080610D"/>
    <w:rsid w:val="00807CF6"/>
    <w:rsid w:val="008108CB"/>
    <w:rsid w:val="00816590"/>
    <w:rsid w:val="00816F5E"/>
    <w:rsid w:val="0081752C"/>
    <w:rsid w:val="00820DCE"/>
    <w:rsid w:val="00820F5C"/>
    <w:rsid w:val="00826F9E"/>
    <w:rsid w:val="008270B0"/>
    <w:rsid w:val="008318EE"/>
    <w:rsid w:val="00832159"/>
    <w:rsid w:val="00834CE0"/>
    <w:rsid w:val="00834D0B"/>
    <w:rsid w:val="00834FB2"/>
    <w:rsid w:val="00837701"/>
    <w:rsid w:val="00837F27"/>
    <w:rsid w:val="00840463"/>
    <w:rsid w:val="00841FA6"/>
    <w:rsid w:val="00842365"/>
    <w:rsid w:val="00842512"/>
    <w:rsid w:val="0084283D"/>
    <w:rsid w:val="008434B8"/>
    <w:rsid w:val="008448C4"/>
    <w:rsid w:val="00846F2B"/>
    <w:rsid w:val="0084739C"/>
    <w:rsid w:val="00850EDB"/>
    <w:rsid w:val="00852C8A"/>
    <w:rsid w:val="008549E0"/>
    <w:rsid w:val="00854EFA"/>
    <w:rsid w:val="00856DFF"/>
    <w:rsid w:val="00860088"/>
    <w:rsid w:val="00860E16"/>
    <w:rsid w:val="008627FE"/>
    <w:rsid w:val="00862812"/>
    <w:rsid w:val="00865243"/>
    <w:rsid w:val="008666B9"/>
    <w:rsid w:val="00872B22"/>
    <w:rsid w:val="00874A7D"/>
    <w:rsid w:val="00874ABB"/>
    <w:rsid w:val="00874E6F"/>
    <w:rsid w:val="00875E29"/>
    <w:rsid w:val="0088521A"/>
    <w:rsid w:val="008858C1"/>
    <w:rsid w:val="00885ECF"/>
    <w:rsid w:val="00886014"/>
    <w:rsid w:val="00887E2E"/>
    <w:rsid w:val="00890184"/>
    <w:rsid w:val="00890404"/>
    <w:rsid w:val="00890869"/>
    <w:rsid w:val="00890C43"/>
    <w:rsid w:val="00890CE3"/>
    <w:rsid w:val="00890F6C"/>
    <w:rsid w:val="00893040"/>
    <w:rsid w:val="00893C47"/>
    <w:rsid w:val="00894E1F"/>
    <w:rsid w:val="00895C64"/>
    <w:rsid w:val="00895F6F"/>
    <w:rsid w:val="0089634B"/>
    <w:rsid w:val="00897279"/>
    <w:rsid w:val="008A08AA"/>
    <w:rsid w:val="008A0BCB"/>
    <w:rsid w:val="008A146C"/>
    <w:rsid w:val="008A28C5"/>
    <w:rsid w:val="008A3219"/>
    <w:rsid w:val="008A33F5"/>
    <w:rsid w:val="008A4028"/>
    <w:rsid w:val="008A6439"/>
    <w:rsid w:val="008A6C41"/>
    <w:rsid w:val="008B06AF"/>
    <w:rsid w:val="008B1904"/>
    <w:rsid w:val="008B422F"/>
    <w:rsid w:val="008B4A84"/>
    <w:rsid w:val="008B4BC8"/>
    <w:rsid w:val="008B5028"/>
    <w:rsid w:val="008B54BE"/>
    <w:rsid w:val="008B5FFC"/>
    <w:rsid w:val="008B6689"/>
    <w:rsid w:val="008B717A"/>
    <w:rsid w:val="008C2381"/>
    <w:rsid w:val="008C276D"/>
    <w:rsid w:val="008C30AB"/>
    <w:rsid w:val="008C360E"/>
    <w:rsid w:val="008C3CA0"/>
    <w:rsid w:val="008C3EBC"/>
    <w:rsid w:val="008C476E"/>
    <w:rsid w:val="008C6083"/>
    <w:rsid w:val="008C766B"/>
    <w:rsid w:val="008C7E8D"/>
    <w:rsid w:val="008D0504"/>
    <w:rsid w:val="008D1984"/>
    <w:rsid w:val="008D2202"/>
    <w:rsid w:val="008D57E7"/>
    <w:rsid w:val="008D5974"/>
    <w:rsid w:val="008D5FDB"/>
    <w:rsid w:val="008D7BE6"/>
    <w:rsid w:val="008E15BC"/>
    <w:rsid w:val="008E27EE"/>
    <w:rsid w:val="008E4095"/>
    <w:rsid w:val="008E41AC"/>
    <w:rsid w:val="008E597F"/>
    <w:rsid w:val="008E624B"/>
    <w:rsid w:val="008F14DB"/>
    <w:rsid w:val="008F4994"/>
    <w:rsid w:val="008F4E99"/>
    <w:rsid w:val="008F5C53"/>
    <w:rsid w:val="008F6212"/>
    <w:rsid w:val="009059F7"/>
    <w:rsid w:val="009074EB"/>
    <w:rsid w:val="00911AD1"/>
    <w:rsid w:val="00911D51"/>
    <w:rsid w:val="00912A4B"/>
    <w:rsid w:val="0091302C"/>
    <w:rsid w:val="0091455F"/>
    <w:rsid w:val="00914CB0"/>
    <w:rsid w:val="009172D4"/>
    <w:rsid w:val="009210FF"/>
    <w:rsid w:val="0092174A"/>
    <w:rsid w:val="00921BD9"/>
    <w:rsid w:val="00922029"/>
    <w:rsid w:val="009250A4"/>
    <w:rsid w:val="00926463"/>
    <w:rsid w:val="00926BBB"/>
    <w:rsid w:val="00927D2B"/>
    <w:rsid w:val="0093022D"/>
    <w:rsid w:val="009304ED"/>
    <w:rsid w:val="00931F47"/>
    <w:rsid w:val="00932315"/>
    <w:rsid w:val="00933813"/>
    <w:rsid w:val="009362CB"/>
    <w:rsid w:val="009368DE"/>
    <w:rsid w:val="00936D0A"/>
    <w:rsid w:val="009371FE"/>
    <w:rsid w:val="009379C9"/>
    <w:rsid w:val="009404AE"/>
    <w:rsid w:val="00943B36"/>
    <w:rsid w:val="0094443E"/>
    <w:rsid w:val="00945221"/>
    <w:rsid w:val="00952591"/>
    <w:rsid w:val="00952812"/>
    <w:rsid w:val="00953B40"/>
    <w:rsid w:val="00953E2B"/>
    <w:rsid w:val="00960E82"/>
    <w:rsid w:val="009610D8"/>
    <w:rsid w:val="009624B8"/>
    <w:rsid w:val="00963F7E"/>
    <w:rsid w:val="00967F77"/>
    <w:rsid w:val="00970211"/>
    <w:rsid w:val="009707AB"/>
    <w:rsid w:val="009714B0"/>
    <w:rsid w:val="00971814"/>
    <w:rsid w:val="00973F37"/>
    <w:rsid w:val="0097453C"/>
    <w:rsid w:val="00975076"/>
    <w:rsid w:val="00976E25"/>
    <w:rsid w:val="00977BC8"/>
    <w:rsid w:val="00977C90"/>
    <w:rsid w:val="0098118A"/>
    <w:rsid w:val="00982062"/>
    <w:rsid w:val="0098237C"/>
    <w:rsid w:val="00982CBD"/>
    <w:rsid w:val="00982DE2"/>
    <w:rsid w:val="00982F9F"/>
    <w:rsid w:val="00983EFD"/>
    <w:rsid w:val="00983FFD"/>
    <w:rsid w:val="00985AEC"/>
    <w:rsid w:val="00991E86"/>
    <w:rsid w:val="00992A06"/>
    <w:rsid w:val="009959F7"/>
    <w:rsid w:val="0099620C"/>
    <w:rsid w:val="0099732B"/>
    <w:rsid w:val="009A1C6A"/>
    <w:rsid w:val="009A3A17"/>
    <w:rsid w:val="009A3BC7"/>
    <w:rsid w:val="009A408E"/>
    <w:rsid w:val="009A5EAF"/>
    <w:rsid w:val="009A65C8"/>
    <w:rsid w:val="009B0538"/>
    <w:rsid w:val="009B2281"/>
    <w:rsid w:val="009B22A2"/>
    <w:rsid w:val="009B23EF"/>
    <w:rsid w:val="009B24C8"/>
    <w:rsid w:val="009B5127"/>
    <w:rsid w:val="009B744E"/>
    <w:rsid w:val="009C19A1"/>
    <w:rsid w:val="009C1D04"/>
    <w:rsid w:val="009C49EA"/>
    <w:rsid w:val="009C4B9C"/>
    <w:rsid w:val="009D0709"/>
    <w:rsid w:val="009D0B04"/>
    <w:rsid w:val="009D15AB"/>
    <w:rsid w:val="009D2048"/>
    <w:rsid w:val="009D20BA"/>
    <w:rsid w:val="009D21FE"/>
    <w:rsid w:val="009D246D"/>
    <w:rsid w:val="009D332E"/>
    <w:rsid w:val="009D3BFF"/>
    <w:rsid w:val="009D3DD0"/>
    <w:rsid w:val="009D4F41"/>
    <w:rsid w:val="009D51A3"/>
    <w:rsid w:val="009D5B57"/>
    <w:rsid w:val="009D7EF5"/>
    <w:rsid w:val="009E1398"/>
    <w:rsid w:val="009E1A15"/>
    <w:rsid w:val="009E1D53"/>
    <w:rsid w:val="009E2187"/>
    <w:rsid w:val="009E2785"/>
    <w:rsid w:val="009E31C0"/>
    <w:rsid w:val="009E32D2"/>
    <w:rsid w:val="009E370D"/>
    <w:rsid w:val="009E3EEB"/>
    <w:rsid w:val="009E4230"/>
    <w:rsid w:val="009E4F10"/>
    <w:rsid w:val="009E5738"/>
    <w:rsid w:val="009E6AD2"/>
    <w:rsid w:val="009F0C3C"/>
    <w:rsid w:val="009F1E03"/>
    <w:rsid w:val="009F1EA3"/>
    <w:rsid w:val="009F1F3B"/>
    <w:rsid w:val="009F25E0"/>
    <w:rsid w:val="009F43D2"/>
    <w:rsid w:val="009F4922"/>
    <w:rsid w:val="009F7BCA"/>
    <w:rsid w:val="00A00232"/>
    <w:rsid w:val="00A012D2"/>
    <w:rsid w:val="00A03198"/>
    <w:rsid w:val="00A0607A"/>
    <w:rsid w:val="00A06722"/>
    <w:rsid w:val="00A072B2"/>
    <w:rsid w:val="00A078C5"/>
    <w:rsid w:val="00A07AF2"/>
    <w:rsid w:val="00A116B7"/>
    <w:rsid w:val="00A12682"/>
    <w:rsid w:val="00A12A72"/>
    <w:rsid w:val="00A156C8"/>
    <w:rsid w:val="00A15CCF"/>
    <w:rsid w:val="00A16253"/>
    <w:rsid w:val="00A16D40"/>
    <w:rsid w:val="00A17CF0"/>
    <w:rsid w:val="00A20741"/>
    <w:rsid w:val="00A2171A"/>
    <w:rsid w:val="00A225FB"/>
    <w:rsid w:val="00A2331C"/>
    <w:rsid w:val="00A23C3A"/>
    <w:rsid w:val="00A248CF"/>
    <w:rsid w:val="00A265A9"/>
    <w:rsid w:val="00A30D15"/>
    <w:rsid w:val="00A32BCF"/>
    <w:rsid w:val="00A33C25"/>
    <w:rsid w:val="00A35712"/>
    <w:rsid w:val="00A35AC0"/>
    <w:rsid w:val="00A35B61"/>
    <w:rsid w:val="00A375B5"/>
    <w:rsid w:val="00A40527"/>
    <w:rsid w:val="00A40CB9"/>
    <w:rsid w:val="00A4121C"/>
    <w:rsid w:val="00A41811"/>
    <w:rsid w:val="00A43A11"/>
    <w:rsid w:val="00A43A6E"/>
    <w:rsid w:val="00A43FCD"/>
    <w:rsid w:val="00A44132"/>
    <w:rsid w:val="00A45424"/>
    <w:rsid w:val="00A47344"/>
    <w:rsid w:val="00A50204"/>
    <w:rsid w:val="00A51BD5"/>
    <w:rsid w:val="00A5477A"/>
    <w:rsid w:val="00A557A8"/>
    <w:rsid w:val="00A56F6D"/>
    <w:rsid w:val="00A57438"/>
    <w:rsid w:val="00A60009"/>
    <w:rsid w:val="00A65D8F"/>
    <w:rsid w:val="00A66932"/>
    <w:rsid w:val="00A66B10"/>
    <w:rsid w:val="00A6740E"/>
    <w:rsid w:val="00A67BE3"/>
    <w:rsid w:val="00A703A4"/>
    <w:rsid w:val="00A7053C"/>
    <w:rsid w:val="00A70979"/>
    <w:rsid w:val="00A724DA"/>
    <w:rsid w:val="00A72F87"/>
    <w:rsid w:val="00A751E7"/>
    <w:rsid w:val="00A75414"/>
    <w:rsid w:val="00A76FC0"/>
    <w:rsid w:val="00A77F36"/>
    <w:rsid w:val="00A77FA5"/>
    <w:rsid w:val="00A8013F"/>
    <w:rsid w:val="00A80DEB"/>
    <w:rsid w:val="00A80E3B"/>
    <w:rsid w:val="00A827A7"/>
    <w:rsid w:val="00A84560"/>
    <w:rsid w:val="00A84EB2"/>
    <w:rsid w:val="00A85E87"/>
    <w:rsid w:val="00A87522"/>
    <w:rsid w:val="00A934E5"/>
    <w:rsid w:val="00A9457D"/>
    <w:rsid w:val="00A955C0"/>
    <w:rsid w:val="00A95970"/>
    <w:rsid w:val="00A96974"/>
    <w:rsid w:val="00A96CA3"/>
    <w:rsid w:val="00AA1EBE"/>
    <w:rsid w:val="00AA229D"/>
    <w:rsid w:val="00AA3686"/>
    <w:rsid w:val="00AA3C84"/>
    <w:rsid w:val="00AA4825"/>
    <w:rsid w:val="00AA4D7F"/>
    <w:rsid w:val="00AB0D98"/>
    <w:rsid w:val="00AB377F"/>
    <w:rsid w:val="00AC01F3"/>
    <w:rsid w:val="00AC07B8"/>
    <w:rsid w:val="00AC252C"/>
    <w:rsid w:val="00AC2C4F"/>
    <w:rsid w:val="00AC4BAC"/>
    <w:rsid w:val="00AC5DE9"/>
    <w:rsid w:val="00AC64B2"/>
    <w:rsid w:val="00AC6537"/>
    <w:rsid w:val="00AD06D8"/>
    <w:rsid w:val="00AD0C59"/>
    <w:rsid w:val="00AD1D25"/>
    <w:rsid w:val="00AD2EDC"/>
    <w:rsid w:val="00AD324B"/>
    <w:rsid w:val="00AD3DFC"/>
    <w:rsid w:val="00AD47DF"/>
    <w:rsid w:val="00AD5899"/>
    <w:rsid w:val="00AD676F"/>
    <w:rsid w:val="00AD70A3"/>
    <w:rsid w:val="00AE02A6"/>
    <w:rsid w:val="00AE1321"/>
    <w:rsid w:val="00AE295A"/>
    <w:rsid w:val="00AE6552"/>
    <w:rsid w:val="00AE762A"/>
    <w:rsid w:val="00AF02FA"/>
    <w:rsid w:val="00AF0D3D"/>
    <w:rsid w:val="00AF3851"/>
    <w:rsid w:val="00AF496D"/>
    <w:rsid w:val="00AF56B1"/>
    <w:rsid w:val="00AF679F"/>
    <w:rsid w:val="00AF7032"/>
    <w:rsid w:val="00B01780"/>
    <w:rsid w:val="00B05681"/>
    <w:rsid w:val="00B0742B"/>
    <w:rsid w:val="00B078EA"/>
    <w:rsid w:val="00B12E28"/>
    <w:rsid w:val="00B1320E"/>
    <w:rsid w:val="00B1421B"/>
    <w:rsid w:val="00B154E8"/>
    <w:rsid w:val="00B20DDA"/>
    <w:rsid w:val="00B22714"/>
    <w:rsid w:val="00B23597"/>
    <w:rsid w:val="00B239AD"/>
    <w:rsid w:val="00B306B7"/>
    <w:rsid w:val="00B32240"/>
    <w:rsid w:val="00B33E17"/>
    <w:rsid w:val="00B34768"/>
    <w:rsid w:val="00B34B2D"/>
    <w:rsid w:val="00B350D7"/>
    <w:rsid w:val="00B35455"/>
    <w:rsid w:val="00B36CAD"/>
    <w:rsid w:val="00B377B0"/>
    <w:rsid w:val="00B406BC"/>
    <w:rsid w:val="00B40795"/>
    <w:rsid w:val="00B40DD6"/>
    <w:rsid w:val="00B42B80"/>
    <w:rsid w:val="00B42DF5"/>
    <w:rsid w:val="00B44DA1"/>
    <w:rsid w:val="00B44E6F"/>
    <w:rsid w:val="00B460AD"/>
    <w:rsid w:val="00B50FE3"/>
    <w:rsid w:val="00B5247D"/>
    <w:rsid w:val="00B5289A"/>
    <w:rsid w:val="00B53406"/>
    <w:rsid w:val="00B541BB"/>
    <w:rsid w:val="00B563B4"/>
    <w:rsid w:val="00B606CA"/>
    <w:rsid w:val="00B618E9"/>
    <w:rsid w:val="00B621E4"/>
    <w:rsid w:val="00B62ABC"/>
    <w:rsid w:val="00B63DA1"/>
    <w:rsid w:val="00B63DBC"/>
    <w:rsid w:val="00B67DB6"/>
    <w:rsid w:val="00B70DA4"/>
    <w:rsid w:val="00B71E65"/>
    <w:rsid w:val="00B73827"/>
    <w:rsid w:val="00B74957"/>
    <w:rsid w:val="00B75226"/>
    <w:rsid w:val="00B757FD"/>
    <w:rsid w:val="00B76928"/>
    <w:rsid w:val="00B779B0"/>
    <w:rsid w:val="00B802EA"/>
    <w:rsid w:val="00B802F9"/>
    <w:rsid w:val="00B808E3"/>
    <w:rsid w:val="00B822BE"/>
    <w:rsid w:val="00B82550"/>
    <w:rsid w:val="00B84555"/>
    <w:rsid w:val="00B85531"/>
    <w:rsid w:val="00B86F8C"/>
    <w:rsid w:val="00B87027"/>
    <w:rsid w:val="00B9003C"/>
    <w:rsid w:val="00B90892"/>
    <w:rsid w:val="00B91A26"/>
    <w:rsid w:val="00B949D4"/>
    <w:rsid w:val="00B94EF2"/>
    <w:rsid w:val="00B95A5F"/>
    <w:rsid w:val="00B97280"/>
    <w:rsid w:val="00B974AC"/>
    <w:rsid w:val="00B97CC7"/>
    <w:rsid w:val="00BA0973"/>
    <w:rsid w:val="00BA103F"/>
    <w:rsid w:val="00BA1DE4"/>
    <w:rsid w:val="00BA590B"/>
    <w:rsid w:val="00BA64FD"/>
    <w:rsid w:val="00BA74C4"/>
    <w:rsid w:val="00BB0618"/>
    <w:rsid w:val="00BB106D"/>
    <w:rsid w:val="00BB1F1A"/>
    <w:rsid w:val="00BB24C8"/>
    <w:rsid w:val="00BB2524"/>
    <w:rsid w:val="00BB297E"/>
    <w:rsid w:val="00BB2C28"/>
    <w:rsid w:val="00BB65A3"/>
    <w:rsid w:val="00BB6D33"/>
    <w:rsid w:val="00BB6EFB"/>
    <w:rsid w:val="00BB7147"/>
    <w:rsid w:val="00BB771F"/>
    <w:rsid w:val="00BC005D"/>
    <w:rsid w:val="00BC0C8D"/>
    <w:rsid w:val="00BC0D04"/>
    <w:rsid w:val="00BC2098"/>
    <w:rsid w:val="00BC4C7A"/>
    <w:rsid w:val="00BC602E"/>
    <w:rsid w:val="00BC683A"/>
    <w:rsid w:val="00BC701B"/>
    <w:rsid w:val="00BC7BBE"/>
    <w:rsid w:val="00BC7E33"/>
    <w:rsid w:val="00BC7F44"/>
    <w:rsid w:val="00BD141C"/>
    <w:rsid w:val="00BD6FF9"/>
    <w:rsid w:val="00BE0B6B"/>
    <w:rsid w:val="00BE522E"/>
    <w:rsid w:val="00BE6464"/>
    <w:rsid w:val="00BE6A10"/>
    <w:rsid w:val="00BE78E5"/>
    <w:rsid w:val="00BE7CB5"/>
    <w:rsid w:val="00BF1229"/>
    <w:rsid w:val="00BF1876"/>
    <w:rsid w:val="00BF2CED"/>
    <w:rsid w:val="00BF3692"/>
    <w:rsid w:val="00BF3E6D"/>
    <w:rsid w:val="00BF4803"/>
    <w:rsid w:val="00BF63A9"/>
    <w:rsid w:val="00C017A3"/>
    <w:rsid w:val="00C01801"/>
    <w:rsid w:val="00C01899"/>
    <w:rsid w:val="00C019FF"/>
    <w:rsid w:val="00C035CD"/>
    <w:rsid w:val="00C05013"/>
    <w:rsid w:val="00C06668"/>
    <w:rsid w:val="00C07FE9"/>
    <w:rsid w:val="00C10730"/>
    <w:rsid w:val="00C12168"/>
    <w:rsid w:val="00C1411B"/>
    <w:rsid w:val="00C16AFE"/>
    <w:rsid w:val="00C16E66"/>
    <w:rsid w:val="00C205BF"/>
    <w:rsid w:val="00C21809"/>
    <w:rsid w:val="00C22D1B"/>
    <w:rsid w:val="00C248B3"/>
    <w:rsid w:val="00C248D7"/>
    <w:rsid w:val="00C26ACB"/>
    <w:rsid w:val="00C27726"/>
    <w:rsid w:val="00C27F4F"/>
    <w:rsid w:val="00C30526"/>
    <w:rsid w:val="00C30EE9"/>
    <w:rsid w:val="00C3173E"/>
    <w:rsid w:val="00C31F17"/>
    <w:rsid w:val="00C32F59"/>
    <w:rsid w:val="00C36129"/>
    <w:rsid w:val="00C373CF"/>
    <w:rsid w:val="00C37769"/>
    <w:rsid w:val="00C37DE5"/>
    <w:rsid w:val="00C41016"/>
    <w:rsid w:val="00C4180F"/>
    <w:rsid w:val="00C425DD"/>
    <w:rsid w:val="00C42FC4"/>
    <w:rsid w:val="00C4498D"/>
    <w:rsid w:val="00C44C31"/>
    <w:rsid w:val="00C46A0F"/>
    <w:rsid w:val="00C5383E"/>
    <w:rsid w:val="00C540F9"/>
    <w:rsid w:val="00C54A62"/>
    <w:rsid w:val="00C54D1A"/>
    <w:rsid w:val="00C607A6"/>
    <w:rsid w:val="00C60B40"/>
    <w:rsid w:val="00C612D3"/>
    <w:rsid w:val="00C630EC"/>
    <w:rsid w:val="00C657B2"/>
    <w:rsid w:val="00C65D48"/>
    <w:rsid w:val="00C7073C"/>
    <w:rsid w:val="00C71AE3"/>
    <w:rsid w:val="00C71D2B"/>
    <w:rsid w:val="00C726BD"/>
    <w:rsid w:val="00C730B0"/>
    <w:rsid w:val="00C73800"/>
    <w:rsid w:val="00C75746"/>
    <w:rsid w:val="00C76309"/>
    <w:rsid w:val="00C7641E"/>
    <w:rsid w:val="00C769D1"/>
    <w:rsid w:val="00C77472"/>
    <w:rsid w:val="00C77865"/>
    <w:rsid w:val="00C77AE2"/>
    <w:rsid w:val="00C81584"/>
    <w:rsid w:val="00C84990"/>
    <w:rsid w:val="00C84D46"/>
    <w:rsid w:val="00C84F54"/>
    <w:rsid w:val="00C8556F"/>
    <w:rsid w:val="00C85961"/>
    <w:rsid w:val="00C85B57"/>
    <w:rsid w:val="00C86703"/>
    <w:rsid w:val="00C87E7E"/>
    <w:rsid w:val="00C90767"/>
    <w:rsid w:val="00C914A5"/>
    <w:rsid w:val="00C9364E"/>
    <w:rsid w:val="00C94E6D"/>
    <w:rsid w:val="00CA1790"/>
    <w:rsid w:val="00CA23A8"/>
    <w:rsid w:val="00CA2647"/>
    <w:rsid w:val="00CA2BBE"/>
    <w:rsid w:val="00CA3175"/>
    <w:rsid w:val="00CA3816"/>
    <w:rsid w:val="00CA3B5C"/>
    <w:rsid w:val="00CA4F35"/>
    <w:rsid w:val="00CB1318"/>
    <w:rsid w:val="00CB27FA"/>
    <w:rsid w:val="00CB2977"/>
    <w:rsid w:val="00CB29B8"/>
    <w:rsid w:val="00CB2E14"/>
    <w:rsid w:val="00CB3AFE"/>
    <w:rsid w:val="00CB6A4A"/>
    <w:rsid w:val="00CB6DE3"/>
    <w:rsid w:val="00CC076C"/>
    <w:rsid w:val="00CC09E0"/>
    <w:rsid w:val="00CC2C54"/>
    <w:rsid w:val="00CC3B25"/>
    <w:rsid w:val="00CC553B"/>
    <w:rsid w:val="00CC5FED"/>
    <w:rsid w:val="00CC6AFA"/>
    <w:rsid w:val="00CC7E2C"/>
    <w:rsid w:val="00CD00C2"/>
    <w:rsid w:val="00CD0E05"/>
    <w:rsid w:val="00CD1438"/>
    <w:rsid w:val="00CD2E73"/>
    <w:rsid w:val="00CD453E"/>
    <w:rsid w:val="00CD7610"/>
    <w:rsid w:val="00CE00ED"/>
    <w:rsid w:val="00CE0DE9"/>
    <w:rsid w:val="00CE0EEB"/>
    <w:rsid w:val="00CE15AD"/>
    <w:rsid w:val="00CE36FC"/>
    <w:rsid w:val="00CE4915"/>
    <w:rsid w:val="00CE781C"/>
    <w:rsid w:val="00CF1F08"/>
    <w:rsid w:val="00CF2316"/>
    <w:rsid w:val="00CF23B1"/>
    <w:rsid w:val="00CF2DAC"/>
    <w:rsid w:val="00CF5B23"/>
    <w:rsid w:val="00CF67BB"/>
    <w:rsid w:val="00D0050C"/>
    <w:rsid w:val="00D02B27"/>
    <w:rsid w:val="00D034FA"/>
    <w:rsid w:val="00D03A05"/>
    <w:rsid w:val="00D044FA"/>
    <w:rsid w:val="00D048DA"/>
    <w:rsid w:val="00D053A6"/>
    <w:rsid w:val="00D11682"/>
    <w:rsid w:val="00D17B1E"/>
    <w:rsid w:val="00D17D1A"/>
    <w:rsid w:val="00D205B2"/>
    <w:rsid w:val="00D22267"/>
    <w:rsid w:val="00D238A3"/>
    <w:rsid w:val="00D23D63"/>
    <w:rsid w:val="00D2493A"/>
    <w:rsid w:val="00D24E4C"/>
    <w:rsid w:val="00D24FB8"/>
    <w:rsid w:val="00D25AC3"/>
    <w:rsid w:val="00D26E9F"/>
    <w:rsid w:val="00D27EFD"/>
    <w:rsid w:val="00D33861"/>
    <w:rsid w:val="00D3459A"/>
    <w:rsid w:val="00D34686"/>
    <w:rsid w:val="00D34BF5"/>
    <w:rsid w:val="00D34F38"/>
    <w:rsid w:val="00D352A8"/>
    <w:rsid w:val="00D35ED0"/>
    <w:rsid w:val="00D37533"/>
    <w:rsid w:val="00D378A0"/>
    <w:rsid w:val="00D37E68"/>
    <w:rsid w:val="00D4048E"/>
    <w:rsid w:val="00D41828"/>
    <w:rsid w:val="00D42DA8"/>
    <w:rsid w:val="00D43B3E"/>
    <w:rsid w:val="00D44593"/>
    <w:rsid w:val="00D449EE"/>
    <w:rsid w:val="00D45E13"/>
    <w:rsid w:val="00D47595"/>
    <w:rsid w:val="00D50AB4"/>
    <w:rsid w:val="00D50D9B"/>
    <w:rsid w:val="00D5105B"/>
    <w:rsid w:val="00D52530"/>
    <w:rsid w:val="00D52E17"/>
    <w:rsid w:val="00D53EAA"/>
    <w:rsid w:val="00D54B9D"/>
    <w:rsid w:val="00D57295"/>
    <w:rsid w:val="00D572DB"/>
    <w:rsid w:val="00D57688"/>
    <w:rsid w:val="00D579B8"/>
    <w:rsid w:val="00D57B14"/>
    <w:rsid w:val="00D60E12"/>
    <w:rsid w:val="00D61229"/>
    <w:rsid w:val="00D627B3"/>
    <w:rsid w:val="00D661BB"/>
    <w:rsid w:val="00D71740"/>
    <w:rsid w:val="00D717E6"/>
    <w:rsid w:val="00D728D7"/>
    <w:rsid w:val="00D72FB5"/>
    <w:rsid w:val="00D7300E"/>
    <w:rsid w:val="00D74142"/>
    <w:rsid w:val="00D77173"/>
    <w:rsid w:val="00D779CB"/>
    <w:rsid w:val="00D80EBE"/>
    <w:rsid w:val="00D815AE"/>
    <w:rsid w:val="00D8171C"/>
    <w:rsid w:val="00D8199F"/>
    <w:rsid w:val="00D846A6"/>
    <w:rsid w:val="00D87E0E"/>
    <w:rsid w:val="00D945BF"/>
    <w:rsid w:val="00D94B3B"/>
    <w:rsid w:val="00D962EF"/>
    <w:rsid w:val="00D973D5"/>
    <w:rsid w:val="00D97B92"/>
    <w:rsid w:val="00DB2515"/>
    <w:rsid w:val="00DB3CF8"/>
    <w:rsid w:val="00DC103D"/>
    <w:rsid w:val="00DC26E9"/>
    <w:rsid w:val="00DC66D5"/>
    <w:rsid w:val="00DC70A8"/>
    <w:rsid w:val="00DC7B63"/>
    <w:rsid w:val="00DC7E65"/>
    <w:rsid w:val="00DD0229"/>
    <w:rsid w:val="00DD0397"/>
    <w:rsid w:val="00DD1627"/>
    <w:rsid w:val="00DD2961"/>
    <w:rsid w:val="00DD2DE1"/>
    <w:rsid w:val="00DD40A5"/>
    <w:rsid w:val="00DD5349"/>
    <w:rsid w:val="00DD72AE"/>
    <w:rsid w:val="00DD74A5"/>
    <w:rsid w:val="00DE03DF"/>
    <w:rsid w:val="00DE2140"/>
    <w:rsid w:val="00DE2E60"/>
    <w:rsid w:val="00DE40DD"/>
    <w:rsid w:val="00DE4B2A"/>
    <w:rsid w:val="00DE7304"/>
    <w:rsid w:val="00DF0061"/>
    <w:rsid w:val="00DF0299"/>
    <w:rsid w:val="00DF0D4D"/>
    <w:rsid w:val="00DF3A7A"/>
    <w:rsid w:val="00DF6DA3"/>
    <w:rsid w:val="00E031F5"/>
    <w:rsid w:val="00E051AD"/>
    <w:rsid w:val="00E06662"/>
    <w:rsid w:val="00E07DF8"/>
    <w:rsid w:val="00E13C24"/>
    <w:rsid w:val="00E15441"/>
    <w:rsid w:val="00E15DAD"/>
    <w:rsid w:val="00E16813"/>
    <w:rsid w:val="00E1732C"/>
    <w:rsid w:val="00E17A1E"/>
    <w:rsid w:val="00E20AB3"/>
    <w:rsid w:val="00E21BAC"/>
    <w:rsid w:val="00E24C85"/>
    <w:rsid w:val="00E25831"/>
    <w:rsid w:val="00E2612B"/>
    <w:rsid w:val="00E26BF9"/>
    <w:rsid w:val="00E26E9E"/>
    <w:rsid w:val="00E306F1"/>
    <w:rsid w:val="00E3096E"/>
    <w:rsid w:val="00E319E0"/>
    <w:rsid w:val="00E32798"/>
    <w:rsid w:val="00E343EB"/>
    <w:rsid w:val="00E345F1"/>
    <w:rsid w:val="00E349CF"/>
    <w:rsid w:val="00E3594F"/>
    <w:rsid w:val="00E35F51"/>
    <w:rsid w:val="00E4027A"/>
    <w:rsid w:val="00E41702"/>
    <w:rsid w:val="00E42BBB"/>
    <w:rsid w:val="00E47627"/>
    <w:rsid w:val="00E530F9"/>
    <w:rsid w:val="00E5373F"/>
    <w:rsid w:val="00E537A0"/>
    <w:rsid w:val="00E538BB"/>
    <w:rsid w:val="00E54C76"/>
    <w:rsid w:val="00E5599F"/>
    <w:rsid w:val="00E55FF6"/>
    <w:rsid w:val="00E56AF8"/>
    <w:rsid w:val="00E57233"/>
    <w:rsid w:val="00E6286F"/>
    <w:rsid w:val="00E63DB8"/>
    <w:rsid w:val="00E64255"/>
    <w:rsid w:val="00E64D97"/>
    <w:rsid w:val="00E6530D"/>
    <w:rsid w:val="00E653B8"/>
    <w:rsid w:val="00E66182"/>
    <w:rsid w:val="00E66A0A"/>
    <w:rsid w:val="00E675A5"/>
    <w:rsid w:val="00E70562"/>
    <w:rsid w:val="00E73372"/>
    <w:rsid w:val="00E73C77"/>
    <w:rsid w:val="00E76D2A"/>
    <w:rsid w:val="00E77162"/>
    <w:rsid w:val="00E77CEE"/>
    <w:rsid w:val="00E80574"/>
    <w:rsid w:val="00E83CC8"/>
    <w:rsid w:val="00E859E0"/>
    <w:rsid w:val="00E85BD0"/>
    <w:rsid w:val="00E861CE"/>
    <w:rsid w:val="00E862EB"/>
    <w:rsid w:val="00E86330"/>
    <w:rsid w:val="00E868CA"/>
    <w:rsid w:val="00E86C27"/>
    <w:rsid w:val="00E87435"/>
    <w:rsid w:val="00E92439"/>
    <w:rsid w:val="00E94E80"/>
    <w:rsid w:val="00E9501E"/>
    <w:rsid w:val="00E95CE9"/>
    <w:rsid w:val="00EA080F"/>
    <w:rsid w:val="00EA1265"/>
    <w:rsid w:val="00EA2BF0"/>
    <w:rsid w:val="00EA2E40"/>
    <w:rsid w:val="00EA3FFA"/>
    <w:rsid w:val="00EA4386"/>
    <w:rsid w:val="00EA71EE"/>
    <w:rsid w:val="00EB05FA"/>
    <w:rsid w:val="00EB0A7B"/>
    <w:rsid w:val="00EB114E"/>
    <w:rsid w:val="00EB2B20"/>
    <w:rsid w:val="00EB3B8D"/>
    <w:rsid w:val="00EB4DEB"/>
    <w:rsid w:val="00EB6501"/>
    <w:rsid w:val="00EC041A"/>
    <w:rsid w:val="00EC213C"/>
    <w:rsid w:val="00EC3469"/>
    <w:rsid w:val="00EC4036"/>
    <w:rsid w:val="00EC7DBC"/>
    <w:rsid w:val="00ED1EEA"/>
    <w:rsid w:val="00ED5139"/>
    <w:rsid w:val="00EE01D8"/>
    <w:rsid w:val="00EE183D"/>
    <w:rsid w:val="00EE1B40"/>
    <w:rsid w:val="00EE291A"/>
    <w:rsid w:val="00EE2C20"/>
    <w:rsid w:val="00EE413D"/>
    <w:rsid w:val="00EE4FA7"/>
    <w:rsid w:val="00EE5850"/>
    <w:rsid w:val="00EF0561"/>
    <w:rsid w:val="00EF0A80"/>
    <w:rsid w:val="00EF191F"/>
    <w:rsid w:val="00EF2033"/>
    <w:rsid w:val="00EF252B"/>
    <w:rsid w:val="00EF4657"/>
    <w:rsid w:val="00EF5353"/>
    <w:rsid w:val="00EF658B"/>
    <w:rsid w:val="00EF783C"/>
    <w:rsid w:val="00F00F44"/>
    <w:rsid w:val="00F013FA"/>
    <w:rsid w:val="00F020A3"/>
    <w:rsid w:val="00F02BB4"/>
    <w:rsid w:val="00F031A4"/>
    <w:rsid w:val="00F03CEC"/>
    <w:rsid w:val="00F041A2"/>
    <w:rsid w:val="00F107C1"/>
    <w:rsid w:val="00F11B2B"/>
    <w:rsid w:val="00F126B8"/>
    <w:rsid w:val="00F13359"/>
    <w:rsid w:val="00F13E45"/>
    <w:rsid w:val="00F16DA3"/>
    <w:rsid w:val="00F20099"/>
    <w:rsid w:val="00F2183F"/>
    <w:rsid w:val="00F241EF"/>
    <w:rsid w:val="00F262D7"/>
    <w:rsid w:val="00F27D44"/>
    <w:rsid w:val="00F30369"/>
    <w:rsid w:val="00F3039B"/>
    <w:rsid w:val="00F305BA"/>
    <w:rsid w:val="00F36703"/>
    <w:rsid w:val="00F36BA2"/>
    <w:rsid w:val="00F36F38"/>
    <w:rsid w:val="00F3700D"/>
    <w:rsid w:val="00F37770"/>
    <w:rsid w:val="00F42384"/>
    <w:rsid w:val="00F429BB"/>
    <w:rsid w:val="00F42A76"/>
    <w:rsid w:val="00F4643C"/>
    <w:rsid w:val="00F47197"/>
    <w:rsid w:val="00F517A9"/>
    <w:rsid w:val="00F53705"/>
    <w:rsid w:val="00F540FA"/>
    <w:rsid w:val="00F5643C"/>
    <w:rsid w:val="00F60C24"/>
    <w:rsid w:val="00F6274A"/>
    <w:rsid w:val="00F62CF2"/>
    <w:rsid w:val="00F6494A"/>
    <w:rsid w:val="00F65D0E"/>
    <w:rsid w:val="00F7144A"/>
    <w:rsid w:val="00F74AC6"/>
    <w:rsid w:val="00F7691E"/>
    <w:rsid w:val="00F76D18"/>
    <w:rsid w:val="00F83776"/>
    <w:rsid w:val="00F86FCC"/>
    <w:rsid w:val="00F90433"/>
    <w:rsid w:val="00F91ACD"/>
    <w:rsid w:val="00F91D27"/>
    <w:rsid w:val="00F91EBB"/>
    <w:rsid w:val="00F931EF"/>
    <w:rsid w:val="00F94B75"/>
    <w:rsid w:val="00F951EE"/>
    <w:rsid w:val="00F95EAF"/>
    <w:rsid w:val="00F970E4"/>
    <w:rsid w:val="00FA30E7"/>
    <w:rsid w:val="00FA36E9"/>
    <w:rsid w:val="00FA4277"/>
    <w:rsid w:val="00FA557A"/>
    <w:rsid w:val="00FA5DC5"/>
    <w:rsid w:val="00FA5DDA"/>
    <w:rsid w:val="00FA6A19"/>
    <w:rsid w:val="00FA731C"/>
    <w:rsid w:val="00FB1B8D"/>
    <w:rsid w:val="00FB6C63"/>
    <w:rsid w:val="00FC05C6"/>
    <w:rsid w:val="00FC1CC6"/>
    <w:rsid w:val="00FC24DE"/>
    <w:rsid w:val="00FC42FA"/>
    <w:rsid w:val="00FC494B"/>
    <w:rsid w:val="00FC5C92"/>
    <w:rsid w:val="00FC5EEB"/>
    <w:rsid w:val="00FC605E"/>
    <w:rsid w:val="00FC7733"/>
    <w:rsid w:val="00FD152D"/>
    <w:rsid w:val="00FD323C"/>
    <w:rsid w:val="00FD3512"/>
    <w:rsid w:val="00FD4F13"/>
    <w:rsid w:val="00FD6EFA"/>
    <w:rsid w:val="00FE06AD"/>
    <w:rsid w:val="00FE25BC"/>
    <w:rsid w:val="00FE2F18"/>
    <w:rsid w:val="00FE3874"/>
    <w:rsid w:val="00FE3B2E"/>
    <w:rsid w:val="00FE5336"/>
    <w:rsid w:val="00FE61EB"/>
    <w:rsid w:val="00FE6C9C"/>
    <w:rsid w:val="00FE6DD6"/>
    <w:rsid w:val="00FE768A"/>
    <w:rsid w:val="00FF0C5A"/>
    <w:rsid w:val="00FF0DB0"/>
    <w:rsid w:val="00FF13FC"/>
    <w:rsid w:val="00FF1ACA"/>
    <w:rsid w:val="00FF41DE"/>
    <w:rsid w:val="00FF52B2"/>
    <w:rsid w:val="00FF7304"/>
    <w:rsid w:val="012A3CE6"/>
    <w:rsid w:val="0159716B"/>
    <w:rsid w:val="01745EE6"/>
    <w:rsid w:val="01ED00F0"/>
    <w:rsid w:val="01FE4437"/>
    <w:rsid w:val="02A91B01"/>
    <w:rsid w:val="02F646C8"/>
    <w:rsid w:val="02F90E1A"/>
    <w:rsid w:val="0409495C"/>
    <w:rsid w:val="0417467E"/>
    <w:rsid w:val="041B6087"/>
    <w:rsid w:val="041F4312"/>
    <w:rsid w:val="042D79C2"/>
    <w:rsid w:val="0444340A"/>
    <w:rsid w:val="04B148A0"/>
    <w:rsid w:val="051270D7"/>
    <w:rsid w:val="056B0827"/>
    <w:rsid w:val="05894266"/>
    <w:rsid w:val="05C5666D"/>
    <w:rsid w:val="062446D5"/>
    <w:rsid w:val="064B3BE4"/>
    <w:rsid w:val="06B258F2"/>
    <w:rsid w:val="06E14F8A"/>
    <w:rsid w:val="06F10BAA"/>
    <w:rsid w:val="071F766A"/>
    <w:rsid w:val="079006E8"/>
    <w:rsid w:val="07A4303C"/>
    <w:rsid w:val="07A52A20"/>
    <w:rsid w:val="07C83718"/>
    <w:rsid w:val="07CA08DA"/>
    <w:rsid w:val="086B023F"/>
    <w:rsid w:val="090148AB"/>
    <w:rsid w:val="093A136B"/>
    <w:rsid w:val="09C23FE3"/>
    <w:rsid w:val="0A242FFF"/>
    <w:rsid w:val="0A2976B8"/>
    <w:rsid w:val="0AC47253"/>
    <w:rsid w:val="0ACF19BE"/>
    <w:rsid w:val="0ADC1D1C"/>
    <w:rsid w:val="0AF14F38"/>
    <w:rsid w:val="0B1B457B"/>
    <w:rsid w:val="0B574F36"/>
    <w:rsid w:val="0B6D6DD0"/>
    <w:rsid w:val="0B8C1D04"/>
    <w:rsid w:val="0C197E2E"/>
    <w:rsid w:val="0D19707A"/>
    <w:rsid w:val="0D965E14"/>
    <w:rsid w:val="0D971FFF"/>
    <w:rsid w:val="0D985588"/>
    <w:rsid w:val="0DAC4DE7"/>
    <w:rsid w:val="0DD93C67"/>
    <w:rsid w:val="0E1C7748"/>
    <w:rsid w:val="0E6E4A3A"/>
    <w:rsid w:val="0E9B5CB3"/>
    <w:rsid w:val="0EB463A0"/>
    <w:rsid w:val="0F127DBC"/>
    <w:rsid w:val="0F811E95"/>
    <w:rsid w:val="0F981C4A"/>
    <w:rsid w:val="0FB3499A"/>
    <w:rsid w:val="0FFC57D2"/>
    <w:rsid w:val="100E3CDE"/>
    <w:rsid w:val="102862AB"/>
    <w:rsid w:val="10582A82"/>
    <w:rsid w:val="10E045D9"/>
    <w:rsid w:val="11285AF8"/>
    <w:rsid w:val="119621DC"/>
    <w:rsid w:val="11CD7202"/>
    <w:rsid w:val="11FF21E6"/>
    <w:rsid w:val="124D09DB"/>
    <w:rsid w:val="1337142C"/>
    <w:rsid w:val="139F6AD3"/>
    <w:rsid w:val="1402609A"/>
    <w:rsid w:val="14644194"/>
    <w:rsid w:val="148556DC"/>
    <w:rsid w:val="14A24168"/>
    <w:rsid w:val="15025589"/>
    <w:rsid w:val="15D062EC"/>
    <w:rsid w:val="16184405"/>
    <w:rsid w:val="1657518C"/>
    <w:rsid w:val="169F376F"/>
    <w:rsid w:val="170E6F2D"/>
    <w:rsid w:val="17271EE3"/>
    <w:rsid w:val="1754248F"/>
    <w:rsid w:val="175F5CA8"/>
    <w:rsid w:val="17872AF0"/>
    <w:rsid w:val="17F1058F"/>
    <w:rsid w:val="18482011"/>
    <w:rsid w:val="186216FF"/>
    <w:rsid w:val="18C119AD"/>
    <w:rsid w:val="19944A91"/>
    <w:rsid w:val="19E44197"/>
    <w:rsid w:val="19EF3DBB"/>
    <w:rsid w:val="1A307DEB"/>
    <w:rsid w:val="1A7A062D"/>
    <w:rsid w:val="1AC90C79"/>
    <w:rsid w:val="1AD94197"/>
    <w:rsid w:val="1B0D2108"/>
    <w:rsid w:val="1B1438B4"/>
    <w:rsid w:val="1B293C37"/>
    <w:rsid w:val="1BB2064E"/>
    <w:rsid w:val="1C7A3233"/>
    <w:rsid w:val="1CA905F7"/>
    <w:rsid w:val="1CEF70CD"/>
    <w:rsid w:val="1D8D202D"/>
    <w:rsid w:val="1D9A06B0"/>
    <w:rsid w:val="1DBB7F40"/>
    <w:rsid w:val="1EA747EE"/>
    <w:rsid w:val="1EDC0F97"/>
    <w:rsid w:val="1F26778D"/>
    <w:rsid w:val="1F5E5F75"/>
    <w:rsid w:val="1F6D180C"/>
    <w:rsid w:val="1F982C0B"/>
    <w:rsid w:val="1F9B0BF8"/>
    <w:rsid w:val="1FAF630F"/>
    <w:rsid w:val="1FD90A6B"/>
    <w:rsid w:val="20181E20"/>
    <w:rsid w:val="20934A1D"/>
    <w:rsid w:val="21176D6E"/>
    <w:rsid w:val="216847DD"/>
    <w:rsid w:val="218C384B"/>
    <w:rsid w:val="22682ED4"/>
    <w:rsid w:val="226F3182"/>
    <w:rsid w:val="23122FE5"/>
    <w:rsid w:val="232C3785"/>
    <w:rsid w:val="23300BC5"/>
    <w:rsid w:val="23390502"/>
    <w:rsid w:val="24605FFA"/>
    <w:rsid w:val="25094643"/>
    <w:rsid w:val="255F1C12"/>
    <w:rsid w:val="259A2532"/>
    <w:rsid w:val="259A6176"/>
    <w:rsid w:val="261B0F18"/>
    <w:rsid w:val="2644477A"/>
    <w:rsid w:val="26B93B86"/>
    <w:rsid w:val="26CB06DA"/>
    <w:rsid w:val="27195844"/>
    <w:rsid w:val="27303A23"/>
    <w:rsid w:val="275D2C3D"/>
    <w:rsid w:val="27BF720F"/>
    <w:rsid w:val="27C71297"/>
    <w:rsid w:val="284202E2"/>
    <w:rsid w:val="285D5757"/>
    <w:rsid w:val="287F7A45"/>
    <w:rsid w:val="288E7FFE"/>
    <w:rsid w:val="289128C5"/>
    <w:rsid w:val="2962650F"/>
    <w:rsid w:val="2965244F"/>
    <w:rsid w:val="296C51FC"/>
    <w:rsid w:val="297211E0"/>
    <w:rsid w:val="29BD29EF"/>
    <w:rsid w:val="29E225F8"/>
    <w:rsid w:val="29E76696"/>
    <w:rsid w:val="29F3493D"/>
    <w:rsid w:val="2A097F2C"/>
    <w:rsid w:val="2A2D2BA8"/>
    <w:rsid w:val="2A6130F9"/>
    <w:rsid w:val="2A8A5477"/>
    <w:rsid w:val="2B367C6D"/>
    <w:rsid w:val="2B580D2E"/>
    <w:rsid w:val="2B691B9E"/>
    <w:rsid w:val="2B7729A9"/>
    <w:rsid w:val="2BCF610D"/>
    <w:rsid w:val="2BD472B0"/>
    <w:rsid w:val="2C3515C4"/>
    <w:rsid w:val="2CB035D8"/>
    <w:rsid w:val="2D346584"/>
    <w:rsid w:val="2D3F3425"/>
    <w:rsid w:val="2D8F7B63"/>
    <w:rsid w:val="2DB37632"/>
    <w:rsid w:val="2DFD5AD3"/>
    <w:rsid w:val="2DFD6B18"/>
    <w:rsid w:val="2E05430D"/>
    <w:rsid w:val="2E1859E5"/>
    <w:rsid w:val="2E430131"/>
    <w:rsid w:val="2E447669"/>
    <w:rsid w:val="2E5210EC"/>
    <w:rsid w:val="2E5B07AB"/>
    <w:rsid w:val="2E645867"/>
    <w:rsid w:val="2E6743B8"/>
    <w:rsid w:val="2E6A2DC2"/>
    <w:rsid w:val="2F3204AF"/>
    <w:rsid w:val="2F9A050E"/>
    <w:rsid w:val="30117F8B"/>
    <w:rsid w:val="30880C87"/>
    <w:rsid w:val="30A9525D"/>
    <w:rsid w:val="30E44151"/>
    <w:rsid w:val="312569BD"/>
    <w:rsid w:val="31870AE7"/>
    <w:rsid w:val="31CA6DFB"/>
    <w:rsid w:val="31DE1190"/>
    <w:rsid w:val="324A7F75"/>
    <w:rsid w:val="32646E9E"/>
    <w:rsid w:val="3294182A"/>
    <w:rsid w:val="32AD7D50"/>
    <w:rsid w:val="32C355F1"/>
    <w:rsid w:val="32C36BE9"/>
    <w:rsid w:val="32D62DD5"/>
    <w:rsid w:val="33894E2D"/>
    <w:rsid w:val="33913825"/>
    <w:rsid w:val="34480488"/>
    <w:rsid w:val="355E7592"/>
    <w:rsid w:val="35817E56"/>
    <w:rsid w:val="358276DA"/>
    <w:rsid w:val="35F94460"/>
    <w:rsid w:val="36196EE3"/>
    <w:rsid w:val="36540977"/>
    <w:rsid w:val="36555758"/>
    <w:rsid w:val="36F67C9D"/>
    <w:rsid w:val="37CC7A14"/>
    <w:rsid w:val="37F7529C"/>
    <w:rsid w:val="384F7AFB"/>
    <w:rsid w:val="38AA280E"/>
    <w:rsid w:val="38B37F59"/>
    <w:rsid w:val="38C45124"/>
    <w:rsid w:val="392E439F"/>
    <w:rsid w:val="393E343F"/>
    <w:rsid w:val="397A1D7B"/>
    <w:rsid w:val="398850DE"/>
    <w:rsid w:val="3A0B4F69"/>
    <w:rsid w:val="3A314013"/>
    <w:rsid w:val="3A782AD9"/>
    <w:rsid w:val="3A9B2E8A"/>
    <w:rsid w:val="3AB5432D"/>
    <w:rsid w:val="3ABC49A5"/>
    <w:rsid w:val="3B1D301A"/>
    <w:rsid w:val="3B3F417F"/>
    <w:rsid w:val="3B944526"/>
    <w:rsid w:val="3C830040"/>
    <w:rsid w:val="3CB07B7D"/>
    <w:rsid w:val="3CCB74D7"/>
    <w:rsid w:val="3CD0040C"/>
    <w:rsid w:val="3CD07E3A"/>
    <w:rsid w:val="3D1F3A14"/>
    <w:rsid w:val="3D517271"/>
    <w:rsid w:val="3D9214CE"/>
    <w:rsid w:val="3DDF3E65"/>
    <w:rsid w:val="3F154B66"/>
    <w:rsid w:val="3F5F5F83"/>
    <w:rsid w:val="3FC63BD0"/>
    <w:rsid w:val="3FCF563B"/>
    <w:rsid w:val="40AB6B02"/>
    <w:rsid w:val="40F16909"/>
    <w:rsid w:val="41C37CE9"/>
    <w:rsid w:val="41CD3CC6"/>
    <w:rsid w:val="41DD19CA"/>
    <w:rsid w:val="41F12259"/>
    <w:rsid w:val="42277F9A"/>
    <w:rsid w:val="42C228C8"/>
    <w:rsid w:val="42EF410D"/>
    <w:rsid w:val="42F36E1E"/>
    <w:rsid w:val="43121F6B"/>
    <w:rsid w:val="435823F0"/>
    <w:rsid w:val="435A7E53"/>
    <w:rsid w:val="43C13A38"/>
    <w:rsid w:val="43E22F2B"/>
    <w:rsid w:val="43EE1010"/>
    <w:rsid w:val="452D466E"/>
    <w:rsid w:val="45370FF9"/>
    <w:rsid w:val="45F77E29"/>
    <w:rsid w:val="463A697F"/>
    <w:rsid w:val="46B05FBF"/>
    <w:rsid w:val="46B66FB7"/>
    <w:rsid w:val="46F948AB"/>
    <w:rsid w:val="47133202"/>
    <w:rsid w:val="476D0782"/>
    <w:rsid w:val="478248DA"/>
    <w:rsid w:val="479224AD"/>
    <w:rsid w:val="479357BC"/>
    <w:rsid w:val="47B52DEE"/>
    <w:rsid w:val="492331F4"/>
    <w:rsid w:val="496E5FA9"/>
    <w:rsid w:val="499936F8"/>
    <w:rsid w:val="4A6A1B72"/>
    <w:rsid w:val="4A952924"/>
    <w:rsid w:val="4AB7670F"/>
    <w:rsid w:val="4B035D90"/>
    <w:rsid w:val="4B6274C5"/>
    <w:rsid w:val="4B764485"/>
    <w:rsid w:val="4BCD2CFE"/>
    <w:rsid w:val="4CC4190A"/>
    <w:rsid w:val="4D2A0B97"/>
    <w:rsid w:val="4D572235"/>
    <w:rsid w:val="4DFC0E9E"/>
    <w:rsid w:val="4E3E431E"/>
    <w:rsid w:val="4E52662D"/>
    <w:rsid w:val="4EDA0A91"/>
    <w:rsid w:val="4EF43D32"/>
    <w:rsid w:val="4EFF700D"/>
    <w:rsid w:val="4F0D2BAF"/>
    <w:rsid w:val="4F0E4432"/>
    <w:rsid w:val="4F233BC6"/>
    <w:rsid w:val="4F3810D9"/>
    <w:rsid w:val="4FE43BE8"/>
    <w:rsid w:val="502533DF"/>
    <w:rsid w:val="512064B6"/>
    <w:rsid w:val="515D494D"/>
    <w:rsid w:val="51683911"/>
    <w:rsid w:val="51755AAC"/>
    <w:rsid w:val="51B272DD"/>
    <w:rsid w:val="51D11B69"/>
    <w:rsid w:val="52062768"/>
    <w:rsid w:val="526E379C"/>
    <w:rsid w:val="52CD7259"/>
    <w:rsid w:val="52DF7CE2"/>
    <w:rsid w:val="53056701"/>
    <w:rsid w:val="539B439B"/>
    <w:rsid w:val="53AE72B4"/>
    <w:rsid w:val="53DF3426"/>
    <w:rsid w:val="53E94F5A"/>
    <w:rsid w:val="542076D2"/>
    <w:rsid w:val="54460374"/>
    <w:rsid w:val="545A578A"/>
    <w:rsid w:val="55633014"/>
    <w:rsid w:val="55731FCA"/>
    <w:rsid w:val="558875BF"/>
    <w:rsid w:val="558D7048"/>
    <w:rsid w:val="559C3737"/>
    <w:rsid w:val="55A24610"/>
    <w:rsid w:val="55B20B19"/>
    <w:rsid w:val="55C53DB0"/>
    <w:rsid w:val="55DD22CB"/>
    <w:rsid w:val="55F160F6"/>
    <w:rsid w:val="564B6B67"/>
    <w:rsid w:val="56C02F04"/>
    <w:rsid w:val="56CE6A63"/>
    <w:rsid w:val="56D11403"/>
    <w:rsid w:val="57A600D9"/>
    <w:rsid w:val="57EB7BED"/>
    <w:rsid w:val="585F7AFF"/>
    <w:rsid w:val="594320D9"/>
    <w:rsid w:val="59690389"/>
    <w:rsid w:val="59B47CE2"/>
    <w:rsid w:val="59F0737D"/>
    <w:rsid w:val="5A2860FD"/>
    <w:rsid w:val="5A2A056F"/>
    <w:rsid w:val="5A4D198C"/>
    <w:rsid w:val="5ACC1FD7"/>
    <w:rsid w:val="5AE10810"/>
    <w:rsid w:val="5B97255D"/>
    <w:rsid w:val="5C86273B"/>
    <w:rsid w:val="5CB545BF"/>
    <w:rsid w:val="5CEA6D6B"/>
    <w:rsid w:val="5D03647F"/>
    <w:rsid w:val="5D0A0E22"/>
    <w:rsid w:val="5D2B5F12"/>
    <w:rsid w:val="5D55019E"/>
    <w:rsid w:val="5D7C0261"/>
    <w:rsid w:val="5DB66D7F"/>
    <w:rsid w:val="5DCF023F"/>
    <w:rsid w:val="5E4D4B86"/>
    <w:rsid w:val="5E53044A"/>
    <w:rsid w:val="5ECD7B7A"/>
    <w:rsid w:val="5F5E66CD"/>
    <w:rsid w:val="5F6915A6"/>
    <w:rsid w:val="5FC5782B"/>
    <w:rsid w:val="60822E4F"/>
    <w:rsid w:val="60ED6FEA"/>
    <w:rsid w:val="6161661E"/>
    <w:rsid w:val="617D69D7"/>
    <w:rsid w:val="618136D7"/>
    <w:rsid w:val="61A5797C"/>
    <w:rsid w:val="61BA574D"/>
    <w:rsid w:val="61D22AFF"/>
    <w:rsid w:val="61DD03B3"/>
    <w:rsid w:val="61F70D99"/>
    <w:rsid w:val="62250155"/>
    <w:rsid w:val="62335D39"/>
    <w:rsid w:val="626B200B"/>
    <w:rsid w:val="62837449"/>
    <w:rsid w:val="63427C35"/>
    <w:rsid w:val="63527926"/>
    <w:rsid w:val="63A70CAC"/>
    <w:rsid w:val="63BD394B"/>
    <w:rsid w:val="63D01A06"/>
    <w:rsid w:val="63D07004"/>
    <w:rsid w:val="64533922"/>
    <w:rsid w:val="64745988"/>
    <w:rsid w:val="64E8140A"/>
    <w:rsid w:val="65C04AE5"/>
    <w:rsid w:val="65D87056"/>
    <w:rsid w:val="65E51A0D"/>
    <w:rsid w:val="66C22666"/>
    <w:rsid w:val="67584D87"/>
    <w:rsid w:val="675D3FEF"/>
    <w:rsid w:val="680B350F"/>
    <w:rsid w:val="682C57A5"/>
    <w:rsid w:val="6832167E"/>
    <w:rsid w:val="68700039"/>
    <w:rsid w:val="68A01D1C"/>
    <w:rsid w:val="68A234DF"/>
    <w:rsid w:val="6901408C"/>
    <w:rsid w:val="69EF1F65"/>
    <w:rsid w:val="6A0D63C4"/>
    <w:rsid w:val="6A1A6E5F"/>
    <w:rsid w:val="6A47013E"/>
    <w:rsid w:val="6A806889"/>
    <w:rsid w:val="6A8A3EBE"/>
    <w:rsid w:val="6AA42500"/>
    <w:rsid w:val="6B4B20B4"/>
    <w:rsid w:val="6B843B3D"/>
    <w:rsid w:val="6BA222EA"/>
    <w:rsid w:val="6BC96E53"/>
    <w:rsid w:val="6BFF7E6A"/>
    <w:rsid w:val="6C902218"/>
    <w:rsid w:val="6CA53DFF"/>
    <w:rsid w:val="6D5B5299"/>
    <w:rsid w:val="6D74572C"/>
    <w:rsid w:val="6DAC440C"/>
    <w:rsid w:val="6DBF6490"/>
    <w:rsid w:val="6DED2E55"/>
    <w:rsid w:val="6E41376D"/>
    <w:rsid w:val="6EA0573A"/>
    <w:rsid w:val="6F422360"/>
    <w:rsid w:val="6F5D0FB7"/>
    <w:rsid w:val="6FA01D37"/>
    <w:rsid w:val="6FA35752"/>
    <w:rsid w:val="71000C9C"/>
    <w:rsid w:val="71116B21"/>
    <w:rsid w:val="71240691"/>
    <w:rsid w:val="721F1602"/>
    <w:rsid w:val="727A0A9C"/>
    <w:rsid w:val="72C7472E"/>
    <w:rsid w:val="7359566D"/>
    <w:rsid w:val="737A7695"/>
    <w:rsid w:val="73E90234"/>
    <w:rsid w:val="740A5BE8"/>
    <w:rsid w:val="747B595A"/>
    <w:rsid w:val="74854658"/>
    <w:rsid w:val="74B05252"/>
    <w:rsid w:val="74E76FE8"/>
    <w:rsid w:val="75F22C6F"/>
    <w:rsid w:val="75FE7091"/>
    <w:rsid w:val="772436F9"/>
    <w:rsid w:val="77282E60"/>
    <w:rsid w:val="774C3C09"/>
    <w:rsid w:val="783A4F8D"/>
    <w:rsid w:val="786605DE"/>
    <w:rsid w:val="78801C2E"/>
    <w:rsid w:val="78BE7535"/>
    <w:rsid w:val="79297266"/>
    <w:rsid w:val="798D4602"/>
    <w:rsid w:val="79A202F8"/>
    <w:rsid w:val="7A1216AE"/>
    <w:rsid w:val="7A6B663C"/>
    <w:rsid w:val="7A6C49DC"/>
    <w:rsid w:val="7B312A5B"/>
    <w:rsid w:val="7B942659"/>
    <w:rsid w:val="7BE90478"/>
    <w:rsid w:val="7C244A7D"/>
    <w:rsid w:val="7C2F6CBD"/>
    <w:rsid w:val="7D1B3DE1"/>
    <w:rsid w:val="7D374B5B"/>
    <w:rsid w:val="7D6734F0"/>
    <w:rsid w:val="7DDB1943"/>
    <w:rsid w:val="7E900E36"/>
    <w:rsid w:val="7EEC495C"/>
    <w:rsid w:val="7F15354F"/>
    <w:rsid w:val="7F97608A"/>
    <w:rsid w:val="7FAA39F7"/>
    <w:rsid w:val="7FC51043"/>
    <w:rsid w:val="7FCC69B4"/>
    <w:rsid w:val="7FF65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0"/>
    <w:pPr>
      <w:keepNext/>
      <w:jc w:val="center"/>
      <w:outlineLvl w:val="0"/>
    </w:pPr>
    <w:rPr>
      <w:rFonts w:ascii="黑体" w:eastAsia="黑体"/>
      <w:sz w:val="28"/>
    </w:rPr>
  </w:style>
  <w:style w:type="paragraph" w:styleId="4">
    <w:name w:val="heading 2"/>
    <w:basedOn w:val="1"/>
    <w:next w:val="1"/>
    <w:link w:val="48"/>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link w:val="49"/>
    <w:qFormat/>
    <w:uiPriority w:val="0"/>
    <w:pPr>
      <w:keepNext/>
      <w:spacing w:line="320" w:lineRule="exact"/>
      <w:outlineLvl w:val="2"/>
    </w:pPr>
    <w:rPr>
      <w:rFonts w:ascii="楷体_GB2312" w:eastAsia="楷体_GB2312"/>
      <w:sz w:val="32"/>
    </w:rPr>
  </w:style>
  <w:style w:type="paragraph" w:styleId="6">
    <w:name w:val="heading 4"/>
    <w:basedOn w:val="1"/>
    <w:next w:val="1"/>
    <w:link w:val="50"/>
    <w:qFormat/>
    <w:uiPriority w:val="99"/>
    <w:pPr>
      <w:keepNext/>
      <w:spacing w:line="600" w:lineRule="exact"/>
      <w:jc w:val="center"/>
      <w:outlineLvl w:val="3"/>
    </w:pPr>
    <w:rPr>
      <w:rFonts w:ascii="楷体_GB2312" w:eastAsia="楷体_GB2312"/>
      <w:sz w:val="32"/>
    </w:rPr>
  </w:style>
  <w:style w:type="paragraph" w:styleId="7">
    <w:name w:val="heading 5"/>
    <w:basedOn w:val="1"/>
    <w:next w:val="1"/>
    <w:link w:val="51"/>
    <w:qFormat/>
    <w:uiPriority w:val="99"/>
    <w:pPr>
      <w:keepNext/>
      <w:keepLines/>
      <w:spacing w:before="280" w:after="290" w:line="376" w:lineRule="auto"/>
      <w:outlineLvl w:val="4"/>
    </w:pPr>
    <w:rPr>
      <w:b/>
      <w:bCs/>
      <w:sz w:val="28"/>
      <w:szCs w:val="28"/>
    </w:rPr>
  </w:style>
  <w:style w:type="paragraph" w:styleId="8">
    <w:name w:val="heading 6"/>
    <w:basedOn w:val="1"/>
    <w:next w:val="1"/>
    <w:link w:val="52"/>
    <w:qFormat/>
    <w:uiPriority w:val="99"/>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53"/>
    <w:qFormat/>
    <w:uiPriority w:val="99"/>
    <w:pPr>
      <w:keepNext/>
      <w:keepLines/>
      <w:widowControl/>
      <w:spacing w:before="240" w:after="64" w:line="320" w:lineRule="auto"/>
      <w:jc w:val="left"/>
      <w:outlineLvl w:val="6"/>
    </w:pPr>
    <w:rPr>
      <w:b/>
      <w:bCs/>
      <w:kern w:val="0"/>
      <w:sz w:val="24"/>
      <w:szCs w:val="24"/>
    </w:rPr>
  </w:style>
  <w:style w:type="paragraph" w:styleId="10">
    <w:name w:val="heading 8"/>
    <w:basedOn w:val="1"/>
    <w:next w:val="1"/>
    <w:link w:val="54"/>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55"/>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4"/>
      <w:lang w:val="en-US" w:eastAsia="zh-CN" w:bidi="ar-SA"/>
    </w:rPr>
  </w:style>
  <w:style w:type="paragraph" w:styleId="12">
    <w:name w:val="Normal Indent"/>
    <w:basedOn w:val="1"/>
    <w:next w:val="1"/>
    <w:link w:val="91"/>
    <w:qFormat/>
    <w:uiPriority w:val="0"/>
    <w:pPr>
      <w:ind w:firstLine="420"/>
    </w:pPr>
  </w:style>
  <w:style w:type="paragraph" w:styleId="13">
    <w:name w:val="Document Map"/>
    <w:basedOn w:val="1"/>
    <w:link w:val="56"/>
    <w:qFormat/>
    <w:uiPriority w:val="99"/>
    <w:pPr>
      <w:shd w:val="clear" w:color="auto" w:fill="000080"/>
    </w:pPr>
  </w:style>
  <w:style w:type="paragraph" w:styleId="14">
    <w:name w:val="toa heading"/>
    <w:basedOn w:val="1"/>
    <w:next w:val="1"/>
    <w:qFormat/>
    <w:locked/>
    <w:uiPriority w:val="0"/>
    <w:pPr>
      <w:spacing w:before="120"/>
    </w:pPr>
    <w:rPr>
      <w:rFonts w:ascii="Arial" w:hAnsi="Arial"/>
      <w:sz w:val="24"/>
    </w:rPr>
  </w:style>
  <w:style w:type="paragraph" w:styleId="15">
    <w:name w:val="annotation text"/>
    <w:basedOn w:val="1"/>
    <w:link w:val="57"/>
    <w:qFormat/>
    <w:uiPriority w:val="99"/>
    <w:pPr>
      <w:jc w:val="left"/>
    </w:pPr>
  </w:style>
  <w:style w:type="paragraph" w:styleId="16">
    <w:name w:val="Body Text 3"/>
    <w:basedOn w:val="1"/>
    <w:link w:val="58"/>
    <w:qFormat/>
    <w:uiPriority w:val="99"/>
    <w:pPr>
      <w:jc w:val="center"/>
    </w:pPr>
    <w:rPr>
      <w:b/>
      <w:spacing w:val="-20"/>
      <w:w w:val="110"/>
      <w:sz w:val="52"/>
    </w:rPr>
  </w:style>
  <w:style w:type="paragraph" w:styleId="17">
    <w:name w:val="Body Text"/>
    <w:basedOn w:val="1"/>
    <w:next w:val="1"/>
    <w:link w:val="59"/>
    <w:qFormat/>
    <w:uiPriority w:val="99"/>
    <w:pPr>
      <w:jc w:val="left"/>
    </w:pPr>
    <w:rPr>
      <w:rFonts w:ascii="Copperplate Gothic Bold" w:hAnsi="Copperplate Gothic Bold"/>
      <w:sz w:val="28"/>
    </w:rPr>
  </w:style>
  <w:style w:type="paragraph" w:styleId="18">
    <w:name w:val="Body Text Indent"/>
    <w:basedOn w:val="1"/>
    <w:link w:val="60"/>
    <w:qFormat/>
    <w:uiPriority w:val="99"/>
    <w:pPr>
      <w:spacing w:line="640" w:lineRule="exact"/>
      <w:ind w:firstLine="585"/>
    </w:pPr>
    <w:rPr>
      <w:rFonts w:ascii="楷体_GB2312" w:eastAsia="楷体_GB2312"/>
      <w:sz w:val="32"/>
    </w:rPr>
  </w:style>
  <w:style w:type="paragraph" w:styleId="19">
    <w:name w:val="Block Text"/>
    <w:basedOn w:val="1"/>
    <w:qFormat/>
    <w:uiPriority w:val="99"/>
    <w:pPr>
      <w:adjustRightInd w:val="0"/>
      <w:ind w:left="420" w:right="33"/>
      <w:jc w:val="left"/>
      <w:textAlignment w:val="baseline"/>
    </w:pPr>
    <w:rPr>
      <w:kern w:val="0"/>
      <w:sz w:val="24"/>
    </w:rPr>
  </w:style>
  <w:style w:type="paragraph" w:styleId="20">
    <w:name w:val="toc 3"/>
    <w:basedOn w:val="1"/>
    <w:next w:val="1"/>
    <w:qFormat/>
    <w:uiPriority w:val="99"/>
    <w:pPr>
      <w:ind w:left="840" w:leftChars="400"/>
    </w:pPr>
    <w:rPr>
      <w:szCs w:val="24"/>
    </w:rPr>
  </w:style>
  <w:style w:type="paragraph" w:styleId="21">
    <w:name w:val="Plain Text"/>
    <w:basedOn w:val="1"/>
    <w:link w:val="61"/>
    <w:qFormat/>
    <w:uiPriority w:val="99"/>
    <w:rPr>
      <w:rFonts w:ascii="宋体" w:hAnsi="Courier New"/>
    </w:rPr>
  </w:style>
  <w:style w:type="paragraph" w:styleId="22">
    <w:name w:val="Date"/>
    <w:basedOn w:val="1"/>
    <w:next w:val="1"/>
    <w:link w:val="62"/>
    <w:qFormat/>
    <w:uiPriority w:val="99"/>
    <w:rPr>
      <w:rFonts w:ascii="Copperplate Gothic Bold" w:hAnsi="Copperplate Gothic Bold"/>
      <w:sz w:val="32"/>
    </w:rPr>
  </w:style>
  <w:style w:type="paragraph" w:styleId="23">
    <w:name w:val="Body Text Indent 2"/>
    <w:basedOn w:val="1"/>
    <w:link w:val="63"/>
    <w:qFormat/>
    <w:uiPriority w:val="99"/>
    <w:pPr>
      <w:spacing w:line="640" w:lineRule="exact"/>
      <w:ind w:firstLine="645"/>
    </w:pPr>
    <w:rPr>
      <w:rFonts w:ascii="楷体_GB2312" w:eastAsia="楷体_GB2312"/>
      <w:sz w:val="32"/>
    </w:rPr>
  </w:style>
  <w:style w:type="paragraph" w:styleId="24">
    <w:name w:val="Balloon Text"/>
    <w:basedOn w:val="1"/>
    <w:link w:val="64"/>
    <w:qFormat/>
    <w:uiPriority w:val="99"/>
    <w:rPr>
      <w:sz w:val="18"/>
      <w:szCs w:val="18"/>
    </w:rPr>
  </w:style>
  <w:style w:type="paragraph" w:styleId="25">
    <w:name w:val="footer"/>
    <w:basedOn w:val="1"/>
    <w:link w:val="65"/>
    <w:qFormat/>
    <w:uiPriority w:val="99"/>
    <w:pPr>
      <w:tabs>
        <w:tab w:val="center" w:pos="4153"/>
        <w:tab w:val="right" w:pos="8306"/>
      </w:tabs>
      <w:snapToGrid w:val="0"/>
      <w:jc w:val="left"/>
    </w:pPr>
    <w:rPr>
      <w:sz w:val="18"/>
      <w:szCs w:val="18"/>
    </w:rPr>
  </w:style>
  <w:style w:type="paragraph" w:styleId="26">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spacing w:line="720" w:lineRule="auto"/>
    </w:pPr>
    <w:rPr>
      <w:szCs w:val="24"/>
    </w:rPr>
  </w:style>
  <w:style w:type="paragraph" w:styleId="28">
    <w:name w:val="Body Text Indent 3"/>
    <w:basedOn w:val="1"/>
    <w:link w:val="67"/>
    <w:qFormat/>
    <w:uiPriority w:val="99"/>
    <w:pPr>
      <w:ind w:firstLine="645"/>
    </w:pPr>
    <w:rPr>
      <w:rFonts w:ascii="宋体" w:hAnsi="Copperplate Gothic Bold"/>
      <w:sz w:val="28"/>
    </w:rPr>
  </w:style>
  <w:style w:type="paragraph" w:styleId="29">
    <w:name w:val="toc 2"/>
    <w:basedOn w:val="1"/>
    <w:next w:val="1"/>
    <w:qFormat/>
    <w:uiPriority w:val="99"/>
    <w:pPr>
      <w:ind w:left="420" w:leftChars="200"/>
    </w:pPr>
    <w:rPr>
      <w:szCs w:val="24"/>
    </w:rPr>
  </w:style>
  <w:style w:type="paragraph" w:styleId="30">
    <w:name w:val="Body Text 2"/>
    <w:basedOn w:val="1"/>
    <w:link w:val="68"/>
    <w:qFormat/>
    <w:uiPriority w:val="99"/>
    <w:rPr>
      <w:rFonts w:ascii="楷体_GB2312" w:hAnsi="Copperplate Gothic Bold" w:eastAsia="楷体_GB2312"/>
      <w:sz w:val="28"/>
    </w:rPr>
  </w:style>
  <w:style w:type="paragraph" w:styleId="31">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qFormat/>
    <w:locked/>
    <w:uiPriority w:val="0"/>
  </w:style>
  <w:style w:type="paragraph" w:styleId="33">
    <w:name w:val="Title"/>
    <w:basedOn w:val="1"/>
    <w:link w:val="69"/>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 w:type="paragraph" w:styleId="34">
    <w:name w:val="Body Text First Indent"/>
    <w:basedOn w:val="17"/>
    <w:qFormat/>
    <w:locked/>
    <w:uiPriority w:val="0"/>
    <w:pPr>
      <w:adjustRightInd w:val="0"/>
      <w:ind w:firstLine="420"/>
      <w:textAlignment w:val="baseline"/>
    </w:pPr>
    <w:rPr>
      <w:kern w:val="0"/>
    </w:rPr>
  </w:style>
  <w:style w:type="paragraph" w:styleId="35">
    <w:name w:val="Body Text First Indent 2"/>
    <w:basedOn w:val="18"/>
    <w:qFormat/>
    <w:locked/>
    <w:uiPriority w:val="99"/>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99"/>
    <w:rPr>
      <w:rFonts w:cs="Times New Roman"/>
      <w:b/>
    </w:rPr>
  </w:style>
  <w:style w:type="character" w:styleId="40">
    <w:name w:val="page number"/>
    <w:basedOn w:val="38"/>
    <w:qFormat/>
    <w:uiPriority w:val="99"/>
    <w:rPr>
      <w:rFonts w:cs="Times New Roman"/>
    </w:rPr>
  </w:style>
  <w:style w:type="character" w:styleId="41">
    <w:name w:val="FollowedHyperlink"/>
    <w:basedOn w:val="38"/>
    <w:qFormat/>
    <w:uiPriority w:val="99"/>
    <w:rPr>
      <w:rFonts w:cs="Times New Roman"/>
      <w:color w:val="800080"/>
      <w:u w:val="single"/>
    </w:rPr>
  </w:style>
  <w:style w:type="character" w:styleId="42">
    <w:name w:val="Emphasis"/>
    <w:basedOn w:val="38"/>
    <w:qFormat/>
    <w:uiPriority w:val="99"/>
    <w:rPr>
      <w:rFonts w:cs="Times New Roman"/>
      <w:i/>
      <w:iCs/>
    </w:rPr>
  </w:style>
  <w:style w:type="character" w:styleId="43">
    <w:name w:val="Hyperlink"/>
    <w:basedOn w:val="38"/>
    <w:qFormat/>
    <w:uiPriority w:val="99"/>
    <w:rPr>
      <w:rFonts w:cs="Times New Roman"/>
      <w:color w:val="0000FF"/>
      <w:u w:val="single"/>
    </w:rPr>
  </w:style>
  <w:style w:type="character" w:styleId="44">
    <w:name w:val="annotation reference"/>
    <w:basedOn w:val="38"/>
    <w:qFormat/>
    <w:uiPriority w:val="99"/>
    <w:rPr>
      <w:rFonts w:cs="Times New Roman"/>
      <w:sz w:val="21"/>
    </w:rPr>
  </w:style>
  <w:style w:type="paragraph" w:customStyle="1" w:styleId="45">
    <w:name w:val="列出段落1"/>
    <w:basedOn w:val="1"/>
    <w:qFormat/>
    <w:uiPriority w:val="99"/>
    <w:pPr>
      <w:ind w:firstLine="420" w:firstLineChars="200"/>
    </w:pPr>
  </w:style>
  <w:style w:type="paragraph" w:customStyle="1" w:styleId="46">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7">
    <w:name w:val="标题 1 字符"/>
    <w:basedOn w:val="38"/>
    <w:link w:val="3"/>
    <w:qFormat/>
    <w:locked/>
    <w:uiPriority w:val="0"/>
    <w:rPr>
      <w:rFonts w:ascii="黑体" w:hAnsi="Times New Roman" w:eastAsia="黑体" w:cs="Times New Roman"/>
      <w:sz w:val="20"/>
      <w:szCs w:val="20"/>
    </w:rPr>
  </w:style>
  <w:style w:type="character" w:customStyle="1" w:styleId="48">
    <w:name w:val="标题 2 字符"/>
    <w:basedOn w:val="38"/>
    <w:link w:val="4"/>
    <w:qFormat/>
    <w:locked/>
    <w:uiPriority w:val="0"/>
    <w:rPr>
      <w:rFonts w:ascii="黑体" w:hAnsi="Copperplate Gothic Bold" w:eastAsia="楷体_GB2312" w:cs="Times New Roman"/>
      <w:sz w:val="20"/>
      <w:szCs w:val="20"/>
    </w:rPr>
  </w:style>
  <w:style w:type="character" w:customStyle="1" w:styleId="49">
    <w:name w:val="标题 3 字符"/>
    <w:basedOn w:val="38"/>
    <w:link w:val="5"/>
    <w:qFormat/>
    <w:locked/>
    <w:uiPriority w:val="0"/>
    <w:rPr>
      <w:rFonts w:ascii="楷体_GB2312" w:hAnsi="Times New Roman" w:eastAsia="楷体_GB2312" w:cs="Times New Roman"/>
      <w:sz w:val="20"/>
      <w:szCs w:val="20"/>
    </w:rPr>
  </w:style>
  <w:style w:type="character" w:customStyle="1" w:styleId="50">
    <w:name w:val="标题 4 字符"/>
    <w:basedOn w:val="38"/>
    <w:link w:val="6"/>
    <w:qFormat/>
    <w:locked/>
    <w:uiPriority w:val="99"/>
    <w:rPr>
      <w:rFonts w:ascii="楷体_GB2312" w:hAnsi="Times New Roman" w:eastAsia="楷体_GB2312" w:cs="Times New Roman"/>
      <w:sz w:val="20"/>
      <w:szCs w:val="20"/>
    </w:rPr>
  </w:style>
  <w:style w:type="character" w:customStyle="1" w:styleId="51">
    <w:name w:val="标题 5 字符"/>
    <w:basedOn w:val="38"/>
    <w:link w:val="7"/>
    <w:qFormat/>
    <w:locked/>
    <w:uiPriority w:val="99"/>
    <w:rPr>
      <w:rFonts w:cs="Times New Roman"/>
      <w:b/>
      <w:bCs/>
      <w:kern w:val="2"/>
      <w:sz w:val="28"/>
      <w:szCs w:val="28"/>
    </w:rPr>
  </w:style>
  <w:style w:type="character" w:customStyle="1" w:styleId="52">
    <w:name w:val="标题 6 字符"/>
    <w:basedOn w:val="38"/>
    <w:link w:val="8"/>
    <w:qFormat/>
    <w:locked/>
    <w:uiPriority w:val="99"/>
    <w:rPr>
      <w:rFonts w:ascii="Arial" w:hAnsi="Arial" w:eastAsia="黑体" w:cs="Times New Roman"/>
      <w:b/>
      <w:bCs/>
      <w:sz w:val="24"/>
      <w:szCs w:val="24"/>
    </w:rPr>
  </w:style>
  <w:style w:type="character" w:customStyle="1" w:styleId="53">
    <w:name w:val="标题 7 字符"/>
    <w:basedOn w:val="38"/>
    <w:link w:val="9"/>
    <w:qFormat/>
    <w:locked/>
    <w:uiPriority w:val="99"/>
    <w:rPr>
      <w:rFonts w:cs="Times New Roman"/>
      <w:b/>
      <w:bCs/>
      <w:sz w:val="24"/>
      <w:szCs w:val="24"/>
    </w:rPr>
  </w:style>
  <w:style w:type="character" w:customStyle="1" w:styleId="54">
    <w:name w:val="标题 8 字符"/>
    <w:basedOn w:val="38"/>
    <w:link w:val="10"/>
    <w:qFormat/>
    <w:locked/>
    <w:uiPriority w:val="99"/>
    <w:rPr>
      <w:rFonts w:ascii="Arial" w:hAnsi="Arial" w:eastAsia="黑体" w:cs="Times New Roman"/>
      <w:sz w:val="24"/>
      <w:szCs w:val="24"/>
    </w:rPr>
  </w:style>
  <w:style w:type="character" w:customStyle="1" w:styleId="55">
    <w:name w:val="标题 9 字符"/>
    <w:basedOn w:val="38"/>
    <w:link w:val="11"/>
    <w:qFormat/>
    <w:locked/>
    <w:uiPriority w:val="99"/>
    <w:rPr>
      <w:rFonts w:ascii="Arial" w:hAnsi="Arial" w:eastAsia="黑体" w:cs="Times New Roman"/>
      <w:sz w:val="21"/>
      <w:szCs w:val="21"/>
    </w:rPr>
  </w:style>
  <w:style w:type="character" w:customStyle="1" w:styleId="56">
    <w:name w:val="文档结构图 字符"/>
    <w:basedOn w:val="38"/>
    <w:link w:val="13"/>
    <w:semiHidden/>
    <w:qFormat/>
    <w:locked/>
    <w:uiPriority w:val="99"/>
    <w:rPr>
      <w:rFonts w:ascii="Times New Roman" w:hAnsi="Times New Roman" w:eastAsia="宋体" w:cs="Times New Roman"/>
      <w:sz w:val="20"/>
      <w:szCs w:val="20"/>
      <w:shd w:val="clear" w:color="auto" w:fill="000080"/>
    </w:rPr>
  </w:style>
  <w:style w:type="character" w:customStyle="1" w:styleId="57">
    <w:name w:val="批注文字 字符"/>
    <w:basedOn w:val="38"/>
    <w:link w:val="15"/>
    <w:semiHidden/>
    <w:qFormat/>
    <w:locked/>
    <w:uiPriority w:val="99"/>
    <w:rPr>
      <w:rFonts w:ascii="Times New Roman" w:hAnsi="Times New Roman" w:eastAsia="宋体" w:cs="Times New Roman"/>
      <w:sz w:val="20"/>
      <w:szCs w:val="20"/>
    </w:rPr>
  </w:style>
  <w:style w:type="character" w:customStyle="1" w:styleId="58">
    <w:name w:val="正文文本 3 字符"/>
    <w:basedOn w:val="38"/>
    <w:link w:val="16"/>
    <w:qFormat/>
    <w:locked/>
    <w:uiPriority w:val="99"/>
    <w:rPr>
      <w:rFonts w:ascii="Times New Roman" w:hAnsi="Times New Roman" w:eastAsia="宋体" w:cs="Times New Roman"/>
      <w:b/>
      <w:spacing w:val="-20"/>
      <w:w w:val="110"/>
      <w:sz w:val="20"/>
      <w:szCs w:val="20"/>
    </w:rPr>
  </w:style>
  <w:style w:type="character" w:customStyle="1" w:styleId="59">
    <w:name w:val="正文文本 字符"/>
    <w:basedOn w:val="38"/>
    <w:link w:val="17"/>
    <w:qFormat/>
    <w:locked/>
    <w:uiPriority w:val="99"/>
    <w:rPr>
      <w:rFonts w:ascii="Copperplate Gothic Bold" w:hAnsi="Copperplate Gothic Bold" w:eastAsia="宋体" w:cs="Times New Roman"/>
      <w:sz w:val="20"/>
      <w:szCs w:val="20"/>
    </w:rPr>
  </w:style>
  <w:style w:type="character" w:customStyle="1" w:styleId="60">
    <w:name w:val="正文文本缩进 字符"/>
    <w:basedOn w:val="38"/>
    <w:link w:val="18"/>
    <w:qFormat/>
    <w:locked/>
    <w:uiPriority w:val="99"/>
    <w:rPr>
      <w:rFonts w:ascii="楷体_GB2312" w:hAnsi="Times New Roman" w:eastAsia="楷体_GB2312" w:cs="Times New Roman"/>
      <w:sz w:val="20"/>
      <w:szCs w:val="20"/>
    </w:rPr>
  </w:style>
  <w:style w:type="character" w:customStyle="1" w:styleId="61">
    <w:name w:val="纯文本 字符"/>
    <w:basedOn w:val="38"/>
    <w:link w:val="21"/>
    <w:qFormat/>
    <w:locked/>
    <w:uiPriority w:val="99"/>
    <w:rPr>
      <w:rFonts w:ascii="宋体" w:hAnsi="Courier New" w:eastAsia="宋体" w:cs="Times New Roman"/>
      <w:sz w:val="20"/>
      <w:szCs w:val="20"/>
    </w:rPr>
  </w:style>
  <w:style w:type="character" w:customStyle="1" w:styleId="62">
    <w:name w:val="日期 字符"/>
    <w:basedOn w:val="38"/>
    <w:link w:val="22"/>
    <w:qFormat/>
    <w:locked/>
    <w:uiPriority w:val="99"/>
    <w:rPr>
      <w:rFonts w:ascii="Copperplate Gothic Bold" w:hAnsi="Copperplate Gothic Bold" w:eastAsia="宋体" w:cs="Times New Roman"/>
      <w:sz w:val="20"/>
      <w:szCs w:val="20"/>
    </w:rPr>
  </w:style>
  <w:style w:type="character" w:customStyle="1" w:styleId="63">
    <w:name w:val="正文文本缩进 2 字符"/>
    <w:basedOn w:val="38"/>
    <w:link w:val="23"/>
    <w:qFormat/>
    <w:locked/>
    <w:uiPriority w:val="99"/>
    <w:rPr>
      <w:rFonts w:ascii="楷体_GB2312" w:hAnsi="Times New Roman" w:eastAsia="楷体_GB2312" w:cs="Times New Roman"/>
      <w:sz w:val="20"/>
      <w:szCs w:val="20"/>
    </w:rPr>
  </w:style>
  <w:style w:type="character" w:customStyle="1" w:styleId="64">
    <w:name w:val="批注框文本 字符"/>
    <w:basedOn w:val="38"/>
    <w:link w:val="24"/>
    <w:semiHidden/>
    <w:qFormat/>
    <w:locked/>
    <w:uiPriority w:val="99"/>
    <w:rPr>
      <w:rFonts w:ascii="Times New Roman" w:hAnsi="Times New Roman" w:eastAsia="宋体" w:cs="Times New Roman"/>
      <w:sz w:val="18"/>
      <w:szCs w:val="18"/>
    </w:rPr>
  </w:style>
  <w:style w:type="character" w:customStyle="1" w:styleId="65">
    <w:name w:val="页脚 字符"/>
    <w:basedOn w:val="38"/>
    <w:link w:val="25"/>
    <w:qFormat/>
    <w:locked/>
    <w:uiPriority w:val="99"/>
    <w:rPr>
      <w:rFonts w:cs="Times New Roman"/>
      <w:sz w:val="18"/>
      <w:szCs w:val="18"/>
    </w:rPr>
  </w:style>
  <w:style w:type="character" w:customStyle="1" w:styleId="66">
    <w:name w:val="页眉 字符"/>
    <w:basedOn w:val="38"/>
    <w:link w:val="26"/>
    <w:qFormat/>
    <w:locked/>
    <w:uiPriority w:val="99"/>
    <w:rPr>
      <w:rFonts w:cs="Times New Roman"/>
      <w:sz w:val="18"/>
      <w:szCs w:val="18"/>
    </w:rPr>
  </w:style>
  <w:style w:type="character" w:customStyle="1" w:styleId="67">
    <w:name w:val="正文文本缩进 3 字符"/>
    <w:basedOn w:val="38"/>
    <w:link w:val="28"/>
    <w:qFormat/>
    <w:locked/>
    <w:uiPriority w:val="99"/>
    <w:rPr>
      <w:rFonts w:ascii="宋体" w:hAnsi="Copperplate Gothic Bold" w:eastAsia="宋体" w:cs="Times New Roman"/>
      <w:sz w:val="20"/>
      <w:szCs w:val="20"/>
    </w:rPr>
  </w:style>
  <w:style w:type="character" w:customStyle="1" w:styleId="68">
    <w:name w:val="正文文本 2 字符"/>
    <w:basedOn w:val="38"/>
    <w:link w:val="30"/>
    <w:qFormat/>
    <w:locked/>
    <w:uiPriority w:val="99"/>
    <w:rPr>
      <w:rFonts w:ascii="楷体_GB2312" w:hAnsi="Copperplate Gothic Bold" w:eastAsia="楷体_GB2312" w:cs="Times New Roman"/>
      <w:sz w:val="20"/>
      <w:szCs w:val="20"/>
    </w:rPr>
  </w:style>
  <w:style w:type="character" w:customStyle="1" w:styleId="69">
    <w:name w:val="标题 字符"/>
    <w:basedOn w:val="38"/>
    <w:link w:val="33"/>
    <w:qFormat/>
    <w:locked/>
    <w:uiPriority w:val="99"/>
    <w:rPr>
      <w:rFonts w:ascii="Arial" w:hAnsi="Arial" w:eastAsia="楷体_GB2312" w:cs="Arial"/>
      <w:b/>
      <w:sz w:val="32"/>
      <w:szCs w:val="32"/>
    </w:rPr>
  </w:style>
  <w:style w:type="paragraph" w:customStyle="1" w:styleId="70">
    <w:name w:val="缺省文本"/>
    <w:basedOn w:val="1"/>
    <w:qFormat/>
    <w:uiPriority w:val="99"/>
    <w:pPr>
      <w:autoSpaceDE w:val="0"/>
      <w:autoSpaceDN w:val="0"/>
      <w:adjustRightInd w:val="0"/>
      <w:jc w:val="left"/>
    </w:pPr>
    <w:rPr>
      <w:kern w:val="0"/>
      <w:sz w:val="24"/>
    </w:rPr>
  </w:style>
  <w:style w:type="paragraph" w:customStyle="1" w:styleId="71">
    <w:name w:val="??¨???¨????ì?¨¨??¨?o??????ì?¨¨?"/>
    <w:basedOn w:val="1"/>
    <w:qFormat/>
    <w:uiPriority w:val="99"/>
    <w:pPr>
      <w:autoSpaceDE w:val="0"/>
      <w:autoSpaceDN w:val="0"/>
      <w:adjustRightInd w:val="0"/>
      <w:jc w:val="left"/>
    </w:pPr>
    <w:rPr>
      <w:kern w:val="0"/>
      <w:sz w:val="24"/>
    </w:rPr>
  </w:style>
  <w:style w:type="paragraph" w:customStyle="1" w:styleId="72">
    <w:name w:val="?§?§?¨¤?§o????¨¤?"/>
    <w:basedOn w:val="1"/>
    <w:qFormat/>
    <w:uiPriority w:val="99"/>
    <w:pPr>
      <w:autoSpaceDE w:val="0"/>
      <w:autoSpaceDN w:val="0"/>
      <w:adjustRightInd w:val="0"/>
      <w:jc w:val="left"/>
    </w:pPr>
    <w:rPr>
      <w:kern w:val="0"/>
      <w:sz w:val="24"/>
    </w:rPr>
  </w:style>
  <w:style w:type="paragraph" w:customStyle="1" w:styleId="73">
    <w:name w:val="正文段"/>
    <w:basedOn w:val="1"/>
    <w:qFormat/>
    <w:uiPriority w:val="99"/>
    <w:pPr>
      <w:adjustRightInd w:val="0"/>
      <w:snapToGrid w:val="0"/>
      <w:spacing w:line="360" w:lineRule="auto"/>
    </w:pPr>
    <w:rPr>
      <w:rFonts w:eastAsia="仿宋_GB2312"/>
      <w:spacing w:val="-8"/>
      <w:sz w:val="24"/>
    </w:rPr>
  </w:style>
  <w:style w:type="paragraph" w:customStyle="1" w:styleId="74">
    <w:name w:val="Char"/>
    <w:basedOn w:val="1"/>
    <w:qFormat/>
    <w:uiPriority w:val="99"/>
    <w:rPr>
      <w:rFonts w:ascii="Tahoma" w:hAnsi="Tahoma"/>
      <w:sz w:val="24"/>
    </w:rPr>
  </w:style>
  <w:style w:type="paragraph" w:customStyle="1" w:styleId="75">
    <w:name w:val="Char Char Char"/>
    <w:basedOn w:val="1"/>
    <w:qFormat/>
    <w:uiPriority w:val="99"/>
  </w:style>
  <w:style w:type="paragraph" w:customStyle="1" w:styleId="76">
    <w:name w:val="Char Char Char Char"/>
    <w:basedOn w:val="1"/>
    <w:qFormat/>
    <w:uiPriority w:val="99"/>
    <w:pPr>
      <w:widowControl/>
      <w:spacing w:after="160" w:line="240" w:lineRule="exact"/>
      <w:jc w:val="center"/>
    </w:pPr>
    <w:rPr>
      <w:rFonts w:ascii="宋体" w:hAnsi="宋体"/>
      <w:b/>
      <w:kern w:val="0"/>
      <w:sz w:val="28"/>
      <w:szCs w:val="28"/>
      <w:lang w:eastAsia="en-US"/>
    </w:rPr>
  </w:style>
  <w:style w:type="paragraph" w:customStyle="1" w:styleId="77">
    <w:name w:val="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78">
    <w:name w:val="文档正文"/>
    <w:basedOn w:val="1"/>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7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0">
    <w:name w:val="图"/>
    <w:basedOn w:val="1"/>
    <w:next w:val="78"/>
    <w:qFormat/>
    <w:uiPriority w:val="99"/>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81">
    <w:name w:val="Char1"/>
    <w:basedOn w:val="1"/>
    <w:qFormat/>
    <w:uiPriority w:val="0"/>
    <w:pPr>
      <w:tabs>
        <w:tab w:val="left" w:pos="360"/>
      </w:tabs>
    </w:pPr>
    <w:rPr>
      <w:sz w:val="24"/>
      <w:szCs w:val="24"/>
    </w:rPr>
  </w:style>
  <w:style w:type="paragraph" w:customStyle="1" w:styleId="82">
    <w:name w:val="Char1 Char Char Char"/>
    <w:basedOn w:val="1"/>
    <w:qFormat/>
    <w:uiPriority w:val="99"/>
    <w:rPr>
      <w:rFonts w:ascii="Tahoma" w:hAnsi="Tahoma"/>
      <w:szCs w:val="24"/>
    </w:rPr>
  </w:style>
  <w:style w:type="paragraph" w:customStyle="1" w:styleId="83">
    <w:name w:val="1册标题2"/>
    <w:basedOn w:val="1"/>
    <w:next w:val="1"/>
    <w:qFormat/>
    <w:uiPriority w:val="99"/>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84">
    <w:name w:val="Char Char Char Char1"/>
    <w:basedOn w:val="1"/>
    <w:qFormat/>
    <w:uiPriority w:val="99"/>
    <w:pPr>
      <w:tabs>
        <w:tab w:val="left" w:pos="360"/>
      </w:tabs>
    </w:pPr>
    <w:rPr>
      <w:sz w:val="24"/>
      <w:szCs w:val="24"/>
    </w:rPr>
  </w:style>
  <w:style w:type="paragraph" w:customStyle="1" w:styleId="85">
    <w:name w:val="pa-11"/>
    <w:basedOn w:val="1"/>
    <w:qFormat/>
    <w:uiPriority w:val="99"/>
    <w:pPr>
      <w:widowControl/>
      <w:spacing w:line="400" w:lineRule="atLeast"/>
      <w:jc w:val="center"/>
    </w:pPr>
    <w:rPr>
      <w:rFonts w:ascii="宋体" w:hAnsi="宋体" w:cs="宋体"/>
      <w:kern w:val="0"/>
      <w:sz w:val="24"/>
      <w:szCs w:val="24"/>
    </w:rPr>
  </w:style>
  <w:style w:type="paragraph" w:customStyle="1" w:styleId="86">
    <w:name w:val="正文基本样式"/>
    <w:basedOn w:val="1"/>
    <w:qFormat/>
    <w:uiPriority w:val="99"/>
    <w:pPr>
      <w:spacing w:line="336" w:lineRule="auto"/>
      <w:ind w:firstLine="580"/>
    </w:pPr>
    <w:rPr>
      <w:rFonts w:eastAsia="仿宋_GB2312" w:cs="宋体"/>
      <w:sz w:val="28"/>
    </w:rPr>
  </w:style>
  <w:style w:type="character" w:customStyle="1" w:styleId="87">
    <w:name w:val="base"/>
    <w:basedOn w:val="38"/>
    <w:qFormat/>
    <w:uiPriority w:val="99"/>
    <w:rPr>
      <w:rFonts w:cs="Times New Roman"/>
    </w:rPr>
  </w:style>
  <w:style w:type="character" w:customStyle="1" w:styleId="88">
    <w:name w:val="unnamed11"/>
    <w:basedOn w:val="38"/>
    <w:qFormat/>
    <w:uiPriority w:val="99"/>
    <w:rPr>
      <w:rFonts w:cs="Times New Roman"/>
    </w:rPr>
  </w:style>
  <w:style w:type="character" w:customStyle="1" w:styleId="89">
    <w:name w:val="style4"/>
    <w:basedOn w:val="38"/>
    <w:qFormat/>
    <w:uiPriority w:val="99"/>
    <w:rPr>
      <w:rFonts w:ascii="Arial" w:hAnsi="Arial" w:cs="Arial"/>
      <w:sz w:val="20"/>
      <w:szCs w:val="20"/>
    </w:rPr>
  </w:style>
  <w:style w:type="character" w:customStyle="1" w:styleId="90">
    <w:name w:val="Char Char3"/>
    <w:basedOn w:val="38"/>
    <w:qFormat/>
    <w:uiPriority w:val="99"/>
    <w:rPr>
      <w:rFonts w:eastAsia="宋体" w:cs="Times New Roman"/>
      <w:kern w:val="2"/>
      <w:sz w:val="18"/>
      <w:lang w:val="en-US" w:eastAsia="zh-CN" w:bidi="ar-SA"/>
    </w:rPr>
  </w:style>
  <w:style w:type="character" w:customStyle="1" w:styleId="91">
    <w:name w:val="正文缩进 字符"/>
    <w:basedOn w:val="38"/>
    <w:link w:val="12"/>
    <w:qFormat/>
    <w:locked/>
    <w:uiPriority w:val="0"/>
    <w:rPr>
      <w:rFonts w:ascii="Times New Roman" w:hAnsi="Times New Roman" w:eastAsia="宋体" w:cs="Times New Roman"/>
      <w:sz w:val="20"/>
      <w:szCs w:val="20"/>
    </w:rPr>
  </w:style>
  <w:style w:type="character" w:customStyle="1" w:styleId="92">
    <w:name w:val="hui3"/>
    <w:basedOn w:val="38"/>
    <w:qFormat/>
    <w:uiPriority w:val="99"/>
    <w:rPr>
      <w:rFonts w:cs="Times New Roman"/>
      <w:color w:val="333333"/>
    </w:rPr>
  </w:style>
  <w:style w:type="paragraph" w:customStyle="1" w:styleId="93">
    <w:name w:val="List Paragraph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94">
    <w:name w:val="Blockquote Char Char"/>
    <w:link w:val="95"/>
    <w:qFormat/>
    <w:locked/>
    <w:uiPriority w:val="99"/>
    <w:rPr>
      <w:sz w:val="24"/>
    </w:rPr>
  </w:style>
  <w:style w:type="paragraph" w:customStyle="1" w:styleId="95">
    <w:name w:val="Blockquote"/>
    <w:basedOn w:val="1"/>
    <w:link w:val="94"/>
    <w:qFormat/>
    <w:uiPriority w:val="99"/>
    <w:pPr>
      <w:autoSpaceDE w:val="0"/>
      <w:autoSpaceDN w:val="0"/>
      <w:adjustRightInd w:val="0"/>
      <w:spacing w:before="100" w:after="100"/>
      <w:ind w:left="360" w:right="360"/>
      <w:jc w:val="left"/>
    </w:pPr>
    <w:rPr>
      <w:kern w:val="0"/>
      <w:sz w:val="24"/>
    </w:rPr>
  </w:style>
  <w:style w:type="character" w:customStyle="1" w:styleId="96">
    <w:name w:val="rili11"/>
    <w:qFormat/>
    <w:uiPriority w:val="99"/>
    <w:rPr>
      <w:sz w:val="21"/>
    </w:rPr>
  </w:style>
  <w:style w:type="character" w:customStyle="1" w:styleId="97">
    <w:name w:val="Char Char Char Char Char Char Char Char Char"/>
    <w:qFormat/>
    <w:uiPriority w:val="99"/>
    <w:rPr>
      <w:sz w:val="18"/>
    </w:rPr>
  </w:style>
  <w:style w:type="paragraph" w:customStyle="1" w:styleId="98">
    <w:name w:val="Char2"/>
    <w:basedOn w:val="1"/>
    <w:qFormat/>
    <w:uiPriority w:val="99"/>
    <w:pPr>
      <w:widowControl/>
      <w:spacing w:after="160" w:line="240" w:lineRule="exact"/>
      <w:jc w:val="left"/>
    </w:pPr>
    <w:rPr>
      <w:szCs w:val="24"/>
    </w:rPr>
  </w:style>
  <w:style w:type="paragraph" w:customStyle="1" w:styleId="99">
    <w:name w:val="表格文字"/>
    <w:basedOn w:val="1"/>
    <w:qFormat/>
    <w:uiPriority w:val="99"/>
    <w:pPr>
      <w:adjustRightInd w:val="0"/>
      <w:spacing w:line="420" w:lineRule="atLeast"/>
      <w:jc w:val="left"/>
      <w:textAlignment w:val="baseline"/>
    </w:pPr>
    <w:rPr>
      <w:kern w:val="0"/>
    </w:rPr>
  </w:style>
  <w:style w:type="paragraph" w:customStyle="1" w:styleId="10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01">
    <w:name w:val="Char Char1"/>
    <w:basedOn w:val="1"/>
    <w:qFormat/>
    <w:uiPriority w:val="99"/>
    <w:pPr>
      <w:adjustRightInd w:val="0"/>
      <w:spacing w:line="440" w:lineRule="exact"/>
    </w:pPr>
    <w:rPr>
      <w:rFonts w:ascii="宋体"/>
      <w:kern w:val="0"/>
      <w:sz w:val="28"/>
      <w:szCs w:val="27"/>
    </w:rPr>
  </w:style>
  <w:style w:type="paragraph" w:customStyle="1" w:styleId="102">
    <w:name w:val="Char Char1 Char Char Char Char Char Char Char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03">
    <w:name w:val="Char Char1 Char Char Char Char Char Char Char Char Char Char Char Char 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04">
    <w:name w:val="Char Char Char1"/>
    <w:basedOn w:val="1"/>
    <w:qFormat/>
    <w:uiPriority w:val="99"/>
    <w:pPr>
      <w:widowControl/>
      <w:spacing w:after="160" w:line="240" w:lineRule="exact"/>
      <w:jc w:val="left"/>
    </w:pPr>
    <w:rPr>
      <w:szCs w:val="24"/>
    </w:rPr>
  </w:style>
  <w:style w:type="paragraph" w:customStyle="1" w:styleId="105">
    <w:name w:val="Char Char Char Char Char Char Char"/>
    <w:basedOn w:val="1"/>
    <w:qFormat/>
    <w:uiPriority w:val="99"/>
    <w:rPr>
      <w:rFonts w:ascii="Tahoma" w:hAnsi="Tahoma"/>
      <w:sz w:val="24"/>
    </w:rPr>
  </w:style>
  <w:style w:type="paragraph" w:customStyle="1" w:styleId="106">
    <w:name w:val="Char Char Char Char Char Char Char1"/>
    <w:basedOn w:val="1"/>
    <w:qFormat/>
    <w:uiPriority w:val="99"/>
    <w:rPr>
      <w:rFonts w:ascii="Tahoma" w:hAnsi="Tahoma"/>
      <w:sz w:val="24"/>
      <w:szCs w:val="24"/>
    </w:rPr>
  </w:style>
  <w:style w:type="paragraph" w:customStyle="1" w:styleId="107">
    <w:name w:val="目录"/>
    <w:basedOn w:val="1"/>
    <w:qFormat/>
    <w:uiPriority w:val="99"/>
    <w:pPr>
      <w:widowControl/>
      <w:jc w:val="center"/>
    </w:pPr>
    <w:rPr>
      <w:rFonts w:ascii="宋体"/>
      <w:b/>
      <w:kern w:val="0"/>
      <w:sz w:val="36"/>
    </w:rPr>
  </w:style>
  <w:style w:type="paragraph" w:customStyle="1" w:styleId="108">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09">
    <w:name w:val="Char Char Char Char2"/>
    <w:basedOn w:val="1"/>
    <w:qFormat/>
    <w:uiPriority w:val="99"/>
    <w:pPr>
      <w:widowControl/>
      <w:spacing w:after="160" w:line="240" w:lineRule="exact"/>
      <w:jc w:val="left"/>
    </w:pPr>
    <w:rPr>
      <w:szCs w:val="24"/>
    </w:rPr>
  </w:style>
  <w:style w:type="paragraph" w:customStyle="1" w:styleId="1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1">
    <w:name w:val="列表段落 字符"/>
    <w:link w:val="112"/>
    <w:qFormat/>
    <w:uiPriority w:val="0"/>
    <w:rPr>
      <w:szCs w:val="24"/>
    </w:rPr>
  </w:style>
  <w:style w:type="paragraph" w:customStyle="1" w:styleId="112">
    <w:name w:val="列表段落1"/>
    <w:basedOn w:val="1"/>
    <w:link w:val="111"/>
    <w:qFormat/>
    <w:uiPriority w:val="0"/>
    <w:pPr>
      <w:ind w:firstLine="420" w:firstLineChars="200"/>
    </w:pPr>
    <w:rPr>
      <w:szCs w:val="24"/>
    </w:rPr>
  </w:style>
  <w:style w:type="paragraph" w:customStyle="1" w:styleId="113">
    <w:name w:val="表格"/>
    <w:basedOn w:val="1"/>
    <w:qFormat/>
    <w:uiPriority w:val="0"/>
    <w:pPr>
      <w:spacing w:line="400" w:lineRule="exact"/>
    </w:pPr>
    <w:rPr>
      <w:sz w:val="24"/>
      <w:szCs w:val="24"/>
    </w:rPr>
  </w:style>
  <w:style w:type="character" w:customStyle="1" w:styleId="114">
    <w:name w:val="font51"/>
    <w:basedOn w:val="38"/>
    <w:qFormat/>
    <w:uiPriority w:val="0"/>
    <w:rPr>
      <w:rFonts w:hint="eastAsia" w:ascii="宋体" w:hAnsi="宋体" w:eastAsia="宋体" w:cs="宋体"/>
      <w:color w:val="000000"/>
      <w:sz w:val="24"/>
      <w:szCs w:val="24"/>
    </w:rPr>
  </w:style>
  <w:style w:type="paragraph" w:customStyle="1" w:styleId="1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6">
    <w:name w:val="font11"/>
    <w:basedOn w:val="38"/>
    <w:qFormat/>
    <w:uiPriority w:val="0"/>
    <w:rPr>
      <w:rFonts w:hint="eastAsia" w:ascii="宋体" w:hAnsi="宋体" w:eastAsia="宋体" w:cs="宋体"/>
      <w:b/>
      <w:color w:val="FF0000"/>
      <w:sz w:val="20"/>
      <w:szCs w:val="20"/>
      <w:u w:val="none"/>
    </w:rPr>
  </w:style>
  <w:style w:type="character" w:customStyle="1" w:styleId="117">
    <w:name w:val="font21"/>
    <w:basedOn w:val="38"/>
    <w:qFormat/>
    <w:uiPriority w:val="0"/>
    <w:rPr>
      <w:rFonts w:hint="eastAsia" w:ascii="宋体" w:hAnsi="宋体" w:eastAsia="宋体" w:cs="宋体"/>
      <w:color w:val="000000"/>
      <w:sz w:val="20"/>
      <w:szCs w:val="20"/>
      <w:u w:val="none"/>
    </w:rPr>
  </w:style>
  <w:style w:type="character" w:customStyle="1" w:styleId="118">
    <w:name w:val="font01"/>
    <w:basedOn w:val="38"/>
    <w:qFormat/>
    <w:uiPriority w:val="0"/>
    <w:rPr>
      <w:rFonts w:hint="eastAsia" w:ascii="宋体" w:hAnsi="宋体" w:eastAsia="宋体" w:cs="宋体"/>
      <w:b/>
      <w:color w:val="000000"/>
      <w:sz w:val="20"/>
      <w:szCs w:val="20"/>
      <w:u w:val="none"/>
    </w:rPr>
  </w:style>
  <w:style w:type="paragraph" w:customStyle="1" w:styleId="119">
    <w:name w:val="样式 首行缩进:  2 字符"/>
    <w:basedOn w:val="1"/>
    <w:qFormat/>
    <w:uiPriority w:val="0"/>
    <w:pPr>
      <w:spacing w:line="400" w:lineRule="exact"/>
      <w:ind w:firstLine="200" w:firstLineChars="200"/>
    </w:pPr>
    <w:rPr>
      <w:rFonts w:cs="宋体"/>
      <w:sz w:val="24"/>
    </w:rPr>
  </w:style>
  <w:style w:type="character" w:customStyle="1" w:styleId="120">
    <w:name w:val="font41"/>
    <w:basedOn w:val="38"/>
    <w:qFormat/>
    <w:uiPriority w:val="0"/>
    <w:rPr>
      <w:rFonts w:hint="default" w:ascii="等线" w:hAnsi="等线" w:eastAsia="等线" w:cs="等线"/>
      <w:color w:val="000000"/>
      <w:sz w:val="22"/>
      <w:szCs w:val="22"/>
      <w:u w:val="none"/>
    </w:rPr>
  </w:style>
  <w:style w:type="paragraph" w:customStyle="1" w:styleId="121">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p15"/>
    <w:basedOn w:val="1"/>
    <w:qFormat/>
    <w:uiPriority w:val="0"/>
    <w:pPr>
      <w:widowControl/>
      <w:spacing w:line="360" w:lineRule="auto"/>
      <w:jc w:val="left"/>
    </w:pPr>
    <w:rPr>
      <w:kern w:val="0"/>
      <w:sz w:val="24"/>
    </w:rPr>
  </w:style>
  <w:style w:type="character" w:customStyle="1" w:styleId="123">
    <w:name w:val="NormalCharacter"/>
    <w:link w:val="124"/>
    <w:semiHidden/>
    <w:qFormat/>
    <w:locked/>
    <w:uiPriority w:val="99"/>
    <w:rPr>
      <w:kern w:val="0"/>
      <w:sz w:val="24"/>
      <w:szCs w:val="20"/>
    </w:rPr>
  </w:style>
  <w:style w:type="paragraph" w:customStyle="1" w:styleId="124">
    <w:name w:val="UserStyle_85"/>
    <w:basedOn w:val="1"/>
    <w:link w:val="123"/>
    <w:qFormat/>
    <w:uiPriority w:val="99"/>
    <w:pPr>
      <w:spacing w:after="160" w:line="240" w:lineRule="exact"/>
    </w:pPr>
    <w:rPr>
      <w:kern w:val="0"/>
      <w:sz w:val="24"/>
    </w:rPr>
  </w:style>
  <w:style w:type="paragraph" w:customStyle="1" w:styleId="125">
    <w:name w:val="Normal_36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6">
    <w:name w:val="Normal_37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7">
    <w:name w:val="标书正文"/>
    <w:basedOn w:val="1"/>
    <w:qFormat/>
    <w:uiPriority w:val="0"/>
    <w:pPr>
      <w:tabs>
        <w:tab w:val="left" w:pos="600"/>
      </w:tabs>
      <w:snapToGrid w:val="0"/>
      <w:spacing w:line="480" w:lineRule="atLeast"/>
      <w:jc w:val="center"/>
    </w:pPr>
    <w:rPr>
      <w:rFonts w:eastAsia="黑体"/>
      <w:b/>
      <w:sz w:val="30"/>
    </w:rPr>
  </w:style>
  <w:style w:type="paragraph" w:customStyle="1" w:styleId="128">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129">
    <w:name w:val="phone"/>
    <w:basedOn w:val="38"/>
    <w:qFormat/>
    <w:uiPriority w:val="0"/>
    <w:rPr>
      <w:color w:val="FF8833"/>
      <w:sz w:val="18"/>
      <w:szCs w:val="18"/>
    </w:rPr>
  </w:style>
  <w:style w:type="character" w:customStyle="1" w:styleId="130">
    <w:name w:val="proollist"/>
    <w:basedOn w:val="38"/>
    <w:qFormat/>
    <w:uiPriority w:val="0"/>
  </w:style>
  <w:style w:type="character" w:customStyle="1" w:styleId="131">
    <w:name w:val="number"/>
    <w:basedOn w:val="38"/>
    <w:qFormat/>
    <w:uiPriority w:val="0"/>
    <w:rPr>
      <w:color w:val="FF8833"/>
      <w:sz w:val="18"/>
      <w:szCs w:val="18"/>
    </w:rPr>
  </w:style>
  <w:style w:type="character" w:customStyle="1" w:styleId="132">
    <w:name w:val="stclosebtn"/>
    <w:basedOn w:val="38"/>
    <w:qFormat/>
    <w:uiPriority w:val="0"/>
  </w:style>
  <w:style w:type="character" w:customStyle="1" w:styleId="133">
    <w:name w:val="beforeinfotext"/>
    <w:basedOn w:val="38"/>
    <w:qFormat/>
    <w:uiPriority w:val="0"/>
    <w:rPr>
      <w:color w:val="666666"/>
    </w:rPr>
  </w:style>
  <w:style w:type="paragraph" w:customStyle="1" w:styleId="134">
    <w:name w:val="表格文字中"/>
    <w:basedOn w:val="1"/>
    <w:qFormat/>
    <w:uiPriority w:val="0"/>
    <w:pPr>
      <w:adjustRightInd w:val="0"/>
      <w:snapToGrid w:val="0"/>
      <w:ind w:left="22" w:leftChars="8"/>
      <w:jc w:val="center"/>
    </w:pPr>
    <w:rPr>
      <w:rFonts w:ascii="宋体"/>
      <w:kern w:val="0"/>
      <w:szCs w:val="24"/>
    </w:rPr>
  </w:style>
  <w:style w:type="character" w:customStyle="1" w:styleId="135">
    <w:name w:val="span-long"/>
    <w:basedOn w:val="38"/>
    <w:qFormat/>
    <w:uiPriority w:val="0"/>
  </w:style>
  <w:style w:type="character" w:customStyle="1" w:styleId="136">
    <w:name w:val="input-direction"/>
    <w:basedOn w:val="38"/>
    <w:qFormat/>
    <w:uiPriority w:val="0"/>
    <w:rPr>
      <w:color w:val="FF6600"/>
    </w:rPr>
  </w:style>
  <w:style w:type="character" w:customStyle="1" w:styleId="137">
    <w:name w:val="active6"/>
    <w:basedOn w:val="38"/>
    <w:qFormat/>
    <w:uiPriority w:val="0"/>
    <w:rPr>
      <w:color w:val="00FF00"/>
      <w:shd w:val="clear" w:color="auto" w:fill="000000"/>
    </w:rPr>
  </w:style>
  <w:style w:type="character" w:customStyle="1" w:styleId="138">
    <w:name w:val="button"/>
    <w:basedOn w:val="38"/>
    <w:qFormat/>
    <w:uiPriority w:val="0"/>
  </w:style>
  <w:style w:type="character" w:customStyle="1" w:styleId="139">
    <w:name w:val="tmpztreemove_arrow"/>
    <w:basedOn w:val="38"/>
    <w:qFormat/>
    <w:uiPriority w:val="0"/>
  </w:style>
  <w:style w:type="character" w:customStyle="1" w:styleId="140">
    <w:name w:val="hilite6"/>
    <w:basedOn w:val="38"/>
    <w:qFormat/>
    <w:uiPriority w:val="0"/>
    <w:rPr>
      <w:color w:val="FFFFFF"/>
      <w:shd w:val="clear" w:color="auto" w:fill="666677"/>
    </w:rPr>
  </w:style>
  <w:style w:type="character" w:customStyle="1" w:styleId="141">
    <w:name w:val="hilite"/>
    <w:basedOn w:val="38"/>
    <w:qFormat/>
    <w:uiPriority w:val="0"/>
    <w:rPr>
      <w:color w:val="FFFFFF"/>
      <w:shd w:val="clear" w:color="auto" w:fill="666677"/>
    </w:rPr>
  </w:style>
  <w:style w:type="character" w:customStyle="1" w:styleId="142">
    <w:name w:val="active"/>
    <w:basedOn w:val="38"/>
    <w:qFormat/>
    <w:uiPriority w:val="0"/>
    <w:rPr>
      <w:color w:val="00FF00"/>
      <w:shd w:val="clear" w:color="auto" w:fill="000000"/>
    </w:rPr>
  </w:style>
  <w:style w:type="paragraph" w:customStyle="1" w:styleId="143">
    <w:name w:val="正文段落文本"/>
    <w:basedOn w:val="1"/>
    <w:qFormat/>
    <w:uiPriority w:val="0"/>
    <w:pPr>
      <w:spacing w:before="50" w:beforeLines="50" w:after="50" w:afterLines="50" w:line="360" w:lineRule="auto"/>
      <w:ind w:firstLine="883" w:firstLineChars="200"/>
    </w:pPr>
    <w:rPr>
      <w:rFonts w:hint="eastAsia" w:ascii="宋体" w:hAnsi="宋体"/>
      <w:color w:val="000000" w:themeColor="text1"/>
      <w:sz w:val="24"/>
      <w:szCs w:val="22"/>
      <w14:textFill>
        <w14:solidFill>
          <w14:schemeClr w14:val="tx1"/>
        </w14:solidFill>
      </w14:textFill>
    </w:rPr>
  </w:style>
  <w:style w:type="character" w:customStyle="1" w:styleId="144">
    <w:name w:val="active5"/>
    <w:basedOn w:val="38"/>
    <w:qFormat/>
    <w:uiPriority w:val="0"/>
    <w:rPr>
      <w:color w:val="00FF00"/>
      <w:shd w:val="clear" w:color="auto" w:fill="000000"/>
    </w:rPr>
  </w:style>
  <w:style w:type="character" w:customStyle="1" w:styleId="145">
    <w:name w:val="hilite5"/>
    <w:basedOn w:val="38"/>
    <w:qFormat/>
    <w:uiPriority w:val="0"/>
    <w:rPr>
      <w:color w:val="FFFFFF"/>
      <w:shd w:val="clear" w:color="auto" w:fill="666677"/>
    </w:rPr>
  </w:style>
  <w:style w:type="character" w:customStyle="1" w:styleId="146">
    <w:name w:val="button2"/>
    <w:basedOn w:val="38"/>
    <w:qFormat/>
    <w:uiPriority w:val="0"/>
  </w:style>
  <w:style w:type="character" w:customStyle="1" w:styleId="147">
    <w:name w:val="active4"/>
    <w:basedOn w:val="38"/>
    <w:qFormat/>
    <w:uiPriority w:val="0"/>
    <w:rPr>
      <w:color w:val="00FF00"/>
      <w:shd w:val="clear" w:color="auto" w:fill="000000"/>
    </w:rPr>
  </w:style>
  <w:style w:type="paragraph" w:customStyle="1" w:styleId="148">
    <w:name w:val="a"/>
    <w:basedOn w:val="1"/>
    <w:qFormat/>
    <w:uiPriority w:val="0"/>
    <w:pPr>
      <w:widowControl/>
      <w:spacing w:before="100" w:beforeAutospacing="1" w:after="100" w:afterAutospacing="1"/>
      <w:jc w:val="left"/>
    </w:pPr>
    <w:rPr>
      <w:rFonts w:ascii="宋体" w:cs="宋体"/>
      <w:kern w:val="0"/>
    </w:rPr>
  </w:style>
  <w:style w:type="paragraph" w:customStyle="1" w:styleId="149">
    <w:name w:val="a0"/>
    <w:basedOn w:val="1"/>
    <w:qFormat/>
    <w:uiPriority w:val="0"/>
    <w:pPr>
      <w:widowControl/>
      <w:spacing w:before="100" w:beforeAutospacing="1" w:after="100" w:afterAutospacing="1"/>
      <w:jc w:val="left"/>
    </w:pPr>
    <w:rPr>
      <w:rFonts w:asci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8C56-56B8-4650-81B4-34FD7A2E23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128</Pages>
  <Words>65771</Words>
  <Characters>72589</Characters>
  <Lines>315</Lines>
  <Paragraphs>88</Paragraphs>
  <TotalTime>13</TotalTime>
  <ScaleCrop>false</ScaleCrop>
  <LinksUpToDate>false</LinksUpToDate>
  <CharactersWithSpaces>77125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2017-10-30T07:32:00Z</dcterms:created>
  <dc:creator>Administrator</dc:creator>
  <cp:lastModifiedBy>Administrator</cp:lastModifiedBy>
  <cp:lastPrinted>2021-11-26T06:20:00Z</cp:lastPrinted>
  <dcterms:modified xsi:type="dcterms:W3CDTF">2022-05-26T08:36:12Z</dcterms:modified>
  <dc:title>_                                    招标编号：ZD0814-013Z</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E75AE7B40ABC44FE9D58E57A43DDEEA0</vt:lpwstr>
  </property>
</Properties>
</file>