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atLeast"/>
        <w:rPr>
          <w:rFonts w:ascii="宋体" w:hAnsi="宋体" w:cs="宋体"/>
          <w:b/>
          <w:bCs/>
          <w:color w:val="auto"/>
          <w:sz w:val="28"/>
          <w:szCs w:val="28"/>
        </w:rPr>
      </w:pPr>
    </w:p>
    <w:p>
      <w:pPr>
        <w:spacing w:line="100" w:lineRule="atLeast"/>
        <w:rPr>
          <w:rFonts w:ascii="宋体" w:hAnsi="宋体" w:cs="宋体"/>
          <w:b/>
          <w:bCs/>
          <w:color w:val="auto"/>
          <w:sz w:val="28"/>
          <w:szCs w:val="28"/>
        </w:rPr>
      </w:pPr>
    </w:p>
    <w:p>
      <w:pPr>
        <w:spacing w:line="100" w:lineRule="atLeast"/>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项目编号：SSJY-CG（</w:t>
      </w:r>
      <w:r>
        <w:rPr>
          <w:rFonts w:hint="eastAsia" w:ascii="宋体" w:hAnsi="宋体" w:cs="宋体"/>
          <w:b/>
          <w:bCs/>
          <w:color w:val="auto"/>
          <w:sz w:val="28"/>
          <w:szCs w:val="28"/>
          <w:lang w:val="en-US" w:eastAsia="zh-CN"/>
        </w:rPr>
        <w:t>H</w:t>
      </w:r>
      <w:r>
        <w:rPr>
          <w:rFonts w:hint="eastAsia" w:ascii="宋体" w:hAnsi="宋体" w:cs="宋体"/>
          <w:b/>
          <w:bCs/>
          <w:color w:val="auto"/>
          <w:sz w:val="28"/>
          <w:szCs w:val="28"/>
        </w:rPr>
        <w:t>）-20220</w:t>
      </w:r>
      <w:r>
        <w:rPr>
          <w:rFonts w:hint="eastAsia" w:ascii="宋体" w:hAnsi="宋体" w:cs="宋体"/>
          <w:b/>
          <w:bCs/>
          <w:color w:val="auto"/>
          <w:sz w:val="28"/>
          <w:szCs w:val="28"/>
          <w:lang w:val="en-US" w:eastAsia="zh-CN"/>
        </w:rPr>
        <w:t>30</w:t>
      </w:r>
    </w:p>
    <w:p>
      <w:pPr>
        <w:tabs>
          <w:tab w:val="left" w:pos="5670"/>
        </w:tabs>
        <w:autoSpaceDE w:val="0"/>
        <w:autoSpaceDN w:val="0"/>
        <w:adjustRightInd w:val="0"/>
        <w:snapToGrid w:val="0"/>
        <w:spacing w:line="360" w:lineRule="auto"/>
        <w:rPr>
          <w:rFonts w:ascii="宋体" w:hAnsi="宋体" w:cs="宋体"/>
          <w:color w:val="auto"/>
          <w:sz w:val="28"/>
          <w:szCs w:val="28"/>
        </w:rPr>
      </w:pPr>
    </w:p>
    <w:p>
      <w:pPr>
        <w:spacing w:line="100" w:lineRule="atLeast"/>
        <w:jc w:val="center"/>
        <w:rPr>
          <w:rFonts w:ascii="宋体" w:hAnsi="宋体" w:cs="宋体"/>
          <w:b/>
          <w:bCs/>
          <w:color w:val="auto"/>
          <w:sz w:val="22"/>
          <w:szCs w:val="22"/>
        </w:rPr>
      </w:pPr>
    </w:p>
    <w:p>
      <w:pPr>
        <w:spacing w:before="120" w:beforeLines="50" w:after="120" w:afterLines="50" w:line="360" w:lineRule="auto"/>
        <w:jc w:val="center"/>
        <w:rPr>
          <w:rFonts w:hint="eastAsia" w:ascii="宋体" w:hAnsi="宋体" w:cs="宋体"/>
          <w:b/>
          <w:bCs/>
          <w:color w:val="auto"/>
          <w:sz w:val="56"/>
          <w:szCs w:val="56"/>
        </w:rPr>
      </w:pPr>
      <w:r>
        <w:rPr>
          <w:rFonts w:hint="eastAsia" w:ascii="宋体" w:hAnsi="宋体" w:cs="宋体"/>
          <w:b/>
          <w:bCs/>
          <w:color w:val="auto"/>
          <w:sz w:val="44"/>
          <w:szCs w:val="44"/>
        </w:rPr>
        <w:t>潼关县尚德幼儿园教学设备采购项目</w:t>
      </w:r>
    </w:p>
    <w:p>
      <w:pPr>
        <w:pStyle w:val="2"/>
        <w:rPr>
          <w:rFonts w:hint="eastAsia"/>
          <w:color w:val="auto"/>
        </w:rPr>
      </w:pPr>
    </w:p>
    <w:p>
      <w:pPr>
        <w:pStyle w:val="2"/>
        <w:rPr>
          <w:rFonts w:hint="eastAsia"/>
          <w:color w:val="auto"/>
        </w:rPr>
      </w:pPr>
    </w:p>
    <w:p>
      <w:pPr>
        <w:spacing w:before="120" w:beforeLines="50" w:after="120" w:afterLines="50" w:line="360" w:lineRule="auto"/>
        <w:jc w:val="center"/>
        <w:rPr>
          <w:rFonts w:ascii="宋体" w:hAnsi="宋体" w:cs="宋体"/>
          <w:color w:val="auto"/>
          <w:sz w:val="28"/>
          <w:szCs w:val="28"/>
        </w:rPr>
      </w:pPr>
      <w:r>
        <w:rPr>
          <w:rFonts w:hint="eastAsia" w:ascii="宋体" w:hAnsi="宋体" w:cs="宋体"/>
          <w:b/>
          <w:bCs/>
          <w:color w:val="auto"/>
          <w:sz w:val="56"/>
          <w:szCs w:val="56"/>
        </w:rPr>
        <w:t>竞争性谈判文件</w:t>
      </w:r>
      <w:r>
        <w:rPr>
          <w:rFonts w:hint="eastAsia" w:ascii="宋体" w:hAnsi="宋体" w:cs="宋体"/>
          <w:b/>
          <w:bCs/>
          <w:color w:val="auto"/>
          <w:sz w:val="72"/>
          <w:szCs w:val="72"/>
        </w:rPr>
        <w:drawing>
          <wp:inline distT="0" distB="0" distL="114300" distR="114300">
            <wp:extent cx="3768090" cy="3100070"/>
            <wp:effectExtent l="0" t="0" r="3810" b="5080"/>
            <wp:docPr id="6" name="图片 6" descr="af3f1f6857ba2f38e11dc7bafb9c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f3f1f6857ba2f38e11dc7bafb9c8ea"/>
                    <pic:cNvPicPr>
                      <a:picLocks noChangeAspect="1"/>
                    </pic:cNvPicPr>
                  </pic:nvPicPr>
                  <pic:blipFill>
                    <a:blip r:embed="rId22"/>
                    <a:srcRect r="927" b="18492"/>
                    <a:stretch>
                      <a:fillRect/>
                    </a:stretch>
                  </pic:blipFill>
                  <pic:spPr>
                    <a:xfrm>
                      <a:off x="0" y="0"/>
                      <a:ext cx="3768090" cy="3100070"/>
                    </a:xfrm>
                    <a:prstGeom prst="rect">
                      <a:avLst/>
                    </a:prstGeom>
                  </pic:spPr>
                </pic:pic>
              </a:graphicData>
            </a:graphic>
          </wp:inline>
        </w:drawing>
      </w:r>
    </w:p>
    <w:p>
      <w:pPr>
        <w:rPr>
          <w:rFonts w:hint="eastAsia" w:ascii="宋体" w:hAnsi="宋体" w:cs="宋体"/>
          <w:b/>
          <w:bCs/>
          <w:color w:val="auto"/>
          <w:sz w:val="28"/>
          <w:szCs w:val="28"/>
        </w:rPr>
      </w:pPr>
      <w:r>
        <w:rPr>
          <w:rFonts w:hint="eastAsia" w:ascii="宋体" w:hAnsi="宋体" w:cs="宋体"/>
          <w:b/>
          <w:bCs/>
          <w:color w:val="auto"/>
          <w:sz w:val="28"/>
          <w:szCs w:val="28"/>
        </w:rPr>
        <w:t xml:space="preserve">        </w:t>
      </w:r>
    </w:p>
    <w:p>
      <w:pPr>
        <w:pStyle w:val="2"/>
        <w:rPr>
          <w:color w:val="auto"/>
        </w:rPr>
      </w:pPr>
    </w:p>
    <w:p>
      <w:pPr>
        <w:pStyle w:val="2"/>
        <w:rPr>
          <w:color w:val="auto"/>
        </w:rPr>
      </w:pPr>
    </w:p>
    <w:p>
      <w:pPr>
        <w:spacing w:line="360" w:lineRule="auto"/>
        <w:ind w:firstLine="1084" w:firstLineChars="300"/>
        <w:rPr>
          <w:rFonts w:ascii="宋体" w:hAnsi="宋体" w:cs="宋体"/>
          <w:color w:val="auto"/>
          <w:sz w:val="36"/>
          <w:szCs w:val="36"/>
        </w:rPr>
      </w:pPr>
      <w:r>
        <w:rPr>
          <w:rFonts w:hint="eastAsia" w:ascii="宋体" w:hAnsi="宋体" w:cs="宋体"/>
          <w:b/>
          <w:color w:val="auto"/>
          <w:sz w:val="36"/>
          <w:szCs w:val="36"/>
        </w:rPr>
        <w:t>采   购   人：潼关县教育科技局</w:t>
      </w:r>
    </w:p>
    <w:p>
      <w:pPr>
        <w:spacing w:line="360" w:lineRule="auto"/>
        <w:ind w:firstLine="1084" w:firstLineChars="300"/>
        <w:rPr>
          <w:rFonts w:ascii="宋体" w:hAnsi="宋体" w:cs="宋体"/>
          <w:b/>
          <w:color w:val="auto"/>
          <w:sz w:val="36"/>
          <w:szCs w:val="36"/>
        </w:rPr>
      </w:pPr>
      <w:r>
        <w:rPr>
          <w:rFonts w:hint="eastAsia" w:ascii="宋体" w:hAnsi="宋体" w:cs="宋体"/>
          <w:b/>
          <w:color w:val="auto"/>
          <w:sz w:val="36"/>
          <w:szCs w:val="36"/>
        </w:rPr>
        <w:t>采购代理机构：陕西盛仕骄阳项目管理有限公司</w:t>
      </w:r>
    </w:p>
    <w:p>
      <w:pPr>
        <w:autoSpaceDE w:val="0"/>
        <w:autoSpaceDN w:val="0"/>
        <w:adjustRightInd w:val="0"/>
        <w:snapToGrid w:val="0"/>
        <w:spacing w:line="360" w:lineRule="auto"/>
        <w:jc w:val="center"/>
        <w:rPr>
          <w:rFonts w:ascii="宋体" w:hAnsi="宋体" w:cs="宋体"/>
          <w:b/>
          <w:bCs/>
          <w:color w:val="auto"/>
          <w:sz w:val="36"/>
          <w:szCs w:val="36"/>
          <w:lang w:val="zh-CN"/>
        </w:rPr>
      </w:pPr>
      <w:r>
        <w:rPr>
          <w:rFonts w:hint="eastAsia" w:ascii="宋体" w:hAnsi="宋体" w:cs="宋体"/>
          <w:b/>
          <w:color w:val="auto"/>
          <w:sz w:val="36"/>
          <w:szCs w:val="36"/>
        </w:rPr>
        <w:t>二〇二二年</w:t>
      </w:r>
      <w:r>
        <w:rPr>
          <w:rFonts w:hint="eastAsia" w:ascii="宋体" w:hAnsi="宋体" w:cs="宋体"/>
          <w:b/>
          <w:color w:val="auto"/>
          <w:sz w:val="36"/>
          <w:szCs w:val="36"/>
          <w:lang w:val="en-US" w:eastAsia="zh-CN"/>
        </w:rPr>
        <w:t>十二</w:t>
      </w:r>
      <w:r>
        <w:rPr>
          <w:rFonts w:hint="eastAsia" w:ascii="宋体" w:hAnsi="宋体" w:cs="宋体"/>
          <w:b/>
          <w:color w:val="auto"/>
          <w:sz w:val="36"/>
          <w:szCs w:val="36"/>
        </w:rPr>
        <w:t>月</w:t>
      </w:r>
    </w:p>
    <w:p>
      <w:pPr>
        <w:autoSpaceDE w:val="0"/>
        <w:autoSpaceDN w:val="0"/>
        <w:adjustRightInd w:val="0"/>
        <w:snapToGrid w:val="0"/>
        <w:spacing w:line="360" w:lineRule="auto"/>
        <w:jc w:val="center"/>
        <w:rPr>
          <w:rFonts w:ascii="宋体" w:hAnsi="宋体" w:cs="宋体"/>
          <w:b/>
          <w:bCs/>
          <w:color w:val="auto"/>
          <w:sz w:val="28"/>
          <w:szCs w:val="28"/>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0"/>
          <w:cols w:space="425" w:num="1"/>
          <w:titlePg/>
          <w:docGrid w:linePitch="312" w:charSpace="0"/>
        </w:sectPr>
      </w:pPr>
    </w:p>
    <w:p>
      <w:pPr>
        <w:autoSpaceDE w:val="0"/>
        <w:autoSpaceDN w:val="0"/>
        <w:adjustRightInd w:val="0"/>
        <w:snapToGrid w:val="0"/>
        <w:spacing w:line="360" w:lineRule="auto"/>
        <w:jc w:val="center"/>
        <w:rPr>
          <w:rFonts w:ascii="宋体" w:hAnsi="宋体" w:cs="宋体"/>
          <w:b/>
          <w:bCs/>
          <w:color w:val="auto"/>
          <w:sz w:val="28"/>
          <w:szCs w:val="28"/>
          <w:lang w:val="zh-CN"/>
        </w:rPr>
      </w:pPr>
    </w:p>
    <w:p>
      <w:pPr>
        <w:autoSpaceDE w:val="0"/>
        <w:autoSpaceDN w:val="0"/>
        <w:adjustRightInd w:val="0"/>
        <w:snapToGrid w:val="0"/>
        <w:spacing w:line="360" w:lineRule="auto"/>
        <w:jc w:val="center"/>
        <w:rPr>
          <w:rFonts w:ascii="宋体" w:hAnsi="宋体" w:cs="宋体"/>
          <w:b/>
          <w:bCs/>
          <w:color w:val="auto"/>
          <w:sz w:val="28"/>
          <w:szCs w:val="28"/>
          <w:lang w:val="zh-CN"/>
        </w:rPr>
      </w:pPr>
      <w:r>
        <w:rPr>
          <w:rFonts w:hint="eastAsia" w:ascii="宋体" w:hAnsi="宋体" w:cs="宋体"/>
          <w:b/>
          <w:bCs/>
          <w:color w:val="auto"/>
          <w:sz w:val="28"/>
          <w:szCs w:val="28"/>
          <w:lang w:val="zh-CN"/>
        </w:rPr>
        <w:t>目  录</w:t>
      </w:r>
    </w:p>
    <w:p>
      <w:pPr>
        <w:autoSpaceDE w:val="0"/>
        <w:autoSpaceDN w:val="0"/>
        <w:adjustRightInd w:val="0"/>
        <w:snapToGrid w:val="0"/>
        <w:spacing w:line="360" w:lineRule="auto"/>
        <w:jc w:val="center"/>
        <w:rPr>
          <w:rFonts w:ascii="宋体" w:hAnsi="宋体" w:cs="宋体"/>
          <w:b/>
          <w:bCs/>
          <w:color w:val="auto"/>
          <w:sz w:val="28"/>
          <w:szCs w:val="28"/>
          <w:lang w:val="zh-CN"/>
        </w:rPr>
      </w:pPr>
    </w:p>
    <w:p>
      <w:pPr>
        <w:pStyle w:val="27"/>
        <w:tabs>
          <w:tab w:val="right" w:leader="dot" w:pos="9070"/>
          <w:tab w:val="clear" w:pos="9060"/>
        </w:tabs>
        <w:rPr>
          <w:rFonts w:ascii="宋体" w:hAnsi="宋体" w:cs="宋体"/>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TOC \o "1-1" \h \z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"_Toc26529" </w:instrText>
      </w:r>
      <w:r>
        <w:rPr>
          <w:color w:val="auto"/>
        </w:rPr>
        <w:fldChar w:fldCharType="separate"/>
      </w:r>
      <w:r>
        <w:rPr>
          <w:rFonts w:hint="eastAsia" w:ascii="宋体" w:hAnsi="宋体" w:cs="宋体"/>
          <w:bCs/>
          <w:color w:val="auto"/>
          <w:sz w:val="24"/>
          <w:lang w:val="zh-CN"/>
        </w:rPr>
        <w:t>第一章  竞争性谈判公告</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_Toc26529 \h </w:instrText>
      </w:r>
      <w:r>
        <w:rPr>
          <w:rFonts w:hint="eastAsia" w:ascii="宋体" w:hAnsi="宋体" w:cs="宋体"/>
          <w:color w:val="auto"/>
          <w:sz w:val="24"/>
        </w:rPr>
        <w:fldChar w:fldCharType="separate"/>
      </w:r>
      <w:r>
        <w:rPr>
          <w:rFonts w:hint="eastAsia" w:ascii="宋体" w:hAnsi="宋体" w:cs="宋体"/>
          <w:color w:val="auto"/>
          <w:sz w:val="24"/>
        </w:rPr>
        <w:t>1</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"_Toc16804" </w:instrText>
      </w:r>
      <w:r>
        <w:rPr>
          <w:color w:val="auto"/>
        </w:rPr>
        <w:fldChar w:fldCharType="separate"/>
      </w:r>
      <w:r>
        <w:rPr>
          <w:rFonts w:hint="eastAsia" w:ascii="宋体" w:hAnsi="宋体" w:cs="宋体"/>
          <w:color w:val="auto"/>
          <w:sz w:val="24"/>
        </w:rPr>
        <w:t>第二章 竞争性谈判须知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_Toc16804 \h </w:instrText>
      </w:r>
      <w:r>
        <w:rPr>
          <w:rFonts w:hint="eastAsia" w:ascii="宋体" w:hAnsi="宋体" w:cs="宋体"/>
          <w:color w:val="auto"/>
          <w:sz w:val="24"/>
        </w:rPr>
        <w:fldChar w:fldCharType="separate"/>
      </w:r>
      <w:r>
        <w:rPr>
          <w:rFonts w:hint="eastAsia" w:ascii="宋体" w:hAnsi="宋体" w:cs="宋体"/>
          <w:color w:val="auto"/>
          <w:sz w:val="24"/>
        </w:rPr>
        <w:t>5</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"_Toc3444" </w:instrText>
      </w:r>
      <w:r>
        <w:rPr>
          <w:color w:val="auto"/>
        </w:rPr>
        <w:fldChar w:fldCharType="separate"/>
      </w:r>
      <w:r>
        <w:rPr>
          <w:rFonts w:hint="eastAsia" w:ascii="宋体" w:hAnsi="宋体" w:cs="宋体"/>
          <w:color w:val="auto"/>
          <w:sz w:val="24"/>
        </w:rPr>
        <w:t xml:space="preserve">第三章 </w:t>
      </w:r>
      <w:r>
        <w:rPr>
          <w:rFonts w:hint="eastAsia" w:ascii="宋体" w:hAnsi="宋体" w:cs="宋体"/>
          <w:color w:val="auto"/>
          <w:sz w:val="24"/>
          <w:lang w:val="zh-CN"/>
        </w:rPr>
        <w:t>供应商须知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_Toc3444 \h </w:instrText>
      </w:r>
      <w:r>
        <w:rPr>
          <w:rFonts w:hint="eastAsia" w:ascii="宋体" w:hAnsi="宋体" w:cs="宋体"/>
          <w:color w:val="auto"/>
          <w:sz w:val="24"/>
        </w:rPr>
        <w:fldChar w:fldCharType="separate"/>
      </w:r>
      <w:r>
        <w:rPr>
          <w:rFonts w:hint="eastAsia" w:ascii="宋体" w:hAnsi="宋体" w:cs="宋体"/>
          <w:color w:val="auto"/>
          <w:sz w:val="24"/>
        </w:rPr>
        <w:t>11</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"_Toc21220" </w:instrText>
      </w:r>
      <w:r>
        <w:rPr>
          <w:color w:val="auto"/>
        </w:rPr>
        <w:fldChar w:fldCharType="separate"/>
      </w:r>
      <w:r>
        <w:rPr>
          <w:rFonts w:hint="eastAsia" w:ascii="宋体" w:hAnsi="宋体" w:cs="宋体"/>
          <w:color w:val="auto"/>
          <w:sz w:val="24"/>
        </w:rPr>
        <w:t>第四章 评审办法</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_Toc21220 \h </w:instrText>
      </w:r>
      <w:r>
        <w:rPr>
          <w:rFonts w:hint="eastAsia" w:ascii="宋体" w:hAnsi="宋体" w:cs="宋体"/>
          <w:color w:val="auto"/>
          <w:sz w:val="24"/>
        </w:rPr>
        <w:fldChar w:fldCharType="separate"/>
      </w:r>
      <w:r>
        <w:rPr>
          <w:rFonts w:hint="eastAsia" w:ascii="宋体" w:hAnsi="宋体" w:cs="宋体"/>
          <w:color w:val="auto"/>
          <w:sz w:val="24"/>
        </w:rPr>
        <w:t>31</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"_Toc9383" </w:instrText>
      </w:r>
      <w:r>
        <w:rPr>
          <w:color w:val="auto"/>
        </w:rPr>
        <w:fldChar w:fldCharType="separate"/>
      </w:r>
      <w:r>
        <w:rPr>
          <w:rFonts w:hint="eastAsia" w:ascii="宋体" w:hAnsi="宋体" w:cs="宋体"/>
          <w:color w:val="auto"/>
          <w:sz w:val="24"/>
          <w:lang w:val="zh-CN"/>
        </w:rPr>
        <w:t>第</w:t>
      </w:r>
      <w:r>
        <w:rPr>
          <w:rFonts w:hint="eastAsia" w:ascii="宋体" w:hAnsi="宋体" w:cs="宋体"/>
          <w:color w:val="auto"/>
          <w:sz w:val="24"/>
        </w:rPr>
        <w:t>五</w:t>
      </w:r>
      <w:r>
        <w:rPr>
          <w:rFonts w:hint="eastAsia" w:ascii="宋体" w:hAnsi="宋体" w:cs="宋体"/>
          <w:color w:val="auto"/>
          <w:sz w:val="24"/>
          <w:lang w:val="zh-CN"/>
        </w:rPr>
        <w:t>章</w:t>
      </w:r>
      <w:r>
        <w:rPr>
          <w:rFonts w:hint="eastAsia" w:ascii="宋体" w:hAnsi="宋体" w:cs="宋体"/>
          <w:color w:val="auto"/>
          <w:sz w:val="24"/>
        </w:rPr>
        <w:t xml:space="preserve"> 采购</w:t>
      </w:r>
      <w:r>
        <w:rPr>
          <w:rFonts w:hint="eastAsia" w:ascii="宋体" w:hAnsi="宋体" w:cs="宋体"/>
          <w:color w:val="auto"/>
          <w:sz w:val="24"/>
          <w:lang w:val="zh-CN"/>
        </w:rPr>
        <w:t>内容及要求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_Toc9383 \h </w:instrText>
      </w:r>
      <w:r>
        <w:rPr>
          <w:rFonts w:hint="eastAsia" w:ascii="宋体" w:hAnsi="宋体" w:cs="宋体"/>
          <w:color w:val="auto"/>
          <w:sz w:val="24"/>
        </w:rPr>
        <w:fldChar w:fldCharType="separate"/>
      </w:r>
      <w:r>
        <w:rPr>
          <w:rFonts w:hint="eastAsia" w:ascii="宋体" w:hAnsi="宋体" w:cs="宋体"/>
          <w:color w:val="auto"/>
          <w:sz w:val="24"/>
        </w:rPr>
        <w:t>40</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"_Toc13080" </w:instrText>
      </w:r>
      <w:r>
        <w:rPr>
          <w:color w:val="auto"/>
        </w:rPr>
        <w:fldChar w:fldCharType="separate"/>
      </w:r>
      <w:r>
        <w:rPr>
          <w:rFonts w:hint="eastAsia" w:ascii="宋体" w:hAnsi="宋体" w:cs="宋体"/>
          <w:color w:val="auto"/>
          <w:sz w:val="24"/>
          <w:lang w:val="zh-CN"/>
        </w:rPr>
        <w:t>第</w:t>
      </w:r>
      <w:r>
        <w:rPr>
          <w:rFonts w:hint="eastAsia" w:ascii="宋体" w:hAnsi="宋体" w:cs="宋体"/>
          <w:color w:val="auto"/>
          <w:sz w:val="24"/>
        </w:rPr>
        <w:t>六</w:t>
      </w:r>
      <w:r>
        <w:rPr>
          <w:rFonts w:hint="eastAsia" w:ascii="宋体" w:hAnsi="宋体" w:cs="宋体"/>
          <w:color w:val="auto"/>
          <w:sz w:val="24"/>
          <w:lang w:val="zh-CN"/>
        </w:rPr>
        <w:t>章  商务要求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_Toc13080 \h </w:instrText>
      </w:r>
      <w:r>
        <w:rPr>
          <w:rFonts w:hint="eastAsia" w:ascii="宋体" w:hAnsi="宋体" w:cs="宋体"/>
          <w:color w:val="auto"/>
          <w:sz w:val="24"/>
        </w:rPr>
        <w:fldChar w:fldCharType="separate"/>
      </w:r>
      <w:r>
        <w:rPr>
          <w:rFonts w:hint="eastAsia" w:ascii="宋体" w:hAnsi="宋体" w:cs="宋体"/>
          <w:color w:val="auto"/>
          <w:sz w:val="24"/>
        </w:rPr>
        <w:t>80</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"_Toc28721" </w:instrText>
      </w:r>
      <w:r>
        <w:rPr>
          <w:color w:val="auto"/>
        </w:rPr>
        <w:fldChar w:fldCharType="separate"/>
      </w:r>
      <w:r>
        <w:rPr>
          <w:rFonts w:hint="eastAsia" w:ascii="宋体" w:hAnsi="宋体" w:cs="宋体"/>
          <w:color w:val="auto"/>
          <w:sz w:val="24"/>
          <w:lang w:val="zh-CN"/>
        </w:rPr>
        <w:t>第</w:t>
      </w:r>
      <w:r>
        <w:rPr>
          <w:rFonts w:hint="eastAsia" w:ascii="宋体" w:hAnsi="宋体" w:cs="宋体"/>
          <w:color w:val="auto"/>
          <w:sz w:val="24"/>
        </w:rPr>
        <w:t>七</w:t>
      </w:r>
      <w:r>
        <w:rPr>
          <w:rFonts w:hint="eastAsia" w:ascii="宋体" w:hAnsi="宋体" w:cs="宋体"/>
          <w:color w:val="auto"/>
          <w:sz w:val="24"/>
          <w:lang w:val="zh-CN"/>
        </w:rPr>
        <w:t>章  合同协议书</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_Toc28721 \h </w:instrText>
      </w:r>
      <w:r>
        <w:rPr>
          <w:rFonts w:hint="eastAsia" w:ascii="宋体" w:hAnsi="宋体" w:cs="宋体"/>
          <w:color w:val="auto"/>
          <w:sz w:val="24"/>
        </w:rPr>
        <w:fldChar w:fldCharType="separate"/>
      </w:r>
      <w:r>
        <w:rPr>
          <w:rFonts w:hint="eastAsia" w:ascii="宋体" w:hAnsi="宋体" w:cs="宋体"/>
          <w:color w:val="auto"/>
          <w:sz w:val="24"/>
        </w:rPr>
        <w:t>84</w:t>
      </w:r>
      <w:r>
        <w:rPr>
          <w:rFonts w:hint="eastAsia" w:ascii="宋体" w:hAnsi="宋体" w:cs="宋体"/>
          <w:color w:val="auto"/>
          <w:sz w:val="24"/>
        </w:rPr>
        <w:fldChar w:fldCharType="end"/>
      </w:r>
      <w:r>
        <w:rPr>
          <w:rFonts w:hint="eastAsia" w:ascii="宋体" w:hAnsi="宋体" w:cs="宋体"/>
          <w:color w:val="auto"/>
          <w:sz w:val="24"/>
        </w:rPr>
        <w:fldChar w:fldCharType="end"/>
      </w:r>
    </w:p>
    <w:p>
      <w:pPr>
        <w:pStyle w:val="27"/>
        <w:tabs>
          <w:tab w:val="right" w:leader="dot" w:pos="9070"/>
          <w:tab w:val="clear" w:pos="9060"/>
        </w:tabs>
        <w:rPr>
          <w:rFonts w:ascii="宋体" w:hAnsi="宋体" w:cs="宋体"/>
          <w:color w:val="auto"/>
          <w:sz w:val="24"/>
        </w:rPr>
      </w:pPr>
      <w:r>
        <w:rPr>
          <w:color w:val="auto"/>
        </w:rPr>
        <w:fldChar w:fldCharType="begin"/>
      </w:r>
      <w:r>
        <w:rPr>
          <w:color w:val="auto"/>
        </w:rPr>
        <w:instrText xml:space="preserve"> HYPERLINK \l "_Toc12872" </w:instrText>
      </w:r>
      <w:r>
        <w:rPr>
          <w:color w:val="auto"/>
        </w:rPr>
        <w:fldChar w:fldCharType="separate"/>
      </w:r>
      <w:r>
        <w:rPr>
          <w:rFonts w:hint="eastAsia" w:ascii="宋体" w:hAnsi="宋体" w:cs="宋体"/>
          <w:bCs/>
          <w:color w:val="auto"/>
          <w:sz w:val="24"/>
          <w:lang w:val="zh-CN"/>
        </w:rPr>
        <w:t>第</w:t>
      </w:r>
      <w:r>
        <w:rPr>
          <w:rFonts w:hint="eastAsia" w:ascii="宋体" w:hAnsi="宋体" w:cs="宋体"/>
          <w:bCs/>
          <w:color w:val="auto"/>
          <w:sz w:val="24"/>
        </w:rPr>
        <w:t>八</w:t>
      </w:r>
      <w:r>
        <w:rPr>
          <w:rFonts w:hint="eastAsia" w:ascii="宋体" w:hAnsi="宋体" w:cs="宋体"/>
          <w:bCs/>
          <w:color w:val="auto"/>
          <w:sz w:val="24"/>
          <w:lang w:val="zh-CN"/>
        </w:rPr>
        <w:t>章  响应文件格式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_Toc12872 \h </w:instrText>
      </w:r>
      <w:r>
        <w:rPr>
          <w:rFonts w:hint="eastAsia" w:ascii="宋体" w:hAnsi="宋体" w:cs="宋体"/>
          <w:color w:val="auto"/>
          <w:sz w:val="24"/>
        </w:rPr>
        <w:fldChar w:fldCharType="separate"/>
      </w:r>
      <w:r>
        <w:rPr>
          <w:rFonts w:hint="eastAsia" w:ascii="宋体" w:hAnsi="宋体" w:cs="宋体"/>
          <w:color w:val="auto"/>
          <w:sz w:val="24"/>
        </w:rPr>
        <w:t>91</w:t>
      </w:r>
      <w:r>
        <w:rPr>
          <w:rFonts w:hint="eastAsia" w:ascii="宋体" w:hAnsi="宋体" w:cs="宋体"/>
          <w:color w:val="auto"/>
          <w:sz w:val="24"/>
        </w:rPr>
        <w:fldChar w:fldCharType="end"/>
      </w:r>
      <w:r>
        <w:rPr>
          <w:rFonts w:hint="eastAsia" w:ascii="宋体" w:hAnsi="宋体" w:cs="宋体"/>
          <w:color w:val="auto"/>
          <w:sz w:val="24"/>
        </w:rPr>
        <w:fldChar w:fldCharType="end"/>
      </w:r>
    </w:p>
    <w:p>
      <w:pPr>
        <w:autoSpaceDE w:val="0"/>
        <w:autoSpaceDN w:val="0"/>
        <w:adjustRightInd w:val="0"/>
        <w:snapToGrid w:val="0"/>
        <w:spacing w:line="360" w:lineRule="auto"/>
        <w:rPr>
          <w:rFonts w:ascii="宋体" w:hAnsi="宋体" w:cs="宋体"/>
          <w:b/>
          <w:bCs/>
          <w:color w:val="auto"/>
          <w:sz w:val="28"/>
          <w:szCs w:val="28"/>
        </w:rPr>
      </w:pPr>
      <w:r>
        <w:rPr>
          <w:rFonts w:hint="eastAsia" w:ascii="宋体" w:hAnsi="宋体" w:cs="宋体"/>
          <w:bCs/>
          <w:color w:val="auto"/>
          <w:sz w:val="24"/>
          <w:szCs w:val="24"/>
        </w:rPr>
        <w:fldChar w:fldCharType="end"/>
      </w:r>
    </w:p>
    <w:p>
      <w:pPr>
        <w:autoSpaceDE w:val="0"/>
        <w:autoSpaceDN w:val="0"/>
        <w:adjustRightInd w:val="0"/>
        <w:snapToGrid w:val="0"/>
        <w:spacing w:line="360" w:lineRule="auto"/>
        <w:rPr>
          <w:rFonts w:ascii="宋体" w:hAnsi="宋体" w:cs="宋体"/>
          <w:bCs/>
          <w:color w:val="auto"/>
          <w:sz w:val="28"/>
          <w:szCs w:val="28"/>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snapToGrid w:val="0"/>
        <w:spacing w:line="360" w:lineRule="auto"/>
        <w:rPr>
          <w:rFonts w:ascii="宋体" w:hAnsi="宋体" w:cs="宋体"/>
          <w:b/>
          <w:bCs/>
          <w:color w:val="auto"/>
          <w:sz w:val="28"/>
          <w:szCs w:val="28"/>
          <w:lang w:val="zh-CN"/>
        </w:rPr>
        <w:sectPr>
          <w:headerReference r:id="rId9" w:type="first"/>
          <w:footerReference r:id="rId10" w:type="first"/>
          <w:pgSz w:w="11906" w:h="16838"/>
          <w:pgMar w:top="1418" w:right="1418" w:bottom="1418" w:left="1418" w:header="851" w:footer="992" w:gutter="0"/>
          <w:pgNumType w:start="1"/>
          <w:cols w:space="425" w:num="1"/>
          <w:titlePg/>
          <w:docGrid w:linePitch="312" w:charSpace="0"/>
        </w:sectPr>
      </w:pPr>
    </w:p>
    <w:p>
      <w:pPr>
        <w:pStyle w:val="3"/>
        <w:keepLines w:val="0"/>
        <w:pageBreakBefore w:val="0"/>
        <w:kinsoku/>
        <w:wordWrap/>
        <w:overflowPunct/>
        <w:topLinePunct w:val="0"/>
        <w:bidi w:val="0"/>
        <w:snapToGrid/>
        <w:spacing w:line="440" w:lineRule="exact"/>
        <w:textAlignment w:val="auto"/>
        <w:rPr>
          <w:rFonts w:ascii="宋体" w:hAnsi="宋体" w:cs="宋体"/>
          <w:color w:val="auto"/>
          <w:sz w:val="24"/>
          <w:szCs w:val="24"/>
          <w:lang w:val="zh-CN"/>
        </w:rPr>
      </w:pPr>
      <w:bookmarkStart w:id="0" w:name="_Toc26529"/>
      <w:r>
        <w:rPr>
          <w:rFonts w:hint="eastAsia" w:ascii="宋体" w:hAnsi="宋体" w:eastAsia="宋体" w:cs="宋体"/>
          <w:b/>
          <w:bCs/>
          <w:color w:val="auto"/>
          <w:szCs w:val="28"/>
          <w:lang w:val="zh-CN"/>
        </w:rPr>
        <w:t>第一章  竞争性谈判公告</w:t>
      </w:r>
      <w:bookmarkEnd w:id="0"/>
    </w:p>
    <w:tbl>
      <w:tblPr>
        <w:tblStyle w:val="3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500" w:type="dxa"/>
          </w:tcPr>
          <w:p>
            <w:pPr>
              <w:pStyle w:val="8"/>
              <w:keepNext w:val="0"/>
              <w:keepLines w:val="0"/>
              <w:pageBreakBefore w:val="0"/>
              <w:kinsoku/>
              <w:wordWrap/>
              <w:overflowPunct/>
              <w:topLinePunct w:val="0"/>
              <w:bidi w:val="0"/>
              <w:snapToGrid/>
              <w:spacing w:before="0" w:after="0"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项目概况 </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b/>
                <w:bCs/>
                <w:color w:val="auto"/>
                <w:kern w:val="2"/>
              </w:rPr>
            </w:pPr>
            <w:r>
              <w:rPr>
                <w:rFonts w:hint="eastAsia"/>
                <w:color w:val="auto"/>
                <w:kern w:val="2"/>
                <w:lang w:eastAsia="zh-CN"/>
              </w:rPr>
              <w:t>潼关县尚德幼儿园教学设备采购项目</w:t>
            </w:r>
            <w:r>
              <w:rPr>
                <w:rFonts w:hint="eastAsia"/>
                <w:color w:val="auto"/>
                <w:kern w:val="2"/>
              </w:rPr>
              <w:t>的潜在供应商在ssjiaoyang@yeah.net获取采购文件，并于</w:t>
            </w:r>
            <w:r>
              <w:rPr>
                <w:rFonts w:hint="eastAsia" w:cs="Times New Roman"/>
                <w:color w:val="auto"/>
                <w:kern w:val="2"/>
              </w:rPr>
              <w:t>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16</w:t>
            </w:r>
            <w:r>
              <w:rPr>
                <w:rFonts w:hint="eastAsia" w:cs="Times New Roman"/>
                <w:color w:val="auto"/>
                <w:kern w:val="2"/>
              </w:rPr>
              <w:t>日</w:t>
            </w:r>
            <w:r>
              <w:rPr>
                <w:rFonts w:hint="eastAsia" w:cs="Times New Roman"/>
                <w:color w:val="auto"/>
                <w:kern w:val="2"/>
                <w:lang w:val="en-US" w:eastAsia="zh-CN"/>
              </w:rPr>
              <w:t>14</w:t>
            </w:r>
            <w:r>
              <w:rPr>
                <w:rFonts w:hint="eastAsia" w:cs="Times New Roman"/>
                <w:color w:val="auto"/>
                <w:kern w:val="2"/>
              </w:rPr>
              <w:t>时30分</w:t>
            </w:r>
            <w:r>
              <w:rPr>
                <w:rFonts w:hint="eastAsia"/>
                <w:color w:val="auto"/>
                <w:kern w:val="2"/>
              </w:rPr>
              <w:t xml:space="preserve">（北京时间）前提交响应文件。 </w:t>
            </w:r>
          </w:p>
        </w:tc>
      </w:tr>
    </w:tbl>
    <w:p>
      <w:pPr>
        <w:pStyle w:val="121"/>
        <w:keepLines w:val="0"/>
        <w:pageBreakBefore w:val="0"/>
        <w:kinsoku/>
        <w:wordWrap/>
        <w:overflowPunct/>
        <w:topLinePunct w:val="0"/>
        <w:bidi w:val="0"/>
        <w:snapToGrid/>
        <w:spacing w:before="0" w:beforeAutospacing="0" w:after="0" w:afterAutospacing="0" w:line="440" w:lineRule="exact"/>
        <w:textAlignment w:val="auto"/>
        <w:rPr>
          <w:b/>
          <w:bCs/>
          <w:color w:val="auto"/>
          <w:sz w:val="28"/>
          <w:szCs w:val="28"/>
        </w:rPr>
      </w:pPr>
      <w:r>
        <w:rPr>
          <w:rFonts w:hint="eastAsia"/>
          <w:b/>
          <w:bCs/>
          <w:color w:val="auto"/>
          <w:sz w:val="28"/>
          <w:szCs w:val="28"/>
        </w:rPr>
        <w:t>一、项目基本情况</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kern w:val="2"/>
        </w:rPr>
      </w:pPr>
      <w:r>
        <w:rPr>
          <w:rFonts w:hint="eastAsia"/>
          <w:color w:val="auto"/>
          <w:kern w:val="2"/>
        </w:rPr>
        <w:t>项目编号：</w:t>
      </w:r>
      <w:r>
        <w:rPr>
          <w:rFonts w:hint="eastAsia"/>
          <w:color w:val="auto"/>
          <w:kern w:val="2"/>
          <w:lang w:eastAsia="zh-CN"/>
        </w:rPr>
        <w:t>SSJY-CG（H）-2022030</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hint="eastAsia" w:eastAsia="宋体"/>
          <w:color w:val="auto"/>
          <w:kern w:val="2"/>
          <w:lang w:eastAsia="zh-CN"/>
        </w:rPr>
      </w:pPr>
      <w:r>
        <w:rPr>
          <w:rFonts w:hint="eastAsia"/>
          <w:color w:val="auto"/>
          <w:kern w:val="2"/>
        </w:rPr>
        <w:t>项目名称：</w:t>
      </w:r>
      <w:r>
        <w:rPr>
          <w:rFonts w:hint="eastAsia"/>
          <w:color w:val="auto"/>
          <w:kern w:val="2"/>
          <w:lang w:eastAsia="zh-CN"/>
        </w:rPr>
        <w:t>潼关县尚德幼儿园教学设备采购项目</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kern w:val="2"/>
        </w:rPr>
      </w:pPr>
      <w:r>
        <w:rPr>
          <w:rFonts w:hint="eastAsia"/>
          <w:color w:val="auto"/>
          <w:kern w:val="2"/>
        </w:rPr>
        <w:t>采购方式：竞争性谈判</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kern w:val="2"/>
        </w:rPr>
      </w:pPr>
      <w:r>
        <w:rPr>
          <w:rFonts w:hint="eastAsia"/>
          <w:color w:val="auto"/>
          <w:kern w:val="2"/>
        </w:rPr>
        <w:t>预算金额：</w:t>
      </w:r>
      <w:r>
        <w:rPr>
          <w:rFonts w:hint="eastAsia" w:ascii="宋体" w:hAnsi="宋体" w:cs="宋体"/>
          <w:color w:val="auto"/>
          <w:sz w:val="24"/>
          <w:szCs w:val="24"/>
          <w:lang w:val="en-US" w:eastAsia="zh-CN"/>
        </w:rPr>
        <w:t>1,849,743.00</w:t>
      </w:r>
      <w:r>
        <w:rPr>
          <w:rFonts w:hint="eastAsia"/>
          <w:color w:val="auto"/>
          <w:kern w:val="2"/>
        </w:rPr>
        <w:t>元</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kern w:val="2"/>
        </w:rPr>
      </w:pPr>
      <w:r>
        <w:rPr>
          <w:rFonts w:hint="eastAsia"/>
          <w:color w:val="auto"/>
          <w:kern w:val="2"/>
        </w:rPr>
        <w:t>采购需求：</w:t>
      </w:r>
    </w:p>
    <w:p>
      <w:pPr>
        <w:pStyle w:val="31"/>
        <w:keepLines w:val="0"/>
        <w:pageBreakBefore w:val="0"/>
        <w:kinsoku/>
        <w:wordWrap/>
        <w:overflowPunct/>
        <w:topLinePunct w:val="0"/>
        <w:bidi w:val="0"/>
        <w:snapToGrid/>
        <w:spacing w:before="0" w:beforeAutospacing="0" w:after="0" w:afterAutospacing="0" w:line="440" w:lineRule="exact"/>
        <w:ind w:firstLine="960" w:firstLineChars="400"/>
        <w:jc w:val="both"/>
        <w:textAlignment w:val="auto"/>
        <w:rPr>
          <w:color w:val="auto"/>
          <w:kern w:val="2"/>
        </w:rPr>
      </w:pPr>
      <w:r>
        <w:rPr>
          <w:rFonts w:hint="eastAsia"/>
          <w:color w:val="auto"/>
          <w:kern w:val="2"/>
        </w:rPr>
        <w:t>合同包1(</w:t>
      </w:r>
      <w:r>
        <w:rPr>
          <w:rFonts w:hint="eastAsia"/>
          <w:color w:val="auto"/>
          <w:kern w:val="2"/>
          <w:lang w:eastAsia="zh-CN"/>
        </w:rPr>
        <w:t>潼关县尚德幼儿园教学设备采购项目</w:t>
      </w:r>
      <w:r>
        <w:rPr>
          <w:rFonts w:hint="eastAsia"/>
          <w:color w:val="auto"/>
          <w:kern w:val="2"/>
        </w:rPr>
        <w:t>):</w:t>
      </w:r>
    </w:p>
    <w:p>
      <w:pPr>
        <w:pStyle w:val="31"/>
        <w:keepLines w:val="0"/>
        <w:pageBreakBefore w:val="0"/>
        <w:kinsoku/>
        <w:wordWrap/>
        <w:overflowPunct/>
        <w:topLinePunct w:val="0"/>
        <w:bidi w:val="0"/>
        <w:snapToGrid/>
        <w:spacing w:before="0" w:beforeAutospacing="0" w:after="0" w:afterAutospacing="0" w:line="440" w:lineRule="exact"/>
        <w:ind w:firstLine="960" w:firstLineChars="400"/>
        <w:jc w:val="both"/>
        <w:textAlignment w:val="auto"/>
        <w:rPr>
          <w:color w:val="auto"/>
          <w:kern w:val="2"/>
        </w:rPr>
      </w:pPr>
      <w:r>
        <w:rPr>
          <w:rFonts w:hint="eastAsia"/>
          <w:color w:val="auto"/>
          <w:kern w:val="2"/>
        </w:rPr>
        <w:t>合同包预算金额：</w:t>
      </w:r>
      <w:r>
        <w:rPr>
          <w:rFonts w:hint="eastAsia" w:ascii="宋体" w:hAnsi="宋体" w:cs="宋体"/>
          <w:color w:val="auto"/>
          <w:sz w:val="24"/>
          <w:szCs w:val="24"/>
          <w:lang w:val="en-US" w:eastAsia="zh-CN"/>
        </w:rPr>
        <w:t>1,849,743.00</w:t>
      </w:r>
      <w:r>
        <w:rPr>
          <w:rFonts w:hint="eastAsia"/>
          <w:color w:val="auto"/>
          <w:kern w:val="2"/>
        </w:rPr>
        <w:t>元</w:t>
      </w:r>
    </w:p>
    <w:p>
      <w:pPr>
        <w:pStyle w:val="31"/>
        <w:keepLines w:val="0"/>
        <w:pageBreakBefore w:val="0"/>
        <w:kinsoku/>
        <w:wordWrap/>
        <w:overflowPunct/>
        <w:topLinePunct w:val="0"/>
        <w:bidi w:val="0"/>
        <w:snapToGrid/>
        <w:spacing w:before="0" w:beforeAutospacing="0" w:after="0" w:afterAutospacing="0" w:line="440" w:lineRule="exact"/>
        <w:ind w:firstLine="960" w:firstLineChars="400"/>
        <w:jc w:val="both"/>
        <w:textAlignment w:val="auto"/>
        <w:rPr>
          <w:color w:val="auto"/>
          <w:kern w:val="2"/>
        </w:rPr>
      </w:pPr>
      <w:r>
        <w:rPr>
          <w:rFonts w:hint="eastAsia"/>
          <w:color w:val="auto"/>
          <w:kern w:val="2"/>
        </w:rPr>
        <w:t>合同包最高限价：</w:t>
      </w:r>
      <w:r>
        <w:rPr>
          <w:rFonts w:hint="eastAsia"/>
          <w:color w:val="auto"/>
          <w:kern w:val="2"/>
          <w:lang w:val="en-US" w:eastAsia="zh-CN"/>
        </w:rPr>
        <w:t>1,849,743.00</w:t>
      </w:r>
      <w:r>
        <w:rPr>
          <w:rFonts w:hint="eastAsia"/>
          <w:color w:val="auto"/>
          <w:kern w:val="2"/>
        </w:rPr>
        <w:t xml:space="preserve">元 </w:t>
      </w:r>
    </w:p>
    <w:tbl>
      <w:tblPr>
        <w:tblStyle w:val="36"/>
        <w:tblW w:w="5239" w:type="pct"/>
        <w:tblCellSpacing w:w="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94"/>
        <w:gridCol w:w="1525"/>
        <w:gridCol w:w="1563"/>
        <w:gridCol w:w="1238"/>
        <w:gridCol w:w="1786"/>
        <w:gridCol w:w="120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tblHeader/>
          <w:tblCellSpacing w:w="0" w:type="dxa"/>
        </w:trPr>
        <w:tc>
          <w:tcPr>
            <w:tcW w:w="1194"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品目号</w:t>
            </w:r>
          </w:p>
        </w:tc>
        <w:tc>
          <w:tcPr>
            <w:tcW w:w="1525"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品目名称</w:t>
            </w:r>
          </w:p>
        </w:tc>
        <w:tc>
          <w:tcPr>
            <w:tcW w:w="1563"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采购标的</w:t>
            </w:r>
          </w:p>
        </w:tc>
        <w:tc>
          <w:tcPr>
            <w:tcW w:w="1238"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数量</w:t>
            </w:r>
          </w:p>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（单位）</w:t>
            </w:r>
          </w:p>
        </w:tc>
        <w:tc>
          <w:tcPr>
            <w:tcW w:w="1786"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技术规格、参数及要求</w:t>
            </w:r>
          </w:p>
        </w:tc>
        <w:tc>
          <w:tcPr>
            <w:tcW w:w="1206"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品目预算(元)</w:t>
            </w:r>
          </w:p>
        </w:tc>
        <w:tc>
          <w:tcPr>
            <w:tcW w:w="1264"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b/>
                <w:bCs/>
                <w:color w:val="auto"/>
                <w:sz w:val="24"/>
                <w:szCs w:val="24"/>
              </w:rPr>
            </w:pPr>
            <w:r>
              <w:rPr>
                <w:rFonts w:hint="eastAsia" w:ascii="宋体" w:hAnsi="宋体" w:cs="宋体"/>
                <w:b/>
                <w:bCs/>
                <w:color w:val="auto"/>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2" w:hRule="atLeast"/>
          <w:tblCellSpacing w:w="0" w:type="dxa"/>
        </w:trPr>
        <w:tc>
          <w:tcPr>
            <w:tcW w:w="1194"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1-1</w:t>
            </w:r>
          </w:p>
        </w:tc>
        <w:tc>
          <w:tcPr>
            <w:tcW w:w="1525"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教具</w:t>
            </w:r>
          </w:p>
        </w:tc>
        <w:tc>
          <w:tcPr>
            <w:tcW w:w="1563"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lang w:eastAsia="zh-CN"/>
              </w:rPr>
              <w:t>潼关县尚德幼儿园教学设备采购项目</w:t>
            </w:r>
          </w:p>
        </w:tc>
        <w:tc>
          <w:tcPr>
            <w:tcW w:w="1238"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批</w:t>
            </w:r>
            <w:r>
              <w:rPr>
                <w:rFonts w:hint="eastAsia" w:ascii="宋体" w:hAnsi="宋体" w:cs="宋体"/>
                <w:color w:val="auto"/>
                <w:sz w:val="24"/>
                <w:szCs w:val="24"/>
              </w:rPr>
              <w:t>)</w:t>
            </w:r>
          </w:p>
        </w:tc>
        <w:tc>
          <w:tcPr>
            <w:tcW w:w="1786"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详见</w:t>
            </w:r>
            <w:r>
              <w:rPr>
                <w:rFonts w:hint="eastAsia" w:ascii="宋体" w:hAnsi="宋体" w:cs="宋体"/>
                <w:color w:val="auto"/>
                <w:sz w:val="24"/>
                <w:szCs w:val="24"/>
                <w:lang w:val="en-US" w:eastAsia="zh-CN"/>
              </w:rPr>
              <w:t>采购</w:t>
            </w:r>
            <w:r>
              <w:rPr>
                <w:rFonts w:hint="eastAsia" w:ascii="宋体" w:hAnsi="宋体" w:cs="宋体"/>
                <w:color w:val="auto"/>
                <w:sz w:val="24"/>
                <w:szCs w:val="24"/>
              </w:rPr>
              <w:t>文件</w:t>
            </w:r>
          </w:p>
        </w:tc>
        <w:tc>
          <w:tcPr>
            <w:tcW w:w="1206"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1,849,743.00</w:t>
            </w:r>
          </w:p>
        </w:tc>
        <w:tc>
          <w:tcPr>
            <w:tcW w:w="1264" w:type="dxa"/>
            <w:tcBorders>
              <w:tl2br w:val="nil"/>
              <w:tr2bl w:val="nil"/>
            </w:tcBorders>
            <w:tcMar>
              <w:top w:w="75" w:type="dxa"/>
              <w:left w:w="120" w:type="dxa"/>
              <w:bottom w:w="75" w:type="dxa"/>
              <w:right w:w="120" w:type="dxa"/>
            </w:tcMar>
            <w:vAlign w:val="center"/>
          </w:tcPr>
          <w:p>
            <w:pPr>
              <w:keepLines w:val="0"/>
              <w:pageBreakBefore w:val="0"/>
              <w:widowControl/>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lang w:val="en-US" w:eastAsia="zh-CN"/>
              </w:rPr>
              <w:t>1,849,743.00</w:t>
            </w:r>
          </w:p>
        </w:tc>
      </w:tr>
    </w:tbl>
    <w:p>
      <w:pPr>
        <w:pStyle w:val="31"/>
        <w:keepLines w:val="0"/>
        <w:pageBreakBefore w:val="0"/>
        <w:kinsoku/>
        <w:wordWrap/>
        <w:overflowPunct/>
        <w:topLinePunct w:val="0"/>
        <w:bidi w:val="0"/>
        <w:snapToGrid/>
        <w:spacing w:before="0" w:beforeAutospacing="0" w:after="0" w:afterAutospacing="0" w:line="440" w:lineRule="exact"/>
        <w:ind w:firstLine="480" w:firstLineChars="200"/>
        <w:jc w:val="both"/>
        <w:textAlignment w:val="auto"/>
        <w:rPr>
          <w:color w:val="auto"/>
          <w:kern w:val="2"/>
        </w:rPr>
      </w:pPr>
      <w:r>
        <w:rPr>
          <w:rFonts w:hint="eastAsia"/>
          <w:color w:val="auto"/>
          <w:kern w:val="2"/>
        </w:rPr>
        <w:t xml:space="preserve">本合同包不接受联合体投标 </w:t>
      </w:r>
    </w:p>
    <w:p>
      <w:pPr>
        <w:pStyle w:val="31"/>
        <w:keepLines w:val="0"/>
        <w:pageBreakBefore w:val="0"/>
        <w:kinsoku/>
        <w:wordWrap/>
        <w:overflowPunct/>
        <w:topLinePunct w:val="0"/>
        <w:bidi w:val="0"/>
        <w:snapToGrid/>
        <w:spacing w:before="0" w:beforeAutospacing="0" w:after="0" w:afterAutospacing="0" w:line="440" w:lineRule="exact"/>
        <w:ind w:firstLine="480" w:firstLineChars="200"/>
        <w:jc w:val="both"/>
        <w:textAlignment w:val="auto"/>
        <w:rPr>
          <w:color w:val="auto"/>
          <w:kern w:val="2"/>
        </w:rPr>
      </w:pPr>
      <w:r>
        <w:rPr>
          <w:rFonts w:hint="eastAsia"/>
          <w:color w:val="auto"/>
          <w:kern w:val="2"/>
        </w:rPr>
        <w:t>合同履行期限</w:t>
      </w:r>
      <w:r>
        <w:rPr>
          <w:rFonts w:hint="eastAsia"/>
          <w:color w:val="auto"/>
          <w:kern w:val="2"/>
          <w:lang w:eastAsia="zh-CN"/>
        </w:rPr>
        <w:t>：</w:t>
      </w:r>
      <w:r>
        <w:rPr>
          <w:rFonts w:hint="eastAsia"/>
          <w:color w:val="auto"/>
          <w:kern w:val="2"/>
          <w:lang w:val="en-US" w:eastAsia="zh-CN"/>
        </w:rPr>
        <w:t>无</w:t>
      </w:r>
    </w:p>
    <w:p>
      <w:pPr>
        <w:pStyle w:val="121"/>
        <w:keepLines w:val="0"/>
        <w:pageBreakBefore w:val="0"/>
        <w:kinsoku/>
        <w:wordWrap/>
        <w:overflowPunct/>
        <w:topLinePunct w:val="0"/>
        <w:bidi w:val="0"/>
        <w:snapToGrid/>
        <w:spacing w:before="0" w:beforeAutospacing="0" w:after="0" w:afterAutospacing="0" w:line="440" w:lineRule="exact"/>
        <w:textAlignment w:val="auto"/>
        <w:rPr>
          <w:b/>
          <w:bCs/>
          <w:color w:val="auto"/>
          <w:sz w:val="28"/>
          <w:szCs w:val="28"/>
        </w:rPr>
      </w:pPr>
      <w:r>
        <w:rPr>
          <w:rFonts w:hint="eastAsia"/>
          <w:b/>
          <w:bCs/>
          <w:color w:val="auto"/>
          <w:sz w:val="28"/>
          <w:szCs w:val="28"/>
        </w:rPr>
        <w:t xml:space="preserve">二、 响应供应商的资格要求 </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kern w:val="2"/>
        </w:rPr>
      </w:pPr>
      <w:r>
        <w:rPr>
          <w:rFonts w:hint="eastAsia"/>
          <w:color w:val="auto"/>
          <w:kern w:val="2"/>
        </w:rPr>
        <w:t>1.满足《中华人民共和国政府釆购法》第二十二条规定;</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kern w:val="2"/>
        </w:rPr>
      </w:pPr>
      <w:r>
        <w:rPr>
          <w:rFonts w:hint="eastAsia"/>
          <w:color w:val="auto"/>
          <w:kern w:val="2"/>
        </w:rPr>
        <w:t xml:space="preserve">2.落实政府采购政策需满足的资格要求： </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hint="eastAsia"/>
          <w:color w:val="auto"/>
          <w:kern w:val="2"/>
        </w:rPr>
      </w:pPr>
      <w:r>
        <w:rPr>
          <w:rFonts w:hint="eastAsia"/>
          <w:color w:val="auto"/>
          <w:kern w:val="2"/>
        </w:rPr>
        <w:t>合同包1(</w:t>
      </w:r>
      <w:r>
        <w:rPr>
          <w:rFonts w:hint="eastAsia"/>
          <w:color w:val="auto"/>
          <w:kern w:val="2"/>
          <w:lang w:eastAsia="zh-CN"/>
        </w:rPr>
        <w:t>潼关县尚德幼儿园教学设备采购项目</w:t>
      </w:r>
      <w:r>
        <w:rPr>
          <w:rFonts w:hint="eastAsia"/>
          <w:color w:val="auto"/>
          <w:kern w:val="2"/>
        </w:rPr>
        <w:t>)落实政府采购政策需满足的资格要求如下:</w:t>
      </w:r>
    </w:p>
    <w:p>
      <w:pPr>
        <w:keepLines w:val="0"/>
        <w:pageBreakBefore w:val="0"/>
        <w:kinsoku/>
        <w:wordWrap/>
        <w:overflowPunct/>
        <w:topLinePunct w:val="0"/>
        <w:bidi w:val="0"/>
        <w:snapToGrid/>
        <w:spacing w:line="44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本项目部分面向中小企业采购</w:t>
      </w:r>
      <w:r>
        <w:rPr>
          <w:rFonts w:hint="eastAsia" w:ascii="宋体" w:hAnsi="宋体" w:cs="宋体"/>
          <w:b/>
          <w:bCs/>
          <w:color w:val="auto"/>
          <w:sz w:val="24"/>
          <w:szCs w:val="24"/>
          <w:lang w:val="en-US" w:eastAsia="zh-CN"/>
        </w:rPr>
        <w:t>-要求合同分包</w:t>
      </w:r>
      <w:r>
        <w:rPr>
          <w:rFonts w:hint="eastAsia" w:ascii="宋体" w:hAnsi="宋体" w:cs="宋体"/>
          <w:b/>
          <w:bCs/>
          <w:color w:val="auto"/>
          <w:sz w:val="24"/>
          <w:szCs w:val="24"/>
        </w:rPr>
        <w:t>形式参加预留（中小企业预留采购份额</w:t>
      </w:r>
      <w:r>
        <w:rPr>
          <w:rFonts w:hint="eastAsia" w:ascii="宋体" w:hAnsi="宋体" w:cs="宋体"/>
          <w:b/>
          <w:bCs/>
          <w:color w:val="auto"/>
          <w:sz w:val="24"/>
          <w:szCs w:val="24"/>
          <w:lang w:val="en-US" w:eastAsia="zh-CN"/>
        </w:rPr>
        <w:t>51</w:t>
      </w:r>
      <w:r>
        <w:rPr>
          <w:rFonts w:hint="eastAsia" w:ascii="宋体" w:hAnsi="宋体" w:cs="宋体"/>
          <w:b/>
          <w:bCs/>
          <w:color w:val="auto"/>
          <w:sz w:val="24"/>
          <w:szCs w:val="24"/>
        </w:rPr>
        <w:t>%）；</w:t>
      </w:r>
    </w:p>
    <w:p>
      <w:pPr>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依据《中华人民共和国政府采购法》和《中华人民共和国政府采购法实施条例》的有关规定，落实政府采购政策，详见谈判文件。</w:t>
      </w:r>
      <w:r>
        <w:rPr>
          <w:rFonts w:hint="eastAsia" w:ascii="宋体" w:hAnsi="宋体" w:cs="宋体"/>
          <w:color w:val="auto"/>
          <w:sz w:val="24"/>
          <w:szCs w:val="24"/>
          <w:lang w:val="en-US" w:eastAsia="zh-CN"/>
        </w:rPr>
        <w:t xml:space="preserve"> </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《政府采购促进中小企业发展管理办法》（财库〔2020〕46号）；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《财政部司法部关于政府采购支持监狱企业发展有关问题的通知》（财库〔2014〕68号）；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《国务院办公厅关于建立政府强制采购节能产品制度的通知》（国办发〔2007〕51号）；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《环境标志产品政府采购实施的意见》（财库〔2006〕90号）；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《关于促进残疾人就业政府采购政策的通知》财库〔2017〕141号；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 xml:space="preserve"> 财政部国家发展改革委关于印发〈节能产品政府采购实施意见〉的通知》（财库〔2004〕185号）；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《财政部发展改革委生态环境部市场监管总局关于调整优化节能产品、环境标志产品政府采购执行机制的通知》（财库〔2019〕9号）；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《关于印发环境标志产品政府采购品目清单的通知》（财库〔2019〕18号）；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《关于印发节能产品政府采购品目清单的通知》（财库〔2019〕19号）；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《关于运用政府采购政策支持乡村产业振兴的通知》财库〔2021〕19号；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《陕西省中小企业政府采购信用融资办法》（陕财办采〔2018〕23号）；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《陕西省财政厅关于加快推进我省中小企业政府采购信用融资工作的通知》（陕财办采〔2020〕15号）；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《财政部关于在政府采购活动中查询及使用信用记录有关问题的通知》（财库〔2016〕125号）；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《财政部关于进一步加大政府采购支持中小企业力度的通知》（财库〔2022〕19号）；</w:t>
      </w:r>
    </w:p>
    <w:p>
      <w:pPr>
        <w:keepLines w:val="0"/>
        <w:pageBreakBefore w:val="0"/>
        <w:numPr>
          <w:ilvl w:val="0"/>
          <w:numId w:val="1"/>
        </w:numPr>
        <w:kinsoku/>
        <w:wordWrap/>
        <w:overflowPunct/>
        <w:topLinePunct w:val="0"/>
        <w:bidi w:val="0"/>
        <w:snapToGrid/>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其他落实的政府采购政策。若享受以上政策优惠的企业，需提供相应声明函或品目清单范围内产品的有效认证证书。</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3.本项目的特定资格要求：</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合同包1(</w:t>
      </w:r>
      <w:r>
        <w:rPr>
          <w:rFonts w:hint="eastAsia"/>
          <w:color w:val="auto"/>
          <w:kern w:val="2"/>
          <w:lang w:eastAsia="zh-CN"/>
        </w:rPr>
        <w:t>潼关县尚德幼儿园教学设备采购项目</w:t>
      </w:r>
      <w:r>
        <w:rPr>
          <w:rFonts w:hint="eastAsia" w:cs="Times New Roman"/>
          <w:color w:val="auto"/>
          <w:kern w:val="2"/>
        </w:rPr>
        <w:t>)特定资格要求如下:</w:t>
      </w:r>
    </w:p>
    <w:p>
      <w:pPr>
        <w:pStyle w:val="31"/>
        <w:keepLines w:val="0"/>
        <w:pageBreakBefore w:val="0"/>
        <w:numPr>
          <w:ilvl w:val="0"/>
          <w:numId w:val="2"/>
        </w:numPr>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具有独立承担民事责任能力的法人、其他组织或自然人，并出具合法有效的营业执照或事业单位法人证书等国家规定的相关证明，自然人参与的提供其身份证明；</w:t>
      </w:r>
    </w:p>
    <w:p>
      <w:pPr>
        <w:pStyle w:val="31"/>
        <w:keepLines w:val="0"/>
        <w:pageBreakBefore w:val="0"/>
        <w:numPr>
          <w:ilvl w:val="0"/>
          <w:numId w:val="2"/>
        </w:numPr>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p>
    <w:p>
      <w:pPr>
        <w:pStyle w:val="31"/>
        <w:keepLines w:val="0"/>
        <w:pageBreakBefore w:val="0"/>
        <w:numPr>
          <w:ilvl w:val="0"/>
          <w:numId w:val="2"/>
        </w:numPr>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供应商不得为列入信用中国(www.creditchina.gov.cn)记录失信被执行人或重大税收违法案件当事人名单或中国政府采购网(www.ccgp.gov.cn)的政府采购严重违法失信行为记录名单；</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（4）本项目不接受联合体谈判。单位负责人为同一人或者存在控股、管理关系的不同单位不得同时参加。</w:t>
      </w:r>
    </w:p>
    <w:p>
      <w:pPr>
        <w:pStyle w:val="121"/>
        <w:keepLines w:val="0"/>
        <w:pageBreakBefore w:val="0"/>
        <w:kinsoku/>
        <w:wordWrap/>
        <w:overflowPunct/>
        <w:topLinePunct w:val="0"/>
        <w:bidi w:val="0"/>
        <w:snapToGrid/>
        <w:spacing w:before="0" w:beforeAutospacing="0" w:after="0" w:afterAutospacing="0" w:line="440" w:lineRule="exact"/>
        <w:textAlignment w:val="auto"/>
        <w:rPr>
          <w:b/>
          <w:bCs/>
          <w:color w:val="auto"/>
          <w:sz w:val="28"/>
          <w:szCs w:val="28"/>
        </w:rPr>
      </w:pPr>
      <w:r>
        <w:rPr>
          <w:rFonts w:hint="eastAsia"/>
          <w:b/>
          <w:bCs/>
          <w:color w:val="auto"/>
          <w:sz w:val="28"/>
          <w:szCs w:val="28"/>
        </w:rPr>
        <w:t>三、获取采购文件</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时间：2022年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12</w:t>
      </w:r>
      <w:r>
        <w:rPr>
          <w:rFonts w:hint="eastAsia" w:cs="Times New Roman"/>
          <w:color w:val="auto"/>
          <w:kern w:val="2"/>
        </w:rPr>
        <w:t>日至2022年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15</w:t>
      </w:r>
      <w:r>
        <w:rPr>
          <w:rFonts w:hint="eastAsia" w:cs="Times New Roman"/>
          <w:color w:val="auto"/>
          <w:kern w:val="2"/>
        </w:rPr>
        <w:t>日，每天上午09:00:00至12:00:00 ，下午</w:t>
      </w:r>
      <w:r>
        <w:rPr>
          <w:rFonts w:hint="eastAsia" w:cs="Times New Roman"/>
          <w:color w:val="auto"/>
          <w:kern w:val="2"/>
          <w:lang w:val="en-US" w:eastAsia="zh-CN"/>
        </w:rPr>
        <w:t>14</w:t>
      </w:r>
      <w:r>
        <w:rPr>
          <w:rFonts w:hint="eastAsia" w:cs="Times New Roman"/>
          <w:color w:val="auto"/>
          <w:kern w:val="2"/>
        </w:rPr>
        <w:t>:</w:t>
      </w:r>
      <w:r>
        <w:rPr>
          <w:rFonts w:hint="eastAsia" w:cs="Times New Roman"/>
          <w:color w:val="auto"/>
          <w:kern w:val="2"/>
          <w:lang w:val="en-US" w:eastAsia="zh-CN"/>
        </w:rPr>
        <w:t>00</w:t>
      </w:r>
      <w:r>
        <w:rPr>
          <w:rFonts w:hint="eastAsia" w:cs="Times New Roman"/>
          <w:color w:val="auto"/>
          <w:kern w:val="2"/>
        </w:rPr>
        <w:t>:00至17:</w:t>
      </w:r>
      <w:r>
        <w:rPr>
          <w:rFonts w:hint="eastAsia" w:cs="Times New Roman"/>
          <w:color w:val="auto"/>
          <w:kern w:val="2"/>
          <w:lang w:val="en-US" w:eastAsia="zh-CN"/>
        </w:rPr>
        <w:t>00</w:t>
      </w:r>
      <w:r>
        <w:rPr>
          <w:rFonts w:hint="eastAsia" w:cs="Times New Roman"/>
          <w:color w:val="auto"/>
          <w:kern w:val="2"/>
        </w:rPr>
        <w:t>:00（北京时间,法定节假日除外）</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lang w:val="en-US" w:eastAsia="zh-CN"/>
        </w:rPr>
        <w:t>途径</w:t>
      </w:r>
      <w:r>
        <w:rPr>
          <w:rFonts w:hint="eastAsia" w:cs="Times New Roman"/>
          <w:color w:val="auto"/>
          <w:kern w:val="2"/>
        </w:rPr>
        <w:t>：ssjiaoyang@yeah.net</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方式：</w:t>
      </w:r>
      <w:r>
        <w:rPr>
          <w:rFonts w:hint="eastAsia" w:cs="Times New Roman"/>
          <w:color w:val="auto"/>
          <w:kern w:val="2"/>
          <w:lang w:val="en-US" w:eastAsia="zh-CN"/>
        </w:rPr>
        <w:t>在线</w:t>
      </w:r>
      <w:r>
        <w:rPr>
          <w:rFonts w:hint="eastAsia" w:cs="Times New Roman"/>
          <w:color w:val="auto"/>
          <w:kern w:val="2"/>
        </w:rPr>
        <w:t>获取</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hint="default" w:eastAsia="宋体" w:cs="Times New Roman"/>
          <w:color w:val="auto"/>
          <w:kern w:val="2"/>
          <w:lang w:val="en-US" w:eastAsia="zh-CN"/>
        </w:rPr>
      </w:pPr>
      <w:r>
        <w:rPr>
          <w:rFonts w:hint="eastAsia" w:cs="Times New Roman"/>
          <w:color w:val="auto"/>
          <w:kern w:val="2"/>
        </w:rPr>
        <w:t>售价：</w:t>
      </w:r>
      <w:r>
        <w:rPr>
          <w:rFonts w:hint="eastAsia" w:cs="Times New Roman"/>
          <w:color w:val="auto"/>
          <w:kern w:val="2"/>
          <w:lang w:val="en-US" w:eastAsia="zh-CN"/>
        </w:rPr>
        <w:t>500元</w:t>
      </w:r>
    </w:p>
    <w:p>
      <w:pPr>
        <w:pStyle w:val="121"/>
        <w:keepLines w:val="0"/>
        <w:pageBreakBefore w:val="0"/>
        <w:kinsoku/>
        <w:wordWrap/>
        <w:overflowPunct/>
        <w:topLinePunct w:val="0"/>
        <w:bidi w:val="0"/>
        <w:snapToGrid/>
        <w:spacing w:before="0" w:beforeAutospacing="0" w:after="0" w:afterAutospacing="0" w:line="440" w:lineRule="exact"/>
        <w:textAlignment w:val="auto"/>
        <w:rPr>
          <w:rFonts w:hint="eastAsia"/>
          <w:b/>
          <w:bCs/>
          <w:color w:val="auto"/>
          <w:sz w:val="28"/>
          <w:szCs w:val="28"/>
        </w:rPr>
      </w:pPr>
      <w:r>
        <w:rPr>
          <w:rFonts w:hint="eastAsia"/>
          <w:b/>
          <w:bCs/>
          <w:color w:val="auto"/>
          <w:sz w:val="28"/>
          <w:szCs w:val="28"/>
        </w:rPr>
        <w:t>四、提交投标文件截止时间、开标时间和地点</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hint="eastAsia" w:cs="Times New Roman"/>
          <w:color w:val="auto"/>
          <w:kern w:val="2"/>
        </w:rPr>
      </w:pPr>
      <w:r>
        <w:rPr>
          <w:rFonts w:hint="eastAsia" w:cs="Times New Roman"/>
          <w:color w:val="auto"/>
          <w:kern w:val="2"/>
        </w:rPr>
        <w:t>时间：2022年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16</w:t>
      </w:r>
      <w:r>
        <w:rPr>
          <w:rFonts w:hint="eastAsia" w:cs="Times New Roman"/>
          <w:color w:val="auto"/>
          <w:kern w:val="2"/>
        </w:rPr>
        <w:t>日</w:t>
      </w:r>
      <w:r>
        <w:rPr>
          <w:rFonts w:hint="eastAsia" w:cs="Times New Roman"/>
          <w:color w:val="auto"/>
          <w:kern w:val="2"/>
          <w:lang w:val="en-US" w:eastAsia="zh-CN"/>
        </w:rPr>
        <w:t>14</w:t>
      </w:r>
      <w:r>
        <w:rPr>
          <w:rFonts w:hint="eastAsia" w:cs="Times New Roman"/>
          <w:color w:val="auto"/>
          <w:kern w:val="2"/>
        </w:rPr>
        <w:t>时30分00秒（北京时间）</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提交投标文件地点：西安市未央区凤城八路与渭滨路十字西北角水晶新天地10楼11004室</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开标地点：西安市未央区凤城八路与渭滨路十字西北角水晶新天地10楼11004室</w:t>
      </w:r>
    </w:p>
    <w:p>
      <w:pPr>
        <w:pStyle w:val="121"/>
        <w:keepLines w:val="0"/>
        <w:pageBreakBefore w:val="0"/>
        <w:kinsoku/>
        <w:wordWrap/>
        <w:overflowPunct/>
        <w:topLinePunct w:val="0"/>
        <w:bidi w:val="0"/>
        <w:snapToGrid/>
        <w:spacing w:before="0" w:beforeAutospacing="0" w:after="0" w:afterAutospacing="0" w:line="440" w:lineRule="exact"/>
        <w:textAlignment w:val="auto"/>
        <w:rPr>
          <w:b/>
          <w:bCs/>
          <w:color w:val="auto"/>
          <w:sz w:val="28"/>
          <w:szCs w:val="28"/>
        </w:rPr>
      </w:pPr>
      <w:r>
        <w:rPr>
          <w:rFonts w:hint="eastAsia"/>
          <w:b/>
          <w:bCs/>
          <w:color w:val="auto"/>
          <w:sz w:val="28"/>
          <w:szCs w:val="28"/>
          <w:lang w:val="en-US" w:eastAsia="zh-CN"/>
        </w:rPr>
        <w:t>五</w:t>
      </w:r>
      <w:r>
        <w:rPr>
          <w:rFonts w:hint="eastAsia"/>
          <w:b/>
          <w:bCs/>
          <w:color w:val="auto"/>
          <w:sz w:val="28"/>
          <w:szCs w:val="28"/>
        </w:rPr>
        <w:t>、公告期限</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自本公告发布之日起3个工作日。</w:t>
      </w:r>
    </w:p>
    <w:p>
      <w:pPr>
        <w:pStyle w:val="121"/>
        <w:keepLines w:val="0"/>
        <w:pageBreakBefore w:val="0"/>
        <w:kinsoku/>
        <w:wordWrap/>
        <w:overflowPunct/>
        <w:topLinePunct w:val="0"/>
        <w:bidi w:val="0"/>
        <w:snapToGrid/>
        <w:spacing w:before="0" w:beforeAutospacing="0" w:after="0" w:afterAutospacing="0" w:line="440" w:lineRule="exact"/>
        <w:textAlignment w:val="auto"/>
        <w:rPr>
          <w:b/>
          <w:bCs/>
          <w:color w:val="auto"/>
          <w:sz w:val="28"/>
          <w:szCs w:val="28"/>
        </w:rPr>
      </w:pPr>
      <w:r>
        <w:rPr>
          <w:rFonts w:hint="eastAsia"/>
          <w:b/>
          <w:bCs/>
          <w:color w:val="auto"/>
          <w:sz w:val="28"/>
          <w:szCs w:val="28"/>
          <w:lang w:val="en-US" w:eastAsia="zh-CN"/>
        </w:rPr>
        <w:t>六</w:t>
      </w:r>
      <w:r>
        <w:rPr>
          <w:rFonts w:hint="eastAsia"/>
          <w:b/>
          <w:bCs/>
          <w:color w:val="auto"/>
          <w:sz w:val="28"/>
          <w:szCs w:val="28"/>
        </w:rPr>
        <w:t>、其他补充事宜</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1、供应商请于2022年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12</w:t>
      </w:r>
      <w:r>
        <w:rPr>
          <w:rFonts w:hint="eastAsia" w:cs="Times New Roman"/>
          <w:color w:val="auto"/>
          <w:kern w:val="2"/>
        </w:rPr>
        <w:t>日至2022年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15</w:t>
      </w:r>
      <w:r>
        <w:rPr>
          <w:rFonts w:hint="eastAsia" w:cs="Times New Roman"/>
          <w:color w:val="auto"/>
          <w:kern w:val="2"/>
        </w:rPr>
        <w:t>日，每天上午9:00-12:00，下午14:00-17:00（法定节假日除外），</w:t>
      </w:r>
      <w:r>
        <w:rPr>
          <w:rFonts w:hint="eastAsia" w:ascii="宋体" w:hAnsi="宋体"/>
          <w:color w:val="auto"/>
          <w:sz w:val="24"/>
          <w:szCs w:val="24"/>
        </w:rPr>
        <w:t>凡有意参加本项目的供应商在</w:t>
      </w:r>
      <w:r>
        <w:rPr>
          <w:rFonts w:hint="eastAsia" w:ascii="宋体" w:hAnsi="宋体"/>
          <w:color w:val="auto"/>
          <w:sz w:val="24"/>
          <w:szCs w:val="24"/>
          <w:lang w:val="en-US" w:eastAsia="zh-CN"/>
        </w:rPr>
        <w:t>谈判</w:t>
      </w:r>
      <w:r>
        <w:rPr>
          <w:rFonts w:hint="eastAsia" w:ascii="宋体" w:hAnsi="宋体"/>
          <w:color w:val="auto"/>
          <w:sz w:val="24"/>
          <w:szCs w:val="24"/>
        </w:rPr>
        <w:t>文件获取时间内将单位介绍信及经办人身份证复印件加盖公章的扫描件（备注经办人、联系电话及电子邮箱）发送至ssjiaoyang@yeah.net邮箱，邮箱标题请以项目名称-单位名称的方式命名，并及时联系采购代理机构进行确认，在报名资料核实无误后发送谈判文件</w:t>
      </w:r>
      <w:r>
        <w:rPr>
          <w:rFonts w:hint="eastAsia" w:cs="Times New Roman"/>
          <w:color w:val="auto"/>
          <w:kern w:val="2"/>
        </w:rPr>
        <w:t>。</w:t>
      </w:r>
    </w:p>
    <w:p>
      <w:pPr>
        <w:pStyle w:val="31"/>
        <w:keepLines w:val="0"/>
        <w:pageBreakBefore w:val="0"/>
        <w:kinsoku/>
        <w:wordWrap/>
        <w:overflowPunct/>
        <w:topLinePunct w:val="0"/>
        <w:bidi w:val="0"/>
        <w:snapToGrid/>
        <w:spacing w:before="0" w:beforeAutospacing="0" w:after="0" w:afterAutospacing="0" w:line="440" w:lineRule="exact"/>
        <w:ind w:firstLine="480" w:firstLineChars="200"/>
        <w:jc w:val="both"/>
        <w:textAlignment w:val="auto"/>
        <w:rPr>
          <w:rFonts w:cs="Times New Roman"/>
          <w:color w:val="auto"/>
          <w:kern w:val="2"/>
        </w:rPr>
      </w:pPr>
      <w:r>
        <w:rPr>
          <w:rFonts w:hint="eastAsia" w:cs="Times New Roman"/>
          <w:color w:val="auto"/>
          <w:kern w:val="2"/>
        </w:rPr>
        <w:t>2、供应商按照陕西省财政厅关于政府采购供应商注册登记有关事项的通知中的要求，通过陕西省政府采购网（http://www.ccgp-shaanxi.gov.cn/）注册登记加入陕西省政府采购供应商库。</w:t>
      </w:r>
    </w:p>
    <w:p>
      <w:pPr>
        <w:pStyle w:val="121"/>
        <w:keepLines w:val="0"/>
        <w:pageBreakBefore w:val="0"/>
        <w:kinsoku/>
        <w:wordWrap/>
        <w:overflowPunct/>
        <w:topLinePunct w:val="0"/>
        <w:bidi w:val="0"/>
        <w:snapToGrid/>
        <w:spacing w:before="0" w:beforeAutospacing="0" w:after="0" w:afterAutospacing="0" w:line="440" w:lineRule="exact"/>
        <w:textAlignment w:val="auto"/>
        <w:rPr>
          <w:b/>
          <w:bCs/>
          <w:color w:val="auto"/>
          <w:sz w:val="28"/>
          <w:szCs w:val="28"/>
        </w:rPr>
      </w:pPr>
      <w:r>
        <w:rPr>
          <w:rFonts w:hint="eastAsia"/>
          <w:b/>
          <w:bCs/>
          <w:color w:val="auto"/>
          <w:sz w:val="28"/>
          <w:szCs w:val="28"/>
          <w:lang w:val="en-US" w:eastAsia="zh-CN"/>
        </w:rPr>
        <w:t>七</w:t>
      </w:r>
      <w:r>
        <w:rPr>
          <w:rFonts w:hint="eastAsia"/>
          <w:b/>
          <w:bCs/>
          <w:color w:val="auto"/>
          <w:sz w:val="28"/>
          <w:szCs w:val="28"/>
        </w:rPr>
        <w:t>、凡对本次采购提出询问，请按以下方式联系。</w:t>
      </w:r>
    </w:p>
    <w:p>
      <w:pPr>
        <w:pStyle w:val="8"/>
        <w:keepNext w:val="0"/>
        <w:keepLines w:val="0"/>
        <w:pageBreakBefore w:val="0"/>
        <w:kinsoku/>
        <w:wordWrap/>
        <w:overflowPunct/>
        <w:topLinePunct w:val="0"/>
        <w:bidi w:val="0"/>
        <w:snapToGrid/>
        <w:spacing w:before="0" w:after="0" w:line="440" w:lineRule="exact"/>
        <w:ind w:firstLine="482" w:firstLineChars="200"/>
        <w:textAlignment w:val="auto"/>
        <w:rPr>
          <w:rFonts w:ascii="宋体" w:hAnsi="宋体" w:eastAsia="宋体"/>
          <w:color w:val="auto"/>
          <w:kern w:val="2"/>
        </w:rPr>
      </w:pPr>
      <w:r>
        <w:rPr>
          <w:rFonts w:hint="eastAsia" w:ascii="宋体" w:hAnsi="宋体" w:eastAsia="宋体"/>
          <w:color w:val="auto"/>
          <w:kern w:val="2"/>
        </w:rPr>
        <w:t>1.釆购人信息</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名称：潼关县教育科技局</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地址：</w:t>
      </w:r>
      <w:r>
        <w:rPr>
          <w:rFonts w:hint="eastAsia"/>
          <w:color w:val="auto"/>
        </w:rPr>
        <w:t>渭南市潼关县育贤街（西段）</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联系方式：0913-3906892</w:t>
      </w:r>
    </w:p>
    <w:p>
      <w:pPr>
        <w:pStyle w:val="8"/>
        <w:keepNext w:val="0"/>
        <w:keepLines w:val="0"/>
        <w:pageBreakBefore w:val="0"/>
        <w:kinsoku/>
        <w:wordWrap/>
        <w:overflowPunct/>
        <w:topLinePunct w:val="0"/>
        <w:bidi w:val="0"/>
        <w:snapToGrid/>
        <w:spacing w:before="0" w:after="0" w:line="440" w:lineRule="exact"/>
        <w:ind w:firstLine="482" w:firstLineChars="200"/>
        <w:textAlignment w:val="auto"/>
        <w:rPr>
          <w:rFonts w:ascii="宋体" w:hAnsi="宋体" w:eastAsia="宋体"/>
          <w:color w:val="auto"/>
          <w:kern w:val="2"/>
        </w:rPr>
      </w:pPr>
      <w:r>
        <w:rPr>
          <w:rFonts w:hint="eastAsia" w:ascii="宋体" w:hAnsi="宋体" w:eastAsia="宋体"/>
          <w:color w:val="auto"/>
          <w:kern w:val="2"/>
        </w:rPr>
        <w:t>2.釆购代理机构信息</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名称：陕西盛仕骄阳项目管理有限公司</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地址：西安市未央区凤城八路与渭滨路十字西北角水晶新天地10楼11004室</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联系方式：</w:t>
      </w:r>
      <w:r>
        <w:rPr>
          <w:rFonts w:hint="eastAsia"/>
          <w:color w:val="auto"/>
        </w:rPr>
        <w:t>029-89871668</w:t>
      </w:r>
    </w:p>
    <w:p>
      <w:pPr>
        <w:pStyle w:val="8"/>
        <w:keepNext w:val="0"/>
        <w:keepLines w:val="0"/>
        <w:pageBreakBefore w:val="0"/>
        <w:kinsoku/>
        <w:wordWrap/>
        <w:overflowPunct/>
        <w:topLinePunct w:val="0"/>
        <w:bidi w:val="0"/>
        <w:snapToGrid/>
        <w:spacing w:before="0" w:after="0" w:line="440" w:lineRule="exact"/>
        <w:ind w:firstLine="482" w:firstLineChars="200"/>
        <w:textAlignment w:val="auto"/>
        <w:rPr>
          <w:rFonts w:ascii="宋体" w:hAnsi="宋体" w:eastAsia="宋体"/>
          <w:color w:val="auto"/>
          <w:kern w:val="2"/>
        </w:rPr>
      </w:pPr>
      <w:r>
        <w:rPr>
          <w:rFonts w:hint="eastAsia" w:ascii="宋体" w:hAnsi="宋体" w:eastAsia="宋体"/>
          <w:color w:val="auto"/>
          <w:kern w:val="2"/>
        </w:rPr>
        <w:t xml:space="preserve">3.项目联系方式 </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项目联系人：张工</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rFonts w:cs="Times New Roman"/>
          <w:color w:val="auto"/>
          <w:kern w:val="2"/>
        </w:rPr>
      </w:pPr>
      <w:r>
        <w:rPr>
          <w:rFonts w:hint="eastAsia" w:cs="Times New Roman"/>
          <w:color w:val="auto"/>
          <w:kern w:val="2"/>
        </w:rPr>
        <w:t>电话：</w:t>
      </w:r>
      <w:r>
        <w:rPr>
          <w:rFonts w:hint="eastAsia"/>
          <w:color w:val="auto"/>
        </w:rPr>
        <w:t>029-89871668</w:t>
      </w:r>
    </w:p>
    <w:p>
      <w:pPr>
        <w:pStyle w:val="31"/>
        <w:keepLines w:val="0"/>
        <w:pageBreakBefore w:val="0"/>
        <w:kinsoku/>
        <w:wordWrap/>
        <w:overflowPunct/>
        <w:topLinePunct w:val="0"/>
        <w:bidi w:val="0"/>
        <w:snapToGrid/>
        <w:spacing w:before="0" w:beforeAutospacing="0" w:after="0" w:afterAutospacing="0" w:line="440" w:lineRule="exact"/>
        <w:jc w:val="right"/>
        <w:textAlignment w:val="auto"/>
        <w:rPr>
          <w:rFonts w:cs="Times New Roman"/>
          <w:color w:val="auto"/>
          <w:kern w:val="2"/>
        </w:rPr>
      </w:pPr>
      <w:r>
        <w:rPr>
          <w:rFonts w:hint="eastAsia" w:cs="Times New Roman"/>
          <w:color w:val="auto"/>
          <w:kern w:val="2"/>
        </w:rPr>
        <w:t>陕西盛仕骄阳项目管理有限公司</w:t>
      </w:r>
    </w:p>
    <w:p>
      <w:pPr>
        <w:pStyle w:val="31"/>
        <w:keepLines w:val="0"/>
        <w:pageBreakBefore w:val="0"/>
        <w:kinsoku/>
        <w:wordWrap/>
        <w:overflowPunct/>
        <w:topLinePunct w:val="0"/>
        <w:bidi w:val="0"/>
        <w:snapToGrid/>
        <w:spacing w:before="0" w:beforeAutospacing="0" w:after="0" w:afterAutospacing="0" w:line="440" w:lineRule="exact"/>
        <w:jc w:val="center"/>
        <w:textAlignment w:val="auto"/>
        <w:rPr>
          <w:rFonts w:cs="Times New Roman"/>
          <w:color w:val="auto"/>
          <w:kern w:val="2"/>
        </w:rPr>
      </w:pPr>
      <w:r>
        <w:rPr>
          <w:rFonts w:hint="eastAsia" w:cs="Times New Roman"/>
          <w:color w:val="auto"/>
          <w:kern w:val="2"/>
        </w:rPr>
        <w:t xml:space="preserve">                                          2022年</w:t>
      </w:r>
      <w:r>
        <w:rPr>
          <w:rFonts w:hint="eastAsia" w:cs="Times New Roman"/>
          <w:color w:val="auto"/>
          <w:kern w:val="2"/>
          <w:lang w:val="en-US" w:eastAsia="zh-CN"/>
        </w:rPr>
        <w:t>12</w:t>
      </w:r>
      <w:r>
        <w:rPr>
          <w:rFonts w:hint="eastAsia" w:cs="Times New Roman"/>
          <w:color w:val="auto"/>
          <w:kern w:val="2"/>
        </w:rPr>
        <w:t>月</w:t>
      </w:r>
      <w:r>
        <w:rPr>
          <w:rFonts w:hint="eastAsia" w:cs="Times New Roman"/>
          <w:color w:val="auto"/>
          <w:kern w:val="2"/>
          <w:lang w:val="en-US" w:eastAsia="zh-CN"/>
        </w:rPr>
        <w:t>12</w:t>
      </w:r>
      <w:r>
        <w:rPr>
          <w:rFonts w:hint="eastAsia" w:cs="Times New Roman"/>
          <w:color w:val="auto"/>
          <w:kern w:val="2"/>
        </w:rPr>
        <w:t>日</w:t>
      </w: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rPr>
      </w:pPr>
    </w:p>
    <w:p>
      <w:pPr>
        <w:pStyle w:val="31"/>
        <w:keepLines w:val="0"/>
        <w:pageBreakBefore w:val="0"/>
        <w:kinsoku/>
        <w:wordWrap/>
        <w:overflowPunct/>
        <w:topLinePunct w:val="0"/>
        <w:bidi w:val="0"/>
        <w:snapToGrid/>
        <w:spacing w:before="0" w:beforeAutospacing="0" w:after="0" w:afterAutospacing="0" w:line="440" w:lineRule="exact"/>
        <w:ind w:firstLine="480" w:firstLineChars="200"/>
        <w:textAlignment w:val="auto"/>
        <w:rPr>
          <w:color w:val="auto"/>
        </w:rPr>
      </w:pPr>
    </w:p>
    <w:p>
      <w:pPr>
        <w:keepLines w:val="0"/>
        <w:pageBreakBefore w:val="0"/>
        <w:kinsoku/>
        <w:wordWrap/>
        <w:overflowPunct/>
        <w:topLinePunct w:val="0"/>
        <w:bidi w:val="0"/>
        <w:snapToGrid/>
        <w:spacing w:line="440" w:lineRule="exact"/>
        <w:ind w:firstLine="420" w:firstLineChars="200"/>
        <w:textAlignment w:val="auto"/>
        <w:rPr>
          <w:rFonts w:ascii="宋体" w:hAnsi="宋体" w:cs="宋体"/>
          <w:color w:val="auto"/>
          <w:sz w:val="24"/>
          <w:szCs w:val="24"/>
        </w:rPr>
      </w:pPr>
      <w:r>
        <w:rPr>
          <w:rFonts w:hint="eastAsia" w:ascii="宋体" w:hAnsi="宋体" w:cs="宋体"/>
          <w:color w:val="auto"/>
          <w:szCs w:val="21"/>
        </w:rPr>
        <w:br w:type="page"/>
      </w:r>
    </w:p>
    <w:p>
      <w:pPr>
        <w:pStyle w:val="3"/>
        <w:keepLines w:val="0"/>
        <w:pageBreakBefore w:val="0"/>
        <w:kinsoku/>
        <w:wordWrap/>
        <w:overflowPunct/>
        <w:topLinePunct w:val="0"/>
        <w:bidi w:val="0"/>
        <w:snapToGrid/>
        <w:spacing w:line="440" w:lineRule="exact"/>
        <w:textAlignment w:val="auto"/>
        <w:rPr>
          <w:rFonts w:ascii="宋体" w:hAnsi="宋体" w:eastAsia="宋体" w:cs="宋体"/>
          <w:b/>
          <w:color w:val="auto"/>
          <w:szCs w:val="28"/>
        </w:rPr>
      </w:pPr>
      <w:bookmarkStart w:id="1" w:name="_Toc16804"/>
      <w:r>
        <w:rPr>
          <w:rFonts w:hint="eastAsia" w:ascii="宋体" w:hAnsi="宋体" w:eastAsia="宋体" w:cs="宋体"/>
          <w:b/>
          <w:color w:val="auto"/>
          <w:szCs w:val="28"/>
        </w:rPr>
        <w:t>第二章 竞争性谈判须知</w:t>
      </w:r>
      <w:bookmarkEnd w:id="1"/>
    </w:p>
    <w:tbl>
      <w:tblPr>
        <w:tblStyle w:val="36"/>
        <w:tblW w:w="98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214"/>
        <w:gridCol w:w="70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13" w:type="dxa"/>
            <w:vAlign w:val="center"/>
          </w:tcPr>
          <w:p>
            <w:pPr>
              <w:pStyle w:val="115"/>
              <w:keepLines w:val="0"/>
              <w:pageBreakBefore w:val="0"/>
              <w:kinsoku/>
              <w:wordWrap/>
              <w:overflowPunct/>
              <w:topLinePunct w:val="0"/>
              <w:bidi w:val="0"/>
              <w:snapToGrid/>
              <w:spacing w:line="440" w:lineRule="exact"/>
              <w:ind w:left="9"/>
              <w:jc w:val="center"/>
              <w:textAlignment w:val="auto"/>
              <w:rPr>
                <w:color w:val="auto"/>
                <w:lang w:val="zh-CN"/>
              </w:rPr>
            </w:pPr>
            <w:r>
              <w:rPr>
                <w:rFonts w:hint="eastAsia"/>
                <w:color w:val="auto"/>
                <w:lang w:val="zh-CN"/>
              </w:rPr>
              <w:t>序号</w:t>
            </w:r>
          </w:p>
        </w:tc>
        <w:tc>
          <w:tcPr>
            <w:tcW w:w="2214" w:type="dxa"/>
            <w:vAlign w:val="center"/>
          </w:tcPr>
          <w:p>
            <w:pPr>
              <w:pStyle w:val="115"/>
              <w:keepLines w:val="0"/>
              <w:pageBreakBefore w:val="0"/>
              <w:kinsoku/>
              <w:wordWrap/>
              <w:overflowPunct/>
              <w:topLinePunct w:val="0"/>
              <w:bidi w:val="0"/>
              <w:snapToGrid/>
              <w:spacing w:line="440" w:lineRule="exact"/>
              <w:ind w:left="-114"/>
              <w:jc w:val="center"/>
              <w:textAlignment w:val="auto"/>
              <w:rPr>
                <w:color w:val="auto"/>
                <w:lang w:val="zh-CN"/>
              </w:rPr>
            </w:pPr>
            <w:r>
              <w:rPr>
                <w:rFonts w:hint="eastAsia"/>
                <w:color w:val="auto"/>
                <w:lang w:val="zh-CN"/>
              </w:rPr>
              <w:t xml:space="preserve">条款名称 </w:t>
            </w:r>
          </w:p>
        </w:tc>
        <w:tc>
          <w:tcPr>
            <w:tcW w:w="7046"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1</w:t>
            </w:r>
          </w:p>
        </w:tc>
        <w:tc>
          <w:tcPr>
            <w:tcW w:w="2214"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采购人</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名称：潼关县教育科技局</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地址：渭南市潼关县育贤街（西段）</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联系人:</w:t>
            </w:r>
            <w:r>
              <w:rPr>
                <w:rFonts w:hint="eastAsia" w:cs="宋体"/>
                <w:color w:val="auto"/>
                <w:sz w:val="24"/>
                <w:szCs w:val="24"/>
              </w:rPr>
              <w:t>杨</w:t>
            </w:r>
            <w:r>
              <w:rPr>
                <w:rFonts w:hint="eastAsia" w:ascii="宋体" w:hAnsi="宋体" w:cs="宋体"/>
                <w:color w:val="auto"/>
                <w:sz w:val="24"/>
                <w:szCs w:val="24"/>
              </w:rPr>
              <w:t>老师</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电  话:0913-3906892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2</w:t>
            </w:r>
          </w:p>
        </w:tc>
        <w:tc>
          <w:tcPr>
            <w:tcW w:w="2214" w:type="dxa"/>
            <w:vAlign w:val="center"/>
          </w:tcPr>
          <w:p>
            <w:pPr>
              <w:pStyle w:val="115"/>
              <w:keepLines w:val="0"/>
              <w:pageBreakBefore w:val="0"/>
              <w:kinsoku/>
              <w:wordWrap/>
              <w:overflowPunct/>
              <w:topLinePunct w:val="0"/>
              <w:bidi w:val="0"/>
              <w:snapToGrid/>
              <w:spacing w:line="440" w:lineRule="exact"/>
              <w:ind w:left="38"/>
              <w:jc w:val="center"/>
              <w:textAlignment w:val="auto"/>
              <w:rPr>
                <w:color w:val="auto"/>
                <w:lang w:val="zh-CN"/>
              </w:rPr>
            </w:pPr>
            <w:r>
              <w:rPr>
                <w:rFonts w:hint="eastAsia"/>
                <w:color w:val="auto"/>
                <w:lang w:val="zh-CN"/>
              </w:rPr>
              <w:t>采购代理机构</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名  称:陕西盛仕骄阳项目管理有限公司</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地  址:西安市未央区凤城八路与渭滨路十字西北角水晶新天地10楼11004室</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联系人:张工</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电  话:029-89871668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kern w:val="2"/>
              </w:rPr>
            </w:pPr>
            <w:r>
              <w:rPr>
                <w:rFonts w:hint="eastAsia"/>
                <w:color w:val="auto"/>
                <w:kern w:val="2"/>
              </w:rPr>
              <w:t>3</w:t>
            </w:r>
          </w:p>
        </w:tc>
        <w:tc>
          <w:tcPr>
            <w:tcW w:w="2214" w:type="dxa"/>
            <w:vAlign w:val="center"/>
          </w:tcPr>
          <w:p>
            <w:pPr>
              <w:pStyle w:val="115"/>
              <w:keepLines w:val="0"/>
              <w:pageBreakBefore w:val="0"/>
              <w:kinsoku/>
              <w:wordWrap/>
              <w:overflowPunct/>
              <w:topLinePunct w:val="0"/>
              <w:bidi w:val="0"/>
              <w:snapToGrid/>
              <w:spacing w:line="440" w:lineRule="exact"/>
              <w:ind w:left="38"/>
              <w:jc w:val="center"/>
              <w:textAlignment w:val="auto"/>
              <w:rPr>
                <w:color w:val="auto"/>
                <w:kern w:val="2"/>
              </w:rPr>
            </w:pPr>
            <w:r>
              <w:rPr>
                <w:rFonts w:hint="eastAsia"/>
                <w:color w:val="auto"/>
                <w:kern w:val="2"/>
              </w:rPr>
              <w:t>项目名称</w:t>
            </w:r>
          </w:p>
        </w:tc>
        <w:tc>
          <w:tcPr>
            <w:tcW w:w="7046" w:type="dxa"/>
            <w:vAlign w:val="center"/>
          </w:tcPr>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潼关县尚德幼儿园教学设备采购项目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4</w:t>
            </w:r>
          </w:p>
        </w:tc>
        <w:tc>
          <w:tcPr>
            <w:tcW w:w="2214" w:type="dxa"/>
            <w:vAlign w:val="center"/>
          </w:tcPr>
          <w:p>
            <w:pPr>
              <w:pStyle w:val="115"/>
              <w:keepLines w:val="0"/>
              <w:pageBreakBefore w:val="0"/>
              <w:kinsoku/>
              <w:wordWrap/>
              <w:overflowPunct/>
              <w:topLinePunct w:val="0"/>
              <w:bidi w:val="0"/>
              <w:snapToGrid/>
              <w:spacing w:line="440" w:lineRule="exact"/>
              <w:ind w:left="38"/>
              <w:jc w:val="center"/>
              <w:textAlignment w:val="auto"/>
              <w:rPr>
                <w:color w:val="auto"/>
                <w:lang w:val="zh-CN"/>
              </w:rPr>
            </w:pPr>
            <w:r>
              <w:rPr>
                <w:rFonts w:hint="eastAsia"/>
                <w:color w:val="auto"/>
                <w:lang w:val="zh-CN"/>
              </w:rPr>
              <w:t>项目编号</w:t>
            </w:r>
          </w:p>
        </w:tc>
        <w:tc>
          <w:tcPr>
            <w:tcW w:w="7046" w:type="dxa"/>
            <w:vAlign w:val="center"/>
          </w:tcPr>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SSJY-CG（H）-2022030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rPr>
              <w:t>5</w:t>
            </w:r>
          </w:p>
        </w:tc>
        <w:tc>
          <w:tcPr>
            <w:tcW w:w="2214" w:type="dxa"/>
            <w:vAlign w:val="center"/>
          </w:tcPr>
          <w:p>
            <w:pPr>
              <w:pStyle w:val="115"/>
              <w:keepLines w:val="0"/>
              <w:pageBreakBefore w:val="0"/>
              <w:kinsoku/>
              <w:wordWrap/>
              <w:overflowPunct/>
              <w:topLinePunct w:val="0"/>
              <w:bidi w:val="0"/>
              <w:snapToGrid/>
              <w:spacing w:line="440" w:lineRule="exact"/>
              <w:ind w:left="38"/>
              <w:jc w:val="center"/>
              <w:textAlignment w:val="auto"/>
              <w:rPr>
                <w:color w:val="auto"/>
                <w:kern w:val="2"/>
              </w:rPr>
            </w:pPr>
            <w:r>
              <w:rPr>
                <w:rFonts w:hint="eastAsia"/>
                <w:color w:val="auto"/>
                <w:kern w:val="2"/>
              </w:rPr>
              <w:t>采购内容</w:t>
            </w:r>
          </w:p>
        </w:tc>
        <w:tc>
          <w:tcPr>
            <w:tcW w:w="7046" w:type="dxa"/>
            <w:vAlign w:val="center"/>
          </w:tcPr>
          <w:p>
            <w:pPr>
              <w:pStyle w:val="115"/>
              <w:keepLines w:val="0"/>
              <w:pageBreakBefore w:val="0"/>
              <w:kinsoku/>
              <w:wordWrap/>
              <w:overflowPunct/>
              <w:topLinePunct w:val="0"/>
              <w:bidi w:val="0"/>
              <w:snapToGrid/>
              <w:spacing w:line="440" w:lineRule="exact"/>
              <w:textAlignment w:val="auto"/>
              <w:rPr>
                <w:color w:val="auto"/>
              </w:rPr>
            </w:pPr>
            <w:r>
              <w:rPr>
                <w:rFonts w:hint="eastAsia"/>
                <w:color w:val="auto"/>
              </w:rPr>
              <w:t>采购教学设备，详见竞争性谈判文件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6</w:t>
            </w:r>
          </w:p>
        </w:tc>
        <w:tc>
          <w:tcPr>
            <w:tcW w:w="2214" w:type="dxa"/>
            <w:vAlign w:val="center"/>
          </w:tcPr>
          <w:p>
            <w:pPr>
              <w:pStyle w:val="115"/>
              <w:keepLines w:val="0"/>
              <w:pageBreakBefore w:val="0"/>
              <w:kinsoku/>
              <w:wordWrap/>
              <w:overflowPunct/>
              <w:topLinePunct w:val="0"/>
              <w:bidi w:val="0"/>
              <w:snapToGrid/>
              <w:spacing w:line="440" w:lineRule="exact"/>
              <w:ind w:left="96"/>
              <w:jc w:val="center"/>
              <w:textAlignment w:val="auto"/>
              <w:rPr>
                <w:color w:val="auto"/>
              </w:rPr>
            </w:pPr>
            <w:r>
              <w:rPr>
                <w:rFonts w:hint="eastAsia"/>
                <w:color w:val="auto"/>
              </w:rPr>
              <w:t>采购预算</w:t>
            </w:r>
          </w:p>
        </w:tc>
        <w:tc>
          <w:tcPr>
            <w:tcW w:w="7046" w:type="dxa"/>
            <w:vAlign w:val="center"/>
          </w:tcPr>
          <w:p>
            <w:pPr>
              <w:pStyle w:val="115"/>
              <w:keepLines w:val="0"/>
              <w:pageBreakBefore w:val="0"/>
              <w:kinsoku/>
              <w:wordWrap/>
              <w:overflowPunct/>
              <w:topLinePunct w:val="0"/>
              <w:bidi w:val="0"/>
              <w:snapToGrid/>
              <w:spacing w:line="440" w:lineRule="exact"/>
              <w:jc w:val="both"/>
              <w:textAlignment w:val="auto"/>
              <w:rPr>
                <w:color w:val="auto"/>
              </w:rPr>
            </w:pPr>
            <w:r>
              <w:rPr>
                <w:rFonts w:hint="eastAsia" w:ascii="宋体" w:hAnsi="宋体" w:cs="宋体"/>
                <w:color w:val="auto"/>
                <w:sz w:val="24"/>
                <w:szCs w:val="24"/>
                <w:lang w:val="en-US" w:eastAsia="zh-CN"/>
              </w:rPr>
              <w:t>1,849,743.00</w:t>
            </w:r>
            <w:r>
              <w:rPr>
                <w:rFonts w:hint="eastAsia"/>
                <w:color w:val="auto"/>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7</w:t>
            </w:r>
          </w:p>
        </w:tc>
        <w:tc>
          <w:tcPr>
            <w:tcW w:w="2214" w:type="dxa"/>
            <w:vAlign w:val="center"/>
          </w:tcPr>
          <w:p>
            <w:pPr>
              <w:pStyle w:val="115"/>
              <w:keepLines w:val="0"/>
              <w:pageBreakBefore w:val="0"/>
              <w:kinsoku/>
              <w:wordWrap/>
              <w:overflowPunct/>
              <w:topLinePunct w:val="0"/>
              <w:bidi w:val="0"/>
              <w:snapToGrid/>
              <w:spacing w:line="440" w:lineRule="exact"/>
              <w:ind w:left="96"/>
              <w:jc w:val="center"/>
              <w:textAlignment w:val="auto"/>
              <w:rPr>
                <w:color w:val="auto"/>
              </w:rPr>
            </w:pPr>
            <w:r>
              <w:rPr>
                <w:rFonts w:hint="eastAsia"/>
                <w:color w:val="auto"/>
              </w:rPr>
              <w:t>最高限价</w:t>
            </w:r>
          </w:p>
        </w:tc>
        <w:tc>
          <w:tcPr>
            <w:tcW w:w="7046" w:type="dxa"/>
            <w:vAlign w:val="center"/>
          </w:tcPr>
          <w:p>
            <w:pPr>
              <w:pStyle w:val="115"/>
              <w:keepLines w:val="0"/>
              <w:pageBreakBefore w:val="0"/>
              <w:kinsoku/>
              <w:wordWrap/>
              <w:overflowPunct/>
              <w:topLinePunct w:val="0"/>
              <w:bidi w:val="0"/>
              <w:snapToGrid/>
              <w:spacing w:line="440" w:lineRule="exact"/>
              <w:jc w:val="both"/>
              <w:textAlignment w:val="auto"/>
              <w:rPr>
                <w:color w:val="auto"/>
              </w:rPr>
            </w:pPr>
            <w:r>
              <w:rPr>
                <w:rFonts w:hint="eastAsia"/>
                <w:color w:val="auto"/>
                <w:lang w:val="en-US" w:eastAsia="zh-CN"/>
              </w:rPr>
              <w:t>1,849,743.00</w:t>
            </w:r>
            <w:r>
              <w:rPr>
                <w:rFonts w:hint="eastAsia"/>
                <w:color w:val="auto"/>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8</w:t>
            </w:r>
          </w:p>
        </w:tc>
        <w:tc>
          <w:tcPr>
            <w:tcW w:w="2214" w:type="dxa"/>
            <w:vAlign w:val="center"/>
          </w:tcPr>
          <w:p>
            <w:pPr>
              <w:pStyle w:val="115"/>
              <w:keepLines w:val="0"/>
              <w:pageBreakBefore w:val="0"/>
              <w:kinsoku/>
              <w:wordWrap/>
              <w:overflowPunct/>
              <w:topLinePunct w:val="0"/>
              <w:bidi w:val="0"/>
              <w:snapToGrid/>
              <w:spacing w:line="440" w:lineRule="exact"/>
              <w:ind w:left="96" w:leftChars="0"/>
              <w:jc w:val="center"/>
              <w:textAlignment w:val="auto"/>
              <w:rPr>
                <w:rFonts w:hint="eastAsia" w:eastAsia="宋体"/>
                <w:color w:val="auto"/>
                <w:lang w:eastAsia="zh-CN"/>
              </w:rPr>
            </w:pPr>
            <w:r>
              <w:rPr>
                <w:rFonts w:hint="eastAsia"/>
                <w:color w:val="auto"/>
                <w:lang w:eastAsia="zh-CN"/>
              </w:rPr>
              <w:t>供货期</w:t>
            </w:r>
            <w:r>
              <w:rPr>
                <w:rFonts w:hint="eastAsia"/>
                <w:color w:val="auto"/>
                <w:lang w:val="en-US" w:eastAsia="zh-CN"/>
              </w:rPr>
              <w:t>及供货地点</w:t>
            </w:r>
          </w:p>
        </w:tc>
        <w:tc>
          <w:tcPr>
            <w:tcW w:w="7046" w:type="dxa"/>
            <w:vAlign w:val="center"/>
          </w:tcPr>
          <w:p>
            <w:pPr>
              <w:pStyle w:val="115"/>
              <w:keepLines w:val="0"/>
              <w:pageBreakBefore w:val="0"/>
              <w:kinsoku/>
              <w:wordWrap/>
              <w:overflowPunct/>
              <w:topLinePunct w:val="0"/>
              <w:bidi w:val="0"/>
              <w:snapToGrid/>
              <w:spacing w:line="440" w:lineRule="exact"/>
              <w:jc w:val="both"/>
              <w:textAlignment w:val="auto"/>
              <w:rPr>
                <w:rFonts w:hint="eastAsia"/>
                <w:color w:val="auto"/>
                <w:kern w:val="2"/>
              </w:rPr>
            </w:pPr>
            <w:r>
              <w:rPr>
                <w:rFonts w:hint="eastAsia"/>
                <w:color w:val="auto"/>
                <w:kern w:val="2"/>
                <w:lang w:val="en-US" w:eastAsia="zh-CN"/>
              </w:rPr>
              <w:t>供货期：自合同签订之日起30个日历日</w:t>
            </w:r>
          </w:p>
          <w:p>
            <w:pPr>
              <w:pStyle w:val="115"/>
              <w:keepLines w:val="0"/>
              <w:pageBreakBefore w:val="0"/>
              <w:kinsoku/>
              <w:wordWrap/>
              <w:overflowPunct/>
              <w:topLinePunct w:val="0"/>
              <w:bidi w:val="0"/>
              <w:snapToGrid/>
              <w:spacing w:line="440" w:lineRule="exact"/>
              <w:jc w:val="both"/>
              <w:textAlignment w:val="auto"/>
              <w:rPr>
                <w:color w:val="auto"/>
              </w:rPr>
            </w:pPr>
            <w:r>
              <w:rPr>
                <w:rFonts w:hint="eastAsia"/>
                <w:color w:val="auto"/>
                <w:kern w:val="2"/>
                <w:lang w:val="en-US" w:eastAsia="zh-CN"/>
              </w:rPr>
              <w:t>供货地点：采购人指定地点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9</w:t>
            </w:r>
          </w:p>
        </w:tc>
        <w:tc>
          <w:tcPr>
            <w:tcW w:w="2214" w:type="dxa"/>
            <w:vAlign w:val="center"/>
          </w:tcPr>
          <w:p>
            <w:pPr>
              <w:pStyle w:val="115"/>
              <w:keepLines w:val="0"/>
              <w:pageBreakBefore w:val="0"/>
              <w:kinsoku/>
              <w:wordWrap/>
              <w:overflowPunct/>
              <w:topLinePunct w:val="0"/>
              <w:bidi w:val="0"/>
              <w:snapToGrid/>
              <w:spacing w:line="440" w:lineRule="exact"/>
              <w:ind w:left="96"/>
              <w:jc w:val="center"/>
              <w:textAlignment w:val="auto"/>
              <w:rPr>
                <w:color w:val="auto"/>
                <w:lang w:val="zh-CN"/>
              </w:rPr>
            </w:pPr>
            <w:r>
              <w:rPr>
                <w:rFonts w:hint="eastAsia"/>
                <w:color w:val="auto"/>
                <w:lang w:val="zh-CN"/>
              </w:rPr>
              <w:t>质量要求、验收标准</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质量要求：达到国家现行技术标准。</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验收标准：国家标准、行业标准、企业标准。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10</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谈判文件发售</w:t>
            </w:r>
          </w:p>
        </w:tc>
        <w:tc>
          <w:tcPr>
            <w:tcW w:w="7046" w:type="dxa"/>
            <w:vAlign w:val="center"/>
          </w:tcPr>
          <w:p>
            <w:pPr>
              <w:pStyle w:val="122"/>
              <w:keepLines w:val="0"/>
              <w:pageBreakBefore w:val="0"/>
              <w:kinsoku/>
              <w:wordWrap/>
              <w:overflowPunct/>
              <w:topLinePunct w:val="0"/>
              <w:bidi w:val="0"/>
              <w:snapToGrid/>
              <w:spacing w:line="440" w:lineRule="exact"/>
              <w:jc w:val="both"/>
              <w:textAlignment w:val="auto"/>
              <w:rPr>
                <w:rFonts w:ascii="宋体" w:hAnsi="宋体" w:cs="宋体"/>
                <w:color w:val="auto"/>
                <w:szCs w:val="24"/>
              </w:rPr>
            </w:pPr>
            <w:r>
              <w:rPr>
                <w:rFonts w:hint="eastAsia" w:ascii="宋体" w:hAnsi="宋体" w:cs="宋体"/>
                <w:color w:val="auto"/>
                <w:spacing w:val="-6"/>
                <w:szCs w:val="24"/>
              </w:rPr>
              <w:t>发售时间：2022年</w:t>
            </w:r>
            <w:r>
              <w:rPr>
                <w:rFonts w:hint="eastAsia" w:ascii="宋体" w:hAnsi="宋体" w:cs="宋体"/>
                <w:color w:val="auto"/>
                <w:spacing w:val="-6"/>
                <w:szCs w:val="24"/>
                <w:lang w:val="en-US" w:eastAsia="zh-CN"/>
              </w:rPr>
              <w:t>12</w:t>
            </w:r>
            <w:r>
              <w:rPr>
                <w:rFonts w:hint="eastAsia" w:ascii="宋体" w:hAnsi="宋体" w:cs="宋体"/>
                <w:color w:val="auto"/>
                <w:spacing w:val="-6"/>
                <w:szCs w:val="24"/>
              </w:rPr>
              <w:t>月</w:t>
            </w:r>
            <w:r>
              <w:rPr>
                <w:rFonts w:hint="eastAsia" w:ascii="宋体" w:hAnsi="宋体" w:cs="宋体"/>
                <w:color w:val="auto"/>
                <w:spacing w:val="-6"/>
                <w:szCs w:val="24"/>
                <w:lang w:val="en-US" w:eastAsia="zh-CN"/>
              </w:rPr>
              <w:t>12</w:t>
            </w:r>
            <w:r>
              <w:rPr>
                <w:rFonts w:hint="eastAsia" w:ascii="宋体" w:hAnsi="宋体" w:cs="宋体"/>
                <w:color w:val="auto"/>
                <w:spacing w:val="-6"/>
                <w:szCs w:val="24"/>
              </w:rPr>
              <w:t>日至2022年</w:t>
            </w:r>
            <w:r>
              <w:rPr>
                <w:rFonts w:hint="eastAsia" w:ascii="宋体" w:hAnsi="宋体" w:cs="宋体"/>
                <w:color w:val="auto"/>
                <w:spacing w:val="-6"/>
                <w:szCs w:val="24"/>
                <w:lang w:val="en-US" w:eastAsia="zh-CN"/>
              </w:rPr>
              <w:t>12</w:t>
            </w:r>
            <w:r>
              <w:rPr>
                <w:rFonts w:hint="eastAsia" w:ascii="宋体" w:hAnsi="宋体" w:cs="宋体"/>
                <w:color w:val="auto"/>
                <w:spacing w:val="-6"/>
                <w:szCs w:val="24"/>
              </w:rPr>
              <w:t>月</w:t>
            </w:r>
            <w:r>
              <w:rPr>
                <w:rFonts w:hint="eastAsia" w:ascii="宋体" w:hAnsi="宋体" w:cs="宋体"/>
                <w:color w:val="auto"/>
                <w:spacing w:val="-6"/>
                <w:szCs w:val="24"/>
                <w:lang w:val="en-US" w:eastAsia="zh-CN"/>
              </w:rPr>
              <w:t>15</w:t>
            </w:r>
            <w:r>
              <w:rPr>
                <w:rFonts w:hint="eastAsia" w:ascii="宋体" w:hAnsi="宋体" w:cs="宋体"/>
                <w:color w:val="auto"/>
                <w:spacing w:val="-6"/>
                <w:szCs w:val="24"/>
              </w:rPr>
              <w:t>日（上午9：00-12:00，下午14:00-17:00）。</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发售地点：ssjiaoyang@yeah.net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11</w:t>
            </w:r>
          </w:p>
        </w:tc>
        <w:tc>
          <w:tcPr>
            <w:tcW w:w="2214" w:type="dxa"/>
            <w:vAlign w:val="center"/>
          </w:tcPr>
          <w:p>
            <w:pPr>
              <w:pStyle w:val="115"/>
              <w:keepLines w:val="0"/>
              <w:pageBreakBefore w:val="0"/>
              <w:kinsoku/>
              <w:wordWrap/>
              <w:overflowPunct/>
              <w:topLinePunct w:val="0"/>
              <w:bidi w:val="0"/>
              <w:snapToGrid/>
              <w:spacing w:line="440" w:lineRule="exact"/>
              <w:ind w:left="235"/>
              <w:jc w:val="center"/>
              <w:textAlignment w:val="auto"/>
              <w:rPr>
                <w:color w:val="auto"/>
                <w:lang w:val="zh-CN"/>
              </w:rPr>
            </w:pPr>
            <w:r>
              <w:rPr>
                <w:rFonts w:hint="eastAsia"/>
                <w:color w:val="auto"/>
                <w:lang w:val="zh-CN"/>
              </w:rPr>
              <w:t>联合体谈判</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12</w:t>
            </w:r>
          </w:p>
        </w:tc>
        <w:tc>
          <w:tcPr>
            <w:tcW w:w="2214" w:type="dxa"/>
            <w:vAlign w:val="center"/>
          </w:tcPr>
          <w:p>
            <w:pPr>
              <w:pStyle w:val="115"/>
              <w:keepLines w:val="0"/>
              <w:pageBreakBefore w:val="0"/>
              <w:kinsoku/>
              <w:wordWrap/>
              <w:overflowPunct/>
              <w:topLinePunct w:val="0"/>
              <w:bidi w:val="0"/>
              <w:snapToGrid/>
              <w:spacing w:line="440" w:lineRule="exact"/>
              <w:textAlignment w:val="auto"/>
              <w:rPr>
                <w:color w:val="auto"/>
                <w:lang w:val="zh-CN"/>
              </w:rPr>
            </w:pPr>
            <w:r>
              <w:rPr>
                <w:rFonts w:hint="eastAsia"/>
                <w:color w:val="auto"/>
                <w:lang w:val="zh-CN"/>
              </w:rPr>
              <w:t>考察现场、标前答</w:t>
            </w:r>
          </w:p>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疑会</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13</w:t>
            </w:r>
          </w:p>
        </w:tc>
        <w:tc>
          <w:tcPr>
            <w:tcW w:w="2214" w:type="dxa"/>
            <w:vAlign w:val="center"/>
          </w:tcPr>
          <w:p>
            <w:pPr>
              <w:pStyle w:val="115"/>
              <w:keepLines w:val="0"/>
              <w:pageBreakBefore w:val="0"/>
              <w:kinsoku/>
              <w:wordWrap/>
              <w:overflowPunct/>
              <w:topLinePunct w:val="0"/>
              <w:bidi w:val="0"/>
              <w:snapToGrid/>
              <w:spacing w:line="440" w:lineRule="exact"/>
              <w:ind w:left="52"/>
              <w:jc w:val="center"/>
              <w:textAlignment w:val="auto"/>
              <w:rPr>
                <w:color w:val="auto"/>
                <w:lang w:val="zh-CN"/>
              </w:rPr>
            </w:pPr>
            <w:r>
              <w:rPr>
                <w:rFonts w:hint="eastAsia"/>
                <w:color w:val="auto"/>
                <w:lang w:val="zh-CN"/>
              </w:rPr>
              <w:t>构成竞争性谈判采购文件的其他文件</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竞争性谈判采购文件的澄清、修改书及有关补充通知为竞争性谈判采购文件的有效组成部分。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14</w:t>
            </w:r>
          </w:p>
        </w:tc>
        <w:tc>
          <w:tcPr>
            <w:tcW w:w="2214" w:type="dxa"/>
            <w:vAlign w:val="center"/>
          </w:tcPr>
          <w:p>
            <w:pPr>
              <w:pStyle w:val="122"/>
              <w:keepLines w:val="0"/>
              <w:pageBreakBefore w:val="0"/>
              <w:kinsoku/>
              <w:wordWrap/>
              <w:overflowPunct/>
              <w:topLinePunct w:val="0"/>
              <w:bidi w:val="0"/>
              <w:snapToGrid/>
              <w:spacing w:line="440" w:lineRule="exact"/>
              <w:jc w:val="center"/>
              <w:textAlignment w:val="auto"/>
              <w:rPr>
                <w:rFonts w:ascii="宋体" w:hAnsi="宋体" w:cs="宋体"/>
                <w:color w:val="auto"/>
                <w:kern w:val="2"/>
                <w:szCs w:val="24"/>
              </w:rPr>
            </w:pPr>
            <w:r>
              <w:rPr>
                <w:rFonts w:hint="eastAsia" w:ascii="宋体" w:hAnsi="宋体" w:cs="宋体"/>
                <w:color w:val="auto"/>
                <w:szCs w:val="24"/>
              </w:rPr>
              <w:t>谈判文件递交截止时间和地点</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1.谈判文件截止时间：2022年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cs="宋体"/>
                <w:color w:val="auto"/>
                <w:sz w:val="24"/>
                <w:szCs w:val="24"/>
              </w:rPr>
              <w:t>:30（北京时间）</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2.谈判时间：2022年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cs="宋体"/>
                <w:color w:val="auto"/>
                <w:sz w:val="24"/>
                <w:szCs w:val="24"/>
              </w:rPr>
              <w:t>:30（北京时间）</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3.谈判地点：西安市未央区凤城八路与渭滨路十字西北角水晶新天地10楼11004室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15</w:t>
            </w:r>
          </w:p>
        </w:tc>
        <w:tc>
          <w:tcPr>
            <w:tcW w:w="2214" w:type="dxa"/>
            <w:vAlign w:val="center"/>
          </w:tcPr>
          <w:p>
            <w:pPr>
              <w:pStyle w:val="115"/>
              <w:keepLines w:val="0"/>
              <w:pageBreakBefore w:val="0"/>
              <w:kinsoku/>
              <w:wordWrap/>
              <w:overflowPunct/>
              <w:topLinePunct w:val="0"/>
              <w:bidi w:val="0"/>
              <w:snapToGrid/>
              <w:spacing w:line="440" w:lineRule="exact"/>
              <w:ind w:left="33"/>
              <w:jc w:val="center"/>
              <w:textAlignment w:val="auto"/>
              <w:rPr>
                <w:color w:val="auto"/>
                <w:lang w:val="zh-CN"/>
              </w:rPr>
            </w:pPr>
            <w:r>
              <w:rPr>
                <w:rFonts w:hint="eastAsia"/>
                <w:color w:val="auto"/>
                <w:lang w:val="zh-CN"/>
              </w:rPr>
              <w:t>谈判有效期</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从谈判截止日起90日历天。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kern w:val="2"/>
              </w:rPr>
            </w:pPr>
            <w:r>
              <w:rPr>
                <w:rFonts w:hint="eastAsia"/>
                <w:color w:val="auto"/>
                <w:kern w:val="2"/>
              </w:rPr>
              <w:t>16</w:t>
            </w:r>
          </w:p>
        </w:tc>
        <w:tc>
          <w:tcPr>
            <w:tcW w:w="2214"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签字盖章</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谈判供应商必须按照竞争性谈判采购文件的规定和要求签字、盖章。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1</w:t>
            </w:r>
            <w:r>
              <w:rPr>
                <w:rFonts w:hint="eastAsia"/>
                <w:color w:val="auto"/>
              </w:rPr>
              <w:t>7</w:t>
            </w:r>
          </w:p>
        </w:tc>
        <w:tc>
          <w:tcPr>
            <w:tcW w:w="2214" w:type="dxa"/>
            <w:vAlign w:val="center"/>
          </w:tcPr>
          <w:p>
            <w:pPr>
              <w:pStyle w:val="115"/>
              <w:keepLines w:val="0"/>
              <w:pageBreakBefore w:val="0"/>
              <w:kinsoku/>
              <w:wordWrap/>
              <w:overflowPunct/>
              <w:topLinePunct w:val="0"/>
              <w:bidi w:val="0"/>
              <w:snapToGrid/>
              <w:spacing w:line="440" w:lineRule="exact"/>
              <w:jc w:val="center"/>
              <w:textAlignment w:val="auto"/>
              <w:rPr>
                <w:color w:val="auto"/>
                <w:lang w:val="zh-CN"/>
              </w:rPr>
            </w:pPr>
            <w:r>
              <w:rPr>
                <w:rFonts w:hint="eastAsia"/>
                <w:color w:val="auto"/>
                <w:lang w:val="zh-CN"/>
              </w:rPr>
              <w:t>谈判响应文件的装订、数量</w:t>
            </w:r>
          </w:p>
        </w:tc>
        <w:tc>
          <w:tcPr>
            <w:tcW w:w="7046" w:type="dxa"/>
            <w:vAlign w:val="center"/>
          </w:tcPr>
          <w:p>
            <w:pPr>
              <w:keepLines w:val="0"/>
              <w:pageBreakBefore w:val="0"/>
              <w:kinsoku/>
              <w:wordWrap/>
              <w:overflowPunct/>
              <w:topLinePunct w:val="0"/>
              <w:bidi w:val="0"/>
              <w:snapToGrid/>
              <w:spacing w:line="440" w:lineRule="exact"/>
              <w:jc w:val="left"/>
              <w:textAlignment w:val="auto"/>
              <w:rPr>
                <w:rFonts w:ascii="宋体" w:hAnsi="宋体" w:cs="宋体"/>
                <w:color w:val="auto"/>
                <w:sz w:val="24"/>
                <w:szCs w:val="24"/>
              </w:rPr>
            </w:pPr>
            <w:r>
              <w:rPr>
                <w:rFonts w:hint="eastAsia" w:ascii="宋体" w:hAnsi="宋体" w:cs="宋体"/>
                <w:color w:val="auto"/>
                <w:sz w:val="24"/>
                <w:szCs w:val="24"/>
              </w:rPr>
              <w:t>谈判响应文件一律采用书籍（胶装）方式装订。</w:t>
            </w:r>
            <w:r>
              <w:rPr>
                <w:rFonts w:hint="eastAsia" w:ascii="宋体" w:hAnsi="宋体" w:cs="宋体"/>
                <w:b/>
                <w:bCs/>
                <w:color w:val="auto"/>
                <w:sz w:val="24"/>
                <w:szCs w:val="24"/>
              </w:rPr>
              <w:t>谈判响应文件正本壹份、副本贰份，电子版（U盘）贰份。</w:t>
            </w:r>
            <w:r>
              <w:rPr>
                <w:rFonts w:hint="eastAsia" w:ascii="宋体" w:hAnsi="宋体" w:cs="宋体"/>
                <w:color w:val="auto"/>
                <w:sz w:val="24"/>
                <w:szCs w:val="24"/>
              </w:rPr>
              <w:t>供应商应将响应文件的正本、所有副本和电子版文件，</w:t>
            </w:r>
            <w:r>
              <w:rPr>
                <w:rFonts w:hint="eastAsia" w:ascii="宋体" w:hAnsi="宋体" w:cs="宋体"/>
                <w:bCs/>
                <w:color w:val="auto"/>
                <w:sz w:val="24"/>
                <w:szCs w:val="24"/>
                <w:lang w:val="zh-CN"/>
              </w:rPr>
              <w:t>正本单独密封在一个密封袋内，所有副本密封在一个密封袋内，</w:t>
            </w:r>
            <w:r>
              <w:rPr>
                <w:rFonts w:hint="eastAsia" w:ascii="宋体" w:hAnsi="宋体" w:cs="宋体"/>
                <w:bCs/>
                <w:color w:val="auto"/>
                <w:sz w:val="24"/>
                <w:szCs w:val="24"/>
              </w:rPr>
              <w:t>电子版文件</w:t>
            </w:r>
            <w:r>
              <w:rPr>
                <w:rFonts w:hint="eastAsia" w:ascii="宋体" w:hAnsi="宋体" w:cs="宋体"/>
                <w:bCs/>
                <w:color w:val="auto"/>
                <w:sz w:val="24"/>
                <w:szCs w:val="24"/>
                <w:lang w:val="zh-CN"/>
              </w:rPr>
              <w:t>单独密封在一个密封袋内，</w:t>
            </w:r>
            <w:r>
              <w:rPr>
                <w:rFonts w:hint="eastAsia" w:ascii="宋体" w:hAnsi="宋体" w:cs="宋体"/>
                <w:color w:val="auto"/>
                <w:sz w:val="24"/>
                <w:szCs w:val="24"/>
              </w:rPr>
              <w:t>在封袋上标明“正本”、“副本”或“电子版”字样，封袋封口处应加贴封条密封，并在封线处加盖公章（骑缝章）。</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b/>
                <w:color w:val="auto"/>
                <w:sz w:val="24"/>
                <w:szCs w:val="24"/>
              </w:rPr>
              <w:t>对未按谈判文件要求方式装订和递交的谈判响应文件，将作为无效文件处理。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18</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封套上写明</w:t>
            </w:r>
          </w:p>
        </w:tc>
        <w:tc>
          <w:tcPr>
            <w:tcW w:w="7046" w:type="dxa"/>
            <w:vAlign w:val="center"/>
          </w:tcPr>
          <w:p>
            <w:pPr>
              <w:pStyle w:val="122"/>
              <w:keepLines w:val="0"/>
              <w:pageBreakBefore w:val="0"/>
              <w:kinsoku/>
              <w:wordWrap/>
              <w:overflowPunct/>
              <w:topLinePunct w:val="0"/>
              <w:bidi w:val="0"/>
              <w:snapToGrid/>
              <w:spacing w:line="440" w:lineRule="exact"/>
              <w:jc w:val="both"/>
              <w:textAlignment w:val="auto"/>
              <w:rPr>
                <w:rFonts w:ascii="宋体" w:hAnsi="宋体" w:cs="宋体"/>
                <w:color w:val="auto"/>
                <w:szCs w:val="24"/>
              </w:rPr>
            </w:pPr>
            <w:r>
              <w:rPr>
                <w:rFonts w:hint="eastAsia" w:ascii="宋体" w:hAnsi="宋体" w:cs="宋体"/>
                <w:color w:val="auto"/>
                <w:szCs w:val="24"/>
              </w:rPr>
              <w:t>项目名称：</w:t>
            </w:r>
          </w:p>
          <w:p>
            <w:pPr>
              <w:pStyle w:val="122"/>
              <w:keepLines w:val="0"/>
              <w:pageBreakBefore w:val="0"/>
              <w:kinsoku/>
              <w:wordWrap/>
              <w:overflowPunct/>
              <w:topLinePunct w:val="0"/>
              <w:bidi w:val="0"/>
              <w:snapToGrid/>
              <w:spacing w:line="440" w:lineRule="exact"/>
              <w:jc w:val="both"/>
              <w:textAlignment w:val="auto"/>
              <w:rPr>
                <w:rFonts w:ascii="宋体" w:hAnsi="宋体" w:cs="宋体"/>
                <w:color w:val="auto"/>
                <w:szCs w:val="24"/>
              </w:rPr>
            </w:pPr>
            <w:r>
              <w:rPr>
                <w:rFonts w:hint="eastAsia" w:ascii="宋体" w:hAnsi="宋体" w:cs="宋体"/>
                <w:color w:val="auto"/>
                <w:szCs w:val="24"/>
              </w:rPr>
              <w:t>项目编号：</w:t>
            </w:r>
          </w:p>
          <w:p>
            <w:pPr>
              <w:pStyle w:val="122"/>
              <w:keepLines w:val="0"/>
              <w:pageBreakBefore w:val="0"/>
              <w:kinsoku/>
              <w:wordWrap/>
              <w:overflowPunct/>
              <w:topLinePunct w:val="0"/>
              <w:bidi w:val="0"/>
              <w:snapToGrid/>
              <w:spacing w:line="440" w:lineRule="exact"/>
              <w:jc w:val="both"/>
              <w:textAlignment w:val="auto"/>
              <w:rPr>
                <w:rFonts w:ascii="宋体" w:hAnsi="宋体" w:cs="宋体"/>
                <w:color w:val="auto"/>
                <w:szCs w:val="24"/>
              </w:rPr>
            </w:pPr>
            <w:r>
              <w:rPr>
                <w:rFonts w:hint="eastAsia" w:ascii="宋体" w:hAnsi="宋体" w:cs="宋体"/>
                <w:color w:val="auto"/>
                <w:szCs w:val="24"/>
              </w:rPr>
              <w:t>供应商名称：</w:t>
            </w:r>
          </w:p>
          <w:p>
            <w:pPr>
              <w:pStyle w:val="122"/>
              <w:keepLines w:val="0"/>
              <w:pageBreakBefore w:val="0"/>
              <w:kinsoku/>
              <w:wordWrap/>
              <w:overflowPunct/>
              <w:topLinePunct w:val="0"/>
              <w:bidi w:val="0"/>
              <w:snapToGrid/>
              <w:spacing w:line="440" w:lineRule="exact"/>
              <w:jc w:val="both"/>
              <w:textAlignment w:val="auto"/>
              <w:rPr>
                <w:rFonts w:ascii="宋体" w:hAnsi="宋体" w:cs="宋体"/>
                <w:color w:val="auto"/>
                <w:szCs w:val="24"/>
              </w:rPr>
            </w:pPr>
            <w:r>
              <w:rPr>
                <w:rFonts w:hint="eastAsia" w:ascii="宋体" w:hAnsi="宋体" w:cs="宋体"/>
                <w:color w:val="auto"/>
                <w:szCs w:val="24"/>
              </w:rPr>
              <w:t>谈判响应文件在2022年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w:t>
            </w:r>
            <w:r>
              <w:rPr>
                <w:rFonts w:hint="eastAsia" w:ascii="宋体" w:hAnsi="宋体" w:cs="宋体"/>
                <w:color w:val="auto"/>
                <w:szCs w:val="24"/>
                <w:u w:val="single"/>
              </w:rPr>
              <w:t xml:space="preserve">  </w:t>
            </w:r>
            <w:r>
              <w:rPr>
                <w:rFonts w:hint="eastAsia" w:ascii="宋体" w:hAnsi="宋体" w:cs="宋体"/>
                <w:color w:val="auto"/>
                <w:szCs w:val="24"/>
              </w:rPr>
              <w:t>时</w:t>
            </w:r>
            <w:r>
              <w:rPr>
                <w:rFonts w:hint="eastAsia" w:ascii="宋体" w:hAnsi="宋体" w:cs="宋体"/>
                <w:color w:val="auto"/>
                <w:szCs w:val="24"/>
                <w:u w:val="single"/>
              </w:rPr>
              <w:t xml:space="preserve">  </w:t>
            </w:r>
            <w:r>
              <w:rPr>
                <w:rFonts w:hint="eastAsia" w:ascii="宋体" w:hAnsi="宋体" w:cs="宋体"/>
                <w:color w:val="auto"/>
                <w:szCs w:val="24"/>
              </w:rPr>
              <w:t>分前“不得开启”字样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19</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供应商资格要求</w:t>
            </w:r>
          </w:p>
        </w:tc>
        <w:tc>
          <w:tcPr>
            <w:tcW w:w="7046" w:type="dxa"/>
            <w:vAlign w:val="center"/>
          </w:tcPr>
          <w:p>
            <w:pPr>
              <w:keepLines w:val="0"/>
              <w:pageBreakBefore w:val="0"/>
              <w:numPr>
                <w:ilvl w:val="0"/>
                <w:numId w:val="0"/>
              </w:numPr>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满足《中华人民共和国政府采购法》第二十二条规定</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具有独立承担民事责任能力的法人、其他组织或自然人，并出具合法有效的营业执照或事业单位法人证书等国家规定的相关证明，自然人参与的提供其身份证明；</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1.2、</w:t>
            </w:r>
            <w:r>
              <w:rPr>
                <w:rFonts w:hint="eastAsia" w:ascii="宋体" w:hAnsi="宋体" w:cs="宋体"/>
                <w:color w:val="auto"/>
                <w:sz w:val="24"/>
                <w:szCs w:val="24"/>
                <w:lang w:val="zh-CN"/>
              </w:rPr>
              <w:t>财务状况报告：提供具有财务审计资质单位出具的</w:t>
            </w:r>
            <w:r>
              <w:rPr>
                <w:rFonts w:hint="eastAsia" w:ascii="宋体" w:hAnsi="宋体" w:cs="宋体"/>
                <w:color w:val="auto"/>
                <w:sz w:val="24"/>
                <w:szCs w:val="24"/>
              </w:rPr>
              <w:t>2020年或2021年</w:t>
            </w:r>
            <w:r>
              <w:rPr>
                <w:rFonts w:hint="eastAsia" w:ascii="宋体" w:hAnsi="宋体" w:cs="宋体"/>
                <w:color w:val="auto"/>
                <w:sz w:val="24"/>
                <w:szCs w:val="24"/>
                <w:lang w:val="zh-CN"/>
              </w:rPr>
              <w:t>任意一年年度财务报告（成立时间至开标时间不足一年的可提供成立后任意时段的资产负债表）或开标前六个月内其基本账户银行出具的资信证明（附开户许可证）或政府采购信用担保机构出具的投标担保函；</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lang w:val="zh-CN"/>
              </w:rPr>
              <w:t>税收缴纳证明：提供开标前六个月内</w:t>
            </w:r>
            <w:r>
              <w:rPr>
                <w:rFonts w:hint="eastAsia" w:ascii="宋体" w:hAnsi="宋体" w:cs="宋体"/>
                <w:color w:val="auto"/>
                <w:sz w:val="24"/>
                <w:szCs w:val="24"/>
              </w:rPr>
              <w:t>任意</w:t>
            </w:r>
            <w:r>
              <w:rPr>
                <w:rFonts w:hint="eastAsia" w:ascii="宋体" w:hAnsi="宋体" w:cs="宋体"/>
                <w:color w:val="auto"/>
                <w:sz w:val="24"/>
                <w:szCs w:val="24"/>
                <w:lang w:val="zh-CN"/>
              </w:rPr>
              <w:t>一个月已缴纳完税凭证或税务机关开具的完税证明（任意税种）；依法免税的应提供相关文件证明；</w:t>
            </w:r>
            <w:r>
              <w:rPr>
                <w:rFonts w:hint="eastAsia" w:ascii="宋体" w:hAnsi="宋体" w:cs="宋体"/>
                <w:color w:val="auto"/>
                <w:sz w:val="24"/>
                <w:szCs w:val="24"/>
              </w:rPr>
              <w:t xml:space="preserve"> </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lang w:val="zh-CN"/>
              </w:rPr>
              <w:t>社会保障资金缴纳证明：提供开标前六个月内</w:t>
            </w:r>
            <w:r>
              <w:rPr>
                <w:rFonts w:hint="eastAsia" w:ascii="宋体" w:hAnsi="宋体" w:cs="宋体"/>
                <w:color w:val="auto"/>
                <w:sz w:val="24"/>
                <w:szCs w:val="24"/>
              </w:rPr>
              <w:t>任意</w:t>
            </w:r>
            <w:r>
              <w:rPr>
                <w:rFonts w:hint="eastAsia" w:ascii="宋体" w:hAnsi="宋体" w:cs="宋体"/>
                <w:color w:val="auto"/>
                <w:sz w:val="24"/>
                <w:szCs w:val="24"/>
                <w:lang w:val="zh-CN"/>
              </w:rPr>
              <w:t>一个月已缴纳的社会保障资金缴存单据或社保机构开具的社会保险参保缴费情况证明（依法不需要缴纳社会保障资金的投标人应提供相关证明）</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具备履行合同所必需的设备和专业技术能力的证明材料(由供应商根据项目需求提供说明材料或者承诺)；（格式自拟）</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1.6、</w:t>
            </w:r>
            <w:r>
              <w:rPr>
                <w:rFonts w:hint="eastAsia" w:ascii="宋体" w:hAnsi="宋体" w:cs="宋体"/>
                <w:color w:val="auto"/>
                <w:sz w:val="24"/>
                <w:szCs w:val="24"/>
              </w:rPr>
              <w:t>提供参加政府采购活动前三年内在经营活动中没有重大违法记录的书面声明；（格式自拟）</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rPr>
              <w:t>2、本项目的特定资格要求：</w:t>
            </w:r>
          </w:p>
          <w:p>
            <w:pPr>
              <w:keepLines w:val="0"/>
              <w:pageBreakBefore w:val="0"/>
              <w:kinsoku/>
              <w:wordWrap/>
              <w:overflowPunct/>
              <w:topLinePunct w:val="0"/>
              <w:bidi w:val="0"/>
              <w:snapToGrid/>
              <w:spacing w:line="44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2.1、本项目部分面向中小企业采购-要求合同分包形式参加预留（中小企业预留采购份额51%）。</w:t>
            </w:r>
          </w:p>
          <w:p>
            <w:pPr>
              <w:keepLines w:val="0"/>
              <w:pageBreakBefore w:val="0"/>
              <w:kinsoku/>
              <w:wordWrap/>
              <w:overflowPunct/>
              <w:topLinePunct w:val="0"/>
              <w:bidi w:val="0"/>
              <w:snapToGrid/>
              <w:spacing w:line="44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2.3、</w:t>
            </w:r>
            <w:r>
              <w:rPr>
                <w:rFonts w:hint="eastAsia" w:ascii="宋体" w:hAnsi="宋体" w:cs="宋体"/>
                <w:color w:val="auto"/>
                <w:sz w:val="24"/>
                <w:szCs w:val="24"/>
              </w:rPr>
              <w:t>供应商不得为列入信用中国(www.creditchina.gov.cn)记录失信被执行人或重大税收违法案件当事人名单或中国政府采购网(www.ccgp.gov.cn)的政府采购严重违法失信行为记录名单；</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color w:val="auto"/>
                <w:sz w:val="24"/>
                <w:szCs w:val="24"/>
                <w:lang w:val="en-US" w:eastAsia="zh-CN"/>
              </w:rPr>
              <w:t>2.4、</w:t>
            </w:r>
            <w:r>
              <w:rPr>
                <w:rFonts w:hint="eastAsia" w:ascii="宋体" w:hAnsi="宋体" w:cs="宋体"/>
                <w:color w:val="auto"/>
                <w:sz w:val="24"/>
                <w:szCs w:val="24"/>
              </w:rPr>
              <w:t>本项目不接受联合体谈判。单位负责人为同一人或者存在控股、管理关系的不同单位不得同时参加。</w:t>
            </w:r>
          </w:p>
          <w:p>
            <w:pPr>
              <w:keepLines w:val="0"/>
              <w:pageBreakBefore w:val="0"/>
              <w:kinsoku/>
              <w:wordWrap/>
              <w:overflowPunct/>
              <w:topLinePunct w:val="0"/>
              <w:bidi w:val="0"/>
              <w:snapToGrid/>
              <w:spacing w:line="440" w:lineRule="exact"/>
              <w:textAlignment w:val="auto"/>
              <w:rPr>
                <w:rFonts w:ascii="宋体" w:hAnsi="宋体" w:cs="宋体"/>
                <w:b/>
                <w:bCs/>
                <w:color w:val="auto"/>
                <w:sz w:val="24"/>
                <w:szCs w:val="24"/>
              </w:rPr>
            </w:pPr>
            <w:r>
              <w:rPr>
                <w:rFonts w:hint="eastAsia" w:ascii="宋体" w:hAnsi="宋体" w:cs="宋体"/>
                <w:b/>
                <w:bCs/>
                <w:color w:val="auto"/>
                <w:sz w:val="24"/>
                <w:szCs w:val="24"/>
              </w:rPr>
              <w:t>注：以上为必备资质，缺一项或某项达不到要求，按无效文件处理。资格审查时以谈判响应文件中所附证明材料为准，原件备查。谈判响应文件正本中的法定代表人身份证明或法定代表人授权书为原件，其他所有资质证明文件的复印件必须加盖单位公章附在谈判响应文件中。</w:t>
            </w:r>
          </w:p>
          <w:p>
            <w:pPr>
              <w:keepLines w:val="0"/>
              <w:pageBreakBefore w:val="0"/>
              <w:kinsoku/>
              <w:wordWrap/>
              <w:overflowPunct/>
              <w:topLinePunct w:val="0"/>
              <w:bidi w:val="0"/>
              <w:snapToGrid/>
              <w:spacing w:line="440" w:lineRule="exact"/>
              <w:textAlignment w:val="auto"/>
              <w:rPr>
                <w:rFonts w:ascii="宋体" w:hAnsi="宋体" w:cs="宋体"/>
                <w:color w:val="auto"/>
                <w:sz w:val="24"/>
                <w:szCs w:val="24"/>
              </w:rPr>
            </w:pPr>
            <w:r>
              <w:rPr>
                <w:rFonts w:hint="eastAsia" w:ascii="宋体" w:hAnsi="宋体" w:cs="宋体"/>
                <w:b/>
                <w:bCs/>
                <w:color w:val="auto"/>
                <w:sz w:val="24"/>
                <w:szCs w:val="24"/>
              </w:rPr>
              <w:t>未注明要求原件的资格证明文件，在谈判后的任何时间，谈判小组都有权随时要求审查原件，如果不能按规定时间提供，按无效谈判处理。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20</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谈判保证金</w:t>
            </w:r>
          </w:p>
        </w:tc>
        <w:tc>
          <w:tcPr>
            <w:tcW w:w="7046" w:type="dxa"/>
            <w:vAlign w:val="center"/>
          </w:tcPr>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谈判保证金</w:t>
            </w:r>
            <w:r>
              <w:rPr>
                <w:rFonts w:hint="eastAsia" w:ascii="宋体" w:hAnsi="宋体" w:eastAsia="宋体" w:cs="宋体"/>
                <w:color w:val="auto"/>
                <w:sz w:val="24"/>
                <w:szCs w:val="24"/>
              </w:rPr>
              <w:t>金额：人民币</w:t>
            </w:r>
            <w:r>
              <w:rPr>
                <w:rFonts w:hint="eastAsia" w:ascii="宋体" w:hAnsi="宋体" w:eastAsia="宋体" w:cs="宋体"/>
                <w:color w:val="auto"/>
                <w:sz w:val="24"/>
                <w:szCs w:val="24"/>
                <w:lang w:val="en-US" w:eastAsia="zh-CN"/>
              </w:rPr>
              <w:t>叁万</w:t>
            </w:r>
            <w:r>
              <w:rPr>
                <w:rFonts w:hint="eastAsia" w:ascii="宋体" w:hAnsi="宋体" w:eastAsia="宋体" w:cs="宋体"/>
                <w:color w:val="auto"/>
                <w:sz w:val="24"/>
                <w:szCs w:val="24"/>
              </w:rPr>
              <w:t>元整（￥</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000.00元）</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保证金缴纳形式有以下三种：</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谈判保证金</w:t>
            </w:r>
            <w:r>
              <w:rPr>
                <w:rFonts w:hint="eastAsia" w:ascii="宋体" w:hAnsi="宋体" w:eastAsia="宋体" w:cs="宋体"/>
                <w:color w:val="auto"/>
                <w:sz w:val="24"/>
                <w:szCs w:val="24"/>
              </w:rPr>
              <w:t>应使用人民币，以银行转账的形式提交。银行转账可以采取支票、电汇、网银、汇票、本票等方式，均应从基本账户转出。供应商在交纳保证金时应注明项目名称，并应确保在</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截止时间前到达采购代理机构指定账户。</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退还方式：转账</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收取保证金单位名称:陕西盛仕骄阳项目管理有限公司</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账号：61050175580000000415</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开户行：中国建设银行股份有限公司西安徐家湾支行</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2、银行保函</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供应商基本账户开户行；</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地市级以上有信誉的国家或股份制商业银行的分行或支行。</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3、信用担保</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以信用担保函形式交纳保证金，必须是陕西省、西安市财政部门认定的具有开具响应保函资格的单位开具的保函。</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供应商可自行选择提交保证金的形式，但必须体现项目名称，未按规定缴纳的视为自动放弃</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。以银行保函或信用担保形式递交保证金的，供应商违约，开具保函单位或信用担保单位承担连带责任。</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采用银行转账形式的供应商人应在</w:t>
            </w:r>
            <w:r>
              <w:rPr>
                <w:rFonts w:hint="eastAsia" w:ascii="宋体" w:hAnsi="宋体" w:eastAsia="宋体" w:cs="宋体"/>
                <w:color w:val="auto"/>
                <w:sz w:val="24"/>
                <w:szCs w:val="24"/>
                <w:lang w:eastAsia="zh-CN"/>
              </w:rPr>
              <w:t>谈判保证金</w:t>
            </w:r>
            <w:r>
              <w:rPr>
                <w:rFonts w:hint="eastAsia" w:ascii="宋体" w:hAnsi="宋体" w:eastAsia="宋体" w:cs="宋体"/>
                <w:color w:val="auto"/>
                <w:sz w:val="24"/>
                <w:szCs w:val="24"/>
              </w:rPr>
              <w:t>的递交截止时间之前,将</w:t>
            </w:r>
            <w:r>
              <w:rPr>
                <w:rFonts w:hint="eastAsia" w:ascii="宋体" w:hAnsi="宋体" w:eastAsia="宋体" w:cs="宋体"/>
                <w:color w:val="auto"/>
                <w:sz w:val="24"/>
                <w:szCs w:val="24"/>
                <w:lang w:eastAsia="zh-CN"/>
              </w:rPr>
              <w:t>谈判保证金</w:t>
            </w:r>
            <w:r>
              <w:rPr>
                <w:rFonts w:hint="eastAsia" w:ascii="宋体" w:hAnsi="宋体" w:eastAsia="宋体" w:cs="宋体"/>
                <w:color w:val="auto"/>
                <w:sz w:val="24"/>
                <w:szCs w:val="24"/>
              </w:rPr>
              <w:t>由供应商的基本账户一次性汇入采购代理机构账户。</w:t>
            </w:r>
          </w:p>
          <w:p>
            <w:pPr>
              <w:keepLines w:val="0"/>
              <w:pageBreakBefore w:val="0"/>
              <w:kinsoku/>
              <w:wordWrap/>
              <w:overflowPunct/>
              <w:topLinePunct w:val="0"/>
              <w:bidi w:val="0"/>
              <w:snapToGrid/>
              <w:spacing w:line="44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保证金退还</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未成交供应商的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保证金在成交通知书发出后5个工作日内退还，成交供应商的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保证金在采购合同签订后5个工作日内退还。</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有下列情形之一的，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保证金不予退还：</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（1）供应商在提交响应文件截止时间后撤回响应文件的；</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（2）供应商在响应文件中提供虚假材料的；</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（3）除因不可抗力或</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文件认可的情形以外，成交供应商不与采购人签订合同的；</w:t>
            </w:r>
          </w:p>
          <w:p>
            <w:pPr>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（4）供应商与采购人、其他供应商或者采购代理机构恶意串通的；</w:t>
            </w:r>
          </w:p>
          <w:p>
            <w:pPr>
              <w:keepLines w:val="0"/>
              <w:pageBreakBefore w:val="0"/>
              <w:kinsoku/>
              <w:wordWrap/>
              <w:overflowPunct/>
              <w:topLinePunct w:val="0"/>
              <w:bidi w:val="0"/>
              <w:snapToGrid/>
              <w:spacing w:line="440" w:lineRule="exact"/>
              <w:textAlignment w:val="auto"/>
              <w:rPr>
                <w:rFonts w:hint="eastAsia" w:eastAsia="宋体"/>
                <w:color w:val="auto"/>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21</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履约保证金</w:t>
            </w:r>
          </w:p>
        </w:tc>
        <w:tc>
          <w:tcPr>
            <w:tcW w:w="7046" w:type="dxa"/>
            <w:vAlign w:val="center"/>
          </w:tcPr>
          <w:p>
            <w:pPr>
              <w:keepLines w:val="0"/>
              <w:pageBreakBefore w:val="0"/>
              <w:kinsoku/>
              <w:wordWrap/>
              <w:overflowPunct/>
              <w:topLinePunct w:val="0"/>
              <w:bidi w:val="0"/>
              <w:snapToGrid/>
              <w:spacing w:line="440" w:lineRule="exact"/>
              <w:jc w:val="left"/>
              <w:textAlignment w:val="auto"/>
              <w:rPr>
                <w:rFonts w:ascii="宋体" w:hAnsi="宋体" w:cs="宋体"/>
                <w:color w:val="auto"/>
                <w:sz w:val="24"/>
                <w:szCs w:val="24"/>
              </w:rPr>
            </w:pPr>
            <w:r>
              <w:rPr>
                <w:rFonts w:hint="eastAsia" w:ascii="宋体" w:hAnsi="宋体" w:cs="宋体"/>
                <w:color w:val="auto"/>
                <w:sz w:val="24"/>
                <w:szCs w:val="24"/>
              </w:rPr>
              <w:t>本项目无履约保证金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22</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招标代理服务费</w:t>
            </w:r>
          </w:p>
        </w:tc>
        <w:tc>
          <w:tcPr>
            <w:tcW w:w="7046" w:type="dxa"/>
            <w:vAlign w:val="center"/>
          </w:tcPr>
          <w:p>
            <w:pPr>
              <w:keepLines w:val="0"/>
              <w:pageBreakBefore w:val="0"/>
              <w:numPr>
                <w:ilvl w:val="0"/>
                <w:numId w:val="3"/>
              </w:numPr>
              <w:kinsoku/>
              <w:wordWrap/>
              <w:overflowPunct/>
              <w:topLinePunct w:val="0"/>
              <w:bidi w:val="0"/>
              <w:snapToGrid/>
              <w:spacing w:line="440" w:lineRule="exact"/>
              <w:jc w:val="left"/>
              <w:textAlignment w:val="auto"/>
              <w:rPr>
                <w:rFonts w:ascii="宋体" w:hAnsi="宋体" w:cs="宋体"/>
                <w:color w:val="auto"/>
                <w:sz w:val="24"/>
                <w:szCs w:val="24"/>
              </w:rPr>
            </w:pPr>
            <w:r>
              <w:rPr>
                <w:rFonts w:hint="eastAsia" w:ascii="宋体" w:hAnsi="宋体" w:cs="宋体"/>
                <w:color w:val="auto"/>
                <w:sz w:val="24"/>
                <w:szCs w:val="24"/>
              </w:rPr>
              <w:t>招标代理服务费按约定由</w:t>
            </w:r>
            <w:r>
              <w:rPr>
                <w:rFonts w:hint="eastAsia" w:ascii="宋体" w:hAnsi="宋体" w:cs="宋体"/>
                <w:color w:val="auto"/>
                <w:sz w:val="24"/>
                <w:szCs w:val="24"/>
                <w:lang w:eastAsia="zh-CN"/>
              </w:rPr>
              <w:t>中标供应商</w:t>
            </w:r>
            <w:r>
              <w:rPr>
                <w:rFonts w:hint="eastAsia" w:ascii="宋体" w:hAnsi="宋体" w:cs="宋体"/>
                <w:color w:val="auto"/>
                <w:sz w:val="24"/>
                <w:szCs w:val="24"/>
              </w:rPr>
              <w:t>支付，领取</w:t>
            </w:r>
            <w:r>
              <w:rPr>
                <w:rFonts w:hint="eastAsia" w:ascii="宋体" w:hAnsi="宋体" w:cs="宋体"/>
                <w:color w:val="auto"/>
                <w:sz w:val="24"/>
                <w:szCs w:val="24"/>
                <w:lang w:val="en-US" w:eastAsia="zh-CN"/>
              </w:rPr>
              <w:t>成交</w:t>
            </w:r>
            <w:r>
              <w:rPr>
                <w:rFonts w:hint="eastAsia" w:ascii="宋体" w:hAnsi="宋体" w:cs="宋体"/>
                <w:color w:val="auto"/>
                <w:sz w:val="24"/>
                <w:szCs w:val="24"/>
                <w:lang w:eastAsia="zh-CN"/>
              </w:rPr>
              <w:t>通知书</w:t>
            </w:r>
            <w:r>
              <w:rPr>
                <w:rFonts w:hint="eastAsia" w:ascii="宋体" w:hAnsi="宋体" w:cs="宋体"/>
                <w:color w:val="auto"/>
                <w:sz w:val="24"/>
                <w:szCs w:val="24"/>
              </w:rPr>
              <w:t>前，由成交单位向采购代理机构缴纳招标代理服务费，一次性付清。</w:t>
            </w:r>
          </w:p>
          <w:p>
            <w:pPr>
              <w:keepLines w:val="0"/>
              <w:pageBreakBefore w:val="0"/>
              <w:numPr>
                <w:ilvl w:val="0"/>
                <w:numId w:val="3"/>
              </w:numPr>
              <w:kinsoku/>
              <w:wordWrap/>
              <w:overflowPunct/>
              <w:topLinePunct w:val="0"/>
              <w:bidi w:val="0"/>
              <w:snapToGrid/>
              <w:spacing w:line="440" w:lineRule="exact"/>
              <w:jc w:val="left"/>
              <w:textAlignment w:val="auto"/>
              <w:rPr>
                <w:rFonts w:ascii="宋体" w:hAnsi="宋体" w:cs="宋体"/>
                <w:color w:val="auto"/>
                <w:sz w:val="24"/>
                <w:szCs w:val="24"/>
              </w:rPr>
            </w:pPr>
            <w:bookmarkStart w:id="2" w:name="_Hlk102659621"/>
            <w:r>
              <w:rPr>
                <w:rFonts w:hint="eastAsia" w:ascii="宋体" w:hAnsi="宋体" w:cs="宋体"/>
                <w:color w:val="auto"/>
                <w:sz w:val="24"/>
                <w:szCs w:val="24"/>
              </w:rPr>
              <w:t>招标代理服务费依据国家计委计价格[2002]1980号《招标代理服务收费管理暂行办法》和国家发展改革委员会办公厅颁发的《关于招标代理服务收费有关问题的通知》（发改办价格[2003]857号）规定标准收取，招标代理服务收费按差额定率累进法计算。</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23</w:t>
            </w:r>
          </w:p>
        </w:tc>
        <w:tc>
          <w:tcPr>
            <w:tcW w:w="2214"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知识产权</w:t>
            </w:r>
          </w:p>
        </w:tc>
        <w:tc>
          <w:tcPr>
            <w:tcW w:w="7046" w:type="dxa"/>
            <w:vAlign w:val="center"/>
          </w:tcPr>
          <w:p>
            <w:pPr>
              <w:pStyle w:val="115"/>
              <w:keepLines w:val="0"/>
              <w:pageBreakBefore w:val="0"/>
              <w:kinsoku/>
              <w:wordWrap/>
              <w:overflowPunct/>
              <w:topLinePunct w:val="0"/>
              <w:bidi w:val="0"/>
              <w:snapToGrid/>
              <w:spacing w:line="440" w:lineRule="exact"/>
              <w:jc w:val="both"/>
              <w:textAlignment w:val="auto"/>
              <w:rPr>
                <w:color w:val="auto"/>
              </w:rPr>
            </w:pPr>
            <w:r>
              <w:rPr>
                <w:rFonts w:hint="eastAsia"/>
                <w:color w:val="auto"/>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24</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评审方法</w:t>
            </w:r>
          </w:p>
        </w:tc>
        <w:tc>
          <w:tcPr>
            <w:tcW w:w="7046" w:type="dxa"/>
            <w:vAlign w:val="center"/>
          </w:tcPr>
          <w:p>
            <w:pPr>
              <w:keepLines w:val="0"/>
              <w:pageBreakBefore w:val="0"/>
              <w:kinsoku/>
              <w:wordWrap/>
              <w:overflowPunct/>
              <w:topLinePunct w:val="0"/>
              <w:bidi w:val="0"/>
              <w:snapToGrid/>
              <w:spacing w:line="440" w:lineRule="exact"/>
              <w:textAlignment w:val="auto"/>
              <w:rPr>
                <w:rFonts w:ascii="宋体" w:hAnsi="宋体" w:cs="宋体"/>
                <w:color w:val="auto"/>
                <w:kern w:val="0"/>
                <w:sz w:val="24"/>
                <w:szCs w:val="24"/>
              </w:rPr>
            </w:pPr>
            <w:r>
              <w:rPr>
                <w:rFonts w:hint="eastAsia" w:ascii="宋体" w:hAnsi="宋体" w:cs="宋体"/>
                <w:color w:val="auto"/>
                <w:kern w:val="0"/>
                <w:sz w:val="24"/>
                <w:szCs w:val="24"/>
              </w:rPr>
              <w:t>最低评标价法（详见第四章）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rFonts w:hint="default" w:eastAsia="宋体"/>
                <w:color w:val="auto"/>
                <w:lang w:val="en-US" w:eastAsia="zh-CN"/>
              </w:rPr>
            </w:pPr>
            <w:r>
              <w:rPr>
                <w:rFonts w:hint="eastAsia"/>
                <w:color w:val="auto"/>
                <w:lang w:val="en-US" w:eastAsia="zh-CN"/>
              </w:rPr>
              <w:t>25</w:t>
            </w:r>
          </w:p>
        </w:tc>
        <w:tc>
          <w:tcPr>
            <w:tcW w:w="2214" w:type="dxa"/>
            <w:vAlign w:val="center"/>
          </w:tcPr>
          <w:p>
            <w:pPr>
              <w:keepLines w:val="0"/>
              <w:pageBreakBefore w:val="0"/>
              <w:kinsoku/>
              <w:wordWrap/>
              <w:overflowPunct/>
              <w:topLinePunct w:val="0"/>
              <w:bidi w:val="0"/>
              <w:snapToGrid/>
              <w:spacing w:line="440" w:lineRule="exact"/>
              <w:ind w:left="42" w:leftChars="20"/>
              <w:jc w:val="center"/>
              <w:textAlignment w:val="auto"/>
              <w:rPr>
                <w:rFonts w:hint="eastAsia" w:ascii="宋体" w:hAnsi="宋体" w:cs="宋体"/>
                <w:color w:val="auto"/>
                <w:sz w:val="24"/>
                <w:szCs w:val="24"/>
              </w:rPr>
            </w:pPr>
            <w:r>
              <w:rPr>
                <w:rFonts w:hint="eastAsia" w:ascii="宋体" w:hAnsi="宋体" w:cs="宋体"/>
                <w:color w:val="auto"/>
                <w:sz w:val="24"/>
                <w:szCs w:val="24"/>
              </w:rPr>
              <w:t>分包或转包</w:t>
            </w:r>
          </w:p>
        </w:tc>
        <w:tc>
          <w:tcPr>
            <w:tcW w:w="7046" w:type="dxa"/>
            <w:vAlign w:val="center"/>
          </w:tcPr>
          <w:p>
            <w:pPr>
              <w:keepLines w:val="0"/>
              <w:pageBreakBefore w:val="0"/>
              <w:kinsoku/>
              <w:wordWrap/>
              <w:overflowPunct/>
              <w:topLinePunct w:val="0"/>
              <w:bidi w:val="0"/>
              <w:snapToGrid/>
              <w:spacing w:line="440" w:lineRule="exact"/>
              <w:ind w:left="42" w:leftChars="20"/>
              <w:textAlignment w:val="auto"/>
              <w:rPr>
                <w:rFonts w:hint="eastAsia" w:ascii="宋体" w:hAnsi="宋体" w:cs="宋体"/>
                <w:color w:val="auto"/>
                <w:sz w:val="24"/>
                <w:szCs w:val="24"/>
              </w:rPr>
            </w:pPr>
            <w:r>
              <w:rPr>
                <w:rFonts w:hint="eastAsia" w:ascii="宋体" w:hAnsi="宋体" w:cs="宋体"/>
                <w:color w:val="auto"/>
                <w:sz w:val="24"/>
                <w:szCs w:val="24"/>
              </w:rPr>
              <w:t>本项目不允许将成交项目</w:t>
            </w:r>
            <w:r>
              <w:rPr>
                <w:rFonts w:hint="eastAsia" w:ascii="宋体" w:hAnsi="宋体" w:cs="宋体"/>
                <w:color w:val="auto"/>
                <w:sz w:val="24"/>
                <w:szCs w:val="24"/>
                <w:lang w:val="en-US" w:eastAsia="zh-CN"/>
              </w:rPr>
              <w:t>整体</w:t>
            </w:r>
            <w:r>
              <w:rPr>
                <w:rFonts w:hint="eastAsia" w:ascii="宋体" w:hAnsi="宋体" w:cs="宋体"/>
                <w:color w:val="auto"/>
                <w:sz w:val="24"/>
                <w:szCs w:val="24"/>
              </w:rPr>
              <w:t>转包</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可在采购文件允许范围内进行分包</w:t>
            </w:r>
            <w:r>
              <w:rPr>
                <w:rFonts w:hint="eastAsia" w:ascii="宋体" w:hAnsi="宋体" w:cs="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rFonts w:hint="eastAsia" w:eastAsia="宋体"/>
                <w:color w:val="auto"/>
                <w:lang w:eastAsia="zh-CN"/>
              </w:rPr>
            </w:pPr>
            <w:r>
              <w:rPr>
                <w:rFonts w:hint="eastAsia"/>
                <w:color w:val="auto"/>
              </w:rPr>
              <w:t>2</w:t>
            </w:r>
            <w:r>
              <w:rPr>
                <w:rFonts w:hint="eastAsia"/>
                <w:color w:val="auto"/>
                <w:lang w:val="en-US" w:eastAsia="zh-CN"/>
              </w:rPr>
              <w:t>6</w:t>
            </w:r>
          </w:p>
        </w:tc>
        <w:tc>
          <w:tcPr>
            <w:tcW w:w="2214" w:type="dxa"/>
            <w:vAlign w:val="center"/>
          </w:tcPr>
          <w:p>
            <w:pPr>
              <w:keepLines w:val="0"/>
              <w:pageBreakBefore w:val="0"/>
              <w:kinsoku/>
              <w:wordWrap/>
              <w:overflowPunct/>
              <w:topLinePunct w:val="0"/>
              <w:bidi w:val="0"/>
              <w:snapToGrid/>
              <w:spacing w:line="440" w:lineRule="exact"/>
              <w:ind w:left="42" w:leftChars="20"/>
              <w:jc w:val="center"/>
              <w:textAlignment w:val="auto"/>
              <w:rPr>
                <w:rFonts w:ascii="宋体" w:hAnsi="宋体" w:cs="宋体"/>
                <w:color w:val="auto"/>
                <w:sz w:val="24"/>
              </w:rPr>
            </w:pPr>
            <w:r>
              <w:rPr>
                <w:rFonts w:hint="eastAsia" w:ascii="宋体" w:hAnsi="宋体" w:cs="宋体"/>
                <w:color w:val="auto"/>
                <w:sz w:val="24"/>
                <w:szCs w:val="24"/>
              </w:rPr>
              <w:t>履约验收</w:t>
            </w:r>
          </w:p>
        </w:tc>
        <w:tc>
          <w:tcPr>
            <w:tcW w:w="7046" w:type="dxa"/>
            <w:vAlign w:val="center"/>
          </w:tcPr>
          <w:p>
            <w:pPr>
              <w:keepLines w:val="0"/>
              <w:pageBreakBefore w:val="0"/>
              <w:kinsoku/>
              <w:wordWrap/>
              <w:overflowPunct/>
              <w:topLinePunct w:val="0"/>
              <w:bidi w:val="0"/>
              <w:snapToGrid/>
              <w:spacing w:line="440" w:lineRule="exact"/>
              <w:ind w:left="42" w:leftChars="20"/>
              <w:textAlignment w:val="auto"/>
              <w:rPr>
                <w:rFonts w:ascii="宋体" w:hAnsi="宋体" w:cs="宋体"/>
                <w:color w:val="auto"/>
                <w:sz w:val="24"/>
                <w:szCs w:val="24"/>
              </w:rPr>
            </w:pPr>
            <w:r>
              <w:rPr>
                <w:rFonts w:hint="eastAsia" w:ascii="宋体" w:hAnsi="宋体" w:cs="宋体"/>
                <w:color w:val="auto"/>
                <w:sz w:val="24"/>
                <w:szCs w:val="24"/>
              </w:rPr>
              <w:t>是否委托采购代理机构组织履约验收：</w:t>
            </w:r>
          </w:p>
          <w:p>
            <w:pPr>
              <w:keepLines w:val="0"/>
              <w:pageBreakBefore w:val="0"/>
              <w:kinsoku/>
              <w:wordWrap/>
              <w:overflowPunct/>
              <w:topLinePunct w:val="0"/>
              <w:bidi w:val="0"/>
              <w:snapToGrid/>
              <w:spacing w:line="440" w:lineRule="exact"/>
              <w:ind w:left="42" w:leftChars="20"/>
              <w:textAlignment w:val="auto"/>
              <w:rPr>
                <w:rFonts w:ascii="宋体" w:hAnsi="宋体" w:cs="宋体"/>
                <w:color w:val="auto"/>
                <w:sz w:val="24"/>
                <w:szCs w:val="24"/>
              </w:rPr>
            </w:pPr>
            <w:r>
              <w:rPr>
                <w:rFonts w:hint="eastAsia" w:ascii="宋体" w:hAnsi="宋体" w:cs="宋体"/>
                <w:color w:val="auto"/>
                <w:sz w:val="24"/>
                <w:szCs w:val="24"/>
              </w:rPr>
              <w:t>□是，验收费用由采购人/成交供应商支付，费用标准按成交金额的5‰计算，不足5000元的，按5000元收取。</w:t>
            </w:r>
          </w:p>
          <w:p>
            <w:pPr>
              <w:keepLines w:val="0"/>
              <w:pageBreakBefore w:val="0"/>
              <w:kinsoku/>
              <w:wordWrap/>
              <w:overflowPunct/>
              <w:topLinePunct w:val="0"/>
              <w:bidi w:val="0"/>
              <w:snapToGrid/>
              <w:spacing w:line="440" w:lineRule="exact"/>
              <w:ind w:left="42" w:leftChars="20"/>
              <w:textAlignment w:val="auto"/>
              <w:rPr>
                <w:rFonts w:ascii="宋体" w:hAnsi="宋体" w:cs="宋体"/>
                <w:color w:val="auto"/>
                <w:sz w:val="24"/>
                <w:szCs w:val="24"/>
              </w:rPr>
            </w:pPr>
            <w:r>
              <w:rPr>
                <w:rFonts w:hint="eastAsia" w:ascii="宋体" w:hAnsi="宋体" w:cs="宋体"/>
                <w:color w:val="auto"/>
                <w:sz w:val="24"/>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rFonts w:hint="eastAsia" w:eastAsia="宋体"/>
                <w:color w:val="auto"/>
                <w:lang w:eastAsia="zh-CN"/>
              </w:rPr>
            </w:pPr>
            <w:r>
              <w:rPr>
                <w:rFonts w:hint="eastAsia"/>
                <w:color w:val="auto"/>
              </w:rPr>
              <w:t>2</w:t>
            </w:r>
            <w:r>
              <w:rPr>
                <w:rFonts w:hint="eastAsia"/>
                <w:color w:val="auto"/>
                <w:lang w:val="en-US" w:eastAsia="zh-CN"/>
              </w:rPr>
              <w:t>7</w:t>
            </w:r>
          </w:p>
        </w:tc>
        <w:tc>
          <w:tcPr>
            <w:tcW w:w="2214" w:type="dxa"/>
            <w:vAlign w:val="center"/>
          </w:tcPr>
          <w:p>
            <w:pPr>
              <w:keepLines w:val="0"/>
              <w:pageBreakBefore w:val="0"/>
              <w:kinsoku/>
              <w:wordWrap/>
              <w:overflowPunct/>
              <w:topLinePunct w:val="0"/>
              <w:bidi w:val="0"/>
              <w:snapToGrid/>
              <w:spacing w:line="440" w:lineRule="exact"/>
              <w:jc w:val="center"/>
              <w:textAlignment w:val="auto"/>
              <w:rPr>
                <w:rFonts w:ascii="宋体" w:hAnsi="宋体" w:cs="宋体"/>
                <w:color w:val="auto"/>
                <w:sz w:val="24"/>
                <w:szCs w:val="24"/>
              </w:rPr>
            </w:pPr>
            <w:r>
              <w:rPr>
                <w:rFonts w:hint="eastAsia" w:ascii="宋体" w:hAnsi="宋体" w:cs="宋体"/>
                <w:color w:val="auto"/>
                <w:sz w:val="24"/>
                <w:szCs w:val="24"/>
              </w:rPr>
              <w:t>信用担保及信用融资</w:t>
            </w:r>
          </w:p>
        </w:tc>
        <w:tc>
          <w:tcPr>
            <w:tcW w:w="7046" w:type="dxa"/>
            <w:vAlign w:val="center"/>
          </w:tcPr>
          <w:p>
            <w:pPr>
              <w:keepLines w:val="0"/>
              <w:pageBreakBefore w:val="0"/>
              <w:kinsoku/>
              <w:wordWrap/>
              <w:overflowPunct/>
              <w:topLinePunct w:val="0"/>
              <w:bidi w:val="0"/>
              <w:snapToGrid/>
              <w:spacing w:line="440" w:lineRule="exact"/>
              <w:jc w:val="left"/>
              <w:textAlignment w:val="auto"/>
              <w:rPr>
                <w:rFonts w:ascii="宋体" w:hAnsi="宋体" w:cs="宋体"/>
                <w:color w:val="auto"/>
                <w:sz w:val="24"/>
                <w:szCs w:val="24"/>
              </w:rPr>
            </w:pPr>
            <w:r>
              <w:rPr>
                <w:rFonts w:hint="eastAsia" w:ascii="宋体" w:hAnsi="宋体" w:cs="宋体"/>
                <w:color w:val="auto"/>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rFonts w:hint="eastAsia" w:eastAsia="宋体"/>
                <w:color w:val="auto"/>
                <w:lang w:eastAsia="zh-CN"/>
              </w:rPr>
            </w:pPr>
            <w:r>
              <w:rPr>
                <w:rFonts w:hint="eastAsia"/>
                <w:color w:val="auto"/>
              </w:rPr>
              <w:t>2</w:t>
            </w:r>
            <w:r>
              <w:rPr>
                <w:rFonts w:hint="eastAsia"/>
                <w:color w:val="auto"/>
                <w:lang w:val="en-US" w:eastAsia="zh-CN"/>
              </w:rPr>
              <w:t>8</w:t>
            </w:r>
          </w:p>
        </w:tc>
        <w:tc>
          <w:tcPr>
            <w:tcW w:w="2214" w:type="dxa"/>
            <w:vAlign w:val="center"/>
          </w:tcPr>
          <w:p>
            <w:pPr>
              <w:pStyle w:val="115"/>
              <w:keepLines w:val="0"/>
              <w:pageBreakBefore w:val="0"/>
              <w:kinsoku/>
              <w:wordWrap/>
              <w:overflowPunct/>
              <w:topLinePunct w:val="0"/>
              <w:bidi w:val="0"/>
              <w:snapToGrid/>
              <w:spacing w:line="440" w:lineRule="exact"/>
              <w:jc w:val="center"/>
              <w:textAlignment w:val="auto"/>
              <w:rPr>
                <w:color w:val="auto"/>
                <w:kern w:val="2"/>
              </w:rPr>
            </w:pPr>
            <w:r>
              <w:rPr>
                <w:rFonts w:hint="eastAsia"/>
                <w:color w:val="auto"/>
              </w:rPr>
              <w:t>疫情防控措施</w:t>
            </w:r>
          </w:p>
        </w:tc>
        <w:tc>
          <w:tcPr>
            <w:tcW w:w="7046" w:type="dxa"/>
            <w:vAlign w:val="center"/>
          </w:tcPr>
          <w:p>
            <w:pPr>
              <w:pStyle w:val="115"/>
              <w:keepLines w:val="0"/>
              <w:pageBreakBefore w:val="0"/>
              <w:numPr>
                <w:ilvl w:val="0"/>
                <w:numId w:val="4"/>
              </w:numPr>
              <w:kinsoku/>
              <w:wordWrap/>
              <w:overflowPunct/>
              <w:topLinePunct w:val="0"/>
              <w:bidi w:val="0"/>
              <w:snapToGrid/>
              <w:spacing w:line="440" w:lineRule="exact"/>
              <w:jc w:val="both"/>
              <w:textAlignment w:val="auto"/>
              <w:rPr>
                <w:color w:val="auto"/>
                <w:kern w:val="2"/>
              </w:rPr>
            </w:pPr>
            <w:r>
              <w:rPr>
                <w:rFonts w:hint="eastAsia"/>
                <w:color w:val="auto"/>
                <w:kern w:val="2"/>
              </w:rPr>
              <w:t>供应商只需拟派1人参与本项目谈判会议；</w:t>
            </w:r>
            <w:r>
              <w:rPr>
                <w:rFonts w:hint="eastAsia"/>
                <w:color w:val="auto"/>
                <w:kern w:val="2"/>
              </w:rPr>
              <w:br w:type="textWrapping"/>
            </w:r>
            <w:r>
              <w:rPr>
                <w:rFonts w:hint="eastAsia"/>
                <w:color w:val="auto"/>
                <w:kern w:val="2"/>
                <w:lang w:val="en-US" w:eastAsia="zh-CN"/>
              </w:rPr>
              <w:t>2</w:t>
            </w:r>
            <w:r>
              <w:rPr>
                <w:rFonts w:hint="eastAsia"/>
                <w:color w:val="auto"/>
                <w:kern w:val="2"/>
              </w:rPr>
              <w:t>、参与谈判会议的人员均需携带口罩等防护措施。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13" w:type="dxa"/>
            <w:vAlign w:val="center"/>
          </w:tcPr>
          <w:p>
            <w:pPr>
              <w:pStyle w:val="115"/>
              <w:keepLines w:val="0"/>
              <w:pageBreakBefore w:val="0"/>
              <w:kinsoku/>
              <w:wordWrap/>
              <w:overflowPunct/>
              <w:topLinePunct w:val="0"/>
              <w:bidi w:val="0"/>
              <w:snapToGrid/>
              <w:spacing w:line="440" w:lineRule="exact"/>
              <w:jc w:val="center"/>
              <w:textAlignment w:val="auto"/>
              <w:rPr>
                <w:rFonts w:hint="eastAsia" w:eastAsia="宋体"/>
                <w:color w:val="auto"/>
                <w:lang w:eastAsia="zh-CN"/>
              </w:rPr>
            </w:pPr>
            <w:r>
              <w:rPr>
                <w:rFonts w:hint="eastAsia"/>
                <w:color w:val="auto"/>
              </w:rPr>
              <w:t>2</w:t>
            </w:r>
            <w:r>
              <w:rPr>
                <w:rFonts w:hint="eastAsia"/>
                <w:color w:val="auto"/>
                <w:lang w:val="en-US" w:eastAsia="zh-CN"/>
              </w:rPr>
              <w:t>9</w:t>
            </w:r>
          </w:p>
        </w:tc>
        <w:tc>
          <w:tcPr>
            <w:tcW w:w="2214" w:type="dxa"/>
            <w:vAlign w:val="center"/>
          </w:tcPr>
          <w:p>
            <w:pPr>
              <w:pStyle w:val="115"/>
              <w:keepLines w:val="0"/>
              <w:pageBreakBefore w:val="0"/>
              <w:kinsoku/>
              <w:wordWrap/>
              <w:overflowPunct/>
              <w:topLinePunct w:val="0"/>
              <w:bidi w:val="0"/>
              <w:snapToGrid/>
              <w:spacing w:line="440" w:lineRule="exact"/>
              <w:jc w:val="center"/>
              <w:textAlignment w:val="auto"/>
              <w:rPr>
                <w:color w:val="auto"/>
              </w:rPr>
            </w:pPr>
            <w:r>
              <w:rPr>
                <w:rFonts w:hint="eastAsia"/>
                <w:color w:val="auto"/>
              </w:rPr>
              <w:t>其他</w:t>
            </w:r>
          </w:p>
        </w:tc>
        <w:tc>
          <w:tcPr>
            <w:tcW w:w="7046" w:type="dxa"/>
            <w:vAlign w:val="center"/>
          </w:tcPr>
          <w:p>
            <w:pPr>
              <w:pStyle w:val="115"/>
              <w:keepLines w:val="0"/>
              <w:pageBreakBefore w:val="0"/>
              <w:kinsoku/>
              <w:wordWrap/>
              <w:overflowPunct/>
              <w:topLinePunct w:val="0"/>
              <w:bidi w:val="0"/>
              <w:snapToGrid/>
              <w:spacing w:line="440" w:lineRule="exact"/>
              <w:jc w:val="both"/>
              <w:textAlignment w:val="auto"/>
              <w:rPr>
                <w:color w:val="auto"/>
                <w:kern w:val="2"/>
              </w:rPr>
            </w:pPr>
            <w:r>
              <w:rPr>
                <w:rFonts w:hint="eastAsia"/>
                <w:color w:val="auto"/>
                <w:kern w:val="2"/>
              </w:rPr>
              <w:t>1、本项目部分面向中小企业采购</w:t>
            </w:r>
            <w:r>
              <w:rPr>
                <w:rFonts w:hint="eastAsia"/>
                <w:color w:val="auto"/>
                <w:kern w:val="2"/>
                <w:lang w:val="en-US" w:eastAsia="zh-CN"/>
              </w:rPr>
              <w:t>-要求合同分包</w:t>
            </w:r>
            <w:r>
              <w:rPr>
                <w:rFonts w:hint="eastAsia"/>
                <w:color w:val="auto"/>
                <w:kern w:val="2"/>
              </w:rPr>
              <w:t>形式参加预留（中小企业预留采购份额</w:t>
            </w:r>
            <w:r>
              <w:rPr>
                <w:rFonts w:hint="eastAsia"/>
                <w:color w:val="auto"/>
                <w:kern w:val="2"/>
                <w:lang w:val="en-US" w:eastAsia="zh-CN"/>
              </w:rPr>
              <w:t>51</w:t>
            </w:r>
            <w:r>
              <w:rPr>
                <w:rFonts w:hint="eastAsia"/>
                <w:color w:val="auto"/>
                <w:kern w:val="2"/>
              </w:rPr>
              <w:t>%）；</w:t>
            </w:r>
          </w:p>
          <w:p>
            <w:pPr>
              <w:pStyle w:val="115"/>
              <w:keepLines w:val="0"/>
              <w:pageBreakBefore w:val="0"/>
              <w:numPr>
                <w:ilvl w:val="0"/>
                <w:numId w:val="4"/>
              </w:numPr>
              <w:kinsoku/>
              <w:wordWrap/>
              <w:overflowPunct/>
              <w:topLinePunct w:val="0"/>
              <w:bidi w:val="0"/>
              <w:snapToGrid/>
              <w:spacing w:line="440" w:lineRule="exact"/>
              <w:jc w:val="both"/>
              <w:textAlignment w:val="auto"/>
              <w:rPr>
                <w:color w:val="auto"/>
                <w:kern w:val="2"/>
              </w:rPr>
            </w:pPr>
            <w:r>
              <w:rPr>
                <w:rFonts w:hint="eastAsia"/>
                <w:color w:val="auto"/>
                <w:kern w:val="2"/>
              </w:rPr>
              <w:t>本项目属性为货物。</w:t>
            </w:r>
          </w:p>
          <w:p>
            <w:pPr>
              <w:pStyle w:val="115"/>
              <w:keepLines w:val="0"/>
              <w:pageBreakBefore w:val="0"/>
              <w:numPr>
                <w:ilvl w:val="0"/>
                <w:numId w:val="4"/>
              </w:numPr>
              <w:kinsoku/>
              <w:wordWrap/>
              <w:overflowPunct/>
              <w:topLinePunct w:val="0"/>
              <w:bidi w:val="0"/>
              <w:snapToGrid/>
              <w:spacing w:line="440" w:lineRule="exact"/>
              <w:jc w:val="both"/>
              <w:textAlignment w:val="auto"/>
              <w:rPr>
                <w:color w:val="auto"/>
                <w:kern w:val="2"/>
              </w:rPr>
            </w:pPr>
            <w:r>
              <w:rPr>
                <w:rFonts w:hint="eastAsia"/>
                <w:color w:val="auto"/>
                <w:kern w:val="2"/>
                <w:lang w:val="en-US" w:eastAsia="zh-CN"/>
              </w:rPr>
              <w:t>本项目所属行业为工业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13" w:type="dxa"/>
            <w:vAlign w:val="center"/>
          </w:tcPr>
          <w:p>
            <w:pPr>
              <w:pStyle w:val="115"/>
              <w:keepNext w:val="0"/>
              <w:keepLines w:val="0"/>
              <w:pageBreakBefore w:val="0"/>
              <w:kinsoku/>
              <w:wordWrap/>
              <w:overflowPunct/>
              <w:topLinePunct w:val="0"/>
              <w:bidi w:val="0"/>
              <w:snapToGrid/>
              <w:spacing w:line="440" w:lineRule="exact"/>
              <w:jc w:val="center"/>
              <w:textAlignment w:val="auto"/>
              <w:rPr>
                <w:rFonts w:hint="default"/>
                <w:color w:val="auto"/>
                <w:lang w:val="en-US"/>
              </w:rPr>
            </w:pPr>
            <w:r>
              <w:rPr>
                <w:rFonts w:hint="eastAsia" w:cs="宋体"/>
                <w:color w:val="auto"/>
                <w:sz w:val="24"/>
                <w:szCs w:val="24"/>
                <w:highlight w:val="none"/>
                <w:lang w:val="en-US" w:eastAsia="zh-CN"/>
              </w:rPr>
              <w:t>30</w:t>
            </w:r>
          </w:p>
        </w:tc>
        <w:tc>
          <w:tcPr>
            <w:tcW w:w="2214" w:type="dxa"/>
            <w:vAlign w:val="center"/>
          </w:tcPr>
          <w:p>
            <w:pPr>
              <w:pStyle w:val="115"/>
              <w:keepLines w:val="0"/>
              <w:pageBreakBefore w:val="0"/>
              <w:kinsoku/>
              <w:wordWrap/>
              <w:overflowPunct/>
              <w:topLinePunct w:val="0"/>
              <w:bidi w:val="0"/>
              <w:snapToGrid/>
              <w:spacing w:line="440" w:lineRule="exact"/>
              <w:jc w:val="both"/>
              <w:textAlignment w:val="auto"/>
              <w:rPr>
                <w:rFonts w:hint="eastAsia"/>
                <w:color w:val="auto"/>
              </w:rPr>
            </w:pPr>
            <w:r>
              <w:rPr>
                <w:rFonts w:hint="eastAsia"/>
                <w:color w:val="auto"/>
                <w:lang w:eastAsia="zh-CN"/>
              </w:rPr>
              <w:t>投标文件</w:t>
            </w:r>
            <w:r>
              <w:rPr>
                <w:rFonts w:hint="eastAsia"/>
                <w:color w:val="auto"/>
              </w:rPr>
              <w:t>和证明资料签字、盖章要求</w:t>
            </w:r>
          </w:p>
        </w:tc>
        <w:tc>
          <w:tcPr>
            <w:tcW w:w="7046" w:type="dxa"/>
            <w:vAlign w:val="center"/>
          </w:tcPr>
          <w:p>
            <w:pPr>
              <w:pStyle w:val="115"/>
              <w:keepLines w:val="0"/>
              <w:pageBreakBefore w:val="0"/>
              <w:kinsoku/>
              <w:wordWrap/>
              <w:overflowPunct/>
              <w:topLinePunct w:val="0"/>
              <w:bidi w:val="0"/>
              <w:snapToGrid/>
              <w:spacing w:line="440" w:lineRule="exact"/>
              <w:jc w:val="both"/>
              <w:textAlignment w:val="auto"/>
              <w:rPr>
                <w:color w:val="auto"/>
              </w:rPr>
            </w:pPr>
            <w:r>
              <w:rPr>
                <w:rFonts w:hint="eastAsia"/>
                <w:color w:val="auto"/>
              </w:rPr>
              <w:t>1、按第八章</w:t>
            </w:r>
            <w:r>
              <w:rPr>
                <w:rFonts w:hint="eastAsia"/>
                <w:color w:val="auto"/>
                <w:lang w:val="zh-CN"/>
              </w:rPr>
              <w:t>响应文件格式</w:t>
            </w:r>
            <w:r>
              <w:rPr>
                <w:rFonts w:hint="eastAsia"/>
                <w:color w:val="auto"/>
              </w:rPr>
              <w:t>中要求签字和盖章；</w:t>
            </w:r>
          </w:p>
          <w:p>
            <w:pPr>
              <w:pStyle w:val="115"/>
              <w:keepLines w:val="0"/>
              <w:pageBreakBefore w:val="0"/>
              <w:kinsoku/>
              <w:wordWrap/>
              <w:overflowPunct/>
              <w:topLinePunct w:val="0"/>
              <w:bidi w:val="0"/>
              <w:snapToGrid/>
              <w:spacing w:line="440" w:lineRule="exact"/>
              <w:jc w:val="both"/>
              <w:textAlignment w:val="auto"/>
              <w:rPr>
                <w:rFonts w:hint="eastAsia"/>
                <w:color w:val="auto"/>
                <w:kern w:val="2"/>
              </w:rPr>
            </w:pPr>
            <w:r>
              <w:rPr>
                <w:rFonts w:hint="eastAsia"/>
                <w:color w:val="auto"/>
              </w:rPr>
              <w:t>2、证明资料复印件、扫描件加盖投标人公章；</w:t>
            </w:r>
          </w:p>
        </w:tc>
      </w:tr>
    </w:tbl>
    <w:p>
      <w:pPr>
        <w:autoSpaceDE w:val="0"/>
        <w:autoSpaceDN w:val="0"/>
        <w:adjustRightInd w:val="0"/>
        <w:spacing w:line="360" w:lineRule="auto"/>
        <w:jc w:val="center"/>
        <w:rPr>
          <w:rFonts w:ascii="宋体" w:hAnsi="宋体" w:cs="宋体"/>
          <w:color w:val="auto"/>
          <w:sz w:val="28"/>
          <w:szCs w:val="28"/>
        </w:rPr>
        <w:sectPr>
          <w:footerReference r:id="rId12" w:type="first"/>
          <w:footerReference r:id="rId11" w:type="default"/>
          <w:pgSz w:w="11906" w:h="16838"/>
          <w:pgMar w:top="1418" w:right="1418" w:bottom="1418" w:left="1418" w:header="851" w:footer="992" w:gutter="0"/>
          <w:pgNumType w:fmt="decimal" w:start="1"/>
          <w:cols w:space="425" w:num="1"/>
          <w:titlePg/>
          <w:docGrid w:linePitch="312" w:charSpace="0"/>
        </w:sectPr>
      </w:pPr>
    </w:p>
    <w:p>
      <w:pPr>
        <w:pStyle w:val="3"/>
        <w:keepLines w:val="0"/>
        <w:pageBreakBefore w:val="0"/>
        <w:widowControl w:val="0"/>
        <w:kinsoku/>
        <w:wordWrap/>
        <w:overflowPunct/>
        <w:topLinePunct w:val="0"/>
        <w:bidi w:val="0"/>
        <w:spacing w:line="440" w:lineRule="exact"/>
        <w:rPr>
          <w:rFonts w:ascii="宋体" w:hAnsi="宋体" w:eastAsia="宋体" w:cs="宋体"/>
          <w:b/>
          <w:color w:val="auto"/>
          <w:szCs w:val="28"/>
          <w:lang w:val="zh-CN"/>
        </w:rPr>
      </w:pPr>
      <w:bookmarkStart w:id="3" w:name="_Toc3444"/>
      <w:r>
        <w:rPr>
          <w:rFonts w:hint="eastAsia" w:ascii="宋体" w:hAnsi="宋体" w:eastAsia="宋体" w:cs="宋体"/>
          <w:b/>
          <w:color w:val="auto"/>
          <w:szCs w:val="28"/>
        </w:rPr>
        <w:t xml:space="preserve">第三章 </w:t>
      </w:r>
      <w:r>
        <w:rPr>
          <w:rFonts w:hint="eastAsia" w:ascii="宋体" w:hAnsi="宋体" w:eastAsia="宋体" w:cs="宋体"/>
          <w:b/>
          <w:color w:val="auto"/>
          <w:szCs w:val="28"/>
          <w:lang w:val="zh-CN"/>
        </w:rPr>
        <w:t>供应商须知</w:t>
      </w:r>
      <w:bookmarkEnd w:id="3"/>
    </w:p>
    <w:p>
      <w:pPr>
        <w:keepLines w:val="0"/>
        <w:pageBreakBefore w:val="0"/>
        <w:widowControl w:val="0"/>
        <w:kinsoku/>
        <w:wordWrap/>
        <w:overflowPunct/>
        <w:topLinePunct w:val="0"/>
        <w:autoSpaceDE w:val="0"/>
        <w:autoSpaceDN w:val="0"/>
        <w:bidi w:val="0"/>
        <w:adjustRightInd w:val="0"/>
        <w:spacing w:line="440" w:lineRule="exact"/>
        <w:ind w:left="0" w:leftChars="0" w:firstLine="573"/>
        <w:jc w:val="center"/>
        <w:rPr>
          <w:rFonts w:ascii="宋体" w:hAnsi="宋体" w:cs="宋体"/>
          <w:b/>
          <w:color w:val="auto"/>
          <w:sz w:val="28"/>
          <w:szCs w:val="28"/>
          <w:lang w:val="zh-CN"/>
        </w:rPr>
      </w:pPr>
      <w:r>
        <w:rPr>
          <w:rFonts w:hint="eastAsia" w:ascii="宋体" w:hAnsi="宋体" w:cs="宋体"/>
          <w:b/>
          <w:color w:val="auto"/>
          <w:sz w:val="28"/>
          <w:szCs w:val="28"/>
        </w:rPr>
        <w:t>A</w:t>
      </w:r>
      <w:r>
        <w:rPr>
          <w:rFonts w:hint="eastAsia" w:ascii="宋体" w:hAnsi="宋体" w:cs="宋体"/>
          <w:b/>
          <w:color w:val="auto"/>
          <w:sz w:val="28"/>
          <w:szCs w:val="28"/>
          <w:lang w:val="zh-CN"/>
        </w:rPr>
        <w:t>、总则</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rPr>
      </w:pPr>
      <w:r>
        <w:rPr>
          <w:rFonts w:hint="eastAsia" w:ascii="宋体" w:hAnsi="宋体" w:cs="宋体"/>
          <w:b/>
          <w:color w:val="auto"/>
          <w:sz w:val="24"/>
          <w:szCs w:val="24"/>
        </w:rPr>
        <w:t>1、资金来源</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rPr>
      </w:pPr>
      <w:r>
        <w:rPr>
          <w:rFonts w:hint="eastAsia" w:ascii="宋体" w:hAnsi="宋体" w:cs="宋体"/>
          <w:bCs/>
          <w:color w:val="auto"/>
          <w:sz w:val="24"/>
          <w:szCs w:val="24"/>
        </w:rPr>
        <w:t>1.1本次竞争性谈判所签合同使用财政资金支付，资金已落实到位。</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lang w:val="zh-CN"/>
        </w:rPr>
      </w:pPr>
      <w:r>
        <w:rPr>
          <w:rFonts w:hint="eastAsia" w:ascii="宋体" w:hAnsi="宋体" w:cs="宋体"/>
          <w:b/>
          <w:color w:val="auto"/>
          <w:sz w:val="24"/>
          <w:szCs w:val="24"/>
        </w:rPr>
        <w:t>2</w:t>
      </w:r>
      <w:r>
        <w:rPr>
          <w:rFonts w:hint="eastAsia" w:ascii="宋体" w:hAnsi="宋体" w:cs="宋体"/>
          <w:b/>
          <w:color w:val="auto"/>
          <w:sz w:val="24"/>
          <w:szCs w:val="24"/>
          <w:lang w:val="zh-CN"/>
        </w:rPr>
        <w:t>、</w:t>
      </w:r>
      <w:r>
        <w:rPr>
          <w:rFonts w:hint="eastAsia" w:ascii="宋体" w:hAnsi="宋体" w:cs="宋体"/>
          <w:b/>
          <w:color w:val="auto"/>
          <w:sz w:val="24"/>
          <w:szCs w:val="24"/>
        </w:rPr>
        <w:t>名词解释</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2.</w:t>
      </w:r>
      <w:r>
        <w:rPr>
          <w:rFonts w:hint="eastAsia" w:ascii="宋体" w:hAnsi="宋体" w:cs="宋体"/>
          <w:color w:val="auto"/>
          <w:sz w:val="24"/>
          <w:szCs w:val="24"/>
          <w:lang w:val="zh-CN"/>
        </w:rPr>
        <w:t>1、采 购 人：</w:t>
      </w:r>
      <w:r>
        <w:rPr>
          <w:rFonts w:hint="eastAsia" w:ascii="宋体" w:hAnsi="宋体" w:cs="宋体"/>
          <w:color w:val="auto"/>
          <w:sz w:val="24"/>
          <w:szCs w:val="24"/>
        </w:rPr>
        <w:t>潼关县教育科技局</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zh-CN"/>
        </w:rPr>
        <w:t>2、监督机构：潼关县</w:t>
      </w:r>
      <w:r>
        <w:rPr>
          <w:rFonts w:hint="eastAsia" w:ascii="宋体" w:hAnsi="宋体" w:cs="宋体"/>
          <w:color w:val="auto"/>
          <w:sz w:val="24"/>
          <w:szCs w:val="24"/>
        </w:rPr>
        <w:t>财政局</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2.3</w:t>
      </w:r>
      <w:r>
        <w:rPr>
          <w:rFonts w:hint="eastAsia" w:ascii="宋体" w:hAnsi="宋体" w:cs="宋体"/>
          <w:color w:val="auto"/>
          <w:sz w:val="24"/>
          <w:szCs w:val="24"/>
          <w:lang w:val="zh-CN"/>
        </w:rPr>
        <w:t>、采购代理机构：</w:t>
      </w:r>
      <w:r>
        <w:rPr>
          <w:rFonts w:hint="eastAsia" w:ascii="宋体" w:hAnsi="宋体" w:cs="宋体"/>
          <w:color w:val="auto"/>
          <w:sz w:val="24"/>
          <w:szCs w:val="24"/>
        </w:rPr>
        <w:t>陕西盛仕骄阳项目管理有限公司</w:t>
      </w:r>
      <w:r>
        <w:rPr>
          <w:rFonts w:hint="eastAsia" w:ascii="宋体" w:hAnsi="宋体" w:cs="宋体"/>
          <w:color w:val="auto"/>
          <w:sz w:val="24"/>
          <w:szCs w:val="24"/>
          <w:lang w:val="zh-CN"/>
        </w:rPr>
        <w:t xml:space="preserve"> </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2.4</w:t>
      </w:r>
      <w:r>
        <w:rPr>
          <w:rFonts w:hint="eastAsia" w:ascii="宋体" w:hAnsi="宋体" w:cs="宋体"/>
          <w:color w:val="auto"/>
          <w:sz w:val="24"/>
          <w:szCs w:val="24"/>
          <w:lang w:val="zh-CN"/>
        </w:rPr>
        <w:t>、供应商：响应谈判并且符合竞争性谈判采购文件规定资格条件和参加谈判竞争的法人或其他组织或自然人。</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2.5、</w:t>
      </w:r>
      <w:r>
        <w:rPr>
          <w:rFonts w:hint="eastAsia" w:ascii="宋体" w:hAnsi="宋体" w:cs="宋体"/>
          <w:bCs/>
          <w:color w:val="auto"/>
          <w:sz w:val="24"/>
          <w:szCs w:val="24"/>
          <w:lang w:val="zh-CN"/>
        </w:rPr>
        <w:t>货物</w:t>
      </w:r>
      <w:r>
        <w:rPr>
          <w:rFonts w:hint="eastAsia" w:ascii="宋体" w:hAnsi="宋体" w:cs="宋体"/>
          <w:color w:val="auto"/>
          <w:sz w:val="24"/>
          <w:szCs w:val="24"/>
        </w:rPr>
        <w:t>是指供应商为满足竞争性谈判文件要求而提供的</w:t>
      </w:r>
      <w:r>
        <w:rPr>
          <w:rFonts w:hint="eastAsia" w:ascii="宋体" w:hAnsi="宋体" w:cs="宋体"/>
          <w:bCs/>
          <w:color w:val="auto"/>
          <w:sz w:val="24"/>
          <w:szCs w:val="24"/>
          <w:lang w:val="zh-CN"/>
        </w:rPr>
        <w:t>货物</w:t>
      </w:r>
      <w:r>
        <w:rPr>
          <w:rFonts w:hint="eastAsia" w:ascii="宋体" w:hAnsi="宋体" w:cs="宋体"/>
          <w:color w:val="auto"/>
          <w:sz w:val="24"/>
          <w:szCs w:val="24"/>
        </w:rPr>
        <w:t>。</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2.6、竞争性谈判文件：由采购人或采购代理机构发出的文本、文件，包括全部章节和附件及答疑会议纪要。</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2.7、谈判响应文件：谈判供应商根据本竞争性谈判文件向采购人提交的全部文件。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 xml:space="preserve">2.8、书面形式：任何手写、打印或印刷的各种函件，包括电传、电报、电子邮件等。 </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lang w:val="zh-CN"/>
        </w:rPr>
      </w:pPr>
      <w:r>
        <w:rPr>
          <w:rFonts w:hint="eastAsia" w:ascii="宋体" w:hAnsi="宋体" w:cs="宋体"/>
          <w:b/>
          <w:bCs/>
          <w:color w:val="auto"/>
          <w:sz w:val="24"/>
          <w:szCs w:val="24"/>
        </w:rPr>
        <w:t>3、</w:t>
      </w:r>
      <w:r>
        <w:rPr>
          <w:rFonts w:hint="eastAsia" w:ascii="宋体" w:hAnsi="宋体" w:cs="宋体"/>
          <w:b/>
          <w:bCs/>
          <w:color w:val="auto"/>
          <w:sz w:val="24"/>
          <w:szCs w:val="24"/>
          <w:lang w:val="zh-CN"/>
        </w:rPr>
        <w:t>谈判费用</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无论谈判结果如何，谈判供应商自行承担与参加谈判活动有关的全部费用。</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lang w:val="zh-CN"/>
        </w:rPr>
      </w:pPr>
      <w:r>
        <w:rPr>
          <w:rFonts w:hint="eastAsia" w:ascii="宋体" w:hAnsi="宋体" w:cs="宋体"/>
          <w:b/>
          <w:bCs/>
          <w:color w:val="auto"/>
          <w:sz w:val="24"/>
          <w:szCs w:val="24"/>
        </w:rPr>
        <w:t>4、</w:t>
      </w:r>
      <w:r>
        <w:rPr>
          <w:rFonts w:hint="eastAsia" w:ascii="宋体" w:hAnsi="宋体" w:cs="宋体"/>
          <w:b/>
          <w:bCs/>
          <w:color w:val="auto"/>
          <w:sz w:val="24"/>
          <w:szCs w:val="24"/>
          <w:lang w:val="zh-CN"/>
        </w:rPr>
        <w:t>合格的供应商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.1、《中华人民共和国政府采购法》第二十二条第一款规定的供应商基本资格条件:</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val="zh-CN"/>
        </w:rPr>
        <w:t>）具有独立承担民事责任的能力；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）具有履行合同所必需的设备和专业技术能力；</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val="zh-CN"/>
        </w:rPr>
        <w:t>）参加政府采购活动前三年内，在经营活动中没有重大违法记录；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val="zh-CN"/>
        </w:rPr>
        <w:t>）法律、行政法规规定的其他条件。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.2、根据本次采购项目的要求，规定的供应商特殊条件（见供应商须知前附表）。</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谈判。</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.4、供应商不得直接或间接地与采购人或采购代理机构有任何关联，亦不得是采购人或采购代理机构的附属机构。如果供应商在谈判中隐瞒了上述关系，一经证实，则该谈判无效。</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.5、供应商必须在</w:t>
      </w:r>
      <w:r>
        <w:rPr>
          <w:rFonts w:hint="eastAsia" w:ascii="宋体" w:hAnsi="宋体" w:cs="宋体"/>
          <w:color w:val="auto"/>
          <w:sz w:val="24"/>
          <w:szCs w:val="24"/>
        </w:rPr>
        <w:t>陕西盛仕骄阳项目管理有限公司报名并领取</w:t>
      </w:r>
      <w:r>
        <w:rPr>
          <w:rFonts w:hint="eastAsia" w:ascii="宋体" w:hAnsi="宋体" w:cs="宋体"/>
          <w:color w:val="auto"/>
          <w:sz w:val="24"/>
          <w:szCs w:val="24"/>
          <w:lang w:val="zh-CN"/>
        </w:rPr>
        <w:t>竞争性谈判文件，方可参加谈判。</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4</w:t>
      </w:r>
      <w:r>
        <w:rPr>
          <w:rFonts w:hint="eastAsia" w:ascii="宋体" w:hAnsi="宋体" w:cs="宋体"/>
          <w:color w:val="auto"/>
          <w:sz w:val="24"/>
          <w:szCs w:val="24"/>
          <w:lang w:val="zh-CN"/>
        </w:rPr>
        <w:t>.6、联合体谈判：不接受联合体谈判。</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rPr>
      </w:pPr>
      <w:r>
        <w:rPr>
          <w:rFonts w:hint="eastAsia" w:ascii="宋体" w:hAnsi="宋体" w:cs="宋体"/>
          <w:b/>
          <w:bCs/>
          <w:color w:val="auto"/>
          <w:sz w:val="24"/>
          <w:szCs w:val="24"/>
        </w:rPr>
        <w:t>5、合格的货物（产品）和服务</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5.1、</w:t>
      </w:r>
      <w:r>
        <w:rPr>
          <w:rFonts w:hint="eastAsia" w:ascii="宋体" w:hAnsi="宋体" w:cs="宋体"/>
          <w:color w:val="auto"/>
          <w:sz w:val="24"/>
          <w:szCs w:val="24"/>
          <w:lang w:val="zh-CN"/>
        </w:rPr>
        <w:t>供应商提供的所有货物和服务，必须是合法生产、合法来源，符合国家有关标准要求，并满足竞争性谈判文件规定的规格、参数、质量、价格、有效期、售后服务及供应商须承担的运输、安装、技术支持、培训和竞争性谈判文件规定的其它伴随服务等要求。</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5.2、</w:t>
      </w:r>
      <w:r>
        <w:rPr>
          <w:rFonts w:hint="eastAsia" w:ascii="宋体" w:hAnsi="宋体" w:cs="宋体"/>
          <w:color w:val="auto"/>
          <w:sz w:val="24"/>
          <w:szCs w:val="24"/>
          <w:lang w:val="zh-CN"/>
        </w:rPr>
        <w:t>采购人有权拒绝接受任何不合格的产品和服务，由此产生的费用及相关后果均由供应商自行承担。</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rPr>
      </w:pPr>
      <w:r>
        <w:rPr>
          <w:rFonts w:hint="eastAsia" w:ascii="宋体" w:hAnsi="宋体" w:cs="宋体"/>
          <w:b/>
          <w:bCs/>
          <w:color w:val="auto"/>
          <w:sz w:val="24"/>
          <w:szCs w:val="24"/>
        </w:rPr>
        <w:t>6、竞争性谈判响应文件内容的真实性</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供应商应保证其谈判响应文件中所提供的所有有关谈判的资料、信息是真实的、并且来源于合法的渠道。因谈判响应文件中所提供的有关谈判的资料、信息不真实、或者其来源不合法而导致的所有法律责任，由供应商自行承担。</w:t>
      </w:r>
    </w:p>
    <w:p>
      <w:pPr>
        <w:keepLines w:val="0"/>
        <w:pageBreakBefore w:val="0"/>
        <w:widowControl w:val="0"/>
        <w:kinsoku/>
        <w:wordWrap/>
        <w:overflowPunct/>
        <w:topLinePunct w:val="0"/>
        <w:autoSpaceDE w:val="0"/>
        <w:autoSpaceDN w:val="0"/>
        <w:bidi w:val="0"/>
        <w:adjustRightInd w:val="0"/>
        <w:spacing w:line="440" w:lineRule="exact"/>
        <w:ind w:left="0" w:leftChars="0" w:firstLine="573"/>
        <w:jc w:val="center"/>
        <w:rPr>
          <w:rFonts w:ascii="宋体" w:hAnsi="宋体" w:cs="宋体"/>
          <w:b/>
          <w:color w:val="auto"/>
          <w:sz w:val="28"/>
          <w:szCs w:val="28"/>
          <w:lang w:val="zh-CN"/>
        </w:rPr>
      </w:pPr>
      <w:r>
        <w:rPr>
          <w:rFonts w:hint="eastAsia" w:ascii="宋体" w:hAnsi="宋体" w:cs="宋体"/>
          <w:b/>
          <w:color w:val="auto"/>
          <w:sz w:val="28"/>
          <w:szCs w:val="28"/>
        </w:rPr>
        <w:t>B</w:t>
      </w:r>
      <w:r>
        <w:rPr>
          <w:rFonts w:hint="eastAsia" w:ascii="宋体" w:hAnsi="宋体" w:cs="宋体"/>
          <w:b/>
          <w:color w:val="auto"/>
          <w:sz w:val="28"/>
          <w:szCs w:val="28"/>
          <w:lang w:val="zh-CN"/>
        </w:rPr>
        <w:t>、竞争性谈判文件</w:t>
      </w:r>
    </w:p>
    <w:p>
      <w:pPr>
        <w:keepLines w:val="0"/>
        <w:pageBreakBefore w:val="0"/>
        <w:widowControl w:val="0"/>
        <w:kinsoku/>
        <w:wordWrap/>
        <w:overflowPunct/>
        <w:topLinePunct w:val="0"/>
        <w:bidi w:val="0"/>
        <w:snapToGrid w:val="0"/>
        <w:spacing w:line="440" w:lineRule="exact"/>
        <w:ind w:left="0" w:leftChars="0" w:firstLine="482" w:firstLineChars="200"/>
        <w:rPr>
          <w:rFonts w:ascii="宋体" w:hAnsi="宋体" w:cs="宋体"/>
          <w:b/>
          <w:bCs/>
          <w:color w:val="auto"/>
          <w:sz w:val="24"/>
          <w:szCs w:val="24"/>
        </w:rPr>
      </w:pPr>
      <w:r>
        <w:rPr>
          <w:rFonts w:hint="eastAsia" w:ascii="宋体" w:hAnsi="宋体" w:cs="宋体"/>
          <w:b/>
          <w:bCs/>
          <w:color w:val="auto"/>
          <w:sz w:val="24"/>
          <w:szCs w:val="24"/>
        </w:rPr>
        <w:t>7、谈判文件的构成</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7.1、谈判文件组成：谈判采购文件是根据本项目的特点和需求编制，包括以下内容：</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第一章 竞争性谈判公告</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第二章 供应商须知前附表</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第三章 供应商须知</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第四章 评审办法</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第五章 采购内容及要求</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第六章 商务要求</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第七章 合同协议书</w:t>
      </w:r>
    </w:p>
    <w:p>
      <w:pPr>
        <w:keepLines w:val="0"/>
        <w:pageBreakBefore w:val="0"/>
        <w:widowControl w:val="0"/>
        <w:kinsoku/>
        <w:wordWrap/>
        <w:overflowPunct/>
        <w:topLinePunct w:val="0"/>
        <w:bidi w:val="0"/>
        <w:snapToGri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第八章 响应文件格式</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7.</w:t>
      </w:r>
      <w:r>
        <w:rPr>
          <w:rFonts w:hint="eastAsia" w:ascii="宋体" w:hAnsi="宋体" w:cs="宋体"/>
          <w:color w:val="auto"/>
          <w:sz w:val="24"/>
          <w:szCs w:val="24"/>
          <w:lang w:val="zh-CN"/>
        </w:rPr>
        <w:t>2、供应商应认真阅读竞争性谈判文件中所有的事项、格式、条款和规范等要求。如果供应商没有按照竞争性谈判文件要求提交全部资料，或者竞争性谈判响应文件没有对竞争性谈判文件在各方面都做出实质性响应，由此带来不利于供应商的谈判结果，其风险由供应商承担。</w:t>
      </w:r>
    </w:p>
    <w:p>
      <w:pPr>
        <w:keepLines w:val="0"/>
        <w:pageBreakBefore w:val="0"/>
        <w:widowControl w:val="0"/>
        <w:kinsoku/>
        <w:wordWrap/>
        <w:overflowPunct/>
        <w:topLinePunct w:val="0"/>
        <w:autoSpaceDE w:val="0"/>
        <w:autoSpaceDN w:val="0"/>
        <w:bidi w:val="0"/>
        <w:adjustRightInd w:val="0"/>
        <w:spacing w:line="440" w:lineRule="exact"/>
        <w:ind w:left="0" w:leftChars="0" w:firstLine="482" w:firstLineChars="200"/>
        <w:rPr>
          <w:rFonts w:ascii="宋体" w:hAnsi="宋体" w:cs="宋体"/>
          <w:b/>
          <w:bCs/>
          <w:color w:val="auto"/>
          <w:sz w:val="24"/>
          <w:szCs w:val="24"/>
          <w:lang w:val="zh-CN"/>
        </w:rPr>
      </w:pPr>
      <w:r>
        <w:rPr>
          <w:rFonts w:hint="eastAsia" w:ascii="宋体" w:hAnsi="宋体" w:cs="宋体"/>
          <w:b/>
          <w:bCs/>
          <w:color w:val="auto"/>
          <w:sz w:val="24"/>
          <w:szCs w:val="24"/>
        </w:rPr>
        <w:t>8</w:t>
      </w:r>
      <w:r>
        <w:rPr>
          <w:rFonts w:hint="eastAsia" w:ascii="宋体" w:hAnsi="宋体" w:cs="宋体"/>
          <w:b/>
          <w:bCs/>
          <w:color w:val="auto"/>
          <w:sz w:val="24"/>
          <w:szCs w:val="24"/>
          <w:lang w:val="zh-CN"/>
        </w:rPr>
        <w:t>、谈判文件的澄清或修改</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bCs/>
          <w:color w:val="auto"/>
          <w:sz w:val="24"/>
          <w:szCs w:val="24"/>
          <w:lang w:val="zh-CN"/>
        </w:rPr>
      </w:pPr>
      <w:r>
        <w:rPr>
          <w:rFonts w:hint="eastAsia" w:ascii="宋体" w:hAnsi="宋体" w:cs="宋体"/>
          <w:bCs/>
          <w:color w:val="auto"/>
          <w:sz w:val="24"/>
          <w:szCs w:val="24"/>
        </w:rPr>
        <w:t>8</w:t>
      </w:r>
      <w:r>
        <w:rPr>
          <w:rFonts w:hint="eastAsia" w:ascii="宋体" w:hAnsi="宋体" w:cs="宋体"/>
          <w:bCs/>
          <w:color w:val="auto"/>
          <w:sz w:val="24"/>
          <w:szCs w:val="24"/>
          <w:lang w:val="zh-CN"/>
        </w:rPr>
        <w:t>.1、在谈判响应文件截止时间前，采购代理机构可以视采购具体情况，延长竞争性谈判响应文件递交截止时间和谈判时间并在财政部门指定的媒体上发布变更公告，同时将变更时间书面通知所有获取竞争性谈判文件的供应商。</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bCs/>
          <w:color w:val="auto"/>
          <w:sz w:val="24"/>
          <w:szCs w:val="24"/>
          <w:lang w:val="zh-CN"/>
        </w:rPr>
      </w:pPr>
      <w:r>
        <w:rPr>
          <w:rFonts w:hint="eastAsia" w:ascii="宋体" w:hAnsi="宋体" w:cs="宋体"/>
          <w:bCs/>
          <w:color w:val="auto"/>
          <w:sz w:val="24"/>
          <w:szCs w:val="24"/>
        </w:rPr>
        <w:t>8</w:t>
      </w:r>
      <w:r>
        <w:rPr>
          <w:rFonts w:hint="eastAsia" w:ascii="宋体" w:hAnsi="宋体" w:cs="宋体"/>
          <w:bCs/>
          <w:color w:val="auto"/>
          <w:sz w:val="24"/>
          <w:szCs w:val="24"/>
          <w:lang w:val="zh-CN"/>
        </w:rPr>
        <w:t>.2、提交响应文件截止之间前，采购人或采购代理机构有权对已发出的谈判文件进行必要的澄清或修改，澄清或修改的内容作为谈判文件的组成部分。澄清或修改的内容可能影响响应文件编制的，采购代理机构应在提交响应文件截止时间至少</w:t>
      </w:r>
      <w:r>
        <w:rPr>
          <w:rFonts w:hint="eastAsia" w:ascii="宋体" w:hAnsi="宋体" w:cs="宋体"/>
          <w:color w:val="auto"/>
          <w:sz w:val="24"/>
          <w:szCs w:val="24"/>
          <w:lang w:bidi="ar"/>
        </w:rPr>
        <w:t>3个工作日</w:t>
      </w:r>
      <w:r>
        <w:rPr>
          <w:rFonts w:hint="eastAsia" w:ascii="宋体" w:hAnsi="宋体" w:cs="宋体"/>
          <w:bCs/>
          <w:color w:val="auto"/>
          <w:sz w:val="24"/>
          <w:szCs w:val="24"/>
          <w:lang w:val="zh-CN"/>
        </w:rPr>
        <w:t>前，以书面形式通知所有获得谈判文件的供应商；不足</w:t>
      </w:r>
      <w:r>
        <w:rPr>
          <w:rFonts w:hint="eastAsia" w:ascii="宋体" w:hAnsi="宋体" w:cs="宋体"/>
          <w:color w:val="auto"/>
          <w:sz w:val="24"/>
          <w:szCs w:val="24"/>
          <w:lang w:bidi="ar"/>
        </w:rPr>
        <w:t>3个工作日</w:t>
      </w:r>
      <w:r>
        <w:rPr>
          <w:rFonts w:hint="eastAsia" w:ascii="宋体" w:hAnsi="宋体" w:cs="宋体"/>
          <w:bCs/>
          <w:color w:val="auto"/>
          <w:sz w:val="24"/>
          <w:szCs w:val="24"/>
          <w:lang w:val="zh-CN"/>
        </w:rPr>
        <w:t>的，采购代理机构应当顺延提交响应文件截止时间。</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8.3、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szCs w:val="24"/>
        </w:rPr>
      </w:pPr>
      <w:r>
        <w:rPr>
          <w:rFonts w:hint="eastAsia" w:ascii="宋体" w:hAnsi="宋体" w:cs="宋体"/>
          <w:color w:val="auto"/>
          <w:sz w:val="24"/>
          <w:szCs w:val="24"/>
        </w:rPr>
        <w:t>8.4、供应商若对谈判文件有任何疑问，可以以书面形式向采购代理机构提出询问。否则，视为同意谈判文件的一切条款和要求并承担由此引起的一切法律责任。凡因供应商对谈判文件阅读不深、理解不透、误解、疏漏、或因市场行情了解不清造成的后果和风险均由供应商自负。</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bCs/>
          <w:color w:val="auto"/>
          <w:sz w:val="24"/>
          <w:szCs w:val="24"/>
          <w:lang w:val="zh-CN"/>
        </w:rPr>
      </w:pPr>
      <w:r>
        <w:rPr>
          <w:rFonts w:hint="eastAsia" w:ascii="宋体" w:hAnsi="宋体" w:cs="宋体"/>
          <w:bCs/>
          <w:color w:val="auto"/>
          <w:sz w:val="24"/>
          <w:szCs w:val="24"/>
        </w:rPr>
        <w:t>8</w:t>
      </w:r>
      <w:r>
        <w:rPr>
          <w:rFonts w:hint="eastAsia" w:ascii="宋体" w:hAnsi="宋体" w:cs="宋体"/>
          <w:bCs/>
          <w:color w:val="auto"/>
          <w:sz w:val="24"/>
          <w:szCs w:val="24"/>
          <w:lang w:val="zh-CN"/>
        </w:rPr>
        <w:t>.</w:t>
      </w:r>
      <w:r>
        <w:rPr>
          <w:rFonts w:hint="eastAsia" w:ascii="宋体" w:hAnsi="宋体" w:cs="宋体"/>
          <w:bCs/>
          <w:color w:val="auto"/>
          <w:sz w:val="24"/>
          <w:szCs w:val="24"/>
        </w:rPr>
        <w:t>5</w:t>
      </w:r>
      <w:r>
        <w:rPr>
          <w:rFonts w:hint="eastAsia" w:ascii="宋体" w:hAnsi="宋体" w:cs="宋体"/>
          <w:bCs/>
          <w:color w:val="auto"/>
          <w:sz w:val="24"/>
          <w:szCs w:val="24"/>
          <w:lang w:val="zh-CN"/>
        </w:rPr>
        <w:t>、竞争性谈判文件的解释权归采购代理机构所有。如发现竞争性谈判文件内容中与现行的法律法规不相符合的情况，以现行的法律法规为准；竞争性谈判文件中某个或多个条款依我国法律、法规被认定为非法、无效或不可执行的,该无效条款的无效、失效和不可执行,不影响亦不损害其他条款的有效性、生效性和可执行性。</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lang w:bidi="ar"/>
        </w:rPr>
        <w:t>8.6、</w:t>
      </w:r>
      <w:bookmarkStart w:id="4" w:name="OLE_LINK4"/>
      <w:r>
        <w:rPr>
          <w:rFonts w:hint="eastAsia" w:ascii="宋体" w:hAnsi="宋体" w:cs="宋体"/>
          <w:color w:val="auto"/>
          <w:sz w:val="24"/>
          <w:szCs w:val="24"/>
          <w:lang w:bidi="ar"/>
        </w:rPr>
        <w:t>供应商认为竞争性谈判文件使自己的权益受到损害的，在收到竞争性谈判文件之日起七个工作日内，以书面形式向采购代理机构提出质疑，逾期提出的无效，因此带来的一切不利后果由供应商自负。</w:t>
      </w:r>
    </w:p>
    <w:bookmarkEnd w:id="4"/>
    <w:p>
      <w:pPr>
        <w:keepLines w:val="0"/>
        <w:pageBreakBefore w:val="0"/>
        <w:widowControl w:val="0"/>
        <w:kinsoku/>
        <w:wordWrap/>
        <w:overflowPunct/>
        <w:topLinePunct w:val="0"/>
        <w:autoSpaceDE w:val="0"/>
        <w:autoSpaceDN w:val="0"/>
        <w:bidi w:val="0"/>
        <w:adjustRightInd w:val="0"/>
        <w:spacing w:line="440" w:lineRule="exact"/>
        <w:ind w:left="0" w:leftChars="0" w:firstLine="482" w:firstLineChars="200"/>
        <w:rPr>
          <w:rFonts w:ascii="宋体" w:hAnsi="宋体" w:cs="宋体"/>
          <w:b/>
          <w:color w:val="auto"/>
          <w:sz w:val="24"/>
          <w:szCs w:val="24"/>
          <w:lang w:val="zh-CN"/>
        </w:rPr>
      </w:pPr>
      <w:r>
        <w:rPr>
          <w:rFonts w:hint="eastAsia" w:ascii="宋体" w:hAnsi="宋体" w:cs="宋体"/>
          <w:b/>
          <w:color w:val="auto"/>
          <w:sz w:val="24"/>
          <w:szCs w:val="24"/>
        </w:rPr>
        <w:t>9、</w:t>
      </w:r>
      <w:r>
        <w:rPr>
          <w:rFonts w:hint="eastAsia" w:ascii="宋体" w:hAnsi="宋体" w:cs="宋体"/>
          <w:b/>
          <w:color w:val="auto"/>
          <w:sz w:val="24"/>
          <w:szCs w:val="24"/>
          <w:lang w:val="zh-CN"/>
        </w:rPr>
        <w:t>备选谈判方案</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lang w:val="zh-CN"/>
        </w:rPr>
      </w:pPr>
      <w:r>
        <w:rPr>
          <w:rFonts w:hint="eastAsia" w:ascii="宋体" w:hAnsi="宋体" w:cs="宋体"/>
          <w:bCs/>
          <w:color w:val="auto"/>
          <w:sz w:val="24"/>
          <w:szCs w:val="24"/>
          <w:lang w:val="zh-CN"/>
        </w:rPr>
        <w:t>本项目不得提供备选方案。</w:t>
      </w:r>
    </w:p>
    <w:p>
      <w:pPr>
        <w:keepLines w:val="0"/>
        <w:pageBreakBefore w:val="0"/>
        <w:widowControl w:val="0"/>
        <w:numPr>
          <w:ilvl w:val="0"/>
          <w:numId w:val="5"/>
        </w:numPr>
        <w:kinsoku/>
        <w:wordWrap/>
        <w:overflowPunct/>
        <w:topLinePunct w:val="0"/>
        <w:autoSpaceDE w:val="0"/>
        <w:autoSpaceDN w:val="0"/>
        <w:bidi w:val="0"/>
        <w:adjustRightInd w:val="0"/>
        <w:spacing w:line="440" w:lineRule="exact"/>
        <w:ind w:left="0" w:leftChars="0" w:firstLine="573"/>
        <w:jc w:val="center"/>
        <w:rPr>
          <w:rFonts w:ascii="宋体" w:hAnsi="宋体" w:cs="宋体"/>
          <w:color w:val="auto"/>
          <w:lang w:val="zh-CN"/>
        </w:rPr>
      </w:pPr>
      <w:r>
        <w:rPr>
          <w:rFonts w:hint="eastAsia" w:ascii="宋体" w:hAnsi="宋体" w:cs="宋体"/>
          <w:b/>
          <w:color w:val="auto"/>
          <w:sz w:val="28"/>
          <w:szCs w:val="28"/>
          <w:lang w:val="zh-CN"/>
        </w:rPr>
        <w:t>竞争性谈判响应文件</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
          <w:color w:val="auto"/>
          <w:sz w:val="24"/>
          <w:szCs w:val="24"/>
        </w:rPr>
      </w:pPr>
      <w:r>
        <w:rPr>
          <w:rFonts w:hint="eastAsia" w:ascii="宋体" w:hAnsi="宋体" w:cs="宋体"/>
          <w:b/>
          <w:color w:val="auto"/>
          <w:sz w:val="24"/>
          <w:szCs w:val="24"/>
        </w:rPr>
        <w:t>10、</w:t>
      </w:r>
      <w:r>
        <w:rPr>
          <w:rFonts w:hint="eastAsia" w:ascii="宋体" w:hAnsi="宋体" w:cs="宋体"/>
          <w:b/>
          <w:color w:val="auto"/>
          <w:sz w:val="24"/>
          <w:szCs w:val="24"/>
          <w:lang w:val="zh-CN"/>
        </w:rPr>
        <w:t>谈判响应文件</w:t>
      </w:r>
      <w:r>
        <w:rPr>
          <w:rFonts w:hint="eastAsia" w:ascii="宋体" w:hAnsi="宋体" w:cs="宋体"/>
          <w:b/>
          <w:color w:val="auto"/>
          <w:sz w:val="24"/>
          <w:szCs w:val="24"/>
        </w:rPr>
        <w:t>编制的原则</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Cs/>
          <w:color w:val="auto"/>
          <w:sz w:val="24"/>
          <w:szCs w:val="24"/>
          <w:lang w:val="zh-CN"/>
        </w:rPr>
      </w:pPr>
      <w:r>
        <w:rPr>
          <w:rFonts w:hint="eastAsia" w:ascii="宋体" w:hAnsi="宋体" w:cs="宋体"/>
          <w:bCs/>
          <w:color w:val="auto"/>
          <w:sz w:val="24"/>
          <w:szCs w:val="24"/>
        </w:rPr>
        <w:t>10.1、供应商应在认真阅读谈判文件所有内容的基础上，按照谈判文件的要求编制完整的响应文件。</w:t>
      </w:r>
      <w:r>
        <w:rPr>
          <w:rFonts w:hint="eastAsia" w:ascii="宋体" w:hAnsi="宋体" w:cs="宋体"/>
          <w:bCs/>
          <w:color w:val="auto"/>
          <w:sz w:val="24"/>
          <w:szCs w:val="24"/>
          <w:lang w:val="zh-CN"/>
        </w:rPr>
        <w:t>谈判响应文件参考给定格式编制，对谈判文件要求做出实质性响应。谈判供应商可根据情况自行扩展，但不得随意删减格式要求内容。</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Cs/>
          <w:color w:val="auto"/>
          <w:sz w:val="24"/>
          <w:szCs w:val="24"/>
        </w:rPr>
      </w:pPr>
      <w:r>
        <w:rPr>
          <w:rFonts w:hint="eastAsia" w:ascii="宋体" w:hAnsi="宋体" w:cs="宋体"/>
          <w:bCs/>
          <w:color w:val="auto"/>
          <w:sz w:val="24"/>
          <w:szCs w:val="24"/>
        </w:rPr>
        <w:t>10.2、供应商必须保证响应文件所提供的全部资料真实可靠，并接受对其中任何资料进一步审查的要求。</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Cs/>
          <w:color w:val="auto"/>
          <w:sz w:val="24"/>
          <w:szCs w:val="24"/>
        </w:rPr>
      </w:pPr>
      <w:r>
        <w:rPr>
          <w:rFonts w:hint="eastAsia" w:ascii="宋体" w:hAnsi="宋体" w:cs="宋体"/>
          <w:bCs/>
          <w:color w:val="auto"/>
          <w:sz w:val="24"/>
          <w:szCs w:val="24"/>
        </w:rPr>
        <w:t>10.3、响应文件须对谈判文件中的内容做出实质性和完整的响应，否则其投标将被拒绝。</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
          <w:color w:val="auto"/>
          <w:sz w:val="24"/>
          <w:szCs w:val="24"/>
          <w:lang w:val="zh-CN"/>
        </w:rPr>
      </w:pPr>
      <w:r>
        <w:rPr>
          <w:rFonts w:hint="eastAsia" w:ascii="宋体" w:hAnsi="宋体" w:cs="宋体"/>
          <w:b/>
          <w:color w:val="auto"/>
          <w:sz w:val="24"/>
          <w:szCs w:val="24"/>
        </w:rPr>
        <w:t>11、</w:t>
      </w:r>
      <w:r>
        <w:rPr>
          <w:rFonts w:hint="eastAsia" w:ascii="宋体" w:hAnsi="宋体" w:cs="宋体"/>
          <w:b/>
          <w:color w:val="auto"/>
          <w:sz w:val="24"/>
          <w:szCs w:val="24"/>
          <w:lang w:val="zh-CN"/>
        </w:rPr>
        <w:t>谈判响应文件计量单位</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Cs/>
          <w:color w:val="auto"/>
          <w:sz w:val="24"/>
          <w:szCs w:val="24"/>
          <w:lang w:val="zh-CN"/>
        </w:rPr>
      </w:pPr>
      <w:r>
        <w:rPr>
          <w:rFonts w:hint="eastAsia" w:ascii="宋体" w:hAnsi="宋体" w:cs="宋体"/>
          <w:bCs/>
          <w:color w:val="auto"/>
          <w:sz w:val="24"/>
          <w:szCs w:val="24"/>
          <w:lang w:val="zh-CN"/>
        </w:rPr>
        <w:t>谈判响应文件中所使用的计量单位，除有特殊要求外，均采用国家法定计量单位。</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ascii="宋体" w:hAnsi="宋体" w:cs="宋体"/>
          <w:b/>
          <w:color w:val="auto"/>
          <w:sz w:val="24"/>
          <w:szCs w:val="24"/>
          <w:lang w:val="zh-CN"/>
        </w:rPr>
      </w:pPr>
      <w:r>
        <w:rPr>
          <w:rFonts w:hint="eastAsia" w:ascii="宋体" w:hAnsi="宋体" w:cs="宋体"/>
          <w:b/>
          <w:color w:val="auto"/>
          <w:sz w:val="24"/>
          <w:szCs w:val="24"/>
        </w:rPr>
        <w:t>12、</w:t>
      </w:r>
      <w:r>
        <w:rPr>
          <w:rFonts w:hint="eastAsia" w:ascii="宋体" w:hAnsi="宋体" w:cs="宋体"/>
          <w:b/>
          <w:color w:val="auto"/>
          <w:sz w:val="24"/>
          <w:szCs w:val="24"/>
          <w:lang w:val="zh-CN"/>
        </w:rPr>
        <w:t>谈判响应文件的组成</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hint="eastAsia" w:ascii="宋体" w:hAnsi="宋体" w:eastAsia="宋体" w:cs="宋体"/>
          <w:bCs/>
          <w:color w:val="auto"/>
          <w:sz w:val="24"/>
          <w:szCs w:val="24"/>
        </w:rPr>
      </w:pPr>
      <w:r>
        <w:rPr>
          <w:rFonts w:hint="eastAsia" w:ascii="宋体" w:hAnsi="宋体" w:eastAsia="宋体" w:cs="宋体"/>
          <w:bCs/>
          <w:color w:val="auto"/>
          <w:sz w:val="24"/>
          <w:szCs w:val="24"/>
        </w:rPr>
        <w:t>12.1、</w:t>
      </w:r>
      <w:r>
        <w:rPr>
          <w:rFonts w:hint="eastAsia" w:ascii="宋体" w:hAnsi="宋体" w:eastAsia="宋体" w:cs="宋体"/>
          <w:bCs/>
          <w:color w:val="auto"/>
          <w:sz w:val="24"/>
          <w:szCs w:val="24"/>
          <w:lang w:val="zh-CN"/>
        </w:rPr>
        <w:t>谈判响应文件的组成包含谈判响应函、第一次</w:t>
      </w:r>
      <w:r>
        <w:rPr>
          <w:rFonts w:hint="eastAsia" w:ascii="宋体" w:hAnsi="宋体" w:eastAsia="宋体" w:cs="宋体"/>
          <w:bCs/>
          <w:color w:val="auto"/>
          <w:sz w:val="24"/>
          <w:szCs w:val="24"/>
        </w:rPr>
        <w:t>谈判</w:t>
      </w:r>
      <w:r>
        <w:rPr>
          <w:rFonts w:hint="eastAsia" w:ascii="宋体" w:hAnsi="宋体" w:eastAsia="宋体" w:cs="宋体"/>
          <w:bCs/>
          <w:color w:val="auto"/>
          <w:sz w:val="24"/>
          <w:szCs w:val="24"/>
          <w:lang w:val="zh-CN"/>
        </w:rPr>
        <w:t>报价表、分项报价表、</w:t>
      </w:r>
      <w:r>
        <w:rPr>
          <w:rFonts w:hint="eastAsia" w:ascii="宋体" w:hAnsi="宋体" w:eastAsia="宋体" w:cs="宋体"/>
          <w:bCs/>
          <w:color w:val="auto"/>
          <w:sz w:val="24"/>
          <w:szCs w:val="24"/>
        </w:rPr>
        <w:t>货物说明一览表、备选产品配件报价表、偏离表、谈判方案说明、近三年完成的类似项目表、供应商资质证明文件、</w:t>
      </w:r>
      <w:r>
        <w:rPr>
          <w:rFonts w:hint="eastAsia" w:ascii="宋体" w:hAnsi="宋体" w:eastAsia="宋体" w:cs="宋体"/>
          <w:bCs/>
          <w:color w:val="auto"/>
          <w:sz w:val="24"/>
          <w:szCs w:val="24"/>
          <w:lang w:val="en-US" w:eastAsia="zh-CN"/>
        </w:rPr>
        <w:t>谈判保证金、</w:t>
      </w:r>
      <w:r>
        <w:rPr>
          <w:rFonts w:hint="eastAsia" w:ascii="宋体" w:hAnsi="宋体" w:eastAsia="宋体" w:cs="宋体"/>
          <w:bCs/>
          <w:color w:val="auto"/>
          <w:sz w:val="24"/>
          <w:szCs w:val="24"/>
        </w:rPr>
        <w:t>提供政府采购政策证明材料、其他资料</w:t>
      </w:r>
      <w:r>
        <w:rPr>
          <w:rFonts w:hint="eastAsia" w:ascii="宋体" w:hAnsi="宋体" w:eastAsia="宋体" w:cs="宋体"/>
          <w:bCs/>
          <w:color w:val="auto"/>
          <w:sz w:val="24"/>
          <w:szCs w:val="24"/>
          <w:lang w:val="zh-CN"/>
        </w:rPr>
        <w:t>等内容。</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12</w:t>
      </w:r>
      <w:r>
        <w:rPr>
          <w:rFonts w:hint="eastAsia" w:ascii="宋体" w:hAnsi="宋体" w:eastAsia="宋体" w:cs="宋体"/>
          <w:bCs/>
          <w:color w:val="auto"/>
          <w:sz w:val="24"/>
          <w:szCs w:val="24"/>
          <w:lang w:val="zh-CN"/>
        </w:rPr>
        <w:t>.2、谈判响应文件中谈判报价表内容与分项报价表内容不一致的，以谈判报价表为准。</w:t>
      </w:r>
    </w:p>
    <w:p>
      <w:pPr>
        <w:keepLines w:val="0"/>
        <w:pageBreakBefore w:val="0"/>
        <w:widowControl w:val="0"/>
        <w:kinsoku/>
        <w:wordWrap/>
        <w:overflowPunct/>
        <w:topLinePunct w:val="0"/>
        <w:autoSpaceDE w:val="0"/>
        <w:autoSpaceDN w:val="0"/>
        <w:bidi w:val="0"/>
        <w:adjustRightInd w:val="0"/>
        <w:spacing w:line="440" w:lineRule="exact"/>
        <w:ind w:left="0" w:leftChars="0" w:firstLine="570"/>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12.3、</w:t>
      </w:r>
      <w:r>
        <w:rPr>
          <w:rFonts w:hint="eastAsia" w:ascii="宋体" w:hAnsi="宋体" w:eastAsia="宋体" w:cs="宋体"/>
          <w:bCs/>
          <w:color w:val="auto"/>
          <w:sz w:val="24"/>
          <w:szCs w:val="24"/>
          <w:lang w:val="zh-CN"/>
        </w:rPr>
        <w:t>本次谈判的最小单元为“包号”，供应商可根据自身的资质情况和经营范围对本次项目进行谈判，不得将其子目再行分解或只对本次项目中的品目进行不完全谈判，任何不完全的响应将会被拒绝。</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rPr>
      </w:pPr>
      <w:r>
        <w:rPr>
          <w:rFonts w:hint="eastAsia" w:ascii="宋体" w:hAnsi="宋体" w:cs="宋体"/>
          <w:b/>
          <w:color w:val="auto"/>
          <w:sz w:val="24"/>
          <w:szCs w:val="24"/>
        </w:rPr>
        <w:t xml:space="preserve">13、竞争性谈判响应文件格式 </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rPr>
      </w:pPr>
      <w:r>
        <w:rPr>
          <w:rFonts w:hint="eastAsia" w:ascii="宋体" w:hAnsi="宋体" w:cs="宋体"/>
          <w:bCs/>
          <w:color w:val="auto"/>
          <w:sz w:val="24"/>
          <w:szCs w:val="24"/>
        </w:rPr>
        <w:t>13.1、供应商应按照竞争性谈判文件中第八章“</w:t>
      </w:r>
      <w:r>
        <w:rPr>
          <w:rFonts w:hint="eastAsia" w:ascii="宋体" w:hAnsi="宋体" w:cs="宋体"/>
          <w:bCs/>
          <w:color w:val="auto"/>
          <w:sz w:val="24"/>
          <w:szCs w:val="24"/>
          <w:lang w:val="zh-CN"/>
        </w:rPr>
        <w:t>响应文件格式</w:t>
      </w:r>
      <w:r>
        <w:rPr>
          <w:rFonts w:hint="eastAsia" w:ascii="宋体" w:hAnsi="宋体" w:cs="宋体"/>
          <w:bCs/>
          <w:color w:val="auto"/>
          <w:sz w:val="24"/>
          <w:szCs w:val="24"/>
        </w:rPr>
        <w:t>”所提供的格式和要求制作竞争性谈判响应文件，明确表达谈判意愿，详细说明谈判方案、承诺及价格。</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rPr>
      </w:pPr>
      <w:r>
        <w:rPr>
          <w:rFonts w:hint="eastAsia" w:ascii="宋体" w:hAnsi="宋体" w:cs="宋体"/>
          <w:bCs/>
          <w:color w:val="auto"/>
          <w:sz w:val="24"/>
          <w:szCs w:val="24"/>
        </w:rPr>
        <w:t>13.2、按竞争性谈判文件第五章采购内容及要求和第八章提供的格式和要求编写其竞争性谈判响应文件，供应商不得缺少或留空任何竞争性谈判文件要求填写的表格或提交的资料。</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lang w:val="zh-CN"/>
        </w:rPr>
      </w:pPr>
      <w:r>
        <w:rPr>
          <w:rFonts w:hint="eastAsia" w:ascii="宋体" w:hAnsi="宋体" w:cs="宋体"/>
          <w:b/>
          <w:color w:val="auto"/>
          <w:sz w:val="24"/>
          <w:szCs w:val="24"/>
        </w:rPr>
        <w:t>14、</w:t>
      </w:r>
      <w:r>
        <w:rPr>
          <w:rFonts w:hint="eastAsia" w:ascii="宋体" w:hAnsi="宋体" w:cs="宋体"/>
          <w:b/>
          <w:color w:val="auto"/>
          <w:sz w:val="24"/>
          <w:szCs w:val="24"/>
          <w:lang w:val="zh-CN"/>
        </w:rPr>
        <w:t>谈判报价：</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14.1</w:t>
      </w:r>
      <w:r>
        <w:rPr>
          <w:rFonts w:hint="eastAsia" w:ascii="宋体" w:hAnsi="宋体" w:cs="宋体"/>
          <w:color w:val="auto"/>
          <w:sz w:val="24"/>
          <w:szCs w:val="24"/>
          <w:lang w:val="zh-CN"/>
        </w:rPr>
        <w:t>、供应商依据竞争性谈判采购文件给定的资料及现行规范的相应规定，谈判报价</w:t>
      </w:r>
      <w:r>
        <w:rPr>
          <w:rFonts w:hint="eastAsia" w:ascii="宋体" w:hAnsi="宋体" w:cs="宋体"/>
          <w:color w:val="auto"/>
          <w:sz w:val="24"/>
          <w:szCs w:val="24"/>
          <w:lang w:val="en-US" w:eastAsia="zh-CN"/>
        </w:rPr>
        <w:t>包括</w:t>
      </w:r>
      <w:r>
        <w:rPr>
          <w:rFonts w:hint="eastAsia" w:ascii="宋体" w:hAnsi="宋体" w:cs="宋体"/>
          <w:color w:val="auto"/>
          <w:sz w:val="24"/>
          <w:szCs w:val="24"/>
          <w:lang w:val="zh-CN"/>
        </w:rPr>
        <w:t>货物总价、货物运达指定地点的运杂费（含运输费、保险费）、安装调试费、检测验收费、其他（含</w:t>
      </w:r>
      <w:r>
        <w:rPr>
          <w:rFonts w:hint="eastAsia" w:ascii="宋体" w:hAnsi="宋体" w:cs="宋体"/>
          <w:color w:val="auto"/>
          <w:sz w:val="24"/>
          <w:szCs w:val="24"/>
        </w:rPr>
        <w:t>人工费、</w:t>
      </w:r>
      <w:r>
        <w:rPr>
          <w:rFonts w:hint="eastAsia" w:ascii="宋体" w:hAnsi="宋体" w:cs="宋体"/>
          <w:color w:val="auto"/>
          <w:sz w:val="24"/>
          <w:szCs w:val="24"/>
          <w:lang w:val="zh-CN"/>
        </w:rPr>
        <w:t>向税务部门交纳的各项税费等）等至交付采购人使用的一切含税费用。谈判报价表中标明本次服务价格，任何有选择的报价将不予接受，按无效谈判处理。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hint="eastAsia" w:ascii="宋体" w:hAnsi="宋体" w:eastAsia="宋体" w:cs="宋体"/>
          <w:color w:val="auto"/>
          <w:sz w:val="24"/>
          <w:szCs w:val="24"/>
          <w:lang w:val="zh-CN"/>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zh-CN"/>
        </w:rPr>
        <w:t>2、谈判供应商根据自身情况、</w:t>
      </w:r>
      <w:r>
        <w:rPr>
          <w:rFonts w:hint="eastAsia" w:ascii="宋体" w:hAnsi="宋体" w:eastAsia="宋体" w:cs="宋体"/>
          <w:color w:val="auto"/>
          <w:sz w:val="24"/>
          <w:szCs w:val="24"/>
        </w:rPr>
        <w:t>项目</w:t>
      </w:r>
      <w:r>
        <w:rPr>
          <w:rFonts w:hint="eastAsia" w:ascii="宋体" w:hAnsi="宋体" w:eastAsia="宋体" w:cs="宋体"/>
          <w:color w:val="auto"/>
          <w:sz w:val="24"/>
          <w:szCs w:val="24"/>
          <w:lang w:val="zh-CN"/>
        </w:rPr>
        <w:t>概况、工作内容、工作量、技术含量、难易程度等因素后自主报价。</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hint="eastAsia" w:ascii="宋体" w:hAnsi="宋体" w:eastAsia="宋体" w:cs="宋体"/>
          <w:color w:val="auto"/>
          <w:sz w:val="24"/>
          <w:szCs w:val="24"/>
          <w:lang w:val="zh-CN"/>
        </w:rPr>
      </w:pPr>
      <w:r>
        <w:rPr>
          <w:rFonts w:hint="eastAsia" w:ascii="宋体" w:hAnsi="宋体" w:eastAsia="宋体" w:cs="宋体"/>
          <w:color w:val="auto"/>
          <w:sz w:val="24"/>
          <w:szCs w:val="24"/>
        </w:rPr>
        <w:t>14.3</w:t>
      </w:r>
      <w:r>
        <w:rPr>
          <w:rFonts w:hint="eastAsia" w:ascii="宋体" w:hAnsi="宋体" w:eastAsia="宋体" w:cs="宋体"/>
          <w:color w:val="auto"/>
          <w:sz w:val="24"/>
          <w:szCs w:val="24"/>
          <w:lang w:val="zh-CN"/>
        </w:rPr>
        <w:t>、凡因供应商对谈判采购文件阅读不深、</w:t>
      </w:r>
      <w:r>
        <w:rPr>
          <w:rFonts w:hint="eastAsia" w:ascii="宋体" w:hAnsi="宋体" w:eastAsia="宋体" w:cs="宋体"/>
          <w:color w:val="auto"/>
          <w:sz w:val="24"/>
          <w:szCs w:val="24"/>
        </w:rPr>
        <w:t>理解不透、</w:t>
      </w:r>
      <w:r>
        <w:rPr>
          <w:rFonts w:hint="eastAsia" w:ascii="宋体" w:hAnsi="宋体" w:eastAsia="宋体" w:cs="宋体"/>
          <w:color w:val="auto"/>
          <w:sz w:val="24"/>
          <w:szCs w:val="24"/>
          <w:lang w:val="zh-CN"/>
        </w:rPr>
        <w:t>误解、疏漏、</w:t>
      </w:r>
      <w:r>
        <w:rPr>
          <w:rFonts w:hint="eastAsia" w:ascii="宋体" w:hAnsi="宋体" w:eastAsia="宋体" w:cs="宋体"/>
          <w:color w:val="auto"/>
          <w:sz w:val="24"/>
          <w:szCs w:val="24"/>
        </w:rPr>
        <w:t>或因市场行情了解不清造成的后果和风险均由供应商自负。</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14.4</w:t>
      </w:r>
      <w:r>
        <w:rPr>
          <w:rFonts w:hint="eastAsia" w:ascii="宋体" w:hAnsi="宋体" w:cs="宋体"/>
          <w:color w:val="auto"/>
          <w:sz w:val="24"/>
          <w:szCs w:val="24"/>
          <w:lang w:val="zh-CN"/>
        </w:rPr>
        <w:t>、谈判报价不因市场因素、政府政策调整、费率调整和税收变化等而作任何调整，谈判单位应充分考虑到各种风险因素。</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14.5、</w:t>
      </w:r>
      <w:r>
        <w:rPr>
          <w:rFonts w:hint="eastAsia" w:ascii="宋体" w:hAnsi="宋体" w:cs="宋体"/>
          <w:color w:val="auto"/>
          <w:sz w:val="24"/>
          <w:szCs w:val="24"/>
          <w:lang w:val="zh-CN"/>
        </w:rPr>
        <w:t>最低报价不是确定成交供应商的唯一条件。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14.6</w:t>
      </w:r>
      <w:r>
        <w:rPr>
          <w:rFonts w:hint="eastAsia" w:ascii="宋体" w:hAnsi="宋体" w:cs="宋体"/>
          <w:color w:val="auto"/>
          <w:sz w:val="24"/>
          <w:szCs w:val="24"/>
          <w:lang w:val="zh-CN"/>
        </w:rPr>
        <w:t>、</w:t>
      </w:r>
      <w:r>
        <w:rPr>
          <w:rFonts w:hint="eastAsia" w:ascii="宋体" w:hAnsi="宋体" w:cs="宋体"/>
          <w:color w:val="auto"/>
          <w:sz w:val="24"/>
          <w:szCs w:val="24"/>
        </w:rPr>
        <w:t>谈判报价货币：人民币，单位:元。</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lang w:val="zh-CN"/>
        </w:rPr>
      </w:pPr>
      <w:r>
        <w:rPr>
          <w:rFonts w:hint="eastAsia" w:ascii="宋体" w:hAnsi="宋体" w:cs="宋体"/>
          <w:color w:val="auto"/>
          <w:sz w:val="24"/>
          <w:szCs w:val="24"/>
        </w:rPr>
        <w:t>14.7</w:t>
      </w:r>
      <w:r>
        <w:rPr>
          <w:rFonts w:hint="eastAsia" w:ascii="宋体" w:hAnsi="宋体" w:cs="宋体"/>
          <w:color w:val="auto"/>
          <w:sz w:val="24"/>
          <w:szCs w:val="24"/>
          <w:lang w:val="zh-CN"/>
        </w:rPr>
        <w:t>、</w:t>
      </w:r>
      <w:r>
        <w:rPr>
          <w:rFonts w:hint="eastAsia" w:ascii="宋体" w:hAnsi="宋体" w:cs="宋体"/>
          <w:b/>
          <w:color w:val="auto"/>
          <w:kern w:val="0"/>
          <w:sz w:val="24"/>
          <w:szCs w:val="24"/>
        </w:rPr>
        <w:t>本次谈判采取二次报价，即：谈判响应文件中的谈判总报价为第一次报价；在谈判供应商初审合格后，第一次报价为有效报价。</w:t>
      </w:r>
      <w:r>
        <w:rPr>
          <w:rFonts w:hint="eastAsia" w:ascii="宋体" w:hAnsi="宋体" w:cs="宋体"/>
          <w:b/>
          <w:color w:val="auto"/>
          <w:sz w:val="24"/>
          <w:szCs w:val="24"/>
        </w:rPr>
        <w:t>通过初审的各供应商单位与谈判小组进行背靠背谈判后，在规定时间内，提交第二次报价，</w:t>
      </w:r>
      <w:r>
        <w:rPr>
          <w:rFonts w:hint="eastAsia" w:ascii="宋体" w:hAnsi="宋体" w:cs="宋体"/>
          <w:b/>
          <w:color w:val="auto"/>
          <w:kern w:val="0"/>
          <w:sz w:val="24"/>
          <w:szCs w:val="24"/>
        </w:rPr>
        <w:t>第二次报价即为最终报价。</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14.8</w:t>
      </w:r>
      <w:r>
        <w:rPr>
          <w:rFonts w:hint="eastAsia" w:ascii="宋体" w:hAnsi="宋体" w:cs="宋体"/>
          <w:color w:val="auto"/>
          <w:sz w:val="24"/>
          <w:szCs w:val="24"/>
          <w:lang w:val="zh-CN"/>
        </w:rPr>
        <w:t>、谈判后所确定的成交价格，在合同执行过程中，不得以任何理由变更。</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14.9、</w:t>
      </w:r>
      <w:r>
        <w:rPr>
          <w:rFonts w:hint="eastAsia" w:ascii="宋体" w:hAnsi="宋体" w:cs="宋体"/>
          <w:color w:val="auto"/>
          <w:sz w:val="24"/>
          <w:szCs w:val="24"/>
          <w:lang w:val="zh-CN"/>
        </w:rPr>
        <w:t>供应商不得以低于成本的报价参加谈判。若谈判小组认为某个供应商的报价明显低于其他通过符合性审查的供应商的报价，有可能影响产品质量或者不能诚信履约的，应当要求其在谈判现场合理的时间内提供书面说明，必要时提交相关证明材料；供应商不能证明其报价合理性的，谈判小组应将其作为无效投标处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lang w:val="zh-CN"/>
        </w:rPr>
      </w:pPr>
      <w:r>
        <w:rPr>
          <w:rFonts w:hint="eastAsia" w:ascii="宋体" w:hAnsi="宋体" w:cs="宋体"/>
          <w:color w:val="auto"/>
          <w:sz w:val="24"/>
          <w:szCs w:val="24"/>
        </w:rPr>
        <w:t>14.10</w:t>
      </w:r>
      <w:r>
        <w:rPr>
          <w:rFonts w:hint="eastAsia" w:ascii="宋体" w:hAnsi="宋体" w:cs="宋体"/>
          <w:color w:val="auto"/>
          <w:sz w:val="24"/>
          <w:szCs w:val="24"/>
          <w:lang w:val="zh-CN"/>
        </w:rPr>
        <w:t>、第一次报价超出采购预算的供应商不进入下一步谈判程序。</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14.11</w:t>
      </w:r>
      <w:r>
        <w:rPr>
          <w:rFonts w:hint="eastAsia" w:ascii="宋体" w:hAnsi="宋体" w:cs="宋体"/>
          <w:color w:val="auto"/>
          <w:sz w:val="24"/>
          <w:szCs w:val="24"/>
          <w:lang w:val="zh-CN"/>
        </w:rPr>
        <w:t>、本项目不公开任何一次报价。</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lang w:val="zh-CN"/>
        </w:rPr>
      </w:pPr>
      <w:r>
        <w:rPr>
          <w:rFonts w:hint="eastAsia" w:ascii="宋体" w:hAnsi="宋体" w:cs="宋体"/>
          <w:b/>
          <w:bCs/>
          <w:color w:val="auto"/>
          <w:sz w:val="24"/>
          <w:szCs w:val="24"/>
          <w:lang w:val="zh-CN"/>
        </w:rPr>
        <w:t>1</w:t>
      </w:r>
      <w:r>
        <w:rPr>
          <w:rFonts w:hint="eastAsia" w:ascii="宋体" w:hAnsi="宋体" w:cs="宋体"/>
          <w:b/>
          <w:bCs/>
          <w:color w:val="auto"/>
          <w:sz w:val="24"/>
          <w:szCs w:val="24"/>
        </w:rPr>
        <w:t>5</w:t>
      </w:r>
      <w:r>
        <w:rPr>
          <w:rFonts w:hint="eastAsia" w:ascii="宋体" w:hAnsi="宋体" w:cs="宋体"/>
          <w:b/>
          <w:bCs/>
          <w:color w:val="auto"/>
          <w:sz w:val="24"/>
          <w:szCs w:val="24"/>
          <w:lang w:val="zh-CN"/>
        </w:rPr>
        <w:t>、证明供应商合格的资格证明文件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供应商应按照竞争性谈判文件供应商须知前附表的要求，在竞争性谈判响应文件中提交合格的资格证明文件。如果资格证明文件不全或不合格的，其谈判响应文件将被作无效文件处理。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lang w:val="zh-CN"/>
        </w:rPr>
      </w:pPr>
      <w:r>
        <w:rPr>
          <w:rFonts w:hint="eastAsia" w:ascii="宋体" w:hAnsi="宋体" w:cs="宋体"/>
          <w:b/>
          <w:bCs/>
          <w:color w:val="auto"/>
          <w:sz w:val="24"/>
          <w:szCs w:val="24"/>
          <w:lang w:val="zh-CN"/>
        </w:rPr>
        <w:t>1</w:t>
      </w:r>
      <w:r>
        <w:rPr>
          <w:rFonts w:hint="eastAsia" w:ascii="宋体" w:hAnsi="宋体" w:cs="宋体"/>
          <w:b/>
          <w:bCs/>
          <w:color w:val="auto"/>
          <w:sz w:val="24"/>
          <w:szCs w:val="24"/>
        </w:rPr>
        <w:t>6、</w:t>
      </w:r>
      <w:r>
        <w:rPr>
          <w:rFonts w:hint="eastAsia" w:ascii="宋体" w:hAnsi="宋体" w:cs="宋体"/>
          <w:b/>
          <w:bCs/>
          <w:color w:val="auto"/>
          <w:sz w:val="24"/>
          <w:szCs w:val="24"/>
          <w:lang w:val="zh-CN"/>
        </w:rPr>
        <w:t>证明货物（产品）符合竞争性谈判文件规定的文件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供应商应在竞争性谈判响应文件中提交服务满足竞争性谈判文件要求并符合国家法律法规、行业管理部门要求的其他强制性标准的证明文件。缺少证明文件或证明文件不合格的谈判响应文件，与竞争性谈判文件要求有重大偏离的谈判响应文件，不符合国家法律法规、行业管理部门要求的其他强制性标准的谈判响应文件将按无效谈判处理。</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16.1、</w:t>
      </w:r>
      <w:r>
        <w:rPr>
          <w:rFonts w:hint="eastAsia" w:ascii="宋体" w:hAnsi="宋体" w:cs="宋体"/>
          <w:color w:val="auto"/>
          <w:sz w:val="24"/>
          <w:szCs w:val="24"/>
          <w:lang w:val="zh-CN"/>
        </w:rPr>
        <w:t>服务主要技术指标和性能的详细说明；</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16.2、</w:t>
      </w:r>
      <w:r>
        <w:rPr>
          <w:rFonts w:hint="eastAsia" w:ascii="宋体" w:hAnsi="宋体" w:cs="宋体"/>
          <w:color w:val="auto"/>
          <w:sz w:val="24"/>
          <w:szCs w:val="24"/>
          <w:lang w:val="zh-CN"/>
        </w:rPr>
        <w:t>逐条对</w:t>
      </w:r>
      <w:r>
        <w:rPr>
          <w:rFonts w:hint="eastAsia" w:ascii="宋体" w:hAnsi="宋体" w:cs="宋体"/>
          <w:color w:val="auto"/>
          <w:sz w:val="24"/>
          <w:szCs w:val="24"/>
        </w:rPr>
        <w:t>竞争性谈判文件</w:t>
      </w:r>
      <w:r>
        <w:rPr>
          <w:rFonts w:hint="eastAsia" w:ascii="宋体" w:hAnsi="宋体" w:cs="宋体"/>
          <w:color w:val="auto"/>
          <w:sz w:val="24"/>
          <w:szCs w:val="24"/>
          <w:lang w:val="zh-CN"/>
        </w:rPr>
        <w:t>提出的技术要求和商务要求进行应答，说明所提供的服务对</w:t>
      </w:r>
      <w:r>
        <w:rPr>
          <w:rFonts w:hint="eastAsia" w:ascii="宋体" w:hAnsi="宋体" w:cs="宋体"/>
          <w:color w:val="auto"/>
          <w:sz w:val="24"/>
          <w:szCs w:val="24"/>
        </w:rPr>
        <w:t>竞争性谈判文件</w:t>
      </w:r>
      <w:r>
        <w:rPr>
          <w:rFonts w:hint="eastAsia" w:ascii="宋体" w:hAnsi="宋体" w:cs="宋体"/>
          <w:color w:val="auto"/>
          <w:sz w:val="24"/>
          <w:szCs w:val="24"/>
          <w:lang w:val="zh-CN"/>
        </w:rPr>
        <w:t>的技术和商务要求是否做出了实质性响应并提供支持文件；</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en-US" w:eastAsia="zh-CN"/>
        </w:rPr>
        <w:t>16.3、</w:t>
      </w:r>
      <w:r>
        <w:rPr>
          <w:rFonts w:hint="eastAsia" w:ascii="宋体" w:hAnsi="宋体" w:cs="宋体"/>
          <w:color w:val="auto"/>
          <w:sz w:val="24"/>
          <w:szCs w:val="24"/>
          <w:lang w:val="zh-CN"/>
        </w:rPr>
        <w:t>服务内容、服务实施方案等的详细说明。</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lang w:val="zh-CN"/>
        </w:rPr>
      </w:pPr>
      <w:r>
        <w:rPr>
          <w:rFonts w:hint="eastAsia" w:ascii="宋体" w:hAnsi="宋体" w:cs="宋体"/>
          <w:b/>
          <w:bCs/>
          <w:color w:val="auto"/>
          <w:sz w:val="24"/>
          <w:szCs w:val="24"/>
          <w:lang w:val="zh-CN"/>
        </w:rPr>
        <w:t>1</w:t>
      </w:r>
      <w:r>
        <w:rPr>
          <w:rFonts w:hint="eastAsia" w:ascii="宋体" w:hAnsi="宋体" w:cs="宋体"/>
          <w:b/>
          <w:bCs/>
          <w:color w:val="auto"/>
          <w:sz w:val="24"/>
          <w:szCs w:val="24"/>
        </w:rPr>
        <w:t>7、</w:t>
      </w:r>
      <w:r>
        <w:rPr>
          <w:rFonts w:hint="eastAsia" w:ascii="宋体" w:hAnsi="宋体" w:cs="宋体"/>
          <w:b/>
          <w:bCs/>
          <w:color w:val="auto"/>
          <w:sz w:val="24"/>
          <w:szCs w:val="24"/>
          <w:lang w:val="zh-CN"/>
        </w:rPr>
        <w:t>保证金</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7</w:t>
      </w:r>
      <w:r>
        <w:rPr>
          <w:rFonts w:hint="eastAsia" w:ascii="宋体" w:hAnsi="宋体" w:cs="宋体"/>
          <w:color w:val="auto"/>
          <w:sz w:val="24"/>
          <w:szCs w:val="24"/>
          <w:lang w:val="zh-CN"/>
        </w:rPr>
        <w:t>.1、谈判保证金：</w:t>
      </w:r>
      <w:r>
        <w:rPr>
          <w:rFonts w:hint="eastAsia" w:ascii="宋体" w:hAnsi="宋体" w:cs="宋体"/>
          <w:color w:val="auto"/>
          <w:sz w:val="24"/>
          <w:szCs w:val="24"/>
          <w:lang w:val="en-US" w:eastAsia="zh-CN"/>
        </w:rPr>
        <w:t>详见竞争性谈判须知</w:t>
      </w:r>
      <w:r>
        <w:rPr>
          <w:rFonts w:hint="eastAsia" w:ascii="宋体" w:hAnsi="宋体" w:cs="宋体"/>
          <w:color w:val="auto"/>
          <w:sz w:val="24"/>
          <w:szCs w:val="24"/>
          <w:lang w:val="zh-CN"/>
        </w:rPr>
        <w:t>；</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7</w:t>
      </w:r>
      <w:r>
        <w:rPr>
          <w:rFonts w:hint="eastAsia" w:ascii="宋体" w:hAnsi="宋体" w:cs="宋体"/>
          <w:color w:val="auto"/>
          <w:sz w:val="24"/>
          <w:szCs w:val="24"/>
          <w:lang w:val="zh-CN"/>
        </w:rPr>
        <w:t>.2、履约保证金：本项目</w:t>
      </w:r>
      <w:r>
        <w:rPr>
          <w:rFonts w:hint="eastAsia" w:ascii="宋体" w:hAnsi="宋体" w:cs="宋体"/>
          <w:color w:val="auto"/>
          <w:sz w:val="24"/>
          <w:szCs w:val="24"/>
        </w:rPr>
        <w:t>无</w:t>
      </w:r>
      <w:r>
        <w:rPr>
          <w:rFonts w:hint="eastAsia" w:ascii="宋体" w:hAnsi="宋体" w:cs="宋体"/>
          <w:color w:val="auto"/>
          <w:sz w:val="24"/>
          <w:szCs w:val="24"/>
          <w:lang w:val="zh-CN"/>
        </w:rPr>
        <w:t>履约保证金；</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rPr>
      </w:pPr>
      <w:r>
        <w:rPr>
          <w:rFonts w:hint="eastAsia" w:ascii="宋体" w:hAnsi="宋体" w:cs="宋体"/>
          <w:b/>
          <w:color w:val="auto"/>
          <w:sz w:val="24"/>
          <w:szCs w:val="24"/>
        </w:rPr>
        <w:t>18</w:t>
      </w:r>
      <w:r>
        <w:rPr>
          <w:rFonts w:hint="eastAsia" w:ascii="宋体" w:hAnsi="宋体" w:cs="宋体"/>
          <w:b/>
          <w:color w:val="auto"/>
          <w:sz w:val="24"/>
          <w:szCs w:val="24"/>
          <w:lang w:val="zh-CN"/>
        </w:rPr>
        <w:t>、</w:t>
      </w:r>
      <w:r>
        <w:rPr>
          <w:rFonts w:hint="eastAsia" w:ascii="宋体" w:hAnsi="宋体" w:cs="宋体"/>
          <w:b/>
          <w:color w:val="auto"/>
          <w:sz w:val="24"/>
          <w:szCs w:val="24"/>
        </w:rPr>
        <w:t>谈判有效期</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18.1、</w:t>
      </w:r>
      <w:r>
        <w:rPr>
          <w:rFonts w:hint="eastAsia" w:ascii="宋体" w:hAnsi="宋体" w:cs="宋体"/>
          <w:color w:val="auto"/>
          <w:sz w:val="24"/>
          <w:szCs w:val="24"/>
          <w:lang w:val="zh-CN"/>
        </w:rPr>
        <w:t>谈判有效期见谈判供应商须知前附表。谈判有效期短于此规定期限的谈判，将按无效谈判处理。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lang w:val="zh-CN"/>
        </w:rPr>
      </w:pPr>
      <w:r>
        <w:rPr>
          <w:rFonts w:hint="eastAsia" w:ascii="宋体" w:hAnsi="宋体" w:cs="宋体"/>
          <w:color w:val="auto"/>
          <w:sz w:val="24"/>
          <w:szCs w:val="24"/>
        </w:rPr>
        <w:t>18.2、在特殊情况下，在原谈判有效期期满之前，采购代理机构可向供应商提出延长谈判有效期的要求。这种要求与答复均应以书面的形式。供应商可以拒绝采购代理机构的这种要求。同意延长的供应商既不能要求也不允许修改其竞争性谈判响应文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b/>
          <w:color w:val="auto"/>
          <w:sz w:val="24"/>
          <w:szCs w:val="24"/>
        </w:rPr>
        <w:t>18.3、</w:t>
      </w:r>
      <w:r>
        <w:rPr>
          <w:rFonts w:hint="eastAsia" w:ascii="宋体" w:hAnsi="宋体" w:cs="宋体"/>
          <w:b/>
          <w:color w:val="auto"/>
          <w:sz w:val="24"/>
          <w:szCs w:val="24"/>
          <w:lang w:val="zh-CN"/>
        </w:rPr>
        <w:t>谈判响应文件有效期为自谈判截止日起90日历天，成交供应商的谈判响应文件有效期自动延长至合同执行完毕。</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rPr>
      </w:pPr>
      <w:r>
        <w:rPr>
          <w:rFonts w:hint="eastAsia" w:ascii="宋体" w:hAnsi="宋体" w:cs="宋体"/>
          <w:b/>
          <w:color w:val="auto"/>
          <w:sz w:val="24"/>
          <w:szCs w:val="24"/>
        </w:rPr>
        <w:t>19</w:t>
      </w:r>
      <w:r>
        <w:rPr>
          <w:rFonts w:hint="eastAsia" w:ascii="宋体" w:hAnsi="宋体" w:cs="宋体"/>
          <w:b/>
          <w:color w:val="auto"/>
          <w:sz w:val="24"/>
          <w:szCs w:val="24"/>
          <w:lang w:val="zh-CN"/>
        </w:rPr>
        <w:t>、谈判响应文件的式样和签署</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19.</w:t>
      </w:r>
      <w:r>
        <w:rPr>
          <w:rFonts w:hint="eastAsia" w:ascii="宋体" w:hAnsi="宋体" w:cs="宋体"/>
          <w:color w:val="auto"/>
          <w:sz w:val="24"/>
          <w:szCs w:val="24"/>
          <w:lang w:val="zh-CN"/>
        </w:rPr>
        <w:t>1、谈判供应商应填写全称，同时加盖谈判供应商单位印章。</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19.2、谈判响应文件中需签字的地方按竞争性谈判文件要求签字，需盖章的地方按竞争性谈判文件要求盖章。</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19.3</w:t>
      </w:r>
      <w:r>
        <w:rPr>
          <w:rFonts w:hint="eastAsia" w:ascii="宋体" w:hAnsi="宋体" w:cs="宋体"/>
          <w:color w:val="auto"/>
          <w:sz w:val="24"/>
          <w:szCs w:val="24"/>
          <w:lang w:val="zh-CN"/>
        </w:rPr>
        <w:t>、</w:t>
      </w:r>
      <w:r>
        <w:rPr>
          <w:rFonts w:hint="eastAsia" w:ascii="宋体" w:hAnsi="宋体" w:cs="宋体"/>
          <w:b/>
          <w:color w:val="auto"/>
          <w:kern w:val="1"/>
          <w:sz w:val="24"/>
          <w:szCs w:val="24"/>
        </w:rPr>
        <w:t>谈判响应文件（正本1份、副本2份、电子文件U盘2份）</w:t>
      </w:r>
      <w:r>
        <w:rPr>
          <w:rFonts w:hint="eastAsia" w:ascii="宋体" w:hAnsi="宋体" w:cs="宋体"/>
          <w:color w:val="auto"/>
          <w:kern w:val="1"/>
          <w:sz w:val="24"/>
          <w:szCs w:val="24"/>
        </w:rPr>
        <w:t>，正、副本须用A4幅面纸张打印或用不褪色的蓝（黑）墨水填写，并清楚标明“正本”“副本”字样，并各自装订成册。副本可以为正本的复印件，但签字盖章处需加盖单位红色印章。如果正本与副本不符，以正本为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19.</w:t>
      </w:r>
      <w:r>
        <w:rPr>
          <w:rFonts w:hint="eastAsia" w:ascii="宋体" w:hAnsi="宋体" w:cs="宋体"/>
          <w:color w:val="auto"/>
          <w:sz w:val="24"/>
          <w:szCs w:val="24"/>
          <w:lang w:val="zh-CN"/>
        </w:rPr>
        <w:t>4、</w:t>
      </w:r>
      <w:r>
        <w:rPr>
          <w:rFonts w:hint="eastAsia" w:ascii="宋体" w:hAnsi="宋体" w:cs="宋体"/>
          <w:b/>
          <w:bCs/>
          <w:color w:val="auto"/>
          <w:sz w:val="24"/>
          <w:szCs w:val="24"/>
          <w:lang w:val="zh-CN"/>
        </w:rPr>
        <w:t>电子文件制作要求，电子文件与纸质正本谈判响应文件的内容应保持一致，具有同等法律效力，包含PDF格式和WORD格式，采用PDF格式的，有盖章和签字的文字页、证件等扫描文件一起编辑到PDF格式文件中，尤其是有盖章和签字的页不能遗漏，采用U盘刻录。</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19.5、</w:t>
      </w:r>
      <w:r>
        <w:rPr>
          <w:rFonts w:hint="eastAsia" w:ascii="宋体" w:hAnsi="宋体" w:cs="宋体"/>
          <w:color w:val="auto"/>
          <w:sz w:val="24"/>
          <w:szCs w:val="24"/>
          <w:lang w:val="zh-CN"/>
        </w:rPr>
        <w:t>谈判响应文件除各供应商对错处做必要修改外，不得行间插字、涂改和增删，如有修改错漏处，必须由供应商法定代表人（或其委托代理人）签字或盖章。</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19.6、</w:t>
      </w:r>
      <w:r>
        <w:rPr>
          <w:rFonts w:hint="eastAsia" w:ascii="宋体" w:hAnsi="宋体" w:cs="宋体"/>
          <w:color w:val="auto"/>
          <w:sz w:val="24"/>
          <w:szCs w:val="24"/>
          <w:lang w:val="zh-CN"/>
        </w:rPr>
        <w:t>因字迹潦草或表达不清所引起的后果由谈判供应商负责。</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color w:val="auto"/>
          <w:sz w:val="24"/>
          <w:szCs w:val="24"/>
        </w:rPr>
      </w:pPr>
      <w:r>
        <w:rPr>
          <w:rFonts w:hint="eastAsia" w:ascii="宋体" w:hAnsi="宋体" w:cs="宋体"/>
          <w:b/>
          <w:color w:val="auto"/>
          <w:sz w:val="24"/>
          <w:szCs w:val="24"/>
        </w:rPr>
        <w:t>20、踏勘和谈判预备会</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rPr>
      </w:pPr>
      <w:r>
        <w:rPr>
          <w:rFonts w:hint="eastAsia" w:ascii="宋体" w:hAnsi="宋体" w:cs="宋体"/>
          <w:bCs/>
          <w:color w:val="auto"/>
          <w:sz w:val="24"/>
          <w:szCs w:val="24"/>
        </w:rPr>
        <w:t>20.1、本项目不组织统一踏勘。</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rPr>
      </w:pPr>
      <w:r>
        <w:rPr>
          <w:rFonts w:hint="eastAsia" w:ascii="宋体" w:hAnsi="宋体" w:cs="宋体"/>
          <w:bCs/>
          <w:color w:val="auto"/>
          <w:sz w:val="24"/>
          <w:szCs w:val="24"/>
        </w:rPr>
        <w:t>20.2、本项目不召开谈判预备会，谈判供应商如有疑问，请以书面形式在规定时间内提交至代理机构。</w:t>
      </w:r>
    </w:p>
    <w:p>
      <w:pPr>
        <w:pStyle w:val="4"/>
        <w:keepLines w:val="0"/>
        <w:pageBreakBefore w:val="0"/>
        <w:widowControl w:val="0"/>
        <w:tabs>
          <w:tab w:val="left" w:pos="576"/>
        </w:tabs>
        <w:kinsoku/>
        <w:wordWrap/>
        <w:overflowPunct/>
        <w:topLinePunct w:val="0"/>
        <w:bidi w:val="0"/>
        <w:spacing w:line="440" w:lineRule="exact"/>
        <w:ind w:left="0" w:leftChars="0"/>
        <w:jc w:val="center"/>
        <w:rPr>
          <w:rFonts w:ascii="宋体" w:hAnsi="宋体" w:eastAsia="宋体" w:cs="宋体"/>
          <w:b/>
          <w:color w:val="auto"/>
          <w:szCs w:val="28"/>
          <w:lang w:val="zh-CN"/>
        </w:rPr>
      </w:pPr>
      <w:bookmarkStart w:id="5" w:name="_Toc22633"/>
      <w:bookmarkStart w:id="6" w:name="_Toc13486"/>
      <w:bookmarkStart w:id="7" w:name="_Toc386965846"/>
      <w:bookmarkStart w:id="8" w:name="_Toc10117"/>
      <w:bookmarkStart w:id="9" w:name="_Toc7524491"/>
      <w:bookmarkStart w:id="10" w:name="_Toc5363"/>
      <w:bookmarkStart w:id="11" w:name="_Toc392236633"/>
      <w:bookmarkStart w:id="12" w:name="_Toc17826"/>
      <w:bookmarkStart w:id="13" w:name="_Toc233435938"/>
      <w:bookmarkStart w:id="14" w:name="_Toc23618"/>
      <w:bookmarkStart w:id="15" w:name="_Toc29488"/>
      <w:r>
        <w:rPr>
          <w:rFonts w:hint="eastAsia" w:ascii="宋体" w:hAnsi="宋体" w:eastAsia="宋体" w:cs="宋体"/>
          <w:b/>
          <w:color w:val="auto"/>
          <w:szCs w:val="28"/>
          <w:lang w:val="zh-CN"/>
        </w:rPr>
        <w:t>D、响应文件的递交</w:t>
      </w:r>
      <w:bookmarkEnd w:id="5"/>
      <w:bookmarkEnd w:id="6"/>
      <w:bookmarkEnd w:id="7"/>
      <w:bookmarkEnd w:id="8"/>
      <w:bookmarkEnd w:id="9"/>
      <w:bookmarkEnd w:id="10"/>
      <w:bookmarkEnd w:id="11"/>
      <w:bookmarkEnd w:id="12"/>
      <w:bookmarkEnd w:id="13"/>
      <w:bookmarkEnd w:id="14"/>
      <w:bookmarkEnd w:id="15"/>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lang w:val="zh-CN"/>
        </w:rPr>
      </w:pPr>
      <w:r>
        <w:rPr>
          <w:rFonts w:hint="eastAsia" w:ascii="宋体" w:hAnsi="宋体" w:cs="宋体"/>
          <w:b/>
          <w:color w:val="auto"/>
          <w:sz w:val="24"/>
          <w:szCs w:val="24"/>
        </w:rPr>
        <w:t>21</w:t>
      </w:r>
      <w:r>
        <w:rPr>
          <w:rFonts w:hint="eastAsia" w:ascii="宋体" w:hAnsi="宋体" w:cs="宋体"/>
          <w:b/>
          <w:color w:val="auto"/>
          <w:sz w:val="24"/>
          <w:szCs w:val="24"/>
          <w:lang w:val="zh-CN"/>
        </w:rPr>
        <w:t>、谈判响应文件的密封、标记及递交</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lang w:val="zh-CN"/>
        </w:rPr>
      </w:pPr>
      <w:r>
        <w:rPr>
          <w:rFonts w:hint="eastAsia" w:ascii="宋体" w:hAnsi="宋体" w:cs="宋体"/>
          <w:bCs/>
          <w:color w:val="auto"/>
          <w:sz w:val="24"/>
          <w:szCs w:val="24"/>
        </w:rPr>
        <w:t>21</w:t>
      </w:r>
      <w:r>
        <w:rPr>
          <w:rFonts w:hint="eastAsia" w:ascii="宋体" w:hAnsi="宋体" w:cs="宋体"/>
          <w:bCs/>
          <w:color w:val="auto"/>
          <w:sz w:val="24"/>
          <w:szCs w:val="24"/>
          <w:lang w:val="zh-CN"/>
        </w:rPr>
        <w:t>.1 谈判响应文件应密封在密封袋内。正本单独密封在一个密封袋内，所有副本密封在一个密封袋内，</w:t>
      </w:r>
      <w:r>
        <w:rPr>
          <w:rFonts w:hint="eastAsia" w:ascii="宋体" w:hAnsi="宋体" w:cs="宋体"/>
          <w:bCs/>
          <w:color w:val="auto"/>
          <w:sz w:val="24"/>
          <w:szCs w:val="24"/>
        </w:rPr>
        <w:t>电子版文件</w:t>
      </w:r>
      <w:r>
        <w:rPr>
          <w:rFonts w:hint="eastAsia" w:ascii="宋体" w:hAnsi="宋体" w:cs="宋体"/>
          <w:bCs/>
          <w:color w:val="auto"/>
          <w:sz w:val="24"/>
          <w:szCs w:val="24"/>
          <w:lang w:val="zh-CN"/>
        </w:rPr>
        <w:t>单独密封在一个密封袋内</w:t>
      </w:r>
      <w:r>
        <w:rPr>
          <w:rFonts w:hint="eastAsia" w:ascii="宋体" w:hAnsi="宋体" w:cs="宋体"/>
          <w:bCs/>
          <w:color w:val="auto"/>
          <w:sz w:val="24"/>
          <w:szCs w:val="24"/>
        </w:rPr>
        <w:t>。</w:t>
      </w:r>
      <w:r>
        <w:rPr>
          <w:rFonts w:hint="eastAsia" w:ascii="宋体" w:hAnsi="宋体" w:cs="宋体"/>
          <w:bCs/>
          <w:color w:val="auto"/>
          <w:sz w:val="24"/>
          <w:szCs w:val="24"/>
          <w:lang w:val="zh-CN"/>
        </w:rPr>
        <w:t>封袋封口处应加贴封条密封，并在封线处加盖公章（骑缝章）。</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Cs/>
          <w:color w:val="auto"/>
          <w:sz w:val="24"/>
          <w:szCs w:val="24"/>
          <w:lang w:val="zh-CN"/>
        </w:rPr>
      </w:pPr>
      <w:r>
        <w:rPr>
          <w:rFonts w:hint="eastAsia" w:ascii="宋体" w:hAnsi="宋体" w:cs="宋体"/>
          <w:bCs/>
          <w:color w:val="auto"/>
          <w:sz w:val="24"/>
          <w:szCs w:val="24"/>
        </w:rPr>
        <w:t>21</w:t>
      </w:r>
      <w:r>
        <w:rPr>
          <w:rFonts w:hint="eastAsia" w:ascii="宋体" w:hAnsi="宋体" w:cs="宋体"/>
          <w:bCs/>
          <w:color w:val="auto"/>
          <w:sz w:val="24"/>
          <w:szCs w:val="24"/>
          <w:lang w:val="zh-CN"/>
        </w:rPr>
        <w:t>.2 封皮上写明：</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lang w:val="zh-CN"/>
        </w:rPr>
        <w:t>项目名称：</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lang w:val="zh-CN"/>
        </w:rPr>
        <w:t>项目编号：</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供应商名称：</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lang w:val="zh-CN"/>
        </w:rPr>
        <w:t>谈判响应文件在202</w:t>
      </w:r>
      <w:r>
        <w:rPr>
          <w:rFonts w:hint="eastAsia" w:ascii="宋体" w:hAnsi="宋体" w:cs="宋体"/>
          <w:color w:val="auto"/>
          <w:sz w:val="24"/>
          <w:szCs w:val="24"/>
        </w:rPr>
        <w:t>2</w:t>
      </w:r>
      <w:r>
        <w:rPr>
          <w:rFonts w:hint="eastAsia" w:ascii="宋体" w:hAnsi="宋体" w:cs="宋体"/>
          <w:color w:val="auto"/>
          <w:sz w:val="24"/>
          <w:szCs w:val="24"/>
          <w:lang w:val="zh-CN"/>
        </w:rPr>
        <w:t>年  月  日  时  分前“不得开启”字样</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21.3</w:t>
      </w:r>
      <w:r>
        <w:rPr>
          <w:rFonts w:hint="eastAsia" w:ascii="宋体" w:hAnsi="宋体" w:cs="宋体"/>
          <w:color w:val="auto"/>
          <w:sz w:val="24"/>
          <w:szCs w:val="24"/>
          <w:lang w:val="zh-CN"/>
        </w:rPr>
        <w:t>、响应文件必须密封递交。对封装材料及样式不作特别规定，但供应商应当保证其封装的可靠性，不致因搬运、堆放等原因散开。所有密封袋/箱和响应文件封面须标明项目名称、采购项目编号、供应商名称及“正本”、“副本”</w:t>
      </w:r>
      <w:r>
        <w:rPr>
          <w:rFonts w:hint="eastAsia" w:ascii="宋体" w:hAnsi="宋体" w:cs="宋体"/>
          <w:color w:val="auto"/>
          <w:sz w:val="24"/>
          <w:szCs w:val="24"/>
        </w:rPr>
        <w:t>或“电子文件”等</w:t>
      </w:r>
      <w:r>
        <w:rPr>
          <w:rFonts w:hint="eastAsia" w:ascii="宋体" w:hAnsi="宋体" w:cs="宋体"/>
          <w:color w:val="auto"/>
          <w:sz w:val="24"/>
          <w:szCs w:val="24"/>
          <w:lang w:val="zh-CN"/>
        </w:rPr>
        <w:t>字样。</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21.4、</w:t>
      </w:r>
      <w:r>
        <w:rPr>
          <w:rFonts w:hint="eastAsia" w:ascii="宋体" w:hAnsi="宋体" w:cs="宋体"/>
          <w:color w:val="auto"/>
          <w:sz w:val="24"/>
          <w:szCs w:val="24"/>
          <w:lang w:val="zh-CN"/>
        </w:rPr>
        <w:t>响应文件未按要求密封和加写标记，采购代理机构应当拒收；采购代理机构对误投或过早启封的响应文件概不负责。</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21.5、供应商应按照竞争性谈判公告中规定的时间、地点，在规定的竞争性谈判响应文件递交截止时间前将全部竞争性谈判响应文件和谈判资料递交至采购代理机构接收人处。</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21.6、采购代理机构在竞争性谈判文件规定的竞争性谈判响应文件递交截止时间前，只负责竞争性谈判响应文件的接收、清点、造册登记工作，并请递交人签字确认，对其有效性不负任何责任。</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21.7、无论供应商成交与否，其竞争性谈判响应文件恕不退还。</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rPr>
      </w:pPr>
      <w:r>
        <w:rPr>
          <w:rFonts w:hint="eastAsia" w:ascii="宋体" w:hAnsi="宋体" w:cs="宋体"/>
          <w:b/>
          <w:bCs/>
          <w:color w:val="auto"/>
          <w:sz w:val="24"/>
          <w:szCs w:val="24"/>
        </w:rPr>
        <w:t>22、谈判截止时间</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22.1、所有响应文件都必须按“采购公告”中规定的统一递交响应文件时间送达“采购公告”中规定的递交地址。</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22.2、出现因谈判文件的修改推迟投标截止日期时，则按修改通知规定的时间递交。</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22.3、在响应文件递交截止时间之后递交的任何响应文件及资料将被拒绝接收。</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22.4、拒绝接受以电报、电话、传真、电子邮件形式的投标。</w:t>
      </w:r>
    </w:p>
    <w:p>
      <w:pPr>
        <w:keepLines w:val="0"/>
        <w:pageBreakBefore w:val="0"/>
        <w:widowControl w:val="0"/>
        <w:kinsoku/>
        <w:wordWrap/>
        <w:overflowPunct/>
        <w:topLinePunct w:val="0"/>
        <w:autoSpaceDE w:val="0"/>
        <w:autoSpaceDN w:val="0"/>
        <w:bidi w:val="0"/>
        <w:adjustRightInd w:val="0"/>
        <w:spacing w:line="440" w:lineRule="exact"/>
        <w:ind w:left="0" w:leftChars="0" w:firstLine="482" w:firstLineChars="200"/>
        <w:rPr>
          <w:rFonts w:ascii="宋体" w:hAnsi="宋体" w:cs="宋体"/>
          <w:b/>
          <w:bCs/>
          <w:color w:val="auto"/>
          <w:sz w:val="24"/>
          <w:szCs w:val="24"/>
          <w:lang w:val="zh-CN"/>
        </w:rPr>
      </w:pPr>
      <w:r>
        <w:rPr>
          <w:rFonts w:hint="eastAsia" w:ascii="宋体" w:hAnsi="宋体" w:cs="宋体"/>
          <w:b/>
          <w:bCs/>
          <w:color w:val="auto"/>
          <w:sz w:val="24"/>
          <w:szCs w:val="24"/>
        </w:rPr>
        <w:t>23</w:t>
      </w:r>
      <w:r>
        <w:rPr>
          <w:rFonts w:hint="eastAsia" w:ascii="宋体" w:hAnsi="宋体" w:cs="宋体"/>
          <w:b/>
          <w:bCs/>
          <w:color w:val="auto"/>
          <w:sz w:val="24"/>
          <w:szCs w:val="24"/>
          <w:lang w:val="zh-CN"/>
        </w:rPr>
        <w:t>、</w:t>
      </w:r>
      <w:r>
        <w:rPr>
          <w:rFonts w:hint="eastAsia" w:ascii="宋体" w:hAnsi="宋体" w:cs="宋体"/>
          <w:b/>
          <w:color w:val="auto"/>
          <w:kern w:val="1"/>
          <w:sz w:val="24"/>
          <w:szCs w:val="24"/>
        </w:rPr>
        <w:t>谈判响应文件的修改与撤回</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23.1</w:t>
      </w:r>
      <w:r>
        <w:rPr>
          <w:rFonts w:hint="eastAsia" w:ascii="宋体" w:hAnsi="宋体" w:cs="宋体"/>
          <w:color w:val="auto"/>
          <w:sz w:val="24"/>
          <w:szCs w:val="24"/>
          <w:lang w:val="zh-CN"/>
        </w:rPr>
        <w:t>、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3</w:t>
      </w:r>
      <w:r>
        <w:rPr>
          <w:rFonts w:hint="eastAsia" w:ascii="宋体" w:hAnsi="宋体" w:cs="宋体"/>
          <w:color w:val="auto"/>
          <w:sz w:val="24"/>
          <w:szCs w:val="24"/>
          <w:lang w:val="zh-CN"/>
        </w:rPr>
        <w:t>.2、供应商的修改或撤回或变动价格的通知应按本须知第</w:t>
      </w:r>
      <w:r>
        <w:rPr>
          <w:rFonts w:hint="eastAsia" w:ascii="宋体" w:hAnsi="宋体" w:cs="宋体"/>
          <w:color w:val="auto"/>
          <w:sz w:val="24"/>
          <w:szCs w:val="24"/>
        </w:rPr>
        <w:t>21</w:t>
      </w:r>
      <w:r>
        <w:rPr>
          <w:rFonts w:hint="eastAsia" w:ascii="宋体" w:hAnsi="宋体" w:cs="宋体"/>
          <w:color w:val="auto"/>
          <w:sz w:val="24"/>
          <w:szCs w:val="24"/>
          <w:lang w:val="zh-CN"/>
        </w:rPr>
        <w:t>条的规定编制、密封、标记和递交。</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b/>
          <w:color w:val="auto"/>
          <w:sz w:val="24"/>
          <w:szCs w:val="24"/>
          <w:lang w:val="zh-CN"/>
        </w:rPr>
      </w:pPr>
      <w:r>
        <w:rPr>
          <w:rFonts w:hint="eastAsia" w:ascii="宋体" w:hAnsi="宋体" w:cs="宋体"/>
          <w:color w:val="auto"/>
          <w:sz w:val="24"/>
          <w:szCs w:val="24"/>
        </w:rPr>
        <w:t>23.3</w:t>
      </w:r>
      <w:r>
        <w:rPr>
          <w:rFonts w:hint="eastAsia" w:ascii="宋体" w:hAnsi="宋体" w:cs="宋体"/>
          <w:color w:val="auto"/>
          <w:sz w:val="24"/>
          <w:szCs w:val="24"/>
          <w:lang w:val="zh-CN"/>
        </w:rPr>
        <w:t>、在谈判截止时间之后，供应商不得对其谈判响应文件做任何修改或撤回。</w:t>
      </w:r>
    </w:p>
    <w:p>
      <w:pPr>
        <w:pStyle w:val="4"/>
        <w:keepLines w:val="0"/>
        <w:pageBreakBefore w:val="0"/>
        <w:widowControl w:val="0"/>
        <w:tabs>
          <w:tab w:val="left" w:pos="576"/>
        </w:tabs>
        <w:kinsoku/>
        <w:wordWrap/>
        <w:overflowPunct/>
        <w:topLinePunct w:val="0"/>
        <w:bidi w:val="0"/>
        <w:spacing w:line="440" w:lineRule="exact"/>
        <w:ind w:left="0" w:leftChars="0"/>
        <w:jc w:val="center"/>
        <w:rPr>
          <w:rFonts w:ascii="宋体" w:hAnsi="宋体" w:eastAsia="宋体" w:cs="宋体"/>
          <w:b/>
          <w:color w:val="auto"/>
          <w:szCs w:val="28"/>
          <w:lang w:val="zh-CN"/>
        </w:rPr>
      </w:pPr>
      <w:r>
        <w:rPr>
          <w:rFonts w:hint="eastAsia" w:ascii="宋体" w:hAnsi="宋体" w:eastAsia="宋体" w:cs="宋体"/>
          <w:b/>
          <w:color w:val="auto"/>
          <w:szCs w:val="28"/>
          <w:lang w:val="zh-CN"/>
        </w:rPr>
        <w:t>E、谈判及评审</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rPr>
      </w:pPr>
      <w:r>
        <w:rPr>
          <w:rFonts w:hint="eastAsia" w:ascii="宋体" w:hAnsi="宋体" w:cs="宋体"/>
          <w:b/>
          <w:bCs/>
          <w:color w:val="auto"/>
          <w:sz w:val="24"/>
          <w:szCs w:val="24"/>
        </w:rPr>
        <w:t>24、谈判大会</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24.1、采购代理机构按竞争性谈判文件规定的时间、地点组织谈判。</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24.2、谈判大会由采购代理机构主持，采购人代表、谈判供应商等相关人员参加。</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24.3、谈判供应商应派法定代表人或者授权代表出席开标会，参加开标的代表应签名报到，以证明其出席。谈判供应商的法定代表人或授权代表未出席开标会的，视为其认同谈判结果。</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24.4、谈判大会程序：</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宣布谈判大会现场纪律。</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公布递交谈判响应文件的谈判供应商名称。</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查验谈判响应文件的密封情况。</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24.5、采购代理机构对开标过程做好记录，并存档备案。</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b/>
          <w:bCs/>
          <w:color w:val="auto"/>
          <w:sz w:val="24"/>
          <w:szCs w:val="24"/>
        </w:rPr>
        <w:t>25、评审程序</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按照竞争性谈判响应文件初审、澄清有关问题、分别谈判、二次报价、比较与评审、推荐成交候选人名单的工作程序进行评审。在上一步评审中被认定为无效谈判者，不进入下一步的评审</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rPr>
      </w:pPr>
      <w:r>
        <w:rPr>
          <w:rFonts w:hint="eastAsia" w:ascii="宋体" w:hAnsi="宋体" w:cs="宋体"/>
          <w:b/>
          <w:bCs/>
          <w:color w:val="auto"/>
          <w:sz w:val="24"/>
          <w:szCs w:val="24"/>
        </w:rPr>
        <w:t>26、评审组织及评审原则</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26.1、按照《中华人民共和国政府采购法》及实施条例</w:t>
      </w:r>
      <w:r>
        <w:rPr>
          <w:rFonts w:hint="eastAsia" w:ascii="宋体" w:hAnsi="宋体" w:cs="宋体"/>
          <w:color w:val="auto"/>
          <w:sz w:val="24"/>
          <w:szCs w:val="24"/>
          <w:lang w:eastAsia="zh-CN"/>
        </w:rPr>
        <w:t>、</w:t>
      </w:r>
      <w:r>
        <w:rPr>
          <w:rFonts w:hint="eastAsia" w:ascii="宋体" w:hAnsi="宋体" w:cs="宋体"/>
          <w:color w:val="auto"/>
          <w:sz w:val="24"/>
          <w:szCs w:val="24"/>
        </w:rPr>
        <w:t>《政府采购非招标采购方式管理办法》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74号令</w:t>
      </w:r>
      <w:r>
        <w:rPr>
          <w:rFonts w:hint="eastAsia" w:ascii="宋体" w:hAnsi="宋体" w:cs="宋体"/>
          <w:color w:val="auto"/>
          <w:sz w:val="24"/>
          <w:szCs w:val="24"/>
          <w:lang w:eastAsia="zh-CN"/>
        </w:rPr>
        <w:t>）</w:t>
      </w:r>
      <w:r>
        <w:rPr>
          <w:rFonts w:hint="eastAsia" w:ascii="宋体" w:hAnsi="宋体" w:eastAsia="宋体" w:cs="宋体"/>
          <w:color w:val="auto"/>
          <w:sz w:val="24"/>
          <w:szCs w:val="24"/>
        </w:rPr>
        <w:t>的规定</w:t>
      </w:r>
      <w:r>
        <w:rPr>
          <w:rFonts w:hint="eastAsia" w:ascii="宋体" w:hAnsi="宋体" w:eastAsia="宋体" w:cs="宋体"/>
          <w:color w:val="auto"/>
          <w:sz w:val="24"/>
          <w:szCs w:val="24"/>
          <w:lang w:val="en-US" w:eastAsia="zh-CN"/>
        </w:rPr>
        <w:t>及政府采购货物和服务招标投标管理办法（87号令）</w:t>
      </w:r>
      <w:r>
        <w:rPr>
          <w:rFonts w:hint="eastAsia" w:ascii="宋体" w:hAnsi="宋体" w:cs="宋体"/>
          <w:color w:val="auto"/>
          <w:spacing w:val="4"/>
          <w:sz w:val="24"/>
          <w:szCs w:val="24"/>
        </w:rPr>
        <w:t>的规定</w:t>
      </w:r>
      <w:r>
        <w:rPr>
          <w:rFonts w:hint="eastAsia" w:ascii="宋体" w:hAnsi="宋体" w:cs="宋体"/>
          <w:color w:val="auto"/>
          <w:sz w:val="24"/>
          <w:szCs w:val="24"/>
        </w:rPr>
        <w:t>，依法组建谈判小组。谈判小组由采购人代表和评审专家组成，成员人数应当为3人以上单数，其中采购人代表须持有授权书。谈判小组按照竞争性谈判文件规定的评审方法独立进行评审工作。</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26.2、竞争性谈判文件和竞争性谈判响应文件是评审的依据。在评审中，不得改变竞争性谈判文件中规定的评审标准、方法和成交条件。</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26.3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26.4、如果供应商在澄清规定期限内，未能答复或拒绝答复谈判小组提出的澄清要求，将由谈判小组根据其竞争性谈判响应文件按最大风险进行评审。</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rPr>
        <w:t>26.5、谈判过程中的实质性变动：</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对竞争性谈判文件做出的实质性变动是谈判文件的有效组成部分，谈判小组应当及时以书面形式通知所有参加谈判的供应商。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val="0"/>
          <w:bCs w:val="0"/>
          <w:color w:val="auto"/>
          <w:sz w:val="24"/>
          <w:szCs w:val="24"/>
        </w:rPr>
      </w:pPr>
      <w:r>
        <w:rPr>
          <w:rFonts w:hint="eastAsia" w:ascii="宋体" w:hAnsi="宋体" w:cs="宋体"/>
          <w:b w:val="0"/>
          <w:bCs w:val="0"/>
          <w:color w:val="auto"/>
          <w:sz w:val="24"/>
          <w:szCs w:val="24"/>
        </w:rPr>
        <w:t>26.6、竞争性谈判响应文件的资格性审查</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开标结束后，采购人或代理机构依据法律法规和谈判文件的规定，对响应文件中的供应商资格证明文件进行审查，以确定供应商是否具备谈判资格。</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出现下列情形的，响应文件将被视为无效：</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1)不具备谈判文件中规定的资格要求的；</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2)未按谈判文件要求提供资格证明文件，或未按谈判文件要求加盖公章的；</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3)监标人认为供应商的资格证明文件存在疑点，需提供更清晰有效的证明文件，供应商不能在规定时限内提供符合谈判文件要求的证明文件的。</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资格审查结束后，监标人应当对审查结果进行签字确认，并告知有关供应商未通过审查的原因。</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通过资格审查的供应商不足3家的，不得进行符合性审查，应予以废标。</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26.7、关于信用记录的查询和使用</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供应商不得为列入信用中国(www.creditchina.gov.cn)记录失信被执行人或重大税收违法案件当事人名单或中国政府采购网(www.ccgp.gov.cn)的政府采购严重违法失信行为记录名单。</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供应商在参加政府采购活动前3年内因违法经营被禁止在一定期限内参加政府采购活动，期限届满的，可以参加政府采购活动的，但供应商应提供相关证明材料。</w:t>
      </w:r>
    </w:p>
    <w:p>
      <w:pPr>
        <w:keepLines w:val="0"/>
        <w:pageBreakBefore w:val="0"/>
        <w:widowControl w:val="0"/>
        <w:kinsoku/>
        <w:wordWrap/>
        <w:overflowPunct/>
        <w:topLinePunct w:val="0"/>
        <w:bidi w:val="0"/>
        <w:spacing w:line="440" w:lineRule="exact"/>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供应商信用记录及企业基本信息查询的时间段为“谈判公告发布之日（含当日）至提交响应文件截止之日（含当日）”。</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cs="宋体"/>
          <w:color w:val="auto"/>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Lines w:val="0"/>
        <w:pageBreakBefore w:val="0"/>
        <w:widowControl w:val="0"/>
        <w:kinsoku/>
        <w:wordWrap/>
        <w:overflowPunct/>
        <w:topLinePunct w:val="0"/>
        <w:bidi w:val="0"/>
        <w:spacing w:line="440" w:lineRule="exact"/>
        <w:ind w:left="0" w:leftChars="0" w:firstLine="482" w:firstLineChars="200"/>
        <w:rPr>
          <w:rFonts w:ascii="宋体" w:hAnsi="宋体" w:cs="宋体"/>
          <w:b/>
          <w:bCs/>
          <w:color w:val="auto"/>
          <w:sz w:val="24"/>
          <w:szCs w:val="24"/>
        </w:rPr>
      </w:pPr>
      <w:r>
        <w:rPr>
          <w:rFonts w:hint="eastAsia" w:ascii="宋体" w:hAnsi="宋体" w:cs="宋体"/>
          <w:b/>
          <w:bCs/>
          <w:color w:val="auto"/>
          <w:sz w:val="24"/>
          <w:szCs w:val="24"/>
        </w:rPr>
        <w:t>注：若供应商在失信行为记录名单中，则其响应文件无效。采购代理机构将打印查询记录作为证据留存。</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26.8、竞争性谈判响应文件的符合性审查</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谈判小组依据谈判文件的规定，对响应文件的有效性、完整性和对谈判文件的响应程度进行审查，以确定是否对谈判文件的全部实质性要求做出响应。</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谈判小组要审查每份响应文件是否实质上响应了谈判文件的要求。实质上没有响应谈判文件要求的响应文件作无效响应处理，谈判小组应告知有关供应商未通过审查的原因。供应商不得通过修正或撤销不符之处而使其成为实质上响应。</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b w:val="0"/>
          <w:bCs w:val="0"/>
          <w:color w:val="auto"/>
          <w:sz w:val="24"/>
          <w:szCs w:val="24"/>
          <w:lang w:val="zh-CN"/>
        </w:rPr>
      </w:pPr>
      <w:r>
        <w:rPr>
          <w:rFonts w:hint="eastAsia" w:ascii="宋体" w:hAnsi="宋体" w:cs="宋体"/>
          <w:b w:val="0"/>
          <w:bCs w:val="0"/>
          <w:color w:val="auto"/>
          <w:sz w:val="24"/>
          <w:szCs w:val="24"/>
          <w:lang w:val="zh-CN"/>
        </w:rPr>
        <w:t>2</w:t>
      </w:r>
      <w:r>
        <w:rPr>
          <w:rFonts w:hint="eastAsia" w:ascii="宋体" w:hAnsi="宋体" w:cs="宋体"/>
          <w:b w:val="0"/>
          <w:bCs w:val="0"/>
          <w:color w:val="auto"/>
          <w:sz w:val="24"/>
          <w:szCs w:val="24"/>
        </w:rPr>
        <w:t>6.9</w:t>
      </w:r>
      <w:r>
        <w:rPr>
          <w:rFonts w:hint="eastAsia" w:ascii="宋体" w:hAnsi="宋体" w:cs="宋体"/>
          <w:b w:val="0"/>
          <w:bCs w:val="0"/>
          <w:color w:val="auto"/>
          <w:sz w:val="24"/>
          <w:szCs w:val="24"/>
          <w:lang w:val="zh-CN"/>
        </w:rPr>
        <w:t>、</w:t>
      </w:r>
      <w:r>
        <w:rPr>
          <w:rFonts w:hint="eastAsia" w:ascii="宋体" w:hAnsi="宋体" w:cs="宋体"/>
          <w:b w:val="0"/>
          <w:bCs w:val="0"/>
          <w:color w:val="auto"/>
          <w:sz w:val="24"/>
          <w:szCs w:val="24"/>
        </w:rPr>
        <w:t>评审中，</w:t>
      </w:r>
      <w:r>
        <w:rPr>
          <w:rFonts w:hint="eastAsia" w:ascii="宋体" w:hAnsi="宋体" w:cs="宋体"/>
          <w:b w:val="0"/>
          <w:bCs w:val="0"/>
          <w:color w:val="auto"/>
          <w:sz w:val="24"/>
          <w:szCs w:val="24"/>
          <w:lang w:val="zh-CN"/>
        </w:rPr>
        <w:t>谈判采购响应文件出现下列情况，修正原则为：</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val="zh-CN"/>
        </w:rPr>
        <w:t>）</w:t>
      </w:r>
      <w:r>
        <w:rPr>
          <w:rFonts w:hint="eastAsia" w:ascii="宋体" w:hAnsi="宋体" w:cs="宋体"/>
          <w:color w:val="auto"/>
          <w:sz w:val="24"/>
          <w:szCs w:val="24"/>
        </w:rPr>
        <w:t>谈判响应函内容与谈判报价表内容不一致的，以谈判响应函为准；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）报价的大写金额和小写金额不一致的，以大写金额为准；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）总价金额与按单价汇总金额不一致的，以单价汇总金额为准；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）单价金额小数点有明显错位的，以总价为准，并修改单价；</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val="zh-CN"/>
        </w:rPr>
        <w:t>）谈判响应文件正本与副本不一致的，以正本为准；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val="zh-CN"/>
        </w:rPr>
        <w:t>）多处内容交叉不符时，以谈判小组评审结果为准；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7</w:t>
      </w:r>
      <w:r>
        <w:rPr>
          <w:rFonts w:hint="eastAsia" w:ascii="宋体" w:hAnsi="宋体" w:cs="宋体"/>
          <w:color w:val="auto"/>
          <w:sz w:val="24"/>
          <w:szCs w:val="24"/>
          <w:lang w:val="zh-CN"/>
        </w:rPr>
        <w:t>）文字与图表不符时，以文字为准；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谈判供应商不同意以上修正，则其投标将被拒绝。谈判供应商同意后，按上述规定修正后的报价对谈判供应商起约束作用。</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rPr>
        <w:t>26.10、在详细评审之前，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6.11、</w:t>
      </w:r>
      <w:r>
        <w:rPr>
          <w:rFonts w:hint="eastAsia" w:ascii="宋体" w:hAnsi="宋体" w:cs="宋体"/>
          <w:color w:val="auto"/>
          <w:sz w:val="24"/>
          <w:szCs w:val="24"/>
          <w:lang w:val="zh-CN"/>
        </w:rPr>
        <w:t xml:space="preserve">凡审查、澄清、评价和比较投标的有关资料及被授标意见等内容，谈判小组成员均不得向谈判供应商及与评标无关的其他人透露。 </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b/>
          <w:bCs/>
          <w:color w:val="auto"/>
          <w:sz w:val="24"/>
          <w:szCs w:val="24"/>
          <w:lang w:val="zh-CN"/>
        </w:rPr>
      </w:pPr>
      <w:r>
        <w:rPr>
          <w:rFonts w:hint="eastAsia" w:ascii="宋体" w:hAnsi="宋体" w:cs="宋体"/>
          <w:b/>
          <w:bCs/>
          <w:color w:val="auto"/>
          <w:sz w:val="24"/>
          <w:szCs w:val="24"/>
        </w:rPr>
        <w:t>27、竞争性谈判响应文件</w:t>
      </w:r>
      <w:r>
        <w:rPr>
          <w:rFonts w:hint="eastAsia" w:ascii="宋体" w:hAnsi="宋体" w:cs="宋体"/>
          <w:b/>
          <w:bCs/>
          <w:color w:val="auto"/>
          <w:sz w:val="24"/>
          <w:szCs w:val="24"/>
          <w:lang w:val="zh-CN"/>
        </w:rPr>
        <w:t>的详细审查</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rPr>
        <w:t>27</w:t>
      </w:r>
      <w:r>
        <w:rPr>
          <w:rFonts w:hint="eastAsia" w:ascii="宋体" w:hAnsi="宋体" w:cs="宋体"/>
          <w:color w:val="auto"/>
          <w:sz w:val="24"/>
          <w:szCs w:val="24"/>
          <w:lang w:val="zh-CN"/>
        </w:rPr>
        <w:t>.1、经谈判确定最终采购需求和提交最后报价的供应商后，谈判小组采用最低评标价法。</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rPr>
        <w:t>27</w:t>
      </w:r>
      <w:r>
        <w:rPr>
          <w:rFonts w:hint="eastAsia" w:ascii="宋体" w:hAnsi="宋体" w:cs="宋体"/>
          <w:color w:val="auto"/>
          <w:sz w:val="24"/>
          <w:szCs w:val="24"/>
          <w:lang w:val="zh-CN"/>
        </w:rPr>
        <w:t>.2、最低评标价法，即在全部满足竞争性谈判文件实质性要求前提下，依据统一的价格要素评定最低报价，以提出最低报价的谈判供应商作为成交候选供应商并依次排序。谈判文件中没有规定的评审标准不得作为评审依据。</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rPr>
        <w:t>27</w:t>
      </w:r>
      <w:r>
        <w:rPr>
          <w:rFonts w:hint="eastAsia" w:ascii="宋体" w:hAnsi="宋体" w:cs="宋体"/>
          <w:color w:val="auto"/>
          <w:sz w:val="24"/>
          <w:szCs w:val="24"/>
          <w:lang w:val="zh-CN"/>
        </w:rPr>
        <w:t>.</w:t>
      </w:r>
      <w:r>
        <w:rPr>
          <w:rFonts w:hint="eastAsia" w:ascii="宋体" w:hAnsi="宋体" w:cs="宋体"/>
          <w:color w:val="auto"/>
          <w:sz w:val="24"/>
          <w:szCs w:val="24"/>
        </w:rPr>
        <w:t>3</w:t>
      </w:r>
      <w:r>
        <w:rPr>
          <w:rFonts w:hint="eastAsia" w:ascii="宋体" w:hAnsi="宋体" w:cs="宋体"/>
          <w:color w:val="auto"/>
          <w:sz w:val="24"/>
          <w:szCs w:val="24"/>
          <w:lang w:val="zh-CN"/>
        </w:rPr>
        <w:t>、评审报告应当由谈判小组全体人员签字认可。对评审报告有异议的谈判小组成员，应当在报告上签署不同意见并说明理由，由谈判小组书面记录相关情况。谈判小组成员拒绝在报告上签字又不书面说明其不同意见和理由的，视为同意评审报告。</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b/>
          <w:bCs/>
          <w:color w:val="auto"/>
          <w:sz w:val="24"/>
          <w:szCs w:val="24"/>
          <w:lang w:val="zh-CN"/>
        </w:rPr>
      </w:pPr>
      <w:r>
        <w:rPr>
          <w:rFonts w:hint="eastAsia" w:ascii="宋体" w:hAnsi="宋体" w:cs="宋体"/>
          <w:b/>
          <w:bCs/>
          <w:color w:val="auto"/>
          <w:sz w:val="24"/>
          <w:szCs w:val="24"/>
        </w:rPr>
        <w:t>28、</w:t>
      </w:r>
      <w:r>
        <w:rPr>
          <w:rFonts w:hint="eastAsia" w:ascii="宋体" w:hAnsi="宋体" w:cs="宋体"/>
          <w:b/>
          <w:bCs/>
          <w:color w:val="auto"/>
          <w:sz w:val="24"/>
          <w:szCs w:val="24"/>
          <w:lang w:val="zh-CN"/>
        </w:rPr>
        <w:t>评审过程的保密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lang w:val="zh-CN"/>
        </w:rPr>
        <w:t>谈判小组成员和与评审活动有关的工作人员不得泄露有关竞争性谈判响应文件的评审和比较、成交候选人的推荐以及与评审有关的其他情况。</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b/>
          <w:bCs/>
          <w:color w:val="auto"/>
          <w:sz w:val="24"/>
          <w:szCs w:val="24"/>
          <w:lang w:val="zh-CN"/>
        </w:rPr>
      </w:pPr>
      <w:r>
        <w:rPr>
          <w:rFonts w:hint="eastAsia" w:ascii="宋体" w:hAnsi="宋体" w:cs="宋体"/>
          <w:b/>
          <w:bCs/>
          <w:color w:val="auto"/>
          <w:sz w:val="24"/>
          <w:szCs w:val="24"/>
        </w:rPr>
        <w:t>29、</w:t>
      </w:r>
      <w:r>
        <w:rPr>
          <w:rFonts w:hint="eastAsia" w:ascii="宋体" w:hAnsi="宋体" w:cs="宋体"/>
          <w:b/>
          <w:bCs/>
          <w:color w:val="auto"/>
          <w:sz w:val="24"/>
          <w:szCs w:val="24"/>
          <w:lang w:val="zh-CN"/>
        </w:rPr>
        <w:t>评审方法</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630"/>
        <w:rPr>
          <w:rFonts w:ascii="宋体" w:hAnsi="宋体" w:cs="宋体"/>
          <w:color w:val="auto"/>
          <w:sz w:val="24"/>
          <w:szCs w:val="24"/>
          <w:lang w:val="zh-CN"/>
        </w:rPr>
      </w:pPr>
      <w:r>
        <w:rPr>
          <w:rFonts w:hint="eastAsia" w:ascii="宋体" w:hAnsi="宋体" w:cs="宋体"/>
          <w:color w:val="auto"/>
          <w:sz w:val="24"/>
          <w:szCs w:val="24"/>
        </w:rPr>
        <w:t>按照《中华人民共和国政府采购法》及实施条例</w:t>
      </w:r>
      <w:r>
        <w:rPr>
          <w:rFonts w:hint="eastAsia" w:ascii="宋体" w:hAnsi="宋体" w:cs="宋体"/>
          <w:color w:val="auto"/>
          <w:sz w:val="24"/>
          <w:szCs w:val="24"/>
          <w:lang w:eastAsia="zh-CN"/>
        </w:rPr>
        <w:t>、</w:t>
      </w:r>
      <w:r>
        <w:rPr>
          <w:rFonts w:hint="eastAsia" w:ascii="宋体" w:hAnsi="宋体" w:cs="宋体"/>
          <w:color w:val="auto"/>
          <w:sz w:val="24"/>
          <w:szCs w:val="24"/>
        </w:rPr>
        <w:t>《政府采购非招标采购方式管理办法》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74号令</w:t>
      </w:r>
      <w:r>
        <w:rPr>
          <w:rFonts w:hint="eastAsia" w:ascii="宋体" w:hAnsi="宋体" w:cs="宋体"/>
          <w:color w:val="auto"/>
          <w:sz w:val="24"/>
          <w:szCs w:val="24"/>
          <w:lang w:eastAsia="zh-CN"/>
        </w:rPr>
        <w:t>）</w:t>
      </w:r>
      <w:r>
        <w:rPr>
          <w:rFonts w:hint="eastAsia" w:ascii="宋体" w:hAnsi="宋体" w:eastAsia="宋体" w:cs="宋体"/>
          <w:color w:val="auto"/>
          <w:sz w:val="24"/>
          <w:szCs w:val="24"/>
        </w:rPr>
        <w:t>的规定</w:t>
      </w:r>
      <w:r>
        <w:rPr>
          <w:rFonts w:hint="eastAsia" w:ascii="宋体" w:hAnsi="宋体" w:eastAsia="宋体" w:cs="宋体"/>
          <w:color w:val="auto"/>
          <w:sz w:val="24"/>
          <w:szCs w:val="24"/>
          <w:lang w:val="en-US" w:eastAsia="zh-CN"/>
        </w:rPr>
        <w:t>及政府采购货物和服务招标投标管理办法（87号令）</w:t>
      </w:r>
      <w:r>
        <w:rPr>
          <w:rFonts w:hint="eastAsia" w:ascii="宋体" w:hAnsi="宋体" w:cs="宋体"/>
          <w:color w:val="auto"/>
          <w:spacing w:val="4"/>
          <w:sz w:val="24"/>
          <w:szCs w:val="24"/>
        </w:rPr>
        <w:t>的规定</w:t>
      </w:r>
      <w:r>
        <w:rPr>
          <w:rFonts w:hint="eastAsia" w:ascii="宋体" w:hAnsi="宋体" w:cs="宋体"/>
          <w:color w:val="auto"/>
          <w:sz w:val="24"/>
          <w:szCs w:val="24"/>
          <w:lang w:val="zh-CN"/>
        </w:rPr>
        <w:t>，本次评审采用最低评标价法，即在全部满足竞争性谈判文件实质性要求前提下，谈判小组应当根据</w:t>
      </w:r>
      <w:r>
        <w:rPr>
          <w:rFonts w:hint="eastAsia" w:ascii="宋体" w:hAnsi="宋体" w:cs="宋体"/>
          <w:color w:val="auto"/>
          <w:sz w:val="24"/>
          <w:szCs w:val="24"/>
        </w:rPr>
        <w:t>最终报价由低到高的</w:t>
      </w:r>
      <w:r>
        <w:rPr>
          <w:rFonts w:hint="eastAsia" w:ascii="宋体" w:hAnsi="宋体" w:cs="宋体"/>
          <w:color w:val="auto"/>
          <w:sz w:val="24"/>
          <w:szCs w:val="24"/>
          <w:lang w:val="zh-CN"/>
        </w:rPr>
        <w:t>顺序</w:t>
      </w:r>
      <w:r>
        <w:rPr>
          <w:rFonts w:hint="eastAsia" w:ascii="宋体" w:hAnsi="宋体" w:cs="宋体"/>
          <w:color w:val="auto"/>
          <w:sz w:val="24"/>
          <w:szCs w:val="24"/>
          <w:lang w:val="en-US" w:eastAsia="zh-CN"/>
        </w:rPr>
        <w:t>推荐第</w:t>
      </w:r>
      <w:r>
        <w:rPr>
          <w:rFonts w:hint="eastAsia" w:ascii="宋体" w:hAnsi="宋体" w:cs="宋体"/>
          <w:color w:val="auto"/>
          <w:sz w:val="24"/>
          <w:szCs w:val="24"/>
          <w:lang w:val="zh-CN"/>
        </w:rPr>
        <w:t>1-3名成交候选人。</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b/>
          <w:bCs/>
          <w:color w:val="auto"/>
          <w:sz w:val="24"/>
          <w:szCs w:val="24"/>
          <w:lang w:val="zh-CN"/>
        </w:rPr>
      </w:pPr>
      <w:r>
        <w:rPr>
          <w:rFonts w:hint="eastAsia" w:ascii="宋体" w:hAnsi="宋体" w:cs="宋体"/>
          <w:b/>
          <w:bCs/>
          <w:color w:val="auto"/>
          <w:sz w:val="24"/>
          <w:szCs w:val="24"/>
        </w:rPr>
        <w:t>30</w:t>
      </w:r>
      <w:r>
        <w:rPr>
          <w:rFonts w:hint="eastAsia" w:ascii="宋体" w:hAnsi="宋体" w:cs="宋体"/>
          <w:b/>
          <w:bCs/>
          <w:color w:val="auto"/>
          <w:sz w:val="24"/>
          <w:szCs w:val="24"/>
          <w:lang w:val="zh-CN"/>
        </w:rPr>
        <w:t>、谈判小组组成及职责</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30.</w:t>
      </w:r>
      <w:r>
        <w:rPr>
          <w:rFonts w:hint="eastAsia" w:ascii="宋体" w:hAnsi="宋体" w:cs="宋体"/>
          <w:color w:val="auto"/>
          <w:sz w:val="24"/>
          <w:szCs w:val="24"/>
          <w:lang w:val="zh-CN"/>
        </w:rPr>
        <w:t>1、为确保评标工作公开、公平、公正，依法成立谈判小组。谈判小组由采购人及和评审专家共3人以上单数组成，其中评审专家人数不得不少于谈判小组成员总数的三分之二，评审专家在陕西省政府采购专家库中随机抽取产生。</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rPr>
        <w:t>30.</w:t>
      </w:r>
      <w:r>
        <w:rPr>
          <w:rFonts w:hint="eastAsia" w:ascii="宋体" w:hAnsi="宋体" w:cs="宋体"/>
          <w:color w:val="auto"/>
          <w:sz w:val="24"/>
          <w:szCs w:val="24"/>
          <w:lang w:val="zh-CN"/>
        </w:rPr>
        <w:t>2、谈判小组负责具体评审事务，并独立履行下列职责：</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val="zh-CN"/>
        </w:rPr>
        <w:t>）遵纪守法，客观、公正、廉洁地履行职责，审查谈判响应文件是否符合竞争性谈判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文件的要求，并做出评价；</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）要求供应商对谈判响应文件有关事项作出解释或者澄清；</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val="zh-CN"/>
        </w:rPr>
        <w:t>）按照竞争性谈判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文件的要求和谈判办法进行评审，推荐成交候选单位名单，对评审意见承担个人责任；</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）对评审过程和结果以及供应商的商业秘密保密；</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val="zh-CN"/>
        </w:rPr>
        <w:t>）参与谈判结果报告的起草；</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val="zh-CN"/>
        </w:rPr>
        <w:t>）配合采购代理机构答复供应商提出的质疑；</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7</w:t>
      </w:r>
      <w:r>
        <w:rPr>
          <w:rFonts w:hint="eastAsia" w:ascii="宋体" w:hAnsi="宋体" w:cs="宋体"/>
          <w:color w:val="auto"/>
          <w:sz w:val="24"/>
          <w:szCs w:val="24"/>
          <w:lang w:val="zh-CN"/>
        </w:rPr>
        <w:t>）配合财政部门的投诉处理工作；</w:t>
      </w:r>
    </w:p>
    <w:p>
      <w:pPr>
        <w:keepLines w:val="0"/>
        <w:pageBreakBefore w:val="0"/>
        <w:widowControl w:val="0"/>
        <w:kinsoku/>
        <w:wordWrap/>
        <w:overflowPunct/>
        <w:topLinePunct w:val="0"/>
        <w:autoSpaceDE w:val="0"/>
        <w:autoSpaceDN w:val="0"/>
        <w:bidi w:val="0"/>
        <w:adjustRightInd w:val="0"/>
        <w:spacing w:line="440" w:lineRule="exact"/>
        <w:ind w:left="0" w:leftChars="0" w:firstLine="573"/>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val="zh-CN"/>
        </w:rPr>
        <w:t>）依据政府采购法有关精神，有权对谈判过程中出现的一切问题做出处理决定。</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kern w:val="1"/>
          <w:sz w:val="24"/>
          <w:szCs w:val="24"/>
        </w:rPr>
      </w:pPr>
      <w:r>
        <w:rPr>
          <w:rFonts w:hint="eastAsia" w:ascii="宋体" w:hAnsi="宋体" w:cs="宋体"/>
          <w:color w:val="auto"/>
          <w:sz w:val="24"/>
          <w:szCs w:val="24"/>
        </w:rPr>
        <w:t>30.</w:t>
      </w:r>
      <w:r>
        <w:rPr>
          <w:rFonts w:hint="eastAsia" w:ascii="宋体" w:hAnsi="宋体" w:cs="宋体"/>
          <w:color w:val="auto"/>
          <w:kern w:val="1"/>
          <w:sz w:val="24"/>
          <w:szCs w:val="24"/>
        </w:rPr>
        <w:t>3、谈判小组在评审过程中发现供应商有行贿、提供虚假材料或者串通等违法行为的，应当及时向财政部门报告。</w:t>
      </w:r>
    </w:p>
    <w:p>
      <w:pPr>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kern w:val="1"/>
          <w:sz w:val="24"/>
          <w:szCs w:val="24"/>
        </w:rPr>
      </w:pPr>
      <w:r>
        <w:rPr>
          <w:rFonts w:hint="eastAsia" w:ascii="宋体" w:hAnsi="宋体" w:cs="宋体"/>
          <w:color w:val="auto"/>
          <w:sz w:val="24"/>
          <w:szCs w:val="24"/>
        </w:rPr>
        <w:t>30.</w:t>
      </w:r>
      <w:r>
        <w:rPr>
          <w:rFonts w:hint="eastAsia" w:ascii="宋体" w:hAnsi="宋体" w:cs="宋体"/>
          <w:color w:val="auto"/>
          <w:kern w:val="1"/>
          <w:sz w:val="24"/>
          <w:szCs w:val="24"/>
        </w:rPr>
        <w:t>4、谈判小组在评审过程中收到非法干涉的，应当及时向财政、监察等部门举报。</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30.5、谈判小组成员应当按照客观、公正、审慎的原则，根据谈判文件规定的评审程序、评审方法和评审标准进行独立评审。</w:t>
      </w:r>
    </w:p>
    <w:p>
      <w:pPr>
        <w:keepLines w:val="0"/>
        <w:pageBreakBefore w:val="0"/>
        <w:widowControl w:val="0"/>
        <w:kinsoku/>
        <w:wordWrap/>
        <w:overflowPunct/>
        <w:topLinePunct w:val="0"/>
        <w:autoSpaceDE w:val="0"/>
        <w:autoSpaceDN w:val="0"/>
        <w:bidi w:val="0"/>
        <w:adjustRightInd w:val="0"/>
        <w:spacing w:line="440" w:lineRule="exact"/>
        <w:ind w:left="0" w:leftChars="0" w:firstLine="482" w:firstLineChars="200"/>
        <w:rPr>
          <w:rFonts w:ascii="宋体" w:hAnsi="宋体" w:cs="宋体"/>
          <w:b/>
          <w:bCs/>
          <w:color w:val="auto"/>
          <w:sz w:val="24"/>
          <w:szCs w:val="24"/>
          <w:lang w:val="zh-CN"/>
        </w:rPr>
      </w:pPr>
      <w:r>
        <w:rPr>
          <w:rFonts w:hint="eastAsia" w:ascii="宋体" w:hAnsi="宋体" w:cs="宋体"/>
          <w:b/>
          <w:bCs/>
          <w:color w:val="auto"/>
          <w:sz w:val="24"/>
          <w:szCs w:val="24"/>
        </w:rPr>
        <w:t>31</w:t>
      </w:r>
      <w:r>
        <w:rPr>
          <w:rFonts w:hint="eastAsia" w:ascii="宋体" w:hAnsi="宋体" w:cs="宋体"/>
          <w:b/>
          <w:bCs/>
          <w:color w:val="auto"/>
          <w:sz w:val="24"/>
          <w:szCs w:val="24"/>
          <w:lang w:val="zh-CN"/>
        </w:rPr>
        <w:t>、谈判小组的职能：</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1、对</w:t>
      </w:r>
      <w:r>
        <w:rPr>
          <w:rFonts w:hint="eastAsia" w:ascii="宋体" w:hAnsi="宋体" w:cs="宋体"/>
          <w:color w:val="auto"/>
          <w:sz w:val="24"/>
          <w:szCs w:val="24"/>
          <w:lang w:val="en-US" w:eastAsia="zh-CN"/>
        </w:rPr>
        <w:t>谈判</w:t>
      </w:r>
      <w:r>
        <w:rPr>
          <w:rFonts w:hint="eastAsia" w:ascii="宋体" w:hAnsi="宋体" w:cs="宋体"/>
          <w:color w:val="auto"/>
          <w:sz w:val="24"/>
          <w:szCs w:val="24"/>
          <w:lang w:val="zh-CN" w:eastAsia="zh-CN"/>
        </w:rPr>
        <w:t>响应文件中资质有效性、</w:t>
      </w:r>
      <w:r>
        <w:rPr>
          <w:rFonts w:hint="eastAsia" w:ascii="宋体" w:hAnsi="宋体" w:cs="宋体"/>
          <w:color w:val="auto"/>
          <w:sz w:val="24"/>
          <w:szCs w:val="24"/>
          <w:lang w:val="zh-CN"/>
        </w:rPr>
        <w:t>符合性进行审查；</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2、与各供应商就谈判采购响应文件（含澄清、说明或补正的内容）中的技术指标、实施方案、谈判报价、商务响应、</w:t>
      </w:r>
      <w:r>
        <w:rPr>
          <w:rFonts w:hint="eastAsia" w:ascii="宋体" w:hAnsi="宋体" w:cs="宋体"/>
          <w:color w:val="auto"/>
          <w:sz w:val="24"/>
          <w:szCs w:val="24"/>
        </w:rPr>
        <w:t>售后服务</w:t>
      </w:r>
      <w:r>
        <w:rPr>
          <w:rFonts w:hint="eastAsia" w:ascii="宋体" w:hAnsi="宋体" w:cs="宋体"/>
          <w:color w:val="auto"/>
          <w:sz w:val="24"/>
          <w:szCs w:val="24"/>
          <w:lang w:val="zh-CN"/>
        </w:rPr>
        <w:t>等进行谈判；</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3、依据采购文件，并视谈判情况，确定进入最终评审的供应商；</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4、排序推荐侯选成交供应商；</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5、协商处理谈判过程中出现的其它相关问题。</w:t>
      </w:r>
    </w:p>
    <w:p>
      <w:pPr>
        <w:keepLines w:val="0"/>
        <w:pageBreakBefore w:val="0"/>
        <w:widowControl w:val="0"/>
        <w:kinsoku/>
        <w:wordWrap/>
        <w:overflowPunct/>
        <w:topLinePunct w:val="0"/>
        <w:autoSpaceDE w:val="0"/>
        <w:autoSpaceDN w:val="0"/>
        <w:bidi w:val="0"/>
        <w:adjustRightInd w:val="0"/>
        <w:spacing w:line="440" w:lineRule="exact"/>
        <w:ind w:left="0" w:leftChars="0" w:firstLine="482" w:firstLineChars="200"/>
        <w:rPr>
          <w:rFonts w:ascii="宋体" w:hAnsi="宋体" w:cs="宋体"/>
          <w:b/>
          <w:bCs/>
          <w:color w:val="auto"/>
          <w:sz w:val="24"/>
          <w:szCs w:val="24"/>
          <w:lang w:val="zh-CN"/>
        </w:rPr>
      </w:pPr>
      <w:r>
        <w:rPr>
          <w:rFonts w:hint="eastAsia" w:ascii="宋体" w:hAnsi="宋体" w:cs="宋体"/>
          <w:b/>
          <w:bCs/>
          <w:color w:val="auto"/>
          <w:sz w:val="24"/>
          <w:szCs w:val="24"/>
        </w:rPr>
        <w:t>32</w:t>
      </w:r>
      <w:r>
        <w:rPr>
          <w:rFonts w:hint="eastAsia" w:ascii="宋体" w:hAnsi="宋体" w:cs="宋体"/>
          <w:b/>
          <w:bCs/>
          <w:color w:val="auto"/>
          <w:sz w:val="24"/>
          <w:szCs w:val="24"/>
          <w:lang w:val="zh-CN"/>
        </w:rPr>
        <w:t>、 谈判小组及其成员不得有下列行为：</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32.1、</w:t>
      </w:r>
      <w:r>
        <w:rPr>
          <w:rFonts w:hint="eastAsia" w:ascii="宋体" w:hAnsi="宋体" w:cs="宋体"/>
          <w:color w:val="auto"/>
          <w:sz w:val="24"/>
          <w:szCs w:val="24"/>
          <w:lang w:val="zh-CN"/>
        </w:rPr>
        <w:t>确定参与评审至评审结束前私自接触供应商；</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32.2、</w:t>
      </w:r>
      <w:r>
        <w:rPr>
          <w:rFonts w:hint="eastAsia" w:ascii="宋体" w:hAnsi="宋体" w:cs="宋体"/>
          <w:color w:val="auto"/>
          <w:sz w:val="24"/>
          <w:szCs w:val="24"/>
          <w:lang w:val="zh-CN"/>
        </w:rPr>
        <w:t>接受供应商提出的与响应文件不一致的澄清或者说明，财政部第87号令第五十一条规定的情形除外；</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32.3、</w:t>
      </w:r>
      <w:r>
        <w:rPr>
          <w:rFonts w:hint="eastAsia" w:ascii="宋体" w:hAnsi="宋体" w:cs="宋体"/>
          <w:color w:val="auto"/>
          <w:sz w:val="24"/>
          <w:szCs w:val="24"/>
          <w:lang w:val="zh-CN"/>
        </w:rPr>
        <w:t>违反评审纪律发表倾向性意见或者征询采购人的倾向性意见；</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32.4、</w:t>
      </w:r>
      <w:r>
        <w:rPr>
          <w:rFonts w:hint="eastAsia" w:ascii="宋体" w:hAnsi="宋体" w:cs="宋体"/>
          <w:color w:val="auto"/>
          <w:sz w:val="24"/>
          <w:szCs w:val="24"/>
          <w:lang w:val="zh-CN"/>
        </w:rPr>
        <w:t>对需要专业判断的主观评审因素协商评分；</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32.5、</w:t>
      </w:r>
      <w:r>
        <w:rPr>
          <w:rFonts w:hint="eastAsia" w:ascii="宋体" w:hAnsi="宋体" w:cs="宋体"/>
          <w:color w:val="auto"/>
          <w:sz w:val="24"/>
          <w:szCs w:val="24"/>
          <w:lang w:val="zh-CN"/>
        </w:rPr>
        <w:t>在评审过程中擅离职守，影响评审程序正常进行的；</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32.6、</w:t>
      </w:r>
      <w:r>
        <w:rPr>
          <w:rFonts w:hint="eastAsia" w:ascii="宋体" w:hAnsi="宋体" w:cs="宋体"/>
          <w:color w:val="auto"/>
          <w:sz w:val="24"/>
          <w:szCs w:val="24"/>
          <w:lang w:val="zh-CN"/>
        </w:rPr>
        <w:t>记录、复制或者带走任何评审资料；</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rPr>
        <w:t>32.7、</w:t>
      </w:r>
      <w:r>
        <w:rPr>
          <w:rFonts w:hint="eastAsia" w:ascii="宋体" w:hAnsi="宋体" w:cs="宋体"/>
          <w:color w:val="auto"/>
          <w:sz w:val="24"/>
          <w:szCs w:val="24"/>
          <w:lang w:val="zh-CN"/>
        </w:rPr>
        <w:t>其他不遵守评审纪律的行为。</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ascii="宋体" w:hAnsi="宋体" w:cs="宋体"/>
          <w:color w:val="auto"/>
          <w:sz w:val="24"/>
          <w:szCs w:val="24"/>
          <w:lang w:val="zh-CN"/>
        </w:rPr>
      </w:pPr>
      <w:r>
        <w:rPr>
          <w:rFonts w:hint="eastAsia" w:ascii="宋体" w:hAnsi="宋体" w:cs="宋体"/>
          <w:color w:val="auto"/>
          <w:sz w:val="24"/>
          <w:szCs w:val="24"/>
          <w:lang w:val="zh-CN"/>
        </w:rPr>
        <w:t>谈判小组成员有前五项行为之一的，其评审意见无效，并不得获取评审劳务报酬和报销异地评审差旅费。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jc w:val="center"/>
        <w:rPr>
          <w:rFonts w:ascii="宋体" w:hAnsi="宋体" w:cs="宋体"/>
          <w:b/>
          <w:color w:val="auto"/>
          <w:sz w:val="24"/>
          <w:szCs w:val="24"/>
          <w:lang w:val="zh-CN"/>
        </w:rPr>
      </w:pPr>
      <w:bookmarkStart w:id="16" w:name="_Toc7524503"/>
      <w:bookmarkStart w:id="17" w:name="_Toc386965858"/>
      <w:bookmarkStart w:id="18" w:name="_Toc233435947"/>
      <w:bookmarkStart w:id="19" w:name="_Toc5977"/>
      <w:bookmarkStart w:id="20" w:name="_Toc26534"/>
      <w:bookmarkStart w:id="21" w:name="_Toc2468"/>
      <w:bookmarkStart w:id="22" w:name="_Toc29664"/>
      <w:bookmarkStart w:id="23" w:name="_Toc2781"/>
      <w:bookmarkStart w:id="24" w:name="_Toc24411"/>
      <w:bookmarkStart w:id="25" w:name="_Toc27212"/>
      <w:bookmarkStart w:id="26" w:name="_Toc392236645"/>
      <w:r>
        <w:rPr>
          <w:rFonts w:hint="eastAsia" w:ascii="宋体" w:hAnsi="宋体" w:cs="宋体"/>
          <w:b/>
          <w:bCs/>
          <w:color w:val="auto"/>
          <w:sz w:val="28"/>
          <w:szCs w:val="28"/>
        </w:rPr>
        <w:t>F</w:t>
      </w:r>
      <w:bookmarkStart w:id="27" w:name="_Hlt491765714"/>
      <w:bookmarkEnd w:id="27"/>
      <w:bookmarkStart w:id="28" w:name="_Hlt497547134"/>
      <w:bookmarkEnd w:id="28"/>
      <w:r>
        <w:rPr>
          <w:rFonts w:hint="eastAsia" w:ascii="宋体" w:hAnsi="宋体" w:cs="宋体"/>
          <w:b/>
          <w:bCs/>
          <w:color w:val="auto"/>
          <w:sz w:val="28"/>
          <w:szCs w:val="28"/>
        </w:rPr>
        <w:t>、</w:t>
      </w:r>
      <w:bookmarkEnd w:id="16"/>
      <w:bookmarkEnd w:id="17"/>
      <w:bookmarkEnd w:id="18"/>
      <w:bookmarkEnd w:id="19"/>
      <w:bookmarkEnd w:id="20"/>
      <w:bookmarkEnd w:id="21"/>
      <w:bookmarkEnd w:id="22"/>
      <w:bookmarkEnd w:id="23"/>
      <w:bookmarkEnd w:id="24"/>
      <w:bookmarkEnd w:id="25"/>
      <w:bookmarkEnd w:id="26"/>
      <w:r>
        <w:rPr>
          <w:rFonts w:hint="eastAsia" w:ascii="宋体" w:hAnsi="宋体" w:cs="宋体"/>
          <w:b/>
          <w:bCs/>
          <w:color w:val="auto"/>
          <w:sz w:val="28"/>
          <w:szCs w:val="28"/>
        </w:rPr>
        <w:t>确定中标</w:t>
      </w:r>
    </w:p>
    <w:p>
      <w:pPr>
        <w:keepLines w:val="0"/>
        <w:pageBreakBefore w:val="0"/>
        <w:widowControl w:val="0"/>
        <w:kinsoku/>
        <w:wordWrap/>
        <w:overflowPunct/>
        <w:topLinePunct w:val="0"/>
        <w:autoSpaceDE w:val="0"/>
        <w:autoSpaceDN w:val="0"/>
        <w:bidi w:val="0"/>
        <w:adjustRightInd w:val="0"/>
        <w:spacing w:line="440" w:lineRule="exact"/>
        <w:ind w:left="0" w:leftChars="0"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33</w:t>
      </w:r>
      <w:r>
        <w:rPr>
          <w:rFonts w:hint="eastAsia" w:ascii="宋体" w:hAnsi="宋体" w:eastAsia="宋体" w:cs="宋体"/>
          <w:b/>
          <w:bCs/>
          <w:color w:val="auto"/>
          <w:sz w:val="24"/>
          <w:szCs w:val="24"/>
          <w:lang w:val="zh-CN"/>
        </w:rPr>
        <w:t>、成交程序</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zh-CN"/>
        </w:rPr>
        <w:t>.1、谈判小组根据评审方法的规定对供应商进行评审排序，推荐</w:t>
      </w:r>
      <w:r>
        <w:rPr>
          <w:rFonts w:hint="eastAsia" w:ascii="宋体" w:hAnsi="宋体" w:cs="宋体"/>
          <w:color w:val="auto"/>
          <w:sz w:val="24"/>
          <w:szCs w:val="24"/>
          <w:lang w:val="en-US" w:eastAsia="zh-CN"/>
        </w:rPr>
        <w:t>第</w:t>
      </w:r>
      <w:r>
        <w:rPr>
          <w:rFonts w:hint="eastAsia" w:ascii="宋体" w:hAnsi="宋体" w:cs="宋体"/>
          <w:color w:val="auto"/>
          <w:sz w:val="24"/>
          <w:szCs w:val="24"/>
          <w:lang w:val="zh-CN"/>
        </w:rPr>
        <w:t>1-3名</w:t>
      </w:r>
      <w:r>
        <w:rPr>
          <w:rFonts w:hint="eastAsia" w:ascii="宋体" w:hAnsi="宋体" w:eastAsia="宋体" w:cs="宋体"/>
          <w:color w:val="auto"/>
          <w:sz w:val="24"/>
          <w:szCs w:val="24"/>
          <w:lang w:val="zh-CN"/>
        </w:rPr>
        <w:t>成交候选人，作为评审结果。评审结果由全体谈判小组成员签字确认。</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shd w:val="clear" w:color="auto" w:fill="auto"/>
          <w:lang w:val="zh-CN"/>
        </w:rPr>
        <w:t>采购代理机构应当在评审结束后2个工作日内将评审报告送采购人确认。采购人应当在收到评审报告后5个工作日内，</w:t>
      </w:r>
      <w:r>
        <w:rPr>
          <w:rFonts w:hint="eastAsia" w:ascii="宋体" w:hAnsi="宋体" w:eastAsia="宋体" w:cs="宋体"/>
          <w:color w:val="auto"/>
          <w:sz w:val="24"/>
          <w:szCs w:val="24"/>
          <w:lang w:val="zh-CN"/>
        </w:rPr>
        <w:t>采购人根据谈判报告中推荐的成交候选人排列顺序，确定排名第一的为成交供应商。</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zh-CN"/>
        </w:rPr>
        <w:t>.3、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供应商，也可以重新组织竞争性谈判。</w:t>
      </w:r>
    </w:p>
    <w:p>
      <w:pPr>
        <w:keepLines w:val="0"/>
        <w:pageBreakBefore w:val="0"/>
        <w:widowControl w:val="0"/>
        <w:kinsoku/>
        <w:wordWrap/>
        <w:overflowPunct/>
        <w:topLinePunct w:val="0"/>
        <w:autoSpaceDE w:val="0"/>
        <w:autoSpaceDN w:val="0"/>
        <w:bidi w:val="0"/>
        <w:adjustRightInd w:val="0"/>
        <w:spacing w:line="440" w:lineRule="exact"/>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33</w:t>
      </w:r>
      <w:r>
        <w:rPr>
          <w:rFonts w:hint="eastAsia" w:ascii="宋体" w:hAnsi="宋体" w:eastAsia="宋体" w:cs="宋体"/>
          <w:color w:val="auto"/>
          <w:sz w:val="24"/>
          <w:szCs w:val="24"/>
          <w:lang w:val="zh-CN"/>
        </w:rPr>
        <w:t>.4、采购人也可以授权谈判小组评审后直接确定成交供应商。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33.5、采购代理机构应当在成交供应商确定后2个工作日内，在财政部门指定的政府采购信息发布媒体上公告成交结果，同时向成交供应商发出成交通知书，并将</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val="zh-CN"/>
        </w:rPr>
        <w:t>文件随成交结果同时公告。</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33.6、供应商或者其他利害关系人对评审结果有异议的，应当在法律规定的时间内提出。</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2" w:firstLineChars="196"/>
        <w:rPr>
          <w:rFonts w:ascii="宋体" w:hAnsi="宋体" w:cs="宋体"/>
          <w:b/>
          <w:color w:val="auto"/>
          <w:sz w:val="24"/>
          <w:szCs w:val="24"/>
        </w:rPr>
      </w:pPr>
      <w:r>
        <w:rPr>
          <w:rFonts w:hint="eastAsia" w:ascii="宋体" w:hAnsi="宋体" w:cs="宋体"/>
          <w:b/>
          <w:color w:val="auto"/>
          <w:sz w:val="24"/>
          <w:szCs w:val="24"/>
        </w:rPr>
        <w:t>34、</w:t>
      </w:r>
      <w:r>
        <w:rPr>
          <w:rFonts w:hint="eastAsia" w:ascii="宋体" w:hAnsi="宋体" w:cs="宋体"/>
          <w:b/>
          <w:color w:val="auto"/>
          <w:sz w:val="24"/>
          <w:szCs w:val="24"/>
          <w:lang w:val="zh-CN"/>
        </w:rPr>
        <w:t>成交</w:t>
      </w:r>
      <w:r>
        <w:rPr>
          <w:rFonts w:hint="eastAsia" w:ascii="宋体" w:hAnsi="宋体" w:cs="宋体"/>
          <w:b/>
          <w:color w:val="auto"/>
          <w:sz w:val="24"/>
          <w:szCs w:val="24"/>
        </w:rPr>
        <w:t>通知</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ascii="宋体" w:hAnsi="宋体" w:cs="宋体"/>
          <w:color w:val="auto"/>
          <w:sz w:val="24"/>
          <w:szCs w:val="24"/>
        </w:rPr>
      </w:pPr>
      <w:r>
        <w:rPr>
          <w:rFonts w:hint="eastAsia" w:ascii="宋体" w:hAnsi="宋体" w:cs="宋体"/>
          <w:color w:val="auto"/>
          <w:sz w:val="24"/>
          <w:szCs w:val="24"/>
        </w:rPr>
        <w:t>34.1、采购代理机构向成交供应商发出《成交通知书》。</w:t>
      </w:r>
      <w:r>
        <w:rPr>
          <w:rFonts w:hint="eastAsia" w:ascii="宋体" w:hAnsi="宋体" w:cs="宋体"/>
          <w:b/>
          <w:bCs/>
          <w:color w:val="auto"/>
          <w:sz w:val="24"/>
          <w:szCs w:val="24"/>
        </w:rPr>
        <w:t>成交供应商领取成交通知书时须携带法定代表人授权书及加盖单位公章的被授权人身份证复印件。</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ascii="宋体" w:hAnsi="宋体" w:cs="宋体"/>
          <w:color w:val="auto"/>
          <w:sz w:val="24"/>
          <w:szCs w:val="24"/>
        </w:rPr>
      </w:pPr>
      <w:r>
        <w:rPr>
          <w:rFonts w:hint="eastAsia" w:ascii="宋体" w:hAnsi="宋体" w:cs="宋体"/>
          <w:color w:val="auto"/>
          <w:sz w:val="24"/>
          <w:szCs w:val="24"/>
        </w:rPr>
        <w:t>34.2、成交通知书对采购人和成交供应商具有同等法律效力。成交通知书发出之后，采购人改变成交结果，或者成交供应商放弃成交，应当承担相应的法律责任。</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2" w:firstLineChars="196"/>
        <w:rPr>
          <w:rFonts w:ascii="宋体" w:hAnsi="宋体" w:cs="宋体"/>
          <w:b/>
          <w:bCs/>
          <w:color w:val="auto"/>
          <w:sz w:val="24"/>
          <w:szCs w:val="24"/>
        </w:rPr>
      </w:pPr>
      <w:r>
        <w:rPr>
          <w:rFonts w:hint="eastAsia" w:ascii="宋体" w:hAnsi="宋体" w:cs="宋体"/>
          <w:b/>
          <w:bCs/>
          <w:color w:val="auto"/>
          <w:sz w:val="24"/>
          <w:szCs w:val="24"/>
        </w:rPr>
        <w:t>35</w:t>
      </w:r>
      <w:r>
        <w:rPr>
          <w:rFonts w:hint="eastAsia" w:ascii="宋体" w:hAnsi="宋体" w:cs="宋体"/>
          <w:b/>
          <w:bCs/>
          <w:color w:val="auto"/>
          <w:sz w:val="24"/>
          <w:szCs w:val="24"/>
          <w:lang w:val="zh-CN"/>
        </w:rPr>
        <w:t>、</w:t>
      </w:r>
      <w:r>
        <w:rPr>
          <w:rFonts w:hint="eastAsia" w:ascii="宋体" w:hAnsi="宋体" w:cs="宋体"/>
          <w:b/>
          <w:bCs/>
          <w:color w:val="auto"/>
          <w:sz w:val="24"/>
          <w:szCs w:val="24"/>
        </w:rPr>
        <w:t>采购</w:t>
      </w:r>
      <w:r>
        <w:rPr>
          <w:rFonts w:hint="eastAsia" w:ascii="宋体" w:hAnsi="宋体" w:cs="宋体"/>
          <w:b/>
          <w:bCs/>
          <w:color w:val="auto"/>
          <w:sz w:val="24"/>
          <w:szCs w:val="24"/>
          <w:lang w:val="zh-CN"/>
        </w:rPr>
        <w:t>合同</w:t>
      </w:r>
      <w:r>
        <w:rPr>
          <w:rFonts w:hint="eastAsia" w:ascii="宋体" w:hAnsi="宋体" w:cs="宋体"/>
          <w:b/>
          <w:bCs/>
          <w:color w:val="auto"/>
          <w:sz w:val="24"/>
          <w:szCs w:val="24"/>
        </w:rPr>
        <w:t>的签订</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ascii="宋体" w:hAnsi="宋体" w:cs="宋体"/>
          <w:bCs/>
          <w:color w:val="auto"/>
          <w:sz w:val="24"/>
          <w:szCs w:val="24"/>
        </w:rPr>
      </w:pPr>
      <w:r>
        <w:rPr>
          <w:rFonts w:hint="eastAsia" w:ascii="宋体" w:hAnsi="宋体" w:cs="宋体"/>
          <w:bCs/>
          <w:color w:val="auto"/>
          <w:sz w:val="24"/>
          <w:szCs w:val="24"/>
        </w:rPr>
        <w:t>35.1、采购人应当自成交通知书发出之日起三十日内，按照竞争性谈判文件和成交供应商竞争性谈判响应文件（包括评审中形成的澄清文件）的约定，与成交供应商签订书面合同。所签订的合同不得对竞争性谈判文件和成交供应商的竞争性谈判响应文件（包括评审中形成的澄清文件）作实质性修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ascii="宋体" w:hAnsi="宋体" w:cs="宋体"/>
          <w:bCs/>
          <w:color w:val="auto"/>
          <w:sz w:val="24"/>
          <w:szCs w:val="24"/>
        </w:rPr>
      </w:pPr>
      <w:r>
        <w:rPr>
          <w:rFonts w:hint="eastAsia" w:ascii="宋体" w:hAnsi="宋体" w:cs="宋体"/>
          <w:bCs/>
          <w:color w:val="auto"/>
          <w:sz w:val="24"/>
          <w:szCs w:val="24"/>
        </w:rPr>
        <w:t>35.2、采购人自采购合同签订之日起七个工作日内，将采购合同副本报同级人民政府财政部门备案。</w:t>
      </w:r>
    </w:p>
    <w:p>
      <w:pPr>
        <w:keepLines w:val="0"/>
        <w:pageBreakBefore w:val="0"/>
        <w:widowControl w:val="0"/>
        <w:kinsoku/>
        <w:wordWrap/>
        <w:overflowPunct/>
        <w:topLinePunct w:val="0"/>
        <w:autoSpaceDE w:val="0"/>
        <w:autoSpaceDN w:val="0"/>
        <w:bidi w:val="0"/>
        <w:adjustRightInd w:val="0"/>
        <w:snapToGrid w:val="0"/>
        <w:spacing w:line="440" w:lineRule="exact"/>
        <w:ind w:left="0" w:leftChars="0"/>
        <w:jc w:val="center"/>
        <w:rPr>
          <w:rFonts w:ascii="宋体" w:hAnsi="宋体" w:cs="宋体"/>
          <w:color w:val="auto"/>
        </w:rPr>
      </w:pPr>
      <w:r>
        <w:rPr>
          <w:rFonts w:hint="eastAsia" w:ascii="宋体" w:hAnsi="宋体" w:cs="宋体"/>
          <w:b/>
          <w:bCs/>
          <w:color w:val="auto"/>
          <w:sz w:val="28"/>
          <w:szCs w:val="28"/>
        </w:rPr>
        <w:t>G、招标代理服务费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2" w:firstLineChars="196"/>
        <w:rPr>
          <w:rFonts w:ascii="宋体" w:hAnsi="宋体" w:cs="宋体"/>
          <w:b/>
          <w:color w:val="auto"/>
          <w:sz w:val="24"/>
          <w:szCs w:val="24"/>
        </w:rPr>
      </w:pPr>
      <w:r>
        <w:rPr>
          <w:rFonts w:hint="eastAsia" w:ascii="宋体" w:hAnsi="宋体" w:cs="宋体"/>
          <w:b/>
          <w:color w:val="auto"/>
          <w:sz w:val="24"/>
          <w:szCs w:val="24"/>
        </w:rPr>
        <w:t>36、</w:t>
      </w:r>
      <w:r>
        <w:rPr>
          <w:rFonts w:hint="eastAsia" w:ascii="宋体" w:hAnsi="宋体" w:cs="宋体"/>
          <w:b/>
          <w:color w:val="auto"/>
          <w:sz w:val="24"/>
          <w:szCs w:val="24"/>
          <w:lang w:val="en-US" w:eastAsia="zh-CN"/>
        </w:rPr>
        <w:t>招标代理</w:t>
      </w:r>
      <w:r>
        <w:rPr>
          <w:rFonts w:hint="eastAsia" w:ascii="宋体" w:hAnsi="宋体" w:cs="宋体"/>
          <w:b/>
          <w:color w:val="auto"/>
          <w:sz w:val="24"/>
          <w:szCs w:val="24"/>
        </w:rPr>
        <w:t>服务费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36.1、成交单位在领取成交通知书前，须向采购代理机构支付招标代理服务费。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36.2、招标代理服务费依据国家计委计价格[2002]1980号《招标代理服务收费管理暂行办法》和国家发展改革委员会办公厅颁发的《关于招标代理服务收费有关问题的通知》（发改办价格[2003]857号）规定标准收取，招标代理服务收费按差额定率累进法计算。</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ascii="宋体" w:hAnsi="宋体" w:cs="宋体"/>
          <w:color w:val="auto"/>
          <w:sz w:val="24"/>
          <w:szCs w:val="24"/>
        </w:rPr>
      </w:pPr>
      <w:r>
        <w:rPr>
          <w:rFonts w:hint="eastAsia" w:ascii="宋体" w:hAnsi="宋体" w:cs="宋体"/>
          <w:color w:val="auto"/>
          <w:sz w:val="24"/>
          <w:szCs w:val="24"/>
        </w:rPr>
        <w:t>36.3、</w:t>
      </w:r>
      <w:r>
        <w:rPr>
          <w:rFonts w:hint="eastAsia" w:ascii="宋体" w:hAnsi="宋体" w:cs="宋体"/>
          <w:color w:val="auto"/>
          <w:sz w:val="24"/>
          <w:szCs w:val="24"/>
          <w:lang w:val="en-US" w:eastAsia="zh-CN"/>
        </w:rPr>
        <w:t>招标代理</w:t>
      </w:r>
      <w:r>
        <w:rPr>
          <w:rFonts w:hint="eastAsia" w:ascii="宋体" w:hAnsi="宋体" w:cs="宋体"/>
          <w:color w:val="auto"/>
          <w:sz w:val="24"/>
          <w:szCs w:val="24"/>
        </w:rPr>
        <w:t>服务费账户</w:t>
      </w:r>
    </w:p>
    <w:p>
      <w:pPr>
        <w:keepLines w:val="0"/>
        <w:pageBreakBefore w:val="0"/>
        <w:widowControl w:val="0"/>
        <w:kinsoku/>
        <w:wordWrap/>
        <w:overflowPunct/>
        <w:topLinePunct w:val="0"/>
        <w:autoSpaceDE w:val="0"/>
        <w:autoSpaceDN w:val="0"/>
        <w:bidi w:val="0"/>
        <w:adjustRightInd w:val="0"/>
        <w:snapToGrid w:val="0"/>
        <w:spacing w:line="440" w:lineRule="exact"/>
        <w:ind w:left="488" w:leftChars="228" w:hanging="9" w:hangingChars="4"/>
        <w:rPr>
          <w:rFonts w:hint="eastAsia" w:ascii="宋体" w:hAnsi="宋体" w:eastAsia="宋体" w:cs="宋体"/>
          <w:bCs/>
          <w:color w:val="auto"/>
          <w:sz w:val="24"/>
          <w:szCs w:val="24"/>
        </w:rPr>
      </w:pPr>
      <w:r>
        <w:rPr>
          <w:rFonts w:hint="eastAsia" w:ascii="宋体" w:hAnsi="宋体" w:eastAsia="宋体" w:cs="宋体"/>
          <w:bCs/>
          <w:color w:val="auto"/>
          <w:sz w:val="24"/>
          <w:szCs w:val="24"/>
        </w:rPr>
        <w:t>单位名称：陕西盛仕骄阳项目管理有限公司</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账</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号：61050175580000000415</w:t>
      </w:r>
      <w:r>
        <w:rPr>
          <w:rFonts w:hint="eastAsia" w:ascii="宋体" w:hAnsi="宋体" w:eastAsia="宋体" w:cs="宋体"/>
          <w:bCs/>
          <w:color w:val="auto"/>
          <w:sz w:val="24"/>
          <w:szCs w:val="24"/>
        </w:rPr>
        <w:br w:type="textWrapping"/>
      </w:r>
      <w:r>
        <w:rPr>
          <w:rFonts w:hint="eastAsia" w:ascii="宋体" w:hAnsi="宋体" w:eastAsia="宋体" w:cs="宋体"/>
          <w:bCs/>
          <w:color w:val="auto"/>
          <w:sz w:val="24"/>
          <w:szCs w:val="24"/>
        </w:rPr>
        <w:t>开户行：中国建设银行股份有限公司西安徐家湾支行</w:t>
      </w:r>
    </w:p>
    <w:p>
      <w:pPr>
        <w:keepLines w:val="0"/>
        <w:pageBreakBefore w:val="0"/>
        <w:widowControl w:val="0"/>
        <w:kinsoku/>
        <w:wordWrap/>
        <w:overflowPunct/>
        <w:topLinePunct w:val="0"/>
        <w:autoSpaceDE w:val="0"/>
        <w:autoSpaceDN w:val="0"/>
        <w:bidi w:val="0"/>
        <w:adjustRightInd w:val="0"/>
        <w:snapToGrid w:val="0"/>
        <w:spacing w:line="440" w:lineRule="exact"/>
        <w:ind w:left="0" w:leftChars="0"/>
        <w:jc w:val="center"/>
        <w:rPr>
          <w:rFonts w:ascii="宋体" w:hAnsi="宋体" w:cs="宋体"/>
          <w:b/>
          <w:bCs/>
          <w:color w:val="auto"/>
          <w:sz w:val="28"/>
          <w:szCs w:val="28"/>
        </w:rPr>
      </w:pPr>
      <w:r>
        <w:rPr>
          <w:rFonts w:hint="eastAsia" w:ascii="宋体" w:hAnsi="宋体" w:cs="宋体"/>
          <w:b/>
          <w:bCs/>
          <w:color w:val="auto"/>
          <w:sz w:val="28"/>
          <w:szCs w:val="28"/>
        </w:rPr>
        <w:t>H、其它</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2" w:firstLineChars="196"/>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37</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谈判开始后，出现下列情形之一的，采购代理机构将终止竞争性谈判采购活动，发布项目终止公告并说明原因，重新开展采购活动：</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37.1、</w:t>
      </w:r>
      <w:r>
        <w:rPr>
          <w:rFonts w:hint="eastAsia" w:ascii="宋体" w:hAnsi="宋体" w:eastAsia="宋体" w:cs="宋体"/>
          <w:color w:val="auto"/>
          <w:sz w:val="24"/>
          <w:szCs w:val="24"/>
          <w:lang w:val="zh-CN"/>
        </w:rPr>
        <w:t>因情况变化，不再符合规定的竞争性谈判采购方式适用情形的；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37.2、</w:t>
      </w:r>
      <w:r>
        <w:rPr>
          <w:rFonts w:hint="eastAsia" w:ascii="宋体" w:hAnsi="宋体" w:eastAsia="宋体" w:cs="宋体"/>
          <w:color w:val="auto"/>
          <w:sz w:val="24"/>
          <w:szCs w:val="24"/>
          <w:lang w:val="zh-CN"/>
        </w:rPr>
        <w:t>出现影响采购公正的违法、违规行为的；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37.3、</w:t>
      </w:r>
      <w:r>
        <w:rPr>
          <w:rFonts w:hint="eastAsia" w:ascii="宋体" w:hAnsi="宋体" w:eastAsia="宋体" w:cs="宋体"/>
          <w:color w:val="auto"/>
          <w:sz w:val="24"/>
          <w:szCs w:val="24"/>
          <w:lang w:val="zh-CN"/>
        </w:rPr>
        <w:t>在采购过程中符合要求的供应商不足3家的；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37.4、</w:t>
      </w:r>
      <w:r>
        <w:rPr>
          <w:rFonts w:hint="eastAsia" w:ascii="宋体" w:hAnsi="宋体" w:eastAsia="宋体" w:cs="宋体"/>
          <w:color w:val="auto"/>
          <w:sz w:val="24"/>
          <w:szCs w:val="24"/>
          <w:lang w:val="zh-CN"/>
        </w:rPr>
        <w:t>报价未超过采购预算的供应商不足3家的。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废标后，采购代理机构应在财政部门指定采购网上公告，并公告废标的详细理由。</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38、</w:t>
      </w:r>
      <w:r>
        <w:rPr>
          <w:rFonts w:hint="eastAsia" w:ascii="宋体" w:hAnsi="宋体" w:eastAsia="宋体" w:cs="宋体"/>
          <w:color w:val="auto"/>
          <w:sz w:val="24"/>
          <w:szCs w:val="24"/>
          <w:lang w:val="zh-CN"/>
        </w:rPr>
        <w:t>谈判开始到成交供应商确定前，谈判小组、采购人及有关人员要严格遵循保密原则，任何一方不得向与评审无关的单位和人员透露与谈判有关的其它供应商的技术资料、价格及其它信息。否则，按《中华人民共和国政府采购法》、《中华人民共和国政府采购法实施条例》及有关法律、法规的法律规定进行相应的处罚。</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39</w:t>
      </w:r>
      <w:r>
        <w:rPr>
          <w:rFonts w:hint="eastAsia" w:ascii="宋体" w:hAnsi="宋体" w:eastAsia="宋体" w:cs="宋体"/>
          <w:color w:val="auto"/>
          <w:sz w:val="24"/>
          <w:szCs w:val="24"/>
          <w:lang w:val="zh-CN"/>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巨大的，供应商还应当对超过部分予以赔偿，并依法承担相应法律责任。</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40、</w:t>
      </w:r>
      <w:r>
        <w:rPr>
          <w:rFonts w:hint="eastAsia" w:ascii="宋体" w:hAnsi="宋体" w:eastAsia="宋体" w:cs="宋体"/>
          <w:color w:val="auto"/>
          <w:sz w:val="24"/>
          <w:szCs w:val="24"/>
          <w:lang w:val="zh-CN"/>
        </w:rPr>
        <w:t>根据《陕西省财政厅关于政府采购供应商注册登记有关事项的通知》的规定，供应商在购买标书后，应及时在陕西省政府采购网</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（http://www.ccgp-shaanxi.gov.cn/）注册登记加入陕西省政府采购供应商库。因供应商自身原因未及时登记入库而导致的一切后果由供应商自行承担。</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41、特殊情况的处理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41.1、单一产品采购项目中，提供相同品牌的产品的不同供应商参加同一合同项下投标的，按以下方法处理：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41.2、非单一产品采购项目中，提供相同品牌的核心产品的不同供应商参加同一合同项下投标的，按以下方法处理：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核心产品为两个及以上时，当所有核心产品品牌均相同时，在评审时按同一供应商计算；部分核心产品品牌相同时按不同供应商计算。</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2" w:firstLineChars="196"/>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42</w:t>
      </w:r>
      <w:r>
        <w:rPr>
          <w:rFonts w:hint="eastAsia" w:ascii="宋体" w:hAnsi="宋体" w:eastAsia="宋体" w:cs="宋体"/>
          <w:b/>
          <w:bCs/>
          <w:color w:val="auto"/>
          <w:sz w:val="24"/>
          <w:szCs w:val="24"/>
          <w:lang w:val="zh-CN"/>
        </w:rPr>
        <w:t>、质疑与投诉</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1、供应商认为采购文件、采购过程、中标或者成交结果使自己的权益受到损害的，可以在知道或者应知其权益受到损害之日起7个工作日内，以书面形式向采购人、采购代理机构提出质疑。</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供应商在法定质疑期内应一次性提出针对同一采购程序环节的质疑。</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质疑接受以书面形式送达 以下地址：</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ascii="宋体" w:hAnsi="宋体" w:eastAsia="宋体" w:cs="宋体"/>
          <w:color w:val="auto"/>
          <w:sz w:val="24"/>
          <w:szCs w:val="24"/>
        </w:rPr>
        <w:t>张工</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rPr>
        <w:t>029-89871668</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地址: 西安市未央区凤城八路与渭滨路十字西北角水晶新天地10楼11004室</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2、质疑函应当包括下列内容：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）供应商的姓名或者名称、地址、邮编、联系人及联系电话；</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）质疑项目的名称、编号；</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）具体、明确的质疑事项和与质疑事项相关的请求；</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）事实依据；</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）必要的法律依据；</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）提出质疑的日期。</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3、有下列情形之一的，属于无效质疑，代理机构和采购人不予受理：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）质疑人不是参与本次政府采购项目的供应商或潜在供应商；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）质疑人与质疑事项不存在利害关系的；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）未在法定期限内提出质疑的；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）质疑未以书面形式提出，或质疑函主要内容构成不完整的，或缺乏必要的证明材料及证明材料不完整的；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）质疑函没有合法有效的签字、盖章或授权的；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）以非法手段取得证据、材料的；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）质疑答复后，同一质疑人就同一事项再次提出质疑的；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）不符合法律、法规、规章和政府采购监管机构规定的其他条件的。</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4、代理机构或采购人将在收到书面质疑后7个工作日内做出答复，并以书面形式通知质疑人和其他有关供应商。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5、质疑人对代理机构或采购人的答复不满意，以及代理机构或采购人未在规定时间内做出答复的，可以在答复期满后15个工作日内向政府采购监管机构提出投诉。</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6、供应商投诉的事项不得超出已质疑事项的范围。</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7、对捏造事实、提供虚假材料进行质疑、投诉的行为予以严肃处理：</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zh-CN"/>
        </w:rPr>
        <w:t>8、对捏造事实诬告陷害他人、诽谤他人的法律适用：</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《中华人民共和国刑法》第243条【诬告陷害罪】捏造事实诬告陷害他人，意图使他人受刑事追究，情节严重的，处三年以下有期徒刑、拘役或者管制；造成严重后果的，处三年以上十年以下有期徒刑。</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《中华人民共和国刑法》第246条【侮辱罪、诽谤罪】以暴力或者其他方法公然侮辱他人或者捏造事实诽谤他人，情节严重的，处三年以下有期徒刑、拘役、管制或者剥夺政治权。</w:t>
      </w:r>
    </w:p>
    <w:p>
      <w:pPr>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pStyle w:val="17"/>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pStyle w:val="34"/>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pStyle w:val="35"/>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pStyle w:val="35"/>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pStyle w:val="35"/>
        <w:keepLines w:val="0"/>
        <w:pageBreakBefore w:val="0"/>
        <w:widowControl w:val="0"/>
        <w:kinsoku/>
        <w:wordWrap/>
        <w:overflowPunct/>
        <w:topLinePunct w:val="0"/>
        <w:bidi w:val="0"/>
        <w:spacing w:line="440" w:lineRule="exact"/>
        <w:ind w:left="0" w:leftChars="0" w:firstLine="0" w:firstLineChars="0"/>
        <w:rPr>
          <w:rFonts w:ascii="宋体" w:hAnsi="宋体" w:cs="宋体"/>
          <w:bCs/>
          <w:color w:val="auto"/>
          <w:sz w:val="24"/>
          <w:szCs w:val="24"/>
        </w:rPr>
      </w:pPr>
    </w:p>
    <w:p>
      <w:pPr>
        <w:keepLines w:val="0"/>
        <w:pageBreakBefore w:val="0"/>
        <w:widowControl w:val="0"/>
        <w:kinsoku/>
        <w:wordWrap/>
        <w:overflowPunct/>
        <w:topLinePunct w:val="0"/>
        <w:bidi w:val="0"/>
        <w:spacing w:line="440" w:lineRule="exact"/>
        <w:ind w:left="0" w:leftChars="0"/>
        <w:rPr>
          <w:rFonts w:ascii="宋体" w:hAnsi="宋体" w:cs="宋体"/>
          <w:bCs/>
          <w:color w:val="auto"/>
          <w:sz w:val="24"/>
          <w:szCs w:val="24"/>
        </w:rPr>
      </w:pPr>
    </w:p>
    <w:p>
      <w:pPr>
        <w:pStyle w:val="34"/>
        <w:keepLines w:val="0"/>
        <w:pageBreakBefore w:val="0"/>
        <w:widowControl w:val="0"/>
        <w:kinsoku/>
        <w:wordWrap/>
        <w:overflowPunct/>
        <w:topLinePunct w:val="0"/>
        <w:bidi w:val="0"/>
        <w:spacing w:line="440" w:lineRule="exact"/>
        <w:ind w:left="0" w:leftChars="0"/>
        <w:rPr>
          <w:color w:val="auto"/>
        </w:rPr>
      </w:pPr>
    </w:p>
    <w:p>
      <w:pPr>
        <w:rPr>
          <w:color w:val="auto"/>
        </w:rPr>
      </w:pPr>
    </w:p>
    <w:p>
      <w:pPr>
        <w:pStyle w:val="2"/>
        <w:rPr>
          <w:color w:val="auto"/>
        </w:rPr>
      </w:pPr>
    </w:p>
    <w:p>
      <w:pPr>
        <w:pStyle w:val="2"/>
        <w:keepLines w:val="0"/>
        <w:pageBreakBefore w:val="0"/>
        <w:widowControl w:val="0"/>
        <w:kinsoku/>
        <w:wordWrap/>
        <w:overflowPunct/>
        <w:topLinePunct w:val="0"/>
        <w:bidi w:val="0"/>
        <w:spacing w:line="440" w:lineRule="exact"/>
        <w:ind w:left="0" w:leftChars="0"/>
        <w:rPr>
          <w:rFonts w:ascii="宋体" w:hAnsi="宋体" w:cs="宋体"/>
          <w:bCs/>
          <w:color w:val="auto"/>
          <w:sz w:val="24"/>
        </w:rPr>
      </w:pPr>
    </w:p>
    <w:p>
      <w:pPr>
        <w:pStyle w:val="2"/>
        <w:keepLines w:val="0"/>
        <w:pageBreakBefore w:val="0"/>
        <w:widowControl w:val="0"/>
        <w:kinsoku/>
        <w:wordWrap/>
        <w:overflowPunct/>
        <w:topLinePunct w:val="0"/>
        <w:bidi w:val="0"/>
        <w:spacing w:line="440" w:lineRule="exact"/>
        <w:ind w:left="0" w:leftChars="0"/>
        <w:rPr>
          <w:rFonts w:ascii="宋体" w:hAnsi="宋体" w:cs="宋体"/>
          <w:bCs/>
          <w:color w:val="auto"/>
          <w:sz w:val="24"/>
        </w:rPr>
      </w:pPr>
    </w:p>
    <w:p>
      <w:pPr>
        <w:pStyle w:val="2"/>
        <w:keepLines w:val="0"/>
        <w:pageBreakBefore w:val="0"/>
        <w:widowControl w:val="0"/>
        <w:kinsoku/>
        <w:wordWrap/>
        <w:overflowPunct/>
        <w:topLinePunct w:val="0"/>
        <w:bidi w:val="0"/>
        <w:spacing w:line="440" w:lineRule="exact"/>
        <w:ind w:left="0" w:leftChars="0"/>
        <w:rPr>
          <w:rFonts w:ascii="宋体" w:hAnsi="宋体" w:cs="宋体"/>
          <w:bCs/>
          <w:color w:val="auto"/>
          <w:sz w:val="24"/>
        </w:rPr>
      </w:pPr>
    </w:p>
    <w:p>
      <w:pPr>
        <w:pStyle w:val="2"/>
        <w:keepLines w:val="0"/>
        <w:pageBreakBefore w:val="0"/>
        <w:widowControl w:val="0"/>
        <w:kinsoku/>
        <w:wordWrap/>
        <w:overflowPunct/>
        <w:topLinePunct w:val="0"/>
        <w:bidi w:val="0"/>
        <w:spacing w:line="440" w:lineRule="exact"/>
        <w:ind w:left="0" w:leftChars="0"/>
        <w:rPr>
          <w:rFonts w:ascii="宋体" w:hAnsi="宋体" w:cs="宋体"/>
          <w:bCs/>
          <w:color w:val="auto"/>
          <w:sz w:val="24"/>
        </w:rPr>
      </w:pPr>
    </w:p>
    <w:p>
      <w:pPr>
        <w:keepLines w:val="0"/>
        <w:pageBreakBefore w:val="0"/>
        <w:widowControl w:val="0"/>
        <w:kinsoku/>
        <w:wordWrap/>
        <w:overflowPunct/>
        <w:topLinePunct w:val="0"/>
        <w:bidi w:val="0"/>
        <w:spacing w:line="440" w:lineRule="exact"/>
        <w:ind w:left="0" w:leftChars="0"/>
        <w:jc w:val="center"/>
        <w:rPr>
          <w:rFonts w:ascii="宋体" w:hAnsi="宋体" w:cs="宋体"/>
          <w:bCs/>
          <w:color w:val="auto"/>
          <w:sz w:val="28"/>
          <w:szCs w:val="28"/>
        </w:rPr>
      </w:pPr>
      <w:r>
        <w:rPr>
          <w:rFonts w:hint="eastAsia" w:ascii="宋体" w:hAnsi="宋体" w:cs="宋体"/>
          <w:bCs/>
          <w:color w:val="auto"/>
          <w:sz w:val="24"/>
          <w:szCs w:val="24"/>
        </w:rPr>
        <w:t>质疑函范本</w:t>
      </w:r>
    </w:p>
    <w:tbl>
      <w:tblPr>
        <w:tblStyle w:val="36"/>
        <w:tblW w:w="8354"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一、质疑供应商基本信息</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质疑供应商</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地址：                                       邮编：</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联系人：                                     联系电话</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授权代表：</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联系电话：</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地址：                                       邮编：</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二、质疑项目基本情况</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质疑项目的名称：</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质疑项目的编号：</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包号：</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采购人名称：</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采购文件获取日期：</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三、质疑项目具体内容</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质疑事项1：</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事实依据：</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法律依据</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质疑事项2：</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四、与质疑事项相关的质疑请求</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请求：</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bCs/>
                <w:color w:val="auto"/>
                <w:sz w:val="24"/>
              </w:rPr>
            </w:pPr>
            <w:r>
              <w:rPr>
                <w:rFonts w:hint="eastAsia" w:ascii="宋体" w:hAnsi="宋体" w:cs="宋体"/>
                <w:bCs/>
                <w:color w:val="auto"/>
                <w:sz w:val="24"/>
              </w:rPr>
              <w:t>签字（签章）：                          公章：</w:t>
            </w:r>
          </w:p>
          <w:p>
            <w:pPr>
              <w:pStyle w:val="17"/>
              <w:keepLines w:val="0"/>
              <w:pageBreakBefore w:val="0"/>
              <w:widowControl w:val="0"/>
              <w:kinsoku/>
              <w:wordWrap/>
              <w:overflowPunct/>
              <w:topLinePunct w:val="0"/>
              <w:bidi w:val="0"/>
              <w:spacing w:line="440" w:lineRule="exact"/>
              <w:ind w:left="0" w:leftChars="0" w:firstLine="480" w:firstLineChars="200"/>
              <w:rPr>
                <w:rFonts w:ascii="宋体" w:hAnsi="宋体" w:cs="宋体"/>
                <w:color w:val="auto"/>
              </w:rPr>
            </w:pPr>
            <w:r>
              <w:rPr>
                <w:rFonts w:hint="eastAsia" w:ascii="宋体" w:hAnsi="宋体" w:cs="宋体"/>
                <w:bCs/>
                <w:color w:val="auto"/>
                <w:sz w:val="24"/>
              </w:rPr>
              <w:t>日期：</w:t>
            </w:r>
          </w:p>
        </w:tc>
      </w:tr>
    </w:tbl>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rPr>
        <w:t>42.9、</w:t>
      </w:r>
      <w:r>
        <w:rPr>
          <w:rFonts w:hint="eastAsia" w:ascii="宋体" w:hAnsi="宋体" w:eastAsia="宋体" w:cs="宋体"/>
          <w:color w:val="auto"/>
          <w:sz w:val="24"/>
          <w:szCs w:val="24"/>
          <w:lang w:val="zh-CN"/>
        </w:rPr>
        <w:t>投诉</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供应商和其他利害关系人认为本次招标采购活动违反法律、法规和规章规定的，有权向有关行政监督机构投诉。</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）质疑人对采购代理机构或采购人的答复不满意，以及采购代理机构或采购人未在规定时间内做出答复的，可以在答复期满后15个工作日内向政府采购监管机构提出投诉。</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）供应商投诉的事项不得超出已质疑事项的范围。</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）投诉书范本格式在中国政府采购网站（http://www.ccgp.gov.cn/）自行下载。</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43、信用担保</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43.1、陕西省政府采购信用担保及信用融资政策</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为发挥政府采购促进中小企业发展的政策功能，陕西省财政厅制定了《关于推进加快我省中小企业政府采购信用融资工作的通知》（陕财办采〔2020〕15号），西安市财政局制定了《西安市财政局关于贯彻落实&lt;西安市政府采购信用担保及信用融资工作实施方案（试行）&gt;有关事宜的通知》（市财发〔2015〕4号），为参与西安市市级政府采购项目的供应商提供政府采购信用担保和融资服务，并按照程序确定了合作的担保机构和商业银行。成交人如果需要融资贷款服务的，可凭成交通知书、政府采购合同等相关资料，按照实施方案规定的程序申请办理，具体规定可登陆西安政府采购网(www.xazfcg.gov.cn)重要通知专栏和西安市财政局网站(www.xaczj.gov.cn)政府采购专栏中查询了解。</w:t>
      </w:r>
    </w:p>
    <w:p>
      <w:pPr>
        <w:keepLines w:val="0"/>
        <w:pageBreakBefore w:val="0"/>
        <w:widowControl w:val="0"/>
        <w:kinsoku/>
        <w:wordWrap/>
        <w:overflowPunct/>
        <w:topLinePunct w:val="0"/>
        <w:autoSpaceDE w:val="0"/>
        <w:autoSpaceDN w:val="0"/>
        <w:bidi w:val="0"/>
        <w:adjustRightInd w:val="0"/>
        <w:snapToGrid w:val="0"/>
        <w:spacing w:line="440" w:lineRule="exact"/>
        <w:ind w:left="0" w:leftChars="0"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后附：政府采购信用担保及信用融资合作机构联系名单</w:t>
      </w: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pPr>
    </w:p>
    <w:p>
      <w:pPr>
        <w:pStyle w:val="34"/>
        <w:autoSpaceDE w:val="0"/>
        <w:autoSpaceDN w:val="0"/>
        <w:snapToGrid w:val="0"/>
        <w:spacing w:line="520" w:lineRule="exact"/>
        <w:ind w:firstLine="0"/>
        <w:jc w:val="center"/>
        <w:textAlignment w:val="bottom"/>
        <w:rPr>
          <w:rFonts w:ascii="宋体" w:hAnsi="宋体" w:cs="宋体"/>
          <w:color w:val="auto"/>
          <w:sz w:val="36"/>
          <w:szCs w:val="36"/>
        </w:rPr>
        <w:sectPr>
          <w:footerReference r:id="rId15" w:type="first"/>
          <w:headerReference r:id="rId13" w:type="default"/>
          <w:footerReference r:id="rId14" w:type="default"/>
          <w:pgSz w:w="11906" w:h="16838"/>
          <w:pgMar w:top="1417" w:right="1418" w:bottom="1417" w:left="1417" w:header="851" w:footer="992" w:gutter="0"/>
          <w:pgNumType w:fmt="decimal"/>
          <w:cols w:space="720" w:num="1"/>
          <w:docGrid w:type="lines" w:linePitch="312" w:charSpace="0"/>
        </w:sectPr>
      </w:pPr>
    </w:p>
    <w:tbl>
      <w:tblPr>
        <w:tblStyle w:val="36"/>
        <w:tblW w:w="9193" w:type="dxa"/>
        <w:tblInd w:w="93" w:type="dxa"/>
        <w:tblLayout w:type="fixed"/>
        <w:tblCellMar>
          <w:top w:w="0" w:type="dxa"/>
          <w:left w:w="108" w:type="dxa"/>
          <w:bottom w:w="0" w:type="dxa"/>
          <w:right w:w="108" w:type="dxa"/>
        </w:tblCellMar>
      </w:tblPr>
      <w:tblGrid>
        <w:gridCol w:w="554"/>
        <w:gridCol w:w="1925"/>
        <w:gridCol w:w="1950"/>
        <w:gridCol w:w="1109"/>
        <w:gridCol w:w="1133"/>
        <w:gridCol w:w="1629"/>
        <w:gridCol w:w="893"/>
      </w:tblGrid>
      <w:tr>
        <w:tblPrEx>
          <w:tblCellMar>
            <w:top w:w="0" w:type="dxa"/>
            <w:left w:w="108" w:type="dxa"/>
            <w:bottom w:w="0" w:type="dxa"/>
            <w:right w:w="108" w:type="dxa"/>
          </w:tblCellMar>
        </w:tblPrEx>
        <w:trPr>
          <w:trHeight w:val="699" w:hRule="atLeast"/>
        </w:trPr>
        <w:tc>
          <w:tcPr>
            <w:tcW w:w="8300" w:type="dxa"/>
            <w:gridSpan w:val="6"/>
            <w:tcBorders>
              <w:top w:val="nil"/>
              <w:left w:val="nil"/>
              <w:bottom w:val="single" w:color="000000" w:sz="4" w:space="0"/>
              <w:right w:val="nil"/>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2017年西安市政府采购信用担保及信用融资合作机构联系名单</w:t>
            </w:r>
          </w:p>
        </w:tc>
        <w:tc>
          <w:tcPr>
            <w:tcW w:w="893" w:type="dxa"/>
            <w:tcBorders>
              <w:top w:val="nil"/>
              <w:left w:val="nil"/>
              <w:bottom w:val="nil"/>
              <w:right w:val="nil"/>
            </w:tcBorders>
            <w:vAlign w:val="center"/>
          </w:tcPr>
          <w:p>
            <w:pPr>
              <w:spacing w:line="360" w:lineRule="atLeast"/>
              <w:rPr>
                <w:rFonts w:ascii="宋体" w:hAnsi="宋体" w:cs="宋体"/>
                <w:color w:val="auto"/>
                <w:sz w:val="24"/>
                <w:szCs w:val="24"/>
              </w:rPr>
            </w:pPr>
          </w:p>
        </w:tc>
      </w:tr>
      <w:tr>
        <w:tblPrEx>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序号</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合作单位名称</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主办单位名称</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联系部门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联系人员</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联系电话</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CellMar>
            <w:top w:w="0" w:type="dxa"/>
            <w:left w:w="108" w:type="dxa"/>
            <w:bottom w:w="0" w:type="dxa"/>
            <w:right w:w="108" w:type="dxa"/>
          </w:tblCellMar>
        </w:tblPrEx>
        <w:trPr>
          <w:trHeight w:val="10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西安投融资担保有限公司</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西安投融资担保有限公司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业务五部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李晓</w:t>
            </w:r>
          </w:p>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何彦君</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张华</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88499422 13572821281</w:t>
            </w:r>
          </w:p>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88499422 13679255205</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88499422 18220823060</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信用担保</w:t>
            </w:r>
          </w:p>
        </w:tc>
      </w:tr>
      <w:tr>
        <w:tblPrEx>
          <w:tblCellMar>
            <w:top w:w="0" w:type="dxa"/>
            <w:left w:w="108" w:type="dxa"/>
            <w:bottom w:w="0" w:type="dxa"/>
            <w:right w:w="108" w:type="dxa"/>
          </w:tblCellMar>
        </w:tblPrEx>
        <w:trPr>
          <w:trHeight w:val="10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陕西省信用再担保</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有限责任公司</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陕西省信用再担保</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有限责任公司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业务三部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夏靖颜</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朱筠祥</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88606038-6027</w:t>
            </w:r>
          </w:p>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18591406320</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18629282228</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信用担保</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中国银行西安二环世纪星支行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公司业务部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 xml:space="preserve">胡涛 </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叶楚沙</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88360743 18629048822</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88360749 13772153612</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中国建设银行股份有限公司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建设银行西安市南大街支行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杨向晖</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87281468</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13379229383</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中国工商银行股份有限公司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陕西省分行营业部</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工商银行陕西分行营业部</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小企业金融业务部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牛国群</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张航</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87609569 18992851811</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87609761 13891883334</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中国农业银行股份有限公司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陕西省分行营业部</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农业银行西安西大街支行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公司业务部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贾珊</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高雅</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87617245 13891957123</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87613444 13659192425</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7</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交通银行股份有限公司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陕西省分行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交通银行西安西五路支行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个人贷款中心</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李卫公</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雷强</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87297632 13991290525</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87272444 18629362690</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8</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招商银行股份有限公司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招商银行西安未央路支行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公司银行部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杨皓</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马秦香</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62811553 15002905553</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62811553 13609183259</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9</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中国民生银行股份有限公司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民生银行西安分行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城建金融部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李楠</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88266088-8450</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13572058213</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中国光大银行股份有限公司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光大银行经济技术开发区支行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对公客户经理部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高艺瑄</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15619006186</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昆仑银行股份有限公司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昆仑银行西安分行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机构投行部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韩天清</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86978975</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15609108028</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12</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平安银行股份有限公司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平安银行西安分行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业务发展七部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祝捷</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王尧</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18629505188</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18591767577</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13</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北京银行股份有限公司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北京银行西安分行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营业部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范诗阳</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曹英</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13991945764</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18691892195</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14</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兴业银行股份有限公司</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西安分行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兴业银行西安分行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新城业务总部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徐常磊</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鲁旸</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15991623666</w:t>
            </w:r>
          </w:p>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15389081886</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15</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fldChar w:fldCharType="begin"/>
            </w:r>
            <w:r>
              <w:rPr>
                <w:rFonts w:hint="eastAsia" w:ascii="宋体" w:hAnsi="宋体" w:cs="宋体"/>
                <w:b/>
                <w:bCs/>
                <w:color w:val="auto"/>
                <w:kern w:val="0"/>
                <w:sz w:val="24"/>
                <w:szCs w:val="24"/>
                <w:lang w:val="en-US" w:eastAsia="zh-CN" w:bidi="ar"/>
              </w:rPr>
              <w:instrText xml:space="preserve"> HYPERLINK "https://www.163.com/dy/article/HLH9341L0553SFSK.html" \o "中国邮政储蓄银行股份有限公司濮阳市分行机关和城区支行职工食堂" \t "https://news.so.com/_blank" </w:instrText>
            </w:r>
            <w:r>
              <w:rPr>
                <w:rFonts w:hint="eastAsia" w:ascii="宋体" w:hAnsi="宋体" w:cs="宋体"/>
                <w:b/>
                <w:bCs/>
                <w:color w:val="auto"/>
                <w:kern w:val="0"/>
                <w:sz w:val="24"/>
                <w:szCs w:val="24"/>
                <w:lang w:val="en-US" w:eastAsia="zh-CN" w:bidi="ar"/>
              </w:rPr>
              <w:fldChar w:fldCharType="separate"/>
            </w:r>
            <w:r>
              <w:rPr>
                <w:rFonts w:hint="eastAsia" w:ascii="宋体" w:hAnsi="宋体" w:cs="宋体"/>
                <w:b/>
                <w:bCs/>
                <w:color w:val="auto"/>
                <w:kern w:val="0"/>
                <w:sz w:val="24"/>
                <w:szCs w:val="24"/>
                <w:lang w:val="en-US" w:eastAsia="zh-CN" w:bidi="ar"/>
              </w:rPr>
              <w:t>中国邮政储蓄银行股份有限公司</w:t>
            </w:r>
          </w:p>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fldChar w:fldCharType="end"/>
            </w:r>
            <w:r>
              <w:rPr>
                <w:rFonts w:hint="eastAsia" w:ascii="宋体" w:hAnsi="宋体" w:cs="宋体"/>
                <w:b/>
                <w:bCs/>
                <w:color w:val="auto"/>
                <w:kern w:val="0"/>
                <w:sz w:val="24"/>
                <w:szCs w:val="24"/>
                <w:lang w:val="en-US" w:eastAsia="zh-CN" w:bidi="ar"/>
              </w:rPr>
              <w:t>潼关县支行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邮政银行</w:t>
            </w:r>
          </w:p>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营业部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温琪琪</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13201516603</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16</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中国工商银行股份有限公司</w:t>
            </w:r>
          </w:p>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潼关县支行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工商银行</w:t>
            </w:r>
          </w:p>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营业部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关侃锋</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13892382965</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17</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中国农业银行股份有限公司</w:t>
            </w:r>
          </w:p>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潼关县支行</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农业银行</w:t>
            </w:r>
          </w:p>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潼关县支行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营业部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霍龙渊</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18191369227</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信用融资</w:t>
            </w:r>
          </w:p>
        </w:tc>
      </w:tr>
      <w:tr>
        <w:tblPrEx>
          <w:tblCellMar>
            <w:top w:w="0" w:type="dxa"/>
            <w:left w:w="108" w:type="dxa"/>
            <w:bottom w:w="0" w:type="dxa"/>
            <w:right w:w="108" w:type="dxa"/>
          </w:tblCellMar>
        </w:tblPrEx>
        <w:trPr>
          <w:trHeight w:val="71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18</w:t>
            </w:r>
          </w:p>
        </w:tc>
        <w:tc>
          <w:tcPr>
            <w:tcW w:w="19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潼关县农村信用合作联社</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潼关县农村信用合作联社</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潼关县</w:t>
            </w:r>
            <w:r>
              <w:rPr>
                <w:rFonts w:hint="eastAsia" w:ascii="宋体" w:hAnsi="宋体" w:cs="宋体"/>
                <w:b/>
                <w:bCs/>
                <w:color w:val="auto"/>
                <w:kern w:val="0"/>
                <w:sz w:val="24"/>
                <w:szCs w:val="24"/>
                <w:lang w:bidi="ar"/>
              </w:rPr>
              <w:t>业务总部</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孙阳</w:t>
            </w:r>
          </w:p>
        </w:tc>
        <w:tc>
          <w:tcPr>
            <w:tcW w:w="162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18191510909</w:t>
            </w: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tLeas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信用融资</w:t>
            </w:r>
          </w:p>
        </w:tc>
      </w:tr>
      <w:tr>
        <w:tblPrEx>
          <w:tblCellMar>
            <w:top w:w="0" w:type="dxa"/>
            <w:left w:w="108" w:type="dxa"/>
            <w:bottom w:w="0" w:type="dxa"/>
            <w:right w:w="108" w:type="dxa"/>
          </w:tblCellMar>
        </w:tblPrEx>
        <w:trPr>
          <w:trHeight w:val="763" w:hRule="atLeast"/>
        </w:trPr>
        <w:tc>
          <w:tcPr>
            <w:tcW w:w="9193" w:type="dxa"/>
            <w:gridSpan w:val="7"/>
            <w:tcBorders>
              <w:top w:val="nil"/>
              <w:left w:val="nil"/>
              <w:bottom w:val="nil"/>
              <w:right w:val="nil"/>
            </w:tcBorders>
            <w:vAlign w:val="center"/>
          </w:tcPr>
          <w:p>
            <w:pPr>
              <w:widowControl/>
              <w:spacing w:line="360" w:lineRule="atLeast"/>
              <w:jc w:val="left"/>
              <w:textAlignment w:val="center"/>
              <w:rPr>
                <w:rFonts w:ascii="宋体" w:hAnsi="宋体" w:cs="宋体"/>
                <w:color w:val="auto"/>
                <w:sz w:val="24"/>
                <w:szCs w:val="24"/>
              </w:rPr>
            </w:pPr>
            <w:r>
              <w:rPr>
                <w:rFonts w:hint="eastAsia" w:ascii="宋体" w:hAnsi="宋体" w:cs="宋体"/>
                <w:color w:val="auto"/>
                <w:kern w:val="0"/>
                <w:sz w:val="24"/>
                <w:szCs w:val="24"/>
                <w:lang w:bidi="ar"/>
              </w:rPr>
              <w:t>注：本项工作依据西安市财政局门户网站“政府采购”专栏中《西安市政府采购信用担保及融资工作实施方案（试行）》（市财发[2014]167号）组织开展，本表信息如有变动，请信息报送单位在发生变更之日起3个工作日内向西安市财政局备案，否则责任自负。</w:t>
            </w:r>
          </w:p>
        </w:tc>
      </w:tr>
    </w:tbl>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21"/>
        <w:spacing w:line="520" w:lineRule="exact"/>
        <w:rPr>
          <w:rFonts w:hAnsi="宋体" w:cs="宋体"/>
          <w:color w:val="auto"/>
          <w:sz w:val="24"/>
          <w:szCs w:val="24"/>
          <w:lang w:val="zh-CN"/>
        </w:rPr>
      </w:pPr>
    </w:p>
    <w:p>
      <w:pPr>
        <w:pStyle w:val="3"/>
        <w:keepLines w:val="0"/>
        <w:pageBreakBefore w:val="0"/>
        <w:widowControl w:val="0"/>
        <w:kinsoku/>
        <w:wordWrap/>
        <w:overflowPunct/>
        <w:topLinePunct w:val="0"/>
        <w:bidi w:val="0"/>
        <w:spacing w:line="440" w:lineRule="exact"/>
        <w:textAlignment w:val="auto"/>
        <w:rPr>
          <w:rFonts w:ascii="宋体" w:hAnsi="宋体" w:eastAsia="宋体" w:cs="宋体"/>
          <w:b/>
          <w:color w:val="auto"/>
          <w:szCs w:val="28"/>
        </w:rPr>
      </w:pPr>
      <w:bookmarkStart w:id="29" w:name="_Toc21220"/>
      <w:r>
        <w:rPr>
          <w:rFonts w:hint="eastAsia" w:ascii="宋体" w:hAnsi="宋体" w:eastAsia="宋体" w:cs="宋体"/>
          <w:b/>
          <w:color w:val="auto"/>
          <w:szCs w:val="28"/>
        </w:rPr>
        <w:t>第四章 评审办法</w:t>
      </w:r>
      <w:bookmarkEnd w:id="29"/>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1、评审方法：</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pacing w:val="4"/>
          <w:sz w:val="24"/>
          <w:szCs w:val="24"/>
        </w:rPr>
      </w:pPr>
      <w:r>
        <w:rPr>
          <w:rFonts w:hint="eastAsia" w:ascii="宋体" w:hAnsi="宋体" w:cs="宋体"/>
          <w:color w:val="auto"/>
          <w:sz w:val="24"/>
          <w:szCs w:val="24"/>
        </w:rPr>
        <w:t>按照《中华人民共和国政府采购法》及实施条例</w:t>
      </w:r>
      <w:r>
        <w:rPr>
          <w:rFonts w:hint="eastAsia" w:ascii="宋体" w:hAnsi="宋体" w:cs="宋体"/>
          <w:color w:val="auto"/>
          <w:sz w:val="24"/>
          <w:szCs w:val="24"/>
          <w:lang w:eastAsia="zh-CN"/>
        </w:rPr>
        <w:t>、</w:t>
      </w:r>
      <w:r>
        <w:rPr>
          <w:rFonts w:hint="eastAsia" w:ascii="宋体" w:hAnsi="宋体" w:cs="宋体"/>
          <w:color w:val="auto"/>
          <w:sz w:val="24"/>
          <w:szCs w:val="24"/>
        </w:rPr>
        <w:t>《政府采购非招标采购方式管理办法》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74号令</w:t>
      </w:r>
      <w:r>
        <w:rPr>
          <w:rFonts w:hint="eastAsia" w:ascii="宋体" w:hAnsi="宋体" w:cs="宋体"/>
          <w:color w:val="auto"/>
          <w:sz w:val="24"/>
          <w:szCs w:val="24"/>
          <w:lang w:eastAsia="zh-CN"/>
        </w:rPr>
        <w:t>）</w:t>
      </w:r>
      <w:r>
        <w:rPr>
          <w:rFonts w:hint="eastAsia" w:ascii="宋体" w:hAnsi="宋体" w:eastAsia="宋体" w:cs="宋体"/>
          <w:color w:val="auto"/>
          <w:sz w:val="24"/>
          <w:szCs w:val="24"/>
        </w:rPr>
        <w:t>的规定</w:t>
      </w:r>
      <w:r>
        <w:rPr>
          <w:rFonts w:hint="eastAsia" w:ascii="宋体" w:hAnsi="宋体" w:eastAsia="宋体" w:cs="宋体"/>
          <w:color w:val="auto"/>
          <w:sz w:val="24"/>
          <w:szCs w:val="24"/>
          <w:lang w:val="en-US" w:eastAsia="zh-CN"/>
        </w:rPr>
        <w:t>及政府采购货物和服务招标投标管理办法（87号令）</w:t>
      </w:r>
      <w:r>
        <w:rPr>
          <w:rFonts w:hint="eastAsia" w:ascii="宋体" w:hAnsi="宋体" w:cs="宋体"/>
          <w:color w:val="auto"/>
          <w:spacing w:val="4"/>
          <w:sz w:val="24"/>
          <w:szCs w:val="24"/>
        </w:rPr>
        <w:t>的规定，本次评标采用最低评标价法，即在最大限度地满足竞争性谈判文件实质性要求前提下，按照供应商的最终报价由低到高确定成交候选人并依次排序。</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2、评审标准</w:t>
      </w:r>
    </w:p>
    <w:p>
      <w:pPr>
        <w:keepNext w:val="0"/>
        <w:keepLines w:val="0"/>
        <w:pageBreakBefore w:val="0"/>
        <w:widowControl w:val="0"/>
        <w:tabs>
          <w:tab w:val="left" w:pos="0"/>
        </w:tabs>
        <w:kinsoku/>
        <w:wordWrap/>
        <w:overflowPunct/>
        <w:topLinePunct w:val="0"/>
        <w:bidi w:val="0"/>
        <w:adjustRightInd w:val="0"/>
        <w:snapToGrid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2.1、初步评审标准</w:t>
      </w:r>
    </w:p>
    <w:p>
      <w:pPr>
        <w:keepNext w:val="0"/>
        <w:keepLines w:val="0"/>
        <w:pageBreakBefore w:val="0"/>
        <w:widowControl w:val="0"/>
        <w:tabs>
          <w:tab w:val="left" w:pos="0"/>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2.1.1、资格性审查标准：见附件1初步审查要素表</w:t>
      </w:r>
    </w:p>
    <w:p>
      <w:pPr>
        <w:keepNext w:val="0"/>
        <w:keepLines w:val="0"/>
        <w:pageBreakBefore w:val="0"/>
        <w:widowControl w:val="0"/>
        <w:tabs>
          <w:tab w:val="left" w:pos="0"/>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2.1.2、符合性审查标准：见附件1初步审查要素表</w:t>
      </w:r>
    </w:p>
    <w:p>
      <w:pPr>
        <w:keepNext w:val="0"/>
        <w:keepLines w:val="0"/>
        <w:pageBreakBefore w:val="0"/>
        <w:widowControl w:val="0"/>
        <w:kinsoku/>
        <w:wordWrap/>
        <w:overflowPunct/>
        <w:topLinePunct w:val="0"/>
        <w:bidi w:val="0"/>
        <w:spacing w:line="440" w:lineRule="exact"/>
        <w:ind w:firstLine="498" w:firstLineChars="200"/>
        <w:textAlignment w:val="auto"/>
        <w:rPr>
          <w:rFonts w:ascii="宋体" w:hAnsi="宋体" w:cs="宋体"/>
          <w:b/>
          <w:color w:val="auto"/>
          <w:spacing w:val="4"/>
          <w:sz w:val="24"/>
          <w:szCs w:val="24"/>
        </w:rPr>
      </w:pPr>
      <w:r>
        <w:rPr>
          <w:rFonts w:hint="eastAsia" w:ascii="宋体" w:hAnsi="宋体" w:cs="宋体"/>
          <w:b/>
          <w:color w:val="auto"/>
          <w:spacing w:val="4"/>
          <w:sz w:val="24"/>
          <w:szCs w:val="24"/>
        </w:rPr>
        <w:t>3、评审程序：</w:t>
      </w:r>
    </w:p>
    <w:p>
      <w:pPr>
        <w:pStyle w:val="28"/>
        <w:keepNext w:val="0"/>
        <w:keepLines w:val="0"/>
        <w:pageBreakBefore w:val="0"/>
        <w:widowControl w:val="0"/>
        <w:kinsoku/>
        <w:wordWrap/>
        <w:overflowPunct/>
        <w:topLinePunct w:val="0"/>
        <w:bidi w:val="0"/>
        <w:spacing w:line="440" w:lineRule="exact"/>
        <w:ind w:firstLine="480" w:firstLineChars="200"/>
        <w:textAlignment w:val="auto"/>
        <w:rPr>
          <w:rFonts w:hAnsi="宋体" w:cs="宋体"/>
          <w:color w:val="auto"/>
          <w:sz w:val="24"/>
          <w:szCs w:val="24"/>
        </w:rPr>
      </w:pPr>
      <w:r>
        <w:rPr>
          <w:rFonts w:hint="eastAsia" w:hAnsi="宋体" w:cs="宋体"/>
          <w:color w:val="auto"/>
          <w:sz w:val="24"/>
          <w:szCs w:val="24"/>
        </w:rPr>
        <w:t>按照竞争性谈判响应文件初审、澄清有关问题、分别谈判、二次报价推荐成交候选人名单。在上一步评审中被认定为无效谈判者，不进入下一步的评审。</w:t>
      </w:r>
    </w:p>
    <w:p>
      <w:pPr>
        <w:keepNext w:val="0"/>
        <w:keepLines w:val="0"/>
        <w:pageBreakBefore w:val="0"/>
        <w:widowControl w:val="0"/>
        <w:kinsoku/>
        <w:wordWrap/>
        <w:overflowPunct/>
        <w:topLinePunct w:val="0"/>
        <w:bidi w:val="0"/>
        <w:spacing w:line="440" w:lineRule="exact"/>
        <w:ind w:firstLine="496" w:firstLineChars="200"/>
        <w:textAlignment w:val="auto"/>
        <w:rPr>
          <w:rFonts w:ascii="宋体" w:hAnsi="宋体" w:cs="宋体"/>
          <w:color w:val="auto"/>
          <w:spacing w:val="4"/>
          <w:sz w:val="24"/>
          <w:szCs w:val="24"/>
        </w:rPr>
      </w:pPr>
      <w:r>
        <w:rPr>
          <w:rFonts w:hint="eastAsia" w:ascii="宋体" w:hAnsi="宋体" w:cs="宋体"/>
          <w:color w:val="auto"/>
          <w:spacing w:val="4"/>
          <w:sz w:val="24"/>
          <w:szCs w:val="24"/>
        </w:rPr>
        <w:t>3.1、对谈判响应文件的初审：</w:t>
      </w:r>
    </w:p>
    <w:p>
      <w:pPr>
        <w:keepNext w:val="0"/>
        <w:keepLines w:val="0"/>
        <w:pageBreakBefore w:val="0"/>
        <w:widowControl w:val="0"/>
        <w:tabs>
          <w:tab w:val="left" w:pos="0"/>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3.1.1、资格性审查：采购人或代理机构将依据本章第 2.1.1 项规定的评审标准对谈判响应文件进行资格性审查。有一项不符合评审标准的，将被视为未实质性响应谈判文件，其谈判响应文件将按无效文件处理。</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3.1.2、符合性审查：谈判小组根据本章第 2.1.2 项规定的评审标准对谈判响应文件进行符合性评审。有一项不符合评审标准的，将被视为未实质性响应谈判文件，其谈判响应文件将按无效文件处理。</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在资格性审查阶段，不符合谈判文件要求的，不得进入符合性审查，在符合性审查时未通过的，不得进入后续评审环节。</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3.2、谈判响应文件的澄清</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3.2.</w:t>
      </w:r>
      <w:r>
        <w:rPr>
          <w:rFonts w:hint="eastAsia" w:ascii="宋体" w:hAnsi="宋体" w:cs="宋体"/>
          <w:color w:val="auto"/>
          <w:sz w:val="24"/>
          <w:szCs w:val="24"/>
          <w:lang w:val="zh-CN"/>
        </w:rPr>
        <w:t>1、在评审期间,根据谈判小组的需要，要求供应商对其响应文件进行澄清，有关澄清的要求和答复应以书面形式提交，但不得寻求、提供或允许对谈判价格等实质性内容做任何更改。</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3.2.</w:t>
      </w:r>
      <w:r>
        <w:rPr>
          <w:rFonts w:hint="eastAsia" w:ascii="宋体" w:hAnsi="宋体" w:cs="宋体"/>
          <w:color w:val="auto"/>
          <w:sz w:val="24"/>
          <w:szCs w:val="24"/>
          <w:lang w:val="zh-CN"/>
        </w:rPr>
        <w:t>2、供应商应采用书面形式进行澄清或说明，但不得超出响应文件的范围或改变响应文件的实质性内容。</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3.2.3、</w:t>
      </w:r>
      <w:r>
        <w:rPr>
          <w:rFonts w:hint="eastAsia" w:ascii="宋体" w:hAnsi="宋体" w:cs="宋体"/>
          <w:color w:val="auto"/>
          <w:sz w:val="24"/>
          <w:szCs w:val="24"/>
          <w:lang w:val="zh-CN"/>
        </w:rPr>
        <w:t xml:space="preserve"> 谈判小组所有成员集中与单一供应商分别进行谈判，并给予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加盖公章。</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4、谈判：</w:t>
      </w:r>
      <w:r>
        <w:rPr>
          <w:rFonts w:hint="eastAsia" w:ascii="宋体" w:hAnsi="宋体" w:cs="宋体"/>
          <w:color w:val="auto"/>
          <w:sz w:val="24"/>
          <w:szCs w:val="24"/>
        </w:rPr>
        <w:t>谈判小组所有成员集中与单一供应商分别进行谈判，并要求供应商在规定的时间内提交最后报价。在谈判过程中，谈判小组可以根据谈判文件和谈判情况实质性变动采购需求中的技术、服务要求以及合同草案条款，但不得变动谈判文件中的其它内容。实质性变动得内容，需经采购人代表确认。</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5、最低评标价法：</w:t>
      </w:r>
      <w:r>
        <w:rPr>
          <w:rFonts w:hint="eastAsia" w:ascii="宋体" w:hAnsi="宋体" w:cs="宋体"/>
          <w:color w:val="auto"/>
          <w:sz w:val="24"/>
          <w:szCs w:val="24"/>
        </w:rPr>
        <w:t>对于经初审合格的所有供应商，由谈判小组各成员依据最终报价，从低到高依次排序，推荐成交候选人。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ascii="宋体" w:hAnsi="宋体" w:cs="宋体"/>
          <w:b/>
          <w:bCs/>
          <w:color w:val="auto"/>
          <w:sz w:val="24"/>
          <w:szCs w:val="24"/>
          <w:lang w:val="zh-CN"/>
        </w:rPr>
      </w:pPr>
      <w:r>
        <w:rPr>
          <w:rFonts w:hint="eastAsia" w:ascii="宋体" w:hAnsi="宋体" w:cs="宋体"/>
          <w:b/>
          <w:bCs/>
          <w:color w:val="auto"/>
          <w:sz w:val="24"/>
          <w:szCs w:val="24"/>
        </w:rPr>
        <w:t>6、</w:t>
      </w:r>
      <w:r>
        <w:rPr>
          <w:rFonts w:hint="eastAsia" w:ascii="宋体" w:hAnsi="宋体" w:cs="宋体"/>
          <w:b/>
          <w:bCs/>
          <w:color w:val="auto"/>
          <w:sz w:val="24"/>
          <w:szCs w:val="24"/>
          <w:lang w:val="zh-CN"/>
        </w:rPr>
        <w:t>评审内容、原则及标准（满分100分）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6</w:t>
      </w:r>
      <w:r>
        <w:rPr>
          <w:rFonts w:hint="eastAsia" w:ascii="宋体" w:hAnsi="宋体" w:cs="宋体"/>
          <w:color w:val="auto"/>
          <w:sz w:val="24"/>
          <w:szCs w:val="24"/>
          <w:lang w:val="zh-CN"/>
        </w:rPr>
        <w:t>.1、谈判小组将遵循公开、公平、公正和择优的原则，对所有供应商的响应文件评审，都采用相同的程序和标准。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6</w:t>
      </w:r>
      <w:r>
        <w:rPr>
          <w:rFonts w:hint="eastAsia" w:ascii="宋体" w:hAnsi="宋体" w:cs="宋体"/>
          <w:color w:val="auto"/>
          <w:sz w:val="24"/>
          <w:szCs w:val="24"/>
          <w:lang w:val="zh-CN"/>
        </w:rPr>
        <w:t>.2、评审过程的保密：在响应文件的评审、比较、成交候选单位推荐以及授予合同的过程中，供应商向采购人和谈判小组施加影响的任何行为，都将会导致其报价被拒绝。</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6</w:t>
      </w:r>
      <w:r>
        <w:rPr>
          <w:rFonts w:hint="eastAsia" w:ascii="宋体" w:hAnsi="宋体" w:cs="宋体"/>
          <w:color w:val="auto"/>
          <w:sz w:val="24"/>
          <w:szCs w:val="24"/>
          <w:lang w:val="zh-CN"/>
        </w:rPr>
        <w:t>.3、评审原则和办法：</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6.3.1、最低评标价法</w:t>
      </w:r>
      <w:r>
        <w:rPr>
          <w:rFonts w:hint="eastAsia" w:ascii="宋体" w:hAnsi="宋体" w:cs="宋体"/>
          <w:color w:val="auto"/>
          <w:sz w:val="24"/>
          <w:szCs w:val="24"/>
          <w:lang w:val="zh-CN"/>
        </w:rPr>
        <w:t>：即在全部满足竞争性谈判文件实质性要求前提下，依据统一的价格要素评定最低报价，以提出最低报价的谈判供应商作为成交候选供应商并依次排序。</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rPr>
        <w:t>6.3.2、</w:t>
      </w:r>
      <w:r>
        <w:rPr>
          <w:rFonts w:hint="eastAsia" w:ascii="宋体" w:hAnsi="宋体" w:cs="宋体"/>
          <w:color w:val="auto"/>
          <w:sz w:val="24"/>
          <w:szCs w:val="24"/>
          <w:lang w:val="zh-CN"/>
        </w:rPr>
        <w:t>谈判小组按</w:t>
      </w:r>
      <w:r>
        <w:rPr>
          <w:rFonts w:hint="eastAsia" w:ascii="宋体" w:hAnsi="宋体" w:cs="宋体"/>
          <w:color w:val="auto"/>
          <w:sz w:val="24"/>
          <w:szCs w:val="24"/>
        </w:rPr>
        <w:t>最终报价</w:t>
      </w:r>
      <w:r>
        <w:rPr>
          <w:rFonts w:hint="eastAsia" w:ascii="宋体" w:hAnsi="宋体" w:cs="宋体"/>
          <w:color w:val="auto"/>
          <w:sz w:val="24"/>
          <w:szCs w:val="24"/>
          <w:lang w:val="zh-CN"/>
        </w:rPr>
        <w:t>得分由</w:t>
      </w:r>
      <w:r>
        <w:rPr>
          <w:rFonts w:hint="eastAsia" w:ascii="宋体" w:hAnsi="宋体" w:cs="宋体"/>
          <w:color w:val="auto"/>
          <w:sz w:val="24"/>
          <w:szCs w:val="24"/>
        </w:rPr>
        <w:t>低</w:t>
      </w:r>
      <w:r>
        <w:rPr>
          <w:rFonts w:hint="eastAsia" w:ascii="宋体" w:hAnsi="宋体" w:cs="宋体"/>
          <w:color w:val="auto"/>
          <w:sz w:val="24"/>
          <w:szCs w:val="24"/>
          <w:lang w:val="zh-CN"/>
        </w:rPr>
        <w:t>到</w:t>
      </w:r>
      <w:r>
        <w:rPr>
          <w:rFonts w:hint="eastAsia" w:ascii="宋体" w:hAnsi="宋体" w:cs="宋体"/>
          <w:color w:val="auto"/>
          <w:sz w:val="24"/>
          <w:szCs w:val="24"/>
        </w:rPr>
        <w:t>高</w:t>
      </w:r>
      <w:r>
        <w:rPr>
          <w:rFonts w:hint="eastAsia" w:ascii="宋体" w:hAnsi="宋体" w:cs="宋体"/>
          <w:color w:val="auto"/>
          <w:sz w:val="24"/>
          <w:szCs w:val="24"/>
          <w:lang w:val="zh-CN"/>
        </w:rPr>
        <w:t>顺序排列，推荐成交候选单位。得分相同的，则由谈判小组按少数服从多数的原则，综合供应商技术标优劣、单位企业实力、售后服务等情况推荐排序。</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ascii="宋体" w:hAnsi="宋体" w:cs="宋体"/>
          <w:b/>
          <w:bCs/>
          <w:color w:val="auto"/>
          <w:sz w:val="24"/>
          <w:szCs w:val="24"/>
          <w:lang w:val="zh-CN"/>
        </w:rPr>
      </w:pPr>
      <w:r>
        <w:rPr>
          <w:rFonts w:hint="eastAsia" w:ascii="宋体" w:hAnsi="宋体" w:cs="宋体"/>
          <w:b/>
          <w:bCs/>
          <w:color w:val="auto"/>
          <w:sz w:val="24"/>
          <w:szCs w:val="24"/>
        </w:rPr>
        <w:t>7、</w:t>
      </w:r>
      <w:r>
        <w:rPr>
          <w:rFonts w:hint="eastAsia" w:ascii="宋体" w:hAnsi="宋体" w:cs="宋体"/>
          <w:b/>
          <w:bCs/>
          <w:color w:val="auto"/>
          <w:sz w:val="24"/>
          <w:szCs w:val="24"/>
          <w:lang w:val="zh-CN"/>
        </w:rPr>
        <w:t>需要落实的政府采购政策</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7.1、关于印发《政府采购促进中小企业发展管理办法》的通知--财库〔2020〕46号</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根据《政府采购促进中小企业发展管理办法》（财库〔2020〕46 号）的有关规定，在货物采购项目中，货物由小微企业制造，即货物由小微企业生产且使用该小微企业商号或者注册商标；在服务采购项目中，服务由小微企业承建，即服务施工单位为小微企业；在服务采购项目中，服务由小微企业承接，即提供服务的人员为小微企业依照《中华人民共和国民法典》订立劳动合同的从业人员，则参与政府采购活动时，享受中小企业扶持政策。</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参加政府采购活动的中小企业应提供《中小企业声明函》原件。否则不得享受相关中小企业扶持政策。</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 xml:space="preserve">7.2、财政部司法部关于政府采购支持监狱企业发展有关问题的通知--财库〔2014〕68号 </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7.3、《关于促进残疾人就业政府采购政策的通知》（财库〔2017〕141 号）</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参加政府采购活动的残疾人单位应提供《残疾人福利性单位声明函》原件。未提供上述声明函原件，不能享受谈判文件规定的价格扣除，但不影响响应文件的有效性。</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7.4、 《国务院办公厅关于建立政府强制采购节能产品制度的通知》--国办发〔2007〕51号</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各级政府机构使用财政性资金进行政府采购活动时，在技术、服务等指标满足采购需求的前提下，要优先采购节能产品，对部分节能效果、性能等达到要求的产品，实行强制采购。</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7.5、《节能产品政府采购实施意见》--（财库[2004]185号） </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根据《节能产品政府采购实施意见》--（财库[2004]185号）规定，采购人采购的产品在品目清单中并具有认证证书的，在技术、服务等指标同等条件下，应当优先采购节能清单所列的节能产品。</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7.6、《环境标志产品政府采购实施的意见》--财库[2006]90号</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根据《环境标志产品政府采购实施的意见》--财库[2006]90号规定，采购人采购的产品在品目清单中并具有认证证书的，在性能、技术、服务等指标同等条件下，应当优先采购清单中的产品。</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7.7、《关于调整优化节能产品、环境标志产品政府采购执行机制的通知》（财库〔2019〕9 号）</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b/>
          <w:bCs/>
          <w:color w:val="auto"/>
          <w:sz w:val="24"/>
          <w:szCs w:val="24"/>
        </w:rPr>
      </w:pPr>
      <w:r>
        <w:rPr>
          <w:rFonts w:hint="eastAsia" w:ascii="宋体" w:hAnsi="宋体" w:cs="宋体"/>
          <w:color w:val="auto"/>
          <w:sz w:val="24"/>
          <w:szCs w:val="24"/>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7.8、《关于印发环境标志产品政府采购品目清单的通知》（财库〔2019〕18号）</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7.9、《关于印发节能产品政府采购品目清单的通知》（财库〔2019〕19号）</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7.10、《关于运用政府采购政策支持乡村产业振兴的通知》财库〔2021〕19号</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7.11、《陕西省中小企业政府采购信用融资办法》（陕财办采〔2018〕23号）</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7.12、《陕西省财政厅关于加快推进我省中小企业政府采购信用融资工作的通知》（陕财办采〔2020〕15号）</w:t>
      </w:r>
    </w:p>
    <w:p>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7.13、《财政部关于在政府采购活动中查询及使用信用记录有关问题的通知》（财库〔2016〕125号）</w:t>
      </w:r>
    </w:p>
    <w:p>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7.14、《财政部关于进一步加大政府采购支持中小企业力度的通知》（财库〔2022〕19号）；</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8、政策性扣减</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8.1、小微企业</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依照&lt;关于印发《政府采购促进中小企业发展管理办法》（财库〔2020〕46号）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专门面向中小企业采购项目不享受优惠政策；</w:t>
      </w:r>
    </w:p>
    <w:p>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cs="宋体"/>
          <w:color w:val="auto"/>
          <w:sz w:val="24"/>
          <w:szCs w:val="24"/>
        </w:rPr>
      </w:pPr>
      <w:r>
        <w:rPr>
          <w:rFonts w:hint="eastAsia" w:ascii="宋体" w:hAnsi="宋体" w:cs="宋体"/>
          <w:b/>
          <w:bCs/>
          <w:color w:val="auto"/>
          <w:sz w:val="24"/>
          <w:szCs w:val="24"/>
        </w:rPr>
        <w:t>非专门面向中小企业采购项目(价格扣除)：</w:t>
      </w:r>
      <w:r>
        <w:rPr>
          <w:rFonts w:hint="eastAsia" w:ascii="宋体" w:hAnsi="宋体" w:cs="宋体"/>
          <w:color w:val="auto"/>
          <w:sz w:val="24"/>
          <w:szCs w:val="24"/>
        </w:rPr>
        <w:t>对小型和微型企业的价格给予</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%的扣除，用扣除后的价格参与评审。本项目的扣除比例为：小型企业扣除</w:t>
      </w:r>
      <w:r>
        <w:rPr>
          <w:rFonts w:hint="eastAsia" w:ascii="宋体" w:hAnsi="宋体" w:cs="宋体"/>
          <w:color w:val="auto"/>
          <w:sz w:val="24"/>
          <w:szCs w:val="24"/>
          <w:lang w:val="en-US" w:eastAsia="zh-CN"/>
        </w:rPr>
        <w:t>10</w:t>
      </w:r>
      <w:r>
        <w:rPr>
          <w:rFonts w:hint="eastAsia" w:ascii="宋体" w:hAnsi="宋体" w:cs="宋体"/>
          <w:color w:val="auto"/>
          <w:sz w:val="24"/>
          <w:szCs w:val="24"/>
        </w:rPr>
        <w:t>%，微型企业扣除</w:t>
      </w:r>
      <w:r>
        <w:rPr>
          <w:rFonts w:hint="eastAsia" w:ascii="宋体" w:hAnsi="宋体" w:cs="宋体"/>
          <w:color w:val="auto"/>
          <w:sz w:val="24"/>
          <w:szCs w:val="24"/>
          <w:lang w:val="en-US" w:eastAsia="zh-CN"/>
        </w:rPr>
        <w:t>10</w:t>
      </w:r>
      <w:r>
        <w:rPr>
          <w:rFonts w:hint="eastAsia" w:ascii="宋体" w:hAnsi="宋体" w:cs="宋体"/>
          <w:color w:val="auto"/>
          <w:sz w:val="24"/>
          <w:szCs w:val="24"/>
        </w:rPr>
        <w:t>%。</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highlight w:val="none"/>
        </w:rPr>
        <w:t>%的扣除</w:t>
      </w:r>
      <w:r>
        <w:rPr>
          <w:rFonts w:hint="eastAsia" w:ascii="宋体" w:hAnsi="宋体" w:cs="宋体"/>
          <w:color w:val="auto"/>
          <w:sz w:val="24"/>
          <w:szCs w:val="24"/>
          <w:highlight w:val="none"/>
          <w:lang w:eastAsia="zh-CN"/>
        </w:rPr>
        <w:t>，</w:t>
      </w:r>
      <w:r>
        <w:rPr>
          <w:rFonts w:hint="eastAsia" w:ascii="宋体" w:hAnsi="宋体" w:cs="宋体"/>
          <w:color w:val="auto"/>
          <w:sz w:val="24"/>
          <w:szCs w:val="24"/>
        </w:rPr>
        <w:t>本项目的扣除比例为：扣除</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highlight w:val="none"/>
        </w:rPr>
        <w:t>；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8.2、支持监狱企业</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非专门面向监狱采购项目(价格扣除)：监狱企业可视同小微企业在价格评审时给予</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%的扣除，用扣除后的价格参与评审。本项目的扣除比例为：扣除</w:t>
      </w:r>
      <w:r>
        <w:rPr>
          <w:rFonts w:hint="eastAsia" w:ascii="宋体" w:hAnsi="宋体" w:cs="宋体"/>
          <w:color w:val="auto"/>
          <w:sz w:val="24"/>
          <w:szCs w:val="24"/>
          <w:lang w:val="en-US" w:eastAsia="zh-CN"/>
        </w:rPr>
        <w:t>10</w:t>
      </w:r>
      <w:r>
        <w:rPr>
          <w:rFonts w:hint="eastAsia" w:ascii="宋体" w:hAnsi="宋体" w:cs="宋体"/>
          <w:color w:val="auto"/>
          <w:sz w:val="24"/>
          <w:szCs w:val="24"/>
        </w:rPr>
        <w:t>%。</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8.3、其他法律法规强制性规定或扶持政策</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残疾人福利性单位可视同小微企业在价格评审时给予</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%的扣除，用扣除后的价格参与评审。</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本项目的扣除比例为：扣除</w:t>
      </w:r>
      <w:r>
        <w:rPr>
          <w:rFonts w:hint="eastAsia" w:ascii="宋体" w:hAnsi="宋体" w:cs="宋体"/>
          <w:color w:val="auto"/>
          <w:sz w:val="24"/>
          <w:szCs w:val="24"/>
          <w:lang w:val="en-US" w:eastAsia="zh-CN"/>
        </w:rPr>
        <w:t>10</w:t>
      </w:r>
      <w:r>
        <w:rPr>
          <w:rFonts w:hint="eastAsia" w:ascii="宋体" w:hAnsi="宋体" w:cs="宋体"/>
          <w:color w:val="auto"/>
          <w:sz w:val="24"/>
          <w:szCs w:val="24"/>
        </w:rPr>
        <w:t>%；但应满足下列条件：</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1、残疾人福利性单位应符合《财政部、民政部、中国残疾人联合会关于促进残疾人就业政府采购政策的通知》（财库[2017]141号）文件规定，并提供《残疾人福利性单位声明函》，并对声明的真实性负责。</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2、残疾人福利性单位属于小型、微型企业的，不重复享受政策。</w:t>
      </w:r>
    </w:p>
    <w:p>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8.4、</w:t>
      </w:r>
      <w:r>
        <w:rPr>
          <w:rFonts w:hint="eastAsia" w:ascii="宋体" w:hAnsi="宋体" w:cs="宋体"/>
          <w:color w:val="auto"/>
          <w:sz w:val="24"/>
          <w:szCs w:val="24"/>
        </w:rPr>
        <w:t>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8.5、供应商享受支持中小型企业发展政策优惠的，可以同时享受节能、环境标志产品优先采购政策。</w:t>
      </w:r>
    </w:p>
    <w:p>
      <w:pPr>
        <w:pStyle w:val="17"/>
        <w:spacing w:line="520" w:lineRule="exact"/>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ascii="宋体" w:hAnsi="宋体" w:cs="宋体"/>
          <w:b/>
          <w:bCs/>
          <w:color w:val="auto"/>
          <w:szCs w:val="28"/>
        </w:rPr>
      </w:pPr>
    </w:p>
    <w:p>
      <w:pPr>
        <w:rPr>
          <w:rFonts w:ascii="宋体" w:hAnsi="宋体" w:cs="宋体"/>
          <w:b/>
          <w:bCs/>
          <w:color w:val="auto"/>
          <w:szCs w:val="28"/>
        </w:rPr>
      </w:pPr>
    </w:p>
    <w:p>
      <w:pPr>
        <w:pStyle w:val="17"/>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p>
    <w:p>
      <w:pPr>
        <w:pStyle w:val="35"/>
        <w:rPr>
          <w:rFonts w:hint="eastAsia"/>
          <w:color w:val="auto"/>
          <w:lang w:val="en-US" w:eastAsia="zh-CN"/>
        </w:rPr>
      </w:pPr>
    </w:p>
    <w:p>
      <w:pPr>
        <w:pStyle w:val="17"/>
        <w:keepNext w:val="0"/>
        <w:keepLines w:val="0"/>
        <w:pageBreakBefore w:val="0"/>
        <w:kinsoku/>
        <w:wordWrap/>
        <w:overflowPunct/>
        <w:topLinePunct w:val="0"/>
        <w:autoSpaceDE/>
        <w:autoSpaceDN/>
        <w:bidi w:val="0"/>
        <w:spacing w:line="440" w:lineRule="exact"/>
        <w:textAlignment w:val="auto"/>
        <w:rPr>
          <w:rFonts w:ascii="宋体" w:hAnsi="宋体" w:cs="宋体"/>
          <w:color w:val="auto"/>
          <w:sz w:val="24"/>
          <w:szCs w:val="24"/>
        </w:rPr>
      </w:pPr>
      <w:r>
        <w:rPr>
          <w:rFonts w:hint="eastAsia" w:ascii="宋体" w:hAnsi="宋体" w:cs="宋体"/>
          <w:b/>
          <w:bCs/>
          <w:color w:val="auto"/>
          <w:sz w:val="24"/>
          <w:szCs w:val="24"/>
        </w:rPr>
        <w:t>附件1：</w:t>
      </w:r>
    </w:p>
    <w:p>
      <w:pPr>
        <w:pStyle w:val="1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初步审查要素表</w:t>
      </w:r>
      <w:r>
        <w:rPr>
          <w:rFonts w:hint="eastAsia" w:ascii="宋体" w:hAnsi="宋体" w:cs="宋体"/>
          <w:b/>
          <w:bCs/>
          <w:color w:val="auto"/>
          <w:sz w:val="24"/>
          <w:szCs w:val="24"/>
          <w:lang w:val="en-US" w:eastAsia="zh-CN"/>
        </w:rPr>
        <w:t>-资格审查</w:t>
      </w:r>
    </w:p>
    <w:tbl>
      <w:tblPr>
        <w:tblStyle w:val="36"/>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396"/>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97"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条款号</w:t>
            </w:r>
          </w:p>
        </w:tc>
        <w:tc>
          <w:tcPr>
            <w:tcW w:w="1396"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评审因素</w:t>
            </w: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97" w:type="dxa"/>
            <w:vMerge w:val="restart"/>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2.1.1</w:t>
            </w:r>
          </w:p>
        </w:tc>
        <w:tc>
          <w:tcPr>
            <w:tcW w:w="1396" w:type="dxa"/>
            <w:vMerge w:val="restart"/>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color w:val="auto"/>
                <w:kern w:val="0"/>
                <w:sz w:val="24"/>
                <w:szCs w:val="24"/>
              </w:rPr>
            </w:pPr>
            <w:r>
              <w:rPr>
                <w:rFonts w:hint="eastAsia" w:ascii="宋体" w:hAnsi="宋体" w:cs="宋体"/>
                <w:bCs/>
                <w:color w:val="auto"/>
                <w:sz w:val="24"/>
                <w:szCs w:val="24"/>
              </w:rPr>
              <w:t>基本资格条件</w:t>
            </w: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hint="eastAsia" w:ascii="宋体" w:hAnsi="宋体" w:cs="宋体"/>
                <w:bCs/>
                <w:color w:val="auto"/>
                <w:sz w:val="24"/>
                <w:szCs w:val="24"/>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hint="eastAsia" w:ascii="宋体" w:hAnsi="宋体" w:cs="宋体"/>
                <w:color w:val="auto"/>
                <w:sz w:val="24"/>
                <w:szCs w:val="24"/>
                <w:shd w:val="clear" w:color="auto" w:fill="FFFFFF"/>
              </w:rPr>
              <w:t>财务状况报告：</w:t>
            </w:r>
            <w:r>
              <w:rPr>
                <w:rFonts w:hint="eastAsia" w:ascii="宋体" w:hAnsi="宋体" w:cs="宋体"/>
                <w:bCs/>
                <w:color w:val="auto"/>
                <w:sz w:val="24"/>
                <w:szCs w:val="24"/>
              </w:rPr>
              <w:t>提供具有财务审计资质单位出具的2020年或2021年任意一年年度财务报告（成立时间至开标时间不足一年的可提供成立后任意时段的资产负债表）或开标前六个月内其基本账户银行出具的资信证明（附开户许可证）或政府采购信用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color w:val="auto"/>
                <w:sz w:val="24"/>
                <w:szCs w:val="24"/>
                <w:shd w:val="clear" w:color="auto" w:fill="FFFFFF"/>
              </w:rPr>
            </w:pPr>
          </w:p>
        </w:tc>
        <w:tc>
          <w:tcPr>
            <w:tcW w:w="6808" w:type="dxa"/>
            <w:vAlign w:val="center"/>
          </w:tcPr>
          <w:p>
            <w:pPr>
              <w:pStyle w:val="31"/>
              <w:keepNext w:val="0"/>
              <w:keepLines w:val="0"/>
              <w:pageBreakBefore w:val="0"/>
              <w:kinsoku/>
              <w:wordWrap/>
              <w:overflowPunct/>
              <w:topLinePunct w:val="0"/>
              <w:autoSpaceDE/>
              <w:autoSpaceDN/>
              <w:bidi w:val="0"/>
              <w:spacing w:before="0" w:beforeAutospacing="0" w:after="0" w:afterAutospacing="0" w:line="440" w:lineRule="exact"/>
              <w:textAlignment w:val="auto"/>
              <w:rPr>
                <w:color w:val="auto"/>
              </w:rPr>
            </w:pPr>
            <w:r>
              <w:rPr>
                <w:rFonts w:hint="eastAsia"/>
                <w:color w:val="auto"/>
                <w:shd w:val="clear" w:color="auto" w:fill="FFFFFF"/>
              </w:rPr>
              <w:t>社保缴纳证明：</w:t>
            </w:r>
            <w:r>
              <w:rPr>
                <w:rFonts w:hint="eastAsia"/>
                <w:color w:val="auto"/>
              </w:rPr>
              <w:t>提供开标前六个月内任意一个月已缴纳的社会保障资金缴存单据或社保机构开具的社会保险参保缴费情况证明（依法不需要缴纳社会保障资金的投标人应提供相关证明）。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hint="eastAsia" w:ascii="宋体" w:hAnsi="宋体" w:cs="宋体"/>
                <w:color w:val="auto"/>
                <w:sz w:val="24"/>
                <w:szCs w:val="24"/>
                <w:shd w:val="clear" w:color="auto" w:fill="FFFFFF"/>
              </w:rPr>
              <w:t>税收缴纳证明：</w:t>
            </w:r>
            <w:r>
              <w:rPr>
                <w:rFonts w:hint="eastAsia" w:ascii="宋体" w:hAnsi="宋体" w:cs="宋体"/>
                <w:color w:val="auto"/>
                <w:sz w:val="24"/>
                <w:szCs w:val="24"/>
              </w:rPr>
              <w:t>提供开标前六个月内任意一个月已缴纳完税凭证或税务机关开具的完税证明（任意税种）；依法免税的应提供相关文件证明。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color w:val="auto"/>
                <w:kern w:val="0"/>
                <w:sz w:val="24"/>
                <w:szCs w:val="24"/>
              </w:rPr>
            </w:pPr>
          </w:p>
        </w:tc>
        <w:tc>
          <w:tcPr>
            <w:tcW w:w="6808" w:type="dxa"/>
            <w:vAlign w:val="center"/>
          </w:tcPr>
          <w:p>
            <w:pPr>
              <w:pStyle w:val="31"/>
              <w:keepNext w:val="0"/>
              <w:keepLines w:val="0"/>
              <w:pageBreakBefore w:val="0"/>
              <w:kinsoku/>
              <w:wordWrap/>
              <w:overflowPunct/>
              <w:topLinePunct w:val="0"/>
              <w:autoSpaceDE/>
              <w:autoSpaceDN/>
              <w:bidi w:val="0"/>
              <w:spacing w:before="0" w:beforeAutospacing="0" w:after="0" w:afterAutospacing="0" w:line="440" w:lineRule="exact"/>
              <w:textAlignment w:val="auto"/>
              <w:rPr>
                <w:color w:val="auto"/>
              </w:rPr>
            </w:pPr>
            <w:r>
              <w:rPr>
                <w:rFonts w:hint="eastAsia"/>
                <w:color w:val="auto"/>
              </w:rPr>
              <w:t>具备履行合同所必需的设备和专业技术能力的证明材料(由供应商根据项目需求提供说明材料或者承诺)。 （格式自拟）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color w:val="auto"/>
                <w:kern w:val="0"/>
                <w:sz w:val="24"/>
                <w:szCs w:val="24"/>
              </w:rPr>
            </w:pP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color w:val="auto"/>
                <w:kern w:val="0"/>
                <w:sz w:val="24"/>
                <w:szCs w:val="24"/>
              </w:rPr>
            </w:pPr>
            <w:r>
              <w:rPr>
                <w:rFonts w:hint="eastAsia" w:ascii="宋体" w:hAnsi="宋体" w:cs="宋体"/>
                <w:color w:val="auto"/>
                <w:kern w:val="0"/>
                <w:sz w:val="24"/>
                <w:szCs w:val="24"/>
              </w:rPr>
              <w:t>提供参加政府采购活动前三年内在经营活动中没有重大违法记录的书面声明。（格式自拟）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restart"/>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特定资格条件</w:t>
            </w:r>
          </w:p>
        </w:tc>
        <w:tc>
          <w:tcPr>
            <w:tcW w:w="6808" w:type="dxa"/>
            <w:vAlign w:val="center"/>
          </w:tcPr>
          <w:p>
            <w:pPr>
              <w:keepLines w:val="0"/>
              <w:pageBreakBefore w:val="0"/>
              <w:kinsoku/>
              <w:wordWrap/>
              <w:overflowPunct/>
              <w:topLinePunct w:val="0"/>
              <w:bidi w:val="0"/>
              <w:snapToGrid/>
              <w:spacing w:line="440" w:lineRule="exact"/>
              <w:textAlignment w:val="auto"/>
              <w:rPr>
                <w:rFonts w:ascii="宋体" w:hAnsi="宋体" w:cs="宋体"/>
                <w:bCs/>
                <w:color w:val="auto"/>
                <w:sz w:val="24"/>
                <w:szCs w:val="24"/>
              </w:rPr>
            </w:pPr>
            <w:r>
              <w:rPr>
                <w:rFonts w:hint="eastAsia" w:ascii="宋体" w:hAnsi="宋体" w:cs="宋体"/>
                <w:color w:val="auto"/>
                <w:sz w:val="24"/>
                <w:szCs w:val="24"/>
                <w:lang w:val="en-US" w:eastAsia="zh-CN"/>
              </w:rPr>
              <w:t>本项目部分面向中小企业采购-要求合同分包形式参加预留（中小企业预留采购份额51%）。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ascii="宋体" w:hAnsi="宋体" w:cs="宋体"/>
                <w:bCs/>
                <w:color w:val="auto"/>
                <w:sz w:val="24"/>
                <w:szCs w:val="24"/>
              </w:rPr>
              <w:t>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hint="eastAsia" w:ascii="宋体" w:hAnsi="宋体" w:cs="宋体"/>
                <w:bCs/>
                <w:color w:val="auto"/>
                <w:sz w:val="24"/>
                <w:szCs w:val="24"/>
              </w:rPr>
              <w:t>供应商不得为列入信用中国(www.creditchina.gov.cn)记录失信被执行人或重大税收违法案件当事人名单或中国政府采购网(www.ccgp.gov.cn)的政府采购严重违法失信行为记录名单；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7"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1396" w:type="dxa"/>
            <w:vMerge w:val="continue"/>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center"/>
              <w:textAlignment w:val="auto"/>
              <w:rPr>
                <w:rFonts w:ascii="宋体" w:hAnsi="宋体" w:cs="宋体"/>
                <w:bCs/>
                <w:color w:val="auto"/>
                <w:sz w:val="24"/>
                <w:szCs w:val="24"/>
              </w:rPr>
            </w:pPr>
          </w:p>
        </w:tc>
        <w:tc>
          <w:tcPr>
            <w:tcW w:w="6808" w:type="dxa"/>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ascii="宋体" w:hAnsi="宋体" w:cs="宋体"/>
                <w:bCs/>
                <w:color w:val="auto"/>
                <w:sz w:val="24"/>
                <w:szCs w:val="24"/>
              </w:rPr>
              <w:t>本项目不接受联合体谈判。单位负责人为同一人或者存在控股、管理关系的不同单位不得同时参加。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1" w:type="dxa"/>
            <w:gridSpan w:val="3"/>
            <w:vAlign w:val="center"/>
          </w:tcPr>
          <w:p>
            <w:pPr>
              <w:keepNext w:val="0"/>
              <w:keepLines w:val="0"/>
              <w:pageBreakBefore w:val="0"/>
              <w:tabs>
                <w:tab w:val="left" w:pos="0"/>
              </w:tabs>
              <w:kinsoku/>
              <w:wordWrap/>
              <w:overflowPunct/>
              <w:topLinePunct w:val="0"/>
              <w:autoSpaceDE/>
              <w:autoSpaceDN/>
              <w:bidi w:val="0"/>
              <w:adjustRightInd w:val="0"/>
              <w:snapToGrid w:val="0"/>
              <w:spacing w:line="440" w:lineRule="exact"/>
              <w:jc w:val="left"/>
              <w:textAlignment w:val="auto"/>
              <w:rPr>
                <w:rFonts w:ascii="宋体" w:hAnsi="宋体" w:cs="宋体"/>
                <w:bCs/>
                <w:color w:val="auto"/>
                <w:sz w:val="24"/>
                <w:szCs w:val="24"/>
              </w:rPr>
            </w:pPr>
            <w:r>
              <w:rPr>
                <w:rFonts w:hint="eastAsia" w:ascii="宋体" w:hAnsi="宋体" w:cs="宋体"/>
                <w:bCs/>
                <w:color w:val="auto"/>
                <w:sz w:val="24"/>
                <w:szCs w:val="24"/>
              </w:rPr>
              <w:t>注：以上为必备资质，缺一项或某项达不到要求，按无效文件处理。资格审查时以谈判响应文件中所附证明材料为准，原件备查。如谈判响应文件中所附证明材料模糊不清，且未在规定时间提供原件，按无效文件处理。</w:t>
            </w:r>
          </w:p>
        </w:tc>
      </w:tr>
    </w:tbl>
    <w:p>
      <w:pPr>
        <w:pStyle w:val="1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初步审查要素表</w:t>
      </w:r>
      <w:r>
        <w:rPr>
          <w:rFonts w:hint="eastAsia" w:ascii="宋体" w:hAnsi="宋体" w:cs="宋体"/>
          <w:b/>
          <w:bCs/>
          <w:color w:val="auto"/>
          <w:sz w:val="24"/>
          <w:szCs w:val="24"/>
          <w:lang w:val="en-US" w:eastAsia="zh-CN"/>
        </w:rPr>
        <w:t>-符合性审查</w:t>
      </w:r>
    </w:p>
    <w:tbl>
      <w:tblPr>
        <w:tblStyle w:val="3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67"/>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rPr>
              <w:t>2.1.</w:t>
            </w:r>
            <w:r>
              <w:rPr>
                <w:rFonts w:hint="eastAsia" w:ascii="宋体" w:hAnsi="宋体" w:cs="宋体"/>
                <w:bCs/>
                <w:color w:val="auto"/>
                <w:sz w:val="24"/>
                <w:szCs w:val="24"/>
                <w:lang w:val="en-US" w:eastAsia="zh-CN"/>
              </w:rPr>
              <w:t>2</w:t>
            </w: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供应商基本信息</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供应商名称与获取竞争性谈判文件登记的单位名称一致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供货期</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谈判有效期</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技术要求</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、技术参数中要求提供证明材料的必须标明对应的页码</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、谈判文件中“★”技术参数及非“★”技术参数均不允许负偏离，并且需提供谈判文件要求的证明文件作为佐证资料。未按要求提供的则视为无效响应文件。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3、供应商若为代理商，针对LED显示屏、电子钢琴、网络摄像机、全彩全景枪球智能一体机、硬盘录像机、超高清解码器、校园广播系统建设、台式电脑、打印机、75寸液晶触摸一体机、科学发现室设备等产品，</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提供厂家产品来源渠道合法的证明文件（不限于销售协议、代理协议、原厂授权等），证明文件复印件加盖供应商公司红章附在响应文件“货物说明一览表”后。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lang w:eastAsia="zh-CN"/>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8"/>
                <w:sz w:val="24"/>
                <w:szCs w:val="24"/>
                <w:highlight w:val="none"/>
              </w:rPr>
            </w:pPr>
            <w:r>
              <w:rPr>
                <w:rFonts w:hint="eastAsia" w:ascii="宋体" w:hAnsi="宋体" w:cs="宋体"/>
                <w:bCs/>
                <w:color w:val="auto"/>
                <w:sz w:val="24"/>
                <w:szCs w:val="24"/>
                <w:lang w:val="en-US" w:eastAsia="zh-CN"/>
              </w:rPr>
              <w:t>谈判保证金</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bCs/>
                <w:color w:val="auto"/>
                <w:sz w:val="24"/>
                <w:szCs w:val="24"/>
                <w:highlight w:val="none"/>
              </w:rPr>
              <w:t>应符合“竞争性谈判须知”</w:t>
            </w:r>
            <w:r>
              <w:rPr>
                <w:rFonts w:hint="eastAsia" w:ascii="宋体" w:hAnsi="宋体" w:eastAsia="宋体" w:cs="宋体"/>
                <w:bCs/>
                <w:color w:val="auto"/>
                <w:sz w:val="24"/>
                <w:szCs w:val="24"/>
                <w:highlight w:val="none"/>
                <w:lang w:val="en-US" w:eastAsia="zh-CN"/>
              </w:rPr>
              <w:t>要求的谈判保证金。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9" w:type="dxa"/>
            <w:vMerge w:val="continue"/>
            <w:tcBorders>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lang w:eastAsia="zh-CN"/>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8"/>
                <w:sz w:val="24"/>
                <w:szCs w:val="24"/>
                <w:highlight w:val="none"/>
              </w:rPr>
            </w:pPr>
            <w:r>
              <w:rPr>
                <w:rFonts w:hint="eastAsia" w:ascii="宋体" w:hAnsi="宋体" w:cs="宋体"/>
                <w:bCs/>
                <w:color w:val="auto"/>
                <w:sz w:val="24"/>
                <w:szCs w:val="24"/>
              </w:rPr>
              <w:t>报价唯一</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lang w:val="en-US" w:eastAsia="zh-CN"/>
              </w:rPr>
            </w:pPr>
            <w:r>
              <w:rPr>
                <w:rFonts w:hint="eastAsia" w:ascii="宋体" w:hAnsi="宋体" w:cs="宋体"/>
                <w:bCs/>
                <w:color w:val="auto"/>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lang w:eastAsia="zh-CN"/>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lang w:val="en-US" w:eastAsia="zh-CN"/>
              </w:rPr>
              <w:t>谈判</w:t>
            </w:r>
            <w:r>
              <w:rPr>
                <w:rFonts w:hint="eastAsia" w:ascii="宋体" w:hAnsi="宋体" w:eastAsia="宋体" w:cs="宋体"/>
                <w:bCs/>
                <w:color w:val="auto"/>
                <w:sz w:val="24"/>
                <w:szCs w:val="24"/>
              </w:rPr>
              <w:t>文件组成</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谈判</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应包含以下部分：</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 xml:space="preserve">谈判响应函 </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2</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 xml:space="preserve">第一次谈判报价表 </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 xml:space="preserve">分项报价表 </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4</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货物说明一览表</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5</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备选产品配件报价表</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6</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 xml:space="preserve">偏离表 </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7</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 xml:space="preserve">谈判方案说明 </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8</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供应商承诺书</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9</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近三年完成的类似项目表</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10</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供应商资质证明文件</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11</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谈判保证金</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12</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提供政府采购政策证明材料</w:t>
            </w:r>
          </w:p>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13</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Cs/>
                <w:color w:val="auto"/>
                <w:sz w:val="24"/>
                <w:szCs w:val="24"/>
                <w:highlight w:val="none"/>
                <w:lang w:eastAsia="zh-CN"/>
              </w:rPr>
            </w:pPr>
          </w:p>
        </w:tc>
        <w:tc>
          <w:tcPr>
            <w:tcW w:w="1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无虚假响应</w:t>
            </w:r>
          </w:p>
        </w:tc>
        <w:tc>
          <w:tcPr>
            <w:tcW w:w="6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5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无谈判小组认定存在谈判文件规定的虚假响应情形。</w:t>
            </w:r>
          </w:p>
        </w:tc>
      </w:tr>
    </w:tbl>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45"/>
        <w:rPr>
          <w:color w:val="auto"/>
        </w:rPr>
      </w:pPr>
    </w:p>
    <w:p>
      <w:pPr>
        <w:pStyle w:val="3"/>
        <w:spacing w:line="360" w:lineRule="auto"/>
        <w:rPr>
          <w:rFonts w:ascii="宋体" w:hAnsi="宋体" w:eastAsia="宋体" w:cs="宋体"/>
          <w:color w:val="auto"/>
          <w:lang w:val="zh-CN"/>
        </w:rPr>
      </w:pPr>
      <w:bookmarkStart w:id="30" w:name="_Toc9383"/>
      <w:bookmarkStart w:id="31" w:name="_Toc492476967"/>
      <w:r>
        <w:rPr>
          <w:rFonts w:hint="eastAsia" w:ascii="宋体" w:hAnsi="宋体" w:eastAsia="宋体" w:cs="宋体"/>
          <w:b/>
          <w:color w:val="auto"/>
          <w:szCs w:val="28"/>
          <w:lang w:val="zh-CN"/>
        </w:rPr>
        <w:t>第</w:t>
      </w:r>
      <w:r>
        <w:rPr>
          <w:rFonts w:hint="eastAsia" w:ascii="宋体" w:hAnsi="宋体" w:eastAsia="宋体" w:cs="宋体"/>
          <w:b/>
          <w:color w:val="auto"/>
          <w:szCs w:val="28"/>
        </w:rPr>
        <w:t>五</w:t>
      </w:r>
      <w:r>
        <w:rPr>
          <w:rFonts w:hint="eastAsia" w:ascii="宋体" w:hAnsi="宋体" w:eastAsia="宋体" w:cs="宋体"/>
          <w:b/>
          <w:color w:val="auto"/>
          <w:szCs w:val="28"/>
          <w:lang w:val="zh-CN"/>
        </w:rPr>
        <w:t>章</w:t>
      </w:r>
      <w:r>
        <w:rPr>
          <w:rFonts w:hint="eastAsia" w:ascii="宋体" w:hAnsi="宋体" w:eastAsia="宋体" w:cs="宋体"/>
          <w:b/>
          <w:color w:val="auto"/>
          <w:szCs w:val="28"/>
        </w:rPr>
        <w:t xml:space="preserve"> 采购</w:t>
      </w:r>
      <w:r>
        <w:rPr>
          <w:rFonts w:hint="eastAsia" w:ascii="宋体" w:hAnsi="宋体" w:eastAsia="宋体" w:cs="宋体"/>
          <w:b/>
          <w:color w:val="auto"/>
          <w:szCs w:val="28"/>
          <w:lang w:val="zh-CN"/>
        </w:rPr>
        <w:t>内容及要求</w:t>
      </w:r>
      <w:bookmarkEnd w:id="30"/>
    </w:p>
    <w:p>
      <w:pPr>
        <w:pStyle w:val="33"/>
        <w:spacing w:before="0" w:after="0" w:line="360" w:lineRule="auto"/>
        <w:jc w:val="left"/>
        <w:rPr>
          <w:rFonts w:ascii="宋体" w:hAnsi="宋体" w:eastAsia="宋体" w:cs="宋体"/>
          <w:bCs/>
          <w:color w:val="auto"/>
          <w:kern w:val="2"/>
          <w:sz w:val="24"/>
          <w:szCs w:val="24"/>
        </w:rPr>
      </w:pPr>
      <w:bookmarkStart w:id="32" w:name="_Toc26876"/>
      <w:r>
        <w:rPr>
          <w:rFonts w:hint="eastAsia" w:ascii="宋体" w:hAnsi="宋体" w:eastAsia="宋体" w:cs="宋体"/>
          <w:bCs/>
          <w:color w:val="auto"/>
          <w:kern w:val="2"/>
          <w:sz w:val="24"/>
          <w:szCs w:val="24"/>
        </w:rPr>
        <w:t>1、</w:t>
      </w:r>
      <w:bookmarkEnd w:id="32"/>
      <w:r>
        <w:rPr>
          <w:rFonts w:hint="eastAsia" w:ascii="宋体" w:hAnsi="宋体" w:eastAsia="宋体" w:cs="宋体"/>
          <w:bCs/>
          <w:color w:val="auto"/>
          <w:kern w:val="2"/>
          <w:sz w:val="24"/>
          <w:szCs w:val="24"/>
        </w:rPr>
        <w:t>项目概述</w:t>
      </w:r>
    </w:p>
    <w:p>
      <w:pPr>
        <w:pStyle w:val="33"/>
        <w:spacing w:before="0" w:after="0" w:line="360" w:lineRule="auto"/>
        <w:ind w:firstLine="480" w:firstLineChars="200"/>
        <w:jc w:val="left"/>
        <w:rPr>
          <w:rFonts w:hint="default" w:ascii="宋体" w:hAnsi="宋体" w:eastAsia="宋体" w:cs="宋体"/>
          <w:bCs/>
          <w:color w:val="auto"/>
          <w:kern w:val="2"/>
          <w:sz w:val="24"/>
          <w:szCs w:val="24"/>
          <w:lang w:val="en-US" w:eastAsia="zh-CN"/>
        </w:rPr>
      </w:pPr>
      <w:r>
        <w:rPr>
          <w:rFonts w:hint="eastAsia" w:ascii="宋体" w:hAnsi="宋体" w:eastAsia="宋体" w:cs="宋体"/>
          <w:b w:val="0"/>
          <w:color w:val="auto"/>
          <w:kern w:val="2"/>
          <w:sz w:val="24"/>
          <w:szCs w:val="24"/>
          <w:lang w:val="en-US" w:eastAsia="zh-CN"/>
        </w:rPr>
        <w:t>为了</w:t>
      </w:r>
      <w:r>
        <w:rPr>
          <w:rFonts w:hint="eastAsia" w:ascii="宋体" w:hAnsi="宋体" w:eastAsia="宋体" w:cs="宋体"/>
          <w:b w:val="0"/>
          <w:color w:val="auto"/>
          <w:kern w:val="2"/>
          <w:sz w:val="24"/>
          <w:szCs w:val="24"/>
        </w:rPr>
        <w:t>教育教学活动顺利开展，</w:t>
      </w:r>
      <w:r>
        <w:rPr>
          <w:rFonts w:hint="eastAsia" w:ascii="宋体" w:hAnsi="宋体" w:eastAsia="宋体" w:cs="宋体"/>
          <w:b w:val="0"/>
          <w:color w:val="auto"/>
          <w:kern w:val="2"/>
          <w:sz w:val="24"/>
          <w:szCs w:val="24"/>
          <w:lang w:val="en-US" w:eastAsia="zh-CN"/>
        </w:rPr>
        <w:t>解决</w:t>
      </w:r>
      <w:r>
        <w:rPr>
          <w:rFonts w:hint="eastAsia" w:ascii="宋体" w:hAnsi="宋体" w:eastAsia="宋体" w:cs="宋体"/>
          <w:b w:val="0"/>
          <w:color w:val="auto"/>
          <w:kern w:val="2"/>
          <w:sz w:val="24"/>
          <w:szCs w:val="24"/>
        </w:rPr>
        <w:t>幼儿在校的就餐和午休问题，</w:t>
      </w:r>
      <w:r>
        <w:rPr>
          <w:rFonts w:hint="eastAsia" w:ascii="宋体" w:hAnsi="宋体" w:eastAsia="宋体" w:cs="宋体"/>
          <w:b w:val="0"/>
          <w:color w:val="auto"/>
          <w:kern w:val="2"/>
          <w:sz w:val="24"/>
          <w:szCs w:val="24"/>
          <w:lang w:val="en-US" w:eastAsia="zh-CN"/>
        </w:rPr>
        <w:t>实现</w:t>
      </w:r>
      <w:r>
        <w:rPr>
          <w:rFonts w:hint="eastAsia" w:ascii="宋体" w:hAnsi="宋体" w:eastAsia="宋体" w:cs="宋体"/>
          <w:b w:val="0"/>
          <w:color w:val="auto"/>
          <w:kern w:val="2"/>
          <w:sz w:val="24"/>
          <w:szCs w:val="24"/>
        </w:rPr>
        <w:t>校园广播和监控全覆盖。</w:t>
      </w:r>
      <w:r>
        <w:rPr>
          <w:rFonts w:hint="eastAsia" w:ascii="宋体" w:hAnsi="宋体" w:eastAsia="宋体" w:cs="宋体"/>
          <w:b w:val="0"/>
          <w:color w:val="auto"/>
          <w:kern w:val="2"/>
          <w:sz w:val="24"/>
          <w:szCs w:val="24"/>
          <w:lang w:val="en-US" w:eastAsia="zh-CN"/>
        </w:rPr>
        <w:t>进一步</w:t>
      </w:r>
      <w:r>
        <w:rPr>
          <w:rFonts w:hint="eastAsia" w:ascii="宋体" w:hAnsi="宋体" w:eastAsia="宋体" w:cs="宋体"/>
          <w:b w:val="0"/>
          <w:color w:val="auto"/>
          <w:kern w:val="2"/>
          <w:sz w:val="24"/>
          <w:szCs w:val="24"/>
        </w:rPr>
        <w:t>满足全校360名幼儿的教育教学</w:t>
      </w:r>
      <w:r>
        <w:rPr>
          <w:rFonts w:hint="eastAsia" w:ascii="宋体" w:hAnsi="宋体" w:eastAsia="宋体" w:cs="宋体"/>
          <w:b w:val="0"/>
          <w:color w:val="auto"/>
          <w:kern w:val="2"/>
          <w:sz w:val="24"/>
          <w:szCs w:val="24"/>
          <w:lang w:eastAsia="zh-CN"/>
        </w:rPr>
        <w:t>，</w:t>
      </w:r>
      <w:r>
        <w:rPr>
          <w:rFonts w:hint="eastAsia" w:ascii="宋体" w:hAnsi="宋体" w:eastAsia="宋体" w:cs="宋体"/>
          <w:b w:val="0"/>
          <w:color w:val="auto"/>
          <w:kern w:val="2"/>
          <w:sz w:val="24"/>
          <w:szCs w:val="24"/>
          <w:lang w:val="en-US" w:eastAsia="zh-CN"/>
        </w:rPr>
        <w:t>特为潼关县尚德幼儿园采购一批教学设备。</w:t>
      </w:r>
    </w:p>
    <w:p>
      <w:pPr>
        <w:numPr>
          <w:ilvl w:val="0"/>
          <w:numId w:val="6"/>
        </w:numPr>
        <w:autoSpaceDE w:val="0"/>
        <w:autoSpaceDN w:val="0"/>
        <w:adjustRightIn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采购清单</w:t>
      </w:r>
    </w:p>
    <w:tbl>
      <w:tblPr>
        <w:tblStyle w:val="36"/>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7"/>
        <w:gridCol w:w="4216"/>
        <w:gridCol w:w="1667"/>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项目建设内容</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多媒体LED屏</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教具、户外器械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办公家具</w:t>
            </w:r>
            <w:bookmarkStart w:id="124" w:name="_GoBack"/>
            <w:bookmarkEnd w:id="124"/>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校园监控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广播系统</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办公电脑打印机一体机</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科学发现室</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厨房</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bl>
    <w:p>
      <w:pPr>
        <w:numPr>
          <w:ilvl w:val="0"/>
          <w:numId w:val="6"/>
        </w:numPr>
        <w:autoSpaceDE w:val="0"/>
        <w:autoSpaceDN w:val="0"/>
        <w:adjustRightInd w:val="0"/>
        <w:spacing w:before="120" w:beforeLines="50" w:line="360" w:lineRule="auto"/>
        <w:jc w:val="left"/>
        <w:rPr>
          <w:rFonts w:ascii="宋体" w:hAnsi="宋体" w:cs="宋体"/>
          <w:b/>
          <w:bCs/>
          <w:color w:val="auto"/>
          <w:sz w:val="24"/>
          <w:szCs w:val="24"/>
          <w:lang w:val="zh-CN"/>
        </w:rPr>
      </w:pPr>
      <w:r>
        <w:rPr>
          <w:rFonts w:hint="eastAsia" w:ascii="宋体" w:hAnsi="宋体" w:cs="宋体"/>
          <w:b/>
          <w:bCs/>
          <w:color w:val="auto"/>
          <w:sz w:val="24"/>
          <w:szCs w:val="24"/>
        </w:rPr>
        <w:t>详细技术参数</w:t>
      </w: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一、多媒体会议室建设内容</w:t>
      </w:r>
    </w:p>
    <w:tbl>
      <w:tblPr>
        <w:tblStyle w:val="36"/>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
        <w:gridCol w:w="1066"/>
        <w:gridCol w:w="6978"/>
        <w:gridCol w:w="528"/>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93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多媒体会议室设备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货物名称</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主要技术参数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LED显示屏（核心产品）</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技术要求：LED显示屏净屏尺寸（长*高）：约4.16m*2.24m（含备品）、LED显示屏采用焊接钢结构、采用5公分不锈钢包边安装方式，LED显示屏包含屏体、控制系统、结构、配电柜、辅料、布线、安装调试及售后所有项。</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1、点间距：≤2.5mm；</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2、安装方式：背架安装/吊装/内弧安装；</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★3、物理密度：≥160000点/m²；采用SMD1515雾面黑灯，灯驱合一；需提供CCC认证证书复印件加盖公章及提供生产厂家出具的、相应的功能证明材料（包括但不限于测试报告、官网和功能截图等）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4、亮度（白场色温6500K）：100cd~600cd/m²可调；</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5、水平视角/垂直视角：160°/160°；</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6、最大对比度：</w:t>
            </w:r>
            <w:r>
              <w:rPr>
                <w:rFonts w:hint="eastAsia" w:ascii="宋体" w:hAnsi="宋体" w:eastAsia="宋体" w:cs="宋体"/>
                <w:b w:val="0"/>
                <w:bCs w:val="0"/>
                <w:i w:val="0"/>
                <w:iCs w:val="0"/>
                <w:color w:val="auto"/>
                <w:kern w:val="0"/>
                <w:sz w:val="18"/>
                <w:szCs w:val="18"/>
                <w:highlight w:val="none"/>
                <w:u w:val="none"/>
                <w:lang w:val="en-US" w:eastAsia="zh-CN" w:bidi="ar"/>
              </w:rPr>
              <w:t>≥5000:1；</w:t>
            </w:r>
            <w:r>
              <w:rPr>
                <w:rFonts w:hint="eastAsia" w:ascii="宋体" w:hAnsi="宋体" w:eastAsia="宋体" w:cs="宋体"/>
                <w:i w:val="0"/>
                <w:iCs w:val="0"/>
                <w:color w:val="auto"/>
                <w:kern w:val="0"/>
                <w:sz w:val="18"/>
                <w:szCs w:val="18"/>
                <w:highlight w:val="none"/>
                <w:u w:val="none"/>
                <w:lang w:val="en-US" w:eastAsia="zh-CN" w:bidi="ar"/>
              </w:rPr>
              <w:t>刷新率：≥3840 Hz；像素点失控率：≤1/1000000；</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7、驱动方式：1/32扫恒流驱动；</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8、峰值功耗：≤700W/㎡；平均功耗：≤120W/㎡；模组最大功率：≤20W/㎡；</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9、专用≥16BIT高灰阶、高刷新驱动恒流IC，消隐影电路；</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11、使用1U镀金接插件，箱内无排线连接；</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12、显示屏须具有除湿功能，显示屏具备除湿设计，屏体长时间没有使用，屏体自动切入除湿模式，使屏体从10%到100%亮度逐步显示；</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★13、LED显示的PCB设计须采用高密度PCB板，能有效耐CAF离子迁移；需提供CCC认证证书复印件加盖公章及提供生产厂家出具的、相应的功能证明材料（包括但不限于测试报告、官网和功能截图等）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14、LED显示屏具有省电模式功能。无信号时自动进入省电模式，有信号时自动唤醒；</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LED显示用具有坏点检测系统，自动警告；LED显示屏具有多点温度测量系统，均衡散热，防止局部温度过高造成色彩漂移，并提高显示屏寿命:LED显示屏具有电源温度控制系统提供电源实时温度监控，超出设定温度自动报警；</w:t>
            </w: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二、资质要求：</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1、所投产品通过3C，节能检测报告。</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2、为保证产品质量、供货渠道的合法性提供制造相应证明文件(厂家授权证明)。</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3、LED显示屏生产厂商需通过GB/T24001-2016环境管理体系认证。</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4、产品厂家须符合中国合格评定国家认可委员会和国家认证认可监督管理委员会的ISO/IEC17025:2005的要求，并取得官方证书。</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LED显示屏</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会标屏说明：室外P10单红显示屏（长*高）；约6.4m*0.64m；手机APP无线控制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1、物理点间距:≥10mm；发光点颜色:红色；亮度:≥3000MCD；单元板尺寸:约320mm×160mm；点密度:≥10000/㎡。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2、平均无故障时间:≥10000小时；可视距离:10～100m；环境温度:存贮-35℃～+85℃；工作温度:-20℃～+50℃；相对湿度:≤95％；工作电压:≥220V。</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驱动器件:采用LED专用驱动器件恒流驱动；换帧频率:≥60HZ；刷新频率:≥120帧/秒；灰度/颜色:≥128级。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3、显示控制方式:异步控制；亮度调节方式:软件调节至少8级可调。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4、使用寿命:≧100000小时；杂点率:＜万分之一。</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4"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专业音箱</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1、驱动器：低频≥30cm圆锥形低音扬声器，高频号角(≥Ø25mm)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2、分频点：2.4kHz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3、输入阻抗：≥8Ω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4、频率响应：不劣于50Hz~20000Hz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5、指向角：≥60°(水平)×60°(垂直)</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6、额定功率：≥150W(RMS)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7、灵敏度：≥100dB(1m/1W)</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8、最大声压级：≥121dB；峰值声压级：≥127dB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9、输入端口：推压式接线端子×1</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专业会议功放</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1.额定输出功率：≥8Ω立体声200W×2 、额定输出功率：≥4Ω立体声300W×2 、2Ω立体声450W×2、额定桥接输出功率：≥8Ω桥接500W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2.电源要求：≥AC220V (可以定制AC110V)</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3.结构：≥2U机箱设计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4.通道数：2CH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5.谐波失真（1kHz,8ohms) ：&lt;0.02%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6.频率响应：20Hz-20kHz:  +0/-0.5dB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7.灵敏度:0.775V</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8.信噪比：≥100dB（A计权）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9.阻尼系数:（≥300@8ohms）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10.LED指示灯：电源/信号/失真/削波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11.输入连接器：平衡卡侬公母座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12.输出连接器：SPEAKON,接线柱</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13.散热系统：双变速风扇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14.保护功能：过热，短路，直流输出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音箱支架</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1.固定面板尺寸（长*宽）:约250mm*140mm；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2.臂杆长度:约360mm；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3.箱体固定杆长度:约260mm；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4.支持约180°摇摆移动；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5.承重约40kg音箱；</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4"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数字音频处理器</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★1、3进4出数字处理器，具备反馈抑制，参量均衡（27段图示均衡），数字延时，压限器等功能。提供生产厂家出具的、相应的功能证明材料（包括但不限于测试报告、官网和功能截图等）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2、输入通道：≥1个单声道输入，≥1对立体声输入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3、A/D转换器：24位增量调制编码转换，D/A转换器：24位增量调制编码转换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4、模式记忆：≥8个</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5、具有啸叫抑制、延时功能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6、外部控制：RS232</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7、DSP处理芯片实现≥96k24BIT采样率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8、实现均衡、延时器、分频器、限幅器等调节</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9、支持输入输出音量大小控制</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2"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音频处理器</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1、采用SMT贴片技术，高性能浮点DSP处理芯片；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2、8路音频输入8路音频输出，支持麦克风输入和线路输入自由切换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3、输入通道支持扩展器、压缩器、回声消除、AFC反馈抑制、ANC噪声抑制、AMC增益共享自动混音、AM自动混音、AGC自动增益。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4、每路输入带≥48V幻相电源开关</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5、支持触控屏线控控制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6、支持≥4路GPIO可编程控制接口、≥1路RS232、≥1路RS485接口；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7、每路输入带反馈抑制功能开关，两档调节</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8、输入≥31段PEQ可调，输出≥10段PEQ可调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9、支持iOS、iPad、Android的手机/平板APP进行操作控制。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 支持通过浏览器访问设备，下载自带管理控制软件；软件界面直观、图形化，可工作在XP/Windows7.8.10等系统环境下。</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1、处理器：数字化智能处理器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2、音频系统延迟: ＜1ms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3、采样率/量化位数：48K/24bit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4、幻象电源：+48VDC, 6.5mA, 每通道配置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5、输出通道：8 路平衡输出, line level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6、频率响应(20~20kHz):±0.5dB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7、THD+N:&lt;-100dB @17dBu</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8、信噪比：105dB(@12dBu,1kHz,A-wt)/Line</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9、TCP/IP网口：RJ-45</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10、工作温度：-20℃--80℃     </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调音台</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1、采用SMT贴片技术；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2、≥4路线路输入+2组立体声输入,产品内置≥16种DSP效果器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3、自带2编组4母线调音台；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4、自带蓝牙、MP3播放器,MP3音源可转入本机立体声声道进行调音或混合；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5、分路3段美式EQ,带衰减带,带显示哑音选择开关.另设有监听功能.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6、≥6路母线(BUS):主输出+两编组+监听室输出+录音输出与返回</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7、≥1路AUX外接与返回,双7段图视均衡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8、≥100MM防尘长行程推子控制.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9、内置≥48V幻象供电,内置80V-240V宽电压工作电源.</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1.频率响应:20Hz－20KHz+1db/-3db；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2.总谐波失真:低于0.1%（THD+N）；</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3.等效输入噪声：RS=150ΩGAIN</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4.EQ(单声道输入)：HF（高频）：12KHz±15dB，MF（中频）：80Hz－13KHz，±15dB，LF（低频）：80Hz，±15dB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5.电源消耗: &gt;30W</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6"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无线手持话筒</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 采用UHF超高频段双真分集接收，采用锁相环PLL频率合成稳定系统，提供至少200个通道；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 全自动红外线对频，使发射机与接收机自动同步收发；</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3.频率范围为UHF560-930MHz频段；</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4.LCD液晶显示屏能同时显示信道号与工作频率；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5.含至少1套无线接收主机和至少2只无线手持话筒。</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1. 频率范围：540-930MHz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2. 调制方式：宽频FM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3. 可调范围：≥50MHz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4. 通道数目：≥2x100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5. 通道间隔：≥250KHz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6. 音频回应：不劣于40Hz-18KHz(±3dB)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7. 综合信噪比：＞105dB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8. 综合失真：≤0.5%</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9. 工作温度：-10℃ ~ 50℃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麦克风规格</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1.频率范围：540-930MHz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2.可调信道数：≥100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3.调制方式： FM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4.音频频响：不劣于40~18000Hz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5.失真度：≤1%</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6.音头规格 动圈式  心型指向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7.电池规格：2×1.5V AA Size</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8.续用时间：8~15小时</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反馈抑制器</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1、全自动检测现场啸叫点功能，通过DSP系统对声音进行过滤、低音补偿自动混音、智能高速反馈处理，全数字化最大限度消除回输。</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2、全彩中文显示，≥2寸OLED显示屏。</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3、自动适应声学环境，无需调试，快速较正功能。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4、一键设定。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5、正常使用情况下本机无需调试，自动适应声学环境（自动适应过程约需10秒），整个系统会额外获得6~15dB的增益。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1、采样率 (fs)32kHz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2、频率响应：不劣于125Hz-15kHz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3、失真 &lt;0.1%（1kHz）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4、增益 线路输入（旁路模式）0dB，24/36/48dB话筒输入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5、信噪比 &gt;90dB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6、信号延迟 &lt;11毫秒</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7、解联器频移 5Hz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8、阻抗 10KΩ/2KΩ（线路/话筒）CMRR&gt;25dB（50Hz至20kHz）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9、连接器 3针XLR，5针DIN，（平衡）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10、最大电平 线路输入：18/6/-6dBV，话筒输入：-18/-30/-42dBV</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11、幻象电源 16V（仅限话筒，可切换）</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12、电源 230/115VAC，±10%，50/60Hz</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13、涌入电流 1.5A，230VAC/3A，115VAC</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8" w:hRule="atLeast"/>
          <w:jc w:val="center"/>
        </w:trPr>
        <w:tc>
          <w:tcPr>
            <w:tcW w:w="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电源时序器</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1.标准≥19寸机柜1U设计；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2.≥8路大电流受控电源输出，单路最大电流≥30A；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3.自带≥2寸彩色液晶智能显示。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4.根据设定时间，可定时开关机；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5.每通道可延时0-999S，并可设定8组开关场景数据保存/调用；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6.欠压/过压检测报警关闭，ID设定0-255实现编码集中控制，支持多台机级联控制，级联状态可自动检测并设置，支持面板Lock锁定功能；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7.单路独立开关功能：支持面板独立控制；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8.功能显示电压显示表类型：点阵功能显示电压表与功能菜单；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9.继电器受控输出最大承受单路功率/总功率(无功功率）：2200W/6000W最大承受无功功率。</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1.单通道最大输出负载≥30A，整机设备最大输出负载≤30A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2.RS232通信接口：DB9FM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3.供电输出口供电时序可编程,用户自由组合供电时序，全部数据都带掉电保存。</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二：教具、户外器械设备</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562"/>
        <w:gridCol w:w="628"/>
        <w:gridCol w:w="4723"/>
        <w:gridCol w:w="694"/>
        <w:gridCol w:w="735"/>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46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教具、户外器械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类别</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数量</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color w:val="auto"/>
                <w:sz w:val="18"/>
                <w:szCs w:val="18"/>
                <w:lang w:val="en-US" w:eastAsia="zh-CN"/>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玩教具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有趣拼图</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至少48件，工艺：模具生产。产品材质：ABS.采用工程塑料PP粒子注塑一次成型，无毒无味，渗入抗紫外线，光稳定剂及抗静电剂。</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新管道积木</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1、材质：ABS，环保塑料,100%安全无毒。</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2、规格： 长管约60*Φ20mm， 四通管约60*60*Φ20mm，三通管约60*40*Φ20mm，弯管约38*38*Φ20mm,大车轮约64*64*15mm,小车配件至少包括大象，鱼，海豚，猫，茄子，星星，花，苹果等至少8种形状。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建造裝搭积木</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规格:至少500件、尺寸：U型约1.5*5.5cm、半圆形约4*1.5cm、条形约3.5*1.5cm、长条形约10*1.5cm中条形约8*1.5cm、短条形约6*1.5cm。材质：环保塑料,100%安全无毒。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小号雪花片</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规格:至少3500件、尺寸约2.3cm。材质：PE环保塑料,100%安全无毒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中号雪花片积木</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规格:至少1800件、尺寸约3.3cm。材质：PE环保塑料,100%安全无毒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大号雪花片积木</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规格:至少1000件、尺寸约4.3cm。材质：PE环保塑料,100%安全无毒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特大号雪花片积木</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规格:至少192件、尺寸约8.3cm。材质：PE环保塑料,100%安全无毒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树叶水果穿线板</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规格:至少800件、尺寸：树叶约11.8cm、叶子约11.7cm、梨约11.7cm、香蕉约14.6cm、草莓约10.9cm、菠萝约11.9cm、枫叶约11.7cm。材质：PE环保塑料,100%安全无毒。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美术拼图</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厨房用具</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规格:至少120件、材质：环保塑料,100%安全无毒。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玩沙玩具</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规格:至少42件、材质：环保塑料,100%安全无毒。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玩水玩具</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规格:至少42件、材质：环保塑料,100%安全无毒。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仿真水果蔬菜</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规格:至少42件、材质：环保塑料,100%安全无毒。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大号三轮童车</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尺寸：约89cm*60cm*67cm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1、车身采用热镀锌尺寸：约30mm*60mm*1.3mm-30mm*70mm*1.2mm，直径约25mm厚度1.3mm。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2、轮子采用弧形实心橡胶轮胎一次成型无缝式密实设计，轮胎是PP材料。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3、车子表面喷砂处理。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4、把手是防滑手套；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5、脚踏是双卡簧加固的；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6、车头部定位设计，符合安全标准。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7、镀锌管表面采用塑粉热喷处理技术。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8、后轮外盖的无螺钉安装设计；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9、前轮与前叉的链接；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10、不锈钢螺丝防松螺帽配件；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11、实心注塑座椅设计；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12、踏板或座位全部采用ABS板，用不锈钢螺丝加固，无任何尖锐物；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eastAsiaTheme="minorEastAsia"/>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767080" cy="746760"/>
                  <wp:effectExtent l="0" t="0" r="13970" b="15240"/>
                  <wp:docPr id="3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3"/>
                          <pic:cNvPicPr>
                            <a:picLocks noChangeAspect="1"/>
                          </pic:cNvPicPr>
                        </pic:nvPicPr>
                        <pic:blipFill>
                          <a:blip r:embed="rId23"/>
                          <a:stretch>
                            <a:fillRect/>
                          </a:stretch>
                        </pic:blipFill>
                        <pic:spPr>
                          <a:xfrm>
                            <a:off x="0" y="0"/>
                            <a:ext cx="767080" cy="74676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幼儿货运车</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尺寸:约113cm*58cm*69cm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1、车身采用热镀锌尺寸：约30mm*60mm*1.3mm和30mm*70mm*1.2mm,直径约25mm厚度约1.3mm。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2、轮子采用弧形实心橡胶轮胎一次成型无缝式密实设计，轮胎是PP材料。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3、车子表面喷砂处理。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4、把手是防滑手套；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5、脚踏是双卡簧加固的；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6、车头部定位设计，符合安全标准。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7、镀锌管表面采用塑粉热喷处理技术。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8、后轮外盖的无螺钉安装设计；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9、前轮与前叉的链接；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10、不锈钢螺丝防松螺帽配件；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11、实心注塑座椅设计；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12、踏板或座位全部采用ABS板，用不锈钢螺丝加固，无任何尖锐物。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693420" cy="602615"/>
                  <wp:effectExtent l="0" t="0" r="11430" b="6985"/>
                  <wp:docPr id="1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1"/>
                          <pic:cNvPicPr>
                            <a:picLocks noChangeAspect="1"/>
                          </pic:cNvPicPr>
                        </pic:nvPicPr>
                        <pic:blipFill>
                          <a:blip r:embed="rId24" cstate="print"/>
                          <a:stretch>
                            <a:fillRect/>
                          </a:stretch>
                        </pic:blipFill>
                        <pic:spPr>
                          <a:xfrm>
                            <a:off x="0" y="0"/>
                            <a:ext cx="693420" cy="60261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双人踏板出租车</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尺寸：约106cm*61cm*69cm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1、车身采用热镀锌尺寸：约30mm*60mm*1.3mm和30mm*70mm*1.2mm，直径约25mm厚度约1.3mm。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2、轮子采用弧形实心橡胶轮胎一次成型无缝式密实设计，轮胎是PP材料。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3、车子表面喷砂处理。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4、把手是防滑手套；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5、脚踏是双卡簧加固的；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6、车头部定位设计，符合安全标准。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7、镀锌管表面采用塑粉热喷处理技术。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8、后轮外盖的无螺钉安装设计；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9、前轮与前叉的链接；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10、不锈钢螺丝防松螺帽配件；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11、实心注塑座椅设计；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12、踏板或座位全部采用ABS板，用不锈钢螺丝加固，无任何尖锐物。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sz w:val="18"/>
                <w:szCs w:val="18"/>
                <w:lang w:val="en-US" w:eastAsia="zh-CN"/>
              </w:rPr>
            </w:pPr>
            <w:r>
              <w:rPr>
                <w:color w:val="auto"/>
                <w:sz w:val="18"/>
                <w:szCs w:val="18"/>
              </w:rPr>
              <w:drawing>
                <wp:inline distT="0" distB="0" distL="114300" distR="114300">
                  <wp:extent cx="856615" cy="591820"/>
                  <wp:effectExtent l="0" t="0" r="635" b="1778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25" cstate="print"/>
                          <a:stretch>
                            <a:fillRect/>
                          </a:stretch>
                        </pic:blipFill>
                        <pic:spPr>
                          <a:xfrm>
                            <a:off x="0" y="0"/>
                            <a:ext cx="856615" cy="59182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双座炫风车</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尺寸：约116cm*76cm*71cm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1、车身采用热镀锌尺寸：约30mm*60mm*1.3mm和30mm*70mm*1.2mm，直径约25mm厚度约1.3mm。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2、轮子采用弧形实心橡胶轮胎一次成型无缝式密实设计，轮胎是PP材料。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3、车子表面喷砂处理。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4、把手是防滑手套；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5、脚踏是双卡簧加固的；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6、车头部定位设计，符合安全标准。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7、镀锌管表面采用塑粉热喷处理技术。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8、后轮外盖的无螺钉安装设计；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9、前轮与前叉的链接；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10、不锈钢螺丝防松螺帽配件；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11、实心注塑座椅设计；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12、踏板或座位全部采用ABS板，用不锈钢螺丝加固，无任何尖锐物。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color w:val="auto"/>
                <w:sz w:val="18"/>
                <w:szCs w:val="18"/>
                <w:lang w:val="en-US" w:eastAsia="zh-CN"/>
              </w:rPr>
            </w:pPr>
            <w:r>
              <w:rPr>
                <w:color w:val="auto"/>
                <w:sz w:val="18"/>
                <w:szCs w:val="18"/>
              </w:rPr>
              <w:drawing>
                <wp:inline distT="0" distB="0" distL="114300" distR="114300">
                  <wp:extent cx="925830" cy="639445"/>
                  <wp:effectExtent l="0" t="0" r="7620" b="825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6" cstate="print"/>
                          <a:stretch>
                            <a:fillRect/>
                          </a:stretch>
                        </pic:blipFill>
                        <pic:spPr>
                          <a:xfrm>
                            <a:off x="0" y="0"/>
                            <a:ext cx="925830" cy="63944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单座炫风车</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尺寸:约106cm*58cm*69cm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1、车身采用热镀锌尺寸：约30mm*60mm*1.3mm和30mm*70mm*1.2mm 直径约25mm厚度约1.3mm。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2、轮子采用弧形实心橡胶轮胎一次成型无缝式密实设计，轮胎是PP材料。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3、车子表面喷砂处理。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4、把手是防滑手套；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5、脚踏是双卡簧加固的；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6、车头部定位设计，符合安全标准。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7、镀锌管表面采用塑粉热喷处理技术。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8、后轮外盖的无螺钉安装设计；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9、前轮与前叉的链接；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10、不锈钢螺丝防松螺帽配件；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11、实心注塑座椅设计；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12、踏板或座位全部采用ABS板，用不锈钢螺丝加固，无任何尖锐物。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71220" cy="685165"/>
                  <wp:effectExtent l="0" t="0" r="5080" b="635"/>
                  <wp:docPr id="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6"/>
                          <pic:cNvPicPr>
                            <a:picLocks noChangeAspect="1"/>
                          </pic:cNvPicPr>
                        </pic:nvPicPr>
                        <pic:blipFill>
                          <a:blip r:embed="rId27" cstate="print"/>
                          <a:stretch>
                            <a:fillRect/>
                          </a:stretch>
                        </pic:blipFill>
                        <pic:spPr>
                          <a:xfrm>
                            <a:off x="0" y="0"/>
                            <a:ext cx="871220" cy="68516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欢乐兜风车</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尺寸:约106cm*67cm*69cm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1、车身采用热镀锌尺寸：约30mm*60mm*1.3mm和30mm*70mm*1.2mm 直径约25mm厚度约1.3mm。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2、轮子采用弧形实心橡胶轮胎一次成型无缝式密实设计，轮胎是PP材料，国际技术，骑踏轻巧。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3、车子表面喷砂处理。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4、把手是防滑手套；</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5、脚踏是双卡簧加固的；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6、车头部定位设计，符合安全标准。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7、镀锌管表面采用塑粉热喷处理技术。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8、后轮外盖的无螺钉安装设计；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9、前轮与前叉的链接；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10、不锈钢螺丝防松螺帽配件；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11、实心注塑座椅设计；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12、踏板或座位全部采用ABS板，用不锈钢螺丝加固，无任何尖锐物。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需提供CCC认证证书复印件加盖公章及提供生产厂家出具的、相应的功能证明材料（包括但不限于测试报告、官网和功能截图等）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辆</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929005" cy="684530"/>
                  <wp:effectExtent l="0" t="0" r="4445" b="1270"/>
                  <wp:docPr id="1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8"/>
                          <pic:cNvPicPr>
                            <a:picLocks noChangeAspect="1"/>
                          </pic:cNvPicPr>
                        </pic:nvPicPr>
                        <pic:blipFill>
                          <a:blip r:embed="rId28" cstate="print"/>
                          <a:stretch>
                            <a:fillRect/>
                          </a:stretch>
                        </pic:blipFill>
                        <pic:spPr>
                          <a:xfrm>
                            <a:off x="0" y="0"/>
                            <a:ext cx="929005" cy="68453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梯子游戏</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1、材质：采用优质防腐新西兰松木。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2、工艺：碳烤、静电喷水性环保油漆、磨圆角、光滑无毛刺，符合国家环保标准(需提供生产厂家出具的、相应的功能证明材料)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908685" cy="472440"/>
                  <wp:effectExtent l="0" t="0" r="5715" b="381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29" cstate="print"/>
                          <a:stretch>
                            <a:fillRect/>
                          </a:stretch>
                        </pic:blipFill>
                        <pic:spPr>
                          <a:xfrm>
                            <a:off x="0" y="0"/>
                            <a:ext cx="908685" cy="47244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21</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碳化大积木</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1、材质：采用优质防腐新西兰松木。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2、工艺：碳烤、静电喷水性环保油漆、磨圆角、光滑无毛刺 ，符合国家环保标准(需提供生产厂家出具的、相应的功能证明材料)</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909320" cy="592455"/>
                  <wp:effectExtent l="0" t="0" r="5080" b="17145"/>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noChangeArrowheads="1"/>
                          </pic:cNvPicPr>
                        </pic:nvPicPr>
                        <pic:blipFill>
                          <a:blip r:embed="rId30" cstate="print"/>
                          <a:srcRect/>
                          <a:stretch>
                            <a:fillRect/>
                          </a:stretch>
                        </pic:blipFill>
                        <pic:spPr>
                          <a:xfrm>
                            <a:off x="0" y="0"/>
                            <a:ext cx="909320" cy="592455"/>
                          </a:xfrm>
                          <a:prstGeom prst="rect">
                            <a:avLst/>
                          </a:prstGeom>
                          <a:noFill/>
                          <a:ln w="1">
                            <a:noFill/>
                            <a:miter lim="800000"/>
                            <a:headEnd/>
                            <a:tailEnd type="none" w="med" len="med"/>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22</w:t>
            </w:r>
          </w:p>
        </w:tc>
        <w:tc>
          <w:tcPr>
            <w:tcW w:w="3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木质拼搭玩具</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松木两底一面碳化清漆，厚度约5cm/2.5cm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33755" cy="556895"/>
                  <wp:effectExtent l="0" t="0" r="4445" b="14605"/>
                  <wp:docPr id="12" name="图片 30" descr="44e74c4605475755b0d6a72a8b9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descr="44e74c4605475755b0d6a72a8b90175"/>
                          <pic:cNvPicPr>
                            <a:picLocks noChangeAspect="1"/>
                          </pic:cNvPicPr>
                        </pic:nvPicPr>
                        <pic:blipFill>
                          <a:blip r:embed="rId31" cstate="print"/>
                          <a:stretch>
                            <a:fillRect/>
                          </a:stretch>
                        </pic:blipFill>
                        <pic:spPr>
                          <a:xfrm>
                            <a:off x="0" y="0"/>
                            <a:ext cx="833755" cy="55689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23</w:t>
            </w:r>
          </w:p>
        </w:tc>
        <w:tc>
          <w:tcPr>
            <w:tcW w:w="30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电子钢琴</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饰面：黑色PVC。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外壳特征：木质外壳结构，折叠谱架，键侧木操控面板。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键盘：88琴键击弦机弦棰式结构动态触键感应重锤力度键盘。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音源：DSP音效音源,钢琴音色源。</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复音数：≥272（立体声）；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自动关机：在没有任何操作下，2 小时自动关机；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示范曲：至少200首经典示范曲；(经典钢琴曲+音色示范曲+节奏示范曲)。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教学功能：至少150首教学曲，音乐会魔法，左手右手跟踪演奏模拟教学。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触键力度：至少5种标准钢琴力度曲线，固定、轻、标准、重、力度开/关，触感灵敏度调节；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音色:至少1200种,含128GM 标准音色+1013AMS 音色+59 中国民族音色+10 组打 击乐器+1 效果音色组。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包含三角钢琴、大钢琴、电钢琴、教堂风琴、羽管键琴、电颤琴、弦乐、合奏等。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节奏：不少于200种，世界风格、包含民族节拍、钢琴伴奏。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伴奏控制：自动和弦开关，同步启动，开始停止，A/插入1，B/插入2，前奏/尾奏。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录音功能：旋律轨和伴奏轨同步录制，录音、回放，单曲最大 22,000 音符；MIDI 计算机状态录音支持 64 轨 16 通道、MIDI 0&amp;1 格式文件存储。最大可录制 10 首歌曲。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调音：-99-+99 可调。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明亮度调节：0-120可调（默认为 64）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音色控制：三角大钢琴音色，双钢琴，双音色、双键盘，双键盘功能可调分离点；至少包含钢琴模式、双音色模式，键盘分离模式、节奏和弦模式。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双音色：即叠加音色，钢琴演奏带弦乐背景音色，用户编辑多重组合叠加音色。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键盘分离：包含双钢琴，同音域可将键盘分割成两种相同音高的音区功能、四手联弹、弦乐重奏、管乐合奏、钢琴+提琴，吉他+提琴演奏，可以实现多重组合。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音量控制：主音量，伴奏音量，可调节音量控制，免打扰双耳机接口；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效果功能：120级震音、60级混响、60级合唱；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节拍器：根据节拍发出强弱滴答声，不同类型拍号（1/4、2/4、3/4、4/4、5/4、6/8，）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节拍速度：20-260。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存储设置：≥4组存储记忆设置键。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踏板功能：传统钢琴踏板功能，可实现弱音踏板、制音踏板、延音踏板功能；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USB接口：USB MIDI接口，可实现系统的无限扩展和升级；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接口：至少包括踏板接口,电源接口,双耳机插孔*2，立体声线路输入输出 。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蓝牙播放器：带有内置蓝牙播放器。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音响系统：立体声双喇叭音响系统。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单人电钢凳：尺寸约46cm*30cm*48cm（长宽高，手工测量，允许2厘米误差）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四腿金属或木质凳脚，回弹海绵凳面 黑白颜色可选择</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 xml:space="preserve">12 </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24</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家具类</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yellow"/>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钢琴</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外壳尺寸（长×宽×高）：约149cm*59cm*118cm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铁板：采用传统砂铸铁板工艺，音色纯正。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音板：采用木材制作的等厚加强型实木音板。</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琴弦：采用进口钢线，音色纯净，音准稳定。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弦码：采用榉木多层板制作，音频振动响应精确、迅速。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弦轴板：由多层硬木交错拼接而成，为弦轴钉提供稳固的握钉力。</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弦槌：采用羊毛毡并应用制作的弦槌。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制音器：采用羊毛制造。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转击器、联动杆、制音杆：采用坚硬细密的木材制作，强度高韧性大。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顶杆：采用ABS材质。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琴键：采用亚光黑键，触感舒适自然。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键板：采用杨木/椴木层积材制作的键板</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脚轮：采用单轮脚轮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外壳涂饰：采用PVC材料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钢琴凳子：尺寸长约72cm，宽约33cm，高约48cm（长宽高，手工测量，允许2厘米误差）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i w:val="0"/>
                <w:iCs w:val="0"/>
                <w:color w:val="auto"/>
                <w:kern w:val="0"/>
                <w:sz w:val="18"/>
                <w:szCs w:val="18"/>
                <w:highlight w:val="yellow"/>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四腿金属或木质凳脚，回弹海绵凳面 黑白颜色可选择</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儿童椅</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小班，约27cm 材质为:橡木 , 油漆为环保油漆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橡木材质：全实木榫结构，原木色，油漆采用环保油漆型聚酯漆。正面涂层平整光滑，光泽柔和。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eastAsiaTheme="minorEastAsia"/>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715010" cy="911225"/>
                  <wp:effectExtent l="0" t="0" r="8890" b="3175"/>
                  <wp:docPr id="1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1"/>
                          </pic:cNvPicPr>
                        </pic:nvPicPr>
                        <pic:blipFill>
                          <a:blip r:embed="rId32"/>
                          <a:stretch>
                            <a:fillRect/>
                          </a:stretch>
                        </pic:blipFill>
                        <pic:spPr>
                          <a:xfrm>
                            <a:off x="0" y="0"/>
                            <a:ext cx="715010" cy="9112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26</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儿童椅</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中班，约27cm 材质为:橡木 , 油漆为环保油漆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橡木材质，全实木榫结构，原木色，油漆采用环保油漆型聚酯漆。正面涂层平整光滑，光泽柔和。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168</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715010" cy="911225"/>
                  <wp:effectExtent l="0" t="0" r="8890" b="3175"/>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32"/>
                          <a:stretch>
                            <a:fillRect/>
                          </a:stretch>
                        </pic:blipFill>
                        <pic:spPr>
                          <a:xfrm>
                            <a:off x="0" y="0"/>
                            <a:ext cx="715010" cy="9112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27</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儿童椅</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大班，约27cm 材质为:橡木 , 油漆为环保油漆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橡木材质，全实木榫结构，原木色，油漆采用环保油漆型聚酯漆。正面涂层平整光滑，光泽柔和。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168</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715010" cy="911225"/>
                  <wp:effectExtent l="0" t="0" r="8890" b="3175"/>
                  <wp:docPr id="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pic:cNvPicPr>
                            <a:picLocks noChangeAspect="1"/>
                          </pic:cNvPicPr>
                        </pic:nvPicPr>
                        <pic:blipFill>
                          <a:blip r:embed="rId32"/>
                          <a:stretch>
                            <a:fillRect/>
                          </a:stretch>
                        </pic:blipFill>
                        <pic:spPr>
                          <a:xfrm>
                            <a:off x="0" y="0"/>
                            <a:ext cx="715010" cy="9112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六人桌</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规格:约120cm*60cm*56cm 材质为:橡木 , 油漆为环保油漆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橡木材质，全实木榫结构，原木色，油漆采用环保油漆型聚酯漆。正面涂层平整光滑，光泽柔和，高度约53cm、坐高约29cm。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张</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33120" cy="527050"/>
                  <wp:effectExtent l="0" t="0" r="5080" b="635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33" cstate="print"/>
                          <a:stretch>
                            <a:fillRect/>
                          </a:stretch>
                        </pic:blipFill>
                        <pic:spPr>
                          <a:xfrm>
                            <a:off x="0" y="0"/>
                            <a:ext cx="833120" cy="5270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29</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玩具架</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尺寸：约100cm*30cm*80cm 实木。产品应无霉变、虫眼、死结、树脂漏、明显的变形；含水率不高于18%。产品表面应无黑点、结疤、裂纹和明显的色差。上色产品应无长度到边缘、宽度超过0.15mm的裂缝和影响产品性能的活节。产品的安全要求应符合GB6675的有关规定。画面应色彩鲜，套色、图案、文字和线条要求准确、清晰、完整；不得有污迹、渗痕；同一产品上相同颜色不得有明显差异。漆膜要求平滑、光亮，牢固；主要表面应无堆漆、起泡、皱纹、泛白及影响美观的补漆、擦毛和流痕。外露金属配件应电镀，镀层要牢固、光亮，不得有气泡、脱壳，露底、锈蚀、发毛及明显的擦伤和冲制拉丝。塑料件应塑化良好，无飞边及影响美观的缩痕、斑纹、色差、伤痕和污点。装配应平整、牢固，不得有脱胶、脱钉，错应不大于1.5mm，活动部位应灵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48</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918210" cy="439420"/>
                  <wp:effectExtent l="0" t="0" r="15240" b="1778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34"/>
                          <a:stretch>
                            <a:fillRect/>
                          </a:stretch>
                        </pic:blipFill>
                        <pic:spPr>
                          <a:xfrm>
                            <a:off x="0" y="0"/>
                            <a:ext cx="918210" cy="43942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区角柜组合2（定制）</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i w:val="0"/>
                <w:iCs w:val="0"/>
                <w:color w:val="auto"/>
                <w:sz w:val="18"/>
                <w:szCs w:val="18"/>
                <w:highlight w:val="yellow"/>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占地：约320cm*240cm*120cm；木质产品应无霉变、虫眼、死结、树脂漏（明子）、明显的变形；含水率不高于18%。产品表面应无黑点、结疤、裂纹和明显的色差。上色产品应无长度到边缘、宽度超过0.15mm的裂缝和影响产品性能的活节</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drawing>
                <wp:inline distT="0" distB="0" distL="114300" distR="114300">
                  <wp:extent cx="883285" cy="497205"/>
                  <wp:effectExtent l="0" t="0" r="12065" b="17145"/>
                  <wp:docPr id="23" name="图片 23" descr="36f26b48b2cc562de5f7d1d335d3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36f26b48b2cc562de5f7d1d335d36db"/>
                          <pic:cNvPicPr>
                            <a:picLocks noChangeAspect="1"/>
                          </pic:cNvPicPr>
                        </pic:nvPicPr>
                        <pic:blipFill>
                          <a:blip r:embed="rId35"/>
                          <a:stretch>
                            <a:fillRect/>
                          </a:stretch>
                        </pic:blipFill>
                        <pic:spPr>
                          <a:xfrm>
                            <a:off x="0" y="0"/>
                            <a:ext cx="883285" cy="49720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毛巾架（轮子）</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sz w:val="18"/>
                <w:szCs w:val="18"/>
                <w:highlight w:val="yellow"/>
                <w:u w:val="none"/>
              </w:rPr>
            </w:pPr>
            <w:r>
              <w:rPr>
                <w:rFonts w:hint="eastAsia" w:ascii="宋体" w:hAnsi="宋体" w:eastAsia="宋体" w:cs="宋体"/>
                <w:b w:val="0"/>
                <w:bCs w:val="0"/>
                <w:i w:val="0"/>
                <w:iCs w:val="0"/>
                <w:color w:val="auto"/>
                <w:kern w:val="0"/>
                <w:sz w:val="18"/>
                <w:szCs w:val="18"/>
                <w:highlight w:val="none"/>
                <w:u w:val="none"/>
                <w:lang w:val="en-US" w:eastAsia="zh-CN" w:bidi="ar"/>
              </w:rPr>
              <w:t>约100cm*40cm*110cm,木质</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38835" cy="696595"/>
                  <wp:effectExtent l="0" t="0" r="18415" b="825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36"/>
                          <a:stretch>
                            <a:fillRect/>
                          </a:stretch>
                        </pic:blipFill>
                        <pic:spPr>
                          <a:xfrm>
                            <a:off x="0" y="0"/>
                            <a:ext cx="838835" cy="69659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图书室书架</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80cm*30cm*95cm,橡胶木实木：橡胶木。产品应无霉变、虫眼、死结、树脂漏（明子）、明显的变形；含水率不高于18%。产品表面应无黑点、结疤、裂纹和明显的色差。上色产品应无长度到边缘、宽度超过0.15mm的裂缝和影响产品性能的活节。产品的安全要求应符合GB6675的有关规定。画面应色彩鲜，套色、图案、文字和线条要求准确、清晰、完整；不得有污迹、渗痕；同一产品上相同颜色不得有明显差异。漆膜要求平滑、光亮，牢固；主要表面须无堆漆、起泡、皱纹、泛白及影响美观的补漆、擦毛和流痕。外露金属配件应电镀，镀层要牢固、光亮，不得有气泡、脱壳，露底、锈蚀、发毛及明显的擦伤和冲制拉丝。塑料件应塑化良好，色泽鲜艳，表面光洁，无飞边及影响美观的缩痕、斑纹、色差、伤痕和污点。装配应平整、牢固，不得有脱胶、脱钉，错应不大于1.5mm，活动部位应灵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07720" cy="880110"/>
                  <wp:effectExtent l="0" t="0" r="11430" b="15240"/>
                  <wp:docPr id="49" name="图片 48" descr="微信图片_2018051708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8" descr="微信图片_20180517081631"/>
                          <pic:cNvPicPr>
                            <a:picLocks noChangeAspect="1"/>
                          </pic:cNvPicPr>
                        </pic:nvPicPr>
                        <pic:blipFill>
                          <a:blip r:embed="rId37"/>
                          <a:srcRect l="15786" t="4812" r="23021" b="13123"/>
                          <a:stretch>
                            <a:fillRect/>
                          </a:stretch>
                        </pic:blipFill>
                        <pic:spPr>
                          <a:xfrm>
                            <a:off x="0" y="0"/>
                            <a:ext cx="807720" cy="880110"/>
                          </a:xfrm>
                          <a:prstGeom prst="round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33</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教室书架</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80cm*30cm*95cm橡胶木实木：橡胶木。产品应无霉变、虫眼、死结、树脂漏（明子）、明显的变形；含水率不高于18%。产品表面应无黑点、结疤、裂纹和明显的色差。上色产品应无长度到边缘、宽度超过0.15mm的裂缝和影响产品性能的活节。产品的安全要求应符合GB6675的有关规定。画面应色彩鲜，套色、图案、文字和线条要求准确、清晰、完整；不得有污迹、渗痕；同一产品上相同颜色不得有明显差异。漆膜要求平滑、光亮，牢固；主要表面须无堆漆、起泡、皱纹、泛白及影响美观的补漆、擦毛和流痕。外露金属配件应电镀，镀层要牢固、光亮，不得有气泡、脱壳，露底、锈蚀、发毛及明显的擦伤和冲制拉丝。塑料件应塑化良好，色泽鲜艳，表面光洁，无飞边及影响美观的缩痕、斑纹、色差、伤痕和污点。装配应平整、牢固，不得有脱胶、脱钉，错应不大于1.5mm，活动部位应灵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43280" cy="918210"/>
                  <wp:effectExtent l="0" t="0" r="13970" b="15240"/>
                  <wp:docPr id="11" name="图片 48" descr="微信图片_2018051708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8" descr="微信图片_20180517081631"/>
                          <pic:cNvPicPr>
                            <a:picLocks noChangeAspect="1"/>
                          </pic:cNvPicPr>
                        </pic:nvPicPr>
                        <pic:blipFill>
                          <a:blip r:embed="rId37"/>
                          <a:srcRect l="15786" t="4812" r="23021" b="13123"/>
                          <a:stretch>
                            <a:fillRect/>
                          </a:stretch>
                        </pic:blipFill>
                        <pic:spPr>
                          <a:xfrm>
                            <a:off x="0" y="0"/>
                            <a:ext cx="843280" cy="918210"/>
                          </a:xfrm>
                          <a:prstGeom prst="round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34</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合唱凳</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尺寸：约25cm*20cm*31cm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采用约12mm密度板板材制作</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把</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78205" cy="487680"/>
                  <wp:effectExtent l="0" t="0" r="17145" b="762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38" cstate="print"/>
                          <a:stretch>
                            <a:fillRect/>
                          </a:stretch>
                        </pic:blipFill>
                        <pic:spPr>
                          <a:xfrm>
                            <a:off x="0" y="0"/>
                            <a:ext cx="878205" cy="48768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35</w:t>
            </w: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auto"/>
                <w:sz w:val="18"/>
                <w:szCs w:val="18"/>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口杯架（带纱窗）</w:t>
            </w:r>
          </w:p>
        </w:tc>
        <w:tc>
          <w:tcPr>
            <w:tcW w:w="2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尺寸：约67cm*30cm*110cm(36个格子）  橡胶木实木：橡胶木。产品应无霉变、虫眼、死结、树脂漏（明子）、明显的变形；含水率不高于18%。产品表面应无黑点、结疤、裂纹和明显的色差。上色产品应无长度到边缘、宽度超过0.15mm的裂缝和影响产品性能的活节。产品的安全要求应符合GB6675的有关规定。画面应色彩鲜，套色、图案、文字和线条要求准确、清晰、完整；不得有污迹、渗痕；同一产品上相同颜色不得有明显差异。漆膜要求平滑、光亮，牢固；主要表面无堆漆、起泡、皱纹、泛白及影响美观的补漆、擦毛和流痕。外露金属配件应电镀，镀层要牢固、光亮，不得有气泡、脱壳，露底、锈蚀、发毛及明显的擦伤和冲制拉丝。塑料件应塑化良好，色泽鲜艳，表面光洁，无飞边及影响美观的缩痕、斑纹、色差、伤痕和污点。装配应平整、牢固，不得有脱胶、脱钉，错应不大于1.5mm，活动部位应灵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color w:val="auto"/>
                <w:sz w:val="18"/>
                <w:szCs w:val="18"/>
              </w:rPr>
              <w:drawing>
                <wp:inline distT="0" distB="0" distL="114300" distR="114300">
                  <wp:extent cx="836295" cy="788035"/>
                  <wp:effectExtent l="0" t="0" r="1905" b="12065"/>
                  <wp:docPr id="24" name=" " descr=" "/>
                  <wp:cNvGraphicFramePr/>
                  <a:graphic xmlns:a="http://schemas.openxmlformats.org/drawingml/2006/main">
                    <a:graphicData uri="http://schemas.openxmlformats.org/drawingml/2006/picture">
                      <pic:pic xmlns:pic="http://schemas.openxmlformats.org/drawingml/2006/picture">
                        <pic:nvPicPr>
                          <pic:cNvPr id="24" name=" " descr=" "/>
                          <pic:cNvPicPr/>
                        </pic:nvPicPr>
                        <pic:blipFill>
                          <a:blip r:embed="rId39" cstate="print"/>
                          <a:srcRect/>
                          <a:stretch>
                            <a:fillRect/>
                          </a:stretch>
                        </pic:blipFill>
                        <pic:spPr>
                          <a:xfrm>
                            <a:off x="0" y="0"/>
                            <a:ext cx="836295" cy="788035"/>
                          </a:xfrm>
                          <a:prstGeom prst="rect">
                            <a:avLst/>
                          </a:prstGeom>
                          <a:noFill/>
                          <a:ln>
                            <a:noFill/>
                          </a:ln>
                          <a:effectLst/>
                        </pic:spPr>
                      </pic:pic>
                    </a:graphicData>
                  </a:graphic>
                </wp:inline>
              </w:drawing>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三：办公家具</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711"/>
        <w:gridCol w:w="4676"/>
        <w:gridCol w:w="703"/>
        <w:gridCol w:w="752"/>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名称</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办公桌</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1.基材采用中高密度中纤板。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2.甲醛含量均达到优级标准；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3.面贴0.6mm实木木皮，橡胶木封边；</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4.尺寸≥长1.2米*宽0.6米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1158875" cy="599440"/>
                  <wp:effectExtent l="0" t="0" r="3175" b="10160"/>
                  <wp:docPr id="10" name="图片_10"/>
                  <wp:cNvGraphicFramePr/>
                  <a:graphic xmlns:a="http://schemas.openxmlformats.org/drawingml/2006/main">
                    <a:graphicData uri="http://schemas.openxmlformats.org/drawingml/2006/picture">
                      <pic:pic xmlns:pic="http://schemas.openxmlformats.org/drawingml/2006/picture">
                        <pic:nvPicPr>
                          <pic:cNvPr id="10" name="图片_10"/>
                          <pic:cNvPicPr/>
                        </pic:nvPicPr>
                        <pic:blipFill>
                          <a:blip r:embed="rId40"/>
                          <a:stretch>
                            <a:fillRect/>
                          </a:stretch>
                        </pic:blipFill>
                        <pic:spPr>
                          <a:xfrm>
                            <a:off x="0" y="0"/>
                            <a:ext cx="1158875" cy="59944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办公室椅（普通）</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1.靠背采用原生PP材质；</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2.高强度网布，透气性好；</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3.座垫采用优质原生海绵 ，一次成型；</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4.扶手采用高强度工程 PP支架；</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5.静电喷涂加厚金属弓形架 ；                </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6.尺寸≥高0.9米*长0.5米*宽0.47米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802640" cy="874395"/>
                  <wp:effectExtent l="0" t="0" r="16510" b="1905"/>
                  <wp:docPr id="13" name="图片_11"/>
                  <wp:cNvGraphicFramePr/>
                  <a:graphic xmlns:a="http://schemas.openxmlformats.org/drawingml/2006/main">
                    <a:graphicData uri="http://schemas.openxmlformats.org/drawingml/2006/picture">
                      <pic:pic xmlns:pic="http://schemas.openxmlformats.org/drawingml/2006/picture">
                        <pic:nvPicPr>
                          <pic:cNvPr id="13" name="图片_11"/>
                          <pic:cNvPicPr/>
                        </pic:nvPicPr>
                        <pic:blipFill>
                          <a:blip r:embed="rId41"/>
                          <a:stretch>
                            <a:fillRect/>
                          </a:stretch>
                        </pic:blipFill>
                        <pic:spPr>
                          <a:xfrm>
                            <a:off x="0" y="0"/>
                            <a:ext cx="802640" cy="87439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台上桌</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1.基材采用中高密度中纤板；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2.甲醛含量均达到优级标准；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3.面贴0.6mm实木木皮，橡胶木封边；</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4.所有原木挡板料经脱脂烘干处理，含水率8%；</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5.油漆采用环保办公家具装用耐磨聚酯漆   </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6.尺寸≥高1.15米*宽0.6米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914400" cy="1092835"/>
                  <wp:effectExtent l="0" t="0" r="0" b="12065"/>
                  <wp:docPr id="26" name="图片_12"/>
                  <wp:cNvGraphicFramePr/>
                  <a:graphic xmlns:a="http://schemas.openxmlformats.org/drawingml/2006/main">
                    <a:graphicData uri="http://schemas.openxmlformats.org/drawingml/2006/picture">
                      <pic:pic xmlns:pic="http://schemas.openxmlformats.org/drawingml/2006/picture">
                        <pic:nvPicPr>
                          <pic:cNvPr id="26" name="图片_12"/>
                          <pic:cNvPicPr/>
                        </pic:nvPicPr>
                        <pic:blipFill>
                          <a:blip r:embed="rId42"/>
                          <a:stretch>
                            <a:fillRect/>
                          </a:stretch>
                        </pic:blipFill>
                        <pic:spPr>
                          <a:xfrm>
                            <a:off x="0" y="0"/>
                            <a:ext cx="914400" cy="10928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园长柜子</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1、基材：采用E1级MFC板；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2、饰面：采用AAA级三聚氢胺纸饰面，经防划、防油、防火处理。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3、封边、胶黏剂：采用≥1.5mm厚 PVC 封边，表面光滑。</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4、胶水：采用环保胶黏剂</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5.尺寸≥高2.0米*宽1.2米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762000" cy="1002665"/>
                  <wp:effectExtent l="0" t="0" r="0" b="6985"/>
                  <wp:docPr id="29" name="图片_13"/>
                  <wp:cNvGraphicFramePr/>
                  <a:graphic xmlns:a="http://schemas.openxmlformats.org/drawingml/2006/main">
                    <a:graphicData uri="http://schemas.openxmlformats.org/drawingml/2006/picture">
                      <pic:pic xmlns:pic="http://schemas.openxmlformats.org/drawingml/2006/picture">
                        <pic:nvPicPr>
                          <pic:cNvPr id="29" name="图片_13"/>
                          <pic:cNvPicPr/>
                        </pic:nvPicPr>
                        <pic:blipFill>
                          <a:blip r:embed="rId43"/>
                          <a:stretch>
                            <a:fillRect/>
                          </a:stretch>
                        </pic:blipFill>
                        <pic:spPr>
                          <a:xfrm>
                            <a:off x="0" y="0"/>
                            <a:ext cx="762000" cy="100266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沙发</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1+1+3+长茶几</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1.实木框架结构，</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2.优质西皮饰面。</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3.高密度海绵，回弹性强，不变形。</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4.五底三面油漆工艺，高聚酯品牌聚脂油漆，符合国标环保标准。                             </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5.三人位：尺寸≥长1.9米*深0.8米；一人位尺寸≥长0.86米*0.8米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942975" cy="709295"/>
                  <wp:effectExtent l="0" t="0" r="9525" b="14605"/>
                  <wp:docPr id="32" name="图片_14"/>
                  <wp:cNvGraphicFramePr/>
                  <a:graphic xmlns:a="http://schemas.openxmlformats.org/drawingml/2006/main">
                    <a:graphicData uri="http://schemas.openxmlformats.org/drawingml/2006/picture">
                      <pic:pic xmlns:pic="http://schemas.openxmlformats.org/drawingml/2006/picture">
                        <pic:nvPicPr>
                          <pic:cNvPr id="32" name="图片_14"/>
                          <pic:cNvPicPr/>
                        </pic:nvPicPr>
                        <pic:blipFill>
                          <a:blip r:embed="rId44"/>
                          <a:stretch>
                            <a:fillRect/>
                          </a:stretch>
                        </pic:blipFill>
                        <pic:spPr>
                          <a:xfrm>
                            <a:off x="0" y="0"/>
                            <a:ext cx="942975" cy="70929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档案柜</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1.优质冷轧钢板，厚度0.6mm；</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2.经下料，冲孔，折弯，组装，焊接，除油，酸洗磷化，静电塑粉喷涂，高温加热干燥等处理；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3.结构为整体两节双开门柜，内配上下各两块隔板，上部为玻璃门，配锁；</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4.防腐防锈，环保无公害；</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5.尺寸≥高1.8米*宽0.85米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619125" cy="1384935"/>
                  <wp:effectExtent l="0" t="0" r="9525" b="5715"/>
                  <wp:docPr id="33" name="图片_15"/>
                  <wp:cNvGraphicFramePr/>
                  <a:graphic xmlns:a="http://schemas.openxmlformats.org/drawingml/2006/main">
                    <a:graphicData uri="http://schemas.openxmlformats.org/drawingml/2006/picture">
                      <pic:pic xmlns:pic="http://schemas.openxmlformats.org/drawingml/2006/picture">
                        <pic:nvPicPr>
                          <pic:cNvPr id="33" name="图片_15"/>
                          <pic:cNvPicPr/>
                        </pic:nvPicPr>
                        <pic:blipFill>
                          <a:blip r:embed="rId45"/>
                          <a:stretch>
                            <a:fillRect/>
                          </a:stretch>
                        </pic:blipFill>
                        <pic:spPr>
                          <a:xfrm>
                            <a:off x="0" y="0"/>
                            <a:ext cx="619125" cy="13849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更衣柜</w:t>
            </w:r>
          </w:p>
        </w:tc>
        <w:tc>
          <w:tcPr>
            <w:tcW w:w="2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1.优质冷轧钢板，厚度0.6mm；</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2.经下料，冲孔，折弯，组装，焊接，除油，酸洗磷化，静电塑粉喷涂，高温加热干燥等处理；</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3.结构为左侧两节双开门柜，上部为玻璃门，右侧更衣柜，配锁；</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4.防腐防锈，环保无公害；</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5.尺寸≥高1.8米*宽0.97米</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567055" cy="1104900"/>
                  <wp:effectExtent l="0" t="0" r="4445" b="0"/>
                  <wp:docPr id="34" name="图片_16"/>
                  <wp:cNvGraphicFramePr/>
                  <a:graphic xmlns:a="http://schemas.openxmlformats.org/drawingml/2006/main">
                    <a:graphicData uri="http://schemas.openxmlformats.org/drawingml/2006/picture">
                      <pic:pic xmlns:pic="http://schemas.openxmlformats.org/drawingml/2006/picture">
                        <pic:nvPicPr>
                          <pic:cNvPr id="34" name="图片_16"/>
                          <pic:cNvPicPr/>
                        </pic:nvPicPr>
                        <pic:blipFill>
                          <a:blip r:embed="rId46"/>
                          <a:stretch>
                            <a:fillRect/>
                          </a:stretch>
                        </pic:blipFill>
                        <pic:spPr>
                          <a:xfrm>
                            <a:off x="0" y="0"/>
                            <a:ext cx="567055" cy="11049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9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8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折叠长条会议桌</w:t>
            </w:r>
          </w:p>
        </w:tc>
        <w:tc>
          <w:tcPr>
            <w:tcW w:w="251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1.台面板饰面采用优质三聚氰胺板 ，台面厚度25mm，PVC胶边，具防火、耐磨、防污、牢固耐用。台面形状是长方形 </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2.采用优质钢架，可折叠。</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3.尺寸≥长1.2米*宽0.4米</w:t>
            </w:r>
          </w:p>
        </w:tc>
        <w:tc>
          <w:tcPr>
            <w:tcW w:w="37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40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1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742315" cy="786765"/>
                  <wp:effectExtent l="0" t="0" r="635" b="13335"/>
                  <wp:docPr id="35" name="图片_17"/>
                  <wp:cNvGraphicFramePr/>
                  <a:graphic xmlns:a="http://schemas.openxmlformats.org/drawingml/2006/main">
                    <a:graphicData uri="http://schemas.openxmlformats.org/drawingml/2006/picture">
                      <pic:pic xmlns:pic="http://schemas.openxmlformats.org/drawingml/2006/picture">
                        <pic:nvPicPr>
                          <pic:cNvPr id="35" name="图片_17"/>
                          <pic:cNvPicPr/>
                        </pic:nvPicPr>
                        <pic:blipFill>
                          <a:blip r:embed="rId47"/>
                          <a:stretch>
                            <a:fillRect/>
                          </a:stretch>
                        </pic:blipFill>
                        <pic:spPr>
                          <a:xfrm>
                            <a:off x="0" y="0"/>
                            <a:ext cx="742315" cy="78676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培训椅</w:t>
            </w:r>
          </w:p>
        </w:tc>
        <w:tc>
          <w:tcPr>
            <w:tcW w:w="25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1.喷涂架子，管壁约1.2mm厚；</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2.pp+纤塑料背胶与扶手面 ；</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3.pp+纤一次成型写字板；</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4.华宇系列网布，透气耐磨；</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5.坐包采用木板+5分厚度纯棉，回弹力高</w:t>
            </w:r>
          </w:p>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6.尺寸≥高0.80米*长0.60米*宽0.41米</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inline distT="0" distB="0" distL="114300" distR="114300">
                  <wp:extent cx="676275" cy="958850"/>
                  <wp:effectExtent l="0" t="0" r="9525" b="12700"/>
                  <wp:docPr id="36" name="图片_18"/>
                  <wp:cNvGraphicFramePr/>
                  <a:graphic xmlns:a="http://schemas.openxmlformats.org/drawingml/2006/main">
                    <a:graphicData uri="http://schemas.openxmlformats.org/drawingml/2006/picture">
                      <pic:pic xmlns:pic="http://schemas.openxmlformats.org/drawingml/2006/picture">
                        <pic:nvPicPr>
                          <pic:cNvPr id="36" name="图片_18"/>
                          <pic:cNvPicPr/>
                        </pic:nvPicPr>
                        <pic:blipFill>
                          <a:blip r:embed="rId48"/>
                          <a:stretch>
                            <a:fillRect/>
                          </a:stretch>
                        </pic:blipFill>
                        <pic:spPr>
                          <a:xfrm>
                            <a:off x="0" y="0"/>
                            <a:ext cx="676275" cy="958850"/>
                          </a:xfrm>
                          <a:prstGeom prst="rect">
                            <a:avLst/>
                          </a:prstGeom>
                          <a:noFill/>
                          <a:ln>
                            <a:noFill/>
                          </a:ln>
                        </pic:spPr>
                      </pic:pic>
                    </a:graphicData>
                  </a:graphic>
                </wp:inline>
              </w:drawing>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四：校园监控建设</w:t>
      </w:r>
    </w:p>
    <w:tbl>
      <w:tblPr>
        <w:tblStyle w:val="3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
        <w:gridCol w:w="862"/>
        <w:gridCol w:w="6985"/>
        <w:gridCol w:w="506"/>
        <w:gridCol w:w="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校园监控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3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  称</w:t>
            </w:r>
          </w:p>
        </w:tc>
        <w:tc>
          <w:tcPr>
            <w:tcW w:w="6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  格</w:t>
            </w:r>
          </w:p>
        </w:tc>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网络摄像机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≥200万 1/2.7" CMOS 红外阵列海螺型网络摄像机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调节角度: 水平：0°~360°，垂直：0°~75°，旋转：0°~360°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最低照度: 彩色：0.01 Lux @（F1.2，AGC ON），0 Lux with IR</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宽动态: 数字宽动态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防补光过曝: 支持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最大图像尺寸: 1920 × 1080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视频压缩标准: 主码流：H.265/H.264</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 1个RJ45 10 M/100 M自适应以太网口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信噪比不小于55dB。</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支持红外补光，有效补光距离达到30m。</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需支持IP66防尘防水。</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支持DC12V或poe供电。</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内置1个麦克风，1个RJ45网络接口。</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4"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网络摄像机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≥200万 1/2.7" CMOS ICR 双光阵列筒型网络摄像机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最低照度: 彩色：0.01 Lux @（F1.2，AGC ON），0 Lux with Light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宽动态: 数字宽动态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红外波长范围: 850 nm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防补光过曝: 支持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最大图像尺寸: 1920 × 1080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视频压缩标准: 主码流：H.265/H.264</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音频: 1个内置麦克风</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 1个RJ45 10 M/100 M自适应以太网口     在1920x1080下分辨力可达到1000TVL。</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信噪比不小于55dB。</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支持红外补光、白光补光，有效补光距离均能达到30m。</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需支持IP66防尘防水。</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支持DC12V供电。</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内置1个麦克风，1个RJ45网络接口。</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支架</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适用范围</w:t>
            </w:r>
            <w:r>
              <w:rPr>
                <w:rStyle w:val="118"/>
                <w:rFonts w:hint="eastAsia" w:ascii="宋体" w:hAnsi="宋体" w:eastAsia="宋体" w:cs="宋体"/>
                <w:color w:val="auto"/>
                <w:sz w:val="18"/>
                <w:szCs w:val="18"/>
                <w:highlight w:val="none"/>
                <w:lang w:val="en-US" w:eastAsia="zh-CN" w:bidi="ar"/>
              </w:rPr>
              <w:t>：</w:t>
            </w:r>
            <w:r>
              <w:rPr>
                <w:rStyle w:val="116"/>
                <w:rFonts w:hint="eastAsia" w:ascii="宋体" w:hAnsi="宋体" w:eastAsia="宋体" w:cs="宋体"/>
                <w:color w:val="auto"/>
                <w:sz w:val="18"/>
                <w:szCs w:val="18"/>
                <w:highlight w:val="none"/>
                <w:lang w:val="en-US" w:eastAsia="zh-CN" w:bidi="ar"/>
              </w:rPr>
              <w:t>适合枪型、筒型、一体型摄像机壁装</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材料</w:t>
            </w:r>
            <w:r>
              <w:rPr>
                <w:rStyle w:val="118"/>
                <w:rFonts w:hint="eastAsia" w:ascii="宋体" w:hAnsi="宋体" w:eastAsia="宋体" w:cs="宋体"/>
                <w:color w:val="auto"/>
                <w:sz w:val="18"/>
                <w:szCs w:val="18"/>
                <w:highlight w:val="none"/>
                <w:lang w:val="en-US" w:eastAsia="zh-CN" w:bidi="ar"/>
              </w:rPr>
              <w:t>：</w:t>
            </w:r>
            <w:r>
              <w:rPr>
                <w:rStyle w:val="116"/>
                <w:rFonts w:hint="eastAsia" w:ascii="宋体" w:hAnsi="宋体" w:eastAsia="宋体" w:cs="宋体"/>
                <w:color w:val="auto"/>
                <w:sz w:val="18"/>
                <w:szCs w:val="18"/>
                <w:highlight w:val="none"/>
                <w:lang w:val="en-US" w:eastAsia="zh-CN" w:bidi="ar"/>
              </w:rPr>
              <w:t>铝合金</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调整角度</w:t>
            </w:r>
            <w:r>
              <w:rPr>
                <w:rStyle w:val="118"/>
                <w:rFonts w:hint="eastAsia" w:ascii="宋体" w:hAnsi="宋体" w:eastAsia="宋体" w:cs="宋体"/>
                <w:color w:val="auto"/>
                <w:sz w:val="18"/>
                <w:szCs w:val="18"/>
                <w:highlight w:val="none"/>
                <w:lang w:val="en-US" w:eastAsia="zh-CN" w:bidi="ar"/>
              </w:rPr>
              <w:t>：</w:t>
            </w:r>
            <w:r>
              <w:rPr>
                <w:rStyle w:val="116"/>
                <w:rFonts w:hint="eastAsia" w:ascii="宋体" w:hAnsi="宋体" w:eastAsia="宋体" w:cs="宋体"/>
                <w:color w:val="auto"/>
                <w:sz w:val="18"/>
                <w:szCs w:val="18"/>
                <w:highlight w:val="none"/>
                <w:lang w:val="en-US" w:eastAsia="zh-CN" w:bidi="ar"/>
              </w:rPr>
              <w:t>水平：</w:t>
            </w:r>
            <w:r>
              <w:rPr>
                <w:rFonts w:hint="eastAsia" w:ascii="宋体" w:hAnsi="宋体" w:eastAsia="宋体" w:cs="宋体"/>
                <w:i w:val="0"/>
                <w:iCs w:val="0"/>
                <w:color w:val="auto"/>
                <w:kern w:val="0"/>
                <w:sz w:val="18"/>
                <w:szCs w:val="18"/>
                <w:highlight w:val="none"/>
                <w:u w:val="none"/>
                <w:lang w:val="en-US" w:eastAsia="zh-CN" w:bidi="ar"/>
              </w:rPr>
              <w:t>≥</w:t>
            </w:r>
            <w:r>
              <w:rPr>
                <w:rStyle w:val="116"/>
                <w:rFonts w:hint="eastAsia" w:ascii="宋体" w:hAnsi="宋体" w:eastAsia="宋体" w:cs="宋体"/>
                <w:color w:val="auto"/>
                <w:sz w:val="18"/>
                <w:szCs w:val="18"/>
                <w:highlight w:val="none"/>
                <w:lang w:val="en-US" w:eastAsia="zh-CN" w:bidi="ar"/>
              </w:rPr>
              <w:t>360°，垂直：-45°~45°</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Style w:val="116"/>
                <w:rFonts w:hint="eastAsia" w:ascii="宋体" w:hAnsi="宋体" w:eastAsia="宋体" w:cs="宋体"/>
                <w:color w:val="auto"/>
                <w:sz w:val="18"/>
                <w:szCs w:val="18"/>
                <w:highlight w:val="none"/>
                <w:lang w:val="en-US" w:eastAsia="zh-CN" w:bidi="ar"/>
              </w:rPr>
              <w:t>尺寸</w:t>
            </w:r>
            <w:r>
              <w:rPr>
                <w:rStyle w:val="118"/>
                <w:rFonts w:hint="eastAsia" w:ascii="宋体" w:hAnsi="宋体" w:eastAsia="宋体" w:cs="宋体"/>
                <w:color w:val="auto"/>
                <w:sz w:val="18"/>
                <w:szCs w:val="18"/>
                <w:highlight w:val="none"/>
                <w:lang w:val="en-US" w:eastAsia="zh-CN" w:bidi="ar"/>
              </w:rPr>
              <w:t>：约</w:t>
            </w:r>
            <w:r>
              <w:rPr>
                <w:rStyle w:val="116"/>
                <w:rFonts w:hint="eastAsia" w:ascii="宋体" w:hAnsi="宋体" w:eastAsia="宋体" w:cs="宋体"/>
                <w:color w:val="auto"/>
                <w:sz w:val="18"/>
                <w:szCs w:val="18"/>
                <w:highlight w:val="none"/>
                <w:lang w:val="en-US" w:eastAsia="zh-CN" w:bidi="ar"/>
              </w:rPr>
              <w:t>70mm×97mm×170mm</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副</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国标,12V1A输出,Φ2.1圆头，桌面式，输入350mm,输出800mm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输入电压：AC170V~240V</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网络摄像机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≥600万全彩广角网络摄像机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全彩级高灵敏度传感器，F1.0超大光圈镜头</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支持双镜头拼接，水平视场角180°，画面比例20:9</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最高分辨率可达3632 × 1632@20 fps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支持背光补偿，强光抑制，3D数字降噪，120 dB宽动态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支持柔光灯补光，照射距离最远可达10 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支持最大256 GB MicroSD/MicroSDHC/MicroSDXC卡本地存储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1个内置麦克风，1个内置扬声器，支持双向语音对讲</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支持两线式DC12 V，100 mA电源输出，用于拾音器供电</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符合IP66防尘防水</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焦距&amp;视场角：2.8 mm，水平视场角：180° ± 10°，垂直视场角：81° ± 10°</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补光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补光灯类型：柔光灯</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补光距离：≥10 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防补光过曝：支持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认证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防护：IP66</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视频</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图像尺寸：≥3632 × 1632</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视频压缩标准：主码流：H.265/H.264</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子码流：H.265/H.264/MJPEG</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摄像机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传感器类型：≥1/2.5" Progressive Scan CMOS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最低照度：0.0005 Lux @ (F1.0, AGC ON)，0 Lux with Light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宽动态：≥120dB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调节角度：垂直：-75°~75°</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接口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网络：1个RJ45 10 M/100 M自适应以太网口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SD卡扩展：内置MicroSD/MicroSDHC/MicroSDXC插槽，最大支持256 GB</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1路输入（Line in）：2芯端子，最大输入幅值：3.3 Vpp，输入阻抗4.7 kΩ，接口类型：非平衡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1路输出（Line out）：2芯端子，最大输出幅值：3.3 Vpp，输出阻抗100 Ω，接口类型：非平衡</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报警：1路输入，1路输出（报警输出最大支持 DC12 V，30 mA）</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复位：支持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电源输出：DC12 V，100 mA，仅供拾音器供电</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PoE：802.3af，Class 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9"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全彩全景枪球智能一体机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支持POE功能，全景2Mp全彩4mm;细节2Mp红外23倍</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支持双路区域入侵侦测、越界侦测、进入区域侦测和离开区域侦等智能侦测</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支持点击全景画面联动特写镜头，手动跟踪运动目标</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内置加热玻璃，有效除雾</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 xml:space="preserve">传感器类型: 【全景】1/2.8＂Progressive Scan CMOS ；【细节】1/2.8＂Progressive Scan CMOS  </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 xml:space="preserve">最低照度: </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【全景】彩色：0.0005 Lux @（F1.0，AGC ON），0 Lux with light</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 xml:space="preserve">【细节】彩色：0.005 Lux @（F1.6，AGC ON），黑白：0.001 Lux @（F1.6，AGC ON），0 Lux with IR </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焦距: 【全景】4 mm；【细节】4.8 mm~110 mm，23倍光学变倍</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 xml:space="preserve">视场角: 【全景】水平视场角：83.6°，垂直视场角：44.6°；【细节】水平视场角：57.6°~2.7°（广角~望远） </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白光照射距离: 【全景】30 m</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红外照射距离: 【细节】100 m</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水平范围: 360°</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垂直范围: -15°~90°（自动翻转）</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水平速度: 水平键控速度：0.1°~80°/s，速度可设；水平预置点速度：80°/s</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垂直速度: 垂直键控速度：0.1°~80°/s，速度可设；垂直预置点速度：80°/s</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8"/>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 xml:space="preserve">主码流帧率分辨率: </w:t>
            </w:r>
            <w:r>
              <w:rPr>
                <w:rStyle w:val="118"/>
                <w:rFonts w:hint="eastAsia" w:ascii="宋体" w:hAnsi="宋体" w:eastAsia="宋体" w:cs="宋体"/>
                <w:color w:val="auto"/>
                <w:sz w:val="18"/>
                <w:szCs w:val="1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【全景】50 Hz：25 fps（1920 × 1080）；60 Hz：30 fps（1920 × 1080）</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【细节】50 Hz：25 fps（1920 × 1080）；60 Hz：30 fps（1920 × 1080）</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内置2个镜头，可以输出两路视频图像，1路全景视频图像、1路细节视频图像。</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内置2颗GPU芯片。</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细节镜头支持不小于23倍光学变倍，16倍数字变倍</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 xml:space="preserve">支持对镜头前盖玻璃加热，去除玻璃上的冰状和水状附着物。 </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b/>
                <w:bCs/>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支持最低照度可达彩色0.0002Lux，黑白0.0001Lux。</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支持水平手控速度不小于80°/S，垂直速度不小于80°/S，云台定位精度为±0.1°。</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具备智能分析抗干扰功能，当篮球、小狗、树叶等非人或车辆目标经过检测区域时，不会触发报警。</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具备较好的环境适应性，支持IP66防尘防水等级，支持IK10防暴等级</w:t>
            </w:r>
          </w:p>
          <w:p>
            <w:pPr>
              <w:keepNext w:val="0"/>
              <w:keepLines w:val="0"/>
              <w:pageBreakBefore w:val="0"/>
              <w:widowControl/>
              <w:suppressLineNumbers w:val="0"/>
              <w:kinsoku/>
              <w:wordWrap/>
              <w:overflowPunct/>
              <w:topLinePunct w:val="0"/>
              <w:autoSpaceDE/>
              <w:autoSpaceDN/>
              <w:bidi w:val="0"/>
              <w:adjustRightInd/>
              <w:snapToGrid/>
              <w:spacing w:afterAutospacing="0" w:line="300" w:lineRule="exact"/>
              <w:jc w:val="left"/>
              <w:textAlignment w:val="center"/>
              <w:rPr>
                <w:rStyle w:val="116"/>
                <w:rFonts w:hint="eastAsia" w:ascii="宋体" w:hAnsi="宋体" w:eastAsia="宋体" w:cs="宋体"/>
                <w:color w:val="auto"/>
                <w:sz w:val="18"/>
                <w:szCs w:val="18"/>
                <w:highlight w:val="none"/>
                <w:lang w:val="en-US" w:eastAsia="zh-CN" w:bidi="ar"/>
              </w:rPr>
            </w:pPr>
            <w:r>
              <w:rPr>
                <w:rStyle w:val="116"/>
                <w:rFonts w:hint="eastAsia" w:ascii="宋体" w:hAnsi="宋体" w:eastAsia="宋体" w:cs="宋体"/>
                <w:color w:val="auto"/>
                <w:sz w:val="18"/>
                <w:szCs w:val="18"/>
                <w:highlight w:val="none"/>
                <w:lang w:val="en-US" w:eastAsia="zh-CN" w:bidi="ar"/>
              </w:rPr>
              <w:t>具备较好的电源适应性，电压在DC12V±30%范围内变化时，设备可正常工作。</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支架</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球机壁装支架/白色/铝合金/110×145×190.5mm</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副</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4"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千兆交换机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轻网管提供8个千兆PoE电口、2个千兆光口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支持IEEE 802.3at/af标准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支持IEEE 802.3、IEEE 802.3u、IEEE 802.3x、IEEE 802.3ab、IEEE 802.3z标准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支持iVMS-4200客户端管理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支持海康云管APP管理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支持安防网络拓扑管理、链路聚合、端口管理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支持远程升级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支持6 KV防浪涌（PoE口）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支持PoE输出功率管理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千兆网络接入设计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线速转发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存储转发交换方式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坚固式高强度金属外壳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无风扇设计，高可靠性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1"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硬盘录像机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硬件规格：</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2U标准机架式</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2个HDMI，2个VGA，HDMI+VGA组内同源</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2个千兆网口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2个USB2.0接口、1个USB3.0接口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1个eSATA接口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报警IO：16进4路（可选配8出）</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软件性能：</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输入带宽：320M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64路H.264、H.265混合接入</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最大支持8×1080P解码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支持H.265、H.264解码/GB28181/SDK</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平台对接协议：ISUP/GB28181/SDK</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5"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超高清解码器</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采用嵌入式架构，专用Linux系统，使用DSP解码。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具有≥4个HDMI输出接口、≥1个HDMI输入接口、≥1个DVI输入接口、≥1个USB口、≥4个音频输出、≥1个RS485接口、≥1个RJ45网络接口。</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设备接入具有智能行为分析功能的摄像机，可解码显示智能行为分析信息，包括移动侦测、越界入侵、区域入侵、起身离开等，并上传报警信息。</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输入信号接入解码器后上墙显示，支持YUV422上墙显示；</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支持PC 软件客户端、WEB 浏览器客户端、平台客户端、IPAD、可视化触控平台方式访问管理。</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支持通过IE浏览器进行网络模式设置。</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可通过设备抓屏软件，将远程电脑桌面实时解码上墙显示，画面帧率可达30fps。</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可通过客户端软件导入和导出设备配置参数。</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可通过客户端软件设置HDMI接口输出分辨率为3840*2160(30Hz、1920*1080(50Hz)、1920*1080(60Hz))、1680*1050(60Hz)、1600*1200(60Hz)、1280*1024(60Hz)、1280*720(60Hz)、1280*720(50Hz)、1024*768(60Hz)。</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支持1、2、4、6、8、9、10、12、16、25、36画面分割显示；支持平均分割；支持分割线开启/关闭设置，支持底色设置功能。</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支持通过客户端软件将1路输入视频图像发送至多个输出接口拼接显示，支持1x2、1x3、1x4、2x1、2x2、3x1、4x1的拼接显示。</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支持客户端软件设置底色，当无解码画面时，设置输出显示该底色。</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可通过客户端软件将显示窗口在多个显示屏间进行拖动或跨屏显示，并可调节显示窗口大小。</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支持视频轮巡功能，并可在客户端软件设置轮巡计划。</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支持通过客户端软件对接入的云台进行控制；通过RS-485接口连接键盘实现键盘接入的云台进行控制。</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支持NTP校时及客户端软件手动校时两种校时方式。</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台式机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CPU：≥i5 10400；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内存：≥8GB；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硬盘：≥128GB SATA SSD +1TB SATA HDD；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显示器：≥21.5英寸；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显卡：R7 430，2G独显；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操作系统：Windows10及以上；</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监控室显示75寸液晶一体机</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1.屏体尺寸：≥75英寸，液晶LED，A规屏，显示比例(16：9)；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2.亮度：≥500cd/cm2  ；对比度：≥5000:1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3.防眩光功能：采用≥4mm厚AG钢化玻璃，支持防眩光。</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4.触摸技术：红外感应技术，20点触控，支持安卓、windows 系统 10 笔或以上同时书写。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5.前置接口：≥USB3.0*3；≥Type C*1；≥Touch USB*1；≥HDMI in*1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6.前置≥3个USB 3.0 接口全部支持 Windows 及 Android 双系统读取。</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7.一根 USB-C 数据线实现外部电脑与触控一体机之间高清视频信号、音频信号以及触摸信号的实时传输，可兼容市面上具备通用 USB 端子的各类电脑，传输分辨率：支持 3840*2160@30Hz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8.后置接口：MIC In*1；COAXIAL Out*1；Earphone Out*1；PC Audio In*1；VGA*1；RS232*1；TV In*1；AV In*1；AV Out*1；LAN In*1；HDMI in*2；USB*2；Touch USB*1；TF Card*1</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9.前置按键：录屏、图像比例、音量-、音量+、设置、护眼、电源； 整机开关、电脑开关和节能待机键三合一。</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10.安卓系统版本9.0 或以上，内部缓存容量（RAM）：≥2GB ；内部存储容量（ROM）：≥16GB 11.内置双路 WIFI，支持 AP 热点。</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内置OPS配置：</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插拔式OPS微型PC设计，采用Intel I5以上处理器、8GB内存或以上配置、≥256G固态硬盘或以上配置。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2.支持WIFI无线网络，带双天线，带RJ45接口100M/1000Mbs。</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3.具备电源（POWER）开关按键。</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安装调试</w:t>
            </w:r>
          </w:p>
        </w:tc>
        <w:tc>
          <w:tcPr>
            <w:tcW w:w="6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布设安装施工；过道耐压弧形走线槽等工程所需配件的安装调试；网络交换机、机柜、电源空开、网线、电源电缆、线槽、电源插排等布设安装；系统软件、教学应用软件、教学资源等安装调试；所有货物到学校的运输；培训服务；系统集成所需线材要求符合国标标准。</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五：校园广播系统建设</w:t>
      </w:r>
    </w:p>
    <w:tbl>
      <w:tblPr>
        <w:tblStyle w:val="36"/>
        <w:tblW w:w="93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1362"/>
        <w:gridCol w:w="6513"/>
        <w:gridCol w:w="493"/>
        <w:gridCol w:w="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校园IP广播系统（核心产品）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参数</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一、主控设备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1.服务器设备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IP网络广播服务器</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1、采用工业级工控机设计，带专业抗震硬盘，钢结构机箱，专业铝合金面板。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2、采用≥15英寸触摸屏操控，图形化界面；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3、管理节目库资源，为所有音频终端器提供定时播放和实时点播媒体服务；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4、丰富的节目源，多套节目同时播放，并对每套节目可进行独立控制，支持多种音乐播放格式，USB热插播、硬盘；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5、可对终端进行单点、分组区域控制、音量控制；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6、可实现任意分区广播、全体广播、定时定点广播；广播监听功能，远程分控讲话；报警联动，报警强插功能等；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★7、全屏幕快捷操作触摸屏显示，可编程分区；可以按照天、星期、月等不同方式对节目进行编程控制；需提供生产厂家出具的、相应的功能证明材料（包括但不限于测试报告、官网和功能截图等）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8、面板一键报警紧急按钮，可实现在紧急情况实现一键操作报警信号输出；需提供生产厂家出具的、相应的功能证明材料（包括但不限于测试报告、官网和功能截图等）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9、全数字信号传输及处理。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10、后面板带≥24V紧急强切输出接口。需提供生产厂家出具的、相应的功能证明材料（包括但不限于测试报告、官网和功能截图等）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1、屏幕尺寸：≥15英寸</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2、操控方式：≥1024*768分辨率液晶电容式触摸屏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3、工作环境环境温度：-20-60(℃)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4、接口：≥6×com；≥4×USB 2.0；≥2×USB 3.0；≥1×VGA，≥1×DVI，≥1×RJ45，≥2×LINE OUT，≥2×LINE in，≥1×24V输出；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5、硬盘：≥120G固态硬盘。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6、内存：标配4G及以上服务器级内存条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7、CPU：intel 四核及以上工业级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8、网卡：标配1千兆及以上网卡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广播主控软件</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标准TCP/IP网络协议，软件包带有服务器软件（含定时任务、消防报警、无线遥控、外部采播、断网打铃、终端馈送、电话广播、可任意多次使用的分控软件等多个部分）。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2、负责音频流点播服务、计划任务处理、工作站分控软件管理和权限管理等功能。</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3、IP网络广播音频服务器控制软件可将传统音频资源，转换成数字节目存储到系统服务器的节目库中。</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4、带有检测功能，可实时监测任意一个终端节点的使用状态。</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5、具有定时自动开关机功能。</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6、IP网络服务器控制软件是整个系统的运行核心，采用后台系统服务运行，开机系统即可自动运行。</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7、系统软件支持Windows2000、Windows2003、Windows XP、Windows7等多个系统平台。</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8、系统软件具有广播监听功能、报警联动、无线远程控制、电话接入控制、节目源和数据不受限制。</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9、软件具有专用考试模式切换功能。</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10、具有自动音乐打铃、定时节目播放、音频实时采播功能，可以实现定时定点定区域定曲目播放，实现无人值守功能，系统能根据广播音频信号的有无可以自动关闭、开启各个节点上的功放。</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11、软件具有全双工双向对讲、对讲自动录音、对讲日志、网络话筒自动排队、来电提醒、占线等待及转接等功能。</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12、具有远程分控讲话、分区自由点播、网上电台转播、寻呼对讲录音功能。</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13、系统具有音频终端断网自动打铃、自动定时更新终端断网打铃定时程序功能。</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14、软件具有消防联动报警功能。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IP网络广播软件加密狗</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IP广播系统软件移动注册设备</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网络校时器</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1、采用壁挂式设计，铝合金面板；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2、通过接收GPS，北斗，GLONASS，GALILEO，QZSS卫星定时信号，来同步高稳定的一级时钟同步信号；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3、采用了基于时刻测量的高精度TIE测量技术，分辨率达1ns及以上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4、支持自动获取UTC日期时间，自动计算出当前时区，实现完全自动校时；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5、支持对时区进行自动/手动控制；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6、支持天线检测功能；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7、支持NMEA0183标准协议；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8、支持RS232/RS485/网路多种接口，可对需要校时的设备实现精准校时。</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2、音源设备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蓝牙播放器</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数字调谐器</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1.标准机箱设计，≥2U铝合金面板。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2.采用LCD液晶屏。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3.微电脑控制，轻触式按键操作。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4.采用全数字CMOS工艺单晶片IC模组。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5.立体声调频收音，电台频率记忆存储可达99个及以上。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6.电台频率自动搜索存储功能，且有断电记忆功能。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IP网络音频采集终端</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1、采用≥1U机箱设计，标准≥19寸机架设计，铝合金面板；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2、采用嵌入式计算机技术和DSP音频处理技术设计；采用高速工业级芯片，启动时间小于0.5S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3、自带4路电源管理，每路电源可实现定时或手动独立打开与关闭，每路电源最大输出功率为≥2000W，总功率为≥4000W。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4、设有≥4路MIC与≥4路AUX音频输入，每路音量可独立控制。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5、有高、中、低3种音质效果选择。</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6、设备标配≥1个10/100M RJ45网络交换机接口，支持局域网与广域网。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1、网络接口：≥标准RJ45×1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4、采样率：16K～48KHz</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5、音频模式：≥16位立体声CD音质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 噪 比：&gt;90dB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7、频率响应：20Hz—20KHz</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8、总输出电源功率：≥3500W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网络终端控制嵌入软件：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1、具有广播监听功能、报警联动、节目源和数据不受限制等功能。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2、具有自动音乐打铃、定时节目播放、音频实时采播功能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3、可播放定时任务功能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触摸屏IP网络话筒</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1、采用铝合金拉丝面板，桌面式话筒设计；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★2、自带≥7英寸真彩电容触摸屏控制；需提供生产厂家出具的、相应的功能证明材料（包括但不限于测试报告、官网和功能截图等）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3、采用嵌入式计算机技术和DSP音频处理技术设计；采用高速工业级芯片，启动时间小于1s。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4、具有通过触摸屏实现对各终端全区、分区、分组、定点进行广播和操作；支持直接操作监听（环境监听）任意终端根据实际环境，监听距离达到5m及以上。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5、配置高指向拾音麦克风；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6、具有与各终端、数字网络远程呼叫站实现双向对讲功能；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7、具有USB插口，支持MP3播放。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8、支持求助信号铃声、闪灯提示，一键接受求助、对讲功能，同时也可以支持免提通话和接收广播。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9、带有一个紧急预警按钮，当有紧急突发事件时，按下此按钮就及时启动广播预警。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10、内置≥1路网络硬件音频解码模块，支持TCP/IP、UDP、IGMP(组播)协议，实现网络化传输≥16位CD音质的音频信号。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11、内置高保真5W/8Ω全频监听喇叭。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12、至少一路音频线路输出，外扩功率放大器；至少一路音频线路输入，提供多音源传输。</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13、本终端设有话筒与线路的优先输出调节旋钮，可调节为话筒为最高优先或话筒与线路同级别输出。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14、至少一路报警触发短路输出，级联外扩警示设备或控制门禁；至少一路短路输入，可以用作触发预置语音提示（或报警），亦可用于控制门禁联动输入短路信号。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1、网络接口：≥标准RJ45×1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2、显示方式：≥7寸电容屏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4、音频格式：MP3/MP2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6、谐波失真：≤0.3%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7、信 噪 比：≥90dB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8、内置扬声器输出阻抗及功率：≥8Ω，5W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9、输出方式：至少1路短路输出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10、工作环境：工作温度 :-20℃～+60℃；工作湿度: 10%～90%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11、电源电压：≥DC16V</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网络终端控制嵌入软件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1、具有广播监听功能、报警联动、节目源和数据不受限制等功能。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2、具有自动音乐打铃、定时节目播放、音频实时采播功能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3、可播放定时任务功能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IP网络音箱</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1、采用壁挂式一体化音箱设计。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2、设备采用嵌入式计算机技术和DSP音频处理技术设计，启动时间小于1S。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3、内置网络IP解码模块可实时播网络音乐及呼叫功能；采集播放和呼叫功的网络延时时间小于30mS。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4、内置D类2×20W功放电路。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5、至少一路话筒输入，至少一路线路输入，分别设有独立音量调节。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6、优先功能：网络报警为最高优先级，本地MIC和AUX是同等级别。</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7、本终端可支持被动广播呼叫，通话延时时间小于30mS。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8、内置约5.5寸低音+约3寸高音高保真喇叭单元。</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9、标配至少1个10/100M RJ45网络交换机接口，支持局域网与广域网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1、网络接口：至少标准RJ45×1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3、音频格式：MP3/MP2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5、谐波失真：≤0.3%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 噪 比：≥90dB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7、内置扬声器阻抗及功率：≥8Ω， 20W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8、外接扬声器阻抗及功率：≥8Ω， 20W</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定时编程器</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1、标准≥19寸机架设计；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★2、采用≥192*64液晶显示，可显示至少10路电源状态指示、日期、星期、时间、下一步程序的信息及MP3播放状态。需提供生产厂家出具的、相应的功能证明材料（包括但不限于测试报告、官网和功能截图等）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3、支持将一星期内一天的程序拷贝到其它某一天或某几天。</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4、分组功能，不同分区可编辑成1组，特别是适合快捷键寻呼(1键寻呼)。</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5、24小时精确到秒全天候按星期制运行程序。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6、单独一台该机器，可实现Mp3定时播放功能。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7、可接入网络16路功率分区器，支持功率分区扩展。</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8、通过电脑软件能读取主机的定时程序、快捷键、分组等数据，进行修改再下载到主机，也能实现临时手动控制（控制数控网络设备）。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9、内置MP3播放模块。外接U盘，即能实现定时自动播放。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10、灵活的手动控制，设有至少16个可编程的快捷键。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11、可以外控诸多其它受控的周边设备。</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12、多模式的消防报警功能。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13、同时对于春夏秋冬不同季节运行的程序，只需简单配置即可。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14、至少一路短路（消防全区报警）输入，至少一路可编程的短路输出（触发电源时序器等）。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15、断电程序不丢失，来电自动运行程序。</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IP网络消防采集终端</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1、采用≥1U机箱设计，标准≥19寸机架设计，铝合金面板；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2、支持至少16路消防报警信号接入。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3、系统可支持多台IP网络消防采集器同时接入；</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 支持全开和全闭两种模式切换；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 支持手动和自动报警功能；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 支持N±0～N±4邻层报警功能；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7、报警语音文件预存储在IP网络广播服务器中，无需再配置报警语音发生器，能对报警音乐任意设定，报警矩阵具有地址拨码功能，一套系统中可以任意添加多台报警矩阵；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8、带有一个紧急预警按钮，当有紧急突发事件时，按下此按钮就及时启动广播预警。需提供生产厂家出具的、相应的功能证明材料（包括但不限于测试报告、官网和功能截图等）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★9、带有一个报警取消按钮，当报警结束时，或误报时可及时中断广播预警。需提供生产厂家出具的、相应的功能证明材料（包括但不限于测试报告、官网和功能截图等）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10、面板设有至少16路电平指示灯显示工作状态。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1、网络接口：至少标准RJ45×1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4、触发模式:≥短路/DC12V/DC/24V</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5、工作显示:LED电频显示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6、分区控制:自定义控制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7、解除报警:自动/手动解除</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8、工作环境:工作温度 :-20℃～+60℃；工作湿度: 10%～90%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千兆无管理交换机，包转发率11.9Mpps及以上，交换容量16Gbps及以上，至少8个千兆电口，MAC：≥4K。</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≥42U机柜，约600mm*600mm*2055mm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≥8口PDU国标电源插排×1，≥固定板部件×1,≥风扇×2,≥2"重型脚轮×4，≥M12支脚×4，≥M6方螺母螺钉×40，≥内六角扳手×1</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二、终端设备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IP网络音箱</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采用壁挂式一体化音箱设计。</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设备采用嵌入式计算机技术和DSP音频处理技术设计。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3、内置网络IP解码模块可实时播网络音乐及呼叫功能；采集播放和呼叫功的网络延时时间小于30mS。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4、内置D类2×20W功放电路。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5、至少一路话筒输入，至少一路线路输入，分别设有独立音量调节。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6、内置音频处理电路，支持多路信号放大、混音，支持3级音频信号优先管理。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7、优先功能：网络报警为最高优先级。本地MIC和AUX是同等级别。</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8、内设有话筒混响调节电位器。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9、本终端可支持被动结束呼叫，通话延时时间小于30mS。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1、网络接口：至少标准RJ45×1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3、音频格式：MP3/MP2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5、谐波失真：≤0.3%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6、信 噪 比：≥90dB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7、内置扬声器阻抗及功率：≥8Ω， 20W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8、外接扬声器阻抗及功率：≥8Ω， 20W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9、线路输出电平、阻抗：≥775MV、1KΩ</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IP网络终端控制嵌入软件</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1、具有广播监听功能、报警联动、节目源和数据不受限制等功能。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2、具有自动音乐打铃、定时节目播放、音频实时采播功能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3、可播放定时任务功能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千兆无管理交换机，包转发率23.74Mpps及以上，交换容量32Gbps及以上，至少16个千兆电口，MAC：≥8K，桌面款，金属外壳，静音款，挂耳另配。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2.走廊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2"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IP网络广播功放</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产品描述：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1、采用≥2U机箱设计，标准≥19寸机架设计，铝合金面板；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2、设备采用工业级双核处理芯片（ARM+DSP），启动时间小于1S；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3、内置网络IP解码模块，可实时播放或定时播放网络音乐，网络延时时间小于30mS。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4、至少2路话筒输入，至少1路线路输入，每路都设有独立音量调节。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5、本终端设有至少3级优先功能，MIC1设为最高优先级。网络为第二级优秀，MIC2、AUX1为第三级优先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6、设有单向点播功能，可通过服务器软件、对本终端自由点播服务器中节目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7、支持平台对本机进行权限设置与管理；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8、设备自带功率放大器，输出方式为≥100V、70V、4~16Ω，输出功率为≥120W。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1、网络接口：标准RJ45</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3、音频格式：MP3/MP2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4、音频模式：≥16位立体声CD音质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6、谐波失真：≤0.3%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7、信 噪 比：≥90dB</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壁挂音箱</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产品特点：室内壁挂音箱，流线型外观，声音辐射角度大。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1.功率：≥5W/10W；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2.定压输入：70V-100V；</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3.频响：不劣于150Hz-15KHz；</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4.灵敏度：≥92±3 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5.喇叭尺寸：≥6.5"*1+1"*1(带高音）；</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6.安装形式：壁挂式；</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3.室外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IP网络广播功放</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1、采用≥2U机箱设计，标准≥19寸机架设计，铝合金面板；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2、设备采用工业级双核处理芯片（ARM+DSP），启动时间小于1S；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3、内置网络IP解码模块，可实时播放或定时播放网络音乐，网络延时时间小于30mS。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★4、至少2路话筒输入，至少1路线路输入，每路都设有独立音量调节。需提供生产厂家出具的、相应的功能证明材料（包括但不限于测试报告、官网和功能截图等）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5、本终端设有优先功能，MIC1设为最高优先级。网络为第二级优秀，MIC2、AUX1为第三级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6、设有单向点播功能。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7、支持平台对本机进行权限设置与管理；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8、设备自带功率放大器，输出方式为≥100V、70V、4~16Ω，输出功率为≥360W。需提供生产厂家出具的、相应的功能证明材料（包括但不限于测试报告、官网和功能截图等）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1、网络接口：标准RJ45</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2、传输速率：≥10M/100Mbps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3、音频格式：MP3/MP2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4、输出频率：20Hz—20KHz</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5、支持协议：TCP/IP、UPP，IGMP（组播）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6、谐波失真：≤0.3%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7、信 噪 比：≥90dB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8、线路输入电平：≥250mV</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9、MIC 输入灵敏度：≥10mV</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10、线路输出电平、阻抗：≥775MV、1KΩ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网络终端控制嵌入软件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1、具有广播监听功能、报警联动、节目源和数据不受限制等功能。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2、具有自动音乐打铃、定时节目播放、音频实时采播功能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3、可播放定时任务功能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防水音柱</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防水外壳采用铝合金材料，可多角度调节；防水处理；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1.功率:≥60W；</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2.定压输入:70V-100V；</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3.频响:不劣于100Hz-15KHz；</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4.灵敏度:95±3 dB；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5.安装形式:壁挂式室外音柱；</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6.装饰材料:铝合金/铝网；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7.喇叭尺寸:4"*6+1.5"*1；</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千兆无管理交换机，包转发率≥10Mpps，交换容量≥16Gbps，≥8个千兆电口，MAC：≥4K。</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安装辅材</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工程级六类网线无氧铜高速CAT6类非屏蔽网线；广播音箱线；光纤收发器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w:t>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六：办公电脑打印设备</w:t>
      </w:r>
    </w:p>
    <w:tbl>
      <w:tblPr>
        <w:tblStyle w:val="36"/>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098"/>
        <w:gridCol w:w="6824"/>
        <w:gridCol w:w="498"/>
        <w:gridCol w:w="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办公电脑打印机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  称</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  格</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台式电脑</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主板芯片组：IntelH670系列及以上主板芯片组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处理器：≥I5-12500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内存：≥8G DDR4-2933，≥2个DIMM； 硬盘：≥256G SSD M.2- NVME+1T机械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USB抗菌键盘、USB抗菌光电鼠标：网卡：主板集成≥1000M自适应以太网卡；主板插槽：至少1个PCI，至少1个PCIe*1,至少1个PCIe*16,至少2个M.2插槽；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音箱：标配内置音箱；                                                                                                                                            电源：≥260W能效电源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端口：USB 接口至少8个（满足前置6个USB 3.2）；至少1个VGA+HDMI接口</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显示器：与主机同品牌≥21.5"宽屏16:9 LED背光液晶显示器，分辨率：≥1920*1080                                                           操作系统：出厂预装正版windows11及以上操作系统，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平均无故障时间≥MTBF100万小时，</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打印机</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1.功能：打印，复印，扫描三合一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2.打印速度（A4）：≥20页/分钟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3.首页打印时间：小于8秒</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4.分辨率（dpi）：最大600*600dpi</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5.打印语言：GDI；处理器：≥600MHz；内存：≥256MB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6.双面打印：手动双面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7.显示屏：至少2行LED</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8.复印功能：身份证复印、票据复印、多页合一复印、克隆复印等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9.扫描类型：平板</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10.纸张输入容量：≥150页；纸张输出容量：≥100页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11.接口类型：USB 2.0；有线网络：IEEE 802.3 10/100Base-Tx；</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12.无线WiFi：IEEE 802.11b/g/n</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13.耗材类型：鼓粉一体</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彩色打印机</w:t>
            </w:r>
          </w:p>
        </w:tc>
        <w:tc>
          <w:tcPr>
            <w:tcW w:w="68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1.功能：彩色打印，复印，扫描三合一；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2.打印速度（A4）：≥15页/分钟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3.首页打印时间：小于12秒</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4.分辨率（dpi）：最大1200*600dpi</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5.打印语言：PCL6/PS3；处理器：≥1GHz；内存：≥1GB</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6.双面打印：自动双面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7.显示屏：至少2行LCD</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8.复印功能：票据复印、身份证复印 身份证复印纠偏、多合一复印、克隆复印、海报复印等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9.扫描类型：平板+ADF</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10.纸张输入容量：自动纸盒：≥250页；纸张输出容量：≥100页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11.接口类型：USB 2.0，有线网络IEEE802.3 10 /100Base-Tx，无线网络IEEE802.11b/g/n</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12.耗材类型：鼓粉一体。</w:t>
            </w:r>
          </w:p>
        </w:tc>
        <w:tc>
          <w:tcPr>
            <w:tcW w:w="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50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75寸液晶触摸一体机（核心产品）</w:t>
            </w:r>
          </w:p>
        </w:tc>
        <w:tc>
          <w:tcPr>
            <w:tcW w:w="68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1.屏体尺寸：≥75英寸，液晶LED，A规屏，显示比例(16：9)；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2.亮度：≥500cd/cm2  ；对比度：≥5000:1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3.防眩光功能：采用≥4mm 钢化玻璃，防眩光，减少玻璃反射光的影响，反射率小于 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4.触摸技术：红外感应技术，20点触控，支持安卓、windows 系统。</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★5.前置接口：≥USB3.0*3；≥Type C*1；≥Touch USB*1；≥HDMI in*1  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6.前置至少3个USB 3.0 接口全部支持 Windows 及 Android 双系统读取，将 U 盘插入任意前置 USB 接口，均能被 Windows 及 Android 系统识别。</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7.一根 USB-C 数据线实现外部电脑与触控一体机之间高清视频信号、音频信号以及触摸信号的实时传输，可兼容市面上具 备通用 USB 端子的各类电脑，传输分辨率：支持≥3840*2160@30Hz 。</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8.后置接口：≥MIC In*1；≥COAXIAL Out*1；≥Earphone Out*1；≥PC Audio In*1；≥VGA*1；≥RS232*1；≥TV In*1；≥AV In*1；≥AV Out*1；≥LAN In*1；≥HDMI in*2；≥USB*2；≥Touch USB*1；≥TF Card*1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★9.前置按键：录屏、图像比例、音量-、音量+、设置、护眼、电源； 整机开关、电脑开关和节能待机键三合一；设备支持通过前置按键一键启动录屏功能，可将屏幕中显示的课件、音频等内容与老师人声同步录制；支持OPS一键还原。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10.安卓系统版本11.0或以上，内部缓存容量（RAM）：≥2GB ；内部存储容量（ROM）：≥16GB </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11.内置双路 WIFI，支持 AP 热点，Wifi:≥2.4GHz / AP ≥2.4GHz/5GHz。</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12.童锁开关：产品应支持童锁开关功能。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13.内置触摸中控菜单， 将信号源通道切换、亮度对比度调节、声音图像调节等整合到同一菜单下，在任意显示通道下均可通过手势在屏幕上调取该触摸菜单。</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14.屏幕锁屏：支持智能 U 盘锁功能，整机可设置触摸及按键自动锁定，需要使用时只需插入 USBKey 即可解锁。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白板软件：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1.在使用白板过程中，要求软件按钮和图标有中文标识。</w:t>
            </w:r>
            <w:r>
              <w:rPr>
                <w:rFonts w:hint="eastAsia" w:ascii="宋体" w:hAnsi="宋体" w:eastAsia="宋体" w:cs="宋体"/>
                <w:b/>
                <w:bCs/>
                <w:i w:val="0"/>
                <w:iCs w:val="0"/>
                <w:color w:val="auto"/>
                <w:kern w:val="0"/>
                <w:sz w:val="18"/>
                <w:szCs w:val="18"/>
                <w:highlight w:val="none"/>
                <w:u w:val="none"/>
                <w:lang w:val="en-US" w:eastAsia="zh-CN" w:bidi="ar"/>
              </w:rPr>
              <w:t>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2.白板软件菜单可隐藏到屏幕的左右两侧。</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3.在白板软件正在使用的过程中，无需退出教学软件，直接通过白板软件即可打开浏览器接入网络查找展示所需教学内容。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4.直接在浏览器窗口中能就能打开PPT、PDF等课件进行演示讲解、页面拖动预览、编辑修改和保存。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5.内置汉字和拼音教学工具。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6.内置英语教学工具。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7.软件支持页面保存功能，老师随时可以浏览页面、调整顺序、编辑修改；页面内容可以全部或部分导出，导出为gif,jpg,bmp,png等多种格式。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8.卡诺图：包括≥3变量卡诺图化简、≥4 变量卡诺图化简、≥5 变量卡诺图化简、≥6 变量卡诺图化简、带无关项≥5变量卡诺图化简、带无关项≥6 变量卡诺图化简、加冗余项消除逻辑冒险。需提供生产厂家出具的、相应的功能证明材料（包括但不限于测试报告、官网和功能截图等）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9.内置幼儿资源包括：健康、语言、社会、科学、艺术等资源。</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无线同屏：在无须安装插件情况下，支持各种移动终端（windows或安卓或苹果的平板、手机等）通过无线网络实现大小屏互动。移动终端扫描二维码实现与一体机的连接。支持多个移动终端同时显示一体机屏幕内容。支持移动终端对一体机进行多点触控操作，例如多笔书写、翻页、手势识别等。移动终端对大屏的连接请求应提供相关的安全认证模式。支持拍照上传、图片、文档、视频上传至一体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内置OPS配置：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1.插拔式OPS，采用I5及以上处理器、≥8GB内存或以上配置、≥256G固态硬盘或以上配置；开放式可插接INTEL规范接口（OPS接口），双面合计80针。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2.支持WIFI无线网络，带双天线，带RJ45接口≥100M/1000Mbs。</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3.具备电源（POWER）开关按键。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4.接口：≥LINE OUT*1，≥MIC IN*1，≥HDMI*1，≥RJ45*1，≥WIFI*2，≥USB*4。</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5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七：科学发现室设备</w:t>
      </w:r>
    </w:p>
    <w:tbl>
      <w:tblPr>
        <w:tblStyle w:val="36"/>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2"/>
        <w:gridCol w:w="1196"/>
        <w:gridCol w:w="5842"/>
        <w:gridCol w:w="77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5000" w:type="pct"/>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科学发现室配置参数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主题</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器材名称</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技术参数</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独一无二的人体</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眼罩</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尺寸：约18cm*9cm,安全面料，卡通图案，遮光效果强。</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副</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神秘袋</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不透明束口抽绳棉质布袋≥1个，约15cm*26cm，内装球体、正方体、长方体、圆柱体、圆锥体等至少10个不同的立体几何形状物体。</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器官围裙（儿童型）</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规格：约38cm*30cm，立体按比例展示了人体的主要器官肺、心脏、肝脏、肾脏、胃、大肠、小肠器官组件，所有的器官通过魔术贴粘贴，围裙底布上有对应的器官线条轮廓图。</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人体分层 （男孩）</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材质：木质。规格：约29cm*16.6cm*2cm。包含：人体骨骼、人体内脏、人体肌肉、人体外表等至少4层。</w:t>
            </w:r>
          </w:p>
        </w:tc>
        <w:tc>
          <w:tcPr>
            <w:tcW w:w="41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人体分层（女孩）</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材质：木质。规格：约29cm*16.6cm*2cm。包含：人体骨骼、人体内脏、人体肌肉、人体外表等至少4层。</w:t>
            </w:r>
          </w:p>
        </w:tc>
        <w:tc>
          <w:tcPr>
            <w:tcW w:w="41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牙齿模型</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约16cm*17cm*12cm，恒牙结构，能清晰辨别结构，上颌和下颌部分，可自由张开、闭合，配牙刷≥1支，塑胶。</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电子体重秤</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尺寸长约260mm，宽约260mm，钢化玻璃面，液晶显示屏，配usb充电接头。</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卷尺</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卡通布质，测量范围0-150cm，可自动控制收缩。</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有趣的动物世界</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草原动物模型</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规格：约20cm*14cm*12cm,安全塑胶材质，带透明PE材质包装盒，食肉、食草等常见动物模型，如狮子、豹子、老虎、长颈鹿、骆驼等，单个尺寸约10cm*13cm左右，不少于8种，配绿色植物。</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十二生肖模型</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规格：约20cm*14cm*12cm,安全塑胶材质，带透明PE材质包装盒，十二生肖动物模型，如老鼠、牛、老虎、兔子、龙、蛇、马、羊、猴、鸡、狗、猪，单个尺寸约10cm*13cm左右。</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恐龙时代-剑龙</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尺寸约60cm*30cm，水性漆逐层上色，软胶材质，纹路清晰，内部填棉，环保耐摔，可水洗。</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恐龙时代-霸王龙</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尺寸约60cm*30cm，水性漆逐层上色，软胶材质，纹路清晰，内部填棉，环保耐摔，可水洗。</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动物多层成长拼图</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木制，环保彩漆，约14.3cm*14.3cm*1.4cm，至少共4层，分别展示动物生长四个发育阶段，每个阶段都由几块木制拼图镶嵌组成。</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天空食物链排序卡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双面全彩印刷，约18.5cm*13cm,天空食物链动物卡片套装，每种食物链含有至少3种动物卡片：螳螂-蝉-黄雀</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海洋食物链排序卡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双面全彩印刷，约18.5cm*13cm,海洋食物链动物卡片套装，每种食物链含有至少3种动物卡片：虾-红尾皇冠鱼-鲨鱼</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草原动物认知卡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双面全彩印刷，约18.5cm*13cm,草原动物认知卡片套装，通过动物的典型特征辨识动物种类，每套包括至少3种动物卡片：羚羊、斑马、长颈鹿</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青蛙成长记</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尺寸约225mm*185mm*50mm；材质：环保树脂；由至少7个包埋标本组成，直观展示了青蛙从卵到成年青蛙成长阶段的生态体征；并配备了详实、生动、寓教于乐的知识手册。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蚕宝宝生长标本</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尺寸约225mm*185mm*50mm；材质：环保树脂；由至少4个包埋标本组成，直观展示了菜粉蝶在卵、幼虫、蛹、成虫各个成长阶段的生态体征；并配备了详实、生动、寓教于乐的知识手册。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穿花衣的热带鱼</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225mm*185mm*50mm；材质：环保树脂；由至少9个包埋标本组成，展示了黑裙鱼、孔雀鱼、虎皮鱼、玻璃鱼、红太阳月光鱼、红箭鱼、红钩扯旗鱼、扯旗鱼、斑马鱼共9种淡水热带鱼标本；并配备了详实、生动、寓教于乐的知识手册，认识不同鱼的外形、颜色。</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昆虫捕捉观察器</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尺寸约17.5cm*10cm*16cm,重量0.34kg，亚克力材质，顶端有可旋转放大镜，抓握手柄上有控制开口开合的按钮。</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植物大观园</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种子的旅行</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尺寸约225mm*185mm*50mm；材质：环保树脂；由至少5个包埋标本组成，直观展示了蒲公英、莲子、大豆油菜等各种不同种子的传播方式；并配备了详实、生动、寓教于乐的知识手册。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粮食家族</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尺寸约225mm*185mm*50mm；材质：环保树脂；由9个包埋标本组成，直观展示了高粱、小麦、玉米、稻谷、薏米、糯米、荞麦、粟、燕麦，共9种不同的粮食标本；并配备了详实、生动、寓教于乐的知识手册。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玉米生长标本</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尺寸约225mm*185mm*50mm；材质：环保树脂；由6个包埋标本组成，直观展示了胚根、胚芽、茎、叶子等玉米发芽的演变过程；并配备了详实、生动、寓教于乐的知识手册。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西瓜生长排序卡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双面全彩印刷，约18.5cm*13cm,说明西瓜生长的至少4个典型阶段，分别为种子、发芽、开花、结果。</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葡萄生长排序卡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双面全彩印刷，约18.5cm*13cm,说明葡萄生长的4个典型阶段，分别为种子、发芽、开花、结果。</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卡通耙子</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冷轧钢板材质约0.8mm，卡通造型，工程塑胶ZL柄部，环保烤漆，约7.3cm*21cm。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卡通方铲</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冷轧钢板材质约0.8mm，卡通造型，工程塑胶柄部，环保烤漆，长度约6.5cm*21cm。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卡通尖铲</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冷轧钢板材质0.8mm，卡通造型，工程塑胶柄部，环保烤漆，8cm*21cm。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小耳朵仔细听</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音叉</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约22cm手持木柄金属制“Y”形音叉1个，约17.5cm的橡皮击槌至少1支，敲击音叉，会发出嗡嗡声，演示声音的发生。</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八音砖</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材质：塑料+铝板琴片。包含至少八块大小不同颜色不同的音砖，双层缓冲设计，敲打时有轻微起伏感，帮助敲琴维持音色。幼儿通过敲击不同的音砖感知音色的变化，可敲击美妙的旋律。</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传声筒</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材质：硅胶管 PP，包含：至少硅胶管约1m*6条、至少Y型连接头*2个、至少+型连接头1个、至少喊话头*6个。</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小鼓</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直径约20cm，高度约16cm，原木材质鼓身，天然牛皮覆鼓，五金铆钉连接，金属背带环，配至少1根木制圆头鼓槌。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小水滴大世界</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水槽</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安全塑胶，容积约2.5-5升,采用全新ZL材料。</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小船</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彩色安全塑胶，可拆卸，船帆、船篷和船体三部分组成，船体长约14cm，宽约8cm </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水温计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卡通造型，环保塑胶背板，背板有温度刻度，测量范围0~50℃，，使用环境：-10度~60度，可以测水温，亦可测量室温。</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沉浮子</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每套包含不同形状，由铁、塑料块、木头块组成；用于探索物体在水中的浮、沉、悬等各种状态</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奇妙的光</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平面镜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约150mm*105mm*1mm,PVC材质，圆角单面镜面，背面彩色环保漆喷涂。</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卡通手电筒</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安全塑胶材质，彩色造型，至少1颗LED灯泡，含插口充电装置；约11cm*4cm*4cm。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望远镜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安全塑胶彩色外壳,ABS材质，出瞳直径约7.5cm，可调焦，由镜筒、镜身、镜片等组成双筒望远镜,出视距约200；感知望远镜的基本构造。</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相机万花筒</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约13.5cm*6cm*9cm，安全原木材质镜身，相机造型。亚克力玻璃多棱镜头，通过约30个“蜂眼”般的镜头看到多个景物影像重叠现象。</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放大镜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塑胶直柄+玻璃镜片，约200mm*115mm*21mm，支持6倍放大。</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光学组合套装</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产品规格：约308mm*460mm*66mm(包装） 产品材质：塑料产品可组装：放大镜I•放大镜II•透反射显微镜•单目望远镜•反射望远镜•万花筒</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望远镜•小型望远镜•双筒望远镜•易组装，无需工具•指导儿童根据自身兴趣发展•操作容易。</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儿童光学显微镜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产品规格：约28cm*16.3cm*10cm，产品材质：塑料，目镜支持10倍，20倍切换，含至少5种颜色聚光孔，物镜支持10倍、20倍、40倍放大，手提式设计方便拿取。LED光源</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手持显微镜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产品规格：高约11.3cm，宽约7cm，产品材质：塑料,支持20倍40倍变焦，附带LED光源</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看不见的空气</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扇子</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约20cm*16cm,安全塑胶材质，扇面为卡通动物轮廓。</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沙漏</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规格：约9.5cm*4cm*4cm，木质边框，沙漏管直径1.5cm。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空气船</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尺寸约23cm*13.8cm*27.7cm，空气动力园里。</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会咬人的电</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电碰迷宫</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规格：约25cm*19cm*8cm,把传感器的圈圈套进电感迷宫碰铁里面。沿着电感迷宫碰铁走，当传感器手柄碰到电感迷宫碰铁时主机就会发出声音指示灯也会闪起来。</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电子积木</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包装规格包含基础电学套件，声控套件，触控套件。环保ABS材质，子母扣连接，每套包含多种电子元件。可实现手控制、声控、电控、磁控、灯多种控制方式，不少于110种拼法。</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能量棒</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长约325mm，直径约24mm，采用ABS和亚克力材质，内置至少3节AG13纽扣电池，无论是一个还是多个孩子手牵手，只要形成回路，能量棒就会闪闪发亮并发出神秘的响声。</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金属探测仪</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长约30cm,银白色，检测探头面积大，配蜂鸣器和电路板，开关控制，灵敏度可调节，电磁感原理来探测金属，遇到金属物会振动和声音报警。</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粘在一起的磁铁</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磁性套装</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含约3cm*8cm磁人约13cm*10cm四伏磁环至少1个，约21cm*17cm马蹄磁铁至少1个，约5.5cm*10cm磁力小车至少1个，约7.5cm*3cm磁铁至少1对，底座磁力迷宫托盘至少1个。</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磁力迷宫</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木质材料环保油漆，拼插彩色图案鱼缸，带绳的磁性竿，配有若干条各种原木材质彩色卡通造型小鱼。</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磁力钓鱼游戏</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约20cm*20cm*4cm，木制拼插彩色图案鱼缸，分上下两层，约16cm带绳的磁性钓鱼竿，配有若干条各种原木材质彩色卡通造型小鱼。</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力学玩具城</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天平套装</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约20cm*14cm*8cm，原木材质，环保漆，彩色卡通小熊造型，小熊两端是平衡臂，附带与重量匹配的蓝色和红色数字砝码各一套，1套多种大小重量的水果：草莓、香蕉、苹果和梨。</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弹簧小鸟</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带堵头的金属立杆至少1跟+原木底座至少1支，高约41cm，底座直径约6cm，至少配1支带弹簧的啄木鸟，啄木鸟为木质，彩色羽毛。</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滑坡效应</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滑坡尺寸约39cm*34cm*10.5cm，环保木材，4层轨道设计，配至少4辆4cm*3cm彩色小车。</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多米诺骨牌</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原木材质，环保安全漆，不少于80片多米诺骨牌，单粒约3cm*5cm。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闯关机关</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水性环保漆，由多种不同形状的机关组成，配合骨牌使用，丰富多米诺的摆放形式。</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小小工程师</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百变插珠</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安全塑胶材质，约28cm*16cm，至少4种同等粗细不同长度的杆，约14.4cm杆子至少6根；约9.4cm杆子至少18根；约6cm杆子至少8根；约3.7cm杆子至少4根；至少4种颜色36粒积木球，球体有很多洞眼，可自由拼插组装。</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滚珠积木</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塑胶，不同造型颗粒，可自由拼装，含有斜坡滑道、弯滑道等，配有安装地板。</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梦想螺母</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木材质，环保彩漆，包括数十块带孔组合板、连接杆、正方形拼装块、螺母和螺帽，至少4个大车轮，至少4个小车轮，至少1把螺丝刀、至少1把扳手，可以自由拼装望远镜、照相机、手推车、工具箱、直升机、电视塔、坦克等十余种造型。</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3D克隆手模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手印模益智玩具，安全塑料材质，尺寸约13cm*18cm*6cm，可以DIY各种手印</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机械套装</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安全环保塑胶材质，包括各种规格的梁、齿轮、轴、等零部件，可实现数种模型搭建</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飞上太空</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地球仪</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约14cm，塑胶材质可拆卸底座，由至少12条纸瓣纯手工黏贴而成，经纬网误差控制在2mm以内，球胆、支架和底座均采用环保塑料，地图表面采用环保漆，各地形要素严格按照统一的比例设计，含七大洲、四大洋、世界各国疆域及重要城市。</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八大行星</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包含至少1个圆形空心底座，可盛放塑料球。至少1颗太阳、至少8颗行星。</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磁性中国地图</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木材、环保水性漆，约40cm*30cm*0.6cm，正面铁板底，磁铁可吸在表面，背面带磁性，有底图，显示祖国各个行政区的名称、简称、特色图案，卡通造型，带底图。</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星座认知卡</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双面全彩印刷，约18.5cm*13cm,每套含至少6个具有典型特征的星座：北斗星、猎户座、仙后座、天琴座、天马座、天蝎座。</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天气记录表</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约18.5cm*13cm，彩色，包含记录区和图示区。</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小型气象站</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约17cm*17cm，安全塑料，包括底座、指南针、风向标、风速计。</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神奇的小实验</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实验器材</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产品包括：至少1个试管支架、至少4个塑料大试管、至少1副防护安全眼镜、至少4个塑料100ML烧杯、至少1个塑料瓶、至少1个搅拌棒、至少1个漏斗，可以满足实验器材需求，材料抗腐蚀、耐高温、耐酸。</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实验材料</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实验材料包含：红、黄、蓝三色色素，泡腾片、吸水脂，小苏打粉、色母片等。</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实验工具盒</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规格：长约36.5cm、宽约28cm、高约14cm，加厚塑料收纳箱。</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7"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现代科技精品系列</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机器人</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35cm*32.5cm*16.5cm，工程塑料ZL材质，应用生物形态学制作，头部、手和脚部配有感应器，可以编程，眼部、手部会闪灯，能够接受人的指令做出反应，如抓取玩具筒、走路、跳舞等几十个动作，可以智能对话、唱歌、跳舞、说外语、科普知识学习等，配玩具桶和遥控器各至少1支；了解机器人硬件结构、功能与应用等方面的基本知识。</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点读地球仪</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ABS+金属材质，高约40cm,地球仪直径约32cm，采用增强现实技术，通过手机下载软件，摄像头对准该AR地球仪，即可显示3D立体的图像，包括航天模式、森林模式、海洋模式等。</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天文望远镜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外壳，≥360度可旋转双镜头，带三脚架，反射式焦距:约700mm,通光口径：约60mm.配有至少3只目镜:H20mm,H12.5mm和SR4mm,最大放大倍率525.含1.5x正像镜，3x巴洛增倍镜，90度天顶镜，1.25米两段式铝合金三脚架至少１支，配筒型遮光罩至少１支，托盘至少１支。</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天文望远镜手机固定夹</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规格：约14cm*8cm*3cm，ABS金属材质，橡胶铜口螺丝，可同时适用于天文望远镜，显微镜，望远镜。</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三球仪</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安全塑胶底座，最大长度43cm，发光体直径约11cm左右，内含照明灯泡，月相盘，有24节气、12月份、四季，齿轮联动，地球倾斜地在轨道上绕日旋转。</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人体骨骼模型</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安全塑胶材质，高度约85cm，配有底座，金属支撑杆等，男性成人骨骼，包括头颅骨、脊柱、胸廓、上肢骨、下肢骨等，四肢关节可以活动和拆卸，头盖骨可以拆开。</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柔和电击</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底座尺寸约400mm*300mm*70mm,模具一体成型，两端呈弧形，上翘≥47度，两面四角注塑有约1.5mm脚垫，电源使用7号电池，触电部位为两只铜制圆形触盘，触盘直径约80mm，高度约45mm，电流600mA以下。</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高压电弧</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底座尺寸约400mm*300mm*70mm,模具一体成型，两端呈弧形，上翘≥47度，两面四角注塑有约1.5mm脚垫，长度约25mm*25mm，通电后会放出高压电弧。</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1"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静电点灯</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座尺寸约400mm*300mm*70mm,模具一体成型，两端呈弧形，上翘≥47度，两面四角注塑有约1.5mm脚垫，长度约25mm*25mm，仪器整体高度约190mm，上面装有一个玻璃灯罩，配有一个节能灯，将灯靠近电磁圈，灯会在没有电源的情况下亮起，观察灯亮起熄灭，探究静电可以发电。</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科技之光</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视觉暂留。</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置物架</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彩色立体火箭置物架</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高约150cm，直径约80cm,火箭造型，可做置物架，内置至少4层置物板，可放置科学展品，让幼儿了解火箭工作原理。</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传统科学技术展品</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造纸机</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约38cm*11.5cm*28.5cm，配有磨浆筒、造纸机身、滚印筒、夹板、滤网等，用废纸造出纸张，附送颜料、彩笔与造纸工具若干，用于幼儿了解造纸术原理。</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活字印刷</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至少32个小印章，每个刻有单独的汉字，如幼儿科学探究乐园等，原木材质，字体为塑胶凸印，约3cm*3cm，可以自由排列组合。</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司南</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至少一个约19cm*19cm*3cm木制底座，至少一支约3cm*12cm木杓，底座铜金粉面漆喷涂，印有十天干，十二地支、四卦，标示二十四个方位。木杓底开槽，按极性放一块磁石。</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日晷</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约32cm*18cm，木质，利用日影测定时刻的装置，地平式日晷，带晷针至少1支和晷面至少1个，喷漆晷面，白色不均匀刻度盘。</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纺织套装</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约36.5cm*15cm*13.5cm儿童织布机一台，将一把梳放在线架上，缠出一道道经线，然后将绕了线团的飞梭从经线中间穿过，经纬相交后用另一把梳将交点梳下，反复操作，支出一块小布。</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接球游戏</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规格：高约70cm,长约55cm,宽约20cm，附带底座，方向盘直径约15cm,配木球至少5个。</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大平衡蜻蜓</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宽约50cm，长约58cm,翅膀长约29cm，身长约45cm,附带底座，底座高约15cm。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机械传动</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整体尺寸：长约62cm，宽约27cm，高约25.5cm；脚尺寸：长约11cm，宽约7cm，橡木材质，由100余块零件组装而成，木质机械传动。</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木质磨盘</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磨盘模型,底座直径约60cm,磨盘直径约30cm。</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配件与工具包</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螺丝刀</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约22cm*4cm，双色防滑橡胶手柄，配3mm,4mm,5mm铬钒合金钢材质刀杆至少各1支，一字十字两用，表面防滑防磁处理。</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托盘</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约33cm*25cm*1.8cm，安全树脂仿瓷材质，使用温度：-20~120度。</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AA电池</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镍镉可充电电池，标准电压:≥1.2V，额定容量:≥600毫安，至少1000次充放电。</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多用充电器</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约22cm*12cm*6.5cm，≥4通道，可充AA/AAA/9v电池。</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标牌</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四大领域标牌</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亚克力材质，厚度约2mm，宽约30cm，高约14cm。至少4块，双面显示四大领域名称。</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学具箱</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学具箱</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彩色PP材料，约20cm*44cm*45cm，全封闭型防尘，抽屉透明，瓷白框，底部经络凹口和顶部凸口吻合，层数可以随心搭配，贴有主题卡通图案标签。</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家具</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展柜</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白色木制展架,尺寸：约77cm*77cm*39cm，每块搁板最大承重约10kg,采用环保高密度板材。</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桌子</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规格尺寸：约120cm*60cm*55cm，材质：木制夹板+一度板，防火，桌面白色，木纹腿。</w:t>
            </w:r>
          </w:p>
        </w:tc>
        <w:tc>
          <w:tcPr>
            <w:tcW w:w="410" w:type="pct"/>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凳子</w:t>
            </w:r>
          </w:p>
        </w:tc>
        <w:tc>
          <w:tcPr>
            <w:tcW w:w="3108" w:type="pct"/>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规格：约283cm*332cm*500mm 坐板高约240mm；</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材质：木制夹板+一度板；</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加工：凳腿&amp;木纹/白色凳面</w:t>
            </w:r>
          </w:p>
        </w:tc>
        <w:tc>
          <w:tcPr>
            <w:tcW w:w="410" w:type="pct"/>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探究面板</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时光隧道</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尺寸：约800cm*600cm*60cm、桦木板约12毫米、亚克力，摇动手柄触发光学反射装置。</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6"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人体导电</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约800cm*600cm*60cm、桦木板约12毫米、亚克力，摇动手柄，只手放在不同的圆盘上，以此连通电路，驱动蜂鸣器发出响声，灯带亮起。无电源</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齿轮风车</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约800mm*600mm*60mm、桦木板约12mm、亚克力，在木板上有几个支点，小朋友通过自由组合成齿轮路线来带动上面风车叶片转动。无电源。</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声音驻波</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约800mm*600mm*60mm、桦木板约12毫米、亚克力，摇动手柄产生电能。</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环境创设</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科学主题墙</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主题墙，pvc材质，含“幼儿科学发现室”字样以及至少4个科学能力墙贴。</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科学小常识</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PVC材质,环保材料全彩印刷，背胶裱画板，至少4块科学小常识面板，及太空元素装饰至少3块。</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科学名人介绍</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PVC不同规格,环保材料全彩印刷，背胶裱画板，厚约4.5mm，科学名人介绍至少4幅。     </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齿轮环创</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PVC不同规格,环保材料全彩印刷，背胶裱画板，厚约4.5mm，齿轮装饰至少1套。     </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科学四大领域</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PVC材质,环保材料全彩印刷，背胶裱画板，规格：六边形约50cm*43cm，厚约4.5mm；科学四大领域至少4幅。</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27"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教学资源</w:t>
            </w: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教师指导用书</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16K，胶装覆膜，彩色封皮，正文黑白印刷，每套包括大中小班至少各1册，至少共9册。至少96节课，至少1000个游戏活动。</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27" w:type="pct"/>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6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儿童学习证书</w:t>
            </w:r>
          </w:p>
        </w:tc>
        <w:tc>
          <w:tcPr>
            <w:tcW w:w="310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A4，157K铜版纸彩色印刷</w:t>
            </w:r>
          </w:p>
        </w:tc>
        <w:tc>
          <w:tcPr>
            <w:tcW w:w="4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4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八：空调</w:t>
      </w:r>
    </w:p>
    <w:tbl>
      <w:tblPr>
        <w:tblStyle w:val="36"/>
        <w:tblW w:w="950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485"/>
        <w:gridCol w:w="5946"/>
        <w:gridCol w:w="79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空调设备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  称</w:t>
            </w:r>
          </w:p>
        </w:tc>
        <w:tc>
          <w:tcPr>
            <w:tcW w:w="5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  格</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直流变频风管机</w:t>
            </w:r>
          </w:p>
        </w:tc>
        <w:tc>
          <w:tcPr>
            <w:tcW w:w="5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制冷量：≥14000W，制冷功率：≥4200W，制热量：≥16000W，制热功率：≥4000W,电辅热功率：≥100w电源：380v3N-50Hz，外机尺寸：约900cm*1167cm*330cm、内机尺寸：约1872cm*470cm*240cm</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安装材料费</w:t>
            </w:r>
          </w:p>
        </w:tc>
        <w:tc>
          <w:tcPr>
            <w:tcW w:w="5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安装主材、辅材、外机吊装就位（铜管、保温、角铁、冷凝水管、打孔、风口等）</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镀锌风管</w:t>
            </w:r>
          </w:p>
        </w:tc>
        <w:tc>
          <w:tcPr>
            <w:tcW w:w="5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安装所需风管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运费</w:t>
            </w:r>
          </w:p>
        </w:tc>
        <w:tc>
          <w:tcPr>
            <w:tcW w:w="5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设备运费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人工费</w:t>
            </w:r>
          </w:p>
        </w:tc>
        <w:tc>
          <w:tcPr>
            <w:tcW w:w="5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空调安装施工费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九：厨房设备</w:t>
      </w:r>
    </w:p>
    <w:tbl>
      <w:tblPr>
        <w:tblStyle w:val="36"/>
        <w:tblW w:w="50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385"/>
        <w:gridCol w:w="891"/>
        <w:gridCol w:w="4993"/>
        <w:gridCol w:w="79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厨房设备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w:t>
            </w:r>
          </w:p>
        </w:tc>
        <w:tc>
          <w:tcPr>
            <w:tcW w:w="2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参数</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三眼水池</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1800*600mm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材料：采用201不锈钢制作，面板约Ꜫ≥0.9mm不锈钢201板材，星盆约Ꜫ≥0.8mm不锈钢201板材，调解腿采用约38mm*38mm*0.9mm不锈钢包钢201材质制作，子弹头形式，横通采用201不锈钢圆管约25mm.星焊磨边处理。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切菜机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660型</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材料；不锈钢201材质外壳制作，球墨铸造技术压制齿轮。功率≥3KW，使用电压≥220V，50HZ.</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压面机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350型</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材料；不锈钢201材质外壳制作，球墨铸造技术压制齿轮。功率≥3KW，使用电压≥220V，50HZ.</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不锈钢工作台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1800*800mm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不锈钢201板材，底板约Ꜫ≥0.8mm不锈钢201板材，调解腿采用约48mm*48mm*0.9mm不锈钢包钢201材质制作，子弹头形式，横通采用碳钢长形管约25mm*30mm.星焊磨边处理。面板加粘约12mm加强板，加厚横通约25mm*30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合面机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25KG</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材料；不锈钢201材质外壳制作，球墨铸造技术压制齿轮。功率≥3KW，使用电压≥380V、50HZ.电机采用铜芯漆包，数控缠绕技术。</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大锅灶</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0.9m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1.1mm压延退火板，前沿带溢水排污槽，上方配挡渣板，围挡约Ꜫ≥0.8mm不锈钢201制作，炉体骨架采用角钢约40mm*40mm焊接，进行分级加筋承重处理，采用多次喷涂防锈漆处理，炉头球墨铸造技术，内置出气送风咀一套，风气单独控制，风机采用220v/50hz.单独控制。气量≥6m³/h，可调节式子弹头调节腿。</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蒸饭车</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24层</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天然气两用24层盘，自动点火；外约0.6mm 全不锈钢，内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为约0.5mm；板扣式渐进门锁，嵌入式硅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胶门封，聚氨酯整体发泡工艺，配置优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质合页，自动进水，给水约Φ=15mm;</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排水约Φ=38mm；脚轮设计，筛网式搁物盘占约40%，蒸饪能力：</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大米蒸饭时间30~45min; 分盘尺寸</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约400mm*600mm。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电饼铛</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材料：采用201不锈钢制作，面板不锈钢201板材，星盆采用铸铝约530cm*18cm，内置电热盘管，数显表，上下单独控制调节温度，功率≥5KW.采用≥220v电压。星焊磨边处理。上盖采用弹簧应力。</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四层货架</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1500*500mm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材料：采用201不锈钢制作，面板约Ꜫ≥0.9mm不锈钢201板材，调解腿采用约48mm*48mm*0.3mm不锈钢包钢201材质制作，子弹头形式，横通采用201不锈钢约25mm.星焊磨边处理。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保洁柜</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1200*500mm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材料：采用201不锈钢制作，面板约Ꜫ≥0.9mm不锈钢201板材，调解腿采用约48mm*48mm*0.3mm不锈钢包钢201材质制作，子弹头形式，横通采用201不锈钢约25mm.星焊磨边处理。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消毒柜</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双门</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材料：采用201不锈钢制作，面板不锈钢201板材，调解腿采用约48mm*48mm星焊磨边处理，静音玻璃门。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木案工作台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1800*800mm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不锈钢201板材，底板约Ꜫ≥0.8mm不锈钢201板材，调解腿采用约48mm*48mm*0.9mm不锈钢包钢201材质制作，子弹头形式，横通采用碳钢长形管约25mm*30mm.星焊磨边处理。面板加粘约12mm加强板，加厚横通约25mm*30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不锈钢工作台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1200*800mm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不锈钢201板材，底板约Ꜫ≥0.8mm不锈钢201板材，调解腿采用约48mm*48mm*0.9mm不锈钢包钢201材质制作，子弹头形式，横通采用碳钢长形管约25mm*30mm.星焊磨边处理。面板加粘约12mm加强板，加厚横通约25mm*30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四门冰柜</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1200*700mm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（1）用电量：≥220v  500w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（2）容量：≥840L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（3）冰箱内外全部采用不锈钢材料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（4）箱体采用约60mm厚的环保聚氨酯 (密度40kg/m3) 发泡，无氟环保冷媒</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（5）操作温度范围:– 冷冻: -15 ºC / 0ºC</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留样柜</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600*500mm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制冷方式：直冷双箱单独控制，≥1KW/220V，温度范围≤-5℃-+5℃。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不锈钢桶</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40cm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不锈钢201制作，液压冲压磨边处理。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35cm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不锈钢201制作，液压冲压磨边处理。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不锈钢菜盆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45cm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不锈钢201制作，液压冲压磨边处理。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不锈钢201制作，液压冲压磨边处理。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烟罩</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3500*1300mm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材料：采用201不锈钢制作，面板约Ꜫ≥0.9mm.星焊磨边处理。枪型解构，圆管油网篦子。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集烟箱</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500*600mm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镀锌钢板约1.0mm厚，多刀压延，压延加筋，折叠组筘。</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烟道</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500*600mm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镀锌钢板约1.0mm厚，多刀压延，压延加筋，折叠组筘。</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500*600mm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镀锌钢板约1.0mm厚，多刀压延，压延加筋，折叠组筘。</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风柜</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3kw</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柜身外壳采用镀锌板组装，内附蜂巢式吸附噪音 层，降低噪音和抖动，风量≥38000m³/h，厚度约1.2mm, 风柜 骨架采用国标角铁；叶轮材料为低碳钢。输出功率≥3KW</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保护器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3KW</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镀锌钢板约1.0mm厚，多刀压延，压延加筋，折叠组筘。</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软连接</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2100*300mm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TTP</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500*600mm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镀锌钢板约1.0mm厚，多刀压延，压延加筋，折叠组筘。</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收纳储存箱</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1号</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切菜板</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45CM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切肉墩子</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45CM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收纳储存箱</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2号</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40CM</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不锈钢制作</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勺子</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定制</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消毒柜</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低双</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≥9KW/220v</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菜刀</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片刀</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不锈钢制作片刀</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8两</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不锈钢制作</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安装调试费</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18"/>
                <w:szCs w:val="18"/>
                <w:highlight w:val="none"/>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spacing w:line="360" w:lineRule="auto"/>
        <w:ind w:firstLine="422" w:firstLineChars="200"/>
        <w:rPr>
          <w:rFonts w:hint="eastAsia" w:ascii="宋体" w:hAnsi="宋体" w:cs="宋体"/>
          <w:b/>
          <w:color w:val="auto"/>
          <w:sz w:val="21"/>
          <w:szCs w:val="21"/>
        </w:rPr>
      </w:pPr>
      <w:r>
        <w:rPr>
          <w:rFonts w:hint="eastAsia" w:ascii="宋体" w:hAnsi="宋体" w:cs="宋体"/>
          <w:b/>
          <w:color w:val="auto"/>
          <w:sz w:val="21"/>
          <w:szCs w:val="21"/>
        </w:rPr>
        <w:t>注：</w:t>
      </w:r>
    </w:p>
    <w:p>
      <w:pPr>
        <w:spacing w:line="360" w:lineRule="auto"/>
        <w:ind w:firstLine="422" w:firstLineChars="200"/>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1、技术参数中要求提供证明材料的必须标明对应的页码。</w:t>
      </w:r>
    </w:p>
    <w:p>
      <w:pPr>
        <w:spacing w:line="360" w:lineRule="auto"/>
        <w:ind w:firstLine="422" w:firstLineChars="200"/>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2、谈判文件中“★”技术参数及非“★”技术参数均不允许负偏离，并且需提供谈判文件要求的证明文件作为佐证资料。未按要求提供的则视为无效响应文件。</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3、技术参数一：多媒体会议室建设内容中“LED显示屏”、五：校园广播系统建设中“校园IP广播系统”和六：办公电脑打印设备中“75寸液晶触摸一体机”为核心产品。</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供应商若为代理商，针对LED显示屏、电子钢琴、网络摄像机、全彩全景枪球智能一体机、硬盘录像机、超高清解码器、校园广播系统建设、台式电脑、打印机、75寸液晶触摸一体机、科学发现室设备等产品，必须提供厂家产品来源渠道合法的证明文件（不限于销售协议、代理协议、原厂授权等），证明文件复印件加盖供应商公司红章附在响应文件“货物说明一览表”后。</w:t>
      </w:r>
    </w:p>
    <w:p>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针对以上产品，供应商与一家或多家分包单位签订则需提供《分包意向协议书》及《中小企业声明函》，并附在响应文件中；未提供《分包意向协议书》的，按照《中小企业声明函》承诺的认定；若不提供《中小企业声明函》，则视为无效响应文件。</w:t>
      </w:r>
    </w:p>
    <w:p>
      <w:pPr>
        <w:spacing w:line="360" w:lineRule="auto"/>
        <w:rPr>
          <w:rFonts w:hint="eastAsia" w:ascii="宋体" w:hAnsi="宋体" w:cs="宋体"/>
          <w:b/>
          <w:color w:val="auto"/>
          <w:sz w:val="21"/>
          <w:szCs w:val="21"/>
        </w:rPr>
        <w:sectPr>
          <w:headerReference r:id="rId16" w:type="default"/>
          <w:footerReference r:id="rId17" w:type="default"/>
          <w:pgSz w:w="11906" w:h="16838"/>
          <w:pgMar w:top="1418" w:right="1418" w:bottom="1418" w:left="1418" w:header="851" w:footer="992" w:gutter="0"/>
          <w:pgNumType w:fmt="decimal"/>
          <w:cols w:space="425" w:num="1"/>
          <w:docGrid w:linePitch="312" w:charSpace="0"/>
        </w:sectPr>
      </w:pPr>
    </w:p>
    <w:p>
      <w:pPr>
        <w:pStyle w:val="3"/>
        <w:keepLines w:val="0"/>
        <w:pageBreakBefore w:val="0"/>
        <w:kinsoku/>
        <w:wordWrap/>
        <w:overflowPunct/>
        <w:topLinePunct w:val="0"/>
        <w:bidi w:val="0"/>
        <w:spacing w:line="440" w:lineRule="exact"/>
        <w:textAlignment w:val="auto"/>
        <w:rPr>
          <w:rFonts w:ascii="宋体" w:hAnsi="宋体" w:eastAsia="宋体" w:cs="宋体"/>
          <w:b/>
          <w:color w:val="auto"/>
          <w:sz w:val="32"/>
          <w:szCs w:val="32"/>
          <w:lang w:val="zh-CN"/>
        </w:rPr>
      </w:pPr>
      <w:bookmarkStart w:id="33" w:name="_Toc13080"/>
      <w:r>
        <w:rPr>
          <w:rFonts w:hint="eastAsia" w:ascii="宋体" w:hAnsi="宋体" w:eastAsia="宋体" w:cs="宋体"/>
          <w:b/>
          <w:color w:val="auto"/>
          <w:szCs w:val="28"/>
          <w:lang w:val="zh-CN"/>
        </w:rPr>
        <w:t>第</w:t>
      </w:r>
      <w:r>
        <w:rPr>
          <w:rFonts w:hint="eastAsia" w:ascii="宋体" w:hAnsi="宋体" w:eastAsia="宋体" w:cs="宋体"/>
          <w:b/>
          <w:color w:val="auto"/>
          <w:szCs w:val="28"/>
        </w:rPr>
        <w:t>六</w:t>
      </w:r>
      <w:r>
        <w:rPr>
          <w:rFonts w:hint="eastAsia" w:ascii="宋体" w:hAnsi="宋体" w:eastAsia="宋体" w:cs="宋体"/>
          <w:b/>
          <w:color w:val="auto"/>
          <w:szCs w:val="28"/>
          <w:lang w:val="zh-CN"/>
        </w:rPr>
        <w:t>章  商务要求</w:t>
      </w:r>
      <w:bookmarkEnd w:id="31"/>
      <w:bookmarkEnd w:id="33"/>
    </w:p>
    <w:p>
      <w:pPr>
        <w:keepNext w:val="0"/>
        <w:keepLines w:val="0"/>
        <w:pageBreakBefore w:val="0"/>
        <w:kinsoku/>
        <w:wordWrap/>
        <w:overflowPunct/>
        <w:topLinePunct w:val="0"/>
        <w:bidi w:val="0"/>
        <w:spacing w:line="440" w:lineRule="exact"/>
        <w:ind w:firstLine="482" w:firstLineChars="200"/>
        <w:jc w:val="left"/>
        <w:textAlignment w:val="auto"/>
        <w:rPr>
          <w:rFonts w:ascii="宋体" w:hAnsi="宋体" w:cs="宋体"/>
          <w:color w:val="auto"/>
          <w:sz w:val="24"/>
          <w:szCs w:val="24"/>
        </w:rPr>
      </w:pPr>
      <w:r>
        <w:rPr>
          <w:rFonts w:hint="eastAsia" w:ascii="宋体" w:hAnsi="宋体" w:cs="宋体"/>
          <w:b/>
          <w:color w:val="auto"/>
          <w:sz w:val="24"/>
          <w:szCs w:val="24"/>
        </w:rPr>
        <w:t>1、质量要求：</w:t>
      </w:r>
      <w:r>
        <w:rPr>
          <w:rFonts w:hint="eastAsia" w:ascii="宋体" w:hAnsi="宋体" w:cs="宋体"/>
          <w:color w:val="auto"/>
          <w:sz w:val="24"/>
          <w:szCs w:val="24"/>
        </w:rPr>
        <w:t>符合国家现行技术规范和标准合格。</w:t>
      </w:r>
    </w:p>
    <w:p>
      <w:pPr>
        <w:keepNext w:val="0"/>
        <w:keepLines w:val="0"/>
        <w:pageBreakBefore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2、质量保证</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2.1</w:t>
      </w:r>
      <w:r>
        <w:rPr>
          <w:rFonts w:hint="eastAsia" w:ascii="宋体" w:hAnsi="宋体" w:cs="宋体"/>
          <w:bCs/>
          <w:color w:val="auto"/>
          <w:sz w:val="24"/>
          <w:szCs w:val="24"/>
          <w:lang w:eastAsia="zh-CN"/>
        </w:rPr>
        <w:t>、</w:t>
      </w:r>
      <w:r>
        <w:rPr>
          <w:rFonts w:hint="eastAsia" w:ascii="宋体" w:hAnsi="宋体" w:cs="宋体"/>
          <w:bCs/>
          <w:color w:val="auto"/>
          <w:sz w:val="24"/>
          <w:szCs w:val="24"/>
        </w:rPr>
        <w:t>供应商提供的产品应是原装正品，符合国家质量检测标准，符合国家环保和节能的要求，具有出厂合格证或国家鉴定合格证。</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s="宋体"/>
          <w:color w:val="auto"/>
          <w:kern w:val="0"/>
          <w:sz w:val="24"/>
          <w:szCs w:val="24"/>
          <w:lang w:val="en-US" w:eastAsia="zh-CN" w:bidi="ar"/>
        </w:rPr>
      </w:pPr>
      <w:r>
        <w:rPr>
          <w:rFonts w:hint="eastAsia" w:ascii="宋体" w:hAnsi="宋体" w:cs="宋体"/>
          <w:b/>
          <w:color w:val="auto"/>
          <w:sz w:val="24"/>
          <w:szCs w:val="24"/>
        </w:rPr>
        <w:t>2.2</w:t>
      </w:r>
      <w:r>
        <w:rPr>
          <w:rFonts w:hint="eastAsia" w:ascii="宋体" w:hAnsi="宋体" w:cs="宋体"/>
          <w:b/>
          <w:color w:val="auto"/>
          <w:sz w:val="24"/>
          <w:szCs w:val="24"/>
          <w:lang w:eastAsia="zh-CN"/>
        </w:rPr>
        <w:t>、</w:t>
      </w:r>
      <w:r>
        <w:rPr>
          <w:rFonts w:hint="eastAsia" w:ascii="宋体" w:hAnsi="宋体" w:cs="宋体"/>
          <w:b/>
          <w:color w:val="auto"/>
          <w:sz w:val="24"/>
          <w:szCs w:val="24"/>
        </w:rPr>
        <w:t>质保期：从验收合格之日起开始计算</w:t>
      </w:r>
      <w:r>
        <w:rPr>
          <w:rFonts w:hint="eastAsia" w:ascii="宋体" w:hAnsi="宋体" w:cs="宋体"/>
          <w:b/>
          <w:color w:val="auto"/>
          <w:sz w:val="24"/>
          <w:szCs w:val="24"/>
          <w:lang w:val="en-US" w:eastAsia="zh-CN"/>
        </w:rPr>
        <w:t>2</w:t>
      </w:r>
      <w:r>
        <w:rPr>
          <w:rFonts w:hint="eastAsia" w:ascii="宋体" w:hAnsi="宋体" w:cs="宋体"/>
          <w:b/>
          <w:color w:val="auto"/>
          <w:sz w:val="24"/>
          <w:szCs w:val="24"/>
        </w:rPr>
        <w:t>年</w:t>
      </w:r>
      <w:r>
        <w:rPr>
          <w:rFonts w:hint="eastAsia" w:ascii="宋体" w:hAnsi="宋体" w:cs="宋体"/>
          <w:color w:val="auto"/>
          <w:kern w:val="0"/>
          <w:sz w:val="24"/>
          <w:szCs w:val="24"/>
          <w:lang w:val="en-US" w:eastAsia="zh-CN" w:bidi="ar"/>
        </w:rPr>
        <w:t>。</w:t>
      </w:r>
    </w:p>
    <w:p>
      <w:pPr>
        <w:keepNext w:val="0"/>
        <w:keepLines w:val="0"/>
        <w:pageBreakBefore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3、实施地点：</w:t>
      </w:r>
      <w:r>
        <w:rPr>
          <w:rFonts w:hint="eastAsia" w:ascii="宋体" w:hAnsi="宋体" w:cs="宋体"/>
          <w:bCs/>
          <w:color w:val="auto"/>
          <w:sz w:val="24"/>
          <w:szCs w:val="24"/>
        </w:rPr>
        <w:t>采购人指定地点。</w:t>
      </w:r>
    </w:p>
    <w:p>
      <w:pPr>
        <w:keepNext w:val="0"/>
        <w:keepLines w:val="0"/>
        <w:pageBreakBefore w:val="0"/>
        <w:kinsoku/>
        <w:wordWrap/>
        <w:overflowPunct/>
        <w:topLinePunct w:val="0"/>
        <w:bidi w:val="0"/>
        <w:spacing w:line="440" w:lineRule="exact"/>
        <w:ind w:firstLine="482" w:firstLineChars="200"/>
        <w:textAlignment w:val="auto"/>
        <w:rPr>
          <w:rFonts w:ascii="宋体" w:hAnsi="宋体" w:cs="宋体"/>
          <w:color w:val="auto"/>
          <w:sz w:val="24"/>
          <w:szCs w:val="24"/>
        </w:rPr>
      </w:pPr>
      <w:r>
        <w:rPr>
          <w:rFonts w:hint="eastAsia" w:ascii="宋体" w:hAnsi="宋体" w:cs="宋体"/>
          <w:b/>
          <w:color w:val="auto"/>
          <w:sz w:val="24"/>
          <w:szCs w:val="24"/>
        </w:rPr>
        <w:t>4、</w:t>
      </w:r>
      <w:r>
        <w:rPr>
          <w:rFonts w:hint="eastAsia" w:ascii="宋体" w:hAnsi="宋体" w:cs="宋体"/>
          <w:b/>
          <w:color w:val="auto"/>
          <w:sz w:val="24"/>
          <w:szCs w:val="24"/>
          <w:lang w:eastAsia="zh-CN"/>
        </w:rPr>
        <w:t>供货期</w:t>
      </w:r>
      <w:r>
        <w:rPr>
          <w:rFonts w:hint="eastAsia" w:ascii="宋体" w:hAnsi="宋体" w:cs="宋体"/>
          <w:b/>
          <w:color w:val="auto"/>
          <w:sz w:val="24"/>
          <w:szCs w:val="24"/>
        </w:rPr>
        <w:t>：</w:t>
      </w:r>
      <w:r>
        <w:rPr>
          <w:rFonts w:hint="eastAsia" w:ascii="宋体" w:hAnsi="宋体" w:cs="宋体"/>
          <w:b/>
          <w:color w:val="auto"/>
          <w:sz w:val="24"/>
          <w:szCs w:val="24"/>
          <w:lang w:val="en-US" w:eastAsia="zh-CN"/>
        </w:rPr>
        <w:t>自合同签订之日起3</w:t>
      </w:r>
      <w:r>
        <w:rPr>
          <w:rFonts w:hint="eastAsia" w:ascii="宋体" w:hAnsi="宋体" w:cs="宋体"/>
          <w:b/>
          <w:color w:val="auto"/>
          <w:sz w:val="24"/>
          <w:szCs w:val="24"/>
        </w:rPr>
        <w:t>0个日历日</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4.1、成交供应商未征得采购人同意和谅解而单方面延迟</w:t>
      </w:r>
      <w:r>
        <w:rPr>
          <w:rFonts w:hint="eastAsia" w:ascii="宋体" w:hAnsi="宋体" w:cs="宋体"/>
          <w:color w:val="auto"/>
          <w:sz w:val="24"/>
          <w:szCs w:val="24"/>
          <w:lang w:eastAsia="zh-CN"/>
        </w:rPr>
        <w:t>供货期</w:t>
      </w:r>
      <w:r>
        <w:rPr>
          <w:rFonts w:hint="eastAsia" w:ascii="宋体" w:hAnsi="宋体" w:cs="宋体"/>
          <w:color w:val="auto"/>
          <w:sz w:val="24"/>
          <w:szCs w:val="24"/>
        </w:rPr>
        <w:t>限，将按违约终止合同。</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
          <w:color w:val="auto"/>
          <w:sz w:val="24"/>
          <w:szCs w:val="24"/>
        </w:rPr>
      </w:pPr>
      <w:r>
        <w:rPr>
          <w:rFonts w:hint="eastAsia" w:ascii="宋体" w:hAnsi="宋体" w:cs="宋体"/>
          <w:color w:val="auto"/>
          <w:sz w:val="24"/>
          <w:szCs w:val="24"/>
        </w:rPr>
        <w:t>4.2、</w:t>
      </w:r>
      <w:r>
        <w:rPr>
          <w:rFonts w:hint="eastAsia" w:ascii="宋体" w:hAnsi="宋体" w:cs="宋体"/>
          <w:color w:val="auto"/>
          <w:kern w:val="0"/>
          <w:sz w:val="24"/>
          <w:szCs w:val="24"/>
        </w:rPr>
        <w:t>成交</w:t>
      </w:r>
      <w:r>
        <w:rPr>
          <w:rFonts w:hint="eastAsia" w:ascii="宋体" w:hAnsi="宋体" w:cs="宋体"/>
          <w:color w:val="auto"/>
          <w:sz w:val="24"/>
          <w:szCs w:val="24"/>
        </w:rPr>
        <w:t>供应商遇到可能妨碍按时提供货物或服务的情况，应当及时以书面形式通知采购人，说明原由、拖延的期限等；采购人、采购代理机构在收到通知后，尽快进行情况评估并确定是否通过修改合同，酌情延长服务时间或者通过协商加收误期赔偿金。</w:t>
      </w:r>
    </w:p>
    <w:p>
      <w:pPr>
        <w:keepNext w:val="0"/>
        <w:keepLines w:val="0"/>
        <w:pageBreakBefore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5、合同价款：</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5.1、合同总价包括：</w:t>
      </w:r>
      <w:r>
        <w:rPr>
          <w:rFonts w:hint="eastAsia" w:ascii="宋体" w:hAnsi="宋体" w:cs="宋体"/>
          <w:color w:val="auto"/>
          <w:sz w:val="24"/>
          <w:szCs w:val="24"/>
          <w:lang w:val="zh-CN"/>
        </w:rPr>
        <w:t>货物总价、货物运达指定地点的运杂费（含运输费、保险费）、安装调试费、检测验收费、其他（含</w:t>
      </w:r>
      <w:r>
        <w:rPr>
          <w:rFonts w:hint="eastAsia" w:ascii="宋体" w:hAnsi="宋体" w:cs="宋体"/>
          <w:color w:val="auto"/>
          <w:sz w:val="24"/>
          <w:szCs w:val="24"/>
        </w:rPr>
        <w:t>人工费、</w:t>
      </w:r>
      <w:r>
        <w:rPr>
          <w:rFonts w:hint="eastAsia" w:ascii="宋体" w:hAnsi="宋体" w:cs="宋体"/>
          <w:color w:val="auto"/>
          <w:sz w:val="24"/>
          <w:szCs w:val="24"/>
          <w:lang w:val="zh-CN"/>
        </w:rPr>
        <w:t>向税务部门交纳的各项税费等）等至交付采购人使用的一切含税费用。</w:t>
      </w:r>
    </w:p>
    <w:p>
      <w:pPr>
        <w:keepNext w:val="0"/>
        <w:keepLines w:val="0"/>
        <w:pageBreakBefore w:val="0"/>
        <w:tabs>
          <w:tab w:val="left" w:pos="735"/>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5.2、本合同总价还包含供应商应当提供的伴随服务和售后服务费用。</w:t>
      </w:r>
    </w:p>
    <w:p>
      <w:pPr>
        <w:keepNext w:val="0"/>
        <w:keepLines w:val="0"/>
        <w:pageBreakBefore w:val="0"/>
        <w:tabs>
          <w:tab w:val="left" w:pos="735"/>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5.3、本合同执行期间合同总价不变，采购人无须另向供应商支付本合同约定合同总价之外的其他任何费用。</w:t>
      </w:r>
    </w:p>
    <w:p>
      <w:pPr>
        <w:keepNext w:val="0"/>
        <w:keepLines w:val="0"/>
        <w:pageBreakBefore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6、付款方式：</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6.1、产品交货、安装、调试完成，</w:t>
      </w:r>
      <w:r>
        <w:rPr>
          <w:rFonts w:hint="eastAsia" w:ascii="宋体" w:hAnsi="宋体" w:cs="宋体"/>
          <w:color w:val="auto"/>
          <w:sz w:val="24"/>
          <w:szCs w:val="24"/>
          <w:lang w:val="zh-CN"/>
        </w:rPr>
        <w:t>经相关专家验收合格后，支付合同总款的95%；</w:t>
      </w:r>
      <w:r>
        <w:rPr>
          <w:rFonts w:hint="eastAsia" w:ascii="宋体" w:hAnsi="宋体" w:cs="宋体"/>
          <w:color w:val="auto"/>
          <w:sz w:val="24"/>
          <w:szCs w:val="24"/>
        </w:rPr>
        <w:t>剩余合同总款的5%在验收合格</w:t>
      </w:r>
      <w:r>
        <w:rPr>
          <w:rFonts w:hint="eastAsia" w:ascii="宋体" w:hAnsi="宋体" w:cs="宋体"/>
          <w:color w:val="auto"/>
          <w:sz w:val="24"/>
          <w:szCs w:val="24"/>
          <w:lang w:val="en-US" w:eastAsia="zh-CN"/>
        </w:rPr>
        <w:t>两</w:t>
      </w:r>
      <w:r>
        <w:rPr>
          <w:rFonts w:hint="eastAsia" w:ascii="宋体" w:hAnsi="宋体" w:cs="宋体"/>
          <w:color w:val="auto"/>
          <w:sz w:val="24"/>
          <w:szCs w:val="24"/>
        </w:rPr>
        <w:t>年后无任何质量问题无争议索赔的情况下不计息一次付清。</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6.3、结算方式：采购人与成交供应商直接结算，发票直开采购人。</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6.4、支付方式：银行转账。</w:t>
      </w:r>
    </w:p>
    <w:p>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7、验收</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7.1、到货验收：货物到货后，由采购人与供应商共同进行验收，验收内容包括，外观、规格、数量等与合同要求的一致性。</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7.2、货物运行验收：供应商安装调试合格后，向采购人提出验收申请，采购人接到供应商验收申请后组织验收（必要时可聘请相应专家或委托相应部门验收），验收合格后，出具使用验收合格证明。</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7.3、最终验收：最终验收结果作为付款依据，供应商填写验收单，并向采购人提交实施过程中的所有资料，以便采购人日后管理和维护。</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7.4、质保期满后：由供应商出具质量报告，若存在质量问题，应按相应规定协商处理。</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7.5、验收依据：</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合同文本、合同附件、</w:t>
      </w:r>
      <w:r>
        <w:rPr>
          <w:rFonts w:hint="eastAsia" w:ascii="宋体" w:hAnsi="宋体" w:cs="宋体"/>
          <w:color w:val="auto"/>
          <w:sz w:val="24"/>
          <w:szCs w:val="24"/>
          <w:lang w:val="zh-CN"/>
        </w:rPr>
        <w:t>竞争性</w:t>
      </w:r>
      <w:r>
        <w:rPr>
          <w:rFonts w:hint="eastAsia" w:ascii="宋体" w:hAnsi="宋体" w:cs="宋体"/>
          <w:color w:val="auto"/>
          <w:sz w:val="24"/>
          <w:szCs w:val="24"/>
          <w:lang w:val="en-US" w:eastAsia="zh-CN"/>
        </w:rPr>
        <w:t>谈判</w:t>
      </w:r>
      <w:r>
        <w:rPr>
          <w:rFonts w:hint="eastAsia" w:ascii="宋体" w:hAnsi="宋体" w:cs="宋体"/>
          <w:color w:val="auto"/>
          <w:sz w:val="24"/>
          <w:szCs w:val="24"/>
          <w:lang w:val="zh-CN"/>
        </w:rPr>
        <w:t>文件</w:t>
      </w:r>
      <w:r>
        <w:rPr>
          <w:rFonts w:hint="eastAsia" w:ascii="宋体" w:hAnsi="宋体" w:cs="宋体"/>
          <w:color w:val="auto"/>
          <w:sz w:val="24"/>
          <w:szCs w:val="24"/>
        </w:rPr>
        <w:t>、</w:t>
      </w:r>
      <w:r>
        <w:rPr>
          <w:rFonts w:hint="eastAsia" w:ascii="宋体" w:hAnsi="宋体" w:cs="宋体"/>
          <w:color w:val="auto"/>
          <w:sz w:val="24"/>
          <w:szCs w:val="24"/>
          <w:lang w:val="zh-CN"/>
        </w:rPr>
        <w:t>竞争性</w:t>
      </w:r>
      <w:r>
        <w:rPr>
          <w:rFonts w:hint="eastAsia" w:ascii="宋体" w:hAnsi="宋体" w:cs="宋体"/>
          <w:color w:val="auto"/>
          <w:sz w:val="24"/>
          <w:szCs w:val="24"/>
          <w:lang w:val="en-US" w:eastAsia="zh-CN"/>
        </w:rPr>
        <w:t>谈判</w:t>
      </w:r>
      <w:r>
        <w:rPr>
          <w:rFonts w:hint="eastAsia" w:ascii="宋体" w:hAnsi="宋体" w:cs="宋体"/>
          <w:color w:val="auto"/>
          <w:sz w:val="24"/>
          <w:szCs w:val="24"/>
        </w:rPr>
        <w:t>响应文件。</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国内相应的标准、规范。</w:t>
      </w:r>
    </w:p>
    <w:p>
      <w:pPr>
        <w:keepNext w:val="0"/>
        <w:keepLines w:val="0"/>
        <w:pageBreakBefore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8.售后服务</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8.1</w:t>
      </w:r>
      <w:r>
        <w:rPr>
          <w:rFonts w:hint="eastAsia" w:ascii="宋体" w:hAnsi="宋体" w:cs="宋体"/>
          <w:bCs/>
          <w:color w:val="auto"/>
          <w:sz w:val="24"/>
          <w:szCs w:val="24"/>
          <w:lang w:eastAsia="zh-CN"/>
        </w:rPr>
        <w:t>、</w:t>
      </w:r>
      <w:r>
        <w:rPr>
          <w:rFonts w:hint="eastAsia" w:ascii="宋体" w:hAnsi="宋体" w:cs="宋体"/>
          <w:bCs/>
          <w:color w:val="auto"/>
          <w:sz w:val="24"/>
          <w:szCs w:val="24"/>
        </w:rPr>
        <w:t>供应商必须具有完善的售后服务体系，高水平的技术维修人员和良好的设备备件供应能力。</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8.2</w:t>
      </w:r>
      <w:r>
        <w:rPr>
          <w:rFonts w:hint="eastAsia" w:ascii="宋体" w:hAnsi="宋体" w:cs="宋体"/>
          <w:bCs/>
          <w:color w:val="auto"/>
          <w:sz w:val="24"/>
          <w:szCs w:val="24"/>
          <w:lang w:eastAsia="zh-CN"/>
        </w:rPr>
        <w:t>、</w:t>
      </w:r>
      <w:r>
        <w:rPr>
          <w:rFonts w:hint="eastAsia" w:ascii="宋体" w:hAnsi="宋体" w:cs="宋体"/>
          <w:bCs/>
          <w:color w:val="auto"/>
          <w:sz w:val="24"/>
          <w:szCs w:val="24"/>
        </w:rPr>
        <w:t>供应商同意该产品自安装、调试、验收合格并正常使用之日起免费保修</w:t>
      </w:r>
      <w:r>
        <w:rPr>
          <w:rFonts w:hint="eastAsia" w:ascii="宋体" w:hAnsi="宋体" w:cs="宋体"/>
          <w:bCs/>
          <w:color w:val="auto"/>
          <w:sz w:val="24"/>
          <w:szCs w:val="24"/>
          <w:lang w:eastAsia="zh-CN"/>
        </w:rPr>
        <w:t>，</w:t>
      </w:r>
      <w:r>
        <w:rPr>
          <w:rFonts w:hint="eastAsia" w:ascii="宋体" w:hAnsi="宋体" w:cs="宋体"/>
          <w:bCs/>
          <w:color w:val="auto"/>
          <w:sz w:val="24"/>
          <w:szCs w:val="24"/>
        </w:rPr>
        <w:t>在质保期内出现的任何质量问题，供应商保证在接到采购人维修通知之日起24小时内派专业维修人员赶赴现场（即采购人指定地点）进行维修。</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8.3</w:t>
      </w:r>
      <w:r>
        <w:rPr>
          <w:rFonts w:hint="eastAsia" w:ascii="宋体" w:hAnsi="宋体" w:cs="宋体"/>
          <w:bCs/>
          <w:color w:val="auto"/>
          <w:sz w:val="24"/>
          <w:szCs w:val="24"/>
          <w:lang w:eastAsia="zh-CN"/>
        </w:rPr>
        <w:t>、</w:t>
      </w:r>
      <w:r>
        <w:rPr>
          <w:rFonts w:hint="eastAsia" w:ascii="宋体" w:hAnsi="宋体" w:cs="宋体"/>
          <w:bCs/>
          <w:color w:val="auto"/>
          <w:sz w:val="24"/>
          <w:szCs w:val="24"/>
        </w:rPr>
        <w:t xml:space="preserve">故障响应时间 </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提供7*24小时的故障服务受理，若出现设备或系统故障，接通知后即响应，应保证12小时内到达用户现场进行维修，一般故障2小时内修复，重大故障24小时内修复；若约定的时间内不能排除故障，则货物的质保期自然顺延。</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8.4</w:t>
      </w:r>
      <w:r>
        <w:rPr>
          <w:rFonts w:hint="eastAsia" w:ascii="宋体" w:hAnsi="宋体" w:cs="宋体"/>
          <w:bCs/>
          <w:color w:val="auto"/>
          <w:sz w:val="24"/>
          <w:szCs w:val="24"/>
          <w:lang w:eastAsia="zh-CN"/>
        </w:rPr>
        <w:t>、</w:t>
      </w:r>
      <w:r>
        <w:rPr>
          <w:rFonts w:hint="eastAsia" w:ascii="宋体" w:hAnsi="宋体" w:cs="宋体"/>
          <w:bCs/>
          <w:color w:val="auto"/>
          <w:sz w:val="24"/>
          <w:szCs w:val="24"/>
        </w:rPr>
        <w:t>质保期内，如经过两次维修后仍达不到此标准，供应商应负责调换部分或整个产品设备，质保期作相应延长，并承担自产品出现故障之日起至产品再次正常运行使用之日期间给采购人造成的所有经济损失。若更换后产品还达不到此标准，供应商应无条件退货，并承担给采购人造成的所有经济损失。</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8.5</w:t>
      </w:r>
      <w:r>
        <w:rPr>
          <w:rFonts w:hint="eastAsia" w:ascii="宋体" w:hAnsi="宋体" w:cs="宋体"/>
          <w:bCs/>
          <w:color w:val="auto"/>
          <w:sz w:val="24"/>
          <w:szCs w:val="24"/>
          <w:lang w:eastAsia="zh-CN"/>
        </w:rPr>
        <w:t>、</w:t>
      </w:r>
      <w:r>
        <w:rPr>
          <w:rFonts w:hint="eastAsia" w:ascii="宋体" w:hAnsi="宋体" w:cs="宋体"/>
          <w:bCs/>
          <w:color w:val="auto"/>
          <w:sz w:val="24"/>
          <w:szCs w:val="24"/>
        </w:rPr>
        <w:t>质保期内，维修费用、供应商维修人员的差旅费及其他相关费用均由供应商承担。</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8.6</w:t>
      </w:r>
      <w:r>
        <w:rPr>
          <w:rFonts w:hint="eastAsia" w:ascii="宋体" w:hAnsi="宋体" w:cs="宋体"/>
          <w:bCs/>
          <w:color w:val="auto"/>
          <w:sz w:val="24"/>
          <w:szCs w:val="24"/>
          <w:lang w:eastAsia="zh-CN"/>
        </w:rPr>
        <w:t>、</w:t>
      </w:r>
      <w:r>
        <w:rPr>
          <w:rFonts w:hint="eastAsia" w:ascii="宋体" w:hAnsi="宋体" w:cs="宋体"/>
          <w:bCs/>
          <w:color w:val="auto"/>
          <w:sz w:val="24"/>
          <w:szCs w:val="24"/>
        </w:rPr>
        <w:t>质保期满后，供应商负责终身优质服务，检修更换的产品配置零件按标准报价的优惠价向采购人提供，免人工费、差旅费及工时费，只收取更换的零配件成本费。</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8.7</w:t>
      </w:r>
      <w:r>
        <w:rPr>
          <w:rFonts w:hint="eastAsia" w:ascii="宋体" w:hAnsi="宋体" w:cs="宋体"/>
          <w:bCs/>
          <w:color w:val="auto"/>
          <w:sz w:val="24"/>
          <w:szCs w:val="24"/>
          <w:lang w:eastAsia="zh-CN"/>
        </w:rPr>
        <w:t>、</w:t>
      </w:r>
      <w:r>
        <w:rPr>
          <w:rFonts w:hint="eastAsia" w:ascii="宋体" w:hAnsi="宋体" w:cs="宋体"/>
          <w:bCs/>
          <w:color w:val="auto"/>
          <w:sz w:val="24"/>
          <w:szCs w:val="24"/>
        </w:rPr>
        <w:t>如因产品本身的隐蔽瑕疵而出现的质量问题，供应商应全面负责维修调试或更新更换并承担全部费用。</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8.8</w:t>
      </w:r>
      <w:r>
        <w:rPr>
          <w:rFonts w:hint="eastAsia" w:ascii="宋体" w:hAnsi="宋体" w:cs="宋体"/>
          <w:bCs/>
          <w:color w:val="auto"/>
          <w:sz w:val="24"/>
          <w:szCs w:val="24"/>
          <w:lang w:eastAsia="zh-CN"/>
        </w:rPr>
        <w:t>、</w:t>
      </w:r>
      <w:r>
        <w:rPr>
          <w:rFonts w:hint="eastAsia" w:ascii="宋体" w:hAnsi="宋体" w:cs="宋体"/>
          <w:bCs/>
          <w:color w:val="auto"/>
          <w:sz w:val="24"/>
          <w:szCs w:val="24"/>
        </w:rPr>
        <w:t>供应商必须严格依据合同约定及竞争性谈判响应文件中的售后服务承诺履行售后服务义务。</w:t>
      </w:r>
    </w:p>
    <w:p>
      <w:pPr>
        <w:keepNext w:val="0"/>
        <w:keepLines w:val="0"/>
        <w:pageBreakBefore w:val="0"/>
        <w:widowControl/>
        <w:kinsoku/>
        <w:wordWrap/>
        <w:overflowPunct/>
        <w:topLinePunct w:val="0"/>
        <w:bidi w:val="0"/>
        <w:adjustRightInd w:val="0"/>
        <w:snapToGrid w:val="0"/>
        <w:spacing w:line="440" w:lineRule="exact"/>
        <w:ind w:firstLine="482" w:firstLineChars="200"/>
        <w:jc w:val="left"/>
        <w:textAlignment w:val="auto"/>
        <w:rPr>
          <w:rFonts w:ascii="宋体" w:hAnsi="宋体" w:cs="宋体"/>
          <w:b/>
          <w:color w:val="auto"/>
          <w:sz w:val="24"/>
          <w:szCs w:val="24"/>
        </w:rPr>
      </w:pPr>
      <w:r>
        <w:rPr>
          <w:rFonts w:hint="eastAsia" w:ascii="宋体" w:hAnsi="宋体" w:cs="宋体"/>
          <w:b/>
          <w:color w:val="auto"/>
          <w:sz w:val="24"/>
          <w:szCs w:val="24"/>
        </w:rPr>
        <w:t>9</w:t>
      </w:r>
      <w:r>
        <w:rPr>
          <w:rFonts w:hint="eastAsia" w:ascii="宋体" w:hAnsi="宋体" w:cs="宋体"/>
          <w:b/>
          <w:color w:val="auto"/>
          <w:sz w:val="24"/>
          <w:szCs w:val="24"/>
          <w:lang w:eastAsia="zh-CN"/>
        </w:rPr>
        <w:t>、</w:t>
      </w:r>
      <w:r>
        <w:rPr>
          <w:rFonts w:hint="eastAsia" w:ascii="宋体" w:hAnsi="宋体" w:cs="宋体"/>
          <w:b/>
          <w:color w:val="auto"/>
          <w:sz w:val="24"/>
          <w:szCs w:val="24"/>
        </w:rPr>
        <w:t>安装调试及技术服务要求</w:t>
      </w:r>
    </w:p>
    <w:p>
      <w:pPr>
        <w:keepNext w:val="0"/>
        <w:keepLines w:val="0"/>
        <w:pageBreakBefore w:val="0"/>
        <w:widowControl/>
        <w:kinsoku/>
        <w:wordWrap/>
        <w:overflowPunct/>
        <w:topLinePunct w:val="0"/>
        <w:bidi w:val="0"/>
        <w:adjustRightInd w:val="0"/>
        <w:snapToGrid w:val="0"/>
        <w:spacing w:line="440" w:lineRule="exact"/>
        <w:ind w:firstLine="482" w:firstLineChars="200"/>
        <w:jc w:val="left"/>
        <w:textAlignment w:val="auto"/>
        <w:rPr>
          <w:rFonts w:ascii="宋体" w:hAnsi="宋体" w:cs="宋体"/>
          <w:b/>
          <w:color w:val="auto"/>
          <w:kern w:val="0"/>
          <w:sz w:val="24"/>
          <w:szCs w:val="24"/>
        </w:rPr>
      </w:pPr>
      <w:r>
        <w:rPr>
          <w:rFonts w:hint="eastAsia" w:ascii="宋体" w:hAnsi="宋体" w:cs="宋体"/>
          <w:b/>
          <w:color w:val="auto"/>
          <w:sz w:val="24"/>
          <w:szCs w:val="24"/>
        </w:rPr>
        <w:t>9</w:t>
      </w:r>
      <w:r>
        <w:rPr>
          <w:rFonts w:hint="eastAsia" w:ascii="宋体" w:hAnsi="宋体" w:cs="宋体"/>
          <w:b/>
          <w:color w:val="auto"/>
          <w:kern w:val="0"/>
          <w:sz w:val="24"/>
          <w:szCs w:val="24"/>
        </w:rPr>
        <w:t>.1</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rPr>
        <w:t>供货要求</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color w:val="auto"/>
          <w:kern w:val="0"/>
          <w:sz w:val="24"/>
          <w:szCs w:val="24"/>
          <w:lang w:val="ru-RU"/>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color w:val="auto"/>
          <w:kern w:val="0"/>
          <w:sz w:val="24"/>
          <w:szCs w:val="24"/>
        </w:rPr>
        <w:t>供应商提供的产品应根据国家现行相关标准、</w:t>
      </w:r>
      <w:r>
        <w:rPr>
          <w:rFonts w:hint="eastAsia" w:ascii="宋体" w:hAnsi="宋体" w:cs="宋体"/>
          <w:color w:val="auto"/>
          <w:kern w:val="0"/>
          <w:sz w:val="24"/>
          <w:szCs w:val="24"/>
          <w:lang w:val="ru-RU"/>
        </w:rPr>
        <w:t>规范和本采购文件、</w:t>
      </w:r>
      <w:r>
        <w:rPr>
          <w:rFonts w:hint="eastAsia" w:ascii="宋体" w:hAnsi="宋体" w:cs="宋体"/>
          <w:color w:val="auto"/>
          <w:kern w:val="0"/>
          <w:sz w:val="24"/>
          <w:szCs w:val="24"/>
          <w:lang w:val="ru-RU" w:eastAsia="ru-RU"/>
        </w:rPr>
        <w:t>采购人要求</w:t>
      </w:r>
      <w:r>
        <w:rPr>
          <w:rFonts w:hint="eastAsia" w:ascii="宋体" w:hAnsi="宋体" w:cs="宋体"/>
          <w:color w:val="auto"/>
          <w:kern w:val="0"/>
          <w:sz w:val="24"/>
          <w:szCs w:val="24"/>
          <w:lang w:val="ru-RU"/>
        </w:rPr>
        <w:t>进行</w:t>
      </w:r>
      <w:r>
        <w:rPr>
          <w:rFonts w:hint="eastAsia" w:ascii="宋体" w:hAnsi="宋体" w:cs="宋体"/>
          <w:color w:val="auto"/>
          <w:kern w:val="0"/>
          <w:sz w:val="24"/>
          <w:szCs w:val="24"/>
          <w:lang w:val="ru-RU" w:eastAsia="ru-RU"/>
        </w:rPr>
        <w:t>设计</w:t>
      </w:r>
      <w:r>
        <w:rPr>
          <w:rFonts w:hint="eastAsia" w:ascii="宋体" w:hAnsi="宋体" w:cs="宋体"/>
          <w:color w:val="auto"/>
          <w:kern w:val="0"/>
          <w:sz w:val="24"/>
          <w:szCs w:val="24"/>
          <w:lang w:val="ru-RU"/>
        </w:rPr>
        <w:t>和制</w:t>
      </w:r>
      <w:r>
        <w:rPr>
          <w:rFonts w:hint="eastAsia" w:ascii="宋体" w:hAnsi="宋体" w:cs="宋体"/>
          <w:color w:val="auto"/>
          <w:kern w:val="0"/>
          <w:sz w:val="24"/>
          <w:szCs w:val="24"/>
        </w:rPr>
        <w:t>造，所有主要部件必须至少达到国内先进水平，结构合理、可靠性高、能耗低、运行噪音低、无污染，操作保养和维护简便。</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color w:val="auto"/>
          <w:kern w:val="0"/>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color w:val="auto"/>
          <w:kern w:val="0"/>
          <w:sz w:val="24"/>
          <w:szCs w:val="24"/>
        </w:rPr>
        <w:t>供应商须在响应文件中提供详细构造图、设备样本和使用操作说明书。</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color w:val="auto"/>
          <w:kern w:val="0"/>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color w:val="auto"/>
          <w:kern w:val="0"/>
          <w:sz w:val="24"/>
          <w:szCs w:val="24"/>
        </w:rPr>
        <w:t>成交供应商必须按采购人认可的设计方案和材料进行供货。</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color w:val="auto"/>
          <w:kern w:val="0"/>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lang w:eastAsia="zh-CN"/>
        </w:rPr>
        <w:t>）</w:t>
      </w:r>
      <w:r>
        <w:rPr>
          <w:rFonts w:hint="eastAsia" w:ascii="宋体" w:hAnsi="宋体" w:cs="宋体"/>
          <w:color w:val="auto"/>
          <w:kern w:val="0"/>
          <w:sz w:val="24"/>
          <w:szCs w:val="24"/>
        </w:rPr>
        <w:t>供应商必须按采购方的要求和认可，承担设备的安装和调试及试运行直至验收合格交付使用。</w:t>
      </w:r>
    </w:p>
    <w:p>
      <w:pPr>
        <w:keepNext w:val="0"/>
        <w:keepLines w:val="0"/>
        <w:pageBreakBefore w:val="0"/>
        <w:widowControl/>
        <w:kinsoku/>
        <w:wordWrap/>
        <w:overflowPunct/>
        <w:topLinePunct w:val="0"/>
        <w:bidi w:val="0"/>
        <w:adjustRightInd w:val="0"/>
        <w:snapToGrid w:val="0"/>
        <w:spacing w:line="440" w:lineRule="exact"/>
        <w:ind w:firstLine="482" w:firstLineChars="200"/>
        <w:jc w:val="left"/>
        <w:textAlignment w:val="auto"/>
        <w:rPr>
          <w:rFonts w:ascii="宋体" w:hAnsi="宋体" w:cs="宋体"/>
          <w:b/>
          <w:bCs/>
          <w:color w:val="auto"/>
          <w:sz w:val="24"/>
          <w:szCs w:val="24"/>
        </w:rPr>
      </w:pPr>
      <w:r>
        <w:rPr>
          <w:rFonts w:hint="eastAsia" w:ascii="宋体" w:hAnsi="宋体" w:cs="宋体"/>
          <w:b/>
          <w:color w:val="auto"/>
          <w:sz w:val="24"/>
          <w:szCs w:val="24"/>
        </w:rPr>
        <w:t>9.2</w:t>
      </w:r>
      <w:r>
        <w:rPr>
          <w:rFonts w:hint="eastAsia" w:ascii="宋体" w:hAnsi="宋体" w:cs="宋体"/>
          <w:b/>
          <w:color w:val="auto"/>
          <w:sz w:val="24"/>
          <w:szCs w:val="24"/>
          <w:lang w:eastAsia="zh-CN"/>
        </w:rPr>
        <w:t>、</w:t>
      </w:r>
      <w:r>
        <w:rPr>
          <w:rFonts w:hint="eastAsia" w:ascii="宋体" w:hAnsi="宋体" w:cs="宋体"/>
          <w:b/>
          <w:bCs/>
          <w:color w:val="auto"/>
          <w:sz w:val="24"/>
          <w:szCs w:val="24"/>
        </w:rPr>
        <w:t>安装调试与试运行</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color w:val="auto"/>
          <w:kern w:val="0"/>
          <w:sz w:val="24"/>
          <w:szCs w:val="24"/>
        </w:rPr>
        <w:t>产品</w:t>
      </w:r>
      <w:r>
        <w:rPr>
          <w:rFonts w:hint="eastAsia" w:ascii="宋体" w:hAnsi="宋体" w:cs="宋体"/>
          <w:bCs/>
          <w:color w:val="auto"/>
          <w:sz w:val="24"/>
          <w:szCs w:val="24"/>
        </w:rPr>
        <w:t>到达采购人现场后，按照在采购人确定的时间在采购人所在地现场免费进行开箱查验。</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bCs/>
          <w:color w:val="auto"/>
          <w:sz w:val="24"/>
          <w:szCs w:val="24"/>
        </w:rPr>
        <w:t>未经采购人书面同意供应商不得将设备委托其他非专业方进行安装。</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bCs/>
          <w:color w:val="auto"/>
          <w:sz w:val="24"/>
          <w:szCs w:val="24"/>
        </w:rPr>
        <w:t>供应商应派具有相应资格的工程师到现场负责安装和调试，以检测设备的运行效果等，直至调试合格设备正常运行，</w:t>
      </w:r>
      <w:r>
        <w:rPr>
          <w:rFonts w:hint="eastAsia" w:ascii="宋体" w:hAnsi="宋体" w:cs="宋体"/>
          <w:bCs/>
          <w:color w:val="auto"/>
          <w:kern w:val="0"/>
          <w:sz w:val="24"/>
          <w:szCs w:val="24"/>
          <w:lang w:val="ru-RU" w:eastAsia="ru-RU"/>
        </w:rPr>
        <w:t>安装人员</w:t>
      </w:r>
      <w:r>
        <w:rPr>
          <w:rFonts w:hint="eastAsia" w:ascii="宋体" w:hAnsi="宋体" w:cs="宋体"/>
          <w:bCs/>
          <w:color w:val="auto"/>
          <w:kern w:val="0"/>
          <w:sz w:val="24"/>
          <w:szCs w:val="24"/>
          <w:lang w:val="ru-RU"/>
        </w:rPr>
        <w:t>须</w:t>
      </w:r>
      <w:r>
        <w:rPr>
          <w:rFonts w:hint="eastAsia" w:ascii="宋体" w:hAnsi="宋体" w:cs="宋体"/>
          <w:bCs/>
          <w:color w:val="auto"/>
          <w:kern w:val="0"/>
          <w:sz w:val="24"/>
          <w:szCs w:val="24"/>
          <w:lang w:val="ru-RU" w:eastAsia="ru-RU"/>
        </w:rPr>
        <w:t>持有有效上岗证</w:t>
      </w:r>
      <w:r>
        <w:rPr>
          <w:rFonts w:hint="eastAsia" w:ascii="宋体" w:hAnsi="宋体" w:cs="宋体"/>
          <w:bCs/>
          <w:color w:val="auto"/>
          <w:sz w:val="24"/>
          <w:szCs w:val="24"/>
        </w:rPr>
        <w:t>，相关费用由成交供应商负担，费用计入谈判总价，可不单独列支。</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lang w:eastAsia="zh-CN"/>
        </w:rPr>
        <w:t>）</w:t>
      </w:r>
      <w:r>
        <w:rPr>
          <w:rFonts w:hint="eastAsia" w:ascii="宋体" w:hAnsi="宋体" w:cs="宋体"/>
          <w:bCs/>
          <w:color w:val="auto"/>
          <w:sz w:val="24"/>
          <w:szCs w:val="24"/>
        </w:rPr>
        <w:t>供应商须对安装、调试、记录、试运行等负责，直至取得采购人确认合格的验收报告单，检、试、验收费用包括在总价中。</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lang w:eastAsia="zh-CN"/>
        </w:rPr>
        <w:t>）</w:t>
      </w:r>
      <w:r>
        <w:rPr>
          <w:rFonts w:hint="eastAsia" w:ascii="宋体" w:hAnsi="宋体" w:cs="宋体"/>
          <w:bCs/>
          <w:color w:val="auto"/>
          <w:sz w:val="24"/>
          <w:szCs w:val="24"/>
        </w:rPr>
        <w:t>在开始安装以前，成交供应商必须按采购人提供的资料和要求提交安装作业计划和要求，且须经采购方的同意和认可。</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6</w:t>
      </w:r>
      <w:r>
        <w:rPr>
          <w:rFonts w:hint="eastAsia" w:ascii="宋体" w:hAnsi="宋体" w:cs="宋体"/>
          <w:bCs/>
          <w:color w:val="auto"/>
          <w:sz w:val="24"/>
          <w:szCs w:val="24"/>
          <w:lang w:eastAsia="zh-CN"/>
        </w:rPr>
        <w:t>）</w:t>
      </w:r>
      <w:r>
        <w:rPr>
          <w:rFonts w:hint="eastAsia" w:ascii="宋体" w:hAnsi="宋体" w:cs="宋体"/>
          <w:bCs/>
          <w:color w:val="auto"/>
          <w:sz w:val="24"/>
          <w:szCs w:val="24"/>
        </w:rPr>
        <w:t>成交供应商应在采购人代表的监督下，现场对产品进行安装和调试，以确保产品的正常使用。</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7</w:t>
      </w:r>
      <w:r>
        <w:rPr>
          <w:rFonts w:hint="eastAsia" w:ascii="宋体" w:hAnsi="宋体" w:cs="宋体"/>
          <w:bCs/>
          <w:color w:val="auto"/>
          <w:sz w:val="24"/>
          <w:szCs w:val="24"/>
          <w:lang w:eastAsia="zh-CN"/>
        </w:rPr>
        <w:t>）</w:t>
      </w:r>
      <w:r>
        <w:rPr>
          <w:rFonts w:hint="eastAsia" w:ascii="宋体" w:hAnsi="宋体" w:cs="宋体"/>
          <w:bCs/>
          <w:color w:val="auto"/>
          <w:sz w:val="24"/>
          <w:szCs w:val="24"/>
        </w:rPr>
        <w:t>安装施工期间中标方人员的食宿由成交供应商负责，采购人尽可能为成交供应商提供方便。</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8</w:t>
      </w:r>
      <w:r>
        <w:rPr>
          <w:rFonts w:hint="eastAsia" w:ascii="宋体" w:hAnsi="宋体" w:cs="宋体"/>
          <w:bCs/>
          <w:color w:val="auto"/>
          <w:sz w:val="24"/>
          <w:szCs w:val="24"/>
          <w:lang w:eastAsia="zh-CN"/>
        </w:rPr>
        <w:t>）</w:t>
      </w:r>
      <w:r>
        <w:rPr>
          <w:rFonts w:hint="eastAsia" w:ascii="宋体" w:hAnsi="宋体" w:cs="宋体"/>
          <w:bCs/>
          <w:color w:val="auto"/>
          <w:sz w:val="24"/>
          <w:szCs w:val="24"/>
        </w:rPr>
        <w:t>在安装期间要注意成品保护，安装期间因供应商或场地的原因造成对采购人建筑物、构筑物、环保、绿化等破坏由成交供应商负责修复和赔偿。</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9</w:t>
      </w:r>
      <w:r>
        <w:rPr>
          <w:rFonts w:hint="eastAsia" w:ascii="宋体" w:hAnsi="宋体" w:cs="宋体"/>
          <w:bCs/>
          <w:color w:val="auto"/>
          <w:sz w:val="24"/>
          <w:szCs w:val="24"/>
          <w:lang w:eastAsia="zh-CN"/>
        </w:rPr>
        <w:t>）</w:t>
      </w:r>
      <w:r>
        <w:rPr>
          <w:rFonts w:hint="eastAsia" w:ascii="宋体" w:hAnsi="宋体" w:cs="宋体"/>
          <w:bCs/>
          <w:color w:val="auto"/>
          <w:sz w:val="24"/>
          <w:szCs w:val="24"/>
        </w:rPr>
        <w:t>如果因成交供应商的原因发生的人身伤害等责任事故，一切责任由成交供应商负责。</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lang w:eastAsia="zh-CN"/>
        </w:rPr>
        <w:t>）</w:t>
      </w:r>
      <w:r>
        <w:rPr>
          <w:rFonts w:hint="eastAsia" w:ascii="宋体" w:hAnsi="宋体" w:cs="宋体"/>
          <w:bCs/>
          <w:color w:val="auto"/>
          <w:sz w:val="24"/>
          <w:szCs w:val="24"/>
        </w:rPr>
        <w:t>在货物安装过程中如发生货物质量问题，成交供应商应派人员免费提供现场更换或维修服务，由此发生的费用由成交供应商承担。</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lang w:eastAsia="zh-CN"/>
        </w:rPr>
        <w:t>）</w:t>
      </w:r>
      <w:r>
        <w:rPr>
          <w:rFonts w:hint="eastAsia" w:ascii="宋体" w:hAnsi="宋体" w:cs="宋体"/>
          <w:bCs/>
          <w:color w:val="auto"/>
          <w:sz w:val="24"/>
          <w:szCs w:val="24"/>
        </w:rPr>
        <w:t>由成交供应商提供货物安装、调试所需要的工具、仪器、材料以及劳务人员。所有不需要特殊装修并且是暴露的钢制件应在表面进行除锈防腐处理。</w:t>
      </w:r>
    </w:p>
    <w:p>
      <w:pPr>
        <w:keepNext w:val="0"/>
        <w:keepLines w:val="0"/>
        <w:pageBreakBefore w:val="0"/>
        <w:widowControl/>
        <w:kinsoku/>
        <w:wordWrap/>
        <w:overflowPunct/>
        <w:topLinePunct w:val="0"/>
        <w:bidi w:val="0"/>
        <w:adjustRightInd w:val="0"/>
        <w:snapToGrid w:val="0"/>
        <w:spacing w:line="440" w:lineRule="exact"/>
        <w:ind w:firstLine="482" w:firstLineChars="200"/>
        <w:jc w:val="left"/>
        <w:textAlignment w:val="auto"/>
        <w:outlineLvl w:val="2"/>
        <w:rPr>
          <w:rFonts w:ascii="宋体" w:hAnsi="宋体" w:cs="宋体"/>
          <w:b/>
          <w:color w:val="auto"/>
          <w:sz w:val="24"/>
          <w:szCs w:val="24"/>
        </w:rPr>
      </w:pPr>
      <w:r>
        <w:rPr>
          <w:rFonts w:hint="eastAsia" w:ascii="宋体" w:hAnsi="宋体" w:cs="宋体"/>
          <w:b/>
          <w:color w:val="auto"/>
          <w:sz w:val="24"/>
          <w:szCs w:val="24"/>
        </w:rPr>
        <w:t>9.3</w:t>
      </w:r>
      <w:r>
        <w:rPr>
          <w:rFonts w:hint="eastAsia" w:ascii="宋体" w:hAnsi="宋体" w:cs="宋体"/>
          <w:b/>
          <w:color w:val="auto"/>
          <w:sz w:val="24"/>
          <w:szCs w:val="24"/>
          <w:lang w:eastAsia="zh-CN"/>
        </w:rPr>
        <w:t>、</w:t>
      </w:r>
      <w:r>
        <w:rPr>
          <w:rFonts w:hint="eastAsia" w:ascii="宋体" w:hAnsi="宋体" w:cs="宋体"/>
          <w:b/>
          <w:color w:val="auto"/>
          <w:sz w:val="24"/>
          <w:szCs w:val="24"/>
        </w:rPr>
        <w:t>培训</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bCs/>
          <w:color w:val="auto"/>
          <w:sz w:val="24"/>
          <w:szCs w:val="24"/>
        </w:rPr>
        <w:t>成交供应商负责就货物的调试使用和设备操作，免费培训采购人的操作人员，采购人受训人员的培训费用由成交供应商承担，包含在谈判报价中。供应商应在响应文件中提供详细的培训计划（包括培训内容、培训时间等）。</w:t>
      </w:r>
      <w:r>
        <w:rPr>
          <w:rFonts w:hint="eastAsia" w:ascii="宋体" w:hAnsi="宋体" w:cs="宋体"/>
          <w:color w:val="auto"/>
          <w:kern w:val="0"/>
          <w:sz w:val="24"/>
          <w:szCs w:val="24"/>
        </w:rPr>
        <w:t>在响应文件中列出推荐的培训计划（培训时间及人员根据需要确定）。</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bCs/>
          <w:color w:val="auto"/>
          <w:sz w:val="24"/>
          <w:szCs w:val="24"/>
        </w:rPr>
        <w:t>成交供应商应安排具有同类产品维修经验3年及以上的人员负责培训。</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bCs/>
          <w:color w:val="auto"/>
          <w:sz w:val="24"/>
          <w:szCs w:val="24"/>
        </w:rPr>
        <w:t>对操作人员的培训内容至少应包括操作和故障应急措施。</w:t>
      </w:r>
    </w:p>
    <w:p>
      <w:pPr>
        <w:keepNext w:val="0"/>
        <w:keepLines w:val="0"/>
        <w:pageBreakBefore w:val="0"/>
        <w:widowControl/>
        <w:kinsoku/>
        <w:wordWrap/>
        <w:overflowPunct/>
        <w:topLinePunct w:val="0"/>
        <w:bidi w:val="0"/>
        <w:adjustRightInd w:val="0"/>
        <w:snapToGrid w:val="0"/>
        <w:spacing w:line="440" w:lineRule="exact"/>
        <w:ind w:firstLine="482" w:firstLineChars="200"/>
        <w:jc w:val="left"/>
        <w:textAlignment w:val="auto"/>
        <w:rPr>
          <w:rFonts w:ascii="宋体" w:hAnsi="宋体" w:cs="宋体"/>
          <w:color w:val="auto"/>
          <w:sz w:val="24"/>
          <w:szCs w:val="24"/>
        </w:rPr>
      </w:pPr>
      <w:r>
        <w:rPr>
          <w:rFonts w:hint="eastAsia" w:ascii="宋体" w:hAnsi="宋体" w:cs="宋体"/>
          <w:b/>
          <w:color w:val="auto"/>
          <w:sz w:val="24"/>
          <w:szCs w:val="24"/>
        </w:rPr>
        <w:t>10</w:t>
      </w:r>
      <w:r>
        <w:rPr>
          <w:rFonts w:hint="eastAsia" w:ascii="宋体" w:hAnsi="宋体" w:cs="宋体"/>
          <w:b/>
          <w:color w:val="auto"/>
          <w:sz w:val="24"/>
          <w:szCs w:val="24"/>
          <w:lang w:eastAsia="zh-CN"/>
        </w:rPr>
        <w:t>、</w:t>
      </w:r>
      <w:r>
        <w:rPr>
          <w:rFonts w:hint="eastAsia" w:ascii="宋体" w:hAnsi="宋体" w:cs="宋体"/>
          <w:b/>
          <w:color w:val="auto"/>
          <w:sz w:val="24"/>
          <w:szCs w:val="24"/>
        </w:rPr>
        <w:t>违约责任</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10.1</w:t>
      </w:r>
      <w:r>
        <w:rPr>
          <w:rFonts w:hint="eastAsia" w:ascii="宋体" w:hAnsi="宋体" w:cs="宋体"/>
          <w:bCs/>
          <w:color w:val="auto"/>
          <w:sz w:val="24"/>
          <w:szCs w:val="24"/>
          <w:lang w:eastAsia="zh-CN"/>
        </w:rPr>
        <w:t>、</w:t>
      </w:r>
      <w:r>
        <w:rPr>
          <w:rFonts w:hint="eastAsia" w:ascii="宋体" w:hAnsi="宋体" w:cs="宋体"/>
          <w:bCs/>
          <w:color w:val="auto"/>
          <w:sz w:val="24"/>
          <w:szCs w:val="24"/>
        </w:rPr>
        <w:t>按《中华人民共和国民法典》中的相关条款执行。</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10.2</w:t>
      </w:r>
      <w:r>
        <w:rPr>
          <w:rFonts w:hint="eastAsia" w:ascii="宋体" w:hAnsi="宋体" w:cs="宋体"/>
          <w:bCs/>
          <w:color w:val="auto"/>
          <w:sz w:val="24"/>
          <w:szCs w:val="24"/>
          <w:lang w:eastAsia="zh-CN"/>
        </w:rPr>
        <w:t>、</w:t>
      </w:r>
      <w:r>
        <w:rPr>
          <w:rFonts w:hint="eastAsia" w:ascii="宋体" w:hAnsi="宋体" w:cs="宋体"/>
          <w:bCs/>
          <w:color w:val="auto"/>
          <w:sz w:val="24"/>
          <w:szCs w:val="24"/>
        </w:rPr>
        <w:t>未按合同及谈判文件要求提供产品、服务或产品质量不能满足合同要求，采购人有权依据《民法典》有关条款及合同约定解除合同，合同自书面解除通知到达供应商之日起解除，并按以下两种方式追究供应商违约责任：</w:t>
      </w:r>
    </w:p>
    <w:p>
      <w:pPr>
        <w:keepNext w:val="0"/>
        <w:keepLines w:val="0"/>
        <w:pageBreakBefore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bCs/>
          <w:color w:val="auto"/>
          <w:sz w:val="24"/>
          <w:szCs w:val="24"/>
        </w:rPr>
        <w:t>供应商赔偿采购人解除合同的全部损失（包括但不限于重新采购产生的费用）；</w:t>
      </w:r>
    </w:p>
    <w:p>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bCs/>
          <w:color w:val="auto"/>
          <w:sz w:val="24"/>
          <w:szCs w:val="24"/>
        </w:rPr>
        <w:t>供应商支付采购人违约金，违约金计算方法：供应商支付采购人5万元违约金。</w:t>
      </w: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rPr>
      </w:pPr>
    </w:p>
    <w:p>
      <w:pPr>
        <w:pStyle w:val="2"/>
        <w:rPr>
          <w:rFonts w:hint="eastAsia" w:ascii="宋体" w:hAnsi="宋体" w:cs="宋体"/>
          <w:bCs/>
          <w:color w:val="auto"/>
          <w:sz w:val="24"/>
          <w:szCs w:val="24"/>
          <w:lang w:val="zh-CN"/>
        </w:rPr>
      </w:pPr>
    </w:p>
    <w:p>
      <w:pPr>
        <w:pStyle w:val="3"/>
        <w:keepLines w:val="0"/>
        <w:pageBreakBefore w:val="0"/>
        <w:widowControl w:val="0"/>
        <w:kinsoku/>
        <w:wordWrap/>
        <w:overflowPunct/>
        <w:topLinePunct w:val="0"/>
        <w:bidi w:val="0"/>
        <w:spacing w:line="440" w:lineRule="exact"/>
        <w:ind w:firstLine="562" w:firstLineChars="200"/>
        <w:textAlignment w:val="auto"/>
        <w:rPr>
          <w:rFonts w:ascii="宋体" w:hAnsi="宋体" w:eastAsia="宋体" w:cs="宋体"/>
          <w:b/>
          <w:bCs/>
          <w:color w:val="auto"/>
          <w:sz w:val="24"/>
          <w:szCs w:val="24"/>
        </w:rPr>
      </w:pPr>
      <w:bookmarkStart w:id="34" w:name="_Toc28721"/>
      <w:r>
        <w:rPr>
          <w:rFonts w:hint="eastAsia" w:ascii="宋体" w:hAnsi="宋体" w:eastAsia="宋体" w:cs="宋体"/>
          <w:b/>
          <w:color w:val="auto"/>
          <w:szCs w:val="28"/>
          <w:lang w:val="zh-CN"/>
        </w:rPr>
        <w:t>第</w:t>
      </w:r>
      <w:r>
        <w:rPr>
          <w:rFonts w:hint="eastAsia" w:ascii="宋体" w:hAnsi="宋体" w:eastAsia="宋体" w:cs="宋体"/>
          <w:b/>
          <w:color w:val="auto"/>
          <w:szCs w:val="28"/>
        </w:rPr>
        <w:t>七</w:t>
      </w:r>
      <w:r>
        <w:rPr>
          <w:rFonts w:hint="eastAsia" w:ascii="宋体" w:hAnsi="宋体" w:eastAsia="宋体" w:cs="宋体"/>
          <w:b/>
          <w:color w:val="auto"/>
          <w:szCs w:val="28"/>
          <w:lang w:val="zh-CN"/>
        </w:rPr>
        <w:t>章  合同协议书</w:t>
      </w:r>
      <w:bookmarkEnd w:id="34"/>
      <w:bookmarkStart w:id="35" w:name="_Toc389553742"/>
      <w:bookmarkStart w:id="36" w:name="_Toc8194597"/>
    </w:p>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r>
        <w:rPr>
          <w:rFonts w:hint="eastAsia" w:ascii="宋体" w:hAnsi="宋体" w:cs="宋体"/>
          <w:b/>
          <w:color w:val="auto"/>
          <w:sz w:val="24"/>
          <w:szCs w:val="24"/>
        </w:rPr>
        <w:t>（合同模板仅供参考，具体以实际签订合同为准）</w:t>
      </w:r>
    </w:p>
    <w:p>
      <w:pPr>
        <w:pStyle w:val="119"/>
        <w:keepLines w:val="0"/>
        <w:pageBreakBefore w:val="0"/>
        <w:widowControl w:val="0"/>
        <w:kinsoku/>
        <w:wordWrap/>
        <w:overflowPunct/>
        <w:topLinePunct w:val="0"/>
        <w:bidi w:val="0"/>
        <w:spacing w:line="440" w:lineRule="exact"/>
        <w:ind w:firstLine="480" w:firstLineChars="200"/>
        <w:textAlignment w:val="auto"/>
        <w:rPr>
          <w:rFonts w:ascii="宋体" w:hAnsi="宋体"/>
          <w:color w:val="auto"/>
          <w:szCs w:val="24"/>
        </w:rPr>
      </w:pPr>
      <w:bookmarkStart w:id="37" w:name="_Toc497206293"/>
      <w:bookmarkStart w:id="38" w:name="_Toc497206183"/>
      <w:r>
        <w:rPr>
          <w:rFonts w:hint="eastAsia" w:ascii="宋体" w:hAnsi="宋体"/>
          <w:color w:val="auto"/>
          <w:szCs w:val="24"/>
        </w:rPr>
        <w:t xml:space="preserve">合同编号：                                         </w:t>
      </w:r>
    </w:p>
    <w:p>
      <w:pPr>
        <w:pStyle w:val="119"/>
        <w:keepLines w:val="0"/>
        <w:pageBreakBefore w:val="0"/>
        <w:widowControl w:val="0"/>
        <w:kinsoku/>
        <w:wordWrap/>
        <w:overflowPunct/>
        <w:topLinePunct w:val="0"/>
        <w:bidi w:val="0"/>
        <w:spacing w:line="440" w:lineRule="exact"/>
        <w:ind w:firstLine="480" w:firstLineChars="200"/>
        <w:textAlignment w:val="auto"/>
        <w:rPr>
          <w:rFonts w:ascii="宋体" w:hAnsi="宋体"/>
          <w:color w:val="auto"/>
          <w:szCs w:val="24"/>
        </w:rPr>
      </w:pPr>
      <w:r>
        <w:rPr>
          <w:rFonts w:hint="eastAsia" w:ascii="宋体" w:hAnsi="宋体"/>
          <w:color w:val="auto"/>
          <w:szCs w:val="24"/>
        </w:rPr>
        <w:t xml:space="preserve">签订地点：          </w:t>
      </w:r>
    </w:p>
    <w:p>
      <w:pPr>
        <w:pStyle w:val="119"/>
        <w:keepLines w:val="0"/>
        <w:pageBreakBefore w:val="0"/>
        <w:widowControl w:val="0"/>
        <w:kinsoku/>
        <w:wordWrap/>
        <w:overflowPunct/>
        <w:topLinePunct w:val="0"/>
        <w:bidi w:val="0"/>
        <w:spacing w:line="440" w:lineRule="exact"/>
        <w:ind w:firstLine="480" w:firstLineChars="200"/>
        <w:textAlignment w:val="auto"/>
        <w:rPr>
          <w:rFonts w:ascii="宋体" w:hAnsi="宋体"/>
          <w:color w:val="auto"/>
          <w:szCs w:val="24"/>
        </w:rPr>
      </w:pPr>
      <w:r>
        <w:rPr>
          <w:rFonts w:hint="eastAsia" w:ascii="宋体" w:hAnsi="宋体"/>
          <w:color w:val="auto"/>
          <w:szCs w:val="24"/>
        </w:rPr>
        <w:t>签订时间</w:t>
      </w:r>
      <w:r>
        <w:rPr>
          <w:rFonts w:hint="eastAsia" w:ascii="宋体" w:hAnsi="宋体"/>
          <w:b/>
          <w:color w:val="auto"/>
          <w:szCs w:val="24"/>
        </w:rPr>
        <w:t>:</w:t>
      </w:r>
      <w:r>
        <w:rPr>
          <w:rFonts w:hint="eastAsia" w:ascii="宋体" w:hAnsi="宋体"/>
          <w:color w:val="auto"/>
          <w:szCs w:val="24"/>
        </w:rPr>
        <w:t xml:space="preserve"> </w:t>
      </w:r>
    </w:p>
    <w:p>
      <w:pPr>
        <w:pStyle w:val="119"/>
        <w:keepLines w:val="0"/>
        <w:pageBreakBefore w:val="0"/>
        <w:widowControl w:val="0"/>
        <w:kinsoku/>
        <w:wordWrap/>
        <w:overflowPunct/>
        <w:topLinePunct w:val="0"/>
        <w:bidi w:val="0"/>
        <w:spacing w:line="440" w:lineRule="exact"/>
        <w:ind w:firstLine="480" w:firstLineChars="200"/>
        <w:textAlignment w:val="auto"/>
        <w:rPr>
          <w:rFonts w:ascii="宋体" w:hAnsi="宋体"/>
          <w:color w:val="auto"/>
          <w:szCs w:val="24"/>
        </w:rPr>
      </w:pPr>
      <w:r>
        <w:rPr>
          <w:rFonts w:hint="eastAsia" w:ascii="宋体" w:hAnsi="宋体"/>
          <w:color w:val="auto"/>
          <w:szCs w:val="24"/>
        </w:rPr>
        <w:t xml:space="preserve">采购人（甲方）：                                          </w:t>
      </w:r>
    </w:p>
    <w:p>
      <w:pPr>
        <w:pStyle w:val="119"/>
        <w:keepLines w:val="0"/>
        <w:pageBreakBefore w:val="0"/>
        <w:widowControl w:val="0"/>
        <w:kinsoku/>
        <w:wordWrap/>
        <w:overflowPunct/>
        <w:topLinePunct w:val="0"/>
        <w:bidi w:val="0"/>
        <w:spacing w:line="440" w:lineRule="exact"/>
        <w:ind w:firstLine="480" w:firstLineChars="200"/>
        <w:textAlignment w:val="auto"/>
        <w:rPr>
          <w:rFonts w:ascii="宋体" w:hAnsi="宋体"/>
          <w:color w:val="auto"/>
          <w:szCs w:val="24"/>
        </w:rPr>
      </w:pPr>
      <w:r>
        <w:rPr>
          <w:rFonts w:hint="eastAsia" w:ascii="宋体" w:hAnsi="宋体"/>
          <w:color w:val="auto"/>
          <w:szCs w:val="24"/>
        </w:rPr>
        <w:t xml:space="preserve">供应商（乙方）：                              </w:t>
      </w:r>
    </w:p>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0" w:firstLineChars="200"/>
        <w:textAlignment w:val="auto"/>
        <w:outlineLvl w:val="0"/>
        <w:rPr>
          <w:rFonts w:ascii="宋体" w:hAnsi="宋体" w:cs="宋体"/>
          <w:color w:val="auto"/>
          <w:sz w:val="24"/>
          <w:szCs w:val="24"/>
        </w:rPr>
      </w:pPr>
      <w:bookmarkStart w:id="39" w:name="_Toc30788"/>
      <w:bookmarkStart w:id="40" w:name="_Toc28531"/>
      <w:r>
        <w:rPr>
          <w:rFonts w:hint="eastAsia" w:ascii="宋体" w:hAnsi="宋体" w:cs="宋体"/>
          <w:color w:val="auto"/>
          <w:sz w:val="24"/>
          <w:szCs w:val="24"/>
        </w:rPr>
        <w:t xml:space="preserve">根据《中华人民共和国政府采购法》及实施条例、《中华人民共和国民法典》和甲方采购项目 </w:t>
      </w:r>
      <w:r>
        <w:rPr>
          <w:rFonts w:hint="eastAsia" w:ascii="宋体" w:hAnsi="宋体" w:cs="宋体"/>
          <w:color w:val="auto"/>
          <w:sz w:val="24"/>
          <w:szCs w:val="24"/>
          <w:u w:val="single"/>
        </w:rPr>
        <w:t xml:space="preserve">                 </w:t>
      </w:r>
      <w:r>
        <w:rPr>
          <w:rFonts w:hint="eastAsia" w:ascii="宋体" w:hAnsi="宋体" w:cs="宋体"/>
          <w:color w:val="auto"/>
          <w:sz w:val="24"/>
          <w:szCs w:val="24"/>
        </w:rPr>
        <w:t>（采购项目编号：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）的竞争性谈判文件、成交供应商的谈判响应文件，为保证甲方采购项目的顺利实施，甲、乙双方同意签订本合同，并共同遵守如下条款：</w:t>
      </w:r>
      <w:bookmarkEnd w:id="39"/>
      <w:bookmarkEnd w:id="40"/>
    </w:p>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2" w:firstLineChars="200"/>
        <w:textAlignment w:val="auto"/>
        <w:outlineLvl w:val="0"/>
        <w:rPr>
          <w:rFonts w:ascii="宋体" w:hAnsi="宋体" w:cs="宋体"/>
          <w:b/>
          <w:color w:val="auto"/>
          <w:sz w:val="24"/>
          <w:szCs w:val="24"/>
        </w:rPr>
      </w:pPr>
      <w:bookmarkStart w:id="41" w:name="_Toc30653"/>
      <w:bookmarkStart w:id="42" w:name="_Toc26352"/>
      <w:r>
        <w:rPr>
          <w:rFonts w:hint="eastAsia" w:ascii="宋体" w:hAnsi="宋体" w:cs="宋体"/>
          <w:b/>
          <w:color w:val="auto"/>
          <w:sz w:val="24"/>
          <w:szCs w:val="24"/>
          <w:lang w:val="en-US" w:eastAsia="zh-CN"/>
        </w:rPr>
        <w:t>1</w:t>
      </w:r>
      <w:r>
        <w:rPr>
          <w:rFonts w:hint="eastAsia" w:ascii="宋体" w:hAnsi="宋体" w:cs="宋体"/>
          <w:b/>
          <w:color w:val="auto"/>
          <w:sz w:val="24"/>
          <w:szCs w:val="24"/>
        </w:rPr>
        <w:t>、合同标的:</w:t>
      </w:r>
      <w:bookmarkEnd w:id="37"/>
      <w:bookmarkEnd w:id="38"/>
      <w:bookmarkEnd w:id="41"/>
      <w:bookmarkEnd w:id="42"/>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供应商向甲方提供下列货物（产品）：</w:t>
      </w:r>
    </w:p>
    <w:tbl>
      <w:tblPr>
        <w:tblStyle w:val="37"/>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183"/>
        <w:gridCol w:w="711"/>
        <w:gridCol w:w="1308"/>
        <w:gridCol w:w="935"/>
        <w:gridCol w:w="992"/>
        <w:gridCol w:w="1045"/>
        <w:gridCol w:w="103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33"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b/>
                <w:color w:val="auto"/>
                <w:sz w:val="24"/>
                <w:szCs w:val="24"/>
              </w:rPr>
            </w:pPr>
            <w:r>
              <w:rPr>
                <w:rFonts w:hint="eastAsia" w:ascii="宋体" w:hAnsi="宋体" w:cs="宋体"/>
                <w:color w:val="auto"/>
                <w:sz w:val="24"/>
                <w:szCs w:val="24"/>
              </w:rPr>
              <w:t>货物名称</w:t>
            </w:r>
          </w:p>
        </w:tc>
        <w:tc>
          <w:tcPr>
            <w:tcW w:w="1183"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color w:val="auto"/>
                <w:sz w:val="24"/>
                <w:szCs w:val="24"/>
              </w:rPr>
            </w:pPr>
            <w:r>
              <w:rPr>
                <w:rFonts w:hint="eastAsia" w:ascii="宋体" w:hAnsi="宋体" w:cs="宋体"/>
                <w:color w:val="auto"/>
                <w:sz w:val="24"/>
                <w:szCs w:val="24"/>
              </w:rPr>
              <w:t>型号规格</w:t>
            </w:r>
          </w:p>
        </w:tc>
        <w:tc>
          <w:tcPr>
            <w:tcW w:w="711"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b/>
                <w:color w:val="auto"/>
                <w:sz w:val="24"/>
                <w:szCs w:val="24"/>
              </w:rPr>
            </w:pPr>
            <w:r>
              <w:rPr>
                <w:rFonts w:hint="eastAsia" w:ascii="宋体" w:hAnsi="宋体" w:cs="宋体"/>
                <w:color w:val="auto"/>
                <w:sz w:val="24"/>
                <w:szCs w:val="24"/>
              </w:rPr>
              <w:t>品牌</w:t>
            </w:r>
          </w:p>
        </w:tc>
        <w:tc>
          <w:tcPr>
            <w:tcW w:w="1308"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color w:val="auto"/>
                <w:sz w:val="24"/>
                <w:szCs w:val="24"/>
              </w:rPr>
            </w:pPr>
            <w:r>
              <w:rPr>
                <w:rFonts w:hint="eastAsia" w:ascii="宋体" w:hAnsi="宋体" w:cs="宋体"/>
                <w:color w:val="auto"/>
                <w:sz w:val="24"/>
                <w:szCs w:val="24"/>
              </w:rPr>
              <w:t>生产厂家</w:t>
            </w:r>
          </w:p>
        </w:tc>
        <w:tc>
          <w:tcPr>
            <w:tcW w:w="935"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b/>
                <w:color w:val="auto"/>
                <w:sz w:val="24"/>
                <w:szCs w:val="24"/>
              </w:rPr>
            </w:pPr>
            <w:r>
              <w:rPr>
                <w:rFonts w:hint="eastAsia" w:ascii="宋体" w:hAnsi="宋体" w:cs="宋体"/>
                <w:color w:val="auto"/>
                <w:sz w:val="24"/>
                <w:szCs w:val="24"/>
              </w:rPr>
              <w:t>单位</w:t>
            </w:r>
          </w:p>
        </w:tc>
        <w:tc>
          <w:tcPr>
            <w:tcW w:w="992"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b/>
                <w:color w:val="auto"/>
                <w:sz w:val="24"/>
                <w:szCs w:val="24"/>
              </w:rPr>
            </w:pPr>
            <w:r>
              <w:rPr>
                <w:rFonts w:hint="eastAsia" w:ascii="宋体" w:hAnsi="宋体" w:cs="宋体"/>
                <w:color w:val="auto"/>
                <w:sz w:val="24"/>
                <w:szCs w:val="24"/>
              </w:rPr>
              <w:t>数量</w:t>
            </w:r>
          </w:p>
        </w:tc>
        <w:tc>
          <w:tcPr>
            <w:tcW w:w="1045" w:type="dxa"/>
            <w:vAlign w:val="bottom"/>
          </w:tcPr>
          <w:p>
            <w:pPr>
              <w:keepLines w:val="0"/>
              <w:pageBreakBefore w:val="0"/>
              <w:widowControl w:val="0"/>
              <w:kinsoku/>
              <w:wordWrap/>
              <w:overflowPunct/>
              <w:topLinePunct w:val="0"/>
              <w:bidi w:val="0"/>
              <w:spacing w:line="440" w:lineRule="exact"/>
              <w:jc w:val="both"/>
              <w:textAlignment w:val="auto"/>
              <w:rPr>
                <w:rFonts w:ascii="宋体" w:hAnsi="宋体" w:cs="宋体"/>
                <w:color w:val="auto"/>
                <w:sz w:val="24"/>
                <w:szCs w:val="24"/>
              </w:rPr>
            </w:pPr>
            <w:r>
              <w:rPr>
                <w:rFonts w:hint="eastAsia" w:ascii="宋体" w:hAnsi="宋体" w:cs="宋体"/>
                <w:color w:val="auto"/>
                <w:sz w:val="24"/>
                <w:szCs w:val="24"/>
              </w:rPr>
              <w:t>单价（元）</w:t>
            </w:r>
          </w:p>
        </w:tc>
        <w:tc>
          <w:tcPr>
            <w:tcW w:w="1032" w:type="dxa"/>
            <w:vAlign w:val="center"/>
          </w:tcPr>
          <w:p>
            <w:pPr>
              <w:keepLines w:val="0"/>
              <w:pageBreakBefore w:val="0"/>
              <w:widowControl w:val="0"/>
              <w:kinsoku/>
              <w:wordWrap/>
              <w:overflowPunct/>
              <w:topLinePunct w:val="0"/>
              <w:bidi w:val="0"/>
              <w:spacing w:line="440" w:lineRule="exact"/>
              <w:jc w:val="both"/>
              <w:textAlignment w:val="auto"/>
              <w:rPr>
                <w:rFonts w:ascii="宋体" w:hAnsi="宋体" w:cs="宋体"/>
                <w:color w:val="auto"/>
                <w:sz w:val="24"/>
                <w:szCs w:val="24"/>
              </w:rPr>
            </w:pPr>
            <w:r>
              <w:rPr>
                <w:rFonts w:hint="eastAsia" w:ascii="宋体" w:hAnsi="宋体" w:cs="宋体"/>
                <w:color w:val="auto"/>
                <w:sz w:val="24"/>
                <w:szCs w:val="24"/>
              </w:rPr>
              <w:t>金额（元）</w:t>
            </w:r>
          </w:p>
        </w:tc>
        <w:tc>
          <w:tcPr>
            <w:tcW w:w="1065" w:type="dxa"/>
            <w:vAlign w:val="center"/>
          </w:tcPr>
          <w:p>
            <w:pPr>
              <w:keepLines w:val="0"/>
              <w:pageBreakBefore w:val="0"/>
              <w:widowControl w:val="0"/>
              <w:kinsoku/>
              <w:wordWrap/>
              <w:overflowPunct/>
              <w:topLinePunct w:val="0"/>
              <w:bidi w:val="0"/>
              <w:spacing w:line="440" w:lineRule="exact"/>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18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711"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308"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3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9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4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3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6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3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18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711"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308"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3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9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4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3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6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18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711"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308"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3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9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4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3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6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183"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711"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308"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3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99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4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32"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c>
          <w:tcPr>
            <w:tcW w:w="1065" w:type="dxa"/>
            <w:vAlign w:val="center"/>
          </w:tcPr>
          <w:p>
            <w:pPr>
              <w:keepLines w:val="0"/>
              <w:pageBreakBefore w:val="0"/>
              <w:widowControl w:val="0"/>
              <w:kinsoku/>
              <w:wordWrap/>
              <w:overflowPunct/>
              <w:topLinePunct w:val="0"/>
              <w:bidi w:val="0"/>
              <w:spacing w:line="440" w:lineRule="exact"/>
              <w:ind w:firstLine="482" w:firstLineChars="200"/>
              <w:jc w:val="center"/>
              <w:textAlignment w:val="auto"/>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33" w:type="dxa"/>
            <w:vAlign w:val="center"/>
          </w:tcPr>
          <w:p>
            <w:pPr>
              <w:keepLines w:val="0"/>
              <w:pageBreakBefore w:val="0"/>
              <w:widowControl w:val="0"/>
              <w:kinsoku/>
              <w:wordWrap/>
              <w:overflowPunct/>
              <w:topLinePunct w:val="0"/>
              <w:bidi w:val="0"/>
              <w:snapToGrid w:val="0"/>
              <w:spacing w:line="440" w:lineRule="exact"/>
              <w:ind w:firstLine="480" w:firstLineChars="200"/>
              <w:jc w:val="center"/>
              <w:textAlignment w:val="auto"/>
              <w:rPr>
                <w:rFonts w:ascii="宋体" w:hAnsi="宋体" w:cs="宋体"/>
                <w:b/>
                <w:color w:val="auto"/>
                <w:sz w:val="24"/>
                <w:szCs w:val="24"/>
              </w:rPr>
            </w:pPr>
            <w:r>
              <w:rPr>
                <w:rFonts w:hint="eastAsia" w:ascii="宋体" w:hAnsi="宋体" w:cs="宋体"/>
                <w:color w:val="auto"/>
                <w:sz w:val="24"/>
                <w:szCs w:val="24"/>
              </w:rPr>
              <w:t>合计（元）</w:t>
            </w:r>
          </w:p>
        </w:tc>
        <w:tc>
          <w:tcPr>
            <w:tcW w:w="8271" w:type="dxa"/>
            <w:gridSpan w:val="8"/>
            <w:vAlign w:val="center"/>
          </w:tcPr>
          <w:p>
            <w:pPr>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小写：</w:t>
            </w:r>
          </w:p>
          <w:p>
            <w:pPr>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b/>
                <w:color w:val="auto"/>
                <w:sz w:val="24"/>
                <w:szCs w:val="24"/>
              </w:rPr>
            </w:pPr>
            <w:r>
              <w:rPr>
                <w:rFonts w:hint="eastAsia" w:ascii="宋体" w:hAnsi="宋体" w:cs="宋体"/>
                <w:color w:val="auto"/>
                <w:sz w:val="24"/>
                <w:szCs w:val="24"/>
              </w:rPr>
              <w:t>大写：</w:t>
            </w:r>
          </w:p>
        </w:tc>
      </w:tr>
    </w:tbl>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2" w:firstLineChars="200"/>
        <w:textAlignment w:val="auto"/>
        <w:outlineLvl w:val="0"/>
        <w:rPr>
          <w:rFonts w:ascii="宋体" w:hAnsi="宋体" w:cs="宋体"/>
          <w:b/>
          <w:color w:val="auto"/>
          <w:sz w:val="24"/>
          <w:szCs w:val="24"/>
        </w:rPr>
      </w:pPr>
      <w:bookmarkStart w:id="43" w:name="_Toc27848"/>
      <w:bookmarkStart w:id="44" w:name="_Toc13114"/>
      <w:bookmarkStart w:id="45" w:name="_Toc497206184"/>
      <w:bookmarkStart w:id="46" w:name="_Toc497206294"/>
      <w:r>
        <w:rPr>
          <w:rFonts w:hint="eastAsia" w:ascii="宋体" w:hAnsi="宋体" w:cs="宋体"/>
          <w:b/>
          <w:color w:val="auto"/>
          <w:sz w:val="24"/>
          <w:szCs w:val="24"/>
          <w:lang w:val="en-US" w:eastAsia="zh-CN"/>
        </w:rPr>
        <w:t>2</w:t>
      </w:r>
      <w:r>
        <w:rPr>
          <w:rFonts w:hint="eastAsia" w:ascii="宋体" w:hAnsi="宋体" w:cs="宋体"/>
          <w:b/>
          <w:color w:val="auto"/>
          <w:sz w:val="24"/>
          <w:szCs w:val="24"/>
        </w:rPr>
        <w:t>、合同价款：</w:t>
      </w:r>
      <w:bookmarkEnd w:id="43"/>
      <w:bookmarkEnd w:id="44"/>
      <w:bookmarkEnd w:id="45"/>
      <w:bookmarkEnd w:id="46"/>
    </w:p>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lang w:val="en-US" w:eastAsia="zh-CN"/>
        </w:rPr>
        <w:t>2.</w:t>
      </w:r>
      <w:r>
        <w:rPr>
          <w:rFonts w:hint="eastAsia" w:ascii="宋体" w:hAnsi="宋体" w:cs="宋体"/>
          <w:color w:val="auto"/>
          <w:sz w:val="24"/>
          <w:szCs w:val="24"/>
        </w:rPr>
        <w:t>1、合同总价：</w:t>
      </w:r>
      <w:r>
        <w:rPr>
          <w:rFonts w:hint="eastAsia" w:ascii="宋体" w:hAnsi="宋体" w:cs="宋体"/>
          <w:color w:val="auto"/>
          <w:sz w:val="24"/>
          <w:szCs w:val="24"/>
          <w:u w:val="single"/>
        </w:rPr>
        <w:t xml:space="preserve">          </w:t>
      </w:r>
    </w:p>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2、合同总价包括：</w:t>
      </w:r>
      <w:r>
        <w:rPr>
          <w:rFonts w:hint="eastAsia" w:ascii="宋体" w:hAnsi="宋体" w:cs="宋体"/>
          <w:color w:val="auto"/>
          <w:sz w:val="24"/>
          <w:szCs w:val="24"/>
          <w:lang w:val="zh-CN"/>
        </w:rPr>
        <w:t>货物总价、货物运达指定地点的运杂费（含运输费、保险费）、安装调试费、检测验收费、其他（含</w:t>
      </w:r>
      <w:r>
        <w:rPr>
          <w:rFonts w:hint="eastAsia" w:ascii="宋体" w:hAnsi="宋体" w:cs="宋体"/>
          <w:color w:val="auto"/>
          <w:sz w:val="24"/>
          <w:szCs w:val="24"/>
        </w:rPr>
        <w:t>人工费、</w:t>
      </w:r>
      <w:r>
        <w:rPr>
          <w:rFonts w:hint="eastAsia" w:ascii="宋体" w:hAnsi="宋体" w:cs="宋体"/>
          <w:color w:val="auto"/>
          <w:sz w:val="24"/>
          <w:szCs w:val="24"/>
          <w:lang w:val="zh-CN"/>
        </w:rPr>
        <w:t>向税务部门交纳的各项税费等）等至交付采购人使用的一切含税费用。</w:t>
      </w:r>
      <w:r>
        <w:rPr>
          <w:rFonts w:hint="eastAsia" w:ascii="宋体" w:hAnsi="宋体" w:cs="宋体"/>
          <w:color w:val="auto"/>
          <w:sz w:val="24"/>
          <w:szCs w:val="24"/>
        </w:rPr>
        <w:t xml:space="preserve">     </w:t>
      </w:r>
    </w:p>
    <w:p>
      <w:pPr>
        <w:keepLines w:val="0"/>
        <w:pageBreakBefore w:val="0"/>
        <w:widowControl w:val="0"/>
        <w:tabs>
          <w:tab w:val="left" w:pos="735"/>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3、本合同总价还包含乙方应当提供的伴随服务和售后服务费用。</w:t>
      </w:r>
    </w:p>
    <w:p>
      <w:pPr>
        <w:keepLines w:val="0"/>
        <w:pageBreakBefore w:val="0"/>
        <w:widowControl w:val="0"/>
        <w:tabs>
          <w:tab w:val="left" w:pos="735"/>
        </w:tabs>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4、本合同执行期间合同总价不变，甲方无须另向乙方支付本合同约定合同总价之外的其他任何费用。</w:t>
      </w:r>
    </w:p>
    <w:p>
      <w:pPr>
        <w:keepLines w:val="0"/>
        <w:pageBreakBefore w:val="0"/>
        <w:widowControl w:val="0"/>
        <w:tabs>
          <w:tab w:val="left" w:pos="735"/>
        </w:tabs>
        <w:kinsoku/>
        <w:wordWrap/>
        <w:overflowPunct/>
        <w:topLinePunct w:val="0"/>
        <w:bidi w:val="0"/>
        <w:adjustRightInd w:val="0"/>
        <w:snapToGrid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val="en-US" w:eastAsia="zh-CN"/>
        </w:rPr>
        <w:t>3</w:t>
      </w:r>
      <w:r>
        <w:rPr>
          <w:rFonts w:hint="eastAsia" w:ascii="宋体" w:hAnsi="宋体" w:cs="宋体"/>
          <w:b/>
          <w:color w:val="auto"/>
          <w:sz w:val="24"/>
          <w:szCs w:val="24"/>
        </w:rPr>
        <w:t>、款项结算</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1、付款方式：</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lang w:val="zh-CN"/>
        </w:rPr>
      </w:pPr>
      <w:bookmarkStart w:id="47" w:name="_Toc18747"/>
      <w:bookmarkStart w:id="48" w:name="_Toc14025"/>
      <w:bookmarkStart w:id="49" w:name="_Toc497206187"/>
      <w:bookmarkStart w:id="50" w:name="_Toc497206297"/>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color w:val="auto"/>
          <w:sz w:val="24"/>
          <w:szCs w:val="24"/>
        </w:rPr>
        <w:t>货物交付采购人并经</w:t>
      </w:r>
      <w:r>
        <w:rPr>
          <w:rFonts w:hint="eastAsia" w:ascii="宋体" w:hAnsi="宋体" w:cs="宋体"/>
          <w:color w:val="auto"/>
          <w:sz w:val="24"/>
          <w:szCs w:val="24"/>
          <w:lang w:val="zh-CN"/>
        </w:rPr>
        <w:t>相关专家验收合格后</w:t>
      </w:r>
      <w:r>
        <w:rPr>
          <w:rFonts w:hint="eastAsia" w:ascii="宋体" w:hAnsi="宋体" w:cs="宋体"/>
          <w:color w:val="auto"/>
          <w:sz w:val="24"/>
          <w:szCs w:val="24"/>
        </w:rPr>
        <w:t>，</w:t>
      </w:r>
      <w:r>
        <w:rPr>
          <w:rFonts w:hint="eastAsia" w:ascii="宋体" w:hAnsi="宋体" w:cs="宋体"/>
          <w:color w:val="auto"/>
          <w:sz w:val="24"/>
          <w:szCs w:val="24"/>
          <w:lang w:val="zh-CN"/>
        </w:rPr>
        <w:t>支付合同总款的</w:t>
      </w:r>
      <w:r>
        <w:rPr>
          <w:rFonts w:hint="eastAsia" w:ascii="宋体" w:hAnsi="宋体" w:cs="宋体"/>
          <w:color w:val="auto"/>
          <w:sz w:val="24"/>
          <w:szCs w:val="24"/>
        </w:rPr>
        <w:t>95</w:t>
      </w:r>
      <w:r>
        <w:rPr>
          <w:rFonts w:hint="eastAsia" w:ascii="宋体" w:hAnsi="宋体" w:cs="宋体"/>
          <w:color w:val="auto"/>
          <w:sz w:val="24"/>
          <w:szCs w:val="24"/>
          <w:lang w:val="zh-CN"/>
        </w:rPr>
        <w:t>%；</w:t>
      </w:r>
      <w:r>
        <w:rPr>
          <w:rFonts w:hint="eastAsia" w:ascii="宋体" w:hAnsi="宋体" w:cs="宋体"/>
          <w:color w:val="auto"/>
          <w:sz w:val="24"/>
          <w:szCs w:val="24"/>
        </w:rPr>
        <w:t>剩余合同总款的5%于</w:t>
      </w:r>
      <w:r>
        <w:rPr>
          <w:rFonts w:hint="eastAsia" w:ascii="宋体" w:hAnsi="宋体" w:cs="宋体"/>
          <w:color w:val="auto"/>
          <w:sz w:val="24"/>
          <w:szCs w:val="24"/>
          <w:lang w:val="en-US" w:eastAsia="zh-CN"/>
        </w:rPr>
        <w:t>两</w:t>
      </w:r>
      <w:r>
        <w:rPr>
          <w:rFonts w:hint="eastAsia" w:ascii="宋体" w:hAnsi="宋体" w:cs="宋体"/>
          <w:color w:val="auto"/>
          <w:sz w:val="24"/>
          <w:szCs w:val="24"/>
        </w:rPr>
        <w:t>年后且无任何质量问题无争议索赔的情况下不计息一次付清。</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color w:val="auto"/>
          <w:sz w:val="24"/>
          <w:szCs w:val="24"/>
          <w:lang w:val="zh-CN"/>
        </w:rPr>
        <w:t>结算方式：采购人与成交供应商直接结算，发票直开采购人。</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lang w:val="zh-CN"/>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color w:val="auto"/>
          <w:sz w:val="24"/>
          <w:szCs w:val="24"/>
          <w:lang w:val="zh-CN"/>
        </w:rPr>
        <w:t>支付方式：银行转账。</w:t>
      </w:r>
    </w:p>
    <w:p>
      <w:pPr>
        <w:keepLines w:val="0"/>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s="宋体"/>
          <w:b/>
          <w:bCs/>
          <w:color w:val="auto"/>
          <w:sz w:val="24"/>
          <w:szCs w:val="24"/>
          <w:lang w:val="zh-CN"/>
        </w:rPr>
      </w:pP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val="zh-CN"/>
        </w:rPr>
        <w:t>、</w:t>
      </w:r>
      <w:r>
        <w:rPr>
          <w:rFonts w:hint="eastAsia" w:ascii="宋体" w:hAnsi="宋体" w:cs="宋体"/>
          <w:b/>
          <w:bCs/>
          <w:color w:val="auto"/>
          <w:sz w:val="24"/>
          <w:szCs w:val="24"/>
          <w:lang w:val="en-US" w:eastAsia="zh-CN"/>
        </w:rPr>
        <w:t>供货</w:t>
      </w:r>
      <w:r>
        <w:rPr>
          <w:rFonts w:hint="eastAsia" w:ascii="宋体" w:hAnsi="宋体" w:cs="宋体"/>
          <w:b/>
          <w:bCs/>
          <w:color w:val="auto"/>
          <w:sz w:val="24"/>
          <w:szCs w:val="24"/>
          <w:lang w:val="zh-CN"/>
        </w:rPr>
        <w:t>条件:</w:t>
      </w:r>
      <w:bookmarkEnd w:id="47"/>
      <w:bookmarkEnd w:id="48"/>
      <w:bookmarkEnd w:id="49"/>
      <w:bookmarkEnd w:id="50"/>
    </w:p>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lang w:val="en-US" w:eastAsia="zh-CN"/>
        </w:rPr>
        <w:t>4.</w:t>
      </w:r>
      <w:r>
        <w:rPr>
          <w:rFonts w:hint="eastAsia" w:ascii="宋体" w:hAnsi="宋体" w:cs="宋体"/>
          <w:color w:val="auto"/>
          <w:sz w:val="24"/>
          <w:szCs w:val="24"/>
        </w:rPr>
        <w:t>1、</w:t>
      </w:r>
      <w:r>
        <w:rPr>
          <w:rFonts w:hint="eastAsia" w:ascii="宋体" w:hAnsi="宋体" w:cs="宋体"/>
          <w:color w:val="auto"/>
          <w:sz w:val="24"/>
          <w:szCs w:val="24"/>
          <w:lang w:val="en-US" w:eastAsia="zh-CN"/>
        </w:rPr>
        <w:t>供货</w:t>
      </w:r>
      <w:r>
        <w:rPr>
          <w:rFonts w:hint="eastAsia" w:ascii="宋体" w:hAnsi="宋体" w:cs="宋体"/>
          <w:color w:val="auto"/>
          <w:sz w:val="24"/>
          <w:szCs w:val="24"/>
        </w:rPr>
        <w:t>地点：</w:t>
      </w:r>
      <w:r>
        <w:rPr>
          <w:rFonts w:hint="eastAsia" w:ascii="宋体" w:hAnsi="宋体" w:cs="宋体"/>
          <w:color w:val="auto"/>
          <w:sz w:val="24"/>
          <w:szCs w:val="24"/>
          <w:u w:val="single"/>
        </w:rPr>
        <w:t xml:space="preserve">               </w:t>
      </w:r>
    </w:p>
    <w:p>
      <w:pPr>
        <w:keepLines w:val="0"/>
        <w:pageBreakBefore w:val="0"/>
        <w:widowControl w:val="0"/>
        <w:tabs>
          <w:tab w:val="left" w:pos="735"/>
        </w:tabs>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lang w:val="en-US" w:eastAsia="zh-CN"/>
        </w:rPr>
        <w:t>4.</w:t>
      </w:r>
      <w:r>
        <w:rPr>
          <w:rFonts w:hint="eastAsia" w:ascii="宋体" w:hAnsi="宋体" w:cs="宋体"/>
          <w:color w:val="auto"/>
          <w:sz w:val="24"/>
          <w:szCs w:val="24"/>
        </w:rPr>
        <w:t>2、</w:t>
      </w:r>
      <w:r>
        <w:rPr>
          <w:rFonts w:hint="eastAsia" w:ascii="宋体" w:hAnsi="宋体" w:cs="宋体"/>
          <w:color w:val="auto"/>
          <w:sz w:val="24"/>
          <w:szCs w:val="24"/>
          <w:lang w:val="en-US" w:eastAsia="zh-CN"/>
        </w:rPr>
        <w:t>供货期</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ascii="宋体" w:hAnsi="宋体" w:cs="宋体"/>
          <w:b/>
          <w:bCs/>
          <w:color w:val="auto"/>
          <w:sz w:val="24"/>
          <w:szCs w:val="24"/>
          <w:lang w:val="zh-CN"/>
        </w:rPr>
      </w:pPr>
      <w:bookmarkStart w:id="51" w:name="_Toc497206188"/>
      <w:bookmarkStart w:id="52" w:name="_Toc2878"/>
      <w:bookmarkStart w:id="53" w:name="_Toc497206298"/>
      <w:bookmarkStart w:id="54" w:name="_Toc9437"/>
      <w:r>
        <w:rPr>
          <w:rFonts w:hint="eastAsia" w:ascii="宋体" w:hAnsi="宋体" w:cs="宋体"/>
          <w:b/>
          <w:bCs/>
          <w:color w:val="auto"/>
          <w:sz w:val="24"/>
          <w:szCs w:val="24"/>
          <w:lang w:val="en-US" w:eastAsia="zh-CN"/>
        </w:rPr>
        <w:t>5</w:t>
      </w:r>
      <w:r>
        <w:rPr>
          <w:rFonts w:hint="eastAsia" w:ascii="宋体" w:hAnsi="宋体" w:cs="宋体"/>
          <w:b/>
          <w:bCs/>
          <w:color w:val="auto"/>
          <w:sz w:val="24"/>
          <w:szCs w:val="24"/>
          <w:lang w:val="zh-CN"/>
        </w:rPr>
        <w:t>、运输</w:t>
      </w:r>
      <w:bookmarkEnd w:id="51"/>
      <w:bookmarkEnd w:id="52"/>
      <w:bookmarkEnd w:id="53"/>
      <w:bookmarkEnd w:id="54"/>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1、乙方负责所有货物的运输。确保货物安全、完整到达使用地点，运杂费用包含在总价内，包括货物从供货地点到使用地点的运输费、保险费、搬运费、安装调试费等。</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2、所有货物在运输、搬运、安装、调试的过程中，造成甲方损失的，由乙方为甲方修复或更新。</w:t>
      </w:r>
    </w:p>
    <w:p>
      <w:pPr>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ascii="宋体" w:hAnsi="宋体" w:cs="宋体"/>
          <w:b/>
          <w:bCs/>
          <w:color w:val="auto"/>
          <w:sz w:val="24"/>
          <w:szCs w:val="24"/>
          <w:lang w:val="zh-CN"/>
        </w:rPr>
      </w:pPr>
      <w:bookmarkStart w:id="55" w:name="_Toc6728"/>
      <w:bookmarkStart w:id="56" w:name="_Toc497206189"/>
      <w:bookmarkStart w:id="57" w:name="_Toc24786"/>
      <w:bookmarkStart w:id="58" w:name="_Toc497206299"/>
      <w:r>
        <w:rPr>
          <w:rFonts w:hint="eastAsia" w:ascii="宋体" w:hAnsi="宋体" w:cs="宋体"/>
          <w:b/>
          <w:bCs/>
          <w:color w:val="auto"/>
          <w:sz w:val="24"/>
          <w:szCs w:val="24"/>
          <w:lang w:val="en-US" w:eastAsia="zh-CN"/>
        </w:rPr>
        <w:t>6</w:t>
      </w:r>
      <w:r>
        <w:rPr>
          <w:rFonts w:hint="eastAsia" w:ascii="宋体" w:hAnsi="宋体" w:cs="宋体"/>
          <w:b/>
          <w:bCs/>
          <w:color w:val="auto"/>
          <w:sz w:val="24"/>
          <w:szCs w:val="24"/>
          <w:lang w:val="zh-CN"/>
        </w:rPr>
        <w:t>、质量保证</w:t>
      </w:r>
      <w:bookmarkEnd w:id="55"/>
      <w:bookmarkEnd w:id="56"/>
      <w:bookmarkEnd w:id="57"/>
      <w:bookmarkEnd w:id="58"/>
    </w:p>
    <w:p>
      <w:pPr>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ascii="宋体" w:hAnsi="宋体" w:cs="宋体"/>
          <w:bCs/>
          <w:color w:val="auto"/>
          <w:sz w:val="24"/>
          <w:szCs w:val="24"/>
          <w:lang w:val="zh-CN"/>
        </w:rPr>
      </w:pPr>
      <w:bookmarkStart w:id="59" w:name="_Toc20290"/>
      <w:bookmarkStart w:id="60" w:name="_Toc22060"/>
      <w:bookmarkStart w:id="61" w:name="_Toc497206300"/>
      <w:bookmarkStart w:id="62" w:name="_Toc497206190"/>
      <w:r>
        <w:rPr>
          <w:rFonts w:hint="eastAsia" w:ascii="宋体" w:hAnsi="宋体" w:cs="宋体"/>
          <w:bCs/>
          <w:color w:val="auto"/>
          <w:sz w:val="24"/>
          <w:szCs w:val="24"/>
          <w:lang w:val="en-US" w:eastAsia="zh-CN"/>
        </w:rPr>
        <w:t>6.</w:t>
      </w:r>
      <w:r>
        <w:rPr>
          <w:rFonts w:hint="eastAsia" w:ascii="宋体" w:hAnsi="宋体" w:cs="宋体"/>
          <w:bCs/>
          <w:color w:val="auto"/>
          <w:sz w:val="24"/>
          <w:szCs w:val="24"/>
          <w:lang w:val="zh-CN"/>
        </w:rPr>
        <w:t>1、乙方提供货物必须是原品牌制造厂制造的最新工艺、生产的最新产品。</w:t>
      </w:r>
      <w:bookmarkEnd w:id="59"/>
      <w:bookmarkEnd w:id="60"/>
      <w:bookmarkEnd w:id="61"/>
      <w:bookmarkEnd w:id="62"/>
    </w:p>
    <w:p>
      <w:pPr>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ascii="宋体" w:hAnsi="宋体" w:cs="宋体"/>
          <w:bCs/>
          <w:color w:val="auto"/>
          <w:sz w:val="24"/>
          <w:szCs w:val="24"/>
          <w:lang w:val="zh-CN"/>
        </w:rPr>
      </w:pPr>
      <w:bookmarkStart w:id="63" w:name="_Toc13332"/>
      <w:bookmarkStart w:id="64" w:name="_Toc30985"/>
      <w:bookmarkStart w:id="65" w:name="_Toc497206191"/>
      <w:bookmarkStart w:id="66" w:name="_Toc497206301"/>
      <w:r>
        <w:rPr>
          <w:rFonts w:hint="eastAsia" w:ascii="宋体" w:hAnsi="宋体" w:cs="宋体"/>
          <w:bCs/>
          <w:color w:val="auto"/>
          <w:sz w:val="24"/>
          <w:szCs w:val="24"/>
          <w:lang w:val="en-US" w:eastAsia="zh-CN"/>
        </w:rPr>
        <w:t>6.</w:t>
      </w:r>
      <w:r>
        <w:rPr>
          <w:rFonts w:hint="eastAsia" w:ascii="宋体" w:hAnsi="宋体" w:cs="宋体"/>
          <w:bCs/>
          <w:color w:val="auto"/>
          <w:sz w:val="24"/>
          <w:szCs w:val="24"/>
          <w:lang w:val="zh-CN"/>
        </w:rPr>
        <w:t>2、所提供货物必须是经过办理正常手续的全新产品。</w:t>
      </w:r>
      <w:bookmarkEnd w:id="63"/>
      <w:bookmarkEnd w:id="64"/>
      <w:bookmarkEnd w:id="65"/>
      <w:bookmarkEnd w:id="66"/>
    </w:p>
    <w:p>
      <w:pPr>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ascii="宋体" w:hAnsi="宋体" w:cs="宋体"/>
          <w:bCs/>
          <w:color w:val="auto"/>
          <w:sz w:val="24"/>
          <w:szCs w:val="24"/>
          <w:lang w:val="zh-CN"/>
        </w:rPr>
      </w:pPr>
      <w:bookmarkStart w:id="67" w:name="_Toc28683"/>
      <w:bookmarkStart w:id="68" w:name="_Toc497206302"/>
      <w:bookmarkStart w:id="69" w:name="_Toc6183"/>
      <w:bookmarkStart w:id="70" w:name="_Toc497206192"/>
      <w:r>
        <w:rPr>
          <w:rFonts w:hint="eastAsia" w:ascii="宋体" w:hAnsi="宋体" w:cs="宋体"/>
          <w:bCs/>
          <w:color w:val="auto"/>
          <w:sz w:val="24"/>
          <w:szCs w:val="24"/>
          <w:lang w:val="en-US" w:eastAsia="zh-CN"/>
        </w:rPr>
        <w:t>6.</w:t>
      </w:r>
      <w:r>
        <w:rPr>
          <w:rFonts w:hint="eastAsia" w:ascii="宋体" w:hAnsi="宋体" w:cs="宋体"/>
          <w:bCs/>
          <w:color w:val="auto"/>
          <w:sz w:val="24"/>
          <w:szCs w:val="24"/>
          <w:lang w:val="zh-CN"/>
        </w:rPr>
        <w:t>3、所供货物是经过国家法定检验、注册、准许市场销售的合法产品。</w:t>
      </w:r>
      <w:bookmarkEnd w:id="67"/>
      <w:bookmarkEnd w:id="68"/>
      <w:bookmarkEnd w:id="69"/>
      <w:bookmarkEnd w:id="70"/>
    </w:p>
    <w:p>
      <w:pPr>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ascii="宋体" w:hAnsi="宋体" w:cs="宋体"/>
          <w:bCs/>
          <w:color w:val="auto"/>
          <w:sz w:val="24"/>
          <w:szCs w:val="24"/>
          <w:lang w:val="zh-CN"/>
        </w:rPr>
      </w:pPr>
      <w:bookmarkStart w:id="71" w:name="_Toc497206303"/>
      <w:bookmarkStart w:id="72" w:name="_Toc12897"/>
      <w:bookmarkStart w:id="73" w:name="_Toc497206193"/>
      <w:bookmarkStart w:id="74" w:name="_Toc23508"/>
      <w:r>
        <w:rPr>
          <w:rFonts w:hint="eastAsia" w:ascii="宋体" w:hAnsi="宋体" w:cs="宋体"/>
          <w:bCs/>
          <w:color w:val="auto"/>
          <w:sz w:val="24"/>
          <w:szCs w:val="24"/>
          <w:lang w:val="en-US" w:eastAsia="zh-CN"/>
        </w:rPr>
        <w:t>6.</w:t>
      </w:r>
      <w:r>
        <w:rPr>
          <w:rFonts w:hint="eastAsia" w:ascii="宋体" w:hAnsi="宋体" w:cs="宋体"/>
          <w:bCs/>
          <w:color w:val="auto"/>
          <w:sz w:val="24"/>
          <w:szCs w:val="24"/>
          <w:lang w:val="zh-CN"/>
        </w:rPr>
        <w:t>4、货物性能稳定、具有较好的使用效果，质量保证措施完善，符合国家相应标准。</w:t>
      </w:r>
      <w:bookmarkEnd w:id="71"/>
      <w:bookmarkEnd w:id="72"/>
      <w:bookmarkEnd w:id="73"/>
      <w:bookmarkEnd w:id="74"/>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5、货物的质保期为验收合格后</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 xml:space="preserve"> </w:t>
      </w:r>
      <w:r>
        <w:rPr>
          <w:rFonts w:hint="eastAsia" w:ascii="宋体" w:hAnsi="宋体" w:cs="宋体"/>
          <w:color w:val="auto"/>
          <w:sz w:val="24"/>
          <w:szCs w:val="24"/>
        </w:rPr>
        <w:t>年，终身维护保养，质保期后，只收取成本费用。</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6、包装要求</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color w:val="auto"/>
          <w:sz w:val="24"/>
          <w:szCs w:val="24"/>
        </w:rPr>
        <w:t>除合同另有规定外，乙方提供的全部货物，均应确保安全无损运抵甲方指定地点。</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color w:val="auto"/>
          <w:sz w:val="24"/>
          <w:szCs w:val="24"/>
        </w:rPr>
        <w:t>每一个包装箱内应附一份详细装箱单。</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6.7、</w:t>
      </w:r>
      <w:r>
        <w:rPr>
          <w:rFonts w:hint="eastAsia" w:ascii="宋体" w:hAnsi="宋体" w:cs="宋体"/>
          <w:color w:val="auto"/>
          <w:sz w:val="24"/>
          <w:szCs w:val="24"/>
        </w:rPr>
        <w:t>乙方应保证甲方在使用该货物或其任何一部分时免受第三方提出侵犯其专利权、商标权或工业设计权的起诉。</w:t>
      </w:r>
    </w:p>
    <w:p>
      <w:pPr>
        <w:keepLines w:val="0"/>
        <w:pageBreakBefore w:val="0"/>
        <w:widowControl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val="en-US" w:eastAsia="zh-CN"/>
        </w:rPr>
        <w:t>7</w:t>
      </w:r>
      <w:r>
        <w:rPr>
          <w:rFonts w:hint="eastAsia" w:ascii="宋体" w:hAnsi="宋体" w:cs="宋体"/>
          <w:b/>
          <w:color w:val="auto"/>
          <w:sz w:val="24"/>
          <w:szCs w:val="24"/>
        </w:rPr>
        <w:t>、售后服务</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1、</w:t>
      </w:r>
      <w:r>
        <w:rPr>
          <w:rFonts w:hint="eastAsia" w:ascii="宋体" w:hAnsi="宋体" w:cs="宋体"/>
          <w:bCs/>
          <w:color w:val="auto"/>
          <w:sz w:val="24"/>
          <w:szCs w:val="24"/>
        </w:rPr>
        <w:t>乙方必须具有完善的售后服务体系，高水平的技术维修人员和良好的设备备件供应能力。</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 xml:space="preserve">2、乙方同意该产品自安装、调试、验收合格并正常使用之日起免费保修，在质保期内出现的任何质量问题，乙方保证在接到甲方维修通知之日起24小时内派专业维修人员赶赴现场（即甲方指定地点）进行维修。     </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 xml:space="preserve">3、故障响应时间 </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提供7*24小时的故障服务受理，若出现设备或系统故障，接通知后即响应，应保证12小时内到达用户现场进行维修，一般故障2小时内修复，重大故障24小时内修复；若约定的时间内不能排除故障，则货物的质保期自然顺延。</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4、质保期内，如经过两次维修后仍达不到此标准，乙方应负责调换部分或整个产品设备，质保期作相应延长，并承担自产品出现故障之日起至产品再次正常运行使用之日期间给甲方造成的所有经济损失。若更换后产品还达不到此标准，乙方应无条件退货，并承担给甲方造成的所有经济损失。</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5、质保期内，维修费用、乙方维修人员的差旅费及其他相关费用均由乙方承担。</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6、质保期满后，乙方负责终身优质服务，检修更换的产品配置零件按标准报价的优惠价向甲方提供，免人工费、差旅费及工时费，只收取更换的零配件成本费。</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7、如因产品本身的隐蔽瑕疵而出现的质量问题，乙方应全面负责维修调试或更新更换并承担全部费用。</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8、乙方必须严格依据合同约定及竞争性谈判响应文件中的售后服务承诺履行售后服务义务。</w:t>
      </w:r>
    </w:p>
    <w:p>
      <w:pPr>
        <w:keepLines w:val="0"/>
        <w:pageBreakBefore w:val="0"/>
        <w:widowControl w:val="0"/>
        <w:kinsoku/>
        <w:wordWrap/>
        <w:overflowPunct/>
        <w:topLinePunct w:val="0"/>
        <w:bidi w:val="0"/>
        <w:spacing w:line="44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lang w:val="en-US" w:eastAsia="zh-CN"/>
        </w:rPr>
        <w:t>8</w:t>
      </w:r>
      <w:r>
        <w:rPr>
          <w:rFonts w:hint="eastAsia" w:ascii="宋体" w:hAnsi="宋体" w:cs="宋体"/>
          <w:b/>
          <w:color w:val="auto"/>
          <w:sz w:val="24"/>
          <w:szCs w:val="24"/>
        </w:rPr>
        <w:t>、技术服务</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1、服务承诺：响应文件中有明确且具体、切实可行的技术服务承诺。</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售后服务体系：</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color w:val="auto"/>
          <w:sz w:val="24"/>
          <w:szCs w:val="24"/>
        </w:rPr>
        <w:t>提供本地区同类用户售后服务系统网络图、主要负责人的姓名、联系电话、营业场所详细地址。</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color w:val="auto"/>
          <w:sz w:val="24"/>
          <w:szCs w:val="24"/>
        </w:rPr>
        <w:t>提供具体负责本用户的售后服务人员姓名、联系电话、联系地址。</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2、售后服务承诺：</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color w:val="auto"/>
          <w:sz w:val="24"/>
          <w:szCs w:val="24"/>
        </w:rPr>
        <w:t>发生故障后最短和最长的响应时间（以接到报修电话起至维修人员到达现场止所需时间）。</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color w:val="auto"/>
          <w:sz w:val="24"/>
          <w:szCs w:val="24"/>
        </w:rPr>
        <w:t>质量保修期间的承诺。</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color w:val="auto"/>
          <w:sz w:val="24"/>
          <w:szCs w:val="24"/>
        </w:rPr>
        <w:t>质量保修期后的承诺，包括常年维修服务的收费标准、易损零配件的价格表等。</w:t>
      </w:r>
    </w:p>
    <w:p>
      <w:pPr>
        <w:keepLines w:val="0"/>
        <w:pageBreakBefore w:val="0"/>
        <w:widowControl w:val="0"/>
        <w:tabs>
          <w:tab w:val="left" w:pos="0"/>
        </w:tabs>
        <w:kinsoku/>
        <w:wordWrap/>
        <w:overflowPunct/>
        <w:topLinePunct w:val="0"/>
        <w:autoSpaceDE w:val="0"/>
        <w:autoSpaceDN w:val="0"/>
        <w:bidi w:val="0"/>
        <w:adjustRightInd w:val="0"/>
        <w:spacing w:line="440" w:lineRule="exact"/>
        <w:ind w:firstLine="482" w:firstLineChars="200"/>
        <w:textAlignment w:val="auto"/>
        <w:outlineLvl w:val="0"/>
        <w:rPr>
          <w:rFonts w:ascii="宋体" w:hAnsi="宋体" w:cs="宋体"/>
          <w:b/>
          <w:bCs/>
          <w:color w:val="auto"/>
          <w:sz w:val="24"/>
          <w:szCs w:val="24"/>
          <w:lang w:val="zh-CN"/>
        </w:rPr>
      </w:pPr>
      <w:bookmarkStart w:id="75" w:name="_Toc4326"/>
      <w:bookmarkStart w:id="76" w:name="_Toc497206304"/>
      <w:bookmarkStart w:id="77" w:name="_Toc497206194"/>
      <w:bookmarkStart w:id="78" w:name="_Toc23707"/>
      <w:r>
        <w:rPr>
          <w:rFonts w:hint="eastAsia" w:ascii="宋体" w:hAnsi="宋体" w:cs="宋体"/>
          <w:b/>
          <w:bCs/>
          <w:color w:val="auto"/>
          <w:sz w:val="24"/>
          <w:szCs w:val="24"/>
          <w:lang w:val="en-US" w:eastAsia="zh-CN"/>
        </w:rPr>
        <w:t>9</w:t>
      </w:r>
      <w:r>
        <w:rPr>
          <w:rFonts w:hint="eastAsia" w:ascii="宋体" w:hAnsi="宋体" w:cs="宋体"/>
          <w:b/>
          <w:bCs/>
          <w:color w:val="auto"/>
          <w:sz w:val="24"/>
          <w:szCs w:val="24"/>
          <w:lang w:val="zh-CN"/>
        </w:rPr>
        <w:t>、验收</w:t>
      </w:r>
      <w:bookmarkEnd w:id="75"/>
      <w:bookmarkEnd w:id="76"/>
      <w:bookmarkEnd w:id="77"/>
      <w:bookmarkEnd w:id="78"/>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1、到货验收：货物到货后，由甲方与乙方共同进行验收，验收内容包括，外观、规格、数量等与合同要求的一致性。</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2、货物运行验收：乙方安装调试合格后，向甲方提出验收申请，甲方接到乙方验收申请后组织验收（必要时可聘请相应专家或委托相应部门验收），验收合格后，出具使用验收合格证明。</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3、最终验收：最终验收结果作为付款依据，乙方填写验收单，并向甲方提交实施过程中的所有资料，以便甲方日后管理和维护。</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4、质保期满后：由乙方出具质量报告，若存在质量问题，应按相应规定协商处理。</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5、验收依据：</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合同文本、合同附件、</w:t>
      </w:r>
      <w:r>
        <w:rPr>
          <w:rFonts w:hint="eastAsia" w:ascii="宋体" w:hAnsi="宋体" w:cs="宋体"/>
          <w:color w:val="auto"/>
          <w:sz w:val="24"/>
          <w:szCs w:val="24"/>
          <w:lang w:val="zh-CN"/>
        </w:rPr>
        <w:t>竞争性</w:t>
      </w:r>
      <w:r>
        <w:rPr>
          <w:rFonts w:hint="eastAsia" w:ascii="宋体" w:hAnsi="宋体" w:cs="宋体"/>
          <w:color w:val="auto"/>
          <w:sz w:val="24"/>
          <w:szCs w:val="24"/>
        </w:rPr>
        <w:t>谈判</w:t>
      </w:r>
      <w:r>
        <w:rPr>
          <w:rFonts w:hint="eastAsia" w:ascii="宋体" w:hAnsi="宋体" w:cs="宋体"/>
          <w:color w:val="auto"/>
          <w:sz w:val="24"/>
          <w:szCs w:val="24"/>
          <w:lang w:val="zh-CN"/>
        </w:rPr>
        <w:t>文件</w:t>
      </w:r>
      <w:r>
        <w:rPr>
          <w:rFonts w:hint="eastAsia" w:ascii="宋体" w:hAnsi="宋体" w:cs="宋体"/>
          <w:color w:val="auto"/>
          <w:sz w:val="24"/>
          <w:szCs w:val="24"/>
        </w:rPr>
        <w:t>、</w:t>
      </w:r>
      <w:r>
        <w:rPr>
          <w:rFonts w:hint="eastAsia" w:ascii="宋体" w:hAnsi="宋体" w:cs="宋体"/>
          <w:color w:val="auto"/>
          <w:sz w:val="24"/>
          <w:szCs w:val="24"/>
          <w:lang w:val="zh-CN"/>
        </w:rPr>
        <w:t>竞争性</w:t>
      </w:r>
      <w:r>
        <w:rPr>
          <w:rFonts w:hint="eastAsia" w:ascii="宋体" w:hAnsi="宋体" w:cs="宋体"/>
          <w:color w:val="auto"/>
          <w:sz w:val="24"/>
          <w:szCs w:val="24"/>
        </w:rPr>
        <w:t>谈判响应文件。</w:t>
      </w:r>
    </w:p>
    <w:p>
      <w:pPr>
        <w:keepLines w:val="0"/>
        <w:pageBreakBefore w:val="0"/>
        <w:widowControl w:val="0"/>
        <w:kinsoku/>
        <w:wordWrap/>
        <w:overflowPunct/>
        <w:topLinePunct w:val="0"/>
        <w:bidi w:val="0"/>
        <w:snapToGrid w:val="0"/>
        <w:spacing w:line="440" w:lineRule="exact"/>
        <w:ind w:right="893"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国内相应的标准、规范。</w:t>
      </w:r>
    </w:p>
    <w:p>
      <w:pPr>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color w:val="auto"/>
          <w:kern w:val="0"/>
          <w:sz w:val="24"/>
          <w:szCs w:val="24"/>
        </w:rPr>
      </w:pPr>
      <w:bookmarkStart w:id="79" w:name="_Toc497206305"/>
      <w:bookmarkStart w:id="80" w:name="_Toc497206195"/>
      <w:bookmarkStart w:id="81" w:name="_Toc29166"/>
      <w:bookmarkStart w:id="82" w:name="_Toc25680"/>
      <w:r>
        <w:rPr>
          <w:rFonts w:hint="eastAsia" w:ascii="宋体" w:hAnsi="宋体" w:cs="宋体"/>
          <w:b/>
          <w:bCs/>
          <w:color w:val="auto"/>
          <w:sz w:val="24"/>
          <w:szCs w:val="24"/>
          <w:lang w:val="en-US" w:eastAsia="zh-CN"/>
        </w:rPr>
        <w:t>10</w:t>
      </w:r>
      <w:r>
        <w:rPr>
          <w:rFonts w:hint="eastAsia" w:ascii="宋体" w:hAnsi="宋体" w:cs="宋体"/>
          <w:b/>
          <w:bCs/>
          <w:color w:val="auto"/>
          <w:sz w:val="24"/>
          <w:szCs w:val="24"/>
          <w:lang w:val="zh-CN"/>
        </w:rPr>
        <w:t>、</w:t>
      </w:r>
      <w:r>
        <w:rPr>
          <w:rFonts w:hint="eastAsia" w:ascii="宋体" w:hAnsi="宋体" w:cs="宋体"/>
          <w:b/>
          <w:bCs/>
          <w:color w:val="auto"/>
          <w:kern w:val="0"/>
          <w:sz w:val="24"/>
          <w:szCs w:val="24"/>
        </w:rPr>
        <w:t>权利与义务</w:t>
      </w:r>
      <w:bookmarkStart w:id="83" w:name="_Toc468550424"/>
      <w:bookmarkStart w:id="84" w:name="_Toc465511118"/>
      <w:bookmarkStart w:id="85" w:name="_Toc476761655"/>
      <w:bookmarkStart w:id="86" w:name="_Toc465511163"/>
      <w:bookmarkStart w:id="87" w:name="_Toc465510860"/>
      <w:bookmarkStart w:id="88" w:name="_Toc466270652"/>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1、甲方的权利与义务</w:t>
      </w:r>
      <w:bookmarkEnd w:id="83"/>
      <w:bookmarkEnd w:id="84"/>
      <w:bookmarkEnd w:id="85"/>
      <w:bookmarkEnd w:id="86"/>
      <w:bookmarkEnd w:id="87"/>
      <w:bookmarkEnd w:id="88"/>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（1）甲方有权要求</w:t>
      </w:r>
      <w:r>
        <w:rPr>
          <w:rFonts w:hint="eastAsia" w:ascii="宋体" w:hAnsi="宋体" w:cs="宋体"/>
          <w:color w:val="auto"/>
          <w:kern w:val="28"/>
          <w:sz w:val="24"/>
          <w:szCs w:val="24"/>
        </w:rPr>
        <w:t>乙方供货的项目内容符合国家相关规范，符合国家验收标准，能够通过国家验收。</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（2）</w:t>
      </w:r>
      <w:r>
        <w:rPr>
          <w:rFonts w:hint="eastAsia" w:ascii="宋体" w:hAnsi="宋体" w:cs="宋体"/>
          <w:color w:val="auto"/>
          <w:kern w:val="28"/>
          <w:sz w:val="24"/>
          <w:szCs w:val="24"/>
        </w:rPr>
        <w:t>甲方有权要求乙方配合甲方完成所采购项目内容的预验收工作以及正式验收工作。</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（3）</w:t>
      </w:r>
      <w:r>
        <w:rPr>
          <w:rFonts w:hint="eastAsia" w:ascii="宋体" w:hAnsi="宋体" w:cs="宋体"/>
          <w:color w:val="auto"/>
          <w:kern w:val="28"/>
          <w:sz w:val="24"/>
          <w:szCs w:val="24"/>
        </w:rPr>
        <w:t>甲方有权要求乙方提供的产品所涉及的第三方权利进行免责。</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（4）</w:t>
      </w:r>
      <w:r>
        <w:rPr>
          <w:rFonts w:hint="eastAsia" w:ascii="宋体" w:hAnsi="宋体" w:cs="宋体"/>
          <w:color w:val="auto"/>
          <w:kern w:val="28"/>
          <w:sz w:val="24"/>
          <w:szCs w:val="24"/>
        </w:rPr>
        <w:t>甲方有义务保证按合同所规定的内容及时间支付乙方相关费用。</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（5）</w:t>
      </w:r>
      <w:r>
        <w:rPr>
          <w:rFonts w:hint="eastAsia" w:ascii="宋体" w:hAnsi="宋体" w:cs="宋体"/>
          <w:color w:val="auto"/>
          <w:kern w:val="28"/>
          <w:sz w:val="24"/>
          <w:szCs w:val="24"/>
        </w:rPr>
        <w:t>甲方项目负责人为</w:t>
      </w:r>
      <w:r>
        <w:rPr>
          <w:rFonts w:hint="eastAsia" w:ascii="宋体" w:hAnsi="宋体" w:cs="宋体"/>
          <w:color w:val="auto"/>
          <w:kern w:val="28"/>
          <w:sz w:val="24"/>
          <w:szCs w:val="24"/>
          <w:u w:val="single"/>
        </w:rPr>
        <w:t xml:space="preserve">         </w:t>
      </w:r>
      <w:r>
        <w:rPr>
          <w:rFonts w:hint="eastAsia" w:ascii="宋体" w:hAnsi="宋体" w:cs="宋体"/>
          <w:color w:val="auto"/>
          <w:kern w:val="28"/>
          <w:sz w:val="24"/>
          <w:szCs w:val="24"/>
        </w:rPr>
        <w:t>。</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（6）</w:t>
      </w:r>
      <w:r>
        <w:rPr>
          <w:rFonts w:hint="eastAsia" w:ascii="宋体" w:hAnsi="宋体" w:cs="宋体"/>
          <w:color w:val="auto"/>
          <w:kern w:val="28"/>
          <w:sz w:val="24"/>
          <w:szCs w:val="24"/>
        </w:rPr>
        <w:t>协调乙方供货时与其他单位的关系。</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（7）</w:t>
      </w:r>
      <w:r>
        <w:rPr>
          <w:rFonts w:hint="eastAsia" w:ascii="宋体" w:hAnsi="宋体" w:cs="宋体"/>
          <w:color w:val="auto"/>
          <w:kern w:val="28"/>
          <w:sz w:val="24"/>
          <w:szCs w:val="24"/>
        </w:rPr>
        <w:t>乙方不能按甲方要求及时供货，甲方有单方解除合同的权利。解除合同的同时，甲方有权利与评审报告中排名第二的供应商签订新的供货合同。</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（8）</w:t>
      </w:r>
      <w:r>
        <w:rPr>
          <w:rFonts w:hint="eastAsia" w:ascii="宋体" w:hAnsi="宋体" w:cs="宋体"/>
          <w:color w:val="auto"/>
          <w:kern w:val="28"/>
          <w:sz w:val="24"/>
          <w:szCs w:val="24"/>
        </w:rPr>
        <w:t>因乙方原因供货延误，给甲方造成损失或被第三方要求索赔的，乙方应全额承担。</w:t>
      </w:r>
      <w:bookmarkStart w:id="89" w:name="_Toc468550425"/>
      <w:bookmarkStart w:id="90" w:name="_Toc466270653"/>
      <w:bookmarkStart w:id="91" w:name="_Toc465511164"/>
      <w:bookmarkStart w:id="92" w:name="_Toc465510861"/>
      <w:bookmarkStart w:id="93" w:name="_Toc465511119"/>
      <w:bookmarkStart w:id="94" w:name="_Toc476761656"/>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28"/>
          <w:sz w:val="24"/>
          <w:szCs w:val="24"/>
          <w:lang w:val="en-US" w:eastAsia="zh-CN"/>
        </w:rPr>
        <w:t>10.</w:t>
      </w:r>
      <w:r>
        <w:rPr>
          <w:rFonts w:hint="eastAsia" w:ascii="宋体" w:hAnsi="宋体" w:cs="宋体"/>
          <w:color w:val="auto"/>
          <w:kern w:val="28"/>
          <w:sz w:val="24"/>
          <w:szCs w:val="24"/>
        </w:rPr>
        <w:t>2、乙方的权利与义务</w:t>
      </w:r>
      <w:bookmarkEnd w:id="89"/>
      <w:bookmarkEnd w:id="90"/>
      <w:bookmarkEnd w:id="91"/>
      <w:bookmarkEnd w:id="92"/>
      <w:bookmarkEnd w:id="93"/>
      <w:bookmarkEnd w:id="94"/>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（1）</w:t>
      </w:r>
      <w:r>
        <w:rPr>
          <w:rFonts w:hint="eastAsia" w:ascii="宋体" w:hAnsi="宋体" w:cs="宋体"/>
          <w:color w:val="auto"/>
          <w:kern w:val="28"/>
          <w:sz w:val="24"/>
          <w:szCs w:val="24"/>
        </w:rPr>
        <w:t>乙方应</w:t>
      </w:r>
      <w:r>
        <w:rPr>
          <w:rFonts w:hint="eastAsia" w:ascii="宋体" w:hAnsi="宋体" w:cs="宋体"/>
          <w:color w:val="auto"/>
          <w:sz w:val="24"/>
          <w:szCs w:val="24"/>
        </w:rPr>
        <w:t>按本合同的规定供货，并保证产品质量。</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kern w:val="28"/>
          <w:sz w:val="24"/>
          <w:szCs w:val="24"/>
        </w:rPr>
      </w:pPr>
      <w:r>
        <w:rPr>
          <w:rFonts w:hint="eastAsia" w:ascii="宋体" w:hAnsi="宋体" w:cs="宋体"/>
          <w:color w:val="auto"/>
          <w:kern w:val="0"/>
          <w:sz w:val="24"/>
          <w:szCs w:val="24"/>
        </w:rPr>
        <w:t>（2）</w:t>
      </w:r>
      <w:r>
        <w:rPr>
          <w:rFonts w:hint="eastAsia" w:ascii="宋体" w:hAnsi="宋体" w:cs="宋体"/>
          <w:color w:val="auto"/>
          <w:kern w:val="28"/>
          <w:sz w:val="24"/>
          <w:szCs w:val="24"/>
        </w:rPr>
        <w:t>乙方有义务配合甲方参与项目的预验收、正式竣工验收工作，并确保所供货物符合本项目国家现行标准。</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（3）</w:t>
      </w:r>
      <w:r>
        <w:rPr>
          <w:rFonts w:hint="eastAsia" w:ascii="宋体" w:hAnsi="宋体" w:cs="宋体"/>
          <w:color w:val="auto"/>
          <w:kern w:val="28"/>
          <w:sz w:val="24"/>
          <w:szCs w:val="24"/>
        </w:rPr>
        <w:t>乙方</w:t>
      </w:r>
      <w:r>
        <w:rPr>
          <w:rFonts w:hint="eastAsia" w:ascii="宋体" w:hAnsi="宋体" w:cs="宋体"/>
          <w:color w:val="auto"/>
          <w:sz w:val="24"/>
          <w:szCs w:val="24"/>
        </w:rPr>
        <w:t>项目负责人为</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pStyle w:val="45"/>
        <w:keepLines w:val="0"/>
        <w:pageBreakBefore w:val="0"/>
        <w:widowControl w:val="0"/>
        <w:kinsoku/>
        <w:wordWrap/>
        <w:overflowPunct/>
        <w:topLinePunct w:val="0"/>
        <w:autoSpaceDN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（4）</w:t>
      </w:r>
      <w:r>
        <w:rPr>
          <w:rFonts w:hint="eastAsia" w:ascii="宋体" w:hAnsi="宋体" w:cs="宋体"/>
          <w:color w:val="auto"/>
          <w:sz w:val="24"/>
          <w:szCs w:val="24"/>
        </w:rPr>
        <w:t>乙方产品进场时应充分了解甲方的现场各项管理标准文件，并在进场后全面服从甲方的管理制度、管理细则等。</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（5）</w:t>
      </w:r>
      <w:r>
        <w:rPr>
          <w:rFonts w:hint="eastAsia" w:ascii="宋体" w:hAnsi="宋体" w:cs="宋体"/>
          <w:color w:val="auto"/>
          <w:sz w:val="24"/>
          <w:szCs w:val="24"/>
        </w:rPr>
        <w:t>遵守产品安装作业的有关规定，做好作业现场安全管理；协助甲方做好作业现场的安全保卫、防火防盗工作，确保作业顺利进行；接受甲方现场管理人员的监督和检查，保证作业质量和安全文明作业。</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（6）</w:t>
      </w:r>
      <w:r>
        <w:rPr>
          <w:rFonts w:hint="eastAsia" w:ascii="宋体" w:hAnsi="宋体" w:cs="宋体"/>
          <w:color w:val="auto"/>
          <w:sz w:val="24"/>
          <w:szCs w:val="24"/>
        </w:rPr>
        <w:t>按甲方指定地点将货物码放整齐，及时清运过程中产生的垃圾，保持现场整洁。</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（7）</w:t>
      </w:r>
      <w:r>
        <w:rPr>
          <w:rFonts w:hint="eastAsia" w:ascii="宋体" w:hAnsi="宋体" w:cs="宋体"/>
          <w:color w:val="auto"/>
          <w:sz w:val="24"/>
          <w:szCs w:val="24"/>
        </w:rPr>
        <w:t>在货物验收时，向买方提供《货物合格证》、《货物使用说明书》等技术文件。</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（8）</w:t>
      </w:r>
      <w:r>
        <w:rPr>
          <w:rFonts w:hint="eastAsia" w:ascii="宋体" w:hAnsi="宋体" w:cs="宋体"/>
          <w:color w:val="auto"/>
          <w:sz w:val="24"/>
          <w:szCs w:val="24"/>
        </w:rPr>
        <w:t>项目中所涉及的所有相关政府部门审批手续全部由乙方协调办理，且支付相关费用，甲方不再办理其相关手续及支付相关费用。</w:t>
      </w:r>
    </w:p>
    <w:p>
      <w:pPr>
        <w:keepLines w:val="0"/>
        <w:pageBreakBefore w:val="0"/>
        <w:widowControl w:val="0"/>
        <w:kinsoku/>
        <w:wordWrap/>
        <w:overflowPunct/>
        <w:topLinePunct w:val="0"/>
        <w:bidi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（9）</w:t>
      </w:r>
      <w:r>
        <w:rPr>
          <w:rFonts w:hint="eastAsia" w:ascii="宋体" w:hAnsi="宋体" w:cs="宋体"/>
          <w:color w:val="auto"/>
          <w:sz w:val="24"/>
          <w:szCs w:val="24"/>
        </w:rPr>
        <w:t>质量保证期内发生质量问题的，应当免费及时进行更换或维修。</w:t>
      </w:r>
    </w:p>
    <w:p>
      <w:pPr>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ascii="宋体" w:hAnsi="宋体" w:cs="宋体"/>
          <w:b/>
          <w:bCs/>
          <w:color w:val="auto"/>
          <w:sz w:val="24"/>
          <w:szCs w:val="24"/>
          <w:lang w:val="zh-CN"/>
        </w:rPr>
      </w:pPr>
      <w:r>
        <w:rPr>
          <w:rFonts w:hint="eastAsia" w:ascii="宋体" w:hAnsi="宋体" w:cs="宋体"/>
          <w:b/>
          <w:bCs/>
          <w:color w:val="auto"/>
          <w:sz w:val="24"/>
          <w:szCs w:val="24"/>
          <w:lang w:val="en-US" w:eastAsia="zh-CN"/>
        </w:rPr>
        <w:t>11</w:t>
      </w:r>
      <w:r>
        <w:rPr>
          <w:rFonts w:hint="eastAsia" w:ascii="宋体" w:hAnsi="宋体" w:cs="宋体"/>
          <w:b/>
          <w:bCs/>
          <w:color w:val="auto"/>
          <w:sz w:val="24"/>
          <w:szCs w:val="24"/>
        </w:rPr>
        <w:t>、</w:t>
      </w:r>
      <w:r>
        <w:rPr>
          <w:rFonts w:hint="eastAsia" w:ascii="宋体" w:hAnsi="宋体" w:cs="宋体"/>
          <w:b/>
          <w:bCs/>
          <w:color w:val="auto"/>
          <w:sz w:val="24"/>
          <w:szCs w:val="24"/>
          <w:lang w:val="zh-CN"/>
        </w:rPr>
        <w:t>违约责任</w:t>
      </w:r>
      <w:bookmarkEnd w:id="79"/>
      <w:bookmarkEnd w:id="80"/>
      <w:bookmarkEnd w:id="81"/>
      <w:bookmarkEnd w:id="82"/>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bookmarkStart w:id="95" w:name="_Toc497206306"/>
      <w:bookmarkStart w:id="96" w:name="_Toc497206196"/>
      <w:r>
        <w:rPr>
          <w:rFonts w:hint="eastAsia" w:ascii="宋体" w:hAnsi="宋体" w:cs="宋体"/>
          <w:color w:val="auto"/>
          <w:sz w:val="24"/>
          <w:szCs w:val="24"/>
          <w:lang w:val="en-US" w:eastAsia="zh-CN"/>
        </w:rPr>
        <w:t>11.</w:t>
      </w:r>
      <w:r>
        <w:rPr>
          <w:rFonts w:hint="eastAsia" w:ascii="宋体" w:hAnsi="宋体" w:cs="宋体"/>
          <w:color w:val="auto"/>
          <w:sz w:val="24"/>
          <w:szCs w:val="24"/>
        </w:rPr>
        <w:t>1、甲方违约责任</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（1）甲方无正当理由拒收货物（产品）的，甲方应偿付合同总价</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（2）甲方逾期支付货款的，除应及时付足货款外，应向乙方每天支付欠款总额</w:t>
      </w:r>
      <w:r>
        <w:rPr>
          <w:rFonts w:hint="eastAsia" w:ascii="宋体" w:hAnsi="宋体" w:cs="宋体"/>
          <w:color w:val="auto"/>
          <w:sz w:val="24"/>
          <w:szCs w:val="24"/>
          <w:u w:val="single"/>
        </w:rPr>
        <w:t xml:space="preserve">   </w:t>
      </w:r>
      <w:r>
        <w:rPr>
          <w:rFonts w:hint="eastAsia" w:ascii="宋体" w:hAnsi="宋体" w:cs="宋体"/>
          <w:color w:val="auto"/>
          <w:sz w:val="24"/>
          <w:szCs w:val="24"/>
        </w:rPr>
        <w:t>‰的滞纳金；但累计滞纳金总额不超过欠款总额的</w:t>
      </w:r>
      <w:r>
        <w:rPr>
          <w:rFonts w:hint="eastAsia" w:ascii="宋体" w:hAnsi="宋体" w:cs="宋体"/>
          <w:color w:val="auto"/>
          <w:sz w:val="24"/>
          <w:szCs w:val="24"/>
          <w:u w:val="single"/>
        </w:rPr>
        <w:t xml:space="preserve">  </w:t>
      </w:r>
      <w:r>
        <w:rPr>
          <w:rFonts w:hint="eastAsia" w:ascii="宋体" w:hAnsi="宋体" w:cs="宋体"/>
          <w:color w:val="auto"/>
          <w:sz w:val="24"/>
          <w:szCs w:val="24"/>
        </w:rPr>
        <w:t>%。（非因甲方原因逾期支付货款的除外）</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2、乙方违约责任</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（1）如乙方不能交付货物（产品），甲方有权扣留全部履约保证金；同时乙方应向甲方支付合同总价</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（2）乙方逾期交付符合本合同约定的货物的，每逾期1天，乙方向甲方偿付逾期交货部分货款总额的</w:t>
      </w:r>
      <w:r>
        <w:rPr>
          <w:rFonts w:hint="eastAsia" w:ascii="宋体" w:hAnsi="宋体" w:cs="宋体"/>
          <w:color w:val="auto"/>
          <w:sz w:val="24"/>
          <w:szCs w:val="24"/>
          <w:u w:val="single"/>
        </w:rPr>
        <w:t xml:space="preserve">  </w:t>
      </w:r>
      <w:r>
        <w:rPr>
          <w:rFonts w:hint="eastAsia" w:ascii="宋体" w:hAnsi="宋体" w:cs="宋体"/>
          <w:color w:val="auto"/>
          <w:sz w:val="24"/>
          <w:szCs w:val="24"/>
        </w:rPr>
        <w:t>‰的滞纳金。如乙方逾期交货达</w:t>
      </w:r>
      <w:r>
        <w:rPr>
          <w:rFonts w:hint="eastAsia" w:ascii="宋体" w:hAnsi="宋体" w:cs="宋体"/>
          <w:color w:val="auto"/>
          <w:sz w:val="24"/>
          <w:szCs w:val="24"/>
          <w:u w:val="single"/>
        </w:rPr>
        <w:t xml:space="preserve">   </w:t>
      </w:r>
      <w:r>
        <w:rPr>
          <w:rFonts w:hint="eastAsia" w:ascii="宋体" w:hAnsi="宋体" w:cs="宋体"/>
          <w:color w:val="auto"/>
          <w:sz w:val="24"/>
          <w:szCs w:val="24"/>
        </w:rPr>
        <w:t>天，甲方有权解除合同，解除合同的通知自到达乙方时生效。合同因乙方违约被解除的，乙方应向甲方支付合同总价</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（3）乙方所交付的货物（产品）品种、重量、规格、技术参数等不符合合同约定的，甲方有权拒收。甲方拒收的，乙方应向甲方支付货款总额</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（4）乙方货物（产品）经甲方送交具有法定资格条件的质量技术监督机构检测后，如检测结果认定货物质量不符合本合同规定标准的，则视为乙方没有按时交货而违约，乙方须在</w:t>
      </w:r>
      <w:r>
        <w:rPr>
          <w:rFonts w:hint="eastAsia" w:ascii="宋体" w:hAnsi="宋体" w:cs="宋体"/>
          <w:color w:val="auto"/>
          <w:sz w:val="24"/>
          <w:szCs w:val="24"/>
          <w:u w:val="single"/>
        </w:rPr>
        <w:t xml:space="preserve">   </w:t>
      </w:r>
      <w:r>
        <w:rPr>
          <w:rFonts w:hint="eastAsia" w:ascii="宋体" w:hAnsi="宋体" w:cs="宋体"/>
          <w:color w:val="auto"/>
          <w:sz w:val="24"/>
          <w:szCs w:val="24"/>
        </w:rPr>
        <w:t>天内无条件更换合格的货物（产品），如逾期不能更换合格的货物（产品），甲方有权终止本合同，乙方应另向甲方支付货款总额的</w:t>
      </w:r>
      <w:r>
        <w:rPr>
          <w:rFonts w:hint="eastAsia" w:ascii="宋体" w:hAnsi="宋体" w:cs="宋体"/>
          <w:color w:val="auto"/>
          <w:sz w:val="24"/>
          <w:szCs w:val="24"/>
          <w:u w:val="single"/>
        </w:rPr>
        <w:t xml:space="preserve">   </w:t>
      </w:r>
      <w:r>
        <w:rPr>
          <w:rFonts w:hint="eastAsia" w:ascii="宋体" w:hAnsi="宋体" w:cs="宋体"/>
          <w:color w:val="auto"/>
          <w:sz w:val="24"/>
          <w:szCs w:val="24"/>
        </w:rPr>
        <w:t>%的违约金。</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5）在乙方承诺的或国家规定的质量保证期内（取两者中最长的期限），如经乙方两次维修或更换，货物（产品）仍不能达到合同约定的质量标准，甲方有权退货，乙方应退回全部货款，并按第3款处理，同时，乙方还须赔偿甲方因此遭受的损失。</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（6）乙方未按本合同第十条的规定向甲方交付履约保证金的，应按应交付履约保证金的</w:t>
      </w:r>
      <w:r>
        <w:rPr>
          <w:rFonts w:hint="eastAsia" w:ascii="宋体" w:hAnsi="宋体" w:cs="宋体"/>
          <w:color w:val="auto"/>
          <w:sz w:val="24"/>
          <w:szCs w:val="24"/>
          <w:u w:val="single"/>
        </w:rPr>
        <w:t xml:space="preserve">   </w:t>
      </w:r>
      <w:r>
        <w:rPr>
          <w:rFonts w:hint="eastAsia" w:ascii="宋体" w:hAnsi="宋体" w:cs="宋体"/>
          <w:color w:val="auto"/>
          <w:sz w:val="24"/>
          <w:szCs w:val="24"/>
        </w:rPr>
        <w:t>%向甲方支付违约金，该违约金的支付不影响乙方应承担的其他违约责任。</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（7）乙方未按本合同的规定和“服务承诺”提供伴随服务/售后服务的，应按合同总价款的</w:t>
      </w:r>
      <w:r>
        <w:rPr>
          <w:rFonts w:hint="eastAsia" w:ascii="宋体" w:hAnsi="宋体" w:cs="宋体"/>
          <w:color w:val="auto"/>
          <w:sz w:val="24"/>
          <w:szCs w:val="24"/>
          <w:u w:val="single"/>
        </w:rPr>
        <w:t xml:space="preserve">     </w:t>
      </w:r>
      <w:r>
        <w:rPr>
          <w:rFonts w:hint="eastAsia" w:ascii="宋体" w:hAnsi="宋体" w:cs="宋体"/>
          <w:color w:val="auto"/>
          <w:sz w:val="24"/>
          <w:szCs w:val="24"/>
        </w:rPr>
        <w:t>%向甲方承担违约责任。</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（8）乙方在承担上述1-7款一项或多项违约责任后，仍应继续履行合同规定的义务（甲方解除合同的除外）。甲方未能及时追究乙方的任何一项违约责任并不表明甲方放弃追究乙方该项或其他违约责任。</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（9）乙方偿付的违约金不足以弥补甲方损失的，还应按甲方损失尚未弥补的部分，支付赔偿金给甲方。</w:t>
      </w:r>
    </w:p>
    <w:p>
      <w:pPr>
        <w:keepLines w:val="0"/>
        <w:pageBreakBefore w:val="0"/>
        <w:widowControl w:val="0"/>
        <w:kinsoku/>
        <w:wordWrap/>
        <w:overflowPunct/>
        <w:topLinePunct w:val="0"/>
        <w:bidi w:val="0"/>
        <w:spacing w:line="440" w:lineRule="exact"/>
        <w:ind w:firstLine="482" w:firstLineChars="200"/>
        <w:jc w:val="left"/>
        <w:textAlignment w:val="auto"/>
        <w:rPr>
          <w:rFonts w:ascii="宋体" w:hAnsi="宋体" w:cs="宋体"/>
          <w:b/>
          <w:color w:val="auto"/>
          <w:sz w:val="24"/>
          <w:szCs w:val="24"/>
        </w:rPr>
      </w:pPr>
      <w:r>
        <w:rPr>
          <w:rFonts w:hint="eastAsia" w:ascii="宋体" w:hAnsi="宋体" w:cs="宋体"/>
          <w:b/>
          <w:color w:val="auto"/>
          <w:sz w:val="24"/>
          <w:szCs w:val="24"/>
          <w:lang w:val="en-US" w:eastAsia="zh-CN"/>
        </w:rPr>
        <w:t>12</w:t>
      </w:r>
      <w:r>
        <w:rPr>
          <w:rFonts w:hint="eastAsia" w:ascii="宋体" w:hAnsi="宋体" w:cs="宋体"/>
          <w:b/>
          <w:color w:val="auto"/>
          <w:sz w:val="24"/>
          <w:szCs w:val="24"/>
        </w:rPr>
        <w:t>、合同的变更和终止</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除《政府采购法》第49条、第50条第二款规定的情形外，本合同一经签订，甲乙双方不得擅自变更、中止或终止合同。</w:t>
      </w:r>
    </w:p>
    <w:p>
      <w:pPr>
        <w:keepLines w:val="0"/>
        <w:pageBreakBefore w:val="0"/>
        <w:widowControl w:val="0"/>
        <w:kinsoku/>
        <w:wordWrap/>
        <w:overflowPunct/>
        <w:topLinePunct w:val="0"/>
        <w:bidi w:val="0"/>
        <w:spacing w:line="440" w:lineRule="exact"/>
        <w:ind w:firstLine="482" w:firstLineChars="200"/>
        <w:jc w:val="left"/>
        <w:textAlignment w:val="auto"/>
        <w:rPr>
          <w:rFonts w:ascii="宋体" w:hAnsi="宋体" w:cs="宋体"/>
          <w:b/>
          <w:color w:val="auto"/>
          <w:sz w:val="24"/>
          <w:szCs w:val="24"/>
        </w:rPr>
      </w:pPr>
      <w:r>
        <w:rPr>
          <w:rFonts w:hint="eastAsia" w:ascii="宋体" w:hAnsi="宋体" w:cs="宋体"/>
          <w:b/>
          <w:color w:val="auto"/>
          <w:sz w:val="24"/>
          <w:szCs w:val="24"/>
          <w:lang w:val="en-US" w:eastAsia="zh-CN"/>
        </w:rPr>
        <w:t>13</w:t>
      </w:r>
      <w:r>
        <w:rPr>
          <w:rFonts w:hint="eastAsia" w:ascii="宋体" w:hAnsi="宋体" w:cs="宋体"/>
          <w:b/>
          <w:color w:val="auto"/>
          <w:sz w:val="24"/>
          <w:szCs w:val="24"/>
        </w:rPr>
        <w:t>、争议的解决</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1、因货物（产品）的质量问题发生争议，由质量技术监督部门或其指定的质量鉴定机构进行质量鉴定。货物符合标准的，鉴定费由甲方承担；货物（产品）不符合质量标准的，鉴定费由乙方承担。</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2、因履行本合同引起的或与本合同有关的争议，甲、乙双方应首先通过友好协商解决，如果协商不能解决争议，则采取以下第</w:t>
      </w:r>
      <w:r>
        <w:rPr>
          <w:rFonts w:hint="eastAsia" w:ascii="宋体" w:hAnsi="宋体" w:cs="宋体"/>
          <w:color w:val="auto"/>
          <w:sz w:val="24"/>
          <w:szCs w:val="24"/>
          <w:u w:val="single"/>
        </w:rPr>
        <w:t xml:space="preserve">    </w:t>
      </w:r>
      <w:r>
        <w:rPr>
          <w:rFonts w:hint="eastAsia" w:ascii="宋体" w:hAnsi="宋体" w:cs="宋体"/>
          <w:color w:val="auto"/>
          <w:sz w:val="24"/>
          <w:szCs w:val="24"/>
        </w:rPr>
        <w:t>种方式解决争议：</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（1）向甲方所在地有管辖权的人民法院提起诉讼；</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（2）向</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仲裁委员会按其仲裁规则申请仲裁。</w:t>
      </w:r>
    </w:p>
    <w:p>
      <w:pPr>
        <w:keepLines w:val="0"/>
        <w:pageBreakBefore w:val="0"/>
        <w:widowControl w:val="0"/>
        <w:kinsoku/>
        <w:wordWrap/>
        <w:overflowPunct/>
        <w:topLinePunct w:val="0"/>
        <w:bidi w:val="0"/>
        <w:spacing w:line="44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3、在诉讼或仲裁期间，本合同应继续履行。</w:t>
      </w:r>
    </w:p>
    <w:p>
      <w:pPr>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ascii="宋体" w:hAnsi="宋体" w:cs="宋体"/>
          <w:b/>
          <w:bCs/>
          <w:color w:val="auto"/>
          <w:sz w:val="24"/>
          <w:szCs w:val="24"/>
          <w:lang w:val="zh-CN"/>
        </w:rPr>
      </w:pPr>
      <w:bookmarkStart w:id="97" w:name="_Toc27594"/>
      <w:bookmarkStart w:id="98" w:name="_Toc3203"/>
      <w:r>
        <w:rPr>
          <w:rFonts w:hint="eastAsia" w:ascii="宋体" w:hAnsi="宋体" w:cs="宋体"/>
          <w:b/>
          <w:bCs/>
          <w:color w:val="auto"/>
          <w:sz w:val="24"/>
          <w:szCs w:val="24"/>
          <w:lang w:val="en-US" w:eastAsia="zh-CN"/>
        </w:rPr>
        <w:t>14</w:t>
      </w:r>
      <w:r>
        <w:rPr>
          <w:rFonts w:hint="eastAsia" w:ascii="宋体" w:hAnsi="宋体" w:cs="宋体"/>
          <w:b/>
          <w:bCs/>
          <w:color w:val="auto"/>
          <w:sz w:val="24"/>
          <w:szCs w:val="24"/>
          <w:lang w:val="zh-CN"/>
        </w:rPr>
        <w:t>、合同组成</w:t>
      </w:r>
      <w:bookmarkEnd w:id="95"/>
      <w:bookmarkEnd w:id="96"/>
      <w:bookmarkEnd w:id="97"/>
      <w:bookmarkEnd w:id="98"/>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1、成交通知书</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2、合同文件</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3、国家相关规范及标准</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4、供货技术规格及参数表</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5、竞争性谈判文件</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6、竞争性谈判响应文件</w:t>
      </w:r>
    </w:p>
    <w:p>
      <w:pPr>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ascii="宋体" w:hAnsi="宋体" w:cs="宋体"/>
          <w:b/>
          <w:bCs/>
          <w:color w:val="auto"/>
          <w:sz w:val="24"/>
          <w:szCs w:val="24"/>
        </w:rPr>
      </w:pPr>
      <w:bookmarkStart w:id="99" w:name="_Toc497206197"/>
      <w:bookmarkStart w:id="100" w:name="_Toc893"/>
      <w:bookmarkStart w:id="101" w:name="_Toc497206307"/>
      <w:bookmarkStart w:id="102" w:name="_Toc10604"/>
      <w:r>
        <w:rPr>
          <w:rFonts w:hint="eastAsia" w:ascii="宋体" w:hAnsi="宋体" w:cs="宋体"/>
          <w:b/>
          <w:bCs/>
          <w:color w:val="auto"/>
          <w:sz w:val="24"/>
          <w:szCs w:val="24"/>
          <w:lang w:val="en-US" w:eastAsia="zh-CN"/>
        </w:rPr>
        <w:t>15</w:t>
      </w:r>
      <w:r>
        <w:rPr>
          <w:rFonts w:hint="eastAsia" w:ascii="宋体" w:hAnsi="宋体" w:cs="宋体"/>
          <w:b/>
          <w:bCs/>
          <w:color w:val="auto"/>
          <w:sz w:val="24"/>
          <w:szCs w:val="24"/>
          <w:lang w:val="zh-CN"/>
        </w:rPr>
        <w:t>、合同生效及其它</w:t>
      </w:r>
      <w:bookmarkEnd w:id="99"/>
      <w:bookmarkEnd w:id="100"/>
      <w:bookmarkEnd w:id="101"/>
      <w:bookmarkEnd w:id="102"/>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1、合同未尽事宜、由甲、乙双方协商，作为合同补充，与原合同具有同等法律效力。</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2、本合同正本一式</w:t>
      </w:r>
      <w:r>
        <w:rPr>
          <w:rFonts w:hint="eastAsia" w:ascii="宋体" w:hAnsi="宋体" w:cs="宋体"/>
          <w:color w:val="auto"/>
          <w:sz w:val="24"/>
          <w:szCs w:val="24"/>
          <w:u w:val="single"/>
        </w:rPr>
        <w:t xml:space="preserve">   </w:t>
      </w:r>
      <w:r>
        <w:rPr>
          <w:rFonts w:hint="eastAsia" w:ascii="宋体" w:hAnsi="宋体" w:cs="宋体"/>
          <w:color w:val="auto"/>
          <w:sz w:val="24"/>
          <w:szCs w:val="24"/>
        </w:rPr>
        <w:t>份，甲方、乙方双方分别执</w:t>
      </w:r>
      <w:r>
        <w:rPr>
          <w:rFonts w:hint="eastAsia" w:ascii="宋体" w:hAnsi="宋体" w:cs="宋体"/>
          <w:color w:val="auto"/>
          <w:sz w:val="24"/>
          <w:szCs w:val="24"/>
          <w:u w:val="single"/>
        </w:rPr>
        <w:t xml:space="preserve">   </w:t>
      </w:r>
      <w:r>
        <w:rPr>
          <w:rFonts w:hint="eastAsia" w:ascii="宋体" w:hAnsi="宋体" w:cs="宋体"/>
          <w:color w:val="auto"/>
          <w:sz w:val="24"/>
          <w:szCs w:val="24"/>
        </w:rPr>
        <w:t>份，备案</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3、合同经甲乙双方盖章、签字后生效，合同签订地点为</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4、生效时间：    年   月  日</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p>
    <w:tbl>
      <w:tblPr>
        <w:tblStyle w:val="36"/>
        <w:tblW w:w="9286" w:type="dxa"/>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甲方名称（盖章）:</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代表人（签字）：</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电话：</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开户银行：</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帐号：</w:t>
            </w:r>
          </w:p>
        </w:tc>
        <w:tc>
          <w:tcPr>
            <w:tcW w:w="4643" w:type="dxa"/>
          </w:tcPr>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乙方名称（盖章）:</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代表人（签字）：</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电话：</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开户银行：</w:t>
            </w:r>
          </w:p>
          <w:p>
            <w:pPr>
              <w:keepLines w:val="0"/>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帐号：</w:t>
            </w:r>
          </w:p>
        </w:tc>
      </w:tr>
    </w:tbl>
    <w:p>
      <w:pPr>
        <w:pStyle w:val="17"/>
        <w:spacing w:line="520" w:lineRule="exact"/>
        <w:rPr>
          <w:rFonts w:ascii="宋体" w:hAnsi="宋体" w:cs="宋体"/>
          <w:bCs/>
          <w:color w:val="auto"/>
          <w:sz w:val="24"/>
        </w:rPr>
      </w:pPr>
    </w:p>
    <w:p>
      <w:pPr>
        <w:pStyle w:val="30"/>
        <w:rPr>
          <w:rFonts w:ascii="宋体" w:hAnsi="宋体" w:eastAsia="宋体" w:cs="宋体"/>
          <w:bCs/>
          <w:color w:val="auto"/>
          <w:sz w:val="24"/>
        </w:rPr>
      </w:pPr>
    </w:p>
    <w:p>
      <w:pPr>
        <w:pStyle w:val="30"/>
        <w:rPr>
          <w:rFonts w:ascii="宋体" w:hAnsi="宋体" w:eastAsia="宋体" w:cs="宋体"/>
          <w:bCs/>
          <w:color w:val="auto"/>
          <w:sz w:val="24"/>
        </w:rPr>
      </w:pPr>
    </w:p>
    <w:p>
      <w:pPr>
        <w:pStyle w:val="17"/>
        <w:rPr>
          <w:rFonts w:ascii="宋体" w:hAnsi="宋体" w:cs="宋体"/>
          <w:bCs/>
          <w:color w:val="auto"/>
          <w:sz w:val="24"/>
        </w:rPr>
      </w:pPr>
    </w:p>
    <w:p>
      <w:pPr>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p>
      <w:pPr>
        <w:pStyle w:val="2"/>
        <w:rPr>
          <w:rFonts w:ascii="宋体" w:hAnsi="宋体" w:cs="宋体"/>
          <w:bCs/>
          <w:color w:val="auto"/>
          <w:sz w:val="24"/>
        </w:rPr>
      </w:pPr>
    </w:p>
    <w:bookmarkEnd w:id="35"/>
    <w:bookmarkEnd w:id="36"/>
    <w:p>
      <w:pPr>
        <w:pStyle w:val="3"/>
        <w:rPr>
          <w:rFonts w:ascii="宋体" w:hAnsi="宋体" w:eastAsia="宋体" w:cs="宋体"/>
          <w:b/>
          <w:bCs/>
          <w:color w:val="auto"/>
          <w:sz w:val="32"/>
          <w:szCs w:val="32"/>
          <w:lang w:val="zh-CN"/>
        </w:rPr>
      </w:pPr>
      <w:bookmarkStart w:id="103" w:name="_Toc12872"/>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rPr>
        <w:t>八</w:t>
      </w:r>
      <w:r>
        <w:rPr>
          <w:rFonts w:hint="eastAsia" w:ascii="宋体" w:hAnsi="宋体" w:eastAsia="宋体" w:cs="宋体"/>
          <w:b/>
          <w:bCs/>
          <w:color w:val="auto"/>
          <w:sz w:val="32"/>
          <w:szCs w:val="32"/>
          <w:lang w:val="zh-CN"/>
        </w:rPr>
        <w:t>章  响应文件格式</w:t>
      </w:r>
      <w:bookmarkEnd w:id="103"/>
    </w:p>
    <w:p>
      <w:pPr>
        <w:autoSpaceDE w:val="0"/>
        <w:autoSpaceDN w:val="0"/>
        <w:adjustRightInd w:val="0"/>
        <w:snapToGrid w:val="0"/>
        <w:spacing w:line="360" w:lineRule="auto"/>
        <w:jc w:val="right"/>
        <w:rPr>
          <w:rFonts w:ascii="宋体" w:hAnsi="宋体" w:cs="宋体"/>
          <w:b/>
          <w:bCs/>
          <w:color w:val="auto"/>
          <w:sz w:val="28"/>
          <w:szCs w:val="28"/>
          <w:lang w:val="zh-CN"/>
        </w:rPr>
      </w:pPr>
    </w:p>
    <w:p>
      <w:pPr>
        <w:spacing w:line="560" w:lineRule="exact"/>
        <w:ind w:firstLine="470" w:firstLineChars="196"/>
        <w:rPr>
          <w:rFonts w:ascii="宋体" w:hAnsi="宋体" w:cs="宋体"/>
          <w:color w:val="auto"/>
          <w:sz w:val="24"/>
          <w:szCs w:val="24"/>
        </w:rPr>
      </w:pPr>
      <w:r>
        <w:rPr>
          <w:rFonts w:hint="eastAsia" w:ascii="宋体" w:hAnsi="宋体" w:cs="宋体"/>
          <w:color w:val="auto"/>
          <w:sz w:val="24"/>
          <w:szCs w:val="24"/>
        </w:rPr>
        <w:t>竞争性谈判响应文件格式是谈判供应商的部分谈判响应文件格式，谈判供应商应按照这些格式编制谈判响应文件。编制谈判响应文件前，请详细阅读竞争性谈判采购文件，理解文件中的每一项要求，逐一做出实质性响应，认为有必要，可做补充说明。</w:t>
      </w:r>
    </w:p>
    <w:p>
      <w:pPr>
        <w:rPr>
          <w:rFonts w:ascii="宋体" w:hAnsi="宋体" w:cs="宋体"/>
          <w:color w:val="auto"/>
          <w:sz w:val="24"/>
          <w:szCs w:val="24"/>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spacing w:line="560" w:lineRule="exact"/>
        <w:ind w:firstLine="472" w:firstLineChars="196"/>
        <w:rPr>
          <w:rFonts w:ascii="宋体" w:hAnsi="宋体" w:cs="宋体"/>
          <w:b/>
          <w:bCs/>
          <w:color w:val="auto"/>
          <w:sz w:val="24"/>
          <w:szCs w:val="24"/>
          <w:lang w:val="zh-CN"/>
        </w:rPr>
      </w:pPr>
      <w:r>
        <w:rPr>
          <w:rFonts w:hint="eastAsia" w:ascii="宋体" w:hAnsi="宋体" w:cs="宋体"/>
          <w:b/>
          <w:bCs/>
          <w:color w:val="auto"/>
          <w:sz w:val="24"/>
          <w:szCs w:val="24"/>
          <w:lang w:val="zh-CN"/>
        </w:rPr>
        <w:t>注:非独立企业法人参与本次谈判的，竞争性谈判响应文件内涉及到法人签字盖章的部分均可由负责人签字盖章，授权书格式参照法人代表授权书。</w:t>
      </w: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pStyle w:val="6"/>
        <w:rPr>
          <w:color w:val="auto"/>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autoSpaceDE w:val="0"/>
        <w:autoSpaceDN w:val="0"/>
        <w:adjustRightInd w:val="0"/>
        <w:snapToGrid w:val="0"/>
        <w:spacing w:line="360" w:lineRule="auto"/>
        <w:jc w:val="right"/>
        <w:rPr>
          <w:rFonts w:ascii="宋体" w:hAnsi="宋体" w:cs="宋体"/>
          <w:b/>
          <w:bCs/>
          <w:color w:val="auto"/>
          <w:sz w:val="28"/>
          <w:szCs w:val="28"/>
          <w:lang w:val="zh-CN"/>
        </w:rPr>
      </w:pPr>
    </w:p>
    <w:p>
      <w:pPr>
        <w:pStyle w:val="17"/>
        <w:rPr>
          <w:rFonts w:ascii="宋体" w:hAnsi="宋体" w:cs="宋体"/>
          <w:b/>
          <w:bCs/>
          <w:color w:val="auto"/>
          <w:szCs w:val="28"/>
          <w:lang w:val="zh-CN"/>
        </w:rPr>
      </w:pPr>
    </w:p>
    <w:p>
      <w:pPr>
        <w:pStyle w:val="17"/>
        <w:rPr>
          <w:rFonts w:ascii="宋体" w:hAnsi="宋体" w:cs="宋体"/>
          <w:b/>
          <w:bCs/>
          <w:color w:val="auto"/>
          <w:szCs w:val="28"/>
          <w:lang w:val="zh-CN"/>
        </w:rPr>
      </w:pPr>
    </w:p>
    <w:p>
      <w:pPr>
        <w:rPr>
          <w:color w:val="auto"/>
          <w:lang w:val="zh-CN"/>
        </w:rPr>
      </w:pPr>
    </w:p>
    <w:p>
      <w:pPr>
        <w:autoSpaceDE w:val="0"/>
        <w:autoSpaceDN w:val="0"/>
        <w:adjustRightInd w:val="0"/>
        <w:snapToGrid w:val="0"/>
        <w:spacing w:line="360" w:lineRule="auto"/>
        <w:jc w:val="right"/>
        <w:rPr>
          <w:rFonts w:ascii="宋体" w:hAnsi="宋体" w:cs="宋体"/>
          <w:b/>
          <w:bCs/>
          <w:color w:val="auto"/>
          <w:sz w:val="36"/>
          <w:szCs w:val="36"/>
          <w:lang w:val="zh-CN"/>
        </w:rPr>
      </w:pPr>
      <w:r>
        <w:rPr>
          <w:rFonts w:hint="eastAsia" w:ascii="宋体" w:hAnsi="宋体" w:cs="宋体"/>
          <w:b/>
          <w:bCs/>
          <w:color w:val="auto"/>
          <w:sz w:val="36"/>
          <w:szCs w:val="36"/>
          <w:lang w:val="zh-CN"/>
        </w:rPr>
        <w:t>正本/副本</w:t>
      </w:r>
    </w:p>
    <w:p>
      <w:pPr>
        <w:pStyle w:val="17"/>
        <w:rPr>
          <w:rFonts w:ascii="宋体" w:hAnsi="宋体" w:cs="宋体"/>
          <w:color w:val="auto"/>
          <w:lang w:val="zh-CN"/>
        </w:rPr>
      </w:pPr>
    </w:p>
    <w:p>
      <w:pPr>
        <w:autoSpaceDE w:val="0"/>
        <w:autoSpaceDN w:val="0"/>
        <w:adjustRightInd w:val="0"/>
        <w:snapToGrid w:val="0"/>
        <w:spacing w:line="360" w:lineRule="auto"/>
        <w:jc w:val="left"/>
        <w:rPr>
          <w:rFonts w:ascii="宋体" w:hAnsi="宋体" w:cs="宋体"/>
          <w:b/>
          <w:bCs/>
          <w:color w:val="auto"/>
          <w:sz w:val="32"/>
          <w:szCs w:val="32"/>
          <w:lang w:val="zh-CN"/>
        </w:rPr>
      </w:pPr>
      <w:r>
        <w:rPr>
          <w:rFonts w:hint="eastAsia" w:ascii="宋体" w:hAnsi="宋体" w:cs="宋体"/>
          <w:b/>
          <w:bCs/>
          <w:color w:val="auto"/>
          <w:sz w:val="32"/>
          <w:szCs w:val="32"/>
          <w:lang w:val="zh-CN"/>
        </w:rPr>
        <w:t xml:space="preserve">政府采购项目                      </w:t>
      </w:r>
    </w:p>
    <w:p>
      <w:pPr>
        <w:spacing w:line="100" w:lineRule="atLeast"/>
        <w:rPr>
          <w:rFonts w:ascii="宋体" w:hAnsi="宋体" w:cs="宋体"/>
          <w:b/>
          <w:bCs/>
          <w:color w:val="auto"/>
          <w:sz w:val="28"/>
          <w:szCs w:val="28"/>
        </w:rPr>
      </w:pPr>
    </w:p>
    <w:p>
      <w:pPr>
        <w:spacing w:line="100" w:lineRule="atLeast"/>
        <w:rPr>
          <w:rFonts w:hint="eastAsia" w:ascii="宋体" w:hAnsi="宋体" w:eastAsia="宋体" w:cs="宋体"/>
          <w:b/>
          <w:color w:val="auto"/>
          <w:sz w:val="28"/>
          <w:szCs w:val="28"/>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SSJY-CG（H）-2022030</w:t>
      </w:r>
    </w:p>
    <w:p>
      <w:pPr>
        <w:spacing w:line="100" w:lineRule="atLeast"/>
        <w:rPr>
          <w:rFonts w:ascii="宋体" w:hAnsi="宋体" w:cs="宋体"/>
          <w:b/>
          <w:color w:val="auto"/>
          <w:sz w:val="28"/>
          <w:szCs w:val="28"/>
          <w:u w:val="single"/>
        </w:rPr>
      </w:pPr>
    </w:p>
    <w:p>
      <w:pPr>
        <w:pStyle w:val="6"/>
        <w:jc w:val="both"/>
        <w:rPr>
          <w:rFonts w:ascii="宋体" w:hAnsi="宋体" w:eastAsia="宋体" w:cs="宋体"/>
          <w:color w:val="auto"/>
        </w:rPr>
      </w:pPr>
    </w:p>
    <w:p>
      <w:pPr>
        <w:rPr>
          <w:rFonts w:ascii="宋体" w:hAnsi="宋体" w:cs="宋体"/>
          <w:color w:val="auto"/>
        </w:rPr>
      </w:pPr>
    </w:p>
    <w:p>
      <w:pPr>
        <w:rPr>
          <w:rFonts w:ascii="宋体" w:hAnsi="宋体" w:cs="宋体"/>
          <w:color w:val="auto"/>
          <w:sz w:val="32"/>
          <w:szCs w:val="28"/>
        </w:rPr>
      </w:pPr>
    </w:p>
    <w:p>
      <w:pPr>
        <w:jc w:val="center"/>
        <w:rPr>
          <w:rFonts w:hint="eastAsia" w:ascii="宋体" w:hAnsi="宋体" w:cs="宋体"/>
          <w:b/>
          <w:bCs/>
          <w:color w:val="auto"/>
          <w:sz w:val="52"/>
          <w:szCs w:val="52"/>
        </w:rPr>
      </w:pPr>
      <w:r>
        <w:rPr>
          <w:rFonts w:hint="eastAsia" w:ascii="宋体" w:hAnsi="宋体" w:cs="宋体"/>
          <w:b/>
          <w:bCs/>
          <w:color w:val="auto"/>
          <w:sz w:val="52"/>
          <w:szCs w:val="52"/>
        </w:rPr>
        <w:t>潼关县尚德幼儿园教学设备采购项目</w:t>
      </w:r>
    </w:p>
    <w:p>
      <w:pPr>
        <w:rPr>
          <w:rFonts w:ascii="宋体" w:hAnsi="宋体" w:cs="宋体"/>
          <w:b/>
          <w:bCs/>
          <w:color w:val="auto"/>
          <w:sz w:val="28"/>
          <w:szCs w:val="28"/>
        </w:rPr>
      </w:pPr>
    </w:p>
    <w:p>
      <w:pPr>
        <w:pStyle w:val="6"/>
        <w:rPr>
          <w:rFonts w:ascii="宋体" w:hAnsi="宋体" w:eastAsia="宋体" w:cs="宋体"/>
          <w:color w:val="auto"/>
        </w:rPr>
      </w:pPr>
    </w:p>
    <w:p>
      <w:pPr>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rPr>
          <w:color w:val="auto"/>
        </w:rPr>
      </w:pPr>
    </w:p>
    <w:p>
      <w:pPr>
        <w:rPr>
          <w:rFonts w:ascii="宋体" w:hAnsi="宋体" w:cs="宋体"/>
          <w:color w:val="auto"/>
        </w:rPr>
      </w:pPr>
    </w:p>
    <w:p>
      <w:pPr>
        <w:tabs>
          <w:tab w:val="left" w:pos="5670"/>
        </w:tabs>
        <w:autoSpaceDE w:val="0"/>
        <w:autoSpaceDN w:val="0"/>
        <w:adjustRightInd w:val="0"/>
        <w:snapToGrid w:val="0"/>
        <w:spacing w:line="360" w:lineRule="auto"/>
        <w:jc w:val="center"/>
        <w:rPr>
          <w:rFonts w:ascii="宋体" w:hAnsi="宋体" w:cs="宋体"/>
          <w:b/>
          <w:bCs/>
          <w:color w:val="auto"/>
          <w:sz w:val="52"/>
          <w:szCs w:val="52"/>
          <w:lang w:val="zh-CN"/>
        </w:rPr>
      </w:pPr>
      <w:r>
        <w:rPr>
          <w:rFonts w:hint="eastAsia" w:ascii="宋体" w:hAnsi="宋体" w:cs="宋体"/>
          <w:b/>
          <w:bCs/>
          <w:color w:val="auto"/>
          <w:sz w:val="52"/>
          <w:szCs w:val="52"/>
          <w:lang w:val="zh-CN"/>
        </w:rPr>
        <w:t>竞争性谈判响应文件</w:t>
      </w:r>
    </w:p>
    <w:p>
      <w:pPr>
        <w:tabs>
          <w:tab w:val="left" w:pos="5670"/>
        </w:tabs>
        <w:autoSpaceDE w:val="0"/>
        <w:autoSpaceDN w:val="0"/>
        <w:adjustRightInd w:val="0"/>
        <w:snapToGrid w:val="0"/>
        <w:spacing w:line="360" w:lineRule="auto"/>
        <w:rPr>
          <w:rFonts w:ascii="宋体" w:hAnsi="宋体" w:cs="宋体"/>
          <w:color w:val="auto"/>
          <w:sz w:val="28"/>
          <w:szCs w:val="28"/>
        </w:rPr>
      </w:pPr>
    </w:p>
    <w:p>
      <w:pPr>
        <w:pStyle w:val="17"/>
        <w:rPr>
          <w:rFonts w:ascii="宋体" w:hAnsi="宋体" w:cs="宋体"/>
          <w:color w:val="auto"/>
        </w:rPr>
      </w:pPr>
    </w:p>
    <w:p>
      <w:pPr>
        <w:rPr>
          <w:rFonts w:ascii="宋体" w:hAnsi="宋体" w:cs="宋体"/>
          <w:color w:val="auto"/>
        </w:rPr>
      </w:pPr>
    </w:p>
    <w:p>
      <w:pPr>
        <w:pStyle w:val="2"/>
        <w:rPr>
          <w:color w:val="auto"/>
        </w:rPr>
      </w:pPr>
    </w:p>
    <w:p>
      <w:pPr>
        <w:tabs>
          <w:tab w:val="left" w:pos="5670"/>
        </w:tabs>
        <w:autoSpaceDE w:val="0"/>
        <w:autoSpaceDN w:val="0"/>
        <w:adjustRightInd w:val="0"/>
        <w:snapToGrid w:val="0"/>
        <w:spacing w:line="360" w:lineRule="auto"/>
        <w:jc w:val="center"/>
        <w:rPr>
          <w:rFonts w:ascii="宋体" w:hAnsi="宋体" w:cs="宋体"/>
          <w:color w:val="auto"/>
          <w:sz w:val="28"/>
          <w:szCs w:val="28"/>
        </w:rPr>
      </w:pPr>
    </w:p>
    <w:p>
      <w:pPr>
        <w:autoSpaceDE w:val="0"/>
        <w:autoSpaceDN w:val="0"/>
        <w:adjustRightInd w:val="0"/>
        <w:snapToGrid w:val="0"/>
        <w:spacing w:line="360" w:lineRule="auto"/>
        <w:rPr>
          <w:rFonts w:ascii="宋体" w:hAnsi="宋体" w:cs="宋体"/>
          <w:color w:val="auto"/>
          <w:sz w:val="28"/>
          <w:szCs w:val="28"/>
          <w:u w:val="single"/>
        </w:rPr>
      </w:pPr>
    </w:p>
    <w:p>
      <w:pPr>
        <w:autoSpaceDE w:val="0"/>
        <w:autoSpaceDN w:val="0"/>
        <w:adjustRightInd w:val="0"/>
        <w:snapToGrid w:val="0"/>
        <w:spacing w:line="360" w:lineRule="auto"/>
        <w:ind w:firstLine="869" w:firstLineChars="309"/>
        <w:rPr>
          <w:rFonts w:ascii="宋体" w:hAnsi="宋体" w:cs="宋体"/>
          <w:b/>
          <w:bCs/>
          <w:color w:val="auto"/>
          <w:sz w:val="28"/>
          <w:szCs w:val="28"/>
          <w:u w:val="single"/>
        </w:rPr>
      </w:pPr>
      <w:r>
        <w:rPr>
          <w:rFonts w:hint="eastAsia" w:ascii="宋体" w:hAnsi="宋体" w:cs="宋体"/>
          <w:b/>
          <w:bCs/>
          <w:color w:val="auto"/>
          <w:sz w:val="28"/>
          <w:szCs w:val="28"/>
          <w:lang w:val="zh-CN"/>
        </w:rPr>
        <w:t>谈判供应商：</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（单位盖章）</w:t>
      </w:r>
    </w:p>
    <w:p>
      <w:pPr>
        <w:autoSpaceDE w:val="0"/>
        <w:autoSpaceDN w:val="0"/>
        <w:adjustRightInd w:val="0"/>
        <w:snapToGrid w:val="0"/>
        <w:spacing w:line="360" w:lineRule="auto"/>
        <w:ind w:firstLine="869" w:firstLineChars="309"/>
        <w:jc w:val="left"/>
        <w:rPr>
          <w:rFonts w:ascii="宋体" w:hAnsi="宋体" w:cs="宋体"/>
          <w:b/>
          <w:bCs/>
          <w:color w:val="auto"/>
          <w:sz w:val="28"/>
          <w:szCs w:val="28"/>
          <w:u w:val="single"/>
        </w:rPr>
      </w:pPr>
      <w:r>
        <w:rPr>
          <w:rFonts w:hint="eastAsia" w:ascii="宋体" w:hAnsi="宋体" w:cs="宋体"/>
          <w:b/>
          <w:bCs/>
          <w:color w:val="auto"/>
          <w:sz w:val="28"/>
          <w:szCs w:val="28"/>
        </w:rPr>
        <w:t>法定代表人或其授权代表：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（签字或盖章）</w:t>
      </w:r>
    </w:p>
    <w:p>
      <w:pPr>
        <w:autoSpaceDE w:val="0"/>
        <w:autoSpaceDN w:val="0"/>
        <w:adjustRightInd w:val="0"/>
        <w:snapToGrid w:val="0"/>
        <w:spacing w:line="360" w:lineRule="auto"/>
        <w:ind w:firstLine="869" w:firstLineChars="309"/>
        <w:rPr>
          <w:rFonts w:ascii="宋体" w:hAnsi="宋体" w:cs="宋体"/>
          <w:bCs/>
          <w:color w:val="auto"/>
          <w:sz w:val="28"/>
          <w:szCs w:val="28"/>
        </w:rPr>
      </w:pPr>
      <w:r>
        <w:rPr>
          <w:rFonts w:hint="eastAsia" w:ascii="宋体" w:hAnsi="宋体" w:cs="宋体"/>
          <w:b/>
          <w:bCs/>
          <w:color w:val="auto"/>
          <w:sz w:val="28"/>
          <w:szCs w:val="28"/>
          <w:lang w:val="zh-CN"/>
        </w:rPr>
        <w:t>时  间：</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rPr>
        <w:t xml:space="preserve">      </w:t>
      </w:r>
      <w:r>
        <w:rPr>
          <w:rFonts w:hint="eastAsia" w:ascii="宋体" w:hAnsi="宋体" w:cs="宋体"/>
          <w:bCs/>
          <w:color w:val="auto"/>
          <w:sz w:val="28"/>
          <w:szCs w:val="28"/>
        </w:rPr>
        <w:t xml:space="preserve">     </w:t>
      </w:r>
    </w:p>
    <w:p>
      <w:pPr>
        <w:autoSpaceDE w:val="0"/>
        <w:autoSpaceDN w:val="0"/>
        <w:adjustRightInd w:val="0"/>
        <w:snapToGrid w:val="0"/>
        <w:spacing w:line="360" w:lineRule="auto"/>
        <w:rPr>
          <w:rFonts w:ascii="宋体" w:hAnsi="宋体" w:cs="宋体"/>
          <w:b/>
          <w:bCs/>
          <w:color w:val="auto"/>
          <w:sz w:val="28"/>
          <w:szCs w:val="28"/>
          <w:lang w:val="zh-CN"/>
        </w:rPr>
        <w:sectPr>
          <w:pgSz w:w="11906" w:h="16838"/>
          <w:pgMar w:top="1418" w:right="1418" w:bottom="1418" w:left="1418" w:header="851" w:footer="992" w:gutter="0"/>
          <w:pgNumType w:fmt="decimal"/>
          <w:cols w:space="425" w:num="1"/>
          <w:docGrid w:linePitch="312" w:charSpace="0"/>
        </w:sectPr>
      </w:pPr>
    </w:p>
    <w:p>
      <w:pPr>
        <w:autoSpaceDE w:val="0"/>
        <w:autoSpaceDN w:val="0"/>
        <w:adjustRightInd w:val="0"/>
        <w:snapToGrid w:val="0"/>
        <w:spacing w:line="360" w:lineRule="auto"/>
        <w:jc w:val="center"/>
        <w:rPr>
          <w:rFonts w:ascii="宋体" w:hAnsi="宋体" w:cs="宋体"/>
          <w:b/>
          <w:bCs/>
          <w:color w:val="auto"/>
          <w:sz w:val="28"/>
          <w:szCs w:val="28"/>
          <w:lang w:val="zh-CN"/>
        </w:rPr>
      </w:pPr>
    </w:p>
    <w:p>
      <w:pPr>
        <w:autoSpaceDE w:val="0"/>
        <w:autoSpaceDN w:val="0"/>
        <w:adjustRightInd w:val="0"/>
        <w:snapToGrid w:val="0"/>
        <w:spacing w:line="360" w:lineRule="auto"/>
        <w:jc w:val="center"/>
        <w:rPr>
          <w:rFonts w:ascii="宋体" w:hAnsi="宋体" w:cs="宋体"/>
          <w:b/>
          <w:bCs/>
          <w:color w:val="auto"/>
          <w:sz w:val="36"/>
          <w:szCs w:val="36"/>
          <w:lang w:val="zh-CN"/>
        </w:rPr>
      </w:pPr>
      <w:r>
        <w:rPr>
          <w:rFonts w:hint="eastAsia" w:ascii="宋体" w:hAnsi="宋体" w:cs="宋体"/>
          <w:b/>
          <w:bCs/>
          <w:color w:val="auto"/>
          <w:sz w:val="36"/>
          <w:szCs w:val="36"/>
          <w:lang w:val="zh-CN"/>
        </w:rPr>
        <w:t>目   录</w:t>
      </w:r>
    </w:p>
    <w:p>
      <w:pPr>
        <w:autoSpaceDE w:val="0"/>
        <w:autoSpaceDN w:val="0"/>
        <w:adjustRightInd w:val="0"/>
        <w:snapToGrid w:val="0"/>
        <w:spacing w:line="360" w:lineRule="auto"/>
        <w:jc w:val="center"/>
        <w:rPr>
          <w:rFonts w:ascii="宋体" w:hAnsi="宋体" w:cs="宋体"/>
          <w:b/>
          <w:bCs/>
          <w:color w:val="auto"/>
          <w:sz w:val="28"/>
          <w:szCs w:val="28"/>
          <w:lang w:val="zh-CN"/>
        </w:rPr>
      </w:pP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第一部分    谈判响应函 </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第二部分    第一次谈判报价表 </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第三部分    分项报价表 </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第四部分    货物说明一览表</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第五部分    备选产品配件报价表</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bCs/>
          <w:color w:val="auto"/>
          <w:kern w:val="0"/>
          <w:sz w:val="24"/>
          <w:szCs w:val="24"/>
        </w:rPr>
      </w:pPr>
      <w:r>
        <w:rPr>
          <w:rFonts w:hint="eastAsia" w:ascii="宋体" w:hAnsi="宋体" w:eastAsia="宋体" w:cs="宋体"/>
          <w:color w:val="auto"/>
          <w:sz w:val="24"/>
          <w:szCs w:val="24"/>
        </w:rPr>
        <w:t xml:space="preserve">第六部分    </w:t>
      </w:r>
      <w:r>
        <w:rPr>
          <w:rFonts w:hint="eastAsia" w:ascii="宋体" w:hAnsi="宋体" w:eastAsia="宋体" w:cs="宋体"/>
          <w:bCs/>
          <w:color w:val="auto"/>
          <w:kern w:val="0"/>
          <w:sz w:val="24"/>
          <w:szCs w:val="24"/>
        </w:rPr>
        <w:t xml:space="preserve">偏离表 </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第七部分    谈判方案说明 </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第八部分    供应商承诺书</w:t>
      </w:r>
    </w:p>
    <w:p>
      <w:pPr>
        <w:pStyle w:val="4"/>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第九部分 </w:t>
      </w:r>
      <w:r>
        <w:rPr>
          <w:rFonts w:ascii="宋体" w:hAnsi="宋体" w:eastAsia="宋体" w:cs="宋体"/>
          <w:color w:val="auto"/>
          <w:sz w:val="24"/>
          <w:szCs w:val="24"/>
        </w:rPr>
        <w:t xml:space="preserve">   </w:t>
      </w:r>
      <w:r>
        <w:rPr>
          <w:rFonts w:hint="eastAsia" w:ascii="宋体" w:hAnsi="宋体" w:eastAsia="宋体" w:cs="宋体"/>
          <w:color w:val="auto"/>
          <w:sz w:val="24"/>
          <w:szCs w:val="24"/>
        </w:rPr>
        <w:t>近三年完成的类似项目表</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第十部分    供应商资质证明文件</w:t>
      </w:r>
    </w:p>
    <w:p>
      <w:pPr>
        <w:pStyle w:val="4"/>
        <w:keepLines w:val="0"/>
        <w:pageBreakBefore w:val="0"/>
        <w:widowControl w:val="0"/>
        <w:kinsoku/>
        <w:wordWrap/>
        <w:overflowPunct/>
        <w:topLinePunct w:val="0"/>
        <w:bidi w:val="0"/>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第十一部分 </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谈判保证金</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第十</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提供政府采购政策证明材料</w:t>
      </w:r>
    </w:p>
    <w:p>
      <w:pPr>
        <w:pStyle w:val="4"/>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第十</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部分  其他资料</w:t>
      </w:r>
    </w:p>
    <w:p>
      <w:pPr>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left"/>
        <w:rPr>
          <w:rFonts w:ascii="宋体" w:hAnsi="宋体" w:cs="宋体"/>
          <w:b/>
          <w:bCs/>
          <w:color w:val="auto"/>
          <w:sz w:val="28"/>
          <w:szCs w:val="28"/>
          <w:lang w:val="zh-CN"/>
        </w:rPr>
      </w:pPr>
    </w:p>
    <w:p>
      <w:pPr>
        <w:autoSpaceDE w:val="0"/>
        <w:autoSpaceDN w:val="0"/>
        <w:adjustRightInd w:val="0"/>
        <w:jc w:val="center"/>
        <w:rPr>
          <w:rFonts w:ascii="宋体" w:hAnsi="宋体" w:cs="宋体"/>
          <w:b/>
          <w:bCs/>
          <w:color w:val="auto"/>
          <w:sz w:val="28"/>
          <w:szCs w:val="28"/>
          <w:lang w:val="zh-CN"/>
        </w:rPr>
        <w:sectPr>
          <w:pgSz w:w="11906" w:h="16838"/>
          <w:pgMar w:top="1418" w:right="1418" w:bottom="1418" w:left="1418" w:header="851" w:footer="992" w:gutter="0"/>
          <w:pgNumType w:fmt="decimal"/>
          <w:cols w:space="425" w:num="1"/>
          <w:docGrid w:linePitch="312" w:charSpace="0"/>
        </w:sectPr>
      </w:pPr>
    </w:p>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宋体" w:hAnsi="宋体" w:cs="宋体"/>
          <w:b/>
          <w:bCs/>
          <w:color w:val="auto"/>
          <w:sz w:val="28"/>
          <w:szCs w:val="28"/>
          <w:lang w:val="zh-CN"/>
        </w:rPr>
      </w:pPr>
      <w:r>
        <w:rPr>
          <w:rFonts w:hint="eastAsia" w:ascii="宋体" w:hAnsi="宋体" w:cs="宋体"/>
          <w:b/>
          <w:bCs/>
          <w:color w:val="auto"/>
          <w:sz w:val="28"/>
          <w:szCs w:val="28"/>
          <w:lang w:val="zh-CN"/>
        </w:rPr>
        <w:t>第一部分  谈判响应函</w:t>
      </w:r>
    </w:p>
    <w:p>
      <w:pPr>
        <w:keepNext w:val="0"/>
        <w:keepLines w:val="0"/>
        <w:pageBreakBefore w:val="0"/>
        <w:widowControl w:val="0"/>
        <w:kinsoku/>
        <w:wordWrap/>
        <w:overflowPunct/>
        <w:topLinePunct w:val="0"/>
        <w:autoSpaceDE w:val="0"/>
        <w:autoSpaceDN w:val="0"/>
        <w:bidi w:val="0"/>
        <w:adjustRightInd w:val="0"/>
        <w:spacing w:line="440" w:lineRule="exact"/>
        <w:textAlignment w:val="auto"/>
        <w:rPr>
          <w:rFonts w:ascii="宋体"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pacing w:line="440" w:lineRule="exact"/>
        <w:textAlignment w:val="auto"/>
        <w:rPr>
          <w:rFonts w:ascii="宋体" w:hAnsi="宋体" w:cs="宋体"/>
          <w:b/>
          <w:bCs/>
          <w:color w:val="auto"/>
          <w:sz w:val="24"/>
          <w:szCs w:val="24"/>
          <w:lang w:val="zh-CN"/>
        </w:rPr>
      </w:pPr>
      <w:r>
        <w:rPr>
          <w:rFonts w:hint="eastAsia" w:ascii="宋体" w:hAnsi="宋体" w:cs="宋体"/>
          <w:color w:val="auto"/>
          <w:sz w:val="24"/>
          <w:szCs w:val="24"/>
        </w:rPr>
        <w:t>陕西盛仕骄阳项目管理有限公司</w:t>
      </w:r>
      <w:r>
        <w:rPr>
          <w:rFonts w:hint="eastAsia" w:ascii="宋体" w:hAnsi="宋体" w:cs="宋体"/>
          <w:b/>
          <w:bCs/>
          <w:color w:val="auto"/>
          <w:sz w:val="24"/>
          <w:szCs w:val="24"/>
          <w:lang w:val="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lang w:val="zh-CN"/>
        </w:rPr>
        <w:t>我单位收到贵公司</w:t>
      </w:r>
      <w:r>
        <w:rPr>
          <w:rFonts w:hint="eastAsia" w:ascii="宋体" w:hAnsi="宋体" w:cs="宋体"/>
          <w:color w:val="auto"/>
          <w:sz w:val="24"/>
          <w:szCs w:val="24"/>
          <w:u w:val="single"/>
        </w:rPr>
        <w:t xml:space="preserve">  （项目编号）    </w:t>
      </w:r>
      <w:r>
        <w:rPr>
          <w:rFonts w:hint="eastAsia" w:ascii="宋体" w:hAnsi="宋体" w:cs="宋体"/>
          <w:color w:val="auto"/>
          <w:sz w:val="24"/>
          <w:szCs w:val="24"/>
          <w:lang w:val="zh-CN"/>
        </w:rPr>
        <w:t>号谈判采购文件，经详细研究，我们决定参加本次谈判活动。为此，我方郑重声明以下诸点，并负法律责任。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、愿意按照竞争性谈判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文件中的一切要求，提供谈判技术服务，完成合同的责任和义务。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zh-CN"/>
        </w:rPr>
        <w:t>、按竞争性谈判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文件的规定，我公司的第一次谈判总报价为：人民币（</w:t>
      </w:r>
      <w:r>
        <w:rPr>
          <w:rFonts w:hint="eastAsia" w:ascii="宋体" w:hAnsi="宋体" w:cs="宋体"/>
          <w:color w:val="auto"/>
          <w:sz w:val="24"/>
          <w:szCs w:val="24"/>
          <w:u w:val="single"/>
          <w:lang w:val="zh-CN"/>
        </w:rPr>
        <w:t>大写）：</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zh-CN"/>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zh-CN"/>
        </w:rPr>
        <w:t>元）</w:t>
      </w:r>
      <w:r>
        <w:rPr>
          <w:rFonts w:hint="eastAsia" w:ascii="宋体" w:hAnsi="宋体" w:cs="宋体"/>
          <w:color w:val="auto"/>
          <w:sz w:val="24"/>
          <w:szCs w:val="24"/>
          <w:lang w:val="zh-CN"/>
        </w:rPr>
        <w:t>，并对其后的谈判报价负法律责任。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zh-CN"/>
        </w:rPr>
        <w:t>、我方提交的响应文件正本一份、副本</w:t>
      </w:r>
      <w:r>
        <w:rPr>
          <w:rFonts w:hint="eastAsia" w:ascii="宋体" w:hAnsi="宋体" w:cs="宋体"/>
          <w:color w:val="auto"/>
          <w:sz w:val="24"/>
          <w:szCs w:val="24"/>
        </w:rPr>
        <w:t>两</w:t>
      </w:r>
      <w:r>
        <w:rPr>
          <w:rFonts w:hint="eastAsia" w:ascii="宋体" w:hAnsi="宋体" w:cs="宋体"/>
          <w:color w:val="auto"/>
          <w:sz w:val="24"/>
          <w:szCs w:val="24"/>
          <w:lang w:val="zh-CN"/>
        </w:rPr>
        <w:t>份、电子标书</w:t>
      </w:r>
      <w:r>
        <w:rPr>
          <w:rFonts w:hint="eastAsia" w:ascii="宋体" w:hAnsi="宋体" w:cs="宋体"/>
          <w:color w:val="auto"/>
          <w:sz w:val="24"/>
          <w:szCs w:val="24"/>
        </w:rPr>
        <w:t>两</w:t>
      </w:r>
      <w:r>
        <w:rPr>
          <w:rFonts w:hint="eastAsia" w:ascii="宋体" w:hAnsi="宋体" w:cs="宋体"/>
          <w:color w:val="auto"/>
          <w:sz w:val="24"/>
          <w:szCs w:val="24"/>
          <w:lang w:val="zh-CN"/>
        </w:rPr>
        <w:t>份。</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zh-CN"/>
        </w:rPr>
        <w:t>、我方已详细阅读了竞争性谈判</w:t>
      </w:r>
      <w:r>
        <w:rPr>
          <w:rFonts w:hint="eastAsia" w:ascii="宋体" w:hAnsi="宋体" w:cs="宋体"/>
          <w:color w:val="auto"/>
          <w:sz w:val="24"/>
          <w:szCs w:val="24"/>
        </w:rPr>
        <w:t>采购</w:t>
      </w:r>
      <w:r>
        <w:rPr>
          <w:rFonts w:hint="eastAsia" w:ascii="宋体" w:hAnsi="宋体" w:cs="宋体"/>
          <w:color w:val="auto"/>
          <w:sz w:val="24"/>
          <w:szCs w:val="24"/>
          <w:lang w:val="zh-CN"/>
        </w:rPr>
        <w:t>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zh-CN"/>
        </w:rPr>
        <w:t>、谈判后在规定的有效期内撤回谈判，我方愿接受政府采购的有关处罚决定。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zh-CN"/>
        </w:rPr>
        <w:t>、同意向贵方提供可能要求的，与本次谈判有关的任何证据或资料，且尊重谈判小组的评审结论和结果。我们完全理解最低谈判报价不作为成交的唯一条件，且尊重谈判小组的评审结论和成交结果。</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zh-CN"/>
        </w:rPr>
        <w:t>、我方的响应文件在谈判后有效期为</w:t>
      </w:r>
      <w:r>
        <w:rPr>
          <w:rFonts w:hint="eastAsia" w:ascii="宋体" w:hAnsi="宋体" w:cs="宋体"/>
          <w:color w:val="auto"/>
          <w:sz w:val="24"/>
          <w:szCs w:val="24"/>
        </w:rPr>
        <w:t>90</w:t>
      </w:r>
      <w:r>
        <w:rPr>
          <w:rFonts w:hint="eastAsia" w:ascii="宋体" w:hAnsi="宋体" w:cs="宋体"/>
          <w:color w:val="auto"/>
          <w:sz w:val="24"/>
          <w:szCs w:val="24"/>
          <w:lang w:val="zh-CN"/>
        </w:rPr>
        <w:t>个日历天，若我方成交，响应文件有效期延长至合同执行完毕。</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629"/>
        <w:textAlignment w:val="auto"/>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zh-CN"/>
        </w:rPr>
        <w:t>、有关于本谈判文件的函电，请按下列地址联系。</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供应商全称（印章）：</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地</w:t>
      </w:r>
      <w:r>
        <w:rPr>
          <w:rFonts w:hint="eastAsia" w:ascii="宋体" w:hAnsi="宋体" w:cs="宋体"/>
          <w:color w:val="auto"/>
          <w:sz w:val="24"/>
          <w:szCs w:val="24"/>
        </w:rPr>
        <w:t xml:space="preserve">    </w:t>
      </w:r>
      <w:r>
        <w:rPr>
          <w:rFonts w:hint="eastAsia" w:ascii="宋体" w:hAnsi="宋体" w:cs="宋体"/>
          <w:color w:val="auto"/>
          <w:sz w:val="24"/>
          <w:szCs w:val="24"/>
          <w:lang w:val="zh-CN"/>
        </w:rPr>
        <w:t>址：</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开户银行：</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账</w:t>
      </w:r>
      <w:r>
        <w:rPr>
          <w:rFonts w:hint="eastAsia" w:ascii="宋体" w:hAnsi="宋体" w:cs="宋体"/>
          <w:color w:val="auto"/>
          <w:sz w:val="24"/>
          <w:szCs w:val="24"/>
        </w:rPr>
        <w:t xml:space="preserve">    </w:t>
      </w:r>
      <w:r>
        <w:rPr>
          <w:rFonts w:hint="eastAsia" w:ascii="宋体" w:hAnsi="宋体" w:cs="宋体"/>
          <w:color w:val="auto"/>
          <w:sz w:val="24"/>
          <w:szCs w:val="24"/>
          <w:lang w:val="zh-CN"/>
        </w:rPr>
        <w:t>号：</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电</w:t>
      </w:r>
      <w:r>
        <w:rPr>
          <w:rFonts w:hint="eastAsia" w:ascii="宋体" w:hAnsi="宋体" w:cs="宋体"/>
          <w:color w:val="auto"/>
          <w:sz w:val="24"/>
          <w:szCs w:val="24"/>
        </w:rPr>
        <w:t xml:space="preserve">    </w:t>
      </w:r>
      <w:r>
        <w:rPr>
          <w:rFonts w:hint="eastAsia" w:ascii="宋体" w:hAnsi="宋体" w:cs="宋体"/>
          <w:color w:val="auto"/>
          <w:sz w:val="24"/>
          <w:szCs w:val="24"/>
          <w:lang w:val="zh-CN"/>
        </w:rPr>
        <w:t>话：</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传</w:t>
      </w:r>
      <w:r>
        <w:rPr>
          <w:rFonts w:hint="eastAsia" w:ascii="宋体" w:hAnsi="宋体" w:cs="宋体"/>
          <w:color w:val="auto"/>
          <w:sz w:val="24"/>
          <w:szCs w:val="24"/>
        </w:rPr>
        <w:t xml:space="preserve">    </w:t>
      </w:r>
      <w:r>
        <w:rPr>
          <w:rFonts w:hint="eastAsia" w:ascii="宋体" w:hAnsi="宋体" w:cs="宋体"/>
          <w:color w:val="auto"/>
          <w:sz w:val="24"/>
          <w:szCs w:val="24"/>
          <w:lang w:val="zh-CN"/>
        </w:rPr>
        <w:t>真：</w:t>
      </w:r>
      <w:r>
        <w:rPr>
          <w:rFonts w:hint="eastAsia" w:ascii="宋体" w:hAnsi="宋体" w:cs="宋体"/>
          <w:b/>
          <w:color w:val="auto"/>
          <w:szCs w:val="21"/>
          <w:u w:val="single"/>
          <w:lang w:val="zh-CN"/>
        </w:rPr>
        <w:t xml:space="preserve">                </w:t>
      </w:r>
      <w:r>
        <w:rPr>
          <w:rFonts w:hint="eastAsia" w:ascii="宋体" w:hAnsi="宋体" w:cs="宋体"/>
          <w:b/>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color w:val="auto"/>
          <w:sz w:val="24"/>
          <w:szCs w:val="24"/>
          <w:lang w:val="zh-CN"/>
        </w:rPr>
        <w:t>法定代表人或授权代表（签名或盖章）：</w:t>
      </w:r>
      <w:r>
        <w:rPr>
          <w:rFonts w:hint="eastAsia" w:ascii="宋体" w:hAnsi="宋体" w:cs="宋体"/>
          <w:b/>
          <w:color w:val="auto"/>
          <w:szCs w:val="21"/>
          <w:u w:val="single"/>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 xml:space="preserve">                                   </w:t>
      </w:r>
      <w:r>
        <w:rPr>
          <w:rFonts w:hint="eastAsia" w:ascii="宋体" w:hAnsi="宋体" w:cs="宋体"/>
          <w:b/>
          <w:color w:val="auto"/>
          <w:szCs w:val="21"/>
          <w:u w:val="single"/>
          <w:lang w:val="zh-CN"/>
        </w:rPr>
        <w:t xml:space="preserve">       </w:t>
      </w:r>
      <w:r>
        <w:rPr>
          <w:rFonts w:hint="eastAsia" w:ascii="宋体" w:hAnsi="宋体" w:cs="宋体"/>
          <w:color w:val="auto"/>
          <w:sz w:val="24"/>
          <w:szCs w:val="24"/>
          <w:lang w:val="zh-CN"/>
        </w:rPr>
        <w:t>年</w:t>
      </w:r>
      <w:r>
        <w:rPr>
          <w:rFonts w:hint="eastAsia" w:ascii="宋体" w:hAnsi="宋体" w:cs="宋体"/>
          <w:b/>
          <w:color w:val="auto"/>
          <w:szCs w:val="21"/>
          <w:u w:val="single"/>
          <w:lang w:val="zh-CN"/>
        </w:rPr>
        <w:t xml:space="preserve">       </w:t>
      </w:r>
      <w:r>
        <w:rPr>
          <w:rFonts w:hint="eastAsia" w:ascii="宋体" w:hAnsi="宋体" w:cs="宋体"/>
          <w:color w:val="auto"/>
          <w:sz w:val="24"/>
          <w:szCs w:val="24"/>
          <w:lang w:val="zh-CN"/>
        </w:rPr>
        <w:t>月</w:t>
      </w:r>
      <w:r>
        <w:rPr>
          <w:rFonts w:hint="eastAsia" w:ascii="宋体" w:hAnsi="宋体" w:cs="宋体"/>
          <w:b/>
          <w:color w:val="auto"/>
          <w:szCs w:val="21"/>
          <w:u w:val="single"/>
          <w:lang w:val="zh-CN"/>
        </w:rPr>
        <w:t xml:space="preserve">       </w:t>
      </w:r>
      <w:r>
        <w:rPr>
          <w:rFonts w:hint="eastAsia" w:ascii="宋体" w:hAnsi="宋体" w:cs="宋体"/>
          <w:color w:val="auto"/>
          <w:sz w:val="24"/>
          <w:szCs w:val="24"/>
          <w:lang w:val="zh-CN"/>
        </w:rPr>
        <w:t>日</w:t>
      </w:r>
    </w:p>
    <w:p>
      <w:pPr>
        <w:keepNext w:val="0"/>
        <w:keepLines w:val="0"/>
        <w:pageBreakBefore w:val="0"/>
        <w:widowControl w:val="0"/>
        <w:kinsoku/>
        <w:wordWrap/>
        <w:overflowPunct/>
        <w:topLinePunct w:val="0"/>
        <w:autoSpaceDE w:val="0"/>
        <w:autoSpaceDN w:val="0"/>
        <w:bidi w:val="0"/>
        <w:adjustRightInd w:val="0"/>
        <w:spacing w:line="440" w:lineRule="exact"/>
        <w:textAlignment w:val="auto"/>
        <w:rPr>
          <w:rFonts w:ascii="宋体" w:hAnsi="宋体" w:cs="宋体"/>
          <w:b/>
          <w:bCs/>
          <w:color w:val="auto"/>
          <w:sz w:val="24"/>
          <w:szCs w:val="24"/>
          <w:lang w:val="zh-CN"/>
        </w:rPr>
        <w:sectPr>
          <w:pgSz w:w="11906" w:h="16838"/>
          <w:pgMar w:top="1418" w:right="1418" w:bottom="1418" w:left="1418" w:header="851" w:footer="992" w:gutter="0"/>
          <w:pgNumType w:fmt="decimal"/>
          <w:cols w:space="425" w:num="1"/>
          <w:docGrid w:linePitch="312" w:charSpace="0"/>
        </w:sectPr>
      </w:pPr>
    </w:p>
    <w:p>
      <w:pPr>
        <w:keepNext w:val="0"/>
        <w:keepLines w:val="0"/>
        <w:pageBreakBefore w:val="0"/>
        <w:kinsoku/>
        <w:wordWrap/>
        <w:overflowPunct/>
        <w:topLinePunct w:val="0"/>
        <w:autoSpaceDE w:val="0"/>
        <w:autoSpaceDN w:val="0"/>
        <w:bidi w:val="0"/>
        <w:adjustRightInd w:val="0"/>
        <w:spacing w:line="440" w:lineRule="exact"/>
        <w:jc w:val="center"/>
        <w:textAlignment w:val="auto"/>
        <w:rPr>
          <w:rFonts w:ascii="宋体" w:hAnsi="宋体" w:cs="宋体"/>
          <w:b/>
          <w:bCs/>
          <w:color w:val="auto"/>
          <w:sz w:val="28"/>
          <w:szCs w:val="28"/>
          <w:lang w:val="zh-CN"/>
        </w:rPr>
      </w:pPr>
      <w:r>
        <w:rPr>
          <w:rFonts w:hint="eastAsia" w:ascii="宋体" w:hAnsi="宋体" w:cs="宋体"/>
          <w:b/>
          <w:bCs/>
          <w:color w:val="auto"/>
          <w:sz w:val="28"/>
          <w:szCs w:val="28"/>
          <w:lang w:val="zh-CN"/>
        </w:rPr>
        <w:t>第二部分   第一次谈判报价表</w:t>
      </w:r>
    </w:p>
    <w:p>
      <w:pPr>
        <w:keepNext w:val="0"/>
        <w:keepLines w:val="0"/>
        <w:pageBreakBefore w:val="0"/>
        <w:kinsoku/>
        <w:wordWrap/>
        <w:overflowPunct/>
        <w:topLinePunct w:val="0"/>
        <w:autoSpaceDE w:val="0"/>
        <w:autoSpaceDN w:val="0"/>
        <w:bidi w:val="0"/>
        <w:adjustRightInd w:val="0"/>
        <w:spacing w:line="440" w:lineRule="exact"/>
        <w:textAlignment w:val="auto"/>
        <w:rPr>
          <w:rFonts w:ascii="宋体" w:hAnsi="宋体" w:cs="宋体"/>
          <w:bCs/>
          <w:color w:val="auto"/>
          <w:sz w:val="28"/>
          <w:szCs w:val="28"/>
          <w:lang w:val="zh-CN"/>
        </w:rPr>
      </w:pPr>
    </w:p>
    <w:p>
      <w:pPr>
        <w:keepNext w:val="0"/>
        <w:keepLines w:val="0"/>
        <w:pageBreakBefore w:val="0"/>
        <w:kinsoku/>
        <w:wordWrap/>
        <w:overflowPunct/>
        <w:topLinePunct w:val="0"/>
        <w:autoSpaceDE w:val="0"/>
        <w:autoSpaceDN w:val="0"/>
        <w:bidi w:val="0"/>
        <w:adjustRightInd w:val="0"/>
        <w:spacing w:line="440" w:lineRule="exact"/>
        <w:jc w:val="center"/>
        <w:textAlignment w:val="auto"/>
        <w:rPr>
          <w:rFonts w:ascii="宋体" w:hAnsi="宋体" w:cs="宋体"/>
          <w:b/>
          <w:bCs/>
          <w:color w:val="auto"/>
          <w:sz w:val="28"/>
          <w:szCs w:val="28"/>
          <w:lang w:val="zh-CN"/>
        </w:rPr>
      </w:pPr>
    </w:p>
    <w:p>
      <w:pPr>
        <w:keepNext w:val="0"/>
        <w:keepLines w:val="0"/>
        <w:pageBreakBefore w:val="0"/>
        <w:kinsoku/>
        <w:wordWrap/>
        <w:overflowPunct/>
        <w:topLinePunct w:val="0"/>
        <w:autoSpaceDE w:val="0"/>
        <w:autoSpaceDN w:val="0"/>
        <w:bidi w:val="0"/>
        <w:adjustRightInd w:val="0"/>
        <w:snapToGrid w:val="0"/>
        <w:spacing w:line="440" w:lineRule="exact"/>
        <w:ind w:right="1280" w:firstLine="600" w:firstLineChars="250"/>
        <w:textAlignment w:val="auto"/>
        <w:rPr>
          <w:rFonts w:ascii="宋体" w:hAnsi="宋体" w:cs="宋体"/>
          <w:color w:val="auto"/>
          <w:sz w:val="24"/>
          <w:szCs w:val="24"/>
        </w:rPr>
      </w:pPr>
      <w:r>
        <w:rPr>
          <w:rFonts w:hint="eastAsia" w:ascii="宋体" w:hAnsi="宋体" w:cs="宋体"/>
          <w:bCs/>
          <w:color w:val="auto"/>
          <w:kern w:val="0"/>
          <w:sz w:val="24"/>
          <w:szCs w:val="24"/>
        </w:rPr>
        <w:t>谈判项目编号：                               单位:</w:t>
      </w:r>
      <w:r>
        <w:rPr>
          <w:rFonts w:hint="eastAsia" w:ascii="宋体" w:hAnsi="宋体" w:cs="宋体"/>
          <w:color w:val="auto"/>
          <w:sz w:val="24"/>
          <w:szCs w:val="24"/>
          <w:lang w:val="zh-CN"/>
        </w:rPr>
        <w:t xml:space="preserve"> 元</w:t>
      </w:r>
      <w:r>
        <w:rPr>
          <w:rFonts w:hint="eastAsia" w:ascii="宋体" w:hAnsi="宋体" w:cs="宋体"/>
          <w:color w:val="auto"/>
          <w:sz w:val="24"/>
          <w:szCs w:val="24"/>
        </w:rPr>
        <w:t>/日历日</w:t>
      </w:r>
    </w:p>
    <w:tbl>
      <w:tblPr>
        <w:tblStyle w:val="36"/>
        <w:tblW w:w="92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17"/>
        <w:gridCol w:w="3070"/>
        <w:gridCol w:w="30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9244" w:type="dxa"/>
            <w:gridSpan w:val="3"/>
            <w:vAlign w:val="center"/>
          </w:tcPr>
          <w:p>
            <w:pPr>
              <w:keepNext w:val="0"/>
              <w:keepLines w:val="0"/>
              <w:pageBreakBefore w:val="0"/>
              <w:widowControl/>
              <w:kinsoku/>
              <w:wordWrap/>
              <w:overflowPunct/>
              <w:topLinePunct w:val="0"/>
              <w:bidi w:val="0"/>
              <w:spacing w:line="440" w:lineRule="exact"/>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供应商名称：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0" w:hRule="atLeast"/>
          <w:jc w:val="center"/>
        </w:trPr>
        <w:tc>
          <w:tcPr>
            <w:tcW w:w="3117" w:type="dxa"/>
            <w:vAlign w:val="center"/>
          </w:tcPr>
          <w:p>
            <w:pPr>
              <w:keepNext w:val="0"/>
              <w:keepLines w:val="0"/>
              <w:pageBreakBefore w:val="0"/>
              <w:kinsoku/>
              <w:wordWrap/>
              <w:overflowPunct/>
              <w:topLinePunct w:val="0"/>
              <w:bidi w:val="0"/>
              <w:spacing w:line="440" w:lineRule="exact"/>
              <w:jc w:val="center"/>
              <w:textAlignment w:val="auto"/>
              <w:rPr>
                <w:rFonts w:ascii="宋体" w:hAnsi="宋体" w:cs="宋体"/>
                <w:b/>
                <w:color w:val="auto"/>
                <w:sz w:val="24"/>
                <w:szCs w:val="24"/>
              </w:rPr>
            </w:pPr>
            <w:r>
              <w:rPr>
                <w:rFonts w:hint="eastAsia" w:ascii="宋体" w:hAnsi="宋体" w:cs="宋体"/>
                <w:b/>
                <w:color w:val="auto"/>
                <w:sz w:val="24"/>
                <w:szCs w:val="24"/>
              </w:rPr>
              <w:t>总报价</w:t>
            </w:r>
          </w:p>
        </w:tc>
        <w:tc>
          <w:tcPr>
            <w:tcW w:w="3070" w:type="dxa"/>
            <w:shd w:val="clear" w:color="auto" w:fill="auto"/>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供货期</w:t>
            </w:r>
          </w:p>
        </w:tc>
        <w:tc>
          <w:tcPr>
            <w:tcW w:w="3057" w:type="dxa"/>
            <w:shd w:val="clear" w:color="auto" w:fill="auto"/>
            <w:vAlign w:val="center"/>
          </w:tcPr>
          <w:p>
            <w:pPr>
              <w:keepNext w:val="0"/>
              <w:keepLines w:val="0"/>
              <w:pageBreakBefore w:val="0"/>
              <w:kinsoku/>
              <w:wordWrap/>
              <w:overflowPunct/>
              <w:topLinePunct w:val="0"/>
              <w:bidi w:val="0"/>
              <w:spacing w:line="440" w:lineRule="exact"/>
              <w:jc w:val="center"/>
              <w:textAlignment w:val="auto"/>
              <w:rPr>
                <w:rFonts w:ascii="宋体" w:hAnsi="宋体" w:cs="宋体"/>
                <w:b/>
                <w:color w:val="auto"/>
                <w:sz w:val="24"/>
                <w:szCs w:val="24"/>
              </w:rPr>
            </w:pPr>
            <w:r>
              <w:rPr>
                <w:rFonts w:hint="eastAsia" w:ascii="宋体" w:hAnsi="宋体" w:cs="宋体"/>
                <w:b/>
                <w:color w:val="auto"/>
                <w:sz w:val="24"/>
                <w:szCs w:val="24"/>
              </w:rPr>
              <w:t>质保期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4" w:hRule="atLeast"/>
          <w:jc w:val="center"/>
        </w:trPr>
        <w:tc>
          <w:tcPr>
            <w:tcW w:w="3117" w:type="dxa"/>
            <w:vAlign w:val="center"/>
          </w:tcPr>
          <w:p>
            <w:pPr>
              <w:keepNext w:val="0"/>
              <w:keepLines w:val="0"/>
              <w:pageBreakBefore w:val="0"/>
              <w:widowControl/>
              <w:kinsoku/>
              <w:wordWrap/>
              <w:overflowPunct/>
              <w:topLinePunct w:val="0"/>
              <w:bidi w:val="0"/>
              <w:spacing w:line="440" w:lineRule="exact"/>
              <w:jc w:val="center"/>
              <w:textAlignment w:val="auto"/>
              <w:rPr>
                <w:rFonts w:ascii="宋体" w:hAnsi="宋体" w:cs="宋体"/>
                <w:color w:val="auto"/>
                <w:kern w:val="0"/>
                <w:sz w:val="24"/>
                <w:szCs w:val="24"/>
              </w:rPr>
            </w:pPr>
          </w:p>
        </w:tc>
        <w:tc>
          <w:tcPr>
            <w:tcW w:w="3070" w:type="dxa"/>
            <w:shd w:val="clear" w:color="auto" w:fill="auto"/>
            <w:vAlign w:val="center"/>
          </w:tcPr>
          <w:p>
            <w:pPr>
              <w:keepNext w:val="0"/>
              <w:keepLines w:val="0"/>
              <w:pageBreakBefore w:val="0"/>
              <w:widowControl/>
              <w:kinsoku/>
              <w:wordWrap/>
              <w:overflowPunct/>
              <w:topLinePunct w:val="0"/>
              <w:bidi w:val="0"/>
              <w:spacing w:line="440" w:lineRule="exact"/>
              <w:jc w:val="center"/>
              <w:textAlignment w:val="auto"/>
              <w:rPr>
                <w:rFonts w:ascii="宋体" w:hAnsi="宋体" w:cs="宋体"/>
                <w:color w:val="auto"/>
                <w:kern w:val="0"/>
                <w:sz w:val="24"/>
                <w:szCs w:val="24"/>
              </w:rPr>
            </w:pPr>
          </w:p>
        </w:tc>
        <w:tc>
          <w:tcPr>
            <w:tcW w:w="3057" w:type="dxa"/>
            <w:shd w:val="clear" w:color="auto" w:fill="auto"/>
            <w:vAlign w:val="center"/>
          </w:tcPr>
          <w:p>
            <w:pPr>
              <w:keepNext w:val="0"/>
              <w:keepLines w:val="0"/>
              <w:pageBreakBefore w:val="0"/>
              <w:widowControl/>
              <w:kinsoku/>
              <w:wordWrap/>
              <w:overflowPunct/>
              <w:topLinePunct w:val="0"/>
              <w:bidi w:val="0"/>
              <w:spacing w:line="440" w:lineRule="exact"/>
              <w:jc w:val="center"/>
              <w:textAlignment w:val="auto"/>
              <w:rPr>
                <w:rFonts w:ascii="宋体" w:hAnsi="宋体" w:cs="宋体"/>
                <w:color w:val="auto"/>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9" w:hRule="atLeast"/>
          <w:jc w:val="center"/>
        </w:trPr>
        <w:tc>
          <w:tcPr>
            <w:tcW w:w="9244" w:type="dxa"/>
            <w:gridSpan w:val="3"/>
            <w:vAlign w:val="center"/>
          </w:tcPr>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b/>
                <w:color w:val="auto"/>
                <w:sz w:val="24"/>
                <w:szCs w:val="24"/>
                <w:lang w:val="zh-CN"/>
              </w:rPr>
            </w:pPr>
            <w:r>
              <w:rPr>
                <w:rFonts w:hint="eastAsia" w:ascii="宋体" w:hAnsi="宋体" w:cs="宋体"/>
                <w:b/>
                <w:color w:val="auto"/>
                <w:sz w:val="24"/>
                <w:szCs w:val="24"/>
                <w:lang w:val="zh-CN"/>
              </w:rPr>
              <w:t>合计：</w:t>
            </w:r>
          </w:p>
          <w:p>
            <w:pPr>
              <w:keepNext w:val="0"/>
              <w:keepLines w:val="0"/>
              <w:pageBreakBefore w:val="0"/>
              <w:widowControl/>
              <w:kinsoku/>
              <w:wordWrap/>
              <w:overflowPunct/>
              <w:topLinePunct w:val="0"/>
              <w:bidi w:val="0"/>
              <w:spacing w:line="440" w:lineRule="exact"/>
              <w:jc w:val="left"/>
              <w:textAlignment w:val="auto"/>
              <w:rPr>
                <w:rFonts w:ascii="宋体" w:hAnsi="宋体" w:cs="宋体"/>
                <w:b/>
                <w:color w:val="auto"/>
                <w:sz w:val="24"/>
                <w:szCs w:val="24"/>
                <w:lang w:val="zh-CN"/>
              </w:rPr>
            </w:pPr>
            <w:r>
              <w:rPr>
                <w:rFonts w:hint="eastAsia" w:ascii="宋体" w:hAnsi="宋体" w:cs="宋体"/>
                <w:b/>
                <w:color w:val="auto"/>
                <w:sz w:val="24"/>
                <w:szCs w:val="24"/>
                <w:lang w:val="zh-CN"/>
              </w:rPr>
              <w:t xml:space="preserve">人民币：大写 </w:t>
            </w:r>
            <w:r>
              <w:rPr>
                <w:rFonts w:hint="eastAsia" w:ascii="宋体" w:hAnsi="宋体" w:cs="宋体"/>
                <w:b/>
                <w:color w:val="auto"/>
                <w:sz w:val="24"/>
                <w:szCs w:val="24"/>
                <w:u w:val="single"/>
                <w:lang w:val="zh-CN"/>
              </w:rPr>
              <w:t xml:space="preserve">                </w:t>
            </w:r>
            <w:r>
              <w:rPr>
                <w:rFonts w:hint="eastAsia" w:ascii="宋体" w:hAnsi="宋体" w:cs="宋体"/>
                <w:b/>
                <w:color w:val="auto"/>
                <w:sz w:val="24"/>
                <w:szCs w:val="24"/>
                <w:lang w:val="zh-CN"/>
              </w:rPr>
              <w:t xml:space="preserve">     </w:t>
            </w:r>
            <w:r>
              <w:rPr>
                <w:rFonts w:hint="eastAsia" w:ascii="宋体" w:hAnsi="宋体" w:cs="宋体"/>
                <w:b/>
                <w:color w:val="auto"/>
                <w:sz w:val="24"/>
                <w:szCs w:val="24"/>
              </w:rPr>
              <w:t xml:space="preserve">          </w:t>
            </w:r>
            <w:r>
              <w:rPr>
                <w:rFonts w:hint="eastAsia" w:ascii="宋体" w:hAnsi="宋体" w:cs="宋体"/>
                <w:b/>
                <w:color w:val="auto"/>
                <w:sz w:val="24"/>
                <w:szCs w:val="24"/>
                <w:lang w:val="zh-CN"/>
              </w:rPr>
              <w:t xml:space="preserve">   小写：￥</w:t>
            </w:r>
          </w:p>
        </w:tc>
      </w:tr>
    </w:tbl>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b/>
          <w:bCs/>
          <w:color w:val="auto"/>
          <w:sz w:val="28"/>
          <w:szCs w:val="28"/>
        </w:rPr>
      </w:pPr>
    </w:p>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color w:val="auto"/>
          <w:szCs w:val="21"/>
        </w:rPr>
      </w:pPr>
      <w:r>
        <w:rPr>
          <w:rFonts w:hint="eastAsia" w:ascii="宋体" w:hAnsi="宋体" w:cs="宋体"/>
          <w:color w:val="auto"/>
          <w:szCs w:val="21"/>
        </w:rPr>
        <w:t xml:space="preserve">  注：1、报价应按谈判总价填写，最多保留小数点后两位，大小写不一致时，以大写为准。</w:t>
      </w:r>
    </w:p>
    <w:p>
      <w:pPr>
        <w:keepNext w:val="0"/>
        <w:keepLines w:val="0"/>
        <w:pageBreakBefore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rPr>
      </w:pPr>
      <w:r>
        <w:rPr>
          <w:rFonts w:hint="eastAsia" w:ascii="宋体" w:hAnsi="宋体" w:cs="宋体"/>
          <w:color w:val="auto"/>
          <w:szCs w:val="21"/>
        </w:rPr>
        <w:t>2、各供应商必须严格按照上表要求填写。</w:t>
      </w:r>
    </w:p>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b/>
          <w:bCs/>
          <w:color w:val="auto"/>
          <w:sz w:val="24"/>
          <w:szCs w:val="24"/>
        </w:rPr>
      </w:pPr>
    </w:p>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b/>
          <w:bCs/>
          <w:color w:val="auto"/>
          <w:sz w:val="24"/>
          <w:szCs w:val="24"/>
        </w:rPr>
      </w:pPr>
    </w:p>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b/>
          <w:bCs/>
          <w:color w:val="auto"/>
          <w:sz w:val="24"/>
          <w:szCs w:val="24"/>
        </w:rPr>
      </w:pPr>
      <w:r>
        <w:rPr>
          <w:rFonts w:hint="eastAsia" w:ascii="宋体" w:hAnsi="宋体" w:cs="宋体"/>
          <w:b/>
          <w:bCs/>
          <w:color w:val="auto"/>
          <w:sz w:val="24"/>
          <w:szCs w:val="24"/>
        </w:rPr>
        <w:t xml:space="preserve">                                            </w:t>
      </w:r>
    </w:p>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4"/>
          <w:szCs w:val="24"/>
        </w:rPr>
      </w:pPr>
      <w:r>
        <w:rPr>
          <w:rFonts w:hint="eastAsia" w:ascii="宋体" w:hAnsi="宋体" w:cs="宋体"/>
          <w:b/>
          <w:bCs/>
          <w:color w:val="auto"/>
          <w:sz w:val="24"/>
          <w:szCs w:val="24"/>
        </w:rPr>
        <w:t xml:space="preserve">                                </w:t>
      </w:r>
    </w:p>
    <w:p>
      <w:pPr>
        <w:keepNext w:val="0"/>
        <w:keepLines w:val="0"/>
        <w:pageBreakBefore w:val="0"/>
        <w:kinsoku/>
        <w:wordWrap/>
        <w:overflowPunct/>
        <w:topLinePunct w:val="0"/>
        <w:autoSpaceDE w:val="0"/>
        <w:autoSpaceDN w:val="0"/>
        <w:bidi w:val="0"/>
        <w:adjustRightInd w:val="0"/>
        <w:snapToGrid w:val="0"/>
        <w:spacing w:line="440" w:lineRule="exact"/>
        <w:ind w:firstLine="241" w:firstLineChars="100"/>
        <w:textAlignment w:val="auto"/>
        <w:rPr>
          <w:rFonts w:ascii="宋体" w:hAnsi="宋体" w:cs="宋体"/>
          <w:b/>
          <w:color w:val="auto"/>
          <w:sz w:val="24"/>
          <w:szCs w:val="24"/>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240" w:firstLineChars="100"/>
        <w:textAlignment w:val="auto"/>
        <w:rPr>
          <w:rFonts w:ascii="宋体" w:hAnsi="宋体" w:cs="宋体"/>
          <w:color w:val="auto"/>
          <w:sz w:val="24"/>
          <w:szCs w:val="24"/>
        </w:rPr>
      </w:pPr>
      <w:r>
        <w:rPr>
          <w:rFonts w:hint="eastAsia" w:ascii="宋体" w:hAnsi="宋体" w:cs="宋体"/>
          <w:color w:val="auto"/>
          <w:sz w:val="24"/>
          <w:szCs w:val="24"/>
          <w:lang w:val="zh-CN"/>
        </w:rPr>
        <w:t>供应商名称（单位公章）：</w:t>
      </w:r>
      <w:r>
        <w:rPr>
          <w:rFonts w:hint="eastAsia" w:ascii="宋体" w:hAnsi="宋体" w:cs="宋体"/>
          <w:color w:val="auto"/>
          <w:sz w:val="24"/>
          <w:szCs w:val="24"/>
        </w:rPr>
        <w:t xml:space="preserve">                  </w:t>
      </w:r>
    </w:p>
    <w:p>
      <w:pPr>
        <w:keepNext w:val="0"/>
        <w:keepLines w:val="0"/>
        <w:pageBreakBefore w:val="0"/>
        <w:kinsoku/>
        <w:wordWrap/>
        <w:overflowPunct/>
        <w:topLinePunct w:val="0"/>
        <w:autoSpaceDE w:val="0"/>
        <w:autoSpaceDN w:val="0"/>
        <w:bidi w:val="0"/>
        <w:adjustRightInd w:val="0"/>
        <w:snapToGrid w:val="0"/>
        <w:spacing w:line="440" w:lineRule="exact"/>
        <w:ind w:firstLine="240" w:firstLineChars="100"/>
        <w:textAlignment w:val="auto"/>
        <w:rPr>
          <w:rFonts w:ascii="宋体" w:hAnsi="宋体" w:cs="宋体"/>
          <w:color w:val="auto"/>
          <w:sz w:val="24"/>
          <w:szCs w:val="24"/>
          <w:lang w:val="zh-CN"/>
        </w:rPr>
      </w:pPr>
      <w:r>
        <w:rPr>
          <w:rFonts w:hint="eastAsia" w:ascii="宋体" w:hAnsi="宋体" w:cs="宋体"/>
          <w:color w:val="auto"/>
          <w:sz w:val="24"/>
          <w:szCs w:val="24"/>
          <w:lang w:val="zh-CN"/>
        </w:rPr>
        <w:t>法定代表人或授权代表（签名或盖章）：</w:t>
      </w:r>
      <w:r>
        <w:rPr>
          <w:rFonts w:hint="eastAsia" w:ascii="宋体" w:hAnsi="宋体" w:cs="宋体"/>
          <w:color w:val="auto"/>
          <w:sz w:val="24"/>
          <w:szCs w:val="24"/>
        </w:rPr>
        <w:t xml:space="preserve">                     </w:t>
      </w:r>
      <w:r>
        <w:rPr>
          <w:rFonts w:hint="eastAsia" w:ascii="宋体" w:hAnsi="宋体" w:cs="宋体"/>
          <w:color w:val="auto"/>
          <w:sz w:val="24"/>
          <w:szCs w:val="24"/>
          <w:lang w:val="zh-CN"/>
        </w:rPr>
        <w:t>日期：</w:t>
      </w:r>
    </w:p>
    <w:p>
      <w:pPr>
        <w:keepNext w:val="0"/>
        <w:keepLines w:val="0"/>
        <w:pageBreakBefore w:val="0"/>
        <w:kinsoku/>
        <w:wordWrap/>
        <w:overflowPunct/>
        <w:topLinePunct w:val="0"/>
        <w:autoSpaceDE w:val="0"/>
        <w:autoSpaceDN w:val="0"/>
        <w:bidi w:val="0"/>
        <w:adjustRightInd w:val="0"/>
        <w:snapToGrid w:val="0"/>
        <w:spacing w:line="440" w:lineRule="exact"/>
        <w:ind w:firstLine="1820" w:firstLineChars="650"/>
        <w:textAlignment w:val="auto"/>
        <w:rPr>
          <w:rFonts w:ascii="宋体" w:hAnsi="宋体" w:cs="宋体"/>
          <w:color w:val="auto"/>
          <w:sz w:val="28"/>
          <w:szCs w:val="28"/>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1820" w:firstLineChars="650"/>
        <w:textAlignment w:val="auto"/>
        <w:rPr>
          <w:rFonts w:ascii="宋体" w:hAnsi="宋体" w:cs="宋体"/>
          <w:color w:val="auto"/>
          <w:sz w:val="28"/>
          <w:szCs w:val="28"/>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1820" w:firstLineChars="650"/>
        <w:textAlignment w:val="auto"/>
        <w:rPr>
          <w:rFonts w:ascii="宋体" w:hAnsi="宋体" w:cs="宋体"/>
          <w:color w:val="auto"/>
          <w:sz w:val="28"/>
          <w:szCs w:val="28"/>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1820" w:firstLineChars="650"/>
        <w:textAlignment w:val="auto"/>
        <w:rPr>
          <w:rFonts w:ascii="宋体" w:hAnsi="宋体" w:cs="宋体"/>
          <w:color w:val="auto"/>
          <w:sz w:val="28"/>
          <w:szCs w:val="28"/>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1820" w:firstLineChars="650"/>
        <w:textAlignment w:val="auto"/>
        <w:rPr>
          <w:rFonts w:ascii="宋体" w:hAnsi="宋体" w:cs="宋体"/>
          <w:color w:val="auto"/>
          <w:sz w:val="28"/>
          <w:szCs w:val="28"/>
          <w:lang w:val="zh-CN"/>
        </w:rPr>
      </w:pPr>
    </w:p>
    <w:p>
      <w:pPr>
        <w:keepNext w:val="0"/>
        <w:keepLines w:val="0"/>
        <w:pageBreakBefore w:val="0"/>
        <w:kinsoku/>
        <w:wordWrap/>
        <w:overflowPunct/>
        <w:topLinePunct w:val="0"/>
        <w:autoSpaceDE w:val="0"/>
        <w:autoSpaceDN w:val="0"/>
        <w:bidi w:val="0"/>
        <w:adjustRightInd w:val="0"/>
        <w:snapToGrid w:val="0"/>
        <w:spacing w:line="440" w:lineRule="exact"/>
        <w:textAlignment w:val="auto"/>
        <w:rPr>
          <w:rFonts w:ascii="宋体" w:hAnsi="宋体" w:cs="宋体"/>
          <w:color w:val="auto"/>
          <w:sz w:val="28"/>
          <w:szCs w:val="28"/>
          <w:lang w:val="zh-CN"/>
        </w:rPr>
      </w:pPr>
    </w:p>
    <w:p>
      <w:pPr>
        <w:pStyle w:val="35"/>
        <w:rPr>
          <w:rFonts w:ascii="宋体" w:hAnsi="宋体" w:cs="宋体"/>
          <w:color w:val="auto"/>
          <w:sz w:val="28"/>
          <w:szCs w:val="28"/>
          <w:lang w:val="zh-CN"/>
        </w:rPr>
      </w:pPr>
    </w:p>
    <w:p>
      <w:pPr>
        <w:rPr>
          <w:rFonts w:ascii="宋体" w:hAnsi="宋体" w:cs="宋体"/>
          <w:color w:val="auto"/>
          <w:sz w:val="28"/>
          <w:szCs w:val="28"/>
          <w:lang w:val="zh-CN"/>
        </w:rPr>
      </w:pPr>
    </w:p>
    <w:p>
      <w:pPr>
        <w:rPr>
          <w:color w:val="auto"/>
          <w:lang w:val="zh-CN"/>
        </w:rPr>
      </w:pPr>
    </w:p>
    <w:p>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宋体" w:hAnsi="宋体" w:cs="宋体"/>
          <w:b/>
          <w:color w:val="auto"/>
          <w:sz w:val="36"/>
          <w:szCs w:val="36"/>
        </w:rPr>
      </w:pPr>
      <w:r>
        <w:rPr>
          <w:rFonts w:hint="eastAsia" w:ascii="宋体" w:hAnsi="宋体" w:cs="宋体"/>
          <w:b/>
          <w:bCs/>
          <w:color w:val="auto"/>
          <w:sz w:val="28"/>
          <w:szCs w:val="28"/>
          <w:lang w:val="zh-CN"/>
        </w:rPr>
        <w:t>第三部分   分项报价表</w:t>
      </w:r>
    </w:p>
    <w:p>
      <w:pPr>
        <w:keepNext w:val="0"/>
        <w:keepLines w:val="0"/>
        <w:pageBreakBefore w:val="0"/>
        <w:kinsoku/>
        <w:wordWrap/>
        <w:overflowPunct/>
        <w:topLinePunct w:val="0"/>
        <w:bidi w:val="0"/>
        <w:spacing w:line="440" w:lineRule="exact"/>
        <w:jc w:val="left"/>
        <w:textAlignment w:val="auto"/>
        <w:rPr>
          <w:rFonts w:ascii="宋体" w:hAnsi="宋体" w:cs="宋体"/>
          <w:color w:val="auto"/>
          <w:sz w:val="24"/>
          <w:szCs w:val="24"/>
        </w:rPr>
      </w:pPr>
    </w:p>
    <w:p>
      <w:pPr>
        <w:keepNext w:val="0"/>
        <w:keepLines w:val="0"/>
        <w:pageBreakBefore w:val="0"/>
        <w:kinsoku/>
        <w:wordWrap/>
        <w:overflowPunct/>
        <w:topLinePunct w:val="0"/>
        <w:bidi w:val="0"/>
        <w:spacing w:line="440" w:lineRule="exact"/>
        <w:ind w:firstLine="240" w:firstLineChars="100"/>
        <w:jc w:val="left"/>
        <w:textAlignment w:val="auto"/>
        <w:rPr>
          <w:rFonts w:hint="eastAsia" w:ascii="宋体" w:hAnsi="宋体" w:cs="宋体"/>
          <w:color w:val="auto"/>
          <w:sz w:val="24"/>
          <w:szCs w:val="24"/>
        </w:rPr>
      </w:pPr>
      <w:r>
        <w:rPr>
          <w:rFonts w:hint="eastAsia" w:ascii="宋体" w:hAnsi="宋体" w:cs="宋体"/>
          <w:color w:val="auto"/>
          <w:sz w:val="24"/>
          <w:szCs w:val="24"/>
        </w:rPr>
        <w:t xml:space="preserve">供应商名称：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项目编号：</w:t>
      </w:r>
    </w:p>
    <w:tbl>
      <w:tblPr>
        <w:tblStyle w:val="3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71"/>
        <w:gridCol w:w="812"/>
        <w:gridCol w:w="1393"/>
        <w:gridCol w:w="837"/>
        <w:gridCol w:w="837"/>
        <w:gridCol w:w="837"/>
        <w:gridCol w:w="661"/>
        <w:gridCol w:w="985"/>
        <w:gridCol w:w="81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Borders>
              <w:top w:val="double" w:color="auto" w:sz="4" w:space="0"/>
              <w:left w:val="doub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pacing w:val="-20"/>
                <w:szCs w:val="24"/>
                <w:highlight w:val="none"/>
              </w:rPr>
              <w:t>序号</w:t>
            </w:r>
          </w:p>
        </w:tc>
        <w:tc>
          <w:tcPr>
            <w:tcW w:w="416"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设备名称</w:t>
            </w:r>
          </w:p>
        </w:tc>
        <w:tc>
          <w:tcPr>
            <w:tcW w:w="438"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品牌</w:t>
            </w:r>
          </w:p>
        </w:tc>
        <w:tc>
          <w:tcPr>
            <w:tcW w:w="751"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规格型号</w:t>
            </w:r>
          </w:p>
        </w:tc>
        <w:tc>
          <w:tcPr>
            <w:tcW w:w="451"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default" w:ascii="宋体" w:hAnsi="宋体" w:eastAsia="宋体" w:cs="宋体"/>
                <w:color w:val="auto"/>
                <w:szCs w:val="24"/>
                <w:highlight w:val="none"/>
                <w:lang w:val="en-US" w:eastAsia="zh-CN"/>
              </w:rPr>
            </w:pPr>
            <w:r>
              <w:rPr>
                <w:rFonts w:hint="eastAsia" w:hAnsi="宋体" w:cs="宋体"/>
                <w:color w:val="auto"/>
                <w:spacing w:val="-20"/>
                <w:szCs w:val="24"/>
                <w:highlight w:val="none"/>
                <w:lang w:val="en-US" w:eastAsia="zh-CN"/>
              </w:rPr>
              <w:t>制造厂家名称</w:t>
            </w:r>
          </w:p>
        </w:tc>
        <w:tc>
          <w:tcPr>
            <w:tcW w:w="451"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textAlignment w:val="auto"/>
              <w:rPr>
                <w:rFonts w:hint="eastAsia" w:ascii="宋体" w:hAnsi="宋体" w:eastAsia="宋体" w:cs="宋体"/>
                <w:color w:val="auto"/>
                <w:szCs w:val="24"/>
                <w:highlight w:val="none"/>
              </w:rPr>
            </w:pPr>
            <w:r>
              <w:rPr>
                <w:rFonts w:hint="eastAsia" w:hAnsi="宋体" w:cs="宋体"/>
                <w:color w:val="auto"/>
                <w:spacing w:val="-20"/>
                <w:szCs w:val="24"/>
                <w:highlight w:val="none"/>
                <w:lang w:val="en-US" w:eastAsia="zh-CN"/>
              </w:rPr>
              <w:t>制造厂家类型</w:t>
            </w:r>
          </w:p>
        </w:tc>
        <w:tc>
          <w:tcPr>
            <w:tcW w:w="451"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356"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数量</w:t>
            </w:r>
          </w:p>
        </w:tc>
        <w:tc>
          <w:tcPr>
            <w:tcW w:w="531"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单价(元)</w:t>
            </w:r>
          </w:p>
        </w:tc>
        <w:tc>
          <w:tcPr>
            <w:tcW w:w="440" w:type="pct"/>
            <w:tcBorders>
              <w:top w:val="double" w:color="auto" w:sz="4" w:space="0"/>
              <w:left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合计(元)</w:t>
            </w:r>
          </w:p>
        </w:tc>
        <w:tc>
          <w:tcPr>
            <w:tcW w:w="466" w:type="pct"/>
            <w:tcBorders>
              <w:top w:val="double" w:color="auto" w:sz="4" w:space="0"/>
              <w:left w:val="single" w:color="auto" w:sz="4" w:space="0"/>
              <w:right w:val="double" w:color="auto" w:sz="4" w:space="0"/>
            </w:tcBorders>
            <w:vAlign w:val="center"/>
          </w:tcPr>
          <w:p>
            <w:pPr>
              <w:pStyle w:val="21"/>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 w:type="pct"/>
            <w:tcBorders>
              <w:left w:val="doub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416"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38"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7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356"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53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40"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66" w:type="pct"/>
            <w:tcBorders>
              <w:left w:val="single" w:color="auto" w:sz="4" w:space="0"/>
              <w:right w:val="doub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5" w:type="pct"/>
            <w:tcBorders>
              <w:left w:val="double" w:color="auto" w:sz="4" w:space="0"/>
              <w:right w:val="single" w:color="auto" w:sz="4" w:space="0"/>
            </w:tcBorders>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p>
        </w:tc>
        <w:tc>
          <w:tcPr>
            <w:tcW w:w="416"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38"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7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356"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53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40"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66" w:type="pct"/>
            <w:tcBorders>
              <w:left w:val="single" w:color="auto" w:sz="4" w:space="0"/>
              <w:right w:val="doub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45" w:type="pct"/>
            <w:tcBorders>
              <w:left w:val="double" w:color="auto" w:sz="4" w:space="0"/>
              <w:right w:val="single" w:color="auto" w:sz="4" w:space="0"/>
            </w:tcBorders>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N</w:t>
            </w:r>
          </w:p>
        </w:tc>
        <w:tc>
          <w:tcPr>
            <w:tcW w:w="416"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38"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7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5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356"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531"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40" w:type="pct"/>
            <w:tcBorders>
              <w:left w:val="single" w:color="auto" w:sz="4" w:space="0"/>
              <w:right w:val="sing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c>
          <w:tcPr>
            <w:tcW w:w="466" w:type="pct"/>
            <w:tcBorders>
              <w:left w:val="single" w:color="auto" w:sz="4" w:space="0"/>
              <w:right w:val="double" w:color="auto" w:sz="4" w:space="0"/>
            </w:tcBorders>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11"/>
            <w:tcBorders>
              <w:left w:val="double" w:color="auto" w:sz="4" w:space="0"/>
              <w:right w:val="double" w:color="auto" w:sz="4" w:space="0"/>
            </w:tcBorders>
          </w:tcPr>
          <w:p>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2"/>
                <w:highlight w:val="none"/>
              </w:rPr>
            </w:pPr>
            <w:r>
              <w:rPr>
                <w:rFonts w:hint="eastAsia" w:ascii="宋体" w:hAnsi="宋体" w:eastAsia="宋体" w:cs="宋体"/>
                <w:color w:val="auto"/>
                <w:spacing w:val="-6"/>
                <w:sz w:val="24"/>
                <w:szCs w:val="24"/>
                <w:highlight w:val="none"/>
              </w:rPr>
              <w:t>总报价（人民币大写）：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11"/>
            <w:tcBorders>
              <w:left w:val="double" w:color="auto" w:sz="4" w:space="0"/>
              <w:right w:val="double" w:color="auto" w:sz="4" w:space="0"/>
            </w:tcBorders>
          </w:tcPr>
          <w:p>
            <w:pPr>
              <w:keepNext w:val="0"/>
              <w:keepLines w:val="0"/>
              <w:pageBreakBefore w:val="0"/>
              <w:kinsoku/>
              <w:wordWrap/>
              <w:overflowPunct/>
              <w:topLinePunct w:val="0"/>
              <w:bidi w:val="0"/>
              <w:spacing w:line="440" w:lineRule="exact"/>
              <w:textAlignment w:val="auto"/>
              <w:rPr>
                <w:rFonts w:hint="default"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其中：中小企业产品占总报价比重</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none"/>
                <w:lang w:val="en-US" w:eastAsia="zh-CN"/>
              </w:rPr>
              <w:t>，小微企业产品占总报价比重</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11"/>
            <w:tcBorders>
              <w:left w:val="double" w:color="auto" w:sz="4" w:space="0"/>
              <w:bottom w:val="double" w:color="auto" w:sz="4" w:space="0"/>
              <w:right w:val="double" w:color="auto" w:sz="4" w:space="0"/>
            </w:tcBorders>
          </w:tcPr>
          <w:p>
            <w:pPr>
              <w:keepNext w:val="0"/>
              <w:keepLines w:val="0"/>
              <w:pageBreakBefore w:val="0"/>
              <w:kinsoku/>
              <w:wordWrap/>
              <w:overflowPunct/>
              <w:topLinePunct w:val="0"/>
              <w:bidi w:val="0"/>
              <w:spacing w:line="440" w:lineRule="exact"/>
              <w:textAlignment w:val="auto"/>
              <w:rPr>
                <w:rFonts w:hint="eastAsia"/>
                <w:b/>
                <w:bCs/>
                <w:color w:val="auto"/>
                <w:sz w:val="21"/>
                <w:szCs w:val="21"/>
                <w:highlight w:val="none"/>
              </w:rPr>
            </w:pPr>
            <w:r>
              <w:rPr>
                <w:rFonts w:hint="eastAsia"/>
                <w:b/>
                <w:bCs/>
                <w:color w:val="auto"/>
                <w:sz w:val="21"/>
                <w:szCs w:val="21"/>
                <w:highlight w:val="none"/>
              </w:rPr>
              <w:t>备注：</w:t>
            </w:r>
          </w:p>
          <w:p>
            <w:pPr>
              <w:keepNext w:val="0"/>
              <w:keepLines w:val="0"/>
              <w:pageBreakBefore w:val="0"/>
              <w:numPr>
                <w:ilvl w:val="0"/>
                <w:numId w:val="11"/>
              </w:numPr>
              <w:kinsoku/>
              <w:wordWrap/>
              <w:overflowPunct/>
              <w:topLinePunct w:val="0"/>
              <w:bidi w:val="0"/>
              <w:spacing w:line="440" w:lineRule="exact"/>
              <w:ind w:left="210" w:leftChars="0" w:firstLineChars="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表内报价内容以元为单位，保留小数点后两位。</w:t>
            </w:r>
          </w:p>
          <w:p>
            <w:pPr>
              <w:keepNext w:val="0"/>
              <w:keepLines w:val="0"/>
              <w:pageBreakBefore w:val="0"/>
              <w:numPr>
                <w:ilvl w:val="0"/>
                <w:numId w:val="11"/>
              </w:numPr>
              <w:kinsoku/>
              <w:wordWrap/>
              <w:overflowPunct/>
              <w:topLinePunct w:val="0"/>
              <w:bidi w:val="0"/>
              <w:spacing w:line="440" w:lineRule="exact"/>
              <w:ind w:left="210" w:leftChars="0" w:firstLineChars="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“分项报价表”各分项报价合计应当与“第一次谈判报价表”总报价相等；</w:t>
            </w:r>
          </w:p>
          <w:p>
            <w:pPr>
              <w:keepNext w:val="0"/>
              <w:keepLines w:val="0"/>
              <w:pageBreakBefore w:val="0"/>
              <w:numPr>
                <w:ilvl w:val="0"/>
                <w:numId w:val="11"/>
              </w:numPr>
              <w:kinsoku/>
              <w:wordWrap/>
              <w:overflowPunct/>
              <w:topLinePunct w:val="0"/>
              <w:bidi w:val="0"/>
              <w:spacing w:line="440" w:lineRule="exact"/>
              <w:ind w:left="210" w:leftChars="0" w:firstLineChars="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如果按单价计算的结果与金额不一致时，以单价为准修正金额；</w:t>
            </w:r>
          </w:p>
          <w:p>
            <w:pPr>
              <w:keepNext w:val="0"/>
              <w:keepLines w:val="0"/>
              <w:pageBreakBefore w:val="0"/>
              <w:numPr>
                <w:ilvl w:val="0"/>
                <w:numId w:val="11"/>
              </w:numPr>
              <w:kinsoku/>
              <w:wordWrap/>
              <w:overflowPunct/>
              <w:topLinePunct w:val="0"/>
              <w:bidi w:val="0"/>
              <w:spacing w:line="440" w:lineRule="exact"/>
              <w:ind w:left="210" w:leftChars="0" w:firstLineChars="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lang w:val="en-US" w:eastAsia="zh-CN"/>
              </w:rPr>
              <w:t>制造厂家类型</w:t>
            </w: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lang w:val="en-US" w:eastAsia="zh-CN"/>
              </w:rPr>
              <w:t>填写“大型”或“中型”或“小型”或“微型”，且与中小企业声明函中声明的必须一致。</w:t>
            </w:r>
          </w:p>
          <w:p>
            <w:pPr>
              <w:keepNext w:val="0"/>
              <w:keepLines w:val="0"/>
              <w:pageBreakBefore w:val="0"/>
              <w:numPr>
                <w:ilvl w:val="0"/>
                <w:numId w:val="11"/>
              </w:numPr>
              <w:kinsoku/>
              <w:wordWrap/>
              <w:overflowPunct/>
              <w:topLinePunct w:val="0"/>
              <w:bidi w:val="0"/>
              <w:spacing w:line="440" w:lineRule="exact"/>
              <w:ind w:left="210" w:leftChars="0" w:firstLineChars="0"/>
              <w:textAlignment w:val="auto"/>
              <w:rPr>
                <w:rFonts w:hint="eastAsia"/>
                <w:color w:val="auto"/>
                <w:highlight w:val="none"/>
              </w:rPr>
            </w:pPr>
            <w:r>
              <w:rPr>
                <w:rFonts w:hint="eastAsia" w:ascii="Times New Roman" w:hAnsi="Times New Roman" w:eastAsia="宋体" w:cs="Times New Roman"/>
                <w:b/>
                <w:bCs/>
                <w:color w:val="auto"/>
                <w:sz w:val="21"/>
                <w:szCs w:val="21"/>
                <w:highlight w:val="none"/>
                <w:lang w:val="en-US" w:eastAsia="zh-CN"/>
              </w:rPr>
              <w:t>请供应商如实填写中小企业产品占总报价比重</w:t>
            </w:r>
            <w:r>
              <w:rPr>
                <w:rFonts w:hint="eastAsia" w:cs="Times New Roman"/>
                <w:b/>
                <w:bCs/>
                <w:color w:val="auto"/>
                <w:sz w:val="21"/>
                <w:szCs w:val="21"/>
                <w:highlight w:val="none"/>
                <w:lang w:val="en-US" w:eastAsia="zh-CN"/>
              </w:rPr>
              <w:t>、小微企业产品占总报价比重。</w:t>
            </w:r>
          </w:p>
          <w:p>
            <w:pPr>
              <w:keepNext w:val="0"/>
              <w:keepLines w:val="0"/>
              <w:pageBreakBefore w:val="0"/>
              <w:numPr>
                <w:ilvl w:val="0"/>
                <w:numId w:val="11"/>
              </w:numPr>
              <w:kinsoku/>
              <w:wordWrap/>
              <w:overflowPunct/>
              <w:topLinePunct w:val="0"/>
              <w:bidi w:val="0"/>
              <w:spacing w:line="440" w:lineRule="exact"/>
              <w:ind w:left="210" w:leftChars="0" w:firstLineChars="0"/>
              <w:textAlignment w:val="auto"/>
              <w:rPr>
                <w:rFonts w:hint="eastAsia"/>
                <w:color w:val="auto"/>
                <w:highlight w:val="none"/>
              </w:rPr>
            </w:pPr>
            <w:r>
              <w:rPr>
                <w:rFonts w:hint="eastAsia" w:ascii="Times New Roman" w:hAnsi="Times New Roman" w:eastAsia="宋体" w:cs="Times New Roman"/>
                <w:b/>
                <w:bCs/>
                <w:color w:val="auto"/>
                <w:sz w:val="21"/>
                <w:szCs w:val="21"/>
                <w:highlight w:val="none"/>
                <w:lang w:val="en-US" w:eastAsia="zh-CN"/>
              </w:rPr>
              <w:t>此表将随中标/成交结果公告一同公示。</w:t>
            </w:r>
          </w:p>
        </w:tc>
      </w:tr>
    </w:tbl>
    <w:p>
      <w:pPr>
        <w:keepNext w:val="0"/>
        <w:keepLines w:val="0"/>
        <w:pageBreakBefore w:val="0"/>
        <w:kinsoku/>
        <w:wordWrap/>
        <w:overflowPunct/>
        <w:topLinePunct w:val="0"/>
        <w:autoSpaceDE w:val="0"/>
        <w:autoSpaceDN w:val="0"/>
        <w:bidi w:val="0"/>
        <w:adjustRightInd w:val="0"/>
        <w:snapToGrid w:val="0"/>
        <w:spacing w:line="440" w:lineRule="exact"/>
        <w:ind w:firstLine="240" w:firstLineChars="100"/>
        <w:textAlignment w:val="auto"/>
        <w:rPr>
          <w:rFonts w:hint="eastAsia" w:ascii="宋体" w:hAnsi="宋体" w:cs="宋体"/>
          <w:color w:val="auto"/>
          <w:sz w:val="24"/>
          <w:szCs w:val="24"/>
          <w:lang w:val="zh-CN"/>
        </w:rPr>
      </w:pPr>
    </w:p>
    <w:p>
      <w:pPr>
        <w:pStyle w:val="35"/>
        <w:keepNext w:val="0"/>
        <w:keepLines w:val="0"/>
        <w:pageBreakBefore w:val="0"/>
        <w:kinsoku/>
        <w:wordWrap/>
        <w:overflowPunct/>
        <w:topLinePunct w:val="0"/>
        <w:bidi w:val="0"/>
        <w:spacing w:line="440" w:lineRule="exact"/>
        <w:textAlignment w:val="auto"/>
        <w:rPr>
          <w:rFonts w:hint="eastAsia" w:ascii="宋体" w:hAnsi="宋体" w:cs="宋体"/>
          <w:color w:val="auto"/>
          <w:sz w:val="24"/>
          <w:szCs w:val="24"/>
          <w:lang w:val="zh-CN"/>
        </w:rPr>
      </w:pPr>
    </w:p>
    <w:p>
      <w:pPr>
        <w:keepNext w:val="0"/>
        <w:keepLines w:val="0"/>
        <w:pageBreakBefore w:val="0"/>
        <w:kinsoku/>
        <w:wordWrap/>
        <w:overflowPunct/>
        <w:topLinePunct w:val="0"/>
        <w:bidi w:val="0"/>
        <w:spacing w:line="440" w:lineRule="exact"/>
        <w:textAlignment w:val="auto"/>
        <w:rPr>
          <w:rFonts w:hint="eastAsia"/>
          <w:color w:val="auto"/>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240" w:firstLineChars="100"/>
        <w:textAlignment w:val="auto"/>
        <w:rPr>
          <w:rFonts w:hint="eastAsia" w:ascii="宋体" w:hAnsi="宋体" w:cs="宋体"/>
          <w:color w:val="auto"/>
          <w:sz w:val="24"/>
          <w:szCs w:val="24"/>
          <w:lang w:val="zh-CN"/>
        </w:rPr>
      </w:pPr>
    </w:p>
    <w:p>
      <w:pPr>
        <w:keepNext w:val="0"/>
        <w:keepLines w:val="0"/>
        <w:pageBreakBefore w:val="0"/>
        <w:kinsoku/>
        <w:wordWrap/>
        <w:overflowPunct/>
        <w:topLinePunct w:val="0"/>
        <w:autoSpaceDE w:val="0"/>
        <w:autoSpaceDN w:val="0"/>
        <w:bidi w:val="0"/>
        <w:adjustRightInd w:val="0"/>
        <w:snapToGrid w:val="0"/>
        <w:spacing w:line="440" w:lineRule="exact"/>
        <w:ind w:firstLine="240" w:firstLineChars="100"/>
        <w:textAlignment w:val="auto"/>
        <w:rPr>
          <w:rFonts w:ascii="宋体" w:hAnsi="宋体" w:cs="宋体"/>
          <w:color w:val="auto"/>
          <w:sz w:val="24"/>
          <w:szCs w:val="24"/>
          <w:lang w:val="zh-CN"/>
        </w:rPr>
      </w:pPr>
      <w:r>
        <w:rPr>
          <w:rFonts w:hint="eastAsia" w:ascii="宋体" w:hAnsi="宋体" w:cs="宋体"/>
          <w:color w:val="auto"/>
          <w:sz w:val="24"/>
          <w:szCs w:val="24"/>
          <w:lang w:val="zh-CN"/>
        </w:rPr>
        <w:t>供应商名称：（盖章）</w:t>
      </w:r>
    </w:p>
    <w:p>
      <w:pPr>
        <w:keepNext w:val="0"/>
        <w:keepLines w:val="0"/>
        <w:pageBreakBefore w:val="0"/>
        <w:kinsoku/>
        <w:wordWrap/>
        <w:overflowPunct/>
        <w:topLinePunct w:val="0"/>
        <w:autoSpaceDE w:val="0"/>
        <w:autoSpaceDN w:val="0"/>
        <w:bidi w:val="0"/>
        <w:adjustRightInd w:val="0"/>
        <w:snapToGrid w:val="0"/>
        <w:spacing w:line="440" w:lineRule="exact"/>
        <w:ind w:firstLine="240" w:firstLineChars="100"/>
        <w:textAlignment w:val="auto"/>
        <w:rPr>
          <w:rFonts w:ascii="宋体" w:hAnsi="宋体" w:cs="宋体"/>
          <w:color w:val="auto"/>
          <w:sz w:val="24"/>
          <w:szCs w:val="24"/>
          <w:lang w:val="zh-CN"/>
        </w:rPr>
      </w:pPr>
      <w:r>
        <w:rPr>
          <w:rFonts w:hint="eastAsia" w:ascii="宋体" w:hAnsi="宋体" w:cs="宋体"/>
          <w:color w:val="auto"/>
          <w:sz w:val="24"/>
          <w:szCs w:val="24"/>
          <w:lang w:val="zh-CN"/>
        </w:rPr>
        <w:t>法定代表人或授权代表（签名或盖章）：         日期：</w:t>
      </w:r>
    </w:p>
    <w:p>
      <w:pPr>
        <w:pStyle w:val="17"/>
        <w:keepNext w:val="0"/>
        <w:keepLines w:val="0"/>
        <w:pageBreakBefore w:val="0"/>
        <w:kinsoku/>
        <w:wordWrap/>
        <w:overflowPunct/>
        <w:topLinePunct w:val="0"/>
        <w:bidi w:val="0"/>
        <w:spacing w:line="440" w:lineRule="exact"/>
        <w:textAlignment w:val="auto"/>
        <w:rPr>
          <w:rFonts w:ascii="宋体" w:hAnsi="宋体" w:cs="宋体"/>
          <w:color w:val="auto"/>
        </w:rPr>
      </w:pPr>
    </w:p>
    <w:p>
      <w:pPr>
        <w:pStyle w:val="30"/>
        <w:keepNext w:val="0"/>
        <w:keepLines w:val="0"/>
        <w:pageBreakBefore w:val="0"/>
        <w:kinsoku/>
        <w:wordWrap/>
        <w:overflowPunct/>
        <w:topLinePunct w:val="0"/>
        <w:bidi w:val="0"/>
        <w:spacing w:line="440" w:lineRule="exact"/>
        <w:textAlignment w:val="auto"/>
        <w:rPr>
          <w:rFonts w:ascii="宋体" w:hAnsi="宋体" w:eastAsia="宋体" w:cs="宋体"/>
          <w:color w:val="auto"/>
        </w:rPr>
      </w:pPr>
    </w:p>
    <w:p>
      <w:pPr>
        <w:pStyle w:val="30"/>
        <w:keepNext w:val="0"/>
        <w:keepLines w:val="0"/>
        <w:pageBreakBefore w:val="0"/>
        <w:kinsoku/>
        <w:wordWrap/>
        <w:overflowPunct/>
        <w:topLinePunct w:val="0"/>
        <w:bidi w:val="0"/>
        <w:spacing w:line="440" w:lineRule="exact"/>
        <w:textAlignment w:val="auto"/>
        <w:rPr>
          <w:rFonts w:ascii="宋体" w:hAnsi="宋体" w:eastAsia="宋体" w:cs="宋体"/>
          <w:color w:val="auto"/>
        </w:rPr>
      </w:pPr>
    </w:p>
    <w:p>
      <w:pPr>
        <w:pStyle w:val="30"/>
        <w:keepNext w:val="0"/>
        <w:keepLines w:val="0"/>
        <w:pageBreakBefore w:val="0"/>
        <w:kinsoku/>
        <w:wordWrap/>
        <w:overflowPunct/>
        <w:topLinePunct w:val="0"/>
        <w:bidi w:val="0"/>
        <w:spacing w:line="440" w:lineRule="exact"/>
        <w:textAlignment w:val="auto"/>
        <w:rPr>
          <w:rFonts w:ascii="宋体" w:hAnsi="宋体" w:eastAsia="宋体" w:cs="宋体"/>
          <w:color w:val="auto"/>
        </w:rPr>
      </w:pPr>
    </w:p>
    <w:p>
      <w:pPr>
        <w:keepNext w:val="0"/>
        <w:keepLines w:val="0"/>
        <w:pageBreakBefore w:val="0"/>
        <w:kinsoku/>
        <w:wordWrap/>
        <w:overflowPunct/>
        <w:topLinePunct w:val="0"/>
        <w:bidi w:val="0"/>
        <w:adjustRightInd w:val="0"/>
        <w:snapToGrid w:val="0"/>
        <w:spacing w:line="440" w:lineRule="exact"/>
        <w:jc w:val="center"/>
        <w:textAlignment w:val="auto"/>
        <w:rPr>
          <w:rFonts w:ascii="宋体" w:hAnsi="宋体" w:cs="宋体"/>
          <w:b/>
          <w:bCs/>
          <w:color w:val="auto"/>
          <w:sz w:val="28"/>
          <w:szCs w:val="28"/>
          <w:lang w:val="zh-CN"/>
        </w:rPr>
      </w:pPr>
      <w:r>
        <w:rPr>
          <w:rFonts w:hint="eastAsia" w:ascii="宋体" w:hAnsi="宋体" w:cs="宋体"/>
          <w:b/>
          <w:bCs/>
          <w:color w:val="auto"/>
          <w:sz w:val="28"/>
          <w:szCs w:val="28"/>
        </w:rPr>
        <w:t>第四部分  货物</w:t>
      </w:r>
      <w:r>
        <w:rPr>
          <w:rFonts w:hint="eastAsia" w:ascii="宋体" w:hAnsi="宋体" w:cs="宋体"/>
          <w:b/>
          <w:bCs/>
          <w:color w:val="auto"/>
          <w:sz w:val="28"/>
          <w:szCs w:val="28"/>
          <w:lang w:val="zh-CN"/>
        </w:rPr>
        <w:t>说明一览表</w:t>
      </w:r>
    </w:p>
    <w:p>
      <w:pPr>
        <w:pStyle w:val="12"/>
        <w:keepNext w:val="0"/>
        <w:keepLines w:val="0"/>
        <w:pageBreakBefore w:val="0"/>
        <w:kinsoku/>
        <w:wordWrap/>
        <w:overflowPunct/>
        <w:topLinePunct w:val="0"/>
        <w:bidi w:val="0"/>
        <w:spacing w:line="440" w:lineRule="exact"/>
        <w:ind w:firstLine="140" w:firstLineChars="67"/>
        <w:textAlignment w:val="auto"/>
        <w:rPr>
          <w:rFonts w:ascii="宋体" w:hAnsi="宋体" w:cs="宋体"/>
          <w:color w:val="auto"/>
          <w:szCs w:val="21"/>
        </w:rPr>
      </w:pPr>
    </w:p>
    <w:p>
      <w:pPr>
        <w:pStyle w:val="12"/>
        <w:keepNext w:val="0"/>
        <w:keepLines w:val="0"/>
        <w:pageBreakBefore w:val="0"/>
        <w:kinsoku/>
        <w:wordWrap/>
        <w:overflowPunct/>
        <w:topLinePunct w:val="0"/>
        <w:bidi w:val="0"/>
        <w:spacing w:line="440" w:lineRule="exact"/>
        <w:ind w:firstLine="160" w:firstLineChars="67"/>
        <w:textAlignment w:val="auto"/>
        <w:rPr>
          <w:rFonts w:ascii="宋体" w:hAnsi="宋体" w:cs="宋体"/>
          <w:color w:val="auto"/>
          <w:sz w:val="24"/>
          <w:szCs w:val="24"/>
        </w:rPr>
      </w:pPr>
      <w:r>
        <w:rPr>
          <w:rFonts w:hint="eastAsia" w:ascii="宋体" w:hAnsi="宋体" w:cs="宋体"/>
          <w:color w:val="auto"/>
          <w:sz w:val="24"/>
          <w:szCs w:val="24"/>
        </w:rPr>
        <w:t>供应商名称:                                       项目编号：</w:t>
      </w:r>
    </w:p>
    <w:p>
      <w:pPr>
        <w:keepNext w:val="0"/>
        <w:keepLines w:val="0"/>
        <w:pageBreakBefore w:val="0"/>
        <w:kinsoku/>
        <w:wordWrap/>
        <w:overflowPunct/>
        <w:topLinePunct w:val="0"/>
        <w:bidi w:val="0"/>
        <w:spacing w:line="440" w:lineRule="exact"/>
        <w:textAlignment w:val="auto"/>
        <w:rPr>
          <w:color w:val="auto"/>
        </w:rPr>
      </w:pPr>
    </w:p>
    <w:tbl>
      <w:tblPr>
        <w:tblStyle w:val="3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74"/>
        <w:gridCol w:w="1203"/>
        <w:gridCol w:w="1963"/>
        <w:gridCol w:w="1317"/>
        <w:gridCol w:w="1051"/>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序号</w:t>
            </w:r>
          </w:p>
        </w:tc>
        <w:tc>
          <w:tcPr>
            <w:tcW w:w="1374"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货物名称</w:t>
            </w:r>
          </w:p>
        </w:tc>
        <w:tc>
          <w:tcPr>
            <w:tcW w:w="1203"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品牌</w:t>
            </w:r>
          </w:p>
        </w:tc>
        <w:tc>
          <w:tcPr>
            <w:tcW w:w="1963"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规格技术参数</w:t>
            </w:r>
          </w:p>
        </w:tc>
        <w:tc>
          <w:tcPr>
            <w:tcW w:w="1317"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生产厂家</w:t>
            </w:r>
          </w:p>
        </w:tc>
        <w:tc>
          <w:tcPr>
            <w:tcW w:w="1051"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数量</w:t>
            </w:r>
          </w:p>
        </w:tc>
        <w:tc>
          <w:tcPr>
            <w:tcW w:w="1562" w:type="dxa"/>
            <w:vAlign w:val="center"/>
          </w:tcPr>
          <w:p>
            <w:pPr>
              <w:keepNext w:val="0"/>
              <w:keepLines w:val="0"/>
              <w:pageBreakBefore w:val="0"/>
              <w:kinsoku/>
              <w:wordWrap/>
              <w:overflowPunct/>
              <w:topLinePunct w:val="0"/>
              <w:bidi w:val="0"/>
              <w:snapToGrid w:val="0"/>
              <w:spacing w:line="440" w:lineRule="exact"/>
              <w:ind w:firstLine="17" w:firstLineChars="8"/>
              <w:jc w:val="center"/>
              <w:textAlignment w:val="auto"/>
              <w:rPr>
                <w:rFonts w:hint="eastAsia" w:ascii="宋体" w:hAnsi="宋体" w:eastAsia="宋体" w:cs="宋体"/>
                <w:b/>
                <w:color w:val="auto"/>
                <w:szCs w:val="21"/>
                <w:lang w:eastAsia="zh-CN"/>
              </w:rPr>
            </w:pPr>
            <w:r>
              <w:rPr>
                <w:rFonts w:hint="eastAsia" w:ascii="宋体" w:hAnsi="宋体" w:cs="宋体"/>
                <w:b/>
                <w:color w:val="auto"/>
                <w:szCs w:val="21"/>
                <w:lang w:eastAsia="zh-CN"/>
              </w:rPr>
              <w:t>供货期</w:t>
            </w:r>
          </w:p>
          <w:p>
            <w:pPr>
              <w:keepNext w:val="0"/>
              <w:keepLines w:val="0"/>
              <w:pageBreakBefore w:val="0"/>
              <w:kinsoku/>
              <w:wordWrap/>
              <w:overflowPunct/>
              <w:topLinePunct w:val="0"/>
              <w:bidi w:val="0"/>
              <w:snapToGrid w:val="0"/>
              <w:spacing w:line="440" w:lineRule="exact"/>
              <w:ind w:firstLine="17" w:firstLineChars="8"/>
              <w:jc w:val="center"/>
              <w:textAlignment w:val="auto"/>
              <w:rPr>
                <w:rFonts w:ascii="宋体" w:hAnsi="宋体" w:cs="宋体"/>
                <w:b/>
                <w:color w:val="auto"/>
                <w:szCs w:val="21"/>
              </w:rPr>
            </w:pPr>
            <w:r>
              <w:rPr>
                <w:rFonts w:hint="eastAsia" w:ascii="宋体" w:hAnsi="宋体" w:cs="宋体"/>
                <w:b/>
                <w:color w:val="auto"/>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74"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20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963"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317"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051"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c>
          <w:tcPr>
            <w:tcW w:w="1562" w:type="dxa"/>
            <w:vAlign w:val="center"/>
          </w:tcPr>
          <w:p>
            <w:pPr>
              <w:pStyle w:val="12"/>
              <w:keepNext w:val="0"/>
              <w:keepLines w:val="0"/>
              <w:pageBreakBefore w:val="0"/>
              <w:kinsoku/>
              <w:wordWrap/>
              <w:overflowPunct/>
              <w:topLinePunct w:val="0"/>
              <w:bidi w:val="0"/>
              <w:spacing w:line="440" w:lineRule="exact"/>
              <w:ind w:firstLine="16" w:firstLineChars="8"/>
              <w:jc w:val="center"/>
              <w:textAlignment w:val="auto"/>
              <w:rPr>
                <w:rFonts w:ascii="宋体" w:hAnsi="宋体" w:cs="宋体"/>
                <w:color w:val="auto"/>
                <w:szCs w:val="21"/>
              </w:rPr>
            </w:pPr>
          </w:p>
        </w:tc>
      </w:tr>
    </w:tbl>
    <w:p>
      <w:pPr>
        <w:pStyle w:val="12"/>
        <w:keepNext w:val="0"/>
        <w:keepLines w:val="0"/>
        <w:pageBreakBefore w:val="0"/>
        <w:kinsoku/>
        <w:wordWrap/>
        <w:overflowPunct/>
        <w:topLinePunct w:val="0"/>
        <w:bidi w:val="0"/>
        <w:spacing w:line="440" w:lineRule="exact"/>
        <w:ind w:firstLine="840" w:firstLineChars="400"/>
        <w:textAlignment w:val="auto"/>
        <w:rPr>
          <w:rFonts w:ascii="宋体" w:hAnsi="宋体" w:cs="宋体"/>
          <w:color w:val="auto"/>
          <w:szCs w:val="21"/>
        </w:rPr>
      </w:pPr>
    </w:p>
    <w:p>
      <w:pPr>
        <w:keepNext w:val="0"/>
        <w:keepLines w:val="0"/>
        <w:pageBreakBefore w:val="0"/>
        <w:kinsoku/>
        <w:wordWrap/>
        <w:overflowPunct/>
        <w:topLinePunct w:val="0"/>
        <w:bidi w:val="0"/>
        <w:adjustRightInd w:val="0"/>
        <w:spacing w:line="440" w:lineRule="exact"/>
        <w:ind w:firstLine="367" w:firstLineChars="175"/>
        <w:jc w:val="left"/>
        <w:textAlignment w:val="auto"/>
        <w:rPr>
          <w:rFonts w:ascii="宋体" w:hAnsi="宋体" w:cs="宋体"/>
          <w:color w:val="auto"/>
          <w:sz w:val="21"/>
          <w:szCs w:val="21"/>
        </w:rPr>
      </w:pPr>
      <w:r>
        <w:rPr>
          <w:rFonts w:hint="eastAsia" w:ascii="宋体" w:hAnsi="宋体" w:cs="宋体"/>
          <w:color w:val="auto"/>
          <w:sz w:val="21"/>
          <w:szCs w:val="21"/>
        </w:rPr>
        <w:t>注：1、本表须逐项填写，不得空缺；如空缺将视为没有实质性响应谈判文件。</w:t>
      </w:r>
    </w:p>
    <w:p>
      <w:pPr>
        <w:keepNext w:val="0"/>
        <w:keepLines w:val="0"/>
        <w:pageBreakBefore w:val="0"/>
        <w:kinsoku/>
        <w:wordWrap/>
        <w:overflowPunct/>
        <w:topLinePunct w:val="0"/>
        <w:bidi w:val="0"/>
        <w:adjustRightInd w:val="0"/>
        <w:spacing w:line="440" w:lineRule="exact"/>
        <w:ind w:firstLine="367" w:firstLineChars="175"/>
        <w:jc w:val="left"/>
        <w:textAlignment w:val="auto"/>
        <w:rPr>
          <w:rFonts w:ascii="宋体" w:hAnsi="宋体" w:cs="宋体"/>
          <w:color w:val="auto"/>
          <w:sz w:val="21"/>
          <w:szCs w:val="21"/>
        </w:rPr>
      </w:pPr>
      <w:r>
        <w:rPr>
          <w:rFonts w:hint="eastAsia" w:ascii="宋体" w:hAnsi="宋体" w:cs="宋体"/>
          <w:color w:val="auto"/>
          <w:sz w:val="21"/>
          <w:szCs w:val="21"/>
        </w:rPr>
        <w:t xml:space="preserve">    2、设备各项详细技术性能可另页描述；若设备没有注册商标和具体型号须注明。</w:t>
      </w:r>
    </w:p>
    <w:p>
      <w:pPr>
        <w:pStyle w:val="12"/>
        <w:keepNext w:val="0"/>
        <w:keepLines w:val="0"/>
        <w:pageBreakBefore w:val="0"/>
        <w:kinsoku/>
        <w:wordWrap/>
        <w:overflowPunct/>
        <w:topLinePunct w:val="0"/>
        <w:bidi w:val="0"/>
        <w:spacing w:line="440" w:lineRule="exact"/>
        <w:textAlignment w:val="auto"/>
        <w:rPr>
          <w:rFonts w:ascii="宋体" w:hAnsi="宋体" w:cs="宋体"/>
          <w:color w:val="auto"/>
          <w:sz w:val="22"/>
          <w:szCs w:val="22"/>
        </w:rPr>
      </w:pPr>
    </w:p>
    <w:p>
      <w:pPr>
        <w:pStyle w:val="12"/>
        <w:keepNext w:val="0"/>
        <w:keepLines w:val="0"/>
        <w:pageBreakBefore w:val="0"/>
        <w:kinsoku/>
        <w:wordWrap/>
        <w:overflowPunct/>
        <w:topLinePunct w:val="0"/>
        <w:bidi w:val="0"/>
        <w:spacing w:line="440" w:lineRule="exact"/>
        <w:ind w:firstLine="0"/>
        <w:textAlignment w:val="auto"/>
        <w:rPr>
          <w:rFonts w:ascii="宋体" w:hAnsi="宋体" w:cs="宋体"/>
          <w:color w:val="auto"/>
          <w:sz w:val="22"/>
          <w:szCs w:val="22"/>
        </w:rPr>
      </w:pPr>
    </w:p>
    <w:p>
      <w:pPr>
        <w:pStyle w:val="12"/>
        <w:keepNext w:val="0"/>
        <w:keepLines w:val="0"/>
        <w:pageBreakBefore w:val="0"/>
        <w:kinsoku/>
        <w:wordWrap/>
        <w:overflowPunct/>
        <w:topLinePunct w:val="0"/>
        <w:bidi w:val="0"/>
        <w:spacing w:line="440" w:lineRule="exact"/>
        <w:ind w:firstLine="0"/>
        <w:textAlignment w:val="auto"/>
        <w:rPr>
          <w:rFonts w:ascii="宋体" w:hAnsi="宋体" w:cs="宋体"/>
          <w:color w:val="auto"/>
          <w:sz w:val="22"/>
          <w:szCs w:val="22"/>
        </w:rPr>
      </w:pPr>
    </w:p>
    <w:p>
      <w:pPr>
        <w:pStyle w:val="12"/>
        <w:keepNext w:val="0"/>
        <w:keepLines w:val="0"/>
        <w:pageBreakBefore w:val="0"/>
        <w:kinsoku/>
        <w:wordWrap/>
        <w:overflowPunct/>
        <w:topLinePunct w:val="0"/>
        <w:bidi w:val="0"/>
        <w:spacing w:line="440" w:lineRule="exact"/>
        <w:ind w:firstLine="0"/>
        <w:textAlignment w:val="auto"/>
        <w:rPr>
          <w:rFonts w:ascii="宋体" w:hAnsi="宋体" w:cs="宋体"/>
          <w:color w:val="auto"/>
          <w:sz w:val="22"/>
          <w:szCs w:val="22"/>
        </w:rPr>
      </w:pPr>
    </w:p>
    <w:p>
      <w:pPr>
        <w:keepNext w:val="0"/>
        <w:keepLines w:val="0"/>
        <w:pageBreakBefore w:val="0"/>
        <w:kinsoku/>
        <w:wordWrap/>
        <w:overflowPunct/>
        <w:topLinePunct w:val="0"/>
        <w:bidi w:val="0"/>
        <w:spacing w:line="440" w:lineRule="exact"/>
        <w:textAlignment w:val="auto"/>
        <w:rPr>
          <w:color w:val="auto"/>
        </w:rPr>
      </w:pPr>
    </w:p>
    <w:p>
      <w:pPr>
        <w:keepNext w:val="0"/>
        <w:keepLines w:val="0"/>
        <w:pageBreakBefore w:val="0"/>
        <w:kinsoku/>
        <w:wordWrap/>
        <w:overflowPunct/>
        <w:topLinePunct w:val="0"/>
        <w:bidi w:val="0"/>
        <w:spacing w:line="440" w:lineRule="exact"/>
        <w:textAlignment w:val="auto"/>
        <w:rPr>
          <w:color w:val="auto"/>
        </w:rPr>
      </w:pPr>
    </w:p>
    <w:p>
      <w:pPr>
        <w:keepNext w:val="0"/>
        <w:keepLines w:val="0"/>
        <w:pageBreakBefore w:val="0"/>
        <w:kinsoku/>
        <w:wordWrap/>
        <w:overflowPunct/>
        <w:topLinePunct w:val="0"/>
        <w:bidi w:val="0"/>
        <w:spacing w:line="440" w:lineRule="exact"/>
        <w:ind w:firstLine="720" w:firstLineChars="300"/>
        <w:textAlignment w:val="auto"/>
        <w:rPr>
          <w:rFonts w:ascii="宋体" w:hAnsi="宋体" w:cs="宋体"/>
          <w:color w:val="auto"/>
          <w:sz w:val="24"/>
          <w:szCs w:val="24"/>
        </w:rPr>
      </w:pPr>
      <w:r>
        <w:rPr>
          <w:rFonts w:hint="eastAsia" w:ascii="宋体" w:hAnsi="宋体" w:cs="宋体"/>
          <w:color w:val="auto"/>
          <w:sz w:val="24"/>
          <w:szCs w:val="24"/>
        </w:rPr>
        <w:t>供应商名称：（盖章）</w:t>
      </w:r>
    </w:p>
    <w:p>
      <w:pPr>
        <w:keepNext w:val="0"/>
        <w:keepLines w:val="0"/>
        <w:pageBreakBefore w:val="0"/>
        <w:kinsoku/>
        <w:wordWrap/>
        <w:overflowPunct/>
        <w:topLinePunct w:val="0"/>
        <w:bidi w:val="0"/>
        <w:adjustRightInd w:val="0"/>
        <w:spacing w:line="440" w:lineRule="exact"/>
        <w:ind w:firstLine="720" w:firstLineChars="300"/>
        <w:jc w:val="left"/>
        <w:textAlignment w:val="auto"/>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pPr>
    </w:p>
    <w:p>
      <w:pPr>
        <w:pStyle w:val="2"/>
        <w:rPr>
          <w:rFonts w:ascii="宋体" w:hAnsi="宋体" w:cs="宋体"/>
          <w:color w:val="auto"/>
          <w:highlight w:val="yellow"/>
          <w:lang w:val="zh-CN"/>
        </w:rPr>
        <w:sectPr>
          <w:footerReference r:id="rId18" w:type="even"/>
          <w:pgSz w:w="11906" w:h="16838"/>
          <w:pgMar w:top="1418" w:right="1418" w:bottom="1418" w:left="1418" w:header="851" w:footer="992" w:gutter="0"/>
          <w:pgNumType w:fmt="decimal"/>
          <w:cols w:space="425" w:num="1"/>
          <w:docGrid w:linePitch="312" w:charSpace="0"/>
        </w:sectPr>
      </w:pPr>
    </w:p>
    <w:p>
      <w:pPr>
        <w:pStyle w:val="4"/>
        <w:spacing w:before="120" w:beforeLines="50" w:after="120" w:afterLines="50" w:line="36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lang w:val="zh-CN"/>
        </w:rPr>
        <w:t>第五</w:t>
      </w:r>
      <w:r>
        <w:rPr>
          <w:rFonts w:hint="eastAsia" w:ascii="宋体" w:hAnsi="宋体" w:eastAsia="宋体" w:cs="宋体"/>
          <w:b/>
          <w:bCs/>
          <w:color w:val="auto"/>
          <w:szCs w:val="28"/>
          <w:highlight w:val="none"/>
        </w:rPr>
        <w:t>部分</w:t>
      </w:r>
      <w:r>
        <w:rPr>
          <w:rFonts w:hint="eastAsia" w:ascii="宋体" w:hAnsi="宋体" w:eastAsia="宋体" w:cs="宋体"/>
          <w:b/>
          <w:bCs/>
          <w:color w:val="auto"/>
          <w:szCs w:val="28"/>
          <w:highlight w:val="none"/>
          <w:lang w:val="zh-CN"/>
        </w:rPr>
        <w:t xml:space="preserve">   备选产品配件报价表</w:t>
      </w:r>
    </w:p>
    <w:p>
      <w:pPr>
        <w:spacing w:after="120" w:afterLines="50" w:line="360" w:lineRule="auto"/>
        <w:ind w:firstLine="960" w:firstLineChars="400"/>
        <w:outlineLvl w:val="1"/>
        <w:rPr>
          <w:rFonts w:ascii="宋体" w:hAnsi="宋体" w:cs="宋体"/>
          <w:color w:val="auto"/>
          <w:sz w:val="24"/>
          <w:szCs w:val="24"/>
        </w:rPr>
      </w:pPr>
      <w:bookmarkStart w:id="104" w:name="_Toc29751"/>
    </w:p>
    <w:p>
      <w:pPr>
        <w:spacing w:after="120" w:afterLines="50" w:line="360" w:lineRule="auto"/>
        <w:ind w:firstLine="960" w:firstLineChars="400"/>
        <w:outlineLvl w:val="1"/>
        <w:rPr>
          <w:rFonts w:ascii="宋体" w:hAnsi="宋体" w:cs="宋体"/>
          <w:color w:val="auto"/>
          <w:sz w:val="24"/>
          <w:szCs w:val="24"/>
        </w:rPr>
      </w:pPr>
      <w:r>
        <w:rPr>
          <w:rFonts w:hint="eastAsia" w:ascii="宋体" w:hAnsi="宋体" w:cs="宋体"/>
          <w:color w:val="auto"/>
          <w:sz w:val="24"/>
          <w:szCs w:val="24"/>
        </w:rPr>
        <w:t>供应商名称：                                                            项目编号：</w:t>
      </w:r>
      <w:bookmarkEnd w:id="104"/>
    </w:p>
    <w:tbl>
      <w:tblPr>
        <w:tblStyle w:val="36"/>
        <w:tblpPr w:leftFromText="180" w:rightFromText="180" w:vertAnchor="text" w:horzAnchor="margin" w:tblpXSpec="center" w:tblpY="86"/>
        <w:tblW w:w="12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1015"/>
        <w:gridCol w:w="1341"/>
        <w:gridCol w:w="2259"/>
        <w:gridCol w:w="860"/>
        <w:gridCol w:w="840"/>
        <w:gridCol w:w="1280"/>
        <w:gridCol w:w="123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83" w:type="dxa"/>
            <w:tcBorders>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序号</w:t>
            </w:r>
          </w:p>
        </w:tc>
        <w:tc>
          <w:tcPr>
            <w:tcW w:w="1470"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产品名称</w:t>
            </w:r>
          </w:p>
        </w:tc>
        <w:tc>
          <w:tcPr>
            <w:tcW w:w="1015"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品牌</w:t>
            </w:r>
          </w:p>
        </w:tc>
        <w:tc>
          <w:tcPr>
            <w:tcW w:w="1341" w:type="dxa"/>
            <w:tcBorders>
              <w:left w:val="single" w:color="auto" w:sz="4" w:space="0"/>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 xml:space="preserve"> 型号规格</w:t>
            </w:r>
          </w:p>
        </w:tc>
        <w:tc>
          <w:tcPr>
            <w:tcW w:w="2259"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生产厂家</w:t>
            </w:r>
          </w:p>
        </w:tc>
        <w:tc>
          <w:tcPr>
            <w:tcW w:w="860"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单位</w:t>
            </w:r>
          </w:p>
        </w:tc>
        <w:tc>
          <w:tcPr>
            <w:tcW w:w="840"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color w:val="auto"/>
                <w:szCs w:val="21"/>
              </w:rPr>
            </w:pPr>
            <w:r>
              <w:rPr>
                <w:rFonts w:hint="eastAsia" w:ascii="宋体" w:hAnsi="宋体" w:cs="宋体"/>
                <w:b/>
                <w:color w:val="auto"/>
                <w:szCs w:val="21"/>
              </w:rPr>
              <w:t>数量</w:t>
            </w:r>
          </w:p>
        </w:tc>
        <w:tc>
          <w:tcPr>
            <w:tcW w:w="1280" w:type="dxa"/>
            <w:tcBorders>
              <w:left w:val="single" w:color="auto" w:sz="4" w:space="0"/>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 xml:space="preserve"> 单价（元）</w:t>
            </w:r>
          </w:p>
        </w:tc>
        <w:tc>
          <w:tcPr>
            <w:tcW w:w="1236" w:type="dxa"/>
            <w:tcBorders>
              <w:left w:val="single" w:color="auto" w:sz="4" w:space="0"/>
              <w:bottom w:val="single" w:color="auto" w:sz="4" w:space="0"/>
              <w:right w:val="single" w:color="auto" w:sz="4" w:space="0"/>
            </w:tcBorders>
            <w:vAlign w:val="center"/>
          </w:tcPr>
          <w:p>
            <w:pPr>
              <w:snapToGrid w:val="0"/>
              <w:spacing w:line="400" w:lineRule="exact"/>
              <w:rPr>
                <w:rFonts w:ascii="宋体" w:hAnsi="宋体" w:cs="宋体"/>
                <w:b/>
                <w:color w:val="auto"/>
                <w:szCs w:val="21"/>
              </w:rPr>
            </w:pPr>
            <w:r>
              <w:rPr>
                <w:rFonts w:hint="eastAsia" w:ascii="宋体" w:hAnsi="宋体" w:cs="宋体"/>
                <w:b/>
                <w:color w:val="auto"/>
                <w:szCs w:val="21"/>
              </w:rPr>
              <w:t>金额（元）</w:t>
            </w:r>
          </w:p>
        </w:tc>
        <w:tc>
          <w:tcPr>
            <w:tcW w:w="1544" w:type="dxa"/>
            <w:tcBorders>
              <w:left w:val="single" w:color="auto" w:sz="4" w:space="0"/>
              <w:bottom w:val="single" w:color="auto" w:sz="4" w:space="0"/>
            </w:tcBorders>
            <w:vAlign w:val="center"/>
          </w:tcPr>
          <w:p>
            <w:pPr>
              <w:snapToGrid w:val="0"/>
              <w:spacing w:line="400" w:lineRule="exact"/>
              <w:ind w:firstLine="105" w:firstLineChars="50"/>
              <w:jc w:val="center"/>
              <w:rPr>
                <w:rFonts w:ascii="宋体" w:hAnsi="宋体" w:cs="宋体"/>
                <w:b/>
                <w:color w:val="auto"/>
                <w:szCs w:val="21"/>
              </w:rPr>
            </w:pPr>
            <w:r>
              <w:rPr>
                <w:rFonts w:hint="eastAsia" w:ascii="宋体" w:hAnsi="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3"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83" w:type="dxa"/>
            <w:tcBorders>
              <w:top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47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18"/>
                <w:szCs w:val="18"/>
              </w:rPr>
            </w:pPr>
          </w:p>
        </w:tc>
        <w:tc>
          <w:tcPr>
            <w:tcW w:w="101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341"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2259" w:type="dxa"/>
            <w:tcBorders>
              <w:top w:val="single" w:color="auto" w:sz="4" w:space="0"/>
              <w:left w:val="single" w:color="auto" w:sz="4" w:space="0"/>
              <w:right w:val="single" w:color="auto" w:sz="4" w:space="0"/>
            </w:tcBorders>
          </w:tcPr>
          <w:p>
            <w:pPr>
              <w:snapToGrid w:val="0"/>
              <w:spacing w:line="400" w:lineRule="exact"/>
              <w:jc w:val="center"/>
              <w:rPr>
                <w:rFonts w:ascii="宋体" w:hAnsi="宋体" w:cs="宋体"/>
                <w:color w:val="auto"/>
                <w:sz w:val="24"/>
              </w:rPr>
            </w:pPr>
          </w:p>
        </w:tc>
        <w:tc>
          <w:tcPr>
            <w:tcW w:w="86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840" w:type="dxa"/>
            <w:tcBorders>
              <w:top w:val="single" w:color="auto" w:sz="4" w:space="0"/>
              <w:left w:val="single" w:color="auto" w:sz="4" w:space="0"/>
              <w:right w:val="single" w:color="auto" w:sz="4" w:space="0"/>
            </w:tcBorders>
          </w:tcPr>
          <w:p>
            <w:pPr>
              <w:snapToGrid w:val="0"/>
              <w:spacing w:line="400" w:lineRule="exact"/>
              <w:jc w:val="center"/>
              <w:rPr>
                <w:rFonts w:ascii="宋体" w:hAnsi="宋体" w:cs="宋体"/>
                <w:color w:val="auto"/>
                <w:sz w:val="24"/>
              </w:rPr>
            </w:pPr>
          </w:p>
        </w:tc>
        <w:tc>
          <w:tcPr>
            <w:tcW w:w="128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23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sz w:val="24"/>
              </w:rPr>
            </w:pPr>
          </w:p>
        </w:tc>
        <w:tc>
          <w:tcPr>
            <w:tcW w:w="1544" w:type="dxa"/>
            <w:tcBorders>
              <w:top w:val="single" w:color="auto" w:sz="4" w:space="0"/>
              <w:left w:val="single" w:color="auto" w:sz="4" w:space="0"/>
            </w:tcBorders>
            <w:vAlign w:val="center"/>
          </w:tcPr>
          <w:p>
            <w:pPr>
              <w:snapToGrid w:val="0"/>
              <w:spacing w:line="400" w:lineRule="exact"/>
              <w:jc w:val="center"/>
              <w:rPr>
                <w:rFonts w:ascii="宋体" w:hAnsi="宋体" w:cs="宋体"/>
                <w:color w:val="auto"/>
                <w:sz w:val="24"/>
              </w:rPr>
            </w:pPr>
          </w:p>
        </w:tc>
      </w:tr>
    </w:tbl>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28"/>
        </w:rPr>
      </w:pPr>
    </w:p>
    <w:p>
      <w:pPr>
        <w:widowControl/>
        <w:spacing w:line="360" w:lineRule="auto"/>
        <w:jc w:val="left"/>
        <w:rPr>
          <w:rFonts w:ascii="宋体" w:hAnsi="宋体" w:cs="宋体"/>
          <w:color w:val="auto"/>
          <w:sz w:val="32"/>
          <w:szCs w:val="28"/>
        </w:rPr>
      </w:pPr>
    </w:p>
    <w:p>
      <w:pPr>
        <w:tabs>
          <w:tab w:val="left" w:pos="11985"/>
        </w:tabs>
        <w:spacing w:line="400" w:lineRule="exact"/>
        <w:ind w:left="779" w:leftChars="171" w:hanging="420" w:hangingChars="200"/>
        <w:rPr>
          <w:rFonts w:ascii="宋体" w:hAnsi="宋体" w:cs="宋体"/>
          <w:color w:val="auto"/>
          <w:sz w:val="21"/>
          <w:szCs w:val="21"/>
        </w:rPr>
      </w:pPr>
      <w:r>
        <w:rPr>
          <w:rFonts w:hint="eastAsia" w:ascii="宋体" w:hAnsi="宋体" w:cs="宋体"/>
          <w:color w:val="auto"/>
          <w:sz w:val="21"/>
          <w:szCs w:val="24"/>
        </w:rPr>
        <w:t xml:space="preserve">     注：</w:t>
      </w:r>
      <w:r>
        <w:rPr>
          <w:rFonts w:hint="eastAsia" w:ascii="宋体" w:hAnsi="宋体" w:cs="宋体"/>
          <w:color w:val="auto"/>
          <w:sz w:val="21"/>
          <w:szCs w:val="21"/>
        </w:rPr>
        <w:t>1、“备选产品</w:t>
      </w:r>
      <w:r>
        <w:rPr>
          <w:rFonts w:hint="eastAsia" w:ascii="宋体" w:hAnsi="宋体" w:cs="宋体"/>
          <w:bCs/>
          <w:color w:val="auto"/>
          <w:sz w:val="21"/>
          <w:szCs w:val="21"/>
        </w:rPr>
        <w:t>配件报价表</w:t>
      </w:r>
      <w:r>
        <w:rPr>
          <w:rFonts w:hint="eastAsia" w:ascii="宋体" w:hAnsi="宋体" w:cs="宋体"/>
          <w:color w:val="auto"/>
          <w:sz w:val="21"/>
          <w:szCs w:val="21"/>
        </w:rPr>
        <w:t>”</w:t>
      </w:r>
      <w:r>
        <w:rPr>
          <w:rFonts w:hint="eastAsia" w:ascii="宋体" w:hAnsi="宋体" w:cs="宋体"/>
          <w:color w:val="auto"/>
          <w:sz w:val="21"/>
          <w:szCs w:val="24"/>
        </w:rPr>
        <w:t xml:space="preserve"> </w:t>
      </w:r>
      <w:r>
        <w:rPr>
          <w:rFonts w:hint="eastAsia" w:ascii="宋体" w:hAnsi="宋体" w:cs="宋体"/>
          <w:color w:val="auto"/>
          <w:sz w:val="21"/>
          <w:szCs w:val="21"/>
        </w:rPr>
        <w:t>报价最多保留小数点后两位；</w:t>
      </w:r>
      <w:r>
        <w:rPr>
          <w:rFonts w:hint="eastAsia" w:ascii="宋体" w:hAnsi="宋体" w:cs="宋体"/>
          <w:color w:val="auto"/>
          <w:sz w:val="21"/>
          <w:szCs w:val="21"/>
        </w:rPr>
        <w:tab/>
      </w:r>
    </w:p>
    <w:p>
      <w:pPr>
        <w:spacing w:line="400" w:lineRule="exact"/>
        <w:ind w:left="808" w:leftChars="185" w:hanging="420" w:hangingChars="200"/>
        <w:rPr>
          <w:rFonts w:ascii="宋体" w:hAnsi="宋体" w:cs="宋体"/>
          <w:bCs/>
          <w:color w:val="auto"/>
          <w:sz w:val="21"/>
          <w:szCs w:val="21"/>
        </w:rPr>
      </w:pPr>
      <w:r>
        <w:rPr>
          <w:rFonts w:hint="eastAsia" w:ascii="宋体" w:hAnsi="宋体" w:cs="宋体"/>
          <w:color w:val="auto"/>
          <w:sz w:val="21"/>
          <w:szCs w:val="21"/>
        </w:rPr>
        <w:t xml:space="preserve">         2、备选产品</w:t>
      </w:r>
      <w:r>
        <w:rPr>
          <w:rFonts w:hint="eastAsia" w:ascii="宋体" w:hAnsi="宋体" w:cs="宋体"/>
          <w:bCs/>
          <w:color w:val="auto"/>
          <w:sz w:val="21"/>
          <w:szCs w:val="21"/>
        </w:rPr>
        <w:t>配件，仅作为采购人后期选择购买，其报价不包含在本次谈判总价内。</w:t>
      </w:r>
    </w:p>
    <w:p>
      <w:pPr>
        <w:adjustRightInd w:val="0"/>
        <w:spacing w:line="400" w:lineRule="exact"/>
        <w:ind w:firstLine="1050" w:firstLineChars="500"/>
        <w:jc w:val="left"/>
        <w:rPr>
          <w:rFonts w:ascii="宋体" w:hAnsi="宋体" w:cs="宋体"/>
          <w:bCs/>
          <w:color w:val="auto"/>
          <w:szCs w:val="21"/>
        </w:rPr>
      </w:pPr>
      <w:r>
        <w:rPr>
          <w:rFonts w:hint="eastAsia" w:ascii="宋体" w:hAnsi="宋体" w:cs="宋体"/>
          <w:bCs/>
          <w:color w:val="auto"/>
          <w:szCs w:val="21"/>
        </w:rPr>
        <w:t xml:space="preserve">   </w:t>
      </w:r>
    </w:p>
    <w:p>
      <w:pPr>
        <w:adjustRightInd w:val="0"/>
        <w:spacing w:line="400" w:lineRule="exact"/>
        <w:ind w:firstLine="1200" w:firstLineChars="500"/>
        <w:jc w:val="left"/>
        <w:rPr>
          <w:rFonts w:ascii="宋体" w:hAnsi="宋体" w:cs="宋体"/>
          <w:bCs/>
          <w:color w:val="auto"/>
          <w:sz w:val="24"/>
          <w:szCs w:val="24"/>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pStyle w:val="4"/>
        <w:spacing w:line="360" w:lineRule="auto"/>
        <w:rPr>
          <w:rFonts w:ascii="宋体" w:hAnsi="宋体" w:eastAsia="宋体" w:cs="宋体"/>
          <w:color w:val="auto"/>
          <w:szCs w:val="28"/>
        </w:rPr>
        <w:sectPr>
          <w:headerReference r:id="rId19" w:type="default"/>
          <w:pgSz w:w="16838" w:h="11906" w:orient="landscape"/>
          <w:pgMar w:top="1418" w:right="1418" w:bottom="1418" w:left="1418" w:header="851" w:footer="992" w:gutter="0"/>
          <w:pgNumType w:fmt="decimal"/>
          <w:cols w:space="720" w:num="1"/>
          <w:docGrid w:linePitch="312" w:charSpace="0"/>
        </w:sectPr>
      </w:pPr>
    </w:p>
    <w:p>
      <w:pPr>
        <w:pStyle w:val="4"/>
        <w:spacing w:before="120" w:beforeLines="50" w:after="120" w:afterLines="50" w:line="360" w:lineRule="auto"/>
        <w:jc w:val="center"/>
        <w:rPr>
          <w:rFonts w:ascii="宋体" w:hAnsi="宋体" w:eastAsia="宋体" w:cs="宋体"/>
          <w:b/>
          <w:bCs/>
          <w:color w:val="auto"/>
          <w:szCs w:val="28"/>
          <w:highlight w:val="none"/>
          <w:lang w:val="zh-CN"/>
        </w:rPr>
      </w:pPr>
      <w:r>
        <w:rPr>
          <w:rFonts w:hint="eastAsia" w:ascii="宋体" w:hAnsi="宋体" w:eastAsia="宋体" w:cs="宋体"/>
          <w:b/>
          <w:bCs/>
          <w:color w:val="auto"/>
          <w:szCs w:val="28"/>
          <w:highlight w:val="none"/>
        </w:rPr>
        <w:t xml:space="preserve">第六部分 </w:t>
      </w:r>
      <w:r>
        <w:rPr>
          <w:rFonts w:hint="eastAsia" w:ascii="宋体" w:hAnsi="宋体" w:eastAsia="宋体" w:cs="宋体"/>
          <w:b/>
          <w:bCs/>
          <w:color w:val="auto"/>
          <w:szCs w:val="28"/>
          <w:highlight w:val="none"/>
          <w:lang w:val="zh-CN"/>
        </w:rPr>
        <w:t xml:space="preserve">偏离表 </w:t>
      </w:r>
    </w:p>
    <w:p>
      <w:pPr>
        <w:adjustRightInd w:val="0"/>
        <w:snapToGrid w:val="0"/>
        <w:spacing w:before="120" w:beforeLines="50" w:after="120" w:afterLines="50"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zh-CN"/>
        </w:rPr>
        <w:t>技术偏离表</w:t>
      </w:r>
    </w:p>
    <w:tbl>
      <w:tblPr>
        <w:tblStyle w:val="36"/>
        <w:tblpPr w:leftFromText="180" w:rightFromText="180" w:vertAnchor="text" w:horzAnchor="page" w:tblpX="1398" w:tblpY="789"/>
        <w:tblOverlap w:val="never"/>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362"/>
        <w:gridCol w:w="2010"/>
        <w:gridCol w:w="237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75" w:type="dxa"/>
            <w:vAlign w:val="center"/>
          </w:tcPr>
          <w:p>
            <w:pPr>
              <w:pStyle w:val="113"/>
              <w:rPr>
                <w:rFonts w:ascii="宋体" w:hAnsi="宋体" w:cs="宋体"/>
                <w:color w:val="auto"/>
              </w:rPr>
            </w:pPr>
            <w:r>
              <w:rPr>
                <w:rFonts w:hint="eastAsia" w:ascii="宋体" w:hAnsi="宋体" w:cs="宋体"/>
                <w:color w:val="auto"/>
              </w:rPr>
              <w:t>序号</w:t>
            </w:r>
          </w:p>
        </w:tc>
        <w:tc>
          <w:tcPr>
            <w:tcW w:w="2362" w:type="dxa"/>
            <w:vAlign w:val="center"/>
          </w:tcPr>
          <w:p>
            <w:pPr>
              <w:pStyle w:val="113"/>
              <w:jc w:val="center"/>
              <w:rPr>
                <w:rFonts w:ascii="宋体" w:hAnsi="宋体" w:cs="宋体"/>
                <w:color w:val="auto"/>
              </w:rPr>
            </w:pPr>
            <w:r>
              <w:rPr>
                <w:rFonts w:hint="eastAsia" w:ascii="宋体" w:hAnsi="宋体" w:cs="宋体"/>
                <w:color w:val="auto"/>
              </w:rPr>
              <w:t>货物名称</w:t>
            </w:r>
          </w:p>
        </w:tc>
        <w:tc>
          <w:tcPr>
            <w:tcW w:w="2010" w:type="dxa"/>
            <w:vAlign w:val="center"/>
          </w:tcPr>
          <w:p>
            <w:pPr>
              <w:pStyle w:val="113"/>
              <w:jc w:val="center"/>
              <w:rPr>
                <w:rFonts w:ascii="宋体" w:hAnsi="宋体" w:cs="宋体"/>
                <w:color w:val="auto"/>
              </w:rPr>
            </w:pPr>
            <w:r>
              <w:rPr>
                <w:rFonts w:hint="eastAsia" w:ascii="宋体" w:hAnsi="宋体" w:cs="宋体"/>
                <w:color w:val="auto"/>
              </w:rPr>
              <w:t>竞争性谈判文件要求</w:t>
            </w:r>
          </w:p>
        </w:tc>
        <w:tc>
          <w:tcPr>
            <w:tcW w:w="2379" w:type="dxa"/>
            <w:vAlign w:val="center"/>
          </w:tcPr>
          <w:p>
            <w:pPr>
              <w:pStyle w:val="113"/>
              <w:jc w:val="center"/>
              <w:rPr>
                <w:rFonts w:ascii="宋体" w:hAnsi="宋体" w:cs="宋体"/>
                <w:color w:val="auto"/>
              </w:rPr>
            </w:pPr>
            <w:r>
              <w:rPr>
                <w:rFonts w:hint="eastAsia" w:ascii="宋体" w:hAnsi="宋体" w:cs="宋体"/>
                <w:color w:val="auto"/>
              </w:rPr>
              <w:t>竞争性谈判响应</w:t>
            </w:r>
          </w:p>
        </w:tc>
        <w:tc>
          <w:tcPr>
            <w:tcW w:w="2265" w:type="dxa"/>
            <w:vAlign w:val="center"/>
          </w:tcPr>
          <w:p>
            <w:pPr>
              <w:pStyle w:val="113"/>
              <w:jc w:val="center"/>
              <w:rPr>
                <w:rFonts w:ascii="宋体" w:hAnsi="宋体" w:cs="宋体"/>
                <w:color w:val="auto"/>
              </w:rPr>
            </w:pPr>
            <w:r>
              <w:rPr>
                <w:rFonts w:hint="eastAsia" w:ascii="宋体" w:hAnsi="宋体" w:cs="宋体"/>
                <w:color w:val="auto"/>
              </w:rPr>
              <w:t>偏离对货物（产品）性能的影响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rPr>
            </w:pPr>
          </w:p>
        </w:tc>
        <w:tc>
          <w:tcPr>
            <w:tcW w:w="2362" w:type="dxa"/>
          </w:tcPr>
          <w:p>
            <w:pPr>
              <w:pStyle w:val="113"/>
              <w:spacing w:line="360" w:lineRule="auto"/>
              <w:rPr>
                <w:rFonts w:ascii="宋体" w:hAnsi="宋体" w:cs="宋体"/>
                <w:color w:val="auto"/>
              </w:rPr>
            </w:pPr>
          </w:p>
        </w:tc>
        <w:tc>
          <w:tcPr>
            <w:tcW w:w="2010" w:type="dxa"/>
          </w:tcPr>
          <w:p>
            <w:pPr>
              <w:pStyle w:val="113"/>
              <w:spacing w:line="360" w:lineRule="auto"/>
              <w:rPr>
                <w:rFonts w:ascii="宋体" w:hAnsi="宋体" w:cs="宋体"/>
                <w:color w:val="auto"/>
              </w:rPr>
            </w:pPr>
          </w:p>
        </w:tc>
        <w:tc>
          <w:tcPr>
            <w:tcW w:w="2379" w:type="dxa"/>
          </w:tcPr>
          <w:p>
            <w:pPr>
              <w:pStyle w:val="113"/>
              <w:spacing w:line="360" w:lineRule="auto"/>
              <w:rPr>
                <w:rFonts w:ascii="宋体" w:hAnsi="宋体" w:cs="宋体"/>
                <w:color w:val="auto"/>
              </w:rPr>
            </w:pPr>
          </w:p>
        </w:tc>
        <w:tc>
          <w:tcPr>
            <w:tcW w:w="2265" w:type="dxa"/>
          </w:tcPr>
          <w:p>
            <w:pPr>
              <w:pStyle w:val="113"/>
              <w:spacing w:line="360" w:lineRule="auto"/>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5" w:type="dxa"/>
          </w:tcPr>
          <w:p>
            <w:pPr>
              <w:pStyle w:val="113"/>
              <w:spacing w:line="360" w:lineRule="auto"/>
              <w:rPr>
                <w:rFonts w:ascii="宋体" w:hAnsi="宋体" w:cs="宋体"/>
                <w:color w:val="auto"/>
                <w:sz w:val="21"/>
                <w:szCs w:val="21"/>
              </w:rPr>
            </w:pPr>
          </w:p>
        </w:tc>
        <w:tc>
          <w:tcPr>
            <w:tcW w:w="2362" w:type="dxa"/>
          </w:tcPr>
          <w:p>
            <w:pPr>
              <w:pStyle w:val="113"/>
              <w:spacing w:line="360" w:lineRule="auto"/>
              <w:rPr>
                <w:rFonts w:ascii="宋体" w:hAnsi="宋体" w:cs="宋体"/>
                <w:color w:val="auto"/>
                <w:sz w:val="21"/>
                <w:szCs w:val="21"/>
              </w:rPr>
            </w:pPr>
          </w:p>
        </w:tc>
        <w:tc>
          <w:tcPr>
            <w:tcW w:w="2010" w:type="dxa"/>
          </w:tcPr>
          <w:p>
            <w:pPr>
              <w:pStyle w:val="113"/>
              <w:spacing w:line="360" w:lineRule="auto"/>
              <w:rPr>
                <w:rFonts w:ascii="宋体" w:hAnsi="宋体" w:cs="宋体"/>
                <w:color w:val="auto"/>
                <w:sz w:val="21"/>
                <w:szCs w:val="21"/>
              </w:rPr>
            </w:pPr>
          </w:p>
        </w:tc>
        <w:tc>
          <w:tcPr>
            <w:tcW w:w="2379" w:type="dxa"/>
          </w:tcPr>
          <w:p>
            <w:pPr>
              <w:pStyle w:val="113"/>
              <w:spacing w:line="360" w:lineRule="auto"/>
              <w:rPr>
                <w:rFonts w:ascii="宋体" w:hAnsi="宋体" w:cs="宋体"/>
                <w:color w:val="auto"/>
                <w:sz w:val="21"/>
                <w:szCs w:val="21"/>
              </w:rPr>
            </w:pPr>
          </w:p>
        </w:tc>
        <w:tc>
          <w:tcPr>
            <w:tcW w:w="2265" w:type="dxa"/>
          </w:tcPr>
          <w:p>
            <w:pPr>
              <w:pStyle w:val="113"/>
              <w:spacing w:line="360" w:lineRule="auto"/>
              <w:rPr>
                <w:rFonts w:ascii="宋体" w:hAnsi="宋体" w:cs="宋体"/>
                <w:color w:val="auto"/>
                <w:sz w:val="21"/>
                <w:szCs w:val="21"/>
              </w:rPr>
            </w:pPr>
          </w:p>
        </w:tc>
      </w:tr>
    </w:tbl>
    <w:p>
      <w:pPr>
        <w:pStyle w:val="12"/>
        <w:ind w:firstLine="160" w:firstLineChars="67"/>
        <w:rPr>
          <w:rFonts w:ascii="宋体" w:hAnsi="宋体" w:cs="宋体"/>
          <w:color w:val="auto"/>
          <w:sz w:val="24"/>
          <w:szCs w:val="24"/>
        </w:rPr>
      </w:pPr>
      <w:r>
        <w:rPr>
          <w:rFonts w:hint="eastAsia" w:ascii="宋体" w:hAnsi="宋体" w:cs="宋体"/>
          <w:color w:val="auto"/>
          <w:sz w:val="24"/>
          <w:szCs w:val="24"/>
        </w:rPr>
        <w:t>供应商名称:                                      项目编号：</w:t>
      </w:r>
    </w:p>
    <w:p>
      <w:pPr>
        <w:adjustRightInd w:val="0"/>
        <w:spacing w:line="360" w:lineRule="auto"/>
        <w:ind w:firstLine="385" w:firstLineChars="175"/>
        <w:jc w:val="left"/>
        <w:rPr>
          <w:rFonts w:ascii="宋体" w:hAnsi="宋体" w:cs="宋体"/>
          <w:color w:val="auto"/>
          <w:sz w:val="22"/>
          <w:szCs w:val="22"/>
        </w:rPr>
      </w:pPr>
    </w:p>
    <w:p>
      <w:pPr>
        <w:adjustRightInd w:val="0"/>
        <w:spacing w:line="360" w:lineRule="auto"/>
        <w:ind w:firstLine="367" w:firstLineChars="175"/>
        <w:jc w:val="left"/>
        <w:rPr>
          <w:rFonts w:ascii="宋体" w:hAnsi="宋体" w:cs="宋体"/>
          <w:color w:val="auto"/>
          <w:sz w:val="21"/>
          <w:szCs w:val="21"/>
        </w:rPr>
      </w:pPr>
      <w:r>
        <w:rPr>
          <w:rFonts w:hint="eastAsia" w:ascii="宋体" w:hAnsi="宋体" w:cs="宋体"/>
          <w:color w:val="auto"/>
          <w:sz w:val="21"/>
          <w:szCs w:val="21"/>
        </w:rPr>
        <w:t>注：1.本表应严格按照“第四章 采购内容及要求”中采购的产品参数填写；“竞争性谈判文件要求”须按谈判采购文件的技术参数填写；“竞争性谈判响应”为供应商所提供的产品参数；“偏离对货物（产品）性能的影响”填写：</w:t>
      </w:r>
      <w:r>
        <w:rPr>
          <w:rFonts w:hint="eastAsia" w:ascii="宋体" w:hAnsi="宋体" w:cs="宋体"/>
          <w:color w:val="auto"/>
          <w:sz w:val="21"/>
          <w:szCs w:val="21"/>
          <w:lang w:val="en-US" w:eastAsia="zh-CN"/>
        </w:rPr>
        <w:t>正偏离</w:t>
      </w:r>
      <w:r>
        <w:rPr>
          <w:rFonts w:hint="eastAsia" w:ascii="宋体" w:hAnsi="宋体" w:cs="宋体"/>
          <w:color w:val="auto"/>
          <w:sz w:val="21"/>
          <w:szCs w:val="21"/>
        </w:rPr>
        <w:t>、</w:t>
      </w:r>
      <w:r>
        <w:rPr>
          <w:rFonts w:hint="eastAsia" w:ascii="宋体" w:hAnsi="宋体" w:cs="宋体"/>
          <w:color w:val="auto"/>
          <w:sz w:val="21"/>
          <w:szCs w:val="21"/>
          <w:lang w:val="en-US" w:eastAsia="zh-CN"/>
        </w:rPr>
        <w:t>无偏离</w:t>
      </w:r>
      <w:r>
        <w:rPr>
          <w:rFonts w:hint="eastAsia" w:ascii="宋体" w:hAnsi="宋体" w:cs="宋体"/>
          <w:color w:val="auto"/>
          <w:sz w:val="21"/>
          <w:szCs w:val="21"/>
        </w:rPr>
        <w:t>或</w:t>
      </w:r>
      <w:r>
        <w:rPr>
          <w:rFonts w:hint="eastAsia" w:ascii="宋体" w:hAnsi="宋体" w:cs="宋体"/>
          <w:color w:val="auto"/>
          <w:sz w:val="21"/>
          <w:szCs w:val="21"/>
          <w:lang w:val="en-US" w:eastAsia="zh-CN"/>
        </w:rPr>
        <w:t>负偏离</w:t>
      </w:r>
      <w:r>
        <w:rPr>
          <w:rFonts w:hint="eastAsia" w:ascii="宋体" w:hAnsi="宋体" w:cs="宋体"/>
          <w:color w:val="auto"/>
          <w:sz w:val="21"/>
          <w:szCs w:val="21"/>
        </w:rPr>
        <w:t>。</w:t>
      </w:r>
    </w:p>
    <w:p>
      <w:pPr>
        <w:adjustRightInd w:val="0"/>
        <w:spacing w:line="360" w:lineRule="auto"/>
        <w:ind w:firstLine="367" w:firstLineChars="175"/>
        <w:jc w:val="left"/>
        <w:rPr>
          <w:rFonts w:ascii="宋体" w:hAnsi="宋体" w:cs="宋体"/>
          <w:color w:val="auto"/>
          <w:sz w:val="21"/>
          <w:szCs w:val="21"/>
        </w:rPr>
      </w:pPr>
      <w:r>
        <w:rPr>
          <w:rFonts w:hint="eastAsia" w:ascii="宋体" w:hAnsi="宋体" w:cs="宋体"/>
          <w:color w:val="auto"/>
          <w:sz w:val="21"/>
          <w:szCs w:val="21"/>
        </w:rPr>
        <w:t>2．供应商必须据实填写，不得虚假响应，否则将取消其谈判或成交资格，并按有关规定进行处罚。</w:t>
      </w:r>
    </w:p>
    <w:p>
      <w:pPr>
        <w:adjustRightInd w:val="0"/>
        <w:spacing w:line="360" w:lineRule="auto"/>
        <w:ind w:firstLine="420" w:firstLineChars="175"/>
        <w:jc w:val="left"/>
        <w:rPr>
          <w:rFonts w:ascii="宋体" w:hAnsi="宋体" w:cs="宋体"/>
          <w:bCs/>
          <w:color w:val="auto"/>
          <w:sz w:val="24"/>
          <w:szCs w:val="24"/>
        </w:rPr>
      </w:pPr>
    </w:p>
    <w:p>
      <w:pPr>
        <w:pStyle w:val="6"/>
        <w:rPr>
          <w:rFonts w:ascii="宋体" w:hAnsi="宋体" w:eastAsia="宋体" w:cs="宋体"/>
          <w:bCs/>
          <w:color w:val="auto"/>
          <w:sz w:val="24"/>
          <w:szCs w:val="24"/>
        </w:rPr>
      </w:pPr>
    </w:p>
    <w:p>
      <w:pPr>
        <w:rPr>
          <w:color w:val="auto"/>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adjustRightInd w:val="0"/>
        <w:spacing w:line="360" w:lineRule="auto"/>
        <w:ind w:firstLine="720" w:firstLineChars="300"/>
        <w:jc w:val="left"/>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pStyle w:val="12"/>
        <w:rPr>
          <w:color w:val="auto"/>
          <w:lang w:val="zh-CN"/>
        </w:rPr>
      </w:pPr>
    </w:p>
    <w:p>
      <w:pPr>
        <w:rPr>
          <w:color w:val="auto"/>
          <w:lang w:val="zh-CN"/>
        </w:rPr>
      </w:pPr>
    </w:p>
    <w:p>
      <w:pPr>
        <w:pStyle w:val="2"/>
        <w:rPr>
          <w:color w:val="auto"/>
          <w:lang w:val="zh-CN"/>
        </w:rPr>
      </w:pPr>
    </w:p>
    <w:p>
      <w:pPr>
        <w:pStyle w:val="2"/>
        <w:rPr>
          <w:color w:val="auto"/>
          <w:lang w:val="zh-CN"/>
        </w:rPr>
      </w:pPr>
    </w:p>
    <w:p>
      <w:pPr>
        <w:adjustRightInd w:val="0"/>
        <w:snapToGrid w:val="0"/>
        <w:spacing w:before="120" w:beforeLines="50" w:after="120" w:afterLines="50" w:line="360" w:lineRule="auto"/>
        <w:jc w:val="center"/>
        <w:rPr>
          <w:rFonts w:ascii="宋体" w:hAnsi="宋体" w:cs="宋体"/>
          <w:b/>
          <w:bCs/>
          <w:color w:val="auto"/>
          <w:sz w:val="28"/>
          <w:szCs w:val="28"/>
          <w:lang w:val="zh-CN"/>
        </w:rPr>
      </w:pPr>
      <w:r>
        <w:rPr>
          <w:rFonts w:hint="eastAsia" w:ascii="宋体" w:hAnsi="宋体" w:cs="宋体"/>
          <w:b/>
          <w:bCs/>
          <w:color w:val="auto"/>
          <w:sz w:val="28"/>
          <w:szCs w:val="28"/>
        </w:rPr>
        <w:t>2、</w:t>
      </w:r>
      <w:r>
        <w:rPr>
          <w:rFonts w:hint="eastAsia" w:ascii="宋体" w:hAnsi="宋体" w:cs="宋体"/>
          <w:b/>
          <w:bCs/>
          <w:color w:val="auto"/>
          <w:sz w:val="28"/>
          <w:szCs w:val="28"/>
          <w:lang w:val="zh-CN"/>
        </w:rPr>
        <w:t>商务偏离表</w:t>
      </w:r>
    </w:p>
    <w:p>
      <w:pPr>
        <w:pStyle w:val="2"/>
        <w:rPr>
          <w:color w:val="auto"/>
          <w:lang w:val="zh-CN"/>
        </w:rPr>
      </w:pPr>
    </w:p>
    <w:p>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                           项目编号：</w:t>
      </w:r>
    </w:p>
    <w:tbl>
      <w:tblPr>
        <w:tblStyle w:val="36"/>
        <w:tblpPr w:leftFromText="180" w:rightFromText="180" w:vertAnchor="text" w:horzAnchor="margin" w:tblpXSpec="center" w:tblpY="81"/>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02"/>
        <w:gridCol w:w="2723"/>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2602"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谈判采购商务要求</w:t>
            </w:r>
          </w:p>
        </w:tc>
        <w:tc>
          <w:tcPr>
            <w:tcW w:w="2723"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谈判响应文件商务响应</w:t>
            </w:r>
          </w:p>
        </w:tc>
        <w:tc>
          <w:tcPr>
            <w:tcW w:w="2542" w:type="dxa"/>
            <w:tcBorders>
              <w:bottom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4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60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7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c>
          <w:tcPr>
            <w:tcW w:w="25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ind w:firstLine="630" w:firstLineChars="300"/>
        <w:rPr>
          <w:rFonts w:ascii="宋体" w:hAnsi="宋体" w:cs="宋体"/>
          <w:color w:val="auto"/>
          <w:szCs w:val="21"/>
        </w:rPr>
      </w:pPr>
      <w:r>
        <w:rPr>
          <w:rFonts w:hint="eastAsia" w:ascii="宋体" w:hAnsi="宋体" w:cs="宋体"/>
          <w:color w:val="auto"/>
          <w:szCs w:val="21"/>
        </w:rPr>
        <w:t>注： 1.本表应严格按照“第五章 商务要求”中所包含的商务条款填写；“谈判采购商务要求”须按谈判采购文件的商务条款填写；“谈判响应文件商务响应”为供应商所响应的商务条款；“偏离及其影响” 填写：</w:t>
      </w:r>
      <w:r>
        <w:rPr>
          <w:rFonts w:hint="eastAsia" w:ascii="宋体" w:hAnsi="宋体" w:cs="宋体"/>
          <w:color w:val="auto"/>
          <w:szCs w:val="21"/>
          <w:lang w:val="en-US" w:eastAsia="zh-CN"/>
        </w:rPr>
        <w:t>正偏离</w:t>
      </w:r>
      <w:r>
        <w:rPr>
          <w:rFonts w:hint="eastAsia" w:ascii="宋体" w:hAnsi="宋体" w:cs="宋体"/>
          <w:color w:val="auto"/>
          <w:szCs w:val="21"/>
        </w:rPr>
        <w:t>、</w:t>
      </w:r>
      <w:r>
        <w:rPr>
          <w:rFonts w:hint="eastAsia" w:ascii="宋体" w:hAnsi="宋体" w:cs="宋体"/>
          <w:color w:val="auto"/>
          <w:szCs w:val="21"/>
          <w:lang w:val="en-US" w:eastAsia="zh-CN"/>
        </w:rPr>
        <w:t>无偏离</w:t>
      </w:r>
      <w:r>
        <w:rPr>
          <w:rFonts w:hint="eastAsia" w:ascii="宋体" w:hAnsi="宋体" w:cs="宋体"/>
          <w:color w:val="auto"/>
          <w:szCs w:val="21"/>
        </w:rPr>
        <w:t>或</w:t>
      </w:r>
      <w:r>
        <w:rPr>
          <w:rFonts w:hint="eastAsia" w:ascii="宋体" w:hAnsi="宋体" w:cs="宋体"/>
          <w:color w:val="auto"/>
          <w:szCs w:val="21"/>
          <w:lang w:val="en-US" w:eastAsia="zh-CN"/>
        </w:rPr>
        <w:t>负偏离</w:t>
      </w:r>
      <w:r>
        <w:rPr>
          <w:rFonts w:hint="eastAsia" w:ascii="宋体" w:hAnsi="宋体" w:cs="宋体"/>
          <w:color w:val="auto"/>
          <w:szCs w:val="21"/>
        </w:rPr>
        <w:t>。</w:t>
      </w:r>
    </w:p>
    <w:p>
      <w:pPr>
        <w:spacing w:line="360" w:lineRule="auto"/>
        <w:ind w:firstLine="630" w:firstLineChars="300"/>
        <w:rPr>
          <w:rFonts w:ascii="宋体" w:hAnsi="宋体" w:cs="宋体"/>
          <w:color w:val="auto"/>
          <w:szCs w:val="21"/>
        </w:rPr>
      </w:pPr>
      <w:r>
        <w:rPr>
          <w:rFonts w:hint="eastAsia" w:ascii="宋体" w:hAnsi="宋体" w:cs="宋体"/>
          <w:color w:val="auto"/>
          <w:szCs w:val="21"/>
        </w:rPr>
        <w:t>2．供应商必须据实填写，不得虚假响应，否则将取消其谈判或成交资格，并按有关规定进</w:t>
      </w:r>
      <w:r>
        <w:rPr>
          <w:rFonts w:hint="eastAsia" w:ascii="宋体" w:hAnsi="宋体" w:cs="宋体"/>
          <w:color w:val="auto"/>
          <w:szCs w:val="21"/>
          <w:lang w:val="en-US" w:eastAsia="zh-CN"/>
        </w:rPr>
        <w:t>行</w:t>
      </w:r>
      <w:r>
        <w:rPr>
          <w:rFonts w:hint="eastAsia" w:ascii="宋体" w:hAnsi="宋体" w:cs="宋体"/>
          <w:color w:val="auto"/>
          <w:szCs w:val="21"/>
        </w:rPr>
        <w:t>处罚。</w:t>
      </w:r>
    </w:p>
    <w:p>
      <w:pPr>
        <w:spacing w:line="360" w:lineRule="auto"/>
        <w:ind w:firstLine="840" w:firstLineChars="300"/>
        <w:rPr>
          <w:rFonts w:ascii="宋体" w:hAnsi="宋体" w:cs="宋体"/>
          <w:color w:val="auto"/>
          <w:sz w:val="28"/>
          <w:szCs w:val="28"/>
        </w:r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供应商名称：（盖章）</w:t>
      </w:r>
    </w:p>
    <w:p>
      <w:pPr>
        <w:adjustRightInd w:val="0"/>
        <w:spacing w:line="360" w:lineRule="auto"/>
        <w:ind w:firstLine="720" w:firstLineChars="300"/>
        <w:jc w:val="left"/>
        <w:rPr>
          <w:rFonts w:ascii="宋体" w:hAnsi="宋体" w:cs="宋体"/>
          <w:color w:val="auto"/>
          <w:sz w:val="24"/>
          <w:szCs w:val="24"/>
        </w:rPr>
      </w:pPr>
      <w:r>
        <w:rPr>
          <w:rFonts w:hint="eastAsia" w:ascii="宋体" w:hAnsi="宋体" w:cs="宋体"/>
          <w:color w:val="auto"/>
          <w:sz w:val="24"/>
          <w:szCs w:val="24"/>
        </w:rPr>
        <w:t>法定代表人或授权代表（签名或盖章）：         日期：</w:t>
      </w:r>
    </w:p>
    <w:p>
      <w:pPr>
        <w:autoSpaceDE w:val="0"/>
        <w:autoSpaceDN w:val="0"/>
        <w:adjustRightInd w:val="0"/>
        <w:spacing w:line="360" w:lineRule="auto"/>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36"/>
          <w:szCs w:val="36"/>
          <w:lang w:val="zh-CN"/>
        </w:rPr>
      </w:pPr>
    </w:p>
    <w:p>
      <w:pPr>
        <w:pStyle w:val="6"/>
        <w:rPr>
          <w:color w:val="auto"/>
          <w:lang w:val="zh-CN"/>
        </w:rPr>
      </w:pPr>
    </w:p>
    <w:p>
      <w:pPr>
        <w:autoSpaceDE w:val="0"/>
        <w:autoSpaceDN w:val="0"/>
        <w:adjustRightInd w:val="0"/>
        <w:spacing w:line="360" w:lineRule="auto"/>
        <w:rPr>
          <w:rFonts w:ascii="宋体" w:hAnsi="宋体" w:cs="宋体"/>
          <w:b/>
          <w:bCs/>
          <w:color w:val="auto"/>
          <w:sz w:val="28"/>
          <w:szCs w:val="28"/>
          <w:lang w:val="zh-CN"/>
        </w:rPr>
      </w:pPr>
    </w:p>
    <w:p>
      <w:pPr>
        <w:pStyle w:val="4"/>
        <w:spacing w:before="120" w:beforeLines="50" w:after="120" w:afterLines="50" w:line="360" w:lineRule="auto"/>
        <w:jc w:val="center"/>
        <w:rPr>
          <w:rFonts w:hint="eastAsia" w:ascii="宋体" w:hAnsi="宋体" w:eastAsia="宋体" w:cs="宋体"/>
          <w:b/>
          <w:bCs/>
          <w:color w:val="auto"/>
          <w:szCs w:val="28"/>
          <w:highlight w:val="none"/>
          <w:lang w:val="zh-CN"/>
        </w:rPr>
      </w:pPr>
      <w:r>
        <w:rPr>
          <w:rFonts w:hint="eastAsia" w:ascii="宋体" w:hAnsi="宋体" w:eastAsia="宋体" w:cs="宋体"/>
          <w:b/>
          <w:bCs/>
          <w:color w:val="auto"/>
          <w:szCs w:val="28"/>
          <w:highlight w:val="none"/>
          <w:lang w:val="zh-CN"/>
        </w:rPr>
        <w:t>第</w:t>
      </w:r>
      <w:r>
        <w:rPr>
          <w:rFonts w:hint="eastAsia" w:ascii="宋体" w:hAnsi="宋体" w:eastAsia="宋体" w:cs="宋体"/>
          <w:b/>
          <w:bCs/>
          <w:color w:val="auto"/>
          <w:szCs w:val="28"/>
          <w:highlight w:val="none"/>
        </w:rPr>
        <w:t>七</w:t>
      </w:r>
      <w:r>
        <w:rPr>
          <w:rFonts w:hint="eastAsia" w:ascii="宋体" w:hAnsi="宋体" w:eastAsia="宋体" w:cs="宋体"/>
          <w:b/>
          <w:bCs/>
          <w:color w:val="auto"/>
          <w:szCs w:val="28"/>
          <w:highlight w:val="none"/>
          <w:lang w:val="zh-CN"/>
        </w:rPr>
        <w:t>部分  谈判方案说明</w:t>
      </w:r>
    </w:p>
    <w:p>
      <w:pPr>
        <w:autoSpaceDE w:val="0"/>
        <w:autoSpaceDN w:val="0"/>
        <w:adjustRightInd w:val="0"/>
        <w:spacing w:line="360" w:lineRule="auto"/>
        <w:jc w:val="center"/>
        <w:rPr>
          <w:rFonts w:ascii="宋体" w:hAnsi="宋体" w:cs="宋体"/>
          <w:b/>
          <w:bCs/>
          <w:color w:val="auto"/>
          <w:sz w:val="36"/>
          <w:szCs w:val="36"/>
          <w:lang w:val="zh-CN"/>
        </w:rPr>
      </w:pPr>
    </w:p>
    <w:p>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依照谈判文件“第五章 采购</w:t>
      </w:r>
      <w:r>
        <w:rPr>
          <w:rFonts w:hint="eastAsia" w:ascii="宋体" w:hAnsi="宋体" w:cs="宋体"/>
          <w:color w:val="auto"/>
          <w:sz w:val="24"/>
          <w:szCs w:val="24"/>
          <w:lang w:val="zh-CN"/>
        </w:rPr>
        <w:t>内容及要求</w:t>
      </w:r>
      <w:r>
        <w:rPr>
          <w:rFonts w:hint="eastAsia" w:ascii="宋体" w:hAnsi="宋体" w:cs="宋体"/>
          <w:color w:val="auto"/>
          <w:sz w:val="24"/>
          <w:szCs w:val="24"/>
        </w:rPr>
        <w:t>”编制谈判方案，格式自拟，包括但不限于以下内容：</w:t>
      </w:r>
    </w:p>
    <w:p>
      <w:pPr>
        <w:numPr>
          <w:ilvl w:val="0"/>
          <w:numId w:val="12"/>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项目实施方案（包含供货计划、安排及组织措施）；</w:t>
      </w:r>
    </w:p>
    <w:p>
      <w:pPr>
        <w:numPr>
          <w:ilvl w:val="0"/>
          <w:numId w:val="12"/>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人员的配备；</w:t>
      </w:r>
    </w:p>
    <w:p>
      <w:pPr>
        <w:numPr>
          <w:ilvl w:val="0"/>
          <w:numId w:val="12"/>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货物来源渠道及质量保证；</w:t>
      </w:r>
    </w:p>
    <w:p>
      <w:pPr>
        <w:numPr>
          <w:ilvl w:val="0"/>
          <w:numId w:val="12"/>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售后服务；</w:t>
      </w:r>
    </w:p>
    <w:p>
      <w:pPr>
        <w:numPr>
          <w:ilvl w:val="0"/>
          <w:numId w:val="12"/>
        </w:num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供应商认为有必要说明的其他问题。</w:t>
      </w:r>
    </w:p>
    <w:p>
      <w:pPr>
        <w:jc w:val="center"/>
        <w:rPr>
          <w:rFonts w:ascii="宋体" w:hAnsi="宋体" w:cs="宋体"/>
          <w:b/>
          <w:color w:val="auto"/>
          <w:sz w:val="32"/>
          <w:szCs w:val="32"/>
        </w:rPr>
      </w:pPr>
    </w:p>
    <w:p>
      <w:pPr>
        <w:autoSpaceDE w:val="0"/>
        <w:autoSpaceDN w:val="0"/>
        <w:adjustRightInd w:val="0"/>
        <w:spacing w:line="360" w:lineRule="auto"/>
        <w:jc w:val="center"/>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p>
    <w:p>
      <w:pPr>
        <w:pStyle w:val="17"/>
        <w:rPr>
          <w:rFonts w:ascii="宋体" w:hAnsi="宋体" w:cs="宋体"/>
          <w:b/>
          <w:bCs/>
          <w:color w:val="auto"/>
          <w:szCs w:val="28"/>
          <w:lang w:val="zh-CN"/>
        </w:rPr>
      </w:pPr>
    </w:p>
    <w:p>
      <w:pPr>
        <w:rPr>
          <w:rFonts w:ascii="宋体" w:hAnsi="宋体" w:cs="宋体"/>
          <w:b/>
          <w:bCs/>
          <w:color w:val="auto"/>
          <w:sz w:val="28"/>
          <w:szCs w:val="28"/>
          <w:lang w:val="zh-CN"/>
        </w:rPr>
      </w:pPr>
    </w:p>
    <w:p>
      <w:pPr>
        <w:pStyle w:val="17"/>
        <w:rPr>
          <w:rFonts w:ascii="宋体" w:hAnsi="宋体" w:cs="宋体"/>
          <w:b/>
          <w:bCs/>
          <w:color w:val="auto"/>
          <w:szCs w:val="28"/>
          <w:lang w:val="zh-CN"/>
        </w:rPr>
      </w:pPr>
    </w:p>
    <w:p>
      <w:pPr>
        <w:rPr>
          <w:rFonts w:ascii="宋体" w:hAnsi="宋体" w:cs="宋体"/>
          <w:b/>
          <w:bCs/>
          <w:color w:val="auto"/>
          <w:sz w:val="28"/>
          <w:szCs w:val="28"/>
          <w:lang w:val="zh-CN"/>
        </w:rPr>
      </w:pPr>
    </w:p>
    <w:p>
      <w:pPr>
        <w:pStyle w:val="17"/>
        <w:rPr>
          <w:color w:val="auto"/>
          <w:lang w:val="zh-CN"/>
        </w:rPr>
      </w:pPr>
    </w:p>
    <w:p>
      <w:pPr>
        <w:autoSpaceDE w:val="0"/>
        <w:autoSpaceDN w:val="0"/>
        <w:adjustRightInd w:val="0"/>
        <w:spacing w:line="360" w:lineRule="auto"/>
        <w:jc w:val="center"/>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p>
    <w:p>
      <w:pPr>
        <w:autoSpaceDE w:val="0"/>
        <w:autoSpaceDN w:val="0"/>
        <w:adjustRightInd w:val="0"/>
        <w:spacing w:line="360" w:lineRule="auto"/>
        <w:jc w:val="center"/>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ascii="宋体" w:hAnsi="宋体" w:cs="宋体"/>
          <w:b/>
          <w:bCs/>
          <w:color w:val="auto"/>
          <w:sz w:val="28"/>
          <w:szCs w:val="28"/>
          <w:lang w:val="zh-CN"/>
        </w:rPr>
      </w:pPr>
    </w:p>
    <w:p>
      <w:pPr>
        <w:pStyle w:val="2"/>
        <w:rPr>
          <w:rFonts w:hint="eastAsia" w:ascii="宋体" w:hAnsi="宋体" w:cs="宋体"/>
          <w:b/>
          <w:bCs/>
          <w:color w:val="auto"/>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八</w:t>
      </w:r>
      <w:r>
        <w:rPr>
          <w:rFonts w:hint="eastAsia" w:ascii="宋体" w:hAnsi="宋体" w:cs="宋体"/>
          <w:b/>
          <w:bCs/>
          <w:color w:val="auto"/>
          <w:sz w:val="28"/>
          <w:szCs w:val="28"/>
          <w:lang w:val="zh-CN"/>
        </w:rPr>
        <w:t>部分  供应商承诺书</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cs="宋体"/>
          <w:b/>
          <w:bCs/>
          <w:color w:val="auto"/>
          <w:sz w:val="24"/>
          <w:szCs w:val="24"/>
          <w:lang w:val="zh-CN"/>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val="zh-CN"/>
        </w:rPr>
        <w:t>政府采购供应商拒绝政府采购</w:t>
      </w:r>
      <w:bookmarkStart w:id="105" w:name="_Toc437247481"/>
      <w:bookmarkStart w:id="106" w:name="_Toc28167"/>
      <w:bookmarkStart w:id="107" w:name="_Toc437425973"/>
      <w:bookmarkStart w:id="108" w:name="_Toc435777821"/>
      <w:bookmarkStart w:id="109" w:name="_Toc438541326"/>
      <w:r>
        <w:rPr>
          <w:rFonts w:hint="eastAsia" w:ascii="宋体" w:hAnsi="宋体" w:cs="宋体"/>
          <w:b/>
          <w:bCs/>
          <w:color w:val="auto"/>
          <w:sz w:val="24"/>
          <w:szCs w:val="24"/>
          <w:lang w:val="zh-CN"/>
        </w:rPr>
        <w:t>领域</w:t>
      </w:r>
      <w:bookmarkStart w:id="110" w:name="_Toc435776434"/>
      <w:bookmarkStart w:id="111" w:name="_Toc435777721"/>
      <w:r>
        <w:rPr>
          <w:rFonts w:hint="eastAsia" w:ascii="宋体" w:hAnsi="宋体" w:cs="宋体"/>
          <w:b/>
          <w:bCs/>
          <w:color w:val="auto"/>
          <w:sz w:val="24"/>
          <w:szCs w:val="24"/>
          <w:lang w:val="zh-CN"/>
        </w:rPr>
        <w:t>商业</w:t>
      </w:r>
      <w:bookmarkEnd w:id="105"/>
      <w:bookmarkEnd w:id="106"/>
      <w:bookmarkEnd w:id="107"/>
      <w:bookmarkEnd w:id="108"/>
      <w:bookmarkEnd w:id="109"/>
      <w:bookmarkEnd w:id="110"/>
      <w:bookmarkEnd w:id="111"/>
      <w:r>
        <w:rPr>
          <w:rFonts w:hint="eastAsia" w:ascii="宋体" w:hAnsi="宋体" w:cs="宋体"/>
          <w:b/>
          <w:bCs/>
          <w:color w:val="auto"/>
          <w:sz w:val="24"/>
          <w:szCs w:val="24"/>
          <w:lang w:val="zh-CN"/>
        </w:rPr>
        <w:t>贿赂承诺书</w:t>
      </w:r>
    </w:p>
    <w:p>
      <w:p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为响应党中央、国务院关于治理政府采购领域商业贿赂行为的号召，我单位在此庄严承诺：</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在参与政府采购活动中遵纪守法、诚信经营、公平竞标。</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不向采购人、采购代理机构和政府采购评审专家进行任何形式的商业贿赂以谋取交易机会。</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不向采购代理机构和采购人提供虚假资质文件或采用虚假应标方式参与政府采购市场竞争并谋取成交、成交。</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不采取“围标、陪标”等商业欺诈手段获得政府采购定单。</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不采取不正当手段</w:t>
      </w:r>
      <w:r>
        <w:rPr>
          <w:rFonts w:hint="eastAsia" w:ascii="宋体" w:hAnsi="宋体" w:cs="宋体"/>
          <w:color w:val="auto"/>
          <w:kern w:val="0"/>
          <w:sz w:val="24"/>
          <w:szCs w:val="24"/>
          <w:lang w:val="en-US" w:eastAsia="zh-CN"/>
        </w:rPr>
        <w:t>诋毁</w:t>
      </w:r>
      <w:r>
        <w:rPr>
          <w:rFonts w:hint="eastAsia" w:ascii="宋体" w:hAnsi="宋体" w:cs="宋体"/>
          <w:color w:val="auto"/>
          <w:kern w:val="0"/>
          <w:sz w:val="24"/>
          <w:szCs w:val="24"/>
        </w:rPr>
        <w:t>、排挤其他供应商。</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不在提供商品和服务时“偷梁换柱、以次充好”损害采购人的合法权益。</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不与采购人、采购代理机构、政府采购评审专家或其它供应商恶意串通，进行质疑和投诉，维护政府采购市场秩序。</w:t>
      </w:r>
    </w:p>
    <w:p>
      <w:pPr>
        <w:numPr>
          <w:ilvl w:val="0"/>
          <w:numId w:val="13"/>
        </w:num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尊重和接受政府采购监督管理部门的监督和采购代理机构的招标要求，承担因违约行为给采购人造成的损失。</w:t>
      </w:r>
    </w:p>
    <w:p>
      <w:pPr>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9、不发生其他有悖于政府采购公开、公平、公正和诚信原则的行为。</w:t>
      </w:r>
    </w:p>
    <w:p>
      <w:pPr>
        <w:pStyle w:val="112"/>
        <w:spacing w:line="520" w:lineRule="exact"/>
        <w:ind w:left="200" w:firstLine="0" w:firstLineChars="0"/>
        <w:rPr>
          <w:rFonts w:ascii="宋体" w:hAnsi="宋体" w:cs="宋体"/>
          <w:color w:val="auto"/>
          <w:sz w:val="24"/>
        </w:rPr>
      </w:pP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承诺单位：                  （公      章）</w:t>
      </w: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法定代表人或授权代表：      （签字或盖章）</w:t>
      </w: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地    址：                               </w:t>
      </w:r>
    </w:p>
    <w:p>
      <w:pPr>
        <w:widowControl/>
        <w:tabs>
          <w:tab w:val="left" w:pos="2394"/>
        </w:tabs>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邮    编：                               </w:t>
      </w:r>
    </w:p>
    <w:p>
      <w:pPr>
        <w:tabs>
          <w:tab w:val="left" w:pos="5580"/>
        </w:tabs>
        <w:adjustRightInd w:val="0"/>
        <w:spacing w:line="520" w:lineRule="exact"/>
        <w:ind w:firstLine="480" w:firstLineChars="200"/>
        <w:rPr>
          <w:rFonts w:ascii="宋体" w:hAnsi="宋体" w:cs="宋体"/>
          <w:color w:val="auto"/>
          <w:kern w:val="0"/>
          <w:sz w:val="28"/>
          <w:szCs w:val="28"/>
        </w:rPr>
      </w:pPr>
      <w:r>
        <w:rPr>
          <w:rFonts w:hint="eastAsia" w:ascii="宋体" w:hAnsi="宋体" w:cs="宋体"/>
          <w:color w:val="auto"/>
          <w:kern w:val="0"/>
          <w:sz w:val="24"/>
          <w:szCs w:val="24"/>
        </w:rPr>
        <w:t xml:space="preserve">电    话：                            </w:t>
      </w:r>
      <w:r>
        <w:rPr>
          <w:rFonts w:hint="eastAsia" w:ascii="宋体" w:hAnsi="宋体" w:cs="宋体"/>
          <w:color w:val="auto"/>
          <w:kern w:val="0"/>
          <w:sz w:val="28"/>
          <w:szCs w:val="28"/>
        </w:rPr>
        <w:t xml:space="preserve">   </w:t>
      </w:r>
    </w:p>
    <w:p>
      <w:pPr>
        <w:widowControl/>
        <w:tabs>
          <w:tab w:val="left" w:pos="2394"/>
        </w:tabs>
        <w:spacing w:line="520" w:lineRule="exact"/>
        <w:ind w:firstLine="480" w:firstLineChars="200"/>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日    期：</w:t>
      </w:r>
    </w:p>
    <w:p>
      <w:pPr>
        <w:autoSpaceDE w:val="0"/>
        <w:autoSpaceDN w:val="0"/>
        <w:adjustRightInd w:val="0"/>
        <w:spacing w:before="120" w:beforeLines="50" w:after="120" w:afterLines="50" w:line="560" w:lineRule="exact"/>
        <w:rPr>
          <w:rFonts w:ascii="宋体" w:hAnsi="宋体" w:cs="宋体"/>
          <w:b/>
          <w:bCs/>
          <w:color w:val="auto"/>
          <w:sz w:val="24"/>
          <w:szCs w:val="24"/>
        </w:rPr>
      </w:pPr>
    </w:p>
    <w:p>
      <w:pPr>
        <w:pStyle w:val="2"/>
        <w:rPr>
          <w:color w:val="auto"/>
        </w:rPr>
      </w:pPr>
    </w:p>
    <w:p>
      <w:pPr>
        <w:autoSpaceDE w:val="0"/>
        <w:autoSpaceDN w:val="0"/>
        <w:adjustRightInd w:val="0"/>
        <w:spacing w:before="120" w:beforeLines="50" w:after="120" w:afterLines="50" w:line="560" w:lineRule="exact"/>
        <w:jc w:val="center"/>
        <w:rPr>
          <w:rFonts w:ascii="宋体" w:hAnsi="宋体" w:cs="宋体"/>
          <w:b/>
          <w:bCs/>
          <w:color w:val="auto"/>
          <w:sz w:val="28"/>
          <w:szCs w:val="28"/>
          <w:lang w:val="zh-CN"/>
        </w:rPr>
      </w:pP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供应商书面声明书</w:t>
      </w:r>
    </w:p>
    <w:p>
      <w:pPr>
        <w:pStyle w:val="17"/>
        <w:rPr>
          <w:rFonts w:ascii="宋体" w:hAnsi="宋体" w:cs="宋体"/>
          <w:color w:val="auto"/>
          <w:sz w:val="24"/>
          <w:szCs w:val="24"/>
        </w:rPr>
      </w:pPr>
    </w:p>
    <w:p>
      <w:pPr>
        <w:pStyle w:val="17"/>
        <w:rPr>
          <w:rFonts w:ascii="宋体" w:hAnsi="宋体" w:cs="宋体"/>
          <w:b/>
          <w:color w:val="auto"/>
          <w:sz w:val="24"/>
          <w:szCs w:val="24"/>
        </w:rPr>
      </w:pPr>
      <w:r>
        <w:rPr>
          <w:rFonts w:hint="eastAsia" w:ascii="宋体" w:hAnsi="宋体" w:cs="宋体"/>
          <w:color w:val="auto"/>
          <w:sz w:val="24"/>
          <w:szCs w:val="24"/>
        </w:rPr>
        <w:t>陕西盛仕骄阳项目管理有限公司：</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作为参加贵单位组织的</w:t>
      </w:r>
      <w:r>
        <w:rPr>
          <w:rFonts w:hint="eastAsia" w:ascii="宋体" w:hAnsi="宋体" w:cs="宋体"/>
          <w:color w:val="auto"/>
          <w:sz w:val="24"/>
          <w:szCs w:val="24"/>
          <w:u w:val="single"/>
        </w:rPr>
        <w:t xml:space="preserve">                </w:t>
      </w:r>
      <w:r>
        <w:rPr>
          <w:rFonts w:hint="eastAsia" w:ascii="宋体" w:hAnsi="宋体" w:cs="宋体"/>
          <w:color w:val="auto"/>
          <w:sz w:val="24"/>
          <w:szCs w:val="24"/>
        </w:rPr>
        <w:t>的供应商，本公司郑重承诺：</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1、在参加本项目谈判之前不存在被依法禁止经营行为、财产被接管或冻结的情况，如有隐瞒实情，愿承担一切责任及后果。</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2、近三年受到有关行政主管部门的行政处理、不良行为记录为</w:t>
      </w:r>
      <w:r>
        <w:rPr>
          <w:rFonts w:hint="eastAsia" w:ascii="宋体" w:hAnsi="宋体" w:cs="宋体"/>
          <w:color w:val="auto"/>
          <w:sz w:val="24"/>
          <w:szCs w:val="24"/>
          <w:u w:val="single"/>
        </w:rPr>
        <w:t xml:space="preserve">    </w:t>
      </w:r>
      <w:r>
        <w:rPr>
          <w:rFonts w:hint="eastAsia" w:ascii="宋体" w:hAnsi="宋体" w:cs="宋体"/>
          <w:color w:val="auto"/>
          <w:sz w:val="24"/>
          <w:szCs w:val="24"/>
        </w:rPr>
        <w:t>次（没有填零），如有隐瞒实情，愿承担一切责任及后果。</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3、参加本次谈判提交的所有资质证明文件及业绩证明文件是真实的、有效的，如有隐瞒实情，愿承担一切责任及后果。</w:t>
      </w:r>
    </w:p>
    <w:p>
      <w:pPr>
        <w:autoSpaceDE w:val="0"/>
        <w:autoSpaceDN w:val="0"/>
        <w:adjustRightInd w:val="0"/>
        <w:spacing w:line="560" w:lineRule="exact"/>
        <w:ind w:firstLine="482" w:firstLineChars="200"/>
        <w:rPr>
          <w:rFonts w:ascii="宋体" w:hAnsi="宋体" w:cs="宋体"/>
          <w:b/>
          <w:color w:val="auto"/>
          <w:sz w:val="24"/>
          <w:szCs w:val="24"/>
        </w:rPr>
      </w:pPr>
    </w:p>
    <w:p>
      <w:pPr>
        <w:autoSpaceDE w:val="0"/>
        <w:autoSpaceDN w:val="0"/>
        <w:adjustRightInd w:val="0"/>
        <w:spacing w:line="560" w:lineRule="exact"/>
        <w:jc w:val="center"/>
        <w:rPr>
          <w:rFonts w:ascii="宋体" w:hAnsi="宋体" w:cs="宋体"/>
          <w:b/>
          <w:color w:val="auto"/>
          <w:sz w:val="24"/>
          <w:szCs w:val="24"/>
        </w:rPr>
      </w:pPr>
    </w:p>
    <w:p>
      <w:pPr>
        <w:adjustRightInd w:val="0"/>
        <w:snapToGrid w:val="0"/>
        <w:spacing w:line="560" w:lineRule="exact"/>
        <w:ind w:firstLine="360" w:firstLineChars="150"/>
        <w:rPr>
          <w:rFonts w:ascii="宋体" w:hAnsi="宋体" w:cs="宋体"/>
          <w:color w:val="auto"/>
          <w:sz w:val="24"/>
          <w:szCs w:val="24"/>
        </w:rPr>
      </w:pPr>
      <w:r>
        <w:rPr>
          <w:rFonts w:hint="eastAsia" w:ascii="宋体" w:hAnsi="宋体" w:cs="宋体"/>
          <w:color w:val="auto"/>
          <w:sz w:val="24"/>
          <w:szCs w:val="24"/>
        </w:rPr>
        <w:t>供应商                           法定代表人/委托代理人</w:t>
      </w:r>
    </w:p>
    <w:p>
      <w:pPr>
        <w:adjustRightInd w:val="0"/>
        <w:snapToGrid w:val="0"/>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（单位公章）：                             （签字或盖章）：</w:t>
      </w:r>
    </w:p>
    <w:p>
      <w:pPr>
        <w:adjustRightInd w:val="0"/>
        <w:snapToGrid w:val="0"/>
        <w:spacing w:line="560" w:lineRule="exact"/>
        <w:ind w:firstLine="240" w:firstLineChars="100"/>
        <w:rPr>
          <w:rFonts w:ascii="宋体" w:hAnsi="宋体" w:cs="宋体"/>
          <w:color w:val="auto"/>
          <w:sz w:val="24"/>
          <w:szCs w:val="24"/>
        </w:rPr>
      </w:pPr>
    </w:p>
    <w:p>
      <w:pPr>
        <w:adjustRightInd w:val="0"/>
        <w:snapToGrid w:val="0"/>
        <w:spacing w:line="560" w:lineRule="exact"/>
        <w:ind w:firstLine="4920" w:firstLineChars="2050"/>
        <w:jc w:val="left"/>
        <w:rPr>
          <w:rFonts w:ascii="宋体" w:hAnsi="宋体" w:cs="宋体"/>
          <w:color w:val="auto"/>
          <w:sz w:val="24"/>
          <w:szCs w:val="24"/>
          <w:u w:val="single"/>
        </w:rPr>
      </w:pPr>
      <w:r>
        <w:rPr>
          <w:rFonts w:hint="eastAsia" w:ascii="宋体" w:hAnsi="宋体" w:cs="宋体"/>
          <w:color w:val="auto"/>
          <w:sz w:val="24"/>
          <w:szCs w:val="24"/>
        </w:rPr>
        <w:t>_____年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p>
    <w:p>
      <w:pPr>
        <w:pStyle w:val="17"/>
        <w:rPr>
          <w:rFonts w:ascii="宋体" w:hAnsi="宋体" w:cs="宋体"/>
          <w:color w:val="auto"/>
          <w:sz w:val="24"/>
          <w:szCs w:val="24"/>
          <w:u w:val="single"/>
        </w:rPr>
      </w:pPr>
    </w:p>
    <w:p>
      <w:pPr>
        <w:rPr>
          <w:rFonts w:ascii="宋体" w:hAnsi="宋体" w:cs="宋体"/>
          <w:color w:val="auto"/>
          <w:sz w:val="24"/>
          <w:szCs w:val="24"/>
          <w:u w:val="single"/>
        </w:rPr>
      </w:pPr>
    </w:p>
    <w:p>
      <w:pPr>
        <w:pStyle w:val="17"/>
        <w:rPr>
          <w:rFonts w:ascii="宋体" w:hAnsi="宋体" w:cs="宋体"/>
          <w:color w:val="auto"/>
          <w:sz w:val="24"/>
          <w:szCs w:val="24"/>
          <w:u w:val="single"/>
        </w:rPr>
      </w:pPr>
    </w:p>
    <w:p>
      <w:pPr>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rPr>
          <w:rFonts w:ascii="宋体" w:hAnsi="宋体" w:cs="宋体"/>
          <w:color w:val="auto"/>
          <w:highlight w:val="yellow"/>
        </w:rPr>
      </w:pPr>
    </w:p>
    <w:p>
      <w:pPr>
        <w:pStyle w:val="2"/>
        <w:jc w:val="center"/>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九</w:t>
      </w:r>
      <w:r>
        <w:rPr>
          <w:rFonts w:hint="eastAsia" w:ascii="宋体" w:hAnsi="宋体" w:cs="宋体"/>
          <w:b/>
          <w:bCs/>
          <w:color w:val="auto"/>
          <w:sz w:val="28"/>
          <w:szCs w:val="28"/>
          <w:lang w:val="zh-CN"/>
        </w:rPr>
        <w:t>部分  近三年完成的类似项目表</w:t>
      </w:r>
    </w:p>
    <w:p>
      <w:pPr>
        <w:rPr>
          <w:color w:val="auto"/>
        </w:rPr>
      </w:pPr>
    </w:p>
    <w:tbl>
      <w:tblPr>
        <w:tblStyle w:val="36"/>
        <w:tblW w:w="91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2554"/>
        <w:gridCol w:w="1575"/>
        <w:gridCol w:w="33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1065"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2554"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项目内容</w:t>
            </w: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完成日期</w:t>
            </w:r>
          </w:p>
        </w:tc>
        <w:tc>
          <w:tcPr>
            <w:tcW w:w="3351"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r>
              <w:rPr>
                <w:rFonts w:hint="eastAsia" w:ascii="宋体" w:hAnsi="宋体" w:cs="宋体"/>
                <w:color w:val="auto"/>
                <w:sz w:val="24"/>
                <w:szCs w:val="24"/>
              </w:rPr>
              <w:t>…</w:t>
            </w: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topLinePunct/>
              <w:spacing w:line="360" w:lineRule="auto"/>
              <w:jc w:val="center"/>
              <w:rPr>
                <w:rFonts w:ascii="宋体" w:hAnsi="宋体" w:cs="宋体"/>
                <w:color w:val="auto"/>
                <w:sz w:val="24"/>
                <w:szCs w:val="24"/>
              </w:rPr>
            </w:pPr>
          </w:p>
        </w:tc>
        <w:tc>
          <w:tcPr>
            <w:tcW w:w="1065" w:type="dxa"/>
            <w:vAlign w:val="center"/>
          </w:tcPr>
          <w:p>
            <w:pPr>
              <w:topLinePunct/>
              <w:spacing w:line="360" w:lineRule="auto"/>
              <w:jc w:val="center"/>
              <w:rPr>
                <w:rFonts w:ascii="宋体" w:hAnsi="宋体" w:cs="宋体"/>
                <w:color w:val="auto"/>
                <w:sz w:val="24"/>
                <w:szCs w:val="24"/>
              </w:rPr>
            </w:pPr>
          </w:p>
        </w:tc>
        <w:tc>
          <w:tcPr>
            <w:tcW w:w="2554" w:type="dxa"/>
            <w:vAlign w:val="center"/>
          </w:tcPr>
          <w:p>
            <w:pPr>
              <w:topLinePunct/>
              <w:spacing w:line="360" w:lineRule="auto"/>
              <w:jc w:val="center"/>
              <w:rPr>
                <w:rFonts w:ascii="宋体" w:hAnsi="宋体" w:cs="宋体"/>
                <w:color w:val="auto"/>
                <w:sz w:val="24"/>
                <w:szCs w:val="24"/>
              </w:rPr>
            </w:pPr>
          </w:p>
        </w:tc>
        <w:tc>
          <w:tcPr>
            <w:tcW w:w="1575" w:type="dxa"/>
            <w:tcBorders>
              <w:left w:val="single" w:color="auto" w:sz="4" w:space="0"/>
              <w:right w:val="single" w:color="auto" w:sz="4" w:space="0"/>
            </w:tcBorders>
            <w:vAlign w:val="center"/>
          </w:tcPr>
          <w:p>
            <w:pPr>
              <w:topLinePunct/>
              <w:spacing w:line="360" w:lineRule="auto"/>
              <w:jc w:val="center"/>
              <w:rPr>
                <w:rFonts w:ascii="宋体" w:hAnsi="宋体" w:cs="宋体"/>
                <w:color w:val="auto"/>
                <w:sz w:val="24"/>
                <w:szCs w:val="24"/>
              </w:rPr>
            </w:pPr>
          </w:p>
        </w:tc>
        <w:tc>
          <w:tcPr>
            <w:tcW w:w="3351" w:type="dxa"/>
          </w:tcPr>
          <w:p>
            <w:pPr>
              <w:topLinePunct/>
              <w:spacing w:line="360" w:lineRule="auto"/>
              <w:jc w:val="center"/>
              <w:rPr>
                <w:rFonts w:ascii="宋体" w:hAnsi="宋体" w:cs="宋体"/>
                <w:color w:val="auto"/>
                <w:sz w:val="24"/>
                <w:szCs w:val="24"/>
              </w:rPr>
            </w:pPr>
          </w:p>
        </w:tc>
      </w:tr>
    </w:tbl>
    <w:p>
      <w:pPr>
        <w:pStyle w:val="17"/>
        <w:spacing w:line="360" w:lineRule="auto"/>
        <w:rPr>
          <w:rFonts w:ascii="宋体" w:hAnsi="宋体" w:cs="宋体"/>
          <w:color w:val="auto"/>
          <w:sz w:val="24"/>
          <w:szCs w:val="24"/>
        </w:rPr>
      </w:pPr>
    </w:p>
    <w:p>
      <w:pPr>
        <w:spacing w:line="360" w:lineRule="auto"/>
        <w:rPr>
          <w:rFonts w:ascii="宋体" w:hAnsi="宋体" w:cs="宋体"/>
          <w:color w:val="auto"/>
          <w:sz w:val="21"/>
          <w:szCs w:val="21"/>
        </w:rPr>
      </w:pPr>
      <w:r>
        <w:rPr>
          <w:rFonts w:hint="eastAsia" w:ascii="宋体" w:hAnsi="宋体" w:cs="宋体"/>
          <w:color w:val="auto"/>
          <w:sz w:val="21"/>
          <w:szCs w:val="21"/>
        </w:rPr>
        <w:t>备注：1、2019年至今以来的类似项目业绩须附合同或成交通知书等资料加盖公章的复印件。</w:t>
      </w:r>
    </w:p>
    <w:p>
      <w:pPr>
        <w:spacing w:line="360" w:lineRule="auto"/>
        <w:ind w:firstLine="630" w:firstLineChars="300"/>
        <w:rPr>
          <w:rFonts w:ascii="宋体" w:hAnsi="宋体" w:cs="宋体"/>
          <w:color w:val="auto"/>
          <w:sz w:val="21"/>
          <w:szCs w:val="21"/>
        </w:rPr>
      </w:pPr>
      <w:r>
        <w:rPr>
          <w:rFonts w:hint="eastAsia" w:ascii="宋体" w:hAnsi="宋体" w:cs="宋体"/>
          <w:color w:val="auto"/>
          <w:sz w:val="21"/>
          <w:szCs w:val="21"/>
        </w:rPr>
        <w:t>2、供应商应如实列出以上情况，如有隐瞒，一经查实将导致其投标申请被拒绝。</w:t>
      </w:r>
    </w:p>
    <w:p>
      <w:pPr>
        <w:pStyle w:val="12"/>
        <w:ind w:firstLine="0"/>
        <w:rPr>
          <w:rFonts w:ascii="宋体" w:hAnsi="宋体" w:cs="宋体"/>
          <w:color w:val="auto"/>
          <w:szCs w:val="21"/>
        </w:rPr>
      </w:pPr>
    </w:p>
    <w:p>
      <w:pPr>
        <w:pStyle w:val="12"/>
        <w:ind w:firstLine="0"/>
        <w:rPr>
          <w:rFonts w:ascii="宋体" w:hAnsi="宋体" w:cs="宋体"/>
          <w:color w:val="auto"/>
          <w:szCs w:val="21"/>
        </w:rPr>
      </w:pPr>
    </w:p>
    <w:p>
      <w:pPr>
        <w:pStyle w:val="12"/>
        <w:rPr>
          <w:rFonts w:ascii="宋体" w:hAnsi="宋体" w:cs="宋体"/>
          <w:color w:val="auto"/>
          <w:szCs w:val="21"/>
        </w:rPr>
      </w:pPr>
    </w:p>
    <w:p>
      <w:pPr>
        <w:adjustRightInd w:val="0"/>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供应商名称：         （盖章）</w:t>
      </w:r>
    </w:p>
    <w:p>
      <w:pPr>
        <w:spacing w:before="240" w:beforeLines="100" w:after="120" w:afterLines="50" w:line="360" w:lineRule="auto"/>
        <w:ind w:firstLine="480" w:firstLineChars="200"/>
        <w:rPr>
          <w:rFonts w:ascii="宋体" w:hAnsi="宋体" w:cs="宋体"/>
          <w:b/>
          <w:bCs/>
          <w:color w:val="auto"/>
          <w:kern w:val="0"/>
          <w:sz w:val="28"/>
          <w:szCs w:val="28"/>
        </w:rPr>
      </w:pPr>
      <w:r>
        <w:rPr>
          <w:rFonts w:hint="eastAsia" w:ascii="宋体" w:hAnsi="宋体" w:cs="宋体"/>
          <w:color w:val="auto"/>
          <w:sz w:val="24"/>
          <w:szCs w:val="24"/>
        </w:rPr>
        <w:t>法定代表人或授权代表（签名或盖章）</w:t>
      </w:r>
      <w:r>
        <w:rPr>
          <w:rFonts w:hint="eastAsia" w:ascii="宋体" w:hAnsi="宋体" w:cs="宋体"/>
          <w:bCs/>
          <w:color w:val="auto"/>
          <w:sz w:val="24"/>
          <w:szCs w:val="24"/>
        </w:rPr>
        <w:t>：               日期:</w:t>
      </w:r>
    </w:p>
    <w:p>
      <w:pPr>
        <w:pStyle w:val="2"/>
        <w:rPr>
          <w:rFonts w:ascii="宋体" w:hAnsi="宋体" w:cs="宋体"/>
          <w:color w:val="auto"/>
          <w:highlight w:val="yellow"/>
        </w:rPr>
        <w:sectPr>
          <w:headerReference r:id="rId20" w:type="default"/>
          <w:pgSz w:w="11906" w:h="16838"/>
          <w:pgMar w:top="1418" w:right="1418" w:bottom="1418" w:left="1418" w:header="851" w:footer="992" w:gutter="0"/>
          <w:pgNumType w:fmt="decimal"/>
          <w:cols w:space="425" w:num="1"/>
          <w:docGrid w:linePitch="312" w:charSpace="0"/>
        </w:sectPr>
      </w:pPr>
    </w:p>
    <w:p>
      <w:pPr>
        <w:autoSpaceDE w:val="0"/>
        <w:autoSpaceDN w:val="0"/>
        <w:adjustRightInd w:val="0"/>
        <w:spacing w:line="520" w:lineRule="exact"/>
        <w:jc w:val="center"/>
        <w:rPr>
          <w:rFonts w:ascii="宋体" w:hAnsi="宋体" w:cs="宋体"/>
          <w:b/>
          <w:bCs/>
          <w:color w:val="auto"/>
          <w:sz w:val="28"/>
          <w:szCs w:val="28"/>
          <w:lang w:val="zh-CN"/>
        </w:rPr>
      </w:pPr>
      <w:r>
        <w:rPr>
          <w:rFonts w:hint="eastAsia" w:ascii="宋体" w:hAnsi="宋体" w:cs="宋体"/>
          <w:b/>
          <w:bCs/>
          <w:color w:val="auto"/>
          <w:sz w:val="28"/>
          <w:szCs w:val="28"/>
          <w:lang w:val="zh-CN"/>
        </w:rPr>
        <w:t>第</w:t>
      </w:r>
      <w:r>
        <w:rPr>
          <w:rFonts w:hint="eastAsia" w:ascii="宋体" w:hAnsi="宋体" w:cs="宋体"/>
          <w:b/>
          <w:bCs/>
          <w:color w:val="auto"/>
          <w:sz w:val="28"/>
          <w:szCs w:val="28"/>
        </w:rPr>
        <w:t>十</w:t>
      </w:r>
      <w:r>
        <w:rPr>
          <w:rFonts w:hint="eastAsia" w:ascii="宋体" w:hAnsi="宋体" w:cs="宋体"/>
          <w:b/>
          <w:bCs/>
          <w:color w:val="auto"/>
          <w:sz w:val="28"/>
          <w:szCs w:val="28"/>
          <w:lang w:val="zh-CN"/>
        </w:rPr>
        <w:t>部分</w:t>
      </w:r>
      <w:r>
        <w:rPr>
          <w:rFonts w:hint="eastAsia" w:ascii="宋体" w:hAnsi="宋体" w:cs="宋体"/>
          <w:b/>
          <w:bCs/>
          <w:color w:val="auto"/>
          <w:sz w:val="28"/>
          <w:szCs w:val="28"/>
        </w:rPr>
        <w:t xml:space="preserve">  </w:t>
      </w:r>
      <w:r>
        <w:rPr>
          <w:rFonts w:hint="eastAsia" w:ascii="宋体" w:hAnsi="宋体" w:cs="宋体"/>
          <w:b/>
          <w:bCs/>
          <w:color w:val="auto"/>
          <w:sz w:val="28"/>
          <w:szCs w:val="28"/>
          <w:lang w:val="zh-CN"/>
        </w:rPr>
        <w:t>供应商资质证明文件</w:t>
      </w:r>
    </w:p>
    <w:p>
      <w:pPr>
        <w:pStyle w:val="81"/>
        <w:spacing w:line="520" w:lineRule="exact"/>
        <w:rPr>
          <w:rFonts w:ascii="宋体" w:hAnsi="宋体" w:cs="宋体"/>
          <w:b/>
          <w:color w:val="auto"/>
        </w:rPr>
      </w:pPr>
      <w:r>
        <w:rPr>
          <w:rFonts w:hint="eastAsia" w:ascii="宋体" w:hAnsi="宋体" w:cs="宋体"/>
          <w:b/>
          <w:color w:val="auto"/>
        </w:rPr>
        <w:t>1、谈判供应商基本情况表；（详见附件1）</w:t>
      </w:r>
    </w:p>
    <w:p>
      <w:pPr>
        <w:pStyle w:val="81"/>
        <w:spacing w:line="520" w:lineRule="exact"/>
        <w:rPr>
          <w:rFonts w:ascii="宋体" w:hAnsi="宋体" w:cs="宋体"/>
          <w:b/>
          <w:color w:val="auto"/>
        </w:rPr>
      </w:pPr>
      <w:r>
        <w:rPr>
          <w:rFonts w:hint="eastAsia" w:ascii="宋体" w:hAnsi="宋体" w:cs="宋体"/>
          <w:b/>
          <w:color w:val="auto"/>
        </w:rPr>
        <w:t>2、基本资格条件：符合《中华人民共和国政府采购法》第二十二条的规定：</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（1）具有独立承担民事责任能力的法人、其他组织或自然人，并出具合法有效的营业执照或事业单位法人证书等国家规定的相关证明，自然人参与的提供其身份证明；</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zh-CN"/>
        </w:rPr>
        <w:t>财务状况报告：提供具有财务审计资质单位出具的</w:t>
      </w:r>
      <w:r>
        <w:rPr>
          <w:rFonts w:hint="eastAsia" w:ascii="宋体" w:hAnsi="宋体" w:cs="宋体"/>
          <w:color w:val="auto"/>
          <w:sz w:val="24"/>
          <w:szCs w:val="24"/>
        </w:rPr>
        <w:t>2020年或2021年</w:t>
      </w:r>
      <w:r>
        <w:rPr>
          <w:rFonts w:hint="eastAsia" w:ascii="宋体" w:hAnsi="宋体" w:cs="宋体"/>
          <w:color w:val="auto"/>
          <w:sz w:val="24"/>
          <w:szCs w:val="24"/>
          <w:lang w:val="zh-CN"/>
        </w:rPr>
        <w:t>任意一年年度财务报告（成立时间至开标时间不足一年的可提供成立后任意时段的资产负债表）或开标前六个月内其基本账户银行出具的资信证明（附开户许可证）或政府采购信用担保机构出具的投标担保函；</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 xml:space="preserve">（3）税收缴纳证明：提供开标前六个月内任意一个月已缴纳完税凭证或税务机关开具的完税证明（任意税种）；依法免税的应提供相关文件证明； </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（4）社会保障资金缴纳证明：提供开标前六个月内任意一个月已缴纳的社会保障资金缴存单据或社保机构开具的社会保险参保缴费情况证明（依法不需要缴纳社会保障资金的投标人应提供相关证明）</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（5）具备履行合同所必需的设备和专业技术能力的证明材料(由供应商根据项目需求提供说明材料或者承诺)；（格式自拟）</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（6）提供参加政府采购活动前三年内在经营活动中没有重大违法记录的书面声明；（格式自拟）</w:t>
      </w:r>
    </w:p>
    <w:p>
      <w:pPr>
        <w:pStyle w:val="81"/>
        <w:spacing w:line="520" w:lineRule="exact"/>
        <w:rPr>
          <w:rFonts w:ascii="宋体" w:hAnsi="宋体" w:cs="宋体"/>
          <w:color w:val="auto"/>
        </w:rPr>
      </w:pPr>
      <w:r>
        <w:rPr>
          <w:rFonts w:hint="eastAsia" w:ascii="宋体" w:hAnsi="宋体" w:cs="宋体"/>
          <w:b/>
          <w:color w:val="auto"/>
        </w:rPr>
        <w:t>3、特定资格条件：</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1）供应商应授权合法的人员参加谈判全过程，其中法定代表人直接参加谈判的，须出具法定代表人身份证明及法人身份证原件及复印件，法定代表人授权代表参加谈判的，须出具法定代表人授权书及授权代表身份证原件及复印件；</w:t>
      </w:r>
      <w:r>
        <w:rPr>
          <w:rFonts w:hint="eastAsia" w:ascii="宋体" w:hAnsi="宋体" w:cs="宋体"/>
          <w:b/>
          <w:bCs/>
          <w:color w:val="auto"/>
          <w:sz w:val="24"/>
          <w:szCs w:val="24"/>
        </w:rPr>
        <w:t>（详见附件2）</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（2）供应商不得为列入信用中国(www.creditchina.gov.cn)记录失信被执行人或重大税收违法案件当事人名单或中国政府采购网(www.ccgp.gov.cn)的政府采购严重违法失信行为记录名单；</w:t>
      </w:r>
    </w:p>
    <w:p>
      <w:pPr>
        <w:tabs>
          <w:tab w:val="left" w:pos="1710"/>
        </w:tabs>
        <w:autoSpaceDE w:val="0"/>
        <w:autoSpaceDN w:val="0"/>
        <w:adjustRightInd w:val="0"/>
        <w:spacing w:line="520" w:lineRule="exact"/>
        <w:rPr>
          <w:rFonts w:ascii="宋体" w:hAnsi="宋体" w:cs="宋体"/>
          <w:color w:val="auto"/>
          <w:sz w:val="24"/>
          <w:szCs w:val="24"/>
        </w:rPr>
      </w:pPr>
      <w:r>
        <w:rPr>
          <w:rFonts w:hint="eastAsia" w:ascii="宋体" w:hAnsi="宋体" w:cs="宋体"/>
          <w:color w:val="auto"/>
          <w:sz w:val="24"/>
          <w:szCs w:val="24"/>
        </w:rPr>
        <w:t>（3）本项目不接受联合体谈判，单位负责人为同一人或者存在控股、管理关系的不同单位不得同时谈判。</w:t>
      </w:r>
      <w:r>
        <w:rPr>
          <w:rFonts w:hint="eastAsia" w:ascii="宋体" w:hAnsi="宋体" w:cs="宋体"/>
          <w:b/>
          <w:bCs/>
          <w:color w:val="auto"/>
          <w:sz w:val="24"/>
          <w:szCs w:val="24"/>
        </w:rPr>
        <w:t>（详见附件3）</w:t>
      </w:r>
    </w:p>
    <w:p>
      <w:pPr>
        <w:pStyle w:val="2"/>
        <w:rPr>
          <w:rFonts w:ascii="宋体" w:hAnsi="宋体" w:cs="宋体"/>
          <w:b/>
          <w:bCs/>
          <w:color w:val="auto"/>
          <w:sz w:val="24"/>
        </w:rPr>
      </w:pPr>
    </w:p>
    <w:p>
      <w:pPr>
        <w:spacing w:line="52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注：供应商按以上序号顺序提供相关资格证明文件的复印件或扫描件，并逐页加盖单位公章。</w:t>
      </w: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17"/>
        <w:rPr>
          <w:rFonts w:ascii="宋体" w:hAnsi="宋体" w:cs="宋体"/>
          <w:color w:val="auto"/>
        </w:rPr>
      </w:pPr>
    </w:p>
    <w:p>
      <w:pPr>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rPr>
          <w:rFonts w:ascii="宋体" w:hAnsi="宋体" w:cs="宋体"/>
          <w:color w:val="auto"/>
        </w:rPr>
      </w:pPr>
    </w:p>
    <w:p>
      <w:pPr>
        <w:pStyle w:val="17"/>
        <w:rPr>
          <w:rFonts w:ascii="宋体" w:hAnsi="宋体" w:cs="宋体"/>
          <w:color w:val="auto"/>
        </w:rPr>
      </w:pPr>
    </w:p>
    <w:p>
      <w:pPr>
        <w:pStyle w:val="4"/>
        <w:spacing w:line="400" w:lineRule="exact"/>
        <w:rPr>
          <w:rFonts w:ascii="宋体" w:hAnsi="宋体" w:eastAsia="宋体" w:cs="宋体"/>
          <w:b/>
          <w:bCs/>
          <w:color w:val="auto"/>
          <w:kern w:val="0"/>
          <w:szCs w:val="28"/>
        </w:rPr>
      </w:pPr>
      <w:r>
        <w:rPr>
          <w:rFonts w:hint="eastAsia" w:ascii="宋体" w:hAnsi="宋体" w:eastAsia="宋体" w:cs="宋体"/>
          <w:b/>
          <w:bCs/>
          <w:color w:val="auto"/>
          <w:kern w:val="0"/>
          <w:szCs w:val="28"/>
        </w:rPr>
        <w:t>附件1：</w:t>
      </w:r>
    </w:p>
    <w:p>
      <w:pPr>
        <w:pStyle w:val="4"/>
        <w:spacing w:line="400" w:lineRule="exact"/>
        <w:jc w:val="center"/>
        <w:rPr>
          <w:rFonts w:ascii="宋体" w:hAnsi="宋体" w:eastAsia="宋体" w:cs="宋体"/>
          <w:b/>
          <w:bCs/>
          <w:color w:val="auto"/>
          <w:kern w:val="0"/>
          <w:szCs w:val="28"/>
        </w:rPr>
      </w:pPr>
      <w:r>
        <w:rPr>
          <w:rFonts w:hint="eastAsia" w:ascii="宋体" w:hAnsi="宋体" w:eastAsia="宋体" w:cs="宋体"/>
          <w:b/>
          <w:bCs/>
          <w:color w:val="auto"/>
          <w:kern w:val="0"/>
          <w:szCs w:val="28"/>
        </w:rPr>
        <w:t>谈判供应商基本情况表</w:t>
      </w:r>
    </w:p>
    <w:tbl>
      <w:tblPr>
        <w:tblStyle w:val="36"/>
        <w:tblW w:w="906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1117"/>
        <w:gridCol w:w="1333"/>
        <w:gridCol w:w="1250"/>
        <w:gridCol w:w="1484"/>
        <w:gridCol w:w="1023"/>
        <w:gridCol w:w="116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谈判供应商 名称</w:t>
            </w:r>
          </w:p>
        </w:tc>
        <w:tc>
          <w:tcPr>
            <w:tcW w:w="7370" w:type="dxa"/>
            <w:gridSpan w:val="6"/>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注册地址</w:t>
            </w:r>
          </w:p>
        </w:tc>
        <w:tc>
          <w:tcPr>
            <w:tcW w:w="37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邮政编码</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联系方式</w:t>
            </w:r>
          </w:p>
        </w:tc>
        <w:tc>
          <w:tcPr>
            <w:tcW w:w="11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联系人</w:t>
            </w:r>
          </w:p>
        </w:tc>
        <w:tc>
          <w:tcPr>
            <w:tcW w:w="258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电话</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7"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360" w:lineRule="auto"/>
              <w:jc w:val="left"/>
              <w:rPr>
                <w:rFonts w:ascii="宋体" w:hAnsi="宋体" w:cs="宋体"/>
                <w:color w:val="auto"/>
                <w:kern w:val="0"/>
                <w:sz w:val="24"/>
                <w:szCs w:val="24"/>
              </w:rPr>
            </w:pPr>
          </w:p>
        </w:tc>
        <w:tc>
          <w:tcPr>
            <w:tcW w:w="11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传真</w:t>
            </w:r>
          </w:p>
        </w:tc>
        <w:tc>
          <w:tcPr>
            <w:tcW w:w="258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网址</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单位性质</w:t>
            </w:r>
          </w:p>
        </w:tc>
        <w:tc>
          <w:tcPr>
            <w:tcW w:w="7370"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法定代表人</w:t>
            </w:r>
          </w:p>
        </w:tc>
        <w:tc>
          <w:tcPr>
            <w:tcW w:w="11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姓名</w:t>
            </w:r>
          </w:p>
        </w:tc>
        <w:tc>
          <w:tcPr>
            <w:tcW w:w="13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技术职称</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0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电话</w:t>
            </w:r>
          </w:p>
        </w:tc>
        <w:tc>
          <w:tcPr>
            <w:tcW w:w="116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b/>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技术负责人</w:t>
            </w:r>
          </w:p>
        </w:tc>
        <w:tc>
          <w:tcPr>
            <w:tcW w:w="111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姓名</w:t>
            </w:r>
          </w:p>
        </w:tc>
        <w:tc>
          <w:tcPr>
            <w:tcW w:w="133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技术职称</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0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电话</w:t>
            </w:r>
          </w:p>
        </w:tc>
        <w:tc>
          <w:tcPr>
            <w:tcW w:w="116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b/>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企业资质等级</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kern w:val="0"/>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kern w:val="0"/>
                <w:sz w:val="24"/>
                <w:szCs w:val="24"/>
              </w:rPr>
            </w:pPr>
            <w:r>
              <w:rPr>
                <w:rFonts w:hint="eastAsia" w:ascii="宋体" w:hAnsi="宋体" w:cs="宋体"/>
                <w:color w:val="auto"/>
                <w:kern w:val="0"/>
                <w:sz w:val="24"/>
                <w:szCs w:val="24"/>
              </w:rPr>
              <w:t>成立时间</w:t>
            </w:r>
          </w:p>
        </w:tc>
        <w:tc>
          <w:tcPr>
            <w:tcW w:w="3670" w:type="dxa"/>
            <w:gridSpan w:val="3"/>
            <w:tcBorders>
              <w:top w:val="single" w:color="auto" w:sz="6" w:space="0"/>
              <w:left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注册资金</w:t>
            </w:r>
          </w:p>
        </w:tc>
        <w:tc>
          <w:tcPr>
            <w:tcW w:w="2450"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万元</w:t>
            </w:r>
          </w:p>
        </w:tc>
        <w:tc>
          <w:tcPr>
            <w:tcW w:w="1250" w:type="dxa"/>
            <w:vMerge w:val="restart"/>
            <w:tcBorders>
              <w:top w:val="single" w:color="auto" w:sz="4" w:space="0"/>
              <w:left w:val="single" w:color="auto" w:sz="6" w:space="0"/>
              <w:right w:val="single" w:color="auto" w:sz="6"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固定资产</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原值</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流动资金</w:t>
            </w:r>
          </w:p>
        </w:tc>
        <w:tc>
          <w:tcPr>
            <w:tcW w:w="24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 xml:space="preserve">         万元</w:t>
            </w:r>
          </w:p>
        </w:tc>
        <w:tc>
          <w:tcPr>
            <w:tcW w:w="1250" w:type="dxa"/>
            <w:vMerge w:val="continue"/>
            <w:tcBorders>
              <w:left w:val="single" w:color="auto" w:sz="6" w:space="0"/>
              <w:bottom w:val="single" w:color="auto" w:sz="6" w:space="0"/>
              <w:right w:val="single" w:color="auto" w:sz="6" w:space="0"/>
            </w:tcBorders>
            <w:vAlign w:val="center"/>
          </w:tcPr>
          <w:p>
            <w:pPr>
              <w:widowControl/>
              <w:spacing w:line="360" w:lineRule="auto"/>
              <w:jc w:val="left"/>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净值</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开户银行</w:t>
            </w:r>
          </w:p>
        </w:tc>
        <w:tc>
          <w:tcPr>
            <w:tcW w:w="24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vMerge w:val="restart"/>
            <w:tcBorders>
              <w:top w:val="single" w:color="auto" w:sz="6" w:space="0"/>
              <w:left w:val="single" w:color="auto" w:sz="6" w:space="0"/>
              <w:right w:val="single" w:color="auto" w:sz="6" w:space="0"/>
            </w:tcBorders>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职工总数  XX人</w:t>
            </w: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生产工人</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基本银行账号</w:t>
            </w:r>
          </w:p>
        </w:tc>
        <w:tc>
          <w:tcPr>
            <w:tcW w:w="245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p>
        </w:tc>
        <w:tc>
          <w:tcPr>
            <w:tcW w:w="1250" w:type="dxa"/>
            <w:vMerge w:val="continue"/>
            <w:tcBorders>
              <w:left w:val="single" w:color="auto" w:sz="6" w:space="0"/>
              <w:bottom w:val="single" w:color="auto" w:sz="6" w:space="0"/>
              <w:right w:val="single" w:color="auto" w:sz="6" w:space="0"/>
            </w:tcBorders>
            <w:vAlign w:val="center"/>
          </w:tcPr>
          <w:p>
            <w:pPr>
              <w:widowControl/>
              <w:spacing w:line="360" w:lineRule="auto"/>
              <w:jc w:val="left"/>
              <w:rPr>
                <w:rFonts w:ascii="宋体" w:hAnsi="宋体" w:cs="宋体"/>
                <w:color w:val="auto"/>
                <w:kern w:val="0"/>
                <w:sz w:val="24"/>
                <w:szCs w:val="24"/>
              </w:rPr>
            </w:pPr>
          </w:p>
        </w:tc>
        <w:tc>
          <w:tcPr>
            <w:tcW w:w="14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技术人员</w:t>
            </w:r>
          </w:p>
        </w:tc>
        <w:tc>
          <w:tcPr>
            <w:tcW w:w="2186" w:type="dxa"/>
            <w:gridSpan w:val="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jc w:val="right"/>
              <w:rPr>
                <w:rFonts w:ascii="宋体" w:hAnsi="宋体" w:cs="宋体"/>
                <w:bCs/>
                <w:color w:val="auto"/>
                <w:kern w:val="0"/>
                <w:sz w:val="24"/>
                <w:szCs w:val="24"/>
              </w:rPr>
            </w:pPr>
            <w:r>
              <w:rPr>
                <w:rFonts w:hint="eastAsia" w:ascii="宋体" w:hAnsi="宋体" w:cs="宋体"/>
                <w:bCs/>
                <w:color w:val="auto"/>
                <w:kern w:val="0"/>
                <w:sz w:val="24"/>
                <w:szCs w:val="24"/>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22" w:hRule="atLeast"/>
        </w:trPr>
        <w:tc>
          <w:tcPr>
            <w:tcW w:w="1697" w:type="dxa"/>
            <w:tcBorders>
              <w:top w:val="single" w:color="auto" w:sz="6" w:space="0"/>
              <w:left w:val="single" w:color="auto" w:sz="12"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经营范围</w:t>
            </w:r>
          </w:p>
        </w:tc>
        <w:tc>
          <w:tcPr>
            <w:tcW w:w="737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cs="宋体"/>
                <w:b/>
                <w:bCs/>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0" w:hRule="atLeast"/>
        </w:trPr>
        <w:tc>
          <w:tcPr>
            <w:tcW w:w="1697"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备注</w:t>
            </w:r>
          </w:p>
        </w:tc>
        <w:tc>
          <w:tcPr>
            <w:tcW w:w="7370" w:type="dxa"/>
            <w:gridSpan w:val="6"/>
            <w:tcBorders>
              <w:top w:val="single" w:color="auto" w:sz="6" w:space="0"/>
              <w:left w:val="single" w:color="auto" w:sz="6" w:space="0"/>
              <w:bottom w:val="single" w:color="auto" w:sz="12" w:space="0"/>
              <w:right w:val="single" w:color="auto" w:sz="12" w:space="0"/>
            </w:tcBorders>
          </w:tcPr>
          <w:p>
            <w:pPr>
              <w:autoSpaceDE w:val="0"/>
              <w:autoSpaceDN w:val="0"/>
              <w:adjustRightInd w:val="0"/>
              <w:spacing w:line="360" w:lineRule="auto"/>
              <w:jc w:val="left"/>
              <w:rPr>
                <w:rFonts w:ascii="宋体" w:hAnsi="宋体" w:cs="宋体"/>
                <w:color w:val="auto"/>
                <w:kern w:val="0"/>
                <w:sz w:val="24"/>
                <w:szCs w:val="24"/>
              </w:rPr>
            </w:pPr>
          </w:p>
        </w:tc>
      </w:tr>
    </w:tbl>
    <w:p>
      <w:pPr>
        <w:adjustRightInd w:val="0"/>
        <w:spacing w:before="156" w:beforeLines="50" w:line="360" w:lineRule="auto"/>
        <w:jc w:val="left"/>
        <w:rPr>
          <w:rFonts w:ascii="宋体" w:hAnsi="宋体" w:cs="宋体"/>
          <w:color w:val="auto"/>
          <w:sz w:val="24"/>
        </w:rPr>
      </w:pPr>
      <w:r>
        <w:rPr>
          <w:rFonts w:hint="eastAsia" w:ascii="宋体" w:hAnsi="宋体" w:cs="宋体"/>
          <w:color w:val="auto"/>
          <w:sz w:val="24"/>
        </w:rPr>
        <w:t>供应商名称：         （盖章）</w:t>
      </w:r>
    </w:p>
    <w:p>
      <w:pPr>
        <w:autoSpaceDE w:val="0"/>
        <w:autoSpaceDN w:val="0"/>
        <w:adjustRightInd w:val="0"/>
        <w:spacing w:line="360" w:lineRule="auto"/>
        <w:rPr>
          <w:rFonts w:ascii="宋体" w:hAnsi="宋体" w:cs="宋体"/>
          <w:b/>
          <w:bCs/>
          <w:color w:val="auto"/>
          <w:sz w:val="28"/>
          <w:szCs w:val="28"/>
          <w:lang w:val="zh-CN"/>
        </w:rPr>
      </w:pPr>
      <w:r>
        <w:rPr>
          <w:rFonts w:hint="eastAsia" w:ascii="宋体" w:hAnsi="宋体" w:cs="宋体"/>
          <w:color w:val="auto"/>
          <w:sz w:val="24"/>
        </w:rPr>
        <w:t>法定代表人或授权代表（签名或盖章）</w:t>
      </w:r>
      <w:r>
        <w:rPr>
          <w:rFonts w:hint="eastAsia" w:ascii="宋体" w:hAnsi="宋体" w:cs="宋体"/>
          <w:bCs/>
          <w:color w:val="auto"/>
          <w:sz w:val="24"/>
        </w:rPr>
        <w:t xml:space="preserve">：               日期: </w:t>
      </w:r>
    </w:p>
    <w:p>
      <w:pPr>
        <w:pStyle w:val="12"/>
        <w:rPr>
          <w:rFonts w:ascii="宋体" w:hAnsi="宋体" w:cs="宋体"/>
          <w:color w:val="auto"/>
        </w:rPr>
      </w:pPr>
    </w:p>
    <w:p>
      <w:pPr>
        <w:pStyle w:val="12"/>
        <w:rPr>
          <w:rFonts w:ascii="宋体" w:hAnsi="宋体" w:cs="宋体"/>
          <w:b/>
          <w:bCs/>
          <w:color w:val="auto"/>
          <w:kern w:val="0"/>
          <w:sz w:val="28"/>
          <w:szCs w:val="28"/>
        </w:rPr>
      </w:pPr>
    </w:p>
    <w:p>
      <w:pPr>
        <w:pStyle w:val="4"/>
        <w:spacing w:line="400" w:lineRule="exact"/>
        <w:rPr>
          <w:rFonts w:ascii="宋体" w:hAnsi="宋体" w:eastAsia="宋体" w:cs="宋体"/>
          <w:b/>
          <w:bCs/>
          <w:color w:val="auto"/>
          <w:kern w:val="0"/>
          <w:szCs w:val="28"/>
        </w:rPr>
      </w:pPr>
      <w:r>
        <w:rPr>
          <w:rFonts w:hint="eastAsia" w:ascii="宋体" w:hAnsi="宋体" w:eastAsia="宋体" w:cs="宋体"/>
          <w:b/>
          <w:bCs/>
          <w:color w:val="auto"/>
          <w:kern w:val="0"/>
          <w:szCs w:val="28"/>
        </w:rPr>
        <w:t>附件2：</w:t>
      </w:r>
    </w:p>
    <w:p>
      <w:pPr>
        <w:pStyle w:val="4"/>
        <w:spacing w:line="400" w:lineRule="exact"/>
        <w:rPr>
          <w:rFonts w:ascii="宋体" w:hAnsi="宋体" w:eastAsia="宋体" w:cs="宋体"/>
          <w:b/>
          <w:bCs/>
          <w:color w:val="auto"/>
          <w:szCs w:val="28"/>
          <w:lang w:val="zh-CN"/>
        </w:rPr>
      </w:pPr>
      <w:r>
        <w:rPr>
          <w:rFonts w:hint="eastAsia" w:ascii="宋体" w:hAnsi="宋体" w:eastAsia="宋体" w:cs="宋体"/>
          <w:b/>
          <w:bCs/>
          <w:color w:val="auto"/>
          <w:szCs w:val="28"/>
          <w:lang w:val="zh-CN"/>
        </w:rPr>
        <w:t>法定代表人直接参加谈判的，须出具法定代表人身份证明及法人身份证原件及复印件，法定代表人授权代表参加谈判的，须出具法定代表人授权书及授权代表身份证原件及复印件；</w:t>
      </w:r>
    </w:p>
    <w:p>
      <w:pPr>
        <w:autoSpaceDE w:val="0"/>
        <w:autoSpaceDN w:val="0"/>
        <w:adjustRightInd w:val="0"/>
        <w:spacing w:line="288" w:lineRule="auto"/>
        <w:jc w:val="center"/>
        <w:rPr>
          <w:rFonts w:ascii="宋体" w:hAnsi="宋体" w:cs="宋体"/>
          <w:color w:val="auto"/>
          <w:lang w:val="zh-CN"/>
        </w:rPr>
      </w:pPr>
      <w:r>
        <w:rPr>
          <w:rFonts w:hint="eastAsia" w:ascii="宋体" w:hAnsi="宋体" w:cs="宋体"/>
          <w:b/>
          <w:color w:val="auto"/>
          <w:sz w:val="28"/>
          <w:szCs w:val="28"/>
        </w:rPr>
        <w:t>2.1 法定代表人身份证明</w:t>
      </w:r>
    </w:p>
    <w:tbl>
      <w:tblPr>
        <w:tblStyle w:val="36"/>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945"/>
        <w:gridCol w:w="1965"/>
        <w:gridCol w:w="1336"/>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36" w:type="dxa"/>
            <w:gridSpan w:val="5"/>
          </w:tcPr>
          <w:p>
            <w:pPr>
              <w:autoSpaceDE w:val="0"/>
              <w:autoSpaceDN w:val="0"/>
              <w:adjustRightInd w:val="0"/>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企</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业</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人</w:t>
            </w: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企 业 名 称 </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 定 地 址</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邮 政 编 码</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网       址</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工商登记机关</w:t>
            </w:r>
          </w:p>
        </w:tc>
        <w:tc>
          <w:tcPr>
            <w:tcW w:w="5676" w:type="dxa"/>
            <w:gridSpan w:val="3"/>
            <w:vAlign w:val="center"/>
          </w:tcPr>
          <w:p>
            <w:pPr>
              <w:autoSpaceDE w:val="0"/>
              <w:autoSpaceDN w:val="0"/>
              <w:adjustRightInd w:val="0"/>
              <w:spacing w:line="400" w:lineRule="exact"/>
              <w:ind w:firstLine="2400" w:firstLineChars="1000"/>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税务登记机关</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法</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定</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代</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表</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人</w:t>
            </w:r>
          </w:p>
        </w:tc>
        <w:tc>
          <w:tcPr>
            <w:tcW w:w="1945" w:type="dxa"/>
            <w:vAlign w:val="center"/>
          </w:tcPr>
          <w:p>
            <w:pPr>
              <w:autoSpaceDE w:val="0"/>
              <w:autoSpaceDN w:val="0"/>
              <w:adjustRightInd w:val="0"/>
              <w:spacing w:line="400" w:lineRule="exact"/>
              <w:ind w:firstLine="240" w:firstLineChars="100"/>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1965" w:type="dxa"/>
            <w:vAlign w:val="center"/>
          </w:tcPr>
          <w:p>
            <w:pPr>
              <w:autoSpaceDE w:val="0"/>
              <w:autoSpaceDN w:val="0"/>
              <w:adjustRightInd w:val="0"/>
              <w:spacing w:line="400" w:lineRule="exact"/>
              <w:jc w:val="center"/>
              <w:rPr>
                <w:rFonts w:ascii="宋体" w:hAnsi="宋体" w:cs="宋体"/>
                <w:color w:val="auto"/>
                <w:kern w:val="0"/>
                <w:sz w:val="24"/>
                <w:szCs w:val="24"/>
              </w:rPr>
            </w:pPr>
          </w:p>
        </w:tc>
        <w:tc>
          <w:tcPr>
            <w:tcW w:w="1336"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性    别</w:t>
            </w:r>
          </w:p>
        </w:tc>
        <w:tc>
          <w:tcPr>
            <w:tcW w:w="2375" w:type="dxa"/>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ind w:firstLine="240" w:firstLineChars="100"/>
              <w:jc w:val="center"/>
              <w:rPr>
                <w:rFonts w:ascii="宋体" w:hAnsi="宋体" w:cs="宋体"/>
                <w:color w:val="auto"/>
                <w:kern w:val="0"/>
                <w:sz w:val="24"/>
                <w:szCs w:val="24"/>
              </w:rPr>
            </w:pPr>
            <w:r>
              <w:rPr>
                <w:rFonts w:hint="eastAsia" w:ascii="宋体" w:hAnsi="宋体" w:cs="宋体"/>
                <w:color w:val="auto"/>
                <w:kern w:val="0"/>
                <w:sz w:val="24"/>
                <w:szCs w:val="24"/>
              </w:rPr>
              <w:t>职    务</w:t>
            </w:r>
          </w:p>
        </w:tc>
        <w:tc>
          <w:tcPr>
            <w:tcW w:w="1965" w:type="dxa"/>
            <w:vAlign w:val="center"/>
          </w:tcPr>
          <w:p>
            <w:pPr>
              <w:autoSpaceDE w:val="0"/>
              <w:autoSpaceDN w:val="0"/>
              <w:adjustRightInd w:val="0"/>
              <w:spacing w:line="400" w:lineRule="exact"/>
              <w:jc w:val="center"/>
              <w:rPr>
                <w:rFonts w:ascii="宋体" w:hAnsi="宋体" w:cs="宋体"/>
                <w:color w:val="auto"/>
                <w:kern w:val="0"/>
                <w:sz w:val="24"/>
                <w:szCs w:val="24"/>
              </w:rPr>
            </w:pPr>
          </w:p>
        </w:tc>
        <w:tc>
          <w:tcPr>
            <w:tcW w:w="1336" w:type="dxa"/>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联系电话</w:t>
            </w:r>
          </w:p>
        </w:tc>
        <w:tc>
          <w:tcPr>
            <w:tcW w:w="2375" w:type="dxa"/>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1945" w:type="dxa"/>
            <w:vAlign w:val="center"/>
          </w:tcPr>
          <w:p>
            <w:pPr>
              <w:autoSpaceDE w:val="0"/>
              <w:autoSpaceDN w:val="0"/>
              <w:adjustRightInd w:val="0"/>
              <w:spacing w:line="400" w:lineRule="exact"/>
              <w:ind w:firstLine="240" w:firstLineChars="100"/>
              <w:jc w:val="center"/>
              <w:rPr>
                <w:rFonts w:ascii="宋体" w:hAnsi="宋体" w:cs="宋体"/>
                <w:color w:val="auto"/>
                <w:kern w:val="0"/>
                <w:sz w:val="24"/>
                <w:szCs w:val="24"/>
              </w:rPr>
            </w:pPr>
            <w:r>
              <w:rPr>
                <w:rFonts w:hint="eastAsia" w:ascii="宋体" w:hAnsi="宋体" w:cs="宋体"/>
                <w:color w:val="auto"/>
                <w:kern w:val="0"/>
                <w:sz w:val="24"/>
                <w:szCs w:val="24"/>
              </w:rPr>
              <w:t>传    真</w:t>
            </w:r>
          </w:p>
        </w:tc>
        <w:tc>
          <w:tcPr>
            <w:tcW w:w="5676" w:type="dxa"/>
            <w:gridSpan w:val="3"/>
            <w:vAlign w:val="center"/>
          </w:tcPr>
          <w:p>
            <w:pPr>
              <w:autoSpaceDE w:val="0"/>
              <w:autoSpaceDN w:val="0"/>
              <w:adjustRightInd w:val="0"/>
              <w:spacing w:line="400" w:lineRule="exact"/>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115" w:type="dxa"/>
            <w:vMerge w:val="restart"/>
            <w:vAlign w:val="center"/>
          </w:tcPr>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sz w:val="24"/>
                <w:szCs w:val="24"/>
                <w:lang w:val="zh-CN"/>
              </w:rPr>
              <w:t>法定代表人身份证复印件（正反面）</w:t>
            </w:r>
          </w:p>
        </w:tc>
        <w:tc>
          <w:tcPr>
            <w:tcW w:w="3910" w:type="dxa"/>
            <w:gridSpan w:val="2"/>
            <w:vMerge w:val="restart"/>
            <w:vAlign w:val="center"/>
          </w:tcPr>
          <w:p>
            <w:pPr>
              <w:autoSpaceDE w:val="0"/>
              <w:autoSpaceDN w:val="0"/>
              <w:adjustRightInd w:val="0"/>
              <w:spacing w:line="400" w:lineRule="exact"/>
              <w:rPr>
                <w:rFonts w:ascii="宋体" w:hAnsi="宋体" w:cs="宋体"/>
                <w:color w:val="auto"/>
                <w:kern w:val="0"/>
                <w:sz w:val="24"/>
                <w:szCs w:val="24"/>
              </w:rPr>
            </w:pPr>
            <w:r>
              <w:rPr>
                <w:rFonts w:hint="eastAsia" w:ascii="宋体" w:hAnsi="宋体" w:cs="宋体"/>
                <w:color w:val="auto"/>
                <w:kern w:val="0"/>
                <w:sz w:val="24"/>
                <w:szCs w:val="24"/>
              </w:rPr>
              <w:t>二代身份证正、反两面都需复印</w:t>
            </w:r>
          </w:p>
        </w:tc>
        <w:tc>
          <w:tcPr>
            <w:tcW w:w="3711" w:type="dxa"/>
            <w:gridSpan w:val="2"/>
            <w:vAlign w:val="center"/>
          </w:tcPr>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1115" w:type="dxa"/>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3910" w:type="dxa"/>
            <w:gridSpan w:val="2"/>
            <w:vMerge w:val="continue"/>
            <w:vAlign w:val="center"/>
          </w:tcPr>
          <w:p>
            <w:pPr>
              <w:autoSpaceDE w:val="0"/>
              <w:autoSpaceDN w:val="0"/>
              <w:adjustRightInd w:val="0"/>
              <w:spacing w:line="400" w:lineRule="exact"/>
              <w:jc w:val="center"/>
              <w:rPr>
                <w:rFonts w:ascii="宋体" w:hAnsi="宋体" w:cs="宋体"/>
                <w:color w:val="auto"/>
                <w:kern w:val="0"/>
                <w:sz w:val="24"/>
                <w:szCs w:val="24"/>
              </w:rPr>
            </w:pPr>
          </w:p>
        </w:tc>
        <w:tc>
          <w:tcPr>
            <w:tcW w:w="3711" w:type="dxa"/>
            <w:gridSpan w:val="2"/>
            <w:vAlign w:val="center"/>
          </w:tcPr>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jc w:val="center"/>
              <w:rPr>
                <w:rFonts w:ascii="宋体" w:hAnsi="宋体" w:cs="宋体"/>
                <w:color w:val="auto"/>
                <w:kern w:val="0"/>
                <w:sz w:val="24"/>
                <w:szCs w:val="24"/>
              </w:rPr>
            </w:pPr>
          </w:p>
          <w:p>
            <w:pPr>
              <w:autoSpaceDE w:val="0"/>
              <w:autoSpaceDN w:val="0"/>
              <w:adjustRightInd w:val="0"/>
              <w:spacing w:line="400" w:lineRule="exact"/>
              <w:ind w:firstLine="120" w:firstLineChars="50"/>
              <w:jc w:val="center"/>
              <w:rPr>
                <w:rFonts w:ascii="宋体" w:hAnsi="宋体" w:cs="宋体"/>
                <w:color w:val="auto"/>
                <w:kern w:val="0"/>
                <w:sz w:val="24"/>
                <w:szCs w:val="24"/>
              </w:rPr>
            </w:pPr>
            <w:r>
              <w:rPr>
                <w:rFonts w:hint="eastAsia" w:ascii="宋体" w:hAnsi="宋体" w:cs="宋体"/>
                <w:color w:val="auto"/>
                <w:kern w:val="0"/>
                <w:sz w:val="24"/>
                <w:szCs w:val="24"/>
              </w:rPr>
              <w:t>（企业公章）</w:t>
            </w:r>
          </w:p>
          <w:p>
            <w:pPr>
              <w:autoSpaceDE w:val="0"/>
              <w:autoSpaceDN w:val="0"/>
              <w:adjustRightInd w:val="0"/>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 xml:space="preserve">    </w:t>
            </w:r>
          </w:p>
          <w:p>
            <w:pPr>
              <w:autoSpaceDE w:val="0"/>
              <w:autoSpaceDN w:val="0"/>
              <w:adjustRightInd w:val="0"/>
              <w:spacing w:line="400" w:lineRule="exact"/>
              <w:ind w:firstLine="1440" w:firstLineChars="600"/>
              <w:jc w:val="center"/>
              <w:rPr>
                <w:rFonts w:ascii="宋体" w:hAnsi="宋体" w:cs="宋体"/>
                <w:color w:val="auto"/>
                <w:kern w:val="0"/>
                <w:sz w:val="24"/>
                <w:szCs w:val="24"/>
              </w:rPr>
            </w:pPr>
            <w:r>
              <w:rPr>
                <w:rFonts w:hint="eastAsia" w:ascii="宋体" w:hAnsi="宋体" w:cs="宋体"/>
                <w:color w:val="auto"/>
                <w:kern w:val="0"/>
                <w:sz w:val="24"/>
                <w:szCs w:val="24"/>
              </w:rPr>
              <w:t>年  月  日</w:t>
            </w:r>
          </w:p>
        </w:tc>
      </w:tr>
    </w:tbl>
    <w:p>
      <w:pPr>
        <w:autoSpaceDE w:val="0"/>
        <w:autoSpaceDN w:val="0"/>
        <w:adjustRightInd w:val="0"/>
        <w:spacing w:line="288" w:lineRule="auto"/>
        <w:jc w:val="center"/>
        <w:rPr>
          <w:rFonts w:ascii="宋体" w:hAnsi="宋体" w:cs="宋体"/>
          <w:b/>
          <w:bCs/>
          <w:color w:val="auto"/>
          <w:sz w:val="28"/>
          <w:szCs w:val="28"/>
        </w:rPr>
      </w:pPr>
    </w:p>
    <w:p>
      <w:pPr>
        <w:autoSpaceDE w:val="0"/>
        <w:autoSpaceDN w:val="0"/>
        <w:adjustRightInd w:val="0"/>
        <w:spacing w:line="288" w:lineRule="auto"/>
        <w:jc w:val="center"/>
        <w:rPr>
          <w:rFonts w:ascii="宋体" w:hAnsi="宋体" w:cs="宋体"/>
          <w:b/>
          <w:bCs/>
          <w:color w:val="auto"/>
          <w:sz w:val="28"/>
          <w:szCs w:val="28"/>
        </w:rPr>
      </w:pPr>
    </w:p>
    <w:p>
      <w:pPr>
        <w:autoSpaceDE w:val="0"/>
        <w:autoSpaceDN w:val="0"/>
        <w:adjustRightInd w:val="0"/>
        <w:spacing w:line="288" w:lineRule="auto"/>
        <w:jc w:val="center"/>
        <w:rPr>
          <w:rFonts w:ascii="宋体" w:hAnsi="宋体" w:cs="宋体"/>
          <w:b/>
          <w:color w:val="auto"/>
          <w:sz w:val="28"/>
          <w:szCs w:val="28"/>
        </w:rPr>
      </w:pPr>
      <w:r>
        <w:rPr>
          <w:rFonts w:hint="eastAsia" w:ascii="宋体" w:hAnsi="宋体" w:cs="宋体"/>
          <w:b/>
          <w:color w:val="auto"/>
          <w:sz w:val="28"/>
          <w:szCs w:val="28"/>
        </w:rPr>
        <w:t>2.</w:t>
      </w:r>
      <w:r>
        <w:rPr>
          <w:rFonts w:hint="eastAsia" w:ascii="宋体" w:hAnsi="宋体" w:cs="宋体"/>
          <w:b/>
          <w:color w:val="auto"/>
          <w:sz w:val="28"/>
          <w:szCs w:val="28"/>
          <w:lang w:val="zh-CN"/>
        </w:rPr>
        <w:t>2</w:t>
      </w:r>
      <w:r>
        <w:rPr>
          <w:rFonts w:hint="eastAsia" w:ascii="宋体" w:hAnsi="宋体" w:cs="宋体"/>
          <w:b/>
          <w:color w:val="auto"/>
          <w:sz w:val="28"/>
          <w:szCs w:val="28"/>
        </w:rPr>
        <w:t xml:space="preserve"> </w:t>
      </w:r>
      <w:r>
        <w:rPr>
          <w:rFonts w:hint="eastAsia" w:ascii="宋体" w:hAnsi="宋体" w:cs="宋体"/>
          <w:b/>
          <w:color w:val="auto"/>
          <w:sz w:val="28"/>
          <w:szCs w:val="28"/>
          <w:lang w:val="zh-CN"/>
        </w:rPr>
        <w:t>法定代表人授权委托书</w:t>
      </w:r>
    </w:p>
    <w:p>
      <w:pPr>
        <w:autoSpaceDE w:val="0"/>
        <w:autoSpaceDN w:val="0"/>
        <w:adjustRightInd w:val="0"/>
        <w:spacing w:line="500" w:lineRule="exact"/>
        <w:rPr>
          <w:rFonts w:ascii="宋体" w:hAnsi="宋体" w:cs="宋体"/>
          <w:b/>
          <w:color w:val="auto"/>
          <w:sz w:val="24"/>
          <w:szCs w:val="24"/>
        </w:rPr>
      </w:pPr>
      <w:r>
        <w:rPr>
          <w:rFonts w:hint="eastAsia" w:ascii="宋体" w:hAnsi="宋体" w:cs="宋体"/>
          <w:color w:val="auto"/>
          <w:sz w:val="24"/>
          <w:szCs w:val="24"/>
        </w:rPr>
        <w:t>陕西盛仕骄阳项目管理有限公司：</w:t>
      </w:r>
    </w:p>
    <w:p>
      <w:pPr>
        <w:autoSpaceDE w:val="0"/>
        <w:autoSpaceDN w:val="0"/>
        <w:adjustRightInd w:val="0"/>
        <w:spacing w:line="500" w:lineRule="exact"/>
        <w:ind w:firstLine="640"/>
        <w:rPr>
          <w:rFonts w:ascii="宋体" w:hAnsi="宋体" w:cs="宋体"/>
          <w:color w:val="auto"/>
          <w:sz w:val="24"/>
          <w:szCs w:val="24"/>
        </w:rPr>
      </w:pPr>
      <w:r>
        <w:rPr>
          <w:rFonts w:hint="eastAsia" w:ascii="宋体" w:hAnsi="宋体" w:cs="宋体"/>
          <w:color w:val="auto"/>
          <w:sz w:val="24"/>
          <w:szCs w:val="24"/>
          <w:lang w:val="zh-CN"/>
        </w:rPr>
        <w:t>注册于</w:t>
      </w:r>
      <w:r>
        <w:rPr>
          <w:rFonts w:hint="eastAsia" w:ascii="宋体" w:hAnsi="宋体" w:cs="宋体"/>
          <w:color w:val="auto"/>
          <w:sz w:val="24"/>
          <w:szCs w:val="24"/>
          <w:u w:val="single"/>
          <w:lang w:val="zh-CN"/>
        </w:rPr>
        <w:t>（工商行政管理局名称）</w:t>
      </w:r>
      <w:r>
        <w:rPr>
          <w:rFonts w:hint="eastAsia" w:ascii="宋体" w:hAnsi="宋体" w:cs="宋体"/>
          <w:color w:val="auto"/>
          <w:sz w:val="24"/>
          <w:szCs w:val="24"/>
          <w:lang w:val="zh-CN"/>
        </w:rPr>
        <w:t>之</w:t>
      </w:r>
      <w:r>
        <w:rPr>
          <w:rFonts w:hint="eastAsia" w:ascii="宋体" w:hAnsi="宋体" w:cs="宋体"/>
          <w:color w:val="auto"/>
          <w:sz w:val="24"/>
          <w:szCs w:val="24"/>
          <w:u w:val="single"/>
          <w:lang w:val="zh-CN"/>
        </w:rPr>
        <w:t>（供应商全称）</w:t>
      </w:r>
      <w:r>
        <w:rPr>
          <w:rFonts w:hint="eastAsia" w:ascii="宋体" w:hAnsi="宋体" w:cs="宋体"/>
          <w:color w:val="auto"/>
          <w:sz w:val="24"/>
          <w:szCs w:val="24"/>
          <w:lang w:val="zh-CN"/>
        </w:rPr>
        <w:t>法人代表</w:t>
      </w:r>
      <w:r>
        <w:rPr>
          <w:rFonts w:hint="eastAsia" w:ascii="宋体" w:hAnsi="宋体" w:cs="宋体"/>
          <w:color w:val="auto"/>
          <w:sz w:val="24"/>
          <w:szCs w:val="24"/>
          <w:u w:val="single"/>
          <w:lang w:val="zh-CN"/>
        </w:rPr>
        <w:t>（姓名、职务）</w:t>
      </w:r>
      <w:r>
        <w:rPr>
          <w:rFonts w:hint="eastAsia" w:ascii="宋体" w:hAnsi="宋体" w:cs="宋体"/>
          <w:color w:val="auto"/>
          <w:sz w:val="24"/>
          <w:szCs w:val="24"/>
          <w:lang w:val="zh-CN"/>
        </w:rPr>
        <w:t>授权</w:t>
      </w:r>
      <w:r>
        <w:rPr>
          <w:rFonts w:hint="eastAsia" w:ascii="宋体" w:hAnsi="宋体" w:cs="宋体"/>
          <w:color w:val="auto"/>
          <w:sz w:val="24"/>
          <w:szCs w:val="24"/>
          <w:u w:val="single"/>
          <w:lang w:val="zh-CN"/>
        </w:rPr>
        <w:t>（被授权人姓名、职务）</w:t>
      </w:r>
      <w:r>
        <w:rPr>
          <w:rFonts w:hint="eastAsia" w:ascii="宋体" w:hAnsi="宋体" w:cs="宋体"/>
          <w:color w:val="auto"/>
          <w:sz w:val="24"/>
          <w:szCs w:val="24"/>
          <w:lang w:val="zh-CN"/>
        </w:rPr>
        <w:t>为本公司的合法代理人，就</w:t>
      </w:r>
      <w:r>
        <w:rPr>
          <w:rFonts w:hint="eastAsia" w:ascii="宋体" w:hAnsi="宋体" w:cs="宋体"/>
          <w:color w:val="auto"/>
          <w:sz w:val="24"/>
          <w:szCs w:val="24"/>
          <w:u w:val="single"/>
          <w:lang w:val="zh-CN"/>
        </w:rPr>
        <w:t>（项目名称）</w:t>
      </w:r>
      <w:r>
        <w:rPr>
          <w:rFonts w:hint="eastAsia" w:ascii="宋体" w:hAnsi="宋体" w:cs="宋体"/>
          <w:color w:val="auto"/>
          <w:sz w:val="24"/>
          <w:szCs w:val="24"/>
          <w:lang w:val="zh-CN"/>
        </w:rPr>
        <w:t>的谈判及合同的执行和完成，以本公司的名义处理一切与之有关的事宜。</w:t>
      </w:r>
    </w:p>
    <w:p>
      <w:pPr>
        <w:autoSpaceDE w:val="0"/>
        <w:autoSpaceDN w:val="0"/>
        <w:adjustRightInd w:val="0"/>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 xml:space="preserve"> 委托期限：</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w:t>
      </w:r>
    </w:p>
    <w:p>
      <w:pPr>
        <w:autoSpaceDE w:val="0"/>
        <w:autoSpaceDN w:val="0"/>
        <w:adjustRightInd w:val="0"/>
        <w:spacing w:line="500" w:lineRule="exact"/>
        <w:ind w:firstLine="720" w:firstLineChars="300"/>
        <w:rPr>
          <w:rFonts w:ascii="宋体" w:hAnsi="宋体" w:cs="宋体"/>
          <w:color w:val="auto"/>
          <w:sz w:val="24"/>
          <w:szCs w:val="24"/>
          <w:lang w:val="zh-CN"/>
        </w:rPr>
      </w:pPr>
      <w:r>
        <w:rPr>
          <w:rFonts w:hint="eastAsia" w:ascii="宋体" w:hAnsi="宋体" w:cs="宋体"/>
          <w:color w:val="auto"/>
          <w:sz w:val="24"/>
          <w:szCs w:val="24"/>
          <w:lang w:val="zh-CN"/>
        </w:rPr>
        <w:t>代理人无转委托权。</w:t>
      </w:r>
    </w:p>
    <w:p>
      <w:pPr>
        <w:pStyle w:val="35"/>
        <w:rPr>
          <w:rFonts w:ascii="宋体" w:hAnsi="宋体" w:eastAsia="宋体" w:cs="宋体"/>
          <w:color w:val="auto"/>
          <w:sz w:val="13"/>
          <w:szCs w:val="4"/>
          <w:lang w:val="zh-CN"/>
        </w:rPr>
      </w:pPr>
    </w:p>
    <w:p>
      <w:pPr>
        <w:autoSpaceDE w:val="0"/>
        <w:autoSpaceDN w:val="0"/>
        <w:adjustRightInd w:val="0"/>
        <w:spacing w:line="500" w:lineRule="exact"/>
        <w:rPr>
          <w:rFonts w:ascii="宋体" w:hAnsi="宋体" w:cs="宋体"/>
          <w:color w:val="auto"/>
          <w:sz w:val="24"/>
          <w:szCs w:val="24"/>
          <w:u w:val="single"/>
        </w:rPr>
      </w:pPr>
      <w:r>
        <w:rPr>
          <w:rFonts w:hint="eastAsia" w:ascii="宋体" w:hAnsi="宋体" w:cs="宋体"/>
          <w:color w:val="auto"/>
          <w:sz w:val="24"/>
          <w:szCs w:val="24"/>
          <w:lang w:val="zh-CN"/>
        </w:rPr>
        <w:t>附：全权代表姓名：</w:t>
      </w:r>
      <w:r>
        <w:rPr>
          <w:rFonts w:hint="eastAsia" w:ascii="宋体" w:hAnsi="宋体" w:cs="宋体"/>
          <w:color w:val="auto"/>
          <w:sz w:val="24"/>
          <w:szCs w:val="24"/>
          <w:u w:val="single"/>
        </w:rPr>
        <w:t xml:space="preserve">         </w:t>
      </w:r>
      <w:r>
        <w:rPr>
          <w:rFonts w:hint="eastAsia" w:ascii="宋体" w:hAnsi="宋体" w:cs="宋体"/>
          <w:color w:val="auto"/>
          <w:sz w:val="24"/>
          <w:szCs w:val="24"/>
          <w:lang w:val="zh-CN"/>
        </w:rPr>
        <w:t>性别：</w:t>
      </w:r>
      <w:r>
        <w:rPr>
          <w:rFonts w:hint="eastAsia" w:ascii="宋体" w:hAnsi="宋体" w:cs="宋体"/>
          <w:color w:val="auto"/>
          <w:sz w:val="24"/>
          <w:szCs w:val="24"/>
          <w:u w:val="single"/>
        </w:rPr>
        <w:t xml:space="preserve">       </w:t>
      </w:r>
      <w:r>
        <w:rPr>
          <w:rFonts w:hint="eastAsia" w:ascii="宋体" w:hAnsi="宋体" w:cs="宋体"/>
          <w:color w:val="auto"/>
          <w:sz w:val="24"/>
          <w:szCs w:val="24"/>
          <w:lang w:val="zh-CN"/>
        </w:rPr>
        <w:t>年龄：</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职</w:t>
      </w:r>
      <w:r>
        <w:rPr>
          <w:rFonts w:hint="eastAsia" w:ascii="宋体" w:hAnsi="宋体" w:cs="宋体"/>
          <w:color w:val="auto"/>
          <w:sz w:val="24"/>
          <w:szCs w:val="24"/>
        </w:rPr>
        <w:t xml:space="preserve">    </w:t>
      </w:r>
      <w:r>
        <w:rPr>
          <w:rFonts w:hint="eastAsia" w:ascii="宋体" w:hAnsi="宋体" w:cs="宋体"/>
          <w:color w:val="auto"/>
          <w:sz w:val="24"/>
          <w:szCs w:val="24"/>
          <w:lang w:val="zh-CN"/>
        </w:rPr>
        <w:t>务：</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rPr>
      </w:pPr>
      <w:r>
        <w:rPr>
          <w:rFonts w:hint="eastAsia" w:ascii="宋体" w:hAnsi="宋体" w:cs="宋体"/>
          <w:color w:val="auto"/>
          <w:sz w:val="24"/>
          <w:szCs w:val="24"/>
          <w:lang w:val="zh-CN"/>
        </w:rPr>
        <w:t>身份证号码：</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通讯地址：</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邮政编码：</w:t>
      </w:r>
      <w:r>
        <w:rPr>
          <w:rFonts w:hint="eastAsia" w:ascii="宋体" w:hAnsi="宋体" w:cs="宋体"/>
          <w:color w:val="auto"/>
          <w:sz w:val="24"/>
          <w:szCs w:val="24"/>
          <w:u w:val="single"/>
        </w:rPr>
        <w:t xml:space="preserve">                                       </w:t>
      </w:r>
    </w:p>
    <w:p>
      <w:pPr>
        <w:autoSpaceDE w:val="0"/>
        <w:autoSpaceDN w:val="0"/>
        <w:adjustRightInd w:val="0"/>
        <w:spacing w:line="500" w:lineRule="exact"/>
        <w:ind w:firstLine="630"/>
        <w:rPr>
          <w:rFonts w:ascii="宋体" w:hAnsi="宋体" w:cs="宋体"/>
          <w:color w:val="auto"/>
          <w:sz w:val="24"/>
          <w:szCs w:val="24"/>
          <w:u w:val="single"/>
        </w:rPr>
      </w:pPr>
      <w:r>
        <w:rPr>
          <w:rFonts w:hint="eastAsia" w:ascii="宋体" w:hAnsi="宋体" w:cs="宋体"/>
          <w:color w:val="auto"/>
          <w:sz w:val="24"/>
          <w:szCs w:val="24"/>
          <w:lang w:val="zh-CN"/>
        </w:rPr>
        <w:t>电</w:t>
      </w:r>
      <w:r>
        <w:rPr>
          <w:rFonts w:hint="eastAsia" w:ascii="宋体" w:hAnsi="宋体" w:cs="宋体"/>
          <w:color w:val="auto"/>
          <w:sz w:val="24"/>
          <w:szCs w:val="24"/>
        </w:rPr>
        <w:t xml:space="preserve">    </w:t>
      </w:r>
      <w:r>
        <w:rPr>
          <w:rFonts w:hint="eastAsia" w:ascii="宋体" w:hAnsi="宋体" w:cs="宋体"/>
          <w:color w:val="auto"/>
          <w:sz w:val="24"/>
          <w:szCs w:val="24"/>
          <w:lang w:val="zh-CN"/>
        </w:rPr>
        <w:t>话：</w:t>
      </w:r>
      <w:r>
        <w:rPr>
          <w:rFonts w:hint="eastAsia" w:ascii="宋体" w:hAnsi="宋体" w:cs="宋体"/>
          <w:color w:val="auto"/>
          <w:sz w:val="24"/>
          <w:szCs w:val="24"/>
          <w:u w:val="single"/>
        </w:rPr>
        <w:t xml:space="preserve">                                       </w:t>
      </w:r>
    </w:p>
    <w:p>
      <w:pPr>
        <w:autoSpaceDE w:val="0"/>
        <w:autoSpaceDN w:val="0"/>
        <w:adjustRightInd w:val="0"/>
        <w:spacing w:line="50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w:t>
      </w:r>
      <w:r>
        <w:rPr>
          <w:rFonts w:hint="eastAsia" w:ascii="宋体" w:hAnsi="宋体" w:cs="宋体"/>
          <w:color w:val="auto"/>
          <w:sz w:val="24"/>
          <w:szCs w:val="24"/>
        </w:rPr>
        <w:t>、</w:t>
      </w:r>
      <w:r>
        <w:rPr>
          <w:rFonts w:hint="eastAsia" w:ascii="宋体" w:hAnsi="宋体" w:cs="宋体"/>
          <w:color w:val="auto"/>
          <w:sz w:val="24"/>
          <w:szCs w:val="24"/>
          <w:lang w:val="en-US" w:eastAsia="zh-CN"/>
        </w:rPr>
        <w:t>被</w:t>
      </w:r>
      <w:r>
        <w:rPr>
          <w:rFonts w:hint="eastAsia" w:ascii="宋体" w:hAnsi="宋体" w:cs="宋体"/>
          <w:color w:val="auto"/>
          <w:sz w:val="24"/>
          <w:szCs w:val="24"/>
          <w:lang w:val="zh-CN"/>
        </w:rPr>
        <w:t>授权代表身份证复印件（正反面）</w:t>
      </w:r>
    </w:p>
    <w:tbl>
      <w:tblPr>
        <w:tblStyle w:val="36"/>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99" w:hRule="atLeast"/>
        </w:trPr>
        <w:tc>
          <w:tcPr>
            <w:tcW w:w="4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8" w:lineRule="auto"/>
              <w:jc w:val="center"/>
              <w:rPr>
                <w:rFonts w:ascii="宋体" w:hAnsi="宋体" w:cs="宋体"/>
                <w:color w:val="auto"/>
                <w:sz w:val="24"/>
                <w:szCs w:val="24"/>
                <w:lang w:val="zh-CN"/>
              </w:rPr>
            </w:pPr>
            <w:r>
              <w:rPr>
                <w:rFonts w:hint="eastAsia" w:ascii="宋体" w:hAnsi="宋体" w:cs="宋体"/>
                <w:color w:val="auto"/>
                <w:sz w:val="24"/>
                <w:szCs w:val="24"/>
                <w:lang w:val="zh-CN"/>
              </w:rPr>
              <w:t>法定代表人身份证复印件</w:t>
            </w:r>
          </w:p>
        </w:tc>
        <w:tc>
          <w:tcPr>
            <w:tcW w:w="388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48" w:lineRule="auto"/>
              <w:jc w:val="center"/>
              <w:rPr>
                <w:rFonts w:ascii="宋体" w:hAnsi="宋体" w:cs="宋体"/>
                <w:color w:val="auto"/>
                <w:sz w:val="24"/>
                <w:szCs w:val="24"/>
                <w:lang w:val="zh-CN"/>
              </w:rPr>
            </w:pPr>
            <w:r>
              <w:rPr>
                <w:rFonts w:hint="eastAsia" w:ascii="宋体" w:hAnsi="宋体" w:cs="宋体"/>
                <w:color w:val="auto"/>
                <w:sz w:val="24"/>
                <w:szCs w:val="24"/>
                <w:lang w:val="en-US" w:eastAsia="zh-CN"/>
              </w:rPr>
              <w:t>被</w:t>
            </w:r>
            <w:r>
              <w:rPr>
                <w:rFonts w:hint="eastAsia" w:ascii="宋体" w:hAnsi="宋体" w:cs="宋体"/>
                <w:color w:val="auto"/>
                <w:sz w:val="24"/>
                <w:szCs w:val="24"/>
                <w:lang w:val="zh-CN"/>
              </w:rPr>
              <w:t>授权代表身份证复印件</w:t>
            </w:r>
          </w:p>
        </w:tc>
      </w:tr>
    </w:tbl>
    <w:p>
      <w:pPr>
        <w:autoSpaceDE w:val="0"/>
        <w:autoSpaceDN w:val="0"/>
        <w:adjustRightInd w:val="0"/>
        <w:spacing w:line="560" w:lineRule="exact"/>
        <w:ind w:firstLine="720" w:firstLineChars="300"/>
        <w:rPr>
          <w:rFonts w:ascii="宋体" w:hAnsi="宋体" w:cs="宋体"/>
          <w:color w:val="auto"/>
          <w:sz w:val="24"/>
          <w:szCs w:val="24"/>
        </w:rPr>
      </w:pPr>
      <w:r>
        <w:rPr>
          <w:rFonts w:hint="eastAsia" w:ascii="宋体" w:hAnsi="宋体" w:cs="宋体"/>
          <w:color w:val="auto"/>
          <w:sz w:val="24"/>
          <w:szCs w:val="24"/>
          <w:lang w:val="zh-CN"/>
        </w:rPr>
        <w:t>供应商名称（公章）：           法定代表人（</w:t>
      </w:r>
      <w:r>
        <w:rPr>
          <w:rFonts w:hint="eastAsia" w:ascii="宋体" w:hAnsi="宋体" w:cs="宋体"/>
          <w:color w:val="auto"/>
          <w:sz w:val="24"/>
          <w:szCs w:val="24"/>
        </w:rPr>
        <w:t>签字</w:t>
      </w:r>
      <w:r>
        <w:rPr>
          <w:rFonts w:hint="eastAsia" w:ascii="宋体" w:hAnsi="宋体" w:cs="宋体"/>
          <w:color w:val="auto"/>
          <w:sz w:val="24"/>
          <w:szCs w:val="24"/>
          <w:lang w:val="zh-CN"/>
        </w:rPr>
        <w:t>）：</w:t>
      </w:r>
      <w:r>
        <w:rPr>
          <w:rFonts w:hint="eastAsia" w:ascii="宋体" w:hAnsi="宋体" w:cs="宋体"/>
          <w:color w:val="auto"/>
          <w:sz w:val="24"/>
          <w:szCs w:val="24"/>
        </w:rPr>
        <w:t xml:space="preserve"> </w:t>
      </w:r>
    </w:p>
    <w:p>
      <w:pPr>
        <w:autoSpaceDE w:val="0"/>
        <w:autoSpaceDN w:val="0"/>
        <w:adjustRightInd w:val="0"/>
        <w:spacing w:line="560" w:lineRule="exact"/>
        <w:ind w:firstLine="720" w:firstLineChars="300"/>
        <w:rPr>
          <w:rFonts w:ascii="宋体" w:hAnsi="宋体" w:cs="宋体"/>
          <w:color w:val="auto"/>
          <w:sz w:val="24"/>
          <w:szCs w:val="24"/>
        </w:rPr>
      </w:pPr>
      <w:r>
        <w:rPr>
          <w:rFonts w:hint="eastAsia" w:ascii="宋体" w:hAnsi="宋体" w:cs="宋体"/>
          <w:color w:val="auto"/>
          <w:sz w:val="24"/>
          <w:szCs w:val="24"/>
        </w:rPr>
        <w:t xml:space="preserve">被授权人：（签字）             授权日期： </w:t>
      </w:r>
    </w:p>
    <w:p>
      <w:pPr>
        <w:autoSpaceDE w:val="0"/>
        <w:autoSpaceDN w:val="0"/>
        <w:adjustRightInd w:val="0"/>
        <w:spacing w:line="560" w:lineRule="exact"/>
        <w:ind w:firstLine="720" w:firstLineChars="300"/>
        <w:rPr>
          <w:rFonts w:ascii="宋体" w:hAnsi="宋体" w:cs="宋体"/>
          <w:b/>
          <w:bCs/>
          <w:color w:val="auto"/>
          <w:sz w:val="22"/>
          <w:szCs w:val="18"/>
          <w:lang w:val="zh-CN"/>
        </w:rPr>
      </w:pPr>
      <w:r>
        <w:rPr>
          <w:rFonts w:hint="eastAsia" w:ascii="宋体" w:hAnsi="宋体" w:cs="宋体"/>
          <w:color w:val="auto"/>
          <w:sz w:val="24"/>
          <w:szCs w:val="24"/>
          <w:lang w:val="zh-CN"/>
        </w:rPr>
        <w:t>本授权有效期：</w:t>
      </w:r>
      <w:r>
        <w:rPr>
          <w:rFonts w:hint="eastAsia" w:ascii="宋体" w:hAnsi="宋体" w:cs="宋体"/>
          <w:color w:val="auto"/>
          <w:sz w:val="24"/>
          <w:szCs w:val="24"/>
        </w:rPr>
        <w:t>自本委托书签署之日起至投标有效期满。</w:t>
      </w:r>
    </w:p>
    <w:p>
      <w:pPr>
        <w:snapToGrid w:val="0"/>
        <w:spacing w:line="400" w:lineRule="exact"/>
        <w:rPr>
          <w:rFonts w:ascii="宋体" w:hAnsi="宋体" w:cs="宋体"/>
          <w:b/>
          <w:bCs/>
          <w:color w:val="auto"/>
          <w:sz w:val="22"/>
          <w:szCs w:val="18"/>
          <w:lang w:val="zh-CN"/>
        </w:rPr>
      </w:pPr>
    </w:p>
    <w:p>
      <w:pPr>
        <w:snapToGrid w:val="0"/>
        <w:spacing w:line="400" w:lineRule="exact"/>
        <w:ind w:firstLine="883" w:firstLineChars="400"/>
        <w:rPr>
          <w:rFonts w:ascii="宋体" w:hAnsi="宋体" w:cs="宋体"/>
          <w:b/>
          <w:color w:val="auto"/>
          <w:sz w:val="22"/>
          <w:szCs w:val="18"/>
          <w:lang w:val="zh-CN"/>
        </w:rPr>
      </w:pPr>
      <w:r>
        <w:rPr>
          <w:rFonts w:hint="eastAsia" w:ascii="宋体" w:hAnsi="宋体" w:cs="宋体"/>
          <w:b/>
          <w:bCs/>
          <w:color w:val="auto"/>
          <w:sz w:val="22"/>
          <w:szCs w:val="18"/>
          <w:lang w:val="zh-CN"/>
        </w:rPr>
        <w:t>注：</w:t>
      </w:r>
      <w:r>
        <w:rPr>
          <w:rFonts w:hint="eastAsia" w:ascii="宋体" w:hAnsi="宋体" w:cs="宋体"/>
          <w:b/>
          <w:color w:val="auto"/>
          <w:sz w:val="22"/>
          <w:szCs w:val="18"/>
        </w:rPr>
        <w:t>法定代表人直接参与，可不填</w:t>
      </w:r>
      <w:r>
        <w:rPr>
          <w:rFonts w:hint="eastAsia" w:ascii="宋体" w:hAnsi="宋体" w:cs="宋体"/>
          <w:b/>
          <w:color w:val="auto"/>
          <w:sz w:val="22"/>
          <w:szCs w:val="18"/>
          <w:lang w:val="zh-CN"/>
        </w:rPr>
        <w:t>法定代表人授权委托书。</w:t>
      </w:r>
    </w:p>
    <w:p>
      <w:pPr>
        <w:pStyle w:val="17"/>
        <w:rPr>
          <w:rFonts w:ascii="宋体" w:hAnsi="宋体" w:cs="宋体"/>
          <w:color w:val="auto"/>
          <w:lang w:val="zh-CN"/>
        </w:rPr>
      </w:pPr>
    </w:p>
    <w:p>
      <w:pPr>
        <w:rPr>
          <w:rFonts w:ascii="宋体" w:hAnsi="宋体" w:cs="宋体"/>
          <w:color w:val="auto"/>
          <w:lang w:val="zh-CN"/>
        </w:rPr>
      </w:pPr>
    </w:p>
    <w:p>
      <w:pPr>
        <w:pStyle w:val="4"/>
        <w:spacing w:line="400" w:lineRule="exact"/>
        <w:rPr>
          <w:rFonts w:ascii="宋体" w:hAnsi="宋体" w:eastAsia="宋体" w:cs="宋体"/>
          <w:b/>
          <w:bCs/>
          <w:color w:val="auto"/>
          <w:kern w:val="0"/>
          <w:szCs w:val="28"/>
        </w:rPr>
      </w:pPr>
      <w:bookmarkStart w:id="112" w:name="_Toc253143224"/>
      <w:bookmarkStart w:id="113" w:name="_Toc245024005"/>
      <w:bookmarkStart w:id="114" w:name="_Toc249845977"/>
      <w:bookmarkStart w:id="115" w:name="_Toc249846232"/>
      <w:bookmarkStart w:id="116" w:name="_Toc266881405"/>
      <w:bookmarkStart w:id="117" w:name="_Toc266093553"/>
      <w:bookmarkStart w:id="118" w:name="_Toc253143223"/>
      <w:bookmarkStart w:id="119" w:name="_Toc266093552"/>
      <w:bookmarkStart w:id="120" w:name="_Toc249845976"/>
      <w:bookmarkStart w:id="121" w:name="_Toc245024004"/>
      <w:bookmarkStart w:id="122" w:name="_Toc249846231"/>
      <w:bookmarkStart w:id="123" w:name="_Toc266881404"/>
      <w:r>
        <w:rPr>
          <w:rFonts w:hint="eastAsia" w:ascii="宋体" w:hAnsi="宋体" w:eastAsia="宋体" w:cs="宋体"/>
          <w:b/>
          <w:bCs/>
          <w:color w:val="auto"/>
          <w:kern w:val="0"/>
          <w:szCs w:val="28"/>
        </w:rPr>
        <w:t>附件3：</w:t>
      </w:r>
    </w:p>
    <w:p>
      <w:pPr>
        <w:pStyle w:val="12"/>
        <w:ind w:firstLine="0"/>
        <w:jc w:val="center"/>
        <w:rPr>
          <w:rFonts w:ascii="宋体" w:hAnsi="宋体" w:cs="宋体"/>
          <w:b/>
          <w:color w:val="auto"/>
          <w:sz w:val="28"/>
          <w:szCs w:val="28"/>
        </w:rPr>
      </w:pPr>
      <w:r>
        <w:rPr>
          <w:rFonts w:hint="eastAsia" w:ascii="宋体" w:hAnsi="宋体" w:cs="宋体"/>
          <w:b/>
          <w:color w:val="auto"/>
          <w:sz w:val="28"/>
          <w:szCs w:val="28"/>
        </w:rPr>
        <w:t>3.1供应商企业关系关联承诺书</w:t>
      </w:r>
    </w:p>
    <w:p>
      <w:pPr>
        <w:numPr>
          <w:ilvl w:val="0"/>
          <w:numId w:val="14"/>
        </w:numPr>
        <w:spacing w:line="520" w:lineRule="exact"/>
        <w:ind w:firstLine="241" w:firstLineChars="100"/>
        <w:rPr>
          <w:rFonts w:ascii="宋体" w:hAnsi="宋体" w:cs="宋体"/>
          <w:b/>
          <w:bCs/>
          <w:color w:val="auto"/>
          <w:sz w:val="24"/>
          <w:szCs w:val="24"/>
        </w:rPr>
      </w:pPr>
      <w:r>
        <w:rPr>
          <w:rFonts w:hint="eastAsia" w:ascii="宋体" w:hAnsi="宋体" w:cs="宋体"/>
          <w:b/>
          <w:bCs/>
          <w:color w:val="auto"/>
          <w:sz w:val="24"/>
          <w:szCs w:val="24"/>
        </w:rPr>
        <w:t>投标人股东及股权证明。（提供国家企业信用信息公示系统的网页截图）。</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2、供应商在本项目投标中，不存在与其它供应商负责人为同一人，有控股、管理等关联关系承诺：</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2.1管理关系说明：</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我单位管理的具有独立法人的下属单位有</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我单位的上级管理单位有</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2.2股权关系说明：</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我单位控股的单位有</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我单位被</w:t>
      </w:r>
      <w:r>
        <w:rPr>
          <w:rFonts w:hint="eastAsia" w:ascii="宋体" w:hAnsi="宋体" w:cs="宋体"/>
          <w:color w:val="auto"/>
          <w:sz w:val="24"/>
          <w:szCs w:val="24"/>
          <w:u w:val="single"/>
        </w:rPr>
        <w:t xml:space="preserve">              </w:t>
      </w:r>
      <w:r>
        <w:rPr>
          <w:rFonts w:hint="eastAsia" w:ascii="宋体" w:hAnsi="宋体" w:cs="宋体"/>
          <w:color w:val="auto"/>
          <w:sz w:val="24"/>
          <w:szCs w:val="24"/>
        </w:rPr>
        <w:t>单位控股。</w:t>
      </w:r>
    </w:p>
    <w:p>
      <w:pPr>
        <w:spacing w:line="520" w:lineRule="exact"/>
        <w:ind w:firstLine="240" w:firstLineChars="100"/>
        <w:rPr>
          <w:rFonts w:ascii="宋体" w:hAnsi="宋体" w:cs="宋体"/>
          <w:color w:val="auto"/>
          <w:sz w:val="24"/>
          <w:szCs w:val="24"/>
          <w:u w:val="single"/>
        </w:rPr>
      </w:pPr>
      <w:r>
        <w:rPr>
          <w:rFonts w:hint="eastAsia" w:ascii="宋体" w:hAnsi="宋体" w:cs="宋体"/>
          <w:color w:val="auto"/>
          <w:sz w:val="24"/>
          <w:szCs w:val="24"/>
        </w:rPr>
        <w:t>2.3单位负责人：</w:t>
      </w:r>
      <w:r>
        <w:rPr>
          <w:rFonts w:hint="eastAsia" w:ascii="宋体" w:hAnsi="宋体" w:cs="宋体"/>
          <w:color w:val="auto"/>
          <w:sz w:val="24"/>
          <w:szCs w:val="24"/>
          <w:u w:val="single"/>
        </w:rPr>
        <w:t xml:space="preserve">                </w:t>
      </w: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u w:val="single"/>
        </w:rPr>
        <w:t xml:space="preserve">              </w:t>
      </w:r>
      <w:r>
        <w:rPr>
          <w:rFonts w:hint="eastAsia" w:ascii="宋体" w:hAnsi="宋体" w:cs="宋体"/>
          <w:color w:val="auto"/>
          <w:sz w:val="24"/>
          <w:szCs w:val="24"/>
        </w:rPr>
        <w:t>（是或否，没有填否） 为采购项目提供整体设计、规范编制或者项目管理、监理、检测等服务的供应商。</w:t>
      </w:r>
    </w:p>
    <w:p>
      <w:pPr>
        <w:spacing w:line="520" w:lineRule="exact"/>
        <w:ind w:firstLine="240" w:firstLineChars="100"/>
        <w:rPr>
          <w:rFonts w:ascii="宋体" w:hAnsi="宋体" w:cs="宋体"/>
          <w:color w:val="auto"/>
          <w:sz w:val="24"/>
          <w:szCs w:val="24"/>
          <w:u w:val="single"/>
        </w:rPr>
      </w:pPr>
      <w:r>
        <w:rPr>
          <w:rFonts w:hint="eastAsia" w:ascii="宋体" w:hAnsi="宋体" w:cs="宋体"/>
          <w:color w:val="auto"/>
          <w:sz w:val="24"/>
          <w:szCs w:val="24"/>
        </w:rPr>
        <w:t>4、其他与本项目有关的利害关系说明：</w:t>
      </w:r>
      <w:r>
        <w:rPr>
          <w:rFonts w:hint="eastAsia" w:ascii="宋体" w:hAnsi="宋体" w:cs="宋体"/>
          <w:color w:val="auto"/>
          <w:sz w:val="24"/>
          <w:szCs w:val="24"/>
          <w:u w:val="single"/>
        </w:rPr>
        <w:t xml:space="preserve">                               </w:t>
      </w:r>
    </w:p>
    <w:p>
      <w:pPr>
        <w:pStyle w:val="17"/>
        <w:spacing w:line="520" w:lineRule="exact"/>
        <w:rPr>
          <w:rFonts w:ascii="宋体" w:hAnsi="宋体" w:cs="宋体"/>
          <w:color w:val="auto"/>
          <w:sz w:val="24"/>
          <w:szCs w:val="24"/>
        </w:rPr>
      </w:pPr>
    </w:p>
    <w:p>
      <w:pPr>
        <w:spacing w:line="520" w:lineRule="exact"/>
        <w:ind w:firstLine="240" w:firstLineChars="100"/>
        <w:rPr>
          <w:rFonts w:ascii="宋体" w:hAnsi="宋体" w:cs="宋体"/>
          <w:color w:val="auto"/>
          <w:sz w:val="24"/>
          <w:szCs w:val="24"/>
        </w:rPr>
      </w:pPr>
      <w:r>
        <w:rPr>
          <w:rFonts w:hint="eastAsia" w:ascii="宋体" w:hAnsi="宋体" w:cs="宋体"/>
          <w:color w:val="auto"/>
          <w:sz w:val="24"/>
          <w:szCs w:val="24"/>
        </w:rPr>
        <w:t>我单位承诺以上说明真实有效，无虚假内容或隐瞒。</w:t>
      </w:r>
    </w:p>
    <w:p>
      <w:pPr>
        <w:spacing w:line="520" w:lineRule="exact"/>
        <w:ind w:firstLine="240" w:firstLineChars="100"/>
        <w:rPr>
          <w:rFonts w:ascii="宋体" w:hAnsi="宋体" w:cs="宋体"/>
          <w:color w:val="auto"/>
          <w:sz w:val="24"/>
          <w:szCs w:val="24"/>
        </w:rPr>
      </w:pPr>
    </w:p>
    <w:p>
      <w:pPr>
        <w:pStyle w:val="17"/>
        <w:spacing w:line="520" w:lineRule="exact"/>
        <w:rPr>
          <w:rFonts w:ascii="宋体" w:hAnsi="宋体" w:cs="宋体"/>
          <w:color w:val="auto"/>
          <w:sz w:val="24"/>
          <w:szCs w:val="24"/>
        </w:rPr>
      </w:pPr>
    </w:p>
    <w:p>
      <w:pPr>
        <w:spacing w:line="520" w:lineRule="exact"/>
        <w:ind w:firstLine="2400" w:firstLineChars="10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pPr>
        <w:spacing w:line="520" w:lineRule="exact"/>
        <w:ind w:firstLine="2400" w:firstLineChars="1000"/>
        <w:rPr>
          <w:rFonts w:ascii="宋体" w:hAnsi="宋体" w:cs="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autoSpaceDE w:val="0"/>
        <w:autoSpaceDN w:val="0"/>
        <w:adjustRightInd w:val="0"/>
        <w:spacing w:line="360" w:lineRule="auto"/>
        <w:jc w:val="center"/>
        <w:rPr>
          <w:rFonts w:ascii="宋体" w:hAnsi="宋体" w:cs="宋体"/>
          <w:b/>
          <w:bCs/>
          <w:color w:val="auto"/>
          <w:sz w:val="28"/>
          <w:szCs w:val="28"/>
          <w:lang w:val="zh-CN"/>
        </w:rPr>
      </w:pPr>
      <w:r>
        <w:rPr>
          <w:rFonts w:hint="eastAsia" w:ascii="宋体" w:hAnsi="宋体" w:cs="宋体"/>
          <w:color w:val="auto"/>
          <w:sz w:val="24"/>
          <w:szCs w:val="24"/>
        </w:rPr>
        <w:t xml:space="preserve">                  日      期：      年   月    日</w:t>
      </w:r>
    </w:p>
    <w:p>
      <w:pPr>
        <w:pStyle w:val="12"/>
        <w:ind w:firstLine="0"/>
        <w:jc w:val="center"/>
        <w:rPr>
          <w:rFonts w:ascii="宋体" w:hAnsi="宋体" w:cs="宋体"/>
          <w:b/>
          <w:color w:val="auto"/>
          <w:sz w:val="32"/>
          <w:szCs w:val="32"/>
        </w:rPr>
      </w:pPr>
    </w:p>
    <w:p>
      <w:pPr>
        <w:rPr>
          <w:color w:val="auto"/>
        </w:rPr>
      </w:pPr>
    </w:p>
    <w:p>
      <w:pPr>
        <w:pStyle w:val="2"/>
        <w:rPr>
          <w:color w:val="auto"/>
        </w:rPr>
      </w:pPr>
    </w:p>
    <w:p>
      <w:pPr>
        <w:pStyle w:val="2"/>
        <w:rPr>
          <w:color w:val="auto"/>
        </w:rPr>
      </w:pPr>
    </w:p>
    <w:p>
      <w:pPr>
        <w:pStyle w:val="2"/>
        <w:rPr>
          <w:color w:val="auto"/>
        </w:rPr>
      </w:pPr>
    </w:p>
    <w:p>
      <w:pPr>
        <w:pStyle w:val="2"/>
        <w:rPr>
          <w:rFonts w:hint="eastAsia"/>
          <w:color w:val="auto"/>
        </w:rPr>
      </w:pPr>
    </w:p>
    <w:p>
      <w:pPr>
        <w:pStyle w:val="12"/>
        <w:ind w:firstLine="0"/>
        <w:jc w:val="center"/>
        <w:rPr>
          <w:rFonts w:ascii="宋体" w:hAnsi="宋体" w:cs="宋体"/>
          <w:color w:val="auto"/>
          <w:sz w:val="28"/>
          <w:szCs w:val="28"/>
        </w:rPr>
      </w:pPr>
      <w:r>
        <w:rPr>
          <w:rFonts w:hint="eastAsia" w:ascii="宋体" w:hAnsi="宋体" w:cs="宋体"/>
          <w:b/>
          <w:color w:val="auto"/>
          <w:sz w:val="28"/>
          <w:szCs w:val="28"/>
        </w:rPr>
        <w:t>3.2非联合体投标声明</w:t>
      </w:r>
      <w:bookmarkEnd w:id="112"/>
      <w:bookmarkEnd w:id="113"/>
      <w:bookmarkEnd w:id="114"/>
      <w:bookmarkEnd w:id="115"/>
      <w:bookmarkEnd w:id="116"/>
      <w:bookmarkEnd w:id="117"/>
    </w:p>
    <w:p>
      <w:pPr>
        <w:pStyle w:val="148"/>
        <w:spacing w:before="0" w:beforeAutospacing="0" w:after="0" w:afterAutospacing="0" w:line="432" w:lineRule="auto"/>
        <w:rPr>
          <w:rFonts w:hAnsi="宋体"/>
          <w:color w:val="auto"/>
          <w:sz w:val="24"/>
          <w:szCs w:val="24"/>
        </w:rPr>
      </w:pPr>
      <w:r>
        <w:rPr>
          <w:rFonts w:hint="eastAsia" w:hAnsi="宋体"/>
          <w:color w:val="auto"/>
          <w:sz w:val="24"/>
          <w:szCs w:val="24"/>
          <w:u w:val="single"/>
        </w:rPr>
        <w:t>      (采购人)</w:t>
      </w:r>
      <w:r>
        <w:rPr>
          <w:rFonts w:hint="eastAsia" w:hAnsi="宋体"/>
          <w:b/>
          <w:color w:val="auto"/>
          <w:sz w:val="24"/>
          <w:szCs w:val="24"/>
        </w:rPr>
        <w:t>：</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本公司就参加</w:t>
      </w:r>
      <w:r>
        <w:rPr>
          <w:rFonts w:hint="eastAsia" w:hAnsi="宋体"/>
          <w:color w:val="auto"/>
          <w:sz w:val="24"/>
          <w:szCs w:val="24"/>
          <w:u w:val="single"/>
        </w:rPr>
        <w:t xml:space="preserve">             </w:t>
      </w:r>
      <w:r>
        <w:rPr>
          <w:rFonts w:hint="eastAsia" w:hAnsi="宋体"/>
          <w:color w:val="auto"/>
          <w:sz w:val="24"/>
          <w:szCs w:val="24"/>
        </w:rPr>
        <w:t>投标工作，作出郑重声明：</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一、本公司保证投标报名材料及其后提供的一切材料都是真实的。</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二、本公司保证在本项目投标中不与其他单位围标、串标，不出让投标资格，不向</w:t>
      </w:r>
      <w:r>
        <w:rPr>
          <w:rFonts w:hint="eastAsia"/>
          <w:color w:val="auto"/>
          <w:sz w:val="24"/>
          <w:szCs w:val="24"/>
        </w:rPr>
        <w:t>采购人</w:t>
      </w:r>
      <w:r>
        <w:rPr>
          <w:rFonts w:hint="eastAsia" w:hAnsi="宋体"/>
          <w:color w:val="auto"/>
          <w:sz w:val="24"/>
          <w:szCs w:val="24"/>
        </w:rPr>
        <w:t>或谈判小组成员行贿。</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三、本公司没有处于被责令停业的状态；没有处于被建设行政主管部门取消投标资格的处罚期内；没有处于财产被接管、冻结、破产的状态；本公司没有在投标报名截止时间前三年内被人民法院判决犯有行贿罪的记录。</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四、本公司保证本项目并非联合体投标，本项目由本公司独立承担。本公司违反上述保证，或本声明陈述与事实不符，经查实，本公司愿意接受公开通报，承担由此带来的法律后果。</w:t>
      </w:r>
    </w:p>
    <w:p>
      <w:pPr>
        <w:pStyle w:val="148"/>
        <w:spacing w:before="0" w:beforeAutospacing="0" w:after="0" w:afterAutospacing="0" w:line="432" w:lineRule="auto"/>
        <w:ind w:firstLine="480" w:firstLineChars="200"/>
        <w:rPr>
          <w:rFonts w:hAnsi="宋体"/>
          <w:color w:val="auto"/>
          <w:sz w:val="24"/>
          <w:szCs w:val="24"/>
        </w:rPr>
      </w:pPr>
      <w:r>
        <w:rPr>
          <w:rFonts w:hint="eastAsia" w:hAnsi="宋体"/>
          <w:color w:val="auto"/>
          <w:sz w:val="24"/>
          <w:szCs w:val="24"/>
        </w:rPr>
        <w:t>特此声明！</w:t>
      </w:r>
    </w:p>
    <w:p>
      <w:pPr>
        <w:pStyle w:val="149"/>
        <w:spacing w:before="0" w:beforeAutospacing="0" w:after="0" w:afterAutospacing="0" w:line="432" w:lineRule="auto"/>
        <w:ind w:right="1449" w:firstLine="2160" w:firstLineChars="900"/>
        <w:rPr>
          <w:rFonts w:hAnsi="宋体"/>
          <w:color w:val="auto"/>
          <w:sz w:val="24"/>
          <w:szCs w:val="24"/>
        </w:rPr>
      </w:pPr>
    </w:p>
    <w:p>
      <w:pPr>
        <w:pStyle w:val="149"/>
        <w:spacing w:before="0" w:beforeAutospacing="0" w:after="0" w:afterAutospacing="0" w:line="432" w:lineRule="auto"/>
        <w:ind w:right="1449" w:firstLine="2160" w:firstLineChars="900"/>
        <w:rPr>
          <w:rFonts w:hAnsi="宋体"/>
          <w:color w:val="auto"/>
          <w:sz w:val="24"/>
          <w:szCs w:val="24"/>
        </w:rPr>
      </w:pPr>
    </w:p>
    <w:p>
      <w:pPr>
        <w:pStyle w:val="149"/>
        <w:spacing w:before="0" w:beforeAutospacing="0" w:after="0" w:afterAutospacing="0" w:line="432" w:lineRule="auto"/>
        <w:ind w:right="1449"/>
        <w:rPr>
          <w:rFonts w:hAnsi="宋体"/>
          <w:color w:val="auto"/>
          <w:sz w:val="24"/>
          <w:szCs w:val="24"/>
        </w:rPr>
      </w:pPr>
    </w:p>
    <w:p>
      <w:pPr>
        <w:pStyle w:val="149"/>
        <w:spacing w:before="0" w:beforeAutospacing="0" w:after="0" w:afterAutospacing="0" w:line="432" w:lineRule="auto"/>
        <w:ind w:right="1449" w:firstLine="2168" w:firstLineChars="900"/>
        <w:rPr>
          <w:rFonts w:hAnsi="宋体"/>
          <w:b/>
          <w:bCs/>
          <w:color w:val="auto"/>
          <w:sz w:val="24"/>
          <w:szCs w:val="24"/>
        </w:rPr>
      </w:pPr>
    </w:p>
    <w:bookmarkEnd w:id="118"/>
    <w:bookmarkEnd w:id="119"/>
    <w:bookmarkEnd w:id="120"/>
    <w:bookmarkEnd w:id="121"/>
    <w:bookmarkEnd w:id="122"/>
    <w:bookmarkEnd w:id="123"/>
    <w:p>
      <w:pPr>
        <w:pStyle w:val="149"/>
        <w:spacing w:before="0" w:beforeAutospacing="0" w:after="0" w:afterAutospacing="0" w:line="432" w:lineRule="auto"/>
        <w:ind w:right="87" w:firstLine="3373" w:firstLineChars="1400"/>
        <w:jc w:val="center"/>
        <w:rPr>
          <w:rFonts w:hAnsi="宋体"/>
          <w:b/>
          <w:bCs/>
          <w:color w:val="auto"/>
          <w:sz w:val="24"/>
          <w:szCs w:val="24"/>
        </w:rPr>
      </w:pPr>
      <w:r>
        <w:rPr>
          <w:rFonts w:hint="eastAsia" w:hAnsi="宋体"/>
          <w:b/>
          <w:bCs/>
          <w:color w:val="auto"/>
          <w:sz w:val="24"/>
          <w:szCs w:val="24"/>
        </w:rPr>
        <w:t xml:space="preserve">        声明企业：</w:t>
      </w:r>
      <w:r>
        <w:rPr>
          <w:rFonts w:hint="eastAsia"/>
          <w:b/>
          <w:bCs/>
          <w:color w:val="auto"/>
          <w:sz w:val="24"/>
          <w:szCs w:val="24"/>
          <w:u w:val="single"/>
        </w:rPr>
        <w:t xml:space="preserve">                   </w:t>
      </w:r>
      <w:r>
        <w:rPr>
          <w:rFonts w:hint="eastAsia" w:hAnsi="宋体"/>
          <w:b/>
          <w:bCs/>
          <w:color w:val="auto"/>
          <w:sz w:val="24"/>
          <w:szCs w:val="24"/>
        </w:rPr>
        <w:t>(企业公章)</w:t>
      </w:r>
    </w:p>
    <w:p>
      <w:pPr>
        <w:pStyle w:val="149"/>
        <w:tabs>
          <w:tab w:val="left" w:pos="7770"/>
        </w:tabs>
        <w:spacing w:before="0" w:beforeAutospacing="0" w:after="0" w:afterAutospacing="0" w:line="432" w:lineRule="auto"/>
        <w:ind w:right="-113" w:firstLine="4337" w:firstLineChars="1800"/>
        <w:rPr>
          <w:rFonts w:hAnsi="宋体"/>
          <w:b/>
          <w:bCs/>
          <w:color w:val="auto"/>
          <w:sz w:val="24"/>
          <w:szCs w:val="24"/>
        </w:rPr>
      </w:pPr>
      <w:r>
        <w:rPr>
          <w:rFonts w:hint="eastAsia"/>
          <w:b/>
          <w:bCs/>
          <w:color w:val="auto"/>
          <w:sz w:val="24"/>
          <w:szCs w:val="24"/>
        </w:rPr>
        <w:t>法定代表</w:t>
      </w:r>
      <w:r>
        <w:rPr>
          <w:rFonts w:hint="eastAsia" w:hAnsi="宋体"/>
          <w:b/>
          <w:bCs/>
          <w:color w:val="auto"/>
          <w:sz w:val="24"/>
          <w:szCs w:val="24"/>
        </w:rPr>
        <w:t>人或授权委托人签字：</w:t>
      </w:r>
      <w:r>
        <w:rPr>
          <w:rFonts w:hint="eastAsia"/>
          <w:b/>
          <w:bCs/>
          <w:color w:val="auto"/>
          <w:sz w:val="24"/>
          <w:szCs w:val="24"/>
          <w:u w:val="single"/>
        </w:rPr>
        <w:t xml:space="preserve">           </w:t>
      </w:r>
      <w:r>
        <w:rPr>
          <w:rFonts w:hint="eastAsia" w:hAnsi="宋体"/>
          <w:b/>
          <w:bCs/>
          <w:color w:val="auto"/>
          <w:sz w:val="24"/>
          <w:szCs w:val="24"/>
        </w:rPr>
        <w:t xml:space="preserve">      </w:t>
      </w:r>
    </w:p>
    <w:p>
      <w:pPr>
        <w:pStyle w:val="17"/>
        <w:ind w:firstLine="4337" w:firstLineChars="1800"/>
        <w:rPr>
          <w:color w:val="auto"/>
          <w:sz w:val="24"/>
          <w:szCs w:val="18"/>
          <w:lang w:val="zh-CN"/>
        </w:rPr>
      </w:pPr>
      <w:r>
        <w:rPr>
          <w:rFonts w:hint="eastAsia" w:ascii="宋体" w:hAnsi="宋体" w:cs="宋体"/>
          <w:b/>
          <w:bCs/>
          <w:color w:val="auto"/>
          <w:sz w:val="24"/>
          <w:szCs w:val="24"/>
        </w:rPr>
        <w:t>日     期：</w:t>
      </w:r>
      <w:r>
        <w:rPr>
          <w:rFonts w:hint="eastAsia" w:cs="宋体"/>
          <w:b/>
          <w:bCs/>
          <w:color w:val="auto"/>
          <w:sz w:val="24"/>
          <w:szCs w:val="24"/>
        </w:rPr>
        <w:t xml:space="preserve">   </w:t>
      </w:r>
      <w:r>
        <w:rPr>
          <w:rFonts w:hint="eastAsia" w:ascii="宋体" w:hAnsi="宋体" w:cs="宋体"/>
          <w:b/>
          <w:bCs/>
          <w:color w:val="auto"/>
          <w:sz w:val="24"/>
          <w:szCs w:val="24"/>
        </w:rPr>
        <w:t xml:space="preserve">  年   月 </w:t>
      </w:r>
      <w:r>
        <w:rPr>
          <w:rFonts w:hint="eastAsia" w:cs="宋体"/>
          <w:b/>
          <w:bCs/>
          <w:color w:val="auto"/>
          <w:sz w:val="24"/>
          <w:szCs w:val="24"/>
        </w:rPr>
        <w:t xml:space="preserve">   </w:t>
      </w:r>
      <w:r>
        <w:rPr>
          <w:rFonts w:hint="eastAsia" w:ascii="宋体" w:hAnsi="宋体" w:cs="宋体"/>
          <w:b/>
          <w:bCs/>
          <w:color w:val="auto"/>
          <w:sz w:val="24"/>
          <w:szCs w:val="24"/>
        </w:rPr>
        <w:t>日</w:t>
      </w:r>
    </w:p>
    <w:p>
      <w:pPr>
        <w:rPr>
          <w:rFonts w:ascii="宋体" w:hAnsi="宋体" w:cs="宋体"/>
          <w:color w:val="auto"/>
          <w:lang w:val="zh-CN"/>
        </w:rPr>
      </w:pPr>
    </w:p>
    <w:p>
      <w:pPr>
        <w:pStyle w:val="17"/>
        <w:rPr>
          <w:rFonts w:ascii="宋体" w:hAnsi="宋体" w:cs="宋体"/>
          <w:color w:val="auto"/>
          <w:lang w:val="zh-CN"/>
        </w:rPr>
      </w:pPr>
    </w:p>
    <w:p>
      <w:pPr>
        <w:rPr>
          <w:color w:val="auto"/>
          <w:lang w:val="zh-CN"/>
        </w:rPr>
      </w:pPr>
    </w:p>
    <w:p>
      <w:pPr>
        <w:spacing w:line="520" w:lineRule="exact"/>
        <w:rPr>
          <w:rFonts w:ascii="宋体" w:hAnsi="宋体" w:cs="宋体"/>
          <w:b/>
          <w:color w:val="auto"/>
          <w:sz w:val="30"/>
          <w:szCs w:val="30"/>
        </w:rPr>
      </w:pPr>
    </w:p>
    <w:p>
      <w:pPr>
        <w:pStyle w:val="35"/>
        <w:rPr>
          <w:rFonts w:ascii="宋体" w:hAnsi="宋体" w:eastAsia="宋体" w:cs="宋体"/>
          <w:b/>
          <w:bCs/>
          <w:color w:val="auto"/>
          <w:sz w:val="30"/>
          <w:szCs w:val="30"/>
        </w:rPr>
      </w:pPr>
    </w:p>
    <w:p>
      <w:pPr>
        <w:rPr>
          <w:rFonts w:hint="eastAsia" w:ascii="宋体" w:hAnsi="宋体" w:cs="宋体"/>
          <w:b/>
          <w:bCs/>
          <w:color w:val="auto"/>
          <w:sz w:val="30"/>
          <w:szCs w:val="30"/>
        </w:rPr>
      </w:pPr>
      <w:r>
        <w:rPr>
          <w:rFonts w:hint="eastAsia" w:ascii="宋体" w:hAnsi="宋体" w:cs="宋体"/>
          <w:b/>
          <w:bCs/>
          <w:color w:val="auto"/>
          <w:sz w:val="30"/>
          <w:szCs w:val="30"/>
        </w:rPr>
        <w:br w:type="page"/>
      </w:r>
    </w:p>
    <w:p>
      <w:pPr>
        <w:autoSpaceDE w:val="0"/>
        <w:autoSpaceDN w:val="0"/>
        <w:adjustRightInd w:val="0"/>
        <w:spacing w:line="520" w:lineRule="exact"/>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en-US" w:eastAsia="zh-CN"/>
        </w:rPr>
        <w:t>第十一部分 谈判保证金</w:t>
      </w:r>
    </w:p>
    <w:p>
      <w:pPr>
        <w:pStyle w:val="2"/>
        <w:widowControl w:val="0"/>
        <w:numPr>
          <w:ilvl w:val="0"/>
          <w:numId w:val="0"/>
        </w:numPr>
        <w:jc w:val="both"/>
        <w:rPr>
          <w:rFonts w:hint="eastAsia" w:ascii="宋体" w:hAnsi="宋体" w:cs="宋体"/>
          <w:b/>
          <w:bCs/>
          <w:color w:val="auto"/>
          <w:sz w:val="28"/>
          <w:szCs w:val="28"/>
          <w:lang w:val="en-US" w:eastAsia="zh-CN"/>
        </w:rPr>
      </w:pPr>
    </w:p>
    <w:p>
      <w:pPr>
        <w:spacing w:line="360" w:lineRule="auto"/>
        <w:ind w:firstLine="470" w:firstLineChars="196"/>
        <w:rPr>
          <w:rFonts w:ascii="宋体" w:hAnsi="宋体"/>
          <w:bCs/>
          <w:color w:val="auto"/>
          <w:sz w:val="24"/>
          <w:szCs w:val="24"/>
        </w:rPr>
      </w:pPr>
      <w:r>
        <w:rPr>
          <w:rFonts w:hint="eastAsia" w:ascii="宋体" w:hAnsi="宋体"/>
          <w:bCs/>
          <w:color w:val="auto"/>
          <w:sz w:val="24"/>
          <w:szCs w:val="24"/>
        </w:rPr>
        <w:t>若采用银行转账的形式递交</w:t>
      </w:r>
      <w:r>
        <w:rPr>
          <w:rFonts w:hint="eastAsia" w:ascii="宋体" w:hAnsi="宋体"/>
          <w:bCs/>
          <w:color w:val="auto"/>
          <w:sz w:val="24"/>
          <w:szCs w:val="24"/>
          <w:lang w:val="en-US" w:eastAsia="zh-CN"/>
        </w:rPr>
        <w:t>谈判保证金</w:t>
      </w:r>
      <w:r>
        <w:rPr>
          <w:rFonts w:hint="eastAsia" w:ascii="宋体" w:hAnsi="宋体"/>
          <w:bCs/>
          <w:color w:val="auto"/>
          <w:sz w:val="24"/>
          <w:szCs w:val="24"/>
        </w:rPr>
        <w:t>的，</w:t>
      </w:r>
      <w:r>
        <w:rPr>
          <w:rFonts w:hint="eastAsia" w:ascii="宋体" w:hAnsi="宋体"/>
          <w:bCs/>
          <w:color w:val="auto"/>
          <w:sz w:val="24"/>
          <w:szCs w:val="24"/>
          <w:lang w:val="en-US" w:eastAsia="zh-CN"/>
        </w:rPr>
        <w:t>供应商</w:t>
      </w:r>
      <w:r>
        <w:rPr>
          <w:rFonts w:hint="eastAsia" w:ascii="宋体" w:hAnsi="宋体"/>
          <w:bCs/>
          <w:color w:val="auto"/>
          <w:sz w:val="24"/>
          <w:szCs w:val="24"/>
        </w:rPr>
        <w:t>应在此提供汇款凭证及开户许可证的复印件。</w:t>
      </w:r>
    </w:p>
    <w:p>
      <w:pPr>
        <w:spacing w:line="360" w:lineRule="auto"/>
        <w:ind w:firstLine="470" w:firstLineChars="196"/>
        <w:rPr>
          <w:rFonts w:ascii="宋体" w:hAnsi="宋体"/>
          <w:b/>
          <w:color w:val="auto"/>
          <w:sz w:val="24"/>
          <w:szCs w:val="24"/>
        </w:rPr>
      </w:pPr>
      <w:r>
        <w:rPr>
          <w:rFonts w:hint="eastAsia" w:ascii="宋体" w:hAnsi="宋体"/>
          <w:bCs/>
          <w:color w:val="auto"/>
          <w:sz w:val="24"/>
          <w:szCs w:val="24"/>
        </w:rPr>
        <w:t>如采用银行保函，银行保函复印件装订在投标文件中，格式如下：</w:t>
      </w:r>
    </w:p>
    <w:p>
      <w:pPr>
        <w:spacing w:line="480" w:lineRule="auto"/>
        <w:rPr>
          <w:rFonts w:ascii="宋体" w:hAnsi="宋体"/>
          <w:color w:val="auto"/>
          <w:sz w:val="24"/>
          <w:szCs w:val="24"/>
          <w:u w:val="single"/>
        </w:rPr>
      </w:pPr>
    </w:p>
    <w:p>
      <w:pPr>
        <w:spacing w:line="480" w:lineRule="auto"/>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（招标人名称）:</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鉴于</w:t>
      </w:r>
      <w:r>
        <w:rPr>
          <w:rFonts w:hint="eastAsia" w:ascii="宋体" w:hAnsi="宋体"/>
          <w:color w:val="auto"/>
          <w:sz w:val="24"/>
          <w:szCs w:val="24"/>
          <w:u w:val="single"/>
        </w:rPr>
        <w:t xml:space="preserve">       </w:t>
      </w:r>
      <w:r>
        <w:rPr>
          <w:rFonts w:hint="eastAsia" w:ascii="宋体" w:hAnsi="宋体"/>
          <w:color w:val="auto"/>
          <w:sz w:val="24"/>
          <w:szCs w:val="24"/>
        </w:rPr>
        <w:t>(投标人全称)(以下简称“投标人”)于</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日参加</w:t>
      </w:r>
      <w:r>
        <w:rPr>
          <w:rFonts w:hint="eastAsia" w:ascii="宋体" w:hAnsi="宋体"/>
          <w:color w:val="auto"/>
          <w:sz w:val="24"/>
          <w:szCs w:val="24"/>
          <w:u w:val="single"/>
        </w:rPr>
        <w:t xml:space="preserve">        </w:t>
      </w:r>
      <w:r>
        <w:rPr>
          <w:rFonts w:hint="eastAsia" w:ascii="宋体" w:hAnsi="宋体"/>
          <w:color w:val="auto"/>
          <w:sz w:val="24"/>
          <w:szCs w:val="24"/>
        </w:rPr>
        <w:t xml:space="preserve"> (项目名称）</w:t>
      </w:r>
      <w:r>
        <w:rPr>
          <w:rFonts w:hint="eastAsia" w:ascii="宋体" w:hAnsi="宋体"/>
          <w:color w:val="auto"/>
          <w:sz w:val="24"/>
          <w:szCs w:val="24"/>
          <w:u w:val="single"/>
        </w:rPr>
        <w:t xml:space="preserve">     </w:t>
      </w:r>
      <w:r>
        <w:rPr>
          <w:rFonts w:hint="eastAsia" w:ascii="宋体" w:hAnsi="宋体"/>
          <w:color w:val="auto"/>
          <w:sz w:val="24"/>
          <w:szCs w:val="24"/>
        </w:rPr>
        <w:t>的投标，</w:t>
      </w:r>
      <w:r>
        <w:rPr>
          <w:rFonts w:hint="eastAsia" w:ascii="宋体" w:hAnsi="宋体"/>
          <w:color w:val="auto"/>
          <w:sz w:val="24"/>
          <w:szCs w:val="24"/>
          <w:u w:val="single"/>
        </w:rPr>
        <w:t xml:space="preserve">          </w:t>
      </w:r>
      <w:r>
        <w:rPr>
          <w:rFonts w:hint="eastAsia" w:ascii="宋体" w:hAnsi="宋体"/>
          <w:color w:val="auto"/>
          <w:sz w:val="24"/>
          <w:szCs w:val="24"/>
        </w:rPr>
        <w:t>（担保人名称，以下简称“我方”）无条件的、不可撤销的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rPr>
        <w:t>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本保函在投标有效期或经延长的投标有效期内保持有效。要求我方承担保证责任的通知应在上述期限内送达我方。你方延长投标有效期的决定，应通知我方。</w:t>
      </w:r>
    </w:p>
    <w:p>
      <w:pPr>
        <w:spacing w:line="360" w:lineRule="auto"/>
        <w:rPr>
          <w:rFonts w:ascii="宋体" w:hAnsi="宋体"/>
          <w:color w:val="auto"/>
          <w:sz w:val="24"/>
          <w:szCs w:val="24"/>
        </w:rPr>
      </w:pPr>
      <w:r>
        <w:rPr>
          <w:rFonts w:hint="eastAsia" w:ascii="宋体" w:hAnsi="宋体"/>
          <w:color w:val="auto"/>
          <w:sz w:val="24"/>
          <w:szCs w:val="24"/>
        </w:rPr>
        <w:t xml:space="preserve">                         </w:t>
      </w: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担保人名称：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pPr>
        <w:spacing w:line="360" w:lineRule="auto"/>
        <w:rPr>
          <w:rFonts w:ascii="宋体" w:hAnsi="宋体"/>
          <w:color w:val="auto"/>
          <w:sz w:val="24"/>
          <w:szCs w:val="24"/>
        </w:rPr>
      </w:pPr>
      <w:r>
        <w:rPr>
          <w:rFonts w:hint="eastAsia" w:ascii="宋体" w:hAnsi="宋体"/>
          <w:color w:val="auto"/>
          <w:sz w:val="24"/>
          <w:szCs w:val="24"/>
        </w:rPr>
        <w:t xml:space="preserve">                         法定代表人或其授权的代理人：</w:t>
      </w:r>
      <w:r>
        <w:rPr>
          <w:rFonts w:hint="eastAsia" w:ascii="宋体" w:hAnsi="宋体"/>
          <w:color w:val="auto"/>
          <w:sz w:val="24"/>
          <w:szCs w:val="24"/>
          <w:u w:val="single"/>
        </w:rPr>
        <w:t xml:space="preserve">       </w:t>
      </w:r>
      <w:r>
        <w:rPr>
          <w:rFonts w:hint="eastAsia" w:ascii="宋体" w:hAnsi="宋体"/>
          <w:color w:val="auto"/>
          <w:sz w:val="24"/>
          <w:szCs w:val="24"/>
        </w:rPr>
        <w:t>(签字)</w:t>
      </w:r>
    </w:p>
    <w:p>
      <w:pPr>
        <w:spacing w:line="360" w:lineRule="auto"/>
        <w:rPr>
          <w:rFonts w:ascii="宋体" w:hAnsi="宋体"/>
          <w:color w:val="auto"/>
          <w:sz w:val="24"/>
          <w:szCs w:val="24"/>
          <w:u w:val="single"/>
        </w:rPr>
      </w:pPr>
      <w:r>
        <w:rPr>
          <w:rFonts w:hint="eastAsia" w:ascii="宋体" w:hAnsi="宋体"/>
          <w:color w:val="auto"/>
          <w:sz w:val="24"/>
          <w:szCs w:val="24"/>
        </w:rPr>
        <w:t xml:space="preserve">                         地  址:</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 xml:space="preserve">                         邮  编:</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 xml:space="preserve">                         电  话:</w:t>
      </w:r>
      <w:r>
        <w:rPr>
          <w:rFonts w:hint="eastAsia" w:ascii="宋体" w:hAnsi="宋体"/>
          <w:color w:val="auto"/>
          <w:sz w:val="24"/>
          <w:szCs w:val="24"/>
          <w:u w:val="single"/>
        </w:rPr>
        <w:t xml:space="preserve">                                  </w:t>
      </w:r>
    </w:p>
    <w:p>
      <w:pPr>
        <w:spacing w:line="360" w:lineRule="auto"/>
        <w:rPr>
          <w:rFonts w:ascii="宋体" w:hAnsi="宋体"/>
          <w:color w:val="auto"/>
          <w:sz w:val="24"/>
          <w:szCs w:val="24"/>
          <w:u w:val="single"/>
        </w:rPr>
      </w:pPr>
      <w:r>
        <w:rPr>
          <w:rFonts w:hint="eastAsia" w:ascii="宋体" w:hAnsi="宋体"/>
          <w:color w:val="auto"/>
          <w:sz w:val="24"/>
          <w:szCs w:val="24"/>
        </w:rPr>
        <w:t xml:space="preserve">                         传  真:</w:t>
      </w:r>
      <w:r>
        <w:rPr>
          <w:rFonts w:hint="eastAsia" w:ascii="宋体" w:hAnsi="宋体"/>
          <w:color w:val="auto"/>
          <w:sz w:val="24"/>
          <w:szCs w:val="24"/>
          <w:u w:val="single"/>
        </w:rPr>
        <w:t xml:space="preserve">                                  </w:t>
      </w:r>
    </w:p>
    <w:p>
      <w:pPr>
        <w:spacing w:line="360" w:lineRule="auto"/>
        <w:ind w:firstLine="5040" w:firstLineChars="2100"/>
        <w:rPr>
          <w:rFonts w:ascii="宋体" w:hAnsi="宋体" w:cs="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pStyle w:val="34"/>
        <w:rPr>
          <w:color w:val="auto"/>
        </w:rPr>
      </w:pPr>
    </w:p>
    <w:p>
      <w:pPr>
        <w:pStyle w:val="35"/>
        <w:rPr>
          <w:color w:val="auto"/>
        </w:rPr>
      </w:pPr>
    </w:p>
    <w:p>
      <w:pPr>
        <w:pStyle w:val="35"/>
        <w:rPr>
          <w:color w:val="auto"/>
        </w:rPr>
      </w:pPr>
    </w:p>
    <w:p>
      <w:pPr>
        <w:autoSpaceDE w:val="0"/>
        <w:autoSpaceDN w:val="0"/>
        <w:adjustRightInd w:val="0"/>
        <w:spacing w:line="52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第十二部分 提供政府采购政策证明材料</w:t>
      </w:r>
    </w:p>
    <w:p>
      <w:pPr>
        <w:pStyle w:val="4"/>
        <w:spacing w:line="400" w:lineRule="exact"/>
        <w:jc w:val="center"/>
        <w:rPr>
          <w:rFonts w:hint="eastAsia" w:ascii="宋体" w:hAnsi="宋体" w:eastAsia="宋体" w:cs="宋体"/>
          <w:b/>
          <w:bCs/>
          <w:color w:val="auto"/>
          <w:kern w:val="0"/>
          <w:szCs w:val="28"/>
        </w:rPr>
      </w:pPr>
      <w:r>
        <w:rPr>
          <w:rFonts w:hint="eastAsia" w:ascii="宋体" w:hAnsi="宋体" w:eastAsia="宋体" w:cs="宋体"/>
          <w:b/>
          <w:bCs/>
          <w:color w:val="auto"/>
          <w:kern w:val="0"/>
          <w:szCs w:val="28"/>
        </w:rPr>
        <w:t>1、中小企业声明函（货物）</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15"/>
        </w:numPr>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keepNext w:val="0"/>
        <w:keepLines w:val="0"/>
        <w:pageBreakBefore w:val="0"/>
        <w:widowControl/>
        <w:numPr>
          <w:ilvl w:val="0"/>
          <w:numId w:val="15"/>
        </w:numPr>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adjustRightInd w:val="0"/>
        <w:snapToGrid w:val="0"/>
        <w:spacing w:line="360" w:lineRule="auto"/>
        <w:ind w:firstLine="484" w:firstLineChars="202"/>
        <w:rPr>
          <w:rFonts w:ascii="宋体" w:hAnsi="宋体"/>
          <w:color w:val="auto"/>
          <w:sz w:val="24"/>
          <w:szCs w:val="24"/>
        </w:rPr>
      </w:pPr>
    </w:p>
    <w:p>
      <w:pPr>
        <w:pStyle w:val="17"/>
        <w:spacing w:line="360" w:lineRule="auto"/>
        <w:jc w:val="both"/>
        <w:rPr>
          <w:rFonts w:ascii="宋体" w:hAnsi="宋体"/>
          <w:color w:val="auto"/>
          <w:sz w:val="24"/>
          <w:szCs w:val="24"/>
        </w:rPr>
      </w:pPr>
    </w:p>
    <w:p>
      <w:pPr>
        <w:adjustRightInd w:val="0"/>
        <w:snapToGrid w:val="0"/>
        <w:spacing w:line="360" w:lineRule="auto"/>
        <w:ind w:firstLine="5520" w:firstLineChars="2300"/>
        <w:rPr>
          <w:rFonts w:ascii="宋体" w:hAnsi="宋体"/>
          <w:color w:val="auto"/>
          <w:sz w:val="24"/>
          <w:szCs w:val="24"/>
        </w:rPr>
      </w:pPr>
      <w:r>
        <w:rPr>
          <w:rFonts w:ascii="宋体" w:hAnsi="宋体"/>
          <w:color w:val="auto"/>
          <w:sz w:val="24"/>
          <w:szCs w:val="24"/>
        </w:rPr>
        <w:t>企业名称（盖章）：</w:t>
      </w:r>
    </w:p>
    <w:p>
      <w:pPr>
        <w:adjustRightInd w:val="0"/>
        <w:snapToGrid w:val="0"/>
        <w:spacing w:line="360" w:lineRule="auto"/>
        <w:ind w:firstLine="5520" w:firstLineChars="2300"/>
        <w:rPr>
          <w:rFonts w:ascii="宋体" w:hAnsi="宋体"/>
          <w:color w:val="auto"/>
          <w:sz w:val="24"/>
          <w:szCs w:val="24"/>
        </w:rPr>
      </w:pPr>
      <w:r>
        <w:rPr>
          <w:rFonts w:ascii="宋体" w:hAnsi="宋体"/>
          <w:color w:val="auto"/>
          <w:sz w:val="24"/>
          <w:szCs w:val="24"/>
        </w:rPr>
        <w:t>日期：</w:t>
      </w:r>
      <w:r>
        <w:rPr>
          <w:rFonts w:ascii="宋体" w:hAnsi="宋体"/>
          <w:color w:val="auto"/>
          <w:sz w:val="24"/>
          <w:szCs w:val="24"/>
        </w:rPr>
        <w:br w:type="textWrapping"/>
      </w:r>
    </w:p>
    <w:p>
      <w:pPr>
        <w:tabs>
          <w:tab w:val="left" w:pos="1755"/>
        </w:tabs>
        <w:spacing w:line="360" w:lineRule="auto"/>
        <w:ind w:firstLine="480" w:firstLineChars="200"/>
        <w:rPr>
          <w:rFonts w:ascii="宋体" w:hAnsi="宋体" w:cs="仿宋"/>
          <w:b/>
          <w:bCs/>
          <w:color w:val="auto"/>
          <w:sz w:val="24"/>
          <w:szCs w:val="24"/>
        </w:rPr>
      </w:pPr>
      <w:r>
        <w:rPr>
          <w:rFonts w:ascii="宋体" w:hAnsi="宋体"/>
          <w:color w:val="auto"/>
          <w:sz w:val="24"/>
          <w:szCs w:val="24"/>
          <w:vertAlign w:val="superscript"/>
        </w:rPr>
        <w:t xml:space="preserve">1 </w:t>
      </w:r>
      <w:r>
        <w:rPr>
          <w:rFonts w:ascii="宋体" w:hAnsi="宋体"/>
          <w:color w:val="auto"/>
          <w:sz w:val="24"/>
          <w:szCs w:val="24"/>
        </w:rPr>
        <w:t>从业人员、营业收入、资产总额填报上一年度数据，无上一年度数据的新成立企业可不填报。</w:t>
      </w:r>
    </w:p>
    <w:p>
      <w:pPr>
        <w:spacing w:line="360" w:lineRule="auto"/>
        <w:jc w:val="center"/>
        <w:outlineLvl w:val="1"/>
        <w:rPr>
          <w:rFonts w:ascii="宋体" w:hAnsi="宋体" w:cs="宋体"/>
          <w:bCs/>
          <w:color w:val="auto"/>
          <w:sz w:val="28"/>
          <w:szCs w:val="28"/>
        </w:rPr>
      </w:pPr>
    </w:p>
    <w:p>
      <w:pPr>
        <w:pStyle w:val="17"/>
        <w:rPr>
          <w:color w:val="auto"/>
        </w:rPr>
      </w:pPr>
    </w:p>
    <w:p>
      <w:pPr>
        <w:rPr>
          <w:color w:val="auto"/>
        </w:rPr>
      </w:pPr>
    </w:p>
    <w:p>
      <w:pPr>
        <w:pStyle w:val="35"/>
        <w:rPr>
          <w:color w:val="auto"/>
        </w:rPr>
      </w:pPr>
    </w:p>
    <w:p>
      <w:pPr>
        <w:rPr>
          <w:color w:val="auto"/>
        </w:rPr>
      </w:pPr>
    </w:p>
    <w:p>
      <w:pPr>
        <w:pStyle w:val="14"/>
        <w:rPr>
          <w:rFonts w:ascii="宋体" w:hAnsi="宋体" w:cs="宋体"/>
          <w:color w:val="auto"/>
        </w:rPr>
      </w:pPr>
    </w:p>
    <w:p>
      <w:pPr>
        <w:pStyle w:val="4"/>
        <w:spacing w:line="400" w:lineRule="exact"/>
        <w:jc w:val="center"/>
        <w:rPr>
          <w:rFonts w:ascii="宋体" w:hAnsi="宋体" w:eastAsia="宋体" w:cs="宋体"/>
          <w:b/>
          <w:bCs/>
          <w:color w:val="auto"/>
          <w:kern w:val="0"/>
          <w:szCs w:val="28"/>
          <w:lang w:val="zh-CN"/>
        </w:rPr>
      </w:pPr>
      <w:r>
        <w:rPr>
          <w:rFonts w:hint="eastAsia" w:ascii="宋体" w:hAnsi="宋体" w:eastAsia="宋体" w:cs="宋体"/>
          <w:b/>
          <w:bCs/>
          <w:color w:val="auto"/>
          <w:kern w:val="0"/>
          <w:szCs w:val="28"/>
        </w:rPr>
        <w:t>2、</w:t>
      </w:r>
      <w:r>
        <w:rPr>
          <w:rFonts w:hint="eastAsia" w:ascii="宋体" w:hAnsi="宋体" w:eastAsia="宋体" w:cs="宋体"/>
          <w:b/>
          <w:bCs/>
          <w:color w:val="auto"/>
          <w:kern w:val="0"/>
          <w:szCs w:val="28"/>
          <w:lang w:val="zh-CN"/>
        </w:rPr>
        <w:t>监狱企业证明文件（若有）</w:t>
      </w:r>
    </w:p>
    <w:p>
      <w:pPr>
        <w:spacing w:line="520" w:lineRule="exact"/>
        <w:jc w:val="center"/>
        <w:rPr>
          <w:rFonts w:ascii="宋体" w:hAnsi="宋体" w:cs="宋体"/>
          <w:color w:val="auto"/>
          <w:sz w:val="24"/>
          <w:szCs w:val="24"/>
        </w:rPr>
      </w:pPr>
    </w:p>
    <w:p>
      <w:pPr>
        <w:spacing w:line="520" w:lineRule="exact"/>
        <w:jc w:val="center"/>
        <w:rPr>
          <w:rFonts w:ascii="宋体" w:hAnsi="宋体" w:cs="宋体"/>
          <w:color w:val="auto"/>
          <w:sz w:val="24"/>
          <w:szCs w:val="24"/>
        </w:rPr>
      </w:pPr>
      <w:r>
        <w:rPr>
          <w:rFonts w:hint="eastAsia" w:ascii="宋体" w:hAnsi="宋体" w:cs="宋体"/>
          <w:color w:val="auto"/>
          <w:sz w:val="24"/>
          <w:szCs w:val="24"/>
        </w:rPr>
        <w:t>（注:监狱企业谈判的应提供由省级以上监狱管理局、监督管理局出具的证明文件。）</w:t>
      </w:r>
    </w:p>
    <w:p>
      <w:pPr>
        <w:spacing w:line="360" w:lineRule="auto"/>
        <w:jc w:val="center"/>
        <w:outlineLvl w:val="1"/>
        <w:rPr>
          <w:rFonts w:ascii="宋体" w:hAnsi="宋体" w:cs="宋体"/>
          <w:b/>
          <w:color w:val="auto"/>
          <w:sz w:val="28"/>
          <w:szCs w:val="28"/>
        </w:rPr>
      </w:pPr>
    </w:p>
    <w:p>
      <w:pPr>
        <w:spacing w:line="360" w:lineRule="auto"/>
        <w:jc w:val="center"/>
        <w:outlineLvl w:val="1"/>
        <w:rPr>
          <w:rFonts w:ascii="宋体" w:hAnsi="宋体" w:cs="宋体"/>
          <w:b/>
          <w:color w:val="auto"/>
          <w:sz w:val="28"/>
          <w:szCs w:val="28"/>
        </w:rPr>
      </w:pPr>
    </w:p>
    <w:p>
      <w:pPr>
        <w:spacing w:line="360" w:lineRule="auto"/>
        <w:jc w:val="center"/>
        <w:outlineLvl w:val="1"/>
        <w:rPr>
          <w:rFonts w:ascii="宋体" w:hAnsi="宋体" w:cs="宋体"/>
          <w:b/>
          <w:color w:val="auto"/>
          <w:sz w:val="28"/>
          <w:szCs w:val="28"/>
        </w:rPr>
      </w:pPr>
    </w:p>
    <w:p>
      <w:pPr>
        <w:spacing w:line="360" w:lineRule="auto"/>
        <w:jc w:val="both"/>
        <w:outlineLvl w:val="1"/>
        <w:rPr>
          <w:rFonts w:ascii="宋体" w:hAnsi="宋体" w:cs="宋体"/>
          <w:b/>
          <w:color w:val="auto"/>
          <w:sz w:val="28"/>
          <w:szCs w:val="28"/>
        </w:rPr>
      </w:pPr>
    </w:p>
    <w:p>
      <w:pPr>
        <w:pStyle w:val="4"/>
        <w:spacing w:line="400" w:lineRule="exact"/>
        <w:jc w:val="center"/>
        <w:rPr>
          <w:rFonts w:ascii="宋体" w:hAnsi="宋体" w:eastAsia="宋体" w:cs="宋体"/>
          <w:b/>
          <w:bCs/>
          <w:color w:val="auto"/>
          <w:kern w:val="0"/>
          <w:szCs w:val="28"/>
          <w:lang w:val="zh-CN"/>
        </w:rPr>
      </w:pPr>
      <w:r>
        <w:rPr>
          <w:rFonts w:hint="eastAsia" w:ascii="宋体" w:hAnsi="宋体" w:eastAsia="宋体" w:cs="宋体"/>
          <w:b/>
          <w:bCs/>
          <w:color w:val="auto"/>
          <w:kern w:val="0"/>
          <w:szCs w:val="28"/>
          <w:lang w:val="en-US" w:eastAsia="zh-CN"/>
        </w:rPr>
        <w:t>3</w:t>
      </w:r>
      <w:r>
        <w:rPr>
          <w:rFonts w:hint="eastAsia" w:ascii="宋体" w:hAnsi="宋体" w:eastAsia="宋体" w:cs="宋体"/>
          <w:b/>
          <w:bCs/>
          <w:color w:val="auto"/>
          <w:kern w:val="0"/>
          <w:szCs w:val="28"/>
        </w:rPr>
        <w:t>、</w:t>
      </w:r>
      <w:r>
        <w:rPr>
          <w:rFonts w:hint="eastAsia" w:ascii="宋体" w:hAnsi="宋体" w:eastAsia="宋体" w:cs="宋体"/>
          <w:b/>
          <w:bCs/>
          <w:color w:val="auto"/>
          <w:kern w:val="0"/>
          <w:szCs w:val="28"/>
          <w:lang w:val="zh-CN"/>
        </w:rPr>
        <w:t>残疾人福利性单位证明文件（若有）</w:t>
      </w:r>
    </w:p>
    <w:p>
      <w:pPr>
        <w:pStyle w:val="17"/>
        <w:rPr>
          <w:rFonts w:ascii="宋体" w:hAnsi="宋体" w:cs="宋体"/>
          <w:color w:val="auto"/>
          <w:lang w:val="zh-CN"/>
        </w:rPr>
      </w:pPr>
    </w:p>
    <w:p>
      <w:pPr>
        <w:widowControl/>
        <w:spacing w:after="240" w:line="360" w:lineRule="atLeast"/>
        <w:jc w:val="left"/>
        <w:textAlignment w:val="baseline"/>
        <w:rPr>
          <w:rFonts w:ascii="宋体" w:hAnsi="宋体" w:cs="宋体"/>
          <w:b/>
          <w:color w:val="auto"/>
          <w:sz w:val="24"/>
          <w:szCs w:val="24"/>
        </w:rPr>
      </w:pPr>
      <w:r>
        <w:rPr>
          <w:rFonts w:hint="eastAsia" w:ascii="宋体" w:hAnsi="宋体" w:cs="宋体"/>
          <w:b/>
          <w:color w:val="auto"/>
          <w:sz w:val="24"/>
          <w:szCs w:val="24"/>
        </w:rPr>
        <w:t>致陕西盛仕骄阳项目管理有限公司：</w:t>
      </w:r>
    </w:p>
    <w:p>
      <w:pPr>
        <w:spacing w:line="588" w:lineRule="exact"/>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spacing w:line="588" w:lineRule="exact"/>
        <w:ind w:firstLine="480" w:firstLineChars="200"/>
        <w:rPr>
          <w:rFonts w:ascii="宋体" w:hAnsi="宋体" w:cs="宋体"/>
          <w:color w:val="auto"/>
          <w:sz w:val="24"/>
          <w:szCs w:val="24"/>
        </w:rPr>
      </w:pPr>
    </w:p>
    <w:p>
      <w:pPr>
        <w:spacing w:line="588" w:lineRule="exact"/>
        <w:ind w:firstLine="480" w:firstLineChars="200"/>
        <w:rPr>
          <w:rFonts w:ascii="宋体" w:hAnsi="宋体" w:cs="宋体"/>
          <w:color w:val="auto"/>
          <w:sz w:val="24"/>
          <w:szCs w:val="24"/>
        </w:rPr>
      </w:pPr>
    </w:p>
    <w:p>
      <w:pPr>
        <w:tabs>
          <w:tab w:val="left" w:pos="4860"/>
        </w:tabs>
        <w:spacing w:line="588" w:lineRule="exact"/>
        <w:ind w:right="1560" w:firstLine="480" w:firstLineChars="200"/>
        <w:jc w:val="center"/>
        <w:rPr>
          <w:rFonts w:ascii="宋体" w:hAnsi="宋体" w:cs="宋体"/>
          <w:color w:val="auto"/>
          <w:sz w:val="24"/>
          <w:szCs w:val="24"/>
        </w:rPr>
      </w:pPr>
      <w:r>
        <w:rPr>
          <w:rFonts w:hint="eastAsia" w:ascii="宋体" w:hAnsi="宋体" w:cs="宋体"/>
          <w:color w:val="auto"/>
          <w:sz w:val="24"/>
          <w:szCs w:val="24"/>
        </w:rPr>
        <w:t xml:space="preserve">                              单位名称（盖章）：</w:t>
      </w:r>
    </w:p>
    <w:p>
      <w:pPr>
        <w:tabs>
          <w:tab w:val="left" w:pos="4860"/>
        </w:tabs>
        <w:spacing w:line="588" w:lineRule="exact"/>
        <w:ind w:right="1560" w:firstLine="480" w:firstLineChars="200"/>
        <w:jc w:val="center"/>
        <w:rPr>
          <w:rFonts w:ascii="宋体" w:hAnsi="宋体" w:cs="宋体"/>
          <w:color w:val="auto"/>
          <w:sz w:val="24"/>
          <w:szCs w:val="24"/>
        </w:rPr>
      </w:pPr>
      <w:r>
        <w:rPr>
          <w:rFonts w:hint="eastAsia" w:ascii="宋体" w:hAnsi="宋体" w:cs="宋体"/>
          <w:color w:val="auto"/>
          <w:sz w:val="24"/>
          <w:szCs w:val="24"/>
        </w:rPr>
        <w:t xml:space="preserve">                      日  期：</w:t>
      </w:r>
    </w:p>
    <w:p>
      <w:pPr>
        <w:tabs>
          <w:tab w:val="left" w:pos="4860"/>
        </w:tabs>
        <w:spacing w:line="588" w:lineRule="exact"/>
        <w:ind w:right="1560" w:firstLine="480" w:firstLineChars="200"/>
        <w:jc w:val="center"/>
        <w:rPr>
          <w:rFonts w:ascii="宋体" w:hAnsi="宋体" w:cs="宋体"/>
          <w:color w:val="auto"/>
          <w:sz w:val="24"/>
          <w:szCs w:val="24"/>
        </w:rPr>
      </w:pPr>
    </w:p>
    <w:p>
      <w:pPr>
        <w:spacing w:line="360" w:lineRule="auto"/>
        <w:ind w:firstLine="442" w:firstLineChars="200"/>
        <w:rPr>
          <w:rFonts w:ascii="宋体" w:hAnsi="宋体" w:cs="宋体"/>
          <w:b/>
          <w:color w:val="auto"/>
          <w:sz w:val="22"/>
          <w:szCs w:val="22"/>
        </w:rPr>
      </w:pPr>
      <w:r>
        <w:rPr>
          <w:rFonts w:hint="eastAsia" w:ascii="宋体" w:hAnsi="宋体" w:cs="宋体"/>
          <w:b/>
          <w:color w:val="auto"/>
          <w:sz w:val="22"/>
          <w:szCs w:val="22"/>
        </w:rPr>
        <w:t>注：残疾人福利性单位的应填写。</w:t>
      </w:r>
    </w:p>
    <w:p>
      <w:pPr>
        <w:rPr>
          <w:rFonts w:hint="eastAsia"/>
          <w:color w:val="auto"/>
        </w:rPr>
      </w:pPr>
    </w:p>
    <w:p>
      <w:pPr>
        <w:pStyle w:val="35"/>
        <w:rPr>
          <w:rFonts w:hint="eastAsia"/>
          <w:color w:val="auto"/>
        </w:rPr>
      </w:pPr>
    </w:p>
    <w:p>
      <w:pPr>
        <w:rPr>
          <w:rFonts w:hint="eastAsia"/>
          <w:color w:val="auto"/>
        </w:rPr>
      </w:pPr>
    </w:p>
    <w:p>
      <w:pPr>
        <w:pStyle w:val="4"/>
        <w:spacing w:line="400" w:lineRule="exact"/>
        <w:jc w:val="center"/>
        <w:rPr>
          <w:rFonts w:ascii="宋体" w:hAnsi="宋体" w:eastAsia="宋体" w:cs="宋体"/>
          <w:b/>
          <w:bCs/>
          <w:color w:val="auto"/>
          <w:kern w:val="0"/>
          <w:szCs w:val="28"/>
          <w:lang w:val="zh-CN"/>
        </w:rPr>
      </w:pPr>
      <w:r>
        <w:rPr>
          <w:rFonts w:hint="eastAsia" w:ascii="宋体" w:hAnsi="宋体" w:eastAsia="宋体" w:cs="宋体"/>
          <w:b/>
          <w:bCs/>
          <w:color w:val="auto"/>
          <w:kern w:val="0"/>
          <w:szCs w:val="28"/>
          <w:lang w:val="en-US" w:eastAsia="zh-CN"/>
        </w:rPr>
        <w:t>4</w:t>
      </w:r>
      <w:r>
        <w:rPr>
          <w:rFonts w:hint="eastAsia" w:ascii="宋体" w:hAnsi="宋体" w:eastAsia="宋体" w:cs="宋体"/>
          <w:b/>
          <w:bCs/>
          <w:color w:val="auto"/>
          <w:kern w:val="0"/>
          <w:szCs w:val="28"/>
        </w:rPr>
        <w:t>、</w:t>
      </w:r>
      <w:r>
        <w:rPr>
          <w:rFonts w:hint="eastAsia" w:ascii="宋体" w:hAnsi="宋体" w:eastAsia="宋体" w:cs="宋体"/>
          <w:b/>
          <w:bCs/>
          <w:color w:val="auto"/>
          <w:kern w:val="0"/>
          <w:szCs w:val="28"/>
          <w:lang w:val="zh-CN"/>
        </w:rPr>
        <w:t>节能、环保设备（产品）认证证书（若有）</w:t>
      </w:r>
    </w:p>
    <w:p>
      <w:pPr>
        <w:spacing w:line="520" w:lineRule="exact"/>
        <w:jc w:val="center"/>
        <w:rPr>
          <w:rFonts w:ascii="宋体" w:hAnsi="宋体" w:cs="宋体"/>
          <w:color w:val="auto"/>
          <w:sz w:val="28"/>
          <w:szCs w:val="28"/>
        </w:rPr>
      </w:pPr>
    </w:p>
    <w:p>
      <w:pPr>
        <w:spacing w:line="520" w:lineRule="exact"/>
        <w:jc w:val="center"/>
        <w:rPr>
          <w:rFonts w:ascii="宋体" w:hAnsi="宋体" w:cs="宋体"/>
          <w:color w:val="auto"/>
          <w:sz w:val="24"/>
          <w:szCs w:val="24"/>
        </w:rPr>
      </w:pPr>
      <w:r>
        <w:rPr>
          <w:rFonts w:hint="eastAsia" w:ascii="宋体" w:hAnsi="宋体" w:cs="宋体"/>
          <w:color w:val="auto"/>
          <w:sz w:val="24"/>
          <w:szCs w:val="24"/>
        </w:rPr>
        <w:t>（注：参与谈判的供应商具有节能、环保产品的应提供。）</w:t>
      </w:r>
    </w:p>
    <w:p>
      <w:pPr>
        <w:spacing w:line="560" w:lineRule="exact"/>
        <w:ind w:left="703" w:hanging="703" w:hangingChars="250"/>
        <w:jc w:val="left"/>
        <w:rPr>
          <w:rFonts w:ascii="宋体" w:hAnsi="宋体" w:cs="宋体"/>
          <w:b/>
          <w:color w:val="auto"/>
          <w:sz w:val="28"/>
          <w:szCs w:val="28"/>
        </w:rPr>
      </w:pPr>
    </w:p>
    <w:p>
      <w:pPr>
        <w:spacing w:line="360" w:lineRule="auto"/>
        <w:jc w:val="center"/>
        <w:outlineLvl w:val="1"/>
        <w:rPr>
          <w:rFonts w:ascii="宋体" w:hAnsi="宋体" w:cs="宋体"/>
          <w:color w:val="auto"/>
          <w:sz w:val="28"/>
          <w:szCs w:val="28"/>
        </w:rPr>
      </w:pPr>
    </w:p>
    <w:p>
      <w:pPr>
        <w:spacing w:line="360" w:lineRule="auto"/>
        <w:jc w:val="center"/>
        <w:outlineLvl w:val="1"/>
        <w:rPr>
          <w:rFonts w:ascii="宋体" w:hAnsi="宋体" w:cs="宋体"/>
          <w:color w:val="auto"/>
          <w:sz w:val="28"/>
          <w:szCs w:val="28"/>
        </w:rPr>
      </w:pPr>
    </w:p>
    <w:p>
      <w:pPr>
        <w:spacing w:line="360" w:lineRule="auto"/>
        <w:jc w:val="center"/>
        <w:outlineLvl w:val="1"/>
        <w:rPr>
          <w:rFonts w:ascii="宋体" w:hAnsi="宋体" w:cs="宋体"/>
          <w:color w:val="auto"/>
          <w:sz w:val="28"/>
          <w:szCs w:val="28"/>
        </w:rPr>
      </w:pPr>
    </w:p>
    <w:p>
      <w:pPr>
        <w:spacing w:line="360" w:lineRule="auto"/>
        <w:jc w:val="center"/>
        <w:outlineLvl w:val="1"/>
        <w:rPr>
          <w:rFonts w:ascii="宋体" w:hAnsi="宋体" w:cs="宋体"/>
          <w:color w:val="auto"/>
          <w:sz w:val="28"/>
          <w:szCs w:val="28"/>
        </w:rPr>
      </w:pPr>
    </w:p>
    <w:p>
      <w:pPr>
        <w:pStyle w:val="17"/>
        <w:rPr>
          <w:rFonts w:ascii="宋体" w:hAnsi="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pStyle w:val="30"/>
        <w:rPr>
          <w:rFonts w:ascii="宋体" w:hAnsi="宋体" w:eastAsia="宋体" w:cs="宋体"/>
          <w:color w:val="auto"/>
          <w:szCs w:val="28"/>
        </w:rPr>
      </w:pPr>
    </w:p>
    <w:p>
      <w:pPr>
        <w:spacing w:line="360" w:lineRule="auto"/>
        <w:jc w:val="center"/>
        <w:outlineLvl w:val="1"/>
        <w:rPr>
          <w:rFonts w:ascii="宋体" w:hAnsi="宋体" w:cs="宋体"/>
          <w:color w:val="auto"/>
          <w:sz w:val="28"/>
          <w:szCs w:val="28"/>
        </w:rPr>
      </w:pPr>
    </w:p>
    <w:p>
      <w:pPr>
        <w:pStyle w:val="17"/>
        <w:rPr>
          <w:rFonts w:ascii="宋体" w:hAnsi="宋体" w:cs="宋体"/>
          <w:color w:val="auto"/>
        </w:rPr>
      </w:pPr>
    </w:p>
    <w:p>
      <w:pPr>
        <w:rPr>
          <w:rFonts w:ascii="宋体" w:hAnsi="宋体" w:cs="宋体"/>
          <w:color w:val="auto"/>
        </w:rPr>
      </w:pPr>
    </w:p>
    <w:p>
      <w:pPr>
        <w:pStyle w:val="4"/>
        <w:spacing w:line="400" w:lineRule="exact"/>
        <w:jc w:val="center"/>
        <w:rPr>
          <w:rFonts w:hint="eastAsia" w:ascii="宋体" w:hAnsi="宋体" w:eastAsia="宋体" w:cs="宋体"/>
          <w:b/>
          <w:bCs/>
          <w:color w:val="auto"/>
          <w:kern w:val="0"/>
          <w:szCs w:val="28"/>
          <w:lang w:val="en-US" w:eastAsia="zh-CN"/>
        </w:rPr>
      </w:pPr>
      <w:r>
        <w:rPr>
          <w:rFonts w:hint="eastAsia" w:ascii="宋体" w:hAnsi="宋体" w:eastAsia="宋体" w:cs="宋体"/>
          <w:b/>
          <w:bCs/>
          <w:color w:val="auto"/>
          <w:kern w:val="0"/>
          <w:szCs w:val="28"/>
          <w:lang w:val="en-US" w:eastAsia="zh-CN"/>
        </w:rPr>
        <w:t>5、分包意向协议书</w:t>
      </w:r>
      <w:r>
        <w:rPr>
          <w:rFonts w:hint="eastAsia" w:ascii="宋体" w:hAnsi="宋体" w:eastAsia="宋体" w:cs="宋体"/>
          <w:b/>
          <w:bCs/>
          <w:color w:val="auto"/>
          <w:kern w:val="0"/>
          <w:szCs w:val="28"/>
          <w:lang w:val="zh-CN" w:eastAsia="zh-CN"/>
        </w:rPr>
        <w:t>（若有）</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立约方:</w:t>
      </w:r>
      <w:r>
        <w:rPr>
          <w:rFonts w:hint="eastAsia" w:ascii="宋体" w:hAnsi="宋体" w:eastAsia="宋体" w:cs="宋体"/>
          <w:color w:val="auto"/>
          <w:sz w:val="24"/>
          <w:szCs w:val="24"/>
          <w:highlight w:val="none"/>
          <w:u w:val="single"/>
        </w:rPr>
        <w:t>(甲公司全称)</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(乙公司全称)</w:t>
      </w:r>
    </w:p>
    <w:p>
      <w:pPr>
        <w:spacing w:line="360" w:lineRule="auto"/>
        <w:ind w:firstLine="720" w:firstLineChars="3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(……公司全称)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(乙公司全称)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rPr>
        <w:t>自愿达成分包意向，参加</w:t>
      </w:r>
      <w:r>
        <w:rPr>
          <w:rFonts w:hint="eastAsia" w:ascii="宋体" w:hAnsi="宋体" w:eastAsia="宋体" w:cs="宋体"/>
          <w:color w:val="auto"/>
          <w:sz w:val="24"/>
          <w:szCs w:val="24"/>
          <w:highlight w:val="none"/>
          <w:u w:val="single"/>
        </w:rPr>
        <w:t>(采购项目名称)(采购项目编号)[包组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的响应活动。经各方充分协商一致，就项目的响应和合同实施阶段的有关事务协商一致订立意向如下: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一、分包意向各方关系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(甲公司全称)为投标方、(乙公司全称)、(……公司全称)</w:t>
      </w:r>
      <w:r>
        <w:rPr>
          <w:rFonts w:hint="eastAsia" w:ascii="宋体" w:hAnsi="宋体" w:eastAsia="宋体" w:cs="宋体"/>
          <w:color w:val="auto"/>
          <w:sz w:val="24"/>
          <w:szCs w:val="24"/>
          <w:highlight w:val="none"/>
        </w:rPr>
        <w:t>为分包意向供应商，</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以投标供应商的身份参加本项目的响应。若中标，</w:t>
      </w:r>
      <w:r>
        <w:rPr>
          <w:rFonts w:hint="eastAsia" w:ascii="宋体" w:hAnsi="宋体" w:eastAsia="宋体" w:cs="宋体"/>
          <w:color w:val="auto"/>
          <w:sz w:val="24"/>
          <w:szCs w:val="24"/>
          <w:highlight w:val="none"/>
          <w:u w:val="single"/>
        </w:rPr>
        <w:t>(甲公司全称)与采购人</w:t>
      </w:r>
      <w:r>
        <w:rPr>
          <w:rFonts w:hint="eastAsia" w:ascii="宋体" w:hAnsi="宋体" w:eastAsia="宋体" w:cs="宋体"/>
          <w:color w:val="auto"/>
          <w:sz w:val="24"/>
          <w:szCs w:val="24"/>
          <w:highlight w:val="none"/>
        </w:rPr>
        <w:t>签订政府采购合同。承接分包意向的各供应商与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签订分包合同。</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就采购项目和分包项目向采购人负责，分包供应商就分包项目承担责任。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二、有关事项约定如下: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，分包供应商分别与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签订合同书，并就中标项目分包部分向采购人负责有连带的和各自的法律责任;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2.分包意向供应商1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(请填写:大型、中型、小型、微型)</w:t>
      </w:r>
      <w:r>
        <w:rPr>
          <w:rFonts w:hint="eastAsia" w:ascii="宋体" w:hAnsi="宋体" w:eastAsia="宋体" w:cs="宋体"/>
          <w:color w:val="auto"/>
          <w:sz w:val="24"/>
          <w:szCs w:val="24"/>
          <w:highlight w:val="none"/>
        </w:rPr>
        <w:t>企业，将承担适宜分包部分</w:t>
      </w:r>
      <w:r>
        <w:rPr>
          <w:rFonts w:hint="eastAsia" w:ascii="宋体" w:hAnsi="宋体" w:eastAsia="宋体" w:cs="宋体"/>
          <w:color w:val="auto"/>
          <w:sz w:val="24"/>
          <w:szCs w:val="24"/>
          <w:highlight w:val="none"/>
          <w:u w:val="single"/>
        </w:rPr>
        <w:t>(具体分包内容)</w:t>
      </w:r>
      <w:r>
        <w:rPr>
          <w:rFonts w:hint="eastAsia" w:ascii="宋体" w:hAnsi="宋体" w:eastAsia="宋体" w:cs="宋体"/>
          <w:color w:val="auto"/>
          <w:sz w:val="24"/>
          <w:szCs w:val="24"/>
          <w:highlight w:val="none"/>
        </w:rPr>
        <w:t>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%的工作内容。</w:t>
      </w:r>
    </w:p>
    <w:p>
      <w:pPr>
        <w:spacing w:line="360" w:lineRule="auto"/>
        <w:jc w:val="both"/>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分包意向供应商2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(请填写:大型、中型、小型、微型)</w:t>
      </w:r>
      <w:r>
        <w:rPr>
          <w:rFonts w:hint="eastAsia" w:ascii="宋体" w:hAnsi="宋体" w:eastAsia="宋体" w:cs="宋体"/>
          <w:color w:val="auto"/>
          <w:sz w:val="24"/>
          <w:szCs w:val="24"/>
          <w:highlight w:val="none"/>
        </w:rPr>
        <w:t>企业，将承担适宜分包部分</w:t>
      </w:r>
      <w:r>
        <w:rPr>
          <w:rFonts w:hint="eastAsia" w:ascii="宋体" w:hAnsi="宋体" w:eastAsia="宋体" w:cs="宋体"/>
          <w:color w:val="auto"/>
          <w:sz w:val="24"/>
          <w:szCs w:val="24"/>
          <w:highlight w:val="none"/>
          <w:u w:val="single"/>
        </w:rPr>
        <w:t>(具体分包内容)</w:t>
      </w:r>
      <w:r>
        <w:rPr>
          <w:rFonts w:hint="eastAsia" w:ascii="宋体" w:hAnsi="宋体" w:eastAsia="宋体" w:cs="宋体"/>
          <w:color w:val="auto"/>
          <w:sz w:val="24"/>
          <w:szCs w:val="24"/>
          <w:highlight w:val="none"/>
        </w:rPr>
        <w:t>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分包意向供应商3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(请填写:大型、中型、小型、微型)</w:t>
      </w:r>
      <w:r>
        <w:rPr>
          <w:rFonts w:hint="eastAsia" w:ascii="宋体" w:hAnsi="宋体" w:eastAsia="宋体" w:cs="宋体"/>
          <w:color w:val="auto"/>
          <w:sz w:val="24"/>
          <w:szCs w:val="24"/>
          <w:highlight w:val="none"/>
        </w:rPr>
        <w:t>企业，将承担适宜分包部分</w:t>
      </w:r>
      <w:r>
        <w:rPr>
          <w:rFonts w:hint="eastAsia" w:ascii="宋体" w:hAnsi="宋体" w:eastAsia="宋体" w:cs="宋体"/>
          <w:color w:val="auto"/>
          <w:sz w:val="24"/>
          <w:szCs w:val="24"/>
          <w:highlight w:val="none"/>
          <w:u w:val="single"/>
        </w:rPr>
        <w:t>(具体分包内容)</w:t>
      </w:r>
      <w:r>
        <w:rPr>
          <w:rFonts w:hint="eastAsia" w:ascii="宋体" w:hAnsi="宋体" w:eastAsia="宋体" w:cs="宋体"/>
          <w:color w:val="auto"/>
          <w:sz w:val="24"/>
          <w:szCs w:val="24"/>
          <w:highlight w:val="none"/>
        </w:rPr>
        <w:t>合同总金额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%的工作内容。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三、接受分包合同的中小企业与分包企业之间</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rPr>
        <w:t>直接控股、管理关系的情形。(</w:t>
      </w:r>
      <w:r>
        <w:rPr>
          <w:rFonts w:hint="eastAsia" w:ascii="宋体" w:hAnsi="宋体" w:eastAsia="宋体" w:cs="宋体"/>
          <w:b/>
          <w:bCs/>
          <w:color w:val="auto"/>
          <w:sz w:val="24"/>
          <w:szCs w:val="24"/>
          <w:highlight w:val="none"/>
        </w:rPr>
        <w:t>分包中有中小企业时适用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四、如因违约过失责任而导致采购人经济损失或被索赔时，</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同意无条件优先清偿采购人的一切债务和经济赔偿。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，分包意向供应商不得以任何理由提出终止本意向协议。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六、本意向书在自签署之日起生效，有效期内有效，如获中标资格，有效期延续至合同履行完毕之日。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七、本意向书正本一式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份，随投标</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文件装订</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rPr>
        <w:t>及各分包意向供应商各一份。</w:t>
      </w:r>
    </w:p>
    <w:p>
      <w:pPr>
        <w:spacing w:line="360" w:lineRule="auto"/>
        <w:jc w:val="both"/>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甲公司全称:(盖章)</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360" w:lineRule="auto"/>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ind w:firstLine="720" w:firstLineChars="300"/>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乙公司全称:(盖章)</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360" w:lineRule="auto"/>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……公司全称(盖章)</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360" w:lineRule="auto"/>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1.各方成员应在本意向书上共同盖章</w:t>
      </w:r>
      <w:r>
        <w:rPr>
          <w:rFonts w:hint="eastAsia" w:ascii="宋体" w:hAnsi="宋体" w:eastAsia="宋体" w:cs="宋体"/>
          <w:b/>
          <w:bCs/>
          <w:color w:val="auto"/>
          <w:sz w:val="21"/>
          <w:szCs w:val="21"/>
          <w:highlight w:val="none"/>
          <w:lang w:val="en-US" w:eastAsia="zh-CN"/>
        </w:rPr>
        <w:t>或分别盖章</w:t>
      </w:r>
      <w:r>
        <w:rPr>
          <w:rFonts w:hint="eastAsia" w:ascii="宋体" w:hAnsi="宋体" w:eastAsia="宋体" w:cs="宋体"/>
          <w:b/>
          <w:bCs/>
          <w:color w:val="auto"/>
          <w:sz w:val="21"/>
          <w:szCs w:val="21"/>
          <w:highlight w:val="none"/>
        </w:rPr>
        <w:t>确认。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本意向书内容不得擅自修改。并将作为签订合同的附件之一。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本意向书在投标/谈判/磋商响应时提供。</w:t>
      </w:r>
    </w:p>
    <w:p>
      <w:pPr>
        <w:pStyle w:val="35"/>
        <w:rPr>
          <w:color w:val="auto"/>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pStyle w:val="4"/>
        <w:rPr>
          <w:color w:val="auto"/>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autoSpaceDE w:val="0"/>
        <w:autoSpaceDN w:val="0"/>
        <w:adjustRightInd w:val="0"/>
        <w:spacing w:line="560" w:lineRule="exact"/>
        <w:rPr>
          <w:rFonts w:ascii="宋体" w:hAnsi="宋体" w:cs="宋体"/>
          <w:b/>
          <w:bCs/>
          <w:color w:val="auto"/>
          <w:sz w:val="30"/>
          <w:szCs w:val="30"/>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ascii="宋体" w:hAnsi="宋体" w:cs="宋体"/>
          <w:b/>
          <w:bCs/>
          <w:color w:val="auto"/>
          <w:sz w:val="30"/>
          <w:szCs w:val="30"/>
        </w:rPr>
      </w:pPr>
      <w:r>
        <w:rPr>
          <w:rFonts w:hint="eastAsia" w:ascii="宋体" w:hAnsi="宋体" w:cs="宋体"/>
          <w:b/>
          <w:bCs/>
          <w:color w:val="auto"/>
          <w:sz w:val="30"/>
          <w:szCs w:val="30"/>
          <w:lang w:val="en-US" w:eastAsia="zh-CN"/>
        </w:rPr>
        <w:t xml:space="preserve">第十三部分 </w:t>
      </w:r>
      <w:r>
        <w:rPr>
          <w:rFonts w:hint="eastAsia" w:ascii="宋体" w:hAnsi="宋体" w:cs="宋体"/>
          <w:b/>
          <w:bCs/>
          <w:color w:val="auto"/>
          <w:sz w:val="30"/>
          <w:szCs w:val="30"/>
        </w:rPr>
        <w:t>其他资料</w:t>
      </w:r>
    </w:p>
    <w:p>
      <w:pPr>
        <w:pStyle w:val="17"/>
        <w:keepNext w:val="0"/>
        <w:keepLines w:val="0"/>
        <w:pageBreakBefore w:val="0"/>
        <w:widowControl w:val="0"/>
        <w:numPr>
          <w:ilvl w:val="0"/>
          <w:numId w:val="16"/>
        </w:numPr>
        <w:kinsoku/>
        <w:wordWrap/>
        <w:overflowPunct/>
        <w:topLinePunct w:val="0"/>
        <w:bidi w:val="0"/>
        <w:snapToGrid/>
        <w:spacing w:line="360" w:lineRule="auto"/>
        <w:textAlignment w:val="auto"/>
        <w:rPr>
          <w:rFonts w:ascii="宋体" w:hAnsi="宋体" w:cs="宋体"/>
          <w:color w:val="auto"/>
          <w:sz w:val="24"/>
          <w:szCs w:val="24"/>
        </w:rPr>
      </w:pPr>
      <w:r>
        <w:rPr>
          <w:rFonts w:hint="eastAsia" w:ascii="宋体" w:hAnsi="宋体" w:cs="宋体"/>
          <w:color w:val="auto"/>
          <w:sz w:val="24"/>
          <w:szCs w:val="24"/>
        </w:rPr>
        <w:t>依据竞争性谈判文件要求，供应商认为有必要说明的其他内容。</w:t>
      </w:r>
    </w:p>
    <w:p>
      <w:pPr>
        <w:pStyle w:val="17"/>
        <w:keepNext w:val="0"/>
        <w:keepLines w:val="0"/>
        <w:pageBreakBefore w:val="0"/>
        <w:widowControl w:val="0"/>
        <w:kinsoku/>
        <w:wordWrap/>
        <w:overflowPunct/>
        <w:topLinePunct w:val="0"/>
        <w:bidi w:val="0"/>
        <w:snapToGrid/>
        <w:spacing w:line="360" w:lineRule="auto"/>
        <w:textAlignment w:val="auto"/>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、其他可以证明供应商实力的文件。</w:t>
      </w:r>
    </w:p>
    <w:p>
      <w:pPr>
        <w:pStyle w:val="34"/>
        <w:ind w:firstLine="0"/>
        <w:rPr>
          <w:rFonts w:ascii="宋体" w:hAnsi="宋体" w:cs="宋体"/>
          <w:color w:val="auto"/>
        </w:rPr>
      </w:pP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25"/>
      <w:tabs>
        <w:tab w:val="right" w:pos="9135"/>
        <w:tab w:val="clear" w:pos="8306"/>
      </w:tabs>
      <w:ind w:right="-6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066" w:firstLineChars="22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pPr>
      <w:pStyle w:val="25"/>
      <w:tabs>
        <w:tab w:val="right" w:pos="9135"/>
        <w:tab w:val="clear" w:pos="8306"/>
      </w:tabs>
      <w:ind w:right="-6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6480"/>
        <w:tab w:val="clear" w:pos="8306"/>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Ax+im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2948305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32.15pt;margin-top:0pt;height:144pt;width:144pt;mso-position-horizontal-relative:margin;mso-wrap-style:none;z-index:251660288;mso-width-relative:page;mso-height-relative:page;" filled="f" stroked="f" coordsize="21600,21600" o:gfxdata="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jwXT7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vN98EBAACNAwAADgAAAGRycy9lMm9Eb2MueG1srVPBjtMwEL0j8Q+W&#10;79TZSqA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xvN98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5"/>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宋体" w:hAnsi="宋体" w:eastAsia="宋体" w:cs="宋体"/>
        <w:lang w:eastAsia="zh-CN"/>
      </w:rPr>
    </w:pPr>
    <w:r>
      <w:rPr>
        <w:rFonts w:hint="eastAsia" w:ascii="宋体" w:hAnsi="宋体" w:cs="宋体"/>
      </w:rPr>
      <w:t>项目编号：</w:t>
    </w:r>
    <w:r>
      <w:rPr>
        <w:rFonts w:hint="eastAsia" w:ascii="宋体" w:hAnsi="宋体" w:cs="宋体"/>
        <w:lang w:eastAsia="zh-CN"/>
      </w:rPr>
      <w:t>SSJY-CG（H）-2022030</w:t>
    </w:r>
    <w:r>
      <w:rPr>
        <w:rFonts w:hint="eastAsia" w:ascii="宋体" w:hAnsi="宋体" w:cs="宋体"/>
      </w:rPr>
      <w:t xml:space="preserve">                              </w:t>
    </w:r>
    <w:r>
      <w:rPr>
        <w:rFonts w:hint="eastAsia" w:ascii="宋体" w:hAnsi="宋体" w:cs="宋体"/>
        <w:lang w:eastAsia="zh-CN"/>
      </w:rPr>
      <w:t>潼关县尚德幼儿园教学设备采购项目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rFonts w:ascii="宋体"/>
        <w:b/>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firstLineChars="200"/>
      <w:jc w:val="both"/>
      <w:rPr>
        <w:rFonts w:hint="eastAsia" w:ascii="宋体" w:hAnsi="宋体" w:eastAsia="宋体" w:cs="宋体"/>
        <w:b/>
        <w:bCs/>
        <w:iCs/>
        <w:lang w:eastAsia="zh-CN"/>
      </w:rPr>
    </w:pPr>
    <w:r>
      <w:rPr>
        <w:rFonts w:hint="eastAsia" w:ascii="宋体" w:hAnsi="宋体" w:cs="宋体"/>
      </w:rPr>
      <w:t>项目编号：</w:t>
    </w:r>
    <w:r>
      <w:rPr>
        <w:rFonts w:hint="eastAsia" w:ascii="宋体" w:hAnsi="宋体" w:cs="宋体"/>
        <w:lang w:eastAsia="zh-CN"/>
      </w:rPr>
      <w:t>SSJY-CG（H）-2022030</w:t>
    </w:r>
    <w:r>
      <w:rPr>
        <w:rFonts w:hint="eastAsia" w:ascii="宋体" w:hAnsi="宋体" w:cs="宋体"/>
      </w:rPr>
      <w:t xml:space="preserve">                               </w:t>
    </w:r>
    <w:r>
      <w:rPr>
        <w:rFonts w:hint="eastAsia" w:ascii="宋体" w:hAnsi="宋体" w:cs="宋体"/>
        <w:lang w:eastAsia="zh-CN"/>
      </w:rPr>
      <w:t>潼关县尚德幼儿园教学设备采购项目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eastAsia="宋体"/>
        <w:lang w:eastAsia="zh-CN"/>
      </w:rPr>
    </w:pPr>
    <w:r>
      <w:rPr>
        <w:rFonts w:hint="eastAsia" w:ascii="宋体" w:hAnsi="宋体" w:cs="宋体"/>
      </w:rPr>
      <w:t>项目编号：</w:t>
    </w:r>
    <w:r>
      <w:rPr>
        <w:rFonts w:hint="eastAsia" w:ascii="宋体" w:hAnsi="宋体" w:cs="宋体"/>
        <w:lang w:eastAsia="zh-CN"/>
      </w:rPr>
      <w:t>SSJY-CG（H）-2022030</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CN"/>
      </w:rPr>
      <w:t>潼关县尚德幼儿园教学设备采购项目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80" w:firstLineChars="100"/>
      <w:jc w:val="both"/>
      <w:rPr>
        <w:rFonts w:ascii="仿宋" w:hAnsi="仿宋" w:eastAsia="仿宋"/>
        <w:b/>
        <w:bCs/>
        <w:iCs/>
      </w:rPr>
    </w:pPr>
    <w:r>
      <w:rPr>
        <w:rFonts w:hint="eastAsia" w:ascii="宋体" w:hAnsi="宋体" w:cs="宋体"/>
      </w:rPr>
      <w:t>项目编号：</w:t>
    </w:r>
    <w:r>
      <w:rPr>
        <w:rFonts w:hint="eastAsia" w:ascii="宋体" w:hAnsi="宋体" w:cs="宋体"/>
        <w:lang w:eastAsia="zh-CN"/>
      </w:rPr>
      <w:t>SSJY-CG（H）-2022030</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CN"/>
      </w:rPr>
      <w:t>潼关县尚德幼儿园教学设备采购项目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80" w:firstLineChars="100"/>
      <w:jc w:val="both"/>
      <w:rPr>
        <w:rFonts w:ascii="仿宋" w:hAnsi="仿宋" w:eastAsia="仿宋"/>
        <w:b/>
        <w:bCs/>
        <w:iCs/>
      </w:rPr>
    </w:pPr>
    <w:r>
      <w:rPr>
        <w:rFonts w:hint="eastAsia" w:ascii="宋体" w:hAnsi="宋体" w:cs="宋体"/>
      </w:rPr>
      <w:t>项目编号：</w:t>
    </w:r>
    <w:r>
      <w:rPr>
        <w:rFonts w:hint="eastAsia" w:ascii="宋体" w:hAnsi="宋体" w:cs="宋体"/>
        <w:lang w:eastAsia="zh-CN"/>
      </w:rPr>
      <w:t>SSJY-CG（H）-2022030</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CN"/>
      </w:rPr>
      <w:t>潼关县尚德幼儿园教学设备采购项目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80" w:firstLineChars="100"/>
      <w:jc w:val="both"/>
      <w:rPr>
        <w:rFonts w:ascii="仿宋" w:hAnsi="仿宋" w:eastAsia="仿宋"/>
        <w:b/>
        <w:bCs/>
        <w:iCs/>
      </w:rPr>
    </w:pPr>
    <w:r>
      <w:rPr>
        <w:rFonts w:hint="eastAsia" w:ascii="宋体" w:hAnsi="宋体" w:cs="宋体"/>
      </w:rPr>
      <w:t>项目编号：</w:t>
    </w:r>
    <w:r>
      <w:rPr>
        <w:rFonts w:hint="eastAsia" w:ascii="宋体" w:hAnsi="宋体" w:cs="宋体"/>
        <w:lang w:eastAsia="zh-CN"/>
      </w:rPr>
      <w:t>SSJY-CG（H）-2022030</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CN"/>
      </w:rPr>
      <w:t>潼关县尚德幼儿园教学设备采购项目</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6D4C"/>
    <w:multiLevelType w:val="singleLevel"/>
    <w:tmpl w:val="ABB36D4C"/>
    <w:lvl w:ilvl="0" w:tentative="0">
      <w:start w:val="1"/>
      <w:numFmt w:val="decimal"/>
      <w:suff w:val="nothing"/>
      <w:lvlText w:val="（%1）"/>
      <w:lvlJc w:val="left"/>
    </w:lvl>
  </w:abstractNum>
  <w:abstractNum w:abstractNumId="1">
    <w:nsid w:val="B3CB9C19"/>
    <w:multiLevelType w:val="singleLevel"/>
    <w:tmpl w:val="B3CB9C19"/>
    <w:lvl w:ilvl="0" w:tentative="0">
      <w:start w:val="1"/>
      <w:numFmt w:val="decimal"/>
      <w:lvlText w:val="%1."/>
      <w:lvlJc w:val="left"/>
      <w:pPr>
        <w:tabs>
          <w:tab w:val="left" w:pos="312"/>
        </w:tabs>
      </w:pPr>
    </w:lvl>
  </w:abstractNum>
  <w:abstractNum w:abstractNumId="2">
    <w:nsid w:val="D94435E6"/>
    <w:multiLevelType w:val="singleLevel"/>
    <w:tmpl w:val="D94435E6"/>
    <w:lvl w:ilvl="0" w:tentative="0">
      <w:start w:val="1"/>
      <w:numFmt w:val="decimal"/>
      <w:suff w:val="nothing"/>
      <w:lvlText w:val="%1、"/>
      <w:lvlJc w:val="left"/>
    </w:lvl>
  </w:abstractNum>
  <w:abstractNum w:abstractNumId="3">
    <w:nsid w:val="E407AC31"/>
    <w:multiLevelType w:val="singleLevel"/>
    <w:tmpl w:val="E407AC31"/>
    <w:lvl w:ilvl="0" w:tentative="0">
      <w:start w:val="3"/>
      <w:numFmt w:val="upperLetter"/>
      <w:suff w:val="nothing"/>
      <w:lvlText w:val="%1、"/>
      <w:lvlJc w:val="left"/>
      <w:rPr>
        <w:rFonts w:hint="default" w:ascii="宋体" w:hAnsi="宋体" w:eastAsia="宋体" w:cs="宋体"/>
        <w:b/>
        <w:bCs/>
        <w:sz w:val="24"/>
        <w:szCs w:val="24"/>
      </w:rPr>
    </w:lvl>
  </w:abstractNum>
  <w:abstractNum w:abstractNumId="4">
    <w:nsid w:val="F7FBF312"/>
    <w:multiLevelType w:val="singleLevel"/>
    <w:tmpl w:val="F7FBF312"/>
    <w:lvl w:ilvl="0" w:tentative="0">
      <w:start w:val="1"/>
      <w:numFmt w:val="decimal"/>
      <w:suff w:val="nothing"/>
      <w:lvlText w:val="%1、"/>
      <w:lvlJc w:val="left"/>
    </w:lvl>
  </w:abstractNum>
  <w:abstractNum w:abstractNumId="5">
    <w:nsid w:val="FADF2A1F"/>
    <w:multiLevelType w:val="singleLevel"/>
    <w:tmpl w:val="FADF2A1F"/>
    <w:lvl w:ilvl="0" w:tentative="0">
      <w:start w:val="1"/>
      <w:numFmt w:val="decimal"/>
      <w:lvlText w:val="%1."/>
      <w:lvlJc w:val="left"/>
      <w:pPr>
        <w:tabs>
          <w:tab w:val="left" w:pos="312"/>
        </w:tabs>
      </w:pPr>
    </w:lvl>
  </w:abstractNum>
  <w:abstractNum w:abstractNumId="6">
    <w:nsid w:val="FC5F827B"/>
    <w:multiLevelType w:val="singleLevel"/>
    <w:tmpl w:val="FC5F827B"/>
    <w:lvl w:ilvl="0" w:tentative="0">
      <w:start w:val="1"/>
      <w:numFmt w:val="decimal"/>
      <w:lvlText w:val="%1."/>
      <w:lvlJc w:val="left"/>
      <w:pPr>
        <w:tabs>
          <w:tab w:val="left" w:pos="312"/>
        </w:tabs>
      </w:pPr>
    </w:lvl>
  </w:abstractNum>
  <w:abstractNum w:abstractNumId="7">
    <w:nsid w:val="FE9D9E2D"/>
    <w:multiLevelType w:val="singleLevel"/>
    <w:tmpl w:val="FE9D9E2D"/>
    <w:lvl w:ilvl="0" w:tentative="0">
      <w:start w:val="1"/>
      <w:numFmt w:val="decimal"/>
      <w:suff w:val="nothing"/>
      <w:lvlText w:val="%1、"/>
      <w:lvlJc w:val="left"/>
      <w:pPr>
        <w:ind w:left="210"/>
      </w:pPr>
      <w:rPr>
        <w:rFonts w:hint="default"/>
        <w:b/>
        <w:bCs/>
      </w:rPr>
    </w:lvl>
  </w:abstractNum>
  <w:abstractNum w:abstractNumId="8">
    <w:nsid w:val="0AC778A0"/>
    <w:multiLevelType w:val="singleLevel"/>
    <w:tmpl w:val="0AC778A0"/>
    <w:lvl w:ilvl="0" w:tentative="0">
      <w:start w:val="1"/>
      <w:numFmt w:val="decimal"/>
      <w:suff w:val="nothing"/>
      <w:lvlText w:val="%1、"/>
      <w:lvlJc w:val="left"/>
    </w:lvl>
  </w:abstractNum>
  <w:abstractNum w:abstractNumId="9">
    <w:nsid w:val="2BA6A28D"/>
    <w:multiLevelType w:val="singleLevel"/>
    <w:tmpl w:val="2BA6A28D"/>
    <w:lvl w:ilvl="0" w:tentative="0">
      <w:start w:val="1"/>
      <w:numFmt w:val="decimal"/>
      <w:suff w:val="nothing"/>
      <w:lvlText w:val="%1、"/>
      <w:lvlJc w:val="left"/>
    </w:lvl>
  </w:abstractNum>
  <w:abstractNum w:abstractNumId="10">
    <w:nsid w:val="2CCCDFED"/>
    <w:multiLevelType w:val="singleLevel"/>
    <w:tmpl w:val="2CCCDFED"/>
    <w:lvl w:ilvl="0" w:tentative="0">
      <w:start w:val="1"/>
      <w:numFmt w:val="decimal"/>
      <w:suff w:val="nothing"/>
      <w:lvlText w:val="%1、"/>
      <w:lvlJc w:val="left"/>
    </w:lvl>
  </w:abstractNum>
  <w:abstractNum w:abstractNumId="11">
    <w:nsid w:val="4775D5B2"/>
    <w:multiLevelType w:val="singleLevel"/>
    <w:tmpl w:val="4775D5B2"/>
    <w:lvl w:ilvl="0" w:tentative="0">
      <w:start w:val="1"/>
      <w:numFmt w:val="decimal"/>
      <w:suff w:val="nothing"/>
      <w:lvlText w:val="（%1）"/>
      <w:lvlJc w:val="left"/>
    </w:lvl>
  </w:abstractNum>
  <w:abstractNum w:abstractNumId="12">
    <w:nsid w:val="56650600"/>
    <w:multiLevelType w:val="singleLevel"/>
    <w:tmpl w:val="56650600"/>
    <w:lvl w:ilvl="0" w:tentative="0">
      <w:start w:val="1"/>
      <w:numFmt w:val="decimal"/>
      <w:suff w:val="nothing"/>
      <w:lvlText w:val="%1、"/>
      <w:lvlJc w:val="left"/>
    </w:lvl>
  </w:abstractNum>
  <w:abstractNum w:abstractNumId="13">
    <w:nsid w:val="61C57EB4"/>
    <w:multiLevelType w:val="singleLevel"/>
    <w:tmpl w:val="61C57EB4"/>
    <w:lvl w:ilvl="0" w:tentative="0">
      <w:start w:val="2"/>
      <w:numFmt w:val="decimal"/>
      <w:suff w:val="nothing"/>
      <w:lvlText w:val="%1、"/>
      <w:lvlJc w:val="left"/>
    </w:lvl>
  </w:abstractNum>
  <w:abstractNum w:abstractNumId="14">
    <w:nsid w:val="6FAE3C2D"/>
    <w:multiLevelType w:val="singleLevel"/>
    <w:tmpl w:val="6FAE3C2D"/>
    <w:lvl w:ilvl="0" w:tentative="0">
      <w:start w:val="1"/>
      <w:numFmt w:val="decimal"/>
      <w:suff w:val="nothing"/>
      <w:lvlText w:val="%1、"/>
      <w:lvlJc w:val="left"/>
    </w:lvl>
  </w:abstractNum>
  <w:abstractNum w:abstractNumId="15">
    <w:nsid w:val="721298DB"/>
    <w:multiLevelType w:val="singleLevel"/>
    <w:tmpl w:val="721298DB"/>
    <w:lvl w:ilvl="0" w:tentative="0">
      <w:start w:val="1"/>
      <w:numFmt w:val="decimal"/>
      <w:suff w:val="nothing"/>
      <w:lvlText w:val="%1、"/>
      <w:lvlJc w:val="left"/>
    </w:lvl>
  </w:abstractNum>
  <w:num w:numId="1">
    <w:abstractNumId w:val="0"/>
  </w:num>
  <w:num w:numId="2">
    <w:abstractNumId w:val="11"/>
  </w:num>
  <w:num w:numId="3">
    <w:abstractNumId w:val="5"/>
  </w:num>
  <w:num w:numId="4">
    <w:abstractNumId w:val="10"/>
  </w:num>
  <w:num w:numId="5">
    <w:abstractNumId w:val="3"/>
  </w:num>
  <w:num w:numId="6">
    <w:abstractNumId w:val="13"/>
  </w:num>
  <w:num w:numId="7">
    <w:abstractNumId w:val="1"/>
  </w:num>
  <w:num w:numId="8">
    <w:abstractNumId w:val="14"/>
  </w:num>
  <w:num w:numId="9">
    <w:abstractNumId w:val="8"/>
  </w:num>
  <w:num w:numId="10">
    <w:abstractNumId w:val="4"/>
  </w:num>
  <w:num w:numId="11">
    <w:abstractNumId w:val="7"/>
  </w:num>
  <w:num w:numId="12">
    <w:abstractNumId w:val="15"/>
  </w:num>
  <w:num w:numId="13">
    <w:abstractNumId w:val="12"/>
  </w:num>
  <w:num w:numId="14">
    <w:abstractNumId w:val="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jZlNGMxNDdmMzUwYTk4ZTU2MjJjNTA2OTI2ZWEifQ=="/>
  </w:docVars>
  <w:rsids>
    <w:rsidRoot w:val="00AF7032"/>
    <w:rsid w:val="00002082"/>
    <w:rsid w:val="00002415"/>
    <w:rsid w:val="00005936"/>
    <w:rsid w:val="00005C9D"/>
    <w:rsid w:val="000072CF"/>
    <w:rsid w:val="00010847"/>
    <w:rsid w:val="00011C1D"/>
    <w:rsid w:val="00012265"/>
    <w:rsid w:val="000126E0"/>
    <w:rsid w:val="00015A2B"/>
    <w:rsid w:val="000169B2"/>
    <w:rsid w:val="00017B40"/>
    <w:rsid w:val="0002051E"/>
    <w:rsid w:val="000224F5"/>
    <w:rsid w:val="000246B1"/>
    <w:rsid w:val="00025AB7"/>
    <w:rsid w:val="00030A37"/>
    <w:rsid w:val="0003191A"/>
    <w:rsid w:val="00032033"/>
    <w:rsid w:val="000333D3"/>
    <w:rsid w:val="00035A02"/>
    <w:rsid w:val="00040727"/>
    <w:rsid w:val="00040B71"/>
    <w:rsid w:val="00041A78"/>
    <w:rsid w:val="0004320A"/>
    <w:rsid w:val="00043FD9"/>
    <w:rsid w:val="00044112"/>
    <w:rsid w:val="00045317"/>
    <w:rsid w:val="000459D4"/>
    <w:rsid w:val="00045BD4"/>
    <w:rsid w:val="000468ED"/>
    <w:rsid w:val="0004767C"/>
    <w:rsid w:val="000530F3"/>
    <w:rsid w:val="00053B9E"/>
    <w:rsid w:val="00055378"/>
    <w:rsid w:val="00055A76"/>
    <w:rsid w:val="00064E85"/>
    <w:rsid w:val="000671E1"/>
    <w:rsid w:val="00070C79"/>
    <w:rsid w:val="00071475"/>
    <w:rsid w:val="0007459A"/>
    <w:rsid w:val="00074C03"/>
    <w:rsid w:val="00075479"/>
    <w:rsid w:val="00077E8A"/>
    <w:rsid w:val="00082634"/>
    <w:rsid w:val="00083291"/>
    <w:rsid w:val="00083C78"/>
    <w:rsid w:val="00084442"/>
    <w:rsid w:val="0009325C"/>
    <w:rsid w:val="0009348E"/>
    <w:rsid w:val="00093572"/>
    <w:rsid w:val="00093A93"/>
    <w:rsid w:val="00095FC9"/>
    <w:rsid w:val="000A138F"/>
    <w:rsid w:val="000A1BAC"/>
    <w:rsid w:val="000A2B04"/>
    <w:rsid w:val="000A41EA"/>
    <w:rsid w:val="000A48D7"/>
    <w:rsid w:val="000A677E"/>
    <w:rsid w:val="000B0DDD"/>
    <w:rsid w:val="000B5D53"/>
    <w:rsid w:val="000B6887"/>
    <w:rsid w:val="000B724B"/>
    <w:rsid w:val="000C06B0"/>
    <w:rsid w:val="000C07E3"/>
    <w:rsid w:val="000C0D27"/>
    <w:rsid w:val="000C4415"/>
    <w:rsid w:val="000C5E84"/>
    <w:rsid w:val="000D3948"/>
    <w:rsid w:val="000D5DDA"/>
    <w:rsid w:val="000D6550"/>
    <w:rsid w:val="000D6BD8"/>
    <w:rsid w:val="000E2FFA"/>
    <w:rsid w:val="000E361A"/>
    <w:rsid w:val="000E3DC9"/>
    <w:rsid w:val="000E59FD"/>
    <w:rsid w:val="000E6228"/>
    <w:rsid w:val="000E6D2D"/>
    <w:rsid w:val="000E76E4"/>
    <w:rsid w:val="000F0D15"/>
    <w:rsid w:val="000F1D56"/>
    <w:rsid w:val="000F441B"/>
    <w:rsid w:val="000F6C6D"/>
    <w:rsid w:val="000F6EDE"/>
    <w:rsid w:val="000F72A8"/>
    <w:rsid w:val="001004B7"/>
    <w:rsid w:val="00102146"/>
    <w:rsid w:val="001035A1"/>
    <w:rsid w:val="00103B71"/>
    <w:rsid w:val="00103E26"/>
    <w:rsid w:val="00105186"/>
    <w:rsid w:val="00105A1D"/>
    <w:rsid w:val="00105ABF"/>
    <w:rsid w:val="001067C6"/>
    <w:rsid w:val="00106C53"/>
    <w:rsid w:val="001072D5"/>
    <w:rsid w:val="001105A6"/>
    <w:rsid w:val="00110A4F"/>
    <w:rsid w:val="0011202A"/>
    <w:rsid w:val="00113D2E"/>
    <w:rsid w:val="0011475D"/>
    <w:rsid w:val="00115266"/>
    <w:rsid w:val="001163E5"/>
    <w:rsid w:val="001213EB"/>
    <w:rsid w:val="0012297F"/>
    <w:rsid w:val="0012548F"/>
    <w:rsid w:val="001254A6"/>
    <w:rsid w:val="00126169"/>
    <w:rsid w:val="0012658C"/>
    <w:rsid w:val="001268BB"/>
    <w:rsid w:val="00134C63"/>
    <w:rsid w:val="00135A73"/>
    <w:rsid w:val="00136679"/>
    <w:rsid w:val="0013708B"/>
    <w:rsid w:val="001378FA"/>
    <w:rsid w:val="001405BE"/>
    <w:rsid w:val="0014192C"/>
    <w:rsid w:val="00141A55"/>
    <w:rsid w:val="00141C57"/>
    <w:rsid w:val="00141FF0"/>
    <w:rsid w:val="00143963"/>
    <w:rsid w:val="00144D56"/>
    <w:rsid w:val="001477D9"/>
    <w:rsid w:val="00150743"/>
    <w:rsid w:val="00152EAA"/>
    <w:rsid w:val="00153340"/>
    <w:rsid w:val="00154781"/>
    <w:rsid w:val="00154885"/>
    <w:rsid w:val="00154E32"/>
    <w:rsid w:val="00155883"/>
    <w:rsid w:val="00155A12"/>
    <w:rsid w:val="001560DB"/>
    <w:rsid w:val="00157555"/>
    <w:rsid w:val="001615C5"/>
    <w:rsid w:val="00163CB7"/>
    <w:rsid w:val="00163DAC"/>
    <w:rsid w:val="00165D7C"/>
    <w:rsid w:val="00166581"/>
    <w:rsid w:val="00166874"/>
    <w:rsid w:val="00170DEA"/>
    <w:rsid w:val="00170E44"/>
    <w:rsid w:val="00171185"/>
    <w:rsid w:val="001714A6"/>
    <w:rsid w:val="001721BB"/>
    <w:rsid w:val="001726A8"/>
    <w:rsid w:val="00173436"/>
    <w:rsid w:val="00173664"/>
    <w:rsid w:val="001744BE"/>
    <w:rsid w:val="0017467F"/>
    <w:rsid w:val="00177672"/>
    <w:rsid w:val="00181543"/>
    <w:rsid w:val="00183D46"/>
    <w:rsid w:val="0018405A"/>
    <w:rsid w:val="00186867"/>
    <w:rsid w:val="00186BB2"/>
    <w:rsid w:val="001900C9"/>
    <w:rsid w:val="001920AB"/>
    <w:rsid w:val="0019280B"/>
    <w:rsid w:val="00195BC5"/>
    <w:rsid w:val="001A4555"/>
    <w:rsid w:val="001A5EB8"/>
    <w:rsid w:val="001A7A12"/>
    <w:rsid w:val="001B04F5"/>
    <w:rsid w:val="001B15C5"/>
    <w:rsid w:val="001B35E2"/>
    <w:rsid w:val="001B377D"/>
    <w:rsid w:val="001B4584"/>
    <w:rsid w:val="001B45ED"/>
    <w:rsid w:val="001B4E18"/>
    <w:rsid w:val="001B56E5"/>
    <w:rsid w:val="001B7387"/>
    <w:rsid w:val="001C1E52"/>
    <w:rsid w:val="001C2365"/>
    <w:rsid w:val="001C2A9C"/>
    <w:rsid w:val="001C43E7"/>
    <w:rsid w:val="001C4D04"/>
    <w:rsid w:val="001C6156"/>
    <w:rsid w:val="001C66A2"/>
    <w:rsid w:val="001D204D"/>
    <w:rsid w:val="001D5F0D"/>
    <w:rsid w:val="001D64A0"/>
    <w:rsid w:val="001D6D11"/>
    <w:rsid w:val="001D72AB"/>
    <w:rsid w:val="001E0640"/>
    <w:rsid w:val="001E0784"/>
    <w:rsid w:val="001E1D5E"/>
    <w:rsid w:val="001E3E03"/>
    <w:rsid w:val="001E3EF8"/>
    <w:rsid w:val="001E456B"/>
    <w:rsid w:val="001E4B10"/>
    <w:rsid w:val="001F07D0"/>
    <w:rsid w:val="001F082A"/>
    <w:rsid w:val="001F0913"/>
    <w:rsid w:val="001F0CA9"/>
    <w:rsid w:val="001F3D73"/>
    <w:rsid w:val="001F5855"/>
    <w:rsid w:val="001F6CB3"/>
    <w:rsid w:val="00201148"/>
    <w:rsid w:val="00202413"/>
    <w:rsid w:val="00203E84"/>
    <w:rsid w:val="002040BE"/>
    <w:rsid w:val="00205BFA"/>
    <w:rsid w:val="0020729D"/>
    <w:rsid w:val="00207B01"/>
    <w:rsid w:val="002110B4"/>
    <w:rsid w:val="002114D1"/>
    <w:rsid w:val="00211D96"/>
    <w:rsid w:val="00217065"/>
    <w:rsid w:val="0021747B"/>
    <w:rsid w:val="00221F84"/>
    <w:rsid w:val="00223601"/>
    <w:rsid w:val="002252DC"/>
    <w:rsid w:val="00227C56"/>
    <w:rsid w:val="0023030C"/>
    <w:rsid w:val="0023048D"/>
    <w:rsid w:val="00230B14"/>
    <w:rsid w:val="0023396B"/>
    <w:rsid w:val="00234950"/>
    <w:rsid w:val="0023569D"/>
    <w:rsid w:val="00236DE4"/>
    <w:rsid w:val="002427BB"/>
    <w:rsid w:val="002430B3"/>
    <w:rsid w:val="0024320F"/>
    <w:rsid w:val="002437D2"/>
    <w:rsid w:val="002451B8"/>
    <w:rsid w:val="002467D6"/>
    <w:rsid w:val="00250413"/>
    <w:rsid w:val="0025138E"/>
    <w:rsid w:val="00253A2F"/>
    <w:rsid w:val="0025491A"/>
    <w:rsid w:val="002552A8"/>
    <w:rsid w:val="00255643"/>
    <w:rsid w:val="00256CA1"/>
    <w:rsid w:val="00256EE9"/>
    <w:rsid w:val="00256FF8"/>
    <w:rsid w:val="00260761"/>
    <w:rsid w:val="002608C1"/>
    <w:rsid w:val="00260F58"/>
    <w:rsid w:val="002626FB"/>
    <w:rsid w:val="002630E7"/>
    <w:rsid w:val="002637BE"/>
    <w:rsid w:val="00264377"/>
    <w:rsid w:val="0026651C"/>
    <w:rsid w:val="00266EDB"/>
    <w:rsid w:val="002670EF"/>
    <w:rsid w:val="00267768"/>
    <w:rsid w:val="00267DE8"/>
    <w:rsid w:val="00270243"/>
    <w:rsid w:val="00270763"/>
    <w:rsid w:val="002722E8"/>
    <w:rsid w:val="002742B6"/>
    <w:rsid w:val="0027517B"/>
    <w:rsid w:val="00275DB6"/>
    <w:rsid w:val="00277227"/>
    <w:rsid w:val="002775B4"/>
    <w:rsid w:val="0027781D"/>
    <w:rsid w:val="002779FF"/>
    <w:rsid w:val="00281921"/>
    <w:rsid w:val="00283837"/>
    <w:rsid w:val="0028537E"/>
    <w:rsid w:val="0028547F"/>
    <w:rsid w:val="0028691C"/>
    <w:rsid w:val="00291EE5"/>
    <w:rsid w:val="00294B5D"/>
    <w:rsid w:val="00295C0B"/>
    <w:rsid w:val="002A135F"/>
    <w:rsid w:val="002A1A17"/>
    <w:rsid w:val="002A1F94"/>
    <w:rsid w:val="002A26F0"/>
    <w:rsid w:val="002A48E1"/>
    <w:rsid w:val="002A5A8E"/>
    <w:rsid w:val="002A7770"/>
    <w:rsid w:val="002B0704"/>
    <w:rsid w:val="002B1C26"/>
    <w:rsid w:val="002B215D"/>
    <w:rsid w:val="002B433F"/>
    <w:rsid w:val="002B5708"/>
    <w:rsid w:val="002C2B5B"/>
    <w:rsid w:val="002C3CF1"/>
    <w:rsid w:val="002C412E"/>
    <w:rsid w:val="002C587F"/>
    <w:rsid w:val="002C72E2"/>
    <w:rsid w:val="002D101E"/>
    <w:rsid w:val="002D1744"/>
    <w:rsid w:val="002D25D7"/>
    <w:rsid w:val="002D2DC4"/>
    <w:rsid w:val="002D3376"/>
    <w:rsid w:val="002D3C31"/>
    <w:rsid w:val="002D6432"/>
    <w:rsid w:val="002D64D9"/>
    <w:rsid w:val="002E0586"/>
    <w:rsid w:val="002E1258"/>
    <w:rsid w:val="002E30BB"/>
    <w:rsid w:val="002E33CC"/>
    <w:rsid w:val="002E388A"/>
    <w:rsid w:val="002E4F44"/>
    <w:rsid w:val="002E4FC1"/>
    <w:rsid w:val="002E6F47"/>
    <w:rsid w:val="002F27B9"/>
    <w:rsid w:val="002F48FF"/>
    <w:rsid w:val="00302C50"/>
    <w:rsid w:val="003039C4"/>
    <w:rsid w:val="00303B84"/>
    <w:rsid w:val="00303DA7"/>
    <w:rsid w:val="003044B5"/>
    <w:rsid w:val="00304CFB"/>
    <w:rsid w:val="003074CF"/>
    <w:rsid w:val="00307529"/>
    <w:rsid w:val="00311931"/>
    <w:rsid w:val="00311A32"/>
    <w:rsid w:val="00315645"/>
    <w:rsid w:val="00317F13"/>
    <w:rsid w:val="00321D3B"/>
    <w:rsid w:val="00323212"/>
    <w:rsid w:val="003236EA"/>
    <w:rsid w:val="00323D53"/>
    <w:rsid w:val="003243B7"/>
    <w:rsid w:val="00324A81"/>
    <w:rsid w:val="00324C9F"/>
    <w:rsid w:val="00331F40"/>
    <w:rsid w:val="0033248E"/>
    <w:rsid w:val="003324EB"/>
    <w:rsid w:val="00332F45"/>
    <w:rsid w:val="00333F98"/>
    <w:rsid w:val="003340C6"/>
    <w:rsid w:val="00335141"/>
    <w:rsid w:val="00335C1C"/>
    <w:rsid w:val="003405B4"/>
    <w:rsid w:val="003412F6"/>
    <w:rsid w:val="00344DF7"/>
    <w:rsid w:val="00344E5F"/>
    <w:rsid w:val="003503B2"/>
    <w:rsid w:val="003505FC"/>
    <w:rsid w:val="00350814"/>
    <w:rsid w:val="003534C3"/>
    <w:rsid w:val="0035393A"/>
    <w:rsid w:val="00353CD1"/>
    <w:rsid w:val="00356A62"/>
    <w:rsid w:val="00356BF7"/>
    <w:rsid w:val="00360E0C"/>
    <w:rsid w:val="003624DB"/>
    <w:rsid w:val="00362A4B"/>
    <w:rsid w:val="003640D3"/>
    <w:rsid w:val="00364411"/>
    <w:rsid w:val="0036462B"/>
    <w:rsid w:val="0036717A"/>
    <w:rsid w:val="00367937"/>
    <w:rsid w:val="003712EB"/>
    <w:rsid w:val="003729CC"/>
    <w:rsid w:val="00372B57"/>
    <w:rsid w:val="003735D4"/>
    <w:rsid w:val="003735E0"/>
    <w:rsid w:val="00373DF9"/>
    <w:rsid w:val="0037424E"/>
    <w:rsid w:val="00374B72"/>
    <w:rsid w:val="00375CEA"/>
    <w:rsid w:val="00376CB8"/>
    <w:rsid w:val="0037701C"/>
    <w:rsid w:val="00377356"/>
    <w:rsid w:val="00381736"/>
    <w:rsid w:val="00382796"/>
    <w:rsid w:val="00383EAF"/>
    <w:rsid w:val="003840BD"/>
    <w:rsid w:val="003841CA"/>
    <w:rsid w:val="00384514"/>
    <w:rsid w:val="00384996"/>
    <w:rsid w:val="00384CC9"/>
    <w:rsid w:val="00387BB9"/>
    <w:rsid w:val="00387C8B"/>
    <w:rsid w:val="00391469"/>
    <w:rsid w:val="00392427"/>
    <w:rsid w:val="003928BC"/>
    <w:rsid w:val="0039370A"/>
    <w:rsid w:val="0039407E"/>
    <w:rsid w:val="00394BEF"/>
    <w:rsid w:val="00395B68"/>
    <w:rsid w:val="00396437"/>
    <w:rsid w:val="00396D7C"/>
    <w:rsid w:val="003A035C"/>
    <w:rsid w:val="003A1594"/>
    <w:rsid w:val="003A229B"/>
    <w:rsid w:val="003A4942"/>
    <w:rsid w:val="003A632F"/>
    <w:rsid w:val="003A69BE"/>
    <w:rsid w:val="003B08CF"/>
    <w:rsid w:val="003B212A"/>
    <w:rsid w:val="003B3871"/>
    <w:rsid w:val="003B5EFD"/>
    <w:rsid w:val="003B714C"/>
    <w:rsid w:val="003C083B"/>
    <w:rsid w:val="003C314A"/>
    <w:rsid w:val="003C3DF8"/>
    <w:rsid w:val="003C3E18"/>
    <w:rsid w:val="003C4F16"/>
    <w:rsid w:val="003D0954"/>
    <w:rsid w:val="003D1FD9"/>
    <w:rsid w:val="003D292A"/>
    <w:rsid w:val="003D2A24"/>
    <w:rsid w:val="003D2A81"/>
    <w:rsid w:val="003D4A34"/>
    <w:rsid w:val="003D56AA"/>
    <w:rsid w:val="003D58DC"/>
    <w:rsid w:val="003D6281"/>
    <w:rsid w:val="003E0030"/>
    <w:rsid w:val="003E0200"/>
    <w:rsid w:val="003E0220"/>
    <w:rsid w:val="003E0847"/>
    <w:rsid w:val="003E0C0F"/>
    <w:rsid w:val="003E3186"/>
    <w:rsid w:val="003E3E5F"/>
    <w:rsid w:val="003E46D1"/>
    <w:rsid w:val="003E7798"/>
    <w:rsid w:val="003F04DD"/>
    <w:rsid w:val="003F09FC"/>
    <w:rsid w:val="003F1B20"/>
    <w:rsid w:val="003F1BC3"/>
    <w:rsid w:val="003F23C8"/>
    <w:rsid w:val="003F465F"/>
    <w:rsid w:val="004035AC"/>
    <w:rsid w:val="00406E67"/>
    <w:rsid w:val="0040756D"/>
    <w:rsid w:val="00411CE5"/>
    <w:rsid w:val="00411D84"/>
    <w:rsid w:val="00412521"/>
    <w:rsid w:val="004132BF"/>
    <w:rsid w:val="004150B7"/>
    <w:rsid w:val="0041590C"/>
    <w:rsid w:val="004163DE"/>
    <w:rsid w:val="00425E73"/>
    <w:rsid w:val="004279DE"/>
    <w:rsid w:val="00427A8D"/>
    <w:rsid w:val="00431A22"/>
    <w:rsid w:val="00431AD1"/>
    <w:rsid w:val="00431F92"/>
    <w:rsid w:val="004332F3"/>
    <w:rsid w:val="00433768"/>
    <w:rsid w:val="00435065"/>
    <w:rsid w:val="00435286"/>
    <w:rsid w:val="00440D0D"/>
    <w:rsid w:val="004423D0"/>
    <w:rsid w:val="004462F7"/>
    <w:rsid w:val="00446E51"/>
    <w:rsid w:val="00447312"/>
    <w:rsid w:val="00447968"/>
    <w:rsid w:val="00447AFB"/>
    <w:rsid w:val="00452FC4"/>
    <w:rsid w:val="0045350F"/>
    <w:rsid w:val="00453D40"/>
    <w:rsid w:val="00455A99"/>
    <w:rsid w:val="00455CB3"/>
    <w:rsid w:val="00460D00"/>
    <w:rsid w:val="0046194D"/>
    <w:rsid w:val="00466857"/>
    <w:rsid w:val="00467125"/>
    <w:rsid w:val="00470730"/>
    <w:rsid w:val="00470843"/>
    <w:rsid w:val="00470E12"/>
    <w:rsid w:val="00471114"/>
    <w:rsid w:val="00471382"/>
    <w:rsid w:val="00472C0F"/>
    <w:rsid w:val="00474426"/>
    <w:rsid w:val="0047444C"/>
    <w:rsid w:val="0047449F"/>
    <w:rsid w:val="004745E2"/>
    <w:rsid w:val="004745ED"/>
    <w:rsid w:val="00475700"/>
    <w:rsid w:val="00475C50"/>
    <w:rsid w:val="00475E03"/>
    <w:rsid w:val="004764D6"/>
    <w:rsid w:val="00476E47"/>
    <w:rsid w:val="004770F5"/>
    <w:rsid w:val="0047760D"/>
    <w:rsid w:val="00477B49"/>
    <w:rsid w:val="00480295"/>
    <w:rsid w:val="00480610"/>
    <w:rsid w:val="00481416"/>
    <w:rsid w:val="0048144C"/>
    <w:rsid w:val="00491E9B"/>
    <w:rsid w:val="0049243F"/>
    <w:rsid w:val="0049284F"/>
    <w:rsid w:val="00492B9F"/>
    <w:rsid w:val="00493ADE"/>
    <w:rsid w:val="00493C05"/>
    <w:rsid w:val="00496347"/>
    <w:rsid w:val="00497C87"/>
    <w:rsid w:val="00497D09"/>
    <w:rsid w:val="004A043A"/>
    <w:rsid w:val="004A16AB"/>
    <w:rsid w:val="004A2D41"/>
    <w:rsid w:val="004A5412"/>
    <w:rsid w:val="004A57E0"/>
    <w:rsid w:val="004A629D"/>
    <w:rsid w:val="004B1732"/>
    <w:rsid w:val="004B396B"/>
    <w:rsid w:val="004B41C5"/>
    <w:rsid w:val="004B5ED3"/>
    <w:rsid w:val="004B65CF"/>
    <w:rsid w:val="004C008D"/>
    <w:rsid w:val="004C1D03"/>
    <w:rsid w:val="004C22F8"/>
    <w:rsid w:val="004C2759"/>
    <w:rsid w:val="004C43D2"/>
    <w:rsid w:val="004C5858"/>
    <w:rsid w:val="004C5F30"/>
    <w:rsid w:val="004D0E8B"/>
    <w:rsid w:val="004D1106"/>
    <w:rsid w:val="004D13ED"/>
    <w:rsid w:val="004D1E5A"/>
    <w:rsid w:val="004D2599"/>
    <w:rsid w:val="004D378F"/>
    <w:rsid w:val="004D5B0A"/>
    <w:rsid w:val="004E054A"/>
    <w:rsid w:val="004E0659"/>
    <w:rsid w:val="004E0804"/>
    <w:rsid w:val="004E158D"/>
    <w:rsid w:val="004E22C7"/>
    <w:rsid w:val="004E2CF6"/>
    <w:rsid w:val="004E2DE2"/>
    <w:rsid w:val="004E322A"/>
    <w:rsid w:val="004E33B4"/>
    <w:rsid w:val="004E67BF"/>
    <w:rsid w:val="004E67FA"/>
    <w:rsid w:val="004E68C9"/>
    <w:rsid w:val="004E784C"/>
    <w:rsid w:val="004E7BB3"/>
    <w:rsid w:val="004E7F44"/>
    <w:rsid w:val="004F0BC3"/>
    <w:rsid w:val="004F2C06"/>
    <w:rsid w:val="004F673F"/>
    <w:rsid w:val="00500F13"/>
    <w:rsid w:val="0050147E"/>
    <w:rsid w:val="00503A47"/>
    <w:rsid w:val="00504129"/>
    <w:rsid w:val="005047FE"/>
    <w:rsid w:val="00507B60"/>
    <w:rsid w:val="005117BF"/>
    <w:rsid w:val="00512F95"/>
    <w:rsid w:val="00513B00"/>
    <w:rsid w:val="00514427"/>
    <w:rsid w:val="005165D8"/>
    <w:rsid w:val="00517522"/>
    <w:rsid w:val="00517C5F"/>
    <w:rsid w:val="0052010E"/>
    <w:rsid w:val="0052123A"/>
    <w:rsid w:val="00522288"/>
    <w:rsid w:val="005224CD"/>
    <w:rsid w:val="005225E5"/>
    <w:rsid w:val="00523464"/>
    <w:rsid w:val="005239FC"/>
    <w:rsid w:val="00523FDB"/>
    <w:rsid w:val="005241AD"/>
    <w:rsid w:val="005244F4"/>
    <w:rsid w:val="0052781F"/>
    <w:rsid w:val="00530004"/>
    <w:rsid w:val="00530DC9"/>
    <w:rsid w:val="005328BF"/>
    <w:rsid w:val="005328E0"/>
    <w:rsid w:val="00533515"/>
    <w:rsid w:val="005348E1"/>
    <w:rsid w:val="00536980"/>
    <w:rsid w:val="005377A9"/>
    <w:rsid w:val="005405E3"/>
    <w:rsid w:val="0054070D"/>
    <w:rsid w:val="00540B99"/>
    <w:rsid w:val="00540B9D"/>
    <w:rsid w:val="005417D5"/>
    <w:rsid w:val="00542795"/>
    <w:rsid w:val="005431BF"/>
    <w:rsid w:val="005444BC"/>
    <w:rsid w:val="0054491F"/>
    <w:rsid w:val="00544DF5"/>
    <w:rsid w:val="0054734D"/>
    <w:rsid w:val="00550B80"/>
    <w:rsid w:val="005523CE"/>
    <w:rsid w:val="00553A9C"/>
    <w:rsid w:val="00555944"/>
    <w:rsid w:val="0055658D"/>
    <w:rsid w:val="00556655"/>
    <w:rsid w:val="00557550"/>
    <w:rsid w:val="005605F5"/>
    <w:rsid w:val="00561950"/>
    <w:rsid w:val="0056225D"/>
    <w:rsid w:val="005641C1"/>
    <w:rsid w:val="00565682"/>
    <w:rsid w:val="005669F0"/>
    <w:rsid w:val="00567E42"/>
    <w:rsid w:val="005706D9"/>
    <w:rsid w:val="0057125D"/>
    <w:rsid w:val="005732F7"/>
    <w:rsid w:val="0057354B"/>
    <w:rsid w:val="005739C3"/>
    <w:rsid w:val="00573E6A"/>
    <w:rsid w:val="005748E0"/>
    <w:rsid w:val="00576B34"/>
    <w:rsid w:val="005774A7"/>
    <w:rsid w:val="00581E85"/>
    <w:rsid w:val="00582116"/>
    <w:rsid w:val="00582CB2"/>
    <w:rsid w:val="005846FE"/>
    <w:rsid w:val="00584831"/>
    <w:rsid w:val="00584D47"/>
    <w:rsid w:val="00584D94"/>
    <w:rsid w:val="005855BF"/>
    <w:rsid w:val="005859F8"/>
    <w:rsid w:val="0058716E"/>
    <w:rsid w:val="005877E2"/>
    <w:rsid w:val="00587DB6"/>
    <w:rsid w:val="005903F5"/>
    <w:rsid w:val="00592347"/>
    <w:rsid w:val="0059380C"/>
    <w:rsid w:val="00595B75"/>
    <w:rsid w:val="00597F9A"/>
    <w:rsid w:val="005A1429"/>
    <w:rsid w:val="005A35DF"/>
    <w:rsid w:val="005A609B"/>
    <w:rsid w:val="005A6E6F"/>
    <w:rsid w:val="005B106C"/>
    <w:rsid w:val="005B26A3"/>
    <w:rsid w:val="005B275F"/>
    <w:rsid w:val="005B5F24"/>
    <w:rsid w:val="005B6A74"/>
    <w:rsid w:val="005C263D"/>
    <w:rsid w:val="005C305F"/>
    <w:rsid w:val="005C5F6A"/>
    <w:rsid w:val="005D112A"/>
    <w:rsid w:val="005D2084"/>
    <w:rsid w:val="005D2B81"/>
    <w:rsid w:val="005D2BA1"/>
    <w:rsid w:val="005D57AF"/>
    <w:rsid w:val="005D6535"/>
    <w:rsid w:val="005D6B43"/>
    <w:rsid w:val="005D6DC7"/>
    <w:rsid w:val="005E0246"/>
    <w:rsid w:val="005E32CB"/>
    <w:rsid w:val="005E3905"/>
    <w:rsid w:val="005E6610"/>
    <w:rsid w:val="005E73D2"/>
    <w:rsid w:val="005E7E54"/>
    <w:rsid w:val="005F1632"/>
    <w:rsid w:val="005F1B2A"/>
    <w:rsid w:val="005F333E"/>
    <w:rsid w:val="005F390A"/>
    <w:rsid w:val="005F63CA"/>
    <w:rsid w:val="005F6919"/>
    <w:rsid w:val="0060112D"/>
    <w:rsid w:val="00602891"/>
    <w:rsid w:val="00604F16"/>
    <w:rsid w:val="00606411"/>
    <w:rsid w:val="006113C1"/>
    <w:rsid w:val="006137F4"/>
    <w:rsid w:val="006138C1"/>
    <w:rsid w:val="006146C5"/>
    <w:rsid w:val="0061660D"/>
    <w:rsid w:val="0061773F"/>
    <w:rsid w:val="00620CE9"/>
    <w:rsid w:val="00623E70"/>
    <w:rsid w:val="00624945"/>
    <w:rsid w:val="006249F4"/>
    <w:rsid w:val="0062680D"/>
    <w:rsid w:val="00641552"/>
    <w:rsid w:val="006450EC"/>
    <w:rsid w:val="006472A6"/>
    <w:rsid w:val="00647880"/>
    <w:rsid w:val="006510D4"/>
    <w:rsid w:val="0065639F"/>
    <w:rsid w:val="00657CB1"/>
    <w:rsid w:val="0066023B"/>
    <w:rsid w:val="00660CE3"/>
    <w:rsid w:val="006614CA"/>
    <w:rsid w:val="00664032"/>
    <w:rsid w:val="006642FF"/>
    <w:rsid w:val="00673652"/>
    <w:rsid w:val="00675317"/>
    <w:rsid w:val="0067594E"/>
    <w:rsid w:val="00675E03"/>
    <w:rsid w:val="00676806"/>
    <w:rsid w:val="006774E4"/>
    <w:rsid w:val="00682727"/>
    <w:rsid w:val="00687191"/>
    <w:rsid w:val="00687E84"/>
    <w:rsid w:val="00690081"/>
    <w:rsid w:val="006900BF"/>
    <w:rsid w:val="0069117F"/>
    <w:rsid w:val="00691DA1"/>
    <w:rsid w:val="006929C0"/>
    <w:rsid w:val="006948DF"/>
    <w:rsid w:val="00694EEC"/>
    <w:rsid w:val="00696404"/>
    <w:rsid w:val="00697883"/>
    <w:rsid w:val="00697C01"/>
    <w:rsid w:val="006A1DD5"/>
    <w:rsid w:val="006A1EF4"/>
    <w:rsid w:val="006A223F"/>
    <w:rsid w:val="006A4020"/>
    <w:rsid w:val="006A6E58"/>
    <w:rsid w:val="006B0022"/>
    <w:rsid w:val="006B0E5A"/>
    <w:rsid w:val="006B38B4"/>
    <w:rsid w:val="006B4EF7"/>
    <w:rsid w:val="006C1A67"/>
    <w:rsid w:val="006C4BED"/>
    <w:rsid w:val="006C593B"/>
    <w:rsid w:val="006D0C57"/>
    <w:rsid w:val="006D3AAB"/>
    <w:rsid w:val="006D51A6"/>
    <w:rsid w:val="006E1140"/>
    <w:rsid w:val="006E1365"/>
    <w:rsid w:val="006E18D8"/>
    <w:rsid w:val="006E2BBF"/>
    <w:rsid w:val="006E3150"/>
    <w:rsid w:val="006E5FB3"/>
    <w:rsid w:val="006E5FDA"/>
    <w:rsid w:val="006E6359"/>
    <w:rsid w:val="006E6C23"/>
    <w:rsid w:val="006E7917"/>
    <w:rsid w:val="006F04E9"/>
    <w:rsid w:val="006F2175"/>
    <w:rsid w:val="006F2F95"/>
    <w:rsid w:val="006F3E16"/>
    <w:rsid w:val="006F630B"/>
    <w:rsid w:val="006F7C6E"/>
    <w:rsid w:val="0070050B"/>
    <w:rsid w:val="007012E6"/>
    <w:rsid w:val="00705BCF"/>
    <w:rsid w:val="00706E1D"/>
    <w:rsid w:val="00710635"/>
    <w:rsid w:val="00711DE4"/>
    <w:rsid w:val="007123C4"/>
    <w:rsid w:val="007159E8"/>
    <w:rsid w:val="00716EC6"/>
    <w:rsid w:val="00717540"/>
    <w:rsid w:val="007202C1"/>
    <w:rsid w:val="00720AE7"/>
    <w:rsid w:val="00721DB4"/>
    <w:rsid w:val="007221FC"/>
    <w:rsid w:val="00722332"/>
    <w:rsid w:val="00723E45"/>
    <w:rsid w:val="00725BBA"/>
    <w:rsid w:val="00726AAC"/>
    <w:rsid w:val="0073125C"/>
    <w:rsid w:val="0073360F"/>
    <w:rsid w:val="007356B1"/>
    <w:rsid w:val="00736051"/>
    <w:rsid w:val="0074085C"/>
    <w:rsid w:val="00741C13"/>
    <w:rsid w:val="0074366B"/>
    <w:rsid w:val="007437D2"/>
    <w:rsid w:val="0074500F"/>
    <w:rsid w:val="00745217"/>
    <w:rsid w:val="00746F98"/>
    <w:rsid w:val="00747739"/>
    <w:rsid w:val="00750707"/>
    <w:rsid w:val="00753BEE"/>
    <w:rsid w:val="0075586A"/>
    <w:rsid w:val="007561F1"/>
    <w:rsid w:val="00756FE2"/>
    <w:rsid w:val="00757012"/>
    <w:rsid w:val="007573A2"/>
    <w:rsid w:val="00757C7E"/>
    <w:rsid w:val="00757DAD"/>
    <w:rsid w:val="00764926"/>
    <w:rsid w:val="00764C65"/>
    <w:rsid w:val="00767B25"/>
    <w:rsid w:val="00771A04"/>
    <w:rsid w:val="0077369F"/>
    <w:rsid w:val="00773968"/>
    <w:rsid w:val="00774928"/>
    <w:rsid w:val="00774BA8"/>
    <w:rsid w:val="007750D1"/>
    <w:rsid w:val="00776176"/>
    <w:rsid w:val="00780533"/>
    <w:rsid w:val="00780C8B"/>
    <w:rsid w:val="00782A51"/>
    <w:rsid w:val="00782EBE"/>
    <w:rsid w:val="007859C5"/>
    <w:rsid w:val="007873D7"/>
    <w:rsid w:val="00790DD2"/>
    <w:rsid w:val="00791DB3"/>
    <w:rsid w:val="007927AA"/>
    <w:rsid w:val="00792DE2"/>
    <w:rsid w:val="00792E07"/>
    <w:rsid w:val="0079485E"/>
    <w:rsid w:val="00795C9D"/>
    <w:rsid w:val="00796A53"/>
    <w:rsid w:val="007A1D8D"/>
    <w:rsid w:val="007A522A"/>
    <w:rsid w:val="007A5ACD"/>
    <w:rsid w:val="007A61C6"/>
    <w:rsid w:val="007B048E"/>
    <w:rsid w:val="007B07E5"/>
    <w:rsid w:val="007B1F53"/>
    <w:rsid w:val="007B20DF"/>
    <w:rsid w:val="007B2D90"/>
    <w:rsid w:val="007B4A3D"/>
    <w:rsid w:val="007B6ADB"/>
    <w:rsid w:val="007B70CF"/>
    <w:rsid w:val="007B7EDD"/>
    <w:rsid w:val="007C0180"/>
    <w:rsid w:val="007C03C4"/>
    <w:rsid w:val="007C0F6E"/>
    <w:rsid w:val="007C131B"/>
    <w:rsid w:val="007C157C"/>
    <w:rsid w:val="007C32F2"/>
    <w:rsid w:val="007C39C0"/>
    <w:rsid w:val="007C4039"/>
    <w:rsid w:val="007C41F8"/>
    <w:rsid w:val="007C434D"/>
    <w:rsid w:val="007C4928"/>
    <w:rsid w:val="007C4BA8"/>
    <w:rsid w:val="007C5D3E"/>
    <w:rsid w:val="007C6C79"/>
    <w:rsid w:val="007C70B8"/>
    <w:rsid w:val="007C7710"/>
    <w:rsid w:val="007D07B6"/>
    <w:rsid w:val="007D0C40"/>
    <w:rsid w:val="007D1A4E"/>
    <w:rsid w:val="007D1B00"/>
    <w:rsid w:val="007D283D"/>
    <w:rsid w:val="007D2D85"/>
    <w:rsid w:val="007D30B8"/>
    <w:rsid w:val="007D34D2"/>
    <w:rsid w:val="007D48D3"/>
    <w:rsid w:val="007D6327"/>
    <w:rsid w:val="007E4281"/>
    <w:rsid w:val="007E4E49"/>
    <w:rsid w:val="007E4F85"/>
    <w:rsid w:val="007E5229"/>
    <w:rsid w:val="007E5CDC"/>
    <w:rsid w:val="007E5D75"/>
    <w:rsid w:val="007E5DBD"/>
    <w:rsid w:val="007E65EF"/>
    <w:rsid w:val="007E6C6C"/>
    <w:rsid w:val="007F0537"/>
    <w:rsid w:val="007F0CDE"/>
    <w:rsid w:val="007F1365"/>
    <w:rsid w:val="007F1A40"/>
    <w:rsid w:val="007F37AA"/>
    <w:rsid w:val="007F3B4B"/>
    <w:rsid w:val="007F450A"/>
    <w:rsid w:val="007F67D0"/>
    <w:rsid w:val="007F72D3"/>
    <w:rsid w:val="007F7FBC"/>
    <w:rsid w:val="00801186"/>
    <w:rsid w:val="0080144C"/>
    <w:rsid w:val="00801C3D"/>
    <w:rsid w:val="00802CFB"/>
    <w:rsid w:val="0080520F"/>
    <w:rsid w:val="0080610D"/>
    <w:rsid w:val="00807CF6"/>
    <w:rsid w:val="008108CB"/>
    <w:rsid w:val="00816590"/>
    <w:rsid w:val="00816F5E"/>
    <w:rsid w:val="0081752C"/>
    <w:rsid w:val="00820DCE"/>
    <w:rsid w:val="00820F5C"/>
    <w:rsid w:val="00826F9E"/>
    <w:rsid w:val="008270B0"/>
    <w:rsid w:val="008318EE"/>
    <w:rsid w:val="00832159"/>
    <w:rsid w:val="00834CE0"/>
    <w:rsid w:val="00834D0B"/>
    <w:rsid w:val="00834FB2"/>
    <w:rsid w:val="00837701"/>
    <w:rsid w:val="00837F27"/>
    <w:rsid w:val="00840463"/>
    <w:rsid w:val="00841FA6"/>
    <w:rsid w:val="00842365"/>
    <w:rsid w:val="00842512"/>
    <w:rsid w:val="0084283D"/>
    <w:rsid w:val="008434B8"/>
    <w:rsid w:val="008448C4"/>
    <w:rsid w:val="00846F2B"/>
    <w:rsid w:val="0084739C"/>
    <w:rsid w:val="00850EDB"/>
    <w:rsid w:val="00852C8A"/>
    <w:rsid w:val="008549E0"/>
    <w:rsid w:val="00854EFA"/>
    <w:rsid w:val="00856DFF"/>
    <w:rsid w:val="00860088"/>
    <w:rsid w:val="00860E16"/>
    <w:rsid w:val="008627FE"/>
    <w:rsid w:val="00862812"/>
    <w:rsid w:val="00865243"/>
    <w:rsid w:val="008666B9"/>
    <w:rsid w:val="00872B22"/>
    <w:rsid w:val="00874A7D"/>
    <w:rsid w:val="00874ABB"/>
    <w:rsid w:val="00874E6F"/>
    <w:rsid w:val="00875E29"/>
    <w:rsid w:val="0088521A"/>
    <w:rsid w:val="008858C1"/>
    <w:rsid w:val="00885ECF"/>
    <w:rsid w:val="00886014"/>
    <w:rsid w:val="00887E2E"/>
    <w:rsid w:val="00890184"/>
    <w:rsid w:val="00890404"/>
    <w:rsid w:val="00890869"/>
    <w:rsid w:val="00890C43"/>
    <w:rsid w:val="00890CE3"/>
    <w:rsid w:val="00890F6C"/>
    <w:rsid w:val="00893040"/>
    <w:rsid w:val="00893C47"/>
    <w:rsid w:val="00894E1F"/>
    <w:rsid w:val="00895C64"/>
    <w:rsid w:val="00895F6F"/>
    <w:rsid w:val="0089634B"/>
    <w:rsid w:val="00897279"/>
    <w:rsid w:val="008A08AA"/>
    <w:rsid w:val="008A0BCB"/>
    <w:rsid w:val="008A146C"/>
    <w:rsid w:val="008A28C5"/>
    <w:rsid w:val="008A3219"/>
    <w:rsid w:val="008A33F5"/>
    <w:rsid w:val="008A4028"/>
    <w:rsid w:val="008A6439"/>
    <w:rsid w:val="008A6C41"/>
    <w:rsid w:val="008B06AF"/>
    <w:rsid w:val="008B1904"/>
    <w:rsid w:val="008B422F"/>
    <w:rsid w:val="008B4A84"/>
    <w:rsid w:val="008B4BC8"/>
    <w:rsid w:val="008B5028"/>
    <w:rsid w:val="008B54BE"/>
    <w:rsid w:val="008B5FFC"/>
    <w:rsid w:val="008B6689"/>
    <w:rsid w:val="008B717A"/>
    <w:rsid w:val="008C2381"/>
    <w:rsid w:val="008C276D"/>
    <w:rsid w:val="008C30AB"/>
    <w:rsid w:val="008C360E"/>
    <w:rsid w:val="008C3CA0"/>
    <w:rsid w:val="008C3EBC"/>
    <w:rsid w:val="008C476E"/>
    <w:rsid w:val="008C6083"/>
    <w:rsid w:val="008C766B"/>
    <w:rsid w:val="008C7E8D"/>
    <w:rsid w:val="008D0504"/>
    <w:rsid w:val="008D1984"/>
    <w:rsid w:val="008D2202"/>
    <w:rsid w:val="008D57E7"/>
    <w:rsid w:val="008D5974"/>
    <w:rsid w:val="008D5FDB"/>
    <w:rsid w:val="008D7BE6"/>
    <w:rsid w:val="008E15BC"/>
    <w:rsid w:val="008E27EE"/>
    <w:rsid w:val="008E4095"/>
    <w:rsid w:val="008E41AC"/>
    <w:rsid w:val="008E597F"/>
    <w:rsid w:val="008E624B"/>
    <w:rsid w:val="008F14DB"/>
    <w:rsid w:val="008F4994"/>
    <w:rsid w:val="008F4E99"/>
    <w:rsid w:val="008F5C53"/>
    <w:rsid w:val="008F6212"/>
    <w:rsid w:val="009059F7"/>
    <w:rsid w:val="009074EB"/>
    <w:rsid w:val="00911AD1"/>
    <w:rsid w:val="00911D51"/>
    <w:rsid w:val="00912A4B"/>
    <w:rsid w:val="0091302C"/>
    <w:rsid w:val="0091455F"/>
    <w:rsid w:val="00914CB0"/>
    <w:rsid w:val="009172D4"/>
    <w:rsid w:val="009210FF"/>
    <w:rsid w:val="0092174A"/>
    <w:rsid w:val="00921BD9"/>
    <w:rsid w:val="00922029"/>
    <w:rsid w:val="009250A4"/>
    <w:rsid w:val="00926463"/>
    <w:rsid w:val="00926BBB"/>
    <w:rsid w:val="00927D2B"/>
    <w:rsid w:val="0093022D"/>
    <w:rsid w:val="009304ED"/>
    <w:rsid w:val="00931F47"/>
    <w:rsid w:val="00932315"/>
    <w:rsid w:val="00933813"/>
    <w:rsid w:val="009362CB"/>
    <w:rsid w:val="009368DE"/>
    <w:rsid w:val="00936D0A"/>
    <w:rsid w:val="009371FE"/>
    <w:rsid w:val="009379C9"/>
    <w:rsid w:val="009404AE"/>
    <w:rsid w:val="00943B36"/>
    <w:rsid w:val="0094443E"/>
    <w:rsid w:val="00945221"/>
    <w:rsid w:val="00952591"/>
    <w:rsid w:val="00952812"/>
    <w:rsid w:val="00953B40"/>
    <w:rsid w:val="00953E2B"/>
    <w:rsid w:val="00960E82"/>
    <w:rsid w:val="009610D8"/>
    <w:rsid w:val="009624B8"/>
    <w:rsid w:val="00963F7E"/>
    <w:rsid w:val="00967F77"/>
    <w:rsid w:val="00970211"/>
    <w:rsid w:val="009707AB"/>
    <w:rsid w:val="009714B0"/>
    <w:rsid w:val="00971814"/>
    <w:rsid w:val="00973F37"/>
    <w:rsid w:val="0097453C"/>
    <w:rsid w:val="00975076"/>
    <w:rsid w:val="00976E25"/>
    <w:rsid w:val="00977BC8"/>
    <w:rsid w:val="00977C90"/>
    <w:rsid w:val="0098118A"/>
    <w:rsid w:val="00982062"/>
    <w:rsid w:val="0098237C"/>
    <w:rsid w:val="00982CBD"/>
    <w:rsid w:val="00982DE2"/>
    <w:rsid w:val="00982F9F"/>
    <w:rsid w:val="00983EFD"/>
    <w:rsid w:val="00983FFD"/>
    <w:rsid w:val="00985AEC"/>
    <w:rsid w:val="00991E86"/>
    <w:rsid w:val="00992A06"/>
    <w:rsid w:val="009959F7"/>
    <w:rsid w:val="0099620C"/>
    <w:rsid w:val="0099732B"/>
    <w:rsid w:val="009A1C6A"/>
    <w:rsid w:val="009A3A17"/>
    <w:rsid w:val="009A3BC7"/>
    <w:rsid w:val="009A408E"/>
    <w:rsid w:val="009A5EAF"/>
    <w:rsid w:val="009A65C8"/>
    <w:rsid w:val="009B0538"/>
    <w:rsid w:val="009B2281"/>
    <w:rsid w:val="009B22A2"/>
    <w:rsid w:val="009B23EF"/>
    <w:rsid w:val="009B24C8"/>
    <w:rsid w:val="009B5127"/>
    <w:rsid w:val="009B744E"/>
    <w:rsid w:val="009C19A1"/>
    <w:rsid w:val="009C1D04"/>
    <w:rsid w:val="009C49EA"/>
    <w:rsid w:val="009C4B9C"/>
    <w:rsid w:val="009D0709"/>
    <w:rsid w:val="009D0B04"/>
    <w:rsid w:val="009D15AB"/>
    <w:rsid w:val="009D2048"/>
    <w:rsid w:val="009D20BA"/>
    <w:rsid w:val="009D21FE"/>
    <w:rsid w:val="009D246D"/>
    <w:rsid w:val="009D332E"/>
    <w:rsid w:val="009D3BFF"/>
    <w:rsid w:val="009D3DD0"/>
    <w:rsid w:val="009D4F41"/>
    <w:rsid w:val="009D51A3"/>
    <w:rsid w:val="009D5B57"/>
    <w:rsid w:val="009D7EF5"/>
    <w:rsid w:val="009E1398"/>
    <w:rsid w:val="009E1A15"/>
    <w:rsid w:val="009E1D53"/>
    <w:rsid w:val="009E2187"/>
    <w:rsid w:val="009E2785"/>
    <w:rsid w:val="009E31C0"/>
    <w:rsid w:val="009E32D2"/>
    <w:rsid w:val="009E370D"/>
    <w:rsid w:val="009E3EEB"/>
    <w:rsid w:val="009E4230"/>
    <w:rsid w:val="009E4F10"/>
    <w:rsid w:val="009E5738"/>
    <w:rsid w:val="009E6AD2"/>
    <w:rsid w:val="009F0C3C"/>
    <w:rsid w:val="009F1E03"/>
    <w:rsid w:val="009F1EA3"/>
    <w:rsid w:val="009F1F3B"/>
    <w:rsid w:val="009F25E0"/>
    <w:rsid w:val="009F43D2"/>
    <w:rsid w:val="009F4922"/>
    <w:rsid w:val="009F7BCA"/>
    <w:rsid w:val="00A00232"/>
    <w:rsid w:val="00A012D2"/>
    <w:rsid w:val="00A03198"/>
    <w:rsid w:val="00A0607A"/>
    <w:rsid w:val="00A06722"/>
    <w:rsid w:val="00A072B2"/>
    <w:rsid w:val="00A078C5"/>
    <w:rsid w:val="00A07AF2"/>
    <w:rsid w:val="00A116B7"/>
    <w:rsid w:val="00A12682"/>
    <w:rsid w:val="00A12A72"/>
    <w:rsid w:val="00A156C8"/>
    <w:rsid w:val="00A15CCF"/>
    <w:rsid w:val="00A16253"/>
    <w:rsid w:val="00A16D40"/>
    <w:rsid w:val="00A17CF0"/>
    <w:rsid w:val="00A20741"/>
    <w:rsid w:val="00A2171A"/>
    <w:rsid w:val="00A225FB"/>
    <w:rsid w:val="00A2331C"/>
    <w:rsid w:val="00A23C3A"/>
    <w:rsid w:val="00A248CF"/>
    <w:rsid w:val="00A265A9"/>
    <w:rsid w:val="00A30D15"/>
    <w:rsid w:val="00A32BCF"/>
    <w:rsid w:val="00A33C25"/>
    <w:rsid w:val="00A35712"/>
    <w:rsid w:val="00A35AC0"/>
    <w:rsid w:val="00A35B61"/>
    <w:rsid w:val="00A375B5"/>
    <w:rsid w:val="00A40527"/>
    <w:rsid w:val="00A40CB9"/>
    <w:rsid w:val="00A4121C"/>
    <w:rsid w:val="00A41811"/>
    <w:rsid w:val="00A43A11"/>
    <w:rsid w:val="00A43A6E"/>
    <w:rsid w:val="00A43FCD"/>
    <w:rsid w:val="00A44132"/>
    <w:rsid w:val="00A45424"/>
    <w:rsid w:val="00A47344"/>
    <w:rsid w:val="00A50204"/>
    <w:rsid w:val="00A51BD5"/>
    <w:rsid w:val="00A5477A"/>
    <w:rsid w:val="00A557A8"/>
    <w:rsid w:val="00A56F6D"/>
    <w:rsid w:val="00A57438"/>
    <w:rsid w:val="00A60009"/>
    <w:rsid w:val="00A65D8F"/>
    <w:rsid w:val="00A66932"/>
    <w:rsid w:val="00A66B10"/>
    <w:rsid w:val="00A6740E"/>
    <w:rsid w:val="00A67BE3"/>
    <w:rsid w:val="00A703A4"/>
    <w:rsid w:val="00A7053C"/>
    <w:rsid w:val="00A70979"/>
    <w:rsid w:val="00A724DA"/>
    <w:rsid w:val="00A72F87"/>
    <w:rsid w:val="00A751E7"/>
    <w:rsid w:val="00A75414"/>
    <w:rsid w:val="00A76FC0"/>
    <w:rsid w:val="00A77F36"/>
    <w:rsid w:val="00A77FA5"/>
    <w:rsid w:val="00A8013F"/>
    <w:rsid w:val="00A80DEB"/>
    <w:rsid w:val="00A80E3B"/>
    <w:rsid w:val="00A827A7"/>
    <w:rsid w:val="00A84560"/>
    <w:rsid w:val="00A84EB2"/>
    <w:rsid w:val="00A85E87"/>
    <w:rsid w:val="00A87522"/>
    <w:rsid w:val="00A934E5"/>
    <w:rsid w:val="00A9457D"/>
    <w:rsid w:val="00A955C0"/>
    <w:rsid w:val="00A95970"/>
    <w:rsid w:val="00A96974"/>
    <w:rsid w:val="00A96CA3"/>
    <w:rsid w:val="00AA1EBE"/>
    <w:rsid w:val="00AA229D"/>
    <w:rsid w:val="00AA3686"/>
    <w:rsid w:val="00AA3C84"/>
    <w:rsid w:val="00AA4825"/>
    <w:rsid w:val="00AA4D7F"/>
    <w:rsid w:val="00AB0D98"/>
    <w:rsid w:val="00AB377F"/>
    <w:rsid w:val="00AC01F3"/>
    <w:rsid w:val="00AC07B8"/>
    <w:rsid w:val="00AC252C"/>
    <w:rsid w:val="00AC2C4F"/>
    <w:rsid w:val="00AC4BAC"/>
    <w:rsid w:val="00AC5DE9"/>
    <w:rsid w:val="00AC64B2"/>
    <w:rsid w:val="00AC6537"/>
    <w:rsid w:val="00AD06D8"/>
    <w:rsid w:val="00AD0C59"/>
    <w:rsid w:val="00AD1D25"/>
    <w:rsid w:val="00AD2EDC"/>
    <w:rsid w:val="00AD324B"/>
    <w:rsid w:val="00AD3DFC"/>
    <w:rsid w:val="00AD47DF"/>
    <w:rsid w:val="00AD5899"/>
    <w:rsid w:val="00AD676F"/>
    <w:rsid w:val="00AD70A3"/>
    <w:rsid w:val="00AE02A6"/>
    <w:rsid w:val="00AE1321"/>
    <w:rsid w:val="00AE295A"/>
    <w:rsid w:val="00AE6552"/>
    <w:rsid w:val="00AE762A"/>
    <w:rsid w:val="00AF02FA"/>
    <w:rsid w:val="00AF0D3D"/>
    <w:rsid w:val="00AF3851"/>
    <w:rsid w:val="00AF496D"/>
    <w:rsid w:val="00AF56B1"/>
    <w:rsid w:val="00AF679F"/>
    <w:rsid w:val="00AF7032"/>
    <w:rsid w:val="00B01780"/>
    <w:rsid w:val="00B05681"/>
    <w:rsid w:val="00B0742B"/>
    <w:rsid w:val="00B078EA"/>
    <w:rsid w:val="00B12E28"/>
    <w:rsid w:val="00B1320E"/>
    <w:rsid w:val="00B1421B"/>
    <w:rsid w:val="00B154E8"/>
    <w:rsid w:val="00B20DDA"/>
    <w:rsid w:val="00B22714"/>
    <w:rsid w:val="00B23597"/>
    <w:rsid w:val="00B239AD"/>
    <w:rsid w:val="00B306B7"/>
    <w:rsid w:val="00B32240"/>
    <w:rsid w:val="00B33E17"/>
    <w:rsid w:val="00B34768"/>
    <w:rsid w:val="00B34B2D"/>
    <w:rsid w:val="00B350D7"/>
    <w:rsid w:val="00B35455"/>
    <w:rsid w:val="00B36CAD"/>
    <w:rsid w:val="00B377B0"/>
    <w:rsid w:val="00B406BC"/>
    <w:rsid w:val="00B40795"/>
    <w:rsid w:val="00B40DD6"/>
    <w:rsid w:val="00B42B80"/>
    <w:rsid w:val="00B42DF5"/>
    <w:rsid w:val="00B44DA1"/>
    <w:rsid w:val="00B44E6F"/>
    <w:rsid w:val="00B460AD"/>
    <w:rsid w:val="00B50FE3"/>
    <w:rsid w:val="00B5247D"/>
    <w:rsid w:val="00B5289A"/>
    <w:rsid w:val="00B53406"/>
    <w:rsid w:val="00B541BB"/>
    <w:rsid w:val="00B563B4"/>
    <w:rsid w:val="00B606CA"/>
    <w:rsid w:val="00B618E9"/>
    <w:rsid w:val="00B621E4"/>
    <w:rsid w:val="00B62ABC"/>
    <w:rsid w:val="00B63DA1"/>
    <w:rsid w:val="00B63DBC"/>
    <w:rsid w:val="00B67DB6"/>
    <w:rsid w:val="00B70DA4"/>
    <w:rsid w:val="00B71E65"/>
    <w:rsid w:val="00B73827"/>
    <w:rsid w:val="00B74957"/>
    <w:rsid w:val="00B75226"/>
    <w:rsid w:val="00B757FD"/>
    <w:rsid w:val="00B76928"/>
    <w:rsid w:val="00B779B0"/>
    <w:rsid w:val="00B802EA"/>
    <w:rsid w:val="00B802F9"/>
    <w:rsid w:val="00B808E3"/>
    <w:rsid w:val="00B822BE"/>
    <w:rsid w:val="00B82550"/>
    <w:rsid w:val="00B84555"/>
    <w:rsid w:val="00B85531"/>
    <w:rsid w:val="00B86F8C"/>
    <w:rsid w:val="00B87027"/>
    <w:rsid w:val="00B9003C"/>
    <w:rsid w:val="00B90892"/>
    <w:rsid w:val="00B91A26"/>
    <w:rsid w:val="00B949D4"/>
    <w:rsid w:val="00B94EF2"/>
    <w:rsid w:val="00B95A5F"/>
    <w:rsid w:val="00B97280"/>
    <w:rsid w:val="00B974AC"/>
    <w:rsid w:val="00B97CC7"/>
    <w:rsid w:val="00BA0973"/>
    <w:rsid w:val="00BA103F"/>
    <w:rsid w:val="00BA1DE4"/>
    <w:rsid w:val="00BA590B"/>
    <w:rsid w:val="00BA64FD"/>
    <w:rsid w:val="00BA74C4"/>
    <w:rsid w:val="00BB0618"/>
    <w:rsid w:val="00BB106D"/>
    <w:rsid w:val="00BB1F1A"/>
    <w:rsid w:val="00BB24C8"/>
    <w:rsid w:val="00BB2524"/>
    <w:rsid w:val="00BB297E"/>
    <w:rsid w:val="00BB2C28"/>
    <w:rsid w:val="00BB65A3"/>
    <w:rsid w:val="00BB6D33"/>
    <w:rsid w:val="00BB6EFB"/>
    <w:rsid w:val="00BB7147"/>
    <w:rsid w:val="00BB771F"/>
    <w:rsid w:val="00BC005D"/>
    <w:rsid w:val="00BC0C8D"/>
    <w:rsid w:val="00BC0D04"/>
    <w:rsid w:val="00BC2098"/>
    <w:rsid w:val="00BC4C7A"/>
    <w:rsid w:val="00BC602E"/>
    <w:rsid w:val="00BC683A"/>
    <w:rsid w:val="00BC701B"/>
    <w:rsid w:val="00BC7BBE"/>
    <w:rsid w:val="00BC7E33"/>
    <w:rsid w:val="00BC7F44"/>
    <w:rsid w:val="00BD141C"/>
    <w:rsid w:val="00BD6FF9"/>
    <w:rsid w:val="00BE0B6B"/>
    <w:rsid w:val="00BE522E"/>
    <w:rsid w:val="00BE6464"/>
    <w:rsid w:val="00BE6A10"/>
    <w:rsid w:val="00BE78E5"/>
    <w:rsid w:val="00BE7CB5"/>
    <w:rsid w:val="00BF1229"/>
    <w:rsid w:val="00BF1876"/>
    <w:rsid w:val="00BF2CED"/>
    <w:rsid w:val="00BF3692"/>
    <w:rsid w:val="00BF3E6D"/>
    <w:rsid w:val="00BF4803"/>
    <w:rsid w:val="00BF63A9"/>
    <w:rsid w:val="00C017A3"/>
    <w:rsid w:val="00C01801"/>
    <w:rsid w:val="00C01899"/>
    <w:rsid w:val="00C019FF"/>
    <w:rsid w:val="00C035CD"/>
    <w:rsid w:val="00C05013"/>
    <w:rsid w:val="00C06668"/>
    <w:rsid w:val="00C07FE9"/>
    <w:rsid w:val="00C10730"/>
    <w:rsid w:val="00C12168"/>
    <w:rsid w:val="00C1411B"/>
    <w:rsid w:val="00C16AFE"/>
    <w:rsid w:val="00C16E66"/>
    <w:rsid w:val="00C205BF"/>
    <w:rsid w:val="00C21809"/>
    <w:rsid w:val="00C22D1B"/>
    <w:rsid w:val="00C248B3"/>
    <w:rsid w:val="00C248D7"/>
    <w:rsid w:val="00C26ACB"/>
    <w:rsid w:val="00C27726"/>
    <w:rsid w:val="00C27F4F"/>
    <w:rsid w:val="00C30526"/>
    <w:rsid w:val="00C30EE9"/>
    <w:rsid w:val="00C3173E"/>
    <w:rsid w:val="00C31F17"/>
    <w:rsid w:val="00C32F59"/>
    <w:rsid w:val="00C36129"/>
    <w:rsid w:val="00C373CF"/>
    <w:rsid w:val="00C37769"/>
    <w:rsid w:val="00C37DE5"/>
    <w:rsid w:val="00C41016"/>
    <w:rsid w:val="00C4180F"/>
    <w:rsid w:val="00C425DD"/>
    <w:rsid w:val="00C42FC4"/>
    <w:rsid w:val="00C4498D"/>
    <w:rsid w:val="00C44C31"/>
    <w:rsid w:val="00C46A0F"/>
    <w:rsid w:val="00C5383E"/>
    <w:rsid w:val="00C540F9"/>
    <w:rsid w:val="00C54A62"/>
    <w:rsid w:val="00C54D1A"/>
    <w:rsid w:val="00C607A6"/>
    <w:rsid w:val="00C60B40"/>
    <w:rsid w:val="00C612D3"/>
    <w:rsid w:val="00C630EC"/>
    <w:rsid w:val="00C657B2"/>
    <w:rsid w:val="00C65D48"/>
    <w:rsid w:val="00C7073C"/>
    <w:rsid w:val="00C71AE3"/>
    <w:rsid w:val="00C71D2B"/>
    <w:rsid w:val="00C726BD"/>
    <w:rsid w:val="00C730B0"/>
    <w:rsid w:val="00C73800"/>
    <w:rsid w:val="00C75746"/>
    <w:rsid w:val="00C76309"/>
    <w:rsid w:val="00C7641E"/>
    <w:rsid w:val="00C769D1"/>
    <w:rsid w:val="00C77472"/>
    <w:rsid w:val="00C77865"/>
    <w:rsid w:val="00C77AE2"/>
    <w:rsid w:val="00C81584"/>
    <w:rsid w:val="00C84990"/>
    <w:rsid w:val="00C84D46"/>
    <w:rsid w:val="00C84F54"/>
    <w:rsid w:val="00C8556F"/>
    <w:rsid w:val="00C85961"/>
    <w:rsid w:val="00C85B57"/>
    <w:rsid w:val="00C86703"/>
    <w:rsid w:val="00C87E7E"/>
    <w:rsid w:val="00C90767"/>
    <w:rsid w:val="00C914A5"/>
    <w:rsid w:val="00C9364E"/>
    <w:rsid w:val="00C94E6D"/>
    <w:rsid w:val="00CA1790"/>
    <w:rsid w:val="00CA23A8"/>
    <w:rsid w:val="00CA2647"/>
    <w:rsid w:val="00CA2BBE"/>
    <w:rsid w:val="00CA3175"/>
    <w:rsid w:val="00CA3816"/>
    <w:rsid w:val="00CA3B5C"/>
    <w:rsid w:val="00CA4F35"/>
    <w:rsid w:val="00CB1318"/>
    <w:rsid w:val="00CB27FA"/>
    <w:rsid w:val="00CB2977"/>
    <w:rsid w:val="00CB29B8"/>
    <w:rsid w:val="00CB2E14"/>
    <w:rsid w:val="00CB3AFE"/>
    <w:rsid w:val="00CB6A4A"/>
    <w:rsid w:val="00CB6DE3"/>
    <w:rsid w:val="00CC076C"/>
    <w:rsid w:val="00CC09E0"/>
    <w:rsid w:val="00CC2C54"/>
    <w:rsid w:val="00CC3B25"/>
    <w:rsid w:val="00CC553B"/>
    <w:rsid w:val="00CC5FED"/>
    <w:rsid w:val="00CC6AFA"/>
    <w:rsid w:val="00CC7E2C"/>
    <w:rsid w:val="00CD00C2"/>
    <w:rsid w:val="00CD0E05"/>
    <w:rsid w:val="00CD1438"/>
    <w:rsid w:val="00CD2E73"/>
    <w:rsid w:val="00CD453E"/>
    <w:rsid w:val="00CD7610"/>
    <w:rsid w:val="00CE00ED"/>
    <w:rsid w:val="00CE0DE9"/>
    <w:rsid w:val="00CE0EEB"/>
    <w:rsid w:val="00CE15AD"/>
    <w:rsid w:val="00CE36FC"/>
    <w:rsid w:val="00CE4915"/>
    <w:rsid w:val="00CE781C"/>
    <w:rsid w:val="00CF1F08"/>
    <w:rsid w:val="00CF2316"/>
    <w:rsid w:val="00CF23B1"/>
    <w:rsid w:val="00CF2DAC"/>
    <w:rsid w:val="00CF5B23"/>
    <w:rsid w:val="00CF67BB"/>
    <w:rsid w:val="00D0050C"/>
    <w:rsid w:val="00D02B27"/>
    <w:rsid w:val="00D034FA"/>
    <w:rsid w:val="00D03A05"/>
    <w:rsid w:val="00D044FA"/>
    <w:rsid w:val="00D048DA"/>
    <w:rsid w:val="00D053A6"/>
    <w:rsid w:val="00D11682"/>
    <w:rsid w:val="00D17B1E"/>
    <w:rsid w:val="00D17D1A"/>
    <w:rsid w:val="00D205B2"/>
    <w:rsid w:val="00D22267"/>
    <w:rsid w:val="00D238A3"/>
    <w:rsid w:val="00D23D63"/>
    <w:rsid w:val="00D2493A"/>
    <w:rsid w:val="00D24E4C"/>
    <w:rsid w:val="00D24FB8"/>
    <w:rsid w:val="00D25AC3"/>
    <w:rsid w:val="00D26E9F"/>
    <w:rsid w:val="00D27EFD"/>
    <w:rsid w:val="00D33861"/>
    <w:rsid w:val="00D3459A"/>
    <w:rsid w:val="00D34686"/>
    <w:rsid w:val="00D34BF5"/>
    <w:rsid w:val="00D34F38"/>
    <w:rsid w:val="00D352A8"/>
    <w:rsid w:val="00D35ED0"/>
    <w:rsid w:val="00D37533"/>
    <w:rsid w:val="00D378A0"/>
    <w:rsid w:val="00D37E68"/>
    <w:rsid w:val="00D4048E"/>
    <w:rsid w:val="00D41828"/>
    <w:rsid w:val="00D42DA8"/>
    <w:rsid w:val="00D43B3E"/>
    <w:rsid w:val="00D44593"/>
    <w:rsid w:val="00D449EE"/>
    <w:rsid w:val="00D45E13"/>
    <w:rsid w:val="00D47595"/>
    <w:rsid w:val="00D50AB4"/>
    <w:rsid w:val="00D50D9B"/>
    <w:rsid w:val="00D5105B"/>
    <w:rsid w:val="00D52530"/>
    <w:rsid w:val="00D52E17"/>
    <w:rsid w:val="00D53EAA"/>
    <w:rsid w:val="00D54B9D"/>
    <w:rsid w:val="00D57295"/>
    <w:rsid w:val="00D572DB"/>
    <w:rsid w:val="00D57688"/>
    <w:rsid w:val="00D579B8"/>
    <w:rsid w:val="00D57B14"/>
    <w:rsid w:val="00D60E12"/>
    <w:rsid w:val="00D61229"/>
    <w:rsid w:val="00D627B3"/>
    <w:rsid w:val="00D661BB"/>
    <w:rsid w:val="00D71740"/>
    <w:rsid w:val="00D717E6"/>
    <w:rsid w:val="00D728D7"/>
    <w:rsid w:val="00D72FB5"/>
    <w:rsid w:val="00D7300E"/>
    <w:rsid w:val="00D74142"/>
    <w:rsid w:val="00D77173"/>
    <w:rsid w:val="00D779CB"/>
    <w:rsid w:val="00D80EBE"/>
    <w:rsid w:val="00D815AE"/>
    <w:rsid w:val="00D8171C"/>
    <w:rsid w:val="00D8199F"/>
    <w:rsid w:val="00D846A6"/>
    <w:rsid w:val="00D87E0E"/>
    <w:rsid w:val="00D945BF"/>
    <w:rsid w:val="00D94B3B"/>
    <w:rsid w:val="00D962EF"/>
    <w:rsid w:val="00D973D5"/>
    <w:rsid w:val="00D97B92"/>
    <w:rsid w:val="00DB2515"/>
    <w:rsid w:val="00DB3CF8"/>
    <w:rsid w:val="00DC103D"/>
    <w:rsid w:val="00DC26E9"/>
    <w:rsid w:val="00DC66D5"/>
    <w:rsid w:val="00DC70A8"/>
    <w:rsid w:val="00DC7B63"/>
    <w:rsid w:val="00DC7E65"/>
    <w:rsid w:val="00DD0229"/>
    <w:rsid w:val="00DD0397"/>
    <w:rsid w:val="00DD1627"/>
    <w:rsid w:val="00DD2961"/>
    <w:rsid w:val="00DD2DE1"/>
    <w:rsid w:val="00DD40A5"/>
    <w:rsid w:val="00DD5349"/>
    <w:rsid w:val="00DD72AE"/>
    <w:rsid w:val="00DD74A5"/>
    <w:rsid w:val="00DE03DF"/>
    <w:rsid w:val="00DE2140"/>
    <w:rsid w:val="00DE2E60"/>
    <w:rsid w:val="00DE40DD"/>
    <w:rsid w:val="00DE4B2A"/>
    <w:rsid w:val="00DE7304"/>
    <w:rsid w:val="00DF0061"/>
    <w:rsid w:val="00DF0299"/>
    <w:rsid w:val="00DF0D4D"/>
    <w:rsid w:val="00DF3A7A"/>
    <w:rsid w:val="00DF6DA3"/>
    <w:rsid w:val="00E031F5"/>
    <w:rsid w:val="00E051AD"/>
    <w:rsid w:val="00E06662"/>
    <w:rsid w:val="00E07DF8"/>
    <w:rsid w:val="00E13C24"/>
    <w:rsid w:val="00E15441"/>
    <w:rsid w:val="00E15DAD"/>
    <w:rsid w:val="00E16813"/>
    <w:rsid w:val="00E1732C"/>
    <w:rsid w:val="00E17A1E"/>
    <w:rsid w:val="00E20AB3"/>
    <w:rsid w:val="00E21BAC"/>
    <w:rsid w:val="00E24C85"/>
    <w:rsid w:val="00E25831"/>
    <w:rsid w:val="00E2612B"/>
    <w:rsid w:val="00E26BF9"/>
    <w:rsid w:val="00E26E9E"/>
    <w:rsid w:val="00E306F1"/>
    <w:rsid w:val="00E3096E"/>
    <w:rsid w:val="00E319E0"/>
    <w:rsid w:val="00E32798"/>
    <w:rsid w:val="00E343EB"/>
    <w:rsid w:val="00E345F1"/>
    <w:rsid w:val="00E349CF"/>
    <w:rsid w:val="00E3594F"/>
    <w:rsid w:val="00E35F51"/>
    <w:rsid w:val="00E4027A"/>
    <w:rsid w:val="00E41702"/>
    <w:rsid w:val="00E42BBB"/>
    <w:rsid w:val="00E47627"/>
    <w:rsid w:val="00E530F9"/>
    <w:rsid w:val="00E5373F"/>
    <w:rsid w:val="00E537A0"/>
    <w:rsid w:val="00E538BB"/>
    <w:rsid w:val="00E54C76"/>
    <w:rsid w:val="00E5599F"/>
    <w:rsid w:val="00E55FF6"/>
    <w:rsid w:val="00E56AF8"/>
    <w:rsid w:val="00E57233"/>
    <w:rsid w:val="00E6286F"/>
    <w:rsid w:val="00E63DB8"/>
    <w:rsid w:val="00E64255"/>
    <w:rsid w:val="00E64D97"/>
    <w:rsid w:val="00E6530D"/>
    <w:rsid w:val="00E653B8"/>
    <w:rsid w:val="00E66182"/>
    <w:rsid w:val="00E66A0A"/>
    <w:rsid w:val="00E675A5"/>
    <w:rsid w:val="00E70562"/>
    <w:rsid w:val="00E73372"/>
    <w:rsid w:val="00E73C77"/>
    <w:rsid w:val="00E76D2A"/>
    <w:rsid w:val="00E77162"/>
    <w:rsid w:val="00E77CEE"/>
    <w:rsid w:val="00E80574"/>
    <w:rsid w:val="00E83CC8"/>
    <w:rsid w:val="00E859E0"/>
    <w:rsid w:val="00E85BD0"/>
    <w:rsid w:val="00E861CE"/>
    <w:rsid w:val="00E862EB"/>
    <w:rsid w:val="00E86330"/>
    <w:rsid w:val="00E868CA"/>
    <w:rsid w:val="00E86C27"/>
    <w:rsid w:val="00E87435"/>
    <w:rsid w:val="00E92439"/>
    <w:rsid w:val="00E94E80"/>
    <w:rsid w:val="00E9501E"/>
    <w:rsid w:val="00E95CE9"/>
    <w:rsid w:val="00EA080F"/>
    <w:rsid w:val="00EA1265"/>
    <w:rsid w:val="00EA2BF0"/>
    <w:rsid w:val="00EA2E40"/>
    <w:rsid w:val="00EA3FFA"/>
    <w:rsid w:val="00EA4386"/>
    <w:rsid w:val="00EA71EE"/>
    <w:rsid w:val="00EB05FA"/>
    <w:rsid w:val="00EB0A7B"/>
    <w:rsid w:val="00EB114E"/>
    <w:rsid w:val="00EB2B20"/>
    <w:rsid w:val="00EB3B8D"/>
    <w:rsid w:val="00EB4DEB"/>
    <w:rsid w:val="00EB6501"/>
    <w:rsid w:val="00EC041A"/>
    <w:rsid w:val="00EC213C"/>
    <w:rsid w:val="00EC3469"/>
    <w:rsid w:val="00EC4036"/>
    <w:rsid w:val="00EC7DBC"/>
    <w:rsid w:val="00ED1EEA"/>
    <w:rsid w:val="00ED5139"/>
    <w:rsid w:val="00EE01D8"/>
    <w:rsid w:val="00EE183D"/>
    <w:rsid w:val="00EE1B40"/>
    <w:rsid w:val="00EE291A"/>
    <w:rsid w:val="00EE2C20"/>
    <w:rsid w:val="00EE413D"/>
    <w:rsid w:val="00EE4FA7"/>
    <w:rsid w:val="00EE5850"/>
    <w:rsid w:val="00EF0561"/>
    <w:rsid w:val="00EF0A80"/>
    <w:rsid w:val="00EF191F"/>
    <w:rsid w:val="00EF2033"/>
    <w:rsid w:val="00EF252B"/>
    <w:rsid w:val="00EF4657"/>
    <w:rsid w:val="00EF5353"/>
    <w:rsid w:val="00EF658B"/>
    <w:rsid w:val="00EF783C"/>
    <w:rsid w:val="00F00F44"/>
    <w:rsid w:val="00F013FA"/>
    <w:rsid w:val="00F020A3"/>
    <w:rsid w:val="00F02BB4"/>
    <w:rsid w:val="00F031A4"/>
    <w:rsid w:val="00F03CEC"/>
    <w:rsid w:val="00F041A2"/>
    <w:rsid w:val="00F107C1"/>
    <w:rsid w:val="00F11B2B"/>
    <w:rsid w:val="00F126B8"/>
    <w:rsid w:val="00F13359"/>
    <w:rsid w:val="00F13E45"/>
    <w:rsid w:val="00F16DA3"/>
    <w:rsid w:val="00F20099"/>
    <w:rsid w:val="00F2183F"/>
    <w:rsid w:val="00F241EF"/>
    <w:rsid w:val="00F262D7"/>
    <w:rsid w:val="00F27D44"/>
    <w:rsid w:val="00F30369"/>
    <w:rsid w:val="00F3039B"/>
    <w:rsid w:val="00F305BA"/>
    <w:rsid w:val="00F36703"/>
    <w:rsid w:val="00F36BA2"/>
    <w:rsid w:val="00F36F38"/>
    <w:rsid w:val="00F3700D"/>
    <w:rsid w:val="00F37770"/>
    <w:rsid w:val="00F42384"/>
    <w:rsid w:val="00F429BB"/>
    <w:rsid w:val="00F42A76"/>
    <w:rsid w:val="00F4643C"/>
    <w:rsid w:val="00F47197"/>
    <w:rsid w:val="00F517A9"/>
    <w:rsid w:val="00F53705"/>
    <w:rsid w:val="00F540FA"/>
    <w:rsid w:val="00F5643C"/>
    <w:rsid w:val="00F60C24"/>
    <w:rsid w:val="00F6274A"/>
    <w:rsid w:val="00F62CF2"/>
    <w:rsid w:val="00F6494A"/>
    <w:rsid w:val="00F65D0E"/>
    <w:rsid w:val="00F7144A"/>
    <w:rsid w:val="00F74AC6"/>
    <w:rsid w:val="00F7691E"/>
    <w:rsid w:val="00F76D18"/>
    <w:rsid w:val="00F83776"/>
    <w:rsid w:val="00F86FCC"/>
    <w:rsid w:val="00F90433"/>
    <w:rsid w:val="00F91ACD"/>
    <w:rsid w:val="00F91D27"/>
    <w:rsid w:val="00F91EBB"/>
    <w:rsid w:val="00F931EF"/>
    <w:rsid w:val="00F94B75"/>
    <w:rsid w:val="00F951EE"/>
    <w:rsid w:val="00F95EAF"/>
    <w:rsid w:val="00F970E4"/>
    <w:rsid w:val="00FA30E7"/>
    <w:rsid w:val="00FA36E9"/>
    <w:rsid w:val="00FA4277"/>
    <w:rsid w:val="00FA557A"/>
    <w:rsid w:val="00FA5DC5"/>
    <w:rsid w:val="00FA5DDA"/>
    <w:rsid w:val="00FA6A19"/>
    <w:rsid w:val="00FA731C"/>
    <w:rsid w:val="00FB1B8D"/>
    <w:rsid w:val="00FB6C63"/>
    <w:rsid w:val="00FC05C6"/>
    <w:rsid w:val="00FC1CC6"/>
    <w:rsid w:val="00FC24DE"/>
    <w:rsid w:val="00FC42FA"/>
    <w:rsid w:val="00FC494B"/>
    <w:rsid w:val="00FC5C92"/>
    <w:rsid w:val="00FC5EEB"/>
    <w:rsid w:val="00FC605E"/>
    <w:rsid w:val="00FC7733"/>
    <w:rsid w:val="00FD152D"/>
    <w:rsid w:val="00FD323C"/>
    <w:rsid w:val="00FD3512"/>
    <w:rsid w:val="00FD4F13"/>
    <w:rsid w:val="00FD6EFA"/>
    <w:rsid w:val="00FE06AD"/>
    <w:rsid w:val="00FE25BC"/>
    <w:rsid w:val="00FE2F18"/>
    <w:rsid w:val="00FE3874"/>
    <w:rsid w:val="00FE3B2E"/>
    <w:rsid w:val="00FE5336"/>
    <w:rsid w:val="00FE61EB"/>
    <w:rsid w:val="00FE6C9C"/>
    <w:rsid w:val="00FE6DD6"/>
    <w:rsid w:val="00FE768A"/>
    <w:rsid w:val="00FF0C5A"/>
    <w:rsid w:val="00FF0DB0"/>
    <w:rsid w:val="00FF13FC"/>
    <w:rsid w:val="00FF1ACA"/>
    <w:rsid w:val="00FF41DE"/>
    <w:rsid w:val="00FF52B2"/>
    <w:rsid w:val="00FF7304"/>
    <w:rsid w:val="012A3CE6"/>
    <w:rsid w:val="0159716B"/>
    <w:rsid w:val="01745EE6"/>
    <w:rsid w:val="01DC4654"/>
    <w:rsid w:val="01ED00F0"/>
    <w:rsid w:val="01FE4437"/>
    <w:rsid w:val="02A91B01"/>
    <w:rsid w:val="02F646C8"/>
    <w:rsid w:val="02F90E1A"/>
    <w:rsid w:val="03C21E34"/>
    <w:rsid w:val="03C6063B"/>
    <w:rsid w:val="0409495C"/>
    <w:rsid w:val="0417467E"/>
    <w:rsid w:val="041B6087"/>
    <w:rsid w:val="041F4312"/>
    <w:rsid w:val="042D79C2"/>
    <w:rsid w:val="0444340A"/>
    <w:rsid w:val="04B148A0"/>
    <w:rsid w:val="051270D7"/>
    <w:rsid w:val="056B0827"/>
    <w:rsid w:val="05894266"/>
    <w:rsid w:val="05C5666D"/>
    <w:rsid w:val="05DB4947"/>
    <w:rsid w:val="062446D5"/>
    <w:rsid w:val="064B3BE4"/>
    <w:rsid w:val="06B258F2"/>
    <w:rsid w:val="06E14F8A"/>
    <w:rsid w:val="06F10BAA"/>
    <w:rsid w:val="071F766A"/>
    <w:rsid w:val="079006E8"/>
    <w:rsid w:val="07A4303C"/>
    <w:rsid w:val="07A52A20"/>
    <w:rsid w:val="07C83718"/>
    <w:rsid w:val="07CA08DA"/>
    <w:rsid w:val="086B023F"/>
    <w:rsid w:val="090148AB"/>
    <w:rsid w:val="093A136B"/>
    <w:rsid w:val="09C23FE3"/>
    <w:rsid w:val="0A242FFF"/>
    <w:rsid w:val="0A2976B8"/>
    <w:rsid w:val="0A544CC8"/>
    <w:rsid w:val="0A730580"/>
    <w:rsid w:val="0AC47253"/>
    <w:rsid w:val="0ACF19BE"/>
    <w:rsid w:val="0ADC1D1C"/>
    <w:rsid w:val="0AF14F38"/>
    <w:rsid w:val="0B1B457B"/>
    <w:rsid w:val="0B574F36"/>
    <w:rsid w:val="0B6D6DD0"/>
    <w:rsid w:val="0B8C1D04"/>
    <w:rsid w:val="0C0E7282"/>
    <w:rsid w:val="0C197E2E"/>
    <w:rsid w:val="0CBF7EE4"/>
    <w:rsid w:val="0D19707A"/>
    <w:rsid w:val="0D417786"/>
    <w:rsid w:val="0D965E14"/>
    <w:rsid w:val="0D971FFF"/>
    <w:rsid w:val="0D985588"/>
    <w:rsid w:val="0DAC4DE7"/>
    <w:rsid w:val="0DB735A4"/>
    <w:rsid w:val="0DD93C67"/>
    <w:rsid w:val="0E1C7748"/>
    <w:rsid w:val="0E6218BF"/>
    <w:rsid w:val="0E6E4A3A"/>
    <w:rsid w:val="0E9B5CB3"/>
    <w:rsid w:val="0EB463A0"/>
    <w:rsid w:val="0EBB70C4"/>
    <w:rsid w:val="0F127DBC"/>
    <w:rsid w:val="0F811E95"/>
    <w:rsid w:val="0F981C4A"/>
    <w:rsid w:val="0FB3499A"/>
    <w:rsid w:val="0FFC57D2"/>
    <w:rsid w:val="100E3CDE"/>
    <w:rsid w:val="102862AB"/>
    <w:rsid w:val="10582A82"/>
    <w:rsid w:val="10E045D9"/>
    <w:rsid w:val="11285AF8"/>
    <w:rsid w:val="119621DC"/>
    <w:rsid w:val="11AE4EED"/>
    <w:rsid w:val="11CD7202"/>
    <w:rsid w:val="11FF21E6"/>
    <w:rsid w:val="124D09DB"/>
    <w:rsid w:val="1337142C"/>
    <w:rsid w:val="139F6AD3"/>
    <w:rsid w:val="1402609A"/>
    <w:rsid w:val="14644194"/>
    <w:rsid w:val="148556DC"/>
    <w:rsid w:val="14A24168"/>
    <w:rsid w:val="15025589"/>
    <w:rsid w:val="15D062EC"/>
    <w:rsid w:val="16184405"/>
    <w:rsid w:val="163D71D2"/>
    <w:rsid w:val="1657518C"/>
    <w:rsid w:val="169F376F"/>
    <w:rsid w:val="170E6F2D"/>
    <w:rsid w:val="17271EE3"/>
    <w:rsid w:val="1754248F"/>
    <w:rsid w:val="175F5CA8"/>
    <w:rsid w:val="17832573"/>
    <w:rsid w:val="17872AF0"/>
    <w:rsid w:val="17F1058F"/>
    <w:rsid w:val="18482011"/>
    <w:rsid w:val="186216FF"/>
    <w:rsid w:val="18C119AD"/>
    <w:rsid w:val="19944A91"/>
    <w:rsid w:val="19E44197"/>
    <w:rsid w:val="19EF3DBB"/>
    <w:rsid w:val="1A307DEB"/>
    <w:rsid w:val="1A7A062D"/>
    <w:rsid w:val="1A891699"/>
    <w:rsid w:val="1AC90C79"/>
    <w:rsid w:val="1AD94197"/>
    <w:rsid w:val="1B0D2108"/>
    <w:rsid w:val="1B1438B4"/>
    <w:rsid w:val="1B293C37"/>
    <w:rsid w:val="1B586769"/>
    <w:rsid w:val="1BB2064E"/>
    <w:rsid w:val="1C7A3233"/>
    <w:rsid w:val="1CA905F7"/>
    <w:rsid w:val="1CEB16E8"/>
    <w:rsid w:val="1CEF70CD"/>
    <w:rsid w:val="1D8D202D"/>
    <w:rsid w:val="1D9A06B0"/>
    <w:rsid w:val="1DBB7F40"/>
    <w:rsid w:val="1EA747EE"/>
    <w:rsid w:val="1EDC0F97"/>
    <w:rsid w:val="1F26778D"/>
    <w:rsid w:val="1F5E5F75"/>
    <w:rsid w:val="1F6D180C"/>
    <w:rsid w:val="1F982C0B"/>
    <w:rsid w:val="1F9B0BF8"/>
    <w:rsid w:val="1FAC6A94"/>
    <w:rsid w:val="1FAF630F"/>
    <w:rsid w:val="1FBE44AB"/>
    <w:rsid w:val="1FD90A6B"/>
    <w:rsid w:val="20181E20"/>
    <w:rsid w:val="205D0F06"/>
    <w:rsid w:val="20934A1D"/>
    <w:rsid w:val="21176D6E"/>
    <w:rsid w:val="215115FB"/>
    <w:rsid w:val="216847DD"/>
    <w:rsid w:val="218C384B"/>
    <w:rsid w:val="22682ED4"/>
    <w:rsid w:val="226F3182"/>
    <w:rsid w:val="23122FE5"/>
    <w:rsid w:val="232C3785"/>
    <w:rsid w:val="23300BC5"/>
    <w:rsid w:val="23390502"/>
    <w:rsid w:val="24605FFA"/>
    <w:rsid w:val="25094643"/>
    <w:rsid w:val="255F1C12"/>
    <w:rsid w:val="259A2532"/>
    <w:rsid w:val="259A6176"/>
    <w:rsid w:val="25F100C0"/>
    <w:rsid w:val="261B0F18"/>
    <w:rsid w:val="2644477A"/>
    <w:rsid w:val="26B93B86"/>
    <w:rsid w:val="26CB06DA"/>
    <w:rsid w:val="27195844"/>
    <w:rsid w:val="27303A23"/>
    <w:rsid w:val="275D2C3D"/>
    <w:rsid w:val="27BF720F"/>
    <w:rsid w:val="27C71297"/>
    <w:rsid w:val="27FF45C4"/>
    <w:rsid w:val="284202E2"/>
    <w:rsid w:val="285D5757"/>
    <w:rsid w:val="28763103"/>
    <w:rsid w:val="287F7A45"/>
    <w:rsid w:val="288E7FFE"/>
    <w:rsid w:val="289128C5"/>
    <w:rsid w:val="2962650F"/>
    <w:rsid w:val="2965244F"/>
    <w:rsid w:val="296C51FC"/>
    <w:rsid w:val="297211E0"/>
    <w:rsid w:val="29BD29EF"/>
    <w:rsid w:val="29E225F8"/>
    <w:rsid w:val="29E76696"/>
    <w:rsid w:val="29F3493D"/>
    <w:rsid w:val="2A097F2C"/>
    <w:rsid w:val="2A2D2BA8"/>
    <w:rsid w:val="2A6130F9"/>
    <w:rsid w:val="2A8A5477"/>
    <w:rsid w:val="2B367C6D"/>
    <w:rsid w:val="2B580D2E"/>
    <w:rsid w:val="2B691B9E"/>
    <w:rsid w:val="2B7729A9"/>
    <w:rsid w:val="2BCF610D"/>
    <w:rsid w:val="2BD472B0"/>
    <w:rsid w:val="2C3515C4"/>
    <w:rsid w:val="2C8157BB"/>
    <w:rsid w:val="2CB035D8"/>
    <w:rsid w:val="2CFA0444"/>
    <w:rsid w:val="2D346584"/>
    <w:rsid w:val="2D3F3425"/>
    <w:rsid w:val="2D8F7B63"/>
    <w:rsid w:val="2DB37632"/>
    <w:rsid w:val="2DFD5AD3"/>
    <w:rsid w:val="2DFD6B18"/>
    <w:rsid w:val="2E05430D"/>
    <w:rsid w:val="2E1859E5"/>
    <w:rsid w:val="2E430131"/>
    <w:rsid w:val="2E447669"/>
    <w:rsid w:val="2E5210EC"/>
    <w:rsid w:val="2E5B07AB"/>
    <w:rsid w:val="2E645867"/>
    <w:rsid w:val="2E6743B8"/>
    <w:rsid w:val="2E6A2DC2"/>
    <w:rsid w:val="2F3204AF"/>
    <w:rsid w:val="2F9A050E"/>
    <w:rsid w:val="30117F8B"/>
    <w:rsid w:val="30880C87"/>
    <w:rsid w:val="30A9525D"/>
    <w:rsid w:val="30E44151"/>
    <w:rsid w:val="31026391"/>
    <w:rsid w:val="312569BD"/>
    <w:rsid w:val="31870AE7"/>
    <w:rsid w:val="31CA6DFB"/>
    <w:rsid w:val="31DE1190"/>
    <w:rsid w:val="324A7F75"/>
    <w:rsid w:val="32646E9E"/>
    <w:rsid w:val="3294182A"/>
    <w:rsid w:val="32AD7D50"/>
    <w:rsid w:val="32C355F1"/>
    <w:rsid w:val="32C36BE9"/>
    <w:rsid w:val="32D62DD5"/>
    <w:rsid w:val="33894E2D"/>
    <w:rsid w:val="33913825"/>
    <w:rsid w:val="34480488"/>
    <w:rsid w:val="35492DCC"/>
    <w:rsid w:val="355E7592"/>
    <w:rsid w:val="35817E56"/>
    <w:rsid w:val="358276DA"/>
    <w:rsid w:val="35842701"/>
    <w:rsid w:val="35F94460"/>
    <w:rsid w:val="36196EE3"/>
    <w:rsid w:val="36540977"/>
    <w:rsid w:val="36555758"/>
    <w:rsid w:val="36F67C9D"/>
    <w:rsid w:val="374101FF"/>
    <w:rsid w:val="37575984"/>
    <w:rsid w:val="37CC7A14"/>
    <w:rsid w:val="37F7529C"/>
    <w:rsid w:val="384F7AFB"/>
    <w:rsid w:val="38A12A65"/>
    <w:rsid w:val="38AA280E"/>
    <w:rsid w:val="38B37F59"/>
    <w:rsid w:val="38C45124"/>
    <w:rsid w:val="392E439F"/>
    <w:rsid w:val="393E343F"/>
    <w:rsid w:val="396A22AC"/>
    <w:rsid w:val="396F09B5"/>
    <w:rsid w:val="397A1D7B"/>
    <w:rsid w:val="398850DE"/>
    <w:rsid w:val="3991690D"/>
    <w:rsid w:val="3A0B4F69"/>
    <w:rsid w:val="3A314013"/>
    <w:rsid w:val="3A782AD9"/>
    <w:rsid w:val="3A9B2E8A"/>
    <w:rsid w:val="3AB5432D"/>
    <w:rsid w:val="3ABC49A5"/>
    <w:rsid w:val="3AFE38F2"/>
    <w:rsid w:val="3B1D301A"/>
    <w:rsid w:val="3B3F417F"/>
    <w:rsid w:val="3B944526"/>
    <w:rsid w:val="3C830040"/>
    <w:rsid w:val="3CB07B7D"/>
    <w:rsid w:val="3CCB74D7"/>
    <w:rsid w:val="3CD0040C"/>
    <w:rsid w:val="3CD07E3A"/>
    <w:rsid w:val="3D1F3A14"/>
    <w:rsid w:val="3D517271"/>
    <w:rsid w:val="3D7E17DF"/>
    <w:rsid w:val="3D9214CE"/>
    <w:rsid w:val="3DDF3E65"/>
    <w:rsid w:val="3F154B66"/>
    <w:rsid w:val="3F5F5F83"/>
    <w:rsid w:val="3FC63BD0"/>
    <w:rsid w:val="3FCF563B"/>
    <w:rsid w:val="3FD70B6E"/>
    <w:rsid w:val="40AB6B02"/>
    <w:rsid w:val="40B15DAC"/>
    <w:rsid w:val="40F16909"/>
    <w:rsid w:val="41C37CE9"/>
    <w:rsid w:val="41CD3CC6"/>
    <w:rsid w:val="41DD19CA"/>
    <w:rsid w:val="41F12259"/>
    <w:rsid w:val="42277F9A"/>
    <w:rsid w:val="42A5319A"/>
    <w:rsid w:val="42C228C8"/>
    <w:rsid w:val="42EF410D"/>
    <w:rsid w:val="42F36E1E"/>
    <w:rsid w:val="43121F6B"/>
    <w:rsid w:val="435823F0"/>
    <w:rsid w:val="435A7E53"/>
    <w:rsid w:val="4371440C"/>
    <w:rsid w:val="43C13A38"/>
    <w:rsid w:val="43E22F2B"/>
    <w:rsid w:val="43EE1010"/>
    <w:rsid w:val="446C1E1E"/>
    <w:rsid w:val="44902AC9"/>
    <w:rsid w:val="452D466E"/>
    <w:rsid w:val="45370FF9"/>
    <w:rsid w:val="45E915BD"/>
    <w:rsid w:val="45F77E29"/>
    <w:rsid w:val="463A697F"/>
    <w:rsid w:val="46B05FBF"/>
    <w:rsid w:val="46B66FB7"/>
    <w:rsid w:val="46F948AB"/>
    <w:rsid w:val="47133202"/>
    <w:rsid w:val="476D0782"/>
    <w:rsid w:val="478248DA"/>
    <w:rsid w:val="479224AD"/>
    <w:rsid w:val="479357BC"/>
    <w:rsid w:val="47B52DEE"/>
    <w:rsid w:val="492331F4"/>
    <w:rsid w:val="496E5FA9"/>
    <w:rsid w:val="499936F8"/>
    <w:rsid w:val="4A6A1B72"/>
    <w:rsid w:val="4A7D0E05"/>
    <w:rsid w:val="4A8A736F"/>
    <w:rsid w:val="4A952924"/>
    <w:rsid w:val="4AA3092D"/>
    <w:rsid w:val="4AB7670F"/>
    <w:rsid w:val="4B035D90"/>
    <w:rsid w:val="4B6274C5"/>
    <w:rsid w:val="4B764485"/>
    <w:rsid w:val="4B812C2E"/>
    <w:rsid w:val="4BCD2CFE"/>
    <w:rsid w:val="4C602A7D"/>
    <w:rsid w:val="4CC4190A"/>
    <w:rsid w:val="4D2A0B97"/>
    <w:rsid w:val="4D572235"/>
    <w:rsid w:val="4DFC0E9E"/>
    <w:rsid w:val="4E3E431E"/>
    <w:rsid w:val="4E52662D"/>
    <w:rsid w:val="4E8B7C40"/>
    <w:rsid w:val="4EDA0A91"/>
    <w:rsid w:val="4EF43D32"/>
    <w:rsid w:val="4EFF700D"/>
    <w:rsid w:val="4F0D2BAF"/>
    <w:rsid w:val="4F0E4432"/>
    <w:rsid w:val="4F233BC6"/>
    <w:rsid w:val="4F3810D9"/>
    <w:rsid w:val="4FE43BE8"/>
    <w:rsid w:val="502533DF"/>
    <w:rsid w:val="50464DBE"/>
    <w:rsid w:val="5052092F"/>
    <w:rsid w:val="512064B6"/>
    <w:rsid w:val="515D494D"/>
    <w:rsid w:val="51683911"/>
    <w:rsid w:val="51755AAC"/>
    <w:rsid w:val="51B272DD"/>
    <w:rsid w:val="51D11B69"/>
    <w:rsid w:val="51E841DF"/>
    <w:rsid w:val="52062768"/>
    <w:rsid w:val="523336B1"/>
    <w:rsid w:val="526E379C"/>
    <w:rsid w:val="528D7E50"/>
    <w:rsid w:val="52CD7259"/>
    <w:rsid w:val="52DF7CE2"/>
    <w:rsid w:val="53056701"/>
    <w:rsid w:val="537933DF"/>
    <w:rsid w:val="539B439B"/>
    <w:rsid w:val="53AA2830"/>
    <w:rsid w:val="53AE72B4"/>
    <w:rsid w:val="53DF3426"/>
    <w:rsid w:val="53E94F5A"/>
    <w:rsid w:val="54084EB7"/>
    <w:rsid w:val="542076D2"/>
    <w:rsid w:val="54460374"/>
    <w:rsid w:val="545A578A"/>
    <w:rsid w:val="54D577C2"/>
    <w:rsid w:val="54F63F7F"/>
    <w:rsid w:val="55633014"/>
    <w:rsid w:val="556C0353"/>
    <w:rsid w:val="55731FCA"/>
    <w:rsid w:val="558875BF"/>
    <w:rsid w:val="558D7048"/>
    <w:rsid w:val="559C3737"/>
    <w:rsid w:val="55A24610"/>
    <w:rsid w:val="55B20B19"/>
    <w:rsid w:val="55C53DB0"/>
    <w:rsid w:val="55DD22CB"/>
    <w:rsid w:val="55F160F6"/>
    <w:rsid w:val="564B6B67"/>
    <w:rsid w:val="56C02F04"/>
    <w:rsid w:val="56CE6A63"/>
    <w:rsid w:val="56D11403"/>
    <w:rsid w:val="57A468AA"/>
    <w:rsid w:val="57A600D9"/>
    <w:rsid w:val="57C71992"/>
    <w:rsid w:val="57EB7BED"/>
    <w:rsid w:val="585F7AFF"/>
    <w:rsid w:val="594320D9"/>
    <w:rsid w:val="59690389"/>
    <w:rsid w:val="59B47CE2"/>
    <w:rsid w:val="59F0737D"/>
    <w:rsid w:val="5A2860FD"/>
    <w:rsid w:val="5A2A056F"/>
    <w:rsid w:val="5A4D198C"/>
    <w:rsid w:val="5ACC1FD7"/>
    <w:rsid w:val="5AE10810"/>
    <w:rsid w:val="5B8D3163"/>
    <w:rsid w:val="5B97255D"/>
    <w:rsid w:val="5B995664"/>
    <w:rsid w:val="5B9E7106"/>
    <w:rsid w:val="5C86273B"/>
    <w:rsid w:val="5CB545BF"/>
    <w:rsid w:val="5CEA6D6B"/>
    <w:rsid w:val="5D03647F"/>
    <w:rsid w:val="5D0A0E22"/>
    <w:rsid w:val="5D2B5F12"/>
    <w:rsid w:val="5D55019E"/>
    <w:rsid w:val="5D7C0261"/>
    <w:rsid w:val="5DB66D7F"/>
    <w:rsid w:val="5DCF023F"/>
    <w:rsid w:val="5E4D4B86"/>
    <w:rsid w:val="5E53044A"/>
    <w:rsid w:val="5ECD7B7A"/>
    <w:rsid w:val="5F0E0117"/>
    <w:rsid w:val="5F18676B"/>
    <w:rsid w:val="5F5168A2"/>
    <w:rsid w:val="5F5E66CD"/>
    <w:rsid w:val="5F6915A6"/>
    <w:rsid w:val="5FC5782B"/>
    <w:rsid w:val="608179A6"/>
    <w:rsid w:val="60822E4F"/>
    <w:rsid w:val="60ED6FEA"/>
    <w:rsid w:val="6161661E"/>
    <w:rsid w:val="617D69D7"/>
    <w:rsid w:val="618136D7"/>
    <w:rsid w:val="61A5797C"/>
    <w:rsid w:val="61BA574D"/>
    <w:rsid w:val="61D22AFF"/>
    <w:rsid w:val="61DD03B3"/>
    <w:rsid w:val="61F70D99"/>
    <w:rsid w:val="62250155"/>
    <w:rsid w:val="62335D39"/>
    <w:rsid w:val="62617FB6"/>
    <w:rsid w:val="626B200B"/>
    <w:rsid w:val="62837449"/>
    <w:rsid w:val="63427C35"/>
    <w:rsid w:val="63527926"/>
    <w:rsid w:val="63A70CAC"/>
    <w:rsid w:val="63BD394B"/>
    <w:rsid w:val="63D01A06"/>
    <w:rsid w:val="63D07004"/>
    <w:rsid w:val="64326135"/>
    <w:rsid w:val="64533922"/>
    <w:rsid w:val="64745988"/>
    <w:rsid w:val="64E8140A"/>
    <w:rsid w:val="65C04AE5"/>
    <w:rsid w:val="65D87056"/>
    <w:rsid w:val="65E51A0D"/>
    <w:rsid w:val="66C22666"/>
    <w:rsid w:val="66E90549"/>
    <w:rsid w:val="67584D87"/>
    <w:rsid w:val="675D3FEF"/>
    <w:rsid w:val="680B350F"/>
    <w:rsid w:val="682C57A5"/>
    <w:rsid w:val="6832167E"/>
    <w:rsid w:val="68664B20"/>
    <w:rsid w:val="68700039"/>
    <w:rsid w:val="68A01D1C"/>
    <w:rsid w:val="68A234DF"/>
    <w:rsid w:val="6901408C"/>
    <w:rsid w:val="69EF1F65"/>
    <w:rsid w:val="69F458E3"/>
    <w:rsid w:val="6A0D63C4"/>
    <w:rsid w:val="6A1A6E5F"/>
    <w:rsid w:val="6A47013E"/>
    <w:rsid w:val="6A806889"/>
    <w:rsid w:val="6A8A3EBE"/>
    <w:rsid w:val="6AA42500"/>
    <w:rsid w:val="6AC40BF4"/>
    <w:rsid w:val="6B4B20B4"/>
    <w:rsid w:val="6B843B3D"/>
    <w:rsid w:val="6BA222EA"/>
    <w:rsid w:val="6BC96E53"/>
    <w:rsid w:val="6BFF7E6A"/>
    <w:rsid w:val="6C902218"/>
    <w:rsid w:val="6CA53DFF"/>
    <w:rsid w:val="6D5B5299"/>
    <w:rsid w:val="6D74572C"/>
    <w:rsid w:val="6DAC440C"/>
    <w:rsid w:val="6DBF6490"/>
    <w:rsid w:val="6DED2E55"/>
    <w:rsid w:val="6E41376D"/>
    <w:rsid w:val="6EA0573A"/>
    <w:rsid w:val="6F422360"/>
    <w:rsid w:val="6F5D0FB7"/>
    <w:rsid w:val="6FA01D37"/>
    <w:rsid w:val="6FA35752"/>
    <w:rsid w:val="70F51137"/>
    <w:rsid w:val="71000C9C"/>
    <w:rsid w:val="71116B21"/>
    <w:rsid w:val="71240691"/>
    <w:rsid w:val="71CF2378"/>
    <w:rsid w:val="721F1602"/>
    <w:rsid w:val="727A0A9C"/>
    <w:rsid w:val="72C7472E"/>
    <w:rsid w:val="7337161B"/>
    <w:rsid w:val="7359566D"/>
    <w:rsid w:val="737A7695"/>
    <w:rsid w:val="73E90234"/>
    <w:rsid w:val="740A5BE8"/>
    <w:rsid w:val="747B595A"/>
    <w:rsid w:val="74854658"/>
    <w:rsid w:val="74B05252"/>
    <w:rsid w:val="74E76FE8"/>
    <w:rsid w:val="75A16C5F"/>
    <w:rsid w:val="75F22C6F"/>
    <w:rsid w:val="75FE7091"/>
    <w:rsid w:val="772436F9"/>
    <w:rsid w:val="77282E60"/>
    <w:rsid w:val="774C3C09"/>
    <w:rsid w:val="78343F78"/>
    <w:rsid w:val="783A4F8D"/>
    <w:rsid w:val="786605DE"/>
    <w:rsid w:val="78801C2E"/>
    <w:rsid w:val="78BE7535"/>
    <w:rsid w:val="79297266"/>
    <w:rsid w:val="79334A93"/>
    <w:rsid w:val="798D4602"/>
    <w:rsid w:val="79A202F8"/>
    <w:rsid w:val="7A1216AE"/>
    <w:rsid w:val="7A4E5A61"/>
    <w:rsid w:val="7A6B663C"/>
    <w:rsid w:val="7A6C49DC"/>
    <w:rsid w:val="7A74474F"/>
    <w:rsid w:val="7A810345"/>
    <w:rsid w:val="7B312A5B"/>
    <w:rsid w:val="7B942659"/>
    <w:rsid w:val="7BC02235"/>
    <w:rsid w:val="7BDA41D2"/>
    <w:rsid w:val="7BE90478"/>
    <w:rsid w:val="7C244A7D"/>
    <w:rsid w:val="7C2F6CBD"/>
    <w:rsid w:val="7CD36E45"/>
    <w:rsid w:val="7CE043F9"/>
    <w:rsid w:val="7D1B3DE1"/>
    <w:rsid w:val="7D374B5B"/>
    <w:rsid w:val="7D6734F0"/>
    <w:rsid w:val="7DA07494"/>
    <w:rsid w:val="7DAE1049"/>
    <w:rsid w:val="7DC56C61"/>
    <w:rsid w:val="7DDB1943"/>
    <w:rsid w:val="7E900E36"/>
    <w:rsid w:val="7EEC495C"/>
    <w:rsid w:val="7F0D5A01"/>
    <w:rsid w:val="7F15354F"/>
    <w:rsid w:val="7F97608A"/>
    <w:rsid w:val="7FAA39F7"/>
    <w:rsid w:val="7FC51043"/>
    <w:rsid w:val="7FCC69B4"/>
    <w:rsid w:val="7FDC2445"/>
    <w:rsid w:val="7FF65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jc w:val="center"/>
      <w:outlineLvl w:val="0"/>
    </w:pPr>
    <w:rPr>
      <w:rFonts w:ascii="黑体" w:eastAsia="黑体"/>
      <w:sz w:val="28"/>
    </w:rPr>
  </w:style>
  <w:style w:type="paragraph" w:styleId="4">
    <w:name w:val="heading 2"/>
    <w:basedOn w:val="1"/>
    <w:next w:val="1"/>
    <w:link w:val="48"/>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link w:val="49"/>
    <w:qFormat/>
    <w:uiPriority w:val="0"/>
    <w:pPr>
      <w:keepNext/>
      <w:spacing w:line="320" w:lineRule="exact"/>
      <w:outlineLvl w:val="2"/>
    </w:pPr>
    <w:rPr>
      <w:rFonts w:ascii="楷体_GB2312" w:eastAsia="楷体_GB2312"/>
      <w:sz w:val="32"/>
    </w:rPr>
  </w:style>
  <w:style w:type="paragraph" w:styleId="6">
    <w:name w:val="heading 4"/>
    <w:basedOn w:val="1"/>
    <w:next w:val="1"/>
    <w:link w:val="50"/>
    <w:qFormat/>
    <w:uiPriority w:val="99"/>
    <w:pPr>
      <w:keepNext/>
      <w:spacing w:line="600" w:lineRule="exact"/>
      <w:jc w:val="center"/>
      <w:outlineLvl w:val="3"/>
    </w:pPr>
    <w:rPr>
      <w:rFonts w:ascii="楷体_GB2312" w:eastAsia="楷体_GB2312"/>
      <w:sz w:val="32"/>
    </w:rPr>
  </w:style>
  <w:style w:type="paragraph" w:styleId="7">
    <w:name w:val="heading 5"/>
    <w:basedOn w:val="1"/>
    <w:next w:val="1"/>
    <w:link w:val="51"/>
    <w:qFormat/>
    <w:uiPriority w:val="99"/>
    <w:pPr>
      <w:keepNext/>
      <w:keepLines/>
      <w:spacing w:before="280" w:after="290" w:line="376" w:lineRule="auto"/>
      <w:outlineLvl w:val="4"/>
    </w:pPr>
    <w:rPr>
      <w:b/>
      <w:bCs/>
      <w:sz w:val="28"/>
      <w:szCs w:val="28"/>
    </w:rPr>
  </w:style>
  <w:style w:type="paragraph" w:styleId="8">
    <w:name w:val="heading 6"/>
    <w:basedOn w:val="1"/>
    <w:next w:val="1"/>
    <w:link w:val="52"/>
    <w:qFormat/>
    <w:uiPriority w:val="99"/>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53"/>
    <w:qFormat/>
    <w:uiPriority w:val="99"/>
    <w:pPr>
      <w:keepNext/>
      <w:keepLines/>
      <w:widowControl/>
      <w:spacing w:before="240" w:after="64" w:line="320" w:lineRule="auto"/>
      <w:jc w:val="left"/>
      <w:outlineLvl w:val="6"/>
    </w:pPr>
    <w:rPr>
      <w:b/>
      <w:bCs/>
      <w:kern w:val="0"/>
      <w:sz w:val="24"/>
      <w:szCs w:val="24"/>
    </w:rPr>
  </w:style>
  <w:style w:type="paragraph" w:styleId="10">
    <w:name w:val="heading 8"/>
    <w:basedOn w:val="1"/>
    <w:next w:val="1"/>
    <w:link w:val="54"/>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55"/>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4"/>
      <w:lang w:val="en-US" w:eastAsia="zh-CN" w:bidi="ar-SA"/>
    </w:rPr>
  </w:style>
  <w:style w:type="paragraph" w:styleId="12">
    <w:name w:val="Normal Indent"/>
    <w:basedOn w:val="1"/>
    <w:next w:val="1"/>
    <w:link w:val="91"/>
    <w:qFormat/>
    <w:uiPriority w:val="0"/>
    <w:pPr>
      <w:ind w:firstLine="420"/>
    </w:pPr>
  </w:style>
  <w:style w:type="paragraph" w:styleId="13">
    <w:name w:val="Document Map"/>
    <w:basedOn w:val="1"/>
    <w:link w:val="56"/>
    <w:qFormat/>
    <w:uiPriority w:val="99"/>
    <w:pPr>
      <w:shd w:val="clear" w:color="auto" w:fill="000080"/>
    </w:pPr>
  </w:style>
  <w:style w:type="paragraph" w:styleId="14">
    <w:name w:val="toa heading"/>
    <w:basedOn w:val="1"/>
    <w:next w:val="1"/>
    <w:qFormat/>
    <w:locked/>
    <w:uiPriority w:val="0"/>
    <w:pPr>
      <w:spacing w:before="120"/>
    </w:pPr>
    <w:rPr>
      <w:rFonts w:ascii="Arial" w:hAnsi="Arial"/>
      <w:sz w:val="24"/>
    </w:rPr>
  </w:style>
  <w:style w:type="paragraph" w:styleId="15">
    <w:name w:val="annotation text"/>
    <w:basedOn w:val="1"/>
    <w:link w:val="57"/>
    <w:qFormat/>
    <w:uiPriority w:val="99"/>
    <w:pPr>
      <w:jc w:val="left"/>
    </w:pPr>
  </w:style>
  <w:style w:type="paragraph" w:styleId="16">
    <w:name w:val="Body Text 3"/>
    <w:basedOn w:val="1"/>
    <w:link w:val="58"/>
    <w:qFormat/>
    <w:uiPriority w:val="99"/>
    <w:pPr>
      <w:jc w:val="center"/>
    </w:pPr>
    <w:rPr>
      <w:b/>
      <w:spacing w:val="-20"/>
      <w:w w:val="110"/>
      <w:sz w:val="52"/>
    </w:rPr>
  </w:style>
  <w:style w:type="paragraph" w:styleId="17">
    <w:name w:val="Body Text"/>
    <w:basedOn w:val="1"/>
    <w:next w:val="1"/>
    <w:link w:val="59"/>
    <w:qFormat/>
    <w:uiPriority w:val="99"/>
    <w:pPr>
      <w:jc w:val="left"/>
    </w:pPr>
    <w:rPr>
      <w:rFonts w:ascii="Copperplate Gothic Bold" w:hAnsi="Copperplate Gothic Bold"/>
      <w:sz w:val="28"/>
    </w:rPr>
  </w:style>
  <w:style w:type="paragraph" w:styleId="18">
    <w:name w:val="Body Text Indent"/>
    <w:basedOn w:val="1"/>
    <w:link w:val="60"/>
    <w:qFormat/>
    <w:uiPriority w:val="99"/>
    <w:pPr>
      <w:spacing w:line="640" w:lineRule="exact"/>
      <w:ind w:firstLine="585"/>
    </w:pPr>
    <w:rPr>
      <w:rFonts w:ascii="楷体_GB2312" w:eastAsia="楷体_GB2312"/>
      <w:sz w:val="32"/>
    </w:rPr>
  </w:style>
  <w:style w:type="paragraph" w:styleId="19">
    <w:name w:val="Block Text"/>
    <w:basedOn w:val="1"/>
    <w:qFormat/>
    <w:uiPriority w:val="99"/>
    <w:pPr>
      <w:adjustRightInd w:val="0"/>
      <w:ind w:left="420" w:right="33"/>
      <w:jc w:val="left"/>
      <w:textAlignment w:val="baseline"/>
    </w:pPr>
    <w:rPr>
      <w:kern w:val="0"/>
      <w:sz w:val="24"/>
    </w:rPr>
  </w:style>
  <w:style w:type="paragraph" w:styleId="20">
    <w:name w:val="toc 3"/>
    <w:basedOn w:val="1"/>
    <w:next w:val="1"/>
    <w:qFormat/>
    <w:uiPriority w:val="99"/>
    <w:pPr>
      <w:ind w:left="840" w:leftChars="400"/>
    </w:pPr>
    <w:rPr>
      <w:szCs w:val="24"/>
    </w:rPr>
  </w:style>
  <w:style w:type="paragraph" w:styleId="21">
    <w:name w:val="Plain Text"/>
    <w:basedOn w:val="1"/>
    <w:next w:val="1"/>
    <w:link w:val="61"/>
    <w:qFormat/>
    <w:uiPriority w:val="99"/>
    <w:rPr>
      <w:rFonts w:ascii="宋体" w:hAnsi="Courier New"/>
    </w:rPr>
  </w:style>
  <w:style w:type="paragraph" w:styleId="22">
    <w:name w:val="Date"/>
    <w:basedOn w:val="1"/>
    <w:next w:val="1"/>
    <w:link w:val="62"/>
    <w:qFormat/>
    <w:uiPriority w:val="99"/>
    <w:rPr>
      <w:rFonts w:ascii="Copperplate Gothic Bold" w:hAnsi="Copperplate Gothic Bold"/>
      <w:sz w:val="32"/>
    </w:rPr>
  </w:style>
  <w:style w:type="paragraph" w:styleId="23">
    <w:name w:val="Body Text Indent 2"/>
    <w:basedOn w:val="1"/>
    <w:link w:val="63"/>
    <w:qFormat/>
    <w:uiPriority w:val="99"/>
    <w:pPr>
      <w:spacing w:line="640" w:lineRule="exact"/>
      <w:ind w:firstLine="645"/>
    </w:pPr>
    <w:rPr>
      <w:rFonts w:ascii="楷体_GB2312" w:eastAsia="楷体_GB2312"/>
      <w:sz w:val="32"/>
    </w:rPr>
  </w:style>
  <w:style w:type="paragraph" w:styleId="24">
    <w:name w:val="Balloon Text"/>
    <w:basedOn w:val="1"/>
    <w:link w:val="64"/>
    <w:qFormat/>
    <w:uiPriority w:val="99"/>
    <w:rPr>
      <w:sz w:val="18"/>
      <w:szCs w:val="18"/>
    </w:rPr>
  </w:style>
  <w:style w:type="paragraph" w:styleId="25">
    <w:name w:val="footer"/>
    <w:basedOn w:val="1"/>
    <w:link w:val="65"/>
    <w:qFormat/>
    <w:uiPriority w:val="99"/>
    <w:pPr>
      <w:tabs>
        <w:tab w:val="center" w:pos="4153"/>
        <w:tab w:val="right" w:pos="8306"/>
      </w:tabs>
      <w:snapToGrid w:val="0"/>
      <w:jc w:val="left"/>
    </w:pPr>
    <w:rPr>
      <w:sz w:val="18"/>
      <w:szCs w:val="18"/>
    </w:rPr>
  </w:style>
  <w:style w:type="paragraph" w:styleId="26">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spacing w:line="720" w:lineRule="auto"/>
    </w:pPr>
    <w:rPr>
      <w:szCs w:val="24"/>
    </w:rPr>
  </w:style>
  <w:style w:type="paragraph" w:styleId="28">
    <w:name w:val="Body Text Indent 3"/>
    <w:basedOn w:val="1"/>
    <w:link w:val="67"/>
    <w:qFormat/>
    <w:uiPriority w:val="99"/>
    <w:pPr>
      <w:ind w:firstLine="645"/>
    </w:pPr>
    <w:rPr>
      <w:rFonts w:ascii="宋体" w:hAnsi="Copperplate Gothic Bold"/>
      <w:sz w:val="28"/>
    </w:rPr>
  </w:style>
  <w:style w:type="paragraph" w:styleId="29">
    <w:name w:val="toc 2"/>
    <w:basedOn w:val="1"/>
    <w:next w:val="1"/>
    <w:qFormat/>
    <w:uiPriority w:val="99"/>
    <w:pPr>
      <w:ind w:left="420" w:leftChars="200"/>
    </w:pPr>
    <w:rPr>
      <w:szCs w:val="24"/>
    </w:rPr>
  </w:style>
  <w:style w:type="paragraph" w:styleId="30">
    <w:name w:val="Body Text 2"/>
    <w:basedOn w:val="1"/>
    <w:link w:val="68"/>
    <w:qFormat/>
    <w:uiPriority w:val="99"/>
    <w:rPr>
      <w:rFonts w:ascii="楷体_GB2312" w:hAnsi="Copperplate Gothic Bold" w:eastAsia="楷体_GB2312"/>
      <w:sz w:val="28"/>
    </w:rPr>
  </w:style>
  <w:style w:type="paragraph" w:styleId="31">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qFormat/>
    <w:locked/>
    <w:uiPriority w:val="0"/>
  </w:style>
  <w:style w:type="paragraph" w:styleId="33">
    <w:name w:val="Title"/>
    <w:basedOn w:val="1"/>
    <w:link w:val="69"/>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paragraph" w:styleId="34">
    <w:name w:val="Body Text First Indent"/>
    <w:basedOn w:val="17"/>
    <w:next w:val="35"/>
    <w:qFormat/>
    <w:locked/>
    <w:uiPriority w:val="0"/>
    <w:pPr>
      <w:adjustRightInd w:val="0"/>
      <w:ind w:firstLine="420"/>
      <w:textAlignment w:val="baseline"/>
    </w:pPr>
    <w:rPr>
      <w:kern w:val="0"/>
    </w:rPr>
  </w:style>
  <w:style w:type="paragraph" w:styleId="35">
    <w:name w:val="Body Text First Indent 2"/>
    <w:basedOn w:val="18"/>
    <w:next w:val="1"/>
    <w:qFormat/>
    <w:locked/>
    <w:uiPriority w:val="99"/>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99"/>
    <w:rPr>
      <w:rFonts w:cs="Times New Roman"/>
      <w:b/>
    </w:rPr>
  </w:style>
  <w:style w:type="character" w:styleId="40">
    <w:name w:val="page number"/>
    <w:basedOn w:val="38"/>
    <w:qFormat/>
    <w:uiPriority w:val="99"/>
    <w:rPr>
      <w:rFonts w:cs="Times New Roman"/>
    </w:rPr>
  </w:style>
  <w:style w:type="character" w:styleId="41">
    <w:name w:val="FollowedHyperlink"/>
    <w:basedOn w:val="38"/>
    <w:qFormat/>
    <w:uiPriority w:val="99"/>
    <w:rPr>
      <w:rFonts w:cs="Times New Roman"/>
      <w:color w:val="800080"/>
      <w:u w:val="single"/>
    </w:rPr>
  </w:style>
  <w:style w:type="character" w:styleId="42">
    <w:name w:val="Emphasis"/>
    <w:basedOn w:val="38"/>
    <w:qFormat/>
    <w:uiPriority w:val="99"/>
    <w:rPr>
      <w:rFonts w:cs="Times New Roman"/>
      <w:i/>
      <w:iCs/>
    </w:rPr>
  </w:style>
  <w:style w:type="character" w:styleId="43">
    <w:name w:val="Hyperlink"/>
    <w:basedOn w:val="38"/>
    <w:qFormat/>
    <w:uiPriority w:val="99"/>
    <w:rPr>
      <w:rFonts w:cs="Times New Roman"/>
      <w:color w:val="0000FF"/>
      <w:u w:val="single"/>
    </w:rPr>
  </w:style>
  <w:style w:type="character" w:styleId="44">
    <w:name w:val="annotation reference"/>
    <w:basedOn w:val="38"/>
    <w:qFormat/>
    <w:uiPriority w:val="99"/>
    <w:rPr>
      <w:rFonts w:cs="Times New Roman"/>
      <w:sz w:val="21"/>
    </w:rPr>
  </w:style>
  <w:style w:type="paragraph" w:customStyle="1" w:styleId="45">
    <w:name w:val="列出段落1"/>
    <w:basedOn w:val="1"/>
    <w:qFormat/>
    <w:uiPriority w:val="99"/>
    <w:pPr>
      <w:ind w:firstLine="420" w:firstLineChars="200"/>
    </w:pPr>
  </w:style>
  <w:style w:type="paragraph" w:customStyle="1" w:styleId="46">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7">
    <w:name w:val="标题 1 字符"/>
    <w:basedOn w:val="38"/>
    <w:link w:val="3"/>
    <w:qFormat/>
    <w:locked/>
    <w:uiPriority w:val="0"/>
    <w:rPr>
      <w:rFonts w:ascii="黑体" w:hAnsi="Times New Roman" w:eastAsia="黑体" w:cs="Times New Roman"/>
      <w:sz w:val="20"/>
      <w:szCs w:val="20"/>
    </w:rPr>
  </w:style>
  <w:style w:type="character" w:customStyle="1" w:styleId="48">
    <w:name w:val="标题 2 字符"/>
    <w:basedOn w:val="38"/>
    <w:link w:val="4"/>
    <w:qFormat/>
    <w:locked/>
    <w:uiPriority w:val="0"/>
    <w:rPr>
      <w:rFonts w:ascii="黑体" w:hAnsi="Copperplate Gothic Bold" w:eastAsia="楷体_GB2312" w:cs="Times New Roman"/>
      <w:sz w:val="20"/>
      <w:szCs w:val="20"/>
    </w:rPr>
  </w:style>
  <w:style w:type="character" w:customStyle="1" w:styleId="49">
    <w:name w:val="标题 3 字符"/>
    <w:basedOn w:val="38"/>
    <w:link w:val="5"/>
    <w:qFormat/>
    <w:locked/>
    <w:uiPriority w:val="0"/>
    <w:rPr>
      <w:rFonts w:ascii="楷体_GB2312" w:hAnsi="Times New Roman" w:eastAsia="楷体_GB2312" w:cs="Times New Roman"/>
      <w:sz w:val="20"/>
      <w:szCs w:val="20"/>
    </w:rPr>
  </w:style>
  <w:style w:type="character" w:customStyle="1" w:styleId="50">
    <w:name w:val="标题 4 字符"/>
    <w:basedOn w:val="38"/>
    <w:link w:val="6"/>
    <w:qFormat/>
    <w:locked/>
    <w:uiPriority w:val="99"/>
    <w:rPr>
      <w:rFonts w:ascii="楷体_GB2312" w:hAnsi="Times New Roman" w:eastAsia="楷体_GB2312" w:cs="Times New Roman"/>
      <w:sz w:val="20"/>
      <w:szCs w:val="20"/>
    </w:rPr>
  </w:style>
  <w:style w:type="character" w:customStyle="1" w:styleId="51">
    <w:name w:val="标题 5 字符"/>
    <w:basedOn w:val="38"/>
    <w:link w:val="7"/>
    <w:qFormat/>
    <w:locked/>
    <w:uiPriority w:val="99"/>
    <w:rPr>
      <w:rFonts w:cs="Times New Roman"/>
      <w:b/>
      <w:bCs/>
      <w:kern w:val="2"/>
      <w:sz w:val="28"/>
      <w:szCs w:val="28"/>
    </w:rPr>
  </w:style>
  <w:style w:type="character" w:customStyle="1" w:styleId="52">
    <w:name w:val="标题 6 字符"/>
    <w:basedOn w:val="38"/>
    <w:link w:val="8"/>
    <w:qFormat/>
    <w:locked/>
    <w:uiPriority w:val="99"/>
    <w:rPr>
      <w:rFonts w:ascii="Arial" w:hAnsi="Arial" w:eastAsia="黑体" w:cs="Times New Roman"/>
      <w:b/>
      <w:bCs/>
      <w:sz w:val="24"/>
      <w:szCs w:val="24"/>
    </w:rPr>
  </w:style>
  <w:style w:type="character" w:customStyle="1" w:styleId="53">
    <w:name w:val="标题 7 字符"/>
    <w:basedOn w:val="38"/>
    <w:link w:val="9"/>
    <w:qFormat/>
    <w:locked/>
    <w:uiPriority w:val="99"/>
    <w:rPr>
      <w:rFonts w:cs="Times New Roman"/>
      <w:b/>
      <w:bCs/>
      <w:sz w:val="24"/>
      <w:szCs w:val="24"/>
    </w:rPr>
  </w:style>
  <w:style w:type="character" w:customStyle="1" w:styleId="54">
    <w:name w:val="标题 8 字符"/>
    <w:basedOn w:val="38"/>
    <w:link w:val="10"/>
    <w:qFormat/>
    <w:locked/>
    <w:uiPriority w:val="99"/>
    <w:rPr>
      <w:rFonts w:ascii="Arial" w:hAnsi="Arial" w:eastAsia="黑体" w:cs="Times New Roman"/>
      <w:sz w:val="24"/>
      <w:szCs w:val="24"/>
    </w:rPr>
  </w:style>
  <w:style w:type="character" w:customStyle="1" w:styleId="55">
    <w:name w:val="标题 9 字符"/>
    <w:basedOn w:val="38"/>
    <w:link w:val="11"/>
    <w:qFormat/>
    <w:locked/>
    <w:uiPriority w:val="99"/>
    <w:rPr>
      <w:rFonts w:ascii="Arial" w:hAnsi="Arial" w:eastAsia="黑体" w:cs="Times New Roman"/>
      <w:sz w:val="21"/>
      <w:szCs w:val="21"/>
    </w:rPr>
  </w:style>
  <w:style w:type="character" w:customStyle="1" w:styleId="56">
    <w:name w:val="文档结构图 字符"/>
    <w:basedOn w:val="38"/>
    <w:link w:val="13"/>
    <w:semiHidden/>
    <w:qFormat/>
    <w:locked/>
    <w:uiPriority w:val="99"/>
    <w:rPr>
      <w:rFonts w:ascii="Times New Roman" w:hAnsi="Times New Roman" w:eastAsia="宋体" w:cs="Times New Roman"/>
      <w:sz w:val="20"/>
      <w:szCs w:val="20"/>
      <w:shd w:val="clear" w:color="auto" w:fill="000080"/>
    </w:rPr>
  </w:style>
  <w:style w:type="character" w:customStyle="1" w:styleId="57">
    <w:name w:val="批注文字 字符"/>
    <w:basedOn w:val="38"/>
    <w:link w:val="15"/>
    <w:semiHidden/>
    <w:qFormat/>
    <w:locked/>
    <w:uiPriority w:val="99"/>
    <w:rPr>
      <w:rFonts w:ascii="Times New Roman" w:hAnsi="Times New Roman" w:eastAsia="宋体" w:cs="Times New Roman"/>
      <w:sz w:val="20"/>
      <w:szCs w:val="20"/>
    </w:rPr>
  </w:style>
  <w:style w:type="character" w:customStyle="1" w:styleId="58">
    <w:name w:val="正文文本 3 字符"/>
    <w:basedOn w:val="38"/>
    <w:link w:val="16"/>
    <w:qFormat/>
    <w:locked/>
    <w:uiPriority w:val="99"/>
    <w:rPr>
      <w:rFonts w:ascii="Times New Roman" w:hAnsi="Times New Roman" w:eastAsia="宋体" w:cs="Times New Roman"/>
      <w:b/>
      <w:spacing w:val="-20"/>
      <w:w w:val="110"/>
      <w:sz w:val="20"/>
      <w:szCs w:val="20"/>
    </w:rPr>
  </w:style>
  <w:style w:type="character" w:customStyle="1" w:styleId="59">
    <w:name w:val="正文文本 字符"/>
    <w:basedOn w:val="38"/>
    <w:link w:val="17"/>
    <w:qFormat/>
    <w:locked/>
    <w:uiPriority w:val="99"/>
    <w:rPr>
      <w:rFonts w:ascii="Copperplate Gothic Bold" w:hAnsi="Copperplate Gothic Bold" w:eastAsia="宋体" w:cs="Times New Roman"/>
      <w:sz w:val="20"/>
      <w:szCs w:val="20"/>
    </w:rPr>
  </w:style>
  <w:style w:type="character" w:customStyle="1" w:styleId="60">
    <w:name w:val="正文文本缩进 字符"/>
    <w:basedOn w:val="38"/>
    <w:link w:val="18"/>
    <w:qFormat/>
    <w:locked/>
    <w:uiPriority w:val="99"/>
    <w:rPr>
      <w:rFonts w:ascii="楷体_GB2312" w:hAnsi="Times New Roman" w:eastAsia="楷体_GB2312" w:cs="Times New Roman"/>
      <w:sz w:val="20"/>
      <w:szCs w:val="20"/>
    </w:rPr>
  </w:style>
  <w:style w:type="character" w:customStyle="1" w:styleId="61">
    <w:name w:val="纯文本 字符"/>
    <w:basedOn w:val="38"/>
    <w:link w:val="21"/>
    <w:qFormat/>
    <w:locked/>
    <w:uiPriority w:val="99"/>
    <w:rPr>
      <w:rFonts w:ascii="宋体" w:hAnsi="Courier New" w:eastAsia="宋体" w:cs="Times New Roman"/>
      <w:sz w:val="20"/>
      <w:szCs w:val="20"/>
    </w:rPr>
  </w:style>
  <w:style w:type="character" w:customStyle="1" w:styleId="62">
    <w:name w:val="日期 字符"/>
    <w:basedOn w:val="38"/>
    <w:link w:val="22"/>
    <w:qFormat/>
    <w:locked/>
    <w:uiPriority w:val="99"/>
    <w:rPr>
      <w:rFonts w:ascii="Copperplate Gothic Bold" w:hAnsi="Copperplate Gothic Bold" w:eastAsia="宋体" w:cs="Times New Roman"/>
      <w:sz w:val="20"/>
      <w:szCs w:val="20"/>
    </w:rPr>
  </w:style>
  <w:style w:type="character" w:customStyle="1" w:styleId="63">
    <w:name w:val="正文文本缩进 2 字符"/>
    <w:basedOn w:val="38"/>
    <w:link w:val="23"/>
    <w:qFormat/>
    <w:locked/>
    <w:uiPriority w:val="99"/>
    <w:rPr>
      <w:rFonts w:ascii="楷体_GB2312" w:hAnsi="Times New Roman" w:eastAsia="楷体_GB2312" w:cs="Times New Roman"/>
      <w:sz w:val="20"/>
      <w:szCs w:val="20"/>
    </w:rPr>
  </w:style>
  <w:style w:type="character" w:customStyle="1" w:styleId="64">
    <w:name w:val="批注框文本 字符"/>
    <w:basedOn w:val="38"/>
    <w:link w:val="24"/>
    <w:semiHidden/>
    <w:qFormat/>
    <w:locked/>
    <w:uiPriority w:val="99"/>
    <w:rPr>
      <w:rFonts w:ascii="Times New Roman" w:hAnsi="Times New Roman" w:eastAsia="宋体" w:cs="Times New Roman"/>
      <w:sz w:val="18"/>
      <w:szCs w:val="18"/>
    </w:rPr>
  </w:style>
  <w:style w:type="character" w:customStyle="1" w:styleId="65">
    <w:name w:val="页脚 字符"/>
    <w:basedOn w:val="38"/>
    <w:link w:val="25"/>
    <w:qFormat/>
    <w:locked/>
    <w:uiPriority w:val="99"/>
    <w:rPr>
      <w:rFonts w:cs="Times New Roman"/>
      <w:sz w:val="18"/>
      <w:szCs w:val="18"/>
    </w:rPr>
  </w:style>
  <w:style w:type="character" w:customStyle="1" w:styleId="66">
    <w:name w:val="页眉 字符"/>
    <w:basedOn w:val="38"/>
    <w:link w:val="26"/>
    <w:qFormat/>
    <w:locked/>
    <w:uiPriority w:val="99"/>
    <w:rPr>
      <w:rFonts w:cs="Times New Roman"/>
      <w:sz w:val="18"/>
      <w:szCs w:val="18"/>
    </w:rPr>
  </w:style>
  <w:style w:type="character" w:customStyle="1" w:styleId="67">
    <w:name w:val="正文文本缩进 3 字符"/>
    <w:basedOn w:val="38"/>
    <w:link w:val="28"/>
    <w:qFormat/>
    <w:locked/>
    <w:uiPriority w:val="99"/>
    <w:rPr>
      <w:rFonts w:ascii="宋体" w:hAnsi="Copperplate Gothic Bold" w:eastAsia="宋体" w:cs="Times New Roman"/>
      <w:sz w:val="20"/>
      <w:szCs w:val="20"/>
    </w:rPr>
  </w:style>
  <w:style w:type="character" w:customStyle="1" w:styleId="68">
    <w:name w:val="正文文本 2 字符"/>
    <w:basedOn w:val="38"/>
    <w:link w:val="30"/>
    <w:qFormat/>
    <w:locked/>
    <w:uiPriority w:val="99"/>
    <w:rPr>
      <w:rFonts w:ascii="楷体_GB2312" w:hAnsi="Copperplate Gothic Bold" w:eastAsia="楷体_GB2312" w:cs="Times New Roman"/>
      <w:sz w:val="20"/>
      <w:szCs w:val="20"/>
    </w:rPr>
  </w:style>
  <w:style w:type="character" w:customStyle="1" w:styleId="69">
    <w:name w:val="标题 字符"/>
    <w:basedOn w:val="38"/>
    <w:link w:val="33"/>
    <w:qFormat/>
    <w:locked/>
    <w:uiPriority w:val="99"/>
    <w:rPr>
      <w:rFonts w:ascii="Arial" w:hAnsi="Arial" w:eastAsia="楷体_GB2312" w:cs="Arial"/>
      <w:b/>
      <w:sz w:val="32"/>
      <w:szCs w:val="32"/>
    </w:rPr>
  </w:style>
  <w:style w:type="paragraph" w:customStyle="1" w:styleId="70">
    <w:name w:val="缺省文本"/>
    <w:basedOn w:val="1"/>
    <w:qFormat/>
    <w:uiPriority w:val="99"/>
    <w:pPr>
      <w:autoSpaceDE w:val="0"/>
      <w:autoSpaceDN w:val="0"/>
      <w:adjustRightInd w:val="0"/>
      <w:jc w:val="left"/>
    </w:pPr>
    <w:rPr>
      <w:kern w:val="0"/>
      <w:sz w:val="24"/>
    </w:rPr>
  </w:style>
  <w:style w:type="paragraph" w:customStyle="1" w:styleId="71">
    <w:name w:val="??¨???¨????ì?¨¨??¨?o??????ì?¨¨?"/>
    <w:basedOn w:val="1"/>
    <w:qFormat/>
    <w:uiPriority w:val="99"/>
    <w:pPr>
      <w:autoSpaceDE w:val="0"/>
      <w:autoSpaceDN w:val="0"/>
      <w:adjustRightInd w:val="0"/>
      <w:jc w:val="left"/>
    </w:pPr>
    <w:rPr>
      <w:kern w:val="0"/>
      <w:sz w:val="24"/>
    </w:rPr>
  </w:style>
  <w:style w:type="paragraph" w:customStyle="1" w:styleId="72">
    <w:name w:val="?§?§?¨¤?§o????¨¤?"/>
    <w:basedOn w:val="1"/>
    <w:qFormat/>
    <w:uiPriority w:val="99"/>
    <w:pPr>
      <w:autoSpaceDE w:val="0"/>
      <w:autoSpaceDN w:val="0"/>
      <w:adjustRightInd w:val="0"/>
      <w:jc w:val="left"/>
    </w:pPr>
    <w:rPr>
      <w:kern w:val="0"/>
      <w:sz w:val="24"/>
    </w:rPr>
  </w:style>
  <w:style w:type="paragraph" w:customStyle="1" w:styleId="73">
    <w:name w:val="正文段"/>
    <w:basedOn w:val="1"/>
    <w:qFormat/>
    <w:uiPriority w:val="99"/>
    <w:pPr>
      <w:adjustRightInd w:val="0"/>
      <w:snapToGrid w:val="0"/>
      <w:spacing w:line="360" w:lineRule="auto"/>
    </w:pPr>
    <w:rPr>
      <w:rFonts w:eastAsia="仿宋_GB2312"/>
      <w:spacing w:val="-8"/>
      <w:sz w:val="24"/>
    </w:rPr>
  </w:style>
  <w:style w:type="paragraph" w:customStyle="1" w:styleId="74">
    <w:name w:val="Char"/>
    <w:basedOn w:val="1"/>
    <w:qFormat/>
    <w:uiPriority w:val="99"/>
    <w:rPr>
      <w:rFonts w:ascii="Tahoma" w:hAnsi="Tahoma"/>
      <w:sz w:val="24"/>
    </w:rPr>
  </w:style>
  <w:style w:type="paragraph" w:customStyle="1" w:styleId="75">
    <w:name w:val="Char Char Char"/>
    <w:basedOn w:val="1"/>
    <w:qFormat/>
    <w:uiPriority w:val="99"/>
  </w:style>
  <w:style w:type="paragraph" w:customStyle="1" w:styleId="76">
    <w:name w:val="Char Char Char Char"/>
    <w:basedOn w:val="1"/>
    <w:qFormat/>
    <w:uiPriority w:val="99"/>
    <w:pPr>
      <w:widowControl/>
      <w:spacing w:after="160" w:line="240" w:lineRule="exact"/>
      <w:jc w:val="center"/>
    </w:pPr>
    <w:rPr>
      <w:rFonts w:ascii="宋体" w:hAnsi="宋体"/>
      <w:b/>
      <w:kern w:val="0"/>
      <w:sz w:val="28"/>
      <w:szCs w:val="28"/>
      <w:lang w:eastAsia="en-US"/>
    </w:rPr>
  </w:style>
  <w:style w:type="paragraph" w:customStyle="1" w:styleId="77">
    <w:name w:val="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78">
    <w:name w:val="文档正文"/>
    <w:basedOn w:val="1"/>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图"/>
    <w:basedOn w:val="1"/>
    <w:next w:val="78"/>
    <w:qFormat/>
    <w:uiPriority w:val="99"/>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81">
    <w:name w:val="Char1"/>
    <w:basedOn w:val="1"/>
    <w:qFormat/>
    <w:uiPriority w:val="0"/>
    <w:pPr>
      <w:tabs>
        <w:tab w:val="left" w:pos="360"/>
      </w:tabs>
    </w:pPr>
    <w:rPr>
      <w:sz w:val="24"/>
      <w:szCs w:val="24"/>
    </w:rPr>
  </w:style>
  <w:style w:type="paragraph" w:customStyle="1" w:styleId="82">
    <w:name w:val="Char1 Char Char Char"/>
    <w:basedOn w:val="1"/>
    <w:qFormat/>
    <w:uiPriority w:val="99"/>
    <w:rPr>
      <w:rFonts w:ascii="Tahoma" w:hAnsi="Tahoma"/>
      <w:szCs w:val="24"/>
    </w:rPr>
  </w:style>
  <w:style w:type="paragraph" w:customStyle="1" w:styleId="83">
    <w:name w:val="1册标题2"/>
    <w:basedOn w:val="1"/>
    <w:next w:val="1"/>
    <w:qFormat/>
    <w:uiPriority w:val="99"/>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4">
    <w:name w:val="Char Char Char Char1"/>
    <w:basedOn w:val="1"/>
    <w:qFormat/>
    <w:uiPriority w:val="99"/>
    <w:pPr>
      <w:tabs>
        <w:tab w:val="left" w:pos="360"/>
      </w:tabs>
    </w:pPr>
    <w:rPr>
      <w:sz w:val="24"/>
      <w:szCs w:val="24"/>
    </w:rPr>
  </w:style>
  <w:style w:type="paragraph" w:customStyle="1" w:styleId="85">
    <w:name w:val="pa-11"/>
    <w:basedOn w:val="1"/>
    <w:qFormat/>
    <w:uiPriority w:val="99"/>
    <w:pPr>
      <w:widowControl/>
      <w:spacing w:line="400" w:lineRule="atLeast"/>
      <w:jc w:val="center"/>
    </w:pPr>
    <w:rPr>
      <w:rFonts w:ascii="宋体" w:hAnsi="宋体" w:cs="宋体"/>
      <w:kern w:val="0"/>
      <w:sz w:val="24"/>
      <w:szCs w:val="24"/>
    </w:rPr>
  </w:style>
  <w:style w:type="paragraph" w:customStyle="1" w:styleId="86">
    <w:name w:val="正文基本样式"/>
    <w:basedOn w:val="1"/>
    <w:qFormat/>
    <w:uiPriority w:val="99"/>
    <w:pPr>
      <w:spacing w:line="336" w:lineRule="auto"/>
      <w:ind w:firstLine="580"/>
    </w:pPr>
    <w:rPr>
      <w:rFonts w:eastAsia="仿宋_GB2312" w:cs="宋体"/>
      <w:sz w:val="28"/>
    </w:rPr>
  </w:style>
  <w:style w:type="character" w:customStyle="1" w:styleId="87">
    <w:name w:val="base"/>
    <w:basedOn w:val="38"/>
    <w:qFormat/>
    <w:uiPriority w:val="99"/>
    <w:rPr>
      <w:rFonts w:cs="Times New Roman"/>
    </w:rPr>
  </w:style>
  <w:style w:type="character" w:customStyle="1" w:styleId="88">
    <w:name w:val="unnamed11"/>
    <w:basedOn w:val="38"/>
    <w:qFormat/>
    <w:uiPriority w:val="99"/>
    <w:rPr>
      <w:rFonts w:cs="Times New Roman"/>
    </w:rPr>
  </w:style>
  <w:style w:type="character" w:customStyle="1" w:styleId="89">
    <w:name w:val="style4"/>
    <w:basedOn w:val="38"/>
    <w:qFormat/>
    <w:uiPriority w:val="99"/>
    <w:rPr>
      <w:rFonts w:ascii="Arial" w:hAnsi="Arial" w:cs="Arial"/>
      <w:sz w:val="20"/>
      <w:szCs w:val="20"/>
    </w:rPr>
  </w:style>
  <w:style w:type="character" w:customStyle="1" w:styleId="90">
    <w:name w:val="Char Char3"/>
    <w:basedOn w:val="38"/>
    <w:qFormat/>
    <w:uiPriority w:val="99"/>
    <w:rPr>
      <w:rFonts w:eastAsia="宋体" w:cs="Times New Roman"/>
      <w:kern w:val="2"/>
      <w:sz w:val="18"/>
      <w:lang w:val="en-US" w:eastAsia="zh-CN" w:bidi="ar-SA"/>
    </w:rPr>
  </w:style>
  <w:style w:type="character" w:customStyle="1" w:styleId="91">
    <w:name w:val="正文缩进 字符"/>
    <w:basedOn w:val="38"/>
    <w:link w:val="12"/>
    <w:qFormat/>
    <w:locked/>
    <w:uiPriority w:val="0"/>
    <w:rPr>
      <w:rFonts w:ascii="Times New Roman" w:hAnsi="Times New Roman" w:eastAsia="宋体" w:cs="Times New Roman"/>
      <w:sz w:val="20"/>
      <w:szCs w:val="20"/>
    </w:rPr>
  </w:style>
  <w:style w:type="character" w:customStyle="1" w:styleId="92">
    <w:name w:val="hui3"/>
    <w:basedOn w:val="38"/>
    <w:qFormat/>
    <w:uiPriority w:val="99"/>
    <w:rPr>
      <w:rFonts w:cs="Times New Roman"/>
      <w:color w:val="333333"/>
    </w:rPr>
  </w:style>
  <w:style w:type="paragraph" w:customStyle="1" w:styleId="93">
    <w:name w:val="List Paragraph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94">
    <w:name w:val="Blockquote Char Char"/>
    <w:link w:val="95"/>
    <w:qFormat/>
    <w:locked/>
    <w:uiPriority w:val="99"/>
    <w:rPr>
      <w:sz w:val="24"/>
    </w:rPr>
  </w:style>
  <w:style w:type="paragraph" w:customStyle="1" w:styleId="95">
    <w:name w:val="Blockquote"/>
    <w:basedOn w:val="1"/>
    <w:link w:val="94"/>
    <w:qFormat/>
    <w:uiPriority w:val="99"/>
    <w:pPr>
      <w:autoSpaceDE w:val="0"/>
      <w:autoSpaceDN w:val="0"/>
      <w:adjustRightInd w:val="0"/>
      <w:spacing w:before="100" w:after="100"/>
      <w:ind w:left="360" w:right="360"/>
      <w:jc w:val="left"/>
    </w:pPr>
    <w:rPr>
      <w:kern w:val="0"/>
      <w:sz w:val="24"/>
    </w:rPr>
  </w:style>
  <w:style w:type="character" w:customStyle="1" w:styleId="96">
    <w:name w:val="rili11"/>
    <w:qFormat/>
    <w:uiPriority w:val="99"/>
    <w:rPr>
      <w:sz w:val="21"/>
    </w:rPr>
  </w:style>
  <w:style w:type="character" w:customStyle="1" w:styleId="97">
    <w:name w:val="Char Char Char Char Char Char Char Char Char"/>
    <w:qFormat/>
    <w:uiPriority w:val="99"/>
    <w:rPr>
      <w:sz w:val="18"/>
    </w:rPr>
  </w:style>
  <w:style w:type="paragraph" w:customStyle="1" w:styleId="98">
    <w:name w:val="Char2"/>
    <w:basedOn w:val="1"/>
    <w:qFormat/>
    <w:uiPriority w:val="99"/>
    <w:pPr>
      <w:widowControl/>
      <w:spacing w:after="160" w:line="240" w:lineRule="exact"/>
      <w:jc w:val="left"/>
    </w:pPr>
    <w:rPr>
      <w:szCs w:val="24"/>
    </w:rPr>
  </w:style>
  <w:style w:type="paragraph" w:customStyle="1" w:styleId="99">
    <w:name w:val="表格文字"/>
    <w:basedOn w:val="1"/>
    <w:qFormat/>
    <w:uiPriority w:val="99"/>
    <w:pPr>
      <w:adjustRightInd w:val="0"/>
      <w:spacing w:line="420" w:lineRule="atLeast"/>
      <w:jc w:val="left"/>
      <w:textAlignment w:val="baseline"/>
    </w:pPr>
    <w:rPr>
      <w:kern w:val="0"/>
    </w:rPr>
  </w:style>
  <w:style w:type="paragraph" w:customStyle="1" w:styleId="10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01">
    <w:name w:val="Char Char1"/>
    <w:basedOn w:val="1"/>
    <w:qFormat/>
    <w:uiPriority w:val="99"/>
    <w:pPr>
      <w:adjustRightInd w:val="0"/>
      <w:spacing w:line="440" w:lineRule="exact"/>
    </w:pPr>
    <w:rPr>
      <w:rFonts w:ascii="宋体"/>
      <w:kern w:val="0"/>
      <w:sz w:val="28"/>
      <w:szCs w:val="27"/>
    </w:rPr>
  </w:style>
  <w:style w:type="paragraph" w:customStyle="1" w:styleId="102">
    <w:name w:val="Char Char1 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3">
    <w:name w:val="Char Char1 Char Char Char Char Char Char Char Char Char Char Char Char 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04">
    <w:name w:val="Char Char Char1"/>
    <w:basedOn w:val="1"/>
    <w:qFormat/>
    <w:uiPriority w:val="99"/>
    <w:pPr>
      <w:widowControl/>
      <w:spacing w:after="160" w:line="240" w:lineRule="exact"/>
      <w:jc w:val="left"/>
    </w:pPr>
    <w:rPr>
      <w:szCs w:val="24"/>
    </w:rPr>
  </w:style>
  <w:style w:type="paragraph" w:customStyle="1" w:styleId="105">
    <w:name w:val="Char Char Char Char Char Char Char"/>
    <w:basedOn w:val="1"/>
    <w:qFormat/>
    <w:uiPriority w:val="99"/>
    <w:rPr>
      <w:rFonts w:ascii="Tahoma" w:hAnsi="Tahoma"/>
      <w:sz w:val="24"/>
    </w:rPr>
  </w:style>
  <w:style w:type="paragraph" w:customStyle="1" w:styleId="106">
    <w:name w:val="Char Char Char Char Char Char Char1"/>
    <w:basedOn w:val="1"/>
    <w:qFormat/>
    <w:uiPriority w:val="99"/>
    <w:rPr>
      <w:rFonts w:ascii="Tahoma" w:hAnsi="Tahoma"/>
      <w:sz w:val="24"/>
      <w:szCs w:val="24"/>
    </w:rPr>
  </w:style>
  <w:style w:type="paragraph" w:customStyle="1" w:styleId="107">
    <w:name w:val="目录"/>
    <w:basedOn w:val="1"/>
    <w:qFormat/>
    <w:uiPriority w:val="99"/>
    <w:pPr>
      <w:widowControl/>
      <w:jc w:val="center"/>
    </w:pPr>
    <w:rPr>
      <w:rFonts w:ascii="宋体"/>
      <w:b/>
      <w:kern w:val="0"/>
      <w:sz w:val="36"/>
    </w:rPr>
  </w:style>
  <w:style w:type="paragraph" w:customStyle="1" w:styleId="108">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09">
    <w:name w:val="Char Char Char Char2"/>
    <w:basedOn w:val="1"/>
    <w:qFormat/>
    <w:uiPriority w:val="99"/>
    <w:pPr>
      <w:widowControl/>
      <w:spacing w:after="160" w:line="240" w:lineRule="exact"/>
      <w:jc w:val="left"/>
    </w:pPr>
    <w:rPr>
      <w:szCs w:val="24"/>
    </w:rPr>
  </w:style>
  <w:style w:type="paragraph" w:customStyle="1" w:styleId="1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1">
    <w:name w:val="列表段落 字符"/>
    <w:link w:val="112"/>
    <w:qFormat/>
    <w:uiPriority w:val="0"/>
    <w:rPr>
      <w:szCs w:val="24"/>
    </w:rPr>
  </w:style>
  <w:style w:type="paragraph" w:customStyle="1" w:styleId="112">
    <w:name w:val="列表段落1"/>
    <w:basedOn w:val="1"/>
    <w:link w:val="111"/>
    <w:qFormat/>
    <w:uiPriority w:val="0"/>
    <w:pPr>
      <w:ind w:firstLine="420" w:firstLineChars="200"/>
    </w:pPr>
    <w:rPr>
      <w:szCs w:val="24"/>
    </w:rPr>
  </w:style>
  <w:style w:type="paragraph" w:customStyle="1" w:styleId="113">
    <w:name w:val="表格"/>
    <w:basedOn w:val="1"/>
    <w:qFormat/>
    <w:uiPriority w:val="0"/>
    <w:pPr>
      <w:spacing w:line="400" w:lineRule="exact"/>
    </w:pPr>
    <w:rPr>
      <w:sz w:val="24"/>
      <w:szCs w:val="24"/>
    </w:rPr>
  </w:style>
  <w:style w:type="character" w:customStyle="1" w:styleId="114">
    <w:name w:val="font51"/>
    <w:basedOn w:val="38"/>
    <w:qFormat/>
    <w:uiPriority w:val="0"/>
    <w:rPr>
      <w:rFonts w:hint="eastAsia" w:ascii="宋体" w:hAnsi="宋体" w:eastAsia="宋体" w:cs="宋体"/>
      <w:color w:val="000000"/>
      <w:sz w:val="24"/>
      <w:szCs w:val="24"/>
    </w:r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6">
    <w:name w:val="font11"/>
    <w:basedOn w:val="38"/>
    <w:qFormat/>
    <w:uiPriority w:val="0"/>
    <w:rPr>
      <w:rFonts w:hint="eastAsia" w:ascii="宋体" w:hAnsi="宋体" w:eastAsia="宋体" w:cs="宋体"/>
      <w:b/>
      <w:color w:val="FF0000"/>
      <w:sz w:val="20"/>
      <w:szCs w:val="20"/>
      <w:u w:val="none"/>
    </w:rPr>
  </w:style>
  <w:style w:type="character" w:customStyle="1" w:styleId="117">
    <w:name w:val="font21"/>
    <w:basedOn w:val="38"/>
    <w:qFormat/>
    <w:uiPriority w:val="0"/>
    <w:rPr>
      <w:rFonts w:hint="eastAsia" w:ascii="宋体" w:hAnsi="宋体" w:eastAsia="宋体" w:cs="宋体"/>
      <w:color w:val="000000"/>
      <w:sz w:val="20"/>
      <w:szCs w:val="20"/>
      <w:u w:val="none"/>
    </w:rPr>
  </w:style>
  <w:style w:type="character" w:customStyle="1" w:styleId="118">
    <w:name w:val="font01"/>
    <w:basedOn w:val="38"/>
    <w:qFormat/>
    <w:uiPriority w:val="0"/>
    <w:rPr>
      <w:rFonts w:hint="eastAsia" w:ascii="宋体" w:hAnsi="宋体" w:eastAsia="宋体" w:cs="宋体"/>
      <w:b/>
      <w:color w:val="000000"/>
      <w:sz w:val="20"/>
      <w:szCs w:val="20"/>
      <w:u w:val="none"/>
    </w:rPr>
  </w:style>
  <w:style w:type="paragraph" w:customStyle="1" w:styleId="119">
    <w:name w:val="样式 首行缩进:  2 字符"/>
    <w:basedOn w:val="1"/>
    <w:qFormat/>
    <w:uiPriority w:val="0"/>
    <w:pPr>
      <w:spacing w:line="400" w:lineRule="exact"/>
      <w:ind w:firstLine="200" w:firstLineChars="200"/>
    </w:pPr>
    <w:rPr>
      <w:rFonts w:cs="宋体"/>
      <w:sz w:val="24"/>
    </w:rPr>
  </w:style>
  <w:style w:type="character" w:customStyle="1" w:styleId="120">
    <w:name w:val="font41"/>
    <w:basedOn w:val="38"/>
    <w:qFormat/>
    <w:uiPriority w:val="0"/>
    <w:rPr>
      <w:rFonts w:hint="default" w:ascii="等线" w:hAnsi="等线" w:eastAsia="等线" w:cs="等线"/>
      <w:color w:val="000000"/>
      <w:sz w:val="22"/>
      <w:szCs w:val="22"/>
      <w:u w:val="none"/>
    </w:rPr>
  </w:style>
  <w:style w:type="paragraph" w:customStyle="1" w:styleId="121">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p15"/>
    <w:basedOn w:val="1"/>
    <w:qFormat/>
    <w:uiPriority w:val="0"/>
    <w:pPr>
      <w:widowControl/>
      <w:spacing w:line="360" w:lineRule="auto"/>
      <w:jc w:val="left"/>
    </w:pPr>
    <w:rPr>
      <w:kern w:val="0"/>
      <w:sz w:val="24"/>
    </w:rPr>
  </w:style>
  <w:style w:type="character" w:customStyle="1" w:styleId="123">
    <w:name w:val="NormalCharacter"/>
    <w:link w:val="124"/>
    <w:semiHidden/>
    <w:qFormat/>
    <w:locked/>
    <w:uiPriority w:val="99"/>
    <w:rPr>
      <w:kern w:val="0"/>
      <w:sz w:val="24"/>
      <w:szCs w:val="20"/>
    </w:rPr>
  </w:style>
  <w:style w:type="paragraph" w:customStyle="1" w:styleId="124">
    <w:name w:val="UserStyle_85"/>
    <w:basedOn w:val="1"/>
    <w:link w:val="123"/>
    <w:qFormat/>
    <w:uiPriority w:val="99"/>
    <w:pPr>
      <w:spacing w:after="160" w:line="240" w:lineRule="exact"/>
    </w:pPr>
    <w:rPr>
      <w:kern w:val="0"/>
      <w:sz w:val="24"/>
    </w:rPr>
  </w:style>
  <w:style w:type="paragraph" w:customStyle="1" w:styleId="125">
    <w:name w:val="Normal_36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6">
    <w:name w:val="Normal_37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7">
    <w:name w:val="标书正文"/>
    <w:basedOn w:val="1"/>
    <w:qFormat/>
    <w:uiPriority w:val="0"/>
    <w:pPr>
      <w:tabs>
        <w:tab w:val="left" w:pos="600"/>
      </w:tabs>
      <w:snapToGrid w:val="0"/>
      <w:spacing w:line="480" w:lineRule="atLeast"/>
      <w:jc w:val="center"/>
    </w:pPr>
    <w:rPr>
      <w:rFonts w:eastAsia="黑体"/>
      <w:b/>
      <w:sz w:val="30"/>
    </w:rPr>
  </w:style>
  <w:style w:type="paragraph" w:customStyle="1" w:styleId="128">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129">
    <w:name w:val="phone"/>
    <w:basedOn w:val="38"/>
    <w:qFormat/>
    <w:uiPriority w:val="0"/>
    <w:rPr>
      <w:color w:val="FF8833"/>
      <w:sz w:val="18"/>
      <w:szCs w:val="18"/>
    </w:rPr>
  </w:style>
  <w:style w:type="character" w:customStyle="1" w:styleId="130">
    <w:name w:val="proollist"/>
    <w:basedOn w:val="38"/>
    <w:qFormat/>
    <w:uiPriority w:val="0"/>
  </w:style>
  <w:style w:type="character" w:customStyle="1" w:styleId="131">
    <w:name w:val="number"/>
    <w:basedOn w:val="38"/>
    <w:qFormat/>
    <w:uiPriority w:val="0"/>
    <w:rPr>
      <w:color w:val="FF8833"/>
      <w:sz w:val="18"/>
      <w:szCs w:val="18"/>
    </w:rPr>
  </w:style>
  <w:style w:type="character" w:customStyle="1" w:styleId="132">
    <w:name w:val="stclosebtn"/>
    <w:basedOn w:val="38"/>
    <w:qFormat/>
    <w:uiPriority w:val="0"/>
  </w:style>
  <w:style w:type="character" w:customStyle="1" w:styleId="133">
    <w:name w:val="beforeinfotext"/>
    <w:basedOn w:val="38"/>
    <w:qFormat/>
    <w:uiPriority w:val="0"/>
    <w:rPr>
      <w:color w:val="666666"/>
    </w:rPr>
  </w:style>
  <w:style w:type="paragraph" w:customStyle="1" w:styleId="134">
    <w:name w:val="表格文字中"/>
    <w:basedOn w:val="1"/>
    <w:qFormat/>
    <w:uiPriority w:val="0"/>
    <w:pPr>
      <w:adjustRightInd w:val="0"/>
      <w:snapToGrid w:val="0"/>
      <w:ind w:left="22" w:leftChars="8"/>
      <w:jc w:val="center"/>
    </w:pPr>
    <w:rPr>
      <w:rFonts w:ascii="宋体"/>
      <w:kern w:val="0"/>
      <w:szCs w:val="24"/>
    </w:rPr>
  </w:style>
  <w:style w:type="character" w:customStyle="1" w:styleId="135">
    <w:name w:val="span-long"/>
    <w:basedOn w:val="38"/>
    <w:qFormat/>
    <w:uiPriority w:val="0"/>
  </w:style>
  <w:style w:type="character" w:customStyle="1" w:styleId="136">
    <w:name w:val="input-direction"/>
    <w:basedOn w:val="38"/>
    <w:qFormat/>
    <w:uiPriority w:val="0"/>
    <w:rPr>
      <w:color w:val="FF6600"/>
    </w:rPr>
  </w:style>
  <w:style w:type="character" w:customStyle="1" w:styleId="137">
    <w:name w:val="active6"/>
    <w:basedOn w:val="38"/>
    <w:qFormat/>
    <w:uiPriority w:val="0"/>
    <w:rPr>
      <w:color w:val="00FF00"/>
      <w:shd w:val="clear" w:color="auto" w:fill="000000"/>
    </w:rPr>
  </w:style>
  <w:style w:type="character" w:customStyle="1" w:styleId="138">
    <w:name w:val="button"/>
    <w:basedOn w:val="38"/>
    <w:qFormat/>
    <w:uiPriority w:val="0"/>
  </w:style>
  <w:style w:type="character" w:customStyle="1" w:styleId="139">
    <w:name w:val="tmpztreemove_arrow"/>
    <w:basedOn w:val="38"/>
    <w:qFormat/>
    <w:uiPriority w:val="0"/>
  </w:style>
  <w:style w:type="character" w:customStyle="1" w:styleId="140">
    <w:name w:val="hilite6"/>
    <w:basedOn w:val="38"/>
    <w:qFormat/>
    <w:uiPriority w:val="0"/>
    <w:rPr>
      <w:color w:val="FFFFFF"/>
      <w:shd w:val="clear" w:color="auto" w:fill="666677"/>
    </w:rPr>
  </w:style>
  <w:style w:type="character" w:customStyle="1" w:styleId="141">
    <w:name w:val="hilite"/>
    <w:basedOn w:val="38"/>
    <w:qFormat/>
    <w:uiPriority w:val="0"/>
    <w:rPr>
      <w:color w:val="FFFFFF"/>
      <w:shd w:val="clear" w:color="auto" w:fill="666677"/>
    </w:rPr>
  </w:style>
  <w:style w:type="character" w:customStyle="1" w:styleId="142">
    <w:name w:val="active"/>
    <w:basedOn w:val="38"/>
    <w:qFormat/>
    <w:uiPriority w:val="0"/>
    <w:rPr>
      <w:color w:val="00FF00"/>
      <w:shd w:val="clear" w:color="auto" w:fill="000000"/>
    </w:rPr>
  </w:style>
  <w:style w:type="paragraph" w:customStyle="1" w:styleId="143">
    <w:name w:val="正文段落文本"/>
    <w:basedOn w:val="1"/>
    <w:qFormat/>
    <w:uiPriority w:val="0"/>
    <w:pPr>
      <w:spacing w:before="50" w:beforeLines="50" w:after="50" w:afterLines="50" w:line="360" w:lineRule="auto"/>
      <w:ind w:firstLine="883" w:firstLineChars="200"/>
    </w:pPr>
    <w:rPr>
      <w:rFonts w:hint="eastAsia" w:ascii="宋体" w:hAnsi="宋体"/>
      <w:color w:val="000000" w:themeColor="text1"/>
      <w:sz w:val="24"/>
      <w:szCs w:val="22"/>
      <w14:textFill>
        <w14:solidFill>
          <w14:schemeClr w14:val="tx1"/>
        </w14:solidFill>
      </w14:textFill>
    </w:rPr>
  </w:style>
  <w:style w:type="character" w:customStyle="1" w:styleId="144">
    <w:name w:val="active5"/>
    <w:basedOn w:val="38"/>
    <w:qFormat/>
    <w:uiPriority w:val="0"/>
    <w:rPr>
      <w:color w:val="00FF00"/>
      <w:shd w:val="clear" w:color="auto" w:fill="000000"/>
    </w:rPr>
  </w:style>
  <w:style w:type="character" w:customStyle="1" w:styleId="145">
    <w:name w:val="hilite5"/>
    <w:basedOn w:val="38"/>
    <w:qFormat/>
    <w:uiPriority w:val="0"/>
    <w:rPr>
      <w:color w:val="FFFFFF"/>
      <w:shd w:val="clear" w:color="auto" w:fill="666677"/>
    </w:rPr>
  </w:style>
  <w:style w:type="character" w:customStyle="1" w:styleId="146">
    <w:name w:val="button2"/>
    <w:basedOn w:val="38"/>
    <w:qFormat/>
    <w:uiPriority w:val="0"/>
  </w:style>
  <w:style w:type="character" w:customStyle="1" w:styleId="147">
    <w:name w:val="active4"/>
    <w:basedOn w:val="38"/>
    <w:qFormat/>
    <w:uiPriority w:val="0"/>
    <w:rPr>
      <w:color w:val="00FF00"/>
      <w:shd w:val="clear" w:color="auto" w:fill="000000"/>
    </w:rPr>
  </w:style>
  <w:style w:type="paragraph" w:customStyle="1" w:styleId="148">
    <w:name w:val="a"/>
    <w:basedOn w:val="1"/>
    <w:qFormat/>
    <w:uiPriority w:val="0"/>
    <w:pPr>
      <w:widowControl/>
      <w:spacing w:before="100" w:beforeAutospacing="1" w:after="100" w:afterAutospacing="1"/>
      <w:jc w:val="left"/>
    </w:pPr>
    <w:rPr>
      <w:rFonts w:ascii="宋体" w:cs="宋体"/>
      <w:kern w:val="0"/>
    </w:rPr>
  </w:style>
  <w:style w:type="paragraph" w:customStyle="1" w:styleId="149">
    <w:name w:val="a0"/>
    <w:basedOn w:val="1"/>
    <w:qFormat/>
    <w:uiPriority w:val="0"/>
    <w:pPr>
      <w:widowControl/>
      <w:spacing w:before="100" w:beforeAutospacing="1" w:after="100" w:afterAutospacing="1"/>
      <w:jc w:val="left"/>
    </w:pPr>
    <w:rPr>
      <w:rFonts w:ascii="宋体" w:cs="宋体"/>
      <w:kern w:val="0"/>
    </w:rPr>
  </w:style>
  <w:style w:type="paragraph" w:styleId="150">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1">
    <w:name w:val="BodyText"/>
    <w:basedOn w:val="1"/>
    <w:next w:val="1"/>
    <w:qFormat/>
    <w:uiPriority w:val="0"/>
    <w:pPr>
      <w:spacing w:after="1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header" Target="header3.xml"/><Relationship Id="rId49" Type="http://schemas.openxmlformats.org/officeDocument/2006/relationships/customXml" Target="../customXml/item1.xml"/><Relationship Id="rId48" Type="http://schemas.openxmlformats.org/officeDocument/2006/relationships/image" Target="media/image27.png"/><Relationship Id="rId47" Type="http://schemas.openxmlformats.org/officeDocument/2006/relationships/image" Target="media/image26.png"/><Relationship Id="rId46" Type="http://schemas.openxmlformats.org/officeDocument/2006/relationships/image" Target="media/image25.png"/><Relationship Id="rId45" Type="http://schemas.openxmlformats.org/officeDocument/2006/relationships/image" Target="media/image24.png"/><Relationship Id="rId44" Type="http://schemas.openxmlformats.org/officeDocument/2006/relationships/image" Target="media/image23.png"/><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header" Target="header2.xml"/><Relationship Id="rId39" Type="http://schemas.openxmlformats.org/officeDocument/2006/relationships/image" Target="media/image18.jpeg"/><Relationship Id="rId38" Type="http://schemas.openxmlformats.org/officeDocument/2006/relationships/image" Target="media/image17.png"/><Relationship Id="rId37" Type="http://schemas.openxmlformats.org/officeDocument/2006/relationships/image" Target="media/image16.jpeg"/><Relationship Id="rId36" Type="http://schemas.openxmlformats.org/officeDocument/2006/relationships/image" Target="media/image15.png"/><Relationship Id="rId35" Type="http://schemas.openxmlformats.org/officeDocument/2006/relationships/image" Target="media/image14.png"/><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image" Target="media/image11.png"/><Relationship Id="rId31" Type="http://schemas.openxmlformats.org/officeDocument/2006/relationships/image" Target="media/image10.jpeg"/><Relationship Id="rId30" Type="http://schemas.openxmlformats.org/officeDocument/2006/relationships/image" Target="media/image9.png"/><Relationship Id="rId3" Type="http://schemas.openxmlformats.org/officeDocument/2006/relationships/header" Target="header1.xml"/><Relationship Id="rId29" Type="http://schemas.openxmlformats.org/officeDocument/2006/relationships/image" Target="media/image8.jpeg"/><Relationship Id="rId28" Type="http://schemas.openxmlformats.org/officeDocument/2006/relationships/image" Target="media/image7.jpe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jpeg"/><Relationship Id="rId24" Type="http://schemas.openxmlformats.org/officeDocument/2006/relationships/image" Target="media/image3.pn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8C56-56B8-4650-81B4-34FD7A2E23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120</Pages>
  <Words>70742</Words>
  <Characters>80278</Characters>
  <Lines>315</Lines>
  <Paragraphs>88</Paragraphs>
  <TotalTime>22</TotalTime>
  <ScaleCrop>false</ScaleCrop>
  <LinksUpToDate>false</LinksUpToDate>
  <CharactersWithSpaces>84269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2017-10-30T07:32:00Z</dcterms:created>
  <dc:creator>Administrator</dc:creator>
  <cp:lastModifiedBy>Administrator</cp:lastModifiedBy>
  <cp:lastPrinted>2021-11-26T06:20:00Z</cp:lastPrinted>
  <dcterms:modified xsi:type="dcterms:W3CDTF">2022-12-15T03:10:00Z</dcterms:modified>
  <dc:title>_                                    招标编号：ZD0814-013Z</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E75AE7B40ABC44FE9D58E57A43DDEEA0</vt:lpwstr>
  </property>
</Properties>
</file>