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cs="宋体"/>
          <w:b/>
          <w:bCs/>
          <w:sz w:val="30"/>
          <w:szCs w:val="30"/>
          <w:lang w:val="zh-CN"/>
        </w:rPr>
      </w:pPr>
      <w:r>
        <w:rPr>
          <w:rFonts w:hint="eastAsia" w:ascii="宋体" w:hAnsi="宋体" w:cs="宋体"/>
          <w:b/>
          <w:bCs/>
          <w:sz w:val="30"/>
          <w:szCs w:val="30"/>
          <w:lang w:val="zh-CN"/>
        </w:rPr>
        <w:t>政府采购项目</w:t>
      </w:r>
    </w:p>
    <w:p>
      <w:pPr>
        <w:keepLines w:val="0"/>
        <w:pageBreakBefore w:val="0"/>
        <w:kinsoku/>
        <w:wordWrap/>
        <w:overflowPunct/>
        <w:topLinePunct w:val="0"/>
        <w:autoSpaceDE w:val="0"/>
        <w:autoSpaceDN w:val="0"/>
        <w:bidi w:val="0"/>
        <w:adjustRightInd w:val="0"/>
        <w:snapToGrid w:val="0"/>
        <w:spacing w:line="400" w:lineRule="exact"/>
        <w:jc w:val="left"/>
        <w:rPr>
          <w:rFonts w:hint="eastAsia" w:ascii="宋体" w:hAnsi="宋体" w:eastAsia="宋体" w:cs="宋体"/>
          <w:b/>
          <w:bCs/>
          <w:sz w:val="30"/>
          <w:szCs w:val="30"/>
          <w:lang w:val="zh-CN" w:eastAsia="zh-CN"/>
        </w:rPr>
      </w:pPr>
      <w:r>
        <w:rPr>
          <w:rFonts w:hint="eastAsia" w:ascii="宋体" w:hAnsi="宋体" w:cs="宋体"/>
          <w:b/>
          <w:bCs/>
          <w:sz w:val="30"/>
          <w:szCs w:val="30"/>
          <w:lang w:val="zh-CN"/>
        </w:rPr>
        <w:t>采购项目编号：</w:t>
      </w:r>
      <w:r>
        <w:rPr>
          <w:rFonts w:hint="eastAsia" w:ascii="宋体" w:hAnsi="宋体" w:cs="宋体"/>
          <w:b/>
          <w:bCs/>
          <w:sz w:val="30"/>
          <w:szCs w:val="30"/>
          <w:lang w:val="en-US" w:eastAsia="zh-CN"/>
        </w:rPr>
        <w:t>YC22101054(CGP)</w:t>
      </w:r>
    </w:p>
    <w:p>
      <w:pPr>
        <w:keepLines w:val="0"/>
        <w:pageBreakBefore w:val="0"/>
        <w:kinsoku/>
        <w:wordWrap/>
        <w:overflowPunct/>
        <w:topLinePunct w:val="0"/>
        <w:bidi w:val="0"/>
        <w:spacing w:line="400" w:lineRule="exact"/>
        <w:rPr>
          <w:rFonts w:hint="eastAsia"/>
        </w:rPr>
      </w:pPr>
    </w:p>
    <w:p>
      <w:pPr>
        <w:keepLines w:val="0"/>
        <w:pageBreakBefore w:val="0"/>
        <w:tabs>
          <w:tab w:val="left" w:pos="5670"/>
        </w:tabs>
        <w:kinsoku/>
        <w:wordWrap/>
        <w:overflowPunct/>
        <w:topLinePunct w:val="0"/>
        <w:autoSpaceDE w:val="0"/>
        <w:autoSpaceDN w:val="0"/>
        <w:bidi w:val="0"/>
        <w:adjustRightInd w:val="0"/>
        <w:snapToGrid w:val="0"/>
        <w:spacing w:line="360" w:lineRule="auto"/>
        <w:jc w:val="center"/>
        <w:rPr>
          <w:rFonts w:hint="eastAsia" w:ascii="宋体" w:hAnsi="宋体" w:eastAsia="宋体" w:cs="宋体"/>
          <w:b/>
          <w:bCs/>
          <w:sz w:val="52"/>
          <w:szCs w:val="52"/>
          <w:lang w:val="en-US" w:eastAsia="zh-CN"/>
        </w:rPr>
      </w:pPr>
    </w:p>
    <w:p>
      <w:pPr>
        <w:keepLines w:val="0"/>
        <w:pageBreakBefore w:val="0"/>
        <w:tabs>
          <w:tab w:val="left" w:pos="5670"/>
        </w:tabs>
        <w:kinsoku/>
        <w:wordWrap/>
        <w:overflowPunct/>
        <w:topLinePunct w:val="0"/>
        <w:autoSpaceDE w:val="0"/>
        <w:autoSpaceDN w:val="0"/>
        <w:bidi w:val="0"/>
        <w:adjustRightInd w:val="0"/>
        <w:snapToGrid w:val="0"/>
        <w:spacing w:line="360" w:lineRule="auto"/>
        <w:jc w:val="center"/>
        <w:rPr>
          <w:rFonts w:hint="eastAsia" w:ascii="宋体" w:hAnsi="宋体" w:eastAsia="宋体" w:cs="宋体"/>
          <w:b/>
          <w:bCs/>
          <w:sz w:val="52"/>
          <w:szCs w:val="52"/>
          <w:lang w:val="zh-CN"/>
        </w:rPr>
      </w:pPr>
      <w:bookmarkStart w:id="101" w:name="_GoBack"/>
      <w:r>
        <w:rPr>
          <w:rFonts w:hint="eastAsia" w:ascii="宋体" w:hAnsi="宋体" w:eastAsia="宋体" w:cs="宋体"/>
          <w:b/>
          <w:bCs/>
          <w:sz w:val="52"/>
          <w:szCs w:val="52"/>
          <w:lang w:val="en-US" w:eastAsia="zh-CN"/>
        </w:rPr>
        <w:t>大荔县2022至2023学年度学生营养改善计划采购项目</w:t>
      </w:r>
    </w:p>
    <w:bookmarkEnd w:id="101"/>
    <w:p>
      <w:pPr>
        <w:pStyle w:val="2"/>
        <w:keepLines w:val="0"/>
        <w:pageBreakBefore w:val="0"/>
        <w:kinsoku/>
        <w:wordWrap/>
        <w:overflowPunct/>
        <w:topLinePunct w:val="0"/>
        <w:bidi w:val="0"/>
        <w:spacing w:line="400" w:lineRule="exact"/>
        <w:rPr>
          <w:rFonts w:hint="eastAsia" w:ascii="宋体" w:hAnsi="宋体" w:cs="宋体"/>
          <w:b/>
          <w:bCs/>
          <w:sz w:val="36"/>
          <w:szCs w:val="36"/>
          <w:lang w:val="zh-CN"/>
        </w:rPr>
      </w:pPr>
    </w:p>
    <w:p>
      <w:pPr>
        <w:keepLines w:val="0"/>
        <w:pageBreakBefore w:val="0"/>
        <w:kinsoku/>
        <w:wordWrap/>
        <w:overflowPunct/>
        <w:topLinePunct w:val="0"/>
        <w:bidi w:val="0"/>
        <w:spacing w:line="400" w:lineRule="exact"/>
        <w:rPr>
          <w:rFonts w:hint="eastAsia"/>
          <w:lang w:val="zh-CN"/>
        </w:rPr>
      </w:pPr>
    </w:p>
    <w:p>
      <w:pPr>
        <w:pStyle w:val="2"/>
        <w:rPr>
          <w:rFonts w:hint="eastAsia"/>
          <w:lang w:val="zh-CN"/>
        </w:rPr>
      </w:pPr>
    </w:p>
    <w:p>
      <w:pPr>
        <w:keepLines w:val="0"/>
        <w:pageBreakBefore w:val="0"/>
        <w:tabs>
          <w:tab w:val="left" w:pos="5670"/>
        </w:tabs>
        <w:kinsoku/>
        <w:wordWrap/>
        <w:overflowPunct/>
        <w:topLinePunct w:val="0"/>
        <w:autoSpaceDE w:val="0"/>
        <w:autoSpaceDN w:val="0"/>
        <w:bidi w:val="0"/>
        <w:adjustRightInd w:val="0"/>
        <w:snapToGrid w:val="0"/>
        <w:spacing w:line="400" w:lineRule="exact"/>
        <w:jc w:val="center"/>
        <w:rPr>
          <w:rFonts w:hint="eastAsia" w:ascii="宋体" w:hAnsi="宋体" w:cs="宋体"/>
          <w:b/>
          <w:bCs/>
          <w:sz w:val="72"/>
          <w:szCs w:val="72"/>
          <w:lang w:val="zh-CN"/>
        </w:rPr>
      </w:pPr>
    </w:p>
    <w:p>
      <w:pPr>
        <w:keepNext w:val="0"/>
        <w:keepLines w:val="0"/>
        <w:pageBreakBefore w:val="0"/>
        <w:widowControl w:val="0"/>
        <w:tabs>
          <w:tab w:val="left" w:pos="5670"/>
        </w:tabs>
        <w:kinsoku/>
        <w:wordWrap/>
        <w:overflowPunct/>
        <w:topLinePunct w:val="0"/>
        <w:autoSpaceDE w:val="0"/>
        <w:autoSpaceDN w:val="0"/>
        <w:bidi w:val="0"/>
        <w:adjustRightInd w:val="0"/>
        <w:snapToGrid w:val="0"/>
        <w:spacing w:line="700" w:lineRule="exact"/>
        <w:jc w:val="center"/>
        <w:textAlignment w:val="auto"/>
        <w:rPr>
          <w:rFonts w:hint="eastAsia" w:ascii="宋体" w:hAnsi="宋体" w:cs="宋体"/>
          <w:b/>
          <w:bCs/>
          <w:sz w:val="72"/>
          <w:szCs w:val="72"/>
          <w:lang w:val="zh-CN"/>
        </w:rPr>
      </w:pPr>
    </w:p>
    <w:p>
      <w:pPr>
        <w:keepNext w:val="0"/>
        <w:keepLines w:val="0"/>
        <w:pageBreakBefore w:val="0"/>
        <w:widowControl w:val="0"/>
        <w:tabs>
          <w:tab w:val="left" w:pos="5670"/>
        </w:tabs>
        <w:kinsoku/>
        <w:wordWrap/>
        <w:overflowPunct/>
        <w:topLinePunct w:val="0"/>
        <w:autoSpaceDE w:val="0"/>
        <w:autoSpaceDN w:val="0"/>
        <w:bidi w:val="0"/>
        <w:adjustRightInd w:val="0"/>
        <w:snapToGrid w:val="0"/>
        <w:spacing w:line="800" w:lineRule="exact"/>
        <w:jc w:val="center"/>
        <w:textAlignment w:val="auto"/>
        <w:rPr>
          <w:rFonts w:hint="eastAsia" w:ascii="宋体" w:hAnsi="宋体" w:cs="宋体"/>
          <w:b/>
          <w:bCs/>
          <w:sz w:val="84"/>
          <w:szCs w:val="84"/>
          <w:lang w:val="zh-CN"/>
        </w:rPr>
      </w:pPr>
      <w:r>
        <w:rPr>
          <w:rFonts w:hint="eastAsia" w:ascii="宋体" w:hAnsi="宋体" w:cs="宋体"/>
          <w:b/>
          <w:bCs/>
          <w:sz w:val="84"/>
          <w:szCs w:val="84"/>
          <w:lang w:val="zh-CN"/>
        </w:rPr>
        <w:t>招</w:t>
      </w:r>
      <w:r>
        <w:rPr>
          <w:rFonts w:hint="eastAsia" w:ascii="宋体" w:hAnsi="宋体" w:cs="宋体"/>
          <w:b/>
          <w:bCs/>
          <w:sz w:val="84"/>
          <w:szCs w:val="84"/>
        </w:rPr>
        <w:t xml:space="preserve"> </w:t>
      </w:r>
      <w:r>
        <w:rPr>
          <w:rFonts w:hint="eastAsia" w:ascii="宋体" w:hAnsi="宋体" w:cs="宋体"/>
          <w:b/>
          <w:bCs/>
          <w:sz w:val="84"/>
          <w:szCs w:val="84"/>
          <w:lang w:val="zh-CN"/>
        </w:rPr>
        <w:t>标</w:t>
      </w:r>
      <w:r>
        <w:rPr>
          <w:rFonts w:hint="eastAsia" w:ascii="宋体" w:hAnsi="宋体" w:cs="宋体"/>
          <w:b/>
          <w:bCs/>
          <w:sz w:val="84"/>
          <w:szCs w:val="84"/>
        </w:rPr>
        <w:t xml:space="preserve"> </w:t>
      </w:r>
      <w:r>
        <w:rPr>
          <w:rFonts w:hint="eastAsia" w:ascii="宋体" w:hAnsi="宋体" w:cs="宋体"/>
          <w:b/>
          <w:bCs/>
          <w:sz w:val="84"/>
          <w:szCs w:val="84"/>
          <w:lang w:val="zh-CN"/>
        </w:rPr>
        <w:t>文</w:t>
      </w:r>
      <w:r>
        <w:rPr>
          <w:rFonts w:hint="eastAsia" w:ascii="宋体" w:hAnsi="宋体" w:cs="宋体"/>
          <w:b/>
          <w:bCs/>
          <w:sz w:val="84"/>
          <w:szCs w:val="84"/>
        </w:rPr>
        <w:t xml:space="preserve"> </w:t>
      </w:r>
      <w:r>
        <w:rPr>
          <w:rFonts w:hint="eastAsia" w:ascii="宋体" w:hAnsi="宋体" w:cs="宋体"/>
          <w:b/>
          <w:bCs/>
          <w:sz w:val="84"/>
          <w:szCs w:val="84"/>
          <w:lang w:val="zh-CN"/>
        </w:rPr>
        <w:t>件</w:t>
      </w:r>
    </w:p>
    <w:p>
      <w:pPr>
        <w:keepLines w:val="0"/>
        <w:pageBreakBefore w:val="0"/>
        <w:kinsoku/>
        <w:wordWrap/>
        <w:overflowPunct/>
        <w:topLinePunct w:val="0"/>
        <w:bidi w:val="0"/>
        <w:spacing w:line="400" w:lineRule="exact"/>
        <w:jc w:val="center"/>
        <w:rPr>
          <w:rFonts w:hint="eastAsia"/>
        </w:rPr>
      </w:pPr>
    </w:p>
    <w:p>
      <w:pPr>
        <w:keepLines w:val="0"/>
        <w:pageBreakBefore w:val="0"/>
        <w:tabs>
          <w:tab w:val="left" w:pos="5670"/>
        </w:tabs>
        <w:kinsoku/>
        <w:wordWrap/>
        <w:overflowPunct/>
        <w:topLinePunct w:val="0"/>
        <w:autoSpaceDE w:val="0"/>
        <w:autoSpaceDN w:val="0"/>
        <w:bidi w:val="0"/>
        <w:adjustRightInd w:val="0"/>
        <w:snapToGrid w:val="0"/>
        <w:spacing w:line="400" w:lineRule="exact"/>
        <w:jc w:val="center"/>
        <w:rPr>
          <w:rFonts w:hint="eastAsia" w:ascii="宋体" w:hAnsi="宋体" w:cs="宋体"/>
          <w:b/>
          <w:bCs/>
          <w:sz w:val="30"/>
          <w:szCs w:val="30"/>
        </w:rPr>
      </w:pPr>
    </w:p>
    <w:p>
      <w:pPr>
        <w:keepLines w:val="0"/>
        <w:pageBreakBefore w:val="0"/>
        <w:tabs>
          <w:tab w:val="left" w:pos="5670"/>
        </w:tabs>
        <w:kinsoku/>
        <w:wordWrap/>
        <w:overflowPunct/>
        <w:topLinePunct w:val="0"/>
        <w:autoSpaceDE w:val="0"/>
        <w:autoSpaceDN w:val="0"/>
        <w:bidi w:val="0"/>
        <w:adjustRightInd w:val="0"/>
        <w:snapToGrid w:val="0"/>
        <w:spacing w:line="400" w:lineRule="exact"/>
        <w:jc w:val="center"/>
        <w:rPr>
          <w:rFonts w:hint="eastAsia" w:ascii="宋体" w:hAnsi="宋体" w:cs="宋体"/>
          <w:b/>
          <w:bCs/>
          <w:sz w:val="30"/>
          <w:szCs w:val="30"/>
        </w:rPr>
      </w:pPr>
    </w:p>
    <w:p>
      <w:pPr>
        <w:keepLines w:val="0"/>
        <w:pageBreakBefore w:val="0"/>
        <w:tabs>
          <w:tab w:val="left" w:pos="5670"/>
        </w:tabs>
        <w:kinsoku/>
        <w:wordWrap/>
        <w:overflowPunct/>
        <w:topLinePunct w:val="0"/>
        <w:autoSpaceDE w:val="0"/>
        <w:autoSpaceDN w:val="0"/>
        <w:bidi w:val="0"/>
        <w:adjustRightInd w:val="0"/>
        <w:snapToGrid w:val="0"/>
        <w:spacing w:line="400" w:lineRule="exact"/>
        <w:rPr>
          <w:rFonts w:hint="eastAsia" w:ascii="宋体" w:hAnsi="宋体" w:cs="宋体"/>
          <w:b/>
          <w:bCs/>
          <w:sz w:val="30"/>
          <w:szCs w:val="30"/>
        </w:rPr>
      </w:pPr>
    </w:p>
    <w:p>
      <w:pPr>
        <w:pStyle w:val="6"/>
        <w:keepLines w:val="0"/>
        <w:pageBreakBefore w:val="0"/>
        <w:kinsoku/>
        <w:wordWrap/>
        <w:overflowPunct/>
        <w:topLinePunct w:val="0"/>
        <w:bidi w:val="0"/>
        <w:spacing w:line="400" w:lineRule="exact"/>
        <w:rPr>
          <w:rFonts w:hint="eastAsia" w:ascii="宋体" w:hAnsi="宋体" w:cs="宋体"/>
          <w:b/>
          <w:bCs/>
          <w:sz w:val="30"/>
          <w:szCs w:val="30"/>
        </w:rPr>
      </w:pPr>
    </w:p>
    <w:p>
      <w:pPr>
        <w:pStyle w:val="6"/>
        <w:keepLines w:val="0"/>
        <w:pageBreakBefore w:val="0"/>
        <w:kinsoku/>
        <w:wordWrap/>
        <w:overflowPunct/>
        <w:topLinePunct w:val="0"/>
        <w:bidi w:val="0"/>
        <w:spacing w:line="400" w:lineRule="exact"/>
        <w:rPr>
          <w:rFonts w:hint="eastAsia" w:ascii="宋体" w:hAnsi="宋体" w:cs="宋体"/>
          <w:b/>
          <w:bCs/>
          <w:sz w:val="30"/>
          <w:szCs w:val="30"/>
        </w:rPr>
      </w:pPr>
    </w:p>
    <w:p>
      <w:pPr>
        <w:pStyle w:val="6"/>
        <w:keepLines w:val="0"/>
        <w:pageBreakBefore w:val="0"/>
        <w:kinsoku/>
        <w:wordWrap/>
        <w:overflowPunct/>
        <w:topLinePunct w:val="0"/>
        <w:bidi w:val="0"/>
        <w:spacing w:line="400" w:lineRule="exact"/>
        <w:rPr>
          <w:rFonts w:hint="eastAsia" w:ascii="宋体" w:hAnsi="宋体" w:cs="宋体"/>
          <w:b/>
          <w:bCs/>
          <w:sz w:val="30"/>
          <w:szCs w:val="30"/>
        </w:rPr>
      </w:pPr>
    </w:p>
    <w:p>
      <w:pPr>
        <w:pStyle w:val="6"/>
        <w:keepLines w:val="0"/>
        <w:pageBreakBefore w:val="0"/>
        <w:kinsoku/>
        <w:wordWrap/>
        <w:overflowPunct/>
        <w:topLinePunct w:val="0"/>
        <w:bidi w:val="0"/>
        <w:spacing w:line="400" w:lineRule="exact"/>
        <w:rPr>
          <w:rFonts w:hint="eastAsia" w:ascii="宋体" w:hAnsi="宋体" w:cs="宋体"/>
          <w:b/>
          <w:bCs/>
          <w:sz w:val="30"/>
          <w:szCs w:val="30"/>
        </w:rPr>
      </w:pPr>
    </w:p>
    <w:p>
      <w:pPr>
        <w:pStyle w:val="6"/>
        <w:keepLines w:val="0"/>
        <w:pageBreakBefore w:val="0"/>
        <w:kinsoku/>
        <w:wordWrap/>
        <w:overflowPunct/>
        <w:topLinePunct w:val="0"/>
        <w:bidi w:val="0"/>
        <w:spacing w:line="400" w:lineRule="exact"/>
        <w:ind w:left="0" w:leftChars="0" w:firstLine="0" w:firstLineChars="0"/>
        <w:rPr>
          <w:rFonts w:hint="eastAsia" w:ascii="宋体" w:hAnsi="宋体" w:cs="宋体"/>
          <w:b/>
          <w:bCs/>
          <w:sz w:val="30"/>
          <w:szCs w:val="30"/>
        </w:rPr>
      </w:pPr>
    </w:p>
    <w:p>
      <w:pPr>
        <w:pStyle w:val="6"/>
        <w:keepLines w:val="0"/>
        <w:pageBreakBefore w:val="0"/>
        <w:kinsoku/>
        <w:wordWrap/>
        <w:overflowPunct/>
        <w:topLinePunct w:val="0"/>
        <w:bidi w:val="0"/>
        <w:spacing w:line="400" w:lineRule="exact"/>
        <w:rPr>
          <w:rFonts w:hint="eastAsia" w:ascii="宋体" w:hAnsi="宋体" w:cs="宋体"/>
          <w:b/>
          <w:bCs/>
          <w:sz w:val="30"/>
          <w:szCs w:val="30"/>
        </w:rPr>
      </w:pPr>
    </w:p>
    <w:p>
      <w:pPr>
        <w:pStyle w:val="9"/>
        <w:keepLines w:val="0"/>
        <w:pageBreakBefore w:val="0"/>
        <w:kinsoku/>
        <w:wordWrap/>
        <w:overflowPunct/>
        <w:topLinePunct w:val="0"/>
        <w:bidi w:val="0"/>
        <w:spacing w:line="360" w:lineRule="auto"/>
        <w:rPr>
          <w:rFonts w:hint="eastAsia" w:ascii="宋体" w:hAnsi="宋体" w:eastAsia="宋体" w:cs="宋体"/>
          <w:color w:val="auto"/>
          <w:highlight w:val="none"/>
        </w:rPr>
      </w:pPr>
    </w:p>
    <w:p>
      <w:pPr>
        <w:keepLines w:val="0"/>
        <w:pageBreakBefore w:val="0"/>
        <w:tabs>
          <w:tab w:val="left" w:pos="525"/>
        </w:tabs>
        <w:kinsoku/>
        <w:wordWrap/>
        <w:overflowPunct/>
        <w:topLinePunct w:val="0"/>
        <w:bidi w:val="0"/>
        <w:spacing w:line="360" w:lineRule="auto"/>
        <w:ind w:left="-2" w:leftChars="-1" w:firstLine="1"/>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亿诚建设项目管理有限公司</w:t>
      </w:r>
    </w:p>
    <w:p>
      <w:pPr>
        <w:keepLines w:val="0"/>
        <w:pageBreakBefore w:val="0"/>
        <w:tabs>
          <w:tab w:val="left" w:pos="525"/>
        </w:tabs>
        <w:kinsoku/>
        <w:wordWrap/>
        <w:overflowPunct/>
        <w:topLinePunct w:val="0"/>
        <w:bidi w:val="0"/>
        <w:spacing w:line="360" w:lineRule="auto"/>
        <w:ind w:left="-2" w:leftChars="-1" w:firstLine="1"/>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二〇二二年</w:t>
      </w:r>
      <w:r>
        <w:rPr>
          <w:rFonts w:hint="eastAsia" w:ascii="宋体" w:hAnsi="宋体" w:eastAsia="宋体" w:cs="宋体"/>
          <w:b/>
          <w:bCs/>
          <w:color w:val="auto"/>
          <w:sz w:val="36"/>
          <w:szCs w:val="36"/>
          <w:highlight w:val="none"/>
          <w:lang w:val="en-US" w:eastAsia="zh-CN"/>
        </w:rPr>
        <w:t>八</w:t>
      </w:r>
      <w:r>
        <w:rPr>
          <w:rFonts w:hint="eastAsia" w:ascii="宋体" w:hAnsi="宋体" w:eastAsia="宋体" w:cs="宋体"/>
          <w:b/>
          <w:bCs/>
          <w:color w:val="auto"/>
          <w:sz w:val="36"/>
          <w:szCs w:val="36"/>
          <w:highlight w:val="none"/>
        </w:rPr>
        <w:t>月</w:t>
      </w:r>
    </w:p>
    <w:p>
      <w:pPr>
        <w:keepLines w:val="0"/>
        <w:pageBreakBefore w:val="0"/>
        <w:tabs>
          <w:tab w:val="left" w:pos="5670"/>
        </w:tabs>
        <w:kinsoku/>
        <w:wordWrap/>
        <w:overflowPunct/>
        <w:topLinePunct w:val="0"/>
        <w:autoSpaceDE w:val="0"/>
        <w:autoSpaceDN w:val="0"/>
        <w:bidi w:val="0"/>
        <w:adjustRightInd w:val="0"/>
        <w:snapToGrid w:val="0"/>
        <w:spacing w:line="400" w:lineRule="exact"/>
        <w:jc w:val="center"/>
        <w:rPr>
          <w:sz w:val="32"/>
          <w:szCs w:val="32"/>
          <w:lang w:val="zh-CN"/>
        </w:rPr>
      </w:pPr>
      <w:r>
        <w:rPr>
          <w:rFonts w:eastAsia="楷体_GB2312"/>
          <w:sz w:val="30"/>
          <w:szCs w:val="30"/>
        </w:rPr>
        <w:br w:type="page"/>
      </w:r>
      <w:r>
        <w:rPr>
          <w:sz w:val="32"/>
          <w:szCs w:val="32"/>
          <w:lang w:val="zh-CN"/>
        </w:rPr>
        <w:t>目</w:t>
      </w:r>
      <w:r>
        <w:rPr>
          <w:rFonts w:hint="eastAsia"/>
          <w:sz w:val="32"/>
          <w:szCs w:val="32"/>
          <w:lang w:val="zh-CN"/>
        </w:rPr>
        <w:t xml:space="preserve">   </w:t>
      </w:r>
      <w:r>
        <w:rPr>
          <w:sz w:val="32"/>
          <w:szCs w:val="32"/>
          <w:lang w:val="zh-CN"/>
        </w:rPr>
        <w:t>录</w:t>
      </w:r>
    </w:p>
    <w:p>
      <w:pPr>
        <w:pStyle w:val="2"/>
        <w:rPr>
          <w:sz w:val="32"/>
          <w:szCs w:val="32"/>
          <w:lang w:val="zh-CN"/>
        </w:rPr>
      </w:pPr>
    </w:p>
    <w:sdt>
      <w:sdtPr>
        <w:rPr>
          <w:rFonts w:ascii="宋体" w:hAnsi="宋体" w:eastAsia="宋体" w:cs="Times New Roman"/>
          <w:kern w:val="2"/>
          <w:sz w:val="21"/>
          <w:lang w:val="en-US" w:eastAsia="zh-CN" w:bidi="ar-SA"/>
        </w:rPr>
        <w:id w:val="147452801"/>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31878_WPSOffice_Type1"/>
        </w:p>
        <w:p>
          <w:pPr>
            <w:pStyle w:val="23"/>
            <w:tabs>
              <w:tab w:val="right" w:leader="dot" w:pos="8300"/>
            </w:tabs>
          </w:pPr>
          <w:r>
            <w:fldChar w:fldCharType="begin"/>
          </w:r>
          <w:r>
            <w:instrText xml:space="preserve"> HYPERLINK \l _Toc14520_WPSOffice_Level1 </w:instrText>
          </w:r>
          <w:r>
            <w:fldChar w:fldCharType="separate"/>
          </w:r>
          <w:sdt>
            <w:sdtPr>
              <w:rPr>
                <w:rFonts w:ascii="Times New Roman" w:hAnsi="Times New Roman" w:eastAsia="宋体" w:cs="Times New Roman"/>
                <w:kern w:val="2"/>
                <w:sz w:val="21"/>
                <w:lang w:val="en-US" w:eastAsia="zh-CN" w:bidi="ar-SA"/>
              </w:rPr>
              <w:id w:val="147452801"/>
              <w:placeholder>
                <w:docPart w:val="{206145c4-36cc-4ed7-81f9-0a06dd261493}"/>
              </w:placeholder>
            </w:sdtPr>
            <w:sdtEndPr>
              <w:rPr>
                <w:rFonts w:ascii="Times New Roman" w:hAnsi="Times New Roman" w:eastAsia="宋体" w:cs="Times New Roman"/>
                <w:kern w:val="2"/>
                <w:sz w:val="21"/>
                <w:lang w:val="en-US" w:eastAsia="zh-CN" w:bidi="ar-SA"/>
              </w:rPr>
            </w:sdtEndPr>
            <w:sdtContent>
              <w:r>
                <w:rPr>
                  <w:rFonts w:ascii="Times New Roman" w:hAnsi="Times New Roman" w:eastAsia="宋体" w:cs="Times New Roman"/>
                </w:rPr>
                <w:t>第一</w:t>
              </w:r>
              <w:r>
                <w:rPr>
                  <w:rFonts w:hint="eastAsia" w:ascii="Times New Roman" w:hAnsi="Times New Roman" w:eastAsia="宋体" w:cs="Times New Roman"/>
                </w:rPr>
                <w:t xml:space="preserve">章 </w:t>
              </w:r>
              <w:r>
                <w:rPr>
                  <w:rFonts w:ascii="Times New Roman" w:hAnsi="Times New Roman" w:eastAsia="宋体" w:cs="Times New Roman"/>
                </w:rPr>
                <w:t>招标公告</w:t>
              </w:r>
            </w:sdtContent>
          </w:sdt>
          <w:r>
            <w:tab/>
          </w:r>
          <w:bookmarkStart w:id="1" w:name="_Toc14520_WPSOffice_Level1Page"/>
          <w:r>
            <w:t>3</w:t>
          </w:r>
          <w:bookmarkEnd w:id="1"/>
          <w:r>
            <w:fldChar w:fldCharType="end"/>
          </w:r>
        </w:p>
        <w:p>
          <w:pPr>
            <w:pStyle w:val="23"/>
            <w:tabs>
              <w:tab w:val="right" w:leader="dot" w:pos="8300"/>
            </w:tabs>
          </w:pPr>
          <w:r>
            <w:fldChar w:fldCharType="begin"/>
          </w:r>
          <w:r>
            <w:instrText xml:space="preserve"> HYPERLINK \l _Toc31878_WPSOffice_Level1 </w:instrText>
          </w:r>
          <w:r>
            <w:fldChar w:fldCharType="separate"/>
          </w:r>
          <w:sdt>
            <w:sdtPr>
              <w:rPr>
                <w:rFonts w:ascii="Times New Roman" w:hAnsi="Times New Roman" w:eastAsia="宋体" w:cs="Times New Roman"/>
                <w:kern w:val="2"/>
                <w:sz w:val="21"/>
                <w:lang w:val="en-US" w:eastAsia="zh-CN" w:bidi="ar-SA"/>
              </w:rPr>
              <w:id w:val="147452801"/>
              <w:placeholder>
                <w:docPart w:val="{673715f6-8b7d-493e-888a-271248d2b5c8}"/>
              </w:placeholder>
            </w:sdtPr>
            <w:sdtEndPr>
              <w:rPr>
                <w:rFonts w:ascii="Times New Roman" w:hAnsi="Times New Roman" w:eastAsia="宋体" w:cs="Times New Roman"/>
                <w:kern w:val="2"/>
                <w:sz w:val="21"/>
                <w:lang w:val="en-US" w:eastAsia="zh-CN" w:bidi="ar-SA"/>
              </w:rPr>
            </w:sdtEndPr>
            <w:sdtContent>
              <w:r>
                <w:rPr>
                  <w:rFonts w:ascii="Times New Roman" w:hAnsi="Times New Roman" w:eastAsia="宋体" w:cs="Times New Roman"/>
                </w:rPr>
                <w:t>第二</w:t>
              </w:r>
              <w:r>
                <w:rPr>
                  <w:rFonts w:hint="eastAsia" w:ascii="Times New Roman" w:hAnsi="Times New Roman" w:eastAsia="宋体" w:cs="Times New Roman"/>
                </w:rPr>
                <w:t>章</w:t>
              </w:r>
              <w:r>
                <w:rPr>
                  <w:rFonts w:ascii="Times New Roman" w:hAnsi="Times New Roman" w:eastAsia="宋体" w:cs="Times New Roman"/>
                </w:rPr>
                <w:t xml:space="preserve"> 投标人须知</w:t>
              </w:r>
            </w:sdtContent>
          </w:sdt>
          <w:r>
            <w:tab/>
          </w:r>
          <w:bookmarkStart w:id="2" w:name="_Toc31878_WPSOffice_Level1Page"/>
          <w:r>
            <w:t>20</w:t>
          </w:r>
          <w:bookmarkEnd w:id="2"/>
          <w:r>
            <w:fldChar w:fldCharType="end"/>
          </w:r>
        </w:p>
        <w:p>
          <w:pPr>
            <w:pStyle w:val="23"/>
            <w:tabs>
              <w:tab w:val="right" w:leader="dot" w:pos="8300"/>
            </w:tabs>
          </w:pPr>
          <w:r>
            <w:fldChar w:fldCharType="begin"/>
          </w:r>
          <w:r>
            <w:instrText xml:space="preserve"> HYPERLINK \l _Toc8407_WPSOffice_Level1 </w:instrText>
          </w:r>
          <w:r>
            <w:fldChar w:fldCharType="separate"/>
          </w:r>
          <w:sdt>
            <w:sdtPr>
              <w:rPr>
                <w:rFonts w:ascii="Times New Roman" w:hAnsi="Times New Roman" w:eastAsia="宋体" w:cs="Times New Roman"/>
                <w:kern w:val="2"/>
                <w:sz w:val="21"/>
                <w:lang w:val="en-US" w:eastAsia="zh-CN" w:bidi="ar-SA"/>
              </w:rPr>
              <w:id w:val="147452801"/>
              <w:placeholder>
                <w:docPart w:val="{03fe576c-bbbd-4d6d-8227-f34c436a19e9}"/>
              </w:placeholder>
            </w:sdtPr>
            <w:sdtEndPr>
              <w:rPr>
                <w:rFonts w:ascii="Times New Roman" w:hAnsi="Times New Roman" w:eastAsia="宋体" w:cs="Times New Roman"/>
                <w:kern w:val="2"/>
                <w:sz w:val="21"/>
                <w:lang w:val="en-US" w:eastAsia="zh-CN" w:bidi="ar-SA"/>
              </w:rPr>
            </w:sdtEndPr>
            <w:sdtContent>
              <w:r>
                <w:rPr>
                  <w:rFonts w:ascii="Times New Roman" w:hAnsi="Times New Roman" w:eastAsia="宋体" w:cs="Times New Roman"/>
                </w:rPr>
                <w:t>第三</w:t>
              </w:r>
              <w:r>
                <w:rPr>
                  <w:rFonts w:hint="eastAsia" w:ascii="Times New Roman" w:hAnsi="Times New Roman" w:eastAsia="宋体" w:cs="Times New Roman"/>
                </w:rPr>
                <w:t>章</w:t>
              </w:r>
              <w:r>
                <w:rPr>
                  <w:rFonts w:ascii="Times New Roman" w:hAnsi="Times New Roman" w:eastAsia="宋体" w:cs="Times New Roman"/>
                </w:rPr>
                <w:t xml:space="preserve">  </w:t>
              </w:r>
              <w:r>
                <w:rPr>
                  <w:rFonts w:hint="eastAsia" w:ascii="Times New Roman" w:hAnsi="Times New Roman" w:eastAsia="宋体" w:cs="Times New Roman"/>
                </w:rPr>
                <w:t>采购内容</w:t>
              </w:r>
              <w:r>
                <w:rPr>
                  <w:rFonts w:ascii="Times New Roman" w:hAnsi="Times New Roman" w:eastAsia="宋体" w:cs="Times New Roman"/>
                </w:rPr>
                <w:t>及要求</w:t>
              </w:r>
            </w:sdtContent>
          </w:sdt>
          <w:r>
            <w:tab/>
          </w:r>
          <w:bookmarkStart w:id="3" w:name="_Toc8407_WPSOffice_Level1Page"/>
          <w:r>
            <w:t>38</w:t>
          </w:r>
          <w:bookmarkEnd w:id="3"/>
          <w:r>
            <w:fldChar w:fldCharType="end"/>
          </w:r>
        </w:p>
        <w:p>
          <w:pPr>
            <w:pStyle w:val="23"/>
            <w:tabs>
              <w:tab w:val="right" w:leader="dot" w:pos="8300"/>
            </w:tabs>
          </w:pPr>
          <w:r>
            <w:fldChar w:fldCharType="begin"/>
          </w:r>
          <w:r>
            <w:instrText xml:space="preserve"> HYPERLINK \l _Toc26457_WPSOffice_Level1 </w:instrText>
          </w:r>
          <w:r>
            <w:fldChar w:fldCharType="separate"/>
          </w:r>
          <w:sdt>
            <w:sdtPr>
              <w:rPr>
                <w:rFonts w:ascii="Times New Roman" w:hAnsi="Times New Roman" w:eastAsia="宋体" w:cs="Times New Roman"/>
                <w:kern w:val="2"/>
                <w:sz w:val="21"/>
                <w:lang w:val="en-US" w:eastAsia="zh-CN" w:bidi="ar-SA"/>
              </w:rPr>
              <w:id w:val="147452801"/>
              <w:placeholder>
                <w:docPart w:val="{b9a49793-f8fd-48cd-b366-7999236d79a1}"/>
              </w:placeholder>
            </w:sdtPr>
            <w:sdtEndPr>
              <w:rPr>
                <w:rFonts w:ascii="Times New Roman" w:hAnsi="Times New Roman" w:eastAsia="宋体" w:cs="Times New Roman"/>
                <w:kern w:val="2"/>
                <w:sz w:val="21"/>
                <w:lang w:val="en-US" w:eastAsia="zh-CN" w:bidi="ar-SA"/>
              </w:rPr>
            </w:sdtEndPr>
            <w:sdtContent>
              <w:r>
                <w:rPr>
                  <w:rFonts w:hint="eastAsia" w:ascii="宋体" w:hAnsi="宋体" w:eastAsia="宋体" w:cs="Times New Roman"/>
                </w:rPr>
                <w:t>第四章  商务要求</w:t>
              </w:r>
            </w:sdtContent>
          </w:sdt>
          <w:r>
            <w:tab/>
          </w:r>
          <w:bookmarkStart w:id="4" w:name="_Toc26457_WPSOffice_Level1Page"/>
          <w:r>
            <w:t>42</w:t>
          </w:r>
          <w:bookmarkEnd w:id="4"/>
          <w:r>
            <w:fldChar w:fldCharType="end"/>
          </w:r>
        </w:p>
        <w:p>
          <w:pPr>
            <w:pStyle w:val="23"/>
            <w:tabs>
              <w:tab w:val="right" w:leader="dot" w:pos="8300"/>
            </w:tabs>
          </w:pPr>
          <w:r>
            <w:fldChar w:fldCharType="begin"/>
          </w:r>
          <w:r>
            <w:instrText xml:space="preserve"> HYPERLINK \l _Toc27495_WPSOffice_Level1 </w:instrText>
          </w:r>
          <w:r>
            <w:fldChar w:fldCharType="separate"/>
          </w:r>
          <w:sdt>
            <w:sdtPr>
              <w:rPr>
                <w:rFonts w:ascii="Times New Roman" w:hAnsi="Times New Roman" w:eastAsia="宋体" w:cs="Times New Roman"/>
                <w:kern w:val="2"/>
                <w:sz w:val="21"/>
                <w:lang w:val="en-US" w:eastAsia="zh-CN" w:bidi="ar-SA"/>
              </w:rPr>
              <w:id w:val="147452801"/>
              <w:placeholder>
                <w:docPart w:val="{26544e83-15b3-4149-b022-9c03fa3aa9da}"/>
              </w:placeholder>
            </w:sdtPr>
            <w:sdtEndPr>
              <w:rPr>
                <w:rFonts w:ascii="Times New Roman" w:hAnsi="Times New Roman" w:eastAsia="宋体" w:cs="Times New Roman"/>
                <w:kern w:val="2"/>
                <w:sz w:val="21"/>
                <w:lang w:val="en-US" w:eastAsia="zh-CN" w:bidi="ar-SA"/>
              </w:rPr>
            </w:sdtEndPr>
            <w:sdtContent>
              <w:r>
                <w:rPr>
                  <w:rFonts w:ascii="Times New Roman" w:hAnsi="Times New Roman" w:eastAsia="宋体" w:cs="Times New Roman"/>
                </w:rPr>
                <w:t>第</w:t>
              </w:r>
              <w:r>
                <w:rPr>
                  <w:rFonts w:hint="eastAsia" w:ascii="Times New Roman" w:hAnsi="Times New Roman" w:eastAsia="宋体" w:cs="Times New Roman"/>
                </w:rPr>
                <w:t>五章</w:t>
              </w:r>
              <w:r>
                <w:rPr>
                  <w:rFonts w:ascii="Times New Roman" w:hAnsi="Times New Roman" w:eastAsia="宋体" w:cs="Times New Roman"/>
                </w:rPr>
                <w:t xml:space="preserve">  </w:t>
              </w:r>
              <w:r>
                <w:rPr>
                  <w:rFonts w:hint="eastAsia" w:ascii="Times New Roman" w:hAnsi="Times New Roman" w:eastAsia="宋体" w:cs="Times New Roman"/>
                </w:rPr>
                <w:t>拟签订的</w:t>
              </w:r>
              <w:r>
                <w:rPr>
                  <w:rFonts w:ascii="Times New Roman" w:hAnsi="Times New Roman" w:eastAsia="宋体" w:cs="Times New Roman"/>
                </w:rPr>
                <w:t>合同</w:t>
              </w:r>
              <w:r>
                <w:rPr>
                  <w:rFonts w:hint="eastAsia" w:ascii="Times New Roman" w:hAnsi="Times New Roman" w:eastAsia="宋体" w:cs="Times New Roman"/>
                </w:rPr>
                <w:t>文本</w:t>
              </w:r>
            </w:sdtContent>
          </w:sdt>
          <w:r>
            <w:tab/>
          </w:r>
          <w:bookmarkStart w:id="5" w:name="_Toc27495_WPSOffice_Level1Page"/>
          <w:r>
            <w:t>43</w:t>
          </w:r>
          <w:bookmarkEnd w:id="5"/>
          <w:r>
            <w:fldChar w:fldCharType="end"/>
          </w:r>
        </w:p>
        <w:p>
          <w:pPr>
            <w:pStyle w:val="23"/>
            <w:tabs>
              <w:tab w:val="right" w:leader="dot" w:pos="8300"/>
            </w:tabs>
          </w:pPr>
          <w:r>
            <w:fldChar w:fldCharType="begin"/>
          </w:r>
          <w:r>
            <w:instrText xml:space="preserve"> HYPERLINK \l _Toc17071_WPSOffice_Level1 </w:instrText>
          </w:r>
          <w:r>
            <w:fldChar w:fldCharType="separate"/>
          </w:r>
          <w:sdt>
            <w:sdtPr>
              <w:rPr>
                <w:rFonts w:ascii="Times New Roman" w:hAnsi="Times New Roman" w:eastAsia="宋体" w:cs="Times New Roman"/>
                <w:kern w:val="2"/>
                <w:sz w:val="21"/>
                <w:lang w:val="en-US" w:eastAsia="zh-CN" w:bidi="ar-SA"/>
              </w:rPr>
              <w:id w:val="147452801"/>
              <w:placeholder>
                <w:docPart w:val="{465a9805-2768-4f50-83ea-f14a1236618a}"/>
              </w:placeholder>
            </w:sdtPr>
            <w:sdtEndPr>
              <w:rPr>
                <w:rFonts w:ascii="Times New Roman" w:hAnsi="Times New Roman" w:eastAsia="宋体" w:cs="Times New Roman"/>
                <w:kern w:val="2"/>
                <w:sz w:val="21"/>
                <w:lang w:val="en-US" w:eastAsia="zh-CN" w:bidi="ar-SA"/>
              </w:rPr>
            </w:sdtEndPr>
            <w:sdtContent>
              <w:r>
                <w:rPr>
                  <w:rFonts w:ascii="Times New Roman" w:hAnsi="Times New Roman" w:eastAsia="宋体" w:cs="Times New Roman"/>
                </w:rPr>
                <w:t>第</w:t>
              </w:r>
              <w:r>
                <w:rPr>
                  <w:rFonts w:hint="eastAsia" w:ascii="Times New Roman" w:hAnsi="Times New Roman" w:eastAsia="宋体" w:cs="Times New Roman"/>
                </w:rPr>
                <w:t>六章</w:t>
              </w:r>
              <w:r>
                <w:rPr>
                  <w:rFonts w:ascii="Times New Roman" w:hAnsi="Times New Roman" w:eastAsia="宋体" w:cs="Times New Roman"/>
                </w:rPr>
                <w:t xml:space="preserve">   投标文件格式</w:t>
              </w:r>
            </w:sdtContent>
          </w:sdt>
          <w:r>
            <w:tab/>
          </w:r>
          <w:bookmarkStart w:id="6" w:name="_Toc17071_WPSOffice_Level1Page"/>
          <w:r>
            <w:t>45</w:t>
          </w:r>
          <w:bookmarkEnd w:id="6"/>
          <w:r>
            <w:fldChar w:fldCharType="end"/>
          </w:r>
        </w:p>
        <w:bookmarkEnd w:id="0"/>
        <w:p>
          <w:pPr>
            <w:pStyle w:val="23"/>
            <w:tabs>
              <w:tab w:val="right" w:leader="dot" w:pos="8300"/>
            </w:tabs>
            <w:ind w:left="0" w:leftChars="0"/>
          </w:pPr>
          <w:bookmarkStart w:id="7" w:name="_Toc32"/>
          <w:bookmarkStart w:id="8" w:name="_Toc14520_WPSOffice_Level1"/>
          <w:bookmarkStart w:id="9" w:name="_Toc15323695"/>
          <w:bookmarkStart w:id="10" w:name="_Toc10356_WPSOffice_Level1"/>
        </w:p>
      </w:sdtContent>
    </w:sdt>
    <w:p/>
    <w:p/>
    <w:p/>
    <w:p/>
    <w:p/>
    <w:p/>
    <w:p/>
    <w:p/>
    <w:p/>
    <w:p/>
    <w:p/>
    <w:p/>
    <w:p/>
    <w:p/>
    <w:p/>
    <w:p/>
    <w:p/>
    <w:p/>
    <w:p/>
    <w:p/>
    <w:p/>
    <w:p/>
    <w:p/>
    <w:p/>
    <w:p/>
    <w:p/>
    <w:p/>
    <w:p/>
    <w:p/>
    <w:p/>
    <w:p/>
    <w:p>
      <w:pPr>
        <w:pStyle w:val="3"/>
        <w:keepLines w:val="0"/>
        <w:pageBreakBefore w:val="0"/>
        <w:widowControl w:val="0"/>
        <w:kinsoku/>
        <w:wordWrap/>
        <w:overflowPunct/>
        <w:topLinePunct w:val="0"/>
        <w:bidi w:val="0"/>
        <w:spacing w:line="440" w:lineRule="exact"/>
        <w:textAlignment w:val="auto"/>
      </w:pPr>
      <w:r>
        <w:t>第一</w:t>
      </w:r>
      <w:r>
        <w:rPr>
          <w:rFonts w:hint="eastAsia"/>
        </w:rPr>
        <w:t>章</w:t>
      </w:r>
      <w:bookmarkStart w:id="11" w:name="_Toc7182571"/>
      <w:bookmarkStart w:id="12" w:name="_Toc3993965"/>
      <w:r>
        <w:rPr>
          <w:rFonts w:hint="eastAsia"/>
        </w:rPr>
        <w:t xml:space="preserve"> </w:t>
      </w:r>
      <w:r>
        <w:t>招标公告</w:t>
      </w:r>
      <w:bookmarkEnd w:id="7"/>
      <w:bookmarkEnd w:id="8"/>
      <w:bookmarkEnd w:id="9"/>
      <w:bookmarkEnd w:id="10"/>
      <w:bookmarkEnd w:id="11"/>
      <w:bookmarkEnd w:id="12"/>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20" w:lineRule="exact"/>
        <w:ind w:left="0" w:right="0"/>
        <w:jc w:val="left"/>
        <w:textAlignment w:val="baseline"/>
        <w:rPr>
          <w:rFonts w:hint="eastAsia" w:ascii="Times New Roman" w:hAnsi="Times New Roman" w:eastAsia="宋体" w:cs="Times New Roman"/>
          <w:b/>
          <w:bCs/>
          <w:kern w:val="2"/>
          <w:sz w:val="21"/>
          <w:szCs w:val="22"/>
          <w:lang w:val="en-US" w:eastAsia="zh-CN" w:bidi="ar-SA"/>
        </w:rPr>
      </w:pPr>
      <w:bookmarkStart w:id="13" w:name="_Toc12315"/>
      <w:bookmarkStart w:id="14" w:name="_Toc15323696"/>
      <w:r>
        <w:rPr>
          <w:rFonts w:hint="eastAsia" w:ascii="Times New Roman" w:hAnsi="Times New Roman" w:eastAsia="宋体" w:cs="Times New Roman"/>
          <w:b/>
          <w:bCs/>
          <w:kern w:val="2"/>
          <w:sz w:val="21"/>
          <w:szCs w:val="22"/>
          <w:lang w:val="en-US" w:eastAsia="zh-CN" w:bidi="ar-SA"/>
        </w:rPr>
        <w:t>项目概况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大荔县2022至2023学年度学生营养改善计划采购项目招标项目的潜在投标人应在陕西省西安市雁塔区吉祥路 135 号获取招标文件，并于 2022年08月29日 10时00分 （北京时间）前递交投标文件。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20" w:lineRule="exact"/>
        <w:ind w:left="0" w:right="0" w:firstLine="0"/>
        <w:jc w:val="left"/>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一、项目基本情况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项目编号：YC22101054(CGP)</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项目名称：大荔县2022至2023学年度学生营养改善计划采购项目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采购方式：公开招标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预算金额：37,519,000.00元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采购需求：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合同包1(米、面粉、油):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合同包预算金额：879,700.00元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合同包最高限价：879,700.00元</w:t>
      </w:r>
    </w:p>
    <w:tbl>
      <w:tblPr>
        <w:tblStyle w:val="14"/>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6"/>
        <w:gridCol w:w="2147"/>
        <w:gridCol w:w="2201"/>
        <w:gridCol w:w="844"/>
        <w:gridCol w:w="1522"/>
        <w:gridCol w:w="118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blHeader/>
        </w:trPr>
        <w:tc>
          <w:tcPr>
            <w:tcW w:w="6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2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5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6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1-1</w:t>
            </w:r>
          </w:p>
        </w:tc>
        <w:tc>
          <w:tcPr>
            <w:tcW w:w="21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其他农作物副产品</w:t>
            </w:r>
          </w:p>
        </w:tc>
        <w:tc>
          <w:tcPr>
            <w:tcW w:w="22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米、面粉、油</w:t>
            </w:r>
          </w:p>
        </w:tc>
        <w:tc>
          <w:tcPr>
            <w:tcW w:w="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5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879,700.00</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879,700.00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合同包2(米、面粉、油):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合同包预算金额：1,481,600.00元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合同包最高限价：1,481,600.00元</w:t>
      </w:r>
    </w:p>
    <w:tbl>
      <w:tblPr>
        <w:tblStyle w:val="14"/>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056"/>
        <w:gridCol w:w="2117"/>
        <w:gridCol w:w="837"/>
        <w:gridCol w:w="1478"/>
        <w:gridCol w:w="1343"/>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76" w:hRule="atLeast"/>
          <w:tblHeader/>
        </w:trPr>
        <w:tc>
          <w:tcPr>
            <w:tcW w:w="6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8" w:hRule="atLeast"/>
        </w:trPr>
        <w:tc>
          <w:tcPr>
            <w:tcW w:w="6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2-1</w:t>
            </w:r>
          </w:p>
        </w:tc>
        <w:tc>
          <w:tcPr>
            <w:tcW w:w="20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其他农作物副产品</w:t>
            </w:r>
          </w:p>
        </w:tc>
        <w:tc>
          <w:tcPr>
            <w:tcW w:w="2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米、面粉、油</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4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1,481,600.00</w:t>
            </w:r>
          </w:p>
        </w:tc>
        <w:tc>
          <w:tcPr>
            <w:tcW w:w="13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1,481,600.00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合同包3(米、面粉、油):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合同包预算金额：2,268,700.00元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合同包最高限价：2,268,700.00元</w:t>
      </w:r>
    </w:p>
    <w:tbl>
      <w:tblPr>
        <w:tblStyle w:val="14"/>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1"/>
        <w:gridCol w:w="2000"/>
        <w:gridCol w:w="2062"/>
        <w:gridCol w:w="819"/>
        <w:gridCol w:w="1442"/>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53" w:hRule="atLeast"/>
          <w:tblHeader/>
        </w:trPr>
        <w:tc>
          <w:tcPr>
            <w:tcW w:w="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0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4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6" w:hRule="atLeast"/>
        </w:trPr>
        <w:tc>
          <w:tcPr>
            <w:tcW w:w="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3-1</w:t>
            </w:r>
          </w:p>
        </w:tc>
        <w:tc>
          <w:tcPr>
            <w:tcW w:w="2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其他农作物副产品</w:t>
            </w:r>
          </w:p>
        </w:tc>
        <w:tc>
          <w:tcPr>
            <w:tcW w:w="20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米、面粉、油</w:t>
            </w:r>
          </w:p>
        </w:tc>
        <w:tc>
          <w:tcPr>
            <w:tcW w:w="8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4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2,268,700.00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2,268,700.00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合同包4(鸡蛋):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合同包预算金额：1,370,880.00元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合同包最高限价：1,370,880.00元</w:t>
      </w:r>
    </w:p>
    <w:tbl>
      <w:tblPr>
        <w:tblStyle w:val="14"/>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7"/>
        <w:gridCol w:w="2027"/>
        <w:gridCol w:w="2026"/>
        <w:gridCol w:w="826"/>
        <w:gridCol w:w="1458"/>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blHeader/>
        </w:trPr>
        <w:tc>
          <w:tcPr>
            <w:tcW w:w="6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0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6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4-1</w:t>
            </w:r>
          </w:p>
        </w:tc>
        <w:tc>
          <w:tcPr>
            <w:tcW w:w="20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禽蛋</w:t>
            </w:r>
          </w:p>
        </w:tc>
        <w:tc>
          <w:tcPr>
            <w:tcW w:w="20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鸡蛋</w:t>
            </w:r>
          </w:p>
        </w:tc>
        <w:tc>
          <w:tcPr>
            <w:tcW w:w="8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1,370,880.00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1,370,880.00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合同包5(鸡蛋):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合同包预算金额：1,370,880.00元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合同包最高限价：1,370,880.00元</w:t>
      </w:r>
    </w:p>
    <w:tbl>
      <w:tblPr>
        <w:tblStyle w:val="14"/>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3"/>
        <w:gridCol w:w="2007"/>
        <w:gridCol w:w="2007"/>
        <w:gridCol w:w="821"/>
        <w:gridCol w:w="1445"/>
        <w:gridCol w:w="1343"/>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1" w:hRule="atLeast"/>
          <w:tblHeader/>
        </w:trPr>
        <w:tc>
          <w:tcPr>
            <w:tcW w:w="6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0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4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6" w:hRule="atLeast"/>
        </w:trPr>
        <w:tc>
          <w:tcPr>
            <w:tcW w:w="6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5-1</w:t>
            </w:r>
          </w:p>
        </w:tc>
        <w:tc>
          <w:tcPr>
            <w:tcW w:w="20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禽蛋</w:t>
            </w:r>
          </w:p>
        </w:tc>
        <w:tc>
          <w:tcPr>
            <w:tcW w:w="20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鸡蛋</w:t>
            </w:r>
          </w:p>
        </w:tc>
        <w:tc>
          <w:tcPr>
            <w:tcW w:w="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4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1,370,880.00</w:t>
            </w:r>
          </w:p>
        </w:tc>
        <w:tc>
          <w:tcPr>
            <w:tcW w:w="13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1,370,880.00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合同包6(鸡蛋):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合同包预算金额：1,664,640.00元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合同包最高限价：1,664,640.00元</w:t>
      </w:r>
    </w:p>
    <w:tbl>
      <w:tblPr>
        <w:tblStyle w:val="14"/>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7"/>
        <w:gridCol w:w="2064"/>
        <w:gridCol w:w="2064"/>
        <w:gridCol w:w="837"/>
        <w:gridCol w:w="1482"/>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1" w:hRule="atLeast"/>
          <w:tblHeader/>
        </w:trPr>
        <w:tc>
          <w:tcPr>
            <w:tcW w:w="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0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4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6" w:hRule="atLeast"/>
        </w:trPr>
        <w:tc>
          <w:tcPr>
            <w:tcW w:w="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6-1</w:t>
            </w:r>
          </w:p>
        </w:tc>
        <w:tc>
          <w:tcPr>
            <w:tcW w:w="20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禽蛋</w:t>
            </w:r>
          </w:p>
        </w:tc>
        <w:tc>
          <w:tcPr>
            <w:tcW w:w="20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鸡蛋</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4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1,664,640.00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1,664,640.00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合同包7(鸡蛋):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合同包预算金额：489,600.00元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合同包最高限价：489,600.00元</w:t>
      </w:r>
    </w:p>
    <w:tbl>
      <w:tblPr>
        <w:tblStyle w:val="14"/>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4"/>
        <w:gridCol w:w="2191"/>
        <w:gridCol w:w="2190"/>
        <w:gridCol w:w="856"/>
        <w:gridCol w:w="1548"/>
        <w:gridCol w:w="1185"/>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5" w:hRule="atLeast"/>
          <w:tblHeader/>
        </w:trPr>
        <w:tc>
          <w:tcPr>
            <w:tcW w:w="6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1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1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54" w:hRule="atLeast"/>
        </w:trPr>
        <w:tc>
          <w:tcPr>
            <w:tcW w:w="6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7-1</w:t>
            </w:r>
          </w:p>
        </w:tc>
        <w:tc>
          <w:tcPr>
            <w:tcW w:w="21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禽蛋</w:t>
            </w:r>
          </w:p>
        </w:tc>
        <w:tc>
          <w:tcPr>
            <w:tcW w:w="21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鸡蛋</w:t>
            </w:r>
          </w:p>
        </w:tc>
        <w:tc>
          <w:tcPr>
            <w:tcW w:w="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5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489,600.00</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489,600.00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合同包8(果汁):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合同包预算金额：1,485,180.00元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合同包最高限价：1,485,180.00元</w:t>
      </w:r>
    </w:p>
    <w:tbl>
      <w:tblPr>
        <w:tblStyle w:val="14"/>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9"/>
        <w:gridCol w:w="2115"/>
        <w:gridCol w:w="2115"/>
        <w:gridCol w:w="851"/>
        <w:gridCol w:w="1514"/>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5" w:hRule="atLeast"/>
          <w:tblHeader/>
        </w:trPr>
        <w:tc>
          <w:tcPr>
            <w:tcW w:w="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5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8-1</w:t>
            </w:r>
          </w:p>
        </w:tc>
        <w:tc>
          <w:tcPr>
            <w:tcW w:w="2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饮料</w:t>
            </w:r>
          </w:p>
        </w:tc>
        <w:tc>
          <w:tcPr>
            <w:tcW w:w="2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果汁</w:t>
            </w:r>
          </w:p>
        </w:tc>
        <w:tc>
          <w:tcPr>
            <w:tcW w:w="8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5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1,485,180.00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1,485,180.00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合同包9(果汁):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合同包预算金额：1,485,180.00元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合同包最高限价：1,485,180.00元</w:t>
      </w:r>
    </w:p>
    <w:tbl>
      <w:tblPr>
        <w:tblStyle w:val="14"/>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9"/>
        <w:gridCol w:w="2115"/>
        <w:gridCol w:w="2115"/>
        <w:gridCol w:w="851"/>
        <w:gridCol w:w="1514"/>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5" w:hRule="atLeast"/>
          <w:tblHeader/>
        </w:trPr>
        <w:tc>
          <w:tcPr>
            <w:tcW w:w="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5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9-1</w:t>
            </w:r>
          </w:p>
        </w:tc>
        <w:tc>
          <w:tcPr>
            <w:tcW w:w="2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饮料</w:t>
            </w:r>
          </w:p>
        </w:tc>
        <w:tc>
          <w:tcPr>
            <w:tcW w:w="2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果汁</w:t>
            </w:r>
          </w:p>
        </w:tc>
        <w:tc>
          <w:tcPr>
            <w:tcW w:w="8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5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1,485,180.00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1,485,180.00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合同包10(果汁):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合同包预算金额：1,489,640.00元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合同包最高限价：1,489,640.00元</w:t>
      </w:r>
    </w:p>
    <w:tbl>
      <w:tblPr>
        <w:tblStyle w:val="14"/>
        <w:tblW w:w="9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6"/>
        <w:gridCol w:w="2102"/>
        <w:gridCol w:w="2102"/>
        <w:gridCol w:w="848"/>
        <w:gridCol w:w="1505"/>
        <w:gridCol w:w="1343"/>
        <w:gridCol w:w="1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5" w:hRule="atLeast"/>
          <w:tblHeader/>
        </w:trPr>
        <w:tc>
          <w:tcPr>
            <w:tcW w:w="6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1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1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4" w:hRule="atLeast"/>
        </w:trPr>
        <w:tc>
          <w:tcPr>
            <w:tcW w:w="6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10-1</w:t>
            </w:r>
          </w:p>
        </w:tc>
        <w:tc>
          <w:tcPr>
            <w:tcW w:w="21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饮料</w:t>
            </w:r>
          </w:p>
        </w:tc>
        <w:tc>
          <w:tcPr>
            <w:tcW w:w="21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果汁</w:t>
            </w:r>
          </w:p>
        </w:tc>
        <w:tc>
          <w:tcPr>
            <w:tcW w:w="8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1,489,640.00</w:t>
            </w:r>
          </w:p>
        </w:tc>
        <w:tc>
          <w:tcPr>
            <w:tcW w:w="13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1,489,640.00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合同包11(鸡腿汉堡):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合同包预算金额：2,178,000.00元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合同包最高限价：2,178,000.00元</w:t>
      </w:r>
    </w:p>
    <w:tbl>
      <w:tblPr>
        <w:tblStyle w:val="14"/>
        <w:tblW w:w="9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0"/>
        <w:gridCol w:w="2077"/>
        <w:gridCol w:w="2076"/>
        <w:gridCol w:w="841"/>
        <w:gridCol w:w="1490"/>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blHeader/>
        </w:trPr>
        <w:tc>
          <w:tcPr>
            <w:tcW w:w="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0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6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11-1</w:t>
            </w:r>
          </w:p>
        </w:tc>
        <w:tc>
          <w:tcPr>
            <w:tcW w:w="2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熟肉制品</w:t>
            </w:r>
          </w:p>
        </w:tc>
        <w:tc>
          <w:tcPr>
            <w:tcW w:w="20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鸡腿汉堡</w:t>
            </w:r>
          </w:p>
        </w:tc>
        <w:tc>
          <w:tcPr>
            <w:tcW w:w="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2,178,000.00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2,178,000.00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合同包12(鸡腿汉堡):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合同包预算金额：2,178,000.00元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合同包最高限价：2,178,000.00元</w:t>
      </w:r>
    </w:p>
    <w:tbl>
      <w:tblPr>
        <w:tblStyle w:val="14"/>
        <w:tblW w:w="10150"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4"/>
        <w:gridCol w:w="2096"/>
        <w:gridCol w:w="2097"/>
        <w:gridCol w:w="846"/>
        <w:gridCol w:w="1501"/>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18" w:hRule="atLeast"/>
          <w:tblHeader/>
        </w:trPr>
        <w:tc>
          <w:tcPr>
            <w:tcW w:w="9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0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9" w:hRule="atLeast"/>
        </w:trPr>
        <w:tc>
          <w:tcPr>
            <w:tcW w:w="9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12-1</w:t>
            </w:r>
          </w:p>
        </w:tc>
        <w:tc>
          <w:tcPr>
            <w:tcW w:w="2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熟肉制品</w:t>
            </w:r>
          </w:p>
        </w:tc>
        <w:tc>
          <w:tcPr>
            <w:tcW w:w="20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鸡腿汉堡</w:t>
            </w:r>
          </w:p>
        </w:tc>
        <w:tc>
          <w:tcPr>
            <w:tcW w:w="8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2,178,000.00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2,178,000.00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合同包13(早餐饼):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合同包预算金额：1,232,000.00元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合同包最高限价：1,232,000.00元</w:t>
      </w:r>
    </w:p>
    <w:tbl>
      <w:tblPr>
        <w:tblStyle w:val="14"/>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1"/>
        <w:gridCol w:w="2084"/>
        <w:gridCol w:w="2083"/>
        <w:gridCol w:w="842"/>
        <w:gridCol w:w="1494"/>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5" w:hRule="atLeast"/>
          <w:tblHeader/>
        </w:trPr>
        <w:tc>
          <w:tcPr>
            <w:tcW w:w="6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4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54" w:hRule="atLeast"/>
        </w:trPr>
        <w:tc>
          <w:tcPr>
            <w:tcW w:w="6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13-1</w:t>
            </w:r>
          </w:p>
        </w:tc>
        <w:tc>
          <w:tcPr>
            <w:tcW w:w="20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碾磨谷物及谷物加工品</w:t>
            </w:r>
          </w:p>
        </w:tc>
        <w:tc>
          <w:tcPr>
            <w:tcW w:w="2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早餐饼</w:t>
            </w:r>
          </w:p>
        </w:tc>
        <w:tc>
          <w:tcPr>
            <w:tcW w:w="8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4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1,232,000.00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1,232,000.00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合同包14(豆奶):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合同包预算金额：3,000,000.00元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合同包最高限价：3,000,000.00元</w:t>
      </w:r>
    </w:p>
    <w:tbl>
      <w:tblPr>
        <w:tblStyle w:val="14"/>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4"/>
        <w:gridCol w:w="2049"/>
        <w:gridCol w:w="2112"/>
        <w:gridCol w:w="835"/>
        <w:gridCol w:w="1474"/>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blHead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1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4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54" w:hRule="atLeast"/>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14-1</w:t>
            </w:r>
          </w:p>
        </w:tc>
        <w:tc>
          <w:tcPr>
            <w:tcW w:w="20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乳制品</w:t>
            </w:r>
          </w:p>
        </w:tc>
        <w:tc>
          <w:tcPr>
            <w:tcW w:w="21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豆奶（燕麦/红豆）</w:t>
            </w:r>
          </w:p>
        </w:tc>
        <w:tc>
          <w:tcPr>
            <w:tcW w:w="8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4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3,000,000.00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3,000,000.00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合同包15(学生奶):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合同包预算金额：2,740,500.00元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合同包最高限价：2,740,500.00元</w:t>
      </w:r>
    </w:p>
    <w:tbl>
      <w:tblPr>
        <w:tblStyle w:val="14"/>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7"/>
        <w:gridCol w:w="2064"/>
        <w:gridCol w:w="2064"/>
        <w:gridCol w:w="837"/>
        <w:gridCol w:w="1482"/>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1" w:hRule="atLeast"/>
          <w:tblHeader/>
        </w:trPr>
        <w:tc>
          <w:tcPr>
            <w:tcW w:w="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0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4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66" w:hRule="atLeast"/>
        </w:trPr>
        <w:tc>
          <w:tcPr>
            <w:tcW w:w="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15-1</w:t>
            </w:r>
          </w:p>
        </w:tc>
        <w:tc>
          <w:tcPr>
            <w:tcW w:w="20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乳制品</w:t>
            </w:r>
          </w:p>
        </w:tc>
        <w:tc>
          <w:tcPr>
            <w:tcW w:w="20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学生奶</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4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2,740,500.00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2,740,500.00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合同包16(学生奶):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合同包预算金额：2,740,500.00元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default"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合同包最高限价：2,740,500.00元</w:t>
      </w:r>
      <w:r>
        <w:rPr>
          <w:rFonts w:hint="eastAsia" w:ascii="Times New Roman" w:hAnsi="Times New Roman" w:cs="Times New Roman"/>
          <w:b w:val="0"/>
          <w:kern w:val="2"/>
          <w:sz w:val="21"/>
          <w:szCs w:val="22"/>
          <w:lang w:val="en-US" w:eastAsia="zh-CN" w:bidi="ar-SA"/>
        </w:rPr>
        <w:t xml:space="preserve">                                                                                                                                                                                                                                                                                                                                                                                                                                                                     0</w:t>
      </w:r>
    </w:p>
    <w:tbl>
      <w:tblPr>
        <w:tblStyle w:val="14"/>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3"/>
        <w:gridCol w:w="2089"/>
        <w:gridCol w:w="2090"/>
        <w:gridCol w:w="845"/>
        <w:gridCol w:w="1497"/>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blHeader/>
        </w:trPr>
        <w:tc>
          <w:tcPr>
            <w:tcW w:w="6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0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4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6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16-1</w:t>
            </w:r>
          </w:p>
        </w:tc>
        <w:tc>
          <w:tcPr>
            <w:tcW w:w="2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乳制品</w:t>
            </w:r>
          </w:p>
        </w:tc>
        <w:tc>
          <w:tcPr>
            <w:tcW w:w="20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学生奶</w:t>
            </w:r>
          </w:p>
        </w:tc>
        <w:tc>
          <w:tcPr>
            <w:tcW w:w="8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4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2,740,500.00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2,740,500.00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合同包17(学生奶):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合同包预算金额：2,929,500.00元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合同包最高限价：2,929,500.00元</w:t>
      </w:r>
    </w:p>
    <w:tbl>
      <w:tblPr>
        <w:tblStyle w:val="14"/>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9"/>
        <w:gridCol w:w="2122"/>
        <w:gridCol w:w="2121"/>
        <w:gridCol w:w="854"/>
        <w:gridCol w:w="1518"/>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5" w:hRule="atLeast"/>
          <w:tblHeader/>
        </w:trPr>
        <w:tc>
          <w:tcPr>
            <w:tcW w:w="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5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54" w:hRule="atLeast"/>
        </w:trPr>
        <w:tc>
          <w:tcPr>
            <w:tcW w:w="6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17-1</w:t>
            </w:r>
          </w:p>
        </w:tc>
        <w:tc>
          <w:tcPr>
            <w:tcW w:w="2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乳制品</w:t>
            </w:r>
          </w:p>
        </w:tc>
        <w:tc>
          <w:tcPr>
            <w:tcW w:w="21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学生奶</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5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2,929,500.00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2,929,500.00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合同包18(学生奶):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合同包预算金额：1,039,500.00元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合同包最高限价：1,039,500.00元</w:t>
      </w:r>
    </w:p>
    <w:tbl>
      <w:tblPr>
        <w:tblStyle w:val="14"/>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4"/>
        <w:gridCol w:w="2096"/>
        <w:gridCol w:w="2097"/>
        <w:gridCol w:w="846"/>
        <w:gridCol w:w="1501"/>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76" w:hRule="atLeast"/>
          <w:tblHeader/>
        </w:trPr>
        <w:tc>
          <w:tcPr>
            <w:tcW w:w="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0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8" w:hRule="atLeast"/>
        </w:trPr>
        <w:tc>
          <w:tcPr>
            <w:tcW w:w="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18-1</w:t>
            </w:r>
          </w:p>
        </w:tc>
        <w:tc>
          <w:tcPr>
            <w:tcW w:w="2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乳制品</w:t>
            </w:r>
          </w:p>
        </w:tc>
        <w:tc>
          <w:tcPr>
            <w:tcW w:w="20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学生奶</w:t>
            </w:r>
          </w:p>
        </w:tc>
        <w:tc>
          <w:tcPr>
            <w:tcW w:w="8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1(批)</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1,039,500.00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1,039,500.00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合同包19(供餐企业):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合同包预算金额：5,495,000.00元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合同包最高限价：5,495,000.00元</w:t>
      </w:r>
    </w:p>
    <w:tbl>
      <w:tblPr>
        <w:tblStyle w:val="14"/>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4"/>
        <w:gridCol w:w="2096"/>
        <w:gridCol w:w="2097"/>
        <w:gridCol w:w="846"/>
        <w:gridCol w:w="1501"/>
        <w:gridCol w:w="134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6" w:hRule="atLeast"/>
          <w:tblHeader/>
        </w:trPr>
        <w:tc>
          <w:tcPr>
            <w:tcW w:w="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品目号</w:t>
            </w:r>
          </w:p>
        </w:tc>
        <w:tc>
          <w:tcPr>
            <w:tcW w:w="2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品目名称</w:t>
            </w:r>
          </w:p>
        </w:tc>
        <w:tc>
          <w:tcPr>
            <w:tcW w:w="20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采购标的</w:t>
            </w:r>
          </w:p>
        </w:tc>
        <w:tc>
          <w:tcPr>
            <w:tcW w:w="8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数量（单位）</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品目预算(元)</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8" w:hRule="atLeast"/>
        </w:trPr>
        <w:tc>
          <w:tcPr>
            <w:tcW w:w="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19-1</w:t>
            </w:r>
          </w:p>
        </w:tc>
        <w:tc>
          <w:tcPr>
            <w:tcW w:w="20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方便食品</w:t>
            </w:r>
          </w:p>
        </w:tc>
        <w:tc>
          <w:tcPr>
            <w:tcW w:w="20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供餐企业</w:t>
            </w:r>
          </w:p>
        </w:tc>
        <w:tc>
          <w:tcPr>
            <w:tcW w:w="8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1(项)</w:t>
            </w:r>
          </w:p>
        </w:tc>
        <w:tc>
          <w:tcPr>
            <w:tcW w:w="15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20" w:lineRule="exact"/>
              <w:ind w:left="0" w:right="0"/>
              <w:jc w:val="center"/>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详见采购文件</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5,495,000.00</w:t>
            </w:r>
          </w:p>
        </w:tc>
        <w:tc>
          <w:tcPr>
            <w:tcW w:w="13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right"/>
              <w:textAlignment w:val="center"/>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5,495,000.00</w:t>
            </w:r>
          </w:p>
        </w:tc>
      </w:tr>
    </w:tbl>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本合同包不接受联合体投标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63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合同履行期限：2022年9月至2023年7月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420" w:lineRule="exact"/>
        <w:ind w:left="0" w:right="0" w:firstLine="0"/>
        <w:jc w:val="left"/>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二、申请人的资格要求：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1.满足《中华人民共和国政府采购法》第二十二条规定;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2.落实政府采购政策需满足的资格要求：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合同包1(米、面粉、油)落实政府采购政策需满足的资格要求如下: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司法部关于政府采购支持监狱企业发展有关问题的通知》（财库〔2014〕68号）；（5）《财政部、民政部、中国残疾人联合会关于促进残疾人就业政府采购政策的通知》（财库〔2017〕141号）；（6）《财政部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中小企业政府采购信用融资办法》（陕财办采〔2018〕23号）；（10）陕西省财政厅《关于进一步加强政府绿色采购有关问题的通知》陕财办采〔2021〕29号。（11）《关于进一步加大政府采购支持中小企业力度的通知》（财库〔2022〕19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合同包2(米、面粉、油)落实政府采购政策需满足的资格要求如下: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合同包3(米、面粉、油)落实政府采购政策需满足的资格要求如下: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合同包4(鸡蛋)落实政府采购政策需满足的资格要求如下: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合同包5(鸡蛋)落实政府采购政策需满足的资格要求如下: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合同包6(鸡蛋)落实政府采购政策需满足的资格要求如下: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合同包7(鸡蛋)落实政府采购政策需满足的资格要求如下: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合同包8(果汁)落实政府采购政策需满足的资格要求如下: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合同包9(果汁)落实政府采购政策需满足的资格要求如下: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合同包10(果汁)落实政府采购政策需满足的资格要求如下: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合同包11(鸡腿汉堡)落实政府采购政策需满足的资格要求如下: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合同包12(鸡腿汉堡)落实政府采购政策需满足的资格要求如下: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合同包13(早餐饼)落实政府采购政策需满足的资格要求如下: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合同包14(豆奶)落实政府采购政策需满足的资格要求如下: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合同包15(学生奶)落实政府采购政策需满足的资格要求如下: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合同包16(学生奶)落实政府采购政策需满足的资格要求如下: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firstLine="420" w:firstLineChars="20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合同包17(学生奶)落实政府采购政策需满足的资格要求如下: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合同包18(学生奶)落实政府采购政策需满足的资格要求如下: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合同包19(供餐企业)落实政府采购政策需满足的资格要求如下: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480" w:right="0" w:firstLine="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同合同包1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3.本项目的特定资格要求：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合同包1(米、面粉、油)特定资格要求如下: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6.本项目不接受联合体投标；</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7.本合同包为非专门面向中小企业采购。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合同包2(米、面粉、油)特定资格要求如下: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6.本项目不接受联合体投标；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合同包3(米、面粉、油)特定资格要求如下: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6.本项目不接受联合体投标；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合同包4(鸡蛋)特定资格要求如下: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1.供应商须提供《动物防疫条件合格证》；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6.本项目不接受联合体投标；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合同包5(鸡蛋)特定资格要求如下: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1.供应商须提供《动物防疫条件合格证》；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6.本项目不接受联合体投标；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合同包6(鸡蛋)特定资格要求如下: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1.供应商须提供《动物防疫条件合格证》；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6.本项目不接受联合体投标；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合同包7(鸡蛋)特定资格要求如下: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1.供应商须提供《动物防疫条件合格证》；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6.本项目不接受联合体投标；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合同包8(果汁)特定资格要求如下: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合同包9(果汁)特定资格要求如下: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合同包10(果汁)特定资格要求如下: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合同包11(鸡腿汉堡)特定资格要求如下: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合同包12(鸡腿汉堡)特定资格要求如下: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合同包13(早餐饼)特定资格要求如下: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合同包14(豆奶)特定资格要求如下: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合同包15(学生奶)特定资格要求如下: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合同包16(学生奶)特定资格要求如下: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合同包17(学生奶)特定资格要求如下: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合同包18(学生奶)特定资格要求如下: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1.供应商为生产厂家的须具有《食品生产许可证》，供应商为代理商的须提供《食品经营许可证》，并提供所代理产品生产厂家的《食品生产许可证》；</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合同包19(供餐企业)特定资格要求如下:</w:t>
      </w:r>
    </w:p>
    <w:p>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供应商须提供《食品经营许可证》；                                                            </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2.法定代表人（单位负责人）直接参加投标的，须出具法定代表人（单位负责人）证明书，法定代表人（单位负责人）授权代表参加投标的，还须出具法定代表人（单位负责人）授权书；</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4.投标保证金交纳凭证或担保机构出具的保函；</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5.单位负责人为同一人或者存在直接控股、管理关系的不同供应商，不得参加同一合同项下的政府采购活动；</w:t>
      </w:r>
      <w:r>
        <w:rPr>
          <w:rFonts w:hint="eastAsia" w:ascii="Times New Roman" w:hAnsi="Times New Roman" w:eastAsia="宋体" w:cs="Times New Roman"/>
          <w:b w:val="0"/>
          <w:kern w:val="2"/>
          <w:sz w:val="21"/>
          <w:szCs w:val="22"/>
          <w:lang w:val="en-US" w:eastAsia="zh-CN" w:bidi="ar-SA"/>
        </w:rPr>
        <w:br w:type="textWrapping"/>
      </w:r>
      <w:r>
        <w:rPr>
          <w:rFonts w:hint="eastAsia" w:ascii="Times New Roman" w:hAnsi="Times New Roman" w:eastAsia="宋体" w:cs="Times New Roman"/>
          <w:b w:val="0"/>
          <w:kern w:val="2"/>
          <w:sz w:val="21"/>
          <w:szCs w:val="22"/>
          <w:lang w:val="en-US" w:eastAsia="zh-CN" w:bidi="ar-SA"/>
        </w:rPr>
        <w:t>6.不接受联合体投标；</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right="0" w:rightChars="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三、获取招标文件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时间： 2022年08月08日 至 2022年08月12日 ，每天上午 09:00:00 至 12:00:00 ，下午 14:00:00 至 18:00:00 （北京时间,法定节假日除外）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地点：陕西省西安市雁塔区吉祥路 135 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方式：现场获取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售价： 300元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四、提交投标文件截止时间、开标时间和地点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2022年08月29日 10时00分00秒 （北京时间）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地点：陕西省西安市雁塔区吉祥路 135 号7楼会议室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五、公告期限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自本公告发布之日起5个工作日。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六、其他补充事宜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本项目开标地点：陕西省西安市雁塔区吉祥路 135 号7楼会议室</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购买采购文件请携带单位介绍信原件（介绍信须注明联系方式、所投项目名称及电子邮箱），经办人身份证原件及加盖供应商公章的复印件，每包请单独携带一套资料；2、请供应商按照陕西省财政厅关于政府采购供应商注册登记有关事项的通知中的要求，通过陕西省政府采购网（http://www.ccgp-shaanxi.gov.cn/）注册登记加入陕西省政府采购供应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1.采购人信息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名称：大荔县教育局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地址：陕西省大荔县北大街39号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联系方式：0913-3266028</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2.采购代理机构信息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名称：亿诚建设项目管理有限公司</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地址：陕西省西安市雁塔区吉祥路135号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联系方式：18609136359</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3.项目联系方式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项目联系人：邵文彬</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电话：18609136359</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firstLine="480"/>
        <w:jc w:val="right"/>
        <w:textAlignment w:val="baseline"/>
        <w:rPr>
          <w:rFonts w:hint="eastAsia" w:ascii="Times New Roman" w:hAnsi="Times New Roman" w:eastAsia="宋体" w:cs="Times New Roman"/>
          <w:b w:val="0"/>
          <w:kern w:val="2"/>
          <w:sz w:val="21"/>
          <w:szCs w:val="22"/>
          <w:lang w:val="en-US" w:eastAsia="zh-CN" w:bidi="ar-SA"/>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firstLine="480"/>
        <w:jc w:val="right"/>
        <w:textAlignment w:val="baseline"/>
        <w:rPr>
          <w:rFonts w:hint="eastAsia" w:ascii="Times New Roman" w:hAnsi="Times New Roman" w:eastAsia="宋体" w:cs="Times New Roman"/>
          <w:b w:val="0"/>
          <w:kern w:val="2"/>
          <w:sz w:val="21"/>
          <w:szCs w:val="22"/>
          <w:lang w:val="en-US" w:eastAsia="zh-CN" w:bidi="ar-SA"/>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firstLine="480"/>
        <w:jc w:val="right"/>
        <w:textAlignment w:val="baseline"/>
        <w:rPr>
          <w:rFonts w:hint="eastAsia" w:ascii="Times New Roman" w:hAnsi="Times New Roman" w:eastAsia="宋体" w:cs="Times New Roman"/>
          <w:b w:val="0"/>
          <w:kern w:val="2"/>
          <w:sz w:val="21"/>
          <w:szCs w:val="22"/>
          <w:lang w:val="en-US" w:eastAsia="zh-CN" w:bidi="ar-SA"/>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firstLine="480"/>
        <w:jc w:val="right"/>
        <w:textAlignment w:val="baseline"/>
        <w:rPr>
          <w:rFonts w:hint="eastAsia" w:ascii="Times New Roman" w:hAnsi="Times New Roman" w:eastAsia="宋体" w:cs="Times New Roman"/>
          <w:b w:val="0"/>
          <w:kern w:val="2"/>
          <w:sz w:val="21"/>
          <w:szCs w:val="22"/>
          <w:lang w:val="en-US" w:eastAsia="zh-CN" w:bidi="ar-SA"/>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firstLine="480"/>
        <w:jc w:val="right"/>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亿诚建设项目管理有限公司</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firstLine="480"/>
        <w:jc w:val="right"/>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eastAsia="宋体" w:cs="Times New Roman"/>
          <w:b w:val="0"/>
          <w:kern w:val="2"/>
          <w:sz w:val="21"/>
          <w:szCs w:val="22"/>
          <w:lang w:val="en-US" w:eastAsia="zh-CN" w:bidi="ar-SA"/>
        </w:rPr>
        <w:t>2022年08月05日</w:t>
      </w:r>
    </w:p>
    <w:p/>
    <w:p/>
    <w:p>
      <w:bookmarkStart w:id="15" w:name="_Toc5916_WPSOffice_Level1"/>
    </w:p>
    <w:p/>
    <w:p/>
    <w:p/>
    <w:p/>
    <w:p/>
    <w:p/>
    <w:p/>
    <w:p/>
    <w:p/>
    <w:p/>
    <w:p>
      <w:pPr>
        <w:pStyle w:val="3"/>
        <w:keepLines w:val="0"/>
        <w:pageBreakBefore w:val="0"/>
        <w:kinsoku/>
        <w:wordWrap/>
        <w:overflowPunct/>
        <w:topLinePunct w:val="0"/>
        <w:bidi w:val="0"/>
        <w:spacing w:line="400" w:lineRule="exact"/>
        <w:jc w:val="center"/>
      </w:pPr>
      <w:bookmarkStart w:id="16" w:name="_Toc31878_WPSOffice_Level1"/>
      <w:r>
        <w:t>第二</w:t>
      </w:r>
      <w:r>
        <w:rPr>
          <w:rFonts w:hint="eastAsia"/>
        </w:rPr>
        <w:t>章</w:t>
      </w:r>
      <w:r>
        <w:t xml:space="preserve"> 投标人须知</w:t>
      </w:r>
      <w:bookmarkEnd w:id="13"/>
      <w:bookmarkEnd w:id="14"/>
      <w:bookmarkEnd w:id="15"/>
      <w:bookmarkEnd w:id="16"/>
    </w:p>
    <w:p>
      <w:pPr>
        <w:pStyle w:val="4"/>
        <w:keepLines w:val="0"/>
        <w:pageBreakBefore w:val="0"/>
        <w:kinsoku/>
        <w:wordWrap/>
        <w:overflowPunct/>
        <w:topLinePunct w:val="0"/>
        <w:bidi w:val="0"/>
        <w:spacing w:line="400" w:lineRule="exact"/>
        <w:rPr>
          <w:rFonts w:hint="eastAsia"/>
          <w:lang w:val="en-US" w:eastAsia="zh-CN"/>
        </w:rPr>
      </w:pPr>
      <w:bookmarkStart w:id="17" w:name="_Toc15323697"/>
      <w:r>
        <w:rPr>
          <w:rFonts w:hint="eastAsia"/>
          <w:lang w:val="en-US" w:eastAsia="zh-CN"/>
        </w:rPr>
        <w:t>投标人须知前附表</w:t>
      </w:r>
    </w:p>
    <w:tbl>
      <w:tblPr>
        <w:tblStyle w:val="14"/>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6"/>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658" w:type="dxa"/>
            <w:vAlign w:val="center"/>
          </w:tcPr>
          <w:p>
            <w:pPr>
              <w:keepLines w:val="0"/>
              <w:pageBreakBefore w:val="0"/>
              <w:kinsoku/>
              <w:wordWrap/>
              <w:overflowPunct/>
              <w:topLinePunct w:val="0"/>
              <w:bidi w:val="0"/>
              <w:spacing w:line="400" w:lineRule="exact"/>
              <w:jc w:val="center"/>
              <w:rPr>
                <w:rFonts w:hint="eastAsia"/>
              </w:rPr>
            </w:pPr>
            <w:r>
              <w:rPr>
                <w:rFonts w:hint="eastAsia"/>
              </w:rPr>
              <w:t>序号</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条款名称</w:t>
            </w:r>
          </w:p>
        </w:tc>
        <w:tc>
          <w:tcPr>
            <w:tcW w:w="6757" w:type="dxa"/>
            <w:vAlign w:val="center"/>
          </w:tcPr>
          <w:p>
            <w:pPr>
              <w:keepLines w:val="0"/>
              <w:pageBreakBefore w:val="0"/>
              <w:kinsoku/>
              <w:wordWrap/>
              <w:overflowPunct/>
              <w:topLinePunct w:val="0"/>
              <w:bidi w:val="0"/>
              <w:spacing w:line="400" w:lineRule="exact"/>
              <w:jc w:val="center"/>
              <w:rPr>
                <w:rFonts w:hint="eastAsia"/>
              </w:rPr>
            </w:pPr>
            <w:r>
              <w:rPr>
                <w:rFonts w:hint="eastAsia"/>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rPr>
            </w:pPr>
            <w:r>
              <w:rPr>
                <w:rFonts w:hint="eastAsia"/>
              </w:rPr>
              <w:t>1</w:t>
            </w:r>
          </w:p>
        </w:tc>
        <w:tc>
          <w:tcPr>
            <w:tcW w:w="1656" w:type="dxa"/>
            <w:vAlign w:val="center"/>
          </w:tcPr>
          <w:p>
            <w:pPr>
              <w:keepLines w:val="0"/>
              <w:pageBreakBefore w:val="0"/>
              <w:kinsoku/>
              <w:wordWrap/>
              <w:overflowPunct/>
              <w:topLinePunct w:val="0"/>
              <w:bidi w:val="0"/>
              <w:spacing w:line="400" w:lineRule="exact"/>
              <w:jc w:val="center"/>
              <w:rPr>
                <w:rFonts w:hint="eastAsia"/>
                <w:szCs w:val="22"/>
              </w:rPr>
            </w:pPr>
            <w:r>
              <w:rPr>
                <w:rFonts w:hint="eastAsia"/>
                <w:szCs w:val="22"/>
              </w:rPr>
              <w:t>采购人</w:t>
            </w:r>
          </w:p>
        </w:tc>
        <w:tc>
          <w:tcPr>
            <w:tcW w:w="6757" w:type="dxa"/>
            <w:vAlign w:val="top"/>
          </w:tcPr>
          <w:p>
            <w:pPr>
              <w:keepLines w:val="0"/>
              <w:pageBreakBefore w:val="0"/>
              <w:kinsoku/>
              <w:wordWrap/>
              <w:overflowPunct/>
              <w:topLinePunct w:val="0"/>
              <w:bidi w:val="0"/>
              <w:spacing w:line="400" w:lineRule="exact"/>
              <w:rPr>
                <w:rFonts w:hint="eastAsia"/>
                <w:szCs w:val="22"/>
              </w:rPr>
            </w:pPr>
            <w:r>
              <w:rPr>
                <w:rFonts w:hint="eastAsia"/>
                <w:szCs w:val="22"/>
              </w:rPr>
              <w:t>名</w:t>
            </w:r>
            <w:r>
              <w:rPr>
                <w:rFonts w:hint="eastAsia"/>
                <w:szCs w:val="22"/>
                <w:lang w:val="en-US" w:eastAsia="zh-CN"/>
              </w:rPr>
              <w:t xml:space="preserve">    </w:t>
            </w:r>
            <w:r>
              <w:rPr>
                <w:rFonts w:hint="eastAsia"/>
                <w:szCs w:val="22"/>
              </w:rPr>
              <w:t>称：</w:t>
            </w:r>
            <w:r>
              <w:rPr>
                <w:rFonts w:hint="eastAsia"/>
                <w:szCs w:val="22"/>
                <w:lang w:eastAsia="zh-CN"/>
              </w:rPr>
              <w:t>大荔县教育局</w:t>
            </w:r>
            <w:r>
              <w:rPr>
                <w:rFonts w:hint="eastAsia"/>
                <w:szCs w:val="22"/>
              </w:rPr>
              <w:t xml:space="preserve"> </w:t>
            </w:r>
          </w:p>
          <w:p>
            <w:pPr>
              <w:keepLines w:val="0"/>
              <w:pageBreakBefore w:val="0"/>
              <w:kinsoku/>
              <w:wordWrap/>
              <w:overflowPunct/>
              <w:topLinePunct w:val="0"/>
              <w:bidi w:val="0"/>
              <w:spacing w:line="400" w:lineRule="exact"/>
              <w:rPr>
                <w:rFonts w:hint="eastAsia"/>
                <w:szCs w:val="22"/>
              </w:rPr>
            </w:pPr>
            <w:r>
              <w:rPr>
                <w:rFonts w:hint="eastAsia"/>
                <w:szCs w:val="22"/>
              </w:rPr>
              <w:t>地</w:t>
            </w:r>
            <w:r>
              <w:rPr>
                <w:rFonts w:hint="eastAsia"/>
                <w:szCs w:val="22"/>
                <w:lang w:val="en-US" w:eastAsia="zh-CN"/>
              </w:rPr>
              <w:t xml:space="preserve">    </w:t>
            </w:r>
            <w:r>
              <w:rPr>
                <w:rFonts w:hint="eastAsia"/>
                <w:szCs w:val="22"/>
              </w:rPr>
              <w:t>址：大荔县北大街36号</w:t>
            </w:r>
            <w:r>
              <w:rPr>
                <w:rFonts w:hint="eastAsia"/>
                <w:szCs w:val="22"/>
                <w:lang w:val="en-US" w:eastAsia="zh-CN"/>
              </w:rPr>
              <w:t xml:space="preserve"> </w:t>
            </w:r>
          </w:p>
          <w:p>
            <w:pPr>
              <w:keepLines w:val="0"/>
              <w:pageBreakBefore w:val="0"/>
              <w:kinsoku/>
              <w:wordWrap/>
              <w:overflowPunct/>
              <w:topLinePunct w:val="0"/>
              <w:bidi w:val="0"/>
              <w:spacing w:line="400" w:lineRule="exact"/>
              <w:rPr>
                <w:rFonts w:hint="eastAsia"/>
                <w:szCs w:val="22"/>
              </w:rPr>
            </w:pPr>
            <w:r>
              <w:rPr>
                <w:rFonts w:hint="eastAsia"/>
                <w:szCs w:val="22"/>
              </w:rPr>
              <w:t>联系方式：0913-3266028</w:t>
            </w:r>
            <w:r>
              <w:rPr>
                <w:rFonts w:hint="eastAsia"/>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658" w:type="dxa"/>
            <w:vAlign w:val="center"/>
          </w:tcPr>
          <w:p>
            <w:pPr>
              <w:keepLines w:val="0"/>
              <w:pageBreakBefore w:val="0"/>
              <w:kinsoku/>
              <w:wordWrap/>
              <w:overflowPunct/>
              <w:topLinePunct w:val="0"/>
              <w:bidi w:val="0"/>
              <w:spacing w:line="400" w:lineRule="exact"/>
              <w:jc w:val="center"/>
              <w:rPr>
                <w:rFonts w:hint="eastAsia"/>
              </w:rPr>
            </w:pPr>
            <w:r>
              <w:rPr>
                <w:rFonts w:hint="eastAsia"/>
              </w:rPr>
              <w:t>2</w:t>
            </w:r>
          </w:p>
        </w:tc>
        <w:tc>
          <w:tcPr>
            <w:tcW w:w="1656" w:type="dxa"/>
            <w:vAlign w:val="center"/>
          </w:tcPr>
          <w:p>
            <w:pPr>
              <w:keepLines w:val="0"/>
              <w:pageBreakBefore w:val="0"/>
              <w:kinsoku/>
              <w:wordWrap/>
              <w:overflowPunct/>
              <w:topLinePunct w:val="0"/>
              <w:bidi w:val="0"/>
              <w:spacing w:line="400" w:lineRule="exact"/>
              <w:jc w:val="center"/>
              <w:rPr>
                <w:rFonts w:hint="eastAsia"/>
                <w:szCs w:val="22"/>
              </w:rPr>
            </w:pPr>
            <w:r>
              <w:rPr>
                <w:rFonts w:hint="eastAsia"/>
                <w:szCs w:val="22"/>
              </w:rPr>
              <w:t>采购代理机构</w:t>
            </w:r>
          </w:p>
        </w:tc>
        <w:tc>
          <w:tcPr>
            <w:tcW w:w="6757" w:type="dxa"/>
            <w:vAlign w:val="top"/>
          </w:tcPr>
          <w:p>
            <w:pPr>
              <w:keepLines w:val="0"/>
              <w:pageBreakBefore w:val="0"/>
              <w:kinsoku/>
              <w:wordWrap/>
              <w:overflowPunct/>
              <w:topLinePunct w:val="0"/>
              <w:bidi w:val="0"/>
              <w:spacing w:line="400" w:lineRule="exact"/>
              <w:rPr>
                <w:rFonts w:hint="eastAsia"/>
                <w:szCs w:val="22"/>
                <w:lang w:val="en-US" w:eastAsia="zh-CN"/>
              </w:rPr>
            </w:pPr>
            <w:r>
              <w:rPr>
                <w:rFonts w:hint="eastAsia"/>
                <w:szCs w:val="22"/>
                <w:lang w:val="en-US" w:eastAsia="zh-CN"/>
              </w:rPr>
              <w:t>名  称：亿诚建设项目管理有限公司</w:t>
            </w:r>
          </w:p>
          <w:p>
            <w:pPr>
              <w:keepLines w:val="0"/>
              <w:pageBreakBefore w:val="0"/>
              <w:kinsoku/>
              <w:wordWrap/>
              <w:overflowPunct/>
              <w:topLinePunct w:val="0"/>
              <w:bidi w:val="0"/>
              <w:spacing w:line="400" w:lineRule="exact"/>
              <w:rPr>
                <w:rFonts w:hint="default"/>
                <w:szCs w:val="22"/>
                <w:lang w:val="en-US" w:eastAsia="zh-CN"/>
              </w:rPr>
            </w:pPr>
            <w:r>
              <w:rPr>
                <w:rFonts w:hint="eastAsia"/>
                <w:szCs w:val="22"/>
                <w:lang w:val="en-US" w:eastAsia="zh-CN"/>
              </w:rPr>
              <w:t>地  址：陕西省西安市雁塔区吉祥路135号</w:t>
            </w:r>
          </w:p>
          <w:p>
            <w:pPr>
              <w:keepLines w:val="0"/>
              <w:pageBreakBefore w:val="0"/>
              <w:kinsoku/>
              <w:wordWrap/>
              <w:overflowPunct/>
              <w:topLinePunct w:val="0"/>
              <w:bidi w:val="0"/>
              <w:spacing w:line="400" w:lineRule="exact"/>
              <w:rPr>
                <w:rFonts w:hint="default"/>
                <w:szCs w:val="22"/>
                <w:lang w:val="en-US" w:eastAsia="zh-CN"/>
              </w:rPr>
            </w:pPr>
            <w:r>
              <w:rPr>
                <w:rFonts w:hint="eastAsia"/>
                <w:szCs w:val="22"/>
                <w:lang w:val="en-US" w:eastAsia="zh-CN"/>
              </w:rPr>
              <w:t>联系人：邵文彬</w:t>
            </w:r>
          </w:p>
          <w:p>
            <w:pPr>
              <w:keepLines w:val="0"/>
              <w:pageBreakBefore w:val="0"/>
              <w:kinsoku/>
              <w:wordWrap/>
              <w:overflowPunct/>
              <w:topLinePunct w:val="0"/>
              <w:bidi w:val="0"/>
              <w:spacing w:line="400" w:lineRule="exact"/>
              <w:rPr>
                <w:rFonts w:hint="default"/>
                <w:szCs w:val="22"/>
                <w:lang w:val="en-US" w:eastAsia="zh-CN"/>
              </w:rPr>
            </w:pPr>
            <w:r>
              <w:rPr>
                <w:rFonts w:hint="eastAsia"/>
                <w:szCs w:val="22"/>
                <w:lang w:val="en-US" w:eastAsia="zh-CN"/>
              </w:rPr>
              <w:t>联系方式：18609136359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rPr>
            </w:pPr>
            <w:r>
              <w:rPr>
                <w:rFonts w:hint="eastAsia"/>
              </w:rPr>
              <w:t>3</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监督管理机构</w:t>
            </w:r>
          </w:p>
        </w:tc>
        <w:tc>
          <w:tcPr>
            <w:tcW w:w="6757" w:type="dxa"/>
            <w:vAlign w:val="top"/>
          </w:tcPr>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大荔县财政局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8" w:type="dxa"/>
            <w:vAlign w:val="center"/>
          </w:tcPr>
          <w:p>
            <w:pPr>
              <w:keepLines w:val="0"/>
              <w:pageBreakBefore w:val="0"/>
              <w:kinsoku/>
              <w:wordWrap/>
              <w:overflowPunct/>
              <w:topLinePunct w:val="0"/>
              <w:bidi w:val="0"/>
              <w:spacing w:line="400" w:lineRule="exact"/>
              <w:jc w:val="center"/>
              <w:rPr>
                <w:rFonts w:hint="eastAsia"/>
              </w:rPr>
            </w:pPr>
            <w:r>
              <w:rPr>
                <w:rFonts w:hint="eastAsia"/>
              </w:rPr>
              <w:t>4</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lang w:val="en-US" w:eastAsia="zh-CN"/>
              </w:rPr>
              <w:t>项目</w:t>
            </w:r>
            <w:r>
              <w:rPr>
                <w:rFonts w:hint="eastAsia"/>
              </w:rPr>
              <w:t>名称</w:t>
            </w:r>
          </w:p>
        </w:tc>
        <w:tc>
          <w:tcPr>
            <w:tcW w:w="6757" w:type="dxa"/>
            <w:vAlign w:val="top"/>
          </w:tcPr>
          <w:p>
            <w:pPr>
              <w:keepLines w:val="0"/>
              <w:pageBreakBefore w:val="0"/>
              <w:kinsoku/>
              <w:wordWrap/>
              <w:overflowPunct/>
              <w:topLinePunct w:val="0"/>
              <w:bidi w:val="0"/>
              <w:spacing w:line="400" w:lineRule="exact"/>
              <w:rPr>
                <w:rFonts w:hint="default"/>
                <w:lang w:val="en-US" w:eastAsia="zh-CN"/>
              </w:rPr>
            </w:pPr>
            <w:r>
              <w:rPr>
                <w:rFonts w:hint="eastAsia" w:ascii="Times New Roman" w:hAnsi="Times New Roman" w:eastAsia="宋体" w:cs="Times New Roman"/>
                <w:szCs w:val="22"/>
                <w:lang w:val="en-US" w:eastAsia="zh-CN"/>
              </w:rPr>
              <w:t>大荔县2022至2023学年度学生营养改善计划采购项目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8" w:type="dxa"/>
            <w:vAlign w:val="center"/>
          </w:tcPr>
          <w:p>
            <w:pPr>
              <w:keepLines w:val="0"/>
              <w:pageBreakBefore w:val="0"/>
              <w:kinsoku/>
              <w:wordWrap/>
              <w:overflowPunct/>
              <w:topLinePunct w:val="0"/>
              <w:bidi w:val="0"/>
              <w:spacing w:line="400" w:lineRule="exact"/>
              <w:jc w:val="center"/>
              <w:rPr>
                <w:rFonts w:hint="eastAsia"/>
              </w:rPr>
            </w:pPr>
            <w:r>
              <w:rPr>
                <w:rFonts w:hint="eastAsia"/>
              </w:rPr>
              <w:t>5</w:t>
            </w:r>
          </w:p>
        </w:tc>
        <w:tc>
          <w:tcPr>
            <w:tcW w:w="1656" w:type="dxa"/>
            <w:vAlign w:val="center"/>
          </w:tcPr>
          <w:p>
            <w:pPr>
              <w:keepLines w:val="0"/>
              <w:pageBreakBefore w:val="0"/>
              <w:kinsoku/>
              <w:wordWrap/>
              <w:overflowPunct/>
              <w:topLinePunct w:val="0"/>
              <w:bidi w:val="0"/>
              <w:spacing w:line="400" w:lineRule="exact"/>
              <w:jc w:val="center"/>
              <w:rPr>
                <w:rFonts w:hint="eastAsia"/>
                <w:szCs w:val="22"/>
              </w:rPr>
            </w:pPr>
            <w:r>
              <w:rPr>
                <w:rFonts w:hint="eastAsia"/>
                <w:szCs w:val="22"/>
              </w:rPr>
              <w:t>项目编号</w:t>
            </w:r>
          </w:p>
        </w:tc>
        <w:tc>
          <w:tcPr>
            <w:tcW w:w="6757" w:type="dxa"/>
            <w:vAlign w:val="top"/>
          </w:tcPr>
          <w:p>
            <w:pPr>
              <w:keepLines w:val="0"/>
              <w:pageBreakBefore w:val="0"/>
              <w:kinsoku/>
              <w:wordWrap/>
              <w:overflowPunct/>
              <w:topLinePunct w:val="0"/>
              <w:bidi w:val="0"/>
              <w:spacing w:line="400" w:lineRule="exact"/>
              <w:rPr>
                <w:rFonts w:hint="default"/>
                <w:szCs w:val="22"/>
                <w:lang w:val="en-US" w:eastAsia="zh-CN"/>
              </w:rPr>
            </w:pPr>
            <w:r>
              <w:rPr>
                <w:rFonts w:hint="default"/>
                <w:szCs w:val="22"/>
                <w:lang w:val="en-US" w:eastAsia="zh-CN"/>
              </w:rPr>
              <w:t>YC22101054(CGP)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8" w:type="dxa"/>
            <w:vAlign w:val="center"/>
          </w:tcPr>
          <w:p>
            <w:pPr>
              <w:keepLines w:val="0"/>
              <w:pageBreakBefore w:val="0"/>
              <w:kinsoku/>
              <w:wordWrap/>
              <w:overflowPunct/>
              <w:topLinePunct w:val="0"/>
              <w:bidi w:val="0"/>
              <w:spacing w:line="400" w:lineRule="exact"/>
              <w:jc w:val="center"/>
              <w:rPr>
                <w:rFonts w:hint="eastAsia"/>
              </w:rPr>
            </w:pPr>
            <w:r>
              <w:rPr>
                <w:rFonts w:hint="eastAsia"/>
              </w:rPr>
              <w:t>6</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资金性质</w:t>
            </w:r>
          </w:p>
        </w:tc>
        <w:tc>
          <w:tcPr>
            <w:tcW w:w="6757" w:type="dxa"/>
            <w:vAlign w:val="top"/>
          </w:tcPr>
          <w:p>
            <w:pPr>
              <w:keepLines w:val="0"/>
              <w:pageBreakBefore w:val="0"/>
              <w:kinsoku/>
              <w:wordWrap/>
              <w:overflowPunct/>
              <w:topLinePunct w:val="0"/>
              <w:bidi w:val="0"/>
              <w:spacing w:line="400" w:lineRule="exact"/>
              <w:rPr>
                <w:rFonts w:hint="eastAsia" w:eastAsia="宋体"/>
                <w:lang w:eastAsia="zh-CN"/>
              </w:rPr>
            </w:pPr>
            <w:r>
              <w:rPr>
                <w:rFonts w:hint="eastAsia"/>
              </w:rPr>
              <w:t>财政</w:t>
            </w:r>
            <w:r>
              <w:rPr>
                <w:rFonts w:hint="eastAsia"/>
                <w:lang w:val="en-US"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lang w:val="en-US" w:eastAsia="zh-CN"/>
              </w:rPr>
            </w:pPr>
            <w:r>
              <w:rPr>
                <w:rFonts w:hint="eastAsia"/>
                <w:lang w:val="en-US" w:eastAsia="zh-CN"/>
              </w:rPr>
              <w:t>7</w:t>
            </w:r>
          </w:p>
        </w:tc>
        <w:tc>
          <w:tcPr>
            <w:tcW w:w="1656" w:type="dxa"/>
            <w:vAlign w:val="center"/>
          </w:tcPr>
          <w:p>
            <w:pPr>
              <w:keepLines w:val="0"/>
              <w:pageBreakBefore w:val="0"/>
              <w:kinsoku/>
              <w:wordWrap/>
              <w:overflowPunct/>
              <w:topLinePunct w:val="0"/>
              <w:bidi w:val="0"/>
              <w:spacing w:line="400" w:lineRule="exact"/>
              <w:jc w:val="center"/>
              <w:rPr>
                <w:rFonts w:hint="eastAsia"/>
                <w:lang w:val="en-US" w:eastAsia="zh-CN"/>
              </w:rPr>
            </w:pPr>
            <w:r>
              <w:rPr>
                <w:rFonts w:hint="eastAsia"/>
                <w:lang w:val="en-US" w:eastAsia="zh-CN"/>
              </w:rPr>
              <w:t>采购内容及项目预算</w:t>
            </w:r>
          </w:p>
        </w:tc>
        <w:tc>
          <w:tcPr>
            <w:tcW w:w="6757" w:type="dxa"/>
            <w:vAlign w:val="center"/>
          </w:tcPr>
          <w:p>
            <w:pPr>
              <w:keepLines w:val="0"/>
              <w:pageBreakBefore w:val="0"/>
              <w:kinsoku/>
              <w:wordWrap/>
              <w:overflowPunct/>
              <w:topLinePunct w:val="0"/>
              <w:bidi w:val="0"/>
              <w:spacing w:line="400" w:lineRule="exact"/>
              <w:jc w:val="left"/>
              <w:rPr>
                <w:rFonts w:hint="default"/>
                <w:lang w:val="en-US" w:eastAsia="zh-CN"/>
              </w:rPr>
            </w:pPr>
            <w:r>
              <w:rPr>
                <w:rFonts w:hint="eastAsia"/>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lang w:val="en-US" w:eastAsia="zh-CN"/>
              </w:rPr>
              <w:t>9</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项目用途</w:t>
            </w:r>
          </w:p>
        </w:tc>
        <w:tc>
          <w:tcPr>
            <w:tcW w:w="6757" w:type="dxa"/>
            <w:vAlign w:val="top"/>
          </w:tcPr>
          <w:p>
            <w:pPr>
              <w:keepLines w:val="0"/>
              <w:pageBreakBefore w:val="0"/>
              <w:kinsoku/>
              <w:wordWrap/>
              <w:overflowPunct/>
              <w:topLinePunct w:val="0"/>
              <w:bidi w:val="0"/>
              <w:spacing w:line="400" w:lineRule="exact"/>
              <w:rPr>
                <w:rFonts w:hint="eastAsia"/>
              </w:rPr>
            </w:pPr>
            <w:r>
              <w:rPr>
                <w:rFonts w:hint="eastAsia"/>
                <w:lang w:eastAsia="zh-CN"/>
              </w:rPr>
              <w:t>学生</w:t>
            </w:r>
            <w:r>
              <w:rPr>
                <w:rFonts w:hint="eastAsia"/>
              </w:rPr>
              <w:t>营养</w:t>
            </w:r>
            <w:r>
              <w:rPr>
                <w:rFonts w:hint="eastAsia"/>
                <w:lang w:eastAsia="zh-CN"/>
              </w:rPr>
              <w:t>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1</w:t>
            </w:r>
            <w:r>
              <w:rPr>
                <w:rFonts w:hint="eastAsia"/>
                <w:lang w:val="en-US" w:eastAsia="zh-CN"/>
              </w:rPr>
              <w:t>2</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投标人</w:t>
            </w:r>
          </w:p>
        </w:tc>
        <w:tc>
          <w:tcPr>
            <w:tcW w:w="6757" w:type="dxa"/>
            <w:vAlign w:val="top"/>
          </w:tcPr>
          <w:p>
            <w:pPr>
              <w:keepLines w:val="0"/>
              <w:pageBreakBefore w:val="0"/>
              <w:kinsoku/>
              <w:wordWrap/>
              <w:overflowPunct/>
              <w:topLinePunct w:val="0"/>
              <w:bidi w:val="0"/>
              <w:spacing w:line="400" w:lineRule="exact"/>
              <w:rPr>
                <w:rFonts w:hint="eastAsia"/>
              </w:rPr>
            </w:pPr>
            <w:r>
              <w:rPr>
                <w:rFonts w:hint="eastAsia"/>
              </w:rPr>
              <w:t>响应</w:t>
            </w:r>
            <w:r>
              <w:rPr>
                <w:rFonts w:hint="eastAsia"/>
              </w:rPr>
              <w:fldChar w:fldCharType="begin"/>
            </w:r>
            <w:r>
              <w:rPr>
                <w:rFonts w:hint="eastAsia"/>
              </w:rPr>
              <w:instrText xml:space="preserve"> HYPERLINK "http://baike.baidu.com/view/8707.htm" \t "_blank" </w:instrText>
            </w:r>
            <w:r>
              <w:rPr>
                <w:rFonts w:hint="eastAsia"/>
              </w:rPr>
              <w:fldChar w:fldCharType="separate"/>
            </w:r>
            <w:r>
              <w:rPr>
                <w:rFonts w:hint="eastAsia"/>
              </w:rPr>
              <w:t>招标</w:t>
            </w:r>
            <w:r>
              <w:rPr>
                <w:rFonts w:hint="eastAsia"/>
              </w:rPr>
              <w:fldChar w:fldCharType="end"/>
            </w:r>
            <w:r>
              <w:rPr>
                <w:rFonts w:hint="eastAsia"/>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1</w:t>
            </w:r>
            <w:r>
              <w:rPr>
                <w:rFonts w:hint="eastAsia"/>
                <w:lang w:val="en-US" w:eastAsia="zh-CN"/>
              </w:rPr>
              <w:t>3</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投标人资格</w:t>
            </w:r>
            <w:r>
              <w:rPr>
                <w:rFonts w:hint="eastAsia"/>
                <w:lang w:val="en-US" w:eastAsia="zh-CN"/>
              </w:rPr>
              <w:t xml:space="preserve">  </w:t>
            </w:r>
            <w:r>
              <w:rPr>
                <w:rFonts w:hint="eastAsia"/>
              </w:rPr>
              <w:t>要求</w:t>
            </w:r>
          </w:p>
          <w:p>
            <w:pPr>
              <w:keepLines w:val="0"/>
              <w:pageBreakBefore w:val="0"/>
              <w:kinsoku/>
              <w:wordWrap/>
              <w:overflowPunct/>
              <w:topLinePunct w:val="0"/>
              <w:bidi w:val="0"/>
              <w:spacing w:line="400" w:lineRule="exact"/>
              <w:jc w:val="center"/>
              <w:rPr>
                <w:rFonts w:hint="eastAsia"/>
              </w:rPr>
            </w:pPr>
          </w:p>
        </w:tc>
        <w:tc>
          <w:tcPr>
            <w:tcW w:w="6757" w:type="dxa"/>
            <w:vAlign w:val="top"/>
          </w:tcPr>
          <w:p>
            <w:pPr>
              <w:keepLines w:val="0"/>
              <w:pageBreakBefore w:val="0"/>
              <w:kinsoku/>
              <w:wordWrap/>
              <w:overflowPunct/>
              <w:topLinePunct w:val="0"/>
              <w:bidi w:val="0"/>
              <w:spacing w:line="400" w:lineRule="exact"/>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基本资格条件：满足《中华人民共和国政府采购法》第二十二条的规定：</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1.具有独立承担民事责任能力的法人、其他组织或自然人，法人或其他组织提供营业执照（事业单位法人证书）等合法证明文件；</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2.提供2020年度或2021年度经审计的财务报告或开标前六个月内其基本存款账户开户银行出具的资信证明；</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3.税收缴纳证明：提供投标文件截止时间前一年内至少一个月已缴纳税收的凭据；依法免税的投标人应提供相关文件证明；</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4.社会保障资金缴纳证明：提供投标文件截止时间前一年内至少一个月已缴纳的社会保障资金的凭据（专用收据或社会保险缴纳清单）；依法不需要缴纳社会保障资金的投标人应提供相关文件证明；</w:t>
            </w:r>
          </w:p>
          <w:p>
            <w:pPr>
              <w:keepLines w:val="0"/>
              <w:pageBreakBefore w:val="0"/>
              <w:kinsoku/>
              <w:wordWrap/>
              <w:overflowPunct/>
              <w:topLinePunct w:val="0"/>
              <w:bidi w:val="0"/>
              <w:spacing w:line="400" w:lineRule="exact"/>
              <w:rPr>
                <w:rFonts w:hint="eastAsia"/>
              </w:rPr>
            </w:pPr>
            <w:r>
              <w:rPr>
                <w:rFonts w:hint="eastAsia"/>
                <w:lang w:val="en-US" w:eastAsia="zh-CN"/>
              </w:rPr>
              <w:t>5.参加政府采购活动前3年内在经营活动中没有重大违法记录的书面声明；</w:t>
            </w:r>
          </w:p>
          <w:p>
            <w:pPr>
              <w:pStyle w:val="22"/>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eastAsia="宋体"/>
                <w:b/>
                <w:bCs/>
                <w:sz w:val="21"/>
                <w:szCs w:val="21"/>
                <w:lang w:val="en-US" w:eastAsia="zh-CN"/>
              </w:rPr>
            </w:pPr>
            <w:r>
              <w:rPr>
                <w:rFonts w:hint="eastAsia" w:ascii="宋体" w:hAnsi="宋体" w:eastAsia="宋体" w:cs="宋体"/>
                <w:b/>
                <w:bCs/>
                <w:sz w:val="21"/>
                <w:szCs w:val="21"/>
                <w:highlight w:val="none"/>
              </w:rPr>
              <w:t>本项目的特定资格要求</w:t>
            </w:r>
            <w:r>
              <w:rPr>
                <w:rFonts w:hint="eastAsia" w:ascii="宋体" w:hAnsi="宋体" w:cs="宋体"/>
                <w:b/>
                <w:bCs/>
                <w:sz w:val="21"/>
                <w:szCs w:val="21"/>
                <w:highlight w:val="none"/>
                <w:lang w:eastAsia="zh-CN"/>
              </w:rPr>
              <w:t>：</w:t>
            </w:r>
          </w:p>
          <w:p>
            <w:pPr>
              <w:keepLines w:val="0"/>
              <w:pageBreakBefore w:val="0"/>
              <w:numPr>
                <w:ilvl w:val="0"/>
                <w:numId w:val="3"/>
              </w:numPr>
              <w:kinsoku/>
              <w:wordWrap/>
              <w:overflowPunct/>
              <w:topLinePunct w:val="0"/>
              <w:bidi w:val="0"/>
              <w:spacing w:line="400" w:lineRule="exact"/>
              <w:rPr>
                <w:rFonts w:hint="eastAsia"/>
                <w:lang w:val="en-US" w:eastAsia="zh-CN"/>
              </w:rPr>
            </w:pPr>
            <w:r>
              <w:rPr>
                <w:rFonts w:hint="eastAsia"/>
                <w:b/>
                <w:bCs/>
                <w:lang w:val="en-US" w:eastAsia="zh-CN"/>
              </w:rPr>
              <w:t>第1包-第3包：</w:t>
            </w:r>
            <w:r>
              <w:rPr>
                <w:rFonts w:hint="eastAsia" w:cs="宋体"/>
                <w:color w:val="auto"/>
                <w:szCs w:val="24"/>
                <w:highlight w:val="none"/>
              </w:rPr>
              <w:t>供应商为生产厂家的须具有《食品生产许可证》；供应商为代理商的须提供《食品经营许可证》，并提供所代理产品生产厂家的《食品生产许可证》</w:t>
            </w:r>
            <w:r>
              <w:rPr>
                <w:rFonts w:hint="eastAsia"/>
                <w:lang w:val="en-US" w:eastAsia="zh-CN"/>
              </w:rPr>
              <w:t>；</w:t>
            </w:r>
          </w:p>
          <w:p>
            <w:pPr>
              <w:keepLines w:val="0"/>
              <w:pageBreakBefore w:val="0"/>
              <w:numPr>
                <w:ilvl w:val="0"/>
                <w:numId w:val="0"/>
              </w:numPr>
              <w:kinsoku/>
              <w:wordWrap/>
              <w:overflowPunct/>
              <w:topLinePunct w:val="0"/>
              <w:bidi w:val="0"/>
              <w:spacing w:line="400" w:lineRule="exact"/>
              <w:rPr>
                <w:rFonts w:hint="eastAsia"/>
                <w:lang w:val="en-US" w:eastAsia="zh-CN"/>
              </w:rPr>
            </w:pPr>
            <w:r>
              <w:rPr>
                <w:rFonts w:hint="eastAsia"/>
                <w:b/>
                <w:bCs/>
                <w:lang w:val="en-US" w:eastAsia="zh-CN"/>
              </w:rPr>
              <w:t>第4包-第7包：</w:t>
            </w:r>
            <w:r>
              <w:rPr>
                <w:rFonts w:hint="eastAsia" w:cs="宋体"/>
                <w:color w:val="auto"/>
                <w:szCs w:val="24"/>
                <w:highlight w:val="none"/>
              </w:rPr>
              <w:t>供应商须</w:t>
            </w:r>
            <w:r>
              <w:rPr>
                <w:rFonts w:hint="eastAsia" w:cs="宋体"/>
                <w:color w:val="auto"/>
                <w:szCs w:val="24"/>
                <w:highlight w:val="none"/>
                <w:lang w:val="en-US" w:eastAsia="zh-CN"/>
              </w:rPr>
              <w:t>提供</w:t>
            </w:r>
            <w:r>
              <w:rPr>
                <w:rFonts w:hint="eastAsia" w:cs="宋体"/>
                <w:color w:val="auto"/>
                <w:szCs w:val="24"/>
                <w:highlight w:val="none"/>
              </w:rPr>
              <w:t>《动物</w:t>
            </w:r>
            <w:r>
              <w:rPr>
                <w:rFonts w:hint="eastAsia" w:cs="宋体"/>
                <w:color w:val="auto"/>
                <w:szCs w:val="24"/>
                <w:highlight w:val="none"/>
                <w:lang w:val="en-US" w:eastAsia="zh-CN"/>
              </w:rPr>
              <w:t>免疫</w:t>
            </w:r>
            <w:r>
              <w:rPr>
                <w:rFonts w:hint="eastAsia" w:cs="宋体"/>
                <w:color w:val="auto"/>
                <w:szCs w:val="24"/>
                <w:highlight w:val="none"/>
              </w:rPr>
              <w:t>条件合格证》</w:t>
            </w:r>
            <w:r>
              <w:rPr>
                <w:rFonts w:hint="eastAsia" w:cs="宋体"/>
                <w:color w:val="auto"/>
                <w:szCs w:val="24"/>
                <w:highlight w:val="none"/>
                <w:lang w:eastAsia="zh-CN"/>
              </w:rPr>
              <w:t>；</w:t>
            </w:r>
          </w:p>
          <w:p>
            <w:pPr>
              <w:keepLines w:val="0"/>
              <w:pageBreakBefore w:val="0"/>
              <w:numPr>
                <w:ilvl w:val="0"/>
                <w:numId w:val="0"/>
              </w:numPr>
              <w:kinsoku/>
              <w:wordWrap/>
              <w:overflowPunct/>
              <w:topLinePunct w:val="0"/>
              <w:bidi w:val="0"/>
              <w:spacing w:line="400" w:lineRule="exact"/>
              <w:rPr>
                <w:rFonts w:hint="eastAsia"/>
                <w:lang w:val="en-US" w:eastAsia="zh-CN"/>
              </w:rPr>
            </w:pPr>
            <w:r>
              <w:rPr>
                <w:rFonts w:hint="eastAsia"/>
                <w:b/>
                <w:bCs/>
                <w:lang w:val="en-US" w:eastAsia="zh-CN"/>
              </w:rPr>
              <w:t>第8包-第18包</w:t>
            </w:r>
            <w:r>
              <w:rPr>
                <w:rFonts w:hint="eastAsia" w:ascii="Times New Roman" w:hAnsi="Times New Roman" w:eastAsia="宋体" w:cs="Times New Roman"/>
                <w:b/>
                <w:bCs/>
                <w:szCs w:val="22"/>
                <w:lang w:val="en-US" w:eastAsia="zh-CN"/>
              </w:rPr>
              <w:t>：</w:t>
            </w:r>
            <w:r>
              <w:rPr>
                <w:rFonts w:hint="eastAsia" w:cs="宋体"/>
                <w:color w:val="auto"/>
                <w:szCs w:val="24"/>
                <w:highlight w:val="none"/>
              </w:rPr>
              <w:t>供应商为生产厂家的须具有《食品生产许可证》；供应商为代理商的须提供《食品经营许可证》，并提供所代理产品生产厂家的《食品生产许可证》</w:t>
            </w:r>
            <w:r>
              <w:rPr>
                <w:rFonts w:hint="eastAsia"/>
                <w:lang w:val="en-US" w:eastAsia="zh-CN"/>
              </w:rPr>
              <w:t>；</w:t>
            </w:r>
          </w:p>
          <w:p>
            <w:pPr>
              <w:pStyle w:val="2"/>
              <w:keepLines w:val="0"/>
              <w:pageBreakBefore w:val="0"/>
              <w:kinsoku/>
              <w:wordWrap/>
              <w:overflowPunct/>
              <w:topLinePunct w:val="0"/>
              <w:bidi w:val="0"/>
              <w:spacing w:line="400" w:lineRule="exact"/>
              <w:rPr>
                <w:rFonts w:hint="eastAsia" w:ascii="Times New Roman" w:hAnsi="Times New Roman" w:eastAsia="宋体" w:cs="宋体"/>
                <w:color w:val="auto"/>
                <w:kern w:val="2"/>
                <w:sz w:val="21"/>
                <w:szCs w:val="24"/>
                <w:highlight w:val="none"/>
                <w:lang w:val="en-US" w:eastAsia="zh-CN" w:bidi="ar-SA"/>
              </w:rPr>
            </w:pPr>
            <w:r>
              <w:rPr>
                <w:rFonts w:hint="eastAsia" w:ascii="Times New Roman" w:hAnsi="Times New Roman" w:eastAsia="宋体" w:cs="Times New Roman"/>
                <w:b/>
                <w:bCs/>
                <w:kern w:val="2"/>
                <w:sz w:val="21"/>
                <w:szCs w:val="22"/>
                <w:lang w:val="en-US" w:eastAsia="zh-CN" w:bidi="ar-SA"/>
              </w:rPr>
              <w:t>第19包：</w:t>
            </w:r>
            <w:r>
              <w:rPr>
                <w:rFonts w:hint="eastAsia" w:ascii="Times New Roman" w:hAnsi="Times New Roman" w:eastAsia="宋体" w:cs="宋体"/>
                <w:color w:val="auto"/>
                <w:kern w:val="2"/>
                <w:sz w:val="21"/>
                <w:szCs w:val="24"/>
                <w:highlight w:val="none"/>
                <w:lang w:val="en-US" w:eastAsia="zh-CN" w:bidi="ar-SA"/>
              </w:rPr>
              <w:t>供应商须提供《食品经营许可证》；</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2.供应商应授权合法的人员参加投标，其中法定代表人直接参加投标，须出具法定代表人身份证，并与营业执照上信息一致。法定代表人授权代表参加投标，须出具法定代表人授权书及授权代表身份证原件；</w:t>
            </w:r>
          </w:p>
          <w:p>
            <w:pPr>
              <w:keepLines w:val="0"/>
              <w:pageBreakBefore w:val="0"/>
              <w:numPr>
                <w:ilvl w:val="0"/>
                <w:numId w:val="0"/>
              </w:numPr>
              <w:kinsoku/>
              <w:wordWrap/>
              <w:overflowPunct/>
              <w:topLinePunct w:val="0"/>
              <w:bidi w:val="0"/>
              <w:spacing w:line="400" w:lineRule="exact"/>
              <w:rPr>
                <w:rFonts w:hint="eastAsia"/>
                <w:lang w:val="en-US" w:eastAsia="zh-CN"/>
              </w:rPr>
            </w:pPr>
            <w:r>
              <w:rPr>
                <w:rFonts w:hint="eastAsia"/>
                <w:lang w:val="en-US" w:eastAsia="zh-CN"/>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4.投标保证金交纳凭证或担保机构出具的保函；</w:t>
            </w:r>
          </w:p>
          <w:p>
            <w:pPr>
              <w:keepLines w:val="0"/>
              <w:pageBreakBefore w:val="0"/>
              <w:kinsoku/>
              <w:wordWrap/>
              <w:overflowPunct/>
              <w:topLinePunct w:val="0"/>
              <w:bidi w:val="0"/>
              <w:spacing w:line="400" w:lineRule="exact"/>
              <w:rPr>
                <w:rFonts w:hint="eastAsia"/>
              </w:rPr>
            </w:pPr>
            <w:r>
              <w:rPr>
                <w:rFonts w:hint="eastAsia"/>
                <w:lang w:val="en-US" w:eastAsia="zh-CN"/>
              </w:rPr>
              <w:t>5.单位负责人为同一人或者存在直接控股、管理关系的不同供应商，不得参加同一合同项下的政府采购活动；</w:t>
            </w:r>
          </w:p>
          <w:p>
            <w:pPr>
              <w:keepLines w:val="0"/>
              <w:pageBreakBefore w:val="0"/>
              <w:kinsoku/>
              <w:wordWrap/>
              <w:overflowPunct/>
              <w:topLinePunct w:val="0"/>
              <w:bidi w:val="0"/>
              <w:spacing w:line="400" w:lineRule="exact"/>
              <w:rPr>
                <w:rFonts w:hint="eastAsia"/>
                <w:lang w:eastAsia="zh-CN"/>
              </w:rPr>
            </w:pPr>
            <w:r>
              <w:rPr>
                <w:rFonts w:hint="eastAsia"/>
                <w:lang w:val="en-US" w:eastAsia="zh-CN"/>
              </w:rPr>
              <w:t>6.</w:t>
            </w:r>
            <w:r>
              <w:rPr>
                <w:rFonts w:hint="eastAsia"/>
              </w:rPr>
              <w:t>本项目不接受联合体投标</w:t>
            </w:r>
            <w:r>
              <w:rPr>
                <w:rFonts w:hint="eastAsia"/>
                <w:lang w:eastAsia="zh-CN"/>
              </w:rPr>
              <w:t>。</w:t>
            </w:r>
          </w:p>
          <w:p>
            <w:pPr>
              <w:keepLines w:val="0"/>
              <w:pageBreakBefore w:val="0"/>
              <w:kinsoku/>
              <w:wordWrap/>
              <w:overflowPunct/>
              <w:topLinePunct w:val="0"/>
              <w:bidi w:val="0"/>
              <w:spacing w:line="400" w:lineRule="exact"/>
              <w:rPr>
                <w:rFonts w:hint="eastAsia"/>
              </w:rPr>
            </w:pPr>
            <w:r>
              <w:rPr>
                <w:rFonts w:hint="eastAsia"/>
                <w:b/>
                <w:bCs/>
                <w:szCs w:val="22"/>
                <w:lang w:val="en-US" w:eastAsia="zh-CN"/>
              </w:rPr>
              <w:t>备注：以上资格证明文件投标人必须完全提供(除注明原件外，均为扫描件并加盖投标人公章)并胶装在投标文件中，一项不合格即按照无效投标处理。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1</w:t>
            </w:r>
            <w:r>
              <w:rPr>
                <w:rFonts w:hint="eastAsia"/>
                <w:lang w:val="en-US" w:eastAsia="zh-CN"/>
              </w:rPr>
              <w:t>4</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lang w:eastAsia="zh-CN"/>
              </w:rPr>
              <w:t>供货周期</w:t>
            </w:r>
            <w:r>
              <w:rPr>
                <w:rFonts w:hint="eastAsia"/>
              </w:rPr>
              <w:t>、交货地点</w:t>
            </w:r>
          </w:p>
        </w:tc>
        <w:tc>
          <w:tcPr>
            <w:tcW w:w="6757" w:type="dxa"/>
            <w:vAlign w:val="top"/>
          </w:tcPr>
          <w:p>
            <w:pPr>
              <w:keepLines w:val="0"/>
              <w:pageBreakBefore w:val="0"/>
              <w:kinsoku/>
              <w:wordWrap/>
              <w:overflowPunct/>
              <w:topLinePunct w:val="0"/>
              <w:bidi w:val="0"/>
              <w:spacing w:line="400" w:lineRule="exact"/>
              <w:rPr>
                <w:rFonts w:hint="default"/>
                <w:lang w:val="en-US" w:eastAsia="zh-CN"/>
              </w:rPr>
            </w:pPr>
            <w:r>
              <w:rPr>
                <w:rFonts w:hint="eastAsia"/>
              </w:rPr>
              <w:t>交</w:t>
            </w:r>
            <w:r>
              <w:rPr>
                <w:rFonts w:hint="eastAsia"/>
                <w:lang w:val="en-US" w:eastAsia="zh-CN"/>
              </w:rPr>
              <w:t xml:space="preserve"> </w:t>
            </w:r>
            <w:r>
              <w:rPr>
                <w:rFonts w:hint="eastAsia"/>
              </w:rPr>
              <w:t>货</w:t>
            </w:r>
            <w:r>
              <w:rPr>
                <w:rFonts w:hint="eastAsia"/>
                <w:lang w:val="en-US" w:eastAsia="zh-CN"/>
              </w:rPr>
              <w:t xml:space="preserve"> </w:t>
            </w:r>
            <w:r>
              <w:rPr>
                <w:rFonts w:hint="eastAsia"/>
              </w:rPr>
              <w:t>期：</w:t>
            </w:r>
            <w:r>
              <w:rPr>
                <w:rFonts w:hint="eastAsia"/>
                <w:lang w:eastAsia="zh-CN"/>
              </w:rPr>
              <w:t>一学年（</w:t>
            </w:r>
            <w:r>
              <w:rPr>
                <w:rFonts w:hint="eastAsia"/>
                <w:lang w:val="en-US" w:eastAsia="zh-CN"/>
              </w:rPr>
              <w:t>2022年9月-2023年7月</w:t>
            </w:r>
            <w:r>
              <w:rPr>
                <w:rFonts w:hint="eastAsia"/>
                <w:lang w:eastAsia="zh-CN"/>
              </w:rPr>
              <w:t>）。</w:t>
            </w:r>
          </w:p>
          <w:p>
            <w:pPr>
              <w:keepLines w:val="0"/>
              <w:pageBreakBefore w:val="0"/>
              <w:kinsoku/>
              <w:wordWrap/>
              <w:overflowPunct/>
              <w:topLinePunct w:val="0"/>
              <w:bidi w:val="0"/>
              <w:spacing w:line="400" w:lineRule="exact"/>
              <w:rPr>
                <w:rFonts w:hint="eastAsia"/>
                <w:lang w:eastAsia="zh-CN"/>
              </w:rPr>
            </w:pPr>
            <w:r>
              <w:rPr>
                <w:rFonts w:hint="eastAsia"/>
              </w:rPr>
              <w:t>交货地点：</w:t>
            </w:r>
            <w:r>
              <w:rPr>
                <w:rFonts w:hint="eastAsia"/>
                <w:lang w:eastAsia="zh-CN"/>
              </w:rPr>
              <w:t>大荔县教育局指定地点。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1</w:t>
            </w:r>
            <w:r>
              <w:rPr>
                <w:rFonts w:hint="eastAsia"/>
                <w:lang w:val="en-US" w:eastAsia="zh-CN"/>
              </w:rPr>
              <w:t>6</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联合体投标</w:t>
            </w:r>
          </w:p>
        </w:tc>
        <w:tc>
          <w:tcPr>
            <w:tcW w:w="6757" w:type="dxa"/>
            <w:vAlign w:val="top"/>
          </w:tcPr>
          <w:p>
            <w:pPr>
              <w:keepLines w:val="0"/>
              <w:pageBreakBefore w:val="0"/>
              <w:kinsoku/>
              <w:wordWrap/>
              <w:overflowPunct/>
              <w:topLinePunct w:val="0"/>
              <w:bidi w:val="0"/>
              <w:spacing w:line="400" w:lineRule="exact"/>
              <w:rPr>
                <w:rFonts w:hint="eastAsia"/>
              </w:rPr>
            </w:pPr>
            <w:r>
              <w:rPr>
                <w:rFonts w:hint="eastAsi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1</w:t>
            </w:r>
            <w:r>
              <w:rPr>
                <w:rFonts w:hint="eastAsia"/>
                <w:lang w:val="en-US" w:eastAsia="zh-CN"/>
              </w:rPr>
              <w:t>7</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现场勘查、标前答疑会</w:t>
            </w:r>
          </w:p>
        </w:tc>
        <w:tc>
          <w:tcPr>
            <w:tcW w:w="6757" w:type="dxa"/>
            <w:vAlign w:val="center"/>
          </w:tcPr>
          <w:p>
            <w:pPr>
              <w:keepLines w:val="0"/>
              <w:pageBreakBefore w:val="0"/>
              <w:kinsoku/>
              <w:wordWrap/>
              <w:overflowPunct/>
              <w:topLinePunct w:val="0"/>
              <w:bidi w:val="0"/>
              <w:spacing w:line="400" w:lineRule="exact"/>
              <w:rPr>
                <w:rFonts w:hint="eastAsia"/>
              </w:rPr>
            </w:pPr>
            <w:r>
              <w:rPr>
                <w:rFonts w:hint="eastAsia"/>
              </w:rPr>
              <w:t>不</w:t>
            </w:r>
            <w:r>
              <w:rPr>
                <w:rFonts w:hint="eastAsia"/>
                <w:lang w:eastAsia="zh-CN"/>
              </w:rPr>
              <w:t>统一</w:t>
            </w:r>
            <w:r>
              <w:rPr>
                <w:rFonts w:hint="eastAsia"/>
              </w:rPr>
              <w:t>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1</w:t>
            </w:r>
            <w:r>
              <w:rPr>
                <w:rFonts w:hint="eastAsia"/>
                <w:lang w:val="en-US" w:eastAsia="zh-CN"/>
              </w:rPr>
              <w:t>8</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投标人对招标文件提出质疑的时间</w:t>
            </w:r>
          </w:p>
        </w:tc>
        <w:tc>
          <w:tcPr>
            <w:tcW w:w="6757" w:type="dxa"/>
            <w:vAlign w:val="top"/>
          </w:tcPr>
          <w:p>
            <w:pPr>
              <w:keepLines w:val="0"/>
              <w:pageBreakBefore w:val="0"/>
              <w:kinsoku/>
              <w:wordWrap/>
              <w:overflowPunct/>
              <w:topLinePunct w:val="0"/>
              <w:bidi w:val="0"/>
              <w:spacing w:line="400" w:lineRule="exact"/>
              <w:rPr>
                <w:rFonts w:hint="eastAsia"/>
              </w:rPr>
            </w:pPr>
            <w:r>
              <w:rPr>
                <w:rFonts w:hint="eastAsia"/>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1</w:t>
            </w:r>
            <w:r>
              <w:rPr>
                <w:rFonts w:hint="eastAsia"/>
                <w:lang w:val="en-US" w:eastAsia="zh-CN"/>
              </w:rPr>
              <w:t>9</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构成招标文件的其他文件</w:t>
            </w:r>
          </w:p>
        </w:tc>
        <w:tc>
          <w:tcPr>
            <w:tcW w:w="6757" w:type="dxa"/>
            <w:vAlign w:val="center"/>
          </w:tcPr>
          <w:p>
            <w:pPr>
              <w:keepLines w:val="0"/>
              <w:pageBreakBefore w:val="0"/>
              <w:kinsoku/>
              <w:wordWrap/>
              <w:overflowPunct/>
              <w:topLinePunct w:val="0"/>
              <w:bidi w:val="0"/>
              <w:spacing w:line="400" w:lineRule="exact"/>
              <w:jc w:val="left"/>
              <w:rPr>
                <w:rFonts w:hint="eastAsia"/>
              </w:rPr>
            </w:pPr>
            <w:r>
              <w:rPr>
                <w:rFonts w:hint="eastAsia"/>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658" w:type="dxa"/>
            <w:vAlign w:val="center"/>
          </w:tcPr>
          <w:p>
            <w:pPr>
              <w:keepLines w:val="0"/>
              <w:pageBreakBefore w:val="0"/>
              <w:kinsoku/>
              <w:wordWrap/>
              <w:overflowPunct/>
              <w:topLinePunct w:val="0"/>
              <w:bidi w:val="0"/>
              <w:spacing w:line="400" w:lineRule="exact"/>
              <w:jc w:val="center"/>
              <w:rPr>
                <w:rFonts w:hint="default"/>
                <w:lang w:val="en-US" w:eastAsia="zh-CN"/>
              </w:rPr>
            </w:pPr>
            <w:r>
              <w:rPr>
                <w:rFonts w:hint="eastAsia"/>
                <w:lang w:val="en-US" w:eastAsia="zh-CN"/>
              </w:rPr>
              <w:t>20</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lang w:val="en-US" w:eastAsia="zh-CN"/>
              </w:rPr>
              <w:t>投标文件递交截止时间及开标时间和地点</w:t>
            </w:r>
          </w:p>
        </w:tc>
        <w:tc>
          <w:tcPr>
            <w:tcW w:w="6757" w:type="dxa"/>
            <w:vAlign w:val="top"/>
          </w:tcPr>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ascii="Times New Roman" w:hAnsi="Times New Roman" w:eastAsia="宋体" w:cs="Times New Roman"/>
                <w:b w:val="0"/>
                <w:kern w:val="2"/>
                <w:sz w:val="21"/>
                <w:szCs w:val="22"/>
                <w:lang w:val="en-US" w:eastAsia="zh-CN" w:bidi="ar-SA"/>
              </w:rPr>
            </w:pPr>
            <w:r>
              <w:rPr>
                <w:rFonts w:hint="eastAsia" w:ascii="Times New Roman" w:hAnsi="Times New Roman" w:cs="Times New Roman"/>
                <w:b w:val="0"/>
                <w:kern w:val="2"/>
                <w:sz w:val="21"/>
                <w:szCs w:val="22"/>
                <w:lang w:val="en-US" w:eastAsia="zh-CN" w:bidi="ar-SA"/>
              </w:rPr>
              <w:t>时间</w:t>
            </w:r>
            <w:r>
              <w:rPr>
                <w:rFonts w:hint="eastAsia" w:ascii="Times New Roman" w:hAnsi="Times New Roman" w:eastAsia="宋体" w:cs="Times New Roman"/>
                <w:b w:val="0"/>
                <w:kern w:val="2"/>
                <w:sz w:val="21"/>
                <w:szCs w:val="22"/>
                <w:lang w:val="en-US" w:eastAsia="zh-CN" w:bidi="ar-SA"/>
              </w:rPr>
              <w:t>2022年08月29日 10时00分00秒 （北京时间）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20" w:lineRule="exact"/>
              <w:ind w:right="0"/>
              <w:jc w:val="both"/>
              <w:textAlignment w:val="baseline"/>
              <w:rPr>
                <w:rFonts w:hint="eastAsia"/>
              </w:rPr>
            </w:pPr>
            <w:r>
              <w:rPr>
                <w:rFonts w:hint="eastAsia" w:ascii="Times New Roman" w:hAnsi="Times New Roman" w:eastAsia="宋体" w:cs="Times New Roman"/>
                <w:b w:val="0"/>
                <w:kern w:val="2"/>
                <w:sz w:val="21"/>
                <w:szCs w:val="22"/>
                <w:lang w:val="en-US" w:eastAsia="zh-CN" w:bidi="ar-SA"/>
              </w:rPr>
              <w:t>地点：陕西省西安市雁塔区吉祥路 135 号7楼会议室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2</w:t>
            </w:r>
            <w:r>
              <w:rPr>
                <w:rFonts w:hint="eastAsia"/>
                <w:lang w:val="en-US" w:eastAsia="zh-CN"/>
              </w:rPr>
              <w:t>1</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投标有效期</w:t>
            </w:r>
          </w:p>
        </w:tc>
        <w:tc>
          <w:tcPr>
            <w:tcW w:w="6757" w:type="dxa"/>
            <w:vAlign w:val="top"/>
          </w:tcPr>
          <w:p>
            <w:pPr>
              <w:keepLines w:val="0"/>
              <w:pageBreakBefore w:val="0"/>
              <w:kinsoku/>
              <w:wordWrap/>
              <w:overflowPunct/>
              <w:topLinePunct w:val="0"/>
              <w:bidi w:val="0"/>
              <w:spacing w:line="400" w:lineRule="exact"/>
              <w:rPr>
                <w:rFonts w:hint="eastAsia"/>
              </w:rPr>
            </w:pPr>
            <w:r>
              <w:rPr>
                <w:rFonts w:hint="eastAsia"/>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7" w:hRule="atLeast"/>
        </w:trPr>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2</w:t>
            </w:r>
            <w:r>
              <w:rPr>
                <w:rFonts w:hint="eastAsia"/>
                <w:lang w:val="en-US" w:eastAsia="zh-CN"/>
              </w:rPr>
              <w:t>2</w:t>
            </w:r>
          </w:p>
        </w:tc>
        <w:tc>
          <w:tcPr>
            <w:tcW w:w="1656" w:type="dxa"/>
            <w:vAlign w:val="center"/>
          </w:tcPr>
          <w:p>
            <w:pPr>
              <w:keepLines w:val="0"/>
              <w:pageBreakBefore w:val="0"/>
              <w:kinsoku/>
              <w:wordWrap/>
              <w:overflowPunct/>
              <w:topLinePunct w:val="0"/>
              <w:bidi w:val="0"/>
              <w:spacing w:line="400" w:lineRule="exact"/>
              <w:jc w:val="center"/>
              <w:rPr>
                <w:rFonts w:hint="eastAsia" w:eastAsia="宋体"/>
                <w:lang w:eastAsia="zh-CN"/>
              </w:rPr>
            </w:pPr>
            <w:r>
              <w:rPr>
                <w:rFonts w:hint="eastAsia"/>
              </w:rPr>
              <w:t>投标</w:t>
            </w:r>
            <w:r>
              <w:rPr>
                <w:rFonts w:hint="eastAsia"/>
                <w:lang w:val="en-US" w:eastAsia="zh-CN"/>
              </w:rPr>
              <w:t>保证金</w:t>
            </w:r>
          </w:p>
        </w:tc>
        <w:tc>
          <w:tcPr>
            <w:tcW w:w="6757" w:type="dxa"/>
            <w:vAlign w:val="top"/>
          </w:tcPr>
          <w:p>
            <w:pPr>
              <w:keepLines w:val="0"/>
              <w:pageBreakBefore w:val="0"/>
              <w:kinsoku/>
              <w:wordWrap/>
              <w:overflowPunct/>
              <w:topLinePunct w:val="0"/>
              <w:bidi w:val="0"/>
              <w:spacing w:line="400" w:lineRule="exact"/>
              <w:rPr>
                <w:rFonts w:hint="eastAsia"/>
              </w:rPr>
            </w:pPr>
            <w:r>
              <w:rPr>
                <w:rFonts w:hint="eastAsia"/>
              </w:rPr>
              <w:t>1、投标保证金：</w:t>
            </w:r>
          </w:p>
          <w:p>
            <w:pPr>
              <w:keepLines w:val="0"/>
              <w:pageBreakBefore w:val="0"/>
              <w:kinsoku/>
              <w:wordWrap/>
              <w:overflowPunct/>
              <w:topLinePunct w:val="0"/>
              <w:bidi w:val="0"/>
              <w:spacing w:line="400" w:lineRule="exact"/>
              <w:rPr>
                <w:rFonts w:hint="eastAsia"/>
                <w:szCs w:val="22"/>
              </w:rPr>
            </w:pPr>
            <w:r>
              <w:rPr>
                <w:rFonts w:hint="eastAsia"/>
                <w:szCs w:val="22"/>
                <w:lang w:val="en-US" w:eastAsia="zh-CN"/>
              </w:rPr>
              <w:t>第1包</w:t>
            </w:r>
            <w:r>
              <w:rPr>
                <w:rFonts w:hint="eastAsia"/>
                <w:szCs w:val="22"/>
              </w:rPr>
              <w:t>：</w:t>
            </w:r>
            <w:r>
              <w:rPr>
                <w:rFonts w:hint="eastAsia"/>
                <w:szCs w:val="22"/>
                <w:lang w:val="en-US" w:eastAsia="zh-CN"/>
              </w:rPr>
              <w:t>10000.00</w:t>
            </w:r>
            <w:r>
              <w:rPr>
                <w:rFonts w:hint="eastAsia"/>
                <w:szCs w:val="22"/>
              </w:rPr>
              <w:t>元；</w:t>
            </w:r>
            <w:r>
              <w:rPr>
                <w:rFonts w:hint="eastAsia"/>
                <w:szCs w:val="22"/>
                <w:lang w:val="en-US" w:eastAsia="zh-CN"/>
              </w:rPr>
              <w:t>第2包</w:t>
            </w:r>
            <w:r>
              <w:rPr>
                <w:rFonts w:hint="eastAsia"/>
                <w:szCs w:val="22"/>
              </w:rPr>
              <w:t>：</w:t>
            </w:r>
            <w:r>
              <w:rPr>
                <w:rFonts w:hint="eastAsia"/>
                <w:szCs w:val="22"/>
                <w:lang w:val="en-US" w:eastAsia="zh-CN"/>
              </w:rPr>
              <w:t>10000.00</w:t>
            </w:r>
            <w:r>
              <w:rPr>
                <w:rFonts w:hint="eastAsia"/>
                <w:szCs w:val="22"/>
              </w:rPr>
              <w:t>元；</w:t>
            </w:r>
            <w:r>
              <w:rPr>
                <w:rFonts w:hint="eastAsia"/>
                <w:szCs w:val="22"/>
                <w:lang w:val="en-US" w:eastAsia="zh-CN"/>
              </w:rPr>
              <w:t>第3包</w:t>
            </w:r>
            <w:r>
              <w:rPr>
                <w:rFonts w:hint="eastAsia"/>
                <w:szCs w:val="22"/>
              </w:rPr>
              <w:t>：</w:t>
            </w:r>
            <w:r>
              <w:rPr>
                <w:rFonts w:hint="eastAsia"/>
                <w:szCs w:val="22"/>
                <w:lang w:val="en-US" w:eastAsia="zh-CN"/>
              </w:rPr>
              <w:t>10000.00</w:t>
            </w:r>
            <w:r>
              <w:rPr>
                <w:rFonts w:hint="eastAsia"/>
                <w:szCs w:val="22"/>
              </w:rPr>
              <w:t>元；</w:t>
            </w:r>
            <w:r>
              <w:rPr>
                <w:rFonts w:hint="eastAsia"/>
                <w:szCs w:val="22"/>
                <w:lang w:val="en-US" w:eastAsia="zh-CN"/>
              </w:rPr>
              <w:t>第4包</w:t>
            </w:r>
            <w:r>
              <w:rPr>
                <w:rFonts w:hint="eastAsia"/>
                <w:szCs w:val="22"/>
              </w:rPr>
              <w:t>：</w:t>
            </w:r>
            <w:r>
              <w:rPr>
                <w:rFonts w:hint="eastAsia"/>
                <w:szCs w:val="22"/>
                <w:lang w:val="en-US" w:eastAsia="zh-CN"/>
              </w:rPr>
              <w:t>10000.00</w:t>
            </w:r>
            <w:r>
              <w:rPr>
                <w:rFonts w:hint="eastAsia"/>
                <w:szCs w:val="22"/>
              </w:rPr>
              <w:t>元；</w:t>
            </w:r>
            <w:r>
              <w:rPr>
                <w:rFonts w:hint="eastAsia"/>
                <w:szCs w:val="22"/>
                <w:lang w:val="en-US" w:eastAsia="zh-CN"/>
              </w:rPr>
              <w:t>第5包</w:t>
            </w:r>
            <w:r>
              <w:rPr>
                <w:rFonts w:hint="eastAsia"/>
                <w:szCs w:val="22"/>
              </w:rPr>
              <w:t>：</w:t>
            </w:r>
            <w:r>
              <w:rPr>
                <w:rFonts w:hint="eastAsia"/>
                <w:szCs w:val="22"/>
                <w:lang w:val="en-US" w:eastAsia="zh-CN"/>
              </w:rPr>
              <w:t>10000.00</w:t>
            </w:r>
            <w:r>
              <w:rPr>
                <w:rFonts w:hint="eastAsia"/>
                <w:szCs w:val="22"/>
              </w:rPr>
              <w:t>元；</w:t>
            </w:r>
            <w:r>
              <w:rPr>
                <w:rFonts w:hint="eastAsia"/>
                <w:szCs w:val="22"/>
                <w:lang w:val="en-US" w:eastAsia="zh-CN"/>
              </w:rPr>
              <w:t>第6包</w:t>
            </w:r>
            <w:r>
              <w:rPr>
                <w:rFonts w:hint="eastAsia"/>
                <w:szCs w:val="22"/>
              </w:rPr>
              <w:t>：</w:t>
            </w:r>
            <w:r>
              <w:rPr>
                <w:rFonts w:hint="eastAsia"/>
                <w:szCs w:val="22"/>
                <w:lang w:val="en-US" w:eastAsia="zh-CN"/>
              </w:rPr>
              <w:t>10000.00</w:t>
            </w:r>
            <w:r>
              <w:rPr>
                <w:rFonts w:hint="eastAsia"/>
                <w:szCs w:val="22"/>
              </w:rPr>
              <w:t>元；</w:t>
            </w:r>
            <w:r>
              <w:rPr>
                <w:rFonts w:hint="eastAsia"/>
                <w:szCs w:val="22"/>
                <w:lang w:val="en-US" w:eastAsia="zh-CN"/>
              </w:rPr>
              <w:t>第7包</w:t>
            </w:r>
            <w:r>
              <w:rPr>
                <w:rFonts w:hint="eastAsia"/>
                <w:szCs w:val="22"/>
              </w:rPr>
              <w:t>：</w:t>
            </w:r>
            <w:r>
              <w:rPr>
                <w:rFonts w:hint="eastAsia"/>
                <w:szCs w:val="22"/>
                <w:lang w:val="en-US" w:eastAsia="zh-CN"/>
              </w:rPr>
              <w:t>5000.00</w:t>
            </w:r>
            <w:r>
              <w:rPr>
                <w:rFonts w:hint="eastAsia"/>
                <w:szCs w:val="22"/>
              </w:rPr>
              <w:t>元；</w:t>
            </w:r>
            <w:r>
              <w:rPr>
                <w:rFonts w:hint="eastAsia"/>
                <w:szCs w:val="22"/>
                <w:lang w:val="en-US" w:eastAsia="zh-CN"/>
              </w:rPr>
              <w:t>第8包</w:t>
            </w:r>
            <w:r>
              <w:rPr>
                <w:rFonts w:hint="eastAsia"/>
                <w:szCs w:val="22"/>
              </w:rPr>
              <w:t>：</w:t>
            </w:r>
            <w:r>
              <w:rPr>
                <w:rFonts w:hint="eastAsia"/>
                <w:szCs w:val="22"/>
                <w:lang w:val="en-US" w:eastAsia="zh-CN"/>
              </w:rPr>
              <w:t>10000.00</w:t>
            </w:r>
            <w:r>
              <w:rPr>
                <w:rFonts w:hint="eastAsia"/>
                <w:szCs w:val="22"/>
              </w:rPr>
              <w:t>元；</w:t>
            </w:r>
            <w:r>
              <w:rPr>
                <w:rFonts w:hint="eastAsia"/>
                <w:szCs w:val="22"/>
                <w:lang w:val="en-US" w:eastAsia="zh-CN"/>
              </w:rPr>
              <w:t>第9包</w:t>
            </w:r>
            <w:r>
              <w:rPr>
                <w:rFonts w:hint="eastAsia"/>
                <w:szCs w:val="22"/>
              </w:rPr>
              <w:t>：</w:t>
            </w:r>
            <w:r>
              <w:rPr>
                <w:rFonts w:hint="eastAsia"/>
                <w:szCs w:val="22"/>
                <w:lang w:val="en-US" w:eastAsia="zh-CN"/>
              </w:rPr>
              <w:t>10000.00</w:t>
            </w:r>
            <w:r>
              <w:rPr>
                <w:rFonts w:hint="eastAsia"/>
                <w:szCs w:val="22"/>
              </w:rPr>
              <w:t>元；</w:t>
            </w:r>
            <w:r>
              <w:rPr>
                <w:rFonts w:hint="eastAsia"/>
                <w:szCs w:val="22"/>
                <w:lang w:val="en-US" w:eastAsia="zh-CN"/>
              </w:rPr>
              <w:t>第10包</w:t>
            </w:r>
            <w:r>
              <w:rPr>
                <w:rFonts w:hint="eastAsia"/>
                <w:szCs w:val="22"/>
              </w:rPr>
              <w:t>：</w:t>
            </w:r>
            <w:r>
              <w:rPr>
                <w:rFonts w:hint="eastAsia"/>
                <w:szCs w:val="22"/>
                <w:lang w:val="en-US" w:eastAsia="zh-CN"/>
              </w:rPr>
              <w:t xml:space="preserve">  10000.00</w:t>
            </w:r>
            <w:r>
              <w:rPr>
                <w:rFonts w:hint="eastAsia"/>
                <w:szCs w:val="22"/>
              </w:rPr>
              <w:t>元；</w:t>
            </w:r>
            <w:r>
              <w:rPr>
                <w:rFonts w:hint="eastAsia"/>
                <w:szCs w:val="22"/>
                <w:lang w:val="en-US" w:eastAsia="zh-CN"/>
              </w:rPr>
              <w:t>第11包</w:t>
            </w:r>
            <w:r>
              <w:rPr>
                <w:rFonts w:hint="eastAsia"/>
                <w:szCs w:val="22"/>
              </w:rPr>
              <w:t>：</w:t>
            </w:r>
            <w:r>
              <w:rPr>
                <w:rFonts w:hint="eastAsia"/>
                <w:szCs w:val="22"/>
                <w:lang w:val="en-US" w:eastAsia="zh-CN"/>
              </w:rPr>
              <w:t>20000.00</w:t>
            </w:r>
            <w:r>
              <w:rPr>
                <w:rFonts w:hint="eastAsia"/>
                <w:szCs w:val="22"/>
              </w:rPr>
              <w:t>元；</w:t>
            </w:r>
            <w:r>
              <w:rPr>
                <w:rFonts w:hint="eastAsia"/>
                <w:szCs w:val="22"/>
                <w:lang w:val="en-US" w:eastAsia="zh-CN"/>
              </w:rPr>
              <w:t>第12包</w:t>
            </w:r>
            <w:r>
              <w:rPr>
                <w:rFonts w:hint="eastAsia"/>
                <w:szCs w:val="22"/>
              </w:rPr>
              <w:t>：</w:t>
            </w:r>
            <w:r>
              <w:rPr>
                <w:rFonts w:hint="eastAsia"/>
                <w:szCs w:val="22"/>
                <w:lang w:val="en-US" w:eastAsia="zh-CN"/>
              </w:rPr>
              <w:t>20000.00</w:t>
            </w:r>
            <w:r>
              <w:rPr>
                <w:rFonts w:hint="eastAsia"/>
                <w:szCs w:val="22"/>
              </w:rPr>
              <w:t>元；</w:t>
            </w:r>
            <w:r>
              <w:rPr>
                <w:rFonts w:hint="eastAsia"/>
                <w:szCs w:val="22"/>
                <w:lang w:val="en-US" w:eastAsia="zh-CN"/>
              </w:rPr>
              <w:t>第13包</w:t>
            </w:r>
            <w:r>
              <w:rPr>
                <w:rFonts w:hint="eastAsia"/>
                <w:szCs w:val="22"/>
              </w:rPr>
              <w:t>：</w:t>
            </w:r>
            <w:r>
              <w:rPr>
                <w:rFonts w:hint="eastAsia"/>
                <w:szCs w:val="22"/>
                <w:lang w:val="en-US" w:eastAsia="zh-CN"/>
              </w:rPr>
              <w:t>10000.00</w:t>
            </w:r>
            <w:r>
              <w:rPr>
                <w:rFonts w:hint="eastAsia"/>
                <w:szCs w:val="22"/>
              </w:rPr>
              <w:t>元；</w:t>
            </w:r>
            <w:r>
              <w:rPr>
                <w:rFonts w:hint="eastAsia"/>
                <w:szCs w:val="22"/>
                <w:lang w:val="en-US" w:eastAsia="zh-CN"/>
              </w:rPr>
              <w:t>第14包</w:t>
            </w:r>
            <w:r>
              <w:rPr>
                <w:rFonts w:hint="eastAsia"/>
                <w:szCs w:val="22"/>
              </w:rPr>
              <w:t>：</w:t>
            </w:r>
            <w:r>
              <w:rPr>
                <w:rFonts w:hint="eastAsia"/>
                <w:szCs w:val="22"/>
                <w:lang w:val="en-US" w:eastAsia="zh-CN"/>
              </w:rPr>
              <w:t>20000.00</w:t>
            </w:r>
            <w:r>
              <w:rPr>
                <w:rFonts w:hint="eastAsia"/>
                <w:szCs w:val="22"/>
              </w:rPr>
              <w:t>元；</w:t>
            </w:r>
            <w:r>
              <w:rPr>
                <w:rFonts w:hint="eastAsia"/>
                <w:szCs w:val="22"/>
                <w:lang w:val="en-US" w:eastAsia="zh-CN"/>
              </w:rPr>
              <w:t>第15包</w:t>
            </w:r>
            <w:r>
              <w:rPr>
                <w:rFonts w:hint="eastAsia"/>
                <w:szCs w:val="22"/>
              </w:rPr>
              <w:t>：</w:t>
            </w:r>
            <w:r>
              <w:rPr>
                <w:rFonts w:hint="eastAsia"/>
                <w:szCs w:val="22"/>
                <w:lang w:val="en-US" w:eastAsia="zh-CN"/>
              </w:rPr>
              <w:t>20000.00</w:t>
            </w:r>
            <w:r>
              <w:rPr>
                <w:rFonts w:hint="eastAsia"/>
                <w:szCs w:val="22"/>
              </w:rPr>
              <w:t>元；</w:t>
            </w:r>
            <w:r>
              <w:rPr>
                <w:rFonts w:hint="eastAsia"/>
                <w:szCs w:val="22"/>
                <w:lang w:val="en-US" w:eastAsia="zh-CN"/>
              </w:rPr>
              <w:t>第16包</w:t>
            </w:r>
            <w:r>
              <w:rPr>
                <w:rFonts w:hint="eastAsia"/>
                <w:szCs w:val="22"/>
              </w:rPr>
              <w:t>：</w:t>
            </w:r>
            <w:r>
              <w:rPr>
                <w:rFonts w:hint="eastAsia"/>
                <w:szCs w:val="22"/>
                <w:lang w:val="en-US" w:eastAsia="zh-CN"/>
              </w:rPr>
              <w:t>20000.00</w:t>
            </w:r>
            <w:r>
              <w:rPr>
                <w:rFonts w:hint="eastAsia"/>
                <w:szCs w:val="22"/>
              </w:rPr>
              <w:t>元；</w:t>
            </w:r>
            <w:r>
              <w:rPr>
                <w:rFonts w:hint="eastAsia"/>
                <w:szCs w:val="22"/>
                <w:lang w:val="en-US" w:eastAsia="zh-CN"/>
              </w:rPr>
              <w:t>第17包</w:t>
            </w:r>
            <w:r>
              <w:rPr>
                <w:rFonts w:hint="eastAsia"/>
                <w:szCs w:val="22"/>
              </w:rPr>
              <w:t>：</w:t>
            </w:r>
            <w:r>
              <w:rPr>
                <w:rFonts w:hint="eastAsia"/>
                <w:szCs w:val="22"/>
                <w:lang w:val="en-US" w:eastAsia="zh-CN"/>
              </w:rPr>
              <w:t>20000.00</w:t>
            </w:r>
            <w:r>
              <w:rPr>
                <w:rFonts w:hint="eastAsia"/>
                <w:szCs w:val="22"/>
              </w:rPr>
              <w:t>元；</w:t>
            </w:r>
            <w:r>
              <w:rPr>
                <w:rFonts w:hint="eastAsia"/>
                <w:szCs w:val="22"/>
                <w:lang w:val="en-US" w:eastAsia="zh-CN"/>
              </w:rPr>
              <w:t>第18包</w:t>
            </w:r>
            <w:r>
              <w:rPr>
                <w:rFonts w:hint="eastAsia"/>
                <w:szCs w:val="22"/>
              </w:rPr>
              <w:t>：</w:t>
            </w:r>
            <w:r>
              <w:rPr>
                <w:rFonts w:hint="eastAsia"/>
                <w:szCs w:val="22"/>
                <w:lang w:val="en-US" w:eastAsia="zh-CN"/>
              </w:rPr>
              <w:t>10000.00</w:t>
            </w:r>
            <w:r>
              <w:rPr>
                <w:rFonts w:hint="eastAsia"/>
                <w:szCs w:val="22"/>
              </w:rPr>
              <w:t>元；</w:t>
            </w:r>
            <w:r>
              <w:rPr>
                <w:rFonts w:hint="eastAsia"/>
                <w:szCs w:val="22"/>
                <w:lang w:val="en-US" w:eastAsia="zh-CN"/>
              </w:rPr>
              <w:t>第19包</w:t>
            </w:r>
            <w:r>
              <w:rPr>
                <w:rFonts w:hint="eastAsia"/>
                <w:szCs w:val="22"/>
              </w:rPr>
              <w:t>：</w:t>
            </w:r>
            <w:r>
              <w:rPr>
                <w:rFonts w:hint="eastAsia"/>
                <w:szCs w:val="22"/>
                <w:lang w:val="en-US" w:eastAsia="zh-CN"/>
              </w:rPr>
              <w:t>50000.00</w:t>
            </w:r>
            <w:r>
              <w:rPr>
                <w:rFonts w:hint="eastAsia"/>
                <w:szCs w:val="22"/>
              </w:rPr>
              <w:t>元；</w:t>
            </w:r>
          </w:p>
          <w:p>
            <w:pPr>
              <w:keepLines w:val="0"/>
              <w:pageBreakBefore w:val="0"/>
              <w:kinsoku/>
              <w:wordWrap/>
              <w:overflowPunct/>
              <w:topLinePunct w:val="0"/>
              <w:bidi w:val="0"/>
              <w:spacing w:line="400" w:lineRule="exact"/>
              <w:rPr>
                <w:rFonts w:hint="eastAsia"/>
              </w:rPr>
            </w:pPr>
            <w:r>
              <w:rPr>
                <w:rFonts w:hint="eastAsia"/>
              </w:rPr>
              <w:t>2、投标保证金交纳方式：投标人可自主选择以银行网银转账、支票、汇票、本票、保函等非现金形式交纳或提交投标保证金。</w:t>
            </w:r>
          </w:p>
          <w:p>
            <w:pPr>
              <w:keepLines w:val="0"/>
              <w:pageBreakBefore w:val="0"/>
              <w:kinsoku/>
              <w:wordWrap/>
              <w:overflowPunct/>
              <w:topLinePunct w:val="0"/>
              <w:bidi w:val="0"/>
              <w:spacing w:line="400" w:lineRule="exact"/>
              <w:rPr>
                <w:rFonts w:hint="eastAsia" w:eastAsia="宋体"/>
                <w:lang w:eastAsia="zh-CN"/>
              </w:rPr>
            </w:pPr>
            <w:r>
              <w:rPr>
                <w:rFonts w:hint="eastAsia"/>
              </w:rPr>
              <w:t>3、请投标人按规定时间（</w:t>
            </w:r>
            <w:r>
              <w:rPr>
                <w:rFonts w:hint="eastAsia"/>
                <w:lang w:val="en-US" w:eastAsia="zh-CN"/>
              </w:rPr>
              <w:t>投标截止一天</w:t>
            </w:r>
            <w:r>
              <w:rPr>
                <w:rFonts w:hint="eastAsia"/>
              </w:rPr>
              <w:t>前）和方式提交保证金，避免银行退票等原因出现保证金未按时到账等情况影响正常投标。请务必在转账时在摘要处注明：项目编号</w:t>
            </w:r>
            <w:r>
              <w:rPr>
                <w:rFonts w:hint="eastAsia"/>
                <w:lang w:val="en-US" w:eastAsia="zh-CN"/>
              </w:rPr>
              <w:t>、项目名称及包号</w:t>
            </w:r>
            <w:r>
              <w:rPr>
                <w:rFonts w:hint="eastAsia"/>
                <w:lang w:eastAsia="zh-CN"/>
              </w:rPr>
              <w:t>。</w:t>
            </w:r>
          </w:p>
          <w:p>
            <w:pPr>
              <w:keepLines w:val="0"/>
              <w:pageBreakBefore w:val="0"/>
              <w:kinsoku/>
              <w:wordWrap/>
              <w:overflowPunct/>
              <w:topLinePunct w:val="0"/>
              <w:bidi w:val="0"/>
              <w:spacing w:line="400" w:lineRule="exact"/>
              <w:rPr>
                <w:rFonts w:hint="eastAsia"/>
              </w:rPr>
            </w:pPr>
            <w:r>
              <w:rPr>
                <w:rFonts w:hint="eastAsia"/>
              </w:rPr>
              <w:t>4、投标人未按照招标文件要求提交保证金的，投标响应文件无效。投标保证金提交以到账时间为准。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2</w:t>
            </w:r>
            <w:r>
              <w:rPr>
                <w:rFonts w:hint="eastAsia"/>
                <w:lang w:val="en-US" w:eastAsia="zh-CN"/>
              </w:rPr>
              <w:t>3</w:t>
            </w:r>
          </w:p>
        </w:tc>
        <w:tc>
          <w:tcPr>
            <w:tcW w:w="1656" w:type="dxa"/>
            <w:vAlign w:val="center"/>
          </w:tcPr>
          <w:p>
            <w:pPr>
              <w:keepLines w:val="0"/>
              <w:pageBreakBefore w:val="0"/>
              <w:kinsoku/>
              <w:wordWrap/>
              <w:overflowPunct/>
              <w:topLinePunct w:val="0"/>
              <w:bidi w:val="0"/>
              <w:spacing w:line="400" w:lineRule="exact"/>
              <w:rPr>
                <w:rFonts w:hint="eastAsia"/>
                <w:szCs w:val="22"/>
              </w:rPr>
            </w:pPr>
            <w:r>
              <w:rPr>
                <w:rFonts w:hint="eastAsia"/>
                <w:szCs w:val="22"/>
              </w:rPr>
              <w:t>汇款账户</w:t>
            </w:r>
          </w:p>
        </w:tc>
        <w:tc>
          <w:tcPr>
            <w:tcW w:w="6757" w:type="dxa"/>
            <w:vAlign w:val="top"/>
          </w:tcPr>
          <w:p>
            <w:pPr>
              <w:keepLines w:val="0"/>
              <w:pageBreakBefore w:val="0"/>
              <w:kinsoku/>
              <w:wordWrap/>
              <w:overflowPunct/>
              <w:topLinePunct w:val="0"/>
              <w:bidi w:val="0"/>
              <w:spacing w:line="400" w:lineRule="exact"/>
              <w:rPr>
                <w:rFonts w:hint="eastAsia"/>
                <w:szCs w:val="22"/>
              </w:rPr>
            </w:pPr>
            <w:r>
              <w:rPr>
                <w:rFonts w:hint="eastAsia"/>
                <w:szCs w:val="22"/>
              </w:rPr>
              <w:t>开户行名称：亿诚建设项目管理有限公司</w:t>
            </w:r>
          </w:p>
          <w:p>
            <w:pPr>
              <w:keepLines w:val="0"/>
              <w:pageBreakBefore w:val="0"/>
              <w:kinsoku/>
              <w:wordWrap/>
              <w:overflowPunct/>
              <w:topLinePunct w:val="0"/>
              <w:bidi w:val="0"/>
              <w:spacing w:line="400" w:lineRule="exact"/>
              <w:rPr>
                <w:rFonts w:hint="eastAsia"/>
                <w:szCs w:val="22"/>
              </w:rPr>
            </w:pPr>
            <w:r>
              <w:rPr>
                <w:rFonts w:hint="eastAsia"/>
                <w:szCs w:val="22"/>
              </w:rPr>
              <w:t>开户银行：平安银行西安含光路支行</w:t>
            </w:r>
          </w:p>
          <w:p>
            <w:pPr>
              <w:keepLines w:val="0"/>
              <w:pageBreakBefore w:val="0"/>
              <w:kinsoku/>
              <w:wordWrap/>
              <w:overflowPunct/>
              <w:topLinePunct w:val="0"/>
              <w:bidi w:val="0"/>
              <w:spacing w:line="400" w:lineRule="exact"/>
              <w:rPr>
                <w:rFonts w:hint="eastAsia"/>
                <w:szCs w:val="22"/>
              </w:rPr>
            </w:pPr>
            <w:r>
              <w:rPr>
                <w:rFonts w:hint="eastAsia"/>
                <w:szCs w:val="22"/>
              </w:rPr>
              <w:t>帐号：30205199003725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2</w:t>
            </w:r>
            <w:r>
              <w:rPr>
                <w:rFonts w:hint="eastAsia"/>
                <w:lang w:val="en-US" w:eastAsia="zh-CN"/>
              </w:rPr>
              <w:t>4</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备选投标方案</w:t>
            </w:r>
          </w:p>
          <w:p>
            <w:pPr>
              <w:keepLines w:val="0"/>
              <w:pageBreakBefore w:val="0"/>
              <w:kinsoku/>
              <w:wordWrap/>
              <w:overflowPunct/>
              <w:topLinePunct w:val="0"/>
              <w:bidi w:val="0"/>
              <w:spacing w:line="400" w:lineRule="exact"/>
              <w:jc w:val="center"/>
              <w:rPr>
                <w:rFonts w:hint="eastAsia"/>
              </w:rPr>
            </w:pPr>
            <w:r>
              <w:rPr>
                <w:rFonts w:hint="eastAsia"/>
              </w:rPr>
              <w:t>和报价</w:t>
            </w:r>
          </w:p>
        </w:tc>
        <w:tc>
          <w:tcPr>
            <w:tcW w:w="6757" w:type="dxa"/>
            <w:vAlign w:val="center"/>
          </w:tcPr>
          <w:p>
            <w:pPr>
              <w:keepLines w:val="0"/>
              <w:pageBreakBefore w:val="0"/>
              <w:kinsoku/>
              <w:wordWrap/>
              <w:overflowPunct/>
              <w:topLinePunct w:val="0"/>
              <w:bidi w:val="0"/>
              <w:spacing w:line="400" w:lineRule="exact"/>
              <w:rPr>
                <w:rFonts w:hint="eastAsia"/>
              </w:rPr>
            </w:pPr>
            <w:r>
              <w:rPr>
                <w:rFonts w:hint="eastAsia"/>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trPr>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2</w:t>
            </w:r>
            <w:r>
              <w:rPr>
                <w:rFonts w:hint="eastAsia"/>
                <w:lang w:val="en-US" w:eastAsia="zh-CN"/>
              </w:rPr>
              <w:t>5</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盖章签字</w:t>
            </w:r>
          </w:p>
        </w:tc>
        <w:tc>
          <w:tcPr>
            <w:tcW w:w="6757" w:type="dxa"/>
            <w:vAlign w:val="center"/>
          </w:tcPr>
          <w:p>
            <w:pPr>
              <w:keepLines w:val="0"/>
              <w:pageBreakBefore w:val="0"/>
              <w:kinsoku/>
              <w:wordWrap/>
              <w:overflowPunct/>
              <w:topLinePunct w:val="0"/>
              <w:bidi w:val="0"/>
              <w:spacing w:line="400" w:lineRule="exact"/>
              <w:rPr>
                <w:rFonts w:hint="eastAsia"/>
              </w:rPr>
            </w:pPr>
            <w:r>
              <w:rPr>
                <w:rFonts w:hint="eastAsia"/>
              </w:rPr>
              <w:t>投标人必须按照招标文件的规定和要求在投标文件中指定的页面落款处加盖公章（鲜章）并由法定代表人或被授权人签字（或盖章），否则将作为无效投标处理。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2</w:t>
            </w:r>
            <w:r>
              <w:rPr>
                <w:rFonts w:hint="eastAsia"/>
                <w:lang w:val="en-US" w:eastAsia="zh-CN"/>
              </w:rPr>
              <w:t>6</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投标文件数量、装订</w:t>
            </w:r>
          </w:p>
        </w:tc>
        <w:tc>
          <w:tcPr>
            <w:tcW w:w="6757" w:type="dxa"/>
            <w:vAlign w:val="center"/>
          </w:tcPr>
          <w:p>
            <w:pPr>
              <w:keepLines w:val="0"/>
              <w:pageBreakBefore w:val="0"/>
              <w:kinsoku/>
              <w:wordWrap/>
              <w:overflowPunct/>
              <w:topLinePunct w:val="0"/>
              <w:bidi w:val="0"/>
              <w:spacing w:line="400" w:lineRule="exact"/>
              <w:rPr>
                <w:rFonts w:hint="eastAsia"/>
              </w:rPr>
            </w:pPr>
            <w:r>
              <w:rPr>
                <w:rFonts w:hint="eastAsia"/>
              </w:rPr>
              <w:t>1、</w:t>
            </w:r>
            <w:r>
              <w:rPr>
                <w:rFonts w:hint="eastAsia"/>
                <w:lang w:eastAsia="zh-CN"/>
              </w:rPr>
              <w:t>密封要求：</w:t>
            </w:r>
            <w:r>
              <w:rPr>
                <w:rFonts w:hint="eastAsia"/>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keepLines w:val="0"/>
              <w:pageBreakBefore w:val="0"/>
              <w:kinsoku/>
              <w:wordWrap/>
              <w:overflowPunct/>
              <w:topLinePunct w:val="0"/>
              <w:bidi w:val="0"/>
              <w:spacing w:line="400" w:lineRule="exact"/>
              <w:rPr>
                <w:rFonts w:hint="eastAsia"/>
              </w:rPr>
            </w:pPr>
            <w:r>
              <w:rPr>
                <w:rFonts w:hint="eastAsia" w:ascii="Times New Roman" w:hAnsi="Times New Roman" w:eastAsia="宋体" w:cs="Times New Roman"/>
                <w:szCs w:val="22"/>
                <w:lang w:eastAsia="zh-CN"/>
              </w:rPr>
              <w:t>2、装订要求：投标文件一律采用书籍（胶装）方式装订，必须写明项目名称、项目编号及投标人名称。投标文件正本一份，副本</w:t>
            </w:r>
            <w:r>
              <w:rPr>
                <w:rFonts w:hint="eastAsia" w:ascii="Times New Roman" w:hAnsi="Times New Roman" w:eastAsia="宋体" w:cs="Times New Roman"/>
                <w:szCs w:val="22"/>
                <w:lang w:val="en-US" w:eastAsia="zh-CN"/>
              </w:rPr>
              <w:t>二</w:t>
            </w:r>
            <w:r>
              <w:rPr>
                <w:rFonts w:hint="eastAsia" w:ascii="Times New Roman" w:hAnsi="Times New Roman" w:eastAsia="宋体" w:cs="Times New Roman"/>
                <w:szCs w:val="22"/>
                <w:lang w:eastAsia="zh-CN"/>
              </w:rPr>
              <w:t>份，共</w:t>
            </w:r>
            <w:r>
              <w:rPr>
                <w:rFonts w:hint="eastAsia" w:ascii="Times New Roman" w:hAnsi="Times New Roman" w:eastAsia="宋体" w:cs="Times New Roman"/>
                <w:szCs w:val="22"/>
                <w:lang w:val="en-US" w:eastAsia="zh-CN"/>
              </w:rPr>
              <w:t>三</w:t>
            </w:r>
            <w:r>
              <w:rPr>
                <w:rFonts w:hint="eastAsia" w:ascii="Times New Roman" w:hAnsi="Times New Roman" w:eastAsia="宋体" w:cs="Times New Roman"/>
                <w:szCs w:val="22"/>
                <w:lang w:eastAsia="zh-CN"/>
              </w:rPr>
              <w:t>份。电子文件一份。纸质投标文件均须A4纸打印（提倡双面打印），分别各自装订成册并编制目录和页码。单份投标文件单独密封在一个标袋中，电子版放置“</w:t>
            </w:r>
            <w:r>
              <w:rPr>
                <w:rFonts w:hint="eastAsia" w:ascii="Times New Roman" w:hAnsi="Times New Roman" w:eastAsia="宋体" w:cs="Times New Roman"/>
                <w:szCs w:val="22"/>
                <w:lang w:val="en-US" w:eastAsia="zh-CN"/>
              </w:rPr>
              <w:t>投标文件正本</w:t>
            </w:r>
            <w:r>
              <w:rPr>
                <w:rFonts w:hint="eastAsia" w:ascii="Times New Roman" w:hAnsi="Times New Roman" w:eastAsia="宋体" w:cs="Times New Roman"/>
                <w:szCs w:val="22"/>
                <w:lang w:eastAsia="zh-CN"/>
              </w:rPr>
              <w:t>”标袋内。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2</w:t>
            </w:r>
            <w:r>
              <w:rPr>
                <w:rFonts w:hint="eastAsia"/>
                <w:lang w:val="en-US" w:eastAsia="zh-CN"/>
              </w:rPr>
              <w:t>7</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投标报价</w:t>
            </w:r>
          </w:p>
        </w:tc>
        <w:tc>
          <w:tcPr>
            <w:tcW w:w="6757" w:type="dxa"/>
            <w:vAlign w:val="center"/>
          </w:tcPr>
          <w:p>
            <w:pPr>
              <w:spacing w:line="360" w:lineRule="auto"/>
              <w:rPr>
                <w:rFonts w:hint="eastAsia"/>
                <w:sz w:val="21"/>
                <w:szCs w:val="21"/>
              </w:rPr>
            </w:pPr>
            <w:r>
              <w:rPr>
                <w:rFonts w:hint="eastAsia"/>
                <w:sz w:val="21"/>
                <w:szCs w:val="21"/>
              </w:rPr>
              <w:t>固定</w:t>
            </w:r>
            <w:r>
              <w:rPr>
                <w:rFonts w:hint="eastAsia"/>
                <w:sz w:val="21"/>
                <w:szCs w:val="21"/>
                <w:lang w:val="en-US" w:eastAsia="zh-CN"/>
              </w:rPr>
              <w:t>单价</w:t>
            </w:r>
            <w:r>
              <w:rPr>
                <w:rFonts w:hint="eastAsia"/>
                <w:sz w:val="21"/>
                <w:szCs w:val="21"/>
              </w:rPr>
              <w:t>，</w:t>
            </w:r>
            <w:r>
              <w:rPr>
                <w:rFonts w:hint="eastAsia"/>
                <w:sz w:val="21"/>
                <w:szCs w:val="21"/>
                <w:lang w:val="en-US" w:eastAsia="zh-CN"/>
              </w:rPr>
              <w:t>包括单个采购货物的供应费、运杂费（含仓储费、运输费、保险费、装卸费、税金）、抽检费、运输过程中的损耗费、学校操作过程中的留样以及所有产品达到正常使用条件下所包含的一切费用。</w:t>
            </w:r>
          </w:p>
          <w:p>
            <w:pPr>
              <w:spacing w:line="360" w:lineRule="auto"/>
              <w:rPr>
                <w:rFonts w:hint="eastAsia"/>
                <w:sz w:val="21"/>
                <w:szCs w:val="21"/>
                <w:lang w:val="en-US" w:eastAsia="zh-CN"/>
              </w:rPr>
            </w:pPr>
            <w:r>
              <w:rPr>
                <w:rFonts w:hint="eastAsia"/>
                <w:sz w:val="21"/>
                <w:szCs w:val="21"/>
                <w:lang w:val="en-US" w:eastAsia="zh-CN"/>
              </w:rPr>
              <w:t>本项目设最高限价：</w:t>
            </w:r>
          </w:p>
          <w:p>
            <w:pPr>
              <w:spacing w:line="360" w:lineRule="auto"/>
              <w:rPr>
                <w:rFonts w:hint="default"/>
                <w:b/>
                <w:bCs/>
                <w:sz w:val="21"/>
                <w:szCs w:val="21"/>
                <w:lang w:val="en-US" w:eastAsia="zh-CN"/>
              </w:rPr>
            </w:pPr>
            <w:r>
              <w:rPr>
                <w:rFonts w:hint="eastAsia"/>
                <w:b/>
                <w:bCs/>
                <w:sz w:val="21"/>
                <w:szCs w:val="21"/>
                <w:lang w:val="en-US" w:eastAsia="zh-CN"/>
              </w:rPr>
              <w:t>营养改善计划最高限价：</w:t>
            </w:r>
          </w:p>
          <w:p>
            <w:pPr>
              <w:spacing w:line="360" w:lineRule="auto"/>
              <w:rPr>
                <w:rFonts w:hint="eastAsia"/>
                <w:sz w:val="21"/>
                <w:szCs w:val="21"/>
                <w:lang w:val="en-US" w:eastAsia="zh-CN"/>
              </w:rPr>
            </w:pPr>
            <w:r>
              <w:rPr>
                <w:rFonts w:hint="eastAsia"/>
                <w:sz w:val="21"/>
                <w:szCs w:val="21"/>
                <w:lang w:val="en-US" w:eastAsia="zh-CN"/>
              </w:rPr>
              <w:t>米：160元/袋</w:t>
            </w:r>
          </w:p>
          <w:p>
            <w:pPr>
              <w:spacing w:line="360" w:lineRule="auto"/>
              <w:rPr>
                <w:rFonts w:hint="default"/>
                <w:sz w:val="21"/>
                <w:szCs w:val="21"/>
                <w:lang w:val="en-US" w:eastAsia="zh-CN"/>
              </w:rPr>
            </w:pPr>
            <w:r>
              <w:rPr>
                <w:rFonts w:hint="eastAsia"/>
                <w:sz w:val="21"/>
                <w:szCs w:val="21"/>
                <w:lang w:val="en-US" w:eastAsia="zh-CN"/>
              </w:rPr>
              <w:t>面粉：115元/袋</w:t>
            </w:r>
          </w:p>
          <w:p>
            <w:pPr>
              <w:spacing w:line="360" w:lineRule="auto"/>
              <w:rPr>
                <w:rFonts w:hint="eastAsia"/>
                <w:sz w:val="21"/>
                <w:szCs w:val="21"/>
                <w:lang w:val="en-US" w:eastAsia="zh-CN"/>
              </w:rPr>
            </w:pPr>
            <w:r>
              <w:rPr>
                <w:rFonts w:hint="eastAsia"/>
                <w:sz w:val="21"/>
                <w:szCs w:val="21"/>
                <w:lang w:val="en-US" w:eastAsia="zh-CN"/>
              </w:rPr>
              <w:t>油：260元/桶</w:t>
            </w:r>
          </w:p>
          <w:p>
            <w:pPr>
              <w:spacing w:line="360" w:lineRule="auto"/>
              <w:rPr>
                <w:rFonts w:hint="eastAsia"/>
                <w:sz w:val="21"/>
                <w:szCs w:val="21"/>
                <w:lang w:val="en-US" w:eastAsia="zh-CN"/>
              </w:rPr>
            </w:pPr>
            <w:r>
              <w:rPr>
                <w:rFonts w:hint="eastAsia"/>
                <w:sz w:val="21"/>
                <w:szCs w:val="21"/>
                <w:lang w:val="en-US" w:eastAsia="zh-CN"/>
              </w:rPr>
              <w:t>鸡蛋：0.72元/枚</w:t>
            </w:r>
          </w:p>
          <w:p>
            <w:pPr>
              <w:spacing w:line="360" w:lineRule="auto"/>
              <w:rPr>
                <w:rFonts w:hint="default"/>
                <w:sz w:val="21"/>
                <w:szCs w:val="21"/>
                <w:lang w:val="en-US" w:eastAsia="zh-CN"/>
              </w:rPr>
            </w:pPr>
            <w:r>
              <w:rPr>
                <w:rFonts w:hint="eastAsia"/>
                <w:sz w:val="21"/>
                <w:szCs w:val="21"/>
                <w:lang w:val="en-US" w:eastAsia="zh-CN"/>
              </w:rPr>
              <w:t>果汁：2.23元/盒</w:t>
            </w:r>
          </w:p>
          <w:p>
            <w:pPr>
              <w:spacing w:line="360" w:lineRule="auto"/>
              <w:rPr>
                <w:rFonts w:hint="eastAsia"/>
                <w:sz w:val="21"/>
                <w:szCs w:val="21"/>
                <w:lang w:val="en-US" w:eastAsia="zh-CN"/>
              </w:rPr>
            </w:pPr>
            <w:r>
              <w:rPr>
                <w:rFonts w:hint="eastAsia"/>
                <w:sz w:val="21"/>
                <w:szCs w:val="21"/>
                <w:lang w:val="en-US" w:eastAsia="zh-CN"/>
              </w:rPr>
              <w:t>鸡腿汉堡：3.63元/袋</w:t>
            </w:r>
          </w:p>
          <w:p>
            <w:pPr>
              <w:spacing w:line="360" w:lineRule="auto"/>
              <w:rPr>
                <w:rFonts w:hint="default"/>
                <w:sz w:val="21"/>
                <w:szCs w:val="21"/>
                <w:lang w:val="en-US" w:eastAsia="zh-CN"/>
              </w:rPr>
            </w:pPr>
            <w:r>
              <w:rPr>
                <w:rFonts w:hint="eastAsia"/>
                <w:sz w:val="21"/>
                <w:szCs w:val="21"/>
                <w:lang w:val="en-US" w:eastAsia="zh-CN"/>
              </w:rPr>
              <w:t>早餐饼：0.77/袋</w:t>
            </w:r>
          </w:p>
          <w:p>
            <w:pPr>
              <w:spacing w:line="360" w:lineRule="auto"/>
              <w:rPr>
                <w:rFonts w:hint="eastAsia"/>
                <w:sz w:val="21"/>
                <w:szCs w:val="21"/>
                <w:lang w:val="en-US" w:eastAsia="zh-CN"/>
              </w:rPr>
            </w:pPr>
            <w:r>
              <w:rPr>
                <w:rFonts w:hint="eastAsia"/>
                <w:sz w:val="21"/>
                <w:szCs w:val="21"/>
                <w:lang w:val="en-US" w:eastAsia="zh-CN"/>
              </w:rPr>
              <w:t>豆奶（燕麦/红豆）：1.50元/盒</w:t>
            </w:r>
          </w:p>
          <w:p>
            <w:pPr>
              <w:spacing w:line="360" w:lineRule="auto"/>
              <w:rPr>
                <w:rFonts w:hint="eastAsia"/>
                <w:sz w:val="21"/>
                <w:szCs w:val="21"/>
                <w:lang w:val="en-US" w:eastAsia="zh-CN"/>
              </w:rPr>
            </w:pPr>
            <w:r>
              <w:rPr>
                <w:rFonts w:hint="eastAsia"/>
                <w:sz w:val="21"/>
                <w:szCs w:val="21"/>
                <w:lang w:val="en-US" w:eastAsia="zh-CN"/>
              </w:rPr>
              <w:t>学生奶：2.25元/盒</w:t>
            </w:r>
          </w:p>
          <w:p>
            <w:pPr>
              <w:spacing w:line="360" w:lineRule="auto"/>
              <w:rPr>
                <w:rFonts w:hint="default"/>
                <w:b/>
                <w:bCs/>
                <w:sz w:val="21"/>
                <w:szCs w:val="21"/>
                <w:lang w:val="en-US" w:eastAsia="zh-CN"/>
              </w:rPr>
            </w:pPr>
            <w:r>
              <w:rPr>
                <w:rFonts w:hint="eastAsia"/>
                <w:b/>
                <w:bCs/>
                <w:sz w:val="21"/>
                <w:szCs w:val="21"/>
                <w:lang w:val="en-US" w:eastAsia="zh-CN"/>
              </w:rPr>
              <w:t>供餐企业最高限价：详见采购内容附表</w:t>
            </w:r>
          </w:p>
          <w:p>
            <w:pPr>
              <w:spacing w:line="360" w:lineRule="auto"/>
              <w:rPr>
                <w:rFonts w:hint="eastAsia"/>
              </w:rPr>
            </w:pPr>
            <w:r>
              <w:rPr>
                <w:rFonts w:hint="eastAsia"/>
                <w:sz w:val="21"/>
                <w:szCs w:val="21"/>
                <w:lang w:val="en-US" w:eastAsia="zh-CN"/>
              </w:rPr>
              <w:t>投标报价超过最高限价按无效处理。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2</w:t>
            </w:r>
            <w:r>
              <w:rPr>
                <w:rFonts w:hint="eastAsia"/>
                <w:lang w:val="en-US" w:eastAsia="zh-CN"/>
              </w:rPr>
              <w:t>8</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评标办法</w:t>
            </w:r>
          </w:p>
          <w:p>
            <w:pPr>
              <w:keepLines w:val="0"/>
              <w:pageBreakBefore w:val="0"/>
              <w:kinsoku/>
              <w:wordWrap/>
              <w:overflowPunct/>
              <w:topLinePunct w:val="0"/>
              <w:bidi w:val="0"/>
              <w:spacing w:line="400" w:lineRule="exact"/>
              <w:jc w:val="center"/>
              <w:rPr>
                <w:rFonts w:hint="eastAsia"/>
              </w:rPr>
            </w:pPr>
            <w:r>
              <w:rPr>
                <w:rFonts w:hint="eastAsia"/>
              </w:rPr>
              <w:t>及</w:t>
            </w:r>
            <w:r>
              <w:rPr>
                <w:rFonts w:hint="eastAsia"/>
                <w:lang w:val="en-US" w:eastAsia="zh-CN"/>
              </w:rPr>
              <w:t>标准</w:t>
            </w:r>
          </w:p>
        </w:tc>
        <w:tc>
          <w:tcPr>
            <w:tcW w:w="6757" w:type="dxa"/>
            <w:vAlign w:val="center"/>
          </w:tcPr>
          <w:p>
            <w:pPr>
              <w:keepLines w:val="0"/>
              <w:pageBreakBefore w:val="0"/>
              <w:kinsoku/>
              <w:wordWrap/>
              <w:overflowPunct/>
              <w:topLinePunct w:val="0"/>
              <w:bidi w:val="0"/>
              <w:spacing w:line="400" w:lineRule="exact"/>
              <w:rPr>
                <w:rFonts w:hint="eastAsia"/>
              </w:rPr>
            </w:pPr>
            <w:r>
              <w:rPr>
                <w:rFonts w:hint="eastAsia"/>
                <w:lang w:val="en-US" w:eastAsia="zh-CN"/>
              </w:rPr>
              <w:t>采用综合评审法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1" w:hRule="atLeast"/>
        </w:trPr>
        <w:tc>
          <w:tcPr>
            <w:tcW w:w="658" w:type="dxa"/>
            <w:vAlign w:val="center"/>
          </w:tcPr>
          <w:p>
            <w:pPr>
              <w:keepLines w:val="0"/>
              <w:pageBreakBefore w:val="0"/>
              <w:kinsoku/>
              <w:wordWrap/>
              <w:overflowPunct/>
              <w:topLinePunct w:val="0"/>
              <w:bidi w:val="0"/>
              <w:spacing w:line="400" w:lineRule="exact"/>
              <w:jc w:val="center"/>
              <w:rPr>
                <w:rFonts w:hint="eastAsia"/>
                <w:lang w:eastAsia="zh-CN"/>
              </w:rPr>
            </w:pPr>
            <w:r>
              <w:rPr>
                <w:rFonts w:hint="eastAsia"/>
              </w:rPr>
              <w:t>2</w:t>
            </w:r>
            <w:r>
              <w:rPr>
                <w:rFonts w:hint="eastAsia"/>
                <w:lang w:val="en-US" w:eastAsia="zh-CN"/>
              </w:rPr>
              <w:t>9</w:t>
            </w:r>
          </w:p>
        </w:tc>
        <w:tc>
          <w:tcPr>
            <w:tcW w:w="1656" w:type="dxa"/>
            <w:vAlign w:val="center"/>
          </w:tcPr>
          <w:p>
            <w:pPr>
              <w:keepLines w:val="0"/>
              <w:pageBreakBefore w:val="0"/>
              <w:kinsoku/>
              <w:wordWrap/>
              <w:overflowPunct/>
              <w:topLinePunct w:val="0"/>
              <w:bidi w:val="0"/>
              <w:spacing w:line="400" w:lineRule="exact"/>
              <w:jc w:val="center"/>
              <w:rPr>
                <w:rFonts w:hint="eastAsia"/>
              </w:rPr>
            </w:pPr>
            <w:r>
              <w:rPr>
                <w:rFonts w:hint="eastAsia"/>
              </w:rPr>
              <w:t>其它事项</w:t>
            </w:r>
          </w:p>
        </w:tc>
        <w:tc>
          <w:tcPr>
            <w:tcW w:w="6757" w:type="dxa"/>
            <w:vAlign w:val="center"/>
          </w:tcPr>
          <w:p>
            <w:pPr>
              <w:keepLines w:val="0"/>
              <w:pageBreakBefore w:val="0"/>
              <w:kinsoku/>
              <w:wordWrap/>
              <w:overflowPunct/>
              <w:topLinePunct w:val="0"/>
              <w:bidi w:val="0"/>
              <w:spacing w:line="400" w:lineRule="exact"/>
              <w:rPr>
                <w:rFonts w:hint="eastAsia"/>
              </w:rPr>
            </w:pPr>
            <w:r>
              <w:rPr>
                <w:rFonts w:hint="eastAsia"/>
              </w:rPr>
              <w:t>本次采购、投标报价、评审和合同授予均以项目为单位，投标人必须就一个完整项目进行响应。</w:t>
            </w:r>
            <w:r>
              <w:rPr>
                <w:rFonts w:hint="eastAsia"/>
                <w:lang w:val="en-US" w:eastAsia="zh-CN"/>
              </w:rPr>
              <w:t>中</w:t>
            </w:r>
            <w:r>
              <w:rPr>
                <w:rFonts w:hint="eastAsia"/>
              </w:rPr>
              <w:t>标人与采购人在</w:t>
            </w:r>
            <w:r>
              <w:rPr>
                <w:rFonts w:hint="eastAsia"/>
                <w:lang w:val="en-US" w:eastAsia="zh-CN"/>
              </w:rPr>
              <w:t>中标</w:t>
            </w:r>
            <w:r>
              <w:rPr>
                <w:rFonts w:hint="eastAsia"/>
              </w:rPr>
              <w:t>通知书发出30天内签订合同，不及时签订视为自动放弃。非经采购人同意，本项目不允许</w:t>
            </w:r>
            <w:r>
              <w:rPr>
                <w:rFonts w:hint="eastAsia"/>
                <w:lang w:val="en-US" w:eastAsia="zh-CN"/>
              </w:rPr>
              <w:t>中标</w:t>
            </w:r>
            <w:r>
              <w:rPr>
                <w:rFonts w:hint="eastAsia"/>
              </w:rPr>
              <w:t>后另行转包或者分包。</w:t>
            </w:r>
            <w:r>
              <w:rPr>
                <w:rFonts w:hint="eastAsia"/>
                <w:lang w:val="en-US" w:eastAsia="zh-CN"/>
              </w:rPr>
              <w:t>中标</w:t>
            </w:r>
            <w:r>
              <w:rPr>
                <w:rFonts w:hint="eastAsia"/>
                <w:lang w:eastAsia="zh-CN"/>
              </w:rPr>
              <w:t>企业</w:t>
            </w:r>
            <w:r>
              <w:rPr>
                <w:rFonts w:hint="eastAsia"/>
              </w:rPr>
              <w:t>无正当理由不得放弃</w:t>
            </w:r>
            <w:r>
              <w:rPr>
                <w:rFonts w:hint="eastAsia"/>
                <w:lang w:val="en-US" w:eastAsia="zh-CN"/>
              </w:rPr>
              <w:t>中标</w:t>
            </w:r>
            <w:r>
              <w:rPr>
                <w:rFonts w:hint="eastAsia"/>
              </w:rPr>
              <w:t>。因自身原因拒绝签订政府采购合同的或者未按合同约定进行履约的，</w:t>
            </w:r>
            <w:r>
              <w:rPr>
                <w:rFonts w:hint="eastAsia"/>
                <w:lang w:val="en-US" w:eastAsia="zh-CN"/>
              </w:rPr>
              <w:t>中标</w:t>
            </w:r>
            <w:r>
              <w:rPr>
                <w:rFonts w:hint="eastAsia"/>
                <w:lang w:eastAsia="zh-CN"/>
              </w:rPr>
              <w:t>企业</w:t>
            </w:r>
            <w:r>
              <w:rPr>
                <w:rFonts w:hint="eastAsia"/>
              </w:rPr>
              <w:t>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6" w:hRule="atLeast"/>
        </w:trPr>
        <w:tc>
          <w:tcPr>
            <w:tcW w:w="658" w:type="dxa"/>
            <w:vAlign w:val="center"/>
          </w:tcPr>
          <w:p>
            <w:pPr>
              <w:keepLines w:val="0"/>
              <w:pageBreakBefore w:val="0"/>
              <w:kinsoku/>
              <w:wordWrap/>
              <w:overflowPunct/>
              <w:topLinePunct w:val="0"/>
              <w:bidi w:val="0"/>
              <w:spacing w:line="400" w:lineRule="exact"/>
              <w:jc w:val="center"/>
              <w:rPr>
                <w:rFonts w:hint="default" w:eastAsia="宋体"/>
                <w:lang w:val="en-US" w:eastAsia="zh-CN"/>
              </w:rPr>
            </w:pPr>
            <w:r>
              <w:rPr>
                <w:rFonts w:hint="eastAsia"/>
                <w:lang w:val="en-US" w:eastAsia="zh-CN"/>
              </w:rPr>
              <w:t>30</w:t>
            </w:r>
          </w:p>
        </w:tc>
        <w:tc>
          <w:tcPr>
            <w:tcW w:w="1656" w:type="dxa"/>
            <w:vAlign w:val="center"/>
          </w:tcPr>
          <w:p>
            <w:pPr>
              <w:spacing w:line="360" w:lineRule="auto"/>
              <w:jc w:val="center"/>
              <w:rPr>
                <w:rFonts w:hint="eastAsia"/>
                <w:szCs w:val="22"/>
              </w:rPr>
            </w:pPr>
          </w:p>
          <w:p>
            <w:pPr>
              <w:spacing w:line="360" w:lineRule="auto"/>
              <w:jc w:val="center"/>
              <w:rPr>
                <w:rFonts w:hint="eastAsia"/>
                <w:szCs w:val="22"/>
              </w:rPr>
            </w:pPr>
          </w:p>
          <w:p>
            <w:pPr>
              <w:spacing w:line="360" w:lineRule="auto"/>
              <w:jc w:val="center"/>
              <w:rPr>
                <w:rFonts w:hint="eastAsia" w:ascii="宋体" w:hAnsi="宋体" w:eastAsia="宋体" w:cs="宋体"/>
                <w:color w:val="auto"/>
                <w:kern w:val="0"/>
                <w:sz w:val="24"/>
                <w:szCs w:val="24"/>
                <w:highlight w:val="none"/>
              </w:rPr>
            </w:pPr>
            <w:r>
              <w:rPr>
                <w:rFonts w:hint="eastAsia"/>
                <w:szCs w:val="22"/>
              </w:rPr>
              <w:t>相同品牌产品投标的处理</w:t>
            </w:r>
          </w:p>
          <w:p>
            <w:pPr>
              <w:spacing w:line="360" w:lineRule="auto"/>
              <w:jc w:val="center"/>
              <w:rPr>
                <w:rFonts w:hint="eastAsia" w:ascii="宋体" w:hAnsi="宋体" w:eastAsia="宋体" w:cs="宋体"/>
                <w:color w:val="auto"/>
                <w:kern w:val="0"/>
                <w:sz w:val="24"/>
                <w:szCs w:val="24"/>
                <w:highlight w:val="none"/>
              </w:rPr>
            </w:pPr>
          </w:p>
        </w:tc>
        <w:tc>
          <w:tcPr>
            <w:tcW w:w="6757" w:type="dxa"/>
            <w:vAlign w:val="center"/>
          </w:tcPr>
          <w:p>
            <w:pPr>
              <w:keepLines w:val="0"/>
              <w:pageBreakBefore w:val="0"/>
              <w:kinsoku/>
              <w:wordWrap/>
              <w:overflowPunct/>
              <w:topLinePunct w:val="0"/>
              <w:bidi w:val="0"/>
              <w:spacing w:line="400" w:lineRule="exact"/>
              <w:rPr>
                <w:rFonts w:hint="eastAsia"/>
                <w:szCs w:val="22"/>
              </w:rPr>
            </w:pPr>
            <w:r>
              <w:rPr>
                <w:rFonts w:hint="eastAsia"/>
                <w:szCs w:val="22"/>
              </w:rPr>
              <w:t>提供相同品牌产品且通过资格审查、符合性审查的不同投标人参加同一包投标的，按一家投标人计算，评审后得分最高的同品牌投标人获得中标人推荐资格；评审得分相同的，由采购人自行确定一个投标人获得中标人推荐资格，其他同品牌投标人不作为中标候选人。</w:t>
            </w:r>
          </w:p>
          <w:p>
            <w:pPr>
              <w:keepLines w:val="0"/>
              <w:pageBreakBefore w:val="0"/>
              <w:kinsoku/>
              <w:wordWrap/>
              <w:overflowPunct/>
              <w:topLinePunct w:val="0"/>
              <w:bidi w:val="0"/>
              <w:spacing w:line="400" w:lineRule="exact"/>
              <w:rPr>
                <w:rFonts w:hint="eastAsia"/>
                <w:szCs w:val="22"/>
                <w:lang w:val="en-US" w:eastAsia="zh-CN"/>
              </w:rPr>
            </w:pPr>
            <w:r>
              <w:rPr>
                <w:rFonts w:hint="eastAsia"/>
                <w:szCs w:val="22"/>
              </w:rPr>
              <w:t>投标人提供的核心产品品牌全部相同时，相关投标人将被认定为属于提供相同品牌产品，按以上规定处理。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8" w:type="dxa"/>
            <w:vAlign w:val="center"/>
          </w:tcPr>
          <w:p>
            <w:pPr>
              <w:keepLines w:val="0"/>
              <w:pageBreakBefore w:val="0"/>
              <w:kinsoku/>
              <w:wordWrap/>
              <w:overflowPunct/>
              <w:topLinePunct w:val="0"/>
              <w:bidi w:val="0"/>
              <w:spacing w:line="400" w:lineRule="exact"/>
              <w:jc w:val="center"/>
              <w:rPr>
                <w:rFonts w:hint="default"/>
                <w:lang w:val="en-US" w:eastAsia="zh-CN"/>
              </w:rPr>
            </w:pPr>
            <w:r>
              <w:rPr>
                <w:rFonts w:hint="eastAsia"/>
                <w:lang w:val="en-US" w:eastAsia="zh-CN"/>
              </w:rPr>
              <w:t>31</w:t>
            </w:r>
          </w:p>
        </w:tc>
        <w:tc>
          <w:tcPr>
            <w:tcW w:w="1656" w:type="dxa"/>
            <w:vAlign w:val="center"/>
          </w:tcPr>
          <w:p>
            <w:pPr>
              <w:spacing w:line="360" w:lineRule="auto"/>
              <w:jc w:val="center"/>
              <w:rPr>
                <w:rFonts w:hint="eastAsia"/>
                <w:szCs w:val="22"/>
                <w:lang w:val="en-US" w:eastAsia="zh-CN"/>
              </w:rPr>
            </w:pPr>
            <w:r>
              <w:rPr>
                <w:rFonts w:hint="eastAsia"/>
                <w:szCs w:val="22"/>
                <w:lang w:val="en-US" w:eastAsia="zh-CN"/>
              </w:rPr>
              <w:t>招标代理</w:t>
            </w:r>
          </w:p>
          <w:p>
            <w:pPr>
              <w:spacing w:line="360" w:lineRule="auto"/>
              <w:jc w:val="center"/>
              <w:rPr>
                <w:rFonts w:hint="default" w:ascii="宋体" w:hAnsi="宋体" w:eastAsia="宋体" w:cs="宋体"/>
                <w:color w:val="auto"/>
                <w:kern w:val="0"/>
                <w:sz w:val="24"/>
                <w:szCs w:val="24"/>
                <w:highlight w:val="none"/>
                <w:lang w:val="en-US" w:eastAsia="zh-CN"/>
              </w:rPr>
            </w:pPr>
            <w:r>
              <w:rPr>
                <w:rFonts w:hint="eastAsia"/>
                <w:szCs w:val="22"/>
                <w:lang w:val="en-US" w:eastAsia="zh-CN"/>
              </w:rPr>
              <w:t>服务费</w:t>
            </w:r>
          </w:p>
        </w:tc>
        <w:tc>
          <w:tcPr>
            <w:tcW w:w="6757" w:type="dxa"/>
            <w:vAlign w:val="center"/>
          </w:tcPr>
          <w:p>
            <w:pPr>
              <w:keepLines w:val="0"/>
              <w:pageBreakBefore w:val="0"/>
              <w:kinsoku/>
              <w:wordWrap/>
              <w:overflowPunct/>
              <w:topLinePunct w:val="0"/>
              <w:bidi w:val="0"/>
              <w:spacing w:line="400" w:lineRule="exact"/>
              <w:rPr>
                <w:rFonts w:hint="default"/>
                <w:szCs w:val="22"/>
                <w:lang w:val="en-US" w:eastAsia="zh-CN"/>
              </w:rPr>
            </w:pPr>
            <w:r>
              <w:rPr>
                <w:rFonts w:hint="eastAsia"/>
                <w:szCs w:val="22"/>
              </w:rPr>
              <w:t>依据《关于进一步放开建设项目专业服务价格的通知》（发改价格〔2015〕299号）文件</w:t>
            </w:r>
            <w:r>
              <w:rPr>
                <w:rFonts w:hint="eastAsia"/>
                <w:szCs w:val="22"/>
                <w:lang w:eastAsia="zh-CN"/>
              </w:rPr>
              <w:t>，</w:t>
            </w:r>
            <w:r>
              <w:rPr>
                <w:rFonts w:hint="eastAsia"/>
                <w:szCs w:val="22"/>
                <w:lang w:val="en-US" w:eastAsia="zh-CN"/>
              </w:rPr>
              <w:t>由中标单位在领取中标通知书时一次性支付。</w:t>
            </w:r>
          </w:p>
        </w:tc>
      </w:tr>
    </w:tbl>
    <w:p>
      <w:pPr>
        <w:pStyle w:val="4"/>
        <w:keepLines w:val="0"/>
        <w:pageBreakBefore w:val="0"/>
        <w:kinsoku/>
        <w:wordWrap/>
        <w:overflowPunct/>
        <w:topLinePunct w:val="0"/>
        <w:bidi w:val="0"/>
        <w:spacing w:line="400" w:lineRule="exact"/>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投标人须知</w:t>
      </w:r>
    </w:p>
    <w:p>
      <w:pPr>
        <w:pStyle w:val="4"/>
        <w:keepLines w:val="0"/>
        <w:pageBreakBefore w:val="0"/>
        <w:kinsoku/>
        <w:wordWrap/>
        <w:overflowPunct/>
        <w:topLinePunct w:val="0"/>
        <w:bidi w:val="0"/>
        <w:spacing w:line="400" w:lineRule="exact"/>
        <w:jc w:val="center"/>
      </w:pPr>
      <w:r>
        <w:rPr>
          <w:lang w:val="zh-CN"/>
        </w:rPr>
        <w:t>一、</w:t>
      </w:r>
      <w:r>
        <w:rPr>
          <w:rFonts w:hint="eastAsia"/>
          <w:lang w:val="zh-CN"/>
        </w:rPr>
        <w:t>定义</w:t>
      </w:r>
      <w:bookmarkEnd w:id="17"/>
    </w:p>
    <w:p>
      <w:pPr>
        <w:pStyle w:val="6"/>
        <w:keepLines w:val="0"/>
        <w:pageBreakBefore w:val="0"/>
        <w:kinsoku/>
        <w:wordWrap/>
        <w:overflowPunct/>
        <w:topLinePunct w:val="0"/>
        <w:bidi w:val="0"/>
        <w:spacing w:line="400" w:lineRule="exact"/>
        <w:rPr>
          <w:rFonts w:hint="eastAsia"/>
          <w:lang w:val="zh-CN"/>
        </w:rPr>
      </w:pPr>
      <w:r>
        <w:rPr>
          <w:lang w:val="zh-CN"/>
        </w:rPr>
        <w:t>1、采 购 人：</w:t>
      </w:r>
      <w:r>
        <w:rPr>
          <w:rFonts w:hint="eastAsia"/>
          <w:lang w:val="zh-CN"/>
        </w:rPr>
        <w:t>大荔县教育局</w:t>
      </w:r>
    </w:p>
    <w:p>
      <w:pPr>
        <w:pStyle w:val="6"/>
        <w:keepLines w:val="0"/>
        <w:pageBreakBefore w:val="0"/>
        <w:kinsoku/>
        <w:wordWrap/>
        <w:overflowPunct/>
        <w:topLinePunct w:val="0"/>
        <w:bidi w:val="0"/>
        <w:spacing w:line="400" w:lineRule="exact"/>
        <w:rPr>
          <w:rFonts w:hint="eastAsia"/>
          <w:lang w:val="zh-CN"/>
        </w:rPr>
      </w:pPr>
      <w:r>
        <w:rPr>
          <w:rFonts w:hint="eastAsia"/>
          <w:lang w:val="zh-CN"/>
        </w:rPr>
        <w:t>2、监督机构：大荔县财政局</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3、采购代理机构：亿诚建设项目管理有限公司</w:t>
      </w:r>
    </w:p>
    <w:p>
      <w:pPr>
        <w:pStyle w:val="6"/>
        <w:keepLines w:val="0"/>
        <w:pageBreakBefore w:val="0"/>
        <w:kinsoku/>
        <w:wordWrap/>
        <w:overflowPunct/>
        <w:topLinePunct w:val="0"/>
        <w:bidi w:val="0"/>
        <w:spacing w:line="400" w:lineRule="exact"/>
        <w:rPr>
          <w:rFonts w:ascii="仿宋" w:hAnsi="仿宋" w:eastAsia="仿宋"/>
          <w:szCs w:val="28"/>
          <w:lang w:val="zh-CN"/>
        </w:rPr>
      </w:pPr>
      <w:r>
        <w:rPr>
          <w:lang w:val="zh-CN"/>
        </w:rPr>
        <w:t>4、投标人：响应招标、参加投标竞争的法人、其他组织或者自然人</w:t>
      </w:r>
    </w:p>
    <w:p>
      <w:pPr>
        <w:pStyle w:val="4"/>
        <w:keepLines w:val="0"/>
        <w:pageBreakBefore w:val="0"/>
        <w:kinsoku/>
        <w:wordWrap/>
        <w:overflowPunct/>
        <w:topLinePunct w:val="0"/>
        <w:bidi w:val="0"/>
        <w:spacing w:line="400" w:lineRule="exact"/>
        <w:rPr>
          <w:lang w:val="zh-CN"/>
        </w:rPr>
      </w:pPr>
      <w:bookmarkStart w:id="18" w:name="_Toc15323698"/>
      <w:r>
        <w:rPr>
          <w:lang w:val="zh-CN"/>
        </w:rPr>
        <w:t>二、招标文件</w:t>
      </w:r>
      <w:bookmarkEnd w:id="18"/>
    </w:p>
    <w:p>
      <w:pPr>
        <w:pStyle w:val="6"/>
        <w:keepLines w:val="0"/>
        <w:pageBreakBefore w:val="0"/>
        <w:kinsoku/>
        <w:wordWrap/>
        <w:overflowPunct/>
        <w:topLinePunct w:val="0"/>
        <w:bidi w:val="0"/>
        <w:spacing w:line="400" w:lineRule="exact"/>
        <w:rPr>
          <w:lang w:val="zh-CN"/>
        </w:rPr>
      </w:pPr>
      <w:r>
        <w:rPr>
          <w:lang w:val="zh-CN"/>
        </w:rPr>
        <w:t>1、招标文件组成：招标文件是根据本项目的</w:t>
      </w:r>
      <w:r>
        <w:rPr>
          <w:rFonts w:hint="eastAsia"/>
          <w:lang w:val="zh-CN"/>
        </w:rPr>
        <w:t>内容</w:t>
      </w:r>
      <w:r>
        <w:rPr>
          <w:lang w:val="zh-CN"/>
        </w:rPr>
        <w:t>和需求编制，包括以下内容：</w:t>
      </w:r>
    </w:p>
    <w:p>
      <w:pPr>
        <w:pStyle w:val="6"/>
        <w:keepLines w:val="0"/>
        <w:pageBreakBefore w:val="0"/>
        <w:kinsoku/>
        <w:wordWrap/>
        <w:overflowPunct/>
        <w:topLinePunct w:val="0"/>
        <w:bidi w:val="0"/>
        <w:spacing w:line="400" w:lineRule="exact"/>
        <w:rPr>
          <w:lang w:val="zh-CN"/>
        </w:rPr>
      </w:pPr>
      <w:r>
        <w:rPr>
          <w:lang w:val="zh-CN"/>
        </w:rPr>
        <w:t>1-1、招标公告</w:t>
      </w:r>
    </w:p>
    <w:p>
      <w:pPr>
        <w:pStyle w:val="6"/>
        <w:keepLines w:val="0"/>
        <w:pageBreakBefore w:val="0"/>
        <w:kinsoku/>
        <w:wordWrap/>
        <w:overflowPunct/>
        <w:topLinePunct w:val="0"/>
        <w:bidi w:val="0"/>
        <w:spacing w:line="400" w:lineRule="exact"/>
        <w:rPr>
          <w:lang w:val="zh-CN"/>
        </w:rPr>
      </w:pPr>
      <w:r>
        <w:rPr>
          <w:lang w:val="zh-CN"/>
        </w:rPr>
        <w:t>1-2、投标人须知</w:t>
      </w:r>
    </w:p>
    <w:p>
      <w:pPr>
        <w:pStyle w:val="6"/>
        <w:keepLines w:val="0"/>
        <w:pageBreakBefore w:val="0"/>
        <w:kinsoku/>
        <w:wordWrap/>
        <w:overflowPunct/>
        <w:topLinePunct w:val="0"/>
        <w:bidi w:val="0"/>
        <w:spacing w:line="400" w:lineRule="exact"/>
        <w:rPr>
          <w:lang w:val="zh-CN"/>
        </w:rPr>
      </w:pPr>
      <w:r>
        <w:rPr>
          <w:lang w:val="zh-CN"/>
        </w:rPr>
        <w:t>1-3、招标</w:t>
      </w:r>
      <w:r>
        <w:rPr>
          <w:rFonts w:hint="eastAsia"/>
          <w:lang w:val="zh-CN"/>
        </w:rPr>
        <w:t>需求</w:t>
      </w:r>
      <w:r>
        <w:rPr>
          <w:lang w:val="zh-CN"/>
        </w:rPr>
        <w:t>及要求</w:t>
      </w:r>
    </w:p>
    <w:p>
      <w:pPr>
        <w:pStyle w:val="6"/>
        <w:keepLines w:val="0"/>
        <w:pageBreakBefore w:val="0"/>
        <w:kinsoku/>
        <w:wordWrap/>
        <w:overflowPunct/>
        <w:topLinePunct w:val="0"/>
        <w:bidi w:val="0"/>
        <w:spacing w:line="400" w:lineRule="exact"/>
        <w:rPr>
          <w:lang w:val="zh-CN"/>
        </w:rPr>
      </w:pPr>
      <w:r>
        <w:rPr>
          <w:lang w:val="zh-CN"/>
        </w:rPr>
        <w:t>1-4、</w:t>
      </w:r>
      <w:r>
        <w:rPr>
          <w:rFonts w:hint="eastAsia"/>
          <w:lang w:val="zh-CN"/>
        </w:rPr>
        <w:t>拟签订的合同文本</w:t>
      </w:r>
    </w:p>
    <w:p>
      <w:pPr>
        <w:pStyle w:val="6"/>
        <w:keepLines w:val="0"/>
        <w:pageBreakBefore w:val="0"/>
        <w:kinsoku/>
        <w:wordWrap/>
        <w:overflowPunct/>
        <w:topLinePunct w:val="0"/>
        <w:bidi w:val="0"/>
        <w:spacing w:line="400" w:lineRule="exact"/>
        <w:rPr>
          <w:lang w:val="zh-CN"/>
        </w:rPr>
      </w:pPr>
      <w:r>
        <w:rPr>
          <w:lang w:val="zh-CN"/>
        </w:rPr>
        <w:t>1-5、投标文件格式</w:t>
      </w:r>
    </w:p>
    <w:p>
      <w:pPr>
        <w:pStyle w:val="6"/>
        <w:keepLines w:val="0"/>
        <w:pageBreakBefore w:val="0"/>
        <w:kinsoku/>
        <w:wordWrap/>
        <w:overflowPunct/>
        <w:topLinePunct w:val="0"/>
        <w:bidi w:val="0"/>
        <w:spacing w:line="400" w:lineRule="exact"/>
        <w:rPr>
          <w:lang w:val="zh-CN"/>
        </w:rPr>
      </w:pPr>
      <w:r>
        <w:rPr>
          <w:lang w:val="zh-CN"/>
        </w:rPr>
        <w:t>2、招标文件的获取：招标采购公告发布后，有意向的投标人应从采购代理机构购买招标文件，</w:t>
      </w:r>
      <w:r>
        <w:rPr>
          <w:rFonts w:hint="eastAsia"/>
          <w:lang w:val="zh-CN"/>
        </w:rPr>
        <w:t>其文件</w:t>
      </w:r>
      <w:r>
        <w:rPr>
          <w:lang w:val="zh-CN"/>
        </w:rPr>
        <w:t>仅作为本次招标使用。</w:t>
      </w:r>
    </w:p>
    <w:p>
      <w:pPr>
        <w:pStyle w:val="6"/>
        <w:keepLines w:val="0"/>
        <w:pageBreakBefore w:val="0"/>
        <w:kinsoku/>
        <w:wordWrap/>
        <w:overflowPunct/>
        <w:topLinePunct w:val="0"/>
        <w:bidi w:val="0"/>
        <w:spacing w:line="400" w:lineRule="exact"/>
        <w:rPr>
          <w:lang w:val="zh-CN"/>
        </w:rPr>
      </w:pPr>
      <w:r>
        <w:rPr>
          <w:lang w:val="zh-CN"/>
        </w:rPr>
        <w:t>3、采购代理机构对已发出的招标文件进行必要的澄清或者修改的，澄清或者修改内容在政府采购发布媒体上发布公告，</w:t>
      </w:r>
      <w:r>
        <w:rPr>
          <w:rFonts w:hint="eastAsia"/>
          <w:lang w:val="zh-CN"/>
        </w:rPr>
        <w:t>澄清或者修改的内容</w:t>
      </w:r>
      <w:r>
        <w:rPr>
          <w:lang w:val="zh-CN"/>
        </w:rPr>
        <w:t>为招标文件的组成部分。澄清或者修改的内容可能影响投标文件编制的，采购人或者采购代理机构应当在投标截止时间至少</w:t>
      </w:r>
      <w:r>
        <w:rPr>
          <w:rFonts w:hint="eastAsia"/>
          <w:lang w:val="zh-CN"/>
        </w:rPr>
        <w:t>十五</w:t>
      </w:r>
      <w:r>
        <w:rPr>
          <w:lang w:val="zh-CN"/>
        </w:rPr>
        <w:t>日前，以书面形式通知所有获取招标文件的潜在投标人；不足</w:t>
      </w:r>
      <w:r>
        <w:rPr>
          <w:rFonts w:hint="eastAsia"/>
          <w:lang w:val="zh-CN"/>
        </w:rPr>
        <w:t>十五</w:t>
      </w:r>
      <w:r>
        <w:rPr>
          <w:lang w:val="zh-CN"/>
        </w:rPr>
        <w:t>日的顺延提交投标文件的截止时间。</w:t>
      </w:r>
    </w:p>
    <w:p>
      <w:pPr>
        <w:pStyle w:val="6"/>
        <w:keepLines w:val="0"/>
        <w:pageBreakBefore w:val="0"/>
        <w:kinsoku/>
        <w:wordWrap/>
        <w:overflowPunct/>
        <w:topLinePunct w:val="0"/>
        <w:bidi w:val="0"/>
        <w:spacing w:line="400" w:lineRule="exact"/>
      </w:pPr>
      <w:r>
        <w:t>4</w:t>
      </w:r>
      <w:r>
        <w:rPr>
          <w:lang w:val="zh-CN"/>
        </w:rPr>
        <w:t>、对采购活动事项有疑问或</w:t>
      </w:r>
      <w:r>
        <w:rPr>
          <w:rFonts w:hint="eastAsia"/>
          <w:lang w:val="zh-CN"/>
        </w:rPr>
        <w:t>有</w:t>
      </w:r>
      <w:r>
        <w:rPr>
          <w:lang w:val="zh-CN"/>
        </w:rPr>
        <w:t>质疑</w:t>
      </w:r>
      <w:r>
        <w:rPr>
          <w:rFonts w:hint="eastAsia"/>
          <w:lang w:val="zh-CN"/>
        </w:rPr>
        <w:t>的</w:t>
      </w:r>
      <w:r>
        <w:rPr>
          <w:lang w:val="zh-CN"/>
        </w:rPr>
        <w:t>投标人</w:t>
      </w:r>
      <w:r>
        <w:rPr>
          <w:rFonts w:hint="eastAsia"/>
          <w:lang w:val="zh-CN"/>
        </w:rPr>
        <w:t>，</w:t>
      </w:r>
      <w:r>
        <w:rPr>
          <w:lang w:val="zh-CN"/>
        </w:rPr>
        <w:t>应在</w:t>
      </w:r>
      <w:r>
        <w:rPr>
          <w:rFonts w:hint="eastAsia"/>
          <w:lang w:val="zh-CN"/>
        </w:rPr>
        <w:t>收到采购文件之日或者采购文件公告期限届满之日七个工作日内</w:t>
      </w:r>
      <w:r>
        <w:rPr>
          <w:lang w:val="zh-CN"/>
        </w:rPr>
        <w:t>，以书面形式提出。采购代理机构将予以答复，涉及变更或修正内容在政府采购发布媒体上发布更正公告，并以书面形式通知所有招标文件收受人，且作为招标文件的组成部分。</w:t>
      </w:r>
    </w:p>
    <w:p>
      <w:pPr>
        <w:pStyle w:val="6"/>
        <w:keepLines w:val="0"/>
        <w:pageBreakBefore w:val="0"/>
        <w:kinsoku/>
        <w:wordWrap/>
        <w:overflowPunct/>
        <w:topLinePunct w:val="0"/>
        <w:bidi w:val="0"/>
        <w:spacing w:line="400" w:lineRule="exact"/>
        <w:rPr>
          <w:rFonts w:ascii="仿宋" w:hAnsi="仿宋" w:eastAsia="仿宋"/>
          <w:szCs w:val="28"/>
        </w:rPr>
      </w:pPr>
      <w:r>
        <w:t>5</w:t>
      </w:r>
      <w:r>
        <w:rPr>
          <w:lang w:val="zh-CN"/>
        </w:rPr>
        <w:t>、招标文件的解释权归采购代理机构。</w:t>
      </w:r>
    </w:p>
    <w:p>
      <w:pPr>
        <w:pStyle w:val="4"/>
        <w:keepLines w:val="0"/>
        <w:pageBreakBefore w:val="0"/>
        <w:kinsoku/>
        <w:wordWrap/>
        <w:overflowPunct/>
        <w:topLinePunct w:val="0"/>
        <w:bidi w:val="0"/>
        <w:spacing w:line="400" w:lineRule="exact"/>
        <w:rPr>
          <w:lang w:val="zh-CN"/>
        </w:rPr>
      </w:pPr>
      <w:bookmarkStart w:id="19" w:name="_Toc15323699"/>
      <w:r>
        <w:rPr>
          <w:lang w:val="zh-CN"/>
        </w:rPr>
        <w:t>三、投标</w:t>
      </w:r>
      <w:r>
        <w:rPr>
          <w:rFonts w:hint="eastAsia"/>
          <w:lang w:val="zh-CN"/>
        </w:rPr>
        <w:t>要求</w:t>
      </w:r>
      <w:bookmarkEnd w:id="19"/>
    </w:p>
    <w:p>
      <w:pPr>
        <w:pStyle w:val="6"/>
        <w:keepLines w:val="0"/>
        <w:pageBreakBefore w:val="0"/>
        <w:kinsoku/>
        <w:wordWrap/>
        <w:overflowPunct/>
        <w:topLinePunct w:val="0"/>
        <w:bidi w:val="0"/>
        <w:spacing w:line="400" w:lineRule="exact"/>
        <w:rPr>
          <w:rFonts w:hint="eastAsia"/>
        </w:rPr>
      </w:pPr>
      <w:r>
        <w:t>1、各投标人应仔细阅读采购招标文件中的所有事项、格式、条款和要求，对采购招标文件的全部内容及要求作出实质性响应，提交相应资料。</w:t>
      </w:r>
      <w:r>
        <w:rPr>
          <w:rFonts w:hint="eastAsia"/>
        </w:rPr>
        <w:t>本项目按</w:t>
      </w:r>
      <w:r>
        <w:rPr>
          <w:rFonts w:hint="eastAsia"/>
          <w:lang w:val="en-US" w:eastAsia="zh-CN"/>
        </w:rPr>
        <w:t>标包</w:t>
      </w:r>
      <w:r>
        <w:rPr>
          <w:rFonts w:hint="eastAsia"/>
        </w:rPr>
        <w:t>进行投标。</w:t>
      </w:r>
    </w:p>
    <w:p>
      <w:pPr>
        <w:pStyle w:val="6"/>
        <w:keepLines w:val="0"/>
        <w:pageBreakBefore w:val="0"/>
        <w:kinsoku/>
        <w:wordWrap/>
        <w:overflowPunct/>
        <w:topLinePunct w:val="0"/>
        <w:bidi w:val="0"/>
        <w:spacing w:line="400" w:lineRule="exact"/>
        <w:rPr>
          <w:rFonts w:hint="eastAsia"/>
        </w:rPr>
      </w:pPr>
      <w:r>
        <w:t>2、</w:t>
      </w:r>
      <w:r>
        <w:rPr>
          <w:rFonts w:hint="eastAsia"/>
        </w:rPr>
        <w:t>投标人资格要求：</w:t>
      </w:r>
    </w:p>
    <w:p>
      <w:pPr>
        <w:pStyle w:val="6"/>
        <w:keepLines w:val="0"/>
        <w:pageBreakBefore w:val="0"/>
        <w:kinsoku/>
        <w:wordWrap/>
        <w:overflowPunct/>
        <w:topLinePunct w:val="0"/>
        <w:bidi w:val="0"/>
        <w:spacing w:line="400" w:lineRule="exact"/>
        <w:rPr>
          <w:rFonts w:hint="eastAsia"/>
          <w:b/>
          <w:bCs/>
        </w:rPr>
      </w:pPr>
      <w:r>
        <w:rPr>
          <w:rFonts w:hint="eastAsia"/>
          <w:b/>
          <w:bCs/>
        </w:rPr>
        <w:t>2-1、符合《政府采购法》第二十二条规定的供应商条件</w:t>
      </w:r>
    </w:p>
    <w:p>
      <w:pPr>
        <w:pStyle w:val="6"/>
        <w:keepLines w:val="0"/>
        <w:pageBreakBefore w:val="0"/>
        <w:kinsoku/>
        <w:wordWrap/>
        <w:overflowPunct/>
        <w:topLinePunct w:val="0"/>
        <w:bidi w:val="0"/>
        <w:spacing w:line="400" w:lineRule="exact"/>
        <w:rPr>
          <w:rFonts w:hint="eastAsia"/>
        </w:rPr>
      </w:pPr>
      <w:r>
        <w:rPr>
          <w:rFonts w:hint="eastAsia"/>
        </w:rPr>
        <w:t>2-1-1、具有独立承担民事责任能力的法人、其他组织或自然人，法人或其他组织提供营业执照（事业单位法人证书）等合法证明文件，自然人参与的提供其身份证；</w:t>
      </w:r>
    </w:p>
    <w:p>
      <w:pPr>
        <w:pStyle w:val="6"/>
        <w:keepLines w:val="0"/>
        <w:pageBreakBefore w:val="0"/>
        <w:kinsoku/>
        <w:wordWrap/>
        <w:overflowPunct/>
        <w:topLinePunct w:val="0"/>
        <w:bidi w:val="0"/>
        <w:spacing w:line="400" w:lineRule="exact"/>
        <w:rPr>
          <w:rFonts w:hint="eastAsia"/>
          <w:color w:val="auto"/>
        </w:rPr>
      </w:pPr>
      <w:r>
        <w:rPr>
          <w:rFonts w:hint="eastAsia"/>
          <w:color w:val="auto"/>
        </w:rPr>
        <w:t>2-1-2、提供2020</w:t>
      </w:r>
      <w:r>
        <w:rPr>
          <w:rFonts w:hint="eastAsia"/>
          <w:color w:val="auto"/>
          <w:lang w:val="en-US" w:eastAsia="zh-CN"/>
        </w:rPr>
        <w:t>或2021</w:t>
      </w:r>
      <w:r>
        <w:rPr>
          <w:rFonts w:hint="eastAsia"/>
          <w:color w:val="auto"/>
        </w:rPr>
        <w:t>年度的财务审计报告（成立时间至提交响应文件截止时间不足一年的可提供开标前六个月内其基本存款账户开户银行出具的资信证明）</w:t>
      </w:r>
      <w:r>
        <w:rPr>
          <w:rFonts w:hint="eastAsia"/>
          <w:color w:val="auto"/>
          <w:lang w:val="en-US" w:eastAsia="zh-CN"/>
        </w:rPr>
        <w:t>；</w:t>
      </w:r>
      <w:r>
        <w:rPr>
          <w:rFonts w:hint="eastAsia"/>
          <w:color w:val="auto"/>
        </w:rPr>
        <w:t xml:space="preserve"> </w:t>
      </w:r>
    </w:p>
    <w:p>
      <w:pPr>
        <w:pStyle w:val="6"/>
        <w:keepLines w:val="0"/>
        <w:pageBreakBefore w:val="0"/>
        <w:kinsoku/>
        <w:wordWrap/>
        <w:overflowPunct/>
        <w:topLinePunct w:val="0"/>
        <w:bidi w:val="0"/>
        <w:spacing w:line="400" w:lineRule="exact"/>
        <w:rPr>
          <w:rFonts w:hint="eastAsia"/>
        </w:rPr>
      </w:pPr>
      <w:r>
        <w:rPr>
          <w:rFonts w:hint="eastAsia"/>
        </w:rPr>
        <w:t>2-1-3、税收缴纳证明：提供投标文件截止时间前一年内至少</w:t>
      </w:r>
      <w:r>
        <w:rPr>
          <w:rFonts w:hint="eastAsia"/>
          <w:lang w:val="en-US" w:eastAsia="zh-CN"/>
        </w:rPr>
        <w:t>一个月</w:t>
      </w:r>
      <w:r>
        <w:rPr>
          <w:rFonts w:hint="eastAsia"/>
        </w:rPr>
        <w:t>已缴纳税收的凭据；依法免税的投标人应提供相关文件证明；</w:t>
      </w:r>
    </w:p>
    <w:p>
      <w:pPr>
        <w:pStyle w:val="6"/>
        <w:keepLines w:val="0"/>
        <w:pageBreakBefore w:val="0"/>
        <w:kinsoku/>
        <w:wordWrap/>
        <w:overflowPunct/>
        <w:topLinePunct w:val="0"/>
        <w:bidi w:val="0"/>
        <w:spacing w:line="400" w:lineRule="exact"/>
        <w:rPr>
          <w:rFonts w:hint="eastAsia"/>
        </w:rPr>
      </w:pPr>
      <w:r>
        <w:rPr>
          <w:rFonts w:hint="eastAsia"/>
        </w:rPr>
        <w:t>2-1-</w:t>
      </w:r>
      <w:r>
        <w:rPr>
          <w:rFonts w:hint="eastAsia"/>
          <w:lang w:val="en-US" w:eastAsia="zh-CN"/>
        </w:rPr>
        <w:t>4</w:t>
      </w:r>
      <w:r>
        <w:rPr>
          <w:rFonts w:hint="eastAsia"/>
        </w:rPr>
        <w:t>、社会保障资金缴纳证明：提供投标文件截止时间前一年内至少</w:t>
      </w:r>
      <w:r>
        <w:rPr>
          <w:rFonts w:hint="eastAsia"/>
          <w:lang w:val="en-US" w:eastAsia="zh-CN"/>
        </w:rPr>
        <w:t>一个月</w:t>
      </w:r>
      <w:r>
        <w:rPr>
          <w:rFonts w:hint="eastAsia"/>
        </w:rPr>
        <w:t>已缴纳的社会保障资金的凭据（专用收据或社会保险缴纳清单）；依法不需要缴纳社会保障资金的投标人应提供相关文件证明</w:t>
      </w:r>
    </w:p>
    <w:p>
      <w:pPr>
        <w:pStyle w:val="6"/>
        <w:keepLines w:val="0"/>
        <w:pageBreakBefore w:val="0"/>
        <w:kinsoku/>
        <w:wordWrap/>
        <w:overflowPunct/>
        <w:topLinePunct w:val="0"/>
        <w:bidi w:val="0"/>
        <w:spacing w:line="400" w:lineRule="exact"/>
        <w:rPr>
          <w:rFonts w:hint="eastAsia"/>
        </w:rPr>
      </w:pPr>
      <w:r>
        <w:rPr>
          <w:rFonts w:hint="eastAsia"/>
        </w:rPr>
        <w:t>2-1-</w:t>
      </w:r>
      <w:r>
        <w:rPr>
          <w:rFonts w:hint="eastAsia"/>
          <w:lang w:val="en-US" w:eastAsia="zh-CN"/>
        </w:rPr>
        <w:t>5</w:t>
      </w:r>
      <w:r>
        <w:rPr>
          <w:rFonts w:hint="eastAsia"/>
        </w:rPr>
        <w:t>、参加政府采购活动前3年内在经营活动中没有重大违法记录的书面声明</w:t>
      </w:r>
    </w:p>
    <w:p>
      <w:pPr>
        <w:pStyle w:val="6"/>
        <w:keepLines w:val="0"/>
        <w:pageBreakBefore w:val="0"/>
        <w:kinsoku/>
        <w:wordWrap/>
        <w:overflowPunct/>
        <w:topLinePunct w:val="0"/>
        <w:bidi w:val="0"/>
        <w:spacing w:line="400" w:lineRule="exact"/>
        <w:rPr>
          <w:rFonts w:hint="eastAsia" w:ascii="Times New Roman" w:hAnsi="Times New Roman" w:eastAsia="宋体" w:cs="Times New Roman"/>
          <w:b/>
          <w:bCs/>
          <w:szCs w:val="22"/>
          <w:lang w:val="en-US" w:eastAsia="zh-CN"/>
        </w:rPr>
      </w:pPr>
      <w:r>
        <w:rPr>
          <w:rFonts w:hint="eastAsia" w:ascii="Times New Roman" w:hAnsi="Times New Roman" w:eastAsia="宋体" w:cs="Times New Roman"/>
          <w:b/>
          <w:bCs/>
          <w:szCs w:val="22"/>
          <w:lang w:val="en-US" w:eastAsia="zh-CN"/>
        </w:rPr>
        <w:t>2-2、</w:t>
      </w:r>
      <w:r>
        <w:rPr>
          <w:rFonts w:hint="eastAsia" w:ascii="Times New Roman" w:hAnsi="Times New Roman" w:eastAsia="宋体" w:cs="Times New Roman"/>
          <w:b/>
          <w:bCs/>
          <w:szCs w:val="22"/>
        </w:rPr>
        <w:t>项目的特定资格要求</w:t>
      </w:r>
      <w:r>
        <w:rPr>
          <w:rFonts w:hint="eastAsia" w:ascii="Times New Roman" w:hAnsi="Times New Roman" w:eastAsia="宋体" w:cs="Times New Roman"/>
          <w:b/>
          <w:bCs/>
          <w:szCs w:val="22"/>
          <w:lang w:eastAsia="zh-CN"/>
        </w:rPr>
        <w:t>：</w:t>
      </w:r>
    </w:p>
    <w:p>
      <w:pPr>
        <w:keepLines w:val="0"/>
        <w:pageBreakBefore w:val="0"/>
        <w:numPr>
          <w:ilvl w:val="0"/>
          <w:numId w:val="0"/>
        </w:numPr>
        <w:kinsoku/>
        <w:wordWrap/>
        <w:overflowPunct/>
        <w:topLinePunct w:val="0"/>
        <w:bidi w:val="0"/>
        <w:spacing w:line="400" w:lineRule="exact"/>
        <w:ind w:firstLine="420" w:firstLineChars="200"/>
        <w:rPr>
          <w:rFonts w:hint="eastAsia" w:ascii="Times New Roman" w:hAnsi="Times New Roman" w:eastAsia="宋体" w:cs="宋体"/>
          <w:b w:val="0"/>
          <w:bCs w:val="0"/>
          <w:color w:val="auto"/>
          <w:kern w:val="2"/>
          <w:sz w:val="21"/>
          <w:szCs w:val="24"/>
          <w:highlight w:val="none"/>
          <w:lang w:val="en-US" w:eastAsia="zh-CN" w:bidi="ar-SA"/>
        </w:rPr>
      </w:pPr>
      <w:r>
        <w:rPr>
          <w:rFonts w:hint="eastAsia"/>
          <w:b w:val="0"/>
          <w:bCs w:val="0"/>
          <w:lang w:val="en-US" w:eastAsia="zh-CN"/>
        </w:rPr>
        <w:t>2-2-1、第1包-第3包：</w:t>
      </w:r>
      <w:r>
        <w:rPr>
          <w:rFonts w:hint="eastAsia" w:cs="宋体"/>
          <w:b w:val="0"/>
          <w:bCs w:val="0"/>
          <w:color w:val="auto"/>
          <w:szCs w:val="24"/>
          <w:highlight w:val="none"/>
        </w:rPr>
        <w:t>供应商为生产厂家的须具有《食品生产许可证》；供应商为代理商的须提供《食品经营许可证》，并提供所代理产品生产厂家的《食品生产许可证》</w:t>
      </w:r>
      <w:r>
        <w:rPr>
          <w:rFonts w:hint="eastAsia"/>
          <w:b w:val="0"/>
          <w:bCs w:val="0"/>
          <w:lang w:val="en-US" w:eastAsia="zh-CN"/>
        </w:rPr>
        <w:t>；第4包-第7包：</w:t>
      </w:r>
      <w:r>
        <w:rPr>
          <w:rFonts w:hint="eastAsia" w:cs="宋体"/>
          <w:b w:val="0"/>
          <w:bCs w:val="0"/>
          <w:color w:val="auto"/>
          <w:szCs w:val="24"/>
          <w:highlight w:val="none"/>
        </w:rPr>
        <w:t>供应商须</w:t>
      </w:r>
      <w:r>
        <w:rPr>
          <w:rFonts w:hint="eastAsia" w:cs="宋体"/>
          <w:b w:val="0"/>
          <w:bCs w:val="0"/>
          <w:color w:val="auto"/>
          <w:szCs w:val="24"/>
          <w:highlight w:val="none"/>
          <w:lang w:val="en-US" w:eastAsia="zh-CN"/>
        </w:rPr>
        <w:t>提供</w:t>
      </w:r>
      <w:r>
        <w:rPr>
          <w:rFonts w:hint="eastAsia" w:cs="宋体"/>
          <w:b w:val="0"/>
          <w:bCs w:val="0"/>
          <w:color w:val="auto"/>
          <w:szCs w:val="24"/>
          <w:highlight w:val="none"/>
        </w:rPr>
        <w:t>《动物</w:t>
      </w:r>
      <w:r>
        <w:rPr>
          <w:rFonts w:hint="eastAsia" w:cs="宋体"/>
          <w:b w:val="0"/>
          <w:bCs w:val="0"/>
          <w:color w:val="auto"/>
          <w:szCs w:val="24"/>
          <w:highlight w:val="none"/>
          <w:lang w:val="en-US" w:eastAsia="zh-CN"/>
        </w:rPr>
        <w:t>免</w:t>
      </w:r>
      <w:r>
        <w:rPr>
          <w:rFonts w:hint="eastAsia" w:cs="宋体"/>
          <w:b w:val="0"/>
          <w:bCs w:val="0"/>
          <w:color w:val="auto"/>
          <w:szCs w:val="24"/>
          <w:highlight w:val="none"/>
        </w:rPr>
        <w:t>疫条件合格证》</w:t>
      </w:r>
      <w:r>
        <w:rPr>
          <w:rFonts w:hint="eastAsia" w:cs="宋体"/>
          <w:b w:val="0"/>
          <w:bCs w:val="0"/>
          <w:color w:val="auto"/>
          <w:szCs w:val="24"/>
          <w:highlight w:val="none"/>
          <w:lang w:eastAsia="zh-CN"/>
        </w:rPr>
        <w:t>；</w:t>
      </w:r>
      <w:r>
        <w:rPr>
          <w:rFonts w:hint="eastAsia"/>
          <w:b w:val="0"/>
          <w:bCs w:val="0"/>
          <w:lang w:val="en-US" w:eastAsia="zh-CN"/>
        </w:rPr>
        <w:t>第8包-第18包</w:t>
      </w:r>
      <w:r>
        <w:rPr>
          <w:rFonts w:hint="eastAsia" w:ascii="Times New Roman" w:hAnsi="Times New Roman" w:eastAsia="宋体" w:cs="Times New Roman"/>
          <w:b w:val="0"/>
          <w:bCs w:val="0"/>
          <w:szCs w:val="22"/>
          <w:lang w:val="en-US" w:eastAsia="zh-CN"/>
        </w:rPr>
        <w:t>：</w:t>
      </w:r>
      <w:r>
        <w:rPr>
          <w:rFonts w:hint="eastAsia" w:cs="宋体"/>
          <w:b w:val="0"/>
          <w:bCs w:val="0"/>
          <w:color w:val="auto"/>
          <w:szCs w:val="24"/>
          <w:highlight w:val="none"/>
        </w:rPr>
        <w:t>供应商为生产厂家的须具有《食品生产许可证》；供应商为代理商的须提供《食品经营许可证》，并提供所代理产品生产厂家的《食品生产许可证》</w:t>
      </w:r>
      <w:r>
        <w:rPr>
          <w:rFonts w:hint="eastAsia"/>
          <w:b w:val="0"/>
          <w:bCs w:val="0"/>
          <w:lang w:val="en-US" w:eastAsia="zh-CN"/>
        </w:rPr>
        <w:t>；第19包</w:t>
      </w:r>
      <w:r>
        <w:rPr>
          <w:rFonts w:hint="eastAsia" w:ascii="Times New Roman" w:hAnsi="Times New Roman" w:eastAsia="宋体" w:cs="Times New Roman"/>
          <w:b w:val="0"/>
          <w:bCs w:val="0"/>
          <w:kern w:val="2"/>
          <w:sz w:val="21"/>
          <w:szCs w:val="22"/>
          <w:lang w:val="en-US" w:eastAsia="zh-CN" w:bidi="ar-SA"/>
        </w:rPr>
        <w:t>：</w:t>
      </w:r>
      <w:r>
        <w:rPr>
          <w:rFonts w:hint="eastAsia" w:ascii="Times New Roman" w:hAnsi="Times New Roman" w:eastAsia="宋体" w:cs="宋体"/>
          <w:b w:val="0"/>
          <w:bCs w:val="0"/>
          <w:color w:val="auto"/>
          <w:kern w:val="2"/>
          <w:sz w:val="21"/>
          <w:szCs w:val="24"/>
          <w:highlight w:val="none"/>
          <w:lang w:val="en-US" w:eastAsia="zh-CN" w:bidi="ar-SA"/>
        </w:rPr>
        <w:t>供应商须提供《食品经营许可证》；</w:t>
      </w:r>
    </w:p>
    <w:p>
      <w:pPr>
        <w:keepLines w:val="0"/>
        <w:pageBreakBefore w:val="0"/>
        <w:numPr>
          <w:ilvl w:val="0"/>
          <w:numId w:val="0"/>
        </w:numPr>
        <w:kinsoku/>
        <w:wordWrap/>
        <w:overflowPunct/>
        <w:topLinePunct w:val="0"/>
        <w:bidi w:val="0"/>
        <w:spacing w:line="400" w:lineRule="exact"/>
        <w:ind w:firstLine="420" w:firstLineChars="200"/>
        <w:rPr>
          <w:rFonts w:hint="eastAsia" w:ascii="Times New Roman" w:hAnsi="Times New Roman" w:eastAsia="宋体" w:cs="宋体"/>
          <w:b w:val="0"/>
          <w:bCs w:val="0"/>
          <w:color w:val="auto"/>
          <w:szCs w:val="24"/>
          <w:highlight w:val="none"/>
          <w:lang w:val="en-US" w:eastAsia="zh-CN"/>
        </w:rPr>
      </w:pPr>
      <w:r>
        <w:rPr>
          <w:rFonts w:hint="eastAsia" w:cs="宋体"/>
          <w:b w:val="0"/>
          <w:bCs w:val="0"/>
          <w:color w:val="auto"/>
          <w:szCs w:val="24"/>
          <w:highlight w:val="none"/>
          <w:lang w:val="en-US" w:eastAsia="zh-CN"/>
        </w:rPr>
        <w:t>2-2-2、供应商应授权合法的人员参加投标，其中法定代表人直接参加投标，须出具法定代表人身份证，并与营业执照上信息一致。法定代表人授权代表参加投标，须出具法定代表人授权书及授权代表身份证原件；</w:t>
      </w:r>
    </w:p>
    <w:p>
      <w:pPr>
        <w:keepLines w:val="0"/>
        <w:pageBreakBefore w:val="0"/>
        <w:numPr>
          <w:ilvl w:val="0"/>
          <w:numId w:val="0"/>
        </w:numPr>
        <w:kinsoku/>
        <w:wordWrap/>
        <w:overflowPunct/>
        <w:topLinePunct w:val="0"/>
        <w:bidi w:val="0"/>
        <w:spacing w:line="400" w:lineRule="exact"/>
        <w:ind w:firstLine="420" w:firstLineChars="200"/>
        <w:rPr>
          <w:rFonts w:hint="eastAsia"/>
          <w:b w:val="0"/>
          <w:bCs w:val="0"/>
          <w:lang w:val="en-US" w:eastAsia="zh-CN"/>
        </w:rPr>
      </w:pPr>
      <w:r>
        <w:rPr>
          <w:rFonts w:hint="eastAsia"/>
          <w:b w:val="0"/>
          <w:bCs w:val="0"/>
          <w:lang w:val="en-US" w:eastAsia="zh-CN"/>
        </w:rPr>
        <w:t>2-2-3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Lines w:val="0"/>
        <w:pageBreakBefore w:val="0"/>
        <w:kinsoku/>
        <w:wordWrap/>
        <w:overflowPunct/>
        <w:topLinePunct w:val="0"/>
        <w:bidi w:val="0"/>
        <w:spacing w:line="400" w:lineRule="exact"/>
        <w:ind w:firstLine="420" w:firstLineChars="200"/>
        <w:rPr>
          <w:rFonts w:hint="eastAsia"/>
          <w:b w:val="0"/>
          <w:bCs w:val="0"/>
          <w:lang w:val="en-US" w:eastAsia="zh-CN"/>
        </w:rPr>
      </w:pPr>
      <w:r>
        <w:rPr>
          <w:rFonts w:hint="eastAsia"/>
          <w:b w:val="0"/>
          <w:bCs w:val="0"/>
          <w:lang w:val="en-US" w:eastAsia="zh-CN"/>
        </w:rPr>
        <w:t>2-2-4、投标保证金交纳凭证或担保机构出具的保函；</w:t>
      </w:r>
    </w:p>
    <w:p>
      <w:pPr>
        <w:keepLines w:val="0"/>
        <w:pageBreakBefore w:val="0"/>
        <w:kinsoku/>
        <w:wordWrap/>
        <w:overflowPunct/>
        <w:topLinePunct w:val="0"/>
        <w:bidi w:val="0"/>
        <w:spacing w:line="400" w:lineRule="exact"/>
        <w:ind w:firstLine="420" w:firstLineChars="200"/>
        <w:rPr>
          <w:rFonts w:hint="eastAsia"/>
          <w:b w:val="0"/>
          <w:bCs w:val="0"/>
        </w:rPr>
      </w:pPr>
      <w:r>
        <w:rPr>
          <w:rFonts w:hint="eastAsia"/>
          <w:b w:val="0"/>
          <w:bCs w:val="0"/>
          <w:lang w:val="en-US" w:eastAsia="zh-CN"/>
        </w:rPr>
        <w:t>2-2-5、单位负责人为同一人或者存在直接控股、管理关系的不同供应商，不得参加同一合同项下的政府采购活动；</w:t>
      </w:r>
    </w:p>
    <w:p>
      <w:pPr>
        <w:keepLines w:val="0"/>
        <w:pageBreakBefore w:val="0"/>
        <w:kinsoku/>
        <w:wordWrap/>
        <w:overflowPunct/>
        <w:topLinePunct w:val="0"/>
        <w:bidi w:val="0"/>
        <w:spacing w:line="400" w:lineRule="exact"/>
        <w:ind w:firstLine="420" w:firstLineChars="200"/>
        <w:rPr>
          <w:rFonts w:hint="eastAsia"/>
          <w:b w:val="0"/>
          <w:bCs w:val="0"/>
          <w:lang w:eastAsia="zh-CN"/>
        </w:rPr>
      </w:pPr>
      <w:r>
        <w:rPr>
          <w:rFonts w:hint="eastAsia"/>
          <w:b w:val="0"/>
          <w:bCs w:val="0"/>
          <w:lang w:val="en-US" w:eastAsia="zh-CN"/>
        </w:rPr>
        <w:t>2-2-6、</w:t>
      </w:r>
      <w:r>
        <w:rPr>
          <w:rFonts w:hint="eastAsia"/>
          <w:b w:val="0"/>
          <w:bCs w:val="0"/>
        </w:rPr>
        <w:t>本项目不接受联合体投标</w:t>
      </w:r>
      <w:r>
        <w:rPr>
          <w:rFonts w:hint="eastAsia"/>
          <w:b w:val="0"/>
          <w:bCs w:val="0"/>
          <w:lang w:eastAsia="zh-CN"/>
        </w:rPr>
        <w:t>；</w:t>
      </w:r>
    </w:p>
    <w:p>
      <w:pPr>
        <w:pStyle w:val="6"/>
        <w:keepLines w:val="0"/>
        <w:pageBreakBefore w:val="0"/>
        <w:kinsoku/>
        <w:wordWrap/>
        <w:overflowPunct/>
        <w:topLinePunct w:val="0"/>
        <w:bidi w:val="0"/>
        <w:spacing w:line="400" w:lineRule="exact"/>
        <w:rPr>
          <w:rFonts w:hint="eastAsia"/>
        </w:rPr>
      </w:pPr>
      <w:r>
        <w:rPr>
          <w:rFonts w:hint="eastAsia" w:ascii="Times New Roman" w:hAnsi="Times New Roman" w:eastAsia="宋体" w:cs="Times New Roman"/>
          <w:b/>
          <w:bCs/>
          <w:szCs w:val="22"/>
          <w:lang w:val="en-US" w:eastAsia="zh-CN"/>
        </w:rPr>
        <w:t>备注：以上资格证明文件投标人必须完全提供(除注明原件外，均为</w:t>
      </w:r>
      <w:r>
        <w:rPr>
          <w:rFonts w:hint="eastAsia" w:cs="Times New Roman"/>
          <w:b/>
          <w:bCs/>
          <w:szCs w:val="22"/>
          <w:lang w:val="en-US" w:eastAsia="zh-CN"/>
        </w:rPr>
        <w:t>扫描件</w:t>
      </w:r>
      <w:r>
        <w:rPr>
          <w:rFonts w:hint="eastAsia" w:ascii="Times New Roman" w:hAnsi="Times New Roman" w:eastAsia="宋体" w:cs="Times New Roman"/>
          <w:b/>
          <w:bCs/>
          <w:szCs w:val="22"/>
          <w:lang w:val="en-US" w:eastAsia="zh-CN"/>
        </w:rPr>
        <w:t>并须加盖投标人公章)并胶装在投标文件中，</w:t>
      </w:r>
      <w:r>
        <w:rPr>
          <w:rFonts w:hint="eastAsia"/>
          <w:b/>
          <w:bCs/>
        </w:rPr>
        <w:t>开标后由采购人或者采购代理机构进行资格审查，无效或缺项将被视为无效投标</w:t>
      </w:r>
      <w:r>
        <w:rPr>
          <w:rFonts w:hint="eastAsia"/>
          <w:b/>
          <w:bCs/>
          <w:lang w:eastAsia="zh-CN"/>
        </w:rPr>
        <w:t>。</w:t>
      </w:r>
    </w:p>
    <w:p>
      <w:pPr>
        <w:pStyle w:val="6"/>
        <w:keepLines w:val="0"/>
        <w:pageBreakBefore w:val="0"/>
        <w:kinsoku/>
        <w:wordWrap/>
        <w:overflowPunct/>
        <w:topLinePunct w:val="0"/>
        <w:bidi w:val="0"/>
        <w:spacing w:line="400" w:lineRule="exact"/>
        <w:rPr>
          <w:rFonts w:hint="eastAsia"/>
        </w:rPr>
      </w:pPr>
      <w:r>
        <w:rPr>
          <w:rFonts w:hint="eastAsia"/>
        </w:rPr>
        <w:t>3、限制投标要求</w:t>
      </w:r>
    </w:p>
    <w:p>
      <w:pPr>
        <w:pStyle w:val="6"/>
        <w:keepLines w:val="0"/>
        <w:pageBreakBefore w:val="0"/>
        <w:kinsoku/>
        <w:wordWrap/>
        <w:overflowPunct/>
        <w:topLinePunct w:val="0"/>
        <w:bidi w:val="0"/>
        <w:spacing w:line="400" w:lineRule="exact"/>
        <w:rPr>
          <w:rFonts w:hint="eastAsia"/>
        </w:rPr>
      </w:pPr>
      <w:r>
        <w:rPr>
          <w:rFonts w:hint="eastAsia"/>
        </w:rPr>
        <w:t>3-1、投标人单位负责人为同一人或者存在直接控股、管理关系的不同供应商，不得参加同一项目或同一标</w:t>
      </w:r>
      <w:r>
        <w:rPr>
          <w:rFonts w:hint="eastAsia"/>
          <w:lang w:val="en-US" w:eastAsia="zh-CN"/>
        </w:rPr>
        <w:t>段</w:t>
      </w:r>
      <w:r>
        <w:rPr>
          <w:rFonts w:hint="eastAsia"/>
        </w:rPr>
        <w:t>的政府采购活动。投标人须按照格式要求填写投标人企业关系关联承诺书（并提供国家企业信用信息公示系统http://www.gsxt.gov.cn/index.html网页截图并加盖投标人红章）</w:t>
      </w:r>
    </w:p>
    <w:p>
      <w:pPr>
        <w:pStyle w:val="6"/>
        <w:keepLines w:val="0"/>
        <w:pageBreakBefore w:val="0"/>
        <w:kinsoku/>
        <w:wordWrap/>
        <w:overflowPunct/>
        <w:topLinePunct w:val="0"/>
        <w:bidi w:val="0"/>
        <w:spacing w:line="400" w:lineRule="exact"/>
        <w:rPr>
          <w:rFonts w:hint="eastAsia"/>
        </w:rPr>
      </w:pPr>
      <w:r>
        <w:rPr>
          <w:rFonts w:hint="eastAsia"/>
        </w:rPr>
        <w:t>3-2、除单一来源采购项目外，为采购项目提供整体设计、规范编制或者项目管理、监理、检测等服务的供应商，不得再参加同一项目的其他采购活动。</w:t>
      </w:r>
    </w:p>
    <w:p>
      <w:pPr>
        <w:pStyle w:val="6"/>
        <w:keepLines w:val="0"/>
        <w:pageBreakBefore w:val="0"/>
        <w:kinsoku/>
        <w:wordWrap/>
        <w:overflowPunct/>
        <w:topLinePunct w:val="0"/>
        <w:bidi w:val="0"/>
        <w:spacing w:line="400" w:lineRule="exact"/>
        <w:rPr>
          <w:rFonts w:hint="eastAsia"/>
          <w:lang w:val="zh-CN"/>
        </w:rPr>
      </w:pPr>
      <w:r>
        <w:rPr>
          <w:rFonts w:hint="eastAsia"/>
        </w:rPr>
        <w:t>4</w:t>
      </w:r>
      <w:r>
        <w:rPr>
          <w:lang w:val="zh-CN"/>
        </w:rPr>
        <w:t>、本次招标项目</w:t>
      </w:r>
      <w:r>
        <w:rPr>
          <w:rFonts w:hint="eastAsia"/>
          <w:lang w:val="zh-CN"/>
        </w:rPr>
        <w:t>不</w:t>
      </w:r>
      <w:r>
        <w:rPr>
          <w:lang w:val="zh-CN"/>
        </w:rPr>
        <w:t>接受联合体投标</w:t>
      </w:r>
      <w:r>
        <w:rPr>
          <w:rFonts w:hint="eastAsia"/>
          <w:lang w:val="zh-CN"/>
        </w:rPr>
        <w:t>。</w:t>
      </w:r>
    </w:p>
    <w:p>
      <w:pPr>
        <w:pStyle w:val="6"/>
        <w:keepLines w:val="0"/>
        <w:pageBreakBefore w:val="0"/>
        <w:kinsoku/>
        <w:wordWrap/>
        <w:overflowPunct/>
        <w:topLinePunct w:val="0"/>
        <w:bidi w:val="0"/>
        <w:spacing w:line="400" w:lineRule="exact"/>
        <w:rPr>
          <w:rFonts w:hint="eastAsia"/>
          <w:lang w:val="zh-CN"/>
        </w:rPr>
      </w:pPr>
      <w:r>
        <w:rPr>
          <w:rFonts w:hint="eastAsia"/>
        </w:rPr>
        <w:t>5</w:t>
      </w:r>
      <w:r>
        <w:rPr>
          <w:lang w:val="zh-CN"/>
        </w:rPr>
        <w:t>、本次招标项目</w:t>
      </w:r>
      <w:r>
        <w:rPr>
          <w:rFonts w:hint="eastAsia"/>
          <w:lang w:val="zh-CN"/>
        </w:rPr>
        <w:t>不组织现场考察或者答疑会。</w:t>
      </w:r>
    </w:p>
    <w:p>
      <w:pPr>
        <w:pStyle w:val="6"/>
        <w:keepLines w:val="0"/>
        <w:pageBreakBefore w:val="0"/>
        <w:kinsoku/>
        <w:wordWrap/>
        <w:overflowPunct/>
        <w:topLinePunct w:val="0"/>
        <w:bidi w:val="0"/>
        <w:spacing w:line="400" w:lineRule="exact"/>
        <w:rPr>
          <w:lang w:val="zh-CN"/>
        </w:rPr>
      </w:pPr>
      <w:r>
        <w:rPr>
          <w:rFonts w:hint="eastAsia"/>
        </w:rPr>
        <w:t>6</w:t>
      </w:r>
      <w:r>
        <w:rPr>
          <w:lang w:val="zh-CN"/>
        </w:rPr>
        <w:t>、投标文件的编制</w:t>
      </w:r>
    </w:p>
    <w:p>
      <w:pPr>
        <w:pStyle w:val="6"/>
        <w:keepLines w:val="0"/>
        <w:pageBreakBefore w:val="0"/>
        <w:kinsoku/>
        <w:wordWrap/>
        <w:overflowPunct/>
        <w:topLinePunct w:val="0"/>
        <w:bidi w:val="0"/>
        <w:spacing w:line="400" w:lineRule="exact"/>
        <w:rPr>
          <w:rFonts w:hint="eastAsia" w:ascii="仿宋" w:hAnsi="仿宋" w:eastAsia="仿宋"/>
          <w:szCs w:val="28"/>
          <w:lang w:val="zh-CN"/>
        </w:rPr>
      </w:pPr>
      <w:r>
        <w:rPr>
          <w:rFonts w:hint="eastAsia"/>
          <w:lang w:val="zh-CN"/>
        </w:rPr>
        <w:t>6</w:t>
      </w:r>
      <w:r>
        <w:rPr>
          <w:lang w:val="zh-CN"/>
        </w:rPr>
        <w:t>-1、投标人</w:t>
      </w:r>
      <w:r>
        <w:rPr>
          <w:rFonts w:hint="eastAsia"/>
          <w:lang w:val="zh-CN"/>
        </w:rPr>
        <w:t>应以</w:t>
      </w:r>
      <w:r>
        <w:rPr>
          <w:lang w:val="zh-CN"/>
        </w:rPr>
        <w:t>采购代理机构提供的投标文件格式编制投标文件，正本一份，副本</w:t>
      </w:r>
      <w:r>
        <w:rPr>
          <w:rFonts w:hint="eastAsia"/>
          <w:lang w:val="en-US" w:eastAsia="zh-CN"/>
        </w:rPr>
        <w:t>二</w:t>
      </w:r>
      <w:r>
        <w:rPr>
          <w:lang w:val="zh-CN"/>
        </w:rPr>
        <w:t>份，</w:t>
      </w:r>
      <w:r>
        <w:rPr>
          <w:rFonts w:hint="eastAsia"/>
          <w:lang w:val="zh-CN"/>
        </w:rPr>
        <w:t>电子版文件一份，</w:t>
      </w:r>
      <w:r>
        <w:rPr>
          <w:lang w:val="zh-CN"/>
        </w:rPr>
        <w:t>并各自装订成册</w:t>
      </w:r>
      <w:r>
        <w:rPr>
          <w:rFonts w:hint="eastAsia"/>
          <w:lang w:val="zh-CN"/>
        </w:rPr>
        <w:t>，投标文件应避免活页装订造成的文件缺失而影响评标活动</w:t>
      </w:r>
      <w:r>
        <w:rPr>
          <w:lang w:val="zh-CN"/>
        </w:rPr>
        <w:t>，每套投标文件须清楚地标明“正本”或“副本”，一旦正本与副本不符，以正本为准。</w:t>
      </w:r>
    </w:p>
    <w:p>
      <w:pPr>
        <w:pStyle w:val="6"/>
        <w:keepLines w:val="0"/>
        <w:pageBreakBefore w:val="0"/>
        <w:kinsoku/>
        <w:wordWrap/>
        <w:overflowPunct/>
        <w:topLinePunct w:val="0"/>
        <w:bidi w:val="0"/>
        <w:spacing w:line="400" w:lineRule="exact"/>
        <w:rPr>
          <w:lang w:val="zh-CN"/>
        </w:rPr>
      </w:pPr>
      <w:r>
        <w:rPr>
          <w:rFonts w:hint="eastAsia"/>
        </w:rPr>
        <w:t>6</w:t>
      </w:r>
      <w:r>
        <w:t>-</w:t>
      </w:r>
      <w:r>
        <w:rPr>
          <w:rFonts w:hint="eastAsia"/>
        </w:rPr>
        <w:t>2</w:t>
      </w:r>
      <w:r>
        <w:t>、</w:t>
      </w:r>
      <w:r>
        <w:rPr>
          <w:rFonts w:hint="eastAsia"/>
        </w:rPr>
        <w:t>投标人在编制投标文件时，应依据招标文件的要求，对招标文件作出实质性的响应。</w:t>
      </w:r>
      <w:r>
        <w:rPr>
          <w:lang w:val="zh-CN"/>
        </w:rPr>
        <w:t>投标文件必须加盖投标人单位公章和法定代表人（或其授权代表人）签字或盖章。</w:t>
      </w:r>
    </w:p>
    <w:p>
      <w:pPr>
        <w:pStyle w:val="6"/>
        <w:keepLines w:val="0"/>
        <w:pageBreakBefore w:val="0"/>
        <w:kinsoku/>
        <w:wordWrap/>
        <w:overflowPunct/>
        <w:topLinePunct w:val="0"/>
        <w:bidi w:val="0"/>
        <w:spacing w:line="400" w:lineRule="exact"/>
      </w:pPr>
      <w:r>
        <w:rPr>
          <w:rFonts w:hint="eastAsia"/>
        </w:rPr>
        <w:t>6</w:t>
      </w:r>
      <w:r>
        <w:rPr>
          <w:lang w:val="zh-CN"/>
        </w:rPr>
        <w:t>-</w:t>
      </w:r>
      <w:r>
        <w:rPr>
          <w:rFonts w:hint="eastAsia"/>
          <w:lang w:val="zh-CN"/>
        </w:rPr>
        <w:t>3</w:t>
      </w:r>
      <w:r>
        <w:rPr>
          <w:lang w:val="zh-CN"/>
        </w:rPr>
        <w:t>、投标文件的正本和所有的副本均需打印或用不褪色蓝（黑）墨水（汁）书写，统一装订、标码，在每一页的正下方清楚标明第几页、共多少页等字样。投标文件不得行间插字、涂改和增删，如有修改错漏处，必须由投标人法定代表人（或其授权代表人）签字或盖章。</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6-4、编制要求：包括（但不限于）以下内容</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6-4-1投标人承诺书；</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6-4-2投标人企业关系关联承诺书；</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6-4-3资格证明文件；</w:t>
      </w:r>
    </w:p>
    <w:p>
      <w:pPr>
        <w:pStyle w:val="6"/>
        <w:keepLines w:val="0"/>
        <w:pageBreakBefore w:val="0"/>
        <w:kinsoku/>
        <w:wordWrap/>
        <w:overflowPunct/>
        <w:topLinePunct w:val="0"/>
        <w:bidi w:val="0"/>
        <w:spacing w:line="400" w:lineRule="exact"/>
        <w:rPr>
          <w:rFonts w:ascii="Times New Roman" w:hAnsi="Times New Roman" w:eastAsia="宋体" w:cs="Times New Roman"/>
          <w:szCs w:val="22"/>
          <w:lang w:val="zh-CN"/>
        </w:rPr>
      </w:pPr>
      <w:r>
        <w:rPr>
          <w:rFonts w:hint="eastAsia" w:ascii="Times New Roman" w:hAnsi="Times New Roman" w:eastAsia="宋体" w:cs="Times New Roman"/>
          <w:szCs w:val="22"/>
          <w:lang w:val="en-US" w:eastAsia="zh-CN"/>
        </w:rPr>
        <w:t>6-4-4</w:t>
      </w:r>
      <w:r>
        <w:rPr>
          <w:rFonts w:ascii="Times New Roman" w:hAnsi="Times New Roman" w:eastAsia="宋体" w:cs="Times New Roman"/>
          <w:szCs w:val="22"/>
          <w:lang w:val="zh-CN"/>
        </w:rPr>
        <w:t>投标函</w:t>
      </w:r>
      <w:r>
        <w:rPr>
          <w:rFonts w:hint="eastAsia" w:ascii="Times New Roman" w:hAnsi="Times New Roman" w:eastAsia="宋体" w:cs="Times New Roman"/>
          <w:szCs w:val="22"/>
          <w:lang w:val="zh-CN"/>
        </w:rPr>
        <w:t>；</w:t>
      </w:r>
    </w:p>
    <w:p>
      <w:pPr>
        <w:pStyle w:val="6"/>
        <w:keepLines w:val="0"/>
        <w:pageBreakBefore w:val="0"/>
        <w:kinsoku/>
        <w:wordWrap/>
        <w:overflowPunct/>
        <w:topLinePunct w:val="0"/>
        <w:bidi w:val="0"/>
        <w:spacing w:line="400" w:lineRule="exact"/>
        <w:rPr>
          <w:rFonts w:ascii="Times New Roman" w:hAnsi="Times New Roman" w:eastAsia="宋体" w:cs="Times New Roman"/>
          <w:szCs w:val="22"/>
          <w:lang w:val="zh-CN"/>
        </w:rPr>
      </w:pPr>
      <w:r>
        <w:rPr>
          <w:rFonts w:hint="eastAsia" w:ascii="Times New Roman" w:hAnsi="Times New Roman" w:eastAsia="宋体" w:cs="Times New Roman"/>
          <w:szCs w:val="22"/>
          <w:lang w:val="en-US" w:eastAsia="zh-CN"/>
        </w:rPr>
        <w:t>6-4-5</w:t>
      </w:r>
      <w:r>
        <w:rPr>
          <w:rFonts w:ascii="Times New Roman" w:hAnsi="Times New Roman" w:eastAsia="宋体" w:cs="Times New Roman"/>
          <w:szCs w:val="22"/>
          <w:lang w:val="zh-CN"/>
        </w:rPr>
        <w:t>开标一览表（报价表）和</w:t>
      </w:r>
      <w:r>
        <w:rPr>
          <w:rFonts w:hint="eastAsia" w:ascii="Times New Roman" w:hAnsi="Times New Roman" w:eastAsia="宋体" w:cs="Times New Roman"/>
          <w:szCs w:val="22"/>
          <w:lang w:val="zh-CN"/>
        </w:rPr>
        <w:t>报价明细</w:t>
      </w:r>
      <w:r>
        <w:rPr>
          <w:rFonts w:ascii="Times New Roman" w:hAnsi="Times New Roman" w:eastAsia="宋体" w:cs="Times New Roman"/>
          <w:szCs w:val="22"/>
          <w:lang w:val="zh-CN"/>
        </w:rPr>
        <w:t>表。投标货币用人民币，</w:t>
      </w:r>
      <w:r>
        <w:rPr>
          <w:rFonts w:hint="eastAsia" w:ascii="Times New Roman" w:hAnsi="Times New Roman" w:eastAsia="宋体" w:cs="Times New Roman"/>
          <w:szCs w:val="22"/>
          <w:lang w:val="zh-CN"/>
        </w:rPr>
        <w:t>以</w:t>
      </w:r>
      <w:r>
        <w:rPr>
          <w:rFonts w:ascii="Times New Roman" w:hAnsi="Times New Roman" w:eastAsia="宋体" w:cs="Times New Roman"/>
          <w:szCs w:val="22"/>
          <w:lang w:val="zh-CN"/>
        </w:rPr>
        <w:t>元</w:t>
      </w:r>
      <w:r>
        <w:rPr>
          <w:rFonts w:hint="eastAsia" w:ascii="Times New Roman" w:hAnsi="Times New Roman" w:eastAsia="宋体" w:cs="Times New Roman"/>
          <w:szCs w:val="22"/>
          <w:lang w:val="zh-CN"/>
        </w:rPr>
        <w:t>为单位；</w:t>
      </w:r>
    </w:p>
    <w:p>
      <w:pPr>
        <w:pStyle w:val="6"/>
        <w:keepLines w:val="0"/>
        <w:pageBreakBefore w:val="0"/>
        <w:kinsoku/>
        <w:wordWrap/>
        <w:overflowPunct/>
        <w:topLinePunct w:val="0"/>
        <w:bidi w:val="0"/>
        <w:spacing w:line="400" w:lineRule="exac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6-5-6</w:t>
      </w:r>
      <w:r>
        <w:rPr>
          <w:rFonts w:ascii="Times New Roman" w:hAnsi="Times New Roman" w:eastAsia="宋体" w:cs="Times New Roman"/>
          <w:szCs w:val="22"/>
          <w:lang w:val="zh-CN"/>
        </w:rPr>
        <w:t>投标人为本次招标采购活动编制的</w:t>
      </w:r>
      <w:r>
        <w:rPr>
          <w:rFonts w:hint="eastAsia" w:ascii="Times New Roman" w:hAnsi="Times New Roman" w:eastAsia="宋体" w:cs="Times New Roman"/>
          <w:szCs w:val="22"/>
          <w:lang w:val="en-US" w:eastAsia="zh-CN"/>
        </w:rPr>
        <w:t>技术</w:t>
      </w:r>
      <w:r>
        <w:rPr>
          <w:rFonts w:ascii="Times New Roman" w:hAnsi="Times New Roman" w:eastAsia="宋体" w:cs="Times New Roman"/>
          <w:szCs w:val="22"/>
          <w:lang w:val="zh-CN"/>
        </w:rPr>
        <w:t>方案</w:t>
      </w:r>
      <w:r>
        <w:rPr>
          <w:rFonts w:hint="eastAsia" w:ascii="Times New Roman" w:hAnsi="Times New Roman" w:eastAsia="宋体" w:cs="Times New Roman"/>
          <w:szCs w:val="22"/>
          <w:lang w:val="en-US" w:eastAsia="zh-CN"/>
        </w:rPr>
        <w:t>(请参照评分办法，包含但不限于要求内容）；</w:t>
      </w:r>
    </w:p>
    <w:p>
      <w:pPr>
        <w:pStyle w:val="6"/>
        <w:keepLines w:val="0"/>
        <w:pageBreakBefore w:val="0"/>
        <w:kinsoku/>
        <w:wordWrap/>
        <w:overflowPunct/>
        <w:topLinePunct w:val="0"/>
        <w:bidi w:val="0"/>
        <w:spacing w:line="400" w:lineRule="exact"/>
        <w:rPr>
          <w:rFonts w:ascii="Times New Roman" w:hAnsi="Times New Roman" w:eastAsia="宋体" w:cs="Times New Roman"/>
          <w:szCs w:val="22"/>
          <w:lang w:val="zh-CN"/>
        </w:rPr>
      </w:pPr>
      <w:r>
        <w:rPr>
          <w:rFonts w:hint="eastAsia" w:ascii="Times New Roman" w:hAnsi="Times New Roman" w:eastAsia="宋体" w:cs="Times New Roman"/>
          <w:szCs w:val="22"/>
          <w:lang w:val="zh-CN"/>
        </w:rPr>
        <w:t>6</w:t>
      </w:r>
      <w:r>
        <w:rPr>
          <w:rFonts w:ascii="Times New Roman" w:hAnsi="Times New Roman" w:eastAsia="宋体" w:cs="Times New Roman"/>
          <w:szCs w:val="22"/>
          <w:lang w:val="zh-CN"/>
        </w:rPr>
        <w:t>-</w:t>
      </w:r>
      <w:r>
        <w:rPr>
          <w:rFonts w:hint="eastAsia" w:ascii="Times New Roman" w:hAnsi="Times New Roman" w:eastAsia="宋体" w:cs="Times New Roman"/>
          <w:szCs w:val="22"/>
          <w:lang w:val="zh-CN"/>
        </w:rPr>
        <w:t>5-</w:t>
      </w:r>
      <w:r>
        <w:rPr>
          <w:rFonts w:hint="eastAsia" w:cs="Times New Roman"/>
          <w:szCs w:val="22"/>
          <w:lang w:val="en-US" w:eastAsia="zh-CN"/>
        </w:rPr>
        <w:t>7</w:t>
      </w:r>
      <w:r>
        <w:rPr>
          <w:rFonts w:ascii="Times New Roman" w:hAnsi="Times New Roman" w:eastAsia="宋体" w:cs="Times New Roman"/>
          <w:szCs w:val="22"/>
          <w:lang w:val="zh-CN"/>
        </w:rPr>
        <w:t>投标人提供证明其供应经验及能力</w:t>
      </w:r>
      <w:r>
        <w:rPr>
          <w:rFonts w:hint="eastAsia" w:ascii="Times New Roman" w:hAnsi="Times New Roman" w:eastAsia="宋体" w:cs="Times New Roman"/>
          <w:szCs w:val="22"/>
          <w:lang w:val="zh-CN"/>
        </w:rPr>
        <w:t>的相应</w:t>
      </w:r>
      <w:r>
        <w:rPr>
          <w:rFonts w:ascii="Times New Roman" w:hAnsi="Times New Roman" w:eastAsia="宋体" w:cs="Times New Roman"/>
          <w:szCs w:val="22"/>
          <w:lang w:val="zh-CN"/>
        </w:rPr>
        <w:t>业绩</w:t>
      </w:r>
      <w:r>
        <w:rPr>
          <w:rFonts w:hint="eastAsia" w:ascii="Times New Roman" w:hAnsi="Times New Roman" w:eastAsia="宋体" w:cs="Times New Roman"/>
          <w:szCs w:val="22"/>
          <w:lang w:val="zh-CN"/>
        </w:rPr>
        <w:t>或其他证明材料；</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6</w:t>
      </w:r>
      <w:r>
        <w:rPr>
          <w:rFonts w:ascii="Times New Roman" w:hAnsi="Times New Roman" w:eastAsia="宋体" w:cs="Times New Roman"/>
          <w:szCs w:val="22"/>
          <w:lang w:val="zh-CN"/>
        </w:rPr>
        <w:t>-</w:t>
      </w:r>
      <w:r>
        <w:rPr>
          <w:rFonts w:hint="eastAsia" w:ascii="Times New Roman" w:hAnsi="Times New Roman" w:eastAsia="宋体" w:cs="Times New Roman"/>
          <w:szCs w:val="22"/>
          <w:lang w:val="zh-CN"/>
        </w:rPr>
        <w:t>5-</w:t>
      </w:r>
      <w:r>
        <w:rPr>
          <w:rFonts w:hint="eastAsia" w:cs="Times New Roman"/>
          <w:szCs w:val="22"/>
          <w:lang w:val="en-US" w:eastAsia="zh-CN"/>
        </w:rPr>
        <w:t>8</w:t>
      </w:r>
      <w:r>
        <w:rPr>
          <w:rFonts w:hint="eastAsia" w:ascii="Times New Roman" w:hAnsi="Times New Roman" w:eastAsia="宋体" w:cs="Times New Roman"/>
          <w:szCs w:val="22"/>
          <w:lang w:val="en-US" w:eastAsia="zh-CN"/>
        </w:rPr>
        <w:t>招标文件要求的其他内容。</w:t>
      </w:r>
    </w:p>
    <w:p>
      <w:pPr>
        <w:pStyle w:val="6"/>
        <w:keepLines w:val="0"/>
        <w:pageBreakBefore w:val="0"/>
        <w:kinsoku/>
        <w:wordWrap/>
        <w:overflowPunct/>
        <w:topLinePunct w:val="0"/>
        <w:bidi w:val="0"/>
        <w:spacing w:line="400" w:lineRule="exact"/>
        <w:rPr>
          <w:lang w:val="zh-CN"/>
        </w:rPr>
      </w:pPr>
      <w:r>
        <w:rPr>
          <w:rFonts w:hint="eastAsia"/>
        </w:rPr>
        <w:t>7</w:t>
      </w:r>
      <w:r>
        <w:rPr>
          <w:lang w:val="zh-CN"/>
        </w:rPr>
        <w:t>、投标报价</w:t>
      </w:r>
    </w:p>
    <w:p>
      <w:pPr>
        <w:pStyle w:val="6"/>
        <w:keepLines w:val="0"/>
        <w:pageBreakBefore w:val="0"/>
        <w:kinsoku/>
        <w:wordWrap/>
        <w:overflowPunct/>
        <w:topLinePunct w:val="0"/>
        <w:bidi w:val="0"/>
        <w:spacing w:line="400" w:lineRule="exact"/>
      </w:pPr>
      <w:r>
        <w:rPr>
          <w:rFonts w:hint="eastAsia"/>
        </w:rPr>
        <w:t>7</w:t>
      </w:r>
      <w:r>
        <w:rPr>
          <w:lang w:val="zh-CN"/>
        </w:rPr>
        <w:t>-1、投标人应</w:t>
      </w:r>
      <w:r>
        <w:rPr>
          <w:rFonts w:hint="eastAsia"/>
          <w:lang w:val="zh-CN"/>
        </w:rPr>
        <w:t>按照招标文件规定的货物和服务要求，责任范围和合同条件进行报价，</w:t>
      </w:r>
      <w:r>
        <w:rPr>
          <w:lang w:val="zh-CN"/>
        </w:rPr>
        <w:t>在投标文件中的开标一览表（报价表）上按要求标明各项分类报价、投标总价、</w:t>
      </w:r>
      <w:r>
        <w:rPr>
          <w:rFonts w:hint="eastAsia"/>
          <w:lang w:val="en-US" w:eastAsia="zh-CN"/>
        </w:rPr>
        <w:t>供货</w:t>
      </w:r>
      <w:r>
        <w:rPr>
          <w:lang w:val="zh-CN"/>
        </w:rPr>
        <w:t>期等项，任何有选择的报价采购代理机构不予接受。</w:t>
      </w:r>
    </w:p>
    <w:p>
      <w:pPr>
        <w:pStyle w:val="6"/>
        <w:keepLines w:val="0"/>
        <w:pageBreakBefore w:val="0"/>
        <w:kinsoku/>
        <w:wordWrap/>
        <w:overflowPunct/>
        <w:topLinePunct w:val="0"/>
        <w:bidi w:val="0"/>
        <w:spacing w:line="400" w:lineRule="exact"/>
        <w:rPr>
          <w:rFonts w:hint="eastAsia"/>
        </w:rPr>
      </w:pPr>
      <w:r>
        <w:rPr>
          <w:rFonts w:hint="eastAsia"/>
        </w:rPr>
        <w:t>7</w:t>
      </w:r>
      <w:r>
        <w:rPr>
          <w:lang w:val="zh-CN"/>
        </w:rPr>
        <w:t>-2、</w:t>
      </w:r>
      <w:r>
        <w:rPr>
          <w:rFonts w:hint="eastAsia"/>
        </w:rPr>
        <w:t>投标报价是完成招标内容所需的全部费用，包括货物费</w:t>
      </w:r>
      <w:r>
        <w:t>、运杂费</w:t>
      </w:r>
      <w:r>
        <w:rPr>
          <w:rFonts w:hint="eastAsia"/>
        </w:rPr>
        <w:t>及</w:t>
      </w:r>
      <w:r>
        <w:t>其它相关的费用</w:t>
      </w:r>
      <w:r>
        <w:rPr>
          <w:rFonts w:hint="eastAsia"/>
        </w:rPr>
        <w:t>。</w:t>
      </w:r>
    </w:p>
    <w:p>
      <w:pPr>
        <w:pStyle w:val="6"/>
        <w:keepLines w:val="0"/>
        <w:pageBreakBefore w:val="0"/>
        <w:kinsoku/>
        <w:wordWrap/>
        <w:overflowPunct/>
        <w:topLinePunct w:val="0"/>
        <w:bidi w:val="0"/>
        <w:spacing w:line="400" w:lineRule="exact"/>
      </w:pPr>
      <w:r>
        <w:rPr>
          <w:rFonts w:hint="eastAsia"/>
        </w:rPr>
        <w:t>7</w:t>
      </w:r>
      <w:r>
        <w:rPr>
          <w:lang w:val="zh-CN"/>
        </w:rPr>
        <w:t>-3、投标报价表中标明的价格</w:t>
      </w:r>
      <w:r>
        <w:rPr>
          <w:rFonts w:hint="eastAsia"/>
          <w:lang w:val="zh-CN"/>
        </w:rPr>
        <w:t>为合同最终价格，</w:t>
      </w:r>
      <w:r>
        <w:rPr>
          <w:lang w:val="zh-CN"/>
        </w:rPr>
        <w:t>在合同执行过程中，不得以任何理由变更。</w:t>
      </w:r>
    </w:p>
    <w:p>
      <w:pPr>
        <w:pStyle w:val="6"/>
        <w:keepLines w:val="0"/>
        <w:pageBreakBefore w:val="0"/>
        <w:kinsoku/>
        <w:wordWrap/>
        <w:overflowPunct/>
        <w:topLinePunct w:val="0"/>
        <w:bidi w:val="0"/>
        <w:spacing w:line="400" w:lineRule="exact"/>
      </w:pPr>
      <w:r>
        <w:rPr>
          <w:rFonts w:hint="eastAsia"/>
        </w:rPr>
        <w:t>7</w:t>
      </w:r>
      <w:r>
        <w:rPr>
          <w:lang w:val="zh-CN"/>
        </w:rPr>
        <w:t>-4、凡因投标人对招标文件阅读不深、理解不透、误解、疏漏、或因市场行情了解不清造成的后果和风险均由投标人</w:t>
      </w:r>
      <w:r>
        <w:rPr>
          <w:rFonts w:hint="eastAsia"/>
          <w:lang w:val="zh-CN"/>
        </w:rPr>
        <w:t>自行负责</w:t>
      </w:r>
      <w:r>
        <w:rPr>
          <w:lang w:val="zh-CN"/>
        </w:rPr>
        <w:t>。</w:t>
      </w:r>
    </w:p>
    <w:p>
      <w:pPr>
        <w:pStyle w:val="6"/>
        <w:keepLines w:val="0"/>
        <w:pageBreakBefore w:val="0"/>
        <w:kinsoku/>
        <w:wordWrap/>
        <w:overflowPunct/>
        <w:topLinePunct w:val="0"/>
        <w:bidi w:val="0"/>
        <w:spacing w:line="400" w:lineRule="exact"/>
      </w:pPr>
      <w:r>
        <w:rPr>
          <w:rFonts w:hint="eastAsia"/>
        </w:rPr>
        <w:t>7</w:t>
      </w:r>
      <w:r>
        <w:rPr>
          <w:lang w:val="zh-CN"/>
        </w:rPr>
        <w:t>-5、投标过程中所产生的一切费用由投标人自行承担。</w:t>
      </w:r>
    </w:p>
    <w:p>
      <w:pPr>
        <w:pStyle w:val="6"/>
        <w:keepLines w:val="0"/>
        <w:pageBreakBefore w:val="0"/>
        <w:kinsoku/>
        <w:wordWrap/>
        <w:overflowPunct/>
        <w:topLinePunct w:val="0"/>
        <w:bidi w:val="0"/>
        <w:spacing w:line="400" w:lineRule="exact"/>
        <w:rPr>
          <w:rFonts w:ascii="仿宋" w:hAnsi="仿宋" w:eastAsia="仿宋"/>
          <w:szCs w:val="28"/>
        </w:rPr>
      </w:pPr>
      <w:r>
        <w:rPr>
          <w:rFonts w:hint="eastAsia"/>
        </w:rPr>
        <w:t>8</w:t>
      </w:r>
      <w:r>
        <w:rPr>
          <w:lang w:val="zh-CN"/>
        </w:rPr>
        <w:t>、投标保证金</w:t>
      </w:r>
      <w:r>
        <w:rPr>
          <w:rFonts w:hint="eastAsia"/>
          <w:lang w:val="zh-CN"/>
        </w:rPr>
        <w:t>的交纳和退付</w:t>
      </w:r>
    </w:p>
    <w:p>
      <w:pPr>
        <w:pStyle w:val="6"/>
        <w:keepLines w:val="0"/>
        <w:pageBreakBefore w:val="0"/>
        <w:kinsoku/>
        <w:wordWrap/>
        <w:overflowPunct/>
        <w:topLinePunct w:val="0"/>
        <w:bidi w:val="0"/>
        <w:spacing w:line="400" w:lineRule="exact"/>
        <w:rPr>
          <w:rFonts w:hint="eastAsia"/>
          <w:lang w:val="zh-CN"/>
        </w:rPr>
      </w:pPr>
      <w:r>
        <w:rPr>
          <w:rFonts w:hint="eastAsia"/>
        </w:rPr>
        <w:t>8</w:t>
      </w:r>
      <w:r>
        <w:t>-1</w:t>
      </w:r>
      <w:r>
        <w:rPr>
          <w:lang w:val="zh-CN"/>
        </w:rPr>
        <w:t>、投标人须向采购代理机构递</w:t>
      </w:r>
      <w:r>
        <w:rPr>
          <w:rFonts w:hint="eastAsia"/>
          <w:lang w:val="zh-CN"/>
        </w:rPr>
        <w:t>投标保证金，投标保证金应在投标截止时间前到帐。</w:t>
      </w:r>
    </w:p>
    <w:p>
      <w:pPr>
        <w:pStyle w:val="6"/>
        <w:keepLines w:val="0"/>
        <w:pageBreakBefore w:val="0"/>
        <w:kinsoku/>
        <w:wordWrap/>
        <w:overflowPunct/>
        <w:topLinePunct w:val="0"/>
        <w:bidi w:val="0"/>
        <w:spacing w:line="400" w:lineRule="exact"/>
      </w:pPr>
      <w:r>
        <w:rPr>
          <w:rFonts w:hint="eastAsia"/>
          <w:lang w:val="en-US" w:eastAsia="zh-CN"/>
        </w:rPr>
        <w:t>8-</w:t>
      </w:r>
      <w:r>
        <w:rPr>
          <w:rFonts w:hint="eastAsia"/>
          <w:lang w:val="zh-CN"/>
        </w:rPr>
        <w:t>2、提交投标保证金后，各投标人须将其保证金交纳凭证复印件（加盖投标人红章）附在投标文件中，否则视为无效投标。</w:t>
      </w:r>
    </w:p>
    <w:p>
      <w:pPr>
        <w:pStyle w:val="6"/>
        <w:keepLines w:val="0"/>
        <w:pageBreakBefore w:val="0"/>
        <w:kinsoku/>
        <w:wordWrap/>
        <w:overflowPunct/>
        <w:topLinePunct w:val="0"/>
        <w:bidi w:val="0"/>
        <w:spacing w:line="400" w:lineRule="exact"/>
        <w:rPr>
          <w:rFonts w:hint="eastAsia"/>
          <w:lang w:val="zh-CN"/>
        </w:rPr>
      </w:pPr>
      <w:r>
        <w:rPr>
          <w:rFonts w:hint="eastAsia"/>
        </w:rPr>
        <w:t>8</w:t>
      </w:r>
      <w:r>
        <w:t>-</w:t>
      </w:r>
      <w:r>
        <w:rPr>
          <w:rFonts w:hint="eastAsia"/>
        </w:rPr>
        <w:t>3</w:t>
      </w:r>
      <w:r>
        <w:rPr>
          <w:lang w:val="zh-CN"/>
        </w:rPr>
        <w:t>、投标保证金应用人民币，采用银行转帐支票，电汇、银行即期汇票、投标担保函（</w:t>
      </w:r>
      <w:r>
        <w:rPr>
          <w:rFonts w:hint="eastAsia"/>
          <w:lang w:val="zh-CN"/>
        </w:rPr>
        <w:t>另行提供</w:t>
      </w:r>
      <w:r>
        <w:rPr>
          <w:lang w:val="zh-CN"/>
        </w:rPr>
        <w:t>）的任何一种</w:t>
      </w:r>
      <w:r>
        <w:rPr>
          <w:rFonts w:hint="eastAsia"/>
          <w:lang w:val="zh-CN"/>
        </w:rPr>
        <w:t>非现金</w:t>
      </w:r>
      <w:r>
        <w:rPr>
          <w:lang w:val="zh-CN"/>
        </w:rPr>
        <w:t>形式支付</w:t>
      </w:r>
      <w:r>
        <w:rPr>
          <w:rFonts w:hint="eastAsia"/>
          <w:lang w:val="zh-CN"/>
        </w:rPr>
        <w:t>。</w:t>
      </w:r>
    </w:p>
    <w:p>
      <w:pPr>
        <w:pStyle w:val="6"/>
        <w:keepLines w:val="0"/>
        <w:pageBreakBefore w:val="0"/>
        <w:kinsoku/>
        <w:wordWrap/>
        <w:overflowPunct/>
        <w:topLinePunct w:val="0"/>
        <w:bidi w:val="0"/>
        <w:spacing w:line="400" w:lineRule="exact"/>
        <w:rPr>
          <w:rFonts w:hint="eastAsia" w:ascii="仿宋" w:hAnsi="仿宋" w:eastAsia="仿宋"/>
          <w:szCs w:val="28"/>
          <w:lang w:val="zh-CN"/>
        </w:rPr>
      </w:pPr>
      <w:r>
        <w:rPr>
          <w:rFonts w:hint="eastAsia"/>
          <w:lang w:val="zh-CN"/>
        </w:rPr>
        <w:t>8-4、如投标保证金以保函形式交纳，投标人须在采购代理机构财务部换取保证金交纳凭证，并将复印件（加盖投标人红章）附在投标文件中，否则视为无效投标。</w:t>
      </w:r>
    </w:p>
    <w:p>
      <w:pPr>
        <w:pStyle w:val="6"/>
        <w:keepLines w:val="0"/>
        <w:pageBreakBefore w:val="0"/>
        <w:kinsoku/>
        <w:wordWrap/>
        <w:overflowPunct/>
        <w:topLinePunct w:val="0"/>
        <w:bidi w:val="0"/>
        <w:spacing w:line="400" w:lineRule="exact"/>
        <w:rPr>
          <w:rFonts w:hint="eastAsia"/>
          <w:lang w:val="zh-CN"/>
        </w:rPr>
      </w:pPr>
      <w:r>
        <w:rPr>
          <w:rFonts w:hint="eastAsia"/>
        </w:rPr>
        <w:t>8</w:t>
      </w:r>
      <w:r>
        <w:rPr>
          <w:lang w:val="zh-CN"/>
        </w:rPr>
        <w:t>-</w:t>
      </w:r>
      <w:r>
        <w:rPr>
          <w:rFonts w:hint="eastAsia"/>
          <w:lang w:val="en-US" w:eastAsia="zh-CN"/>
        </w:rPr>
        <w:t>5</w:t>
      </w:r>
      <w:r>
        <w:rPr>
          <w:lang w:val="zh-CN"/>
        </w:rPr>
        <w:t>、联合体投标的，可以由联合体中的一方或者共同提交投标保证金，以一方提交投标保证金的，对联合体各方均具有约束力。</w:t>
      </w:r>
    </w:p>
    <w:p>
      <w:pPr>
        <w:pStyle w:val="6"/>
        <w:keepLines w:val="0"/>
        <w:pageBreakBefore w:val="0"/>
        <w:kinsoku/>
        <w:wordWrap/>
        <w:overflowPunct/>
        <w:topLinePunct w:val="0"/>
        <w:bidi w:val="0"/>
        <w:spacing w:line="400" w:lineRule="exact"/>
        <w:rPr>
          <w:lang w:val="zh-CN"/>
        </w:rPr>
      </w:pPr>
      <w:r>
        <w:rPr>
          <w:rFonts w:hint="eastAsia"/>
        </w:rPr>
        <w:t>8</w:t>
      </w:r>
      <w:r>
        <w:t>-</w:t>
      </w:r>
      <w:r>
        <w:rPr>
          <w:rFonts w:hint="eastAsia"/>
          <w:lang w:val="en-US" w:eastAsia="zh-CN"/>
        </w:rPr>
        <w:t>6</w:t>
      </w:r>
      <w:r>
        <w:rPr>
          <w:lang w:val="zh-CN"/>
        </w:rPr>
        <w:t>、自中标通知书发出之日起</w:t>
      </w:r>
      <w:r>
        <w:rPr>
          <w:rFonts w:hint="eastAsia"/>
          <w:lang w:val="zh-CN"/>
        </w:rPr>
        <w:t>五</w:t>
      </w:r>
      <w:r>
        <w:rPr>
          <w:lang w:val="zh-CN"/>
        </w:rPr>
        <w:t>个工作日内退还未中标人的投标保证金，自采购合同签订之日起</w:t>
      </w:r>
      <w:r>
        <w:rPr>
          <w:rFonts w:hint="eastAsia"/>
          <w:lang w:val="zh-CN"/>
        </w:rPr>
        <w:t>五</w:t>
      </w:r>
      <w:r>
        <w:rPr>
          <w:lang w:val="zh-CN"/>
        </w:rPr>
        <w:t>个工作日内退还中标人的投标保证金或者转为中标人的履约保证金。</w:t>
      </w:r>
    </w:p>
    <w:p>
      <w:pPr>
        <w:pStyle w:val="6"/>
        <w:keepLines w:val="0"/>
        <w:pageBreakBefore w:val="0"/>
        <w:kinsoku/>
        <w:wordWrap/>
        <w:overflowPunct/>
        <w:topLinePunct w:val="0"/>
        <w:bidi w:val="0"/>
        <w:spacing w:line="400" w:lineRule="exact"/>
        <w:rPr>
          <w:rFonts w:hint="eastAsia"/>
          <w:lang w:val="zh-CN"/>
        </w:rPr>
      </w:pPr>
      <w:r>
        <w:rPr>
          <w:rFonts w:hint="eastAsia"/>
        </w:rPr>
        <w:t>8</w:t>
      </w:r>
      <w:r>
        <w:rPr>
          <w:lang w:val="zh-CN"/>
        </w:rPr>
        <w:t>-</w:t>
      </w:r>
      <w:r>
        <w:rPr>
          <w:rFonts w:hint="eastAsia"/>
          <w:lang w:val="en-US" w:eastAsia="zh-CN"/>
        </w:rPr>
        <w:t>7</w:t>
      </w:r>
      <w:r>
        <w:rPr>
          <w:lang w:val="zh-CN"/>
        </w:rPr>
        <w:t>、</w:t>
      </w:r>
      <w:r>
        <w:rPr>
          <w:rFonts w:hint="eastAsia"/>
          <w:lang w:val="zh-CN"/>
        </w:rPr>
        <w:t>投标</w:t>
      </w:r>
      <w:r>
        <w:rPr>
          <w:lang w:val="zh-CN"/>
        </w:rPr>
        <w:t>人有下列情形之一的，采购代理机构不予退还其交纳的投标保证金</w:t>
      </w:r>
      <w:r>
        <w:rPr>
          <w:rFonts w:hint="eastAsia"/>
          <w:lang w:val="zh-CN"/>
        </w:rPr>
        <w:t>，并在项目财政主管部门备案</w:t>
      </w:r>
      <w:r>
        <w:rPr>
          <w:lang w:val="zh-CN"/>
        </w:rPr>
        <w:t>；情节严重的，由财政部门将其列入不良行为纪录名单予以通报，在一至三年内禁止参加政府采购活动：</w:t>
      </w:r>
    </w:p>
    <w:p>
      <w:pPr>
        <w:pStyle w:val="6"/>
        <w:keepLines w:val="0"/>
        <w:pageBreakBefore w:val="0"/>
        <w:kinsoku/>
        <w:wordWrap/>
        <w:overflowPunct/>
        <w:topLinePunct w:val="0"/>
        <w:bidi w:val="0"/>
        <w:spacing w:line="400" w:lineRule="exact"/>
        <w:rPr>
          <w:rFonts w:hint="eastAsia"/>
          <w:lang w:val="zh-CN"/>
        </w:rPr>
      </w:pPr>
      <w:r>
        <w:rPr>
          <w:rFonts w:hint="eastAsia"/>
          <w:lang w:val="zh-CN"/>
        </w:rPr>
        <w:t>8</w:t>
      </w:r>
      <w:r>
        <w:rPr>
          <w:lang w:val="zh-CN"/>
        </w:rPr>
        <w:t>-</w:t>
      </w:r>
      <w:r>
        <w:rPr>
          <w:rFonts w:hint="eastAsia"/>
          <w:lang w:val="zh-CN"/>
        </w:rPr>
        <w:t>8</w:t>
      </w:r>
      <w:r>
        <w:rPr>
          <w:lang w:val="zh-CN"/>
        </w:rPr>
        <w:t>-</w:t>
      </w:r>
      <w:r>
        <w:rPr>
          <w:rFonts w:hint="eastAsia"/>
          <w:lang w:val="zh-CN"/>
        </w:rPr>
        <w:t>1</w:t>
      </w:r>
      <w:r>
        <w:rPr>
          <w:lang w:val="zh-CN"/>
        </w:rPr>
        <w:t>、</w:t>
      </w:r>
      <w:r>
        <w:rPr>
          <w:rFonts w:hint="eastAsia"/>
          <w:lang w:val="zh-CN"/>
        </w:rPr>
        <w:t>投标人在投标截止时间后撤销投标文件的；</w:t>
      </w:r>
    </w:p>
    <w:p>
      <w:pPr>
        <w:pStyle w:val="6"/>
        <w:keepLines w:val="0"/>
        <w:pageBreakBefore w:val="0"/>
        <w:kinsoku/>
        <w:wordWrap/>
        <w:overflowPunct/>
        <w:topLinePunct w:val="0"/>
        <w:bidi w:val="0"/>
        <w:spacing w:line="400" w:lineRule="exact"/>
        <w:rPr>
          <w:rFonts w:hint="eastAsia"/>
          <w:lang w:val="zh-CN"/>
        </w:rPr>
      </w:pPr>
      <w:r>
        <w:rPr>
          <w:rFonts w:hint="eastAsia"/>
          <w:lang w:val="zh-CN"/>
        </w:rPr>
        <w:t>8</w:t>
      </w:r>
      <w:r>
        <w:rPr>
          <w:lang w:val="zh-CN"/>
        </w:rPr>
        <w:t>-</w:t>
      </w:r>
      <w:r>
        <w:rPr>
          <w:rFonts w:hint="eastAsia"/>
          <w:lang w:val="zh-CN"/>
        </w:rPr>
        <w:t>8</w:t>
      </w:r>
      <w:r>
        <w:rPr>
          <w:lang w:val="zh-CN"/>
        </w:rPr>
        <w:t>-2、</w:t>
      </w:r>
      <w:r>
        <w:rPr>
          <w:rFonts w:hint="eastAsia"/>
          <w:lang w:val="zh-CN"/>
        </w:rPr>
        <w:t>投标人在投标文件中提供虚假材料的；</w:t>
      </w:r>
    </w:p>
    <w:p>
      <w:pPr>
        <w:pStyle w:val="6"/>
        <w:keepLines w:val="0"/>
        <w:pageBreakBefore w:val="0"/>
        <w:kinsoku/>
        <w:wordWrap/>
        <w:overflowPunct/>
        <w:topLinePunct w:val="0"/>
        <w:bidi w:val="0"/>
        <w:spacing w:line="400" w:lineRule="exact"/>
        <w:rPr>
          <w:rFonts w:hint="eastAsia"/>
          <w:lang w:val="zh-CN"/>
        </w:rPr>
      </w:pPr>
      <w:r>
        <w:rPr>
          <w:rFonts w:hint="eastAsia"/>
        </w:rPr>
        <w:t>8</w:t>
      </w:r>
      <w:r>
        <w:rPr>
          <w:lang w:val="zh-CN"/>
        </w:rPr>
        <w:t>-</w:t>
      </w:r>
      <w:r>
        <w:rPr>
          <w:rFonts w:hint="eastAsia"/>
        </w:rPr>
        <w:t>8</w:t>
      </w:r>
      <w:r>
        <w:rPr>
          <w:lang w:val="zh-CN"/>
        </w:rPr>
        <w:t>-</w:t>
      </w:r>
      <w:r>
        <w:rPr>
          <w:rFonts w:hint="eastAsia"/>
          <w:lang w:val="zh-CN"/>
        </w:rPr>
        <w:t>3</w:t>
      </w:r>
      <w:r>
        <w:rPr>
          <w:lang w:val="zh-CN"/>
        </w:rPr>
        <w:t>、</w:t>
      </w:r>
      <w:r>
        <w:rPr>
          <w:rFonts w:hint="eastAsia"/>
          <w:lang w:val="zh-CN"/>
        </w:rPr>
        <w:t>除因不可抗力或招标文件认可的情形以外，中标人不与采购人签订合同的；</w:t>
      </w:r>
    </w:p>
    <w:p>
      <w:pPr>
        <w:pStyle w:val="6"/>
        <w:keepLines w:val="0"/>
        <w:pageBreakBefore w:val="0"/>
        <w:kinsoku/>
        <w:wordWrap/>
        <w:overflowPunct/>
        <w:topLinePunct w:val="0"/>
        <w:bidi w:val="0"/>
        <w:spacing w:line="400" w:lineRule="exact"/>
        <w:rPr>
          <w:rFonts w:hint="eastAsia"/>
          <w:lang w:val="zh-CN"/>
        </w:rPr>
      </w:pPr>
      <w:r>
        <w:rPr>
          <w:rFonts w:hint="eastAsia"/>
        </w:rPr>
        <w:t>8</w:t>
      </w:r>
      <w:r>
        <w:rPr>
          <w:lang w:val="zh-CN"/>
        </w:rPr>
        <w:t>-</w:t>
      </w:r>
      <w:r>
        <w:rPr>
          <w:rFonts w:hint="eastAsia"/>
        </w:rPr>
        <w:t>8</w:t>
      </w:r>
      <w:r>
        <w:rPr>
          <w:lang w:val="zh-CN"/>
        </w:rPr>
        <w:t>-</w:t>
      </w:r>
      <w:r>
        <w:rPr>
          <w:rFonts w:hint="eastAsia"/>
          <w:lang w:val="zh-CN"/>
        </w:rPr>
        <w:t>4</w:t>
      </w:r>
      <w:r>
        <w:rPr>
          <w:lang w:val="zh-CN"/>
        </w:rPr>
        <w:t>、</w:t>
      </w:r>
      <w:r>
        <w:rPr>
          <w:rFonts w:hint="eastAsia"/>
          <w:lang w:val="zh-CN"/>
        </w:rPr>
        <w:t>投标人与采购人、其他投标人或者采购代理机构恶意串通的；</w:t>
      </w:r>
    </w:p>
    <w:p>
      <w:pPr>
        <w:pStyle w:val="6"/>
        <w:keepLines w:val="0"/>
        <w:pageBreakBefore w:val="0"/>
        <w:kinsoku/>
        <w:wordWrap/>
        <w:overflowPunct/>
        <w:topLinePunct w:val="0"/>
        <w:bidi w:val="0"/>
        <w:spacing w:line="400" w:lineRule="exact"/>
        <w:rPr>
          <w:rFonts w:hint="eastAsia"/>
          <w:lang w:val="zh-CN"/>
        </w:rPr>
      </w:pPr>
      <w:r>
        <w:rPr>
          <w:rFonts w:hint="eastAsia"/>
        </w:rPr>
        <w:t>8</w:t>
      </w:r>
      <w:r>
        <w:rPr>
          <w:lang w:val="zh-CN"/>
        </w:rPr>
        <w:t>-</w:t>
      </w:r>
      <w:r>
        <w:rPr>
          <w:rFonts w:hint="eastAsia"/>
        </w:rPr>
        <w:t>8</w:t>
      </w:r>
      <w:r>
        <w:rPr>
          <w:lang w:val="zh-CN"/>
        </w:rPr>
        <w:t>-</w:t>
      </w:r>
      <w:r>
        <w:rPr>
          <w:rFonts w:hint="eastAsia"/>
          <w:lang w:val="zh-CN"/>
        </w:rPr>
        <w:t>5</w:t>
      </w:r>
      <w:r>
        <w:rPr>
          <w:lang w:val="zh-CN"/>
        </w:rPr>
        <w:t>、中标人将中标项目转让给他人，或者在投标文件中未说明，且未经采购人同意，将中标项目分包给他人的；</w:t>
      </w:r>
    </w:p>
    <w:p>
      <w:pPr>
        <w:pStyle w:val="6"/>
        <w:keepLines w:val="0"/>
        <w:pageBreakBefore w:val="0"/>
        <w:kinsoku/>
        <w:wordWrap/>
        <w:overflowPunct/>
        <w:topLinePunct w:val="0"/>
        <w:bidi w:val="0"/>
        <w:spacing w:line="400" w:lineRule="exact"/>
        <w:rPr>
          <w:rFonts w:hint="eastAsia"/>
          <w:lang w:val="zh-CN"/>
        </w:rPr>
      </w:pPr>
      <w:r>
        <w:rPr>
          <w:rFonts w:hint="eastAsia"/>
        </w:rPr>
        <w:t>8</w:t>
      </w:r>
      <w:r>
        <w:rPr>
          <w:lang w:val="zh-CN"/>
        </w:rPr>
        <w:t>-</w:t>
      </w:r>
      <w:r>
        <w:rPr>
          <w:rFonts w:hint="eastAsia"/>
        </w:rPr>
        <w:t>8</w:t>
      </w:r>
      <w:r>
        <w:rPr>
          <w:lang w:val="zh-CN"/>
        </w:rPr>
        <w:t>-</w:t>
      </w:r>
      <w:r>
        <w:rPr>
          <w:rFonts w:hint="eastAsia"/>
          <w:lang w:val="zh-CN"/>
        </w:rPr>
        <w:t>6</w:t>
      </w:r>
      <w:r>
        <w:rPr>
          <w:lang w:val="zh-CN"/>
        </w:rPr>
        <w:t>、中标人拒绝履行合同义务的。</w:t>
      </w:r>
    </w:p>
    <w:p>
      <w:pPr>
        <w:pStyle w:val="6"/>
        <w:keepLines w:val="0"/>
        <w:pageBreakBefore w:val="0"/>
        <w:kinsoku/>
        <w:wordWrap/>
        <w:overflowPunct/>
        <w:topLinePunct w:val="0"/>
        <w:bidi w:val="0"/>
        <w:spacing w:line="400" w:lineRule="exact"/>
        <w:rPr>
          <w:rFonts w:hint="eastAsia"/>
          <w:lang w:val="zh-CN"/>
        </w:rPr>
      </w:pPr>
      <w:r>
        <w:rPr>
          <w:rFonts w:hint="eastAsia"/>
        </w:rPr>
        <w:t>9</w:t>
      </w:r>
      <w:r>
        <w:rPr>
          <w:lang w:val="zh-CN"/>
        </w:rPr>
        <w:t>、投标有效期</w:t>
      </w:r>
    </w:p>
    <w:p>
      <w:pPr>
        <w:pStyle w:val="6"/>
        <w:keepLines w:val="0"/>
        <w:pageBreakBefore w:val="0"/>
        <w:kinsoku/>
        <w:wordWrap/>
        <w:overflowPunct/>
        <w:topLinePunct w:val="0"/>
        <w:bidi w:val="0"/>
        <w:spacing w:line="400" w:lineRule="exact"/>
        <w:rPr>
          <w:rFonts w:hint="eastAsia"/>
          <w:lang w:val="zh-CN"/>
        </w:rPr>
      </w:pPr>
      <w:r>
        <w:rPr>
          <w:rFonts w:hint="eastAsia"/>
          <w:lang w:val="zh-CN"/>
        </w:rPr>
        <w:t>9-1、投标有效期</w:t>
      </w:r>
      <w:r>
        <w:rPr>
          <w:lang w:val="zh-CN"/>
        </w:rPr>
        <w:t>为</w:t>
      </w:r>
      <w:r>
        <w:rPr>
          <w:rFonts w:hint="eastAsia"/>
          <w:lang w:val="zh-CN"/>
        </w:rPr>
        <w:t>从提交投标文件的截止时间</w:t>
      </w:r>
      <w:r>
        <w:rPr>
          <w:lang w:val="zh-CN"/>
        </w:rPr>
        <w:t>起九十个日历日，</w:t>
      </w:r>
      <w:r>
        <w:rPr>
          <w:rFonts w:hint="eastAsia"/>
          <w:lang w:val="zh-CN"/>
        </w:rPr>
        <w:t>在有效期内投标文件对投标人具有法律约束力。</w:t>
      </w:r>
      <w:r>
        <w:rPr>
          <w:lang w:val="zh-CN"/>
        </w:rPr>
        <w:t>中标投标人的投标文件有效期自动延长至合同执行完毕。</w:t>
      </w:r>
    </w:p>
    <w:p>
      <w:pPr>
        <w:pStyle w:val="6"/>
        <w:keepLines w:val="0"/>
        <w:pageBreakBefore w:val="0"/>
        <w:kinsoku/>
        <w:wordWrap/>
        <w:overflowPunct/>
        <w:topLinePunct w:val="0"/>
        <w:bidi w:val="0"/>
        <w:spacing w:line="400" w:lineRule="exact"/>
        <w:rPr>
          <w:rFonts w:hint="eastAsia"/>
          <w:lang w:val="zh-CN"/>
        </w:rPr>
      </w:pPr>
      <w:r>
        <w:rPr>
          <w:rFonts w:hint="eastAsia"/>
          <w:lang w:val="zh-CN"/>
        </w:rPr>
        <w:t>9-2、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pPr>
        <w:pStyle w:val="6"/>
        <w:keepLines w:val="0"/>
        <w:pageBreakBefore w:val="0"/>
        <w:kinsoku/>
        <w:wordWrap/>
        <w:overflowPunct/>
        <w:topLinePunct w:val="0"/>
        <w:bidi w:val="0"/>
        <w:spacing w:line="400" w:lineRule="exact"/>
        <w:rPr>
          <w:rFonts w:ascii="仿宋" w:hAnsi="仿宋" w:eastAsia="仿宋"/>
          <w:szCs w:val="28"/>
          <w:lang w:val="zh-CN"/>
        </w:rPr>
      </w:pPr>
      <w:r>
        <w:rPr>
          <w:rFonts w:hint="eastAsia"/>
          <w:lang w:val="zh-CN"/>
        </w:rPr>
        <w:t>9-3、法定代表人授权书是投标文件的组成内容，其有效期不得少于投标有效期。</w:t>
      </w:r>
    </w:p>
    <w:p>
      <w:pPr>
        <w:pStyle w:val="4"/>
        <w:keepLines w:val="0"/>
        <w:pageBreakBefore w:val="0"/>
        <w:kinsoku/>
        <w:wordWrap/>
        <w:overflowPunct/>
        <w:topLinePunct w:val="0"/>
        <w:bidi w:val="0"/>
        <w:spacing w:line="400" w:lineRule="exact"/>
        <w:rPr>
          <w:lang w:val="zh-CN"/>
        </w:rPr>
      </w:pPr>
      <w:bookmarkStart w:id="20" w:name="_Toc15323700"/>
      <w:r>
        <w:rPr>
          <w:lang w:val="zh-CN"/>
        </w:rPr>
        <w:t>四、投标</w:t>
      </w:r>
      <w:bookmarkEnd w:id="20"/>
    </w:p>
    <w:p>
      <w:pPr>
        <w:pStyle w:val="6"/>
        <w:keepLines w:val="0"/>
        <w:pageBreakBefore w:val="0"/>
        <w:kinsoku/>
        <w:wordWrap/>
        <w:overflowPunct/>
        <w:topLinePunct w:val="0"/>
        <w:bidi w:val="0"/>
        <w:spacing w:line="400" w:lineRule="exact"/>
        <w:rPr>
          <w:lang w:val="zh-CN"/>
        </w:rPr>
      </w:pPr>
      <w:r>
        <w:t>1</w:t>
      </w:r>
      <w:r>
        <w:rPr>
          <w:lang w:val="zh-CN"/>
        </w:rPr>
        <w:t>、投标文件密封</w:t>
      </w:r>
    </w:p>
    <w:p>
      <w:pPr>
        <w:pStyle w:val="6"/>
        <w:keepLines w:val="0"/>
        <w:pageBreakBefore w:val="0"/>
        <w:kinsoku/>
        <w:wordWrap/>
        <w:overflowPunct/>
        <w:topLinePunct w:val="0"/>
        <w:bidi w:val="0"/>
        <w:spacing w:line="400" w:lineRule="exact"/>
      </w:pPr>
      <w:r>
        <w:rPr>
          <w:lang w:val="zh-CN"/>
        </w:rPr>
        <w:t>1-1、投标人应将投标文件密封</w:t>
      </w:r>
      <w:r>
        <w:rPr>
          <w:rFonts w:hint="eastAsia"/>
          <w:lang w:val="zh-CN"/>
        </w:rPr>
        <w:t>完好</w:t>
      </w:r>
      <w:r>
        <w:rPr>
          <w:lang w:val="zh-CN"/>
        </w:rPr>
        <w:t>，在</w:t>
      </w:r>
      <w:r>
        <w:rPr>
          <w:rFonts w:hint="eastAsia"/>
          <w:lang w:val="zh-CN"/>
        </w:rPr>
        <w:t>封套</w:t>
      </w:r>
      <w:r>
        <w:rPr>
          <w:lang w:val="zh-CN"/>
        </w:rPr>
        <w:t>上标明</w:t>
      </w:r>
      <w:r>
        <w:rPr>
          <w:rFonts w:hint="eastAsia"/>
          <w:lang w:val="zh-CN"/>
        </w:rPr>
        <w:t>采购项目</w:t>
      </w:r>
      <w:r>
        <w:rPr>
          <w:lang w:val="zh-CN"/>
        </w:rPr>
        <w:t>编号、投标项目</w:t>
      </w:r>
      <w:r>
        <w:rPr>
          <w:rFonts w:hint="eastAsia"/>
          <w:lang w:val="zh-CN"/>
        </w:rPr>
        <w:t>、</w:t>
      </w:r>
      <w:r>
        <w:rPr>
          <w:rFonts w:hint="eastAsia"/>
          <w:lang w:val="en-US" w:eastAsia="zh-CN"/>
        </w:rPr>
        <w:t>包号</w:t>
      </w:r>
      <w:r>
        <w:rPr>
          <w:lang w:val="zh-CN"/>
        </w:rPr>
        <w:t>，投标人全称（公章）</w:t>
      </w:r>
      <w:r>
        <w:t>等内容</w:t>
      </w:r>
      <w:r>
        <w:rPr>
          <w:lang w:val="zh-CN"/>
        </w:rPr>
        <w:t>，再加封条密封，在封线处加盖公章</w:t>
      </w:r>
      <w:r>
        <w:rPr>
          <w:rFonts w:hint="eastAsia"/>
          <w:lang w:val="zh-CN"/>
        </w:rPr>
        <w:t>。</w:t>
      </w:r>
    </w:p>
    <w:p>
      <w:pPr>
        <w:pStyle w:val="6"/>
        <w:keepLines w:val="0"/>
        <w:pageBreakBefore w:val="0"/>
        <w:kinsoku/>
        <w:wordWrap/>
        <w:overflowPunct/>
        <w:topLinePunct w:val="0"/>
        <w:bidi w:val="0"/>
        <w:spacing w:line="400" w:lineRule="exact"/>
        <w:rPr>
          <w:lang w:val="zh-CN"/>
        </w:rPr>
      </w:pPr>
      <w:r>
        <w:t>1-2</w:t>
      </w:r>
      <w:r>
        <w:rPr>
          <w:lang w:val="zh-CN"/>
        </w:rPr>
        <w:t>、对于需提供</w:t>
      </w:r>
      <w:r>
        <w:rPr>
          <w:rFonts w:hint="eastAsia"/>
          <w:lang w:val="zh-CN"/>
        </w:rPr>
        <w:t>资格证明</w:t>
      </w:r>
      <w:r>
        <w:rPr>
          <w:lang w:val="zh-CN"/>
        </w:rPr>
        <w:t>文件</w:t>
      </w:r>
      <w:r>
        <w:rPr>
          <w:rFonts w:hint="eastAsia"/>
          <w:lang w:val="zh-CN"/>
        </w:rPr>
        <w:t>或</w:t>
      </w:r>
      <w:r>
        <w:rPr>
          <w:lang w:val="zh-CN"/>
        </w:rPr>
        <w:t>业绩</w:t>
      </w:r>
      <w:r>
        <w:rPr>
          <w:rFonts w:hint="eastAsia"/>
          <w:lang w:val="zh-CN"/>
        </w:rPr>
        <w:t>等</w:t>
      </w:r>
      <w:r>
        <w:rPr>
          <w:lang w:val="zh-CN"/>
        </w:rPr>
        <w:t>原件的采购项目，投标人应标明</w:t>
      </w:r>
      <w:r>
        <w:rPr>
          <w:rFonts w:hint="eastAsia"/>
          <w:lang w:val="zh-CN"/>
        </w:rPr>
        <w:t>所提供原件的</w:t>
      </w:r>
      <w:r>
        <w:rPr>
          <w:lang w:val="zh-CN"/>
        </w:rPr>
        <w:t>明细表</w:t>
      </w:r>
      <w:r>
        <w:rPr>
          <w:rFonts w:hint="eastAsia"/>
          <w:lang w:val="zh-CN"/>
        </w:rPr>
        <w:t>，将其</w:t>
      </w:r>
      <w:r>
        <w:rPr>
          <w:lang w:val="zh-CN"/>
        </w:rPr>
        <w:t>单独密封</w:t>
      </w:r>
      <w:r>
        <w:rPr>
          <w:rFonts w:hint="eastAsia"/>
          <w:lang w:val="zh-CN"/>
        </w:rPr>
        <w:t>，随投标文件同时提交</w:t>
      </w:r>
      <w:r>
        <w:rPr>
          <w:lang w:val="zh-CN"/>
        </w:rPr>
        <w:t>。</w:t>
      </w:r>
    </w:p>
    <w:p>
      <w:pPr>
        <w:pStyle w:val="6"/>
        <w:keepLines w:val="0"/>
        <w:pageBreakBefore w:val="0"/>
        <w:kinsoku/>
        <w:wordWrap/>
        <w:overflowPunct/>
        <w:topLinePunct w:val="0"/>
        <w:bidi w:val="0"/>
        <w:spacing w:line="400" w:lineRule="exact"/>
        <w:rPr>
          <w:rFonts w:hint="eastAsia"/>
        </w:rPr>
      </w:pPr>
      <w:r>
        <w:rPr>
          <w:rFonts w:hint="eastAsia"/>
        </w:rPr>
        <w:t>1-3、投标文件未按要求密封或加写标记，采购代理机构对误投或过早启封的投标文件概不负责。</w:t>
      </w:r>
    </w:p>
    <w:p>
      <w:pPr>
        <w:pStyle w:val="6"/>
        <w:keepLines w:val="0"/>
        <w:pageBreakBefore w:val="0"/>
        <w:kinsoku/>
        <w:wordWrap/>
        <w:overflowPunct/>
        <w:topLinePunct w:val="0"/>
        <w:bidi w:val="0"/>
        <w:spacing w:line="400" w:lineRule="exact"/>
        <w:rPr>
          <w:lang w:val="zh-CN"/>
        </w:rPr>
      </w:pPr>
      <w:r>
        <w:rPr>
          <w:lang w:val="zh-CN"/>
        </w:rPr>
        <w:t>2、投标文件提交</w:t>
      </w:r>
    </w:p>
    <w:p>
      <w:pPr>
        <w:pStyle w:val="6"/>
        <w:keepLines w:val="0"/>
        <w:pageBreakBefore w:val="0"/>
        <w:kinsoku/>
        <w:wordWrap/>
        <w:overflowPunct/>
        <w:topLinePunct w:val="0"/>
        <w:bidi w:val="0"/>
        <w:spacing w:line="400" w:lineRule="exact"/>
        <w:rPr>
          <w:lang w:val="zh-CN"/>
        </w:rPr>
      </w:pPr>
      <w:r>
        <w:rPr>
          <w:lang w:val="zh-CN"/>
        </w:rPr>
        <w:t>2-1、投标人应在</w:t>
      </w:r>
      <w:r>
        <w:rPr>
          <w:rFonts w:hint="eastAsia"/>
          <w:lang w:val="zh-CN"/>
        </w:rPr>
        <w:t>招</w:t>
      </w:r>
      <w:r>
        <w:rPr>
          <w:lang w:val="zh-CN"/>
        </w:rPr>
        <w:t>标文件要求提交投标文件的截止时间前将投标文件密封送达投标地点</w:t>
      </w:r>
      <w:r>
        <w:rPr>
          <w:rFonts w:hint="eastAsia"/>
          <w:lang w:val="zh-CN"/>
        </w:rPr>
        <w:t>，采购代理机构检查符合要求后，办理接收手续，并向投标人出具签收回执</w:t>
      </w:r>
      <w:r>
        <w:rPr>
          <w:lang w:val="zh-CN"/>
        </w:rPr>
        <w:t>。</w:t>
      </w:r>
    </w:p>
    <w:p>
      <w:pPr>
        <w:pStyle w:val="6"/>
        <w:keepLines w:val="0"/>
        <w:pageBreakBefore w:val="0"/>
        <w:kinsoku/>
        <w:wordWrap/>
        <w:overflowPunct/>
        <w:topLinePunct w:val="0"/>
        <w:bidi w:val="0"/>
        <w:spacing w:line="400" w:lineRule="exact"/>
        <w:rPr>
          <w:lang w:val="zh-CN"/>
        </w:rPr>
      </w:pPr>
      <w:r>
        <w:rPr>
          <w:lang w:val="zh-CN"/>
        </w:rPr>
        <w:t>2-2、在招标文件要求提交投标文件的截止时间之后送达的投标文件</w:t>
      </w:r>
      <w:r>
        <w:rPr>
          <w:rFonts w:hint="eastAsia"/>
          <w:lang w:val="zh-CN"/>
        </w:rPr>
        <w:t>或未按招标文件要求密封的投标文件，</w:t>
      </w:r>
      <w:r>
        <w:rPr>
          <w:lang w:val="zh-CN"/>
        </w:rPr>
        <w:t>采购代理机构应当拒绝接收。</w:t>
      </w:r>
    </w:p>
    <w:p>
      <w:pPr>
        <w:pStyle w:val="6"/>
        <w:keepLines w:val="0"/>
        <w:pageBreakBefore w:val="0"/>
        <w:kinsoku/>
        <w:wordWrap/>
        <w:overflowPunct/>
        <w:topLinePunct w:val="0"/>
        <w:bidi w:val="0"/>
        <w:spacing w:line="400" w:lineRule="exact"/>
      </w:pPr>
      <w:r>
        <w:t>2-3</w:t>
      </w:r>
      <w:r>
        <w:rPr>
          <w:lang w:val="zh-CN"/>
        </w:rPr>
        <w:t>、投标人在投标截止时间前，可以对所提交的投标文件进行补充、修改或者撤回，并书面通知采购代理机构。补充、修改的内容应当按招标文件要求签署、盖章，并作为投标文件的组成部分。</w:t>
      </w:r>
    </w:p>
    <w:p>
      <w:pPr>
        <w:pStyle w:val="6"/>
        <w:keepLines w:val="0"/>
        <w:pageBreakBefore w:val="0"/>
        <w:kinsoku/>
        <w:wordWrap/>
        <w:overflowPunct/>
        <w:topLinePunct w:val="0"/>
        <w:bidi w:val="0"/>
        <w:spacing w:line="400" w:lineRule="exact"/>
      </w:pPr>
      <w:r>
        <w:t>2-4、投标文件提交截止时间后，投标人不得对其投标文件做任何修改。</w:t>
      </w:r>
    </w:p>
    <w:p>
      <w:pPr>
        <w:pStyle w:val="6"/>
        <w:keepLines w:val="0"/>
        <w:pageBreakBefore w:val="0"/>
        <w:kinsoku/>
        <w:wordWrap/>
        <w:overflowPunct/>
        <w:topLinePunct w:val="0"/>
        <w:bidi w:val="0"/>
        <w:spacing w:line="400" w:lineRule="exact"/>
      </w:pPr>
      <w:r>
        <w:rPr>
          <w:rFonts w:hint="eastAsia"/>
        </w:rPr>
        <w:t>3、投标活动中，</w:t>
      </w:r>
      <w:r>
        <w:t>有下列情形之一的，视为投标人串通投标，其投标无效：</w:t>
      </w:r>
    </w:p>
    <w:p>
      <w:pPr>
        <w:pStyle w:val="6"/>
        <w:keepLines w:val="0"/>
        <w:pageBreakBefore w:val="0"/>
        <w:kinsoku/>
        <w:wordWrap/>
        <w:overflowPunct/>
        <w:topLinePunct w:val="0"/>
        <w:bidi w:val="0"/>
        <w:spacing w:line="400" w:lineRule="exact"/>
      </w:pPr>
      <w:r>
        <w:rPr>
          <w:rFonts w:hint="eastAsia"/>
        </w:rPr>
        <w:t>3-1、</w:t>
      </w:r>
      <w:r>
        <w:t>不同投标人的投标文件由同一单位或者个人编制；</w:t>
      </w:r>
    </w:p>
    <w:p>
      <w:pPr>
        <w:pStyle w:val="6"/>
        <w:keepLines w:val="0"/>
        <w:pageBreakBefore w:val="0"/>
        <w:kinsoku/>
        <w:wordWrap/>
        <w:overflowPunct/>
        <w:topLinePunct w:val="0"/>
        <w:bidi w:val="0"/>
        <w:spacing w:line="400" w:lineRule="exact"/>
      </w:pPr>
      <w:r>
        <w:rPr>
          <w:rFonts w:hint="eastAsia"/>
        </w:rPr>
        <w:t>3-2、</w:t>
      </w:r>
      <w:r>
        <w:t>不同投标人委托同一单位或者个人办理投标事宜；</w:t>
      </w:r>
    </w:p>
    <w:p>
      <w:pPr>
        <w:pStyle w:val="6"/>
        <w:keepLines w:val="0"/>
        <w:pageBreakBefore w:val="0"/>
        <w:kinsoku/>
        <w:wordWrap/>
        <w:overflowPunct/>
        <w:topLinePunct w:val="0"/>
        <w:bidi w:val="0"/>
        <w:spacing w:line="400" w:lineRule="exact"/>
      </w:pPr>
      <w:r>
        <w:rPr>
          <w:rFonts w:hint="eastAsia"/>
        </w:rPr>
        <w:t>3-3、</w:t>
      </w:r>
      <w:r>
        <w:t>不同投标人的投标文件载明的项目管理成员或者联系人员为同一人；</w:t>
      </w:r>
    </w:p>
    <w:p>
      <w:pPr>
        <w:pStyle w:val="6"/>
        <w:keepLines w:val="0"/>
        <w:pageBreakBefore w:val="0"/>
        <w:kinsoku/>
        <w:wordWrap/>
        <w:overflowPunct/>
        <w:topLinePunct w:val="0"/>
        <w:bidi w:val="0"/>
        <w:spacing w:line="400" w:lineRule="exact"/>
      </w:pPr>
      <w:r>
        <w:rPr>
          <w:rFonts w:hint="eastAsia"/>
        </w:rPr>
        <w:t>3-4、</w:t>
      </w:r>
      <w:r>
        <w:t>不同投标人的投标文件异常一致或者投标报价呈规律性差异；</w:t>
      </w:r>
    </w:p>
    <w:p>
      <w:pPr>
        <w:pStyle w:val="6"/>
        <w:keepLines w:val="0"/>
        <w:pageBreakBefore w:val="0"/>
        <w:kinsoku/>
        <w:wordWrap/>
        <w:overflowPunct/>
        <w:topLinePunct w:val="0"/>
        <w:bidi w:val="0"/>
        <w:spacing w:line="400" w:lineRule="exact"/>
      </w:pPr>
      <w:r>
        <w:rPr>
          <w:rFonts w:hint="eastAsia"/>
        </w:rPr>
        <w:t>3-5、</w:t>
      </w:r>
      <w:r>
        <w:t>不同投标人的投标文件相互混装；</w:t>
      </w:r>
    </w:p>
    <w:p>
      <w:pPr>
        <w:pStyle w:val="6"/>
        <w:keepLines w:val="0"/>
        <w:pageBreakBefore w:val="0"/>
        <w:kinsoku/>
        <w:wordWrap/>
        <w:overflowPunct/>
        <w:topLinePunct w:val="0"/>
        <w:bidi w:val="0"/>
        <w:spacing w:line="400" w:lineRule="exact"/>
        <w:rPr>
          <w:rFonts w:hint="eastAsia"/>
        </w:rPr>
      </w:pPr>
      <w:r>
        <w:rPr>
          <w:rFonts w:hint="eastAsia"/>
        </w:rPr>
        <w:t>3-6、</w:t>
      </w:r>
      <w:r>
        <w:t>不同投标人的投标保证金从同一单位或者个人的账户转出。</w:t>
      </w:r>
    </w:p>
    <w:p>
      <w:pPr>
        <w:pStyle w:val="6"/>
        <w:keepLines w:val="0"/>
        <w:pageBreakBefore w:val="0"/>
        <w:kinsoku/>
        <w:wordWrap/>
        <w:overflowPunct/>
        <w:topLinePunct w:val="0"/>
        <w:bidi w:val="0"/>
        <w:spacing w:line="400" w:lineRule="exact"/>
        <w:rPr>
          <w:rFonts w:hint="eastAsia" w:ascii="仿宋" w:hAnsi="仿宋" w:eastAsia="仿宋"/>
          <w:szCs w:val="28"/>
          <w:lang w:val="zh-CN"/>
        </w:rPr>
      </w:pPr>
      <w:r>
        <w:rPr>
          <w:rFonts w:hint="eastAsia"/>
          <w:lang w:val="zh-CN"/>
        </w:rPr>
        <w:t>4</w:t>
      </w:r>
      <w:r>
        <w:rPr>
          <w:lang w:val="zh-CN"/>
        </w:rPr>
        <w:t>、</w:t>
      </w:r>
      <w:r>
        <w:rPr>
          <w:rFonts w:hint="eastAsia"/>
          <w:lang w:val="zh-CN"/>
        </w:rPr>
        <w:t>投标文件中</w:t>
      </w:r>
      <w:r>
        <w:rPr>
          <w:lang w:val="zh-CN"/>
        </w:rPr>
        <w:t>提供虚假证明，开具虚假资质，出现虚假应答</w:t>
      </w:r>
      <w:r>
        <w:rPr>
          <w:rFonts w:hint="eastAsia"/>
          <w:lang w:val="zh-CN"/>
        </w:rPr>
        <w:t>或故意隐瞒行为</w:t>
      </w:r>
      <w:r>
        <w:rPr>
          <w:lang w:val="zh-CN"/>
        </w:rPr>
        <w:t>，除按无效标处理外，还进行相应的处罚。</w:t>
      </w:r>
    </w:p>
    <w:p>
      <w:pPr>
        <w:pStyle w:val="4"/>
        <w:keepLines w:val="0"/>
        <w:pageBreakBefore w:val="0"/>
        <w:kinsoku/>
        <w:wordWrap/>
        <w:overflowPunct/>
        <w:topLinePunct w:val="0"/>
        <w:bidi w:val="0"/>
        <w:spacing w:line="400" w:lineRule="exact"/>
        <w:rPr>
          <w:lang w:val="zh-CN"/>
        </w:rPr>
      </w:pPr>
      <w:bookmarkStart w:id="21" w:name="_Toc15323701"/>
      <w:r>
        <w:rPr>
          <w:lang w:val="zh-CN"/>
        </w:rPr>
        <w:t>五、开标</w:t>
      </w:r>
      <w:bookmarkEnd w:id="21"/>
    </w:p>
    <w:p>
      <w:pPr>
        <w:pStyle w:val="6"/>
        <w:keepLines w:val="0"/>
        <w:pageBreakBefore w:val="0"/>
        <w:kinsoku/>
        <w:wordWrap/>
        <w:overflowPunct/>
        <w:topLinePunct w:val="0"/>
        <w:bidi w:val="0"/>
        <w:spacing w:line="400" w:lineRule="exact"/>
        <w:rPr>
          <w:lang w:val="zh-CN"/>
        </w:rPr>
      </w:pPr>
      <w:r>
        <w:t>1</w:t>
      </w:r>
      <w:r>
        <w:rPr>
          <w:lang w:val="zh-CN"/>
        </w:rPr>
        <w:t>、在招标文件规定的开标时间和地点，由采购代理机构组织开标工作，</w:t>
      </w:r>
      <w:r>
        <w:rPr>
          <w:rFonts w:hint="eastAsia"/>
          <w:lang w:val="zh-CN"/>
        </w:rPr>
        <w:t>邀请</w:t>
      </w:r>
      <w:r>
        <w:rPr>
          <w:lang w:val="zh-CN"/>
        </w:rPr>
        <w:t>投标人参加，投标人未参加开标的，视同认可开标结果。</w:t>
      </w:r>
    </w:p>
    <w:p>
      <w:pPr>
        <w:pStyle w:val="6"/>
        <w:keepLines w:val="0"/>
        <w:pageBreakBefore w:val="0"/>
        <w:kinsoku/>
        <w:wordWrap/>
        <w:overflowPunct/>
        <w:topLinePunct w:val="0"/>
        <w:bidi w:val="0"/>
        <w:spacing w:line="400" w:lineRule="exact"/>
        <w:rPr>
          <w:lang w:val="zh-CN"/>
        </w:rPr>
      </w:pPr>
      <w:r>
        <w:rPr>
          <w:lang w:val="zh-CN"/>
        </w:rPr>
        <w:t>2、开标时，由投标人或其推荐的代表与监督人共同检查投标文件的密封情况。</w:t>
      </w:r>
    </w:p>
    <w:p>
      <w:pPr>
        <w:pStyle w:val="6"/>
        <w:keepLines w:val="0"/>
        <w:pageBreakBefore w:val="0"/>
        <w:kinsoku/>
        <w:wordWrap/>
        <w:overflowPunct/>
        <w:topLinePunct w:val="0"/>
        <w:bidi w:val="0"/>
        <w:spacing w:line="400" w:lineRule="exact"/>
      </w:pPr>
      <w:r>
        <w:rPr>
          <w:lang w:val="zh-CN"/>
        </w:rPr>
        <w:t>3、对投标文件的密封确认无误后，由采购代理机构工作人员按照顺序，</w:t>
      </w:r>
      <w:r>
        <w:rPr>
          <w:rFonts w:hint="eastAsia"/>
          <w:lang w:val="zh-CN"/>
        </w:rPr>
        <w:t>当众拆封，</w:t>
      </w:r>
      <w:r>
        <w:rPr>
          <w:lang w:val="zh-CN"/>
        </w:rPr>
        <w:t>以公开唱标的形式将开标一览表（报价表）的内容公布，由投标人法定代表人（或授权代表人）和监督人签字确认。</w:t>
      </w:r>
    </w:p>
    <w:p>
      <w:pPr>
        <w:pStyle w:val="6"/>
        <w:keepLines w:val="0"/>
        <w:pageBreakBefore w:val="0"/>
        <w:kinsoku/>
        <w:wordWrap/>
        <w:overflowPunct/>
        <w:topLinePunct w:val="0"/>
        <w:bidi w:val="0"/>
        <w:spacing w:line="400" w:lineRule="exact"/>
      </w:pPr>
      <w:r>
        <w:t>4、开标过程由采购代理机构指定专人记录。</w:t>
      </w:r>
      <w:r>
        <w:rPr>
          <w:rFonts w:hint="eastAsia"/>
        </w:rPr>
        <w:t>投标人若有异议，应当场提出，采购代理机构及时处理。</w:t>
      </w:r>
    </w:p>
    <w:p>
      <w:pPr>
        <w:pStyle w:val="6"/>
        <w:keepLines w:val="0"/>
        <w:pageBreakBefore w:val="0"/>
        <w:kinsoku/>
        <w:wordWrap/>
        <w:overflowPunct/>
        <w:topLinePunct w:val="0"/>
        <w:bidi w:val="0"/>
        <w:spacing w:line="400" w:lineRule="exact"/>
        <w:rPr>
          <w:rFonts w:ascii="仿宋" w:hAnsi="仿宋" w:eastAsia="仿宋"/>
          <w:szCs w:val="28"/>
        </w:rPr>
      </w:pPr>
      <w:r>
        <w:t>5</w:t>
      </w:r>
      <w:r>
        <w:rPr>
          <w:lang w:val="zh-CN"/>
        </w:rPr>
        <w:t>、公开开标后，直到向中标的投标人授予合同为止，凡与审查、澄清、评价和比较投标的有关资料及授标意见等内容，任何人均不得向投标人及与评标无关的其他人透露。</w:t>
      </w:r>
    </w:p>
    <w:p>
      <w:pPr>
        <w:pStyle w:val="4"/>
        <w:keepLines w:val="0"/>
        <w:pageBreakBefore w:val="0"/>
        <w:kinsoku/>
        <w:wordWrap/>
        <w:overflowPunct/>
        <w:topLinePunct w:val="0"/>
        <w:bidi w:val="0"/>
        <w:spacing w:line="400" w:lineRule="exact"/>
        <w:rPr>
          <w:rFonts w:hint="eastAsia"/>
          <w:lang w:val="zh-CN"/>
        </w:rPr>
      </w:pPr>
      <w:bookmarkStart w:id="22" w:name="_Toc15323702"/>
      <w:r>
        <w:rPr>
          <w:lang w:val="zh-CN"/>
        </w:rPr>
        <w:t>六、评标</w:t>
      </w:r>
      <w:bookmarkEnd w:id="22"/>
    </w:p>
    <w:p>
      <w:pPr>
        <w:pStyle w:val="6"/>
        <w:keepLines w:val="0"/>
        <w:pageBreakBefore w:val="0"/>
        <w:kinsoku/>
        <w:wordWrap/>
        <w:overflowPunct/>
        <w:topLinePunct w:val="0"/>
        <w:bidi w:val="0"/>
        <w:spacing w:line="400" w:lineRule="exact"/>
        <w:rPr>
          <w:rFonts w:hint="eastAsia"/>
          <w:lang w:val="zh-CN"/>
        </w:rPr>
      </w:pPr>
      <w:r>
        <w:rPr>
          <w:rFonts w:hint="eastAsia"/>
          <w:lang w:val="zh-CN"/>
        </w:rPr>
        <w:t>1、采购代理机构负责组织评标工作。资格审查由采购人或者采购代理机构负责，评标工作由评标委员会负责。</w:t>
      </w:r>
    </w:p>
    <w:p>
      <w:pPr>
        <w:pStyle w:val="6"/>
        <w:keepLines w:val="0"/>
        <w:pageBreakBefore w:val="0"/>
        <w:kinsoku/>
        <w:wordWrap/>
        <w:overflowPunct/>
        <w:topLinePunct w:val="0"/>
        <w:bidi w:val="0"/>
        <w:spacing w:line="400" w:lineRule="exact"/>
        <w:rPr>
          <w:rFonts w:hint="eastAsia"/>
          <w:lang w:val="zh-CN"/>
        </w:rPr>
      </w:pPr>
      <w:r>
        <w:rPr>
          <w:rFonts w:hint="eastAsia"/>
          <w:lang w:val="zh-CN"/>
        </w:rPr>
        <w:t>2、采购人或采购代理机构依法组建评标委员会，评标委员会由评审专家和采购人代表组成。评标委员会独立履行下列职责：</w:t>
      </w:r>
    </w:p>
    <w:p>
      <w:pPr>
        <w:pStyle w:val="6"/>
        <w:keepLines w:val="0"/>
        <w:pageBreakBefore w:val="0"/>
        <w:kinsoku/>
        <w:wordWrap/>
        <w:overflowPunct/>
        <w:topLinePunct w:val="0"/>
        <w:bidi w:val="0"/>
        <w:spacing w:line="400" w:lineRule="exact"/>
        <w:rPr>
          <w:lang w:val="zh-CN"/>
        </w:rPr>
      </w:pPr>
      <w:r>
        <w:rPr>
          <w:rFonts w:hint="eastAsia"/>
          <w:lang w:val="zh-CN"/>
        </w:rPr>
        <w:t>2-1、</w:t>
      </w:r>
      <w:r>
        <w:rPr>
          <w:lang w:val="zh-CN"/>
        </w:rPr>
        <w:t>审查、评价投标文件是否符合招标文件的商务、技术等实质性要求；</w:t>
      </w:r>
    </w:p>
    <w:p>
      <w:pPr>
        <w:pStyle w:val="6"/>
        <w:keepLines w:val="0"/>
        <w:pageBreakBefore w:val="0"/>
        <w:kinsoku/>
        <w:wordWrap/>
        <w:overflowPunct/>
        <w:topLinePunct w:val="0"/>
        <w:bidi w:val="0"/>
        <w:spacing w:line="400" w:lineRule="exact"/>
        <w:rPr>
          <w:lang w:val="zh-CN"/>
        </w:rPr>
      </w:pPr>
      <w:r>
        <w:rPr>
          <w:rFonts w:hint="eastAsia"/>
          <w:lang w:val="zh-CN"/>
        </w:rPr>
        <w:t>2-2、</w:t>
      </w:r>
      <w:r>
        <w:rPr>
          <w:lang w:val="zh-CN"/>
        </w:rPr>
        <w:t>要求投标人对投标文件有关事项作出澄清或者说明；</w:t>
      </w:r>
    </w:p>
    <w:p>
      <w:pPr>
        <w:pStyle w:val="6"/>
        <w:keepLines w:val="0"/>
        <w:pageBreakBefore w:val="0"/>
        <w:kinsoku/>
        <w:wordWrap/>
        <w:overflowPunct/>
        <w:topLinePunct w:val="0"/>
        <w:bidi w:val="0"/>
        <w:spacing w:line="400" w:lineRule="exact"/>
        <w:rPr>
          <w:lang w:val="zh-CN"/>
        </w:rPr>
      </w:pPr>
      <w:r>
        <w:rPr>
          <w:rFonts w:hint="eastAsia"/>
          <w:lang w:val="zh-CN"/>
        </w:rPr>
        <w:t>2-3、</w:t>
      </w:r>
      <w:r>
        <w:rPr>
          <w:lang w:val="zh-CN"/>
        </w:rPr>
        <w:t>对投标文件进行比较和评价；</w:t>
      </w:r>
    </w:p>
    <w:p>
      <w:pPr>
        <w:pStyle w:val="6"/>
        <w:keepLines w:val="0"/>
        <w:pageBreakBefore w:val="0"/>
        <w:kinsoku/>
        <w:wordWrap/>
        <w:overflowPunct/>
        <w:topLinePunct w:val="0"/>
        <w:bidi w:val="0"/>
        <w:spacing w:line="400" w:lineRule="exact"/>
        <w:rPr>
          <w:lang w:val="zh-CN"/>
        </w:rPr>
      </w:pPr>
      <w:r>
        <w:rPr>
          <w:rFonts w:hint="eastAsia"/>
          <w:lang w:val="zh-CN"/>
        </w:rPr>
        <w:t>2-4、</w:t>
      </w:r>
      <w:r>
        <w:rPr>
          <w:lang w:val="zh-CN"/>
        </w:rPr>
        <w:t>确定中标候选人名单，以及根据采购人委托直接确定中标人；</w:t>
      </w:r>
    </w:p>
    <w:p>
      <w:pPr>
        <w:pStyle w:val="6"/>
        <w:keepLines w:val="0"/>
        <w:pageBreakBefore w:val="0"/>
        <w:kinsoku/>
        <w:wordWrap/>
        <w:overflowPunct/>
        <w:topLinePunct w:val="0"/>
        <w:bidi w:val="0"/>
        <w:spacing w:line="400" w:lineRule="exact"/>
        <w:rPr>
          <w:lang w:val="zh-CN"/>
        </w:rPr>
      </w:pPr>
      <w:r>
        <w:rPr>
          <w:rFonts w:hint="eastAsia"/>
          <w:lang w:val="zh-CN"/>
        </w:rPr>
        <w:t>2-5、</w:t>
      </w:r>
      <w:r>
        <w:rPr>
          <w:lang w:val="zh-CN"/>
        </w:rPr>
        <w:t>向采购人、采购代理机构或者有关部门报告评标中发现的违法行为。</w:t>
      </w:r>
    </w:p>
    <w:p>
      <w:pPr>
        <w:pStyle w:val="6"/>
        <w:keepLines w:val="0"/>
        <w:pageBreakBefore w:val="0"/>
        <w:kinsoku/>
        <w:wordWrap/>
        <w:overflowPunct/>
        <w:topLinePunct w:val="0"/>
        <w:bidi w:val="0"/>
        <w:spacing w:line="400" w:lineRule="exact"/>
        <w:rPr>
          <w:rFonts w:hint="eastAsia"/>
        </w:rPr>
      </w:pPr>
      <w:r>
        <w:rPr>
          <w:rFonts w:hint="eastAsia"/>
        </w:rPr>
        <w:t>3、评标程序</w:t>
      </w:r>
    </w:p>
    <w:p>
      <w:pPr>
        <w:pStyle w:val="6"/>
        <w:keepLines w:val="0"/>
        <w:pageBreakBefore w:val="0"/>
        <w:kinsoku/>
        <w:wordWrap/>
        <w:overflowPunct/>
        <w:topLinePunct w:val="0"/>
        <w:bidi w:val="0"/>
        <w:spacing w:line="400" w:lineRule="exact"/>
        <w:rPr>
          <w:rFonts w:hint="eastAsia"/>
        </w:rPr>
      </w:pPr>
      <w:r>
        <w:rPr>
          <w:rFonts w:hint="eastAsia"/>
        </w:rPr>
        <w:t>3-</w:t>
      </w:r>
      <w:r>
        <w:rPr>
          <w:rFonts w:hint="eastAsia"/>
          <w:lang w:val="en-US" w:eastAsia="zh-CN"/>
        </w:rPr>
        <w:t>1</w:t>
      </w:r>
      <w:r>
        <w:rPr>
          <w:rFonts w:hint="eastAsia"/>
        </w:rPr>
        <w:t>、投标人符合性审查；</w:t>
      </w:r>
    </w:p>
    <w:p>
      <w:pPr>
        <w:pStyle w:val="6"/>
        <w:keepLines w:val="0"/>
        <w:pageBreakBefore w:val="0"/>
        <w:kinsoku/>
        <w:wordWrap/>
        <w:overflowPunct/>
        <w:topLinePunct w:val="0"/>
        <w:bidi w:val="0"/>
        <w:spacing w:line="400" w:lineRule="exact"/>
        <w:rPr>
          <w:rFonts w:hint="eastAsia"/>
        </w:rPr>
      </w:pPr>
      <w:r>
        <w:rPr>
          <w:rFonts w:hint="eastAsia"/>
        </w:rPr>
        <w:t>3-</w:t>
      </w:r>
      <w:r>
        <w:rPr>
          <w:rFonts w:hint="eastAsia"/>
          <w:lang w:val="en-US" w:eastAsia="zh-CN"/>
        </w:rPr>
        <w:t>2</w:t>
      </w:r>
      <w:r>
        <w:rPr>
          <w:rFonts w:hint="eastAsia"/>
        </w:rPr>
        <w:t>、必要时的投标文件澄清；</w:t>
      </w:r>
    </w:p>
    <w:p>
      <w:pPr>
        <w:pStyle w:val="6"/>
        <w:keepLines w:val="0"/>
        <w:pageBreakBefore w:val="0"/>
        <w:kinsoku/>
        <w:wordWrap/>
        <w:overflowPunct/>
        <w:topLinePunct w:val="0"/>
        <w:bidi w:val="0"/>
        <w:spacing w:line="400" w:lineRule="exact"/>
        <w:rPr>
          <w:rFonts w:hint="eastAsia"/>
        </w:rPr>
      </w:pPr>
      <w:r>
        <w:rPr>
          <w:rFonts w:hint="eastAsia"/>
        </w:rPr>
        <w:t>3-</w:t>
      </w:r>
      <w:r>
        <w:rPr>
          <w:rFonts w:hint="eastAsia"/>
          <w:lang w:val="en-US" w:eastAsia="zh-CN"/>
        </w:rPr>
        <w:t>3</w:t>
      </w:r>
      <w:r>
        <w:rPr>
          <w:rFonts w:hint="eastAsia"/>
        </w:rPr>
        <w:t>、</w:t>
      </w:r>
      <w:r>
        <w:rPr>
          <w:rFonts w:hint="eastAsia"/>
          <w:lang w:val="en-US" w:eastAsia="zh-CN"/>
        </w:rPr>
        <w:t>投标文件</w:t>
      </w:r>
      <w:r>
        <w:rPr>
          <w:rFonts w:hint="eastAsia"/>
        </w:rPr>
        <w:t>比较、评审；</w:t>
      </w:r>
    </w:p>
    <w:p>
      <w:pPr>
        <w:pStyle w:val="6"/>
        <w:keepLines w:val="0"/>
        <w:pageBreakBefore w:val="0"/>
        <w:kinsoku/>
        <w:wordWrap/>
        <w:overflowPunct/>
        <w:topLinePunct w:val="0"/>
        <w:bidi w:val="0"/>
        <w:spacing w:line="400" w:lineRule="exact"/>
        <w:rPr>
          <w:rFonts w:hint="eastAsia"/>
        </w:rPr>
      </w:pPr>
      <w:r>
        <w:rPr>
          <w:rFonts w:hint="eastAsia"/>
        </w:rPr>
        <w:t>3-</w:t>
      </w:r>
      <w:r>
        <w:rPr>
          <w:rFonts w:hint="eastAsia"/>
          <w:lang w:val="en-US" w:eastAsia="zh-CN"/>
        </w:rPr>
        <w:t>4</w:t>
      </w:r>
      <w:r>
        <w:rPr>
          <w:rFonts w:hint="eastAsia"/>
        </w:rPr>
        <w:t>、按照评标办法推荐中标候选人。</w:t>
      </w:r>
    </w:p>
    <w:p>
      <w:pPr>
        <w:pStyle w:val="6"/>
        <w:keepLines w:val="0"/>
        <w:pageBreakBefore w:val="0"/>
        <w:kinsoku/>
        <w:wordWrap/>
        <w:overflowPunct/>
        <w:topLinePunct w:val="0"/>
        <w:bidi w:val="0"/>
        <w:spacing w:line="400" w:lineRule="exact"/>
        <w:rPr>
          <w:rFonts w:hint="eastAsia"/>
          <w:lang w:val="zh-CN"/>
        </w:rPr>
      </w:pPr>
      <w:r>
        <w:rPr>
          <w:rFonts w:hint="eastAsia"/>
        </w:rPr>
        <w:t>4、</w:t>
      </w:r>
      <w:r>
        <w:rPr>
          <w:rFonts w:hint="eastAsia"/>
          <w:lang w:val="zh-CN"/>
        </w:rPr>
        <w:t>资格性审查</w:t>
      </w:r>
    </w:p>
    <w:p>
      <w:pPr>
        <w:pStyle w:val="6"/>
        <w:keepLines w:val="0"/>
        <w:pageBreakBefore w:val="0"/>
        <w:kinsoku/>
        <w:wordWrap/>
        <w:overflowPunct/>
        <w:topLinePunct w:val="0"/>
        <w:bidi w:val="0"/>
        <w:spacing w:line="400" w:lineRule="exact"/>
        <w:rPr>
          <w:rFonts w:hint="eastAsia"/>
          <w:szCs w:val="22"/>
          <w:lang w:val="zh-CN"/>
        </w:rPr>
      </w:pPr>
      <w:r>
        <w:rPr>
          <w:rFonts w:hint="eastAsia"/>
          <w:szCs w:val="22"/>
          <w:lang w:val="en-US" w:eastAsia="zh-CN"/>
        </w:rPr>
        <w:t xml:space="preserve">   </w:t>
      </w:r>
      <w:r>
        <w:rPr>
          <w:rFonts w:hint="eastAsia"/>
          <w:szCs w:val="22"/>
          <w:lang w:val="zh-CN"/>
        </w:rPr>
        <w:t>开标结束后，采购人或者采购代理机构依法对投标人的资格进行审查。</w:t>
      </w:r>
      <w:r>
        <w:rPr>
          <w:rFonts w:hint="eastAsia"/>
          <w:szCs w:val="22"/>
          <w:lang w:val="en-US" w:eastAsia="zh-CN"/>
        </w:rPr>
        <w:t>资格证明文件投标人必须完全提供(除注明原件外，均为扫描件并须加盖投标人公章)并胶装在投标文件中，一项不合格即按照无效投标处理，不再进行后续评审。</w:t>
      </w:r>
    </w:p>
    <w:p>
      <w:pPr>
        <w:pStyle w:val="6"/>
        <w:keepLines w:val="0"/>
        <w:pageBreakBefore w:val="0"/>
        <w:numPr>
          <w:ilvl w:val="0"/>
          <w:numId w:val="4"/>
        </w:numPr>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符合性审查</w:t>
      </w:r>
    </w:p>
    <w:p>
      <w:pPr>
        <w:pStyle w:val="6"/>
        <w:keepLines w:val="0"/>
        <w:pageBreakBefore w:val="0"/>
        <w:numPr>
          <w:ilvl w:val="0"/>
          <w:numId w:val="0"/>
        </w:numPr>
        <w:kinsoku/>
        <w:wordWrap/>
        <w:overflowPunct/>
        <w:topLinePunct w:val="0"/>
        <w:bidi w:val="0"/>
        <w:spacing w:line="400" w:lineRule="exact"/>
        <w:ind w:firstLine="630" w:firstLineChars="300"/>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评标委员会对符合资格的投标人的投标文件进行符合性</w:t>
      </w:r>
      <w:r>
        <w:rPr>
          <w:rFonts w:hint="eastAsia" w:ascii="Times New Roman" w:hAnsi="Times New Roman" w:eastAsia="宋体" w:cs="Times New Roman"/>
          <w:szCs w:val="22"/>
          <w:lang w:val="zh-CN" w:eastAsia="zh-CN"/>
        </w:rPr>
        <w:t>（</w:t>
      </w:r>
      <w:r>
        <w:rPr>
          <w:rFonts w:hint="eastAsia" w:ascii="Times New Roman" w:hAnsi="Times New Roman" w:eastAsia="宋体" w:cs="Times New Roman"/>
          <w:szCs w:val="22"/>
          <w:lang w:val="en-US" w:eastAsia="zh-CN"/>
        </w:rPr>
        <w:t>完整性、有效性及响应性）</w:t>
      </w:r>
      <w:r>
        <w:rPr>
          <w:rFonts w:hint="eastAsia" w:ascii="Times New Roman" w:hAnsi="Times New Roman" w:eastAsia="宋体" w:cs="Times New Roman"/>
          <w:szCs w:val="22"/>
          <w:lang w:val="zh-CN"/>
        </w:rPr>
        <w:t>审查，以确定其是否满足招标文件的商务、技术等实质性要求。</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5-</w:t>
      </w:r>
      <w:r>
        <w:rPr>
          <w:rFonts w:hint="eastAsia" w:cs="Times New Roman"/>
          <w:szCs w:val="22"/>
          <w:lang w:val="en-US" w:eastAsia="zh-CN"/>
        </w:rPr>
        <w:t>1</w:t>
      </w:r>
      <w:r>
        <w:rPr>
          <w:rFonts w:hint="eastAsia" w:ascii="Times New Roman" w:hAnsi="Times New Roman" w:eastAsia="宋体" w:cs="Times New Roman"/>
          <w:szCs w:val="22"/>
          <w:lang w:val="zh-CN"/>
        </w:rPr>
        <w:t>投标文件的完整性审查。</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5-</w:t>
      </w:r>
      <w:r>
        <w:rPr>
          <w:rFonts w:hint="eastAsia" w:cs="Times New Roman"/>
          <w:szCs w:val="22"/>
          <w:lang w:val="en-US" w:eastAsia="zh-CN"/>
        </w:rPr>
        <w:t>1-1</w:t>
      </w:r>
      <w:r>
        <w:rPr>
          <w:rFonts w:hint="eastAsia" w:ascii="Times New Roman" w:hAnsi="Times New Roman" w:eastAsia="宋体" w:cs="Times New Roman"/>
          <w:szCs w:val="22"/>
          <w:lang w:val="zh-CN"/>
        </w:rPr>
        <w:t>投标文件是否按照</w:t>
      </w:r>
      <w:r>
        <w:rPr>
          <w:rFonts w:hint="eastAsia" w:ascii="Times New Roman" w:hAnsi="Times New Roman" w:eastAsia="宋体" w:cs="Times New Roman"/>
          <w:szCs w:val="22"/>
          <w:lang w:val="en-US" w:eastAsia="zh-CN"/>
        </w:rPr>
        <w:t>招标</w:t>
      </w:r>
      <w:r>
        <w:rPr>
          <w:rFonts w:hint="eastAsia" w:ascii="Times New Roman" w:hAnsi="Times New Roman" w:eastAsia="宋体" w:cs="Times New Roman"/>
          <w:szCs w:val="22"/>
          <w:lang w:val="zh-CN"/>
        </w:rPr>
        <w:t>文件要求的格式编写；</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5-</w:t>
      </w:r>
      <w:r>
        <w:rPr>
          <w:rFonts w:hint="eastAsia" w:cs="Times New Roman"/>
          <w:szCs w:val="22"/>
          <w:lang w:val="en-US" w:eastAsia="zh-CN"/>
        </w:rPr>
        <w:t>1-2</w:t>
      </w:r>
      <w:r>
        <w:rPr>
          <w:rFonts w:hint="eastAsia" w:ascii="Times New Roman" w:hAnsi="Times New Roman" w:eastAsia="宋体" w:cs="Times New Roman"/>
          <w:szCs w:val="22"/>
          <w:lang w:val="zh-CN"/>
        </w:rPr>
        <w:t xml:space="preserve">投标文件内容是否有重大缺漏项。 </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5-</w:t>
      </w:r>
      <w:r>
        <w:rPr>
          <w:rFonts w:hint="eastAsia" w:cs="Times New Roman"/>
          <w:szCs w:val="22"/>
          <w:lang w:val="en-US" w:eastAsia="zh-CN"/>
        </w:rPr>
        <w:t>2</w:t>
      </w:r>
      <w:r>
        <w:rPr>
          <w:rFonts w:hint="eastAsia" w:ascii="Times New Roman" w:hAnsi="Times New Roman" w:eastAsia="宋体" w:cs="Times New Roman"/>
          <w:szCs w:val="22"/>
          <w:lang w:val="zh-CN"/>
        </w:rPr>
        <w:t>投标文件的有效性审查。</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5-</w:t>
      </w:r>
      <w:r>
        <w:rPr>
          <w:rFonts w:hint="eastAsia" w:cs="Times New Roman"/>
          <w:szCs w:val="22"/>
          <w:lang w:val="en-US" w:eastAsia="zh-CN"/>
        </w:rPr>
        <w:t>2-1</w:t>
      </w:r>
      <w:r>
        <w:rPr>
          <w:rFonts w:hint="eastAsia" w:ascii="Times New Roman" w:hAnsi="Times New Roman" w:eastAsia="宋体" w:cs="Times New Roman"/>
          <w:szCs w:val="22"/>
          <w:lang w:val="zh-CN"/>
        </w:rPr>
        <w:t>投标文件的签署、加盖印章是否有效；提供的各种证明文件、数据、资料是否有效。</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5-</w:t>
      </w:r>
      <w:r>
        <w:rPr>
          <w:rFonts w:hint="eastAsia" w:cs="Times New Roman"/>
          <w:szCs w:val="22"/>
          <w:lang w:val="en-US" w:eastAsia="zh-CN"/>
        </w:rPr>
        <w:t>3</w:t>
      </w:r>
      <w:r>
        <w:rPr>
          <w:rFonts w:hint="eastAsia" w:ascii="Times New Roman" w:hAnsi="Times New Roman" w:eastAsia="宋体" w:cs="Times New Roman"/>
          <w:szCs w:val="22"/>
          <w:lang w:val="zh-CN"/>
        </w:rPr>
        <w:t>投标文件的响应性审查。</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5-</w:t>
      </w:r>
      <w:r>
        <w:rPr>
          <w:rFonts w:hint="eastAsia" w:cs="Times New Roman"/>
          <w:szCs w:val="22"/>
          <w:lang w:val="en-US" w:eastAsia="zh-CN"/>
        </w:rPr>
        <w:t>3-1</w:t>
      </w:r>
      <w:r>
        <w:rPr>
          <w:rFonts w:hint="eastAsia" w:ascii="Times New Roman" w:hAnsi="Times New Roman" w:eastAsia="宋体" w:cs="Times New Roman"/>
          <w:szCs w:val="22"/>
          <w:lang w:val="zh-CN"/>
        </w:rPr>
        <w:t>投标报价是否超过采购预算；</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5-</w:t>
      </w:r>
      <w:r>
        <w:rPr>
          <w:rFonts w:hint="eastAsia" w:cs="Times New Roman"/>
          <w:szCs w:val="22"/>
          <w:lang w:val="en-US" w:eastAsia="zh-CN"/>
        </w:rPr>
        <w:t>-3-2</w:t>
      </w:r>
      <w:r>
        <w:rPr>
          <w:rFonts w:hint="eastAsia" w:ascii="Times New Roman" w:hAnsi="Times New Roman" w:eastAsia="宋体" w:cs="Times New Roman"/>
          <w:szCs w:val="22"/>
          <w:lang w:val="en-US" w:eastAsia="zh-CN"/>
        </w:rPr>
        <w:t>投标</w:t>
      </w:r>
      <w:r>
        <w:rPr>
          <w:rFonts w:hint="eastAsia" w:ascii="Times New Roman" w:hAnsi="Times New Roman" w:eastAsia="宋体" w:cs="Times New Roman"/>
          <w:szCs w:val="22"/>
          <w:lang w:val="zh-CN"/>
        </w:rPr>
        <w:t>有效期是否符合</w:t>
      </w:r>
      <w:r>
        <w:rPr>
          <w:rFonts w:hint="eastAsia" w:ascii="Times New Roman" w:hAnsi="Times New Roman" w:eastAsia="宋体" w:cs="Times New Roman"/>
          <w:szCs w:val="22"/>
          <w:lang w:val="en-US" w:eastAsia="zh-CN"/>
        </w:rPr>
        <w:t>招标</w:t>
      </w:r>
      <w:r>
        <w:rPr>
          <w:rFonts w:hint="eastAsia" w:ascii="Times New Roman" w:hAnsi="Times New Roman" w:eastAsia="宋体" w:cs="Times New Roman"/>
          <w:szCs w:val="22"/>
          <w:lang w:val="zh-CN"/>
        </w:rPr>
        <w:t>文件的要求；</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5-</w:t>
      </w:r>
      <w:r>
        <w:rPr>
          <w:rFonts w:hint="eastAsia" w:cs="Times New Roman"/>
          <w:szCs w:val="22"/>
          <w:lang w:val="en-US" w:eastAsia="zh-CN"/>
        </w:rPr>
        <w:t>3-3</w:t>
      </w:r>
      <w:r>
        <w:rPr>
          <w:rFonts w:hint="eastAsia" w:ascii="Times New Roman" w:hAnsi="Times New Roman" w:eastAsia="宋体" w:cs="Times New Roman"/>
          <w:szCs w:val="22"/>
          <w:lang w:val="zh-CN"/>
        </w:rPr>
        <w:t>投标文件内容是否符合国家法律法规，没有重大偏离；</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5-</w:t>
      </w:r>
      <w:r>
        <w:rPr>
          <w:rFonts w:hint="eastAsia" w:cs="Times New Roman"/>
          <w:szCs w:val="22"/>
          <w:lang w:val="en-US" w:eastAsia="zh-CN"/>
        </w:rPr>
        <w:t>4-4</w:t>
      </w:r>
      <w:r>
        <w:rPr>
          <w:rFonts w:hint="eastAsia" w:ascii="Times New Roman" w:hAnsi="Times New Roman" w:eastAsia="宋体" w:cs="Times New Roman"/>
          <w:szCs w:val="22"/>
          <w:lang w:val="zh-CN"/>
        </w:rPr>
        <w:t>对</w:t>
      </w:r>
      <w:r>
        <w:rPr>
          <w:rFonts w:hint="eastAsia" w:ascii="Times New Roman" w:hAnsi="Times New Roman" w:eastAsia="宋体" w:cs="Times New Roman"/>
          <w:szCs w:val="22"/>
          <w:lang w:val="en-US" w:eastAsia="zh-CN"/>
        </w:rPr>
        <w:t>招标</w:t>
      </w:r>
      <w:r>
        <w:rPr>
          <w:rFonts w:hint="eastAsia" w:ascii="Times New Roman" w:hAnsi="Times New Roman" w:eastAsia="宋体" w:cs="Times New Roman"/>
          <w:szCs w:val="22"/>
          <w:lang w:val="zh-CN"/>
        </w:rPr>
        <w:t>文件中规定的要求是否做出了实质性响应。</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keepLines w:val="0"/>
        <w:pageBreakBefore w:val="0"/>
        <w:kinsoku/>
        <w:wordWrap/>
        <w:overflowPunct/>
        <w:topLinePunct w:val="0"/>
        <w:bidi w:val="0"/>
        <w:spacing w:line="400" w:lineRule="exact"/>
        <w:rPr>
          <w:rFonts w:hint="eastAsia"/>
        </w:rPr>
      </w:pPr>
      <w:r>
        <w:rPr>
          <w:rFonts w:hint="eastAsia"/>
        </w:rPr>
        <w:t>6、</w:t>
      </w:r>
      <w:r>
        <w:rPr>
          <w:lang w:val="zh-CN"/>
        </w:rPr>
        <w:t>投标文件的澄清</w:t>
      </w:r>
    </w:p>
    <w:p>
      <w:pPr>
        <w:pStyle w:val="6"/>
        <w:keepLines w:val="0"/>
        <w:pageBreakBefore w:val="0"/>
        <w:kinsoku/>
        <w:wordWrap/>
        <w:overflowPunct/>
        <w:topLinePunct w:val="0"/>
        <w:bidi w:val="0"/>
        <w:spacing w:line="400" w:lineRule="exact"/>
        <w:rPr>
          <w:rFonts w:hint="eastAsia"/>
        </w:rPr>
      </w:pPr>
      <w:r>
        <w:rPr>
          <w:rFonts w:hint="eastAsia"/>
          <w:lang w:val="zh-CN"/>
        </w:rPr>
        <w:t>6-1、</w:t>
      </w:r>
      <w:r>
        <w:rPr>
          <w:rFonts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pStyle w:val="6"/>
        <w:keepLines w:val="0"/>
        <w:pageBreakBefore w:val="0"/>
        <w:kinsoku/>
        <w:wordWrap/>
        <w:overflowPunct/>
        <w:topLinePunct w:val="0"/>
        <w:bidi w:val="0"/>
        <w:spacing w:line="400" w:lineRule="exact"/>
        <w:rPr>
          <w:rFonts w:hint="eastAsia"/>
          <w:lang w:val="zh-CN"/>
        </w:rPr>
      </w:pPr>
      <w:r>
        <w:rPr>
          <w:rFonts w:hint="eastAsia"/>
          <w:lang w:val="zh-CN"/>
        </w:rPr>
        <w:t>6</w:t>
      </w:r>
      <w:r>
        <w:rPr>
          <w:lang w:val="zh-CN"/>
        </w:rPr>
        <w:t>-</w:t>
      </w:r>
      <w:r>
        <w:rPr>
          <w:rFonts w:hint="eastAsia"/>
          <w:lang w:val="zh-CN"/>
        </w:rPr>
        <w:t>2</w:t>
      </w:r>
      <w:r>
        <w:rPr>
          <w:lang w:val="zh-CN"/>
        </w:rPr>
        <w:t>、评标委员会在评标过程中，发现投标文件出现下列情况之一者，按以下原则修正</w:t>
      </w:r>
      <w:r>
        <w:rPr>
          <w:rFonts w:hint="eastAsia"/>
          <w:lang w:val="zh-CN"/>
        </w:rPr>
        <w:t>，修正后的报价经投标人确认后产生约束力，投标人不确认的，其投标无效。</w:t>
      </w:r>
    </w:p>
    <w:p>
      <w:pPr>
        <w:pStyle w:val="6"/>
        <w:keepLines w:val="0"/>
        <w:pageBreakBefore w:val="0"/>
        <w:kinsoku/>
        <w:wordWrap/>
        <w:overflowPunct/>
        <w:topLinePunct w:val="0"/>
        <w:bidi w:val="0"/>
        <w:spacing w:line="400" w:lineRule="exact"/>
      </w:pPr>
      <w:r>
        <w:rPr>
          <w:rFonts w:hint="eastAsia"/>
        </w:rPr>
        <w:t>6</w:t>
      </w:r>
      <w:r>
        <w:t>-</w:t>
      </w:r>
      <w:r>
        <w:rPr>
          <w:rFonts w:hint="eastAsia"/>
        </w:rPr>
        <w:t>2</w:t>
      </w:r>
      <w:r>
        <w:t>-1、</w:t>
      </w:r>
      <w:r>
        <w:rPr>
          <w:rFonts w:hint="eastAsia"/>
          <w:lang w:val="zh-CN"/>
        </w:rPr>
        <w:t>投标文件中开标一览表（报价表）内容与投标文件中相应内容不一致的，以开标一览表（报价表）为准；</w:t>
      </w:r>
    </w:p>
    <w:p>
      <w:pPr>
        <w:pStyle w:val="6"/>
        <w:keepLines w:val="0"/>
        <w:pageBreakBefore w:val="0"/>
        <w:kinsoku/>
        <w:wordWrap/>
        <w:overflowPunct/>
        <w:topLinePunct w:val="0"/>
        <w:bidi w:val="0"/>
        <w:spacing w:line="400" w:lineRule="exact"/>
      </w:pPr>
      <w:r>
        <w:rPr>
          <w:rFonts w:hint="eastAsia"/>
        </w:rPr>
        <w:t>6</w:t>
      </w:r>
      <w:r>
        <w:t>-</w:t>
      </w:r>
      <w:r>
        <w:rPr>
          <w:rFonts w:hint="eastAsia"/>
        </w:rPr>
        <w:t>2</w:t>
      </w:r>
      <w:r>
        <w:t>-2、</w:t>
      </w:r>
      <w:r>
        <w:rPr>
          <w:rFonts w:hint="eastAsia"/>
          <w:lang w:val="zh-CN"/>
        </w:rPr>
        <w:t>大写金额和小写金额不一致的，以大写金额为准；</w:t>
      </w:r>
    </w:p>
    <w:p>
      <w:pPr>
        <w:pStyle w:val="6"/>
        <w:keepLines w:val="0"/>
        <w:pageBreakBefore w:val="0"/>
        <w:kinsoku/>
        <w:wordWrap/>
        <w:overflowPunct/>
        <w:topLinePunct w:val="0"/>
        <w:bidi w:val="0"/>
        <w:spacing w:line="400" w:lineRule="exact"/>
      </w:pPr>
      <w:r>
        <w:rPr>
          <w:rFonts w:hint="eastAsia"/>
        </w:rPr>
        <w:t>6</w:t>
      </w:r>
      <w:r>
        <w:t>-</w:t>
      </w:r>
      <w:r>
        <w:rPr>
          <w:rFonts w:hint="eastAsia"/>
        </w:rPr>
        <w:t>2</w:t>
      </w:r>
      <w:r>
        <w:t>-3、</w:t>
      </w:r>
      <w:r>
        <w:rPr>
          <w:rFonts w:hint="eastAsia"/>
          <w:lang w:val="zh-CN"/>
        </w:rPr>
        <w:t>单价金额小数点或者百分比有明显错位的，以开标一览表的总价为准，并修改单价；</w:t>
      </w:r>
    </w:p>
    <w:p>
      <w:pPr>
        <w:pStyle w:val="6"/>
        <w:keepLines w:val="0"/>
        <w:pageBreakBefore w:val="0"/>
        <w:kinsoku/>
        <w:wordWrap/>
        <w:overflowPunct/>
        <w:topLinePunct w:val="0"/>
        <w:bidi w:val="0"/>
        <w:spacing w:line="400" w:lineRule="exact"/>
      </w:pPr>
      <w:r>
        <w:rPr>
          <w:rFonts w:hint="eastAsia"/>
        </w:rPr>
        <w:t>6</w:t>
      </w:r>
      <w:r>
        <w:t>-</w:t>
      </w:r>
      <w:r>
        <w:rPr>
          <w:rFonts w:hint="eastAsia"/>
        </w:rPr>
        <w:t>2</w:t>
      </w:r>
      <w:r>
        <w:t>-4、</w:t>
      </w:r>
      <w:r>
        <w:rPr>
          <w:rFonts w:hint="eastAsia"/>
          <w:lang w:val="zh-CN"/>
        </w:rPr>
        <w:t>总价金额与按单价汇总金额不一致的，以单价金额计算结果为准；</w:t>
      </w:r>
    </w:p>
    <w:p>
      <w:pPr>
        <w:pStyle w:val="6"/>
        <w:keepLines w:val="0"/>
        <w:pageBreakBefore w:val="0"/>
        <w:kinsoku/>
        <w:wordWrap/>
        <w:overflowPunct/>
        <w:topLinePunct w:val="0"/>
        <w:bidi w:val="0"/>
        <w:spacing w:line="400" w:lineRule="exact"/>
      </w:pPr>
      <w:r>
        <w:rPr>
          <w:rFonts w:hint="eastAsia"/>
        </w:rPr>
        <w:t>6</w:t>
      </w:r>
      <w:r>
        <w:t>-</w:t>
      </w:r>
      <w:r>
        <w:rPr>
          <w:rFonts w:hint="eastAsia"/>
        </w:rPr>
        <w:t>2</w:t>
      </w:r>
      <w:r>
        <w:t>-5、对不同文字文本投标文件的解释发生异议的，以中文文本为准；</w:t>
      </w:r>
    </w:p>
    <w:p>
      <w:pPr>
        <w:pStyle w:val="6"/>
        <w:keepLines w:val="0"/>
        <w:pageBreakBefore w:val="0"/>
        <w:kinsoku/>
        <w:wordWrap/>
        <w:overflowPunct/>
        <w:topLinePunct w:val="0"/>
        <w:bidi w:val="0"/>
        <w:spacing w:line="400" w:lineRule="exact"/>
        <w:rPr>
          <w:lang w:val="zh-CN"/>
        </w:rPr>
      </w:pPr>
      <w:r>
        <w:rPr>
          <w:rFonts w:hint="eastAsia"/>
          <w:lang w:val="zh-CN"/>
        </w:rPr>
        <w:t>6</w:t>
      </w:r>
      <w:r>
        <w:rPr>
          <w:lang w:val="zh-CN"/>
        </w:rPr>
        <w:t>-</w:t>
      </w:r>
      <w:r>
        <w:rPr>
          <w:rFonts w:hint="eastAsia"/>
          <w:lang w:val="zh-CN"/>
        </w:rPr>
        <w:t>2</w:t>
      </w:r>
      <w:r>
        <w:rPr>
          <w:lang w:val="zh-CN"/>
        </w:rPr>
        <w:t>-6、文字与图表不一致的，以文字为准；</w:t>
      </w:r>
    </w:p>
    <w:p>
      <w:pPr>
        <w:pStyle w:val="6"/>
        <w:keepLines w:val="0"/>
        <w:pageBreakBefore w:val="0"/>
        <w:kinsoku/>
        <w:wordWrap/>
        <w:overflowPunct/>
        <w:topLinePunct w:val="0"/>
        <w:bidi w:val="0"/>
        <w:spacing w:line="400" w:lineRule="exact"/>
        <w:rPr>
          <w:lang w:val="zh-CN"/>
        </w:rPr>
      </w:pPr>
      <w:r>
        <w:rPr>
          <w:rFonts w:hint="eastAsia"/>
          <w:lang w:val="zh-CN"/>
        </w:rPr>
        <w:t>6</w:t>
      </w:r>
      <w:r>
        <w:rPr>
          <w:lang w:val="zh-CN"/>
        </w:rPr>
        <w:t>-</w:t>
      </w:r>
      <w:r>
        <w:rPr>
          <w:rFonts w:hint="eastAsia"/>
          <w:lang w:val="zh-CN"/>
        </w:rPr>
        <w:t>2</w:t>
      </w:r>
      <w:r>
        <w:rPr>
          <w:lang w:val="zh-CN"/>
        </w:rPr>
        <w:t>-7、正本与副本不一致的，以正本为准；</w:t>
      </w:r>
    </w:p>
    <w:p>
      <w:pPr>
        <w:pStyle w:val="6"/>
        <w:keepLines w:val="0"/>
        <w:pageBreakBefore w:val="0"/>
        <w:kinsoku/>
        <w:wordWrap/>
        <w:overflowPunct/>
        <w:topLinePunct w:val="0"/>
        <w:bidi w:val="0"/>
        <w:spacing w:line="400" w:lineRule="exact"/>
        <w:rPr>
          <w:rFonts w:hint="eastAsia"/>
        </w:rPr>
      </w:pPr>
      <w:r>
        <w:rPr>
          <w:rFonts w:hint="eastAsia"/>
          <w:lang w:val="zh-CN"/>
        </w:rPr>
        <w:t>6</w:t>
      </w:r>
      <w:r>
        <w:rPr>
          <w:lang w:val="zh-CN"/>
        </w:rPr>
        <w:t>-</w:t>
      </w:r>
      <w:r>
        <w:rPr>
          <w:rFonts w:hint="eastAsia"/>
          <w:lang w:val="zh-CN"/>
        </w:rPr>
        <w:t>2</w:t>
      </w:r>
      <w:r>
        <w:rPr>
          <w:lang w:val="zh-CN"/>
        </w:rPr>
        <w:t>-8、</w:t>
      </w:r>
      <w:r>
        <w:t>投标文件的文字叙述与制造厂商的产品样本/检测报告不符时，以产品样本/检测报告为准。</w:t>
      </w:r>
    </w:p>
    <w:p>
      <w:pPr>
        <w:pStyle w:val="6"/>
        <w:keepLines w:val="0"/>
        <w:pageBreakBefore w:val="0"/>
        <w:kinsoku/>
        <w:wordWrap/>
        <w:overflowPunct/>
        <w:topLinePunct w:val="0"/>
        <w:bidi w:val="0"/>
        <w:spacing w:line="400" w:lineRule="exact"/>
        <w:rPr>
          <w:rFonts w:hint="eastAsia"/>
        </w:rPr>
      </w:pPr>
      <w:r>
        <w:rPr>
          <w:rFonts w:hint="eastAsia"/>
        </w:rPr>
        <w:t>7</w:t>
      </w:r>
      <w:r>
        <w:t>、比较与评价</w:t>
      </w:r>
    </w:p>
    <w:p>
      <w:pPr>
        <w:pStyle w:val="6"/>
        <w:keepLines w:val="0"/>
        <w:pageBreakBefore w:val="0"/>
        <w:kinsoku/>
        <w:wordWrap/>
        <w:overflowPunct/>
        <w:topLinePunct w:val="0"/>
        <w:bidi w:val="0"/>
        <w:spacing w:line="400" w:lineRule="exact"/>
        <w:rPr>
          <w:rFonts w:hint="eastAsia"/>
        </w:rPr>
      </w:pPr>
      <w:r>
        <w:rPr>
          <w:rFonts w:hint="eastAsia"/>
        </w:rPr>
        <w:t>7</w:t>
      </w:r>
      <w:r>
        <w:t>-</w:t>
      </w:r>
      <w:r>
        <w:rPr>
          <w:rFonts w:hint="eastAsia"/>
        </w:rPr>
        <w:t>1</w:t>
      </w:r>
      <w:r>
        <w:t>、</w:t>
      </w:r>
      <w:r>
        <w:rPr>
          <w:rFonts w:hint="eastAsia"/>
        </w:rPr>
        <w:t>评标时，</w:t>
      </w:r>
      <w:r>
        <w:t>按照招标文件规定的评标方法和标准，对资格性审查和符合性审查合格的文件进行商务和技术评审，综合比较和评价，最低报价不做为中标的唯一条件。</w:t>
      </w:r>
    </w:p>
    <w:p>
      <w:pPr>
        <w:pStyle w:val="6"/>
        <w:keepLines w:val="0"/>
        <w:pageBreakBefore w:val="0"/>
        <w:kinsoku/>
        <w:wordWrap/>
        <w:overflowPunct/>
        <w:topLinePunct w:val="0"/>
        <w:bidi w:val="0"/>
        <w:spacing w:line="400" w:lineRule="exact"/>
        <w:rPr>
          <w:rFonts w:hint="eastAsia"/>
        </w:rPr>
      </w:pPr>
      <w:r>
        <w:rPr>
          <w:rFonts w:hint="eastAsia"/>
        </w:rPr>
        <w:t>7-2、</w:t>
      </w:r>
      <w:r>
        <w:rPr>
          <w:lang w:val="zh-CN"/>
        </w:rPr>
        <w:t>采取逐项分步评审方式，每一步评审不符合者，不进入下一步评审，全部评审合格的投标人进行最后的综合评审和打分，按最后得分由高向低排序，推荐中标候选单位。</w:t>
      </w:r>
    </w:p>
    <w:p>
      <w:pPr>
        <w:pStyle w:val="5"/>
        <w:keepLines w:val="0"/>
        <w:pageBreakBefore w:val="0"/>
        <w:kinsoku/>
        <w:wordWrap/>
        <w:overflowPunct/>
        <w:topLinePunct w:val="0"/>
        <w:bidi w:val="0"/>
        <w:spacing w:line="400" w:lineRule="exact"/>
        <w:ind w:firstLine="422"/>
        <w:rPr>
          <w:b/>
          <w:bCs w:val="0"/>
          <w:lang w:val="zh-CN"/>
        </w:rPr>
      </w:pPr>
      <w:r>
        <w:rPr>
          <w:rFonts w:hint="eastAsia"/>
        </w:rPr>
        <w:t>8</w:t>
      </w:r>
      <w:r>
        <w:t>、评标方法</w:t>
      </w:r>
    </w:p>
    <w:p>
      <w:pPr>
        <w:pStyle w:val="6"/>
        <w:keepLines w:val="0"/>
        <w:pageBreakBefore w:val="0"/>
        <w:kinsoku/>
        <w:wordWrap/>
        <w:overflowPunct/>
        <w:topLinePunct w:val="0"/>
        <w:bidi w:val="0"/>
        <w:spacing w:line="400" w:lineRule="exact"/>
        <w:rPr>
          <w:rFonts w:hint="default" w:eastAsia="宋体"/>
          <w:b/>
          <w:bCs w:val="0"/>
          <w:lang w:val="en-US" w:eastAsia="zh-CN"/>
        </w:rPr>
      </w:pPr>
      <w:r>
        <w:rPr>
          <w:b/>
          <w:bCs w:val="0"/>
          <w:lang w:val="zh-CN"/>
        </w:rPr>
        <w:t>综合评分法（总计100分）</w:t>
      </w:r>
      <w:r>
        <w:rPr>
          <w:rFonts w:hint="eastAsia"/>
          <w:b/>
          <w:bCs w:val="0"/>
          <w:lang w:val="zh-CN"/>
        </w:rPr>
        <w:t>：</w:t>
      </w:r>
      <w:r>
        <w:rPr>
          <w:rFonts w:hint="eastAsia"/>
          <w:b/>
          <w:bCs w:val="0"/>
          <w:lang w:val="en-US" w:eastAsia="zh-CN"/>
        </w:rPr>
        <w:t>第1包至第3包</w:t>
      </w:r>
    </w:p>
    <w:tbl>
      <w:tblPr>
        <w:tblStyle w:val="14"/>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835"/>
        <w:gridCol w:w="7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0" w:hRule="atLeast"/>
        </w:trPr>
        <w:tc>
          <w:tcPr>
            <w:tcW w:w="931" w:type="dxa"/>
            <w:noWrap w:val="0"/>
            <w:vAlign w:val="center"/>
          </w:tcPr>
          <w:p>
            <w:pPr>
              <w:keepLines w:val="0"/>
              <w:pageBreakBefore w:val="0"/>
              <w:kinsoku/>
              <w:wordWrap/>
              <w:overflowPunct/>
              <w:topLinePunct w:val="0"/>
              <w:bidi w:val="0"/>
              <w:spacing w:line="400" w:lineRule="exact"/>
              <w:jc w:val="center"/>
              <w:rPr>
                <w:rFonts w:hint="eastAsia" w:ascii="宋体" w:hAnsi="宋体"/>
                <w:szCs w:val="21"/>
              </w:rPr>
            </w:pPr>
            <w:r>
              <w:rPr>
                <w:rFonts w:hint="eastAsia" w:ascii="宋体" w:hAnsi="宋体"/>
                <w:szCs w:val="21"/>
              </w:rPr>
              <w:t>投标</w:t>
            </w:r>
          </w:p>
          <w:p>
            <w:pPr>
              <w:keepLines w:val="0"/>
              <w:pageBreakBefore w:val="0"/>
              <w:kinsoku/>
              <w:wordWrap/>
              <w:overflowPunct/>
              <w:topLinePunct w:val="0"/>
              <w:bidi w:val="0"/>
              <w:spacing w:line="400" w:lineRule="exact"/>
              <w:jc w:val="center"/>
              <w:rPr>
                <w:rFonts w:hint="eastAsia" w:ascii="宋体" w:hAnsi="宋体"/>
                <w:szCs w:val="21"/>
              </w:rPr>
            </w:pPr>
            <w:r>
              <w:rPr>
                <w:rFonts w:hint="eastAsia" w:ascii="宋体" w:hAnsi="宋体"/>
                <w:szCs w:val="21"/>
              </w:rPr>
              <w:t>报价</w:t>
            </w:r>
          </w:p>
        </w:tc>
        <w:tc>
          <w:tcPr>
            <w:tcW w:w="835" w:type="dxa"/>
            <w:noWrap w:val="0"/>
            <w:vAlign w:val="center"/>
          </w:tcPr>
          <w:p>
            <w:pPr>
              <w:keepLines w:val="0"/>
              <w:pageBreakBefore w:val="0"/>
              <w:kinsoku/>
              <w:wordWrap/>
              <w:overflowPunct/>
              <w:topLinePunct w:val="0"/>
              <w:bidi w:val="0"/>
              <w:spacing w:line="400" w:lineRule="exact"/>
              <w:jc w:val="center"/>
              <w:rPr>
                <w:rFonts w:hint="eastAsia" w:ascii="宋体" w:hAnsi="宋体"/>
                <w:szCs w:val="21"/>
              </w:rPr>
            </w:pPr>
            <w:r>
              <w:rPr>
                <w:rFonts w:hint="eastAsia" w:ascii="宋体" w:hAnsi="宋体"/>
                <w:szCs w:val="21"/>
              </w:rPr>
              <w:t>3</w:t>
            </w:r>
            <w:r>
              <w:rPr>
                <w:rFonts w:hint="eastAsia" w:ascii="宋体" w:hAnsi="宋体"/>
                <w:szCs w:val="21"/>
                <w:lang w:val="en-US" w:eastAsia="zh-CN"/>
              </w:rPr>
              <w:t>0</w:t>
            </w:r>
            <w:r>
              <w:rPr>
                <w:rFonts w:hint="eastAsia" w:ascii="宋体" w:hAnsi="宋体"/>
                <w:szCs w:val="21"/>
              </w:rPr>
              <w:t>分</w:t>
            </w:r>
          </w:p>
        </w:tc>
        <w:tc>
          <w:tcPr>
            <w:tcW w:w="7305" w:type="dxa"/>
            <w:noWrap w:val="0"/>
            <w:vAlign w:val="center"/>
          </w:tcPr>
          <w:p>
            <w:pPr>
              <w:keepLines w:val="0"/>
              <w:pageBreakBefore w:val="0"/>
              <w:kinsoku/>
              <w:wordWrap/>
              <w:overflowPunct/>
              <w:topLinePunct w:val="0"/>
              <w:bidi w:val="0"/>
              <w:spacing w:line="400" w:lineRule="exact"/>
              <w:rPr>
                <w:rFonts w:hint="eastAsia" w:ascii="宋体" w:hAnsi="宋体"/>
                <w:szCs w:val="21"/>
              </w:rPr>
            </w:pPr>
            <w:r>
              <w:rPr>
                <w:rFonts w:hint="eastAsia" w:ascii="宋体" w:hAnsi="宋体"/>
                <w:szCs w:val="21"/>
              </w:rPr>
              <w:t>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w:t>
            </w:r>
          </w:p>
          <w:p>
            <w:pPr>
              <w:keepLines w:val="0"/>
              <w:pageBreakBefore w:val="0"/>
              <w:kinsoku/>
              <w:wordWrap/>
              <w:overflowPunct/>
              <w:topLinePunct w:val="0"/>
              <w:bidi w:val="0"/>
              <w:spacing w:line="400" w:lineRule="exact"/>
              <w:rPr>
                <w:rFonts w:hint="eastAsia" w:ascii="宋体" w:hAnsi="宋体"/>
                <w:szCs w:val="21"/>
              </w:rPr>
            </w:pPr>
            <w:r>
              <w:rPr>
                <w:rFonts w:hint="eastAsia" w:ascii="宋体" w:hAnsi="宋体"/>
                <w:szCs w:val="21"/>
              </w:rPr>
              <w:t>投标报价得分=（评标基准价/投标报价）×</w:t>
            </w:r>
            <w:r>
              <w:rPr>
                <w:rFonts w:hint="eastAsia" w:ascii="宋体" w:hAnsi="宋体"/>
                <w:szCs w:val="21"/>
                <w:lang w:eastAsia="zh-CN"/>
              </w:rPr>
              <w:t>价格权值</w:t>
            </w:r>
            <w:r>
              <w:rPr>
                <w:rFonts w:hint="eastAsia" w:ascii="宋体" w:hAnsi="宋体"/>
                <w:szCs w:val="21"/>
              </w:rPr>
              <w:t>×100</w:t>
            </w:r>
            <w:r>
              <w:rPr>
                <w:rFonts w:hint="eastAsia" w:ascii="宋体" w:hAnsi="宋体"/>
                <w:szCs w:val="21"/>
                <w:lang w:val="en-US" w:eastAsia="zh-CN"/>
              </w:rPr>
              <w:t>%</w:t>
            </w:r>
          </w:p>
          <w:p>
            <w:pPr>
              <w:keepLines w:val="0"/>
              <w:pageBreakBefore w:val="0"/>
              <w:kinsoku/>
              <w:wordWrap/>
              <w:overflowPunct/>
              <w:topLinePunct w:val="0"/>
              <w:bidi w:val="0"/>
              <w:spacing w:line="400" w:lineRule="exact"/>
              <w:rPr>
                <w:rFonts w:hint="eastAsia" w:ascii="宋体" w:hAnsi="宋体"/>
                <w:szCs w:val="21"/>
              </w:rPr>
            </w:pPr>
            <w:r>
              <w:rPr>
                <w:rFonts w:hint="eastAsia" w:ascii="宋体" w:hAnsi="宋体"/>
                <w:szCs w:val="21"/>
              </w:rPr>
              <w:t>（符合招标文件规定的小微企业、监狱企业、残疾人福利性单位优惠条件的</w:t>
            </w:r>
            <w:r>
              <w:rPr>
                <w:rFonts w:hint="eastAsia" w:ascii="宋体" w:hAnsi="宋体"/>
                <w:szCs w:val="21"/>
                <w:lang w:eastAsia="zh-CN"/>
              </w:rPr>
              <w:t>供应商</w:t>
            </w:r>
            <w:r>
              <w:rPr>
                <w:rFonts w:hint="eastAsia" w:ascii="宋体" w:hAnsi="宋体"/>
                <w:szCs w:val="21"/>
              </w:rPr>
              <w:t>，价格给予</w:t>
            </w:r>
            <w:r>
              <w:rPr>
                <w:rFonts w:hint="eastAsia" w:ascii="宋体" w:hAnsi="宋体"/>
                <w:szCs w:val="21"/>
                <w:lang w:val="en-US" w:eastAsia="zh-CN"/>
              </w:rPr>
              <w:t>10</w:t>
            </w:r>
            <w:r>
              <w:rPr>
                <w:rFonts w:hint="eastAsia" w:ascii="宋体" w:hAnsi="宋体"/>
                <w:szCs w:val="21"/>
              </w:rPr>
              <w:t>%的扣除，用扣除后的价格参与评审以上政策同时具备的仅对其进行一次</w:t>
            </w:r>
            <w:r>
              <w:rPr>
                <w:rFonts w:hint="eastAsia" w:ascii="宋体" w:hAnsi="宋体"/>
                <w:szCs w:val="21"/>
                <w:lang w:val="en-US" w:eastAsia="zh-CN"/>
              </w:rPr>
              <w:t>10</w:t>
            </w:r>
            <w:r>
              <w:rPr>
                <w:rFonts w:hint="eastAsia" w:ascii="宋体" w:hAnsi="宋体"/>
                <w:szCs w:val="21"/>
              </w:rPr>
              <w:t>%的价格扣除，不重复扣除。）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0" w:hRule="atLeast"/>
        </w:trPr>
        <w:tc>
          <w:tcPr>
            <w:tcW w:w="931"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技术</w:t>
            </w:r>
          </w:p>
          <w:p>
            <w:pPr>
              <w:keepLines w:val="0"/>
              <w:pageBreakBefore w:val="0"/>
              <w:kinsoku/>
              <w:wordWrap/>
              <w:overflowPunct/>
              <w:topLinePunct w:val="0"/>
              <w:bidi w:val="0"/>
              <w:spacing w:line="400" w:lineRule="exact"/>
              <w:jc w:val="center"/>
              <w:rPr>
                <w:rFonts w:hint="eastAsia"/>
              </w:rPr>
            </w:pPr>
            <w:r>
              <w:rPr>
                <w:rFonts w:hint="eastAsia"/>
              </w:rPr>
              <w:t>响应</w:t>
            </w:r>
          </w:p>
        </w:tc>
        <w:tc>
          <w:tcPr>
            <w:tcW w:w="835" w:type="dxa"/>
            <w:noWrap w:val="0"/>
            <w:vAlign w:val="center"/>
          </w:tcPr>
          <w:p>
            <w:pPr>
              <w:keepLines w:val="0"/>
              <w:pageBreakBefore w:val="0"/>
              <w:kinsoku/>
              <w:wordWrap/>
              <w:overflowPunct/>
              <w:topLinePunct w:val="0"/>
              <w:bidi w:val="0"/>
              <w:spacing w:line="400" w:lineRule="exact"/>
              <w:jc w:val="center"/>
              <w:rPr>
                <w:rFonts w:hint="eastAsia"/>
              </w:rPr>
            </w:pPr>
            <w:r>
              <w:rPr>
                <w:rFonts w:hint="eastAsia"/>
                <w:lang w:val="en-US" w:eastAsia="zh-CN"/>
              </w:rPr>
              <w:t>40</w:t>
            </w:r>
            <w:r>
              <w:rPr>
                <w:rFonts w:hint="eastAsia"/>
              </w:rPr>
              <w:t>分</w:t>
            </w:r>
          </w:p>
        </w:tc>
        <w:tc>
          <w:tcPr>
            <w:tcW w:w="7305" w:type="dxa"/>
            <w:noWrap w:val="0"/>
            <w:vAlign w:val="center"/>
          </w:tcPr>
          <w:p>
            <w:pPr>
              <w:keepLines w:val="0"/>
              <w:pageBreakBefore w:val="0"/>
              <w:numPr>
                <w:ilvl w:val="0"/>
                <w:numId w:val="5"/>
              </w:numPr>
              <w:kinsoku/>
              <w:wordWrap/>
              <w:overflowPunct/>
              <w:topLinePunct w:val="0"/>
              <w:bidi w:val="0"/>
              <w:spacing w:line="400" w:lineRule="exac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所投产品符合招标文件要求及国家相关质量标准、规格</w:t>
            </w:r>
            <w:r>
              <w:rPr>
                <w:rFonts w:hint="eastAsia" w:ascii="Times New Roman" w:hAnsi="Times New Roman" w:eastAsia="宋体" w:cs="Times New Roman"/>
                <w:color w:val="auto"/>
                <w:szCs w:val="22"/>
                <w:lang w:eastAsia="zh-CN"/>
              </w:rPr>
              <w:t>等</w:t>
            </w:r>
            <w:r>
              <w:rPr>
                <w:rFonts w:hint="eastAsia" w:ascii="Times New Roman" w:hAnsi="Times New Roman" w:eastAsia="宋体" w:cs="Times New Roman"/>
                <w:color w:val="auto"/>
                <w:szCs w:val="22"/>
              </w:rPr>
              <w:t>，符合</w:t>
            </w:r>
            <w:r>
              <w:rPr>
                <w:rFonts w:hint="eastAsia" w:ascii="Times New Roman" w:hAnsi="Times New Roman" w:eastAsia="宋体" w:cs="Times New Roman"/>
                <w:color w:val="auto"/>
                <w:szCs w:val="22"/>
                <w:lang w:eastAsia="zh-CN"/>
              </w:rPr>
              <w:t>国家规定</w:t>
            </w:r>
            <w:r>
              <w:rPr>
                <w:rFonts w:hint="eastAsia" w:ascii="Times New Roman" w:hAnsi="Times New Roman" w:eastAsia="宋体" w:cs="Times New Roman"/>
                <w:color w:val="auto"/>
                <w:szCs w:val="22"/>
              </w:rPr>
              <w:t>的营养标准</w:t>
            </w:r>
            <w:r>
              <w:rPr>
                <w:rFonts w:hint="eastAsia" w:ascii="Times New Roman" w:hAnsi="Times New Roman" w:eastAsia="宋体" w:cs="Times New Roman"/>
                <w:color w:val="auto"/>
                <w:szCs w:val="22"/>
                <w:lang w:val="en-US" w:eastAsia="zh-CN"/>
              </w:rPr>
              <w:t>并</w:t>
            </w:r>
            <w:r>
              <w:rPr>
                <w:rFonts w:hint="eastAsia" w:ascii="Times New Roman" w:hAnsi="Times New Roman" w:eastAsia="宋体" w:cs="Times New Roman"/>
                <w:color w:val="auto"/>
                <w:szCs w:val="22"/>
              </w:rPr>
              <w:t>提供产品及原材料来源渠道合法的证明材料（包括但不限于销售协议、代理协议、原厂授权等）</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根据其</w:t>
            </w:r>
            <w:r>
              <w:rPr>
                <w:rFonts w:hint="eastAsia" w:ascii="Times New Roman" w:hAnsi="Times New Roman" w:eastAsia="宋体" w:cs="Times New Roman"/>
                <w:color w:val="auto"/>
                <w:szCs w:val="22"/>
                <w:lang w:eastAsia="zh-CN"/>
              </w:rPr>
              <w:t>响应</w:t>
            </w:r>
            <w:r>
              <w:rPr>
                <w:rFonts w:hint="eastAsia" w:ascii="Times New Roman" w:hAnsi="Times New Roman" w:eastAsia="宋体" w:cs="Times New Roman"/>
                <w:color w:val="auto"/>
                <w:szCs w:val="22"/>
              </w:rPr>
              <w:t>程度</w:t>
            </w:r>
            <w:r>
              <w:rPr>
                <w:rFonts w:hint="eastAsia" w:ascii="Times New Roman" w:hAnsi="Times New Roman" w:eastAsia="宋体" w:cs="Times New Roman"/>
                <w:color w:val="auto"/>
                <w:szCs w:val="22"/>
                <w:lang w:val="en-US" w:eastAsia="zh-CN"/>
              </w:rPr>
              <w:t>优计</w:t>
            </w:r>
            <w:r>
              <w:rPr>
                <w:rFonts w:hint="eastAsia" w:cs="Times New Roman"/>
                <w:color w:val="auto"/>
                <w:szCs w:val="22"/>
                <w:lang w:val="en-US" w:eastAsia="zh-CN"/>
              </w:rPr>
              <w:t>8-12</w:t>
            </w:r>
            <w:r>
              <w:rPr>
                <w:rFonts w:hint="eastAsia" w:ascii="Times New Roman" w:hAnsi="Times New Roman" w:eastAsia="宋体" w:cs="Times New Roman"/>
                <w:color w:val="auto"/>
                <w:szCs w:val="22"/>
                <w:lang w:val="en-US" w:eastAsia="zh-CN"/>
              </w:rPr>
              <w:t>分、良计</w:t>
            </w:r>
            <w:r>
              <w:rPr>
                <w:rFonts w:hint="eastAsia" w:cs="Times New Roman"/>
                <w:color w:val="auto"/>
                <w:szCs w:val="22"/>
                <w:lang w:val="en-US" w:eastAsia="zh-CN"/>
              </w:rPr>
              <w:t>4-8</w:t>
            </w:r>
            <w:r>
              <w:rPr>
                <w:rFonts w:hint="eastAsia" w:ascii="Times New Roman" w:hAnsi="Times New Roman" w:eastAsia="宋体" w:cs="Times New Roman"/>
                <w:color w:val="auto"/>
                <w:szCs w:val="22"/>
                <w:lang w:val="en-US" w:eastAsia="zh-CN"/>
              </w:rPr>
              <w:t>分、一般</w:t>
            </w:r>
            <w:r>
              <w:rPr>
                <w:rFonts w:hint="eastAsia" w:ascii="Times New Roman" w:hAnsi="Times New Roman" w:eastAsia="宋体" w:cs="Times New Roman"/>
                <w:color w:val="auto"/>
                <w:szCs w:val="22"/>
              </w:rPr>
              <w:t>计</w:t>
            </w:r>
            <w:r>
              <w:rPr>
                <w:rFonts w:hint="eastAsia" w:ascii="Times New Roman" w:hAnsi="Times New Roman" w:eastAsia="宋体" w:cs="Times New Roman"/>
                <w:color w:val="auto"/>
                <w:szCs w:val="22"/>
                <w:lang w:val="en-US" w:eastAsia="zh-CN"/>
              </w:rPr>
              <w:t>1-</w:t>
            </w:r>
            <w:r>
              <w:rPr>
                <w:rFonts w:hint="eastAsia" w:cs="Times New Roman"/>
                <w:color w:val="auto"/>
                <w:szCs w:val="22"/>
                <w:lang w:val="en-US" w:eastAsia="zh-CN"/>
              </w:rPr>
              <w:t>4</w:t>
            </w:r>
            <w:r>
              <w:rPr>
                <w:rFonts w:hint="eastAsia" w:ascii="Times New Roman" w:hAnsi="Times New Roman" w:eastAsia="宋体" w:cs="Times New Roman"/>
                <w:color w:val="auto"/>
                <w:szCs w:val="22"/>
              </w:rPr>
              <w:t>分；</w:t>
            </w:r>
          </w:p>
          <w:p>
            <w:pPr>
              <w:keepLines w:val="0"/>
              <w:pageBreakBefore w:val="0"/>
              <w:numPr>
                <w:ilvl w:val="0"/>
                <w:numId w:val="5"/>
              </w:numPr>
              <w:kinsoku/>
              <w:wordWrap/>
              <w:overflowPunct/>
              <w:topLinePunct w:val="0"/>
              <w:bidi w:val="0"/>
              <w:spacing w:line="400" w:lineRule="exac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lang w:val="en-US" w:eastAsia="zh-CN"/>
              </w:rPr>
              <w:t>提供</w:t>
            </w:r>
            <w:r>
              <w:rPr>
                <w:rFonts w:hint="eastAsia" w:ascii="Times New Roman" w:hAnsi="Times New Roman" w:eastAsia="宋体" w:cs="Times New Roman"/>
                <w:color w:val="auto"/>
                <w:szCs w:val="22"/>
              </w:rPr>
              <w:t>完善的供货方案且供货方案符合实际情况、可行性高，能够保证按时按质按量供货，保证食品的正常食用</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lang w:val="en-US" w:eastAsia="zh-CN"/>
              </w:rPr>
              <w:t>评委综合评审赋分0-5分</w:t>
            </w:r>
            <w:r>
              <w:rPr>
                <w:rFonts w:hint="eastAsia" w:ascii="Times New Roman" w:hAnsi="Times New Roman" w:eastAsia="宋体" w:cs="Times New Roman"/>
                <w:color w:val="auto"/>
                <w:szCs w:val="22"/>
              </w:rPr>
              <w:t>。</w:t>
            </w:r>
          </w:p>
          <w:p>
            <w:pPr>
              <w:keepLines w:val="0"/>
              <w:pageBreakBefore w:val="0"/>
              <w:numPr>
                <w:ilvl w:val="0"/>
                <w:numId w:val="5"/>
              </w:numPr>
              <w:kinsoku/>
              <w:wordWrap/>
              <w:overflowPunct/>
              <w:topLinePunct w:val="0"/>
              <w:bidi w:val="0"/>
              <w:spacing w:line="400" w:lineRule="exac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lang w:val="en-US" w:eastAsia="zh-CN"/>
              </w:rPr>
              <w:t>供应商</w:t>
            </w:r>
            <w:r>
              <w:rPr>
                <w:rFonts w:hint="eastAsia" w:ascii="Times New Roman" w:hAnsi="Times New Roman" w:eastAsia="宋体" w:cs="Times New Roman"/>
                <w:color w:val="auto"/>
                <w:szCs w:val="22"/>
              </w:rPr>
              <w:t>加工</w:t>
            </w:r>
            <w:r>
              <w:rPr>
                <w:rFonts w:hint="eastAsia" w:ascii="Times New Roman" w:hAnsi="Times New Roman" w:eastAsia="宋体" w:cs="Times New Roman"/>
                <w:color w:val="auto"/>
                <w:szCs w:val="22"/>
                <w:lang w:eastAsia="zh-CN"/>
              </w:rPr>
              <w:t>设备</w:t>
            </w:r>
            <w:r>
              <w:rPr>
                <w:rFonts w:hint="eastAsia" w:ascii="Times New Roman" w:hAnsi="Times New Roman" w:eastAsia="宋体" w:cs="Times New Roman"/>
                <w:color w:val="auto"/>
                <w:szCs w:val="22"/>
              </w:rPr>
              <w:t>工艺先进，生产场所卫生，</w:t>
            </w:r>
            <w:r>
              <w:rPr>
                <w:rFonts w:hint="eastAsia" w:ascii="Times New Roman" w:hAnsi="Times New Roman" w:eastAsia="宋体" w:cs="Times New Roman"/>
                <w:color w:val="auto"/>
                <w:szCs w:val="22"/>
                <w:lang w:eastAsia="zh-CN"/>
              </w:rPr>
              <w:t>检测设备齐全等，</w:t>
            </w:r>
            <w:r>
              <w:rPr>
                <w:rFonts w:hint="eastAsia" w:ascii="Times New Roman" w:hAnsi="Times New Roman" w:eastAsia="宋体" w:cs="Times New Roman"/>
                <w:color w:val="auto"/>
                <w:szCs w:val="22"/>
              </w:rPr>
              <w:t>根据其优劣程度</w:t>
            </w:r>
            <w:r>
              <w:rPr>
                <w:rFonts w:hint="eastAsia" w:ascii="Times New Roman" w:hAnsi="Times New Roman" w:eastAsia="宋体" w:cs="Times New Roman"/>
                <w:color w:val="auto"/>
                <w:szCs w:val="22"/>
                <w:lang w:val="en-US" w:eastAsia="zh-CN"/>
              </w:rPr>
              <w:t>优计</w:t>
            </w:r>
            <w:r>
              <w:rPr>
                <w:rFonts w:hint="eastAsia" w:cs="Times New Roman"/>
                <w:color w:val="auto"/>
                <w:szCs w:val="22"/>
                <w:lang w:val="en-US" w:eastAsia="zh-CN"/>
              </w:rPr>
              <w:t>6-9</w:t>
            </w:r>
            <w:r>
              <w:rPr>
                <w:rFonts w:hint="eastAsia" w:ascii="Times New Roman" w:hAnsi="Times New Roman" w:eastAsia="宋体" w:cs="Times New Roman"/>
                <w:color w:val="auto"/>
                <w:szCs w:val="22"/>
                <w:lang w:val="en-US" w:eastAsia="zh-CN"/>
              </w:rPr>
              <w:t>分、良计</w:t>
            </w:r>
            <w:r>
              <w:rPr>
                <w:rFonts w:hint="eastAsia" w:cs="Times New Roman"/>
                <w:color w:val="auto"/>
                <w:szCs w:val="22"/>
                <w:lang w:val="en-US" w:eastAsia="zh-CN"/>
              </w:rPr>
              <w:t>3-6</w:t>
            </w:r>
            <w:r>
              <w:rPr>
                <w:rFonts w:hint="eastAsia" w:ascii="Times New Roman" w:hAnsi="Times New Roman" w:eastAsia="宋体" w:cs="Times New Roman"/>
                <w:color w:val="auto"/>
                <w:szCs w:val="22"/>
                <w:lang w:val="en-US" w:eastAsia="zh-CN"/>
              </w:rPr>
              <w:t>分、一般</w:t>
            </w:r>
            <w:r>
              <w:rPr>
                <w:rFonts w:hint="eastAsia" w:ascii="Times New Roman" w:hAnsi="Times New Roman" w:eastAsia="宋体" w:cs="Times New Roman"/>
                <w:color w:val="auto"/>
                <w:szCs w:val="22"/>
              </w:rPr>
              <w:t>计</w:t>
            </w:r>
            <w:r>
              <w:rPr>
                <w:rFonts w:hint="eastAsia" w:ascii="Times New Roman" w:hAnsi="Times New Roman" w:eastAsia="宋体" w:cs="Times New Roman"/>
                <w:color w:val="auto"/>
                <w:szCs w:val="22"/>
                <w:lang w:val="en-US" w:eastAsia="zh-CN"/>
              </w:rPr>
              <w:t>1-</w:t>
            </w:r>
            <w:r>
              <w:rPr>
                <w:rFonts w:hint="eastAsia" w:cs="Times New Roman"/>
                <w:color w:val="auto"/>
                <w:szCs w:val="22"/>
                <w:lang w:val="en-US" w:eastAsia="zh-CN"/>
              </w:rPr>
              <w:t>3</w:t>
            </w:r>
            <w:r>
              <w:rPr>
                <w:rFonts w:hint="eastAsia" w:ascii="Times New Roman" w:hAnsi="Times New Roman" w:eastAsia="宋体" w:cs="Times New Roman"/>
                <w:color w:val="auto"/>
                <w:szCs w:val="22"/>
              </w:rPr>
              <w:t>分；</w:t>
            </w:r>
          </w:p>
          <w:p>
            <w:pPr>
              <w:keepLines w:val="0"/>
              <w:pageBreakBefore w:val="0"/>
              <w:numPr>
                <w:ilvl w:val="0"/>
                <w:numId w:val="5"/>
              </w:numPr>
              <w:kinsoku/>
              <w:wordWrap/>
              <w:overflowPunct/>
              <w:topLinePunct w:val="0"/>
              <w:bidi w:val="0"/>
              <w:spacing w:line="400" w:lineRule="exac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lang w:eastAsia="zh-CN"/>
              </w:rPr>
              <w:t>投标人</w:t>
            </w:r>
            <w:r>
              <w:rPr>
                <w:rFonts w:hint="eastAsia" w:ascii="Times New Roman" w:hAnsi="Times New Roman" w:eastAsia="宋体" w:cs="Times New Roman"/>
                <w:color w:val="auto"/>
                <w:szCs w:val="22"/>
              </w:rPr>
              <w:t>有规范的储存场</w:t>
            </w:r>
            <w:r>
              <w:rPr>
                <w:rFonts w:hint="eastAsia" w:ascii="Times New Roman" w:hAnsi="Times New Roman" w:eastAsia="宋体" w:cs="Times New Roman"/>
                <w:color w:val="auto"/>
                <w:szCs w:val="22"/>
                <w:lang w:eastAsia="zh-CN"/>
              </w:rPr>
              <w:t>所</w:t>
            </w:r>
            <w:r>
              <w:rPr>
                <w:rFonts w:hint="eastAsia" w:ascii="Times New Roman" w:hAnsi="Times New Roman" w:eastAsia="宋体" w:cs="Times New Roman"/>
                <w:color w:val="auto"/>
                <w:szCs w:val="22"/>
              </w:rPr>
              <w:t>（提供房屋合同、照片等相关证明材料以反映出其适合产品储存、周转的室内温度调节设备或其他冷藏设备等</w:t>
            </w:r>
            <w:r>
              <w:rPr>
                <w:rFonts w:hint="eastAsia" w:ascii="Times New Roman" w:hAnsi="Times New Roman" w:eastAsia="宋体" w:cs="Times New Roman"/>
                <w:color w:val="auto"/>
                <w:szCs w:val="22"/>
                <w:lang w:eastAsia="zh-CN"/>
              </w:rPr>
              <w:t>、面积</w:t>
            </w:r>
            <w:r>
              <w:rPr>
                <w:rFonts w:hint="eastAsia" w:ascii="Times New Roman" w:hAnsi="Times New Roman" w:eastAsia="宋体" w:cs="Times New Roman"/>
                <w:color w:val="auto"/>
                <w:szCs w:val="22"/>
              </w:rPr>
              <w:t>），根据其</w:t>
            </w:r>
            <w:r>
              <w:rPr>
                <w:rFonts w:hint="eastAsia" w:ascii="Times New Roman" w:hAnsi="Times New Roman" w:eastAsia="宋体" w:cs="Times New Roman"/>
                <w:color w:val="auto"/>
                <w:szCs w:val="22"/>
                <w:lang w:eastAsia="zh-CN"/>
              </w:rPr>
              <w:t>响应</w:t>
            </w:r>
            <w:r>
              <w:rPr>
                <w:rFonts w:hint="eastAsia" w:ascii="Times New Roman" w:hAnsi="Times New Roman" w:eastAsia="宋体" w:cs="Times New Roman"/>
                <w:color w:val="auto"/>
                <w:szCs w:val="22"/>
              </w:rPr>
              <w:t>程度</w:t>
            </w:r>
            <w:r>
              <w:rPr>
                <w:rFonts w:hint="eastAsia" w:ascii="Times New Roman" w:hAnsi="Times New Roman" w:eastAsia="宋体" w:cs="Times New Roman"/>
                <w:color w:val="auto"/>
                <w:szCs w:val="22"/>
                <w:lang w:val="en-US" w:eastAsia="zh-CN"/>
              </w:rPr>
              <w:t>优计优计</w:t>
            </w:r>
            <w:r>
              <w:rPr>
                <w:rFonts w:hint="eastAsia" w:cs="Times New Roman"/>
                <w:color w:val="auto"/>
                <w:szCs w:val="22"/>
                <w:lang w:val="en-US" w:eastAsia="zh-CN"/>
              </w:rPr>
              <w:t>4-7</w:t>
            </w:r>
            <w:r>
              <w:rPr>
                <w:rFonts w:hint="eastAsia" w:ascii="Times New Roman" w:hAnsi="Times New Roman" w:eastAsia="宋体" w:cs="Times New Roman"/>
                <w:color w:val="auto"/>
                <w:szCs w:val="22"/>
                <w:lang w:val="en-US" w:eastAsia="zh-CN"/>
              </w:rPr>
              <w:t>分、良计</w:t>
            </w:r>
            <w:r>
              <w:rPr>
                <w:rFonts w:hint="eastAsia" w:cs="Times New Roman"/>
                <w:color w:val="auto"/>
                <w:szCs w:val="22"/>
                <w:lang w:val="en-US" w:eastAsia="zh-CN"/>
              </w:rPr>
              <w:t>2-4</w:t>
            </w:r>
            <w:r>
              <w:rPr>
                <w:rFonts w:hint="eastAsia" w:ascii="Times New Roman" w:hAnsi="Times New Roman" w:eastAsia="宋体" w:cs="Times New Roman"/>
                <w:color w:val="auto"/>
                <w:szCs w:val="22"/>
                <w:lang w:val="en-US" w:eastAsia="zh-CN"/>
              </w:rPr>
              <w:t>分、一般</w:t>
            </w:r>
            <w:r>
              <w:rPr>
                <w:rFonts w:hint="eastAsia" w:ascii="Times New Roman" w:hAnsi="Times New Roman" w:eastAsia="宋体" w:cs="Times New Roman"/>
                <w:color w:val="auto"/>
                <w:szCs w:val="22"/>
              </w:rPr>
              <w:t>计</w:t>
            </w:r>
            <w:r>
              <w:rPr>
                <w:rFonts w:hint="eastAsia" w:ascii="Times New Roman" w:hAnsi="Times New Roman" w:eastAsia="宋体" w:cs="Times New Roman"/>
                <w:color w:val="auto"/>
                <w:szCs w:val="22"/>
                <w:lang w:val="en-US" w:eastAsia="zh-CN"/>
              </w:rPr>
              <w:t>1-</w:t>
            </w:r>
            <w:r>
              <w:rPr>
                <w:rFonts w:hint="eastAsia" w:cs="Times New Roman"/>
                <w:color w:val="auto"/>
                <w:szCs w:val="22"/>
                <w:lang w:val="en-US" w:eastAsia="zh-CN"/>
              </w:rPr>
              <w:t>2</w:t>
            </w:r>
            <w:r>
              <w:rPr>
                <w:rFonts w:hint="eastAsia" w:ascii="Times New Roman" w:hAnsi="Times New Roman" w:eastAsia="宋体" w:cs="Times New Roman"/>
                <w:color w:val="auto"/>
                <w:szCs w:val="22"/>
              </w:rPr>
              <w:t>分；</w:t>
            </w:r>
          </w:p>
          <w:p>
            <w:pPr>
              <w:keepLines w:val="0"/>
              <w:pageBreakBefore w:val="0"/>
              <w:numPr>
                <w:ilvl w:val="0"/>
                <w:numId w:val="5"/>
              </w:numPr>
              <w:kinsoku/>
              <w:wordWrap/>
              <w:overflowPunct/>
              <w:topLinePunct w:val="0"/>
              <w:bidi w:val="0"/>
              <w:spacing w:line="400" w:lineRule="exact"/>
              <w:rPr>
                <w:rFonts w:hint="eastAsia"/>
              </w:rPr>
            </w:pPr>
            <w:r>
              <w:rPr>
                <w:rFonts w:hint="eastAsia" w:ascii="Times New Roman" w:hAnsi="Times New Roman" w:eastAsia="宋体" w:cs="Times New Roman"/>
                <w:color w:val="auto"/>
                <w:szCs w:val="22"/>
                <w:lang w:val="en-US" w:eastAsia="zh-CN"/>
              </w:rPr>
              <w:t>产品的配送、组织措施完善，有针对本项目的配送人员和专用车辆，并针对本项目特点做出合理的配送计划、配送路线及调配方案，能保证食品的按时到达；有食品配送服务应急预案。根据其响应程度优计5-7分、良计3-5分、一般计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trPr>
        <w:tc>
          <w:tcPr>
            <w:tcW w:w="931"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质量</w:t>
            </w:r>
          </w:p>
          <w:p>
            <w:pPr>
              <w:keepLines w:val="0"/>
              <w:pageBreakBefore w:val="0"/>
              <w:kinsoku/>
              <w:wordWrap/>
              <w:overflowPunct/>
              <w:topLinePunct w:val="0"/>
              <w:bidi w:val="0"/>
              <w:spacing w:line="400" w:lineRule="exact"/>
              <w:jc w:val="center"/>
              <w:rPr>
                <w:rFonts w:hint="eastAsia"/>
              </w:rPr>
            </w:pPr>
            <w:r>
              <w:rPr>
                <w:rFonts w:hint="eastAsia"/>
              </w:rPr>
              <w:t>保证</w:t>
            </w:r>
          </w:p>
        </w:tc>
        <w:tc>
          <w:tcPr>
            <w:tcW w:w="835" w:type="dxa"/>
            <w:noWrap w:val="0"/>
            <w:vAlign w:val="center"/>
          </w:tcPr>
          <w:p>
            <w:pPr>
              <w:keepLines w:val="0"/>
              <w:pageBreakBefore w:val="0"/>
              <w:kinsoku/>
              <w:wordWrap/>
              <w:overflowPunct/>
              <w:topLinePunct w:val="0"/>
              <w:bidi w:val="0"/>
              <w:spacing w:line="400" w:lineRule="exact"/>
              <w:jc w:val="center"/>
              <w:rPr>
                <w:rFonts w:hint="eastAsia"/>
              </w:rPr>
            </w:pPr>
            <w:r>
              <w:rPr>
                <w:rFonts w:hint="eastAsia"/>
                <w:lang w:val="en-US" w:eastAsia="zh-CN"/>
              </w:rPr>
              <w:t>10</w:t>
            </w:r>
            <w:r>
              <w:rPr>
                <w:rFonts w:hint="eastAsia"/>
              </w:rPr>
              <w:t>分</w:t>
            </w:r>
          </w:p>
        </w:tc>
        <w:tc>
          <w:tcPr>
            <w:tcW w:w="7305" w:type="dxa"/>
            <w:noWrap w:val="0"/>
            <w:vAlign w:val="center"/>
          </w:tcPr>
          <w:p>
            <w:pPr>
              <w:keepLines w:val="0"/>
              <w:pageBreakBefore w:val="0"/>
              <w:numPr>
                <w:ilvl w:val="0"/>
                <w:numId w:val="0"/>
              </w:numPr>
              <w:kinsoku/>
              <w:wordWrap/>
              <w:overflowPunct/>
              <w:topLinePunct w:val="0"/>
              <w:bidi w:val="0"/>
              <w:spacing w:line="400" w:lineRule="exact"/>
              <w:rPr>
                <w:rFonts w:hint="eastAsia" w:ascii="Times New Roman" w:hAnsi="Times New Roman" w:eastAsia="宋体" w:cs="Times New Roman"/>
                <w:szCs w:val="22"/>
                <w:lang w:val="en-US" w:eastAsia="zh-CN"/>
              </w:rPr>
            </w:pPr>
            <w:r>
              <w:rPr>
                <w:rFonts w:hint="eastAsia" w:cs="Times New Roman"/>
                <w:szCs w:val="22"/>
                <w:lang w:val="en-US" w:eastAsia="zh-CN"/>
              </w:rPr>
              <w:t>1.</w:t>
            </w:r>
            <w:r>
              <w:rPr>
                <w:rFonts w:hint="eastAsia" w:ascii="Times New Roman" w:hAnsi="Times New Roman" w:eastAsia="宋体" w:cs="Times New Roman"/>
                <w:szCs w:val="22"/>
                <w:lang w:val="en-US" w:eastAsia="zh-CN"/>
              </w:rPr>
              <w:t>企业各项规章制度健全计0-</w:t>
            </w:r>
            <w:r>
              <w:rPr>
                <w:rFonts w:hint="eastAsia" w:cs="Times New Roman"/>
                <w:szCs w:val="22"/>
                <w:lang w:val="en-US" w:eastAsia="zh-CN"/>
              </w:rPr>
              <w:t>2</w:t>
            </w:r>
            <w:r>
              <w:rPr>
                <w:rFonts w:hint="eastAsia" w:ascii="Times New Roman" w:hAnsi="Times New Roman" w:eastAsia="宋体" w:cs="Times New Roman"/>
                <w:szCs w:val="22"/>
                <w:lang w:val="en-US" w:eastAsia="zh-CN"/>
              </w:rPr>
              <w:t>分；</w:t>
            </w:r>
          </w:p>
          <w:p>
            <w:pPr>
              <w:keepLines w:val="0"/>
              <w:pageBreakBefore w:val="0"/>
              <w:numPr>
                <w:ilvl w:val="0"/>
                <w:numId w:val="0"/>
              </w:numPr>
              <w:kinsoku/>
              <w:wordWrap/>
              <w:overflowPunct/>
              <w:topLinePunct w:val="0"/>
              <w:bidi w:val="0"/>
              <w:spacing w:line="400" w:lineRule="exact"/>
              <w:rPr>
                <w:rFonts w:hint="eastAsia" w:ascii="Times New Roman" w:hAnsi="Times New Roman" w:eastAsia="宋体" w:cs="Times New Roman"/>
                <w:szCs w:val="22"/>
                <w:lang w:val="en-US" w:eastAsia="zh-CN"/>
              </w:rPr>
            </w:pPr>
            <w:r>
              <w:rPr>
                <w:rFonts w:hint="eastAsia" w:cs="Times New Roman"/>
                <w:szCs w:val="22"/>
                <w:lang w:val="en-US" w:eastAsia="zh-CN"/>
              </w:rPr>
              <w:t>2.</w:t>
            </w:r>
            <w:r>
              <w:rPr>
                <w:rFonts w:hint="eastAsia" w:ascii="Times New Roman" w:hAnsi="Times New Roman" w:eastAsia="宋体" w:cs="Times New Roman"/>
                <w:szCs w:val="22"/>
                <w:lang w:val="en-US" w:eastAsia="zh-CN"/>
              </w:rPr>
              <w:t>具有相应的财力、物力、人力保障，能够保证产、供、销服务正常运转计0-4分；</w:t>
            </w:r>
          </w:p>
          <w:p>
            <w:pPr>
              <w:keepLines w:val="0"/>
              <w:pageBreakBefore w:val="0"/>
              <w:numPr>
                <w:ilvl w:val="0"/>
                <w:numId w:val="0"/>
              </w:numPr>
              <w:kinsoku/>
              <w:wordWrap/>
              <w:overflowPunct/>
              <w:topLinePunct w:val="0"/>
              <w:bidi w:val="0"/>
              <w:spacing w:line="400" w:lineRule="exact"/>
              <w:rPr>
                <w:rFonts w:hint="default" w:eastAsia="宋体"/>
                <w:lang w:val="en-US" w:eastAsia="zh-CN"/>
              </w:rPr>
            </w:pPr>
            <w:r>
              <w:rPr>
                <w:rFonts w:hint="eastAsia" w:cs="Times New Roman"/>
                <w:szCs w:val="22"/>
                <w:lang w:val="en-US" w:eastAsia="zh-CN"/>
              </w:rPr>
              <w:t>3.</w:t>
            </w:r>
            <w:r>
              <w:rPr>
                <w:rFonts w:hint="eastAsia" w:ascii="Times New Roman" w:hAnsi="Times New Roman" w:eastAsia="宋体" w:cs="Times New Roman"/>
                <w:szCs w:val="22"/>
                <w:lang w:val="en-US" w:eastAsia="zh-CN"/>
              </w:rPr>
              <w:t>产品质量优良、并能提供专业技术部门的质量检验报告等相关资料，根据优劣程度计0-4分；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1" w:hRule="atLeast"/>
        </w:trPr>
        <w:tc>
          <w:tcPr>
            <w:tcW w:w="931"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售后</w:t>
            </w:r>
          </w:p>
          <w:p>
            <w:pPr>
              <w:keepLines w:val="0"/>
              <w:pageBreakBefore w:val="0"/>
              <w:kinsoku/>
              <w:wordWrap/>
              <w:overflowPunct/>
              <w:topLinePunct w:val="0"/>
              <w:bidi w:val="0"/>
              <w:spacing w:line="400" w:lineRule="exact"/>
              <w:jc w:val="center"/>
              <w:rPr>
                <w:rFonts w:hint="eastAsia"/>
              </w:rPr>
            </w:pPr>
            <w:r>
              <w:rPr>
                <w:rFonts w:hint="eastAsia"/>
              </w:rPr>
              <w:t>保障</w:t>
            </w:r>
          </w:p>
        </w:tc>
        <w:tc>
          <w:tcPr>
            <w:tcW w:w="835" w:type="dxa"/>
            <w:noWrap w:val="0"/>
            <w:vAlign w:val="center"/>
          </w:tcPr>
          <w:p>
            <w:pPr>
              <w:keepLines w:val="0"/>
              <w:pageBreakBefore w:val="0"/>
              <w:kinsoku/>
              <w:wordWrap/>
              <w:overflowPunct/>
              <w:topLinePunct w:val="0"/>
              <w:bidi w:val="0"/>
              <w:spacing w:line="400" w:lineRule="exact"/>
              <w:jc w:val="center"/>
              <w:rPr>
                <w:rFonts w:hint="eastAsia"/>
              </w:rPr>
            </w:pPr>
            <w:r>
              <w:rPr>
                <w:rFonts w:hint="eastAsia"/>
                <w:lang w:val="en-US" w:eastAsia="zh-CN"/>
              </w:rPr>
              <w:t>10</w:t>
            </w:r>
            <w:r>
              <w:rPr>
                <w:rFonts w:hint="eastAsia"/>
              </w:rPr>
              <w:t>分</w:t>
            </w:r>
          </w:p>
        </w:tc>
        <w:tc>
          <w:tcPr>
            <w:tcW w:w="7305" w:type="dxa"/>
            <w:noWrap w:val="0"/>
            <w:vAlign w:val="center"/>
          </w:tcPr>
          <w:p>
            <w:pPr>
              <w:keepLines w:val="0"/>
              <w:pageBreakBefore w:val="0"/>
              <w:kinsoku/>
              <w:wordWrap/>
              <w:overflowPunct/>
              <w:topLinePunct w:val="0"/>
              <w:bidi w:val="0"/>
              <w:spacing w:line="400" w:lineRule="exact"/>
              <w:rPr>
                <w:rFonts w:hint="eastAsia"/>
                <w:lang w:eastAsia="zh-CN"/>
              </w:rPr>
            </w:pPr>
            <w:r>
              <w:rPr>
                <w:rFonts w:hint="eastAsia"/>
              </w:rPr>
              <w:t>针对本项目有详尽、可行、安全的售前、售中、售后服务承诺</w:t>
            </w:r>
            <w:r>
              <w:rPr>
                <w:rFonts w:hint="eastAsia"/>
                <w:lang w:eastAsia="zh-CN"/>
              </w:rPr>
              <w:t>，服务条款及服务方案详细、切实可行，根据优劣程度计</w:t>
            </w:r>
            <w:r>
              <w:rPr>
                <w:rFonts w:hint="eastAsia"/>
                <w:lang w:val="en-US" w:eastAsia="zh-CN"/>
              </w:rPr>
              <w:t>1-5分；</w:t>
            </w:r>
          </w:p>
          <w:p>
            <w:pPr>
              <w:keepLines w:val="0"/>
              <w:pageBreakBefore w:val="0"/>
              <w:kinsoku/>
              <w:wordWrap/>
              <w:overflowPunct/>
              <w:topLinePunct w:val="0"/>
              <w:bidi w:val="0"/>
              <w:spacing w:line="400" w:lineRule="exact"/>
              <w:rPr>
                <w:rFonts w:hint="eastAsia"/>
              </w:rPr>
            </w:pPr>
            <w:r>
              <w:rPr>
                <w:rFonts w:hint="eastAsia"/>
                <w:lang w:eastAsia="zh-CN"/>
              </w:rPr>
              <w:t>在项目本</w:t>
            </w:r>
            <w:r>
              <w:rPr>
                <w:rFonts w:hint="eastAsia"/>
              </w:rPr>
              <w:t>地</w:t>
            </w:r>
            <w:r>
              <w:rPr>
                <w:rFonts w:hint="eastAsia"/>
                <w:lang w:eastAsia="zh-CN"/>
              </w:rPr>
              <w:t>有</w:t>
            </w:r>
            <w:r>
              <w:rPr>
                <w:rFonts w:hint="eastAsia"/>
              </w:rPr>
              <w:t>配送服务点</w:t>
            </w:r>
            <w:r>
              <w:rPr>
                <w:rFonts w:hint="eastAsia"/>
                <w:lang w:val="en-US" w:eastAsia="zh-CN"/>
              </w:rPr>
              <w:t>及</w:t>
            </w:r>
            <w:r>
              <w:rPr>
                <w:rFonts w:hint="eastAsia"/>
              </w:rPr>
              <w:t>售后服务机构（提供营业执照、委托协议、租赁合同等证明材料），根据其优劣程度计</w:t>
            </w:r>
            <w:r>
              <w:rPr>
                <w:rFonts w:hint="eastAsia"/>
                <w:lang w:val="en-US" w:eastAsia="zh-CN"/>
              </w:rPr>
              <w:t>1</w:t>
            </w:r>
            <w:r>
              <w:rPr>
                <w:rFonts w:hint="eastAsia"/>
              </w:rPr>
              <w:t>-</w:t>
            </w:r>
            <w:r>
              <w:rPr>
                <w:rFonts w:hint="eastAsia"/>
                <w:lang w:val="en-US" w:eastAsia="zh-CN"/>
              </w:rPr>
              <w:t>5</w:t>
            </w:r>
            <w:r>
              <w:rPr>
                <w:rFonts w:hint="eastAsia"/>
              </w:rPr>
              <w:t>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trPr>
        <w:tc>
          <w:tcPr>
            <w:tcW w:w="931" w:type="dxa"/>
            <w:noWrap w:val="0"/>
            <w:vAlign w:val="center"/>
          </w:tcPr>
          <w:p>
            <w:pPr>
              <w:keepLines w:val="0"/>
              <w:pageBreakBefore w:val="0"/>
              <w:kinsoku/>
              <w:wordWrap/>
              <w:overflowPunct/>
              <w:topLinePunct w:val="0"/>
              <w:bidi w:val="0"/>
              <w:spacing w:line="400" w:lineRule="exact"/>
              <w:jc w:val="center"/>
              <w:rPr>
                <w:rFonts w:hint="default" w:eastAsia="宋体"/>
                <w:lang w:val="en-US" w:eastAsia="zh-CN"/>
              </w:rPr>
            </w:pPr>
            <w:r>
              <w:rPr>
                <w:rFonts w:hint="eastAsia"/>
                <w:lang w:val="en-US" w:eastAsia="zh-CN"/>
              </w:rPr>
              <w:t>应急处理方案</w:t>
            </w:r>
          </w:p>
        </w:tc>
        <w:tc>
          <w:tcPr>
            <w:tcW w:w="835" w:type="dxa"/>
            <w:noWrap w:val="0"/>
            <w:vAlign w:val="center"/>
          </w:tcPr>
          <w:p>
            <w:pPr>
              <w:keepLines w:val="0"/>
              <w:pageBreakBefore w:val="0"/>
              <w:kinsoku/>
              <w:wordWrap/>
              <w:overflowPunct/>
              <w:topLinePunct w:val="0"/>
              <w:bidi w:val="0"/>
              <w:spacing w:line="400" w:lineRule="exact"/>
              <w:jc w:val="center"/>
              <w:rPr>
                <w:rFonts w:hint="default"/>
                <w:lang w:val="en-US" w:eastAsia="zh-CN"/>
              </w:rPr>
            </w:pPr>
            <w:r>
              <w:rPr>
                <w:rFonts w:hint="eastAsia"/>
                <w:lang w:val="en-US" w:eastAsia="zh-CN"/>
              </w:rPr>
              <w:t>6分</w:t>
            </w:r>
          </w:p>
        </w:tc>
        <w:tc>
          <w:tcPr>
            <w:tcW w:w="7305" w:type="dxa"/>
            <w:noWrap w:val="0"/>
            <w:vAlign w:val="center"/>
          </w:tcPr>
          <w:p>
            <w:pPr>
              <w:keepLines w:val="0"/>
              <w:pageBreakBefore w:val="0"/>
              <w:kinsoku/>
              <w:wordWrap/>
              <w:overflowPunct/>
              <w:topLinePunct w:val="0"/>
              <w:bidi w:val="0"/>
              <w:spacing w:line="400" w:lineRule="exact"/>
              <w:rPr>
                <w:rFonts w:hint="eastAsia"/>
                <w:lang w:eastAsia="zh-CN"/>
              </w:rPr>
            </w:pPr>
            <w:r>
              <w:rPr>
                <w:rFonts w:hint="eastAsia" w:ascii="宋体" w:hAnsi="宋体" w:cs="宋体"/>
                <w:color w:val="auto"/>
                <w:sz w:val="21"/>
                <w:szCs w:val="21"/>
                <w:lang w:val="en-US" w:eastAsia="zh-CN"/>
              </w:rPr>
              <w:t>供应商</w:t>
            </w:r>
            <w:r>
              <w:rPr>
                <w:rFonts w:hint="eastAsia" w:ascii="宋体" w:hAnsi="宋体" w:cs="宋体"/>
                <w:color w:val="auto"/>
                <w:sz w:val="21"/>
                <w:szCs w:val="21"/>
                <w:highlight w:val="none"/>
                <w:lang w:val="en-US" w:eastAsia="zh-CN"/>
              </w:rPr>
              <w:t>具有包括突发疫情在内的</w:t>
            </w:r>
            <w:r>
              <w:rPr>
                <w:rFonts w:hint="eastAsia" w:ascii="宋体" w:hAnsi="宋体" w:cs="宋体"/>
                <w:color w:val="auto"/>
                <w:sz w:val="21"/>
                <w:szCs w:val="21"/>
              </w:rPr>
              <w:t>突发情况应急处理措施</w:t>
            </w:r>
            <w:r>
              <w:rPr>
                <w:rFonts w:hint="eastAsia" w:ascii="宋体" w:hAnsi="宋体" w:cs="宋体"/>
                <w:color w:val="auto"/>
                <w:sz w:val="21"/>
                <w:szCs w:val="21"/>
                <w:lang w:eastAsia="zh-CN"/>
              </w:rPr>
              <w:t>、</w:t>
            </w:r>
            <w:r>
              <w:rPr>
                <w:rFonts w:hint="eastAsia" w:ascii="宋体" w:hAnsi="宋体" w:cs="宋体"/>
                <w:color w:val="auto"/>
                <w:sz w:val="21"/>
                <w:szCs w:val="21"/>
              </w:rPr>
              <w:t>食品危机管理应急方案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方案应科学合理、切实可行，评委综合评审赋分0-6分</w:t>
            </w: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931" w:type="dxa"/>
            <w:noWrap w:val="0"/>
            <w:vAlign w:val="center"/>
          </w:tcPr>
          <w:p>
            <w:pPr>
              <w:keepLines w:val="0"/>
              <w:pageBreakBefore w:val="0"/>
              <w:kinsoku/>
              <w:wordWrap/>
              <w:overflowPunct/>
              <w:topLinePunct w:val="0"/>
              <w:bidi w:val="0"/>
              <w:spacing w:line="400" w:lineRule="exact"/>
              <w:jc w:val="center"/>
              <w:rPr>
                <w:rFonts w:hint="eastAsia"/>
                <w:color w:val="auto"/>
              </w:rPr>
            </w:pPr>
            <w:r>
              <w:rPr>
                <w:rFonts w:hint="eastAsia"/>
                <w:color w:val="auto"/>
              </w:rPr>
              <w:t>业绩</w:t>
            </w:r>
          </w:p>
        </w:tc>
        <w:tc>
          <w:tcPr>
            <w:tcW w:w="835" w:type="dxa"/>
            <w:noWrap w:val="0"/>
            <w:vAlign w:val="center"/>
          </w:tcPr>
          <w:p>
            <w:pPr>
              <w:keepLines w:val="0"/>
              <w:pageBreakBefore w:val="0"/>
              <w:kinsoku/>
              <w:wordWrap/>
              <w:overflowPunct/>
              <w:topLinePunct w:val="0"/>
              <w:bidi w:val="0"/>
              <w:spacing w:line="400" w:lineRule="exact"/>
              <w:jc w:val="center"/>
              <w:rPr>
                <w:rFonts w:hint="eastAsia"/>
                <w:color w:val="auto"/>
              </w:rPr>
            </w:pPr>
            <w:r>
              <w:rPr>
                <w:rFonts w:hint="eastAsia"/>
                <w:color w:val="auto"/>
                <w:lang w:val="en-US" w:eastAsia="zh-CN"/>
              </w:rPr>
              <w:t>4</w:t>
            </w:r>
            <w:r>
              <w:rPr>
                <w:rFonts w:hint="eastAsia"/>
                <w:color w:val="auto"/>
              </w:rPr>
              <w:t>分</w:t>
            </w:r>
          </w:p>
        </w:tc>
        <w:tc>
          <w:tcPr>
            <w:tcW w:w="7305" w:type="dxa"/>
            <w:noWrap w:val="0"/>
            <w:vAlign w:val="center"/>
          </w:tcPr>
          <w:p>
            <w:pPr>
              <w:keepLines w:val="0"/>
              <w:pageBreakBefore w:val="0"/>
              <w:kinsoku/>
              <w:wordWrap/>
              <w:overflowPunct/>
              <w:topLinePunct w:val="0"/>
              <w:bidi w:val="0"/>
              <w:spacing w:line="400" w:lineRule="exact"/>
              <w:rPr>
                <w:rFonts w:hint="eastAsia"/>
                <w:color w:val="auto"/>
                <w:lang w:eastAsia="zh-CN"/>
              </w:rPr>
            </w:pPr>
            <w:r>
              <w:rPr>
                <w:rFonts w:hint="eastAsia"/>
                <w:color w:val="auto"/>
              </w:rPr>
              <w:t>提供201</w:t>
            </w:r>
            <w:r>
              <w:rPr>
                <w:rFonts w:hint="eastAsia"/>
                <w:color w:val="auto"/>
                <w:lang w:val="en-US" w:eastAsia="zh-CN"/>
              </w:rPr>
              <w:t>9</w:t>
            </w:r>
            <w:r>
              <w:rPr>
                <w:rFonts w:hint="eastAsia"/>
                <w:color w:val="auto"/>
              </w:rPr>
              <w:t>年</w:t>
            </w:r>
            <w:r>
              <w:rPr>
                <w:rFonts w:hint="eastAsia"/>
                <w:color w:val="auto"/>
                <w:lang w:val="en-US" w:eastAsia="zh-CN"/>
              </w:rPr>
              <w:t>1月1日</w:t>
            </w:r>
            <w:r>
              <w:rPr>
                <w:rFonts w:hint="eastAsia"/>
                <w:color w:val="auto"/>
              </w:rPr>
              <w:t>至今</w:t>
            </w:r>
            <w:r>
              <w:rPr>
                <w:rFonts w:hint="eastAsia"/>
                <w:color w:val="auto"/>
                <w:lang w:eastAsia="zh-CN"/>
              </w:rPr>
              <w:t>类似</w:t>
            </w:r>
            <w:r>
              <w:rPr>
                <w:rFonts w:hint="eastAsia"/>
                <w:color w:val="auto"/>
              </w:rPr>
              <w:t>业绩</w:t>
            </w:r>
            <w:r>
              <w:rPr>
                <w:rFonts w:hint="eastAsia"/>
                <w:color w:val="auto"/>
                <w:lang w:eastAsia="zh-CN"/>
              </w:rPr>
              <w:t>（</w:t>
            </w:r>
            <w:r>
              <w:rPr>
                <w:rFonts w:hint="eastAsia"/>
                <w:color w:val="auto"/>
                <w:lang w:val="en-US" w:eastAsia="zh-CN"/>
              </w:rPr>
              <w:t>合同或中标通知书）扫描件并加盖公章，</w:t>
            </w:r>
            <w:r>
              <w:rPr>
                <w:rFonts w:hint="eastAsia"/>
                <w:color w:val="auto"/>
              </w:rPr>
              <w:t>每一</w:t>
            </w:r>
            <w:r>
              <w:rPr>
                <w:rFonts w:hint="eastAsia"/>
                <w:color w:val="auto"/>
                <w:lang w:val="en-US" w:eastAsia="zh-CN"/>
              </w:rPr>
              <w:t>项</w:t>
            </w:r>
            <w:r>
              <w:rPr>
                <w:rFonts w:hint="eastAsia"/>
                <w:color w:val="auto"/>
              </w:rPr>
              <w:t>计</w:t>
            </w:r>
            <w:r>
              <w:rPr>
                <w:rFonts w:hint="eastAsia"/>
                <w:color w:val="auto"/>
                <w:lang w:val="en-US" w:eastAsia="zh-CN"/>
              </w:rPr>
              <w:t>2</w:t>
            </w:r>
            <w:r>
              <w:rPr>
                <w:rFonts w:hint="eastAsia"/>
                <w:color w:val="auto"/>
              </w:rPr>
              <w:t>分，满分</w:t>
            </w:r>
            <w:r>
              <w:rPr>
                <w:rFonts w:hint="eastAsia"/>
                <w:color w:val="auto"/>
                <w:lang w:val="en-US" w:eastAsia="zh-CN"/>
              </w:rPr>
              <w:t>4</w:t>
            </w:r>
            <w:r>
              <w:rPr>
                <w:rFonts w:hint="eastAsia"/>
                <w:color w:val="auto"/>
              </w:rPr>
              <w:t>分。</w:t>
            </w:r>
          </w:p>
        </w:tc>
      </w:tr>
    </w:tbl>
    <w:p>
      <w:pPr>
        <w:pStyle w:val="6"/>
        <w:keepLines w:val="0"/>
        <w:pageBreakBefore w:val="0"/>
        <w:kinsoku/>
        <w:wordWrap/>
        <w:overflowPunct/>
        <w:topLinePunct w:val="0"/>
        <w:bidi w:val="0"/>
        <w:spacing w:line="400" w:lineRule="exact"/>
        <w:ind w:left="0" w:leftChars="0" w:firstLine="0" w:firstLineChars="0"/>
        <w:rPr>
          <w:rFonts w:hint="eastAsia"/>
          <w:lang w:val="zh-CN"/>
        </w:rPr>
      </w:pPr>
    </w:p>
    <w:p>
      <w:pPr>
        <w:pStyle w:val="6"/>
        <w:keepLines w:val="0"/>
        <w:pageBreakBefore w:val="0"/>
        <w:kinsoku/>
        <w:wordWrap/>
        <w:overflowPunct/>
        <w:topLinePunct w:val="0"/>
        <w:bidi w:val="0"/>
        <w:spacing w:line="400" w:lineRule="exact"/>
        <w:ind w:left="0" w:leftChars="0" w:firstLine="0" w:firstLineChars="0"/>
        <w:rPr>
          <w:b/>
          <w:bCs/>
          <w:lang w:val="zh-CN"/>
        </w:rPr>
      </w:pPr>
    </w:p>
    <w:p>
      <w:pPr>
        <w:pStyle w:val="6"/>
        <w:keepLines w:val="0"/>
        <w:pageBreakBefore w:val="0"/>
        <w:kinsoku/>
        <w:wordWrap/>
        <w:overflowPunct/>
        <w:topLinePunct w:val="0"/>
        <w:bidi w:val="0"/>
        <w:spacing w:line="400" w:lineRule="exact"/>
        <w:ind w:left="0" w:leftChars="0" w:firstLine="0" w:firstLineChars="0"/>
        <w:rPr>
          <w:b/>
          <w:bCs/>
          <w:lang w:val="zh-CN"/>
        </w:rPr>
      </w:pPr>
    </w:p>
    <w:p>
      <w:pPr>
        <w:pStyle w:val="6"/>
        <w:keepLines w:val="0"/>
        <w:pageBreakBefore w:val="0"/>
        <w:kinsoku/>
        <w:wordWrap/>
        <w:overflowPunct/>
        <w:topLinePunct w:val="0"/>
        <w:bidi w:val="0"/>
        <w:spacing w:line="400" w:lineRule="exact"/>
        <w:ind w:left="0" w:leftChars="0" w:firstLine="0" w:firstLineChars="0"/>
        <w:rPr>
          <w:b/>
          <w:bCs/>
          <w:lang w:val="zh-CN"/>
        </w:rPr>
      </w:pPr>
    </w:p>
    <w:p>
      <w:pPr>
        <w:pStyle w:val="6"/>
        <w:keepLines w:val="0"/>
        <w:pageBreakBefore w:val="0"/>
        <w:kinsoku/>
        <w:wordWrap/>
        <w:overflowPunct/>
        <w:topLinePunct w:val="0"/>
        <w:bidi w:val="0"/>
        <w:spacing w:line="400" w:lineRule="exact"/>
        <w:ind w:left="0" w:leftChars="0" w:firstLine="0" w:firstLineChars="0"/>
        <w:rPr>
          <w:b/>
          <w:bCs/>
          <w:lang w:val="zh-CN"/>
        </w:rPr>
      </w:pPr>
    </w:p>
    <w:p>
      <w:pPr>
        <w:pStyle w:val="6"/>
        <w:keepLines w:val="0"/>
        <w:pageBreakBefore w:val="0"/>
        <w:kinsoku/>
        <w:wordWrap/>
        <w:overflowPunct/>
        <w:topLinePunct w:val="0"/>
        <w:bidi w:val="0"/>
        <w:spacing w:line="400" w:lineRule="exact"/>
        <w:ind w:left="0" w:leftChars="0" w:firstLine="0" w:firstLineChars="0"/>
        <w:rPr>
          <w:rFonts w:hint="eastAsia"/>
          <w:lang w:val="zh-CN"/>
        </w:rPr>
      </w:pPr>
      <w:r>
        <w:rPr>
          <w:b/>
          <w:bCs/>
          <w:lang w:val="zh-CN"/>
        </w:rPr>
        <w:t>综合评分法（总计100分）</w:t>
      </w:r>
      <w:r>
        <w:rPr>
          <w:rFonts w:hint="eastAsia"/>
          <w:b/>
          <w:bCs/>
          <w:lang w:val="zh-CN"/>
        </w:rPr>
        <w:t>：</w:t>
      </w:r>
      <w:r>
        <w:rPr>
          <w:rFonts w:hint="eastAsia"/>
          <w:b/>
          <w:bCs/>
          <w:lang w:val="en-US" w:eastAsia="zh-CN"/>
        </w:rPr>
        <w:t>第4包至第19包</w:t>
      </w:r>
    </w:p>
    <w:p>
      <w:pPr>
        <w:pStyle w:val="6"/>
        <w:keepLines w:val="0"/>
        <w:pageBreakBefore w:val="0"/>
        <w:kinsoku/>
        <w:wordWrap/>
        <w:overflowPunct/>
        <w:topLinePunct w:val="0"/>
        <w:bidi w:val="0"/>
        <w:spacing w:line="400" w:lineRule="exact"/>
        <w:ind w:left="0" w:leftChars="0" w:firstLine="0" w:firstLineChars="0"/>
        <w:rPr>
          <w:rFonts w:hint="eastAsia"/>
          <w:lang w:val="zh-CN"/>
        </w:rPr>
      </w:pPr>
    </w:p>
    <w:tbl>
      <w:tblPr>
        <w:tblStyle w:val="14"/>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835"/>
        <w:gridCol w:w="7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0" w:hRule="atLeast"/>
        </w:trPr>
        <w:tc>
          <w:tcPr>
            <w:tcW w:w="931" w:type="dxa"/>
            <w:noWrap w:val="0"/>
            <w:vAlign w:val="center"/>
          </w:tcPr>
          <w:p>
            <w:pPr>
              <w:keepLines w:val="0"/>
              <w:pageBreakBefore w:val="0"/>
              <w:kinsoku/>
              <w:wordWrap/>
              <w:overflowPunct/>
              <w:topLinePunct w:val="0"/>
              <w:bidi w:val="0"/>
              <w:spacing w:line="400" w:lineRule="exact"/>
              <w:jc w:val="center"/>
              <w:rPr>
                <w:rFonts w:hint="eastAsia" w:ascii="宋体" w:hAnsi="宋体"/>
                <w:szCs w:val="21"/>
              </w:rPr>
            </w:pPr>
            <w:r>
              <w:rPr>
                <w:rFonts w:hint="eastAsia" w:ascii="宋体" w:hAnsi="宋体"/>
                <w:szCs w:val="21"/>
              </w:rPr>
              <w:t>投标</w:t>
            </w:r>
          </w:p>
          <w:p>
            <w:pPr>
              <w:keepLines w:val="0"/>
              <w:pageBreakBefore w:val="0"/>
              <w:kinsoku/>
              <w:wordWrap/>
              <w:overflowPunct/>
              <w:topLinePunct w:val="0"/>
              <w:bidi w:val="0"/>
              <w:spacing w:line="400" w:lineRule="exact"/>
              <w:jc w:val="center"/>
              <w:rPr>
                <w:rFonts w:hint="eastAsia" w:ascii="宋体" w:hAnsi="宋体"/>
                <w:szCs w:val="21"/>
              </w:rPr>
            </w:pPr>
            <w:r>
              <w:rPr>
                <w:rFonts w:hint="eastAsia" w:ascii="宋体" w:hAnsi="宋体"/>
                <w:szCs w:val="21"/>
              </w:rPr>
              <w:t>报价</w:t>
            </w:r>
          </w:p>
        </w:tc>
        <w:tc>
          <w:tcPr>
            <w:tcW w:w="835" w:type="dxa"/>
            <w:noWrap w:val="0"/>
            <w:vAlign w:val="center"/>
          </w:tcPr>
          <w:p>
            <w:pPr>
              <w:keepLines w:val="0"/>
              <w:pageBreakBefore w:val="0"/>
              <w:kinsoku/>
              <w:wordWrap/>
              <w:overflowPunct/>
              <w:topLinePunct w:val="0"/>
              <w:bidi w:val="0"/>
              <w:spacing w:line="400" w:lineRule="exact"/>
              <w:jc w:val="center"/>
              <w:rPr>
                <w:rFonts w:hint="eastAsia" w:ascii="宋体" w:hAnsi="宋体"/>
                <w:szCs w:val="21"/>
              </w:rPr>
            </w:pPr>
            <w:r>
              <w:rPr>
                <w:rFonts w:hint="eastAsia" w:ascii="宋体" w:hAnsi="宋体"/>
                <w:szCs w:val="21"/>
              </w:rPr>
              <w:t>3</w:t>
            </w:r>
            <w:r>
              <w:rPr>
                <w:rFonts w:hint="eastAsia" w:ascii="宋体" w:hAnsi="宋体"/>
                <w:szCs w:val="21"/>
                <w:lang w:val="en-US" w:eastAsia="zh-CN"/>
              </w:rPr>
              <w:t>0</w:t>
            </w:r>
            <w:r>
              <w:rPr>
                <w:rFonts w:hint="eastAsia" w:ascii="宋体" w:hAnsi="宋体"/>
                <w:szCs w:val="21"/>
              </w:rPr>
              <w:t>分</w:t>
            </w:r>
          </w:p>
        </w:tc>
        <w:tc>
          <w:tcPr>
            <w:tcW w:w="7305" w:type="dxa"/>
            <w:noWrap w:val="0"/>
            <w:vAlign w:val="center"/>
          </w:tcPr>
          <w:p>
            <w:pPr>
              <w:keepLines w:val="0"/>
              <w:pageBreakBefore w:val="0"/>
              <w:kinsoku/>
              <w:wordWrap/>
              <w:overflowPunct/>
              <w:topLinePunct w:val="0"/>
              <w:bidi w:val="0"/>
              <w:spacing w:line="400" w:lineRule="exact"/>
              <w:rPr>
                <w:rFonts w:hint="eastAsia" w:ascii="宋体" w:hAnsi="宋体"/>
                <w:szCs w:val="21"/>
              </w:rPr>
            </w:pPr>
            <w:r>
              <w:rPr>
                <w:rFonts w:hint="eastAsia" w:ascii="宋体" w:hAnsi="宋体"/>
                <w:szCs w:val="21"/>
              </w:rPr>
              <w:t>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w:t>
            </w:r>
          </w:p>
          <w:p>
            <w:pPr>
              <w:keepLines w:val="0"/>
              <w:pageBreakBefore w:val="0"/>
              <w:kinsoku/>
              <w:wordWrap/>
              <w:overflowPunct/>
              <w:topLinePunct w:val="0"/>
              <w:bidi w:val="0"/>
              <w:spacing w:line="400" w:lineRule="exact"/>
              <w:rPr>
                <w:rFonts w:hint="eastAsia" w:ascii="宋体" w:hAnsi="宋体"/>
                <w:szCs w:val="21"/>
              </w:rPr>
            </w:pPr>
            <w:r>
              <w:rPr>
                <w:rFonts w:hint="eastAsia" w:ascii="宋体" w:hAnsi="宋体"/>
                <w:szCs w:val="21"/>
              </w:rPr>
              <w:t>投标报价得分=（评标基准价/投标报价）×</w:t>
            </w:r>
            <w:r>
              <w:rPr>
                <w:rFonts w:hint="eastAsia" w:ascii="宋体" w:hAnsi="宋体"/>
                <w:szCs w:val="21"/>
                <w:lang w:eastAsia="zh-CN"/>
              </w:rPr>
              <w:t>价格权值</w:t>
            </w:r>
            <w:r>
              <w:rPr>
                <w:rFonts w:hint="eastAsia" w:ascii="宋体" w:hAnsi="宋体"/>
                <w:szCs w:val="21"/>
              </w:rPr>
              <w:t>×100</w:t>
            </w:r>
            <w:r>
              <w:rPr>
                <w:rFonts w:hint="eastAsia" w:ascii="宋体" w:hAnsi="宋体"/>
                <w:szCs w:val="21"/>
                <w:lang w:val="en-US" w:eastAsia="zh-CN"/>
              </w:rPr>
              <w:t>%</w:t>
            </w:r>
          </w:p>
          <w:p>
            <w:pPr>
              <w:keepLines w:val="0"/>
              <w:pageBreakBefore w:val="0"/>
              <w:kinsoku/>
              <w:wordWrap/>
              <w:overflowPunct/>
              <w:topLinePunct w:val="0"/>
              <w:bidi w:val="0"/>
              <w:spacing w:line="400" w:lineRule="exact"/>
              <w:rPr>
                <w:rFonts w:hint="eastAsia" w:ascii="宋体" w:hAnsi="宋体"/>
                <w:szCs w:val="21"/>
              </w:rPr>
            </w:pPr>
            <w:r>
              <w:rPr>
                <w:rFonts w:hint="eastAsia" w:ascii="宋体" w:hAnsi="宋体"/>
                <w:szCs w:val="21"/>
              </w:rPr>
              <w:t>（符合招标文件规定的小微企业、监狱企业、残疾人福利性单位优惠条件的</w:t>
            </w:r>
            <w:r>
              <w:rPr>
                <w:rFonts w:hint="eastAsia" w:ascii="宋体" w:hAnsi="宋体"/>
                <w:szCs w:val="21"/>
                <w:lang w:eastAsia="zh-CN"/>
              </w:rPr>
              <w:t>供应商</w:t>
            </w:r>
            <w:r>
              <w:rPr>
                <w:rFonts w:hint="eastAsia" w:ascii="宋体" w:hAnsi="宋体"/>
                <w:szCs w:val="21"/>
              </w:rPr>
              <w:t>，价格给予</w:t>
            </w:r>
            <w:r>
              <w:rPr>
                <w:rFonts w:hint="eastAsia" w:ascii="宋体" w:hAnsi="宋体"/>
                <w:szCs w:val="21"/>
                <w:lang w:val="en-US" w:eastAsia="zh-CN"/>
              </w:rPr>
              <w:t>10</w:t>
            </w:r>
            <w:r>
              <w:rPr>
                <w:rFonts w:hint="eastAsia" w:ascii="宋体" w:hAnsi="宋体"/>
                <w:szCs w:val="21"/>
              </w:rPr>
              <w:t>%的扣除，用扣除后的价格参与评审以上政策同时具备的仅对其进行一次</w:t>
            </w:r>
            <w:r>
              <w:rPr>
                <w:rFonts w:hint="eastAsia" w:ascii="宋体" w:hAnsi="宋体"/>
                <w:szCs w:val="21"/>
                <w:lang w:val="en-US" w:eastAsia="zh-CN"/>
              </w:rPr>
              <w:t>10</w:t>
            </w:r>
            <w:r>
              <w:rPr>
                <w:rFonts w:hint="eastAsia" w:ascii="宋体" w:hAnsi="宋体"/>
                <w:szCs w:val="21"/>
              </w:rPr>
              <w:t>%的价格扣除，不重复扣除。）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0" w:hRule="atLeast"/>
        </w:trPr>
        <w:tc>
          <w:tcPr>
            <w:tcW w:w="931"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技术</w:t>
            </w:r>
          </w:p>
          <w:p>
            <w:pPr>
              <w:keepLines w:val="0"/>
              <w:pageBreakBefore w:val="0"/>
              <w:kinsoku/>
              <w:wordWrap/>
              <w:overflowPunct/>
              <w:topLinePunct w:val="0"/>
              <w:bidi w:val="0"/>
              <w:spacing w:line="400" w:lineRule="exact"/>
              <w:jc w:val="center"/>
              <w:rPr>
                <w:rFonts w:hint="eastAsia"/>
              </w:rPr>
            </w:pPr>
            <w:r>
              <w:rPr>
                <w:rFonts w:hint="eastAsia"/>
              </w:rPr>
              <w:t>响应</w:t>
            </w:r>
          </w:p>
        </w:tc>
        <w:tc>
          <w:tcPr>
            <w:tcW w:w="835" w:type="dxa"/>
            <w:noWrap w:val="0"/>
            <w:vAlign w:val="center"/>
          </w:tcPr>
          <w:p>
            <w:pPr>
              <w:keepLines w:val="0"/>
              <w:pageBreakBefore w:val="0"/>
              <w:kinsoku/>
              <w:wordWrap/>
              <w:overflowPunct/>
              <w:topLinePunct w:val="0"/>
              <w:bidi w:val="0"/>
              <w:spacing w:line="400" w:lineRule="exact"/>
              <w:jc w:val="center"/>
              <w:rPr>
                <w:rFonts w:hint="eastAsia"/>
              </w:rPr>
            </w:pPr>
            <w:r>
              <w:rPr>
                <w:rFonts w:hint="eastAsia"/>
                <w:lang w:val="en-US" w:eastAsia="zh-CN"/>
              </w:rPr>
              <w:t>40</w:t>
            </w:r>
            <w:r>
              <w:rPr>
                <w:rFonts w:hint="eastAsia"/>
              </w:rPr>
              <w:t>分</w:t>
            </w:r>
          </w:p>
        </w:tc>
        <w:tc>
          <w:tcPr>
            <w:tcW w:w="7305" w:type="dxa"/>
            <w:noWrap w:val="0"/>
            <w:vAlign w:val="center"/>
          </w:tcPr>
          <w:p>
            <w:pPr>
              <w:keepLines w:val="0"/>
              <w:pageBreakBefore w:val="0"/>
              <w:numPr>
                <w:ilvl w:val="0"/>
                <w:numId w:val="6"/>
              </w:numPr>
              <w:kinsoku/>
              <w:wordWrap/>
              <w:overflowPunct/>
              <w:topLinePunct w:val="0"/>
              <w:bidi w:val="0"/>
              <w:spacing w:line="400" w:lineRule="exac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rPr>
              <w:t>所投产品符合招标文件要求及国家相关质量标准、规格</w:t>
            </w:r>
            <w:r>
              <w:rPr>
                <w:rFonts w:hint="eastAsia" w:ascii="Times New Roman" w:hAnsi="Times New Roman" w:eastAsia="宋体" w:cs="Times New Roman"/>
                <w:color w:val="auto"/>
                <w:szCs w:val="22"/>
                <w:lang w:eastAsia="zh-CN"/>
              </w:rPr>
              <w:t>等</w:t>
            </w:r>
            <w:r>
              <w:rPr>
                <w:rFonts w:hint="eastAsia" w:ascii="Times New Roman" w:hAnsi="Times New Roman" w:eastAsia="宋体" w:cs="Times New Roman"/>
                <w:color w:val="auto"/>
                <w:szCs w:val="22"/>
              </w:rPr>
              <w:t>，符合</w:t>
            </w:r>
            <w:r>
              <w:rPr>
                <w:rFonts w:hint="eastAsia" w:ascii="Times New Roman" w:hAnsi="Times New Roman" w:eastAsia="宋体" w:cs="Times New Roman"/>
                <w:color w:val="auto"/>
                <w:szCs w:val="22"/>
                <w:lang w:eastAsia="zh-CN"/>
              </w:rPr>
              <w:t>国家规定</w:t>
            </w:r>
            <w:r>
              <w:rPr>
                <w:rFonts w:hint="eastAsia" w:ascii="Times New Roman" w:hAnsi="Times New Roman" w:eastAsia="宋体" w:cs="Times New Roman"/>
                <w:color w:val="auto"/>
                <w:szCs w:val="22"/>
              </w:rPr>
              <w:t>的营养标准</w:t>
            </w:r>
            <w:r>
              <w:rPr>
                <w:rFonts w:hint="eastAsia" w:ascii="Times New Roman" w:hAnsi="Times New Roman" w:eastAsia="宋体" w:cs="Times New Roman"/>
                <w:color w:val="auto"/>
                <w:szCs w:val="22"/>
                <w:lang w:val="en-US" w:eastAsia="zh-CN"/>
              </w:rPr>
              <w:t>并</w:t>
            </w:r>
            <w:r>
              <w:rPr>
                <w:rFonts w:hint="eastAsia" w:ascii="Times New Roman" w:hAnsi="Times New Roman" w:eastAsia="宋体" w:cs="Times New Roman"/>
                <w:color w:val="auto"/>
                <w:szCs w:val="22"/>
              </w:rPr>
              <w:t>提供产品及原材料来源渠道合法的证明材料（包括但不限于销售协议、代理协议、原厂授权等）</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rPr>
              <w:t>根据其</w:t>
            </w:r>
            <w:r>
              <w:rPr>
                <w:rFonts w:hint="eastAsia" w:ascii="Times New Roman" w:hAnsi="Times New Roman" w:eastAsia="宋体" w:cs="Times New Roman"/>
                <w:color w:val="auto"/>
                <w:szCs w:val="22"/>
                <w:lang w:eastAsia="zh-CN"/>
              </w:rPr>
              <w:t>响应</w:t>
            </w:r>
            <w:r>
              <w:rPr>
                <w:rFonts w:hint="eastAsia" w:ascii="Times New Roman" w:hAnsi="Times New Roman" w:eastAsia="宋体" w:cs="Times New Roman"/>
                <w:color w:val="auto"/>
                <w:szCs w:val="22"/>
              </w:rPr>
              <w:t>程度</w:t>
            </w:r>
            <w:r>
              <w:rPr>
                <w:rFonts w:hint="eastAsia" w:ascii="Times New Roman" w:hAnsi="Times New Roman" w:eastAsia="宋体" w:cs="Times New Roman"/>
                <w:color w:val="auto"/>
                <w:szCs w:val="22"/>
                <w:lang w:val="en-US" w:eastAsia="zh-CN"/>
              </w:rPr>
              <w:t>优计</w:t>
            </w:r>
            <w:r>
              <w:rPr>
                <w:rFonts w:hint="eastAsia" w:cs="Times New Roman"/>
                <w:color w:val="auto"/>
                <w:szCs w:val="22"/>
                <w:lang w:val="en-US" w:eastAsia="zh-CN"/>
              </w:rPr>
              <w:t>8-12</w:t>
            </w:r>
            <w:r>
              <w:rPr>
                <w:rFonts w:hint="eastAsia" w:ascii="Times New Roman" w:hAnsi="Times New Roman" w:eastAsia="宋体" w:cs="Times New Roman"/>
                <w:color w:val="auto"/>
                <w:szCs w:val="22"/>
                <w:lang w:val="en-US" w:eastAsia="zh-CN"/>
              </w:rPr>
              <w:t>分、良计</w:t>
            </w:r>
            <w:r>
              <w:rPr>
                <w:rFonts w:hint="eastAsia" w:cs="Times New Roman"/>
                <w:color w:val="auto"/>
                <w:szCs w:val="22"/>
                <w:lang w:val="en-US" w:eastAsia="zh-CN"/>
              </w:rPr>
              <w:t>4-8</w:t>
            </w:r>
            <w:r>
              <w:rPr>
                <w:rFonts w:hint="eastAsia" w:ascii="Times New Roman" w:hAnsi="Times New Roman" w:eastAsia="宋体" w:cs="Times New Roman"/>
                <w:color w:val="auto"/>
                <w:szCs w:val="22"/>
                <w:lang w:val="en-US" w:eastAsia="zh-CN"/>
              </w:rPr>
              <w:t>分、一般</w:t>
            </w:r>
            <w:r>
              <w:rPr>
                <w:rFonts w:hint="eastAsia" w:ascii="Times New Roman" w:hAnsi="Times New Roman" w:eastAsia="宋体" w:cs="Times New Roman"/>
                <w:color w:val="auto"/>
                <w:szCs w:val="22"/>
              </w:rPr>
              <w:t>计</w:t>
            </w:r>
            <w:r>
              <w:rPr>
                <w:rFonts w:hint="eastAsia" w:ascii="Times New Roman" w:hAnsi="Times New Roman" w:eastAsia="宋体" w:cs="Times New Roman"/>
                <w:color w:val="auto"/>
                <w:szCs w:val="22"/>
                <w:lang w:val="en-US" w:eastAsia="zh-CN"/>
              </w:rPr>
              <w:t>1-</w:t>
            </w:r>
            <w:r>
              <w:rPr>
                <w:rFonts w:hint="eastAsia" w:cs="Times New Roman"/>
                <w:color w:val="auto"/>
                <w:szCs w:val="22"/>
                <w:lang w:val="en-US" w:eastAsia="zh-CN"/>
              </w:rPr>
              <w:t>4</w:t>
            </w:r>
            <w:r>
              <w:rPr>
                <w:rFonts w:hint="eastAsia" w:ascii="Times New Roman" w:hAnsi="Times New Roman" w:eastAsia="宋体" w:cs="Times New Roman"/>
                <w:color w:val="auto"/>
                <w:szCs w:val="22"/>
              </w:rPr>
              <w:t>分；</w:t>
            </w:r>
          </w:p>
          <w:p>
            <w:pPr>
              <w:keepLines w:val="0"/>
              <w:pageBreakBefore w:val="0"/>
              <w:numPr>
                <w:ilvl w:val="0"/>
                <w:numId w:val="6"/>
              </w:numPr>
              <w:kinsoku/>
              <w:wordWrap/>
              <w:overflowPunct/>
              <w:topLinePunct w:val="0"/>
              <w:bidi w:val="0"/>
              <w:spacing w:line="400" w:lineRule="exac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lang w:val="en-US" w:eastAsia="zh-CN"/>
              </w:rPr>
              <w:t>提供</w:t>
            </w:r>
            <w:r>
              <w:rPr>
                <w:rFonts w:hint="eastAsia" w:ascii="Times New Roman" w:hAnsi="Times New Roman" w:eastAsia="宋体" w:cs="Times New Roman"/>
                <w:color w:val="auto"/>
                <w:szCs w:val="22"/>
              </w:rPr>
              <w:t>完善的供货方案且供货方案符合实际情况、可行性高，能够保证按时按质按量供货，保证食品的正常食用</w:t>
            </w:r>
            <w:r>
              <w:rPr>
                <w:rFonts w:hint="eastAsia" w:ascii="Times New Roman" w:hAnsi="Times New Roman" w:eastAsia="宋体" w:cs="Times New Roman"/>
                <w:color w:val="auto"/>
                <w:szCs w:val="22"/>
                <w:lang w:eastAsia="zh-CN"/>
              </w:rPr>
              <w:t>，</w:t>
            </w:r>
            <w:r>
              <w:rPr>
                <w:rFonts w:hint="eastAsia" w:ascii="Times New Roman" w:hAnsi="Times New Roman" w:eastAsia="宋体" w:cs="Times New Roman"/>
                <w:color w:val="auto"/>
                <w:szCs w:val="22"/>
                <w:lang w:val="en-US" w:eastAsia="zh-CN"/>
              </w:rPr>
              <w:t>评委综合评审赋分0-5分</w:t>
            </w:r>
            <w:r>
              <w:rPr>
                <w:rFonts w:hint="eastAsia" w:ascii="Times New Roman" w:hAnsi="Times New Roman" w:eastAsia="宋体" w:cs="Times New Roman"/>
                <w:color w:val="auto"/>
                <w:szCs w:val="22"/>
              </w:rPr>
              <w:t>。</w:t>
            </w:r>
          </w:p>
          <w:p>
            <w:pPr>
              <w:keepLines w:val="0"/>
              <w:pageBreakBefore w:val="0"/>
              <w:numPr>
                <w:ilvl w:val="0"/>
                <w:numId w:val="0"/>
              </w:numPr>
              <w:kinsoku/>
              <w:wordWrap/>
              <w:overflowPunct/>
              <w:topLinePunct w:val="0"/>
              <w:bidi w:val="0"/>
              <w:spacing w:line="400" w:lineRule="exac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lang w:val="en-US" w:eastAsia="zh-CN"/>
              </w:rPr>
              <w:t>3.供应商</w:t>
            </w:r>
            <w:r>
              <w:rPr>
                <w:rFonts w:hint="eastAsia" w:ascii="Times New Roman" w:hAnsi="Times New Roman" w:eastAsia="宋体" w:cs="Times New Roman"/>
                <w:color w:val="auto"/>
                <w:szCs w:val="22"/>
              </w:rPr>
              <w:t>加工</w:t>
            </w:r>
            <w:r>
              <w:rPr>
                <w:rFonts w:hint="eastAsia" w:ascii="Times New Roman" w:hAnsi="Times New Roman" w:eastAsia="宋体" w:cs="Times New Roman"/>
                <w:color w:val="auto"/>
                <w:szCs w:val="22"/>
                <w:lang w:eastAsia="zh-CN"/>
              </w:rPr>
              <w:t>设备</w:t>
            </w:r>
            <w:r>
              <w:rPr>
                <w:rFonts w:hint="eastAsia" w:ascii="Times New Roman" w:hAnsi="Times New Roman" w:eastAsia="宋体" w:cs="Times New Roman"/>
                <w:color w:val="auto"/>
                <w:szCs w:val="22"/>
              </w:rPr>
              <w:t>工艺先进，生产场所卫生，</w:t>
            </w:r>
            <w:r>
              <w:rPr>
                <w:rFonts w:hint="eastAsia" w:ascii="Times New Roman" w:hAnsi="Times New Roman" w:eastAsia="宋体" w:cs="Times New Roman"/>
                <w:color w:val="auto"/>
                <w:szCs w:val="22"/>
                <w:lang w:eastAsia="zh-CN"/>
              </w:rPr>
              <w:t>检测设备齐全等，</w:t>
            </w:r>
            <w:r>
              <w:rPr>
                <w:rFonts w:hint="eastAsia" w:ascii="Times New Roman" w:hAnsi="Times New Roman" w:eastAsia="宋体" w:cs="Times New Roman"/>
                <w:color w:val="auto"/>
                <w:szCs w:val="22"/>
              </w:rPr>
              <w:t>根据其优劣程度</w:t>
            </w:r>
            <w:r>
              <w:rPr>
                <w:rFonts w:hint="eastAsia" w:ascii="Times New Roman" w:hAnsi="Times New Roman" w:eastAsia="宋体" w:cs="Times New Roman"/>
                <w:color w:val="auto"/>
                <w:szCs w:val="22"/>
                <w:lang w:val="en-US" w:eastAsia="zh-CN"/>
              </w:rPr>
              <w:t>优计</w:t>
            </w:r>
            <w:r>
              <w:rPr>
                <w:rFonts w:hint="eastAsia" w:cs="Times New Roman"/>
                <w:color w:val="auto"/>
                <w:szCs w:val="22"/>
                <w:lang w:val="en-US" w:eastAsia="zh-CN"/>
              </w:rPr>
              <w:t>6-9</w:t>
            </w:r>
            <w:r>
              <w:rPr>
                <w:rFonts w:hint="eastAsia" w:ascii="Times New Roman" w:hAnsi="Times New Roman" w:eastAsia="宋体" w:cs="Times New Roman"/>
                <w:color w:val="auto"/>
                <w:szCs w:val="22"/>
                <w:lang w:val="en-US" w:eastAsia="zh-CN"/>
              </w:rPr>
              <w:t>分、良计</w:t>
            </w:r>
            <w:r>
              <w:rPr>
                <w:rFonts w:hint="eastAsia" w:cs="Times New Roman"/>
                <w:color w:val="auto"/>
                <w:szCs w:val="22"/>
                <w:lang w:val="en-US" w:eastAsia="zh-CN"/>
              </w:rPr>
              <w:t>3-6</w:t>
            </w:r>
            <w:r>
              <w:rPr>
                <w:rFonts w:hint="eastAsia" w:ascii="Times New Roman" w:hAnsi="Times New Roman" w:eastAsia="宋体" w:cs="Times New Roman"/>
                <w:color w:val="auto"/>
                <w:szCs w:val="22"/>
                <w:lang w:val="en-US" w:eastAsia="zh-CN"/>
              </w:rPr>
              <w:t>分、一般</w:t>
            </w:r>
            <w:r>
              <w:rPr>
                <w:rFonts w:hint="eastAsia" w:ascii="Times New Roman" w:hAnsi="Times New Roman" w:eastAsia="宋体" w:cs="Times New Roman"/>
                <w:color w:val="auto"/>
                <w:szCs w:val="22"/>
              </w:rPr>
              <w:t>计</w:t>
            </w:r>
            <w:r>
              <w:rPr>
                <w:rFonts w:hint="eastAsia" w:ascii="Times New Roman" w:hAnsi="Times New Roman" w:eastAsia="宋体" w:cs="Times New Roman"/>
                <w:color w:val="auto"/>
                <w:szCs w:val="22"/>
                <w:lang w:val="en-US" w:eastAsia="zh-CN"/>
              </w:rPr>
              <w:t>1-</w:t>
            </w:r>
            <w:r>
              <w:rPr>
                <w:rFonts w:hint="eastAsia" w:cs="Times New Roman"/>
                <w:color w:val="auto"/>
                <w:szCs w:val="22"/>
                <w:lang w:val="en-US" w:eastAsia="zh-CN"/>
              </w:rPr>
              <w:t>3</w:t>
            </w:r>
            <w:r>
              <w:rPr>
                <w:rFonts w:hint="eastAsia" w:ascii="Times New Roman" w:hAnsi="Times New Roman" w:eastAsia="宋体" w:cs="Times New Roman"/>
                <w:color w:val="auto"/>
                <w:szCs w:val="22"/>
              </w:rPr>
              <w:t>分；</w:t>
            </w:r>
          </w:p>
          <w:p>
            <w:pPr>
              <w:keepLines w:val="0"/>
              <w:pageBreakBefore w:val="0"/>
              <w:numPr>
                <w:ilvl w:val="0"/>
                <w:numId w:val="0"/>
              </w:numPr>
              <w:kinsoku/>
              <w:wordWrap/>
              <w:overflowPunct/>
              <w:topLinePunct w:val="0"/>
              <w:bidi w:val="0"/>
              <w:spacing w:line="400" w:lineRule="exact"/>
              <w:rPr>
                <w:rFonts w:hint="eastAsia" w:ascii="Times New Roman" w:hAnsi="Times New Roman" w:eastAsia="宋体" w:cs="Times New Roman"/>
                <w:color w:val="auto"/>
                <w:szCs w:val="22"/>
              </w:rPr>
            </w:pPr>
            <w:r>
              <w:rPr>
                <w:rFonts w:hint="eastAsia" w:ascii="Times New Roman" w:hAnsi="Times New Roman" w:eastAsia="宋体" w:cs="Times New Roman"/>
                <w:color w:val="auto"/>
                <w:szCs w:val="22"/>
                <w:lang w:val="en-US" w:eastAsia="zh-CN"/>
              </w:rPr>
              <w:t>4.</w:t>
            </w:r>
            <w:r>
              <w:rPr>
                <w:rFonts w:hint="eastAsia" w:ascii="Times New Roman" w:hAnsi="Times New Roman" w:eastAsia="宋体" w:cs="Times New Roman"/>
                <w:color w:val="auto"/>
                <w:szCs w:val="22"/>
                <w:lang w:eastAsia="zh-CN"/>
              </w:rPr>
              <w:t>投标人</w:t>
            </w:r>
            <w:r>
              <w:rPr>
                <w:rFonts w:hint="eastAsia" w:ascii="Times New Roman" w:hAnsi="Times New Roman" w:eastAsia="宋体" w:cs="Times New Roman"/>
                <w:color w:val="auto"/>
                <w:szCs w:val="22"/>
              </w:rPr>
              <w:t>有规范的储存场</w:t>
            </w:r>
            <w:r>
              <w:rPr>
                <w:rFonts w:hint="eastAsia" w:ascii="Times New Roman" w:hAnsi="Times New Roman" w:eastAsia="宋体" w:cs="Times New Roman"/>
                <w:color w:val="auto"/>
                <w:szCs w:val="22"/>
                <w:lang w:eastAsia="zh-CN"/>
              </w:rPr>
              <w:t>所</w:t>
            </w:r>
            <w:r>
              <w:rPr>
                <w:rFonts w:hint="eastAsia" w:ascii="Times New Roman" w:hAnsi="Times New Roman" w:eastAsia="宋体" w:cs="Times New Roman"/>
                <w:color w:val="auto"/>
                <w:szCs w:val="22"/>
              </w:rPr>
              <w:t>（提供房屋合同、照片等相关证明材料以反映出其适合产品储存、周转的室内温度调节设备或其他冷藏设备等</w:t>
            </w:r>
            <w:r>
              <w:rPr>
                <w:rFonts w:hint="eastAsia" w:ascii="Times New Roman" w:hAnsi="Times New Roman" w:eastAsia="宋体" w:cs="Times New Roman"/>
                <w:color w:val="auto"/>
                <w:szCs w:val="22"/>
                <w:lang w:eastAsia="zh-CN"/>
              </w:rPr>
              <w:t>、面积</w:t>
            </w:r>
            <w:r>
              <w:rPr>
                <w:rFonts w:hint="eastAsia" w:ascii="Times New Roman" w:hAnsi="Times New Roman" w:eastAsia="宋体" w:cs="Times New Roman"/>
                <w:color w:val="auto"/>
                <w:szCs w:val="22"/>
              </w:rPr>
              <w:t>），根据其</w:t>
            </w:r>
            <w:r>
              <w:rPr>
                <w:rFonts w:hint="eastAsia" w:ascii="Times New Roman" w:hAnsi="Times New Roman" w:eastAsia="宋体" w:cs="Times New Roman"/>
                <w:color w:val="auto"/>
                <w:szCs w:val="22"/>
                <w:lang w:eastAsia="zh-CN"/>
              </w:rPr>
              <w:t>响应</w:t>
            </w:r>
            <w:r>
              <w:rPr>
                <w:rFonts w:hint="eastAsia" w:ascii="Times New Roman" w:hAnsi="Times New Roman" w:eastAsia="宋体" w:cs="Times New Roman"/>
                <w:color w:val="auto"/>
                <w:szCs w:val="22"/>
              </w:rPr>
              <w:t>程度</w:t>
            </w:r>
            <w:r>
              <w:rPr>
                <w:rFonts w:hint="eastAsia" w:ascii="Times New Roman" w:hAnsi="Times New Roman" w:eastAsia="宋体" w:cs="Times New Roman"/>
                <w:color w:val="auto"/>
                <w:szCs w:val="22"/>
                <w:lang w:val="en-US" w:eastAsia="zh-CN"/>
              </w:rPr>
              <w:t>优计优计</w:t>
            </w:r>
            <w:r>
              <w:rPr>
                <w:rFonts w:hint="eastAsia" w:cs="Times New Roman"/>
                <w:color w:val="auto"/>
                <w:szCs w:val="22"/>
                <w:lang w:val="en-US" w:eastAsia="zh-CN"/>
              </w:rPr>
              <w:t>4-7</w:t>
            </w:r>
            <w:r>
              <w:rPr>
                <w:rFonts w:hint="eastAsia" w:ascii="Times New Roman" w:hAnsi="Times New Roman" w:eastAsia="宋体" w:cs="Times New Roman"/>
                <w:color w:val="auto"/>
                <w:szCs w:val="22"/>
                <w:lang w:val="en-US" w:eastAsia="zh-CN"/>
              </w:rPr>
              <w:t>分、良计</w:t>
            </w:r>
            <w:r>
              <w:rPr>
                <w:rFonts w:hint="eastAsia" w:cs="Times New Roman"/>
                <w:color w:val="auto"/>
                <w:szCs w:val="22"/>
                <w:lang w:val="en-US" w:eastAsia="zh-CN"/>
              </w:rPr>
              <w:t>2-4</w:t>
            </w:r>
            <w:r>
              <w:rPr>
                <w:rFonts w:hint="eastAsia" w:ascii="Times New Roman" w:hAnsi="Times New Roman" w:eastAsia="宋体" w:cs="Times New Roman"/>
                <w:color w:val="auto"/>
                <w:szCs w:val="22"/>
                <w:lang w:val="en-US" w:eastAsia="zh-CN"/>
              </w:rPr>
              <w:t>分、一般</w:t>
            </w:r>
            <w:r>
              <w:rPr>
                <w:rFonts w:hint="eastAsia" w:ascii="Times New Roman" w:hAnsi="Times New Roman" w:eastAsia="宋体" w:cs="Times New Roman"/>
                <w:color w:val="auto"/>
                <w:szCs w:val="22"/>
              </w:rPr>
              <w:t>计</w:t>
            </w:r>
            <w:r>
              <w:rPr>
                <w:rFonts w:hint="eastAsia" w:ascii="Times New Roman" w:hAnsi="Times New Roman" w:eastAsia="宋体" w:cs="Times New Roman"/>
                <w:color w:val="auto"/>
                <w:szCs w:val="22"/>
                <w:lang w:val="en-US" w:eastAsia="zh-CN"/>
              </w:rPr>
              <w:t>1-</w:t>
            </w:r>
            <w:r>
              <w:rPr>
                <w:rFonts w:hint="eastAsia" w:cs="Times New Roman"/>
                <w:color w:val="auto"/>
                <w:szCs w:val="22"/>
                <w:lang w:val="en-US" w:eastAsia="zh-CN"/>
              </w:rPr>
              <w:t>2</w:t>
            </w:r>
            <w:r>
              <w:rPr>
                <w:rFonts w:hint="eastAsia" w:ascii="Times New Roman" w:hAnsi="Times New Roman" w:eastAsia="宋体" w:cs="Times New Roman"/>
                <w:color w:val="auto"/>
                <w:szCs w:val="22"/>
              </w:rPr>
              <w:t>分；</w:t>
            </w:r>
          </w:p>
          <w:p>
            <w:pPr>
              <w:keepLines w:val="0"/>
              <w:pageBreakBefore w:val="0"/>
              <w:numPr>
                <w:ilvl w:val="0"/>
                <w:numId w:val="0"/>
              </w:numPr>
              <w:kinsoku/>
              <w:wordWrap/>
              <w:overflowPunct/>
              <w:topLinePunct w:val="0"/>
              <w:bidi w:val="0"/>
              <w:spacing w:line="400" w:lineRule="exact"/>
              <w:rPr>
                <w:rFonts w:hint="eastAsia"/>
              </w:rPr>
            </w:pPr>
            <w:r>
              <w:rPr>
                <w:rFonts w:hint="eastAsia" w:ascii="Times New Roman" w:hAnsi="Times New Roman" w:eastAsia="宋体" w:cs="Times New Roman"/>
                <w:color w:val="auto"/>
                <w:szCs w:val="22"/>
                <w:lang w:val="en-US" w:eastAsia="zh-CN"/>
              </w:rPr>
              <w:t>5.产品的配送、组织措施完善，有针对本项目的配送人员和专用车辆，并针对本项目特点做出合理的配送计划、配送路线及调配方案，能保证食品的按时到达；有食品配送服务应急预案。根据其响应程度优计5-7分、良计3-5分、一般计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trPr>
        <w:tc>
          <w:tcPr>
            <w:tcW w:w="931"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质量</w:t>
            </w:r>
          </w:p>
          <w:p>
            <w:pPr>
              <w:keepLines w:val="0"/>
              <w:pageBreakBefore w:val="0"/>
              <w:kinsoku/>
              <w:wordWrap/>
              <w:overflowPunct/>
              <w:topLinePunct w:val="0"/>
              <w:bidi w:val="0"/>
              <w:spacing w:line="400" w:lineRule="exact"/>
              <w:jc w:val="center"/>
              <w:rPr>
                <w:rFonts w:hint="eastAsia"/>
              </w:rPr>
            </w:pPr>
            <w:r>
              <w:rPr>
                <w:rFonts w:hint="eastAsia"/>
              </w:rPr>
              <w:t>保证</w:t>
            </w:r>
          </w:p>
        </w:tc>
        <w:tc>
          <w:tcPr>
            <w:tcW w:w="835" w:type="dxa"/>
            <w:noWrap w:val="0"/>
            <w:vAlign w:val="center"/>
          </w:tcPr>
          <w:p>
            <w:pPr>
              <w:keepLines w:val="0"/>
              <w:pageBreakBefore w:val="0"/>
              <w:kinsoku/>
              <w:wordWrap/>
              <w:overflowPunct/>
              <w:topLinePunct w:val="0"/>
              <w:bidi w:val="0"/>
              <w:spacing w:line="400" w:lineRule="exact"/>
              <w:jc w:val="center"/>
              <w:rPr>
                <w:rFonts w:hint="eastAsia"/>
              </w:rPr>
            </w:pPr>
            <w:r>
              <w:rPr>
                <w:rFonts w:hint="eastAsia"/>
                <w:lang w:val="en-US" w:eastAsia="zh-CN"/>
              </w:rPr>
              <w:t>10</w:t>
            </w:r>
            <w:r>
              <w:rPr>
                <w:rFonts w:hint="eastAsia"/>
              </w:rPr>
              <w:t>分</w:t>
            </w:r>
          </w:p>
        </w:tc>
        <w:tc>
          <w:tcPr>
            <w:tcW w:w="7305" w:type="dxa"/>
            <w:noWrap w:val="0"/>
            <w:vAlign w:val="center"/>
          </w:tcPr>
          <w:p>
            <w:pPr>
              <w:keepLines w:val="0"/>
              <w:pageBreakBefore w:val="0"/>
              <w:numPr>
                <w:ilvl w:val="0"/>
                <w:numId w:val="0"/>
              </w:numPr>
              <w:kinsoku/>
              <w:wordWrap/>
              <w:overflowPunct/>
              <w:topLinePunct w:val="0"/>
              <w:bidi w:val="0"/>
              <w:spacing w:line="400" w:lineRule="exac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1.企业各项规章制度健全计0-</w:t>
            </w:r>
            <w:r>
              <w:rPr>
                <w:rFonts w:hint="eastAsia" w:cs="Times New Roman"/>
                <w:szCs w:val="22"/>
                <w:lang w:val="en-US" w:eastAsia="zh-CN"/>
              </w:rPr>
              <w:t>2</w:t>
            </w:r>
            <w:r>
              <w:rPr>
                <w:rFonts w:hint="eastAsia" w:ascii="Times New Roman" w:hAnsi="Times New Roman" w:eastAsia="宋体" w:cs="Times New Roman"/>
                <w:szCs w:val="22"/>
                <w:lang w:val="en-US" w:eastAsia="zh-CN"/>
              </w:rPr>
              <w:t>分；</w:t>
            </w:r>
          </w:p>
          <w:p>
            <w:pPr>
              <w:keepLines w:val="0"/>
              <w:pageBreakBefore w:val="0"/>
              <w:numPr>
                <w:ilvl w:val="0"/>
                <w:numId w:val="0"/>
              </w:numPr>
              <w:kinsoku/>
              <w:wordWrap/>
              <w:overflowPunct/>
              <w:topLinePunct w:val="0"/>
              <w:bidi w:val="0"/>
              <w:spacing w:line="400" w:lineRule="exac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2.具有相应的财力、物力、人力保障，能够保证产、供、销服务正常运转计0-4分；</w:t>
            </w:r>
          </w:p>
          <w:p>
            <w:pPr>
              <w:keepLines w:val="0"/>
              <w:pageBreakBefore w:val="0"/>
              <w:numPr>
                <w:ilvl w:val="0"/>
                <w:numId w:val="0"/>
              </w:numPr>
              <w:kinsoku/>
              <w:wordWrap/>
              <w:overflowPunct/>
              <w:topLinePunct w:val="0"/>
              <w:bidi w:val="0"/>
              <w:spacing w:line="400" w:lineRule="exact"/>
              <w:rPr>
                <w:rFonts w:hint="default" w:eastAsia="宋体"/>
                <w:lang w:val="en-US" w:eastAsia="zh-CN"/>
              </w:rPr>
            </w:pPr>
            <w:r>
              <w:rPr>
                <w:rFonts w:hint="eastAsia" w:ascii="Times New Roman" w:hAnsi="Times New Roman" w:eastAsia="宋体" w:cs="Times New Roman"/>
                <w:szCs w:val="22"/>
                <w:lang w:val="en-US" w:eastAsia="zh-CN"/>
              </w:rPr>
              <w:t>3.产品质量优良、并能提供专业技术部门的质量检验报告等相关资料，根据优劣程度计0-4分；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1" w:hRule="atLeast"/>
        </w:trPr>
        <w:tc>
          <w:tcPr>
            <w:tcW w:w="931"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售后</w:t>
            </w:r>
          </w:p>
          <w:p>
            <w:pPr>
              <w:keepLines w:val="0"/>
              <w:pageBreakBefore w:val="0"/>
              <w:kinsoku/>
              <w:wordWrap/>
              <w:overflowPunct/>
              <w:topLinePunct w:val="0"/>
              <w:bidi w:val="0"/>
              <w:spacing w:line="400" w:lineRule="exact"/>
              <w:jc w:val="center"/>
              <w:rPr>
                <w:rFonts w:hint="eastAsia"/>
              </w:rPr>
            </w:pPr>
            <w:r>
              <w:rPr>
                <w:rFonts w:hint="eastAsia"/>
              </w:rPr>
              <w:t>保障</w:t>
            </w:r>
          </w:p>
        </w:tc>
        <w:tc>
          <w:tcPr>
            <w:tcW w:w="835" w:type="dxa"/>
            <w:noWrap w:val="0"/>
            <w:vAlign w:val="center"/>
          </w:tcPr>
          <w:p>
            <w:pPr>
              <w:keepLines w:val="0"/>
              <w:pageBreakBefore w:val="0"/>
              <w:kinsoku/>
              <w:wordWrap/>
              <w:overflowPunct/>
              <w:topLinePunct w:val="0"/>
              <w:bidi w:val="0"/>
              <w:spacing w:line="400" w:lineRule="exact"/>
              <w:jc w:val="center"/>
              <w:rPr>
                <w:rFonts w:hint="eastAsia"/>
              </w:rPr>
            </w:pPr>
            <w:r>
              <w:rPr>
                <w:rFonts w:hint="eastAsia"/>
                <w:lang w:val="en-US" w:eastAsia="zh-CN"/>
              </w:rPr>
              <w:t>8</w:t>
            </w:r>
            <w:r>
              <w:rPr>
                <w:rFonts w:hint="eastAsia"/>
              </w:rPr>
              <w:t>分</w:t>
            </w:r>
          </w:p>
        </w:tc>
        <w:tc>
          <w:tcPr>
            <w:tcW w:w="7305" w:type="dxa"/>
            <w:noWrap w:val="0"/>
            <w:vAlign w:val="center"/>
          </w:tcPr>
          <w:p>
            <w:pPr>
              <w:keepLines w:val="0"/>
              <w:pageBreakBefore w:val="0"/>
              <w:kinsoku/>
              <w:wordWrap/>
              <w:overflowPunct/>
              <w:topLinePunct w:val="0"/>
              <w:bidi w:val="0"/>
              <w:spacing w:line="400" w:lineRule="exact"/>
              <w:rPr>
                <w:rFonts w:hint="eastAsia"/>
                <w:lang w:eastAsia="zh-CN"/>
              </w:rPr>
            </w:pPr>
            <w:r>
              <w:rPr>
                <w:rFonts w:hint="eastAsia"/>
              </w:rPr>
              <w:t>针对本项目有详尽、可行、安全的售前、售中、售后服务承诺</w:t>
            </w:r>
            <w:r>
              <w:rPr>
                <w:rFonts w:hint="eastAsia"/>
                <w:lang w:eastAsia="zh-CN"/>
              </w:rPr>
              <w:t>，服务条款及服务方案详细、切实可行，根据优劣程度计</w:t>
            </w:r>
            <w:r>
              <w:rPr>
                <w:rFonts w:hint="eastAsia"/>
                <w:lang w:val="en-US" w:eastAsia="zh-CN"/>
              </w:rPr>
              <w:t>1-4分；</w:t>
            </w:r>
          </w:p>
          <w:p>
            <w:pPr>
              <w:keepLines w:val="0"/>
              <w:pageBreakBefore w:val="0"/>
              <w:kinsoku/>
              <w:wordWrap/>
              <w:overflowPunct/>
              <w:topLinePunct w:val="0"/>
              <w:bidi w:val="0"/>
              <w:spacing w:line="400" w:lineRule="exact"/>
              <w:rPr>
                <w:rFonts w:hint="eastAsia"/>
              </w:rPr>
            </w:pPr>
            <w:r>
              <w:rPr>
                <w:rFonts w:hint="eastAsia"/>
                <w:lang w:eastAsia="zh-CN"/>
              </w:rPr>
              <w:t>在项目本</w:t>
            </w:r>
            <w:r>
              <w:rPr>
                <w:rFonts w:hint="eastAsia"/>
              </w:rPr>
              <w:t>地</w:t>
            </w:r>
            <w:r>
              <w:rPr>
                <w:rFonts w:hint="eastAsia"/>
                <w:lang w:eastAsia="zh-CN"/>
              </w:rPr>
              <w:t>有</w:t>
            </w:r>
            <w:r>
              <w:rPr>
                <w:rFonts w:hint="eastAsia"/>
              </w:rPr>
              <w:t>配送服务点</w:t>
            </w:r>
            <w:r>
              <w:rPr>
                <w:rFonts w:hint="eastAsia"/>
                <w:lang w:val="en-US" w:eastAsia="zh-CN"/>
              </w:rPr>
              <w:t>及</w:t>
            </w:r>
            <w:r>
              <w:rPr>
                <w:rFonts w:hint="eastAsia"/>
              </w:rPr>
              <w:t>售后服务机构（提供营业执照、委托协议、租赁合同等证明材料），根据其优劣程度计</w:t>
            </w:r>
            <w:r>
              <w:rPr>
                <w:rFonts w:hint="eastAsia"/>
                <w:lang w:val="en-US" w:eastAsia="zh-CN"/>
              </w:rPr>
              <w:t>1</w:t>
            </w:r>
            <w:r>
              <w:rPr>
                <w:rFonts w:hint="eastAsia"/>
              </w:rPr>
              <w:t>-</w:t>
            </w:r>
            <w:r>
              <w:rPr>
                <w:rFonts w:hint="eastAsia"/>
                <w:lang w:val="en-US" w:eastAsia="zh-CN"/>
              </w:rPr>
              <w:t>4</w:t>
            </w:r>
            <w:r>
              <w:rPr>
                <w:rFonts w:hint="eastAsia"/>
              </w:rPr>
              <w:t>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trPr>
        <w:tc>
          <w:tcPr>
            <w:tcW w:w="931" w:type="dxa"/>
            <w:noWrap w:val="0"/>
            <w:vAlign w:val="center"/>
          </w:tcPr>
          <w:p>
            <w:pPr>
              <w:keepLines w:val="0"/>
              <w:pageBreakBefore w:val="0"/>
              <w:kinsoku/>
              <w:wordWrap/>
              <w:overflowPunct/>
              <w:topLinePunct w:val="0"/>
              <w:bidi w:val="0"/>
              <w:spacing w:line="400" w:lineRule="exact"/>
              <w:jc w:val="center"/>
              <w:rPr>
                <w:rFonts w:hint="default" w:eastAsia="宋体"/>
                <w:lang w:val="en-US" w:eastAsia="zh-CN"/>
              </w:rPr>
            </w:pPr>
            <w:r>
              <w:rPr>
                <w:rFonts w:hint="eastAsia"/>
                <w:lang w:val="en-US" w:eastAsia="zh-CN"/>
              </w:rPr>
              <w:t>应急处理方案</w:t>
            </w:r>
          </w:p>
        </w:tc>
        <w:tc>
          <w:tcPr>
            <w:tcW w:w="835" w:type="dxa"/>
            <w:noWrap w:val="0"/>
            <w:vAlign w:val="center"/>
          </w:tcPr>
          <w:p>
            <w:pPr>
              <w:keepLines w:val="0"/>
              <w:pageBreakBefore w:val="0"/>
              <w:kinsoku/>
              <w:wordWrap/>
              <w:overflowPunct/>
              <w:topLinePunct w:val="0"/>
              <w:bidi w:val="0"/>
              <w:spacing w:line="400" w:lineRule="exact"/>
              <w:jc w:val="center"/>
              <w:rPr>
                <w:rFonts w:hint="default"/>
                <w:lang w:val="en-US" w:eastAsia="zh-CN"/>
              </w:rPr>
            </w:pPr>
            <w:r>
              <w:rPr>
                <w:rFonts w:hint="eastAsia"/>
                <w:lang w:val="en-US" w:eastAsia="zh-CN"/>
              </w:rPr>
              <w:t>4分</w:t>
            </w:r>
          </w:p>
        </w:tc>
        <w:tc>
          <w:tcPr>
            <w:tcW w:w="7305" w:type="dxa"/>
            <w:noWrap w:val="0"/>
            <w:vAlign w:val="center"/>
          </w:tcPr>
          <w:p>
            <w:pPr>
              <w:keepLines w:val="0"/>
              <w:pageBreakBefore w:val="0"/>
              <w:kinsoku/>
              <w:wordWrap/>
              <w:overflowPunct/>
              <w:topLinePunct w:val="0"/>
              <w:bidi w:val="0"/>
              <w:spacing w:line="400" w:lineRule="exact"/>
              <w:rPr>
                <w:rFonts w:hint="eastAsia"/>
                <w:lang w:eastAsia="zh-CN"/>
              </w:rPr>
            </w:pPr>
            <w:r>
              <w:rPr>
                <w:rFonts w:hint="eastAsia" w:ascii="宋体" w:hAnsi="宋体" w:cs="宋体"/>
                <w:color w:val="auto"/>
                <w:sz w:val="21"/>
                <w:szCs w:val="21"/>
                <w:lang w:val="en-US" w:eastAsia="zh-CN"/>
              </w:rPr>
              <w:t>供应商</w:t>
            </w:r>
            <w:r>
              <w:rPr>
                <w:rFonts w:hint="eastAsia" w:ascii="宋体" w:hAnsi="宋体" w:cs="宋体"/>
                <w:color w:val="auto"/>
                <w:sz w:val="21"/>
                <w:szCs w:val="21"/>
                <w:highlight w:val="none"/>
                <w:lang w:val="en-US" w:eastAsia="zh-CN"/>
              </w:rPr>
              <w:t>具有包括突发疫情在内的</w:t>
            </w:r>
            <w:r>
              <w:rPr>
                <w:rFonts w:hint="eastAsia" w:ascii="宋体" w:hAnsi="宋体" w:cs="宋体"/>
                <w:color w:val="auto"/>
                <w:sz w:val="21"/>
                <w:szCs w:val="21"/>
              </w:rPr>
              <w:t>突发情况应急处理措施</w:t>
            </w:r>
            <w:r>
              <w:rPr>
                <w:rFonts w:hint="eastAsia" w:ascii="宋体" w:hAnsi="宋体" w:cs="宋体"/>
                <w:color w:val="auto"/>
                <w:sz w:val="21"/>
                <w:szCs w:val="21"/>
                <w:lang w:eastAsia="zh-CN"/>
              </w:rPr>
              <w:t>、</w:t>
            </w:r>
            <w:r>
              <w:rPr>
                <w:rFonts w:hint="eastAsia" w:ascii="宋体" w:hAnsi="宋体" w:cs="宋体"/>
                <w:color w:val="auto"/>
                <w:sz w:val="21"/>
                <w:szCs w:val="21"/>
              </w:rPr>
              <w:t>食品危机管理应急方案</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方案应科学合理、切实可行，评委综合评审赋分0-4分</w:t>
            </w: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931" w:type="dxa"/>
            <w:noWrap w:val="0"/>
            <w:vAlign w:val="center"/>
          </w:tcPr>
          <w:p>
            <w:pPr>
              <w:keepLines w:val="0"/>
              <w:pageBreakBefore w:val="0"/>
              <w:kinsoku/>
              <w:wordWrap/>
              <w:overflowPunct/>
              <w:topLinePunct w:val="0"/>
              <w:bidi w:val="0"/>
              <w:spacing w:line="400" w:lineRule="exact"/>
              <w:jc w:val="center"/>
              <w:rPr>
                <w:rFonts w:hint="eastAsia"/>
                <w:color w:val="auto"/>
              </w:rPr>
            </w:pPr>
            <w:r>
              <w:rPr>
                <w:rFonts w:hint="eastAsia"/>
                <w:color w:val="auto"/>
              </w:rPr>
              <w:t>业绩</w:t>
            </w:r>
          </w:p>
        </w:tc>
        <w:tc>
          <w:tcPr>
            <w:tcW w:w="835" w:type="dxa"/>
            <w:noWrap w:val="0"/>
            <w:vAlign w:val="center"/>
          </w:tcPr>
          <w:p>
            <w:pPr>
              <w:keepLines w:val="0"/>
              <w:pageBreakBefore w:val="0"/>
              <w:kinsoku/>
              <w:wordWrap/>
              <w:overflowPunct/>
              <w:topLinePunct w:val="0"/>
              <w:bidi w:val="0"/>
              <w:spacing w:line="400" w:lineRule="exact"/>
              <w:jc w:val="center"/>
              <w:rPr>
                <w:rFonts w:hint="eastAsia"/>
                <w:color w:val="auto"/>
              </w:rPr>
            </w:pPr>
            <w:r>
              <w:rPr>
                <w:rFonts w:hint="eastAsia"/>
                <w:color w:val="auto"/>
                <w:lang w:val="en-US" w:eastAsia="zh-CN"/>
              </w:rPr>
              <w:t>4</w:t>
            </w:r>
            <w:r>
              <w:rPr>
                <w:rFonts w:hint="eastAsia"/>
                <w:color w:val="auto"/>
              </w:rPr>
              <w:t>分</w:t>
            </w:r>
          </w:p>
        </w:tc>
        <w:tc>
          <w:tcPr>
            <w:tcW w:w="7305" w:type="dxa"/>
            <w:noWrap w:val="0"/>
            <w:vAlign w:val="center"/>
          </w:tcPr>
          <w:p>
            <w:pPr>
              <w:keepLines w:val="0"/>
              <w:pageBreakBefore w:val="0"/>
              <w:kinsoku/>
              <w:wordWrap/>
              <w:overflowPunct/>
              <w:topLinePunct w:val="0"/>
              <w:bidi w:val="0"/>
              <w:spacing w:line="400" w:lineRule="exact"/>
              <w:rPr>
                <w:rFonts w:hint="eastAsia"/>
                <w:color w:val="auto"/>
                <w:lang w:eastAsia="zh-CN"/>
              </w:rPr>
            </w:pPr>
            <w:r>
              <w:rPr>
                <w:rFonts w:hint="eastAsia"/>
                <w:color w:val="auto"/>
              </w:rPr>
              <w:t>提供201</w:t>
            </w:r>
            <w:r>
              <w:rPr>
                <w:rFonts w:hint="eastAsia"/>
                <w:color w:val="auto"/>
                <w:lang w:val="en-US" w:eastAsia="zh-CN"/>
              </w:rPr>
              <w:t>9</w:t>
            </w:r>
            <w:r>
              <w:rPr>
                <w:rFonts w:hint="eastAsia"/>
                <w:color w:val="auto"/>
              </w:rPr>
              <w:t>年</w:t>
            </w:r>
            <w:r>
              <w:rPr>
                <w:rFonts w:hint="eastAsia"/>
                <w:color w:val="auto"/>
                <w:lang w:val="en-US" w:eastAsia="zh-CN"/>
              </w:rPr>
              <w:t>1月1日</w:t>
            </w:r>
            <w:r>
              <w:rPr>
                <w:rFonts w:hint="eastAsia"/>
                <w:color w:val="auto"/>
              </w:rPr>
              <w:t>至今</w:t>
            </w:r>
            <w:r>
              <w:rPr>
                <w:rFonts w:hint="eastAsia"/>
                <w:color w:val="auto"/>
                <w:lang w:eastAsia="zh-CN"/>
              </w:rPr>
              <w:t>类似</w:t>
            </w:r>
            <w:r>
              <w:rPr>
                <w:rFonts w:hint="eastAsia"/>
                <w:color w:val="auto"/>
              </w:rPr>
              <w:t>业绩</w:t>
            </w:r>
            <w:r>
              <w:rPr>
                <w:rFonts w:hint="eastAsia"/>
                <w:color w:val="auto"/>
                <w:lang w:eastAsia="zh-CN"/>
              </w:rPr>
              <w:t>（</w:t>
            </w:r>
            <w:r>
              <w:rPr>
                <w:rFonts w:hint="eastAsia"/>
                <w:color w:val="auto"/>
                <w:lang w:val="en-US" w:eastAsia="zh-CN"/>
              </w:rPr>
              <w:t>合同或中标通知书）扫描件并加盖公章，</w:t>
            </w:r>
            <w:r>
              <w:rPr>
                <w:rFonts w:hint="eastAsia"/>
                <w:color w:val="auto"/>
              </w:rPr>
              <w:t>每一</w:t>
            </w:r>
            <w:r>
              <w:rPr>
                <w:rFonts w:hint="eastAsia"/>
                <w:color w:val="auto"/>
                <w:lang w:val="en-US" w:eastAsia="zh-CN"/>
              </w:rPr>
              <w:t>项</w:t>
            </w:r>
            <w:r>
              <w:rPr>
                <w:rFonts w:hint="eastAsia"/>
                <w:color w:val="auto"/>
              </w:rPr>
              <w:t>计</w:t>
            </w:r>
            <w:r>
              <w:rPr>
                <w:rFonts w:hint="eastAsia"/>
                <w:color w:val="auto"/>
                <w:lang w:val="en-US" w:eastAsia="zh-CN"/>
              </w:rPr>
              <w:t>2</w:t>
            </w:r>
            <w:r>
              <w:rPr>
                <w:rFonts w:hint="eastAsia"/>
                <w:color w:val="auto"/>
              </w:rPr>
              <w:t>分，满分</w:t>
            </w:r>
            <w:r>
              <w:rPr>
                <w:rFonts w:hint="eastAsia"/>
                <w:color w:val="auto"/>
                <w:lang w:val="en-US" w:eastAsia="zh-CN"/>
              </w:rPr>
              <w:t>4</w:t>
            </w:r>
            <w:r>
              <w:rPr>
                <w:rFonts w:hint="eastAsia"/>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931" w:type="dxa"/>
            <w:noWrap w:val="0"/>
            <w:vAlign w:val="center"/>
          </w:tcPr>
          <w:p>
            <w:pPr>
              <w:keepLines w:val="0"/>
              <w:pageBreakBefore w:val="0"/>
              <w:kinsoku/>
              <w:wordWrap/>
              <w:overflowPunct/>
              <w:topLinePunct w:val="0"/>
              <w:bidi w:val="0"/>
              <w:spacing w:line="400" w:lineRule="exact"/>
              <w:jc w:val="center"/>
              <w:rPr>
                <w:rFonts w:hint="eastAsia"/>
                <w:color w:val="auto"/>
              </w:rPr>
            </w:pPr>
            <w:r>
              <w:rPr>
                <w:rFonts w:hint="eastAsia"/>
                <w:color w:val="auto"/>
              </w:rPr>
              <w:t>样品</w:t>
            </w:r>
          </w:p>
        </w:tc>
        <w:tc>
          <w:tcPr>
            <w:tcW w:w="835" w:type="dxa"/>
            <w:noWrap w:val="0"/>
            <w:vAlign w:val="center"/>
          </w:tcPr>
          <w:p>
            <w:pPr>
              <w:keepLines w:val="0"/>
              <w:pageBreakBefore w:val="0"/>
              <w:kinsoku/>
              <w:wordWrap/>
              <w:overflowPunct/>
              <w:topLinePunct w:val="0"/>
              <w:bidi w:val="0"/>
              <w:spacing w:line="400" w:lineRule="exact"/>
              <w:jc w:val="center"/>
              <w:rPr>
                <w:rFonts w:hint="eastAsia"/>
                <w:color w:val="auto"/>
                <w:lang w:val="en-US" w:eastAsia="zh-CN"/>
              </w:rPr>
            </w:pPr>
            <w:r>
              <w:rPr>
                <w:rFonts w:hint="eastAsia"/>
                <w:color w:val="auto"/>
              </w:rPr>
              <w:t>4分</w:t>
            </w:r>
          </w:p>
        </w:tc>
        <w:tc>
          <w:tcPr>
            <w:tcW w:w="7305" w:type="dxa"/>
            <w:noWrap w:val="0"/>
            <w:vAlign w:val="center"/>
          </w:tcPr>
          <w:p>
            <w:pPr>
              <w:keepLines w:val="0"/>
              <w:pageBreakBefore w:val="0"/>
              <w:kinsoku/>
              <w:wordWrap/>
              <w:overflowPunct/>
              <w:topLinePunct w:val="0"/>
              <w:bidi w:val="0"/>
              <w:spacing w:line="400" w:lineRule="exact"/>
              <w:rPr>
                <w:rFonts w:hint="eastAsia"/>
                <w:color w:val="auto"/>
              </w:rPr>
            </w:pPr>
            <w:r>
              <w:rPr>
                <w:rFonts w:hint="eastAsia"/>
                <w:color w:val="auto"/>
              </w:rPr>
              <w:t>提供所投产品一致的样品，根据样品的实际情况（色、香、味、形以及含量、容量、包装等）计0-4分。</w:t>
            </w:r>
          </w:p>
          <w:p>
            <w:pPr>
              <w:keepLines w:val="0"/>
              <w:pageBreakBefore w:val="0"/>
              <w:kinsoku/>
              <w:wordWrap/>
              <w:overflowPunct/>
              <w:topLinePunct w:val="0"/>
              <w:bidi w:val="0"/>
              <w:spacing w:line="400" w:lineRule="exact"/>
              <w:rPr>
                <w:rFonts w:hint="eastAsia"/>
                <w:color w:val="auto"/>
              </w:rPr>
            </w:pPr>
            <w:r>
              <w:rPr>
                <w:rFonts w:hint="eastAsia"/>
                <w:color w:val="auto"/>
              </w:rPr>
              <w:t>注：样品留样不退。</w:t>
            </w:r>
          </w:p>
        </w:tc>
      </w:tr>
    </w:tbl>
    <w:p>
      <w:pPr>
        <w:pStyle w:val="6"/>
        <w:keepLines w:val="0"/>
        <w:pageBreakBefore w:val="0"/>
        <w:kinsoku/>
        <w:wordWrap/>
        <w:overflowPunct/>
        <w:topLinePunct w:val="0"/>
        <w:bidi w:val="0"/>
        <w:spacing w:line="400" w:lineRule="exact"/>
        <w:rPr>
          <w:rFonts w:hint="eastAsia"/>
          <w:lang w:val="zh-CN"/>
        </w:rPr>
      </w:pPr>
      <w:r>
        <w:rPr>
          <w:rFonts w:hint="eastAsia"/>
          <w:lang w:val="zh-CN"/>
        </w:rPr>
        <w:t>注：</w:t>
      </w:r>
    </w:p>
    <w:p>
      <w:pPr>
        <w:pStyle w:val="6"/>
        <w:keepLines w:val="0"/>
        <w:pageBreakBefore w:val="0"/>
        <w:kinsoku/>
        <w:wordWrap/>
        <w:overflowPunct/>
        <w:topLinePunct w:val="0"/>
        <w:bidi w:val="0"/>
        <w:spacing w:line="400" w:lineRule="exact"/>
        <w:rPr>
          <w:rFonts w:hint="eastAsia"/>
          <w:lang w:val="zh-CN"/>
        </w:rPr>
      </w:pPr>
      <w:r>
        <w:rPr>
          <w:rFonts w:hint="eastAsia"/>
          <w:lang w:val="en-US" w:eastAsia="zh-CN"/>
        </w:rPr>
        <w:t>1）</w:t>
      </w:r>
      <w:r>
        <w:rPr>
          <w:rFonts w:hint="eastAsia"/>
          <w:lang w:val="zh-CN"/>
        </w:rPr>
        <w:t>评委打分超过得分界限或未按本方法赋分时，该评委的打分按废票处理。</w:t>
      </w:r>
    </w:p>
    <w:p>
      <w:pPr>
        <w:pStyle w:val="6"/>
        <w:keepLines w:val="0"/>
        <w:pageBreakBefore w:val="0"/>
        <w:kinsoku/>
        <w:wordWrap/>
        <w:overflowPunct/>
        <w:topLinePunct w:val="0"/>
        <w:bidi w:val="0"/>
        <w:spacing w:line="400" w:lineRule="exact"/>
        <w:rPr>
          <w:rFonts w:hint="eastAsia"/>
          <w:lang w:val="zh-CN"/>
        </w:rPr>
      </w:pPr>
      <w:r>
        <w:rPr>
          <w:rFonts w:hint="eastAsia"/>
          <w:lang w:val="en-US" w:eastAsia="zh-CN"/>
        </w:rPr>
        <w:t>2</w:t>
      </w:r>
      <w:r>
        <w:rPr>
          <w:rFonts w:hint="eastAsia"/>
        </w:rPr>
        <w:t>）</w:t>
      </w:r>
      <w:r>
        <w:rPr>
          <w:rFonts w:hint="eastAsia"/>
          <w:lang w:val="zh-CN"/>
        </w:rPr>
        <w:t xml:space="preserve">各种计算数字均保留两位小数，第三位“四舍五入”。 </w:t>
      </w:r>
    </w:p>
    <w:p>
      <w:pPr>
        <w:pStyle w:val="6"/>
        <w:keepLines w:val="0"/>
        <w:pageBreakBefore w:val="0"/>
        <w:kinsoku/>
        <w:wordWrap/>
        <w:overflowPunct/>
        <w:topLinePunct w:val="0"/>
        <w:bidi w:val="0"/>
        <w:spacing w:line="400" w:lineRule="exact"/>
        <w:rPr>
          <w:rFonts w:hint="eastAsia"/>
          <w:lang w:val="zh-CN"/>
        </w:rPr>
      </w:pPr>
      <w:r>
        <w:rPr>
          <w:rFonts w:hint="eastAsia"/>
          <w:lang w:val="en-US" w:eastAsia="zh-CN"/>
        </w:rPr>
        <w:t>3</w:t>
      </w:r>
      <w:r>
        <w:rPr>
          <w:rFonts w:hint="eastAsia"/>
          <w:lang w:val="zh-CN"/>
        </w:rPr>
        <w:t>）特殊情况处理：</w:t>
      </w:r>
    </w:p>
    <w:p>
      <w:pPr>
        <w:pStyle w:val="6"/>
        <w:keepLines w:val="0"/>
        <w:pageBreakBefore w:val="0"/>
        <w:kinsoku/>
        <w:wordWrap/>
        <w:overflowPunct/>
        <w:topLinePunct w:val="0"/>
        <w:bidi w:val="0"/>
        <w:spacing w:line="400" w:lineRule="exact"/>
        <w:rPr>
          <w:rFonts w:hint="eastAsia"/>
          <w:lang w:val="zh-CN"/>
        </w:rPr>
      </w:pPr>
      <w:r>
        <w:rPr>
          <w:rFonts w:hint="eastAsia"/>
          <w:lang w:val="zh-CN"/>
        </w:rPr>
        <w:t>a、当供应商某评分项出现未报、漏报或零报价时，该分项得零分，并不参与投标报价分的计算。</w:t>
      </w:r>
    </w:p>
    <w:p>
      <w:pPr>
        <w:pStyle w:val="6"/>
        <w:keepLines w:val="0"/>
        <w:pageBreakBefore w:val="0"/>
        <w:kinsoku/>
        <w:wordWrap/>
        <w:overflowPunct/>
        <w:topLinePunct w:val="0"/>
        <w:bidi w:val="0"/>
        <w:spacing w:line="400" w:lineRule="exact"/>
        <w:rPr>
          <w:rFonts w:hint="eastAsia"/>
          <w:lang w:val="zh-CN"/>
        </w:rPr>
      </w:pPr>
      <w:r>
        <w:rPr>
          <w:rFonts w:hint="eastAsia"/>
        </w:rPr>
        <w:t>b</w:t>
      </w:r>
      <w:r>
        <w:rPr>
          <w:rFonts w:hint="eastAsia"/>
          <w:lang w:val="zh-CN"/>
        </w:rPr>
        <w:t>、若出现综合得分相同时，投标报价得分高者排序靠前，若投标报价得分相同，技术方案得分高者排序靠前，若上述两项得分相同，则由全体评标委员会成员无记名投票，得票高者排序靠前。</w:t>
      </w:r>
    </w:p>
    <w:p>
      <w:pPr>
        <w:pStyle w:val="6"/>
        <w:keepLines w:val="0"/>
        <w:pageBreakBefore w:val="0"/>
        <w:kinsoku/>
        <w:wordWrap/>
        <w:overflowPunct/>
        <w:topLinePunct w:val="0"/>
        <w:bidi w:val="0"/>
        <w:spacing w:line="400" w:lineRule="exact"/>
        <w:rPr>
          <w:rFonts w:hint="eastAsia"/>
          <w:lang w:val="en-US" w:eastAsia="zh-CN"/>
        </w:rPr>
      </w:pPr>
      <w:r>
        <w:rPr>
          <w:rFonts w:hint="eastAsia"/>
          <w:lang w:val="en-US" w:eastAsia="zh-CN"/>
        </w:rPr>
        <w:t>c、</w:t>
      </w:r>
      <w:r>
        <w:rPr>
          <w:rFonts w:hint="eastAsia"/>
          <w:lang w:val="zh-CN"/>
        </w:rPr>
        <w:t>评标过程中，若出现本评标方法以外的特殊情况时，将暂停评标，待评委商</w:t>
      </w:r>
      <w:r>
        <w:rPr>
          <w:rFonts w:hint="eastAsia"/>
          <w:lang w:val="en-US" w:eastAsia="zh-CN"/>
        </w:rPr>
        <w:t>议</w:t>
      </w:r>
      <w:r>
        <w:rPr>
          <w:rFonts w:hint="eastAsia"/>
          <w:lang w:val="zh-CN"/>
        </w:rPr>
        <w:t>后再进行复会。</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招标情况说明：</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（1）、中标企业要签订“配送运输意外事故责任承诺书”和“食品安全承诺书”。</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（2）、中标企业要在签订合同前办理校园师生食品安全责任保险。</w:t>
      </w:r>
    </w:p>
    <w:p>
      <w:pPr>
        <w:pStyle w:val="6"/>
        <w:keepLines w:val="0"/>
        <w:pageBreakBefore w:val="0"/>
        <w:kinsoku/>
        <w:wordWrap/>
        <w:overflowPunct/>
        <w:topLinePunct w:val="0"/>
        <w:bidi w:val="0"/>
        <w:spacing w:line="400" w:lineRule="exact"/>
        <w:rPr>
          <w:rFonts w:hint="eastAsia"/>
          <w:lang w:val="zh-CN"/>
        </w:rPr>
      </w:pPr>
      <w:r>
        <w:rPr>
          <w:rFonts w:hint="eastAsia"/>
          <w:lang w:val="zh-CN"/>
        </w:rPr>
        <w:t>（</w:t>
      </w:r>
      <w:r>
        <w:rPr>
          <w:rFonts w:hint="eastAsia"/>
        </w:rPr>
        <w:t>3</w:t>
      </w:r>
      <w:r>
        <w:rPr>
          <w:rFonts w:hint="eastAsia"/>
          <w:lang w:val="zh-CN"/>
        </w:rPr>
        <w:t>）、本次招标确定的供应商，依据县营养办划定区域为定点学校供货。</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（4）、中标</w:t>
      </w:r>
      <w:r>
        <w:rPr>
          <w:rFonts w:hint="eastAsia" w:ascii="Times New Roman" w:hAnsi="Times New Roman" w:eastAsia="宋体" w:cs="Times New Roman"/>
          <w:szCs w:val="22"/>
          <w:lang w:val="en-US" w:eastAsia="zh-CN"/>
        </w:rPr>
        <w:t>供货周期</w:t>
      </w:r>
      <w:r>
        <w:rPr>
          <w:rFonts w:hint="eastAsia" w:ascii="Times New Roman" w:hAnsi="Times New Roman" w:eastAsia="宋体" w:cs="Times New Roman"/>
          <w:szCs w:val="22"/>
          <w:lang w:val="zh-CN"/>
        </w:rPr>
        <w:t>：本次招标周期为</w:t>
      </w:r>
      <w:r>
        <w:rPr>
          <w:rFonts w:hint="eastAsia" w:ascii="Times New Roman" w:hAnsi="Times New Roman" w:eastAsia="宋体" w:cs="Times New Roman"/>
          <w:szCs w:val="22"/>
          <w:lang w:val="zh-CN" w:eastAsia="zh-CN"/>
        </w:rPr>
        <w:t>一学年（</w:t>
      </w:r>
      <w:r>
        <w:rPr>
          <w:rFonts w:hint="eastAsia" w:ascii="Times New Roman" w:hAnsi="Times New Roman" w:eastAsia="宋体" w:cs="Times New Roman"/>
          <w:szCs w:val="22"/>
          <w:lang w:val="en-US" w:eastAsia="zh-CN"/>
        </w:rPr>
        <w:t>2022年9月-2023年7月</w:t>
      </w:r>
      <w:r>
        <w:rPr>
          <w:rFonts w:hint="eastAsia" w:ascii="Times New Roman" w:hAnsi="Times New Roman" w:eastAsia="宋体" w:cs="Times New Roman"/>
          <w:szCs w:val="22"/>
          <w:lang w:val="zh-CN" w:eastAsia="zh-CN"/>
        </w:rPr>
        <w:t>）</w:t>
      </w:r>
      <w:r>
        <w:rPr>
          <w:rFonts w:hint="eastAsia" w:ascii="Times New Roman" w:hAnsi="Times New Roman" w:eastAsia="宋体" w:cs="Times New Roman"/>
          <w:szCs w:val="22"/>
          <w:lang w:val="zh-CN"/>
        </w:rPr>
        <w:t>。</w:t>
      </w:r>
    </w:p>
    <w:p>
      <w:pPr>
        <w:pStyle w:val="6"/>
        <w:keepLines w:val="0"/>
        <w:pageBreakBefore w:val="0"/>
        <w:kinsoku/>
        <w:wordWrap/>
        <w:overflowPunct/>
        <w:topLinePunct w:val="0"/>
        <w:bidi w:val="0"/>
        <w:spacing w:line="400" w:lineRule="exact"/>
        <w:rPr>
          <w:rFonts w:hint="eastAsia"/>
          <w:lang w:val="zh-CN"/>
        </w:rPr>
      </w:pPr>
      <w:r>
        <w:rPr>
          <w:rFonts w:hint="eastAsia"/>
          <w:lang w:val="zh-CN"/>
        </w:rPr>
        <w:t>（</w:t>
      </w:r>
      <w:r>
        <w:rPr>
          <w:rFonts w:hint="eastAsia"/>
        </w:rPr>
        <w:t>5</w:t>
      </w:r>
      <w:r>
        <w:rPr>
          <w:rFonts w:hint="eastAsia"/>
          <w:lang w:val="zh-CN"/>
        </w:rPr>
        <w:t>）、中标企业在投标前务必认真阅读各项管理制度及合同条款，合同签订后必须按管理制度及合同条款严格执行。</w:t>
      </w:r>
    </w:p>
    <w:p>
      <w:pPr>
        <w:pStyle w:val="6"/>
        <w:keepLines w:val="0"/>
        <w:pageBreakBefore w:val="0"/>
        <w:kinsoku/>
        <w:wordWrap/>
        <w:overflowPunct/>
        <w:topLinePunct w:val="0"/>
        <w:bidi w:val="0"/>
        <w:spacing w:line="400" w:lineRule="exact"/>
        <w:rPr>
          <w:rFonts w:hint="eastAsia"/>
          <w:lang w:val="zh-CN"/>
        </w:rPr>
      </w:pPr>
      <w:r>
        <w:rPr>
          <w:rFonts w:hint="eastAsia"/>
          <w:lang w:val="zh-CN"/>
        </w:rPr>
        <w:t>9、需要落实的政府采购政策</w:t>
      </w:r>
    </w:p>
    <w:p>
      <w:pPr>
        <w:pStyle w:val="6"/>
        <w:keepLines w:val="0"/>
        <w:pageBreakBefore w:val="0"/>
        <w:kinsoku/>
        <w:wordWrap/>
        <w:overflowPunct/>
        <w:topLinePunct w:val="0"/>
        <w:bidi w:val="0"/>
        <w:spacing w:line="400" w:lineRule="exact"/>
        <w:rPr>
          <w:rFonts w:hint="eastAsia"/>
          <w:lang w:val="zh-CN"/>
        </w:rPr>
      </w:pPr>
      <w:r>
        <w:rPr>
          <w:rFonts w:hint="eastAsia"/>
          <w:lang w:val="zh-CN"/>
        </w:rPr>
        <w:t>9-1、投标企业政府采购政策</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9-1-1、中小企业落实政府采购政策</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小微企业的价格评分标准</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（1）对小型、微型企业产品的价格给予</w:t>
      </w:r>
      <w:r>
        <w:rPr>
          <w:rFonts w:hint="eastAsia" w:ascii="Times New Roman" w:hAnsi="Times New Roman" w:eastAsia="宋体" w:cs="Times New Roman"/>
          <w:szCs w:val="22"/>
          <w:lang w:val="en-US" w:eastAsia="zh-CN"/>
        </w:rPr>
        <w:t>10</w:t>
      </w:r>
      <w:r>
        <w:rPr>
          <w:rFonts w:hint="eastAsia" w:ascii="Times New Roman" w:hAnsi="Times New Roman" w:eastAsia="宋体" w:cs="Times New Roman"/>
          <w:szCs w:val="22"/>
          <w:lang w:val="zh-CN"/>
        </w:rPr>
        <w:t>%的扣除，用扣除后的价格参与评审，其评标价=投标报价</w:t>
      </w:r>
      <w:r>
        <w:rPr>
          <w:rFonts w:hint="eastAsia" w:cs="Times New Roman"/>
          <w:szCs w:val="22"/>
          <w:lang w:val="en-US" w:eastAsia="zh-CN"/>
        </w:rPr>
        <w:t>*</w:t>
      </w:r>
      <w:r>
        <w:rPr>
          <w:rFonts w:hint="eastAsia" w:ascii="Times New Roman" w:hAnsi="Times New Roman" w:eastAsia="宋体" w:cs="Times New Roman"/>
          <w:szCs w:val="22"/>
          <w:lang w:val="zh-CN"/>
        </w:rPr>
        <w:t>（1-</w:t>
      </w:r>
      <w:r>
        <w:rPr>
          <w:rFonts w:hint="eastAsia" w:ascii="Times New Roman" w:hAnsi="Times New Roman" w:eastAsia="宋体" w:cs="Times New Roman"/>
          <w:szCs w:val="22"/>
          <w:lang w:val="en-US" w:eastAsia="zh-CN"/>
        </w:rPr>
        <w:t>10</w:t>
      </w:r>
      <w:r>
        <w:rPr>
          <w:rFonts w:hint="eastAsia" w:ascii="Times New Roman" w:hAnsi="Times New Roman" w:eastAsia="宋体" w:cs="Times New Roman"/>
          <w:szCs w:val="22"/>
          <w:lang w:val="zh-CN"/>
        </w:rPr>
        <w:t>%）。</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2）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劳动合同法》订立劳动合同的从业人员，则参与政府采购活动时，享受中小企业扶持政策。</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 xml:space="preserve">在货物采购项目中，供应商提供的货物既有中小企业制造货物，也有大型企业制造货物的，不享受本办法规定的中小企业扶持政策。 </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w:t>
      </w:r>
      <w:r>
        <w:rPr>
          <w:rFonts w:hint="eastAsia" w:ascii="Times New Roman" w:hAnsi="Times New Roman" w:eastAsia="宋体" w:cs="Times New Roman"/>
          <w:szCs w:val="22"/>
          <w:lang w:val="en-US" w:eastAsia="zh-CN"/>
        </w:rPr>
        <w:t>3）</w:t>
      </w:r>
      <w:r>
        <w:rPr>
          <w:rFonts w:hint="eastAsia" w:ascii="Times New Roman" w:hAnsi="Times New Roman" w:eastAsia="宋体" w:cs="Times New Roman"/>
          <w:szCs w:val="22"/>
          <w:lang w:val="zh-CN"/>
        </w:rPr>
        <w:t xml:space="preserve">以联合体形式参加政府采购活动，联合体各方均为中小企业的，联合体视同中小企业。其中，联合体各方均为小微企业的，联合体视同小微企业。 </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关于中小企业的判定，在货物采购项目中，不对其中涉及的服务的承接商作出要求；在工程采购项目中，不对其中涉及的货物的制造商和服务的承接商作出要求；在服务采购项目中，不对其中涉及的货物的制造商作出要求。</w:t>
      </w:r>
    </w:p>
    <w:p>
      <w:pPr>
        <w:spacing w:line="480" w:lineRule="exact"/>
        <w:ind w:firstLine="422" w:firstLineChars="200"/>
        <w:rPr>
          <w:rFonts w:hint="eastAsia" w:ascii="Times New Roman" w:hAnsi="Times New Roman" w:eastAsia="宋体" w:cs="Times New Roman"/>
          <w:b/>
          <w:bCs/>
          <w:kern w:val="2"/>
          <w:sz w:val="21"/>
          <w:szCs w:val="22"/>
          <w:lang w:val="zh-CN" w:eastAsia="zh-CN" w:bidi="ar-SA"/>
        </w:rPr>
      </w:pPr>
      <w:r>
        <w:rPr>
          <w:rFonts w:hint="eastAsia" w:ascii="Times New Roman" w:hAnsi="Times New Roman" w:eastAsia="宋体" w:cs="Times New Roman"/>
          <w:b/>
          <w:bCs/>
          <w:kern w:val="2"/>
          <w:sz w:val="21"/>
          <w:szCs w:val="22"/>
          <w:lang w:val="zh-CN" w:eastAsia="zh-CN" w:bidi="ar-SA"/>
        </w:rPr>
        <w:t>参加本项目的小微企业须提供《小微企业声明函》（附件），未提供的不视为小微企业。供应商须做出承诺，保证真实性，如有虚假，将依法承担相应责任。</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宋体" w:hAnsi="宋体"/>
          <w:szCs w:val="24"/>
          <w:highlight w:val="none"/>
        </w:rPr>
        <w:t>（</w:t>
      </w:r>
      <w:r>
        <w:rPr>
          <w:rFonts w:hint="eastAsia" w:ascii="Times New Roman" w:hAnsi="Times New Roman" w:eastAsia="宋体" w:cs="Times New Roman"/>
          <w:szCs w:val="22"/>
          <w:lang w:val="zh-CN"/>
        </w:rPr>
        <w:t>4）小微企业按</w:t>
      </w:r>
      <w:r>
        <w:rPr>
          <w:rFonts w:hint="eastAsia" w:ascii="Times New Roman" w:hAnsi="Times New Roman" w:eastAsia="宋体" w:cs="Times New Roman"/>
          <w:szCs w:val="22"/>
          <w:lang w:val="zh-CN" w:eastAsia="zh-CN"/>
        </w:rPr>
        <w:t>《政府采购促进中小企业发展管理办法》</w:t>
      </w:r>
      <w:r>
        <w:rPr>
          <w:rFonts w:hint="eastAsia" w:ascii="Times New Roman" w:hAnsi="Times New Roman" w:eastAsia="宋体" w:cs="Times New Roman"/>
          <w:szCs w:val="22"/>
          <w:lang w:val="zh-CN"/>
        </w:rPr>
        <w:t>（财库﹝2020﹞46 号）和《工业和信息化部、</w:t>
      </w:r>
      <w:r>
        <w:rPr>
          <w:rFonts w:hint="eastAsia" w:ascii="Times New Roman" w:hAnsi="Times New Roman" w:eastAsia="宋体" w:cs="Times New Roman"/>
          <w:szCs w:val="22"/>
          <w:lang w:val="en-US" w:eastAsia="zh-CN"/>
        </w:rPr>
        <w:t>国家</w:t>
      </w:r>
      <w:r>
        <w:rPr>
          <w:rFonts w:hint="eastAsia" w:ascii="Times New Roman" w:hAnsi="Times New Roman" w:eastAsia="宋体" w:cs="Times New Roman"/>
          <w:szCs w:val="22"/>
          <w:lang w:val="zh-CN"/>
        </w:rPr>
        <w:t>统计局、</w:t>
      </w:r>
      <w:r>
        <w:rPr>
          <w:rFonts w:hint="eastAsia" w:ascii="Times New Roman" w:hAnsi="Times New Roman" w:eastAsia="宋体" w:cs="Times New Roman"/>
          <w:szCs w:val="22"/>
          <w:lang w:val="en-US" w:eastAsia="zh-CN"/>
        </w:rPr>
        <w:t>国家</w:t>
      </w:r>
      <w:r>
        <w:rPr>
          <w:rFonts w:hint="eastAsia" w:ascii="Times New Roman" w:hAnsi="Times New Roman" w:eastAsia="宋体" w:cs="Times New Roman"/>
          <w:szCs w:val="22"/>
          <w:lang w:val="zh-CN"/>
        </w:rPr>
        <w:t>发展和改革委员会、财政部关于印发&lt;中小企业划型标准规定&gt;的通知》（工信部联企业【2011】300号）文件规定标准确认。</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9-2-2</w:t>
      </w:r>
      <w:r>
        <w:rPr>
          <w:rFonts w:hint="eastAsia" w:ascii="Times New Roman" w:hAnsi="Times New Roman" w:eastAsia="宋体" w:cs="Times New Roman"/>
          <w:szCs w:val="22"/>
          <w:lang w:val="zh-CN"/>
        </w:rPr>
        <w:t>监狱企业的价格评分标准</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（1）在政府采购活动中，监狱企业视同小型、微型企业，享受预留份额、评审中价格扣除等政府采购促进中小企业发展的政府采购政策。对监狱企业产品的价格给予</w:t>
      </w:r>
      <w:r>
        <w:rPr>
          <w:rFonts w:hint="eastAsia" w:cs="Times New Roman"/>
          <w:szCs w:val="22"/>
          <w:lang w:val="en-US" w:eastAsia="zh-CN"/>
        </w:rPr>
        <w:t>10</w:t>
      </w:r>
      <w:r>
        <w:rPr>
          <w:rFonts w:hint="eastAsia" w:ascii="Times New Roman" w:hAnsi="Times New Roman" w:eastAsia="宋体" w:cs="Times New Roman"/>
          <w:szCs w:val="22"/>
          <w:lang w:val="zh-CN"/>
        </w:rPr>
        <w:t>%的扣除，用扣除后的价格参与评审，其评标价=投标报价（1-</w:t>
      </w:r>
      <w:r>
        <w:rPr>
          <w:rFonts w:hint="eastAsia" w:ascii="Times New Roman" w:hAnsi="Times New Roman" w:eastAsia="宋体" w:cs="Times New Roman"/>
          <w:szCs w:val="22"/>
          <w:lang w:val="en-US" w:eastAsia="zh-CN"/>
        </w:rPr>
        <w:t>10</w:t>
      </w:r>
      <w:r>
        <w:rPr>
          <w:rFonts w:hint="eastAsia" w:ascii="Times New Roman" w:hAnsi="Times New Roman" w:eastAsia="宋体" w:cs="Times New Roman"/>
          <w:szCs w:val="22"/>
          <w:lang w:val="zh-CN"/>
        </w:rPr>
        <w:t>%）。</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 xml:space="preserve">（2）监狱企业属于小型、微型企业的，不重复享受政策。 </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（3）监狱企业参加政府采购活动时，应当提供由省级以上监狱管理局、戒毒管理局（含新疆生产建设兵团）出具的属于监狱企业的证明文件。</w:t>
      </w:r>
      <w:r>
        <w:rPr>
          <w:rFonts w:hint="eastAsia" w:ascii="Times New Roman" w:hAnsi="Times New Roman" w:eastAsia="宋体" w:cs="Times New Roman"/>
          <w:szCs w:val="22"/>
          <w:lang w:val="zh-CN"/>
        </w:rPr>
        <w:br w:type="textWrapping"/>
      </w:r>
      <w:r>
        <w:rPr>
          <w:rFonts w:hint="eastAsia" w:ascii="Times New Roman" w:hAnsi="Times New Roman" w:eastAsia="宋体" w:cs="Times New Roman"/>
          <w:szCs w:val="22"/>
          <w:lang w:val="zh-CN"/>
        </w:rPr>
        <w:t xml:space="preserve">    （4）监狱企业按《财政部、司法部关于政府采购支持监狱企业发展有关问题的通知》（财库〔2014〕68号）文件规定标准执行。</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9-2-3</w:t>
      </w:r>
      <w:r>
        <w:rPr>
          <w:rFonts w:hint="eastAsia" w:ascii="Times New Roman" w:hAnsi="Times New Roman" w:eastAsia="宋体" w:cs="Times New Roman"/>
          <w:szCs w:val="22"/>
          <w:lang w:val="zh-CN"/>
        </w:rPr>
        <w:t>、残疾人福利性单位的价格评分标准</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（1）在政府采购活动中，残疾人福利性单位视同小型、微型企业，享受预留份额、评审中价格扣除等政府采购促进中小企业发展的政府采购政策。对残疾人福利性单位产品的价格给予</w:t>
      </w:r>
      <w:r>
        <w:rPr>
          <w:rFonts w:hint="eastAsia" w:ascii="Times New Roman" w:hAnsi="Times New Roman" w:eastAsia="宋体" w:cs="Times New Roman"/>
          <w:szCs w:val="22"/>
          <w:lang w:val="en-US" w:eastAsia="zh-CN"/>
        </w:rPr>
        <w:t>10</w:t>
      </w:r>
      <w:r>
        <w:rPr>
          <w:rFonts w:hint="eastAsia" w:ascii="Times New Roman" w:hAnsi="Times New Roman" w:eastAsia="宋体" w:cs="Times New Roman"/>
          <w:szCs w:val="22"/>
          <w:lang w:val="zh-CN"/>
        </w:rPr>
        <w:t>%的扣除，用扣除后的价格参与评审，其评标价=投标报价（1-</w:t>
      </w:r>
      <w:r>
        <w:rPr>
          <w:rFonts w:hint="eastAsia" w:ascii="Times New Roman" w:hAnsi="Times New Roman" w:eastAsia="宋体" w:cs="Times New Roman"/>
          <w:szCs w:val="22"/>
          <w:lang w:val="en-US" w:eastAsia="zh-CN"/>
        </w:rPr>
        <w:t>10</w:t>
      </w:r>
      <w:r>
        <w:rPr>
          <w:rFonts w:hint="eastAsia" w:ascii="Times New Roman" w:hAnsi="Times New Roman" w:eastAsia="宋体" w:cs="Times New Roman"/>
          <w:szCs w:val="22"/>
          <w:lang w:val="zh-CN"/>
        </w:rPr>
        <w:t>%）。</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（2）残疾人福利性单位属于小型、微型企业的，不重复享受政策。</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 xml:space="preserve">（3）符合条件的残疾人福利性单位在参加政府采购活动时，应当提供本通知规定的《残疾人福利性单位声明函》（见附件），并对声明的真实性负责，未提供的不视为残疾人福利性单位。 </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en-US" w:eastAsia="zh-CN"/>
        </w:rPr>
        <w:t>9-2-4</w:t>
      </w:r>
      <w:r>
        <w:rPr>
          <w:rFonts w:hint="eastAsia" w:ascii="Times New Roman" w:hAnsi="Times New Roman" w:eastAsia="宋体" w:cs="Times New Roman"/>
          <w:szCs w:val="22"/>
          <w:lang w:val="zh-CN"/>
        </w:rPr>
        <w:t>、节能产品、环境标志产品政策</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（1）节能产品根据《财政部、</w:t>
      </w:r>
      <w:r>
        <w:rPr>
          <w:rFonts w:hint="eastAsia" w:ascii="Times New Roman" w:hAnsi="Times New Roman" w:eastAsia="宋体" w:cs="Times New Roman"/>
          <w:szCs w:val="22"/>
          <w:lang w:val="en-US" w:eastAsia="zh-CN"/>
        </w:rPr>
        <w:t>国家</w:t>
      </w:r>
      <w:r>
        <w:rPr>
          <w:rFonts w:hint="eastAsia" w:ascii="Times New Roman" w:hAnsi="Times New Roman" w:eastAsia="宋体" w:cs="Times New Roman"/>
          <w:szCs w:val="22"/>
          <w:lang w:val="zh-CN"/>
        </w:rPr>
        <w:t>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（2）环境标志产品根据《财政部、</w:t>
      </w:r>
      <w:r>
        <w:rPr>
          <w:rFonts w:hint="eastAsia" w:ascii="Times New Roman" w:hAnsi="Times New Roman" w:eastAsia="宋体" w:cs="Times New Roman"/>
          <w:szCs w:val="22"/>
          <w:lang w:val="en-US" w:eastAsia="zh-CN"/>
        </w:rPr>
        <w:t>国家</w:t>
      </w:r>
      <w:r>
        <w:rPr>
          <w:rFonts w:hint="eastAsia" w:ascii="Times New Roman" w:hAnsi="Times New Roman" w:eastAsia="宋体" w:cs="Times New Roman"/>
          <w:szCs w:val="22"/>
          <w:lang w:val="zh-CN"/>
        </w:rPr>
        <w:t>环保总局联合印发&lt;关于环境标志产品政府采购实施的意见&gt;》（财库【2006】90号）的规定，以中国政府采购网（http://www.ccgp.gov.cn/）公布的最新一期环境标志产品政府采购清单为准。环保清单所列产品为政府优先采购产品。</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3）供应商在投标文件中对所投标产品为节能、环境标志产品清单中的产品，在投标报价时必须对此类产品单独分项报价，并提供属于清单内产品的证明资料（从中国政府采购网上下载的网页公告等），未提供节能、环境标志产品计分明细表及属于清单内产品的证明资料的不给予计分。 </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（4）若节能、环境标志清单内的产品仅是构成投标产品的部件、组件或零件的，则该投标产品不享受鼓励优惠政策。</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（5）节能、环境标志产品部分计分只对属于清单内的非强制类产品进行计分，强制类产品不给予计分。 </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lang w:val="zh-CN"/>
        </w:rPr>
      </w:pPr>
      <w:r>
        <w:rPr>
          <w:rFonts w:hint="eastAsia" w:ascii="Times New Roman" w:hAnsi="Times New Roman" w:eastAsia="宋体" w:cs="Times New Roman"/>
          <w:szCs w:val="22"/>
          <w:lang w:val="zh-CN"/>
        </w:rPr>
        <w:t>（6）对于同时列入环保清单和节能产品政府采购清单的产品，应当优先于只列入其中一个清单的产品。</w:t>
      </w:r>
    </w:p>
    <w:p>
      <w:pPr>
        <w:pStyle w:val="6"/>
        <w:keepLines w:val="0"/>
        <w:pageBreakBefore w:val="0"/>
        <w:kinsoku/>
        <w:wordWrap/>
        <w:overflowPunct/>
        <w:topLinePunct w:val="0"/>
        <w:bidi w:val="0"/>
        <w:spacing w:line="400" w:lineRule="exact"/>
        <w:rPr>
          <w:rFonts w:hint="eastAsia"/>
          <w:lang w:val="zh-CN"/>
        </w:rPr>
      </w:pPr>
      <w:r>
        <w:rPr>
          <w:rFonts w:hint="eastAsia" w:ascii="Times New Roman" w:hAnsi="Times New Roman" w:eastAsia="宋体" w:cs="Times New Roman"/>
          <w:szCs w:val="22"/>
          <w:lang w:val="zh-CN"/>
        </w:rPr>
        <w:t>（7）获得上述认证的产品在投标时应提供有效证明材料。以上所有证明文件复印件须加盖供应商公章并注明“与原件一致”，否则不予计分。</w:t>
      </w:r>
    </w:p>
    <w:p>
      <w:pPr>
        <w:pStyle w:val="6"/>
        <w:keepLines w:val="0"/>
        <w:pageBreakBefore w:val="0"/>
        <w:kinsoku/>
        <w:wordWrap/>
        <w:overflowPunct/>
        <w:topLinePunct w:val="0"/>
        <w:bidi w:val="0"/>
        <w:spacing w:line="400" w:lineRule="exact"/>
        <w:rPr>
          <w:rFonts w:ascii="仿宋" w:hAnsi="仿宋" w:eastAsia="仿宋"/>
          <w:szCs w:val="28"/>
          <w:lang w:val="zh-CN"/>
        </w:rPr>
      </w:pPr>
      <w:r>
        <w:rPr>
          <w:rFonts w:hint="eastAsia"/>
          <w:lang w:val="zh-CN"/>
        </w:rPr>
        <w:t>10</w:t>
      </w:r>
      <w:r>
        <w:rPr>
          <w:lang w:val="zh-CN"/>
        </w:rPr>
        <w:t>、推荐中标候选</w:t>
      </w:r>
      <w:r>
        <w:rPr>
          <w:rFonts w:hint="eastAsia"/>
          <w:lang w:val="zh-CN"/>
        </w:rPr>
        <w:t>人</w:t>
      </w:r>
      <w:r>
        <w:rPr>
          <w:lang w:val="zh-CN"/>
        </w:rPr>
        <w:t>名单：评标委员会根据以上内容进行综合比较，自主打分，按得分由高到低进行汇总排序，</w:t>
      </w:r>
      <w:r>
        <w:rPr>
          <w:rFonts w:hint="eastAsia"/>
          <w:lang w:val="zh-CN"/>
        </w:rPr>
        <w:t>每标段</w:t>
      </w:r>
      <w:r>
        <w:rPr>
          <w:lang w:val="zh-CN"/>
        </w:rPr>
        <w:t>推荐</w:t>
      </w:r>
      <w:r>
        <w:rPr>
          <w:rFonts w:hint="eastAsia"/>
          <w:lang w:val="zh-CN"/>
        </w:rPr>
        <w:t>三名</w:t>
      </w:r>
      <w:r>
        <w:rPr>
          <w:lang w:val="zh-CN"/>
        </w:rPr>
        <w:t>中标候选</w:t>
      </w:r>
      <w:r>
        <w:rPr>
          <w:rFonts w:hint="eastAsia"/>
          <w:lang w:val="zh-CN"/>
        </w:rPr>
        <w:t>人</w:t>
      </w:r>
      <w:r>
        <w:rPr>
          <w:lang w:val="zh-CN"/>
        </w:rPr>
        <w:t>。评标委员会依据评标结果写出评标报告。</w:t>
      </w:r>
    </w:p>
    <w:p>
      <w:pPr>
        <w:pStyle w:val="4"/>
        <w:keepLines w:val="0"/>
        <w:pageBreakBefore w:val="0"/>
        <w:kinsoku/>
        <w:wordWrap/>
        <w:overflowPunct/>
        <w:topLinePunct w:val="0"/>
        <w:bidi w:val="0"/>
        <w:spacing w:line="400" w:lineRule="exact"/>
        <w:rPr>
          <w:lang w:val="zh-CN"/>
        </w:rPr>
      </w:pPr>
      <w:bookmarkStart w:id="23" w:name="_Toc15323703"/>
      <w:r>
        <w:rPr>
          <w:lang w:val="zh-CN"/>
        </w:rPr>
        <w:t>七、定标</w:t>
      </w:r>
      <w:bookmarkEnd w:id="23"/>
    </w:p>
    <w:p>
      <w:pPr>
        <w:pStyle w:val="6"/>
        <w:keepLines w:val="0"/>
        <w:pageBreakBefore w:val="0"/>
        <w:kinsoku/>
        <w:wordWrap/>
        <w:overflowPunct/>
        <w:topLinePunct w:val="0"/>
        <w:bidi w:val="0"/>
        <w:spacing w:line="400" w:lineRule="exact"/>
        <w:rPr>
          <w:lang w:val="zh-CN"/>
        </w:rPr>
      </w:pPr>
      <w:r>
        <w:rPr>
          <w:lang w:val="zh-CN"/>
        </w:rPr>
        <w:t>1、采购代理机构应在评标结束后</w:t>
      </w:r>
      <w:r>
        <w:rPr>
          <w:rFonts w:hint="eastAsia"/>
          <w:lang w:val="zh-CN"/>
        </w:rPr>
        <w:t>二个工作</w:t>
      </w:r>
      <w:r>
        <w:rPr>
          <w:lang w:val="zh-CN"/>
        </w:rPr>
        <w:t>日内，将评标报告送采购人定标。</w:t>
      </w:r>
    </w:p>
    <w:p>
      <w:pPr>
        <w:pStyle w:val="6"/>
        <w:keepLines w:val="0"/>
        <w:pageBreakBefore w:val="0"/>
        <w:kinsoku/>
        <w:wordWrap/>
        <w:overflowPunct/>
        <w:topLinePunct w:val="0"/>
        <w:bidi w:val="0"/>
        <w:spacing w:line="400" w:lineRule="exact"/>
        <w:rPr>
          <w:lang w:val="zh-CN"/>
        </w:rPr>
      </w:pPr>
      <w:r>
        <w:rPr>
          <w:lang w:val="zh-CN"/>
        </w:rPr>
        <w:t>2、采购人在收到评标报告后</w:t>
      </w:r>
      <w:r>
        <w:rPr>
          <w:rFonts w:hint="eastAsia"/>
          <w:lang w:val="zh-CN"/>
        </w:rPr>
        <w:t>五</w:t>
      </w:r>
      <w:r>
        <w:rPr>
          <w:lang w:val="zh-CN"/>
        </w:rPr>
        <w:t>个工作日内，根据评标报告对评标过程及结果进行严格审核后确定中标人，复函采购代理机构。</w:t>
      </w:r>
    </w:p>
    <w:p>
      <w:pPr>
        <w:pStyle w:val="6"/>
        <w:keepLines w:val="0"/>
        <w:pageBreakBefore w:val="0"/>
        <w:kinsoku/>
        <w:wordWrap/>
        <w:overflowPunct/>
        <w:topLinePunct w:val="0"/>
        <w:bidi w:val="0"/>
        <w:spacing w:line="400" w:lineRule="exact"/>
        <w:rPr>
          <w:lang w:val="zh-CN"/>
        </w:rPr>
      </w:pPr>
      <w:r>
        <w:rPr>
          <w:lang w:val="zh-CN"/>
        </w:rPr>
        <w:t>3、采购代理机构在接到采购人的“定标复函”后，在财政部门指定的媒体上</w:t>
      </w:r>
      <w:r>
        <w:rPr>
          <w:rFonts w:hint="eastAsia"/>
          <w:lang w:val="zh-CN"/>
        </w:rPr>
        <w:t>公告中标结果</w:t>
      </w:r>
      <w:r>
        <w:rPr>
          <w:lang w:val="zh-CN"/>
        </w:rPr>
        <w:t>，</w:t>
      </w:r>
      <w:r>
        <w:rPr>
          <w:rFonts w:hint="eastAsia"/>
          <w:lang w:val="zh-CN"/>
        </w:rPr>
        <w:t>公告期限为一个工作日，</w:t>
      </w:r>
      <w:r>
        <w:rPr>
          <w:lang w:val="zh-CN"/>
        </w:rPr>
        <w:t>并向中标人发“中标通知书”。</w:t>
      </w:r>
    </w:p>
    <w:p>
      <w:pPr>
        <w:pStyle w:val="6"/>
        <w:keepLines w:val="0"/>
        <w:pageBreakBefore w:val="0"/>
        <w:kinsoku/>
        <w:wordWrap/>
        <w:overflowPunct/>
        <w:topLinePunct w:val="0"/>
        <w:bidi w:val="0"/>
        <w:spacing w:line="400" w:lineRule="exact"/>
        <w:rPr>
          <w:rFonts w:hint="eastAsia" w:ascii="仿宋" w:hAnsi="仿宋" w:eastAsia="仿宋"/>
          <w:szCs w:val="28"/>
          <w:lang w:val="zh-CN"/>
        </w:rPr>
      </w:pPr>
      <w:r>
        <w:rPr>
          <w:lang w:val="zh-CN"/>
        </w:rPr>
        <w:t>4、采购代理机构将评标过程及中标人情况书面报监督机构备案。</w:t>
      </w:r>
    </w:p>
    <w:p>
      <w:pPr>
        <w:pStyle w:val="4"/>
        <w:keepLines w:val="0"/>
        <w:pageBreakBefore w:val="0"/>
        <w:kinsoku/>
        <w:wordWrap/>
        <w:overflowPunct/>
        <w:topLinePunct w:val="0"/>
        <w:bidi w:val="0"/>
        <w:spacing w:line="400" w:lineRule="exact"/>
        <w:rPr>
          <w:rFonts w:hint="eastAsia"/>
          <w:lang w:val="zh-CN"/>
        </w:rPr>
      </w:pPr>
      <w:bookmarkStart w:id="24" w:name="_Toc15323704"/>
      <w:r>
        <w:rPr>
          <w:lang w:val="zh-CN"/>
        </w:rPr>
        <w:t>八、</w:t>
      </w:r>
      <w:r>
        <w:rPr>
          <w:rFonts w:hint="eastAsia"/>
          <w:lang w:val="zh-CN"/>
        </w:rPr>
        <w:t>询问与质疑</w:t>
      </w:r>
      <w:bookmarkEnd w:id="24"/>
    </w:p>
    <w:p>
      <w:pPr>
        <w:pStyle w:val="6"/>
        <w:keepLines w:val="0"/>
        <w:pageBreakBefore w:val="0"/>
        <w:kinsoku/>
        <w:wordWrap/>
        <w:overflowPunct/>
        <w:topLinePunct w:val="0"/>
        <w:bidi w:val="0"/>
        <w:spacing w:line="400" w:lineRule="exact"/>
        <w:rPr>
          <w:rFonts w:hint="eastAsia"/>
          <w:lang w:val="zh-CN"/>
        </w:rPr>
      </w:pPr>
      <w:r>
        <w:rPr>
          <w:rFonts w:hint="eastAsia"/>
          <w:lang w:val="zh-CN"/>
        </w:rPr>
        <w:t>1、供应商对政府采购活动事项有疑问的，可以向采购人、采购代理机构提出询问。</w:t>
      </w:r>
    </w:p>
    <w:p>
      <w:pPr>
        <w:pStyle w:val="6"/>
        <w:keepLines w:val="0"/>
        <w:pageBreakBefore w:val="0"/>
        <w:kinsoku/>
        <w:wordWrap/>
        <w:overflowPunct/>
        <w:topLinePunct w:val="0"/>
        <w:bidi w:val="0"/>
        <w:spacing w:line="400" w:lineRule="exact"/>
        <w:rPr>
          <w:rFonts w:hint="eastAsia"/>
          <w:lang w:val="zh-CN"/>
        </w:rPr>
      </w:pPr>
      <w:r>
        <w:rPr>
          <w:rFonts w:hint="eastAsia"/>
          <w:lang w:val="zh-CN"/>
        </w:rPr>
        <w:t>2、供应商</w:t>
      </w:r>
      <w:r>
        <w:rPr>
          <w:lang w:val="zh-CN"/>
        </w:rPr>
        <w:t>认为采购文件、采购过程</w:t>
      </w:r>
      <w:r>
        <w:rPr>
          <w:rFonts w:hint="eastAsia"/>
          <w:lang w:val="zh-CN"/>
        </w:rPr>
        <w:t>、</w:t>
      </w:r>
      <w:r>
        <w:rPr>
          <w:lang w:val="zh-CN"/>
        </w:rPr>
        <w:t>中标</w:t>
      </w:r>
      <w:r>
        <w:rPr>
          <w:rFonts w:hint="eastAsia"/>
          <w:lang w:val="zh-CN"/>
        </w:rPr>
        <w:t>或者</w:t>
      </w:r>
      <w:r>
        <w:rPr>
          <w:lang w:val="zh-CN"/>
        </w:rPr>
        <w:t>成交结果使自己的权益受到损害的，可以在知道或者应知其权益受到损害之日起</w:t>
      </w:r>
      <w:r>
        <w:rPr>
          <w:rFonts w:hint="eastAsia"/>
          <w:lang w:val="zh-CN"/>
        </w:rPr>
        <w:t>7</w:t>
      </w:r>
      <w:r>
        <w:rPr>
          <w:lang w:val="zh-CN"/>
        </w:rPr>
        <w:t>个工作日内，以书面形式向</w:t>
      </w:r>
      <w:r>
        <w:rPr>
          <w:rFonts w:hint="eastAsia"/>
          <w:lang w:val="zh-CN"/>
        </w:rPr>
        <w:t>采购代理机构</w:t>
      </w:r>
      <w:r>
        <w:rPr>
          <w:lang w:val="zh-CN"/>
        </w:rPr>
        <w:t>提出质疑。</w:t>
      </w:r>
    </w:p>
    <w:p>
      <w:pPr>
        <w:pStyle w:val="6"/>
        <w:keepLines w:val="0"/>
        <w:pageBreakBefore w:val="0"/>
        <w:kinsoku/>
        <w:wordWrap/>
        <w:overflowPunct/>
        <w:topLinePunct w:val="0"/>
        <w:bidi w:val="0"/>
        <w:spacing w:line="400" w:lineRule="exact"/>
        <w:rPr>
          <w:rFonts w:hint="eastAsia"/>
          <w:lang w:val="zh-CN"/>
        </w:rPr>
      </w:pPr>
      <w:r>
        <w:rPr>
          <w:rFonts w:hint="eastAsia"/>
          <w:lang w:val="zh-CN"/>
        </w:rPr>
        <w:t>3、供应商在法定质疑期内须一次性提出针对同一采购程序环节的质疑。</w:t>
      </w:r>
    </w:p>
    <w:p>
      <w:pPr>
        <w:pStyle w:val="6"/>
        <w:keepLines w:val="0"/>
        <w:pageBreakBefore w:val="0"/>
        <w:kinsoku/>
        <w:wordWrap/>
        <w:overflowPunct/>
        <w:topLinePunct w:val="0"/>
        <w:bidi w:val="0"/>
        <w:spacing w:line="400" w:lineRule="exact"/>
        <w:rPr>
          <w:lang w:val="zh-CN"/>
        </w:rPr>
      </w:pPr>
      <w:r>
        <w:rPr>
          <w:rFonts w:hint="eastAsia"/>
          <w:lang w:val="zh-CN"/>
        </w:rPr>
        <w:t>4、</w:t>
      </w:r>
      <w:r>
        <w:rPr>
          <w:lang w:val="zh-CN"/>
        </w:rPr>
        <w:t>供应商提出质疑应当提交质疑函和必要的证明材料。质疑函应当包括下列内容：</w:t>
      </w:r>
    </w:p>
    <w:p>
      <w:pPr>
        <w:pStyle w:val="6"/>
        <w:keepLines w:val="0"/>
        <w:pageBreakBefore w:val="0"/>
        <w:kinsoku/>
        <w:wordWrap/>
        <w:overflowPunct/>
        <w:topLinePunct w:val="0"/>
        <w:bidi w:val="0"/>
        <w:spacing w:line="400" w:lineRule="exact"/>
        <w:rPr>
          <w:lang w:val="zh-CN"/>
        </w:rPr>
      </w:pPr>
      <w:r>
        <w:rPr>
          <w:rFonts w:hint="eastAsia"/>
          <w:lang w:val="zh-CN"/>
        </w:rPr>
        <w:t>4-1、</w:t>
      </w:r>
      <w:r>
        <w:rPr>
          <w:lang w:val="zh-CN"/>
        </w:rPr>
        <w:t>供应商的姓名或者名称、地址、邮编、联系人及联系电话；</w:t>
      </w:r>
    </w:p>
    <w:p>
      <w:pPr>
        <w:pStyle w:val="6"/>
        <w:keepLines w:val="0"/>
        <w:pageBreakBefore w:val="0"/>
        <w:kinsoku/>
        <w:wordWrap/>
        <w:overflowPunct/>
        <w:topLinePunct w:val="0"/>
        <w:bidi w:val="0"/>
        <w:spacing w:line="400" w:lineRule="exact"/>
        <w:rPr>
          <w:lang w:val="zh-CN"/>
        </w:rPr>
      </w:pPr>
      <w:r>
        <w:rPr>
          <w:rFonts w:hint="eastAsia"/>
          <w:lang w:val="zh-CN"/>
        </w:rPr>
        <w:t>4-2、</w:t>
      </w:r>
      <w:r>
        <w:rPr>
          <w:lang w:val="zh-CN"/>
        </w:rPr>
        <w:t>质疑项目的名称、编号；</w:t>
      </w:r>
    </w:p>
    <w:p>
      <w:pPr>
        <w:pStyle w:val="6"/>
        <w:keepLines w:val="0"/>
        <w:pageBreakBefore w:val="0"/>
        <w:kinsoku/>
        <w:wordWrap/>
        <w:overflowPunct/>
        <w:topLinePunct w:val="0"/>
        <w:bidi w:val="0"/>
        <w:spacing w:line="400" w:lineRule="exact"/>
        <w:rPr>
          <w:lang w:val="zh-CN"/>
        </w:rPr>
      </w:pPr>
      <w:r>
        <w:rPr>
          <w:rFonts w:hint="eastAsia"/>
          <w:lang w:val="zh-CN"/>
        </w:rPr>
        <w:t>4-3、</w:t>
      </w:r>
      <w:r>
        <w:rPr>
          <w:lang w:val="zh-CN"/>
        </w:rPr>
        <w:t>具体、明确的质疑事项和与质疑事项相关的请求；</w:t>
      </w:r>
    </w:p>
    <w:p>
      <w:pPr>
        <w:pStyle w:val="6"/>
        <w:keepLines w:val="0"/>
        <w:pageBreakBefore w:val="0"/>
        <w:kinsoku/>
        <w:wordWrap/>
        <w:overflowPunct/>
        <w:topLinePunct w:val="0"/>
        <w:bidi w:val="0"/>
        <w:spacing w:line="400" w:lineRule="exact"/>
        <w:rPr>
          <w:lang w:val="zh-CN"/>
        </w:rPr>
      </w:pPr>
      <w:r>
        <w:rPr>
          <w:rFonts w:hint="eastAsia"/>
          <w:lang w:val="zh-CN"/>
        </w:rPr>
        <w:t>4-4、</w:t>
      </w:r>
      <w:r>
        <w:rPr>
          <w:lang w:val="zh-CN"/>
        </w:rPr>
        <w:t>事实依据；</w:t>
      </w:r>
    </w:p>
    <w:p>
      <w:pPr>
        <w:pStyle w:val="6"/>
        <w:keepLines w:val="0"/>
        <w:pageBreakBefore w:val="0"/>
        <w:kinsoku/>
        <w:wordWrap/>
        <w:overflowPunct/>
        <w:topLinePunct w:val="0"/>
        <w:bidi w:val="0"/>
        <w:spacing w:line="400" w:lineRule="exact"/>
        <w:rPr>
          <w:lang w:val="zh-CN"/>
        </w:rPr>
      </w:pPr>
      <w:r>
        <w:rPr>
          <w:rFonts w:hint="eastAsia"/>
          <w:lang w:val="zh-CN"/>
        </w:rPr>
        <w:t>4-5、</w:t>
      </w:r>
      <w:r>
        <w:rPr>
          <w:lang w:val="zh-CN"/>
        </w:rPr>
        <w:t>必要的法律依据；</w:t>
      </w:r>
    </w:p>
    <w:p>
      <w:pPr>
        <w:pStyle w:val="6"/>
        <w:keepLines w:val="0"/>
        <w:pageBreakBefore w:val="0"/>
        <w:kinsoku/>
        <w:wordWrap/>
        <w:overflowPunct/>
        <w:topLinePunct w:val="0"/>
        <w:bidi w:val="0"/>
        <w:spacing w:line="400" w:lineRule="exact"/>
        <w:rPr>
          <w:lang w:val="zh-CN"/>
        </w:rPr>
      </w:pPr>
      <w:r>
        <w:rPr>
          <w:rFonts w:hint="eastAsia"/>
          <w:lang w:val="zh-CN"/>
        </w:rPr>
        <w:t>4-6、</w:t>
      </w:r>
      <w:r>
        <w:rPr>
          <w:lang w:val="zh-CN"/>
        </w:rPr>
        <w:t>提出质疑的日期。</w:t>
      </w:r>
    </w:p>
    <w:p>
      <w:pPr>
        <w:pStyle w:val="6"/>
        <w:keepLines w:val="0"/>
        <w:pageBreakBefore w:val="0"/>
        <w:kinsoku/>
        <w:wordWrap/>
        <w:overflowPunct/>
        <w:topLinePunct w:val="0"/>
        <w:bidi w:val="0"/>
        <w:spacing w:line="400" w:lineRule="exact"/>
        <w:rPr>
          <w:lang w:val="zh-CN"/>
        </w:rPr>
      </w:pPr>
      <w:r>
        <w:rPr>
          <w:lang w:val="zh-CN"/>
        </w:rPr>
        <w:t>供应商为自然人的，应当由本人签字；供应商为法人或者其他组织的，应当由法定代表人、主要负责人，或者其授权代表签字或者盖章，并加盖公章。</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jc w:val="both"/>
        <w:textAlignment w:val="baseline"/>
        <w:rPr>
          <w:rFonts w:hint="eastAsia" w:ascii="仿宋" w:hAnsi="仿宋" w:eastAsia="仿宋"/>
          <w:szCs w:val="28"/>
          <w:lang w:val="zh-CN"/>
        </w:rPr>
      </w:pPr>
      <w:r>
        <w:rPr>
          <w:rFonts w:hint="eastAsia" w:ascii="Times New Roman" w:hAnsi="Times New Roman" w:eastAsia="宋体" w:cs="Times New Roman"/>
          <w:kern w:val="2"/>
          <w:sz w:val="21"/>
          <w:szCs w:val="22"/>
          <w:lang w:val="zh-CN" w:eastAsia="zh-CN" w:bidi="ar-SA"/>
        </w:rPr>
        <w:t>5、符合要求的质疑，采购代理机构将予以受理并答复，联系电话：</w:t>
      </w:r>
      <w:r>
        <w:rPr>
          <w:rFonts w:hint="eastAsia" w:ascii="Times New Roman" w:hAnsi="Times New Roman" w:eastAsia="宋体" w:cs="Times New Roman"/>
          <w:kern w:val="2"/>
          <w:sz w:val="21"/>
          <w:szCs w:val="22"/>
          <w:lang w:val="en-US" w:eastAsia="zh-CN" w:bidi="ar-SA"/>
        </w:rPr>
        <w:t>18609136359</w:t>
      </w:r>
      <w:r>
        <w:rPr>
          <w:rFonts w:hint="eastAsia" w:ascii="Times New Roman" w:hAnsi="Times New Roman" w:eastAsia="宋体" w:cs="Times New Roman"/>
          <w:kern w:val="2"/>
          <w:sz w:val="21"/>
          <w:szCs w:val="22"/>
          <w:lang w:val="zh-CN" w:eastAsia="zh-CN" w:bidi="ar-SA"/>
        </w:rPr>
        <w:t>，联系人：</w:t>
      </w:r>
      <w:r>
        <w:rPr>
          <w:rFonts w:hint="eastAsia" w:ascii="Times New Roman" w:hAnsi="Times New Roman" w:eastAsia="宋体" w:cs="Times New Roman"/>
          <w:kern w:val="2"/>
          <w:sz w:val="21"/>
          <w:szCs w:val="22"/>
          <w:lang w:val="en-US" w:eastAsia="zh-CN" w:bidi="ar-SA"/>
        </w:rPr>
        <w:t>邵文彬</w:t>
      </w:r>
    </w:p>
    <w:p>
      <w:pPr>
        <w:pStyle w:val="6"/>
        <w:keepLines w:val="0"/>
        <w:pageBreakBefore w:val="0"/>
        <w:kinsoku/>
        <w:wordWrap/>
        <w:overflowPunct/>
        <w:topLinePunct w:val="0"/>
        <w:bidi w:val="0"/>
        <w:spacing w:line="400" w:lineRule="exact"/>
        <w:rPr>
          <w:rFonts w:hint="eastAsia" w:ascii="仿宋" w:hAnsi="仿宋" w:eastAsia="仿宋"/>
          <w:szCs w:val="28"/>
          <w:lang w:val="zh-CN"/>
        </w:rPr>
      </w:pPr>
      <w:r>
        <w:rPr>
          <w:rFonts w:hint="eastAsia"/>
          <w:lang w:val="zh-CN"/>
        </w:rPr>
        <w:t>6、供应商进行虚假和恶意质疑的，采购代理机构将提供相关资料报监督机构，按其情况进行相应处理。</w:t>
      </w:r>
    </w:p>
    <w:p>
      <w:pPr>
        <w:pStyle w:val="4"/>
        <w:keepLines w:val="0"/>
        <w:pageBreakBefore w:val="0"/>
        <w:kinsoku/>
        <w:wordWrap/>
        <w:overflowPunct/>
        <w:topLinePunct w:val="0"/>
        <w:bidi w:val="0"/>
        <w:spacing w:line="400" w:lineRule="exact"/>
        <w:rPr>
          <w:rFonts w:hint="eastAsia"/>
          <w:lang w:val="zh-CN"/>
        </w:rPr>
      </w:pPr>
      <w:bookmarkStart w:id="25" w:name="_Toc15323705"/>
      <w:r>
        <w:rPr>
          <w:rFonts w:hint="eastAsia"/>
          <w:lang w:val="zh-CN"/>
        </w:rPr>
        <w:t>九</w:t>
      </w:r>
      <w:r>
        <w:rPr>
          <w:lang w:val="zh-CN"/>
        </w:rPr>
        <w:t>、</w:t>
      </w:r>
      <w:r>
        <w:rPr>
          <w:rFonts w:hint="eastAsia"/>
          <w:lang w:val="zh-CN"/>
        </w:rPr>
        <w:t>履约保证金</w:t>
      </w:r>
      <w:bookmarkEnd w:id="25"/>
    </w:p>
    <w:p>
      <w:pPr>
        <w:pStyle w:val="6"/>
        <w:keepLines w:val="0"/>
        <w:pageBreakBefore w:val="0"/>
        <w:kinsoku/>
        <w:wordWrap/>
        <w:overflowPunct/>
        <w:topLinePunct w:val="0"/>
        <w:bidi w:val="0"/>
        <w:spacing w:line="400" w:lineRule="exact"/>
        <w:rPr>
          <w:rFonts w:hint="eastAsia"/>
        </w:rPr>
      </w:pPr>
      <w:r>
        <w:rPr>
          <w:rFonts w:hint="eastAsia"/>
        </w:rPr>
        <w:t>1、履约保证金金额由采购人确定。</w:t>
      </w:r>
    </w:p>
    <w:p>
      <w:pPr>
        <w:pStyle w:val="6"/>
        <w:keepLines w:val="0"/>
        <w:pageBreakBefore w:val="0"/>
        <w:kinsoku/>
        <w:wordWrap/>
        <w:overflowPunct/>
        <w:topLinePunct w:val="0"/>
        <w:bidi w:val="0"/>
        <w:spacing w:line="400" w:lineRule="exact"/>
        <w:rPr>
          <w:rFonts w:hint="eastAsia"/>
        </w:rPr>
      </w:pPr>
      <w:r>
        <w:rPr>
          <w:rFonts w:hint="eastAsia"/>
        </w:rPr>
        <w:t>2、履约保证金交纳时间：合同签订前必须交纳至（采购人）。</w:t>
      </w:r>
    </w:p>
    <w:p>
      <w:pPr>
        <w:pStyle w:val="6"/>
        <w:keepLines w:val="0"/>
        <w:pageBreakBefore w:val="0"/>
        <w:kinsoku/>
        <w:wordWrap/>
        <w:overflowPunct/>
        <w:topLinePunct w:val="0"/>
        <w:bidi w:val="0"/>
        <w:spacing w:line="400" w:lineRule="exact"/>
        <w:rPr>
          <w:rFonts w:hint="eastAsia" w:ascii="仿宋" w:hAnsi="仿宋" w:eastAsia="仿宋"/>
          <w:szCs w:val="28"/>
        </w:rPr>
      </w:pPr>
      <w:r>
        <w:rPr>
          <w:rFonts w:hint="eastAsia"/>
        </w:rPr>
        <w:t>3、履约保证金的退付：合同顺利履行期满后由采购人向中标企业退还保证金全额本息（活期存款）。</w:t>
      </w:r>
    </w:p>
    <w:p>
      <w:pPr>
        <w:pStyle w:val="4"/>
        <w:keepLines w:val="0"/>
        <w:pageBreakBefore w:val="0"/>
        <w:kinsoku/>
        <w:wordWrap/>
        <w:overflowPunct/>
        <w:topLinePunct w:val="0"/>
        <w:bidi w:val="0"/>
        <w:spacing w:line="400" w:lineRule="exact"/>
        <w:rPr>
          <w:lang w:val="zh-CN"/>
        </w:rPr>
      </w:pPr>
      <w:bookmarkStart w:id="26" w:name="_Toc15323706"/>
      <w:r>
        <w:rPr>
          <w:rFonts w:hint="eastAsia"/>
          <w:lang w:val="zh-CN"/>
        </w:rPr>
        <w:t>十</w:t>
      </w:r>
      <w:r>
        <w:rPr>
          <w:lang w:val="zh-CN"/>
        </w:rPr>
        <w:t>、</w:t>
      </w:r>
      <w:r>
        <w:rPr>
          <w:rFonts w:hint="eastAsia"/>
          <w:lang w:val="zh-CN"/>
        </w:rPr>
        <w:t>签订</w:t>
      </w:r>
      <w:r>
        <w:rPr>
          <w:lang w:val="zh-CN"/>
        </w:rPr>
        <w:t>合同</w:t>
      </w:r>
      <w:bookmarkEnd w:id="26"/>
    </w:p>
    <w:p>
      <w:pPr>
        <w:pStyle w:val="6"/>
        <w:keepLines w:val="0"/>
        <w:pageBreakBefore w:val="0"/>
        <w:kinsoku/>
        <w:wordWrap/>
        <w:overflowPunct/>
        <w:topLinePunct w:val="0"/>
        <w:bidi w:val="0"/>
        <w:spacing w:line="400" w:lineRule="exact"/>
        <w:rPr>
          <w:rFonts w:hint="eastAsia"/>
        </w:rPr>
      </w:pPr>
      <w:r>
        <w:rPr>
          <w:rFonts w:hint="eastAsia"/>
        </w:rPr>
        <w:t>1、</w:t>
      </w:r>
      <w:r>
        <w:t>自中标通知书发出</w:t>
      </w:r>
      <w:r>
        <w:rPr>
          <w:rFonts w:hint="eastAsia"/>
        </w:rPr>
        <w:t>后</w:t>
      </w:r>
      <w:r>
        <w:t>三十日内，按照招标文件和中标人投标文件的约定，采购人与中标人签订</w:t>
      </w:r>
      <w:r>
        <w:rPr>
          <w:rFonts w:hint="eastAsia"/>
        </w:rPr>
        <w:t>书面</w:t>
      </w:r>
      <w:r>
        <w:t>合同。招标文件及中标人的投标文件均作为合同的组成部分。</w:t>
      </w:r>
    </w:p>
    <w:p>
      <w:pPr>
        <w:pStyle w:val="6"/>
        <w:keepLines w:val="0"/>
        <w:pageBreakBefore w:val="0"/>
        <w:kinsoku/>
        <w:wordWrap/>
        <w:overflowPunct/>
        <w:topLinePunct w:val="0"/>
        <w:bidi w:val="0"/>
        <w:spacing w:line="400" w:lineRule="exact"/>
        <w:rPr>
          <w:rFonts w:ascii="仿宋" w:hAnsi="仿宋" w:eastAsia="仿宋"/>
          <w:szCs w:val="28"/>
        </w:rPr>
      </w:pPr>
      <w:r>
        <w:rPr>
          <w:rFonts w:hint="eastAsia"/>
        </w:rPr>
        <w:t>2、</w:t>
      </w:r>
      <w:r>
        <w:t>定标或确定成交单位后，中标（成交）单位</w:t>
      </w:r>
      <w:r>
        <w:rPr>
          <w:rFonts w:hint="eastAsia"/>
        </w:rPr>
        <w:t>因自身原因未按程序签订合同，采购人将取消其中标资格，同时报请监督机构备案，没收其投标保证金。在此情况下，采购人可</w:t>
      </w:r>
      <w:r>
        <w:t>按评标结果顺序</w:t>
      </w:r>
      <w:r>
        <w:rPr>
          <w:rFonts w:hint="eastAsia"/>
        </w:rPr>
        <w:t>将合同授予下一中标候选人或重新招标</w:t>
      </w:r>
      <w:r>
        <w:t>。</w:t>
      </w:r>
    </w:p>
    <w:p>
      <w:pPr>
        <w:pStyle w:val="4"/>
        <w:keepLines w:val="0"/>
        <w:pageBreakBefore w:val="0"/>
        <w:kinsoku/>
        <w:wordWrap/>
        <w:overflowPunct/>
        <w:topLinePunct w:val="0"/>
        <w:bidi w:val="0"/>
        <w:spacing w:line="400" w:lineRule="exact"/>
        <w:rPr>
          <w:lang w:val="zh-CN"/>
        </w:rPr>
      </w:pPr>
      <w:bookmarkStart w:id="27" w:name="_Toc15323708"/>
      <w:r>
        <w:rPr>
          <w:lang w:val="zh-CN"/>
        </w:rPr>
        <w:t>十</w:t>
      </w:r>
      <w:r>
        <w:rPr>
          <w:rFonts w:hint="eastAsia"/>
          <w:lang w:val="en-US" w:eastAsia="zh-CN"/>
        </w:rPr>
        <w:t>一</w:t>
      </w:r>
      <w:r>
        <w:rPr>
          <w:lang w:val="zh-CN"/>
        </w:rPr>
        <w:t>、</w:t>
      </w:r>
      <w:r>
        <w:rPr>
          <w:rFonts w:hint="eastAsia"/>
          <w:lang w:val="zh-CN"/>
        </w:rPr>
        <w:t>其他</w:t>
      </w:r>
      <w:bookmarkEnd w:id="27"/>
    </w:p>
    <w:p>
      <w:pPr>
        <w:pStyle w:val="6"/>
        <w:keepLines w:val="0"/>
        <w:pageBreakBefore w:val="0"/>
        <w:kinsoku/>
        <w:wordWrap/>
        <w:overflowPunct/>
        <w:topLinePunct w:val="0"/>
        <w:bidi w:val="0"/>
        <w:spacing w:line="400" w:lineRule="exact"/>
      </w:pPr>
      <w:r>
        <w:t>公开招标数额标准以上的采购项目，投标截止后投标人不足</w:t>
      </w:r>
      <w:r>
        <w:rPr>
          <w:rFonts w:hint="eastAsia"/>
        </w:rPr>
        <w:t>三</w:t>
      </w:r>
      <w:r>
        <w:t>家</w:t>
      </w:r>
      <w:r>
        <w:rPr>
          <w:rFonts w:hint="eastAsia"/>
        </w:rPr>
        <w:t>，</w:t>
      </w:r>
      <w:r>
        <w:t>或者通过资格审查或符合性审查的投标人不足</w:t>
      </w:r>
      <w:r>
        <w:rPr>
          <w:rFonts w:hint="eastAsia"/>
        </w:rPr>
        <w:t>三</w:t>
      </w:r>
      <w:r>
        <w:t>家</w:t>
      </w:r>
      <w:r>
        <w:rPr>
          <w:rFonts w:hint="eastAsia"/>
        </w:rPr>
        <w:t>，或者投标人数量满足三家及以上条件但不同品牌不足三家</w:t>
      </w:r>
      <w:r>
        <w:t>的，除采购任务取消情形外，按照以下方式处理：</w:t>
      </w:r>
    </w:p>
    <w:p>
      <w:pPr>
        <w:pStyle w:val="6"/>
        <w:keepLines w:val="0"/>
        <w:pageBreakBefore w:val="0"/>
        <w:kinsoku/>
        <w:wordWrap/>
        <w:overflowPunct/>
        <w:topLinePunct w:val="0"/>
        <w:bidi w:val="0"/>
        <w:spacing w:line="400" w:lineRule="exact"/>
      </w:pPr>
      <w:r>
        <w:rPr>
          <w:rFonts w:hint="eastAsia"/>
        </w:rPr>
        <w:t>1、</w:t>
      </w:r>
      <w:r>
        <w:t>招标文件存在不合理条款或者招标程序不符合规定的，采购人、采购代理机构改正后依法重新招标；</w:t>
      </w:r>
    </w:p>
    <w:p>
      <w:pPr>
        <w:pStyle w:val="6"/>
        <w:keepLines w:val="0"/>
        <w:pageBreakBefore w:val="0"/>
        <w:kinsoku/>
        <w:wordWrap/>
        <w:overflowPunct/>
        <w:topLinePunct w:val="0"/>
        <w:bidi w:val="0"/>
        <w:spacing w:line="400" w:lineRule="exact"/>
        <w:rPr>
          <w:rFonts w:ascii="仿宋" w:hAnsi="仿宋" w:eastAsia="仿宋"/>
          <w:szCs w:val="28"/>
        </w:rPr>
      </w:pPr>
      <w:r>
        <w:rPr>
          <w:rFonts w:hint="eastAsia"/>
        </w:rPr>
        <w:t>2、</w:t>
      </w:r>
      <w:r>
        <w:t>招标文件没有不合理条款、招标程序符合规定，需要采用其他采购方式采购的，采购人应当依法报财政部门批准。</w:t>
      </w:r>
    </w:p>
    <w:p>
      <w:pPr>
        <w:pStyle w:val="3"/>
        <w:keepLines w:val="0"/>
        <w:pageBreakBefore w:val="0"/>
        <w:kinsoku/>
        <w:wordWrap/>
        <w:overflowPunct/>
        <w:topLinePunct w:val="0"/>
        <w:bidi w:val="0"/>
        <w:spacing w:line="400" w:lineRule="exact"/>
        <w:rPr>
          <w:rFonts w:hint="eastAsia"/>
          <w:color w:val="auto"/>
          <w:highlight w:val="red"/>
        </w:rPr>
      </w:pPr>
      <w:r>
        <w:rPr>
          <w:rFonts w:eastAsia="仿宋_GB2312"/>
          <w:szCs w:val="32"/>
          <w:lang w:val="zh-CN"/>
        </w:rPr>
        <w:br w:type="page"/>
      </w:r>
      <w:bookmarkStart w:id="28" w:name="_Toc15323709"/>
      <w:bookmarkStart w:id="29" w:name="_Toc8407_WPSOffice_Level1"/>
      <w:bookmarkStart w:id="30" w:name="_Toc6186_WPSOffice_Level1"/>
      <w:bookmarkStart w:id="31" w:name="_Toc19186"/>
      <w:r>
        <w:rPr>
          <w:color w:val="auto"/>
          <w:highlight w:val="red"/>
        </w:rPr>
        <w:t>第三</w:t>
      </w:r>
      <w:r>
        <w:rPr>
          <w:rFonts w:hint="eastAsia"/>
          <w:color w:val="auto"/>
          <w:highlight w:val="red"/>
        </w:rPr>
        <w:t>章</w:t>
      </w:r>
      <w:r>
        <w:rPr>
          <w:color w:val="auto"/>
          <w:highlight w:val="red"/>
        </w:rPr>
        <w:t xml:space="preserve">  </w:t>
      </w:r>
      <w:r>
        <w:rPr>
          <w:rFonts w:hint="eastAsia"/>
          <w:color w:val="auto"/>
          <w:highlight w:val="red"/>
          <w:lang w:val="en-US" w:eastAsia="zh-CN"/>
        </w:rPr>
        <w:t>采购内容</w:t>
      </w:r>
      <w:r>
        <w:rPr>
          <w:color w:val="auto"/>
          <w:highlight w:val="red"/>
        </w:rPr>
        <w:t>及要求</w:t>
      </w:r>
      <w:bookmarkEnd w:id="28"/>
      <w:bookmarkEnd w:id="29"/>
      <w:bookmarkEnd w:id="30"/>
      <w:bookmarkEnd w:id="31"/>
    </w:p>
    <w:p>
      <w:pPr>
        <w:pStyle w:val="6"/>
        <w:keepLines w:val="0"/>
        <w:pageBreakBefore w:val="0"/>
        <w:kinsoku/>
        <w:wordWrap/>
        <w:overflowPunct/>
        <w:topLinePunct w:val="0"/>
        <w:bidi w:val="0"/>
        <w:spacing w:line="400" w:lineRule="exact"/>
        <w:rPr>
          <w:rFonts w:hint="eastAsia"/>
          <w:color w:val="auto"/>
          <w:szCs w:val="22"/>
          <w:highlight w:val="red"/>
          <w:lang w:val="zh-CN"/>
        </w:rPr>
      </w:pPr>
      <w:r>
        <w:rPr>
          <w:rFonts w:hint="eastAsia"/>
          <w:color w:val="auto"/>
          <w:szCs w:val="22"/>
          <w:highlight w:val="red"/>
          <w:lang w:val="zh-CN"/>
        </w:rPr>
        <w:t>20</w:t>
      </w:r>
      <w:r>
        <w:rPr>
          <w:rFonts w:hint="eastAsia"/>
          <w:color w:val="auto"/>
          <w:szCs w:val="22"/>
          <w:highlight w:val="red"/>
          <w:lang w:val="en-US" w:eastAsia="zh-CN"/>
        </w:rPr>
        <w:t>22</w:t>
      </w:r>
      <w:r>
        <w:rPr>
          <w:rFonts w:hint="eastAsia"/>
          <w:color w:val="auto"/>
          <w:szCs w:val="22"/>
          <w:highlight w:val="red"/>
          <w:lang w:val="zh-CN"/>
        </w:rPr>
        <w:t>至202</w:t>
      </w:r>
      <w:r>
        <w:rPr>
          <w:rFonts w:hint="eastAsia"/>
          <w:color w:val="auto"/>
          <w:szCs w:val="22"/>
          <w:highlight w:val="red"/>
          <w:lang w:val="en-US" w:eastAsia="zh-CN"/>
        </w:rPr>
        <w:t>3</w:t>
      </w:r>
      <w:r>
        <w:rPr>
          <w:rFonts w:hint="eastAsia"/>
          <w:color w:val="auto"/>
          <w:szCs w:val="22"/>
          <w:highlight w:val="red"/>
          <w:lang w:val="zh-CN"/>
        </w:rPr>
        <w:t>学年度学生营养改善计划供餐模式主要有两种：以学校食堂供餐为主：由学校食堂给学生加工营养早餐，供餐种类为</w:t>
      </w:r>
      <w:r>
        <w:rPr>
          <w:rFonts w:hint="eastAsia"/>
          <w:color w:val="auto"/>
          <w:szCs w:val="22"/>
          <w:highlight w:val="red"/>
          <w:lang w:val="en-US" w:eastAsia="zh-CN"/>
        </w:rPr>
        <w:t>鸡蛋</w:t>
      </w:r>
      <w:r>
        <w:rPr>
          <w:rFonts w:hint="eastAsia"/>
          <w:color w:val="auto"/>
          <w:szCs w:val="22"/>
          <w:highlight w:val="red"/>
          <w:lang w:val="zh-CN"/>
        </w:rPr>
        <w:t>、</w:t>
      </w:r>
      <w:r>
        <w:rPr>
          <w:rFonts w:hint="eastAsia"/>
          <w:color w:val="auto"/>
          <w:szCs w:val="22"/>
          <w:highlight w:val="red"/>
          <w:lang w:val="en-US" w:eastAsia="zh-CN"/>
        </w:rPr>
        <w:t>果汁</w:t>
      </w:r>
      <w:r>
        <w:rPr>
          <w:rFonts w:hint="eastAsia"/>
          <w:color w:val="auto"/>
          <w:szCs w:val="22"/>
          <w:highlight w:val="red"/>
          <w:lang w:val="zh-CN"/>
        </w:rPr>
        <w:t>、</w:t>
      </w:r>
      <w:r>
        <w:rPr>
          <w:rFonts w:hint="eastAsia"/>
          <w:color w:val="auto"/>
          <w:szCs w:val="22"/>
          <w:highlight w:val="red"/>
          <w:lang w:val="en-US" w:eastAsia="zh-CN"/>
        </w:rPr>
        <w:t>鸡腿汉堡</w:t>
      </w:r>
      <w:r>
        <w:rPr>
          <w:rFonts w:hint="eastAsia"/>
          <w:color w:val="auto"/>
          <w:szCs w:val="22"/>
          <w:highlight w:val="red"/>
          <w:lang w:val="zh-CN"/>
        </w:rPr>
        <w:t>、</w:t>
      </w:r>
      <w:r>
        <w:rPr>
          <w:rFonts w:hint="eastAsia"/>
          <w:color w:val="auto"/>
          <w:szCs w:val="22"/>
          <w:highlight w:val="red"/>
          <w:lang w:val="en-US" w:eastAsia="zh-CN"/>
        </w:rPr>
        <w:t>早餐饼、豆奶（燕麦/红豆）、学生奶</w:t>
      </w:r>
      <w:r>
        <w:rPr>
          <w:rFonts w:hint="eastAsia"/>
          <w:color w:val="auto"/>
          <w:szCs w:val="22"/>
          <w:highlight w:val="red"/>
          <w:lang w:val="zh-CN"/>
        </w:rPr>
        <w:t>等；在城区学生相对集中，没有标准化食堂的学校，由供餐企业为学生提供营养早餐，供餐种类为粥类、包子</w:t>
      </w:r>
      <w:r>
        <w:rPr>
          <w:rFonts w:hint="eastAsia"/>
          <w:color w:val="auto"/>
          <w:szCs w:val="22"/>
          <w:highlight w:val="red"/>
          <w:lang w:val="en-US" w:eastAsia="zh-CN"/>
        </w:rPr>
        <w:t>类</w:t>
      </w:r>
      <w:r>
        <w:rPr>
          <w:rFonts w:hint="eastAsia"/>
          <w:color w:val="auto"/>
          <w:szCs w:val="22"/>
          <w:highlight w:val="red"/>
          <w:lang w:val="zh-CN"/>
        </w:rPr>
        <w:t>、饼类、</w:t>
      </w:r>
      <w:r>
        <w:rPr>
          <w:rFonts w:hint="eastAsia"/>
          <w:color w:val="auto"/>
          <w:szCs w:val="22"/>
          <w:highlight w:val="red"/>
          <w:lang w:val="en-US" w:eastAsia="zh-CN"/>
        </w:rPr>
        <w:t>馍类</w:t>
      </w:r>
      <w:r>
        <w:rPr>
          <w:rFonts w:hint="eastAsia"/>
          <w:color w:val="auto"/>
          <w:szCs w:val="22"/>
          <w:highlight w:val="red"/>
          <w:lang w:val="zh-CN"/>
        </w:rPr>
        <w:t>、</w:t>
      </w:r>
      <w:r>
        <w:rPr>
          <w:rFonts w:hint="eastAsia"/>
          <w:color w:val="auto"/>
          <w:szCs w:val="22"/>
          <w:highlight w:val="red"/>
          <w:lang w:val="en-US" w:eastAsia="zh-CN"/>
        </w:rPr>
        <w:t>炒饭</w:t>
      </w:r>
      <w:r>
        <w:rPr>
          <w:rFonts w:hint="eastAsia"/>
          <w:color w:val="auto"/>
          <w:szCs w:val="22"/>
          <w:highlight w:val="red"/>
          <w:lang w:val="zh-CN"/>
        </w:rPr>
        <w:t>等交替供应，并由供餐企业配送到指定学校。</w:t>
      </w:r>
    </w:p>
    <w:p>
      <w:pPr>
        <w:pStyle w:val="6"/>
        <w:keepLines w:val="0"/>
        <w:pageBreakBefore w:val="0"/>
        <w:kinsoku/>
        <w:wordWrap/>
        <w:overflowPunct/>
        <w:topLinePunct w:val="0"/>
        <w:bidi w:val="0"/>
        <w:spacing w:line="400" w:lineRule="exact"/>
        <w:rPr>
          <w:rFonts w:hint="eastAsia"/>
          <w:b/>
          <w:bCs/>
          <w:color w:val="auto"/>
          <w:szCs w:val="22"/>
          <w:highlight w:val="red"/>
          <w:lang w:val="zh-CN"/>
        </w:rPr>
      </w:pPr>
      <w:r>
        <w:rPr>
          <w:rFonts w:hint="eastAsia"/>
          <w:b/>
          <w:bCs/>
          <w:color w:val="auto"/>
          <w:szCs w:val="22"/>
          <w:highlight w:val="red"/>
          <w:lang w:val="zh-CN"/>
        </w:rPr>
        <w:t>学生营养改善计划：</w:t>
      </w:r>
    </w:p>
    <w:tbl>
      <w:tblPr>
        <w:tblStyle w:val="14"/>
        <w:tblW w:w="888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11"/>
        <w:gridCol w:w="1904"/>
        <w:gridCol w:w="3488"/>
        <w:gridCol w:w="1014"/>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color w:val="auto"/>
                <w:highlight w:val="red"/>
                <w:lang w:val="en-US"/>
              </w:rPr>
            </w:pPr>
            <w:r>
              <w:rPr>
                <w:rFonts w:hint="eastAsia"/>
                <w:color w:val="auto"/>
                <w:highlight w:val="red"/>
                <w:lang w:val="en-US" w:eastAsia="zh-CN"/>
              </w:rPr>
              <w:t>包号</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采购内容</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规格</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数量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color w:val="auto"/>
                <w:highlight w:val="red"/>
                <w:lang w:val="en-US"/>
              </w:rPr>
            </w:pPr>
            <w:r>
              <w:rPr>
                <w:rFonts w:hint="eastAsia"/>
                <w:color w:val="auto"/>
                <w:highlight w:val="red"/>
                <w:lang w:val="en-US" w:eastAsia="zh-CN"/>
              </w:rPr>
              <w:t>第1包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eastAsia="宋体"/>
                <w:color w:val="auto"/>
                <w:highlight w:val="red"/>
                <w:lang w:val="en-US" w:eastAsia="zh-CN"/>
              </w:rPr>
            </w:pPr>
            <w:r>
              <w:rPr>
                <w:rFonts w:hint="eastAsia"/>
                <w:color w:val="auto"/>
                <w:highlight w:val="red"/>
                <w:lang w:val="en-US" w:eastAsia="zh-CN"/>
              </w:rPr>
              <w:t>米</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25千克</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950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eastAsia="宋体"/>
                <w:color w:val="auto"/>
                <w:highlight w:val="red"/>
                <w:lang w:val="en-US" w:eastAsia="zh-CN"/>
              </w:rPr>
            </w:pPr>
            <w:r>
              <w:rPr>
                <w:rFonts w:hint="eastAsia"/>
                <w:color w:val="auto"/>
                <w:highlight w:val="red"/>
                <w:lang w:val="en-US" w:eastAsia="zh-CN"/>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3" w:hRule="atLeast"/>
          <w:jc w:val="center"/>
        </w:trPr>
        <w:tc>
          <w:tcPr>
            <w:tcW w:w="101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lang w:val="en-US" w:eastAsia="zh-CN"/>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eastAsia="宋体"/>
                <w:color w:val="auto"/>
                <w:highlight w:val="red"/>
                <w:lang w:val="en-US" w:eastAsia="zh-CN"/>
              </w:rPr>
            </w:pPr>
            <w:r>
              <w:rPr>
                <w:rFonts w:hint="eastAsia"/>
                <w:color w:val="auto"/>
                <w:highlight w:val="red"/>
                <w:lang w:val="en-US" w:eastAsia="zh-CN"/>
              </w:rPr>
              <w:t>面粉</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25千克（特一、三星、富强粉）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4180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lang w:val="en-US" w:eastAsia="zh-CN"/>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eastAsia="宋体"/>
                <w:color w:val="auto"/>
                <w:highlight w:val="red"/>
                <w:lang w:val="en-US" w:eastAsia="zh-CN"/>
              </w:rPr>
            </w:pPr>
            <w:r>
              <w:rPr>
                <w:rFonts w:hint="eastAsia"/>
                <w:color w:val="auto"/>
                <w:highlight w:val="red"/>
                <w:lang w:val="en-US" w:eastAsia="zh-CN"/>
              </w:rPr>
              <w:t>油</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15升（一级压榨非转基因菜籽油）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950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eastAsia="宋体"/>
                <w:color w:val="auto"/>
                <w:highlight w:val="red"/>
                <w:lang w:eastAsia="zh-CN"/>
              </w:rPr>
            </w:pPr>
            <w:r>
              <w:rPr>
                <w:rFonts w:hint="eastAsia"/>
                <w:color w:val="auto"/>
                <w:highlight w:val="red"/>
                <w:lang w:val="en-US" w:eastAsia="zh-CN"/>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第2包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米</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25千克</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1600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lang w:val="en-US" w:eastAsia="zh-CN"/>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面粉</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25千克（特一、三星、富强粉）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7040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lang w:val="en-US" w:eastAsia="zh-CN"/>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油</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15升（一级压榨非转基因菜籽油）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1600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第3包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米</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25千克</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2450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lang w:val="en-US" w:eastAsia="zh-CN"/>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面粉</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25千克（特一、三星、富强粉）</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10780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lang w:val="en-US" w:eastAsia="zh-CN"/>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油</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15升（一级压榨非转基因菜籽油）</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2450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第4包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eastAsia="宋体"/>
                <w:color w:val="auto"/>
                <w:highlight w:val="red"/>
                <w:lang w:val="en-US" w:eastAsia="zh-CN"/>
              </w:rPr>
            </w:pPr>
            <w:r>
              <w:rPr>
                <w:rFonts w:hint="eastAsia"/>
                <w:color w:val="auto"/>
                <w:highlight w:val="red"/>
                <w:lang w:val="en-US" w:eastAsia="zh-CN"/>
              </w:rPr>
              <w:t>鸡蛋</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55克</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1904000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eastAsia="宋体"/>
                <w:color w:val="auto"/>
                <w:highlight w:val="red"/>
                <w:lang w:eastAsia="zh-CN"/>
              </w:rPr>
            </w:pPr>
            <w:r>
              <w:rPr>
                <w:rFonts w:hint="eastAsia"/>
                <w:color w:val="auto"/>
                <w:highlight w:val="red"/>
                <w:lang w:val="en-US" w:eastAsia="zh-CN"/>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第5包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鸡蛋</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55克</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1904000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第6包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鸡蛋</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55克</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2312000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第7包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鸡蛋</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55克</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680000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第8包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rPr>
              <w:t>果汁</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lang w:val="en-US" w:eastAsia="zh-CN"/>
              </w:rPr>
              <w:t>250毫升</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666000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101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第9包</w:t>
            </w:r>
          </w:p>
        </w:tc>
        <w:tc>
          <w:tcPr>
            <w:tcW w:w="190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rPr>
              <w:t>果汁</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lang w:val="en-US" w:eastAsia="zh-CN"/>
              </w:rPr>
              <w:t>250毫升</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cs="Times New Roman"/>
                <w:color w:val="auto"/>
                <w:szCs w:val="22"/>
                <w:highlight w:val="red"/>
                <w:lang w:val="en-US" w:eastAsia="zh-CN"/>
              </w:rPr>
              <w:t>666000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第10包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rPr>
              <w:t>果汁</w:t>
            </w:r>
          </w:p>
        </w:tc>
        <w:tc>
          <w:tcPr>
            <w:tcW w:w="3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lang w:val="en-US" w:eastAsia="zh-CN"/>
              </w:rPr>
              <w:t>250毫升</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668000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eastAsia="宋体"/>
                <w:color w:val="auto"/>
                <w:highlight w:val="red"/>
                <w:lang w:val="en-US" w:eastAsia="zh-CN"/>
              </w:rPr>
            </w:pPr>
            <w:r>
              <w:rPr>
                <w:rFonts w:hint="eastAsia"/>
                <w:color w:val="auto"/>
                <w:highlight w:val="red"/>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第11包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rPr>
              <w:t>鸡腿汉堡</w:t>
            </w:r>
          </w:p>
        </w:tc>
        <w:tc>
          <w:tcPr>
            <w:tcW w:w="3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100克（面包65、肉35）</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eastAsia="宋体"/>
                <w:color w:val="auto"/>
                <w:highlight w:val="red"/>
                <w:lang w:val="en-US" w:eastAsia="zh-CN"/>
              </w:rPr>
            </w:pPr>
            <w:r>
              <w:rPr>
                <w:rFonts w:hint="eastAsia"/>
                <w:color w:val="auto"/>
                <w:highlight w:val="red"/>
                <w:lang w:val="en-US" w:eastAsia="zh-CN"/>
              </w:rPr>
              <w:t>600000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eastAsia="宋体"/>
                <w:color w:val="auto"/>
                <w:szCs w:val="22"/>
                <w:highlight w:val="red"/>
                <w:lang w:val="en-US" w:eastAsia="zh-CN"/>
              </w:rPr>
            </w:pPr>
            <w:r>
              <w:rPr>
                <w:rFonts w:hint="eastAsia" w:eastAsia="宋体"/>
                <w:color w:val="auto"/>
                <w:szCs w:val="22"/>
                <w:highlight w:val="red"/>
                <w:lang w:val="en-US" w:eastAsia="zh-CN"/>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第12包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rPr>
              <w:t>鸡腿汉堡</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tabs>
                <w:tab w:val="center" w:pos="1374"/>
                <w:tab w:val="right" w:pos="2628"/>
              </w:tabs>
              <w:kinsoku/>
              <w:wordWrap/>
              <w:overflowPunct/>
              <w:topLinePunct w:val="0"/>
              <w:bidi w:val="0"/>
              <w:spacing w:line="400" w:lineRule="exact"/>
              <w:jc w:val="left"/>
              <w:rPr>
                <w:rFonts w:hint="eastAsia"/>
                <w:color w:val="auto"/>
                <w:highlight w:val="red"/>
              </w:rPr>
            </w:pPr>
            <w:r>
              <w:rPr>
                <w:rFonts w:hint="eastAsia"/>
                <w:color w:val="auto"/>
                <w:highlight w:val="red"/>
              </w:rPr>
              <w:t>100克（面包65、肉35）</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eastAsia="宋体"/>
                <w:color w:val="auto"/>
                <w:highlight w:val="red"/>
                <w:lang w:val="en-US" w:eastAsia="zh-CN"/>
              </w:rPr>
            </w:pPr>
            <w:r>
              <w:rPr>
                <w:rFonts w:hint="eastAsia"/>
                <w:color w:val="auto"/>
                <w:highlight w:val="red"/>
                <w:lang w:val="en-US" w:eastAsia="zh-CN"/>
              </w:rPr>
              <w:t>600000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eastAsia="宋体"/>
                <w:color w:val="auto"/>
                <w:szCs w:val="22"/>
                <w:highlight w:val="red"/>
                <w:lang w:val="en-US" w:eastAsia="zh-CN"/>
              </w:rPr>
            </w:pPr>
            <w:r>
              <w:rPr>
                <w:rFonts w:hint="eastAsia" w:eastAsia="宋体"/>
                <w:color w:val="auto"/>
                <w:szCs w:val="22"/>
                <w:highlight w:val="red"/>
                <w:lang w:val="en-US" w:eastAsia="zh-CN"/>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color w:val="auto"/>
                <w:highlight w:val="red"/>
                <w:lang w:val="en-US" w:eastAsia="zh-CN"/>
              </w:rPr>
            </w:pPr>
            <w:r>
              <w:rPr>
                <w:rFonts w:hint="eastAsia"/>
                <w:color w:val="auto"/>
                <w:highlight w:val="red"/>
                <w:lang w:val="en-US" w:eastAsia="zh-CN"/>
              </w:rPr>
              <w:t>第13包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rPr>
              <w:t>早餐饼</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lang w:val="en-US" w:eastAsia="zh-CN"/>
              </w:rPr>
            </w:pPr>
            <w:r>
              <w:rPr>
                <w:rFonts w:hint="eastAsia"/>
                <w:color w:val="auto"/>
                <w:highlight w:val="red"/>
                <w:lang w:val="en-US" w:eastAsia="zh-CN"/>
              </w:rPr>
              <w:t>50克</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eastAsia="宋体"/>
                <w:color w:val="auto"/>
                <w:highlight w:val="red"/>
                <w:lang w:val="en-US" w:eastAsia="zh-CN"/>
              </w:rPr>
            </w:pPr>
            <w:r>
              <w:rPr>
                <w:rFonts w:hint="eastAsia"/>
                <w:color w:val="auto"/>
                <w:highlight w:val="red"/>
                <w:lang w:val="en-US" w:eastAsia="zh-CN"/>
              </w:rPr>
              <w:t>1600000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eastAsia="宋体"/>
                <w:color w:val="auto"/>
                <w:highlight w:val="red"/>
                <w:lang w:val="en-US" w:eastAsia="zh-CN"/>
              </w:rPr>
            </w:pPr>
            <w:r>
              <w:rPr>
                <w:rFonts w:hint="eastAsia"/>
                <w:color w:val="auto"/>
                <w:highlight w:val="red"/>
                <w:lang w:val="en-US" w:eastAsia="zh-CN"/>
              </w:rPr>
              <w:t>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color w:val="auto"/>
                <w:highlight w:val="red"/>
                <w:lang w:val="en-US" w:eastAsia="zh-CN"/>
              </w:rPr>
            </w:pPr>
            <w:r>
              <w:rPr>
                <w:rFonts w:hint="eastAsia"/>
                <w:color w:val="auto"/>
                <w:highlight w:val="red"/>
                <w:lang w:val="en-US" w:eastAsia="zh-CN"/>
              </w:rPr>
              <w:t>第14包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lang w:val="en-US" w:eastAsia="zh-CN"/>
              </w:rPr>
            </w:pPr>
            <w:r>
              <w:rPr>
                <w:rFonts w:hint="eastAsia"/>
                <w:color w:val="auto"/>
                <w:highlight w:val="red"/>
                <w:lang w:val="en-US" w:eastAsia="zh-CN"/>
              </w:rPr>
              <w:t>豆奶（燕麦/红豆）</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lang w:val="en-US" w:eastAsia="zh-CN"/>
              </w:rPr>
            </w:pPr>
            <w:r>
              <w:rPr>
                <w:rFonts w:hint="eastAsia"/>
                <w:color w:val="auto"/>
                <w:highlight w:val="red"/>
                <w:lang w:val="en-US" w:eastAsia="zh-CN"/>
              </w:rPr>
              <w:t>200毫升</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lang w:val="en-US" w:eastAsia="zh-CN"/>
              </w:rPr>
            </w:pPr>
            <w:r>
              <w:rPr>
                <w:rFonts w:hint="eastAsia"/>
                <w:color w:val="auto"/>
                <w:highlight w:val="red"/>
                <w:lang w:val="en-US" w:eastAsia="zh-CN"/>
              </w:rPr>
              <w:t>2000000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color w:val="auto"/>
                <w:highlight w:val="red"/>
                <w:lang w:val="en-US" w:eastAsia="zh-CN"/>
              </w:rPr>
            </w:pPr>
            <w:r>
              <w:rPr>
                <w:rFonts w:hint="eastAsia"/>
                <w:color w:val="auto"/>
                <w:highlight w:val="red"/>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第15包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rPr>
              <w:t>学生奶</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200毫升</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eastAsia="宋体"/>
                <w:color w:val="auto"/>
                <w:highlight w:val="red"/>
                <w:lang w:val="en-US" w:eastAsia="zh-CN"/>
              </w:rPr>
            </w:pPr>
            <w:r>
              <w:rPr>
                <w:rFonts w:hint="eastAsia"/>
                <w:color w:val="auto"/>
                <w:highlight w:val="red"/>
                <w:lang w:val="en-US" w:eastAsia="zh-CN"/>
              </w:rPr>
              <w:t>1218000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第16包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rPr>
              <w:t>学生奶</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rPr>
            </w:pPr>
            <w:r>
              <w:rPr>
                <w:rFonts w:hint="eastAsia"/>
                <w:color w:val="auto"/>
                <w:highlight w:val="red"/>
              </w:rPr>
              <w:t>200毫升</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rPr>
              <w:t>1218000</w:t>
            </w:r>
          </w:p>
        </w:tc>
        <w:tc>
          <w:tcPr>
            <w:tcW w:w="147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第17包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rPr>
              <w:t>学生奶</w:t>
            </w:r>
          </w:p>
        </w:tc>
        <w:tc>
          <w:tcPr>
            <w:tcW w:w="3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lang w:val="en-US" w:eastAsia="zh-CN"/>
              </w:rPr>
            </w:pPr>
            <w:r>
              <w:rPr>
                <w:rFonts w:hint="eastAsia"/>
                <w:color w:val="auto"/>
                <w:highlight w:val="red"/>
                <w:lang w:val="en-US" w:eastAsia="zh-CN"/>
              </w:rPr>
              <w:t>200毫升</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color w:val="auto"/>
                <w:highlight w:val="red"/>
                <w:lang w:val="en-US" w:eastAsia="zh-CN"/>
              </w:rPr>
            </w:pPr>
            <w:r>
              <w:rPr>
                <w:rFonts w:hint="eastAsia"/>
                <w:color w:val="auto"/>
                <w:highlight w:val="red"/>
                <w:lang w:val="en-US" w:eastAsia="zh-CN"/>
              </w:rPr>
              <w:t>1302000</w:t>
            </w:r>
          </w:p>
        </w:tc>
        <w:tc>
          <w:tcPr>
            <w:tcW w:w="147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lang w:val="en-US" w:eastAsia="zh-CN"/>
              </w:rPr>
            </w:pPr>
            <w:r>
              <w:rPr>
                <w:rFonts w:hint="eastAsia"/>
                <w:color w:val="auto"/>
                <w:highlight w:val="red"/>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1"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lang w:val="en-US" w:eastAsia="zh-CN"/>
              </w:rPr>
              <w:t>第18包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r>
              <w:rPr>
                <w:rFonts w:hint="eastAsia"/>
                <w:color w:val="auto"/>
                <w:highlight w:val="red"/>
              </w:rPr>
              <w:t>学生奶</w:t>
            </w:r>
          </w:p>
        </w:tc>
        <w:tc>
          <w:tcPr>
            <w:tcW w:w="3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left"/>
              <w:rPr>
                <w:rFonts w:hint="eastAsia"/>
                <w:color w:val="auto"/>
                <w:highlight w:val="red"/>
                <w:lang w:val="en-US" w:eastAsia="zh-CN"/>
              </w:rPr>
            </w:pPr>
            <w:r>
              <w:rPr>
                <w:rFonts w:hint="eastAsia"/>
                <w:color w:val="auto"/>
                <w:highlight w:val="red"/>
                <w:lang w:val="en-US" w:eastAsia="zh-CN"/>
              </w:rPr>
              <w:t>200毫升</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color w:val="auto"/>
                <w:highlight w:val="red"/>
                <w:lang w:val="en-US" w:eastAsia="zh-CN"/>
              </w:rPr>
            </w:pPr>
            <w:r>
              <w:rPr>
                <w:rFonts w:hint="eastAsia"/>
                <w:color w:val="auto"/>
                <w:highlight w:val="red"/>
                <w:lang w:val="en-US" w:eastAsia="zh-CN"/>
              </w:rPr>
              <w:t>462000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lang w:val="en-US" w:eastAsia="zh-CN"/>
              </w:rPr>
            </w:pPr>
            <w:r>
              <w:rPr>
                <w:rFonts w:hint="eastAsia"/>
                <w:color w:val="auto"/>
                <w:highlight w:val="red"/>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jc w:val="center"/>
        </w:trPr>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400" w:lineRule="exact"/>
              <w:jc w:val="center"/>
              <w:textAlignment w:val="center"/>
              <w:rPr>
                <w:rFonts w:hint="eastAsia"/>
                <w:color w:val="auto"/>
                <w:highlight w:val="red"/>
                <w:lang w:val="en-US" w:eastAsia="zh-CN"/>
              </w:rPr>
            </w:pPr>
            <w:r>
              <w:rPr>
                <w:rFonts w:hint="eastAsia"/>
                <w:color w:val="auto"/>
                <w:highlight w:val="red"/>
                <w:lang w:val="en-US" w:eastAsia="zh-CN"/>
              </w:rPr>
              <w:t>第19包</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lang w:val="en-US" w:eastAsia="zh-CN"/>
              </w:rPr>
            </w:pPr>
            <w:r>
              <w:rPr>
                <w:rFonts w:hint="eastAsia"/>
                <w:color w:val="auto"/>
                <w:highlight w:val="red"/>
                <w:lang w:val="en-US" w:eastAsia="zh-CN"/>
              </w:rPr>
              <w:t>供餐企业</w:t>
            </w:r>
          </w:p>
        </w:tc>
        <w:tc>
          <w:tcPr>
            <w:tcW w:w="3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default"/>
                <w:color w:val="auto"/>
                <w:highlight w:val="red"/>
                <w:lang w:val="en-US" w:eastAsia="zh-CN"/>
              </w:rPr>
            </w:pPr>
            <w:r>
              <w:rPr>
                <w:rFonts w:hint="eastAsia"/>
                <w:color w:val="auto"/>
                <w:highlight w:val="red"/>
                <w:lang w:val="en-US" w:eastAsia="zh-CN"/>
              </w:rPr>
              <w:t>详见后附表</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color w:val="auto"/>
                <w:highlight w:val="red"/>
              </w:rPr>
            </w:pPr>
          </w:p>
        </w:tc>
      </w:tr>
    </w:tbl>
    <w:p>
      <w:pPr>
        <w:keepLines w:val="0"/>
        <w:pageBreakBefore w:val="0"/>
        <w:kinsoku/>
        <w:wordWrap/>
        <w:overflowPunct/>
        <w:topLinePunct w:val="0"/>
        <w:bidi w:val="0"/>
        <w:spacing w:line="400" w:lineRule="exact"/>
        <w:rPr>
          <w:rFonts w:hint="default"/>
          <w:b/>
          <w:bCs/>
          <w:color w:val="auto"/>
          <w:szCs w:val="22"/>
          <w:highlight w:val="red"/>
          <w:lang w:val="en-US" w:eastAsia="zh-CN"/>
        </w:rPr>
      </w:pPr>
      <w:r>
        <w:rPr>
          <w:rFonts w:hint="eastAsia"/>
          <w:b/>
          <w:bCs/>
          <w:color w:val="auto"/>
          <w:szCs w:val="22"/>
          <w:highlight w:val="red"/>
          <w:lang w:eastAsia="zh-CN"/>
        </w:rPr>
        <w:t>注：按实际供应量结算。</w:t>
      </w:r>
    </w:p>
    <w:p>
      <w:pPr>
        <w:keepLines w:val="0"/>
        <w:pageBreakBefore w:val="0"/>
        <w:kinsoku/>
        <w:wordWrap/>
        <w:overflowPunct/>
        <w:topLinePunct w:val="0"/>
        <w:bidi w:val="0"/>
        <w:spacing w:line="400" w:lineRule="exact"/>
        <w:rPr>
          <w:rFonts w:hint="eastAsia"/>
          <w:b/>
          <w:bCs/>
          <w:color w:val="auto"/>
          <w:szCs w:val="22"/>
          <w:highlight w:val="red"/>
          <w:lang w:val="en-US" w:eastAsia="zh-CN"/>
        </w:rPr>
      </w:pPr>
    </w:p>
    <w:p>
      <w:pPr>
        <w:keepLines w:val="0"/>
        <w:pageBreakBefore w:val="0"/>
        <w:kinsoku/>
        <w:wordWrap/>
        <w:overflowPunct/>
        <w:topLinePunct w:val="0"/>
        <w:bidi w:val="0"/>
        <w:spacing w:line="400" w:lineRule="exact"/>
        <w:rPr>
          <w:rFonts w:hint="default"/>
          <w:b/>
          <w:bCs/>
          <w:color w:val="auto"/>
          <w:szCs w:val="22"/>
          <w:highlight w:val="red"/>
          <w:lang w:val="en-US" w:eastAsia="zh-CN"/>
        </w:rPr>
      </w:pPr>
      <w:r>
        <w:rPr>
          <w:rFonts w:hint="eastAsia"/>
          <w:b/>
          <w:bCs/>
          <w:color w:val="auto"/>
          <w:szCs w:val="22"/>
          <w:highlight w:val="red"/>
          <w:lang w:val="en-US" w:eastAsia="zh-CN"/>
        </w:rPr>
        <w:t>供餐企业：</w:t>
      </w:r>
    </w:p>
    <w:tbl>
      <w:tblPr>
        <w:tblStyle w:val="14"/>
        <w:tblpPr w:leftFromText="180" w:rightFromText="180" w:vertAnchor="text" w:horzAnchor="page" w:tblpX="1619" w:tblpY="435"/>
        <w:tblOverlap w:val="never"/>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7"/>
        <w:gridCol w:w="1130"/>
        <w:gridCol w:w="2700"/>
        <w:gridCol w:w="1331"/>
        <w:gridCol w:w="1646"/>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7"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品种</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名  称</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成  分</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重量</w:t>
            </w:r>
            <w:r>
              <w:rPr>
                <w:rFonts w:hint="eastAsia" w:ascii="Times New Roman" w:hAnsi="Times New Roman" w:eastAsia="宋体" w:cs="Times New Roman"/>
                <w:color w:val="auto"/>
                <w:szCs w:val="22"/>
                <w:highlight w:val="red"/>
                <w:lang w:val="en-US" w:eastAsia="zh-CN"/>
              </w:rPr>
              <w:br w:type="textWrapping"/>
            </w:r>
            <w:r>
              <w:rPr>
                <w:rFonts w:hint="eastAsia" w:ascii="Times New Roman" w:hAnsi="Times New Roman" w:eastAsia="宋体" w:cs="Times New Roman"/>
                <w:color w:val="auto"/>
                <w:szCs w:val="22"/>
                <w:highlight w:val="red"/>
                <w:lang w:val="en-US" w:eastAsia="zh-CN"/>
              </w:rPr>
              <w:t>（克）</w:t>
            </w:r>
          </w:p>
        </w:tc>
        <w:tc>
          <w:tcPr>
            <w:tcW w:w="164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最高限价</w:t>
            </w:r>
            <w:r>
              <w:rPr>
                <w:rFonts w:hint="eastAsia" w:cs="Times New Roman"/>
                <w:color w:val="auto"/>
                <w:szCs w:val="22"/>
                <w:highlight w:val="red"/>
                <w:lang w:val="en-US" w:eastAsia="zh-CN"/>
              </w:rPr>
              <w:t>（单价）</w:t>
            </w:r>
            <w:r>
              <w:rPr>
                <w:rFonts w:hint="eastAsia" w:ascii="Times New Roman" w:hAnsi="Times New Roman" w:eastAsia="宋体" w:cs="Times New Roman"/>
                <w:color w:val="auto"/>
                <w:szCs w:val="22"/>
                <w:highlight w:val="red"/>
                <w:lang w:val="en-US" w:eastAsia="zh-CN"/>
              </w:rPr>
              <w:br w:type="textWrapping"/>
            </w:r>
            <w:r>
              <w:rPr>
                <w:rFonts w:hint="eastAsia" w:ascii="Times New Roman" w:hAnsi="Times New Roman" w:eastAsia="宋体" w:cs="Times New Roman"/>
                <w:color w:val="auto"/>
                <w:szCs w:val="22"/>
                <w:highlight w:val="red"/>
                <w:lang w:val="en-US" w:eastAsia="zh-CN"/>
              </w:rPr>
              <w:t>（元）</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8"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粥类</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银耳粥</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银耳、枸杞、冰糖、红豆、红枣、薏米仁等</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260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2.00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21万杯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八宝粥</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糯米、红枣、大米、莲子、红豆、花生杏仁等</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260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2.00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33万杯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营养粥</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枣模糊、胡辣汤、油茶、牛肉羹等</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260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2.55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10万杯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粥</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红豆粥、南瓜粥、黑米粥、小米粥、绿豆粥</w:t>
            </w:r>
          </w:p>
        </w:tc>
        <w:tc>
          <w:tcPr>
            <w:tcW w:w="13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260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1.90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10万杯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8"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包子</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鲜肉包</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面饼（50克）肉（25克）配料等15克</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90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1.70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10万个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8"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时令蔬菜包</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面饼（50克）菜（35克）配料等5克</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90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1.20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10万个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5" w:hRule="atLeast"/>
        </w:trPr>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饼类</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杂粮饼</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面饼（70克）核桃仁、花生米、芝麻等20克</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90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1.10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16万个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1"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油饼带馅</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牛肉馅饼/鸡蛋灌饼/肉松饼/豆沙饼/莲蓉饼等</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90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2.25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27万个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5" w:hRule="atLeast"/>
        </w:trPr>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油饼不带馅</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酱香饼/千层油酥饼/葱花饼/孜然饼/煎饼等</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90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1.65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25万个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1" w:hRule="atLeast"/>
        </w:trPr>
        <w:tc>
          <w:tcPr>
            <w:tcW w:w="58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馍类</w:t>
            </w:r>
          </w:p>
        </w:tc>
        <w:tc>
          <w:tcPr>
            <w:tcW w:w="11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荷叶饼(馍)夹菜</w:t>
            </w:r>
          </w:p>
        </w:tc>
        <w:tc>
          <w:tcPr>
            <w:tcW w:w="27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面饼（85克）蔬菜（50克）配料等5克</w:t>
            </w:r>
          </w:p>
        </w:tc>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140</w:t>
            </w:r>
          </w:p>
        </w:tc>
        <w:tc>
          <w:tcPr>
            <w:tcW w:w="164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2.20 </w:t>
            </w:r>
          </w:p>
        </w:tc>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14万个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1" w:hRule="atLeast"/>
        </w:trPr>
        <w:tc>
          <w:tcPr>
            <w:tcW w:w="58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荷叶饼(馍)夹肉</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面饼（85克）肉类（30克）配料等25克</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140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3.00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15万个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58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蒸（烙）饼</w:t>
            </w:r>
            <w:r>
              <w:rPr>
                <w:rFonts w:hint="eastAsia" w:cs="Times New Roman"/>
                <w:color w:val="auto"/>
                <w:szCs w:val="22"/>
                <w:highlight w:val="red"/>
                <w:lang w:val="en-US" w:eastAsia="zh-CN"/>
              </w:rPr>
              <w:t xml:space="preserve">  </w:t>
            </w:r>
            <w:r>
              <w:rPr>
                <w:rFonts w:hint="eastAsia" w:ascii="Times New Roman" w:hAnsi="Times New Roman" w:eastAsia="宋体" w:cs="Times New Roman"/>
                <w:color w:val="auto"/>
                <w:szCs w:val="22"/>
                <w:highlight w:val="red"/>
                <w:lang w:val="en-US" w:eastAsia="zh-CN"/>
              </w:rPr>
              <w:t>夹菜</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面饼（85克）蔬菜（45克）配料等10克</w:t>
            </w:r>
          </w:p>
        </w:tc>
        <w:tc>
          <w:tcPr>
            <w:tcW w:w="13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140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2.40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11万个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3" w:hRule="atLeast"/>
        </w:trPr>
        <w:tc>
          <w:tcPr>
            <w:tcW w:w="58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肉夹馍</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面饼（70克）肉类（35克）配料等5克</w:t>
            </w:r>
          </w:p>
        </w:tc>
        <w:tc>
          <w:tcPr>
            <w:tcW w:w="13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110</w:t>
            </w:r>
          </w:p>
        </w:tc>
        <w:tc>
          <w:tcPr>
            <w:tcW w:w="164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3.40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30万个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3"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炒饭</w:t>
            </w:r>
          </w:p>
        </w:tc>
        <w:tc>
          <w:tcPr>
            <w:tcW w:w="11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炒米饭</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米饭（95克）蔬菜、肉类（30克）配料等25克</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150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3.70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6万份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鸡腿</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卤/炸鸡腿</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鸡腿（60克）</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60</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ascii="Times New Roman" w:hAnsi="Times New Roman" w:eastAsia="宋体" w:cs="Times New Roman"/>
                <w:color w:val="auto"/>
                <w:szCs w:val="22"/>
                <w:highlight w:val="red"/>
                <w:lang w:val="en-US" w:eastAsia="zh-CN"/>
              </w:rPr>
              <w:t xml:space="preserve">2.20 </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Lines w:val="0"/>
              <w:pageBreakBefore w:val="0"/>
              <w:kinsoku/>
              <w:wordWrap/>
              <w:overflowPunct/>
              <w:topLinePunct w:val="0"/>
              <w:bidi w:val="0"/>
              <w:spacing w:line="400" w:lineRule="exact"/>
              <w:jc w:val="center"/>
              <w:rPr>
                <w:rFonts w:hint="eastAsia" w:ascii="Times New Roman" w:hAnsi="Times New Roman" w:eastAsia="宋体" w:cs="Times New Roman"/>
                <w:color w:val="auto"/>
                <w:szCs w:val="22"/>
                <w:highlight w:val="red"/>
                <w:lang w:val="en-US" w:eastAsia="zh-CN"/>
              </w:rPr>
            </w:pPr>
            <w:r>
              <w:rPr>
                <w:rFonts w:hint="eastAsia"/>
                <w:color w:val="auto"/>
                <w:szCs w:val="22"/>
                <w:highlight w:val="red"/>
                <w:lang w:val="en-US" w:eastAsia="zh-CN"/>
              </w:rPr>
              <w:t>10万个</w:t>
            </w:r>
          </w:p>
        </w:tc>
      </w:tr>
    </w:tbl>
    <w:p>
      <w:pPr>
        <w:keepLines w:val="0"/>
        <w:pageBreakBefore w:val="0"/>
        <w:kinsoku/>
        <w:wordWrap/>
        <w:overflowPunct/>
        <w:topLinePunct w:val="0"/>
        <w:bidi w:val="0"/>
        <w:spacing w:line="400" w:lineRule="exact"/>
        <w:rPr>
          <w:rFonts w:hint="default"/>
          <w:b/>
          <w:bCs/>
          <w:color w:val="auto"/>
          <w:highlight w:val="red"/>
          <w:lang w:val="en-US" w:eastAsia="zh-CN"/>
        </w:rPr>
      </w:pPr>
      <w:r>
        <w:rPr>
          <w:rFonts w:hint="eastAsia"/>
          <w:b/>
          <w:bCs/>
          <w:color w:val="auto"/>
          <w:highlight w:val="red"/>
          <w:lang w:eastAsia="zh-CN"/>
        </w:rPr>
        <w:t>注：按实际供应量结算。</w:t>
      </w:r>
    </w:p>
    <w:p>
      <w:pPr>
        <w:pStyle w:val="4"/>
        <w:keepLines w:val="0"/>
        <w:pageBreakBefore w:val="0"/>
        <w:kinsoku/>
        <w:wordWrap/>
        <w:overflowPunct/>
        <w:topLinePunct w:val="0"/>
        <w:bidi w:val="0"/>
        <w:spacing w:line="400" w:lineRule="exact"/>
        <w:rPr>
          <w:rFonts w:hint="eastAsia"/>
          <w:color w:val="auto"/>
          <w:highlight w:val="red"/>
        </w:rPr>
      </w:pPr>
      <w:r>
        <w:rPr>
          <w:rFonts w:hint="eastAsia"/>
          <w:color w:val="auto"/>
          <w:highlight w:val="red"/>
          <w:lang w:val="en-US" w:eastAsia="zh-CN"/>
        </w:rPr>
        <w:t xml:space="preserve">  </w:t>
      </w:r>
      <w:r>
        <w:rPr>
          <w:rFonts w:hint="eastAsia"/>
          <w:color w:val="auto"/>
          <w:highlight w:val="red"/>
        </w:rPr>
        <w:t>货物需求及要求：</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1.采购质量要求：</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 xml:space="preserve">（1）采购学生营养改善计划营养早餐必须是正规熟食类早餐生产企业生产的品牌产品，熟食产品为符合国家规定食品质量安全标准的新鲜产品。 </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 xml:space="preserve">（2）奶制品要求是正规生产企业的产品。 </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要求：具有“学生专用奶”标识，200mL/盒，采用无菌灌装；</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2.提供投标产品质量的相关证明材料（包括但不限于检验报告等）</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所投产品的原材料（大米、面粉、食用油）质量符合国家相应质量标准，质量要求：</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大米：要求：独立包装；每袋25Kg,质量符合国家标准一级品及以上标准要求（须提供投标产品质量的相关证明材料（包括但不限于检验报告等））；便于运输，储存，外包装标识必须符合国标标准要求，须标明生产日期，保质期，执行标准，生产厂家，产地等；</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面粉：要求：独立包装；每袋25Kg,质量符合国家标准特一级及以上标准要求（须提供投标产品质量的相关证明材料（包括但不限于检验报告等））；便于运输，储存，外包装标识必须符合国家相应标准要求，须标明生产日期，保质期，执行标准，生产厂家，产地等；</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食用油：要求：独立包装；每桶15L/桶，质量符合国家标准一级及以上要求（须提供产品质量的相关证明材料（包括但不限于检验报告等））。外包装标识必须符合国标要求，须标明生产日期，保质期，执行标准，生产厂家，产地等。</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果汁：100%果(蔬)汁规格要求：每盒不低于250ml，产品外包装为硬盒无菌包(带吸管)。</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3.包装要求：</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（1）投标人所提供的产品必须是正规企业生产的品牌产品，熟食产品为符合国家规定食品质量安全标准的新鲜食品，产品包装须是符合国家规定标准的环保材料。</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2）根据食品安全有关规定，集体用餐配送的食品，烧熟至食用的间隔时间（保质期）为4小时，烧熟后2小时的食品中心温度为60度以上，要求投标人必须在大荔县辖区有生产加工场地，须提供生产场地详细证明材料。</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（3）奶制品为独立包装，且产品包装上必须有完好的生产厂家、规格、出厂日期、质保期等有效信息。</w:t>
      </w:r>
    </w:p>
    <w:p>
      <w:pPr>
        <w:pStyle w:val="6"/>
        <w:keepLines w:val="0"/>
        <w:pageBreakBefore w:val="0"/>
        <w:kinsoku/>
        <w:wordWrap/>
        <w:overflowPunct/>
        <w:topLinePunct w:val="0"/>
        <w:bidi w:val="0"/>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（4）粥类必须为无菌、环保、塑封包装。</w:t>
      </w:r>
    </w:p>
    <w:p>
      <w:pPr>
        <w:pStyle w:val="6"/>
        <w:keepLines w:val="0"/>
        <w:pageBreakBefore w:val="0"/>
        <w:kinsoku/>
        <w:wordWrap/>
        <w:overflowPunct/>
        <w:topLinePunct w:val="0"/>
        <w:bidi w:val="0"/>
        <w:spacing w:line="400" w:lineRule="exact"/>
        <w:rPr>
          <w:rFonts w:hint="eastAsia"/>
          <w:color w:val="auto"/>
        </w:rPr>
      </w:pPr>
      <w:r>
        <w:rPr>
          <w:rFonts w:hint="eastAsia"/>
          <w:color w:val="auto"/>
          <w:lang w:val="en-US" w:eastAsia="zh-CN"/>
        </w:rPr>
        <w:t>4.</w:t>
      </w:r>
      <w:r>
        <w:rPr>
          <w:rFonts w:hint="eastAsia"/>
          <w:b/>
          <w:bCs/>
          <w:color w:val="auto"/>
        </w:rPr>
        <w:t>投标产品样品：</w:t>
      </w:r>
    </w:p>
    <w:p>
      <w:pPr>
        <w:pStyle w:val="6"/>
        <w:keepLines w:val="0"/>
        <w:pageBreakBefore w:val="0"/>
        <w:kinsoku/>
        <w:wordWrap/>
        <w:overflowPunct/>
        <w:topLinePunct w:val="0"/>
        <w:bidi w:val="0"/>
        <w:spacing w:line="400" w:lineRule="exact"/>
        <w:rPr>
          <w:color w:val="auto"/>
        </w:rPr>
      </w:pPr>
      <w:r>
        <w:rPr>
          <w:rFonts w:hint="eastAsia"/>
          <w:color w:val="auto"/>
          <w:lang w:val="en-US" w:eastAsia="zh-CN"/>
        </w:rPr>
        <w:t>4</w:t>
      </w:r>
      <w:r>
        <w:rPr>
          <w:color w:val="auto"/>
        </w:rPr>
        <w:t>-1、</w:t>
      </w:r>
      <w:r>
        <w:rPr>
          <w:rFonts w:hint="eastAsia"/>
          <w:color w:val="auto"/>
          <w:lang w:val="en-US" w:eastAsia="zh-CN"/>
        </w:rPr>
        <w:t>按</w:t>
      </w:r>
      <w:r>
        <w:rPr>
          <w:rFonts w:hint="eastAsia" w:ascii="Times New Roman" w:hAnsi="Times New Roman" w:eastAsia="宋体" w:cs="Times New Roman"/>
          <w:color w:val="auto"/>
          <w:szCs w:val="22"/>
        </w:rPr>
        <w:t>提交投标产品</w:t>
      </w:r>
      <w:r>
        <w:rPr>
          <w:rFonts w:hint="eastAsia" w:cs="Times New Roman"/>
          <w:color w:val="auto"/>
          <w:szCs w:val="22"/>
          <w:lang w:eastAsia="zh-CN"/>
        </w:rPr>
        <w:t>，</w:t>
      </w:r>
      <w:r>
        <w:rPr>
          <w:rFonts w:hint="eastAsia" w:cs="Times New Roman"/>
          <w:color w:val="auto"/>
          <w:szCs w:val="22"/>
          <w:lang w:val="en-US" w:eastAsia="zh-CN"/>
        </w:rPr>
        <w:t>提供</w:t>
      </w:r>
      <w:r>
        <w:rPr>
          <w:rFonts w:hint="eastAsia" w:ascii="Times New Roman" w:hAnsi="Times New Roman" w:eastAsia="宋体" w:cs="Times New Roman"/>
          <w:color w:val="auto"/>
          <w:szCs w:val="22"/>
        </w:rPr>
        <w:t>样品十</w:t>
      </w:r>
      <w:r>
        <w:rPr>
          <w:rFonts w:hint="eastAsia" w:ascii="Times New Roman" w:hAnsi="Times New Roman" w:eastAsia="宋体" w:cs="Times New Roman"/>
          <w:color w:val="auto"/>
          <w:szCs w:val="22"/>
          <w:lang w:val="en-US" w:eastAsia="zh-CN"/>
        </w:rPr>
        <w:t>份</w:t>
      </w:r>
      <w:r>
        <w:rPr>
          <w:rFonts w:hint="eastAsia" w:ascii="Times New Roman" w:hAnsi="Times New Roman" w:eastAsia="宋体" w:cs="Times New Roman"/>
          <w:color w:val="auto"/>
          <w:szCs w:val="22"/>
        </w:rPr>
        <w:t>。</w:t>
      </w:r>
    </w:p>
    <w:p>
      <w:pPr>
        <w:pStyle w:val="6"/>
        <w:keepLines w:val="0"/>
        <w:pageBreakBefore w:val="0"/>
        <w:kinsoku/>
        <w:wordWrap/>
        <w:overflowPunct/>
        <w:topLinePunct w:val="0"/>
        <w:bidi w:val="0"/>
        <w:spacing w:line="400" w:lineRule="exact"/>
        <w:rPr>
          <w:color w:val="auto"/>
        </w:rPr>
      </w:pPr>
      <w:r>
        <w:rPr>
          <w:rFonts w:hint="eastAsia"/>
          <w:color w:val="auto"/>
          <w:lang w:val="en-US" w:eastAsia="zh-CN"/>
        </w:rPr>
        <w:t>4</w:t>
      </w:r>
      <w:r>
        <w:rPr>
          <w:color w:val="auto"/>
        </w:rPr>
        <w:t>-2、样品提交方式：</w:t>
      </w:r>
    </w:p>
    <w:p>
      <w:pPr>
        <w:pStyle w:val="6"/>
        <w:keepLines w:val="0"/>
        <w:pageBreakBefore w:val="0"/>
        <w:kinsoku/>
        <w:wordWrap/>
        <w:overflowPunct/>
        <w:topLinePunct w:val="0"/>
        <w:bidi w:val="0"/>
        <w:spacing w:line="400" w:lineRule="exact"/>
        <w:rPr>
          <w:color w:val="auto"/>
        </w:rPr>
      </w:pPr>
      <w:r>
        <w:rPr>
          <w:rFonts w:hint="eastAsia"/>
          <w:color w:val="auto"/>
          <w:lang w:val="en-US" w:eastAsia="zh-CN"/>
        </w:rPr>
        <w:t>4</w:t>
      </w:r>
      <w:r>
        <w:rPr>
          <w:rFonts w:hint="eastAsia"/>
          <w:color w:val="auto"/>
        </w:rPr>
        <w:t>-2-1、各投标供应商</w:t>
      </w:r>
      <w:r>
        <w:rPr>
          <w:color w:val="auto"/>
        </w:rPr>
        <w:t>提供样品的</w:t>
      </w:r>
      <w:r>
        <w:rPr>
          <w:rFonts w:hint="eastAsia"/>
          <w:color w:val="auto"/>
        </w:rPr>
        <w:t>参数</w:t>
      </w:r>
      <w:r>
        <w:rPr>
          <w:color w:val="auto"/>
        </w:rPr>
        <w:t>、规格必须与</w:t>
      </w:r>
      <w:r>
        <w:rPr>
          <w:rFonts w:hint="eastAsia"/>
          <w:color w:val="auto"/>
        </w:rPr>
        <w:t>其投标产品</w:t>
      </w:r>
      <w:r>
        <w:rPr>
          <w:color w:val="auto"/>
        </w:rPr>
        <w:t>一致。</w:t>
      </w:r>
    </w:p>
    <w:p>
      <w:pPr>
        <w:pStyle w:val="6"/>
        <w:keepLines w:val="0"/>
        <w:pageBreakBefore w:val="0"/>
        <w:kinsoku/>
        <w:wordWrap/>
        <w:overflowPunct/>
        <w:topLinePunct w:val="0"/>
        <w:bidi w:val="0"/>
        <w:spacing w:line="400" w:lineRule="exact"/>
        <w:rPr>
          <w:rFonts w:hint="eastAsia"/>
          <w:color w:val="auto"/>
        </w:rPr>
      </w:pPr>
      <w:r>
        <w:rPr>
          <w:rFonts w:hint="eastAsia"/>
          <w:color w:val="auto"/>
          <w:lang w:val="en-US" w:eastAsia="zh-CN"/>
        </w:rPr>
        <w:t>4</w:t>
      </w:r>
      <w:r>
        <w:rPr>
          <w:rFonts w:hint="eastAsia"/>
          <w:color w:val="auto"/>
        </w:rPr>
        <w:t>-2-2、</w:t>
      </w:r>
      <w:r>
        <w:rPr>
          <w:color w:val="auto"/>
        </w:rPr>
        <w:t>每件样品应注明</w:t>
      </w:r>
      <w:r>
        <w:rPr>
          <w:rFonts w:hint="eastAsia"/>
          <w:color w:val="auto"/>
        </w:rPr>
        <w:t>投标供应商</w:t>
      </w:r>
      <w:r>
        <w:rPr>
          <w:color w:val="auto"/>
        </w:rPr>
        <w:t>名称及产品名称等。</w:t>
      </w:r>
    </w:p>
    <w:p>
      <w:pPr>
        <w:pStyle w:val="4"/>
        <w:keepLines w:val="0"/>
        <w:pageBreakBefore w:val="0"/>
        <w:kinsoku/>
        <w:wordWrap/>
        <w:overflowPunct/>
        <w:topLinePunct w:val="0"/>
        <w:bidi w:val="0"/>
        <w:spacing w:line="400" w:lineRule="exact"/>
        <w:rPr>
          <w:rFonts w:hint="eastAsia"/>
          <w:color w:val="auto"/>
        </w:rPr>
      </w:pPr>
      <w:r>
        <w:rPr>
          <w:rFonts w:hint="eastAsia"/>
          <w:color w:val="auto"/>
        </w:rPr>
        <w:t>三、配送要求：</w:t>
      </w:r>
    </w:p>
    <w:p>
      <w:pPr>
        <w:pStyle w:val="6"/>
        <w:keepLines w:val="0"/>
        <w:pageBreakBefore w:val="0"/>
        <w:kinsoku/>
        <w:wordWrap/>
        <w:overflowPunct/>
        <w:topLinePunct w:val="0"/>
        <w:bidi w:val="0"/>
        <w:spacing w:line="400" w:lineRule="exact"/>
        <w:rPr>
          <w:rFonts w:hint="eastAsia" w:ascii="宋体" w:hAnsi="宋体"/>
          <w:color w:val="auto"/>
        </w:rPr>
      </w:pPr>
      <w:r>
        <w:rPr>
          <w:rFonts w:hint="eastAsia"/>
          <w:color w:val="auto"/>
        </w:rPr>
        <w:t>自合同签订之日起，每次配送产品必须在出厂后2小时内须送到辖区，配送到校必须达到国家保温标准，实施营养计划营养早餐的每所学校</w:t>
      </w:r>
      <w:r>
        <w:rPr>
          <w:rFonts w:hint="eastAsia"/>
          <w:color w:val="auto"/>
          <w:lang w:eastAsia="zh-CN"/>
        </w:rPr>
        <w:t>（</w:t>
      </w:r>
      <w:r>
        <w:rPr>
          <w:rFonts w:hint="eastAsia"/>
          <w:color w:val="auto"/>
        </w:rPr>
        <w:t>具体时间以教育局通知为准</w:t>
      </w:r>
      <w:r>
        <w:rPr>
          <w:rFonts w:hint="eastAsia"/>
          <w:color w:val="auto"/>
          <w:lang w:eastAsia="zh-CN"/>
        </w:rPr>
        <w:t>）</w:t>
      </w:r>
      <w:r>
        <w:rPr>
          <w:rFonts w:hint="eastAsia"/>
          <w:color w:val="auto"/>
        </w:rPr>
        <w:t>，每天一次，禁止超量配送。根据季节调整种类并提前一周报送食谱。</w:t>
      </w:r>
      <w:r>
        <w:rPr>
          <w:rFonts w:hint="eastAsia" w:ascii="Times New Roman" w:hAnsi="Times New Roman" w:eastAsia="宋体" w:cs="Times New Roman"/>
          <w:color w:val="auto"/>
          <w:szCs w:val="22"/>
        </w:rPr>
        <w:t>每次配送量应包含留样1份和因运输装卸过程中造成的损耗（例如包装严重变形、破损，食品污损、变异等），发现</w:t>
      </w:r>
      <w:r>
        <w:rPr>
          <w:rFonts w:hint="eastAsia"/>
          <w:color w:val="auto"/>
        </w:rPr>
        <w:t>的破损、变异食品必须无条件更换</w:t>
      </w:r>
      <w:r>
        <w:rPr>
          <w:rFonts w:hint="eastAsia" w:ascii="Times New Roman" w:hAnsi="Times New Roman" w:eastAsia="宋体" w:cs="Times New Roman"/>
          <w:color w:val="auto"/>
          <w:szCs w:val="22"/>
        </w:rPr>
        <w:t>。</w:t>
      </w:r>
    </w:p>
    <w:p>
      <w:pPr>
        <w:pStyle w:val="4"/>
        <w:keepLines w:val="0"/>
        <w:pageBreakBefore w:val="0"/>
        <w:kinsoku/>
        <w:wordWrap/>
        <w:overflowPunct/>
        <w:topLinePunct w:val="0"/>
        <w:bidi w:val="0"/>
        <w:spacing w:line="400" w:lineRule="exact"/>
        <w:rPr>
          <w:rFonts w:hint="eastAsia"/>
          <w:color w:val="auto"/>
        </w:rPr>
      </w:pPr>
      <w:r>
        <w:rPr>
          <w:rFonts w:hint="eastAsia"/>
          <w:color w:val="auto"/>
        </w:rPr>
        <w:t>四、其他要求</w:t>
      </w:r>
    </w:p>
    <w:p>
      <w:pPr>
        <w:keepLines w:val="0"/>
        <w:pageBreakBefore w:val="0"/>
        <w:kinsoku/>
        <w:wordWrap/>
        <w:overflowPunct/>
        <w:topLinePunct w:val="0"/>
        <w:bidi w:val="0"/>
        <w:spacing w:line="400" w:lineRule="exact"/>
        <w:jc w:val="left"/>
        <w:rPr>
          <w:rFonts w:hint="eastAsia"/>
          <w:color w:val="auto"/>
        </w:rPr>
      </w:pPr>
      <w:r>
        <w:rPr>
          <w:rFonts w:hint="eastAsia"/>
          <w:color w:val="auto"/>
        </w:rPr>
        <w:t>（1）</w:t>
      </w:r>
      <w:r>
        <w:rPr>
          <w:rFonts w:hint="eastAsia" w:ascii="Times New Roman" w:hAnsi="Times New Roman" w:eastAsia="宋体" w:cs="Times New Roman"/>
          <w:color w:val="auto"/>
          <w:szCs w:val="22"/>
        </w:rPr>
        <w:t>最终投标合计单价</w:t>
      </w:r>
      <w:r>
        <w:rPr>
          <w:rFonts w:hint="eastAsia" w:ascii="Times New Roman" w:hAnsi="Times New Roman" w:eastAsia="宋体" w:cs="Times New Roman"/>
          <w:color w:val="auto"/>
          <w:szCs w:val="22"/>
          <w:lang w:val="en-US" w:eastAsia="zh-CN"/>
        </w:rPr>
        <w:t>包括单个采购货物的供应费、运杂费（含仓储费、运输费、保险费、装卸费、税金）、抽检费、运输过程中的损耗费、学校操作过程中的留样以及所有产品达到正常使用条件下所包含的一切费用，合同期内不做调整。</w:t>
      </w:r>
    </w:p>
    <w:p>
      <w:pPr>
        <w:pStyle w:val="6"/>
        <w:keepLines w:val="0"/>
        <w:pageBreakBefore w:val="0"/>
        <w:kinsoku/>
        <w:wordWrap/>
        <w:overflowPunct/>
        <w:topLinePunct w:val="0"/>
        <w:bidi w:val="0"/>
        <w:spacing w:line="400" w:lineRule="exact"/>
        <w:ind w:left="0" w:leftChars="0" w:firstLine="0" w:firstLineChars="0"/>
        <w:rPr>
          <w:rFonts w:hint="eastAsia"/>
          <w:color w:val="auto"/>
        </w:rPr>
      </w:pPr>
      <w:r>
        <w:rPr>
          <w:rFonts w:hint="eastAsia"/>
          <w:color w:val="auto"/>
        </w:rPr>
        <w:t>（2）采购学生营养改善计划营养早餐必须是正规熟食类早餐生产企业，营养餐生产及配送不分包。</w:t>
      </w:r>
    </w:p>
    <w:p>
      <w:pPr>
        <w:pStyle w:val="6"/>
        <w:keepLines w:val="0"/>
        <w:pageBreakBefore w:val="0"/>
        <w:kinsoku/>
        <w:wordWrap/>
        <w:overflowPunct/>
        <w:topLinePunct w:val="0"/>
        <w:bidi w:val="0"/>
        <w:spacing w:line="400" w:lineRule="exact"/>
        <w:ind w:left="0" w:leftChars="0" w:firstLine="0" w:firstLineChars="0"/>
        <w:rPr>
          <w:rFonts w:hint="eastAsia"/>
          <w:color w:val="auto"/>
        </w:rPr>
      </w:pPr>
      <w:r>
        <w:rPr>
          <w:rFonts w:hint="eastAsia"/>
          <w:color w:val="auto"/>
        </w:rPr>
        <w:t>（3）中标人应不定期接受质检、食品药监等部门对所提供产品的抽样检查，相关费用由中标人承担。</w:t>
      </w:r>
    </w:p>
    <w:p>
      <w:pPr>
        <w:pStyle w:val="6"/>
        <w:keepLines w:val="0"/>
        <w:pageBreakBefore w:val="0"/>
        <w:kinsoku/>
        <w:wordWrap/>
        <w:overflowPunct/>
        <w:topLinePunct w:val="0"/>
        <w:bidi w:val="0"/>
        <w:spacing w:line="400" w:lineRule="exact"/>
        <w:ind w:left="0" w:leftChars="0" w:firstLine="0" w:firstLineChars="0"/>
        <w:rPr>
          <w:rFonts w:hint="eastAsia"/>
          <w:color w:val="auto"/>
        </w:rPr>
      </w:pPr>
      <w:r>
        <w:rPr>
          <w:rFonts w:hint="eastAsia"/>
          <w:color w:val="auto"/>
        </w:rPr>
        <w:t>（4）投标人应做出按照相关标准为每名学生购买食品安全责任保险的承诺，并在中标后切实履行该承诺。</w:t>
      </w:r>
    </w:p>
    <w:p>
      <w:pPr>
        <w:pStyle w:val="6"/>
        <w:keepLines w:val="0"/>
        <w:pageBreakBefore w:val="0"/>
        <w:kinsoku/>
        <w:wordWrap/>
        <w:overflowPunct/>
        <w:topLinePunct w:val="0"/>
        <w:bidi w:val="0"/>
        <w:spacing w:line="400" w:lineRule="exact"/>
        <w:ind w:left="0" w:leftChars="0" w:firstLine="0" w:firstLineChars="0"/>
        <w:rPr>
          <w:rFonts w:hint="eastAsia"/>
          <w:color w:val="auto"/>
        </w:rPr>
      </w:pPr>
      <w:r>
        <w:rPr>
          <w:rFonts w:hint="eastAsia"/>
          <w:color w:val="auto"/>
        </w:rPr>
        <w:t>（5）中标人应承担在配餐工程中产生的水、电及垃圾清运等配套费用。</w:t>
      </w:r>
    </w:p>
    <w:p>
      <w:pPr>
        <w:pStyle w:val="3"/>
        <w:spacing w:line="440" w:lineRule="exact"/>
        <w:rPr>
          <w:rFonts w:hint="eastAsia" w:ascii="宋体" w:hAnsi="宋体"/>
          <w:kern w:val="0"/>
          <w:highlight w:val="none"/>
        </w:rPr>
      </w:pPr>
      <w:bookmarkStart w:id="32" w:name="_Toc26457_WPSOffice_Level1"/>
      <w:bookmarkStart w:id="33" w:name="_Toc17748"/>
    </w:p>
    <w:p>
      <w:pPr>
        <w:pStyle w:val="3"/>
        <w:spacing w:line="440" w:lineRule="exact"/>
        <w:rPr>
          <w:rFonts w:ascii="宋体" w:hAnsi="宋体"/>
          <w:kern w:val="0"/>
          <w:highlight w:val="none"/>
        </w:rPr>
      </w:pPr>
      <w:r>
        <w:rPr>
          <w:rFonts w:hint="eastAsia" w:ascii="宋体" w:hAnsi="宋体"/>
          <w:kern w:val="0"/>
          <w:highlight w:val="none"/>
        </w:rPr>
        <w:t>第四章  商务要求</w:t>
      </w:r>
      <w:bookmarkEnd w:id="32"/>
      <w:bookmarkEnd w:id="33"/>
    </w:p>
    <w:p>
      <w:pPr>
        <w:spacing w:line="440" w:lineRule="exact"/>
        <w:ind w:firstLine="422" w:firstLineChars="200"/>
        <w:rPr>
          <w:rFonts w:ascii="宋体" w:hAnsi="宋体"/>
          <w:color w:val="auto"/>
          <w:szCs w:val="24"/>
          <w:highlight w:val="none"/>
        </w:rPr>
      </w:pPr>
      <w:r>
        <w:rPr>
          <w:rFonts w:ascii="宋体" w:hAnsi="宋体"/>
          <w:b/>
          <w:color w:val="auto"/>
          <w:szCs w:val="24"/>
          <w:highlight w:val="none"/>
        </w:rPr>
        <w:t>一、</w:t>
      </w:r>
      <w:r>
        <w:rPr>
          <w:rFonts w:hint="eastAsia" w:ascii="宋体" w:hAnsi="宋体"/>
          <w:b/>
          <w:color w:val="auto"/>
          <w:szCs w:val="24"/>
          <w:highlight w:val="none"/>
          <w:lang w:val="en-US" w:eastAsia="zh-CN"/>
        </w:rPr>
        <w:t>服务</w:t>
      </w:r>
      <w:r>
        <w:rPr>
          <w:rFonts w:hint="eastAsia" w:ascii="宋体" w:hAnsi="宋体"/>
          <w:b/>
          <w:color w:val="auto"/>
          <w:szCs w:val="24"/>
          <w:highlight w:val="none"/>
        </w:rPr>
        <w:t>期</w:t>
      </w:r>
      <w:r>
        <w:rPr>
          <w:rFonts w:ascii="宋体" w:hAnsi="宋体"/>
          <w:b/>
          <w:color w:val="auto"/>
          <w:szCs w:val="24"/>
          <w:highlight w:val="none"/>
        </w:rPr>
        <w:t>及地点：</w:t>
      </w:r>
    </w:p>
    <w:p>
      <w:pPr>
        <w:adjustRightInd w:val="0"/>
        <w:snapToGrid w:val="0"/>
        <w:spacing w:line="480" w:lineRule="exact"/>
        <w:ind w:firstLine="525" w:firstLineChars="250"/>
        <w:rPr>
          <w:rFonts w:hint="default" w:ascii="宋体" w:hAnsi="宋体" w:eastAsia="宋体"/>
          <w:color w:val="auto"/>
          <w:szCs w:val="24"/>
          <w:highlight w:val="none"/>
          <w:lang w:val="en-US" w:eastAsia="zh-CN"/>
        </w:rPr>
      </w:pPr>
      <w:bookmarkStart w:id="34" w:name="_Toc167715234"/>
      <w:bookmarkStart w:id="35" w:name="_Toc167712839"/>
      <w:bookmarkStart w:id="36" w:name="_Toc167714037"/>
      <w:r>
        <w:rPr>
          <w:rFonts w:ascii="宋体" w:hAnsi="宋体"/>
          <w:color w:val="auto"/>
          <w:szCs w:val="24"/>
          <w:highlight w:val="none"/>
        </w:rPr>
        <w:t xml:space="preserve">1、 </w:t>
      </w:r>
      <w:r>
        <w:rPr>
          <w:rFonts w:hint="eastAsia" w:ascii="宋体" w:hAnsi="宋体"/>
          <w:color w:val="auto"/>
          <w:szCs w:val="24"/>
          <w:highlight w:val="none"/>
          <w:lang w:val="en-US" w:eastAsia="zh-CN"/>
        </w:rPr>
        <w:t>服务</w:t>
      </w:r>
      <w:r>
        <w:rPr>
          <w:rFonts w:hint="eastAsia" w:ascii="宋体" w:hAnsi="宋体"/>
          <w:color w:val="auto"/>
          <w:szCs w:val="24"/>
          <w:highlight w:val="none"/>
        </w:rPr>
        <w:t>期</w:t>
      </w:r>
      <w:r>
        <w:rPr>
          <w:rFonts w:ascii="宋体" w:hAnsi="宋体"/>
          <w:color w:val="auto"/>
          <w:szCs w:val="24"/>
          <w:highlight w:val="none"/>
        </w:rPr>
        <w:t>：</w:t>
      </w:r>
      <w:bookmarkEnd w:id="34"/>
      <w:bookmarkEnd w:id="35"/>
      <w:bookmarkEnd w:id="36"/>
      <w:r>
        <w:rPr>
          <w:rFonts w:hint="eastAsia" w:ascii="宋体" w:hAnsi="宋体"/>
          <w:color w:val="auto"/>
          <w:szCs w:val="24"/>
          <w:highlight w:val="none"/>
          <w:lang w:val="en-US" w:eastAsia="zh-CN"/>
        </w:rPr>
        <w:t>2022年9月至2023年7月</w:t>
      </w:r>
    </w:p>
    <w:p>
      <w:pPr>
        <w:adjustRightInd w:val="0"/>
        <w:snapToGrid w:val="0"/>
        <w:spacing w:line="480" w:lineRule="exact"/>
        <w:ind w:firstLine="525" w:firstLineChars="250"/>
        <w:rPr>
          <w:rFonts w:ascii="宋体" w:hAnsi="宋体"/>
          <w:color w:val="auto"/>
          <w:szCs w:val="24"/>
          <w:highlight w:val="none"/>
        </w:rPr>
      </w:pPr>
      <w:r>
        <w:rPr>
          <w:rFonts w:ascii="宋体" w:hAnsi="宋体"/>
          <w:color w:val="auto"/>
          <w:szCs w:val="24"/>
          <w:highlight w:val="none"/>
        </w:rPr>
        <w:t xml:space="preserve">2、 </w:t>
      </w:r>
      <w:r>
        <w:rPr>
          <w:rFonts w:hint="eastAsia" w:ascii="宋体" w:hAnsi="宋体"/>
          <w:color w:val="auto"/>
          <w:szCs w:val="24"/>
          <w:highlight w:val="none"/>
          <w:lang w:eastAsia="zh-CN"/>
        </w:rPr>
        <w:t>服务地点</w:t>
      </w:r>
      <w:r>
        <w:rPr>
          <w:rFonts w:ascii="宋体" w:hAnsi="宋体"/>
          <w:color w:val="auto"/>
          <w:szCs w:val="24"/>
          <w:highlight w:val="none"/>
        </w:rPr>
        <w:t>：</w:t>
      </w:r>
      <w:r>
        <w:rPr>
          <w:rFonts w:hint="eastAsia" w:ascii="宋体" w:hAnsi="宋体"/>
          <w:color w:val="auto"/>
          <w:szCs w:val="24"/>
          <w:highlight w:val="none"/>
        </w:rPr>
        <w:t>采购人</w:t>
      </w:r>
      <w:r>
        <w:rPr>
          <w:rFonts w:ascii="宋体" w:hAnsi="宋体"/>
          <w:color w:val="auto"/>
          <w:szCs w:val="24"/>
          <w:highlight w:val="none"/>
        </w:rPr>
        <w:t>指定地点。</w:t>
      </w:r>
    </w:p>
    <w:p>
      <w:pPr>
        <w:spacing w:line="480" w:lineRule="exact"/>
        <w:ind w:firstLine="422" w:firstLineChars="200"/>
        <w:rPr>
          <w:rFonts w:hint="default"/>
          <w:color w:val="auto"/>
          <w:lang w:val="en-US" w:eastAsia="zh-CN"/>
        </w:rPr>
      </w:pPr>
      <w:r>
        <w:rPr>
          <w:rFonts w:hint="eastAsia" w:ascii="宋体" w:hAnsi="宋体"/>
          <w:b/>
          <w:color w:val="auto"/>
          <w:szCs w:val="24"/>
          <w:highlight w:val="none"/>
        </w:rPr>
        <w:t>二、</w:t>
      </w:r>
      <w:r>
        <w:rPr>
          <w:rFonts w:ascii="宋体" w:hAnsi="宋体"/>
          <w:b/>
          <w:color w:val="auto"/>
          <w:szCs w:val="24"/>
          <w:highlight w:val="none"/>
        </w:rPr>
        <w:t>付款方式：</w:t>
      </w:r>
      <w:r>
        <w:rPr>
          <w:rFonts w:hint="eastAsia" w:ascii="宋体" w:hAnsi="宋体"/>
          <w:b/>
          <w:color w:val="auto"/>
          <w:szCs w:val="24"/>
          <w:highlight w:val="none"/>
          <w:lang w:val="en-US" w:eastAsia="zh-CN"/>
        </w:rPr>
        <w:t>每月月底据实结算</w:t>
      </w:r>
    </w:p>
    <w:p>
      <w:pPr>
        <w:adjustRightInd w:val="0"/>
        <w:spacing w:line="480" w:lineRule="exact"/>
        <w:ind w:firstLine="422" w:firstLineChars="200"/>
        <w:rPr>
          <w:rFonts w:ascii="宋体" w:hAnsi="宋体"/>
          <w:b/>
          <w:color w:val="auto"/>
          <w:szCs w:val="24"/>
          <w:highlight w:val="none"/>
        </w:rPr>
      </w:pPr>
      <w:bookmarkStart w:id="37" w:name="_Toc167714066"/>
      <w:bookmarkStart w:id="38" w:name="_Toc167715263"/>
      <w:bookmarkStart w:id="39" w:name="_Toc167712868"/>
      <w:r>
        <w:rPr>
          <w:rFonts w:hint="eastAsia" w:ascii="宋体" w:hAnsi="宋体"/>
          <w:b/>
          <w:color w:val="auto"/>
          <w:szCs w:val="24"/>
          <w:highlight w:val="none"/>
          <w:lang w:val="en-US" w:eastAsia="zh-CN"/>
        </w:rPr>
        <w:t>三</w:t>
      </w:r>
      <w:r>
        <w:rPr>
          <w:rFonts w:ascii="宋体" w:hAnsi="宋体"/>
          <w:b/>
          <w:color w:val="auto"/>
          <w:szCs w:val="24"/>
          <w:highlight w:val="none"/>
        </w:rPr>
        <w:t>、合同实施：</w:t>
      </w:r>
      <w:bookmarkEnd w:id="37"/>
      <w:bookmarkEnd w:id="38"/>
      <w:bookmarkEnd w:id="39"/>
      <w:bookmarkStart w:id="40" w:name="_Toc167714067"/>
      <w:bookmarkStart w:id="41" w:name="_Toc167715264"/>
      <w:bookmarkStart w:id="42" w:name="_Toc167712869"/>
    </w:p>
    <w:p>
      <w:pPr>
        <w:adjustRightInd w:val="0"/>
        <w:spacing w:line="480" w:lineRule="exact"/>
        <w:ind w:firstLine="420" w:firstLineChars="200"/>
        <w:rPr>
          <w:rFonts w:ascii="宋体" w:hAnsi="宋体"/>
          <w:color w:val="auto"/>
          <w:szCs w:val="24"/>
          <w:highlight w:val="none"/>
        </w:rPr>
      </w:pPr>
      <w:r>
        <w:rPr>
          <w:rFonts w:ascii="宋体" w:hAnsi="宋体"/>
          <w:color w:val="auto"/>
          <w:szCs w:val="24"/>
          <w:highlight w:val="none"/>
        </w:rPr>
        <w:t xml:space="preserve">1 </w:t>
      </w:r>
      <w:bookmarkEnd w:id="40"/>
      <w:bookmarkEnd w:id="41"/>
      <w:bookmarkEnd w:id="42"/>
      <w:r>
        <w:rPr>
          <w:rFonts w:ascii="宋体" w:hAnsi="宋体"/>
          <w:color w:val="auto"/>
          <w:szCs w:val="24"/>
          <w:highlight w:val="none"/>
        </w:rPr>
        <w:t>、中标单位应在合同签订后7个日历日内安排人员（项目组成人员简历表所列）与</w:t>
      </w:r>
      <w:r>
        <w:rPr>
          <w:rFonts w:hint="eastAsia" w:ascii="宋体" w:hAnsi="宋体"/>
          <w:color w:val="auto"/>
          <w:szCs w:val="24"/>
          <w:highlight w:val="none"/>
          <w:lang w:val="en-US" w:eastAsia="zh-CN"/>
        </w:rPr>
        <w:t>采购人</w:t>
      </w:r>
      <w:r>
        <w:rPr>
          <w:rFonts w:ascii="宋体" w:hAnsi="宋体"/>
          <w:color w:val="auto"/>
          <w:szCs w:val="24"/>
          <w:highlight w:val="none"/>
        </w:rPr>
        <w:t>就</w:t>
      </w:r>
      <w:r>
        <w:rPr>
          <w:rFonts w:hint="eastAsia" w:ascii="宋体" w:hAnsi="宋体"/>
          <w:color w:val="auto"/>
          <w:szCs w:val="24"/>
          <w:highlight w:val="none"/>
          <w:lang w:val="en-US" w:eastAsia="zh-CN"/>
        </w:rPr>
        <w:t>项目实施</w:t>
      </w:r>
      <w:r>
        <w:rPr>
          <w:rFonts w:ascii="宋体" w:hAnsi="宋体"/>
          <w:color w:val="auto"/>
          <w:szCs w:val="24"/>
          <w:highlight w:val="none"/>
        </w:rPr>
        <w:t>进行安排、部署。</w:t>
      </w:r>
      <w:bookmarkStart w:id="43" w:name="_Toc167712870"/>
      <w:bookmarkStart w:id="44" w:name="_Toc167715265"/>
      <w:bookmarkStart w:id="45" w:name="_Toc167714068"/>
    </w:p>
    <w:p>
      <w:pPr>
        <w:adjustRightInd w:val="0"/>
        <w:spacing w:line="480" w:lineRule="exact"/>
        <w:ind w:firstLine="420" w:firstLineChars="200"/>
        <w:rPr>
          <w:rFonts w:ascii="宋体" w:hAnsi="宋体"/>
          <w:color w:val="auto"/>
          <w:szCs w:val="24"/>
          <w:highlight w:val="none"/>
        </w:rPr>
      </w:pPr>
      <w:r>
        <w:rPr>
          <w:rFonts w:ascii="宋体" w:hAnsi="宋体"/>
          <w:color w:val="auto"/>
          <w:szCs w:val="24"/>
          <w:highlight w:val="none"/>
        </w:rPr>
        <w:t>2</w:t>
      </w:r>
      <w:bookmarkEnd w:id="43"/>
      <w:bookmarkEnd w:id="44"/>
      <w:bookmarkEnd w:id="45"/>
      <w:r>
        <w:rPr>
          <w:rFonts w:ascii="宋体" w:hAnsi="宋体"/>
          <w:color w:val="auto"/>
          <w:szCs w:val="24"/>
          <w:highlight w:val="none"/>
        </w:rPr>
        <w:t xml:space="preserve"> 、若未能在</w:t>
      </w:r>
      <w:r>
        <w:rPr>
          <w:rFonts w:hint="eastAsia" w:ascii="宋体" w:hAnsi="宋体"/>
          <w:color w:val="auto"/>
          <w:szCs w:val="24"/>
          <w:highlight w:val="none"/>
          <w:lang w:val="en-US" w:eastAsia="zh-CN"/>
        </w:rPr>
        <w:t>服务</w:t>
      </w:r>
      <w:r>
        <w:rPr>
          <w:rFonts w:ascii="宋体" w:hAnsi="宋体"/>
          <w:color w:val="auto"/>
          <w:szCs w:val="24"/>
          <w:highlight w:val="none"/>
        </w:rPr>
        <w:t>期内完成合同规定的义务，由此对采购</w:t>
      </w:r>
      <w:r>
        <w:rPr>
          <w:rFonts w:hint="eastAsia" w:ascii="宋体" w:hAnsi="宋体"/>
          <w:color w:val="auto"/>
          <w:szCs w:val="24"/>
          <w:highlight w:val="none"/>
        </w:rPr>
        <w:t>方</w:t>
      </w:r>
      <w:r>
        <w:rPr>
          <w:rFonts w:ascii="宋体" w:hAnsi="宋体"/>
          <w:color w:val="auto"/>
          <w:szCs w:val="24"/>
          <w:highlight w:val="none"/>
        </w:rPr>
        <w:t>造成的延误和一切损失，由中标单位承担和赔偿。</w:t>
      </w:r>
    </w:p>
    <w:p>
      <w:pPr>
        <w:adjustRightInd w:val="0"/>
        <w:spacing w:line="480" w:lineRule="exact"/>
        <w:ind w:firstLine="422" w:firstLineChars="200"/>
        <w:rPr>
          <w:rFonts w:ascii="宋体" w:hAnsi="宋体"/>
          <w:b/>
          <w:color w:val="auto"/>
          <w:szCs w:val="24"/>
          <w:highlight w:val="none"/>
        </w:rPr>
      </w:pPr>
      <w:r>
        <w:rPr>
          <w:rFonts w:hint="eastAsia" w:ascii="宋体" w:hAnsi="宋体"/>
          <w:b/>
          <w:color w:val="auto"/>
          <w:szCs w:val="24"/>
          <w:highlight w:val="none"/>
          <w:lang w:val="en-US" w:eastAsia="zh-CN"/>
        </w:rPr>
        <w:t>四</w:t>
      </w:r>
      <w:r>
        <w:rPr>
          <w:rFonts w:ascii="宋体" w:hAnsi="宋体"/>
          <w:b/>
          <w:color w:val="auto"/>
          <w:szCs w:val="24"/>
          <w:highlight w:val="none"/>
        </w:rPr>
        <w:t>、违约责任：</w:t>
      </w:r>
    </w:p>
    <w:p>
      <w:pPr>
        <w:adjustRightInd w:val="0"/>
        <w:spacing w:line="480" w:lineRule="exact"/>
        <w:ind w:firstLine="420" w:firstLineChars="200"/>
        <w:rPr>
          <w:rFonts w:ascii="宋体" w:hAnsi="宋体"/>
          <w:color w:val="auto"/>
          <w:szCs w:val="24"/>
          <w:highlight w:val="none"/>
        </w:rPr>
      </w:pPr>
      <w:r>
        <w:rPr>
          <w:rFonts w:ascii="宋体" w:hAnsi="宋体"/>
          <w:color w:val="auto"/>
          <w:szCs w:val="24"/>
          <w:highlight w:val="none"/>
        </w:rPr>
        <w:t>1、按《中华人民共和国</w:t>
      </w:r>
      <w:r>
        <w:rPr>
          <w:rFonts w:hint="eastAsia" w:ascii="宋体" w:hAnsi="宋体"/>
          <w:color w:val="auto"/>
          <w:szCs w:val="24"/>
          <w:highlight w:val="none"/>
          <w:lang w:val="en-US" w:eastAsia="zh-CN"/>
        </w:rPr>
        <w:t>民法典</w:t>
      </w:r>
      <w:r>
        <w:rPr>
          <w:rFonts w:ascii="宋体" w:hAnsi="宋体"/>
          <w:color w:val="auto"/>
          <w:szCs w:val="24"/>
          <w:highlight w:val="none"/>
        </w:rPr>
        <w:t>》中的相关条款执行。</w:t>
      </w:r>
    </w:p>
    <w:p>
      <w:pPr>
        <w:adjustRightInd w:val="0"/>
        <w:spacing w:line="480" w:lineRule="exact"/>
        <w:ind w:firstLine="420" w:firstLineChars="200"/>
        <w:rPr>
          <w:rFonts w:ascii="宋体" w:hAnsi="宋体"/>
          <w:color w:val="auto"/>
          <w:szCs w:val="24"/>
          <w:highlight w:val="none"/>
        </w:rPr>
      </w:pPr>
      <w:r>
        <w:rPr>
          <w:rFonts w:ascii="宋体" w:hAnsi="宋体"/>
          <w:color w:val="auto"/>
          <w:szCs w:val="24"/>
          <w:highlight w:val="none"/>
        </w:rPr>
        <w:t>2、未按合同要求提供</w:t>
      </w:r>
      <w:r>
        <w:rPr>
          <w:rFonts w:hint="eastAsia" w:ascii="宋体" w:hAnsi="宋体"/>
          <w:color w:val="auto"/>
          <w:szCs w:val="24"/>
          <w:highlight w:val="none"/>
          <w:lang w:val="en-US" w:eastAsia="zh-CN"/>
        </w:rPr>
        <w:t>服务</w:t>
      </w:r>
      <w:r>
        <w:rPr>
          <w:rFonts w:ascii="宋体" w:hAnsi="宋体"/>
          <w:color w:val="auto"/>
          <w:szCs w:val="24"/>
          <w:highlight w:val="none"/>
        </w:rPr>
        <w:t>质量不能满足技术要求，采购</w:t>
      </w:r>
      <w:r>
        <w:rPr>
          <w:rFonts w:hint="eastAsia" w:ascii="宋体" w:hAnsi="宋体"/>
          <w:color w:val="auto"/>
          <w:szCs w:val="24"/>
          <w:highlight w:val="none"/>
        </w:rPr>
        <w:t>方</w:t>
      </w:r>
      <w:r>
        <w:rPr>
          <w:rFonts w:ascii="宋体" w:hAnsi="宋体"/>
          <w:color w:val="auto"/>
          <w:szCs w:val="24"/>
          <w:highlight w:val="none"/>
        </w:rPr>
        <w:t>有权终止合同，并对</w:t>
      </w:r>
      <w:r>
        <w:rPr>
          <w:rFonts w:hint="eastAsia" w:ascii="宋体" w:hAnsi="宋体"/>
          <w:color w:val="auto"/>
          <w:szCs w:val="24"/>
          <w:highlight w:val="none"/>
          <w:lang w:val="en-US" w:eastAsia="zh-CN"/>
        </w:rPr>
        <w:t>中标单位</w:t>
      </w:r>
      <w:r>
        <w:rPr>
          <w:rFonts w:ascii="宋体" w:hAnsi="宋体"/>
          <w:color w:val="auto"/>
          <w:szCs w:val="24"/>
          <w:highlight w:val="none"/>
        </w:rPr>
        <w:t>违约行为进行追究，同时按《政府采购法》的有关规定进行处罚。</w:t>
      </w:r>
    </w:p>
    <w:p>
      <w:pPr>
        <w:adjustRightInd w:val="0"/>
        <w:spacing w:line="480" w:lineRule="exact"/>
        <w:ind w:firstLine="422" w:firstLineChars="200"/>
        <w:rPr>
          <w:rFonts w:ascii="宋体" w:hAnsi="宋体"/>
          <w:b/>
          <w:color w:val="auto"/>
          <w:sz w:val="44"/>
          <w:highlight w:val="none"/>
        </w:rPr>
      </w:pPr>
      <w:r>
        <w:rPr>
          <w:rFonts w:hint="eastAsia" w:ascii="宋体" w:hAnsi="宋体"/>
          <w:b/>
          <w:color w:val="auto"/>
          <w:szCs w:val="24"/>
          <w:highlight w:val="none"/>
        </w:rPr>
        <w:t>注：商务要求为实质性要求，不得负偏离。</w:t>
      </w:r>
    </w:p>
    <w:p>
      <w:pPr>
        <w:pStyle w:val="6"/>
        <w:rPr>
          <w:color w:val="auto"/>
          <w:highlight w:val="none"/>
        </w:rPr>
      </w:pPr>
    </w:p>
    <w:p>
      <w:pPr>
        <w:widowControl/>
        <w:jc w:val="left"/>
        <w:rPr>
          <w:rFonts w:ascii="宋体" w:hAnsi="宋体"/>
          <w:b/>
          <w:bCs/>
          <w:color w:val="auto"/>
          <w:kern w:val="44"/>
          <w:sz w:val="36"/>
          <w:szCs w:val="44"/>
          <w:highlight w:val="none"/>
        </w:rPr>
      </w:pPr>
      <w:r>
        <w:rPr>
          <w:rFonts w:ascii="宋体" w:hAnsi="宋体"/>
          <w:color w:val="auto"/>
          <w:highlight w:val="none"/>
        </w:rPr>
        <w:br w:type="page"/>
      </w:r>
    </w:p>
    <w:p>
      <w:pPr>
        <w:rPr>
          <w:rFonts w:hint="eastAsia"/>
        </w:rPr>
      </w:pPr>
    </w:p>
    <w:p>
      <w:pPr>
        <w:pStyle w:val="3"/>
        <w:keepLines w:val="0"/>
        <w:pageBreakBefore w:val="0"/>
        <w:kinsoku/>
        <w:wordWrap/>
        <w:overflowPunct/>
        <w:topLinePunct w:val="0"/>
        <w:bidi w:val="0"/>
        <w:spacing w:line="400" w:lineRule="exact"/>
        <w:jc w:val="center"/>
        <w:rPr>
          <w:rFonts w:hint="eastAsia"/>
        </w:rPr>
      </w:pPr>
      <w:bookmarkStart w:id="46" w:name="_Toc15323710"/>
      <w:bookmarkStart w:id="47" w:name="_Toc28043"/>
      <w:bookmarkStart w:id="48" w:name="_Toc27495_WPSOffice_Level1"/>
      <w:bookmarkStart w:id="49" w:name="_Toc19772_WPSOffice_Level1"/>
      <w:r>
        <w:t>第</w:t>
      </w:r>
      <w:r>
        <w:rPr>
          <w:rFonts w:hint="eastAsia"/>
          <w:lang w:val="en-US" w:eastAsia="zh-CN"/>
        </w:rPr>
        <w:t>五</w:t>
      </w:r>
      <w:r>
        <w:rPr>
          <w:rFonts w:hint="eastAsia"/>
        </w:rPr>
        <w:t>章</w:t>
      </w:r>
      <w:r>
        <w:t xml:space="preserve">  </w:t>
      </w:r>
      <w:r>
        <w:rPr>
          <w:rFonts w:hint="eastAsia"/>
        </w:rPr>
        <w:t>拟签订的</w:t>
      </w:r>
      <w:r>
        <w:t>合同</w:t>
      </w:r>
      <w:r>
        <w:rPr>
          <w:rFonts w:hint="eastAsia"/>
        </w:rPr>
        <w:t>文本</w:t>
      </w:r>
      <w:bookmarkEnd w:id="46"/>
      <w:bookmarkEnd w:id="47"/>
      <w:bookmarkEnd w:id="48"/>
      <w:bookmarkEnd w:id="49"/>
    </w:p>
    <w:p>
      <w:pPr>
        <w:pStyle w:val="6"/>
        <w:keepLines w:val="0"/>
        <w:pageBreakBefore w:val="0"/>
        <w:kinsoku/>
        <w:wordWrap/>
        <w:overflowPunct/>
        <w:topLinePunct w:val="0"/>
        <w:bidi w:val="0"/>
        <w:spacing w:line="400" w:lineRule="exact"/>
        <w:rPr>
          <w:rFonts w:hint="eastAsia"/>
        </w:rPr>
      </w:pPr>
      <w:r>
        <w:rPr>
          <w:rFonts w:hint="eastAsia"/>
        </w:rPr>
        <w:t>采购项目编号：</w:t>
      </w:r>
    </w:p>
    <w:p>
      <w:pPr>
        <w:pStyle w:val="6"/>
        <w:keepLines w:val="0"/>
        <w:pageBreakBefore w:val="0"/>
        <w:kinsoku/>
        <w:wordWrap/>
        <w:overflowPunct/>
        <w:topLinePunct w:val="0"/>
        <w:bidi w:val="0"/>
        <w:spacing w:line="400" w:lineRule="exact"/>
        <w:rPr>
          <w:rFonts w:hint="eastAsia"/>
        </w:rPr>
      </w:pPr>
      <w:r>
        <w:rPr>
          <w:rFonts w:hint="eastAsia"/>
        </w:rPr>
        <w:t>甲方：大荔县教育局</w:t>
      </w:r>
    </w:p>
    <w:p>
      <w:pPr>
        <w:pStyle w:val="6"/>
        <w:keepLines w:val="0"/>
        <w:pageBreakBefore w:val="0"/>
        <w:kinsoku/>
        <w:wordWrap/>
        <w:overflowPunct/>
        <w:topLinePunct w:val="0"/>
        <w:bidi w:val="0"/>
        <w:spacing w:line="400" w:lineRule="exact"/>
        <w:rPr>
          <w:rFonts w:hint="eastAsia"/>
        </w:rPr>
      </w:pPr>
      <w:r>
        <w:rPr>
          <w:rFonts w:hint="eastAsia"/>
        </w:rPr>
        <w:t>乙方：</w:t>
      </w:r>
    </w:p>
    <w:p>
      <w:pPr>
        <w:pStyle w:val="6"/>
        <w:keepLines w:val="0"/>
        <w:pageBreakBefore w:val="0"/>
        <w:kinsoku/>
        <w:wordWrap/>
        <w:overflowPunct/>
        <w:topLinePunct w:val="0"/>
        <w:bidi w:val="0"/>
        <w:spacing w:line="400" w:lineRule="exact"/>
        <w:rPr>
          <w:rFonts w:hint="eastAsia"/>
        </w:rPr>
      </w:pPr>
      <w:r>
        <w:rPr>
          <w:rFonts w:hint="eastAsia"/>
        </w:rPr>
        <w:t>为了确保学生营养早餐的顺利实施，本着“诚实守信、友好合作、保证质量、安全卫生”的原则，根据《中华人民共和国政府采购法》及实施条例、《中华人民共和国</w:t>
      </w:r>
      <w:r>
        <w:rPr>
          <w:rFonts w:hint="eastAsia"/>
          <w:lang w:eastAsia="zh-CN"/>
        </w:rPr>
        <w:t>民法典</w:t>
      </w:r>
      <w:r>
        <w:rPr>
          <w:rFonts w:hint="eastAsia"/>
        </w:rPr>
        <w:t>》和</w:t>
      </w:r>
      <w:r>
        <w:rPr>
          <w:rFonts w:hint="eastAsia"/>
          <w:u w:val="single"/>
          <w:lang w:val="en-US" w:eastAsia="zh-CN"/>
        </w:rPr>
        <w:t xml:space="preserve"> 项目名称            </w:t>
      </w:r>
      <w:r>
        <w:rPr>
          <w:rFonts w:hint="eastAsia"/>
        </w:rPr>
        <w:t>（采购项目编号：</w:t>
      </w:r>
      <w:r>
        <w:rPr>
          <w:rFonts w:hint="eastAsia"/>
          <w:u w:val="single"/>
          <w:lang w:val="en-US" w:eastAsia="zh-CN"/>
        </w:rPr>
        <w:t xml:space="preserve">       </w:t>
      </w:r>
      <w:r>
        <w:rPr>
          <w:rFonts w:hint="eastAsia"/>
        </w:rPr>
        <w:t>）有关规定，为确保甲方采购项目的顺利实施，甲、乙双方在平等自愿原则下签订本合同，并共同遵守如下条款：</w:t>
      </w:r>
    </w:p>
    <w:p>
      <w:pPr>
        <w:pStyle w:val="6"/>
        <w:keepLines w:val="0"/>
        <w:pageBreakBefore w:val="0"/>
        <w:kinsoku/>
        <w:wordWrap/>
        <w:overflowPunct/>
        <w:topLinePunct w:val="0"/>
        <w:bidi w:val="0"/>
        <w:spacing w:line="400" w:lineRule="exact"/>
        <w:rPr>
          <w:rFonts w:hint="eastAsia"/>
        </w:rPr>
      </w:pPr>
      <w:r>
        <w:rPr>
          <w:rFonts w:hint="eastAsia"/>
        </w:rPr>
        <w:t>第一条  甲方权利及责任</w:t>
      </w:r>
    </w:p>
    <w:p>
      <w:pPr>
        <w:pStyle w:val="6"/>
        <w:keepLines w:val="0"/>
        <w:pageBreakBefore w:val="0"/>
        <w:kinsoku/>
        <w:wordWrap/>
        <w:overflowPunct/>
        <w:topLinePunct w:val="0"/>
        <w:bidi w:val="0"/>
        <w:spacing w:line="400" w:lineRule="exact"/>
        <w:rPr>
          <w:rFonts w:hint="eastAsia"/>
        </w:rPr>
      </w:pPr>
      <w:r>
        <w:rPr>
          <w:rFonts w:hint="eastAsia"/>
        </w:rPr>
        <w:t>1.甲方向乙方提供供餐起止时间、供餐学校及具体人数。</w:t>
      </w:r>
    </w:p>
    <w:p>
      <w:pPr>
        <w:pStyle w:val="6"/>
        <w:keepLines w:val="0"/>
        <w:pageBreakBefore w:val="0"/>
        <w:kinsoku/>
        <w:wordWrap/>
        <w:overflowPunct/>
        <w:topLinePunct w:val="0"/>
        <w:bidi w:val="0"/>
        <w:spacing w:line="400" w:lineRule="exact"/>
        <w:rPr>
          <w:rFonts w:hint="eastAsia"/>
        </w:rPr>
      </w:pPr>
      <w:r>
        <w:rPr>
          <w:rFonts w:hint="eastAsia"/>
        </w:rPr>
        <w:t>2.甲方负责协调乙方与学校的供应关系。</w:t>
      </w:r>
    </w:p>
    <w:p>
      <w:pPr>
        <w:pStyle w:val="6"/>
        <w:keepLines w:val="0"/>
        <w:pageBreakBefore w:val="0"/>
        <w:kinsoku/>
        <w:wordWrap/>
        <w:overflowPunct/>
        <w:topLinePunct w:val="0"/>
        <w:bidi w:val="0"/>
        <w:spacing w:line="400" w:lineRule="exact"/>
        <w:rPr>
          <w:rFonts w:hint="eastAsia"/>
        </w:rPr>
      </w:pPr>
      <w:r>
        <w:rPr>
          <w:rFonts w:hint="eastAsia"/>
        </w:rPr>
        <w:t>3.甲方有权监督乙方营养早餐食品质量及规格标准，若发现质量和规格不符，甲方有权进行处理。</w:t>
      </w:r>
    </w:p>
    <w:p>
      <w:pPr>
        <w:pStyle w:val="6"/>
        <w:keepLines w:val="0"/>
        <w:pageBreakBefore w:val="0"/>
        <w:kinsoku/>
        <w:wordWrap/>
        <w:overflowPunct/>
        <w:topLinePunct w:val="0"/>
        <w:bidi w:val="0"/>
        <w:spacing w:line="400" w:lineRule="exact"/>
        <w:rPr>
          <w:rFonts w:hint="eastAsia"/>
        </w:rPr>
      </w:pPr>
      <w:r>
        <w:rPr>
          <w:rFonts w:hint="eastAsia"/>
        </w:rPr>
        <w:t>4.甲方有权监督乙方营养早餐生产、供应服务全过程。</w:t>
      </w:r>
    </w:p>
    <w:p>
      <w:pPr>
        <w:pStyle w:val="6"/>
        <w:keepLines w:val="0"/>
        <w:pageBreakBefore w:val="0"/>
        <w:kinsoku/>
        <w:wordWrap/>
        <w:overflowPunct/>
        <w:topLinePunct w:val="0"/>
        <w:bidi w:val="0"/>
        <w:spacing w:line="400" w:lineRule="exact"/>
        <w:rPr>
          <w:rFonts w:hint="eastAsia"/>
        </w:rPr>
      </w:pPr>
      <w:r>
        <w:rPr>
          <w:rFonts w:hint="eastAsia"/>
        </w:rPr>
        <w:t>5.甲方有权随时对乙方所供产品进行检查、检测，检测费用由乙方承担。</w:t>
      </w:r>
    </w:p>
    <w:p>
      <w:pPr>
        <w:pStyle w:val="6"/>
        <w:keepLines w:val="0"/>
        <w:pageBreakBefore w:val="0"/>
        <w:kinsoku/>
        <w:wordWrap/>
        <w:overflowPunct/>
        <w:topLinePunct w:val="0"/>
        <w:bidi w:val="0"/>
        <w:spacing w:line="400" w:lineRule="exact"/>
        <w:rPr>
          <w:rFonts w:hint="eastAsia"/>
        </w:rPr>
      </w:pPr>
      <w:r>
        <w:rPr>
          <w:rFonts w:hint="eastAsia"/>
        </w:rPr>
        <w:t>6.甲方每学期对供餐学校进行至少两次问卷调查，若有一半学生对供应情况不满意，甲方有权终止合同，乙方必须无条件服从。</w:t>
      </w:r>
    </w:p>
    <w:p>
      <w:pPr>
        <w:pStyle w:val="6"/>
        <w:keepLines w:val="0"/>
        <w:pageBreakBefore w:val="0"/>
        <w:kinsoku/>
        <w:wordWrap/>
        <w:overflowPunct/>
        <w:topLinePunct w:val="0"/>
        <w:bidi w:val="0"/>
        <w:spacing w:line="400" w:lineRule="exact"/>
        <w:rPr>
          <w:rFonts w:hint="eastAsia"/>
        </w:rPr>
      </w:pPr>
      <w:r>
        <w:rPr>
          <w:rFonts w:hint="eastAsia"/>
        </w:rPr>
        <w:t>第二条  乙方权利及责任</w:t>
      </w:r>
    </w:p>
    <w:p>
      <w:pPr>
        <w:pStyle w:val="6"/>
        <w:keepLines w:val="0"/>
        <w:pageBreakBefore w:val="0"/>
        <w:kinsoku/>
        <w:wordWrap/>
        <w:overflowPunct/>
        <w:topLinePunct w:val="0"/>
        <w:bidi w:val="0"/>
        <w:spacing w:line="400" w:lineRule="exact"/>
        <w:rPr>
          <w:rFonts w:hint="eastAsia"/>
        </w:rPr>
      </w:pPr>
      <w:r>
        <w:rPr>
          <w:rFonts w:hint="eastAsia"/>
        </w:rPr>
        <w:t>1. 乙方向甲方提供营业执照、食品经营许可证等有效证件。</w:t>
      </w:r>
    </w:p>
    <w:p>
      <w:pPr>
        <w:pStyle w:val="6"/>
        <w:keepLines w:val="0"/>
        <w:pageBreakBefore w:val="0"/>
        <w:kinsoku/>
        <w:wordWrap/>
        <w:overflowPunct/>
        <w:topLinePunct w:val="0"/>
        <w:bidi w:val="0"/>
        <w:spacing w:line="400" w:lineRule="exact"/>
        <w:rPr>
          <w:rFonts w:hint="eastAsia"/>
        </w:rPr>
      </w:pPr>
      <w:r>
        <w:rPr>
          <w:rFonts w:hint="eastAsia"/>
        </w:rPr>
        <w:t>2. 乙方供应的所有营养早餐食品，必须符合国家食品安全标准，不得配送变质、过期、污染、破损等不合格产品，因产品质量问题造成的一切不良后果，均由乙方负责。如因学生食用乙方加工的食品发生食物中毒或其它食源性疾病，由乙方承担全部责任和因此引发的一切损失，并终止供应合同，后果严重的按照有关法律、法规进行处理。</w:t>
      </w:r>
    </w:p>
    <w:p>
      <w:pPr>
        <w:pStyle w:val="6"/>
        <w:keepLines w:val="0"/>
        <w:pageBreakBefore w:val="0"/>
        <w:kinsoku/>
        <w:wordWrap/>
        <w:overflowPunct/>
        <w:topLinePunct w:val="0"/>
        <w:bidi w:val="0"/>
        <w:spacing w:line="400" w:lineRule="exact"/>
        <w:rPr>
          <w:rFonts w:hint="eastAsia"/>
        </w:rPr>
      </w:pPr>
      <w:r>
        <w:rPr>
          <w:rFonts w:hint="eastAsia"/>
        </w:rPr>
        <w:t>3. 乙方供应的营养早餐规格按照投标文件营养餐食谱规格严格执行，不得低质少量。</w:t>
      </w:r>
    </w:p>
    <w:p>
      <w:pPr>
        <w:pStyle w:val="6"/>
        <w:keepLines w:val="0"/>
        <w:pageBreakBefore w:val="0"/>
        <w:kinsoku/>
        <w:wordWrap/>
        <w:overflowPunct/>
        <w:topLinePunct w:val="0"/>
        <w:bidi w:val="0"/>
        <w:spacing w:line="400" w:lineRule="exact"/>
        <w:rPr>
          <w:rFonts w:hint="eastAsia"/>
        </w:rPr>
      </w:pPr>
      <w:r>
        <w:rPr>
          <w:rFonts w:hint="eastAsia"/>
        </w:rPr>
        <w:t>4. 乙方应对每批次产品在配送前安排专人试尝，按标准留取样品。必须接受食药品监管等部门的监督检查。</w:t>
      </w:r>
    </w:p>
    <w:p>
      <w:pPr>
        <w:pStyle w:val="6"/>
        <w:keepLines w:val="0"/>
        <w:pageBreakBefore w:val="0"/>
        <w:kinsoku/>
        <w:wordWrap/>
        <w:overflowPunct/>
        <w:topLinePunct w:val="0"/>
        <w:bidi w:val="0"/>
        <w:spacing w:line="400" w:lineRule="exact"/>
        <w:rPr>
          <w:rFonts w:hint="eastAsia"/>
        </w:rPr>
      </w:pPr>
      <w:r>
        <w:rPr>
          <w:rFonts w:hint="eastAsia"/>
        </w:rPr>
        <w:t>5. 乙方必须建立科学完善的配送制度和配送流程，按照甲方要求将营养早餐按时、保质、保量配送到指定学校。</w:t>
      </w:r>
    </w:p>
    <w:p>
      <w:pPr>
        <w:pStyle w:val="6"/>
        <w:keepLines w:val="0"/>
        <w:pageBreakBefore w:val="0"/>
        <w:kinsoku/>
        <w:wordWrap/>
        <w:overflowPunct/>
        <w:topLinePunct w:val="0"/>
        <w:bidi w:val="0"/>
        <w:spacing w:line="400" w:lineRule="exact"/>
        <w:rPr>
          <w:rFonts w:hint="eastAsia"/>
        </w:rPr>
      </w:pPr>
      <w:r>
        <w:rPr>
          <w:rFonts w:hint="eastAsia"/>
        </w:rPr>
        <w:t>6.乙方必须按照晚上加工，早晨食用的原则配送营养早餐。</w:t>
      </w:r>
    </w:p>
    <w:p>
      <w:pPr>
        <w:pStyle w:val="6"/>
        <w:keepLines w:val="0"/>
        <w:pageBreakBefore w:val="0"/>
        <w:kinsoku/>
        <w:wordWrap/>
        <w:overflowPunct/>
        <w:topLinePunct w:val="0"/>
        <w:bidi w:val="0"/>
        <w:spacing w:line="400" w:lineRule="exact"/>
        <w:rPr>
          <w:rFonts w:hint="eastAsia"/>
        </w:rPr>
      </w:pPr>
      <w:r>
        <w:rPr>
          <w:rFonts w:hint="eastAsia"/>
        </w:rPr>
        <w:t>第三条  营养餐标准及付款方式</w:t>
      </w:r>
    </w:p>
    <w:p>
      <w:pPr>
        <w:pStyle w:val="6"/>
        <w:keepLines w:val="0"/>
        <w:pageBreakBefore w:val="0"/>
        <w:kinsoku/>
        <w:wordWrap/>
        <w:overflowPunct/>
        <w:topLinePunct w:val="0"/>
        <w:bidi w:val="0"/>
        <w:spacing w:line="400" w:lineRule="exact"/>
        <w:rPr>
          <w:rFonts w:hint="eastAsia"/>
        </w:rPr>
      </w:pPr>
      <w:r>
        <w:rPr>
          <w:rFonts w:hint="eastAsia"/>
        </w:rPr>
        <w:t>1</w:t>
      </w:r>
      <w:r>
        <w:rPr>
          <w:rFonts w:hint="eastAsia"/>
          <w:lang w:val="en-US" w:eastAsia="zh-CN"/>
        </w:rPr>
        <w:t>.</w:t>
      </w:r>
      <w:r>
        <w:rPr>
          <w:rFonts w:hint="eastAsia"/>
        </w:rPr>
        <w:t>供餐标准：每生每天</w:t>
      </w:r>
      <w:r>
        <w:rPr>
          <w:rFonts w:hint="eastAsia"/>
          <w:lang w:val="en-US" w:eastAsia="zh-CN"/>
        </w:rPr>
        <w:t>5</w:t>
      </w:r>
      <w:r>
        <w:rPr>
          <w:rFonts w:hint="eastAsia"/>
        </w:rPr>
        <w:t>元，每周五前由营养餐办公室制定供餐</w:t>
      </w:r>
      <w:r>
        <w:rPr>
          <w:rFonts w:hint="eastAsia"/>
          <w:lang w:val="en-US" w:eastAsia="zh-CN"/>
        </w:rPr>
        <w:t>食谱（参考）</w:t>
      </w:r>
      <w:r>
        <w:rPr>
          <w:rFonts w:hint="eastAsia"/>
        </w:rPr>
        <w:t>通知供餐企业和供应学校。</w:t>
      </w:r>
    </w:p>
    <w:p>
      <w:pPr>
        <w:pStyle w:val="6"/>
        <w:keepLines w:val="0"/>
        <w:pageBreakBefore w:val="0"/>
        <w:kinsoku/>
        <w:wordWrap/>
        <w:overflowPunct/>
        <w:topLinePunct w:val="0"/>
        <w:bidi w:val="0"/>
        <w:spacing w:line="400" w:lineRule="exact"/>
        <w:rPr>
          <w:rFonts w:hint="eastAsia"/>
        </w:rPr>
      </w:pPr>
      <w:r>
        <w:rPr>
          <w:rFonts w:hint="eastAsia"/>
        </w:rPr>
        <w:t>2</w:t>
      </w:r>
      <w:r>
        <w:rPr>
          <w:rFonts w:hint="eastAsia"/>
          <w:lang w:val="en-US" w:eastAsia="zh-CN"/>
        </w:rPr>
        <w:t>.</w:t>
      </w:r>
      <w:r>
        <w:rPr>
          <w:rFonts w:hint="eastAsia"/>
        </w:rPr>
        <w:t>供应期限：202</w:t>
      </w:r>
      <w:r>
        <w:rPr>
          <w:rFonts w:hint="eastAsia"/>
          <w:lang w:val="en-US" w:eastAsia="zh-CN"/>
        </w:rPr>
        <w:t>2</w:t>
      </w:r>
      <w:r>
        <w:rPr>
          <w:rFonts w:hint="eastAsia"/>
        </w:rPr>
        <w:t>年</w:t>
      </w:r>
      <w:r>
        <w:rPr>
          <w:rFonts w:hint="eastAsia"/>
          <w:lang w:val="en-US" w:eastAsia="zh-CN"/>
        </w:rPr>
        <w:t>9</w:t>
      </w:r>
      <w:r>
        <w:rPr>
          <w:rFonts w:hint="eastAsia"/>
        </w:rPr>
        <w:t>月至202</w:t>
      </w:r>
      <w:r>
        <w:rPr>
          <w:rFonts w:hint="eastAsia"/>
          <w:lang w:val="en-US" w:eastAsia="zh-CN"/>
        </w:rPr>
        <w:t>3</w:t>
      </w:r>
      <w:r>
        <w:rPr>
          <w:rFonts w:hint="eastAsia"/>
        </w:rPr>
        <w:t>年7月（节假日除外，具体天数以学生在校时间为准）。</w:t>
      </w:r>
    </w:p>
    <w:p>
      <w:pPr>
        <w:pStyle w:val="6"/>
        <w:keepLines w:val="0"/>
        <w:pageBreakBefore w:val="0"/>
        <w:kinsoku/>
        <w:wordWrap/>
        <w:overflowPunct/>
        <w:topLinePunct w:val="0"/>
        <w:bidi w:val="0"/>
        <w:spacing w:line="400" w:lineRule="exact"/>
        <w:rPr>
          <w:rFonts w:hint="eastAsia"/>
        </w:rPr>
      </w:pPr>
      <w:r>
        <w:rPr>
          <w:rFonts w:hint="eastAsia"/>
        </w:rPr>
        <w:t>3</w:t>
      </w:r>
      <w:r>
        <w:rPr>
          <w:rFonts w:hint="eastAsia"/>
          <w:lang w:val="en-US" w:eastAsia="zh-CN"/>
        </w:rPr>
        <w:t>.</w:t>
      </w:r>
      <w:r>
        <w:rPr>
          <w:rFonts w:hint="eastAsia"/>
        </w:rPr>
        <w:t>供餐人数：由营养餐办公室安排，以每月实际供应人数为准。</w:t>
      </w:r>
    </w:p>
    <w:p>
      <w:pPr>
        <w:pStyle w:val="6"/>
        <w:keepLines w:val="0"/>
        <w:pageBreakBefore w:val="0"/>
        <w:kinsoku/>
        <w:wordWrap/>
        <w:overflowPunct/>
        <w:topLinePunct w:val="0"/>
        <w:bidi w:val="0"/>
        <w:spacing w:line="400" w:lineRule="exact"/>
        <w:rPr>
          <w:rFonts w:hint="eastAsia"/>
        </w:rPr>
      </w:pPr>
      <w:r>
        <w:rPr>
          <w:rFonts w:hint="eastAsia"/>
        </w:rPr>
        <w:t>4</w:t>
      </w:r>
      <w:r>
        <w:rPr>
          <w:rFonts w:hint="eastAsia"/>
          <w:lang w:val="en-US" w:eastAsia="zh-CN"/>
        </w:rPr>
        <w:t>.</w:t>
      </w:r>
      <w:r>
        <w:rPr>
          <w:rFonts w:hint="eastAsia"/>
        </w:rPr>
        <w:t>结算办法：次月10日前乙方必须带供应汇总表和配送单与办公室核对供应数量和资金，确保数据无误后，开具合法有效的完税发票及发票复印件报送教育局，每月汇总后上报县财政局，由财政局进行审核，审核无误后，由财政局统一拨付给供应商。</w:t>
      </w:r>
    </w:p>
    <w:p>
      <w:pPr>
        <w:pStyle w:val="6"/>
        <w:keepLines w:val="0"/>
        <w:pageBreakBefore w:val="0"/>
        <w:kinsoku/>
        <w:wordWrap/>
        <w:overflowPunct/>
        <w:topLinePunct w:val="0"/>
        <w:bidi w:val="0"/>
        <w:spacing w:line="400" w:lineRule="exact"/>
        <w:rPr>
          <w:rFonts w:hint="eastAsia"/>
        </w:rPr>
      </w:pPr>
      <w:r>
        <w:rPr>
          <w:rFonts w:hint="eastAsia"/>
        </w:rPr>
        <w:t>第四条  违约责任</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rPr>
      </w:pPr>
      <w:r>
        <w:rPr>
          <w:rFonts w:hint="eastAsia" w:ascii="Times New Roman" w:hAnsi="Times New Roman" w:eastAsia="宋体" w:cs="Times New Roman"/>
          <w:szCs w:val="22"/>
        </w:rPr>
        <w:t>1.乙方不按照甲方要求的时间、数量、质量向甲方正常供应营养早餐，由此造成的损失由乙方全部承担，并追究违约责任。</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rPr>
        <w:t>出现违约甲乙双方按《中华人民共和国</w:t>
      </w:r>
      <w:r>
        <w:rPr>
          <w:rFonts w:hint="eastAsia" w:ascii="Times New Roman" w:hAnsi="Times New Roman" w:eastAsia="宋体" w:cs="Times New Roman"/>
          <w:szCs w:val="22"/>
          <w:lang w:eastAsia="zh-CN"/>
        </w:rPr>
        <w:t>民法典</w:t>
      </w:r>
      <w:r>
        <w:rPr>
          <w:rFonts w:hint="eastAsia" w:ascii="Times New Roman" w:hAnsi="Times New Roman" w:eastAsia="宋体" w:cs="Times New Roman"/>
          <w:szCs w:val="22"/>
        </w:rPr>
        <w:t>》解决。</w:t>
      </w:r>
    </w:p>
    <w:p>
      <w:pPr>
        <w:pStyle w:val="6"/>
        <w:keepLines w:val="0"/>
        <w:pageBreakBefore w:val="0"/>
        <w:kinsoku/>
        <w:wordWrap/>
        <w:overflowPunct/>
        <w:topLinePunct w:val="0"/>
        <w:bidi w:val="0"/>
        <w:spacing w:line="400" w:lineRule="exact"/>
        <w:rPr>
          <w:rFonts w:hint="eastAsia" w:ascii="Times New Roman" w:hAnsi="Times New Roman" w:eastAsia="宋体" w:cs="Times New Roman"/>
          <w:szCs w:val="22"/>
        </w:rPr>
      </w:pPr>
      <w:r>
        <w:rPr>
          <w:rFonts w:hint="eastAsia" w:ascii="Times New Roman" w:hAnsi="Times New Roman" w:eastAsia="宋体" w:cs="Times New Roman"/>
          <w:szCs w:val="22"/>
        </w:rPr>
        <w:t>第五条  本合同未尽事宜，双方可另行签订附加协议，附加协议与本合同具有同等法律效力。</w:t>
      </w:r>
    </w:p>
    <w:p>
      <w:pPr>
        <w:pStyle w:val="6"/>
        <w:keepLines w:val="0"/>
        <w:pageBreakBefore w:val="0"/>
        <w:kinsoku/>
        <w:wordWrap/>
        <w:overflowPunct/>
        <w:topLinePunct w:val="0"/>
        <w:bidi w:val="0"/>
        <w:spacing w:line="400" w:lineRule="exact"/>
        <w:rPr>
          <w:rFonts w:hint="eastAsia"/>
        </w:rPr>
      </w:pPr>
      <w:r>
        <w:rPr>
          <w:rFonts w:hint="eastAsia"/>
        </w:rPr>
        <w:t>第六条  合同签订后，因国家政策变化或不可抗力造成无法履行合同时，应经双方平等协商修订或撤销合同协议书，不承担其他赔偿金，并报有关单位备案。</w:t>
      </w:r>
    </w:p>
    <w:p>
      <w:pPr>
        <w:pStyle w:val="6"/>
        <w:keepLines w:val="0"/>
        <w:pageBreakBefore w:val="0"/>
        <w:kinsoku/>
        <w:wordWrap/>
        <w:overflowPunct/>
        <w:topLinePunct w:val="0"/>
        <w:bidi w:val="0"/>
        <w:spacing w:line="400" w:lineRule="exact"/>
        <w:rPr>
          <w:rFonts w:hint="eastAsia"/>
        </w:rPr>
      </w:pPr>
      <w:r>
        <w:rPr>
          <w:rFonts w:hint="eastAsia"/>
        </w:rPr>
        <w:t>第七条 双方在履行合同期间发生纠纷，应通过协商解决；如经协商后仍不能解决，双方须通过法律方式解决。</w:t>
      </w:r>
    </w:p>
    <w:p>
      <w:pPr>
        <w:pStyle w:val="6"/>
        <w:keepLines w:val="0"/>
        <w:pageBreakBefore w:val="0"/>
        <w:kinsoku/>
        <w:wordWrap/>
        <w:overflowPunct/>
        <w:topLinePunct w:val="0"/>
        <w:bidi w:val="0"/>
        <w:spacing w:line="400" w:lineRule="exact"/>
        <w:rPr>
          <w:rFonts w:hint="eastAsia"/>
        </w:rPr>
      </w:pPr>
      <w:r>
        <w:rPr>
          <w:rFonts w:hint="eastAsia"/>
        </w:rPr>
        <w:t>第八条  本合同一式伍份，甲乙双方及财政局、国资局、营养餐办公室各执一份，自双方代表签字并加盖公章之日起生效。</w:t>
      </w:r>
    </w:p>
    <w:p>
      <w:pPr>
        <w:keepLines w:val="0"/>
        <w:pageBreakBefore w:val="0"/>
        <w:kinsoku/>
        <w:wordWrap/>
        <w:overflowPunct/>
        <w:topLinePunct w:val="0"/>
        <w:bidi w:val="0"/>
        <w:spacing w:line="400" w:lineRule="exact"/>
        <w:ind w:firstLine="420" w:firstLineChars="200"/>
        <w:rPr>
          <w:rFonts w:hint="eastAsia" w:ascii="宋体" w:hAnsi="宋体" w:cs="宋体"/>
          <w:szCs w:val="21"/>
        </w:rPr>
      </w:pPr>
    </w:p>
    <w:p>
      <w:pPr>
        <w:keepLines w:val="0"/>
        <w:pageBreakBefore w:val="0"/>
        <w:kinsoku/>
        <w:wordWrap/>
        <w:overflowPunct/>
        <w:topLinePunct w:val="0"/>
        <w:bidi w:val="0"/>
        <w:spacing w:line="400" w:lineRule="exact"/>
        <w:ind w:firstLine="420" w:firstLineChars="200"/>
        <w:rPr>
          <w:rFonts w:hint="eastAsia" w:ascii="宋体" w:hAnsi="宋体" w:cs="宋体"/>
          <w:szCs w:val="21"/>
        </w:rPr>
      </w:pPr>
    </w:p>
    <w:p>
      <w:pPr>
        <w:keepLines w:val="0"/>
        <w:pageBreakBefore w:val="0"/>
        <w:kinsoku/>
        <w:wordWrap/>
        <w:overflowPunct/>
        <w:topLinePunct w:val="0"/>
        <w:bidi w:val="0"/>
        <w:spacing w:line="400" w:lineRule="exact"/>
        <w:ind w:firstLine="420" w:firstLineChars="200"/>
        <w:rPr>
          <w:rFonts w:hint="eastAsia" w:ascii="宋体" w:hAnsi="宋体" w:cs="宋体"/>
          <w:szCs w:val="21"/>
        </w:rPr>
      </w:pPr>
      <w:r>
        <w:rPr>
          <w:rFonts w:hint="eastAsia" w:ascii="宋体" w:hAnsi="宋体" w:cs="宋体"/>
          <w:szCs w:val="21"/>
        </w:rPr>
        <w:t xml:space="preserve">甲方：   （盖章）   </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乙方：   （盖章）</w:t>
      </w:r>
    </w:p>
    <w:p>
      <w:pPr>
        <w:keepLines w:val="0"/>
        <w:pageBreakBefore w:val="0"/>
        <w:kinsoku/>
        <w:wordWrap/>
        <w:overflowPunct/>
        <w:topLinePunct w:val="0"/>
        <w:bidi w:val="0"/>
        <w:spacing w:line="400" w:lineRule="exact"/>
        <w:ind w:firstLine="420" w:firstLineChars="200"/>
        <w:rPr>
          <w:rFonts w:hint="eastAsia" w:ascii="宋体" w:hAnsi="宋体" w:cs="宋体"/>
          <w:szCs w:val="21"/>
        </w:rPr>
      </w:pPr>
      <w:r>
        <w:rPr>
          <w:rFonts w:hint="eastAsia" w:ascii="宋体" w:hAnsi="宋体" w:cs="宋体"/>
          <w:szCs w:val="21"/>
        </w:rPr>
        <w:t>法定代表人/委托代理人：            法定代表人/委托代理人：</w:t>
      </w:r>
    </w:p>
    <w:p>
      <w:pPr>
        <w:keepLines w:val="0"/>
        <w:pageBreakBefore w:val="0"/>
        <w:kinsoku/>
        <w:wordWrap/>
        <w:overflowPunct/>
        <w:topLinePunct w:val="0"/>
        <w:bidi w:val="0"/>
        <w:spacing w:line="400" w:lineRule="exact"/>
        <w:ind w:firstLine="420" w:firstLineChars="200"/>
        <w:rPr>
          <w:rFonts w:hint="eastAsia" w:ascii="宋体" w:hAnsi="宋体" w:cs="宋体"/>
          <w:szCs w:val="21"/>
        </w:rPr>
      </w:pPr>
      <w:r>
        <w:rPr>
          <w:rFonts w:hint="eastAsia" w:ascii="宋体" w:hAnsi="宋体" w:cs="宋体"/>
          <w:szCs w:val="21"/>
        </w:rPr>
        <w:t>地    址：                         地    址：</w:t>
      </w:r>
    </w:p>
    <w:p>
      <w:pPr>
        <w:keepLines w:val="0"/>
        <w:pageBreakBefore w:val="0"/>
        <w:kinsoku/>
        <w:wordWrap/>
        <w:overflowPunct/>
        <w:topLinePunct w:val="0"/>
        <w:bidi w:val="0"/>
        <w:spacing w:line="400" w:lineRule="exact"/>
        <w:ind w:firstLine="420" w:firstLineChars="200"/>
        <w:rPr>
          <w:rFonts w:hint="eastAsia" w:ascii="宋体" w:hAnsi="宋体" w:cs="宋体"/>
          <w:szCs w:val="21"/>
        </w:rPr>
      </w:pPr>
      <w:r>
        <w:rPr>
          <w:rFonts w:hint="eastAsia" w:ascii="宋体" w:hAnsi="宋体" w:cs="宋体"/>
          <w:szCs w:val="21"/>
        </w:rPr>
        <w:t>开户银行：                         开户银行：</w:t>
      </w:r>
    </w:p>
    <w:p>
      <w:pPr>
        <w:keepLines w:val="0"/>
        <w:pageBreakBefore w:val="0"/>
        <w:kinsoku/>
        <w:wordWrap/>
        <w:overflowPunct/>
        <w:topLinePunct w:val="0"/>
        <w:bidi w:val="0"/>
        <w:spacing w:line="400" w:lineRule="exact"/>
        <w:ind w:firstLine="420" w:firstLineChars="200"/>
        <w:rPr>
          <w:rFonts w:hint="eastAsia" w:ascii="宋体" w:hAnsi="宋体" w:cs="宋体"/>
          <w:szCs w:val="21"/>
        </w:rPr>
      </w:pPr>
      <w:r>
        <w:rPr>
          <w:rFonts w:hint="eastAsia" w:ascii="宋体" w:hAnsi="宋体" w:cs="宋体"/>
          <w:szCs w:val="21"/>
        </w:rPr>
        <w:t>账    号：                         账    号：</w:t>
      </w:r>
    </w:p>
    <w:p>
      <w:pPr>
        <w:keepLines w:val="0"/>
        <w:pageBreakBefore w:val="0"/>
        <w:kinsoku/>
        <w:wordWrap/>
        <w:overflowPunct/>
        <w:topLinePunct w:val="0"/>
        <w:bidi w:val="0"/>
        <w:spacing w:line="400" w:lineRule="exact"/>
        <w:ind w:firstLine="420" w:firstLineChars="200"/>
        <w:rPr>
          <w:rFonts w:hint="eastAsia" w:ascii="宋体" w:hAnsi="宋体" w:cs="宋体"/>
          <w:szCs w:val="21"/>
        </w:rPr>
      </w:pPr>
      <w:r>
        <w:rPr>
          <w:rFonts w:hint="eastAsia" w:ascii="宋体" w:hAnsi="宋体" w:cs="宋体"/>
          <w:szCs w:val="21"/>
        </w:rPr>
        <w:t>电    话：                         电    话：</w:t>
      </w:r>
    </w:p>
    <w:p>
      <w:pPr>
        <w:keepLines w:val="0"/>
        <w:pageBreakBefore w:val="0"/>
        <w:kinsoku/>
        <w:wordWrap/>
        <w:overflowPunct/>
        <w:topLinePunct w:val="0"/>
        <w:bidi w:val="0"/>
        <w:spacing w:line="400" w:lineRule="exact"/>
        <w:ind w:firstLine="420" w:firstLineChars="200"/>
        <w:rPr>
          <w:rFonts w:hint="eastAsia" w:ascii="宋体" w:hAnsi="宋体" w:cs="宋体"/>
          <w:szCs w:val="21"/>
        </w:rPr>
      </w:pPr>
      <w:r>
        <w:rPr>
          <w:rFonts w:hint="eastAsia" w:ascii="宋体" w:hAnsi="宋体" w:cs="宋体"/>
          <w:szCs w:val="21"/>
        </w:rPr>
        <w:t>传    真：                         传    真：</w:t>
      </w:r>
    </w:p>
    <w:p>
      <w:pPr>
        <w:keepLines w:val="0"/>
        <w:pageBreakBefore w:val="0"/>
        <w:kinsoku/>
        <w:wordWrap/>
        <w:overflowPunct/>
        <w:topLinePunct w:val="0"/>
        <w:bidi w:val="0"/>
        <w:spacing w:line="400" w:lineRule="exact"/>
        <w:ind w:firstLine="420" w:firstLineChars="200"/>
        <w:rPr>
          <w:rFonts w:hint="eastAsia" w:ascii="宋体" w:hAnsi="宋体" w:cs="宋体"/>
          <w:color w:val="000000"/>
          <w:szCs w:val="21"/>
        </w:rPr>
      </w:pPr>
      <w:r>
        <w:rPr>
          <w:rFonts w:hint="eastAsia" w:ascii="宋体" w:hAnsi="宋体" w:cs="宋体"/>
          <w:szCs w:val="21"/>
        </w:rPr>
        <w:t>签约日期：    年  月  日           签约日期：</w:t>
      </w:r>
      <w:r>
        <w:rPr>
          <w:rFonts w:hint="eastAsia" w:ascii="宋体" w:hAnsi="宋体" w:cs="宋体"/>
          <w:color w:val="000000"/>
          <w:szCs w:val="21"/>
        </w:rPr>
        <w:t xml:space="preserve">    </w:t>
      </w:r>
      <w:r>
        <w:rPr>
          <w:rFonts w:hint="eastAsia" w:ascii="宋体" w:hAnsi="宋体" w:cs="宋体"/>
          <w:szCs w:val="21"/>
        </w:rPr>
        <w:t xml:space="preserve">年  月  </w:t>
      </w:r>
      <w:r>
        <w:rPr>
          <w:rFonts w:hint="eastAsia" w:ascii="宋体" w:hAnsi="宋体" w:cs="宋体"/>
          <w:color w:val="000000"/>
          <w:szCs w:val="21"/>
        </w:rPr>
        <w:t>日</w:t>
      </w:r>
    </w:p>
    <w:p>
      <w:pPr>
        <w:keepLines w:val="0"/>
        <w:pageBreakBefore w:val="0"/>
        <w:kinsoku/>
        <w:wordWrap/>
        <w:overflowPunct/>
        <w:topLinePunct w:val="0"/>
        <w:bidi w:val="0"/>
        <w:spacing w:line="400" w:lineRule="exact"/>
        <w:ind w:firstLine="420" w:firstLineChars="200"/>
        <w:rPr>
          <w:rFonts w:hint="eastAsia" w:ascii="宋体" w:hAnsi="宋体" w:cs="宋体"/>
          <w:szCs w:val="21"/>
        </w:rPr>
      </w:pPr>
    </w:p>
    <w:p>
      <w:pPr>
        <w:keepLines w:val="0"/>
        <w:pageBreakBefore w:val="0"/>
        <w:kinsoku/>
        <w:wordWrap/>
        <w:overflowPunct/>
        <w:topLinePunct w:val="0"/>
        <w:bidi w:val="0"/>
        <w:spacing w:line="400" w:lineRule="exact"/>
        <w:rPr>
          <w:rFonts w:hint="eastAsia"/>
        </w:rPr>
      </w:pPr>
    </w:p>
    <w:p>
      <w:pPr>
        <w:keepLines w:val="0"/>
        <w:pageBreakBefore w:val="0"/>
        <w:kinsoku/>
        <w:wordWrap/>
        <w:overflowPunct/>
        <w:topLinePunct w:val="0"/>
        <w:bidi w:val="0"/>
        <w:spacing w:line="400" w:lineRule="exact"/>
        <w:rPr>
          <w:rFonts w:hint="eastAsia"/>
        </w:rPr>
      </w:pPr>
    </w:p>
    <w:p>
      <w:pPr>
        <w:pStyle w:val="3"/>
        <w:keepLines w:val="0"/>
        <w:pageBreakBefore w:val="0"/>
        <w:kinsoku/>
        <w:wordWrap/>
        <w:overflowPunct/>
        <w:topLinePunct w:val="0"/>
        <w:bidi w:val="0"/>
        <w:spacing w:line="400" w:lineRule="exact"/>
      </w:pPr>
      <w:r>
        <w:rPr>
          <w:rFonts w:hint="eastAsia"/>
        </w:rPr>
        <w:br w:type="page"/>
      </w:r>
      <w:bookmarkStart w:id="50" w:name="_Toc29377_WPSOffice_Level1"/>
      <w:bookmarkStart w:id="51" w:name="_Toc4631"/>
      <w:bookmarkStart w:id="52" w:name="_Toc17071_WPSOffice_Level1"/>
      <w:bookmarkStart w:id="53" w:name="_Toc15323722"/>
      <w:r>
        <w:t>第</w:t>
      </w:r>
      <w:r>
        <w:rPr>
          <w:rFonts w:hint="eastAsia"/>
          <w:lang w:val="en-US" w:eastAsia="zh-CN"/>
        </w:rPr>
        <w:t>六</w:t>
      </w:r>
      <w:r>
        <w:rPr>
          <w:rFonts w:hint="eastAsia"/>
        </w:rPr>
        <w:t>章</w:t>
      </w:r>
      <w:r>
        <w:t xml:space="preserve">   投标文件格式</w:t>
      </w:r>
      <w:bookmarkEnd w:id="50"/>
      <w:bookmarkEnd w:id="51"/>
      <w:bookmarkEnd w:id="52"/>
      <w:bookmarkEnd w:id="53"/>
    </w:p>
    <w:p>
      <w:pPr>
        <w:keepLines w:val="0"/>
        <w:pageBreakBefore w:val="0"/>
        <w:kinsoku/>
        <w:wordWrap/>
        <w:overflowPunct/>
        <w:topLinePunct w:val="0"/>
        <w:autoSpaceDE w:val="0"/>
        <w:autoSpaceDN w:val="0"/>
        <w:bidi w:val="0"/>
        <w:adjustRightInd w:val="0"/>
        <w:snapToGrid w:val="0"/>
        <w:spacing w:line="400" w:lineRule="exact"/>
        <w:jc w:val="right"/>
        <w:rPr>
          <w:b/>
          <w:bCs/>
          <w:sz w:val="32"/>
          <w:szCs w:val="32"/>
          <w:lang w:val="zh-CN"/>
        </w:rPr>
      </w:pPr>
      <w:bookmarkStart w:id="54" w:name="_Toc11187_WPSOffice_Level1"/>
      <w:bookmarkStart w:id="55" w:name="_Toc5104_WPSOffice_Level1"/>
      <w:r>
        <w:rPr>
          <w:b/>
          <w:bCs/>
          <w:sz w:val="32"/>
          <w:szCs w:val="32"/>
          <w:lang w:val="zh-CN"/>
        </w:rPr>
        <w:t>正本/副本</w:t>
      </w:r>
      <w:bookmarkEnd w:id="54"/>
      <w:bookmarkEnd w:id="55"/>
    </w:p>
    <w:p>
      <w:pPr>
        <w:keepLines w:val="0"/>
        <w:pageBreakBefore w:val="0"/>
        <w:kinsoku/>
        <w:wordWrap/>
        <w:overflowPunct/>
        <w:topLinePunct w:val="0"/>
        <w:autoSpaceDE w:val="0"/>
        <w:autoSpaceDN w:val="0"/>
        <w:bidi w:val="0"/>
        <w:adjustRightInd w:val="0"/>
        <w:snapToGrid w:val="0"/>
        <w:spacing w:line="400" w:lineRule="exact"/>
        <w:rPr>
          <w:b/>
          <w:bCs/>
          <w:sz w:val="32"/>
          <w:szCs w:val="32"/>
          <w:lang w:val="zh-CN"/>
        </w:rPr>
      </w:pPr>
    </w:p>
    <w:p>
      <w:pPr>
        <w:keepLines w:val="0"/>
        <w:pageBreakBefore w:val="0"/>
        <w:kinsoku/>
        <w:wordWrap/>
        <w:overflowPunct/>
        <w:topLinePunct w:val="0"/>
        <w:autoSpaceDE w:val="0"/>
        <w:autoSpaceDN w:val="0"/>
        <w:bidi w:val="0"/>
        <w:adjustRightInd w:val="0"/>
        <w:snapToGrid w:val="0"/>
        <w:spacing w:line="400" w:lineRule="exact"/>
        <w:rPr>
          <w:b/>
          <w:bCs/>
          <w:sz w:val="32"/>
          <w:szCs w:val="32"/>
          <w:lang w:val="zh-CN"/>
        </w:rPr>
      </w:pPr>
      <w:bookmarkStart w:id="56" w:name="_Toc23880_WPSOffice_Level1"/>
      <w:bookmarkStart w:id="57" w:name="_Toc22157_WPSOffice_Level1"/>
      <w:r>
        <w:rPr>
          <w:b/>
          <w:bCs/>
          <w:sz w:val="32"/>
          <w:szCs w:val="32"/>
          <w:lang w:val="zh-CN"/>
        </w:rPr>
        <w:t>政府采购项目</w:t>
      </w:r>
      <w:bookmarkEnd w:id="56"/>
      <w:bookmarkEnd w:id="57"/>
    </w:p>
    <w:p>
      <w:pPr>
        <w:keepLines w:val="0"/>
        <w:pageBreakBefore w:val="0"/>
        <w:kinsoku/>
        <w:wordWrap/>
        <w:overflowPunct/>
        <w:topLinePunct w:val="0"/>
        <w:autoSpaceDE w:val="0"/>
        <w:autoSpaceDN w:val="0"/>
        <w:bidi w:val="0"/>
        <w:adjustRightInd w:val="0"/>
        <w:snapToGrid w:val="0"/>
        <w:spacing w:line="400" w:lineRule="exact"/>
        <w:rPr>
          <w:b/>
          <w:bCs/>
          <w:sz w:val="32"/>
          <w:szCs w:val="32"/>
          <w:lang w:val="zh-CN"/>
        </w:rPr>
      </w:pPr>
      <w:bookmarkStart w:id="58" w:name="_Toc26743_WPSOffice_Level1"/>
      <w:bookmarkStart w:id="59" w:name="_Toc30860_WPSOffice_Level1"/>
      <w:r>
        <w:rPr>
          <w:b/>
          <w:bCs/>
          <w:sz w:val="32"/>
          <w:szCs w:val="32"/>
          <w:lang w:val="zh-CN"/>
        </w:rPr>
        <w:t>采购项目编号：</w:t>
      </w:r>
      <w:bookmarkEnd w:id="58"/>
      <w:bookmarkEnd w:id="59"/>
    </w:p>
    <w:p>
      <w:pPr>
        <w:keepLines w:val="0"/>
        <w:pageBreakBefore w:val="0"/>
        <w:tabs>
          <w:tab w:val="left" w:pos="5670"/>
        </w:tabs>
        <w:kinsoku/>
        <w:wordWrap/>
        <w:overflowPunct/>
        <w:topLinePunct w:val="0"/>
        <w:autoSpaceDE w:val="0"/>
        <w:autoSpaceDN w:val="0"/>
        <w:bidi w:val="0"/>
        <w:adjustRightInd w:val="0"/>
        <w:snapToGrid w:val="0"/>
        <w:spacing w:line="400" w:lineRule="exact"/>
        <w:rPr>
          <w:rFonts w:eastAsia="黑体"/>
          <w:sz w:val="19"/>
          <w:szCs w:val="19"/>
        </w:rPr>
      </w:pPr>
    </w:p>
    <w:p>
      <w:pPr>
        <w:keepLines w:val="0"/>
        <w:pageBreakBefore w:val="0"/>
        <w:tabs>
          <w:tab w:val="left" w:pos="5670"/>
        </w:tabs>
        <w:kinsoku/>
        <w:wordWrap/>
        <w:overflowPunct/>
        <w:topLinePunct w:val="0"/>
        <w:autoSpaceDE w:val="0"/>
        <w:autoSpaceDN w:val="0"/>
        <w:bidi w:val="0"/>
        <w:adjustRightInd w:val="0"/>
        <w:snapToGrid w:val="0"/>
        <w:spacing w:line="400" w:lineRule="exact"/>
        <w:jc w:val="both"/>
        <w:rPr>
          <w:rFonts w:eastAsia="黑体"/>
          <w:sz w:val="19"/>
          <w:szCs w:val="19"/>
        </w:rPr>
      </w:pPr>
    </w:p>
    <w:p>
      <w:pPr>
        <w:keepLines w:val="0"/>
        <w:pageBreakBefore w:val="0"/>
        <w:kinsoku/>
        <w:wordWrap/>
        <w:overflowPunct/>
        <w:topLinePunct w:val="0"/>
        <w:autoSpaceDE w:val="0"/>
        <w:autoSpaceDN w:val="0"/>
        <w:bidi w:val="0"/>
        <w:adjustRightInd w:val="0"/>
        <w:snapToGrid w:val="0"/>
        <w:spacing w:line="400" w:lineRule="exact"/>
        <w:jc w:val="center"/>
        <w:rPr>
          <w:rFonts w:hint="eastAsia"/>
          <w:b/>
          <w:bCs/>
          <w:sz w:val="44"/>
          <w:szCs w:val="44"/>
          <w:lang w:eastAsia="zh-CN"/>
        </w:rPr>
      </w:pPr>
    </w:p>
    <w:p>
      <w:pPr>
        <w:keepLines w:val="0"/>
        <w:pageBreakBefore w:val="0"/>
        <w:tabs>
          <w:tab w:val="left" w:pos="5670"/>
        </w:tabs>
        <w:kinsoku/>
        <w:wordWrap/>
        <w:overflowPunct/>
        <w:topLinePunct w:val="0"/>
        <w:autoSpaceDE w:val="0"/>
        <w:autoSpaceDN w:val="0"/>
        <w:bidi w:val="0"/>
        <w:adjustRightInd w:val="0"/>
        <w:snapToGrid w:val="0"/>
        <w:spacing w:line="360" w:lineRule="auto"/>
        <w:jc w:val="center"/>
        <w:rPr>
          <w:rFonts w:hint="default" w:ascii="宋体" w:hAnsi="宋体" w:eastAsia="宋体" w:cs="宋体"/>
          <w:b/>
          <w:bCs/>
          <w:sz w:val="52"/>
          <w:szCs w:val="52"/>
          <w:u w:val="single"/>
          <w:lang w:val="en-US"/>
        </w:rPr>
      </w:pPr>
      <w:bookmarkStart w:id="60" w:name="_Toc28224_WPSOffice_Level1"/>
      <w:bookmarkStart w:id="61" w:name="_Toc1940_WPSOffice_Level1"/>
      <w:r>
        <w:rPr>
          <w:rFonts w:hint="eastAsia" w:ascii="宋体" w:hAnsi="宋体" w:eastAsia="宋体" w:cs="宋体"/>
          <w:b/>
          <w:bCs/>
          <w:sz w:val="52"/>
          <w:szCs w:val="52"/>
          <w:lang w:val="en-US" w:eastAsia="zh-CN"/>
        </w:rPr>
        <w:t>大荔县2022至2023学年度学生营养改善计划采购项目第</w:t>
      </w:r>
      <w:r>
        <w:rPr>
          <w:rFonts w:hint="eastAsia" w:ascii="宋体" w:hAnsi="宋体" w:eastAsia="宋体" w:cs="宋体"/>
          <w:b/>
          <w:bCs/>
          <w:sz w:val="52"/>
          <w:szCs w:val="52"/>
          <w:u w:val="single"/>
          <w:lang w:val="en-US" w:eastAsia="zh-CN"/>
        </w:rPr>
        <w:t xml:space="preserve">    </w:t>
      </w:r>
      <w:r>
        <w:rPr>
          <w:rFonts w:hint="eastAsia" w:ascii="宋体" w:hAnsi="宋体" w:eastAsia="宋体" w:cs="宋体"/>
          <w:b/>
          <w:bCs/>
          <w:sz w:val="52"/>
          <w:szCs w:val="52"/>
          <w:u w:val="none"/>
          <w:lang w:val="en-US" w:eastAsia="zh-CN"/>
        </w:rPr>
        <w:t>包</w:t>
      </w:r>
      <w:bookmarkEnd w:id="60"/>
      <w:bookmarkEnd w:id="61"/>
    </w:p>
    <w:p>
      <w:pPr>
        <w:keepLines w:val="0"/>
        <w:pageBreakBefore w:val="0"/>
        <w:kinsoku/>
        <w:wordWrap/>
        <w:overflowPunct/>
        <w:topLinePunct w:val="0"/>
        <w:bidi w:val="0"/>
        <w:spacing w:line="400" w:lineRule="exact"/>
      </w:pPr>
    </w:p>
    <w:p>
      <w:pPr>
        <w:keepLines w:val="0"/>
        <w:pageBreakBefore w:val="0"/>
        <w:tabs>
          <w:tab w:val="left" w:pos="5670"/>
        </w:tabs>
        <w:kinsoku/>
        <w:wordWrap/>
        <w:overflowPunct/>
        <w:topLinePunct w:val="0"/>
        <w:autoSpaceDE w:val="0"/>
        <w:autoSpaceDN w:val="0"/>
        <w:bidi w:val="0"/>
        <w:adjustRightInd w:val="0"/>
        <w:snapToGrid w:val="0"/>
        <w:spacing w:line="400" w:lineRule="exact"/>
        <w:jc w:val="center"/>
        <w:rPr>
          <w:b/>
          <w:bCs/>
          <w:sz w:val="52"/>
          <w:szCs w:val="52"/>
          <w:lang w:val="zh-CN"/>
        </w:rPr>
      </w:pPr>
    </w:p>
    <w:p>
      <w:pPr>
        <w:pStyle w:val="9"/>
        <w:rPr>
          <w:b/>
          <w:bCs/>
          <w:sz w:val="52"/>
          <w:szCs w:val="52"/>
          <w:lang w:val="zh-CN"/>
        </w:rPr>
      </w:pPr>
    </w:p>
    <w:p>
      <w:pPr>
        <w:rPr>
          <w:lang w:val="zh-CN"/>
        </w:rPr>
      </w:pPr>
    </w:p>
    <w:p>
      <w:pPr>
        <w:pStyle w:val="2"/>
        <w:rPr>
          <w:lang w:val="zh-CN"/>
        </w:rPr>
      </w:pPr>
    </w:p>
    <w:p>
      <w:pPr>
        <w:keepLines w:val="0"/>
        <w:pageBreakBefore w:val="0"/>
        <w:tabs>
          <w:tab w:val="left" w:pos="5670"/>
        </w:tabs>
        <w:kinsoku/>
        <w:wordWrap/>
        <w:overflowPunct/>
        <w:topLinePunct w:val="0"/>
        <w:autoSpaceDE w:val="0"/>
        <w:autoSpaceDN w:val="0"/>
        <w:bidi w:val="0"/>
        <w:adjustRightInd w:val="0"/>
        <w:snapToGrid w:val="0"/>
        <w:spacing w:line="400" w:lineRule="exact"/>
        <w:jc w:val="center"/>
        <w:rPr>
          <w:b/>
          <w:bCs/>
          <w:sz w:val="72"/>
          <w:szCs w:val="72"/>
          <w:lang w:val="zh-CN"/>
        </w:rPr>
      </w:pPr>
    </w:p>
    <w:p>
      <w:pPr>
        <w:keepLines w:val="0"/>
        <w:pageBreakBefore w:val="0"/>
        <w:tabs>
          <w:tab w:val="left" w:pos="5670"/>
        </w:tabs>
        <w:kinsoku/>
        <w:wordWrap/>
        <w:overflowPunct/>
        <w:topLinePunct w:val="0"/>
        <w:autoSpaceDE w:val="0"/>
        <w:autoSpaceDN w:val="0"/>
        <w:bidi w:val="0"/>
        <w:adjustRightInd w:val="0"/>
        <w:snapToGrid w:val="0"/>
        <w:spacing w:line="360" w:lineRule="auto"/>
        <w:jc w:val="center"/>
        <w:rPr>
          <w:rFonts w:hint="eastAsia" w:ascii="宋体" w:hAnsi="宋体" w:eastAsia="宋体" w:cs="宋体"/>
          <w:b/>
          <w:bCs/>
          <w:sz w:val="72"/>
          <w:szCs w:val="72"/>
          <w:lang w:val="zh-CN" w:eastAsia="zh-CN"/>
        </w:rPr>
      </w:pPr>
      <w:bookmarkStart w:id="62" w:name="_Toc28283_WPSOffice_Level1"/>
      <w:bookmarkStart w:id="63" w:name="_Toc18165_WPSOffice_Level1"/>
      <w:r>
        <w:rPr>
          <w:rFonts w:hint="eastAsia" w:ascii="宋体" w:hAnsi="宋体" w:eastAsia="宋体" w:cs="宋体"/>
          <w:b/>
          <w:bCs/>
          <w:sz w:val="72"/>
          <w:szCs w:val="72"/>
          <w:lang w:val="zh-CN" w:eastAsia="zh-CN"/>
        </w:rPr>
        <w:t>投 标 文 件</w:t>
      </w:r>
      <w:bookmarkEnd w:id="62"/>
      <w:bookmarkEnd w:id="63"/>
    </w:p>
    <w:p>
      <w:pPr>
        <w:keepLines w:val="0"/>
        <w:pageBreakBefore w:val="0"/>
        <w:kinsoku/>
        <w:wordWrap/>
        <w:overflowPunct/>
        <w:topLinePunct w:val="0"/>
        <w:autoSpaceDE w:val="0"/>
        <w:autoSpaceDN w:val="0"/>
        <w:bidi w:val="0"/>
        <w:adjustRightInd w:val="0"/>
        <w:snapToGrid w:val="0"/>
        <w:spacing w:line="400" w:lineRule="exact"/>
        <w:rPr>
          <w:rFonts w:eastAsia="黑体"/>
          <w:sz w:val="30"/>
          <w:szCs w:val="30"/>
        </w:rPr>
      </w:pPr>
    </w:p>
    <w:p>
      <w:pPr>
        <w:keepLines w:val="0"/>
        <w:pageBreakBefore w:val="0"/>
        <w:kinsoku/>
        <w:wordWrap/>
        <w:overflowPunct/>
        <w:topLinePunct w:val="0"/>
        <w:bidi w:val="0"/>
        <w:spacing w:line="400" w:lineRule="exact"/>
        <w:rPr>
          <w:rFonts w:eastAsia="黑体"/>
          <w:sz w:val="30"/>
          <w:szCs w:val="30"/>
        </w:rPr>
      </w:pPr>
    </w:p>
    <w:p>
      <w:pPr>
        <w:keepLines w:val="0"/>
        <w:pageBreakBefore w:val="0"/>
        <w:kinsoku/>
        <w:wordWrap/>
        <w:overflowPunct/>
        <w:topLinePunct w:val="0"/>
        <w:bidi w:val="0"/>
        <w:spacing w:line="400" w:lineRule="exact"/>
        <w:rPr>
          <w:rFonts w:eastAsia="黑体"/>
          <w:sz w:val="30"/>
          <w:szCs w:val="30"/>
        </w:rPr>
      </w:pPr>
    </w:p>
    <w:p>
      <w:pPr>
        <w:pStyle w:val="2"/>
        <w:rPr>
          <w:rFonts w:eastAsia="黑体"/>
          <w:sz w:val="30"/>
          <w:szCs w:val="30"/>
        </w:rPr>
      </w:pPr>
    </w:p>
    <w:p/>
    <w:p>
      <w:pPr>
        <w:keepLines w:val="0"/>
        <w:pageBreakBefore w:val="0"/>
        <w:kinsoku/>
        <w:wordWrap/>
        <w:overflowPunct/>
        <w:topLinePunct w:val="0"/>
        <w:bidi w:val="0"/>
        <w:spacing w:line="400" w:lineRule="exact"/>
        <w:rPr>
          <w:rFonts w:eastAsia="黑体"/>
          <w:sz w:val="30"/>
          <w:szCs w:val="30"/>
        </w:rPr>
      </w:pPr>
    </w:p>
    <w:p>
      <w:pPr>
        <w:spacing w:line="360" w:lineRule="auto"/>
        <w:jc w:val="center"/>
        <w:rPr>
          <w:rFonts w:hint="eastAsia" w:asciiTheme="minorEastAsia" w:hAnsiTheme="minorEastAsia" w:eastAsiaTheme="minorEastAsia" w:cstheme="minorEastAsia"/>
          <w:b/>
          <w:bCs/>
          <w:color w:val="auto"/>
          <w:sz w:val="28"/>
          <w:szCs w:val="28"/>
          <w:highlight w:val="none"/>
        </w:rPr>
      </w:pPr>
    </w:p>
    <w:p>
      <w:pPr>
        <w:spacing w:line="360" w:lineRule="auto"/>
        <w:jc w:val="center"/>
        <w:rPr>
          <w:rFonts w:hint="eastAsia" w:asciiTheme="minorEastAsia" w:hAnsiTheme="minorEastAsia" w:eastAsiaTheme="minorEastAsia" w:cstheme="minorEastAsia"/>
          <w:b/>
          <w:bCs/>
          <w:color w:val="auto"/>
          <w:sz w:val="28"/>
          <w:szCs w:val="28"/>
          <w:highlight w:val="none"/>
        </w:rPr>
      </w:pPr>
      <w:bookmarkStart w:id="64" w:name="_Toc3338"/>
      <w:r>
        <w:rPr>
          <w:rFonts w:hint="eastAsia" w:asciiTheme="minorEastAsia" w:hAnsiTheme="minorEastAsia" w:eastAsiaTheme="minorEastAsia" w:cstheme="minorEastAsia"/>
          <w:b/>
          <w:bCs/>
          <w:color w:val="auto"/>
          <w:sz w:val="28"/>
          <w:szCs w:val="28"/>
          <w:highlight w:val="none"/>
          <w:lang w:eastAsia="zh-CN"/>
        </w:rPr>
        <w:t>供应商</w:t>
      </w:r>
      <w:r>
        <w:rPr>
          <w:rFonts w:hint="eastAsia" w:asciiTheme="minorEastAsia" w:hAnsiTheme="minorEastAsia" w:eastAsiaTheme="minorEastAsia" w:cstheme="minorEastAsia"/>
          <w:b/>
          <w:bCs/>
          <w:color w:val="auto"/>
          <w:sz w:val="28"/>
          <w:szCs w:val="28"/>
          <w:highlight w:val="none"/>
        </w:rPr>
        <w:t>：（盖章）</w:t>
      </w:r>
      <w:bookmarkEnd w:id="64"/>
    </w:p>
    <w:p>
      <w:pPr>
        <w:spacing w:line="360" w:lineRule="auto"/>
        <w:jc w:val="center"/>
        <w:rPr>
          <w:rFonts w:hint="eastAsia" w:asciiTheme="minorEastAsia" w:hAnsiTheme="minorEastAsia" w:eastAsiaTheme="minorEastAsia" w:cstheme="minorEastAsia"/>
          <w:b/>
          <w:bCs/>
          <w:color w:val="auto"/>
          <w:sz w:val="28"/>
          <w:szCs w:val="28"/>
          <w:highlight w:val="none"/>
        </w:rPr>
      </w:pPr>
      <w:bookmarkStart w:id="65" w:name="_Toc27587"/>
      <w:r>
        <w:rPr>
          <w:rFonts w:hint="eastAsia" w:asciiTheme="minorEastAsia" w:hAnsiTheme="minorEastAsia" w:eastAsiaTheme="minorEastAsia" w:cstheme="minorEastAsia"/>
          <w:b/>
          <w:bCs/>
          <w:color w:val="auto"/>
          <w:sz w:val="28"/>
          <w:szCs w:val="28"/>
          <w:highlight w:val="none"/>
        </w:rPr>
        <w:t>法定代表人或其委托代理人：（签字或盖章）</w:t>
      </w:r>
      <w:bookmarkEnd w:id="65"/>
    </w:p>
    <w:p>
      <w:pPr>
        <w:spacing w:line="360" w:lineRule="auto"/>
        <w:jc w:val="center"/>
        <w:rPr>
          <w:rFonts w:ascii="仿宋" w:hAnsi="仿宋" w:eastAsia="仿宋"/>
          <w:b/>
          <w:sz w:val="40"/>
          <w:szCs w:val="36"/>
          <w:lang w:val="zh-CN"/>
        </w:rPr>
      </w:pPr>
      <w:r>
        <w:rPr>
          <w:rFonts w:hint="eastAsia" w:asciiTheme="minorEastAsia" w:hAnsiTheme="minorEastAsia" w:eastAsiaTheme="minorEastAsia" w:cstheme="minorEastAsia"/>
          <w:b/>
          <w:bCs/>
          <w:color w:val="auto"/>
          <w:sz w:val="28"/>
          <w:szCs w:val="28"/>
          <w:highlight w:val="none"/>
        </w:rPr>
        <w:t>年   月   日</w:t>
      </w:r>
      <w:r>
        <w:rPr>
          <w:rFonts w:hint="eastAsia" w:eastAsia="黑体"/>
          <w:bCs/>
          <w:sz w:val="42"/>
          <w:szCs w:val="42"/>
          <w:lang w:val="zh-CN"/>
        </w:rPr>
        <w:br w:type="page"/>
      </w:r>
      <w:r>
        <w:rPr>
          <w:rFonts w:hint="eastAsia" w:ascii="仿宋" w:hAnsi="仿宋" w:eastAsia="仿宋"/>
          <w:b/>
          <w:sz w:val="40"/>
          <w:szCs w:val="36"/>
          <w:lang w:val="zh-CN"/>
        </w:rPr>
        <w:t>目录</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cs="宋体"/>
          <w:b w:val="0"/>
          <w:bCs w:val="0"/>
          <w:sz w:val="24"/>
          <w:szCs w:val="24"/>
          <w:lang w:val="zh-CN"/>
        </w:rPr>
      </w:pPr>
      <w:r>
        <w:rPr>
          <w:rFonts w:hint="eastAsia" w:ascii="宋体" w:hAnsi="宋体" w:cs="宋体"/>
          <w:b w:val="0"/>
          <w:bCs w:val="0"/>
          <w:sz w:val="24"/>
          <w:szCs w:val="24"/>
          <w:lang w:val="zh-CN"/>
        </w:rPr>
        <w:t>第一部分</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lang w:val="zh-CN"/>
        </w:rPr>
        <w:t>投标函</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cs="宋体"/>
          <w:b w:val="0"/>
          <w:bCs w:val="0"/>
          <w:sz w:val="24"/>
          <w:szCs w:val="24"/>
          <w:lang w:val="zh-CN"/>
        </w:rPr>
      </w:pPr>
      <w:r>
        <w:rPr>
          <w:rFonts w:hint="eastAsia" w:ascii="宋体" w:hAnsi="宋体" w:cs="宋体"/>
          <w:b w:val="0"/>
          <w:bCs w:val="0"/>
          <w:sz w:val="24"/>
          <w:szCs w:val="24"/>
          <w:lang w:val="zh-CN"/>
        </w:rPr>
        <w:t>第二部分</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lang w:val="zh-CN"/>
        </w:rPr>
        <w:t>投标报价表</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zh-CN"/>
        </w:rPr>
        <w:t>第三部分</w:t>
      </w:r>
      <w:r>
        <w:rPr>
          <w:rFonts w:hint="eastAsia" w:ascii="宋体" w:hAnsi="宋体" w:cs="宋体"/>
          <w:b w:val="0"/>
          <w:bCs w:val="0"/>
          <w:sz w:val="24"/>
          <w:szCs w:val="24"/>
          <w:lang w:val="en-US" w:eastAsia="zh-CN"/>
        </w:rPr>
        <w:t xml:space="preserve">  技术规格响应偏离表</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cs="宋体"/>
          <w:b w:val="0"/>
          <w:bCs w:val="0"/>
          <w:sz w:val="24"/>
          <w:szCs w:val="24"/>
          <w:lang w:val="zh-CN"/>
        </w:rPr>
      </w:pPr>
      <w:r>
        <w:rPr>
          <w:rFonts w:hint="eastAsia" w:ascii="宋体" w:hAnsi="宋体" w:cs="宋体"/>
          <w:b w:val="0"/>
          <w:bCs w:val="0"/>
          <w:sz w:val="24"/>
          <w:szCs w:val="24"/>
          <w:lang w:val="zh-CN"/>
        </w:rPr>
        <w:t>第四部分</w:t>
      </w:r>
      <w:r>
        <w:rPr>
          <w:rFonts w:hint="eastAsia" w:ascii="宋体" w:hAnsi="宋体" w:cs="宋体"/>
          <w:b w:val="0"/>
          <w:bCs w:val="0"/>
          <w:sz w:val="24"/>
          <w:szCs w:val="24"/>
          <w:lang w:val="en-US" w:eastAsia="zh-CN"/>
        </w:rPr>
        <w:t xml:space="preserve">  商务响应偏离表</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cs="宋体"/>
          <w:b w:val="0"/>
          <w:bCs w:val="0"/>
          <w:sz w:val="24"/>
          <w:szCs w:val="24"/>
          <w:lang w:val="zh-CN"/>
        </w:rPr>
      </w:pPr>
      <w:r>
        <w:rPr>
          <w:rFonts w:hint="eastAsia" w:ascii="宋体" w:hAnsi="宋体" w:cs="宋体"/>
          <w:b w:val="0"/>
          <w:bCs w:val="0"/>
          <w:sz w:val="24"/>
          <w:szCs w:val="24"/>
          <w:lang w:val="zh-CN"/>
        </w:rPr>
        <w:t>第五部分</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lang w:val="zh-CN"/>
        </w:rPr>
        <w:t>投标方案说明</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cs="宋体"/>
          <w:b w:val="0"/>
          <w:bCs w:val="0"/>
          <w:sz w:val="24"/>
          <w:szCs w:val="24"/>
          <w:lang w:val="zh-CN"/>
        </w:rPr>
      </w:pPr>
      <w:r>
        <w:rPr>
          <w:rFonts w:hint="eastAsia" w:ascii="宋体" w:hAnsi="宋体" w:cs="宋体"/>
          <w:b w:val="0"/>
          <w:bCs w:val="0"/>
          <w:sz w:val="24"/>
          <w:szCs w:val="24"/>
          <w:lang w:val="zh-CN"/>
        </w:rPr>
        <w:t>第六部分  类似项目和相关项目一览表</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cs="宋体"/>
          <w:b w:val="0"/>
          <w:bCs w:val="0"/>
          <w:sz w:val="24"/>
          <w:szCs w:val="24"/>
          <w:lang w:val="zh-CN"/>
        </w:rPr>
      </w:pPr>
      <w:r>
        <w:rPr>
          <w:rFonts w:hint="eastAsia" w:ascii="宋体" w:hAnsi="宋体" w:cs="宋体"/>
          <w:b w:val="0"/>
          <w:bCs w:val="0"/>
          <w:sz w:val="24"/>
          <w:szCs w:val="24"/>
          <w:lang w:val="zh-CN"/>
        </w:rPr>
        <w:t>第七部分  投标保证金</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cs="宋体"/>
          <w:b w:val="0"/>
          <w:bCs w:val="0"/>
          <w:sz w:val="24"/>
          <w:szCs w:val="24"/>
          <w:lang w:val="zh-CN"/>
        </w:rPr>
      </w:pPr>
      <w:r>
        <w:rPr>
          <w:rFonts w:hint="eastAsia" w:ascii="宋体" w:hAnsi="宋体" w:cs="宋体"/>
          <w:b w:val="0"/>
          <w:bCs w:val="0"/>
          <w:sz w:val="24"/>
          <w:szCs w:val="24"/>
          <w:lang w:val="zh-CN"/>
        </w:rPr>
        <w:t>第八部分</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lang w:val="zh-CN"/>
        </w:rPr>
        <w:t>投标人承诺书</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cs="宋体"/>
          <w:b w:val="0"/>
          <w:bCs w:val="0"/>
          <w:sz w:val="24"/>
          <w:szCs w:val="24"/>
          <w:lang w:val="zh-CN"/>
        </w:rPr>
      </w:pPr>
      <w:r>
        <w:rPr>
          <w:rFonts w:hint="eastAsia" w:ascii="宋体" w:hAnsi="宋体" w:cs="宋体"/>
          <w:b w:val="0"/>
          <w:bCs w:val="0"/>
          <w:sz w:val="24"/>
          <w:szCs w:val="24"/>
          <w:lang w:val="en-US" w:eastAsia="zh-CN"/>
        </w:rPr>
        <w:t xml:space="preserve">第九部分  </w:t>
      </w:r>
      <w:r>
        <w:rPr>
          <w:rFonts w:hint="eastAsia" w:ascii="宋体" w:hAnsi="宋体" w:cs="宋体"/>
          <w:b w:val="0"/>
          <w:bCs w:val="0"/>
          <w:sz w:val="24"/>
          <w:szCs w:val="24"/>
          <w:lang w:val="zh-CN"/>
        </w:rPr>
        <w:t>投标人企业关系关联承诺书</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cs="宋体"/>
          <w:b w:val="0"/>
          <w:bCs w:val="0"/>
          <w:sz w:val="24"/>
          <w:szCs w:val="24"/>
          <w:lang w:val="zh-CN"/>
        </w:rPr>
      </w:pPr>
      <w:r>
        <w:rPr>
          <w:rFonts w:hint="eastAsia" w:ascii="宋体" w:hAnsi="宋体" w:cs="宋体"/>
          <w:b w:val="0"/>
          <w:bCs w:val="0"/>
          <w:sz w:val="24"/>
          <w:szCs w:val="24"/>
          <w:lang w:val="en-US" w:eastAsia="zh-CN"/>
        </w:rPr>
        <w:t xml:space="preserve">第十部分  </w:t>
      </w:r>
      <w:r>
        <w:rPr>
          <w:rFonts w:hint="eastAsia" w:ascii="宋体" w:hAnsi="宋体" w:cs="宋体"/>
          <w:b w:val="0"/>
          <w:bCs w:val="0"/>
          <w:sz w:val="24"/>
          <w:szCs w:val="24"/>
          <w:lang w:val="zh-CN"/>
        </w:rPr>
        <w:t>资格证明文件</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cs="宋体"/>
          <w:b w:val="0"/>
          <w:bCs w:val="0"/>
          <w:sz w:val="24"/>
          <w:szCs w:val="24"/>
          <w:lang w:val="zh-CN"/>
        </w:rPr>
      </w:pPr>
      <w:r>
        <w:rPr>
          <w:rFonts w:hint="eastAsia" w:ascii="宋体" w:hAnsi="宋体" w:cs="宋体"/>
          <w:b w:val="0"/>
          <w:bCs w:val="0"/>
          <w:sz w:val="24"/>
          <w:szCs w:val="24"/>
          <w:lang w:val="en-US" w:eastAsia="zh-CN"/>
        </w:rPr>
        <w:t xml:space="preserve">第十一部分 </w:t>
      </w:r>
      <w:r>
        <w:rPr>
          <w:rFonts w:hint="eastAsia" w:ascii="宋体" w:hAnsi="宋体" w:cs="宋体"/>
          <w:b w:val="0"/>
          <w:bCs w:val="0"/>
          <w:sz w:val="24"/>
          <w:szCs w:val="24"/>
          <w:lang w:val="zh-CN" w:eastAsia="zh-CN"/>
        </w:rPr>
        <w:t>其他资料</w:t>
      </w: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default" w:ascii="宋体" w:hAnsi="宋体" w:cs="宋体"/>
          <w:b/>
          <w:bCs/>
          <w:sz w:val="24"/>
          <w:szCs w:val="24"/>
          <w:lang w:val="en-US" w:eastAsia="zh-CN"/>
        </w:rPr>
      </w:pPr>
    </w:p>
    <w:p>
      <w:pPr>
        <w:pStyle w:val="4"/>
        <w:keepLines w:val="0"/>
        <w:pageBreakBefore w:val="0"/>
        <w:kinsoku/>
        <w:wordWrap/>
        <w:overflowPunct/>
        <w:topLinePunct w:val="0"/>
        <w:bidi w:val="0"/>
        <w:spacing w:line="400" w:lineRule="exact"/>
        <w:rPr>
          <w:lang w:val="zh-CN"/>
        </w:rPr>
      </w:pPr>
      <w:r>
        <w:rPr>
          <w:rFonts w:eastAsia="黑体"/>
          <w:b w:val="0"/>
          <w:bCs/>
          <w:sz w:val="32"/>
          <w:szCs w:val="32"/>
          <w:lang w:val="zh-CN"/>
        </w:rPr>
        <w:br w:type="page"/>
      </w:r>
      <w:bookmarkStart w:id="66" w:name="_Toc22168_WPSOffice_Level1"/>
      <w:bookmarkStart w:id="67" w:name="_Toc11377_WPSOffice_Level1"/>
      <w:bookmarkStart w:id="68" w:name="_Toc15323724"/>
      <w:r>
        <w:rPr>
          <w:lang w:val="zh-CN"/>
        </w:rPr>
        <w:t>第一部分</w:t>
      </w:r>
      <w:r>
        <w:rPr>
          <w:rFonts w:hint="eastAsia"/>
          <w:lang w:val="zh-CN"/>
        </w:rPr>
        <w:t>、</w:t>
      </w:r>
      <w:r>
        <w:rPr>
          <w:lang w:val="zh-CN"/>
        </w:rPr>
        <w:t>投标函</w:t>
      </w:r>
      <w:bookmarkEnd w:id="66"/>
      <w:bookmarkEnd w:id="67"/>
      <w:bookmarkEnd w:id="68"/>
    </w:p>
    <w:p>
      <w:pPr>
        <w:keepLines w:val="0"/>
        <w:pageBreakBefore w:val="0"/>
        <w:kinsoku/>
        <w:wordWrap/>
        <w:overflowPunct/>
        <w:topLinePunct w:val="0"/>
        <w:bidi w:val="0"/>
        <w:spacing w:line="400" w:lineRule="exact"/>
        <w:rPr>
          <w:rFonts w:hint="eastAsia" w:ascii="宋体" w:hAnsi="宋体" w:cs="仿宋_GB2312"/>
          <w:szCs w:val="21"/>
        </w:rPr>
      </w:pPr>
      <w:r>
        <w:rPr>
          <w:rFonts w:hint="eastAsia" w:ascii="宋体" w:hAnsi="宋体" w:cs="仿宋_GB2312"/>
          <w:szCs w:val="21"/>
        </w:rPr>
        <w:t>致：</w:t>
      </w:r>
      <w:r>
        <w:rPr>
          <w:rFonts w:hint="eastAsia" w:ascii="宋体" w:hAnsi="宋体" w:cs="仿宋_GB2312"/>
          <w:szCs w:val="21"/>
          <w:u w:val="single"/>
        </w:rPr>
        <w:t xml:space="preserve">       </w:t>
      </w:r>
      <w:r>
        <w:rPr>
          <w:rFonts w:hint="eastAsia" w:ascii="宋体" w:hAnsi="宋体" w:cs="仿宋_GB2312"/>
          <w:szCs w:val="21"/>
          <w:u w:val="single"/>
          <w:lang w:eastAsia="zh-CN"/>
        </w:rPr>
        <w:t>（</w:t>
      </w:r>
      <w:r>
        <w:rPr>
          <w:rFonts w:hint="eastAsia" w:ascii="宋体" w:hAnsi="宋体" w:cs="仿宋_GB2312"/>
          <w:szCs w:val="21"/>
          <w:u w:val="single"/>
          <w:lang w:val="en-US" w:eastAsia="zh-CN"/>
        </w:rPr>
        <w:t>采购人名称）</w:t>
      </w:r>
      <w:r>
        <w:rPr>
          <w:rFonts w:hint="eastAsia" w:ascii="宋体" w:hAnsi="宋体" w:cs="仿宋_GB2312"/>
          <w:szCs w:val="21"/>
          <w:u w:val="single"/>
        </w:rPr>
        <w:t xml:space="preserve">         </w:t>
      </w:r>
    </w:p>
    <w:p>
      <w:pPr>
        <w:keepLines w:val="0"/>
        <w:pageBreakBefore w:val="0"/>
        <w:kinsoku/>
        <w:wordWrap/>
        <w:overflowPunct/>
        <w:topLinePunct w:val="0"/>
        <w:bidi w:val="0"/>
        <w:spacing w:line="400" w:lineRule="exact"/>
        <w:ind w:firstLine="480"/>
        <w:rPr>
          <w:rFonts w:hint="eastAsia" w:ascii="宋体" w:hAnsi="宋体" w:cs="仿宋_GB2312"/>
          <w:szCs w:val="21"/>
        </w:rPr>
      </w:pPr>
      <w:r>
        <w:rPr>
          <w:rFonts w:hint="eastAsia" w:ascii="宋体" w:hAnsi="宋体" w:cs="仿宋_GB2312"/>
          <w:szCs w:val="21"/>
        </w:rPr>
        <w:t>根据贵方“</w:t>
      </w:r>
      <w:r>
        <w:rPr>
          <w:rFonts w:hint="eastAsia" w:ascii="宋体" w:hAnsi="宋体" w:cs="仿宋_GB2312"/>
          <w:szCs w:val="21"/>
          <w:u w:val="single"/>
        </w:rPr>
        <w:t xml:space="preserve">                             </w:t>
      </w:r>
      <w:r>
        <w:rPr>
          <w:rFonts w:hint="eastAsia" w:ascii="宋体" w:hAnsi="宋体" w:cs="仿宋_GB2312"/>
          <w:szCs w:val="21"/>
        </w:rPr>
        <w:t>”项目的投标邀请（采购项目编号：</w:t>
      </w:r>
      <w:r>
        <w:rPr>
          <w:rFonts w:hint="eastAsia" w:ascii="宋体" w:hAnsi="宋体" w:cs="仿宋_GB2312"/>
          <w:szCs w:val="21"/>
          <w:u w:val="single"/>
        </w:rPr>
        <w:t xml:space="preserve">                 </w:t>
      </w:r>
      <w:r>
        <w:rPr>
          <w:rFonts w:hint="eastAsia" w:ascii="宋体" w:hAnsi="宋体" w:cs="仿宋_GB2312"/>
          <w:szCs w:val="21"/>
        </w:rPr>
        <w:t>），签字代表</w:t>
      </w:r>
      <w:r>
        <w:rPr>
          <w:rFonts w:hint="eastAsia" w:ascii="宋体" w:hAnsi="宋体" w:cs="仿宋_GB2312"/>
          <w:szCs w:val="21"/>
          <w:u w:val="single"/>
        </w:rPr>
        <w:t>（全名、职务）</w:t>
      </w:r>
      <w:r>
        <w:rPr>
          <w:rFonts w:hint="eastAsia" w:ascii="宋体" w:hAnsi="宋体" w:cs="仿宋_GB2312"/>
          <w:szCs w:val="21"/>
        </w:rPr>
        <w:t>经正式授权并代表投标人（</w:t>
      </w:r>
      <w:r>
        <w:rPr>
          <w:rFonts w:hint="eastAsia" w:ascii="宋体" w:hAnsi="宋体" w:cs="仿宋_GB2312"/>
          <w:szCs w:val="21"/>
          <w:u w:val="single"/>
        </w:rPr>
        <w:t>投标人名称、地址</w:t>
      </w:r>
      <w:r>
        <w:rPr>
          <w:rFonts w:hint="eastAsia" w:ascii="宋体" w:hAnsi="宋体" w:cs="仿宋_GB2312"/>
          <w:szCs w:val="21"/>
        </w:rPr>
        <w:t>）提交投标文件正本壹份、副本一式</w:t>
      </w:r>
      <w:r>
        <w:rPr>
          <w:rFonts w:hint="eastAsia" w:ascii="宋体" w:hAnsi="宋体" w:cs="仿宋_GB2312"/>
          <w:szCs w:val="21"/>
          <w:u w:val="single"/>
        </w:rPr>
        <w:t xml:space="preserve">  </w:t>
      </w:r>
      <w:r>
        <w:rPr>
          <w:rFonts w:hint="eastAsia" w:ascii="宋体" w:hAnsi="宋体" w:cs="仿宋_GB2312"/>
          <w:szCs w:val="21"/>
        </w:rPr>
        <w:t>份、电子版</w:t>
      </w:r>
      <w:r>
        <w:rPr>
          <w:rFonts w:hint="eastAsia" w:ascii="宋体" w:hAnsi="宋体" w:cs="仿宋_GB2312"/>
          <w:szCs w:val="21"/>
          <w:u w:val="single"/>
        </w:rPr>
        <w:t xml:space="preserve">  </w:t>
      </w:r>
      <w:r>
        <w:rPr>
          <w:rFonts w:hint="eastAsia" w:ascii="宋体" w:hAnsi="宋体" w:cs="仿宋_GB2312"/>
          <w:szCs w:val="21"/>
        </w:rPr>
        <w:t>份。并提交投标保证金，金额为</w:t>
      </w:r>
      <w:r>
        <w:rPr>
          <w:rFonts w:hint="eastAsia" w:ascii="宋体" w:hAnsi="宋体" w:cs="仿宋_GB2312"/>
          <w:szCs w:val="21"/>
          <w:u w:val="single"/>
        </w:rPr>
        <w:t xml:space="preserve">                  </w:t>
      </w:r>
      <w:r>
        <w:rPr>
          <w:rFonts w:hint="eastAsia" w:ascii="宋体" w:hAnsi="宋体" w:cs="仿宋_GB2312"/>
          <w:szCs w:val="21"/>
        </w:rPr>
        <w:t>。</w:t>
      </w:r>
    </w:p>
    <w:p>
      <w:pPr>
        <w:keepLines w:val="0"/>
        <w:pageBreakBefore w:val="0"/>
        <w:kinsoku/>
        <w:wordWrap/>
        <w:overflowPunct/>
        <w:topLinePunct w:val="0"/>
        <w:bidi w:val="0"/>
        <w:spacing w:line="400" w:lineRule="exact"/>
        <w:rPr>
          <w:rFonts w:hint="eastAsia" w:ascii="宋体" w:hAnsi="宋体" w:cs="仿宋_GB2312"/>
          <w:szCs w:val="21"/>
        </w:rPr>
      </w:pPr>
      <w:r>
        <w:rPr>
          <w:rFonts w:hint="eastAsia" w:ascii="宋体" w:hAnsi="宋体" w:cs="仿宋_GB2312"/>
          <w:szCs w:val="21"/>
        </w:rPr>
        <w:tab/>
      </w:r>
      <w:r>
        <w:rPr>
          <w:rFonts w:hint="eastAsia" w:ascii="宋体" w:hAnsi="宋体" w:cs="仿宋_GB2312"/>
          <w:szCs w:val="21"/>
        </w:rPr>
        <w:t>我方承诺如下：</w:t>
      </w:r>
    </w:p>
    <w:p>
      <w:pPr>
        <w:keepLines w:val="0"/>
        <w:pageBreakBefore w:val="0"/>
        <w:numPr>
          <w:ilvl w:val="0"/>
          <w:numId w:val="0"/>
        </w:numPr>
        <w:kinsoku/>
        <w:wordWrap/>
        <w:overflowPunct/>
        <w:topLinePunct w:val="0"/>
        <w:bidi w:val="0"/>
        <w:spacing w:line="400" w:lineRule="exact"/>
        <w:rPr>
          <w:rFonts w:hint="eastAsia" w:ascii="宋体" w:hAnsi="宋体" w:cs="仿宋_GB2312"/>
          <w:szCs w:val="21"/>
        </w:rPr>
      </w:pPr>
      <w:r>
        <w:rPr>
          <w:rFonts w:hint="eastAsia" w:ascii="宋体" w:hAnsi="宋体" w:cs="仿宋_GB2312"/>
          <w:szCs w:val="21"/>
          <w:lang w:val="en-US" w:eastAsia="zh-CN"/>
        </w:rPr>
        <w:t>1.</w:t>
      </w:r>
      <w:r>
        <w:rPr>
          <w:rFonts w:hint="eastAsia" w:ascii="宋体" w:hAnsi="宋体" w:cs="仿宋_GB2312"/>
          <w:szCs w:val="21"/>
        </w:rPr>
        <w:t>投标总价为：</w:t>
      </w:r>
      <w:r>
        <w:rPr>
          <w:rFonts w:hint="eastAsia" w:ascii="宋体" w:hAnsi="宋体" w:cs="仿宋_GB2312"/>
          <w:szCs w:val="21"/>
          <w:u w:val="single"/>
        </w:rPr>
        <w:t xml:space="preserve">   （小写金额）  </w:t>
      </w:r>
      <w:r>
        <w:rPr>
          <w:rFonts w:hint="eastAsia" w:ascii="宋体" w:hAnsi="宋体" w:cs="仿宋_GB2312"/>
          <w:szCs w:val="21"/>
        </w:rPr>
        <w:t>（即：</w:t>
      </w:r>
      <w:r>
        <w:rPr>
          <w:rFonts w:hint="eastAsia" w:ascii="宋体" w:hAnsi="宋体" w:cs="仿宋_GB2312"/>
          <w:szCs w:val="21"/>
          <w:u w:val="single"/>
        </w:rPr>
        <w:t>大写金额</w:t>
      </w:r>
      <w:r>
        <w:rPr>
          <w:rFonts w:hint="eastAsia" w:ascii="宋体" w:hAnsi="宋体" w:cs="仿宋_GB2312"/>
          <w:szCs w:val="21"/>
        </w:rPr>
        <w:t>）；</w:t>
      </w:r>
      <w:r>
        <w:rPr>
          <w:rFonts w:hint="eastAsia" w:ascii="宋体" w:hAnsi="宋体" w:cs="仿宋_GB2312"/>
          <w:szCs w:val="21"/>
          <w:lang w:val="en-US" w:eastAsia="zh-CN"/>
        </w:rPr>
        <w:t>供货周期</w:t>
      </w:r>
      <w:r>
        <w:rPr>
          <w:rFonts w:hint="eastAsia" w:ascii="宋体" w:hAnsi="宋体" w:cs="仿宋_GB2312"/>
          <w:szCs w:val="21"/>
        </w:rPr>
        <w:t>为</w:t>
      </w:r>
      <w:r>
        <w:rPr>
          <w:rFonts w:hint="eastAsia" w:ascii="宋体" w:hAnsi="宋体" w:cs="仿宋_GB2312"/>
          <w:szCs w:val="21"/>
          <w:u w:val="single"/>
        </w:rPr>
        <w:t xml:space="preserve">             </w:t>
      </w:r>
      <w:r>
        <w:rPr>
          <w:rFonts w:hint="eastAsia" w:ascii="宋体" w:hAnsi="宋体" w:cs="仿宋_GB2312"/>
          <w:szCs w:val="21"/>
        </w:rPr>
        <w:t>。</w:t>
      </w:r>
    </w:p>
    <w:p>
      <w:pPr>
        <w:keepLines w:val="0"/>
        <w:pageBreakBefore w:val="0"/>
        <w:numPr>
          <w:ilvl w:val="0"/>
          <w:numId w:val="0"/>
        </w:numPr>
        <w:kinsoku/>
        <w:wordWrap/>
        <w:overflowPunct/>
        <w:topLinePunct w:val="0"/>
        <w:bidi w:val="0"/>
        <w:spacing w:line="400" w:lineRule="exact"/>
        <w:rPr>
          <w:rFonts w:hint="eastAsia" w:ascii="宋体" w:hAnsi="宋体" w:cs="仿宋_GB2312"/>
          <w:szCs w:val="21"/>
        </w:rPr>
      </w:pPr>
      <w:r>
        <w:rPr>
          <w:rFonts w:hint="eastAsia" w:ascii="宋体" w:hAnsi="宋体" w:cs="仿宋_GB2312"/>
          <w:szCs w:val="21"/>
          <w:lang w:val="en-US" w:eastAsia="zh-CN"/>
        </w:rPr>
        <w:t>2.</w:t>
      </w:r>
      <w:r>
        <w:rPr>
          <w:rFonts w:hint="eastAsia" w:ascii="宋体" w:hAnsi="宋体" w:cs="仿宋_GB2312"/>
          <w:szCs w:val="21"/>
        </w:rPr>
        <w:t>如果中标，我们根据招标文件的规定，履行合同责任和义务</w:t>
      </w:r>
      <w:r>
        <w:rPr>
          <w:rFonts w:hint="eastAsia" w:ascii="宋体" w:hAnsi="宋体" w:cs="仿宋_GB2312"/>
          <w:szCs w:val="21"/>
          <w:lang w:eastAsia="zh-CN"/>
        </w:rPr>
        <w:t>。</w:t>
      </w:r>
    </w:p>
    <w:p>
      <w:pPr>
        <w:keepLines w:val="0"/>
        <w:pageBreakBefore w:val="0"/>
        <w:numPr>
          <w:ilvl w:val="0"/>
          <w:numId w:val="0"/>
        </w:numPr>
        <w:kinsoku/>
        <w:wordWrap/>
        <w:overflowPunct/>
        <w:topLinePunct w:val="0"/>
        <w:bidi w:val="0"/>
        <w:spacing w:line="400" w:lineRule="exact"/>
        <w:rPr>
          <w:rFonts w:hint="eastAsia" w:ascii="宋体" w:hAnsi="宋体" w:cs="仿宋_GB2312"/>
          <w:szCs w:val="21"/>
        </w:rPr>
      </w:pPr>
      <w:r>
        <w:rPr>
          <w:rFonts w:hint="eastAsia" w:ascii="宋体" w:hAnsi="宋体" w:cs="仿宋_GB2312"/>
          <w:szCs w:val="21"/>
          <w:lang w:val="en-US" w:eastAsia="zh-CN"/>
        </w:rPr>
        <w:t>3.</w:t>
      </w:r>
      <w:r>
        <w:rPr>
          <w:rFonts w:hint="eastAsia" w:ascii="宋体" w:hAnsi="宋体" w:cs="仿宋_GB2312"/>
          <w:szCs w:val="21"/>
        </w:rPr>
        <w:t>我们已详细阅读和审核全部招标文件（含修改部门，如有的话）以及有关附件。我们</w:t>
      </w:r>
    </w:p>
    <w:p>
      <w:pPr>
        <w:keepLines w:val="0"/>
        <w:pageBreakBefore w:val="0"/>
        <w:numPr>
          <w:ilvl w:val="0"/>
          <w:numId w:val="0"/>
        </w:numPr>
        <w:kinsoku/>
        <w:wordWrap/>
        <w:overflowPunct/>
        <w:topLinePunct w:val="0"/>
        <w:bidi w:val="0"/>
        <w:spacing w:line="400" w:lineRule="exact"/>
        <w:rPr>
          <w:rFonts w:hint="eastAsia" w:ascii="宋体" w:hAnsi="宋体" w:cs="仿宋_GB2312"/>
          <w:szCs w:val="21"/>
        </w:rPr>
      </w:pPr>
      <w:r>
        <w:rPr>
          <w:rFonts w:hint="eastAsia" w:ascii="宋体" w:hAnsi="宋体" w:cs="仿宋_GB2312"/>
          <w:szCs w:val="21"/>
        </w:rPr>
        <w:t>知道必须放弃提出含糊不清或误解问题的权利。</w:t>
      </w:r>
    </w:p>
    <w:p>
      <w:pPr>
        <w:keepLines w:val="0"/>
        <w:pageBreakBefore w:val="0"/>
        <w:numPr>
          <w:ilvl w:val="0"/>
          <w:numId w:val="0"/>
        </w:numPr>
        <w:kinsoku/>
        <w:wordWrap/>
        <w:overflowPunct/>
        <w:topLinePunct w:val="0"/>
        <w:bidi w:val="0"/>
        <w:spacing w:line="400" w:lineRule="exact"/>
        <w:rPr>
          <w:rFonts w:hint="eastAsia" w:ascii="宋体" w:hAnsi="宋体" w:cs="仿宋_GB2312"/>
          <w:szCs w:val="21"/>
        </w:rPr>
      </w:pPr>
      <w:r>
        <w:rPr>
          <w:rFonts w:hint="eastAsia" w:ascii="宋体" w:hAnsi="宋体" w:cs="仿宋_GB2312"/>
          <w:szCs w:val="21"/>
          <w:lang w:val="en-US" w:eastAsia="zh-CN"/>
        </w:rPr>
        <w:t>4.</w:t>
      </w:r>
      <w:r>
        <w:rPr>
          <w:rFonts w:hint="eastAsia" w:ascii="宋体" w:hAnsi="宋体" w:cs="仿宋_GB2312"/>
          <w:szCs w:val="21"/>
        </w:rPr>
        <w:t>我们同意在投标有效期内（</w:t>
      </w:r>
      <w:r>
        <w:rPr>
          <w:rFonts w:hint="eastAsia" w:ascii="宋体" w:hAnsi="宋体" w:cs="仿宋_GB2312"/>
          <w:szCs w:val="21"/>
          <w:u w:val="single"/>
        </w:rPr>
        <w:t>自开标之日起    天内</w:t>
      </w:r>
      <w:r>
        <w:rPr>
          <w:rFonts w:hint="eastAsia" w:ascii="宋体" w:hAnsi="宋体" w:cs="仿宋_GB2312"/>
          <w:szCs w:val="21"/>
        </w:rPr>
        <w:t>），本投标函对我方具有约束力。</w:t>
      </w:r>
    </w:p>
    <w:p>
      <w:pPr>
        <w:keepLines w:val="0"/>
        <w:pageBreakBefore w:val="0"/>
        <w:kinsoku/>
        <w:wordWrap/>
        <w:overflowPunct/>
        <w:topLinePunct w:val="0"/>
        <w:bidi w:val="0"/>
        <w:spacing w:line="400" w:lineRule="exact"/>
        <w:rPr>
          <w:rFonts w:hint="eastAsia" w:ascii="宋体" w:hAnsi="宋体" w:cs="仿宋_GB2312"/>
          <w:szCs w:val="21"/>
        </w:rPr>
      </w:pPr>
      <w:r>
        <w:rPr>
          <w:rFonts w:hint="eastAsia" w:ascii="宋体" w:hAnsi="宋体" w:cs="仿宋_GB2312"/>
          <w:szCs w:val="21"/>
          <w:lang w:val="en-US" w:eastAsia="zh-CN"/>
        </w:rPr>
        <w:t>5.</w:t>
      </w:r>
      <w:r>
        <w:rPr>
          <w:rFonts w:hint="eastAsia" w:ascii="宋体" w:hAnsi="宋体" w:cs="仿宋_GB2312"/>
          <w:szCs w:val="21"/>
        </w:rPr>
        <w:t>如果在开标后规定的投标有效期内撤回投标，我们的投标保证金可被贵方没收。</w:t>
      </w:r>
    </w:p>
    <w:p>
      <w:pPr>
        <w:keepLines w:val="0"/>
        <w:pageBreakBefore w:val="0"/>
        <w:kinsoku/>
        <w:wordWrap/>
        <w:overflowPunct/>
        <w:topLinePunct w:val="0"/>
        <w:bidi w:val="0"/>
        <w:spacing w:line="400" w:lineRule="exact"/>
        <w:rPr>
          <w:rFonts w:hint="eastAsia" w:ascii="宋体" w:hAnsi="宋体" w:eastAsia="宋体" w:cs="仿宋_GB2312"/>
          <w:szCs w:val="21"/>
        </w:rPr>
      </w:pPr>
      <w:r>
        <w:rPr>
          <w:rFonts w:hint="eastAsia" w:ascii="宋体" w:hAnsi="宋体" w:eastAsia="宋体" w:cs="仿宋_GB2312"/>
          <w:szCs w:val="21"/>
          <w:lang w:val="en-US" w:eastAsia="zh-CN"/>
        </w:rPr>
        <w:t>6.</w:t>
      </w:r>
      <w:r>
        <w:rPr>
          <w:rFonts w:hint="eastAsia" w:ascii="宋体" w:hAnsi="宋体" w:eastAsia="宋体" w:cs="仿宋_GB2312"/>
          <w:szCs w:val="21"/>
        </w:rPr>
        <w:t>同意提供按照贵方可能要求的与本项目投标有关的任何数据和资料。</w:t>
      </w:r>
    </w:p>
    <w:p>
      <w:pPr>
        <w:keepLines w:val="0"/>
        <w:pageBreakBefore w:val="0"/>
        <w:kinsoku/>
        <w:wordWrap/>
        <w:overflowPunct/>
        <w:topLinePunct w:val="0"/>
        <w:bidi w:val="0"/>
        <w:spacing w:line="400" w:lineRule="exact"/>
        <w:rPr>
          <w:rFonts w:hint="eastAsia" w:ascii="宋体" w:hAnsi="宋体" w:eastAsia="宋体" w:cs="仿宋_GB2312"/>
          <w:szCs w:val="21"/>
        </w:rPr>
      </w:pPr>
      <w:r>
        <w:rPr>
          <w:rFonts w:hint="eastAsia" w:ascii="宋体" w:hAnsi="宋体" w:eastAsia="宋体" w:cs="仿宋_GB2312"/>
          <w:szCs w:val="21"/>
          <w:lang w:val="en-US" w:eastAsia="zh-CN"/>
        </w:rPr>
        <w:t>7.</w:t>
      </w:r>
      <w:r>
        <w:rPr>
          <w:rFonts w:hint="eastAsia" w:ascii="宋体" w:hAnsi="宋体" w:eastAsia="宋体" w:cs="仿宋_GB2312"/>
          <w:szCs w:val="21"/>
        </w:rPr>
        <w:t>我方完全理解最低投标报价不作为中标的唯一条件，且尊重评标委员会的评标结论和定标结果。</w:t>
      </w:r>
    </w:p>
    <w:p>
      <w:pPr>
        <w:keepLines w:val="0"/>
        <w:pageBreakBefore w:val="0"/>
        <w:kinsoku/>
        <w:wordWrap/>
        <w:overflowPunct/>
        <w:topLinePunct w:val="0"/>
        <w:bidi w:val="0"/>
        <w:spacing w:line="400" w:lineRule="exact"/>
        <w:rPr>
          <w:rFonts w:hint="eastAsia" w:ascii="宋体" w:hAnsi="宋体" w:eastAsia="宋体" w:cs="仿宋_GB2312"/>
          <w:szCs w:val="21"/>
        </w:rPr>
      </w:pPr>
      <w:r>
        <w:rPr>
          <w:rFonts w:hint="eastAsia" w:ascii="宋体" w:hAnsi="宋体" w:eastAsia="宋体" w:cs="仿宋_GB2312"/>
          <w:szCs w:val="21"/>
        </w:rPr>
        <w:t>8.与本投标有关的一切正式往来通讯请寄：</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lang w:val="en-US" w:eastAsia="zh-CN"/>
        </w:rPr>
      </w:pP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lang w:val="en-US" w:eastAsia="zh-CN"/>
        </w:rPr>
      </w:pP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lang w:val="en-US" w:eastAsia="zh-CN"/>
        </w:rPr>
      </w:pP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lang w:val="en-US" w:eastAsia="zh-CN"/>
        </w:rPr>
        <w:t>供应商</w:t>
      </w:r>
      <w:r>
        <w:rPr>
          <w:rFonts w:hint="eastAsia" w:ascii="宋体" w:hAnsi="宋体" w:cs="宋体"/>
          <w:szCs w:val="21"/>
          <w:lang w:val="zh-CN"/>
        </w:rPr>
        <w:t>全称（印章）：</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lang w:val="zh-CN"/>
        </w:rPr>
        <w:t>地</w:t>
      </w:r>
      <w:r>
        <w:rPr>
          <w:rFonts w:hint="eastAsia" w:ascii="宋体" w:hAnsi="宋体" w:cs="宋体"/>
          <w:szCs w:val="21"/>
        </w:rPr>
        <w:t xml:space="preserve">    </w:t>
      </w:r>
      <w:r>
        <w:rPr>
          <w:rFonts w:hint="eastAsia" w:ascii="宋体" w:hAnsi="宋体" w:cs="宋体"/>
          <w:szCs w:val="21"/>
          <w:lang w:val="zh-CN"/>
        </w:rPr>
        <w:t>址：</w:t>
      </w:r>
      <w:r>
        <w:rPr>
          <w:rFonts w:hint="eastAsia" w:ascii="宋体" w:hAnsi="宋体" w:cs="宋体"/>
          <w:szCs w:val="21"/>
        </w:rPr>
        <w:t>__________________________________________</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lang w:val="zh-CN"/>
        </w:rPr>
        <w:t>开户银行：</w:t>
      </w:r>
      <w:r>
        <w:rPr>
          <w:rFonts w:hint="eastAsia" w:ascii="宋体" w:hAnsi="宋体" w:cs="宋体"/>
          <w:szCs w:val="21"/>
        </w:rPr>
        <w:t>__________________________________________</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lang w:val="zh-CN"/>
        </w:rPr>
        <w:t>帐</w:t>
      </w:r>
      <w:r>
        <w:rPr>
          <w:rFonts w:hint="eastAsia" w:ascii="宋体" w:hAnsi="宋体" w:cs="宋体"/>
          <w:szCs w:val="21"/>
        </w:rPr>
        <w:t xml:space="preserve">    </w:t>
      </w:r>
      <w:r>
        <w:rPr>
          <w:rFonts w:hint="eastAsia" w:ascii="宋体" w:hAnsi="宋体" w:cs="宋体"/>
          <w:szCs w:val="21"/>
          <w:lang w:val="zh-CN"/>
        </w:rPr>
        <w:t>号：</w:t>
      </w:r>
      <w:r>
        <w:rPr>
          <w:rFonts w:hint="eastAsia" w:ascii="宋体" w:hAnsi="宋体" w:cs="宋体"/>
          <w:szCs w:val="21"/>
        </w:rPr>
        <w:t>__________________________________________</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lang w:val="zh-CN"/>
        </w:rPr>
        <w:t>电</w:t>
      </w:r>
      <w:r>
        <w:rPr>
          <w:rFonts w:hint="eastAsia" w:ascii="宋体" w:hAnsi="宋体" w:cs="宋体"/>
          <w:szCs w:val="21"/>
        </w:rPr>
        <w:t xml:space="preserve">    </w:t>
      </w:r>
      <w:r>
        <w:rPr>
          <w:rFonts w:hint="eastAsia" w:ascii="宋体" w:hAnsi="宋体" w:cs="宋体"/>
          <w:szCs w:val="21"/>
          <w:lang w:val="zh-CN"/>
        </w:rPr>
        <w:t>话：</w:t>
      </w:r>
      <w:r>
        <w:rPr>
          <w:rFonts w:hint="eastAsia" w:ascii="宋体" w:hAnsi="宋体" w:cs="宋体"/>
          <w:szCs w:val="21"/>
        </w:rPr>
        <w:t>__________________________________________</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lang w:val="zh-CN"/>
        </w:rPr>
        <w:t>传</w:t>
      </w:r>
      <w:r>
        <w:rPr>
          <w:rFonts w:hint="eastAsia" w:ascii="宋体" w:hAnsi="宋体" w:cs="宋体"/>
          <w:szCs w:val="21"/>
        </w:rPr>
        <w:t xml:space="preserve">    </w:t>
      </w:r>
      <w:r>
        <w:rPr>
          <w:rFonts w:hint="eastAsia" w:ascii="宋体" w:hAnsi="宋体" w:cs="宋体"/>
          <w:szCs w:val="21"/>
          <w:lang w:val="zh-CN"/>
        </w:rPr>
        <w:t>真：</w:t>
      </w:r>
      <w:r>
        <w:rPr>
          <w:rFonts w:hint="eastAsia" w:ascii="宋体" w:hAnsi="宋体" w:cs="宋体"/>
          <w:szCs w:val="21"/>
        </w:rPr>
        <w:t>__________________________________________</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lang w:val="zh-CN"/>
        </w:rPr>
        <w:t>法定代表人</w:t>
      </w:r>
      <w:r>
        <w:rPr>
          <w:rFonts w:hint="eastAsia" w:ascii="宋体" w:hAnsi="宋体" w:cs="宋体"/>
          <w:szCs w:val="21"/>
        </w:rPr>
        <w:t>或</w:t>
      </w:r>
      <w:r>
        <w:rPr>
          <w:rFonts w:hint="eastAsia" w:ascii="宋体" w:hAnsi="宋体" w:cs="宋体"/>
          <w:szCs w:val="21"/>
          <w:lang w:val="zh-CN"/>
        </w:rPr>
        <w:t>授权代表（签字或盖章）：</w:t>
      </w:r>
      <w:r>
        <w:rPr>
          <w:rFonts w:hint="eastAsia" w:ascii="宋体" w:hAnsi="宋体" w:cs="宋体"/>
          <w:szCs w:val="21"/>
        </w:rPr>
        <w:t>_______ ________</w:t>
      </w:r>
    </w:p>
    <w:p>
      <w:pPr>
        <w:keepLines w:val="0"/>
        <w:pageBreakBefore w:val="0"/>
        <w:kinsoku/>
        <w:wordWrap/>
        <w:overflowPunct/>
        <w:topLinePunct w:val="0"/>
        <w:autoSpaceDE w:val="0"/>
        <w:autoSpaceDN w:val="0"/>
        <w:bidi w:val="0"/>
        <w:adjustRightInd w:val="0"/>
        <w:spacing w:line="400" w:lineRule="exact"/>
        <w:jc w:val="right"/>
        <w:rPr>
          <w:rFonts w:hint="eastAsia" w:ascii="宋体" w:hAnsi="宋体" w:cs="宋体"/>
          <w:szCs w:val="21"/>
          <w:lang w:val="zh-CN"/>
        </w:rPr>
      </w:pPr>
      <w:r>
        <w:rPr>
          <w:rFonts w:hint="eastAsia" w:ascii="宋体" w:hAnsi="宋体" w:cs="宋体"/>
          <w:szCs w:val="21"/>
        </w:rPr>
        <w:t xml:space="preserve">                 _____</w:t>
      </w:r>
      <w:r>
        <w:rPr>
          <w:rFonts w:hint="eastAsia" w:ascii="宋体" w:hAnsi="宋体" w:cs="宋体"/>
          <w:szCs w:val="21"/>
          <w:lang w:val="zh-CN"/>
        </w:rPr>
        <w:t>年</w:t>
      </w:r>
      <w:r>
        <w:rPr>
          <w:rFonts w:hint="eastAsia" w:ascii="宋体" w:hAnsi="宋体" w:cs="宋体"/>
          <w:szCs w:val="21"/>
        </w:rPr>
        <w:t>_____</w:t>
      </w:r>
      <w:r>
        <w:rPr>
          <w:rFonts w:hint="eastAsia" w:ascii="宋体" w:hAnsi="宋体" w:cs="宋体"/>
          <w:szCs w:val="21"/>
          <w:lang w:val="zh-CN"/>
        </w:rPr>
        <w:t>月</w:t>
      </w:r>
      <w:r>
        <w:rPr>
          <w:rFonts w:hint="eastAsia" w:ascii="宋体" w:hAnsi="宋体" w:cs="宋体"/>
          <w:szCs w:val="21"/>
        </w:rPr>
        <w:t>_____</w:t>
      </w:r>
      <w:r>
        <w:rPr>
          <w:rFonts w:hint="eastAsia" w:ascii="宋体" w:hAnsi="宋体" w:cs="宋体"/>
          <w:szCs w:val="21"/>
          <w:lang w:val="zh-CN"/>
        </w:rPr>
        <w:t>日</w:t>
      </w:r>
      <w:bookmarkStart w:id="69" w:name="_Toc15323725"/>
    </w:p>
    <w:p>
      <w:pPr>
        <w:keepLines w:val="0"/>
        <w:pageBreakBefore w:val="0"/>
        <w:kinsoku/>
        <w:wordWrap/>
        <w:overflowPunct/>
        <w:topLinePunct w:val="0"/>
        <w:bidi w:val="0"/>
        <w:spacing w:line="400" w:lineRule="exact"/>
        <w:rPr>
          <w:rFonts w:hint="eastAsia" w:ascii="宋体" w:hAnsi="宋体" w:cs="宋体"/>
          <w:szCs w:val="21"/>
          <w:lang w:val="zh-CN"/>
        </w:rPr>
      </w:pPr>
    </w:p>
    <w:p>
      <w:pPr>
        <w:pStyle w:val="4"/>
        <w:keepLines w:val="0"/>
        <w:pageBreakBefore w:val="0"/>
        <w:kinsoku/>
        <w:wordWrap/>
        <w:overflowPunct/>
        <w:topLinePunct w:val="0"/>
        <w:bidi w:val="0"/>
        <w:spacing w:line="400" w:lineRule="exact"/>
        <w:rPr>
          <w:rFonts w:hint="eastAsia"/>
        </w:rPr>
      </w:pPr>
      <w:r>
        <w:rPr>
          <w:rFonts w:hint="eastAsia" w:ascii="宋体" w:hAnsi="宋体" w:cs="宋体"/>
          <w:sz w:val="21"/>
          <w:szCs w:val="21"/>
          <w:lang w:val="zh-CN"/>
        </w:rPr>
        <w:br w:type="page"/>
      </w:r>
      <w:bookmarkStart w:id="70" w:name="_Toc20112_WPSOffice_Level1"/>
      <w:bookmarkStart w:id="71" w:name="_Toc4744_WPSOffice_Level1"/>
      <w:r>
        <w:rPr>
          <w:rFonts w:hint="eastAsia"/>
          <w:lang w:val="zh-CN"/>
        </w:rPr>
        <w:t>第二部分、</w:t>
      </w:r>
      <w:r>
        <w:rPr>
          <w:rFonts w:hint="eastAsia"/>
        </w:rPr>
        <w:t>投标报价表</w:t>
      </w:r>
      <w:bookmarkEnd w:id="70"/>
      <w:bookmarkEnd w:id="71"/>
    </w:p>
    <w:p>
      <w:pPr>
        <w:keepLines w:val="0"/>
        <w:pageBreakBefore w:val="0"/>
        <w:kinsoku/>
        <w:wordWrap/>
        <w:overflowPunct/>
        <w:topLinePunct w:val="0"/>
        <w:bidi w:val="0"/>
        <w:spacing w:line="400" w:lineRule="exact"/>
        <w:jc w:val="right"/>
        <w:rPr>
          <w:rFonts w:hint="eastAsia" w:ascii="宋体" w:hAnsi="宋体" w:cs="仿宋_GB2312"/>
          <w:sz w:val="24"/>
          <w:szCs w:val="22"/>
        </w:rPr>
      </w:pPr>
      <w:r>
        <w:rPr>
          <w:rFonts w:hint="eastAsia" w:ascii="宋体" w:hAnsi="宋体" w:cs="仿宋_GB2312"/>
          <w:sz w:val="24"/>
          <w:szCs w:val="22"/>
        </w:rPr>
        <w:t>单元：（元）</w:t>
      </w:r>
    </w:p>
    <w:tbl>
      <w:tblPr>
        <w:tblStyle w:val="14"/>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6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jc w:val="center"/>
        </w:trPr>
        <w:tc>
          <w:tcPr>
            <w:tcW w:w="1871"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项目名称</w:t>
            </w:r>
          </w:p>
        </w:tc>
        <w:tc>
          <w:tcPr>
            <w:tcW w:w="6633" w:type="dxa"/>
            <w:noWrap w:val="0"/>
            <w:vAlign w:val="center"/>
          </w:tcPr>
          <w:p>
            <w:pPr>
              <w:keepLines w:val="0"/>
              <w:pageBreakBefore w:val="0"/>
              <w:kinsoku/>
              <w:wordWrap/>
              <w:overflowPunct/>
              <w:topLinePunct w:val="0"/>
              <w:bidi w:val="0"/>
              <w:spacing w:line="400" w:lineRule="exact"/>
            </w:pPr>
            <w:r>
              <w:rPr>
                <w:rFonts w:hint="eastAsia" w:ascii="Times New Roman" w:hAnsi="Times New Roman" w:eastAsia="宋体" w:cs="Times New Roman"/>
                <w:szCs w:val="22"/>
                <w:lang w:val="en-US" w:eastAsia="zh-CN"/>
              </w:rPr>
              <w:t>大荔县2022至2023学年度学生营养改善计划采购项目第</w:t>
            </w:r>
            <w:r>
              <w:rPr>
                <w:rFonts w:hint="eastAsia" w:ascii="Times New Roman" w:hAnsi="Times New Roman" w:eastAsia="宋体" w:cs="Times New Roman"/>
                <w:szCs w:val="22"/>
                <w:u w:val="single"/>
                <w:lang w:val="en-US" w:eastAsia="zh-CN"/>
              </w:rPr>
              <w:t xml:space="preserve">       </w:t>
            </w:r>
            <w:r>
              <w:rPr>
                <w:rFonts w:hint="eastAsia" w:ascii="Times New Roman" w:hAnsi="Times New Roman" w:eastAsia="宋体" w:cs="Times New Roman"/>
                <w:szCs w:val="22"/>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871"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项目编号</w:t>
            </w:r>
          </w:p>
        </w:tc>
        <w:tc>
          <w:tcPr>
            <w:tcW w:w="6633" w:type="dxa"/>
            <w:noWrap w:val="0"/>
            <w:vAlign w:val="center"/>
          </w:tcPr>
          <w:p>
            <w:pPr>
              <w:keepLines w:val="0"/>
              <w:pageBreakBefore w:val="0"/>
              <w:kinsoku/>
              <w:wordWrap/>
              <w:overflowPunct/>
              <w:topLinePunct w:val="0"/>
              <w:bidi w:val="0"/>
              <w:spacing w:line="400" w:lineRule="exac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8" w:hRule="atLeast"/>
          <w:jc w:val="center"/>
        </w:trPr>
        <w:tc>
          <w:tcPr>
            <w:tcW w:w="1871"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投标总报价</w:t>
            </w:r>
          </w:p>
          <w:p>
            <w:pPr>
              <w:keepLines w:val="0"/>
              <w:pageBreakBefore w:val="0"/>
              <w:kinsoku/>
              <w:wordWrap/>
              <w:overflowPunct/>
              <w:topLinePunct w:val="0"/>
              <w:bidi w:val="0"/>
              <w:spacing w:line="400" w:lineRule="exact"/>
              <w:jc w:val="center"/>
              <w:rPr>
                <w:rFonts w:hint="eastAsia"/>
              </w:rPr>
            </w:pPr>
            <w:r>
              <w:rPr>
                <w:rFonts w:hint="eastAsia"/>
              </w:rPr>
              <w:t>（元）</w:t>
            </w:r>
          </w:p>
        </w:tc>
        <w:tc>
          <w:tcPr>
            <w:tcW w:w="6633" w:type="dxa"/>
            <w:noWrap w:val="0"/>
            <w:vAlign w:val="center"/>
          </w:tcPr>
          <w:p>
            <w:pPr>
              <w:keepLines w:val="0"/>
              <w:pageBreakBefore w:val="0"/>
              <w:kinsoku/>
              <w:wordWrap/>
              <w:overflowPunct/>
              <w:topLinePunct w:val="0"/>
              <w:bidi w:val="0"/>
              <w:spacing w:line="400" w:lineRule="exact"/>
              <w:rPr>
                <w:rFonts w:hint="eastAsia" w:eastAsia="宋体"/>
                <w:lang w:eastAsia="zh-CN"/>
              </w:rPr>
            </w:pPr>
            <w:r>
              <w:rPr>
                <w:rFonts w:hint="eastAsia"/>
              </w:rPr>
              <w:t>大写</w:t>
            </w:r>
            <w:r>
              <w:rPr>
                <w:rFonts w:hint="eastAsia"/>
                <w:lang w:eastAsia="zh-CN"/>
              </w:rPr>
              <w:t>：</w:t>
            </w:r>
          </w:p>
          <w:p>
            <w:pPr>
              <w:keepLines w:val="0"/>
              <w:pageBreakBefore w:val="0"/>
              <w:kinsoku/>
              <w:wordWrap/>
              <w:overflowPunct/>
              <w:topLinePunct w:val="0"/>
              <w:bidi w:val="0"/>
              <w:spacing w:line="400" w:lineRule="exact"/>
              <w:rPr>
                <w:rFonts w:hint="eastAsia"/>
              </w:rPr>
            </w:pPr>
          </w:p>
          <w:p>
            <w:pPr>
              <w:keepLines w:val="0"/>
              <w:pageBreakBefore w:val="0"/>
              <w:kinsoku/>
              <w:wordWrap/>
              <w:overflowPunct/>
              <w:topLinePunct w:val="0"/>
              <w:bidi w:val="0"/>
              <w:spacing w:line="400" w:lineRule="exact"/>
              <w:rPr>
                <w:rFonts w:hint="eastAsia" w:eastAsia="宋体"/>
                <w:lang w:eastAsia="zh-CN"/>
              </w:rPr>
            </w:pPr>
            <w:r>
              <w:rPr>
                <w:rFonts w:hint="eastAsia"/>
              </w:rPr>
              <w:t>小写</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871" w:type="dxa"/>
            <w:noWrap w:val="0"/>
            <w:vAlign w:val="center"/>
          </w:tcPr>
          <w:p>
            <w:pPr>
              <w:keepLines w:val="0"/>
              <w:pageBreakBefore w:val="0"/>
              <w:kinsoku/>
              <w:wordWrap/>
              <w:overflowPunct/>
              <w:topLinePunct w:val="0"/>
              <w:bidi w:val="0"/>
              <w:spacing w:line="400" w:lineRule="exact"/>
              <w:jc w:val="center"/>
              <w:rPr>
                <w:rFonts w:hint="default" w:eastAsia="宋体"/>
                <w:lang w:val="en-US" w:eastAsia="zh-CN"/>
              </w:rPr>
            </w:pPr>
            <w:r>
              <w:rPr>
                <w:rFonts w:hint="eastAsia"/>
                <w:lang w:val="en-US" w:eastAsia="zh-CN"/>
              </w:rPr>
              <w:t>供货周期</w:t>
            </w:r>
          </w:p>
        </w:tc>
        <w:tc>
          <w:tcPr>
            <w:tcW w:w="6633" w:type="dxa"/>
            <w:noWrap w:val="0"/>
            <w:vAlign w:val="center"/>
          </w:tcPr>
          <w:p>
            <w:pPr>
              <w:keepLines w:val="0"/>
              <w:pageBreakBefore w:val="0"/>
              <w:kinsoku/>
              <w:wordWrap/>
              <w:overflowPunct/>
              <w:topLinePunct w:val="0"/>
              <w:bidi w:val="0"/>
              <w:spacing w:line="4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8504" w:type="dxa"/>
            <w:gridSpan w:val="2"/>
            <w:noWrap w:val="0"/>
            <w:vAlign w:val="center"/>
          </w:tcPr>
          <w:p>
            <w:pPr>
              <w:keepLines w:val="0"/>
              <w:pageBreakBefore w:val="0"/>
              <w:kinsoku/>
              <w:wordWrap/>
              <w:overflowPunct/>
              <w:topLinePunct w:val="0"/>
              <w:bidi w:val="0"/>
              <w:spacing w:line="400" w:lineRule="exact"/>
              <w:rPr>
                <w:rFonts w:hint="eastAsia"/>
              </w:rPr>
            </w:pPr>
            <w:r>
              <w:rPr>
                <w:rFonts w:hint="eastAsia"/>
              </w:rPr>
              <w:t>说明：投标报价以元为单位，大小写不一致时，以大写为准。</w:t>
            </w:r>
          </w:p>
        </w:tc>
      </w:tr>
    </w:tbl>
    <w:p>
      <w:pPr>
        <w:keepLines w:val="0"/>
        <w:pageBreakBefore w:val="0"/>
        <w:kinsoku/>
        <w:wordWrap/>
        <w:overflowPunct/>
        <w:topLinePunct w:val="0"/>
        <w:bidi w:val="0"/>
        <w:spacing w:line="400" w:lineRule="exact"/>
        <w:jc w:val="center"/>
        <w:rPr>
          <w:rFonts w:hint="eastAsia"/>
          <w:b/>
          <w:bCs/>
          <w:sz w:val="24"/>
          <w:szCs w:val="24"/>
          <w:lang w:val="en-US" w:eastAsia="zh-CN"/>
        </w:rPr>
      </w:pPr>
      <w:r>
        <w:rPr>
          <w:rFonts w:hint="eastAsia"/>
          <w:b/>
          <w:bCs/>
          <w:sz w:val="24"/>
          <w:szCs w:val="24"/>
          <w:lang w:val="en-US" w:eastAsia="zh-CN"/>
        </w:rPr>
        <w:t>注：</w:t>
      </w:r>
      <w:r>
        <w:rPr>
          <w:rFonts w:hint="eastAsia"/>
          <w:b/>
          <w:bCs/>
          <w:sz w:val="24"/>
          <w:szCs w:val="24"/>
          <w:lang w:eastAsia="zh-CN"/>
        </w:rPr>
        <w:t>在本表后附一份分项报价表（格式自拟），注明产品名称、数量、</w:t>
      </w:r>
      <w:r>
        <w:rPr>
          <w:rFonts w:hint="eastAsia"/>
          <w:b/>
          <w:bCs/>
          <w:sz w:val="24"/>
          <w:szCs w:val="24"/>
          <w:lang w:val="en-US" w:eastAsia="zh-CN"/>
        </w:rPr>
        <w:t>规格、</w:t>
      </w:r>
    </w:p>
    <w:p>
      <w:pPr>
        <w:keepLines w:val="0"/>
        <w:pageBreakBefore w:val="0"/>
        <w:kinsoku/>
        <w:wordWrap/>
        <w:overflowPunct/>
        <w:topLinePunct w:val="0"/>
        <w:bidi w:val="0"/>
        <w:spacing w:line="400" w:lineRule="exact"/>
        <w:jc w:val="both"/>
        <w:rPr>
          <w:rFonts w:hint="eastAsia"/>
          <w:b/>
          <w:bCs/>
          <w:sz w:val="24"/>
          <w:szCs w:val="24"/>
          <w:lang w:eastAsia="zh-CN"/>
        </w:rPr>
      </w:pPr>
      <w:r>
        <w:rPr>
          <w:rFonts w:hint="eastAsia"/>
          <w:b/>
          <w:bCs/>
          <w:sz w:val="24"/>
          <w:szCs w:val="24"/>
          <w:lang w:eastAsia="zh-CN"/>
        </w:rPr>
        <w:t>单价、合价。</w:t>
      </w:r>
    </w:p>
    <w:p>
      <w:pPr>
        <w:pStyle w:val="9"/>
        <w:rPr>
          <w:rFonts w:hint="eastAsia"/>
          <w:lang w:eastAsia="zh-CN"/>
        </w:rPr>
      </w:pPr>
    </w:p>
    <w:p>
      <w:pPr>
        <w:keepLines w:val="0"/>
        <w:pageBreakBefore w:val="0"/>
        <w:kinsoku/>
        <w:wordWrap/>
        <w:overflowPunct/>
        <w:topLinePunct w:val="0"/>
        <w:bidi w:val="0"/>
        <w:spacing w:line="400" w:lineRule="exact"/>
        <w:rPr>
          <w:rFonts w:hint="eastAsia"/>
          <w:sz w:val="24"/>
          <w:szCs w:val="24"/>
        </w:rPr>
      </w:pPr>
    </w:p>
    <w:p>
      <w:pPr>
        <w:keepLines w:val="0"/>
        <w:pageBreakBefore w:val="0"/>
        <w:kinsoku/>
        <w:wordWrap/>
        <w:overflowPunct/>
        <w:topLinePunct w:val="0"/>
        <w:bidi w:val="0"/>
        <w:spacing w:line="400" w:lineRule="exact"/>
        <w:rPr>
          <w:rFonts w:hint="eastAsia"/>
          <w:sz w:val="24"/>
          <w:szCs w:val="24"/>
          <w:lang w:val="en-US" w:eastAsia="zh-CN"/>
        </w:rPr>
      </w:pPr>
    </w:p>
    <w:p>
      <w:pPr>
        <w:keepLines w:val="0"/>
        <w:pageBreakBefore w:val="0"/>
        <w:kinsoku/>
        <w:wordWrap/>
        <w:overflowPunct/>
        <w:topLinePunct w:val="0"/>
        <w:bidi w:val="0"/>
        <w:spacing w:line="400" w:lineRule="exact"/>
        <w:rPr>
          <w:rFonts w:hint="eastAsia" w:ascii="宋体" w:hAnsi="宋体" w:cs="仿宋_GB2312"/>
          <w:sz w:val="24"/>
          <w:szCs w:val="24"/>
        </w:rPr>
      </w:pPr>
      <w:r>
        <w:rPr>
          <w:rFonts w:hint="eastAsia"/>
          <w:sz w:val="24"/>
          <w:szCs w:val="24"/>
          <w:lang w:val="en-US" w:eastAsia="zh-CN"/>
        </w:rPr>
        <w:t>供应商名称</w:t>
      </w:r>
      <w:r>
        <w:rPr>
          <w:rFonts w:hint="eastAsia"/>
          <w:sz w:val="24"/>
          <w:szCs w:val="24"/>
        </w:rPr>
        <w:t>：</w:t>
      </w:r>
      <w:r>
        <w:rPr>
          <w:rFonts w:hint="eastAsia"/>
          <w:sz w:val="24"/>
          <w:szCs w:val="24"/>
          <w:u w:val="single"/>
        </w:rPr>
        <w:t xml:space="preserve">           （加盖单位公章）           </w:t>
      </w:r>
    </w:p>
    <w:p>
      <w:pPr>
        <w:keepLines w:val="0"/>
        <w:pageBreakBefore w:val="0"/>
        <w:kinsoku/>
        <w:wordWrap/>
        <w:overflowPunct/>
        <w:topLinePunct w:val="0"/>
        <w:bidi w:val="0"/>
        <w:spacing w:line="400" w:lineRule="exact"/>
        <w:rPr>
          <w:rFonts w:hint="eastAsia" w:ascii="宋体" w:hAnsi="宋体" w:cs="仿宋_GB2312"/>
          <w:sz w:val="24"/>
          <w:szCs w:val="24"/>
        </w:rPr>
      </w:pPr>
      <w:r>
        <w:rPr>
          <w:rFonts w:ascii="宋体" w:hAnsi="宋体"/>
          <w:sz w:val="24"/>
          <w:szCs w:val="24"/>
        </w:rPr>
        <w:t>法定代表人或被授权人</w:t>
      </w:r>
      <w:r>
        <w:rPr>
          <w:rFonts w:hint="eastAsia" w:ascii="宋体" w:hAnsi="宋体" w:cs="宋体"/>
          <w:sz w:val="24"/>
          <w:szCs w:val="24"/>
          <w:lang w:val="zh-CN"/>
        </w:rPr>
        <w:t>（签字或盖章）</w:t>
      </w:r>
      <w:r>
        <w:rPr>
          <w:rFonts w:ascii="宋体" w:hAnsi="宋体"/>
          <w:sz w:val="24"/>
          <w:szCs w:val="24"/>
        </w:rPr>
        <w:t>：</w:t>
      </w:r>
      <w:r>
        <w:rPr>
          <w:rFonts w:hint="eastAsia" w:ascii="宋体" w:hAnsi="宋体"/>
          <w:sz w:val="24"/>
          <w:szCs w:val="24"/>
          <w:u w:val="single"/>
        </w:rPr>
        <w:t xml:space="preserve">               </w:t>
      </w:r>
    </w:p>
    <w:p>
      <w:pPr>
        <w:keepLines w:val="0"/>
        <w:pageBreakBefore w:val="0"/>
        <w:tabs>
          <w:tab w:val="left" w:pos="1100"/>
        </w:tabs>
        <w:kinsoku/>
        <w:wordWrap/>
        <w:overflowPunct/>
        <w:topLinePunct w:val="0"/>
        <w:bidi w:val="0"/>
        <w:spacing w:line="400" w:lineRule="exact"/>
        <w:rPr>
          <w:rFonts w:ascii="宋体" w:hAnsi="宋体"/>
          <w:sz w:val="24"/>
          <w:szCs w:val="24"/>
        </w:rPr>
      </w:pPr>
      <w:r>
        <w:rPr>
          <w:rFonts w:ascii="宋体" w:hAnsi="宋体"/>
          <w:sz w:val="24"/>
          <w:szCs w:val="24"/>
        </w:rPr>
        <w:t>日</w:t>
      </w:r>
      <w:r>
        <w:rPr>
          <w:rFonts w:eastAsia="Times New Roman"/>
          <w:sz w:val="24"/>
          <w:szCs w:val="24"/>
        </w:rPr>
        <w:tab/>
      </w:r>
      <w:r>
        <w:rPr>
          <w:rFonts w:ascii="宋体" w:hAnsi="宋体"/>
          <w:sz w:val="24"/>
          <w:szCs w:val="24"/>
        </w:rPr>
        <w:t>期：</w:t>
      </w:r>
      <w:r>
        <w:rPr>
          <w:rFonts w:hint="eastAsia" w:ascii="宋体" w:hAnsi="宋体"/>
          <w:sz w:val="24"/>
          <w:szCs w:val="24"/>
          <w:u w:val="single"/>
        </w:rPr>
        <w:t xml:space="preserve">               </w:t>
      </w:r>
    </w:p>
    <w:p>
      <w:pPr>
        <w:keepLines w:val="0"/>
        <w:pageBreakBefore w:val="0"/>
        <w:kinsoku/>
        <w:wordWrap/>
        <w:overflowPunct/>
        <w:topLinePunct w:val="0"/>
        <w:bidi w:val="0"/>
        <w:spacing w:line="400" w:lineRule="exact"/>
        <w:rPr>
          <w:rFonts w:hint="eastAsia" w:ascii="宋体" w:hAnsi="宋体" w:cs="宋体"/>
          <w:szCs w:val="21"/>
          <w:lang w:val="zh-CN"/>
        </w:rPr>
      </w:pPr>
    </w:p>
    <w:p>
      <w:pPr>
        <w:keepLines w:val="0"/>
        <w:pageBreakBefore w:val="0"/>
        <w:kinsoku/>
        <w:wordWrap/>
        <w:overflowPunct/>
        <w:topLinePunct w:val="0"/>
        <w:bidi w:val="0"/>
        <w:spacing w:line="400" w:lineRule="exact"/>
        <w:rPr>
          <w:rFonts w:hint="eastAsia" w:ascii="宋体" w:hAnsi="宋体" w:cs="宋体"/>
          <w:szCs w:val="21"/>
          <w:lang w:val="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4"/>
        <w:pageBreakBefore w:val="0"/>
        <w:kinsoku/>
        <w:bidi w:val="0"/>
        <w:spacing w:line="400" w:lineRule="exact"/>
        <w:rPr>
          <w:rFonts w:hint="eastAsia"/>
          <w:lang w:val="en-US" w:eastAsia="zh-CN"/>
        </w:rPr>
      </w:pPr>
    </w:p>
    <w:p>
      <w:pPr>
        <w:pStyle w:val="4"/>
        <w:pageBreakBefore w:val="0"/>
        <w:kinsoku/>
        <w:bidi w:val="0"/>
        <w:spacing w:line="400" w:lineRule="exact"/>
        <w:rPr>
          <w:rFonts w:hint="eastAsia"/>
          <w:lang w:val="en-US" w:eastAsia="zh-CN"/>
        </w:rPr>
      </w:pPr>
      <w:bookmarkStart w:id="72" w:name="_Toc19552_WPSOffice_Level1"/>
      <w:r>
        <w:rPr>
          <w:rFonts w:hint="eastAsia"/>
          <w:lang w:val="en-US" w:eastAsia="zh-CN"/>
        </w:rPr>
        <w:t>第三部分、技术规格响应偏离表</w:t>
      </w:r>
      <w:bookmarkEnd w:id="72"/>
    </w:p>
    <w:p>
      <w:pPr>
        <w:pageBreakBefore w:val="0"/>
        <w:kinsoku/>
        <w:bidi w:val="0"/>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bidi w:val="0"/>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bidi w:val="0"/>
        <w:spacing w:line="400" w:lineRule="exact"/>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包    号：</w:t>
      </w:r>
      <w:r>
        <w:rPr>
          <w:rFonts w:hint="eastAsia" w:ascii="宋体" w:hAnsi="宋体" w:eastAsia="宋体" w:cs="宋体"/>
          <w:color w:val="auto"/>
          <w:sz w:val="24"/>
          <w:highlight w:val="none"/>
          <w:u w:val="single"/>
        </w:rPr>
        <w:t xml:space="preserve">                   </w:t>
      </w:r>
    </w:p>
    <w:tbl>
      <w:tblPr>
        <w:tblStyle w:val="14"/>
        <w:tblW w:w="8520" w:type="dxa"/>
        <w:jc w:val="center"/>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647"/>
        <w:gridCol w:w="2134"/>
        <w:gridCol w:w="1480"/>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97" w:leftChars="-4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序号</w:t>
            </w: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rPr>
              <w:t>文件</w:t>
            </w:r>
          </w:p>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要求</w:t>
            </w: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文件</w:t>
            </w:r>
          </w:p>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响应</w:t>
            </w: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偏离情况</w:t>
            </w:r>
          </w:p>
        </w:tc>
        <w:tc>
          <w:tcPr>
            <w:tcW w:w="1291" w:type="dxa"/>
            <w:noWrap w:val="0"/>
            <w:vAlign w:val="center"/>
          </w:tcPr>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bl>
    <w:p>
      <w:pPr>
        <w:widowControl w:val="0"/>
        <w:spacing w:before="0" w:beforeAutospacing="0" w:after="0" w:afterAutospacing="0" w:line="360" w:lineRule="auto"/>
        <w:rPr>
          <w:rFonts w:hint="eastAsia" w:ascii="宋体" w:hAnsi="宋体" w:eastAsia="宋体" w:cs="宋体"/>
          <w:b/>
          <w:bCs/>
          <w:color w:val="auto"/>
          <w:highlight w:val="none"/>
        </w:rPr>
      </w:pPr>
      <w:r>
        <w:rPr>
          <w:rFonts w:hint="eastAsia" w:ascii="宋体" w:hAnsi="宋体" w:eastAsia="宋体" w:cs="宋体"/>
          <w:b/>
          <w:bCs/>
          <w:sz w:val="24"/>
          <w:highlight w:val="none"/>
        </w:rPr>
        <w:t>注：</w:t>
      </w:r>
      <w:r>
        <w:rPr>
          <w:rFonts w:hint="eastAsia" w:ascii="宋体" w:hAnsi="宋体" w:eastAsia="宋体" w:cs="宋体"/>
          <w:b/>
          <w:bCs/>
          <w:color w:val="auto"/>
          <w:highlight w:val="none"/>
        </w:rPr>
        <w:t>说明：</w:t>
      </w:r>
    </w:p>
    <w:p>
      <w:pPr>
        <w:widowControl w:val="0"/>
        <w:spacing w:before="0" w:beforeAutospacing="0" w:after="0" w:afterAutospacing="0" w:line="360" w:lineRule="auto"/>
        <w:ind w:firstLine="42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1.本表只填写投标文件中与招标文件有偏离的内容，投标文件中</w:t>
      </w:r>
      <w:r>
        <w:rPr>
          <w:rFonts w:hint="eastAsia" w:ascii="宋体" w:hAnsi="宋体" w:cs="宋体"/>
          <w:b/>
          <w:bCs/>
          <w:color w:val="auto"/>
          <w:highlight w:val="none"/>
          <w:lang w:val="en-US" w:eastAsia="zh-CN"/>
        </w:rPr>
        <w:t>技术</w:t>
      </w:r>
      <w:r>
        <w:rPr>
          <w:rFonts w:hint="eastAsia" w:ascii="宋体" w:hAnsi="宋体" w:eastAsia="宋体" w:cs="宋体"/>
          <w:b/>
          <w:bCs/>
          <w:color w:val="auto"/>
          <w:highlight w:val="none"/>
        </w:rPr>
        <w:t>响应与招标文件要求完全一致的，不用在此表中列出，但必须提交空白表。</w:t>
      </w:r>
    </w:p>
    <w:p>
      <w:pPr>
        <w:widowControl w:val="0"/>
        <w:spacing w:before="0" w:beforeAutospacing="0" w:after="0" w:afterAutospacing="0"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必须据实填写，不得虚假响应，否则将取消其投标或中标资格，并按有关规定进处罚。</w:t>
      </w:r>
    </w:p>
    <w:p>
      <w:pPr>
        <w:pageBreakBefore w:val="0"/>
        <w:kinsoku/>
        <w:bidi w:val="0"/>
        <w:adjustRightInd w:val="0"/>
        <w:spacing w:line="400" w:lineRule="exact"/>
        <w:jc w:val="right"/>
        <w:rPr>
          <w:rFonts w:hint="eastAsia" w:ascii="宋体" w:hAnsi="宋体" w:eastAsia="宋体" w:cs="宋体"/>
          <w:color w:val="auto"/>
          <w:sz w:val="24"/>
          <w:highlight w:val="none"/>
        </w:rPr>
      </w:pPr>
    </w:p>
    <w:p>
      <w:pPr>
        <w:pageBreakBefore w:val="0"/>
        <w:kinsoku/>
        <w:bidi w:val="0"/>
        <w:adjustRightInd w:val="0"/>
        <w:spacing w:line="400" w:lineRule="exact"/>
        <w:jc w:val="righ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（单位公章）</w:t>
      </w:r>
    </w:p>
    <w:p>
      <w:pPr>
        <w:pageBreakBefore w:val="0"/>
        <w:kinsoku/>
        <w:bidi w:val="0"/>
        <w:spacing w:line="400" w:lineRule="exact"/>
        <w:ind w:left="0" w:leftChars="0" w:firstLine="0" w:firstLineChars="0"/>
        <w:jc w:val="right"/>
        <w:rPr>
          <w:rFonts w:hint="eastAsia" w:ascii="宋体" w:hAnsi="宋体" w:eastAsia="宋体" w:cs="宋体"/>
          <w:color w:val="auto"/>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highlight w:val="none"/>
        </w:rPr>
        <w:t>（签字）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right"/>
        <w:textAlignment w:val="auto"/>
        <w:rPr>
          <w:rFonts w:hint="eastAsia" w:ascii="宋体" w:hAnsi="宋体" w:eastAsia="宋体" w:cs="宋体"/>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4"/>
        <w:pageBreakBefore w:val="0"/>
        <w:kinsoku/>
        <w:bidi w:val="0"/>
        <w:spacing w:line="400" w:lineRule="exact"/>
        <w:rPr>
          <w:rFonts w:hint="eastAsia"/>
        </w:rPr>
      </w:pPr>
      <w:bookmarkStart w:id="73" w:name="_Toc32211_WPSOffice_Level1"/>
      <w:r>
        <w:rPr>
          <w:rFonts w:hint="eastAsia"/>
          <w:lang w:val="en-US" w:eastAsia="zh-CN"/>
        </w:rPr>
        <w:t>第四部分、商务响应偏离表</w:t>
      </w:r>
      <w:bookmarkEnd w:id="73"/>
    </w:p>
    <w:p>
      <w:pPr>
        <w:pageBreakBefore w:val="0"/>
        <w:kinsoku/>
        <w:bidi w:val="0"/>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bidi w:val="0"/>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bidi w:val="0"/>
        <w:spacing w:line="400" w:lineRule="exact"/>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包    号：</w:t>
      </w:r>
      <w:r>
        <w:rPr>
          <w:rFonts w:hint="eastAsia" w:ascii="宋体" w:hAnsi="宋体" w:eastAsia="宋体" w:cs="宋体"/>
          <w:color w:val="auto"/>
          <w:sz w:val="24"/>
          <w:highlight w:val="none"/>
          <w:u w:val="single"/>
        </w:rPr>
        <w:t xml:space="preserve">                   </w:t>
      </w:r>
    </w:p>
    <w:tbl>
      <w:tblPr>
        <w:tblStyle w:val="14"/>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647"/>
        <w:gridCol w:w="2134"/>
        <w:gridCol w:w="1480"/>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97" w:leftChars="-46"/>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序号</w:t>
            </w: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招标</w:t>
            </w:r>
            <w:r>
              <w:rPr>
                <w:rFonts w:hint="eastAsia" w:ascii="宋体" w:hAnsi="宋体" w:eastAsia="宋体" w:cs="宋体"/>
                <w:b/>
                <w:color w:val="auto"/>
                <w:sz w:val="24"/>
                <w:szCs w:val="24"/>
                <w:highlight w:val="none"/>
              </w:rPr>
              <w:t>文件</w:t>
            </w:r>
          </w:p>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商务</w:t>
            </w:r>
            <w:r>
              <w:rPr>
                <w:rFonts w:hint="eastAsia" w:ascii="宋体" w:hAnsi="宋体" w:eastAsia="宋体" w:cs="宋体"/>
                <w:b/>
                <w:color w:val="auto"/>
                <w:sz w:val="24"/>
                <w:szCs w:val="24"/>
                <w:highlight w:val="none"/>
              </w:rPr>
              <w:t>要求</w:t>
            </w: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rPr>
              <w:t>文件</w:t>
            </w:r>
          </w:p>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商务</w:t>
            </w:r>
            <w:r>
              <w:rPr>
                <w:rFonts w:hint="eastAsia" w:ascii="宋体" w:hAnsi="宋体" w:eastAsia="宋体" w:cs="宋体"/>
                <w:b/>
                <w:color w:val="auto"/>
                <w:sz w:val="24"/>
                <w:szCs w:val="24"/>
                <w:highlight w:val="none"/>
              </w:rPr>
              <w:t>响应</w:t>
            </w: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偏离情况</w:t>
            </w:r>
          </w:p>
        </w:tc>
        <w:tc>
          <w:tcPr>
            <w:tcW w:w="1291" w:type="dxa"/>
            <w:noWrap w:val="0"/>
            <w:vAlign w:val="center"/>
          </w:tcPr>
          <w:p>
            <w:pPr>
              <w:pageBreakBefore w:val="0"/>
              <w:kinsoku/>
              <w:bidi w:val="0"/>
              <w:spacing w:line="400" w:lineRule="exact"/>
              <w:ind w:left="210" w:leftChars="1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8"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647"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2134"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480" w:type="dxa"/>
            <w:noWrap w:val="0"/>
            <w:tcMar>
              <w:top w:w="57" w:type="dxa"/>
              <w:left w:w="28" w:type="dxa"/>
              <w:bottom w:w="57" w:type="dxa"/>
              <w:right w:w="28" w:type="dxa"/>
            </w:tcMar>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c>
          <w:tcPr>
            <w:tcW w:w="1291" w:type="dxa"/>
            <w:noWrap w:val="0"/>
            <w:vAlign w:val="center"/>
          </w:tcPr>
          <w:p>
            <w:pPr>
              <w:pageBreakBefore w:val="0"/>
              <w:kinsoku/>
              <w:bidi w:val="0"/>
              <w:spacing w:line="400" w:lineRule="exact"/>
              <w:ind w:left="210" w:leftChars="100"/>
              <w:rPr>
                <w:rFonts w:hint="eastAsia" w:ascii="宋体" w:hAnsi="宋体" w:eastAsia="宋体" w:cs="宋体"/>
                <w:color w:val="auto"/>
                <w:sz w:val="24"/>
                <w:szCs w:val="24"/>
                <w:highlight w:val="none"/>
              </w:rPr>
            </w:pPr>
          </w:p>
        </w:tc>
      </w:tr>
    </w:tbl>
    <w:p>
      <w:pPr>
        <w:widowControl w:val="0"/>
        <w:spacing w:before="0" w:beforeAutospacing="0" w:after="0" w:afterAutospacing="0" w:line="360" w:lineRule="auto"/>
        <w:rPr>
          <w:rFonts w:hint="eastAsia" w:ascii="宋体" w:hAnsi="宋体" w:eastAsia="宋体" w:cs="宋体"/>
          <w:b/>
          <w:bCs/>
          <w:color w:val="auto"/>
          <w:highlight w:val="none"/>
        </w:rPr>
      </w:pPr>
      <w:r>
        <w:rPr>
          <w:rFonts w:hint="eastAsia" w:ascii="宋体" w:hAnsi="宋体" w:eastAsia="宋体" w:cs="宋体"/>
          <w:b/>
          <w:bCs/>
          <w:sz w:val="24"/>
          <w:highlight w:val="none"/>
        </w:rPr>
        <w:t>注：</w:t>
      </w:r>
      <w:r>
        <w:rPr>
          <w:rFonts w:hint="eastAsia" w:ascii="宋体" w:hAnsi="宋体" w:eastAsia="宋体" w:cs="宋体"/>
          <w:b/>
          <w:bCs/>
          <w:color w:val="auto"/>
          <w:highlight w:val="none"/>
        </w:rPr>
        <w:t>说明：</w:t>
      </w:r>
    </w:p>
    <w:p>
      <w:pPr>
        <w:widowControl w:val="0"/>
        <w:spacing w:before="0" w:beforeAutospacing="0" w:after="0" w:afterAutospacing="0" w:line="360" w:lineRule="auto"/>
        <w:ind w:firstLine="42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1.本表只填写投标文件中与招标文件有偏离的内容，投标文件中商务响应与招标文件要求完全一致的，不用在此表中列出，但必须提交空白表。</w:t>
      </w:r>
    </w:p>
    <w:p>
      <w:pPr>
        <w:widowControl w:val="0"/>
        <w:spacing w:before="0" w:beforeAutospacing="0" w:after="0" w:afterAutospacing="0"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必须据实填写，不得虚假响应，否则将取消其投标或中标资格，并按有关规定进处罚。</w:t>
      </w:r>
    </w:p>
    <w:p>
      <w:pPr>
        <w:pageBreakBefore w:val="0"/>
        <w:kinsoku/>
        <w:bidi w:val="0"/>
        <w:spacing w:line="400" w:lineRule="exact"/>
        <w:ind w:left="0" w:leftChars="0" w:firstLine="0" w:firstLineChars="0"/>
        <w:jc w:val="both"/>
        <w:rPr>
          <w:rFonts w:hint="eastAsia" w:ascii="宋体" w:hAnsi="宋体" w:eastAsia="宋体" w:cs="宋体"/>
          <w:b/>
          <w:bCs/>
          <w:color w:val="auto"/>
          <w:sz w:val="21"/>
          <w:szCs w:val="21"/>
          <w:highlight w:val="none"/>
          <w:lang w:eastAsia="zh-CN"/>
        </w:rPr>
      </w:pPr>
    </w:p>
    <w:p>
      <w:pPr>
        <w:pageBreakBefore w:val="0"/>
        <w:kinsoku/>
        <w:bidi w:val="0"/>
        <w:adjustRightInd w:val="0"/>
        <w:spacing w:line="400" w:lineRule="exact"/>
        <w:jc w:val="right"/>
        <w:rPr>
          <w:rFonts w:hint="eastAsia" w:ascii="宋体" w:hAnsi="宋体" w:cs="宋体"/>
          <w:color w:val="auto"/>
          <w:sz w:val="24"/>
          <w:highlight w:val="none"/>
          <w:lang w:val="en-US" w:eastAsia="zh-CN"/>
        </w:rPr>
      </w:pPr>
    </w:p>
    <w:p>
      <w:pPr>
        <w:pageBreakBefore w:val="0"/>
        <w:kinsoku/>
        <w:bidi w:val="0"/>
        <w:adjustRightInd w:val="0"/>
        <w:spacing w:line="400" w:lineRule="exact"/>
        <w:jc w:val="righ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（单位公章）</w:t>
      </w:r>
    </w:p>
    <w:p>
      <w:pPr>
        <w:pageBreakBefore w:val="0"/>
        <w:kinsoku/>
        <w:bidi w:val="0"/>
        <w:spacing w:line="400" w:lineRule="exact"/>
        <w:ind w:left="0" w:leftChars="0" w:firstLine="0" w:firstLineChars="0"/>
        <w:jc w:val="right"/>
        <w:rPr>
          <w:rFonts w:hint="eastAsia" w:ascii="宋体" w:hAnsi="宋体" w:eastAsia="宋体" w:cs="宋体"/>
          <w:color w:val="auto"/>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highlight w:val="none"/>
        </w:rPr>
        <w:t>（签字）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right"/>
        <w:textAlignment w:val="auto"/>
        <w:rPr>
          <w:rFonts w:hint="eastAsia" w:ascii="宋体" w:hAnsi="宋体" w:eastAsia="宋体" w:cs="宋体"/>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4"/>
        <w:keepLines w:val="0"/>
        <w:pageBreakBefore w:val="0"/>
        <w:kinsoku/>
        <w:wordWrap/>
        <w:overflowPunct/>
        <w:topLinePunct w:val="0"/>
        <w:bidi w:val="0"/>
        <w:spacing w:line="400" w:lineRule="exact"/>
        <w:jc w:val="center"/>
        <w:rPr>
          <w:lang w:val="zh-CN"/>
        </w:rPr>
      </w:pPr>
      <w:bookmarkStart w:id="74" w:name="_Toc8836_WPSOffice_Level1"/>
      <w:bookmarkStart w:id="75" w:name="_Toc24986_WPSOffice_Level1"/>
      <w:r>
        <w:rPr>
          <w:lang w:val="zh-CN"/>
        </w:rPr>
        <w:t>第</w:t>
      </w:r>
      <w:r>
        <w:rPr>
          <w:rFonts w:hint="eastAsia"/>
          <w:lang w:val="en-US" w:eastAsia="zh-CN"/>
        </w:rPr>
        <w:t>五</w:t>
      </w:r>
      <w:r>
        <w:rPr>
          <w:lang w:val="zh-CN"/>
        </w:rPr>
        <w:t>部分</w:t>
      </w:r>
      <w:r>
        <w:rPr>
          <w:rFonts w:hint="eastAsia"/>
          <w:lang w:val="zh-CN"/>
        </w:rPr>
        <w:t>、</w:t>
      </w:r>
      <w:r>
        <w:rPr>
          <w:lang w:val="zh-CN"/>
        </w:rPr>
        <w:t>投标方案说明</w:t>
      </w:r>
      <w:bookmarkEnd w:id="69"/>
      <w:bookmarkEnd w:id="74"/>
      <w:bookmarkEnd w:id="75"/>
    </w:p>
    <w:p>
      <w:pPr>
        <w:pStyle w:val="6"/>
        <w:keepLines w:val="0"/>
        <w:pageBreakBefore w:val="0"/>
        <w:kinsoku/>
        <w:wordWrap/>
        <w:overflowPunct/>
        <w:topLinePunct w:val="0"/>
        <w:bidi w:val="0"/>
        <w:spacing w:line="400" w:lineRule="exact"/>
        <w:rPr>
          <w:rFonts w:hint="eastAsia" w:eastAsia="宋体"/>
          <w:b/>
          <w:bCs/>
          <w:sz w:val="24"/>
          <w:szCs w:val="24"/>
          <w:lang w:eastAsia="zh-CN"/>
        </w:rPr>
      </w:pPr>
      <w:r>
        <w:rPr>
          <w:rFonts w:hint="eastAsia" w:ascii="Times New Roman" w:hAnsi="Times New Roman" w:eastAsia="宋体" w:cs="Times New Roman"/>
          <w:b/>
          <w:kern w:val="2"/>
          <w:sz w:val="24"/>
          <w:szCs w:val="24"/>
          <w:lang w:val="zh-CN" w:eastAsia="zh-CN" w:bidi="ar-SA"/>
        </w:rPr>
        <w:t>（各供应商根据采购内容</w:t>
      </w:r>
      <w:r>
        <w:rPr>
          <w:rFonts w:hint="eastAsia" w:cs="Times New Roman"/>
          <w:b/>
          <w:kern w:val="2"/>
          <w:sz w:val="24"/>
          <w:szCs w:val="24"/>
          <w:lang w:val="zh-CN" w:eastAsia="zh-CN" w:bidi="ar-SA"/>
        </w:rPr>
        <w:t>、</w:t>
      </w:r>
      <w:r>
        <w:rPr>
          <w:rFonts w:hint="eastAsia" w:ascii="Times New Roman" w:hAnsi="Times New Roman" w:eastAsia="宋体" w:cs="Times New Roman"/>
          <w:b/>
          <w:kern w:val="2"/>
          <w:sz w:val="24"/>
          <w:szCs w:val="24"/>
          <w:lang w:val="zh-CN" w:eastAsia="zh-CN" w:bidi="ar-SA"/>
        </w:rPr>
        <w:t>技术</w:t>
      </w:r>
      <w:r>
        <w:rPr>
          <w:rFonts w:hint="eastAsia"/>
          <w:b/>
          <w:bCs/>
          <w:sz w:val="24"/>
          <w:szCs w:val="24"/>
        </w:rPr>
        <w:t>要求</w:t>
      </w:r>
      <w:r>
        <w:rPr>
          <w:rFonts w:hint="eastAsia"/>
          <w:b/>
          <w:bCs/>
          <w:sz w:val="24"/>
          <w:szCs w:val="24"/>
          <w:lang w:val="en-US" w:eastAsia="zh-CN"/>
        </w:rPr>
        <w:t>和</w:t>
      </w:r>
      <w:r>
        <w:rPr>
          <w:rFonts w:hint="eastAsia"/>
          <w:b/>
          <w:bCs/>
          <w:sz w:val="24"/>
          <w:szCs w:val="24"/>
          <w:lang w:eastAsia="zh-CN"/>
        </w:rPr>
        <w:t>评分方法</w:t>
      </w:r>
      <w:r>
        <w:rPr>
          <w:rFonts w:hint="eastAsia"/>
          <w:b/>
          <w:bCs/>
          <w:sz w:val="24"/>
          <w:szCs w:val="24"/>
        </w:rPr>
        <w:t>，可自主编写方案说明，包含但不限于以上内容）</w:t>
      </w:r>
    </w:p>
    <w:p>
      <w:pPr>
        <w:pStyle w:val="4"/>
        <w:keepLines w:val="0"/>
        <w:pageBreakBefore w:val="0"/>
        <w:kinsoku/>
        <w:wordWrap/>
        <w:overflowPunct/>
        <w:topLinePunct w:val="0"/>
        <w:bidi w:val="0"/>
        <w:spacing w:line="400" w:lineRule="exact"/>
        <w:rPr>
          <w:rFonts w:hint="eastAsia"/>
        </w:rPr>
      </w:pPr>
      <w:r>
        <w:rPr>
          <w:rFonts w:hint="eastAsia"/>
        </w:rPr>
        <w:br w:type="page"/>
      </w:r>
      <w:bookmarkStart w:id="76" w:name="_Toc7240_WPSOffice_Level1"/>
      <w:bookmarkStart w:id="77" w:name="_Toc24945_WPSOffice_Level1"/>
      <w:r>
        <w:rPr>
          <w:rFonts w:hint="eastAsia"/>
        </w:rPr>
        <w:t>第</w:t>
      </w:r>
      <w:r>
        <w:rPr>
          <w:rFonts w:hint="eastAsia"/>
          <w:lang w:val="en-US" w:eastAsia="zh-CN"/>
        </w:rPr>
        <w:t>六</w:t>
      </w:r>
      <w:r>
        <w:rPr>
          <w:rFonts w:hint="eastAsia"/>
        </w:rPr>
        <w:t>部分、</w:t>
      </w:r>
      <w:r>
        <w:rPr>
          <w:rFonts w:hint="eastAsia" w:ascii="宋体" w:hAnsi="宋体" w:eastAsia="宋体" w:cs="宋体"/>
          <w:i w:val="0"/>
          <w:iCs/>
          <w:color w:val="auto"/>
          <w:highlight w:val="none"/>
        </w:rPr>
        <w:t>类似项目和相关项目一览表</w:t>
      </w:r>
      <w:bookmarkEnd w:id="76"/>
      <w:bookmarkEnd w:id="77"/>
    </w:p>
    <w:p>
      <w:pPr>
        <w:keepLines w:val="0"/>
        <w:pageBreakBefore w:val="0"/>
        <w:kinsoku/>
        <w:wordWrap/>
        <w:overflowPunct/>
        <w:topLinePunct w:val="0"/>
        <w:bidi w:val="0"/>
        <w:spacing w:line="400" w:lineRule="exact"/>
        <w:ind w:firstLine="240" w:firstLineChars="100"/>
        <w:rPr>
          <w:rFonts w:hint="eastAsia" w:ascii="宋体" w:hAnsi="宋体" w:eastAsia="宋体" w:cs="宋体"/>
          <w:color w:val="auto"/>
          <w:sz w:val="24"/>
          <w:highlight w:val="none"/>
          <w:u w:val="single"/>
        </w:rPr>
      </w:pPr>
    </w:p>
    <w:tbl>
      <w:tblPr>
        <w:tblStyle w:val="14"/>
        <w:tblW w:w="850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4"/>
        <w:gridCol w:w="1838"/>
        <w:gridCol w:w="1671"/>
        <w:gridCol w:w="1337"/>
        <w:gridCol w:w="2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trPr>
        <w:tc>
          <w:tcPr>
            <w:tcW w:w="694" w:type="dxa"/>
            <w:noWrap w:val="0"/>
            <w:vAlign w:val="center"/>
          </w:tcPr>
          <w:p>
            <w:pPr>
              <w:keepLines w:val="0"/>
              <w:pageBreakBefore w:val="0"/>
              <w:kinsoku/>
              <w:wordWrap/>
              <w:overflowPunct/>
              <w:topLinePunct w:val="0"/>
              <w:bidi w:val="0"/>
              <w:spacing w:line="400" w:lineRule="exact"/>
              <w:rPr>
                <w:rFonts w:hint="eastAsia"/>
              </w:rPr>
            </w:pPr>
            <w:r>
              <w:rPr>
                <w:rFonts w:hint="eastAsia"/>
              </w:rPr>
              <w:t>序号</w:t>
            </w:r>
          </w:p>
        </w:tc>
        <w:tc>
          <w:tcPr>
            <w:tcW w:w="1838" w:type="dxa"/>
            <w:noWrap w:val="0"/>
            <w:vAlign w:val="center"/>
          </w:tcPr>
          <w:p>
            <w:pPr>
              <w:keepLines w:val="0"/>
              <w:pageBreakBefore w:val="0"/>
              <w:kinsoku/>
              <w:wordWrap/>
              <w:overflowPunct/>
              <w:topLinePunct w:val="0"/>
              <w:bidi w:val="0"/>
              <w:spacing w:line="400" w:lineRule="exact"/>
              <w:rPr>
                <w:rFonts w:hint="eastAsia"/>
              </w:rPr>
            </w:pPr>
            <w:r>
              <w:rPr>
                <w:rFonts w:hint="eastAsia"/>
              </w:rPr>
              <w:t>项目名称</w:t>
            </w:r>
          </w:p>
        </w:tc>
        <w:tc>
          <w:tcPr>
            <w:tcW w:w="1671" w:type="dxa"/>
            <w:tcBorders>
              <w:left w:val="single" w:color="auto" w:sz="4" w:space="0"/>
              <w:right w:val="single" w:color="auto" w:sz="4" w:space="0"/>
            </w:tcBorders>
            <w:noWrap w:val="0"/>
            <w:vAlign w:val="center"/>
          </w:tcPr>
          <w:p>
            <w:pPr>
              <w:keepLines w:val="0"/>
              <w:pageBreakBefore w:val="0"/>
              <w:kinsoku/>
              <w:wordWrap/>
              <w:overflowPunct/>
              <w:topLinePunct w:val="0"/>
              <w:bidi w:val="0"/>
              <w:spacing w:line="400" w:lineRule="exact"/>
              <w:rPr>
                <w:rFonts w:hint="eastAsia"/>
              </w:rPr>
            </w:pPr>
            <w:r>
              <w:rPr>
                <w:rFonts w:hint="eastAsia"/>
              </w:rPr>
              <w:t>合同金额（元）</w:t>
            </w:r>
          </w:p>
        </w:tc>
        <w:tc>
          <w:tcPr>
            <w:tcW w:w="1337" w:type="dxa"/>
            <w:noWrap w:val="0"/>
            <w:vAlign w:val="center"/>
          </w:tcPr>
          <w:p>
            <w:pPr>
              <w:keepLines w:val="0"/>
              <w:pageBreakBefore w:val="0"/>
              <w:kinsoku/>
              <w:wordWrap/>
              <w:overflowPunct/>
              <w:topLinePunct w:val="0"/>
              <w:bidi w:val="0"/>
              <w:spacing w:line="400" w:lineRule="exact"/>
              <w:rPr>
                <w:rFonts w:hint="eastAsia"/>
              </w:rPr>
            </w:pPr>
            <w:r>
              <w:rPr>
                <w:rFonts w:hint="eastAsia"/>
              </w:rPr>
              <w:t>完成日期</w:t>
            </w:r>
          </w:p>
        </w:tc>
        <w:tc>
          <w:tcPr>
            <w:tcW w:w="2964" w:type="dxa"/>
            <w:noWrap w:val="0"/>
            <w:vAlign w:val="center"/>
          </w:tcPr>
          <w:p>
            <w:pPr>
              <w:keepLines w:val="0"/>
              <w:pageBreakBefore w:val="0"/>
              <w:kinsoku/>
              <w:wordWrap/>
              <w:overflowPunct/>
              <w:topLinePunct w:val="0"/>
              <w:bidi w:val="0"/>
              <w:spacing w:line="400" w:lineRule="exact"/>
              <w:rPr>
                <w:rFonts w:hint="eastAsia"/>
              </w:rPr>
            </w:pPr>
            <w:r>
              <w:rPr>
                <w:rFonts w:hint="eastAsia"/>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trPr>
        <w:tc>
          <w:tcPr>
            <w:tcW w:w="694"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1</w:t>
            </w:r>
          </w:p>
        </w:tc>
        <w:tc>
          <w:tcPr>
            <w:tcW w:w="1838" w:type="dxa"/>
            <w:noWrap w:val="0"/>
            <w:vAlign w:val="center"/>
          </w:tcPr>
          <w:p>
            <w:pPr>
              <w:keepLines w:val="0"/>
              <w:pageBreakBefore w:val="0"/>
              <w:kinsoku/>
              <w:wordWrap/>
              <w:overflowPunct/>
              <w:topLinePunct w:val="0"/>
              <w:bidi w:val="0"/>
              <w:spacing w:line="400" w:lineRule="exact"/>
              <w:rPr>
                <w:rFonts w:hint="eastAsia"/>
              </w:rPr>
            </w:pPr>
          </w:p>
        </w:tc>
        <w:tc>
          <w:tcPr>
            <w:tcW w:w="1671" w:type="dxa"/>
            <w:tcBorders>
              <w:left w:val="single" w:color="auto" w:sz="4" w:space="0"/>
              <w:right w:val="single" w:color="auto" w:sz="4" w:space="0"/>
            </w:tcBorders>
            <w:noWrap w:val="0"/>
            <w:vAlign w:val="center"/>
          </w:tcPr>
          <w:p>
            <w:pPr>
              <w:keepLines w:val="0"/>
              <w:pageBreakBefore w:val="0"/>
              <w:kinsoku/>
              <w:wordWrap/>
              <w:overflowPunct/>
              <w:topLinePunct w:val="0"/>
              <w:bidi w:val="0"/>
              <w:spacing w:line="400" w:lineRule="exact"/>
              <w:rPr>
                <w:rFonts w:hint="eastAsia"/>
              </w:rPr>
            </w:pPr>
          </w:p>
        </w:tc>
        <w:tc>
          <w:tcPr>
            <w:tcW w:w="1337" w:type="dxa"/>
            <w:noWrap w:val="0"/>
            <w:vAlign w:val="center"/>
          </w:tcPr>
          <w:p>
            <w:pPr>
              <w:keepLines w:val="0"/>
              <w:pageBreakBefore w:val="0"/>
              <w:kinsoku/>
              <w:wordWrap/>
              <w:overflowPunct/>
              <w:topLinePunct w:val="0"/>
              <w:bidi w:val="0"/>
              <w:spacing w:line="400" w:lineRule="exact"/>
              <w:rPr>
                <w:rFonts w:hint="eastAsia"/>
              </w:rPr>
            </w:pPr>
          </w:p>
        </w:tc>
        <w:tc>
          <w:tcPr>
            <w:tcW w:w="2964" w:type="dxa"/>
            <w:noWrap w:val="0"/>
            <w:vAlign w:val="top"/>
          </w:tcPr>
          <w:p>
            <w:pPr>
              <w:keepLines w:val="0"/>
              <w:pageBreakBefore w:val="0"/>
              <w:kinsoku/>
              <w:wordWrap/>
              <w:overflowPunct/>
              <w:topLinePunct w:val="0"/>
              <w:bidi w:val="0"/>
              <w:spacing w:line="400" w:lineRule="exact"/>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trPr>
        <w:tc>
          <w:tcPr>
            <w:tcW w:w="694"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2</w:t>
            </w:r>
          </w:p>
        </w:tc>
        <w:tc>
          <w:tcPr>
            <w:tcW w:w="1838" w:type="dxa"/>
            <w:noWrap w:val="0"/>
            <w:vAlign w:val="center"/>
          </w:tcPr>
          <w:p>
            <w:pPr>
              <w:keepLines w:val="0"/>
              <w:pageBreakBefore w:val="0"/>
              <w:kinsoku/>
              <w:wordWrap/>
              <w:overflowPunct/>
              <w:topLinePunct w:val="0"/>
              <w:bidi w:val="0"/>
              <w:spacing w:line="400" w:lineRule="exact"/>
              <w:rPr>
                <w:rFonts w:hint="eastAsia"/>
              </w:rPr>
            </w:pPr>
          </w:p>
        </w:tc>
        <w:tc>
          <w:tcPr>
            <w:tcW w:w="1671" w:type="dxa"/>
            <w:tcBorders>
              <w:left w:val="single" w:color="auto" w:sz="4" w:space="0"/>
              <w:right w:val="single" w:color="auto" w:sz="4" w:space="0"/>
            </w:tcBorders>
            <w:noWrap w:val="0"/>
            <w:vAlign w:val="center"/>
          </w:tcPr>
          <w:p>
            <w:pPr>
              <w:keepLines w:val="0"/>
              <w:pageBreakBefore w:val="0"/>
              <w:kinsoku/>
              <w:wordWrap/>
              <w:overflowPunct/>
              <w:topLinePunct w:val="0"/>
              <w:bidi w:val="0"/>
              <w:spacing w:line="400" w:lineRule="exact"/>
              <w:rPr>
                <w:rFonts w:hint="eastAsia"/>
              </w:rPr>
            </w:pPr>
          </w:p>
        </w:tc>
        <w:tc>
          <w:tcPr>
            <w:tcW w:w="1337" w:type="dxa"/>
            <w:noWrap w:val="0"/>
            <w:vAlign w:val="center"/>
          </w:tcPr>
          <w:p>
            <w:pPr>
              <w:keepLines w:val="0"/>
              <w:pageBreakBefore w:val="0"/>
              <w:kinsoku/>
              <w:wordWrap/>
              <w:overflowPunct/>
              <w:topLinePunct w:val="0"/>
              <w:bidi w:val="0"/>
              <w:spacing w:line="400" w:lineRule="exact"/>
              <w:rPr>
                <w:rFonts w:hint="eastAsia"/>
              </w:rPr>
            </w:pPr>
          </w:p>
        </w:tc>
        <w:tc>
          <w:tcPr>
            <w:tcW w:w="2964" w:type="dxa"/>
            <w:noWrap w:val="0"/>
            <w:vAlign w:val="top"/>
          </w:tcPr>
          <w:p>
            <w:pPr>
              <w:keepLines w:val="0"/>
              <w:pageBreakBefore w:val="0"/>
              <w:kinsoku/>
              <w:wordWrap/>
              <w:overflowPunct/>
              <w:topLinePunct w:val="0"/>
              <w:bidi w:val="0"/>
              <w:spacing w:line="400" w:lineRule="exact"/>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trPr>
        <w:tc>
          <w:tcPr>
            <w:tcW w:w="694"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3</w:t>
            </w:r>
          </w:p>
        </w:tc>
        <w:tc>
          <w:tcPr>
            <w:tcW w:w="1838" w:type="dxa"/>
            <w:noWrap w:val="0"/>
            <w:vAlign w:val="center"/>
          </w:tcPr>
          <w:p>
            <w:pPr>
              <w:keepLines w:val="0"/>
              <w:pageBreakBefore w:val="0"/>
              <w:kinsoku/>
              <w:wordWrap/>
              <w:overflowPunct/>
              <w:topLinePunct w:val="0"/>
              <w:bidi w:val="0"/>
              <w:spacing w:line="400" w:lineRule="exact"/>
              <w:rPr>
                <w:rFonts w:hint="eastAsia"/>
              </w:rPr>
            </w:pPr>
          </w:p>
        </w:tc>
        <w:tc>
          <w:tcPr>
            <w:tcW w:w="1671" w:type="dxa"/>
            <w:tcBorders>
              <w:left w:val="single" w:color="auto" w:sz="4" w:space="0"/>
              <w:right w:val="single" w:color="auto" w:sz="4" w:space="0"/>
            </w:tcBorders>
            <w:noWrap w:val="0"/>
            <w:vAlign w:val="center"/>
          </w:tcPr>
          <w:p>
            <w:pPr>
              <w:keepLines w:val="0"/>
              <w:pageBreakBefore w:val="0"/>
              <w:kinsoku/>
              <w:wordWrap/>
              <w:overflowPunct/>
              <w:topLinePunct w:val="0"/>
              <w:bidi w:val="0"/>
              <w:spacing w:line="400" w:lineRule="exact"/>
              <w:rPr>
                <w:rFonts w:hint="eastAsia"/>
              </w:rPr>
            </w:pPr>
          </w:p>
        </w:tc>
        <w:tc>
          <w:tcPr>
            <w:tcW w:w="1337" w:type="dxa"/>
            <w:noWrap w:val="0"/>
            <w:vAlign w:val="center"/>
          </w:tcPr>
          <w:p>
            <w:pPr>
              <w:keepLines w:val="0"/>
              <w:pageBreakBefore w:val="0"/>
              <w:kinsoku/>
              <w:wordWrap/>
              <w:overflowPunct/>
              <w:topLinePunct w:val="0"/>
              <w:bidi w:val="0"/>
              <w:spacing w:line="400" w:lineRule="exact"/>
              <w:rPr>
                <w:rFonts w:hint="eastAsia"/>
              </w:rPr>
            </w:pPr>
          </w:p>
        </w:tc>
        <w:tc>
          <w:tcPr>
            <w:tcW w:w="2964" w:type="dxa"/>
            <w:noWrap w:val="0"/>
            <w:vAlign w:val="top"/>
          </w:tcPr>
          <w:p>
            <w:pPr>
              <w:keepLines w:val="0"/>
              <w:pageBreakBefore w:val="0"/>
              <w:kinsoku/>
              <w:wordWrap/>
              <w:overflowPunct/>
              <w:topLinePunct w:val="0"/>
              <w:bidi w:val="0"/>
              <w:spacing w:line="400" w:lineRule="exact"/>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trPr>
        <w:tc>
          <w:tcPr>
            <w:tcW w:w="694"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4</w:t>
            </w:r>
          </w:p>
        </w:tc>
        <w:tc>
          <w:tcPr>
            <w:tcW w:w="1838" w:type="dxa"/>
            <w:noWrap w:val="0"/>
            <w:vAlign w:val="center"/>
          </w:tcPr>
          <w:p>
            <w:pPr>
              <w:keepLines w:val="0"/>
              <w:pageBreakBefore w:val="0"/>
              <w:kinsoku/>
              <w:wordWrap/>
              <w:overflowPunct/>
              <w:topLinePunct w:val="0"/>
              <w:bidi w:val="0"/>
              <w:spacing w:line="400" w:lineRule="exact"/>
              <w:rPr>
                <w:rFonts w:hint="eastAsia"/>
              </w:rPr>
            </w:pPr>
          </w:p>
        </w:tc>
        <w:tc>
          <w:tcPr>
            <w:tcW w:w="1671" w:type="dxa"/>
            <w:tcBorders>
              <w:left w:val="single" w:color="auto" w:sz="4" w:space="0"/>
              <w:right w:val="single" w:color="auto" w:sz="4" w:space="0"/>
            </w:tcBorders>
            <w:noWrap w:val="0"/>
            <w:vAlign w:val="center"/>
          </w:tcPr>
          <w:p>
            <w:pPr>
              <w:keepLines w:val="0"/>
              <w:pageBreakBefore w:val="0"/>
              <w:kinsoku/>
              <w:wordWrap/>
              <w:overflowPunct/>
              <w:topLinePunct w:val="0"/>
              <w:bidi w:val="0"/>
              <w:spacing w:line="400" w:lineRule="exact"/>
              <w:rPr>
                <w:rFonts w:hint="eastAsia"/>
              </w:rPr>
            </w:pPr>
          </w:p>
        </w:tc>
        <w:tc>
          <w:tcPr>
            <w:tcW w:w="1337" w:type="dxa"/>
            <w:noWrap w:val="0"/>
            <w:vAlign w:val="center"/>
          </w:tcPr>
          <w:p>
            <w:pPr>
              <w:keepLines w:val="0"/>
              <w:pageBreakBefore w:val="0"/>
              <w:kinsoku/>
              <w:wordWrap/>
              <w:overflowPunct/>
              <w:topLinePunct w:val="0"/>
              <w:bidi w:val="0"/>
              <w:spacing w:line="400" w:lineRule="exact"/>
              <w:rPr>
                <w:rFonts w:hint="eastAsia"/>
              </w:rPr>
            </w:pPr>
          </w:p>
        </w:tc>
        <w:tc>
          <w:tcPr>
            <w:tcW w:w="2964" w:type="dxa"/>
            <w:noWrap w:val="0"/>
            <w:vAlign w:val="top"/>
          </w:tcPr>
          <w:p>
            <w:pPr>
              <w:keepLines w:val="0"/>
              <w:pageBreakBefore w:val="0"/>
              <w:kinsoku/>
              <w:wordWrap/>
              <w:overflowPunct/>
              <w:topLinePunct w:val="0"/>
              <w:bidi w:val="0"/>
              <w:spacing w:line="400" w:lineRule="exact"/>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trPr>
        <w:tc>
          <w:tcPr>
            <w:tcW w:w="694" w:type="dxa"/>
            <w:noWrap w:val="0"/>
            <w:vAlign w:val="center"/>
          </w:tcPr>
          <w:p>
            <w:pPr>
              <w:keepLines w:val="0"/>
              <w:pageBreakBefore w:val="0"/>
              <w:kinsoku/>
              <w:wordWrap/>
              <w:overflowPunct/>
              <w:topLinePunct w:val="0"/>
              <w:bidi w:val="0"/>
              <w:spacing w:line="400" w:lineRule="exact"/>
              <w:jc w:val="center"/>
              <w:rPr>
                <w:rFonts w:hint="eastAsia"/>
              </w:rPr>
            </w:pPr>
            <w:r>
              <w:rPr>
                <w:rFonts w:hint="eastAsia"/>
              </w:rPr>
              <w:t>5</w:t>
            </w:r>
          </w:p>
        </w:tc>
        <w:tc>
          <w:tcPr>
            <w:tcW w:w="1838" w:type="dxa"/>
            <w:noWrap w:val="0"/>
            <w:vAlign w:val="center"/>
          </w:tcPr>
          <w:p>
            <w:pPr>
              <w:keepLines w:val="0"/>
              <w:pageBreakBefore w:val="0"/>
              <w:kinsoku/>
              <w:wordWrap/>
              <w:overflowPunct/>
              <w:topLinePunct w:val="0"/>
              <w:bidi w:val="0"/>
              <w:spacing w:line="400" w:lineRule="exact"/>
              <w:rPr>
                <w:rFonts w:hint="eastAsia"/>
              </w:rPr>
            </w:pPr>
          </w:p>
        </w:tc>
        <w:tc>
          <w:tcPr>
            <w:tcW w:w="1671" w:type="dxa"/>
            <w:tcBorders>
              <w:left w:val="single" w:color="auto" w:sz="4" w:space="0"/>
              <w:right w:val="single" w:color="auto" w:sz="4" w:space="0"/>
            </w:tcBorders>
            <w:noWrap w:val="0"/>
            <w:vAlign w:val="center"/>
          </w:tcPr>
          <w:p>
            <w:pPr>
              <w:keepLines w:val="0"/>
              <w:pageBreakBefore w:val="0"/>
              <w:kinsoku/>
              <w:wordWrap/>
              <w:overflowPunct/>
              <w:topLinePunct w:val="0"/>
              <w:bidi w:val="0"/>
              <w:spacing w:line="400" w:lineRule="exact"/>
              <w:rPr>
                <w:rFonts w:hint="eastAsia"/>
              </w:rPr>
            </w:pPr>
          </w:p>
        </w:tc>
        <w:tc>
          <w:tcPr>
            <w:tcW w:w="1337" w:type="dxa"/>
            <w:noWrap w:val="0"/>
            <w:vAlign w:val="center"/>
          </w:tcPr>
          <w:p>
            <w:pPr>
              <w:keepLines w:val="0"/>
              <w:pageBreakBefore w:val="0"/>
              <w:kinsoku/>
              <w:wordWrap/>
              <w:overflowPunct/>
              <w:topLinePunct w:val="0"/>
              <w:bidi w:val="0"/>
              <w:spacing w:line="400" w:lineRule="exact"/>
              <w:rPr>
                <w:rFonts w:hint="eastAsia"/>
              </w:rPr>
            </w:pPr>
          </w:p>
        </w:tc>
        <w:tc>
          <w:tcPr>
            <w:tcW w:w="2964" w:type="dxa"/>
            <w:noWrap w:val="0"/>
            <w:vAlign w:val="top"/>
          </w:tcPr>
          <w:p>
            <w:pPr>
              <w:keepLines w:val="0"/>
              <w:pageBreakBefore w:val="0"/>
              <w:kinsoku/>
              <w:wordWrap/>
              <w:overflowPunct/>
              <w:topLinePunct w:val="0"/>
              <w:bidi w:val="0"/>
              <w:spacing w:line="400" w:lineRule="exact"/>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trPr>
        <w:tc>
          <w:tcPr>
            <w:tcW w:w="694" w:type="dxa"/>
            <w:noWrap w:val="0"/>
            <w:vAlign w:val="center"/>
          </w:tcPr>
          <w:p>
            <w:pPr>
              <w:keepLines w:val="0"/>
              <w:pageBreakBefore w:val="0"/>
              <w:kinsoku/>
              <w:wordWrap/>
              <w:overflowPunct/>
              <w:topLinePunct w:val="0"/>
              <w:bidi w:val="0"/>
              <w:spacing w:line="400" w:lineRule="exact"/>
              <w:rPr>
                <w:rFonts w:hint="eastAsia"/>
              </w:rPr>
            </w:pPr>
            <w:r>
              <w:rPr>
                <w:rFonts w:hint="eastAsia"/>
              </w:rPr>
              <w:t>…</w:t>
            </w:r>
          </w:p>
        </w:tc>
        <w:tc>
          <w:tcPr>
            <w:tcW w:w="1838" w:type="dxa"/>
            <w:noWrap w:val="0"/>
            <w:vAlign w:val="center"/>
          </w:tcPr>
          <w:p>
            <w:pPr>
              <w:keepLines w:val="0"/>
              <w:pageBreakBefore w:val="0"/>
              <w:kinsoku/>
              <w:wordWrap/>
              <w:overflowPunct/>
              <w:topLinePunct w:val="0"/>
              <w:bidi w:val="0"/>
              <w:spacing w:line="400" w:lineRule="exact"/>
              <w:rPr>
                <w:rFonts w:hint="eastAsia"/>
              </w:rPr>
            </w:pPr>
          </w:p>
        </w:tc>
        <w:tc>
          <w:tcPr>
            <w:tcW w:w="1671" w:type="dxa"/>
            <w:tcBorders>
              <w:left w:val="single" w:color="auto" w:sz="4" w:space="0"/>
              <w:right w:val="single" w:color="auto" w:sz="4" w:space="0"/>
            </w:tcBorders>
            <w:noWrap w:val="0"/>
            <w:vAlign w:val="center"/>
          </w:tcPr>
          <w:p>
            <w:pPr>
              <w:keepLines w:val="0"/>
              <w:pageBreakBefore w:val="0"/>
              <w:kinsoku/>
              <w:wordWrap/>
              <w:overflowPunct/>
              <w:topLinePunct w:val="0"/>
              <w:bidi w:val="0"/>
              <w:spacing w:line="400" w:lineRule="exact"/>
              <w:rPr>
                <w:rFonts w:hint="eastAsia"/>
              </w:rPr>
            </w:pPr>
          </w:p>
        </w:tc>
        <w:tc>
          <w:tcPr>
            <w:tcW w:w="1337" w:type="dxa"/>
            <w:noWrap w:val="0"/>
            <w:vAlign w:val="center"/>
          </w:tcPr>
          <w:p>
            <w:pPr>
              <w:keepLines w:val="0"/>
              <w:pageBreakBefore w:val="0"/>
              <w:kinsoku/>
              <w:wordWrap/>
              <w:overflowPunct/>
              <w:topLinePunct w:val="0"/>
              <w:bidi w:val="0"/>
              <w:spacing w:line="400" w:lineRule="exact"/>
              <w:rPr>
                <w:rFonts w:hint="eastAsia"/>
              </w:rPr>
            </w:pPr>
          </w:p>
        </w:tc>
        <w:tc>
          <w:tcPr>
            <w:tcW w:w="2964" w:type="dxa"/>
            <w:noWrap w:val="0"/>
            <w:vAlign w:val="top"/>
          </w:tcPr>
          <w:p>
            <w:pPr>
              <w:keepLines w:val="0"/>
              <w:pageBreakBefore w:val="0"/>
              <w:kinsoku/>
              <w:wordWrap/>
              <w:overflowPunct/>
              <w:topLinePunct w:val="0"/>
              <w:bidi w:val="0"/>
              <w:spacing w:line="400" w:lineRule="exact"/>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trPr>
        <w:tc>
          <w:tcPr>
            <w:tcW w:w="694" w:type="dxa"/>
            <w:noWrap w:val="0"/>
            <w:vAlign w:val="center"/>
          </w:tcPr>
          <w:p>
            <w:pPr>
              <w:keepLines w:val="0"/>
              <w:pageBreakBefore w:val="0"/>
              <w:kinsoku/>
              <w:wordWrap/>
              <w:overflowPunct/>
              <w:topLinePunct w:val="0"/>
              <w:bidi w:val="0"/>
              <w:spacing w:line="400" w:lineRule="exact"/>
              <w:rPr>
                <w:rFonts w:hint="eastAsia"/>
              </w:rPr>
            </w:pPr>
          </w:p>
        </w:tc>
        <w:tc>
          <w:tcPr>
            <w:tcW w:w="1838" w:type="dxa"/>
            <w:noWrap w:val="0"/>
            <w:vAlign w:val="center"/>
          </w:tcPr>
          <w:p>
            <w:pPr>
              <w:keepLines w:val="0"/>
              <w:pageBreakBefore w:val="0"/>
              <w:kinsoku/>
              <w:wordWrap/>
              <w:overflowPunct/>
              <w:topLinePunct w:val="0"/>
              <w:bidi w:val="0"/>
              <w:spacing w:line="400" w:lineRule="exact"/>
              <w:rPr>
                <w:rFonts w:hint="eastAsia"/>
              </w:rPr>
            </w:pPr>
          </w:p>
        </w:tc>
        <w:tc>
          <w:tcPr>
            <w:tcW w:w="1671" w:type="dxa"/>
            <w:tcBorders>
              <w:left w:val="single" w:color="auto" w:sz="4" w:space="0"/>
              <w:right w:val="single" w:color="auto" w:sz="4" w:space="0"/>
            </w:tcBorders>
            <w:noWrap w:val="0"/>
            <w:vAlign w:val="center"/>
          </w:tcPr>
          <w:p>
            <w:pPr>
              <w:keepLines w:val="0"/>
              <w:pageBreakBefore w:val="0"/>
              <w:kinsoku/>
              <w:wordWrap/>
              <w:overflowPunct/>
              <w:topLinePunct w:val="0"/>
              <w:bidi w:val="0"/>
              <w:spacing w:line="400" w:lineRule="exact"/>
              <w:rPr>
                <w:rFonts w:hint="eastAsia"/>
              </w:rPr>
            </w:pPr>
          </w:p>
        </w:tc>
        <w:tc>
          <w:tcPr>
            <w:tcW w:w="1337" w:type="dxa"/>
            <w:noWrap w:val="0"/>
            <w:vAlign w:val="center"/>
          </w:tcPr>
          <w:p>
            <w:pPr>
              <w:keepLines w:val="0"/>
              <w:pageBreakBefore w:val="0"/>
              <w:kinsoku/>
              <w:wordWrap/>
              <w:overflowPunct/>
              <w:topLinePunct w:val="0"/>
              <w:bidi w:val="0"/>
              <w:spacing w:line="400" w:lineRule="exact"/>
              <w:rPr>
                <w:rFonts w:hint="eastAsia"/>
              </w:rPr>
            </w:pPr>
          </w:p>
        </w:tc>
        <w:tc>
          <w:tcPr>
            <w:tcW w:w="2964" w:type="dxa"/>
            <w:noWrap w:val="0"/>
            <w:vAlign w:val="top"/>
          </w:tcPr>
          <w:p>
            <w:pPr>
              <w:keepLines w:val="0"/>
              <w:pageBreakBefore w:val="0"/>
              <w:kinsoku/>
              <w:wordWrap/>
              <w:overflowPunct/>
              <w:topLinePunct w:val="0"/>
              <w:bidi w:val="0"/>
              <w:spacing w:line="400" w:lineRule="exact"/>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trPr>
        <w:tc>
          <w:tcPr>
            <w:tcW w:w="694" w:type="dxa"/>
            <w:noWrap w:val="0"/>
            <w:vAlign w:val="center"/>
          </w:tcPr>
          <w:p>
            <w:pPr>
              <w:keepLines w:val="0"/>
              <w:pageBreakBefore w:val="0"/>
              <w:kinsoku/>
              <w:wordWrap/>
              <w:overflowPunct/>
              <w:topLinePunct w:val="0"/>
              <w:bidi w:val="0"/>
              <w:spacing w:line="400" w:lineRule="exact"/>
              <w:rPr>
                <w:rFonts w:hint="eastAsia"/>
              </w:rPr>
            </w:pPr>
          </w:p>
        </w:tc>
        <w:tc>
          <w:tcPr>
            <w:tcW w:w="1838" w:type="dxa"/>
            <w:noWrap w:val="0"/>
            <w:vAlign w:val="center"/>
          </w:tcPr>
          <w:p>
            <w:pPr>
              <w:keepLines w:val="0"/>
              <w:pageBreakBefore w:val="0"/>
              <w:kinsoku/>
              <w:wordWrap/>
              <w:overflowPunct/>
              <w:topLinePunct w:val="0"/>
              <w:bidi w:val="0"/>
              <w:spacing w:line="400" w:lineRule="exact"/>
              <w:rPr>
                <w:rFonts w:hint="eastAsia"/>
              </w:rPr>
            </w:pPr>
          </w:p>
        </w:tc>
        <w:tc>
          <w:tcPr>
            <w:tcW w:w="1671" w:type="dxa"/>
            <w:tcBorders>
              <w:left w:val="single" w:color="auto" w:sz="4" w:space="0"/>
              <w:right w:val="single" w:color="auto" w:sz="4" w:space="0"/>
            </w:tcBorders>
            <w:noWrap w:val="0"/>
            <w:vAlign w:val="center"/>
          </w:tcPr>
          <w:p>
            <w:pPr>
              <w:keepLines w:val="0"/>
              <w:pageBreakBefore w:val="0"/>
              <w:kinsoku/>
              <w:wordWrap/>
              <w:overflowPunct/>
              <w:topLinePunct w:val="0"/>
              <w:bidi w:val="0"/>
              <w:spacing w:line="400" w:lineRule="exact"/>
              <w:rPr>
                <w:rFonts w:hint="eastAsia"/>
              </w:rPr>
            </w:pPr>
          </w:p>
        </w:tc>
        <w:tc>
          <w:tcPr>
            <w:tcW w:w="1337" w:type="dxa"/>
            <w:noWrap w:val="0"/>
            <w:vAlign w:val="center"/>
          </w:tcPr>
          <w:p>
            <w:pPr>
              <w:keepLines w:val="0"/>
              <w:pageBreakBefore w:val="0"/>
              <w:kinsoku/>
              <w:wordWrap/>
              <w:overflowPunct/>
              <w:topLinePunct w:val="0"/>
              <w:bidi w:val="0"/>
              <w:spacing w:line="400" w:lineRule="exact"/>
              <w:rPr>
                <w:rFonts w:hint="eastAsia"/>
              </w:rPr>
            </w:pPr>
          </w:p>
        </w:tc>
        <w:tc>
          <w:tcPr>
            <w:tcW w:w="2964" w:type="dxa"/>
            <w:noWrap w:val="0"/>
            <w:vAlign w:val="top"/>
          </w:tcPr>
          <w:p>
            <w:pPr>
              <w:keepLines w:val="0"/>
              <w:pageBreakBefore w:val="0"/>
              <w:kinsoku/>
              <w:wordWrap/>
              <w:overflowPunct/>
              <w:topLinePunct w:val="0"/>
              <w:bidi w:val="0"/>
              <w:spacing w:line="400" w:lineRule="exact"/>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trPr>
        <w:tc>
          <w:tcPr>
            <w:tcW w:w="694" w:type="dxa"/>
            <w:noWrap w:val="0"/>
            <w:vAlign w:val="center"/>
          </w:tcPr>
          <w:p>
            <w:pPr>
              <w:keepLines w:val="0"/>
              <w:pageBreakBefore w:val="0"/>
              <w:kinsoku/>
              <w:wordWrap/>
              <w:overflowPunct/>
              <w:topLinePunct w:val="0"/>
              <w:bidi w:val="0"/>
              <w:spacing w:line="400" w:lineRule="exact"/>
              <w:rPr>
                <w:rFonts w:hint="eastAsia"/>
              </w:rPr>
            </w:pPr>
          </w:p>
        </w:tc>
        <w:tc>
          <w:tcPr>
            <w:tcW w:w="1838" w:type="dxa"/>
            <w:noWrap w:val="0"/>
            <w:vAlign w:val="center"/>
          </w:tcPr>
          <w:p>
            <w:pPr>
              <w:keepLines w:val="0"/>
              <w:pageBreakBefore w:val="0"/>
              <w:kinsoku/>
              <w:wordWrap/>
              <w:overflowPunct/>
              <w:topLinePunct w:val="0"/>
              <w:bidi w:val="0"/>
              <w:spacing w:line="400" w:lineRule="exact"/>
              <w:rPr>
                <w:rFonts w:hint="eastAsia"/>
              </w:rPr>
            </w:pPr>
          </w:p>
        </w:tc>
        <w:tc>
          <w:tcPr>
            <w:tcW w:w="1671" w:type="dxa"/>
            <w:tcBorders>
              <w:left w:val="single" w:color="auto" w:sz="4" w:space="0"/>
              <w:right w:val="single" w:color="auto" w:sz="4" w:space="0"/>
            </w:tcBorders>
            <w:noWrap w:val="0"/>
            <w:vAlign w:val="center"/>
          </w:tcPr>
          <w:p>
            <w:pPr>
              <w:keepLines w:val="0"/>
              <w:pageBreakBefore w:val="0"/>
              <w:kinsoku/>
              <w:wordWrap/>
              <w:overflowPunct/>
              <w:topLinePunct w:val="0"/>
              <w:bidi w:val="0"/>
              <w:spacing w:line="400" w:lineRule="exact"/>
              <w:rPr>
                <w:rFonts w:hint="eastAsia"/>
              </w:rPr>
            </w:pPr>
          </w:p>
        </w:tc>
        <w:tc>
          <w:tcPr>
            <w:tcW w:w="1337" w:type="dxa"/>
            <w:noWrap w:val="0"/>
            <w:vAlign w:val="center"/>
          </w:tcPr>
          <w:p>
            <w:pPr>
              <w:keepLines w:val="0"/>
              <w:pageBreakBefore w:val="0"/>
              <w:kinsoku/>
              <w:wordWrap/>
              <w:overflowPunct/>
              <w:topLinePunct w:val="0"/>
              <w:bidi w:val="0"/>
              <w:spacing w:line="400" w:lineRule="exact"/>
              <w:rPr>
                <w:rFonts w:hint="eastAsia"/>
              </w:rPr>
            </w:pPr>
          </w:p>
        </w:tc>
        <w:tc>
          <w:tcPr>
            <w:tcW w:w="2964" w:type="dxa"/>
            <w:noWrap w:val="0"/>
            <w:vAlign w:val="top"/>
          </w:tcPr>
          <w:p>
            <w:pPr>
              <w:keepLines w:val="0"/>
              <w:pageBreakBefore w:val="0"/>
              <w:kinsoku/>
              <w:wordWrap/>
              <w:overflowPunct/>
              <w:topLinePunct w:val="0"/>
              <w:bidi w:val="0"/>
              <w:spacing w:line="400" w:lineRule="exact"/>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3" w:hRule="atLeast"/>
        </w:trPr>
        <w:tc>
          <w:tcPr>
            <w:tcW w:w="694" w:type="dxa"/>
            <w:noWrap w:val="0"/>
            <w:vAlign w:val="center"/>
          </w:tcPr>
          <w:p>
            <w:pPr>
              <w:keepLines w:val="0"/>
              <w:pageBreakBefore w:val="0"/>
              <w:kinsoku/>
              <w:wordWrap/>
              <w:overflowPunct/>
              <w:topLinePunct w:val="0"/>
              <w:bidi w:val="0"/>
              <w:spacing w:line="400" w:lineRule="exact"/>
              <w:rPr>
                <w:rFonts w:hint="eastAsia"/>
              </w:rPr>
            </w:pPr>
          </w:p>
        </w:tc>
        <w:tc>
          <w:tcPr>
            <w:tcW w:w="1838" w:type="dxa"/>
            <w:noWrap w:val="0"/>
            <w:vAlign w:val="center"/>
          </w:tcPr>
          <w:p>
            <w:pPr>
              <w:keepLines w:val="0"/>
              <w:pageBreakBefore w:val="0"/>
              <w:kinsoku/>
              <w:wordWrap/>
              <w:overflowPunct/>
              <w:topLinePunct w:val="0"/>
              <w:bidi w:val="0"/>
              <w:spacing w:line="400" w:lineRule="exact"/>
              <w:rPr>
                <w:rFonts w:hint="eastAsia"/>
              </w:rPr>
            </w:pPr>
          </w:p>
        </w:tc>
        <w:tc>
          <w:tcPr>
            <w:tcW w:w="1671" w:type="dxa"/>
            <w:tcBorders>
              <w:left w:val="single" w:color="auto" w:sz="4" w:space="0"/>
              <w:right w:val="single" w:color="auto" w:sz="4" w:space="0"/>
            </w:tcBorders>
            <w:noWrap w:val="0"/>
            <w:vAlign w:val="center"/>
          </w:tcPr>
          <w:p>
            <w:pPr>
              <w:keepLines w:val="0"/>
              <w:pageBreakBefore w:val="0"/>
              <w:kinsoku/>
              <w:wordWrap/>
              <w:overflowPunct/>
              <w:topLinePunct w:val="0"/>
              <w:bidi w:val="0"/>
              <w:spacing w:line="400" w:lineRule="exact"/>
              <w:rPr>
                <w:rFonts w:hint="eastAsia"/>
              </w:rPr>
            </w:pPr>
          </w:p>
        </w:tc>
        <w:tc>
          <w:tcPr>
            <w:tcW w:w="1337" w:type="dxa"/>
            <w:noWrap w:val="0"/>
            <w:vAlign w:val="center"/>
          </w:tcPr>
          <w:p>
            <w:pPr>
              <w:keepLines w:val="0"/>
              <w:pageBreakBefore w:val="0"/>
              <w:kinsoku/>
              <w:wordWrap/>
              <w:overflowPunct/>
              <w:topLinePunct w:val="0"/>
              <w:bidi w:val="0"/>
              <w:spacing w:line="400" w:lineRule="exact"/>
              <w:rPr>
                <w:rFonts w:hint="eastAsia"/>
              </w:rPr>
            </w:pPr>
          </w:p>
        </w:tc>
        <w:tc>
          <w:tcPr>
            <w:tcW w:w="2964" w:type="dxa"/>
            <w:noWrap w:val="0"/>
            <w:vAlign w:val="top"/>
          </w:tcPr>
          <w:p>
            <w:pPr>
              <w:keepLines w:val="0"/>
              <w:pageBreakBefore w:val="0"/>
              <w:kinsoku/>
              <w:wordWrap/>
              <w:overflowPunct/>
              <w:topLinePunct w:val="0"/>
              <w:bidi w:val="0"/>
              <w:spacing w:line="400" w:lineRule="exact"/>
              <w:rPr>
                <w:rFonts w:hint="eastAsia"/>
              </w:rPr>
            </w:pPr>
          </w:p>
        </w:tc>
      </w:tr>
    </w:tbl>
    <w:p>
      <w:pPr>
        <w:keepLines w:val="0"/>
        <w:pageBreakBefore w:val="0"/>
        <w:kinsoku/>
        <w:wordWrap/>
        <w:overflowPunct/>
        <w:topLinePunct w:val="0"/>
        <w:bidi w:val="0"/>
        <w:snapToGrid w:val="0"/>
        <w:spacing w:line="400" w:lineRule="exact"/>
        <w:ind w:left="349" w:hanging="348" w:hangingChars="166"/>
        <w:rPr>
          <w:rFonts w:hint="eastAsia" w:ascii="宋体" w:hAnsi="宋体" w:eastAsia="宋体" w:cs="宋体"/>
          <w:color w:val="auto"/>
          <w:highlight w:val="none"/>
        </w:rPr>
      </w:pPr>
    </w:p>
    <w:p>
      <w:pPr>
        <w:keepLines w:val="0"/>
        <w:pageBreakBefore w:val="0"/>
        <w:kinsoku/>
        <w:wordWrap/>
        <w:overflowPunct/>
        <w:topLinePunct w:val="0"/>
        <w:bidi w:val="0"/>
        <w:snapToGrid w:val="0"/>
        <w:spacing w:line="400" w:lineRule="exact"/>
        <w:ind w:left="349" w:hanging="348" w:hangingChars="166"/>
        <w:rPr>
          <w:rFonts w:hint="eastAsia" w:ascii="宋体" w:hAnsi="宋体" w:eastAsia="宋体" w:cs="宋体"/>
          <w:color w:val="auto"/>
          <w:highlight w:val="none"/>
        </w:rPr>
      </w:pPr>
      <w:r>
        <w:rPr>
          <w:rFonts w:hint="eastAsia" w:ascii="宋体" w:hAnsi="宋体" w:eastAsia="宋体" w:cs="宋体"/>
          <w:color w:val="auto"/>
          <w:highlight w:val="none"/>
        </w:rPr>
        <w:t>注：1. 供应商应如实列出以上情况，如有隐瞒，一经查实将导致其投标申请被拒绝。</w:t>
      </w:r>
    </w:p>
    <w:p>
      <w:pPr>
        <w:pStyle w:val="6"/>
        <w:keepLines w:val="0"/>
        <w:pageBreakBefore w:val="0"/>
        <w:numPr>
          <w:ilvl w:val="0"/>
          <w:numId w:val="7"/>
        </w:numPr>
        <w:kinsoku/>
        <w:wordWrap/>
        <w:overflowPunct/>
        <w:topLinePunct w:val="0"/>
        <w:bidi w:val="0"/>
        <w:spacing w:line="400" w:lineRule="exact"/>
        <w:rPr>
          <w:rFonts w:hint="eastAsia" w:ascii="宋体" w:hAnsi="宋体" w:eastAsia="宋体" w:cs="宋体"/>
          <w:b w:val="0"/>
          <w:color w:val="auto"/>
          <w:sz w:val="21"/>
          <w:highlight w:val="none"/>
        </w:rPr>
      </w:pPr>
      <w:r>
        <w:rPr>
          <w:rFonts w:hint="eastAsia" w:ascii="宋体" w:hAnsi="宋体" w:eastAsia="宋体" w:cs="宋体"/>
          <w:b w:val="0"/>
          <w:color w:val="auto"/>
          <w:sz w:val="21"/>
          <w:highlight w:val="none"/>
        </w:rPr>
        <w:t>每个项目合同须单独具表，提供双方签订的合同复印件加盖公章，无相关证明的项目在评审时将不予确认。</w:t>
      </w:r>
    </w:p>
    <w:p>
      <w:pPr>
        <w:keepLines w:val="0"/>
        <w:pageBreakBefore w:val="0"/>
        <w:kinsoku/>
        <w:wordWrap/>
        <w:overflowPunct/>
        <w:topLinePunct w:val="0"/>
        <w:bidi w:val="0"/>
        <w:spacing w:line="400" w:lineRule="exact"/>
        <w:rPr>
          <w:rFonts w:hint="eastAsia"/>
          <w:sz w:val="24"/>
          <w:szCs w:val="24"/>
        </w:rPr>
      </w:pPr>
    </w:p>
    <w:p>
      <w:pPr>
        <w:keepLines w:val="0"/>
        <w:pageBreakBefore w:val="0"/>
        <w:kinsoku/>
        <w:wordWrap/>
        <w:overflowPunct/>
        <w:topLinePunct w:val="0"/>
        <w:bidi w:val="0"/>
        <w:spacing w:line="400" w:lineRule="exact"/>
        <w:rPr>
          <w:rFonts w:hint="eastAsia" w:ascii="宋体" w:hAnsi="宋体" w:cs="仿宋_GB2312"/>
          <w:sz w:val="21"/>
          <w:szCs w:val="21"/>
        </w:rPr>
      </w:pPr>
      <w:r>
        <w:rPr>
          <w:rFonts w:hint="eastAsia"/>
          <w:sz w:val="21"/>
          <w:szCs w:val="21"/>
          <w:lang w:val="en-US" w:eastAsia="zh-CN"/>
        </w:rPr>
        <w:t>供应商</w:t>
      </w:r>
      <w:r>
        <w:rPr>
          <w:rFonts w:hint="eastAsia"/>
          <w:sz w:val="21"/>
          <w:szCs w:val="21"/>
        </w:rPr>
        <w:t>名称：</w:t>
      </w:r>
      <w:r>
        <w:rPr>
          <w:rFonts w:hint="eastAsia"/>
          <w:sz w:val="21"/>
          <w:szCs w:val="21"/>
          <w:u w:val="single"/>
        </w:rPr>
        <w:t xml:space="preserve">           （加盖单位公章）           </w:t>
      </w:r>
    </w:p>
    <w:p>
      <w:pPr>
        <w:keepLines w:val="0"/>
        <w:pageBreakBefore w:val="0"/>
        <w:kinsoku/>
        <w:wordWrap/>
        <w:overflowPunct/>
        <w:topLinePunct w:val="0"/>
        <w:bidi w:val="0"/>
        <w:spacing w:line="400" w:lineRule="exact"/>
        <w:rPr>
          <w:rFonts w:hint="eastAsia" w:ascii="宋体" w:hAnsi="宋体" w:cs="仿宋_GB2312"/>
          <w:sz w:val="21"/>
          <w:szCs w:val="21"/>
        </w:rPr>
      </w:pPr>
      <w:r>
        <w:rPr>
          <w:rFonts w:ascii="宋体" w:hAnsi="宋体"/>
          <w:sz w:val="21"/>
          <w:szCs w:val="21"/>
        </w:rPr>
        <w:t>法定代表人或被授权人</w:t>
      </w:r>
      <w:r>
        <w:rPr>
          <w:rFonts w:hint="eastAsia" w:ascii="宋体" w:hAnsi="宋体" w:cs="宋体"/>
          <w:sz w:val="21"/>
          <w:szCs w:val="21"/>
          <w:lang w:val="zh-CN"/>
        </w:rPr>
        <w:t>（签字或盖章）</w:t>
      </w:r>
      <w:r>
        <w:rPr>
          <w:rFonts w:ascii="宋体" w:hAnsi="宋体"/>
          <w:sz w:val="21"/>
          <w:szCs w:val="21"/>
        </w:rPr>
        <w:t>：</w:t>
      </w:r>
      <w:r>
        <w:rPr>
          <w:rFonts w:hint="eastAsia" w:ascii="宋体" w:hAnsi="宋体"/>
          <w:sz w:val="21"/>
          <w:szCs w:val="21"/>
          <w:u w:val="single"/>
        </w:rPr>
        <w:t xml:space="preserve">               </w:t>
      </w:r>
    </w:p>
    <w:p>
      <w:pPr>
        <w:pStyle w:val="6"/>
        <w:keepLines w:val="0"/>
        <w:pageBreakBefore w:val="0"/>
        <w:widowControl w:val="0"/>
        <w:numPr>
          <w:ilvl w:val="0"/>
          <w:numId w:val="0"/>
        </w:numPr>
        <w:kinsoku/>
        <w:wordWrap/>
        <w:overflowPunct/>
        <w:topLinePunct w:val="0"/>
        <w:bidi w:val="0"/>
        <w:spacing w:line="400" w:lineRule="exact"/>
        <w:jc w:val="both"/>
        <w:rPr>
          <w:rFonts w:hint="eastAsia" w:ascii="宋体" w:hAnsi="宋体" w:eastAsia="宋体" w:cs="宋体"/>
          <w:b w:val="0"/>
          <w:color w:val="auto"/>
          <w:sz w:val="21"/>
          <w:szCs w:val="21"/>
          <w:highlight w:val="none"/>
        </w:rPr>
      </w:pPr>
      <w:r>
        <w:rPr>
          <w:rFonts w:ascii="宋体" w:hAnsi="宋体"/>
          <w:sz w:val="21"/>
          <w:szCs w:val="21"/>
        </w:rPr>
        <w:t>日</w:t>
      </w:r>
      <w:r>
        <w:rPr>
          <w:rFonts w:eastAsia="Times New Roman"/>
          <w:sz w:val="21"/>
          <w:szCs w:val="21"/>
        </w:rPr>
        <w:tab/>
      </w:r>
      <w:r>
        <w:rPr>
          <w:rFonts w:ascii="宋体" w:hAnsi="宋体"/>
          <w:sz w:val="21"/>
          <w:szCs w:val="21"/>
        </w:rPr>
        <w:t>期：</w:t>
      </w:r>
      <w:r>
        <w:rPr>
          <w:rFonts w:hint="eastAsia" w:ascii="宋体" w:hAnsi="宋体"/>
          <w:sz w:val="21"/>
          <w:szCs w:val="21"/>
          <w:u w:val="single"/>
        </w:rPr>
        <w:t xml:space="preserve">               </w:t>
      </w:r>
    </w:p>
    <w:p>
      <w:pPr>
        <w:keepLines w:val="0"/>
        <w:pageBreakBefore w:val="0"/>
        <w:kinsoku/>
        <w:wordWrap/>
        <w:overflowPunct/>
        <w:topLinePunct w:val="0"/>
        <w:bidi w:val="0"/>
        <w:spacing w:line="40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br w:type="page"/>
      </w:r>
    </w:p>
    <w:p>
      <w:pPr>
        <w:pStyle w:val="4"/>
        <w:keepLines w:val="0"/>
        <w:pageBreakBefore w:val="0"/>
        <w:kinsoku/>
        <w:wordWrap/>
        <w:overflowPunct/>
        <w:topLinePunct w:val="0"/>
        <w:bidi w:val="0"/>
        <w:spacing w:line="400" w:lineRule="exact"/>
        <w:rPr>
          <w:rFonts w:hint="eastAsia"/>
        </w:rPr>
      </w:pPr>
      <w:bookmarkStart w:id="78" w:name="_Toc32418_WPSOffice_Level1"/>
      <w:bookmarkStart w:id="79" w:name="_Toc31164_WPSOffice_Level1"/>
      <w:r>
        <w:rPr>
          <w:rFonts w:hint="eastAsia"/>
        </w:rPr>
        <w:t>第</w:t>
      </w:r>
      <w:r>
        <w:rPr>
          <w:rFonts w:hint="eastAsia"/>
          <w:lang w:val="en-US" w:eastAsia="zh-CN"/>
        </w:rPr>
        <w:t>七</w:t>
      </w:r>
      <w:r>
        <w:rPr>
          <w:rFonts w:hint="eastAsia"/>
        </w:rPr>
        <w:t>部分、投标保证金</w:t>
      </w:r>
      <w:bookmarkEnd w:id="78"/>
      <w:bookmarkEnd w:id="79"/>
    </w:p>
    <w:p>
      <w:pPr>
        <w:keepLines w:val="0"/>
        <w:pageBreakBefore w:val="0"/>
        <w:kinsoku/>
        <w:wordWrap/>
        <w:overflowPunct/>
        <w:topLinePunct w:val="0"/>
        <w:autoSpaceDE w:val="0"/>
        <w:autoSpaceDN w:val="0"/>
        <w:bidi w:val="0"/>
        <w:adjustRightInd w:val="0"/>
        <w:spacing w:line="400" w:lineRule="exact"/>
        <w:rPr>
          <w:rFonts w:eastAsia="楷体_GB2312"/>
          <w:sz w:val="19"/>
          <w:szCs w:val="19"/>
        </w:rPr>
      </w:pPr>
    </w:p>
    <w:p>
      <w:pPr>
        <w:keepLines w:val="0"/>
        <w:pageBreakBefore w:val="0"/>
        <w:kinsoku/>
        <w:wordWrap/>
        <w:overflowPunct/>
        <w:topLinePunct w:val="0"/>
        <w:bidi w:val="0"/>
        <w:spacing w:line="400" w:lineRule="exact"/>
        <w:jc w:val="center"/>
        <w:rPr>
          <w:rFonts w:hint="default" w:ascii="宋体" w:hAnsi="宋体" w:eastAsia="宋体" w:cs="宋体"/>
          <w:lang w:val="en-US" w:eastAsia="zh-CN"/>
        </w:rPr>
      </w:pPr>
      <w:r>
        <w:rPr>
          <w:rFonts w:hint="eastAsia"/>
        </w:rPr>
        <w:t>投标保证金收据</w:t>
      </w:r>
      <w:r>
        <w:rPr>
          <w:rFonts w:hint="eastAsia"/>
          <w:lang w:val="en-US" w:eastAsia="zh-CN"/>
        </w:rPr>
        <w:t>或转账电子回单</w:t>
      </w:r>
    </w:p>
    <w:p>
      <w:pPr>
        <w:keepLines w:val="0"/>
        <w:pageBreakBefore w:val="0"/>
        <w:kinsoku/>
        <w:wordWrap/>
        <w:overflowPunct/>
        <w:topLinePunct w:val="0"/>
        <w:bidi w:val="0"/>
        <w:spacing w:line="400" w:lineRule="exact"/>
        <w:rPr>
          <w:rFonts w:hint="eastAsia"/>
          <w:lang w:val="zh-CN"/>
        </w:rPr>
      </w:pPr>
    </w:p>
    <w:p>
      <w:pPr>
        <w:pStyle w:val="4"/>
        <w:keepLines w:val="0"/>
        <w:pageBreakBefore w:val="0"/>
        <w:kinsoku/>
        <w:wordWrap/>
        <w:overflowPunct/>
        <w:topLinePunct w:val="0"/>
        <w:bidi w:val="0"/>
        <w:spacing w:line="400" w:lineRule="exact"/>
        <w:rPr>
          <w:lang w:val="zh-CN"/>
        </w:rPr>
      </w:pPr>
      <w:r>
        <w:rPr>
          <w:rFonts w:eastAsia="黑体"/>
          <w:b w:val="0"/>
          <w:bCs/>
          <w:sz w:val="32"/>
          <w:szCs w:val="32"/>
          <w:lang w:val="zh-CN"/>
        </w:rPr>
        <w:br w:type="page"/>
      </w:r>
      <w:bookmarkStart w:id="80" w:name="_Toc3229_WPSOffice_Level1"/>
      <w:bookmarkStart w:id="81" w:name="_Toc15323727"/>
      <w:bookmarkStart w:id="82" w:name="_Toc4877_WPSOffice_Level1"/>
      <w:r>
        <w:rPr>
          <w:lang w:val="zh-CN"/>
        </w:rPr>
        <w:t>第</w:t>
      </w:r>
      <w:r>
        <w:rPr>
          <w:rFonts w:hint="eastAsia"/>
          <w:lang w:val="en-US" w:eastAsia="zh-CN"/>
        </w:rPr>
        <w:t>八</w:t>
      </w:r>
      <w:r>
        <w:rPr>
          <w:lang w:val="zh-CN"/>
        </w:rPr>
        <w:t>部</w:t>
      </w:r>
      <w:r>
        <w:rPr>
          <w:rFonts w:hint="eastAsia"/>
          <w:lang w:val="en-US" w:eastAsia="zh-CN"/>
        </w:rPr>
        <w:t>分</w:t>
      </w:r>
      <w:r>
        <w:rPr>
          <w:rFonts w:hint="eastAsia"/>
          <w:lang w:val="zh-CN"/>
        </w:rPr>
        <w:t>、</w:t>
      </w:r>
      <w:r>
        <w:rPr>
          <w:lang w:val="zh-CN"/>
        </w:rPr>
        <w:t>投标人承诺书</w:t>
      </w:r>
      <w:bookmarkEnd w:id="80"/>
      <w:bookmarkEnd w:id="81"/>
      <w:bookmarkEnd w:id="82"/>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p>
    <w:p>
      <w:pPr>
        <w:keepLines w:val="0"/>
        <w:pageBreakBefore w:val="0"/>
        <w:kinsoku/>
        <w:wordWrap/>
        <w:overflowPunct/>
        <w:topLinePunct w:val="0"/>
        <w:autoSpaceDE w:val="0"/>
        <w:autoSpaceDN w:val="0"/>
        <w:bidi w:val="0"/>
        <w:adjustRightInd w:val="0"/>
        <w:spacing w:line="400" w:lineRule="exact"/>
        <w:rPr>
          <w:rFonts w:hint="eastAsia" w:ascii="宋体" w:hAnsi="宋体" w:cs="宋体"/>
          <w:b/>
          <w:szCs w:val="21"/>
        </w:rPr>
      </w:pPr>
      <w:r>
        <w:rPr>
          <w:rFonts w:hint="eastAsia" w:ascii="宋体" w:hAnsi="宋体" w:cs="宋体"/>
          <w:szCs w:val="21"/>
          <w:lang w:val="en-US" w:eastAsia="zh-CN"/>
        </w:rPr>
        <w:t xml:space="preserve">（代理公司名称） </w:t>
      </w:r>
      <w:r>
        <w:rPr>
          <w:rFonts w:hint="eastAsia" w:ascii="宋体" w:hAnsi="宋体" w:cs="宋体"/>
          <w:szCs w:val="21"/>
        </w:rPr>
        <w:t>：</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rPr>
        <w:t xml:space="preserve">    做为参加贵单位组织的</w:t>
      </w:r>
      <w:r>
        <w:rPr>
          <w:rFonts w:hint="eastAsia" w:ascii="宋体" w:hAnsi="宋体" w:cs="宋体"/>
          <w:szCs w:val="21"/>
          <w:lang w:val="en-US" w:eastAsia="zh-CN"/>
        </w:rPr>
        <w:t xml:space="preserve"> </w:t>
      </w:r>
      <w:r>
        <w:rPr>
          <w:rFonts w:hint="eastAsia" w:ascii="宋体" w:hAnsi="宋体" w:cs="宋体"/>
          <w:szCs w:val="21"/>
          <w:u w:val="single"/>
          <w:lang w:val="zh-CN"/>
        </w:rPr>
        <w:t>（项目名称）</w:t>
      </w:r>
      <w:r>
        <w:rPr>
          <w:rFonts w:hint="eastAsia" w:ascii="宋体" w:hAnsi="宋体" w:cs="宋体"/>
          <w:szCs w:val="21"/>
          <w:u w:val="single"/>
          <w:lang w:val="en-US" w:eastAsia="zh-CN"/>
        </w:rPr>
        <w:t xml:space="preserve"> </w:t>
      </w:r>
      <w:r>
        <w:rPr>
          <w:rFonts w:hint="eastAsia" w:ascii="宋体" w:hAnsi="宋体" w:cs="宋体"/>
          <w:szCs w:val="21"/>
        </w:rPr>
        <w:t>的投标人，本公司郑重承诺：</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rPr>
        <w:t xml:space="preserve">    1、在参加本项目投标之前不存在被依法禁止经营行为、财产被接管或冻结的情况，如有隐瞒实情，愿承担一切责任及后果。</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rPr>
        <w:t xml:space="preserve">    2、近三年受到有关行政主管部门的行政处理、不良行为记录为</w:t>
      </w:r>
      <w:r>
        <w:rPr>
          <w:rFonts w:hint="eastAsia" w:ascii="宋体" w:hAnsi="宋体" w:cs="宋体"/>
          <w:szCs w:val="21"/>
          <w:u w:val="single"/>
        </w:rPr>
        <w:t xml:space="preserve">    </w:t>
      </w:r>
      <w:r>
        <w:rPr>
          <w:rFonts w:hint="eastAsia" w:ascii="宋体" w:hAnsi="宋体" w:cs="宋体"/>
          <w:szCs w:val="21"/>
        </w:rPr>
        <w:t>次（没有填零），如有隐瞒实情，愿承担一切责任及后果。</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rPr>
        <w:t xml:space="preserve">    3、参加本次投标提交的所有证明文件及业绩证明文件是真实的、有效的，如有隐瞒实情，愿承担一切责任及后果。</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r>
        <w:rPr>
          <w:rFonts w:hint="eastAsia" w:ascii="宋体" w:hAnsi="宋体" w:cs="宋体"/>
          <w:szCs w:val="21"/>
        </w:rPr>
        <w:t xml:space="preserve">    </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p>
    <w:p>
      <w:pPr>
        <w:pStyle w:val="2"/>
        <w:rPr>
          <w:rFonts w:hint="eastAsia"/>
        </w:rPr>
      </w:pP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p>
    <w:p>
      <w:pPr>
        <w:keepLines w:val="0"/>
        <w:pageBreakBefore w:val="0"/>
        <w:kinsoku/>
        <w:wordWrap/>
        <w:overflowPunct/>
        <w:topLinePunct w:val="0"/>
        <w:bidi w:val="0"/>
        <w:spacing w:line="400" w:lineRule="exact"/>
        <w:rPr>
          <w:rFonts w:hint="eastAsia"/>
          <w:sz w:val="24"/>
          <w:szCs w:val="24"/>
        </w:rPr>
      </w:pPr>
    </w:p>
    <w:p>
      <w:pPr>
        <w:keepLines w:val="0"/>
        <w:pageBreakBefore w:val="0"/>
        <w:kinsoku/>
        <w:wordWrap/>
        <w:overflowPunct/>
        <w:topLinePunct w:val="0"/>
        <w:bidi w:val="0"/>
        <w:spacing w:line="400" w:lineRule="exact"/>
        <w:rPr>
          <w:rFonts w:hint="eastAsia" w:ascii="宋体" w:hAnsi="宋体" w:cs="仿宋_GB2312"/>
          <w:sz w:val="21"/>
          <w:szCs w:val="21"/>
        </w:rPr>
      </w:pPr>
      <w:r>
        <w:rPr>
          <w:rFonts w:hint="eastAsia"/>
          <w:sz w:val="21"/>
          <w:szCs w:val="21"/>
          <w:lang w:val="en-US" w:eastAsia="zh-CN"/>
        </w:rPr>
        <w:t>供应商</w:t>
      </w:r>
      <w:r>
        <w:rPr>
          <w:rFonts w:hint="eastAsia"/>
          <w:sz w:val="21"/>
          <w:szCs w:val="21"/>
        </w:rPr>
        <w:t>名称：</w:t>
      </w:r>
      <w:r>
        <w:rPr>
          <w:rFonts w:hint="eastAsia"/>
          <w:sz w:val="21"/>
          <w:szCs w:val="21"/>
          <w:u w:val="single"/>
        </w:rPr>
        <w:t xml:space="preserve">           （加盖单位公章）           </w:t>
      </w:r>
    </w:p>
    <w:p>
      <w:pPr>
        <w:keepLines w:val="0"/>
        <w:pageBreakBefore w:val="0"/>
        <w:kinsoku/>
        <w:wordWrap/>
        <w:overflowPunct/>
        <w:topLinePunct w:val="0"/>
        <w:bidi w:val="0"/>
        <w:spacing w:line="400" w:lineRule="exact"/>
        <w:rPr>
          <w:rFonts w:hint="eastAsia" w:ascii="宋体" w:hAnsi="宋体" w:cs="仿宋_GB2312"/>
          <w:sz w:val="21"/>
          <w:szCs w:val="21"/>
        </w:rPr>
      </w:pPr>
      <w:r>
        <w:rPr>
          <w:rFonts w:ascii="宋体" w:hAnsi="宋体"/>
          <w:sz w:val="21"/>
          <w:szCs w:val="21"/>
        </w:rPr>
        <w:t>法定代表人或被授权人</w:t>
      </w:r>
      <w:r>
        <w:rPr>
          <w:rFonts w:hint="eastAsia" w:ascii="宋体" w:hAnsi="宋体" w:cs="宋体"/>
          <w:sz w:val="21"/>
          <w:szCs w:val="21"/>
          <w:lang w:val="zh-CN"/>
        </w:rPr>
        <w:t>（签字或盖章）</w:t>
      </w:r>
      <w:r>
        <w:rPr>
          <w:rFonts w:ascii="宋体" w:hAnsi="宋体"/>
          <w:sz w:val="21"/>
          <w:szCs w:val="21"/>
        </w:rPr>
        <w:t>：</w:t>
      </w:r>
      <w:r>
        <w:rPr>
          <w:rFonts w:hint="eastAsia" w:ascii="宋体" w:hAnsi="宋体"/>
          <w:sz w:val="21"/>
          <w:szCs w:val="21"/>
          <w:u w:val="single"/>
        </w:rPr>
        <w:t xml:space="preserve">               </w:t>
      </w:r>
    </w:p>
    <w:p>
      <w:pPr>
        <w:keepLines w:val="0"/>
        <w:pageBreakBefore w:val="0"/>
        <w:kinsoku/>
        <w:wordWrap/>
        <w:overflowPunct/>
        <w:topLinePunct w:val="0"/>
        <w:autoSpaceDE w:val="0"/>
        <w:autoSpaceDN w:val="0"/>
        <w:bidi w:val="0"/>
        <w:adjustRightInd w:val="0"/>
        <w:spacing w:line="400" w:lineRule="exact"/>
        <w:rPr>
          <w:rFonts w:ascii="仿宋" w:hAnsi="仿宋" w:eastAsia="仿宋"/>
          <w:b/>
          <w:bCs/>
          <w:sz w:val="21"/>
          <w:szCs w:val="21"/>
          <w:lang w:val="zh-CN"/>
        </w:rPr>
      </w:pPr>
      <w:r>
        <w:rPr>
          <w:rFonts w:ascii="宋体" w:hAnsi="宋体"/>
          <w:sz w:val="21"/>
          <w:szCs w:val="21"/>
        </w:rPr>
        <w:t>日</w:t>
      </w:r>
      <w:r>
        <w:rPr>
          <w:rFonts w:eastAsia="Times New Roman"/>
          <w:sz w:val="21"/>
          <w:szCs w:val="21"/>
        </w:rPr>
        <w:tab/>
      </w:r>
      <w:r>
        <w:rPr>
          <w:rFonts w:ascii="宋体" w:hAnsi="宋体"/>
          <w:sz w:val="21"/>
          <w:szCs w:val="21"/>
        </w:rPr>
        <w:t>期：</w:t>
      </w:r>
      <w:r>
        <w:rPr>
          <w:rFonts w:hint="eastAsia" w:ascii="宋体" w:hAnsi="宋体"/>
          <w:sz w:val="21"/>
          <w:szCs w:val="21"/>
          <w:u w:val="single"/>
        </w:rPr>
        <w:t xml:space="preserve">               </w:t>
      </w:r>
    </w:p>
    <w:p>
      <w:pPr>
        <w:keepLines w:val="0"/>
        <w:pageBreakBefore w:val="0"/>
        <w:kinsoku/>
        <w:wordWrap/>
        <w:overflowPunct/>
        <w:topLinePunct w:val="0"/>
        <w:autoSpaceDE w:val="0"/>
        <w:autoSpaceDN w:val="0"/>
        <w:bidi w:val="0"/>
        <w:adjustRightInd w:val="0"/>
        <w:spacing w:line="400" w:lineRule="exact"/>
        <w:rPr>
          <w:rFonts w:hint="eastAsia" w:eastAsia="黑体"/>
          <w:b/>
          <w:bCs/>
          <w:sz w:val="44"/>
          <w:szCs w:val="44"/>
          <w:lang w:val="zh-CN"/>
        </w:rPr>
      </w:pPr>
    </w:p>
    <w:p>
      <w:pPr>
        <w:keepLines w:val="0"/>
        <w:pageBreakBefore w:val="0"/>
        <w:kinsoku/>
        <w:wordWrap/>
        <w:overflowPunct/>
        <w:topLinePunct w:val="0"/>
        <w:autoSpaceDE w:val="0"/>
        <w:autoSpaceDN w:val="0"/>
        <w:bidi w:val="0"/>
        <w:adjustRightInd w:val="0"/>
        <w:spacing w:line="400" w:lineRule="exact"/>
        <w:rPr>
          <w:rFonts w:hint="eastAsia" w:eastAsia="黑体"/>
          <w:b/>
          <w:bCs/>
          <w:sz w:val="44"/>
          <w:szCs w:val="44"/>
          <w:lang w:val="zh-CN"/>
        </w:rPr>
      </w:pPr>
    </w:p>
    <w:p>
      <w:pPr>
        <w:keepLines w:val="0"/>
        <w:pageBreakBefore w:val="0"/>
        <w:kinsoku/>
        <w:wordWrap/>
        <w:overflowPunct/>
        <w:topLinePunct w:val="0"/>
        <w:autoSpaceDE w:val="0"/>
        <w:autoSpaceDN w:val="0"/>
        <w:bidi w:val="0"/>
        <w:adjustRightInd w:val="0"/>
        <w:spacing w:line="400" w:lineRule="exact"/>
        <w:rPr>
          <w:rFonts w:hint="eastAsia" w:eastAsia="黑体"/>
          <w:b/>
          <w:bCs/>
          <w:sz w:val="44"/>
          <w:szCs w:val="44"/>
          <w:lang w:val="zh-CN"/>
        </w:rPr>
      </w:pPr>
    </w:p>
    <w:p>
      <w:pPr>
        <w:keepLines w:val="0"/>
        <w:pageBreakBefore w:val="0"/>
        <w:kinsoku/>
        <w:wordWrap/>
        <w:overflowPunct/>
        <w:topLinePunct w:val="0"/>
        <w:autoSpaceDE w:val="0"/>
        <w:autoSpaceDN w:val="0"/>
        <w:bidi w:val="0"/>
        <w:adjustRightInd w:val="0"/>
        <w:spacing w:line="400" w:lineRule="exact"/>
        <w:rPr>
          <w:rFonts w:hint="eastAsia" w:eastAsia="黑体"/>
          <w:b/>
          <w:bCs/>
          <w:sz w:val="44"/>
          <w:szCs w:val="44"/>
          <w:lang w:val="zh-CN"/>
        </w:rPr>
      </w:pPr>
    </w:p>
    <w:p>
      <w:pPr>
        <w:pStyle w:val="4"/>
        <w:keepLines w:val="0"/>
        <w:pageBreakBefore w:val="0"/>
        <w:kinsoku/>
        <w:wordWrap/>
        <w:overflowPunct/>
        <w:topLinePunct w:val="0"/>
        <w:bidi w:val="0"/>
        <w:spacing w:line="400" w:lineRule="exact"/>
        <w:rPr>
          <w:lang w:val="zh-CN"/>
        </w:rPr>
      </w:pPr>
      <w:r>
        <w:rPr>
          <w:rFonts w:hint="eastAsia" w:eastAsia="黑体"/>
          <w:b w:val="0"/>
          <w:bCs/>
          <w:sz w:val="44"/>
          <w:szCs w:val="44"/>
          <w:lang w:val="zh-CN"/>
        </w:rPr>
        <w:br w:type="page"/>
      </w:r>
      <w:bookmarkStart w:id="83" w:name="_Toc5919_WPSOffice_Level1"/>
      <w:bookmarkStart w:id="84" w:name="_Toc15323728"/>
      <w:bookmarkStart w:id="85" w:name="_Toc25619_WPSOffice_Level1"/>
      <w:r>
        <w:rPr>
          <w:rFonts w:hint="eastAsia"/>
          <w:lang w:val="zh-CN"/>
        </w:rPr>
        <w:t>第</w:t>
      </w:r>
      <w:r>
        <w:rPr>
          <w:rFonts w:hint="eastAsia"/>
          <w:lang w:val="en-US" w:eastAsia="zh-CN"/>
        </w:rPr>
        <w:t>九</w:t>
      </w:r>
      <w:r>
        <w:rPr>
          <w:rFonts w:hint="eastAsia"/>
          <w:lang w:val="zh-CN"/>
        </w:rPr>
        <w:t>部分、</w:t>
      </w:r>
      <w:r>
        <w:rPr>
          <w:lang w:val="zh-CN"/>
        </w:rPr>
        <w:t>投标人</w:t>
      </w:r>
      <w:r>
        <w:rPr>
          <w:rFonts w:hint="eastAsia"/>
          <w:lang w:val="zh-CN"/>
        </w:rPr>
        <w:t>企业关系关联</w:t>
      </w:r>
      <w:r>
        <w:rPr>
          <w:lang w:val="zh-CN"/>
        </w:rPr>
        <w:t>承诺书</w:t>
      </w:r>
      <w:bookmarkEnd w:id="83"/>
      <w:bookmarkEnd w:id="84"/>
      <w:bookmarkEnd w:id="85"/>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p>
    <w:p>
      <w:pPr>
        <w:keepLines w:val="0"/>
        <w:pageBreakBefore w:val="0"/>
        <w:numPr>
          <w:ilvl w:val="0"/>
          <w:numId w:val="8"/>
        </w:numPr>
        <w:kinsoku/>
        <w:wordWrap/>
        <w:overflowPunct/>
        <w:topLinePunct w:val="0"/>
        <w:autoSpaceDE w:val="0"/>
        <w:autoSpaceDN w:val="0"/>
        <w:bidi w:val="0"/>
        <w:adjustRightInd w:val="0"/>
        <w:snapToGrid w:val="0"/>
        <w:spacing w:line="400" w:lineRule="exact"/>
        <w:rPr>
          <w:rFonts w:hint="eastAsia" w:ascii="宋体" w:hAnsi="宋体" w:cs="宋体"/>
          <w:szCs w:val="21"/>
        </w:rPr>
      </w:pPr>
      <w:r>
        <w:rPr>
          <w:rFonts w:hint="eastAsia" w:ascii="宋体" w:hAnsi="宋体" w:cs="宋体"/>
          <w:szCs w:val="21"/>
        </w:rPr>
        <w:t>投标人股东及股权证明。</w:t>
      </w:r>
    </w:p>
    <w:p>
      <w:pPr>
        <w:keepLines w:val="0"/>
        <w:pageBreakBefore w:val="0"/>
        <w:numPr>
          <w:ilvl w:val="0"/>
          <w:numId w:val="0"/>
        </w:numPr>
        <w:kinsoku/>
        <w:wordWrap/>
        <w:overflowPunct/>
        <w:topLinePunct w:val="0"/>
        <w:autoSpaceDE w:val="0"/>
        <w:autoSpaceDN w:val="0"/>
        <w:bidi w:val="0"/>
        <w:adjustRightInd w:val="0"/>
        <w:snapToGrid w:val="0"/>
        <w:spacing w:line="400" w:lineRule="exact"/>
        <w:rPr>
          <w:rFonts w:hint="eastAsia" w:ascii="宋体" w:hAnsi="宋体" w:cs="宋体"/>
          <w:szCs w:val="21"/>
        </w:rPr>
      </w:pPr>
      <w:r>
        <w:rPr>
          <w:rFonts w:hint="eastAsia" w:ascii="宋体" w:hAnsi="宋体" w:cs="宋体"/>
          <w:bCs/>
          <w:szCs w:val="21"/>
        </w:rPr>
        <w:t>（提供国家企业信用信息公示系统http://www.gsxt.gov.cn/index.html网页截图并加盖投标人红章）</w:t>
      </w:r>
    </w:p>
    <w:p>
      <w:pPr>
        <w:keepLines w:val="0"/>
        <w:pageBreakBefore w:val="0"/>
        <w:numPr>
          <w:ilvl w:val="0"/>
          <w:numId w:val="8"/>
        </w:numPr>
        <w:kinsoku/>
        <w:wordWrap/>
        <w:overflowPunct/>
        <w:topLinePunct w:val="0"/>
        <w:autoSpaceDE w:val="0"/>
        <w:autoSpaceDN w:val="0"/>
        <w:bidi w:val="0"/>
        <w:adjustRightInd w:val="0"/>
        <w:snapToGrid w:val="0"/>
        <w:spacing w:line="400" w:lineRule="exact"/>
        <w:rPr>
          <w:rFonts w:hint="eastAsia" w:ascii="宋体" w:hAnsi="宋体" w:cs="宋体"/>
          <w:szCs w:val="21"/>
        </w:rPr>
      </w:pPr>
      <w:r>
        <w:rPr>
          <w:rFonts w:hint="eastAsia" w:ascii="宋体" w:hAnsi="宋体" w:cs="宋体"/>
          <w:szCs w:val="21"/>
        </w:rPr>
        <w:t>投标人在本项目投标中，不存在与其它投标人负责人为同一人，有控股、管理等关联关系承诺。</w:t>
      </w:r>
    </w:p>
    <w:p>
      <w:pPr>
        <w:keepLines w:val="0"/>
        <w:pageBreakBefore w:val="0"/>
        <w:kinsoku/>
        <w:wordWrap/>
        <w:overflowPunct/>
        <w:topLinePunct w:val="0"/>
        <w:bidi w:val="0"/>
        <w:snapToGrid w:val="0"/>
        <w:spacing w:line="400" w:lineRule="exact"/>
        <w:rPr>
          <w:rFonts w:hint="eastAsia" w:ascii="宋体" w:hAnsi="宋体" w:cs="宋体"/>
          <w:szCs w:val="21"/>
        </w:rPr>
      </w:pPr>
      <w:r>
        <w:rPr>
          <w:rFonts w:hint="eastAsia" w:ascii="宋体" w:hAnsi="宋体" w:cs="宋体"/>
          <w:szCs w:val="21"/>
        </w:rPr>
        <w:t>2-1、管理关系说明：</w:t>
      </w:r>
    </w:p>
    <w:p>
      <w:pPr>
        <w:keepLines w:val="0"/>
        <w:pageBreakBefore w:val="0"/>
        <w:kinsoku/>
        <w:wordWrap/>
        <w:overflowPunct/>
        <w:topLinePunct w:val="0"/>
        <w:bidi w:val="0"/>
        <w:snapToGrid w:val="0"/>
        <w:spacing w:line="400" w:lineRule="exact"/>
        <w:ind w:firstLine="420" w:firstLineChars="200"/>
        <w:rPr>
          <w:rFonts w:hint="eastAsia" w:ascii="宋体" w:hAnsi="宋体" w:cs="宋体"/>
          <w:szCs w:val="21"/>
        </w:rPr>
      </w:pPr>
      <w:r>
        <w:rPr>
          <w:rFonts w:hint="eastAsia" w:ascii="宋体" w:hAnsi="宋体" w:cs="宋体"/>
          <w:szCs w:val="21"/>
        </w:rPr>
        <w:t>我单位管理的具有独立法人的下属单位有：</w:t>
      </w:r>
      <w:r>
        <w:rPr>
          <w:rFonts w:hint="eastAsia" w:ascii="宋体" w:hAnsi="宋体" w:cs="宋体"/>
          <w:szCs w:val="21"/>
          <w:u w:val="single"/>
        </w:rPr>
        <w:t xml:space="preserve">                 </w:t>
      </w:r>
      <w:r>
        <w:rPr>
          <w:rFonts w:hint="eastAsia" w:ascii="宋体" w:hAnsi="宋体" w:cs="宋体"/>
          <w:szCs w:val="21"/>
        </w:rPr>
        <w:t>。</w:t>
      </w:r>
    </w:p>
    <w:p>
      <w:pPr>
        <w:keepLines w:val="0"/>
        <w:pageBreakBefore w:val="0"/>
        <w:kinsoku/>
        <w:wordWrap/>
        <w:overflowPunct/>
        <w:topLinePunct w:val="0"/>
        <w:bidi w:val="0"/>
        <w:snapToGrid w:val="0"/>
        <w:spacing w:line="400" w:lineRule="exact"/>
        <w:ind w:firstLine="420" w:firstLineChars="200"/>
        <w:rPr>
          <w:rFonts w:hint="eastAsia" w:ascii="宋体" w:hAnsi="宋体" w:cs="宋体"/>
          <w:szCs w:val="21"/>
        </w:rPr>
      </w:pPr>
      <w:r>
        <w:rPr>
          <w:rFonts w:hint="eastAsia" w:ascii="宋体" w:hAnsi="宋体" w:cs="宋体"/>
          <w:szCs w:val="21"/>
        </w:rPr>
        <w:t>我单位的上级管理单位有</w:t>
      </w:r>
      <w:r>
        <w:rPr>
          <w:rFonts w:hint="eastAsia" w:ascii="宋体" w:hAnsi="宋体" w:cs="宋体"/>
          <w:szCs w:val="21"/>
          <w:u w:val="single"/>
        </w:rPr>
        <w:t xml:space="preserve">              </w:t>
      </w:r>
      <w:r>
        <w:rPr>
          <w:rFonts w:hint="eastAsia" w:ascii="宋体" w:hAnsi="宋体" w:cs="宋体"/>
          <w:szCs w:val="21"/>
        </w:rPr>
        <w:t>。</w:t>
      </w:r>
    </w:p>
    <w:p>
      <w:pPr>
        <w:keepLines w:val="0"/>
        <w:pageBreakBefore w:val="0"/>
        <w:kinsoku/>
        <w:wordWrap/>
        <w:overflowPunct/>
        <w:topLinePunct w:val="0"/>
        <w:bidi w:val="0"/>
        <w:snapToGrid w:val="0"/>
        <w:spacing w:line="400" w:lineRule="exact"/>
        <w:rPr>
          <w:rFonts w:hint="eastAsia" w:ascii="宋体" w:hAnsi="宋体" w:cs="宋体"/>
          <w:szCs w:val="21"/>
        </w:rPr>
      </w:pPr>
      <w:r>
        <w:rPr>
          <w:rFonts w:hint="eastAsia" w:ascii="宋体" w:hAnsi="宋体" w:cs="宋体"/>
          <w:szCs w:val="21"/>
        </w:rPr>
        <w:t>2-2、股权关系说明：</w:t>
      </w:r>
    </w:p>
    <w:p>
      <w:pPr>
        <w:keepLines w:val="0"/>
        <w:pageBreakBefore w:val="0"/>
        <w:kinsoku/>
        <w:wordWrap/>
        <w:overflowPunct/>
        <w:topLinePunct w:val="0"/>
        <w:bidi w:val="0"/>
        <w:snapToGrid w:val="0"/>
        <w:spacing w:line="400" w:lineRule="exact"/>
        <w:ind w:firstLine="420" w:firstLineChars="200"/>
        <w:rPr>
          <w:rFonts w:hint="eastAsia" w:ascii="宋体" w:hAnsi="宋体" w:cs="宋体"/>
          <w:szCs w:val="21"/>
        </w:rPr>
      </w:pPr>
      <w:r>
        <w:rPr>
          <w:rFonts w:hint="eastAsia" w:ascii="宋体" w:hAnsi="宋体" w:cs="宋体"/>
          <w:szCs w:val="21"/>
        </w:rPr>
        <w:t>我单位控股的单位有</w:t>
      </w:r>
      <w:r>
        <w:rPr>
          <w:rFonts w:hint="eastAsia" w:ascii="宋体" w:hAnsi="宋体" w:cs="宋体"/>
          <w:szCs w:val="21"/>
          <w:u w:val="single"/>
        </w:rPr>
        <w:t xml:space="preserve">           </w:t>
      </w:r>
      <w:r>
        <w:rPr>
          <w:rFonts w:hint="eastAsia" w:ascii="宋体" w:hAnsi="宋体" w:cs="宋体"/>
          <w:szCs w:val="21"/>
        </w:rPr>
        <w:t>。</w:t>
      </w:r>
    </w:p>
    <w:p>
      <w:pPr>
        <w:keepLines w:val="0"/>
        <w:pageBreakBefore w:val="0"/>
        <w:kinsoku/>
        <w:wordWrap/>
        <w:overflowPunct/>
        <w:topLinePunct w:val="0"/>
        <w:bidi w:val="0"/>
        <w:snapToGrid w:val="0"/>
        <w:spacing w:line="400" w:lineRule="exact"/>
        <w:ind w:firstLine="420" w:firstLineChars="200"/>
        <w:rPr>
          <w:rFonts w:hint="eastAsia" w:ascii="宋体" w:hAnsi="宋体" w:cs="宋体"/>
          <w:szCs w:val="21"/>
        </w:rPr>
      </w:pPr>
      <w:r>
        <w:rPr>
          <w:rFonts w:hint="eastAsia" w:ascii="宋体" w:hAnsi="宋体" w:cs="宋体"/>
          <w:szCs w:val="21"/>
        </w:rPr>
        <w:t>我单位被</w:t>
      </w:r>
      <w:r>
        <w:rPr>
          <w:rFonts w:hint="eastAsia" w:ascii="宋体" w:hAnsi="宋体" w:cs="宋体"/>
          <w:i/>
          <w:szCs w:val="21"/>
          <w:u w:val="single"/>
        </w:rPr>
        <w:t xml:space="preserve">             </w:t>
      </w:r>
      <w:r>
        <w:rPr>
          <w:rFonts w:hint="eastAsia" w:ascii="宋体" w:hAnsi="宋体" w:cs="宋体"/>
          <w:szCs w:val="21"/>
          <w:u w:val="single"/>
        </w:rPr>
        <w:t xml:space="preserve"> </w:t>
      </w:r>
      <w:r>
        <w:rPr>
          <w:rFonts w:hint="eastAsia" w:ascii="宋体" w:hAnsi="宋体" w:cs="宋体"/>
          <w:szCs w:val="21"/>
        </w:rPr>
        <w:t>单位控股。</w:t>
      </w:r>
    </w:p>
    <w:p>
      <w:pPr>
        <w:keepLines w:val="0"/>
        <w:pageBreakBefore w:val="0"/>
        <w:kinsoku/>
        <w:wordWrap/>
        <w:overflowPunct/>
        <w:topLinePunct w:val="0"/>
        <w:autoSpaceDE w:val="0"/>
        <w:autoSpaceDN w:val="0"/>
        <w:bidi w:val="0"/>
        <w:adjustRightInd w:val="0"/>
        <w:snapToGrid w:val="0"/>
        <w:spacing w:line="400" w:lineRule="exact"/>
        <w:rPr>
          <w:rFonts w:hint="eastAsia" w:ascii="宋体" w:hAnsi="宋体" w:cs="宋体"/>
          <w:szCs w:val="21"/>
        </w:rPr>
      </w:pPr>
      <w:r>
        <w:rPr>
          <w:rFonts w:hint="eastAsia" w:ascii="宋体" w:hAnsi="宋体" w:cs="宋体"/>
          <w:szCs w:val="21"/>
        </w:rPr>
        <w:t>2-3、单位负责人：</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bCs/>
          <w:szCs w:val="21"/>
        </w:rPr>
      </w:pPr>
      <w:r>
        <w:rPr>
          <w:rFonts w:hint="eastAsia" w:ascii="宋体" w:hAnsi="宋体" w:cs="宋体"/>
          <w:bCs/>
          <w:szCs w:val="21"/>
        </w:rPr>
        <w:t xml:space="preserve">3、 </w:t>
      </w:r>
      <w:r>
        <w:rPr>
          <w:rFonts w:hint="eastAsia" w:ascii="宋体" w:hAnsi="宋体" w:cs="宋体"/>
          <w:i/>
          <w:szCs w:val="21"/>
          <w:u w:val="single"/>
        </w:rPr>
        <w:t xml:space="preserve">             </w:t>
      </w:r>
      <w:r>
        <w:rPr>
          <w:rFonts w:hint="eastAsia" w:ascii="宋体" w:hAnsi="宋体" w:cs="宋体"/>
          <w:szCs w:val="21"/>
          <w:u w:val="single"/>
        </w:rPr>
        <w:t xml:space="preserve">（是或否） </w:t>
      </w:r>
      <w:r>
        <w:rPr>
          <w:rFonts w:hint="eastAsia" w:ascii="宋体" w:hAnsi="宋体" w:cs="宋体"/>
          <w:bCs/>
          <w:szCs w:val="21"/>
        </w:rPr>
        <w:t>为采购项目提供整体设计、规范编制或者项目管理、监理、检测等服务的供应商。</w:t>
      </w:r>
    </w:p>
    <w:p>
      <w:pPr>
        <w:keepLines w:val="0"/>
        <w:pageBreakBefore w:val="0"/>
        <w:kinsoku/>
        <w:wordWrap/>
        <w:overflowPunct/>
        <w:topLinePunct w:val="0"/>
        <w:autoSpaceDE w:val="0"/>
        <w:autoSpaceDN w:val="0"/>
        <w:bidi w:val="0"/>
        <w:adjustRightInd w:val="0"/>
        <w:snapToGrid w:val="0"/>
        <w:spacing w:line="400" w:lineRule="exact"/>
        <w:rPr>
          <w:rFonts w:hint="eastAsia" w:ascii="宋体" w:hAnsi="宋体" w:cs="宋体"/>
          <w:szCs w:val="21"/>
        </w:rPr>
      </w:pPr>
      <w:r>
        <w:rPr>
          <w:rFonts w:hint="eastAsia" w:ascii="宋体" w:hAnsi="宋体" w:cs="宋体"/>
          <w:szCs w:val="21"/>
        </w:rPr>
        <w:t>4、其他与本项目有关的利害关系说明：</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p>
    <w:p>
      <w:pPr>
        <w:keepLines w:val="0"/>
        <w:pageBreakBefore w:val="0"/>
        <w:kinsoku/>
        <w:wordWrap/>
        <w:overflowPunct/>
        <w:topLinePunct w:val="0"/>
        <w:autoSpaceDE w:val="0"/>
        <w:autoSpaceDN w:val="0"/>
        <w:bidi w:val="0"/>
        <w:adjustRightInd w:val="0"/>
        <w:spacing w:line="400" w:lineRule="exact"/>
        <w:ind w:firstLine="420" w:firstLineChars="200"/>
        <w:rPr>
          <w:rFonts w:hint="eastAsia" w:ascii="宋体" w:hAnsi="宋体" w:cs="宋体"/>
          <w:szCs w:val="21"/>
        </w:rPr>
      </w:pPr>
      <w:r>
        <w:rPr>
          <w:rFonts w:hint="eastAsia" w:ascii="宋体" w:hAnsi="宋体" w:cs="宋体"/>
          <w:szCs w:val="21"/>
        </w:rPr>
        <w:t>我单位承诺以上说明真实有效，无虚假内容或隐瞒。</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szCs w:val="21"/>
        </w:rPr>
      </w:pPr>
    </w:p>
    <w:p>
      <w:pPr>
        <w:keepLines w:val="0"/>
        <w:pageBreakBefore w:val="0"/>
        <w:kinsoku/>
        <w:wordWrap/>
        <w:overflowPunct/>
        <w:topLinePunct w:val="0"/>
        <w:autoSpaceDE w:val="0"/>
        <w:autoSpaceDN w:val="0"/>
        <w:bidi w:val="0"/>
        <w:adjustRightInd w:val="0"/>
        <w:spacing w:line="400" w:lineRule="exact"/>
        <w:rPr>
          <w:rFonts w:hint="eastAsia" w:ascii="宋体" w:hAnsi="宋体" w:cs="宋体"/>
          <w:b/>
          <w:szCs w:val="21"/>
        </w:rPr>
      </w:pPr>
    </w:p>
    <w:p>
      <w:pPr>
        <w:keepLines w:val="0"/>
        <w:pageBreakBefore w:val="0"/>
        <w:kinsoku/>
        <w:wordWrap/>
        <w:overflowPunct/>
        <w:topLinePunct w:val="0"/>
        <w:bidi w:val="0"/>
        <w:spacing w:line="400" w:lineRule="exact"/>
        <w:rPr>
          <w:rFonts w:hint="eastAsia"/>
          <w:sz w:val="24"/>
          <w:szCs w:val="24"/>
        </w:rPr>
      </w:pPr>
    </w:p>
    <w:p>
      <w:pPr>
        <w:keepLines w:val="0"/>
        <w:pageBreakBefore w:val="0"/>
        <w:kinsoku/>
        <w:wordWrap/>
        <w:overflowPunct/>
        <w:topLinePunct w:val="0"/>
        <w:bidi w:val="0"/>
        <w:spacing w:line="400" w:lineRule="exact"/>
        <w:rPr>
          <w:rFonts w:hint="eastAsia" w:ascii="宋体" w:hAnsi="宋体" w:cs="仿宋_GB2312"/>
          <w:sz w:val="21"/>
          <w:szCs w:val="21"/>
        </w:rPr>
      </w:pPr>
      <w:r>
        <w:rPr>
          <w:rFonts w:hint="eastAsia"/>
          <w:sz w:val="21"/>
          <w:szCs w:val="21"/>
          <w:lang w:val="en-US" w:eastAsia="zh-CN"/>
        </w:rPr>
        <w:t>供应商</w:t>
      </w:r>
      <w:r>
        <w:rPr>
          <w:rFonts w:hint="eastAsia"/>
          <w:sz w:val="21"/>
          <w:szCs w:val="21"/>
        </w:rPr>
        <w:t>名称：</w:t>
      </w:r>
      <w:r>
        <w:rPr>
          <w:rFonts w:hint="eastAsia"/>
          <w:sz w:val="21"/>
          <w:szCs w:val="21"/>
          <w:u w:val="single"/>
        </w:rPr>
        <w:t xml:space="preserve">           （加盖单位公章）           </w:t>
      </w:r>
    </w:p>
    <w:p>
      <w:pPr>
        <w:keepLines w:val="0"/>
        <w:pageBreakBefore w:val="0"/>
        <w:kinsoku/>
        <w:wordWrap/>
        <w:overflowPunct/>
        <w:topLinePunct w:val="0"/>
        <w:bidi w:val="0"/>
        <w:spacing w:line="400" w:lineRule="exact"/>
        <w:rPr>
          <w:rFonts w:hint="eastAsia" w:ascii="宋体" w:hAnsi="宋体" w:cs="仿宋_GB2312"/>
          <w:sz w:val="21"/>
          <w:szCs w:val="21"/>
        </w:rPr>
      </w:pPr>
      <w:r>
        <w:rPr>
          <w:rFonts w:ascii="宋体" w:hAnsi="宋体"/>
          <w:sz w:val="21"/>
          <w:szCs w:val="21"/>
        </w:rPr>
        <w:t>法定代表人或被授权人</w:t>
      </w:r>
      <w:r>
        <w:rPr>
          <w:rFonts w:hint="eastAsia" w:ascii="宋体" w:hAnsi="宋体" w:cs="宋体"/>
          <w:sz w:val="21"/>
          <w:szCs w:val="21"/>
          <w:lang w:val="zh-CN"/>
        </w:rPr>
        <w:t>（签字或盖章）</w:t>
      </w:r>
      <w:r>
        <w:rPr>
          <w:rFonts w:ascii="宋体" w:hAnsi="宋体"/>
          <w:sz w:val="21"/>
          <w:szCs w:val="21"/>
        </w:rPr>
        <w:t>：</w:t>
      </w:r>
      <w:r>
        <w:rPr>
          <w:rFonts w:hint="eastAsia" w:ascii="宋体" w:hAnsi="宋体"/>
          <w:sz w:val="21"/>
          <w:szCs w:val="21"/>
          <w:u w:val="single"/>
        </w:rPr>
        <w:t xml:space="preserve">               </w:t>
      </w:r>
    </w:p>
    <w:p>
      <w:pPr>
        <w:keepLines w:val="0"/>
        <w:pageBreakBefore w:val="0"/>
        <w:kinsoku/>
        <w:wordWrap/>
        <w:overflowPunct/>
        <w:topLinePunct w:val="0"/>
        <w:autoSpaceDE w:val="0"/>
        <w:autoSpaceDN w:val="0"/>
        <w:bidi w:val="0"/>
        <w:adjustRightInd w:val="0"/>
        <w:spacing w:line="400" w:lineRule="exact"/>
        <w:rPr>
          <w:rFonts w:ascii="仿宋" w:hAnsi="仿宋" w:eastAsia="仿宋"/>
          <w:b/>
          <w:bCs/>
          <w:sz w:val="21"/>
          <w:szCs w:val="21"/>
          <w:lang w:val="zh-CN"/>
        </w:rPr>
      </w:pPr>
      <w:r>
        <w:rPr>
          <w:rFonts w:ascii="宋体" w:hAnsi="宋体"/>
          <w:sz w:val="21"/>
          <w:szCs w:val="21"/>
        </w:rPr>
        <w:t>日</w:t>
      </w:r>
      <w:r>
        <w:rPr>
          <w:rFonts w:eastAsia="Times New Roman"/>
          <w:sz w:val="21"/>
          <w:szCs w:val="21"/>
        </w:rPr>
        <w:tab/>
      </w:r>
      <w:r>
        <w:rPr>
          <w:rFonts w:ascii="宋体" w:hAnsi="宋体"/>
          <w:sz w:val="21"/>
          <w:szCs w:val="21"/>
        </w:rPr>
        <w:t>期：</w:t>
      </w:r>
      <w:r>
        <w:rPr>
          <w:rFonts w:hint="eastAsia" w:ascii="宋体" w:hAnsi="宋体"/>
          <w:sz w:val="21"/>
          <w:szCs w:val="21"/>
          <w:u w:val="single"/>
        </w:rPr>
        <w:t xml:space="preserve">               </w:t>
      </w:r>
    </w:p>
    <w:p>
      <w:pPr>
        <w:pStyle w:val="4"/>
        <w:keepLines w:val="0"/>
        <w:pageBreakBefore w:val="0"/>
        <w:numPr>
          <w:ilvl w:val="0"/>
          <w:numId w:val="0"/>
        </w:numPr>
        <w:kinsoku/>
        <w:wordWrap/>
        <w:overflowPunct/>
        <w:topLinePunct w:val="0"/>
        <w:bidi w:val="0"/>
        <w:spacing w:line="400" w:lineRule="exact"/>
        <w:jc w:val="center"/>
        <w:rPr>
          <w:lang w:val="zh-CN"/>
        </w:rPr>
      </w:pPr>
      <w:bookmarkStart w:id="86" w:name="_Toc15323729"/>
      <w:r>
        <w:rPr>
          <w:lang w:val="zh-CN"/>
        </w:rPr>
        <w:br w:type="page"/>
      </w:r>
      <w:bookmarkStart w:id="87" w:name="_Toc27348_WPSOffice_Level1"/>
      <w:bookmarkStart w:id="88" w:name="_Toc17438_WPSOffice_Level1"/>
      <w:r>
        <w:rPr>
          <w:rFonts w:hint="eastAsia"/>
          <w:lang w:val="en-US" w:eastAsia="zh-CN"/>
        </w:rPr>
        <w:t>第十部分、</w:t>
      </w:r>
      <w:r>
        <w:rPr>
          <w:rFonts w:hint="eastAsia"/>
          <w:lang w:val="zh-CN"/>
        </w:rPr>
        <w:t>资格</w:t>
      </w:r>
      <w:r>
        <w:rPr>
          <w:lang w:val="zh-CN"/>
        </w:rPr>
        <w:t>证明文件</w:t>
      </w:r>
      <w:bookmarkEnd w:id="86"/>
      <w:bookmarkEnd w:id="87"/>
      <w:bookmarkEnd w:id="88"/>
    </w:p>
    <w:p>
      <w:pPr>
        <w:rPr>
          <w:lang w:val="zh-CN"/>
        </w:rPr>
      </w:pPr>
    </w:p>
    <w:p>
      <w:pPr>
        <w:keepLines w:val="0"/>
        <w:pageBreakBefore w:val="0"/>
        <w:kinsoku/>
        <w:wordWrap/>
        <w:overflowPunct/>
        <w:topLinePunct w:val="0"/>
        <w:bidi w:val="0"/>
        <w:spacing w:line="400" w:lineRule="exact"/>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基本资格条件：满足《中华人民共和国政府采购法》第二十二条的规定：</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1.具有独立承担民事责任能力的法人、其他组织或自然人，法人或其他组织提供营业执照（事业单位法人证书）等合法证明文件；</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2.提供2020年度或2021年度的经审计的财务报告或开标前六个月内其基本存款账户开户银行出具的资信证明；</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3.税收缴纳证明：提供投标文件截止时间前一年内至少一个月已缴纳税收的凭据；依法免税的投标人应提供相关文件证明；</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4.社会保障资金缴纳证明：提供投标文件截止时间前一年内至少一个月已缴纳的社会保障资金的凭据（专用收据或社会保险缴纳清单）；依法不需要缴纳社会保障资金的投标人应提供相关文件证明；</w:t>
      </w:r>
    </w:p>
    <w:p>
      <w:pPr>
        <w:keepLines w:val="0"/>
        <w:pageBreakBefore w:val="0"/>
        <w:kinsoku/>
        <w:wordWrap/>
        <w:overflowPunct/>
        <w:topLinePunct w:val="0"/>
        <w:bidi w:val="0"/>
        <w:spacing w:line="400" w:lineRule="exact"/>
        <w:rPr>
          <w:rFonts w:hint="eastAsia"/>
        </w:rPr>
      </w:pPr>
      <w:r>
        <w:rPr>
          <w:rFonts w:hint="eastAsia"/>
          <w:lang w:val="en-US" w:eastAsia="zh-CN"/>
        </w:rPr>
        <w:t>5.参加政府采购活动前3年内在经营活动中没有重大违法记录的书面声明；</w:t>
      </w:r>
    </w:p>
    <w:p>
      <w:pPr>
        <w:pStyle w:val="22"/>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eastAsia="宋体"/>
          <w:b/>
          <w:bCs/>
          <w:sz w:val="21"/>
          <w:szCs w:val="21"/>
          <w:lang w:val="en-US" w:eastAsia="zh-CN"/>
        </w:rPr>
      </w:pPr>
      <w:r>
        <w:rPr>
          <w:rFonts w:hint="eastAsia" w:ascii="宋体" w:hAnsi="宋体" w:eastAsia="宋体" w:cs="宋体"/>
          <w:b/>
          <w:bCs/>
          <w:sz w:val="21"/>
          <w:szCs w:val="21"/>
          <w:highlight w:val="none"/>
        </w:rPr>
        <w:t>本项目的特定资格要求</w:t>
      </w:r>
      <w:r>
        <w:rPr>
          <w:rFonts w:hint="eastAsia" w:ascii="宋体" w:hAnsi="宋体" w:cs="宋体"/>
          <w:b/>
          <w:bCs/>
          <w:sz w:val="21"/>
          <w:szCs w:val="21"/>
          <w:highlight w:val="none"/>
          <w:lang w:eastAsia="zh-CN"/>
        </w:rPr>
        <w:t>：</w:t>
      </w:r>
    </w:p>
    <w:p>
      <w:pPr>
        <w:keepLines w:val="0"/>
        <w:pageBreakBefore w:val="0"/>
        <w:numPr>
          <w:ilvl w:val="0"/>
          <w:numId w:val="0"/>
        </w:numPr>
        <w:kinsoku/>
        <w:wordWrap/>
        <w:overflowPunct/>
        <w:topLinePunct w:val="0"/>
        <w:bidi w:val="0"/>
        <w:spacing w:line="400" w:lineRule="exact"/>
        <w:rPr>
          <w:rFonts w:hint="eastAsia"/>
          <w:lang w:val="en-US" w:eastAsia="zh-CN"/>
        </w:rPr>
      </w:pPr>
      <w:r>
        <w:rPr>
          <w:rFonts w:hint="eastAsia"/>
          <w:b w:val="0"/>
          <w:bCs w:val="0"/>
          <w:lang w:val="en-US" w:eastAsia="zh-CN"/>
        </w:rPr>
        <w:t>1.</w:t>
      </w:r>
      <w:r>
        <w:rPr>
          <w:rFonts w:hint="eastAsia"/>
          <w:b/>
          <w:bCs/>
          <w:lang w:val="en-US" w:eastAsia="zh-CN"/>
        </w:rPr>
        <w:t>第1包-第3包：</w:t>
      </w:r>
      <w:r>
        <w:rPr>
          <w:rFonts w:hint="eastAsia" w:cs="宋体"/>
          <w:color w:val="auto"/>
          <w:szCs w:val="24"/>
          <w:highlight w:val="none"/>
        </w:rPr>
        <w:t>供应商为生产厂家的须具有《食品生产许可证》；供应商为代理商的须提供《食品经营许可证》，并提供所代理产品生产厂家的《食品生产许可证》</w:t>
      </w:r>
      <w:r>
        <w:rPr>
          <w:rFonts w:hint="eastAsia"/>
          <w:lang w:val="en-US" w:eastAsia="zh-CN"/>
        </w:rPr>
        <w:t>；</w:t>
      </w:r>
    </w:p>
    <w:p>
      <w:pPr>
        <w:keepLines w:val="0"/>
        <w:pageBreakBefore w:val="0"/>
        <w:numPr>
          <w:ilvl w:val="0"/>
          <w:numId w:val="0"/>
        </w:numPr>
        <w:kinsoku/>
        <w:wordWrap/>
        <w:overflowPunct/>
        <w:topLinePunct w:val="0"/>
        <w:bidi w:val="0"/>
        <w:spacing w:line="400" w:lineRule="exact"/>
        <w:rPr>
          <w:rFonts w:hint="eastAsia"/>
          <w:lang w:val="en-US" w:eastAsia="zh-CN"/>
        </w:rPr>
      </w:pPr>
      <w:r>
        <w:rPr>
          <w:rFonts w:hint="eastAsia"/>
          <w:b/>
          <w:bCs/>
          <w:lang w:val="en-US" w:eastAsia="zh-CN"/>
        </w:rPr>
        <w:t>第4包-第7包：</w:t>
      </w:r>
      <w:r>
        <w:rPr>
          <w:rFonts w:hint="eastAsia" w:cs="宋体"/>
          <w:color w:val="auto"/>
          <w:szCs w:val="24"/>
          <w:highlight w:val="none"/>
        </w:rPr>
        <w:t>供应商须</w:t>
      </w:r>
      <w:r>
        <w:rPr>
          <w:rFonts w:hint="eastAsia" w:cs="宋体"/>
          <w:color w:val="auto"/>
          <w:szCs w:val="24"/>
          <w:highlight w:val="none"/>
          <w:lang w:val="en-US" w:eastAsia="zh-CN"/>
        </w:rPr>
        <w:t>提供</w:t>
      </w:r>
      <w:r>
        <w:rPr>
          <w:rFonts w:hint="eastAsia" w:cs="宋体"/>
          <w:color w:val="auto"/>
          <w:szCs w:val="24"/>
          <w:highlight w:val="none"/>
        </w:rPr>
        <w:t>《动物</w:t>
      </w:r>
      <w:r>
        <w:rPr>
          <w:rFonts w:hint="eastAsia" w:cs="宋体"/>
          <w:color w:val="auto"/>
          <w:szCs w:val="24"/>
          <w:highlight w:val="none"/>
          <w:lang w:val="en-US" w:eastAsia="zh-CN"/>
        </w:rPr>
        <w:t>免疫</w:t>
      </w:r>
      <w:r>
        <w:rPr>
          <w:rFonts w:hint="eastAsia" w:cs="宋体"/>
          <w:color w:val="auto"/>
          <w:szCs w:val="24"/>
          <w:highlight w:val="none"/>
        </w:rPr>
        <w:t>条件合格证》</w:t>
      </w:r>
      <w:r>
        <w:rPr>
          <w:rFonts w:hint="eastAsia" w:cs="宋体"/>
          <w:color w:val="auto"/>
          <w:szCs w:val="24"/>
          <w:highlight w:val="none"/>
          <w:lang w:eastAsia="zh-CN"/>
        </w:rPr>
        <w:t>；</w:t>
      </w:r>
    </w:p>
    <w:p>
      <w:pPr>
        <w:keepLines w:val="0"/>
        <w:pageBreakBefore w:val="0"/>
        <w:numPr>
          <w:ilvl w:val="0"/>
          <w:numId w:val="0"/>
        </w:numPr>
        <w:kinsoku/>
        <w:wordWrap/>
        <w:overflowPunct/>
        <w:topLinePunct w:val="0"/>
        <w:bidi w:val="0"/>
        <w:spacing w:line="400" w:lineRule="exact"/>
        <w:rPr>
          <w:rFonts w:hint="eastAsia"/>
          <w:lang w:val="en-US" w:eastAsia="zh-CN"/>
        </w:rPr>
      </w:pPr>
      <w:r>
        <w:rPr>
          <w:rFonts w:hint="eastAsia"/>
          <w:b/>
          <w:bCs/>
          <w:lang w:val="en-US" w:eastAsia="zh-CN"/>
        </w:rPr>
        <w:t>第8包-第18包</w:t>
      </w:r>
      <w:r>
        <w:rPr>
          <w:rFonts w:hint="eastAsia" w:ascii="Times New Roman" w:hAnsi="Times New Roman" w:eastAsia="宋体" w:cs="Times New Roman"/>
          <w:b/>
          <w:bCs/>
          <w:szCs w:val="22"/>
          <w:lang w:val="en-US" w:eastAsia="zh-CN"/>
        </w:rPr>
        <w:t>：</w:t>
      </w:r>
      <w:r>
        <w:rPr>
          <w:rFonts w:hint="eastAsia" w:cs="宋体"/>
          <w:color w:val="auto"/>
          <w:szCs w:val="24"/>
          <w:highlight w:val="none"/>
        </w:rPr>
        <w:t>供应商为生产厂家的须具有《食品生产许可证》；供应商为代理商的须提供《食品经营许可证》，并提供所代理产品生产厂家的《食品生产许可证》</w:t>
      </w:r>
      <w:r>
        <w:rPr>
          <w:rFonts w:hint="eastAsia"/>
          <w:lang w:val="en-US" w:eastAsia="zh-CN"/>
        </w:rPr>
        <w:t>；</w:t>
      </w:r>
    </w:p>
    <w:p>
      <w:pPr>
        <w:pStyle w:val="2"/>
        <w:keepLines w:val="0"/>
        <w:pageBreakBefore w:val="0"/>
        <w:kinsoku/>
        <w:wordWrap/>
        <w:overflowPunct/>
        <w:topLinePunct w:val="0"/>
        <w:bidi w:val="0"/>
        <w:spacing w:line="400" w:lineRule="exact"/>
        <w:rPr>
          <w:rFonts w:hint="eastAsia" w:ascii="Times New Roman" w:hAnsi="Times New Roman" w:eastAsia="宋体" w:cs="宋体"/>
          <w:color w:val="auto"/>
          <w:kern w:val="2"/>
          <w:sz w:val="21"/>
          <w:szCs w:val="24"/>
          <w:highlight w:val="none"/>
          <w:lang w:val="en-US" w:eastAsia="zh-CN" w:bidi="ar-SA"/>
        </w:rPr>
      </w:pPr>
      <w:r>
        <w:rPr>
          <w:rFonts w:hint="eastAsia" w:ascii="Times New Roman" w:hAnsi="Times New Roman" w:eastAsia="宋体" w:cs="Times New Roman"/>
          <w:b/>
          <w:bCs/>
          <w:kern w:val="2"/>
          <w:sz w:val="21"/>
          <w:szCs w:val="22"/>
          <w:lang w:val="en-US" w:eastAsia="zh-CN" w:bidi="ar-SA"/>
        </w:rPr>
        <w:t>第19包：</w:t>
      </w:r>
      <w:r>
        <w:rPr>
          <w:rFonts w:hint="eastAsia" w:ascii="Times New Roman" w:hAnsi="Times New Roman" w:eastAsia="宋体" w:cs="宋体"/>
          <w:color w:val="auto"/>
          <w:kern w:val="2"/>
          <w:sz w:val="21"/>
          <w:szCs w:val="24"/>
          <w:highlight w:val="none"/>
          <w:lang w:val="en-US" w:eastAsia="zh-CN" w:bidi="ar-SA"/>
        </w:rPr>
        <w:t>供应商须提供《食品经营许可证》；</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2.供应商应授权合法的人员参加投标，其中法定代表人直接参加投标，须出具法定代表人身份证，并与营业执照上信息一致。法定代表人授权代表参加投标，须出具法定代表人授权书及授权代表身份证原件；</w:t>
      </w:r>
    </w:p>
    <w:p>
      <w:pPr>
        <w:keepLines w:val="0"/>
        <w:pageBreakBefore w:val="0"/>
        <w:numPr>
          <w:ilvl w:val="0"/>
          <w:numId w:val="0"/>
        </w:numPr>
        <w:kinsoku/>
        <w:wordWrap/>
        <w:overflowPunct/>
        <w:topLinePunct w:val="0"/>
        <w:bidi w:val="0"/>
        <w:spacing w:line="400" w:lineRule="exact"/>
        <w:rPr>
          <w:rFonts w:hint="eastAsia"/>
          <w:lang w:val="en-US" w:eastAsia="zh-CN"/>
        </w:rPr>
      </w:pPr>
      <w:r>
        <w:rPr>
          <w:rFonts w:hint="eastAsia"/>
          <w:lang w:val="en-US" w:eastAsia="zh-CN"/>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t>4.投标保证金交纳凭证或担保机构出具的保函；</w:t>
      </w:r>
    </w:p>
    <w:p>
      <w:pPr>
        <w:keepLines w:val="0"/>
        <w:pageBreakBefore w:val="0"/>
        <w:kinsoku/>
        <w:wordWrap/>
        <w:overflowPunct/>
        <w:topLinePunct w:val="0"/>
        <w:bidi w:val="0"/>
        <w:spacing w:line="400" w:lineRule="exact"/>
        <w:rPr>
          <w:rFonts w:hint="eastAsia"/>
        </w:rPr>
      </w:pPr>
      <w:r>
        <w:rPr>
          <w:rFonts w:hint="eastAsia"/>
          <w:lang w:val="en-US" w:eastAsia="zh-CN"/>
        </w:rPr>
        <w:t>5.单位负责人为同一人或者存在直接控股、管理关系的不同供应商，不得参加同一合同项下的政府采购活动；</w:t>
      </w:r>
    </w:p>
    <w:p>
      <w:pPr>
        <w:keepLines w:val="0"/>
        <w:pageBreakBefore w:val="0"/>
        <w:kinsoku/>
        <w:wordWrap/>
        <w:overflowPunct/>
        <w:topLinePunct w:val="0"/>
        <w:bidi w:val="0"/>
        <w:spacing w:line="400" w:lineRule="exact"/>
        <w:rPr>
          <w:rFonts w:hint="eastAsia"/>
          <w:lang w:eastAsia="zh-CN"/>
        </w:rPr>
      </w:pPr>
      <w:r>
        <w:rPr>
          <w:rFonts w:hint="eastAsia"/>
          <w:lang w:val="en-US" w:eastAsia="zh-CN"/>
        </w:rPr>
        <w:t>6.</w:t>
      </w:r>
      <w:r>
        <w:rPr>
          <w:rFonts w:hint="eastAsia"/>
        </w:rPr>
        <w:t>本项目不接受联合体投标</w:t>
      </w:r>
      <w:r>
        <w:rPr>
          <w:rFonts w:hint="eastAsia"/>
          <w:lang w:eastAsia="zh-CN"/>
        </w:rPr>
        <w:t>；</w:t>
      </w:r>
    </w:p>
    <w:p>
      <w:pPr>
        <w:keepLines w:val="0"/>
        <w:pageBreakBefore w:val="0"/>
        <w:kinsoku/>
        <w:wordWrap/>
        <w:overflowPunct/>
        <w:topLinePunct w:val="0"/>
        <w:autoSpaceDE w:val="0"/>
        <w:autoSpaceDN w:val="0"/>
        <w:bidi w:val="0"/>
        <w:adjustRightInd w:val="0"/>
        <w:spacing w:line="400" w:lineRule="exact"/>
        <w:rPr>
          <w:rFonts w:eastAsia="黑体"/>
          <w:b/>
          <w:bCs/>
          <w:sz w:val="44"/>
          <w:szCs w:val="44"/>
        </w:rPr>
      </w:pPr>
      <w:r>
        <w:rPr>
          <w:rFonts w:hint="eastAsia" w:ascii="Times New Roman" w:hAnsi="Times New Roman" w:eastAsia="宋体" w:cs="Times New Roman"/>
          <w:b/>
          <w:bCs/>
          <w:szCs w:val="22"/>
          <w:lang w:val="en-US" w:eastAsia="zh-CN"/>
        </w:rPr>
        <w:t>备注：以上资格证明文件投标人必须完全提供(除注明原件外，均为</w:t>
      </w:r>
      <w:r>
        <w:rPr>
          <w:rFonts w:hint="eastAsia" w:cs="Times New Roman"/>
          <w:b/>
          <w:bCs/>
          <w:szCs w:val="22"/>
          <w:lang w:val="en-US" w:eastAsia="zh-CN"/>
        </w:rPr>
        <w:t>扫描件</w:t>
      </w:r>
      <w:r>
        <w:rPr>
          <w:rFonts w:hint="eastAsia" w:ascii="Times New Roman" w:hAnsi="Times New Roman" w:eastAsia="宋体" w:cs="Times New Roman"/>
          <w:b/>
          <w:bCs/>
          <w:szCs w:val="22"/>
          <w:lang w:val="en-US" w:eastAsia="zh-CN"/>
        </w:rPr>
        <w:t>并须加盖投标人公章)并胶装在投标文件中，一项不合格即按照无效投标处理。</w:t>
      </w:r>
    </w:p>
    <w:p>
      <w:pPr>
        <w:keepLines w:val="0"/>
        <w:pageBreakBefore w:val="0"/>
        <w:kinsoku/>
        <w:wordWrap/>
        <w:overflowPunct/>
        <w:topLinePunct w:val="0"/>
        <w:autoSpaceDE w:val="0"/>
        <w:autoSpaceDN w:val="0"/>
        <w:bidi w:val="0"/>
        <w:adjustRightInd w:val="0"/>
        <w:spacing w:line="400" w:lineRule="exact"/>
        <w:rPr>
          <w:rFonts w:hint="eastAsia" w:ascii="仿宋" w:hAnsi="仿宋" w:eastAsia="仿宋"/>
          <w:b/>
          <w:bCs/>
          <w:sz w:val="44"/>
          <w:szCs w:val="44"/>
          <w:lang w:val="zh-CN"/>
        </w:rPr>
      </w:pPr>
    </w:p>
    <w:p>
      <w:pPr>
        <w:pStyle w:val="4"/>
        <w:keepLines w:val="0"/>
        <w:pageBreakBefore w:val="0"/>
        <w:kinsoku/>
        <w:wordWrap/>
        <w:overflowPunct/>
        <w:topLinePunct w:val="0"/>
        <w:bidi w:val="0"/>
        <w:spacing w:line="400" w:lineRule="exact"/>
        <w:rPr>
          <w:rFonts w:hint="eastAsia"/>
          <w:lang w:val="zh-CN"/>
        </w:rPr>
      </w:pPr>
      <w:r>
        <w:rPr>
          <w:rFonts w:ascii="仿宋" w:hAnsi="仿宋" w:eastAsia="仿宋"/>
          <w:b w:val="0"/>
          <w:bCs/>
          <w:szCs w:val="28"/>
          <w:lang w:val="zh-CN"/>
        </w:rPr>
        <w:br w:type="page"/>
      </w:r>
      <w:r>
        <w:rPr>
          <w:lang w:val="zh-CN"/>
        </w:rPr>
        <w:t>法定代表人</w:t>
      </w:r>
      <w:r>
        <w:rPr>
          <w:rFonts w:hint="eastAsia"/>
          <w:lang w:val="zh-CN"/>
        </w:rPr>
        <w:t>身份证明</w:t>
      </w:r>
    </w:p>
    <w:p/>
    <w:tbl>
      <w:tblPr>
        <w:tblStyle w:val="14"/>
        <w:tblW w:w="9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94"/>
        <w:gridCol w:w="2091"/>
        <w:gridCol w:w="178"/>
        <w:gridCol w:w="2090"/>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420" w:type="dxa"/>
            <w:gridSpan w:val="6"/>
            <w:noWrap w:val="0"/>
            <w:vAlign w:val="center"/>
          </w:tcPr>
          <w:p>
            <w:pPr>
              <w:keepLines w:val="0"/>
              <w:pageBreakBefore w:val="0"/>
              <w:tabs>
                <w:tab w:val="left" w:pos="210"/>
              </w:tabs>
              <w:kinsoku/>
              <w:wordWrap/>
              <w:overflowPunct/>
              <w:topLinePunct w:val="0"/>
              <w:bidi w:val="0"/>
              <w:spacing w:line="400" w:lineRule="exact"/>
              <w:rPr>
                <w:rFonts w:hint="eastAsia" w:ascii="宋体" w:hAnsi="宋体" w:cs="宋体"/>
                <w:kern w:val="0"/>
                <w:sz w:val="24"/>
              </w:rPr>
            </w:pPr>
            <w:r>
              <w:rPr>
                <w:rFonts w:hint="eastAsia" w:ascii="宋体" w:hAnsi="宋体" w:cs="宋体"/>
                <w:kern w:val="0"/>
                <w:sz w:val="24"/>
              </w:rPr>
              <w:t>致：</w:t>
            </w:r>
            <w:r>
              <w:rPr>
                <w:rFonts w:hint="eastAsia" w:ascii="宋体" w:hAnsi="宋体" w:cs="宋体"/>
                <w:kern w:val="0"/>
                <w:sz w:val="24"/>
                <w:u w:val="single"/>
              </w:rPr>
              <w:t xml:space="preserve">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73" w:type="dxa"/>
            <w:vMerge w:val="restart"/>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企</w:t>
            </w:r>
          </w:p>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业</w:t>
            </w:r>
          </w:p>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法</w:t>
            </w:r>
          </w:p>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人</w:t>
            </w:r>
          </w:p>
        </w:tc>
        <w:tc>
          <w:tcPr>
            <w:tcW w:w="2094"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企业名称</w:t>
            </w:r>
          </w:p>
        </w:tc>
        <w:tc>
          <w:tcPr>
            <w:tcW w:w="6453" w:type="dxa"/>
            <w:gridSpan w:val="4"/>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73" w:type="dxa"/>
            <w:vMerge w:val="continue"/>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c>
          <w:tcPr>
            <w:tcW w:w="2094"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注册地址</w:t>
            </w:r>
          </w:p>
        </w:tc>
        <w:tc>
          <w:tcPr>
            <w:tcW w:w="6453" w:type="dxa"/>
            <w:gridSpan w:val="4"/>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73" w:type="dxa"/>
            <w:vMerge w:val="continue"/>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c>
          <w:tcPr>
            <w:tcW w:w="2094"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邮政编码</w:t>
            </w:r>
          </w:p>
        </w:tc>
        <w:tc>
          <w:tcPr>
            <w:tcW w:w="6453" w:type="dxa"/>
            <w:gridSpan w:val="4"/>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873" w:type="dxa"/>
            <w:vMerge w:val="continue"/>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c>
          <w:tcPr>
            <w:tcW w:w="2094"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工商登记机关</w:t>
            </w:r>
          </w:p>
        </w:tc>
        <w:tc>
          <w:tcPr>
            <w:tcW w:w="6453" w:type="dxa"/>
            <w:gridSpan w:val="4"/>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873" w:type="dxa"/>
            <w:vMerge w:val="continue"/>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c>
          <w:tcPr>
            <w:tcW w:w="2094"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税务登记机关</w:t>
            </w:r>
          </w:p>
        </w:tc>
        <w:tc>
          <w:tcPr>
            <w:tcW w:w="6453" w:type="dxa"/>
            <w:gridSpan w:val="4"/>
            <w:noWrap w:val="0"/>
            <w:vAlign w:val="center"/>
          </w:tcPr>
          <w:p>
            <w:pPr>
              <w:keepLines w:val="0"/>
              <w:pageBreakBefore w:val="0"/>
              <w:tabs>
                <w:tab w:val="left" w:pos="210"/>
              </w:tabs>
              <w:kinsoku/>
              <w:wordWrap/>
              <w:overflowPunct/>
              <w:topLinePunct w:val="0"/>
              <w:bidi w:val="0"/>
              <w:spacing w:line="400" w:lineRule="exac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873" w:type="dxa"/>
            <w:vMerge w:val="continue"/>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c>
          <w:tcPr>
            <w:tcW w:w="2094"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机构代码证号</w:t>
            </w:r>
          </w:p>
        </w:tc>
        <w:tc>
          <w:tcPr>
            <w:tcW w:w="6453" w:type="dxa"/>
            <w:gridSpan w:val="4"/>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73" w:type="dxa"/>
            <w:vMerge w:val="restart"/>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法定代表人</w:t>
            </w:r>
          </w:p>
        </w:tc>
        <w:tc>
          <w:tcPr>
            <w:tcW w:w="2094"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姓名</w:t>
            </w:r>
          </w:p>
        </w:tc>
        <w:tc>
          <w:tcPr>
            <w:tcW w:w="2269" w:type="dxa"/>
            <w:gridSpan w:val="2"/>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c>
          <w:tcPr>
            <w:tcW w:w="2090"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性别</w:t>
            </w:r>
          </w:p>
        </w:tc>
        <w:tc>
          <w:tcPr>
            <w:tcW w:w="2094"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873" w:type="dxa"/>
            <w:vMerge w:val="continue"/>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c>
          <w:tcPr>
            <w:tcW w:w="2094"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职务</w:t>
            </w:r>
          </w:p>
        </w:tc>
        <w:tc>
          <w:tcPr>
            <w:tcW w:w="2269" w:type="dxa"/>
            <w:gridSpan w:val="2"/>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c>
          <w:tcPr>
            <w:tcW w:w="2090"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联系电话</w:t>
            </w:r>
          </w:p>
        </w:tc>
        <w:tc>
          <w:tcPr>
            <w:tcW w:w="2094"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873" w:type="dxa"/>
            <w:vMerge w:val="continue"/>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c>
          <w:tcPr>
            <w:tcW w:w="2094" w:type="dxa"/>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传真</w:t>
            </w:r>
          </w:p>
        </w:tc>
        <w:tc>
          <w:tcPr>
            <w:tcW w:w="6453" w:type="dxa"/>
            <w:gridSpan w:val="4"/>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2" w:hRule="atLeast"/>
          <w:jc w:val="center"/>
        </w:trPr>
        <w:tc>
          <w:tcPr>
            <w:tcW w:w="873" w:type="dxa"/>
            <w:vMerge w:val="restart"/>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法定代表人身份证复印件</w:t>
            </w:r>
          </w:p>
        </w:tc>
        <w:tc>
          <w:tcPr>
            <w:tcW w:w="4185" w:type="dxa"/>
            <w:gridSpan w:val="2"/>
            <w:vMerge w:val="restart"/>
            <w:noWrap w:val="0"/>
            <w:vAlign w:val="center"/>
          </w:tcPr>
          <w:p>
            <w:pPr>
              <w:keepLines w:val="0"/>
              <w:pageBreakBefore w:val="0"/>
              <w:tabs>
                <w:tab w:val="left" w:pos="210"/>
              </w:tabs>
              <w:kinsoku/>
              <w:wordWrap/>
              <w:overflowPunct/>
              <w:topLinePunct w:val="0"/>
              <w:bidi w:val="0"/>
              <w:spacing w:line="400" w:lineRule="exact"/>
              <w:ind w:firstLine="1200" w:firstLineChars="500"/>
              <w:jc w:val="both"/>
              <w:rPr>
                <w:rFonts w:hint="eastAsia" w:ascii="宋体" w:hAnsi="宋体" w:cs="宋体"/>
                <w:kern w:val="0"/>
                <w:sz w:val="24"/>
              </w:rPr>
            </w:pPr>
            <w:r>
              <w:rPr>
                <w:rFonts w:hint="eastAsia" w:ascii="宋体" w:hAnsi="宋体" w:cs="宋体"/>
                <w:kern w:val="0"/>
                <w:sz w:val="24"/>
              </w:rPr>
              <w:t>（粘贴处）</w:t>
            </w:r>
          </w:p>
        </w:tc>
        <w:tc>
          <w:tcPr>
            <w:tcW w:w="4362" w:type="dxa"/>
            <w:gridSpan w:val="3"/>
            <w:noWrap w:val="0"/>
            <w:vAlign w:val="center"/>
          </w:tcPr>
          <w:p>
            <w:pPr>
              <w:keepLines w:val="0"/>
              <w:pageBreakBefore w:val="0"/>
              <w:tabs>
                <w:tab w:val="left" w:pos="210"/>
              </w:tabs>
              <w:kinsoku/>
              <w:wordWrap/>
              <w:overflowPunct/>
              <w:topLinePunct w:val="0"/>
              <w:bidi w:val="0"/>
              <w:spacing w:line="400" w:lineRule="exact"/>
              <w:rPr>
                <w:rFonts w:hint="eastAsia" w:ascii="宋体" w:hAnsi="宋体" w:cs="宋体"/>
                <w:kern w:val="0"/>
                <w:sz w:val="24"/>
              </w:rPr>
            </w:pPr>
            <w:r>
              <w:rPr>
                <w:rFonts w:hint="eastAsia" w:ascii="宋体" w:hAnsi="宋体" w:cs="宋体"/>
                <w:kern w:val="0"/>
                <w:sz w:val="24"/>
              </w:rPr>
              <w:t>法定代表人：          （签字或盖章）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8" w:hRule="atLeast"/>
          <w:jc w:val="center"/>
        </w:trPr>
        <w:tc>
          <w:tcPr>
            <w:tcW w:w="873" w:type="dxa"/>
            <w:vMerge w:val="continue"/>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c>
          <w:tcPr>
            <w:tcW w:w="4185" w:type="dxa"/>
            <w:gridSpan w:val="2"/>
            <w:vMerge w:val="continue"/>
            <w:noWrap w:val="0"/>
            <w:vAlign w:val="center"/>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tc>
        <w:tc>
          <w:tcPr>
            <w:tcW w:w="4362" w:type="dxa"/>
            <w:gridSpan w:val="3"/>
            <w:noWrap w:val="0"/>
            <w:vAlign w:val="bottom"/>
          </w:tcPr>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r>
              <w:rPr>
                <w:rFonts w:hint="eastAsia" w:ascii="宋体" w:hAnsi="宋体" w:cs="宋体"/>
                <w:kern w:val="0"/>
                <w:sz w:val="24"/>
              </w:rPr>
              <w:t>（公章）</w:t>
            </w:r>
          </w:p>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p>
            <w:pPr>
              <w:keepLines w:val="0"/>
              <w:pageBreakBefore w:val="0"/>
              <w:tabs>
                <w:tab w:val="left" w:pos="210"/>
              </w:tabs>
              <w:kinsoku/>
              <w:wordWrap/>
              <w:overflowPunct/>
              <w:topLinePunct w:val="0"/>
              <w:bidi w:val="0"/>
              <w:spacing w:line="400" w:lineRule="exact"/>
              <w:jc w:val="center"/>
              <w:rPr>
                <w:rFonts w:hint="eastAsia" w:ascii="宋体" w:hAnsi="宋体" w:cs="宋体"/>
                <w:kern w:val="0"/>
                <w:sz w:val="24"/>
              </w:rPr>
            </w:pPr>
          </w:p>
          <w:p>
            <w:pPr>
              <w:keepLines w:val="0"/>
              <w:pageBreakBefore w:val="0"/>
              <w:tabs>
                <w:tab w:val="left" w:pos="210"/>
              </w:tabs>
              <w:kinsoku/>
              <w:wordWrap/>
              <w:overflowPunct/>
              <w:topLinePunct w:val="0"/>
              <w:bidi w:val="0"/>
              <w:spacing w:line="400" w:lineRule="exact"/>
              <w:jc w:val="right"/>
              <w:rPr>
                <w:rFonts w:hint="eastAsia" w:ascii="宋体" w:hAnsi="宋体" w:cs="宋体"/>
                <w:kern w:val="0"/>
                <w:sz w:val="24"/>
              </w:rPr>
            </w:pPr>
            <w:r>
              <w:rPr>
                <w:rFonts w:hint="eastAsia" w:ascii="宋体" w:hAnsi="宋体" w:cs="宋体"/>
                <w:kern w:val="0"/>
                <w:sz w:val="24"/>
              </w:rPr>
              <w:t xml:space="preserve">年  月  日 </w:t>
            </w:r>
          </w:p>
        </w:tc>
      </w:tr>
    </w:tbl>
    <w:p>
      <w:pPr>
        <w:keepLines w:val="0"/>
        <w:pageBreakBefore w:val="0"/>
        <w:kinsoku/>
        <w:wordWrap/>
        <w:overflowPunct/>
        <w:topLinePunct w:val="0"/>
        <w:autoSpaceDE w:val="0"/>
        <w:autoSpaceDN w:val="0"/>
        <w:bidi w:val="0"/>
        <w:adjustRightInd w:val="0"/>
        <w:spacing w:line="400" w:lineRule="exact"/>
        <w:ind w:firstLine="630"/>
        <w:rPr>
          <w:rFonts w:ascii="仿宋" w:hAnsi="仿宋" w:eastAsia="仿宋"/>
          <w:sz w:val="28"/>
          <w:szCs w:val="28"/>
        </w:rPr>
      </w:pPr>
    </w:p>
    <w:p>
      <w:pPr>
        <w:pStyle w:val="4"/>
        <w:keepLines w:val="0"/>
        <w:pageBreakBefore w:val="0"/>
        <w:kinsoku/>
        <w:wordWrap/>
        <w:overflowPunct/>
        <w:topLinePunct w:val="0"/>
        <w:bidi w:val="0"/>
        <w:spacing w:line="400" w:lineRule="exact"/>
        <w:rPr>
          <w:rFonts w:hint="eastAsia" w:ascii="宋体" w:hAnsi="宋体" w:cs="宋体"/>
          <w:bCs/>
          <w:sz w:val="24"/>
          <w:szCs w:val="24"/>
        </w:rPr>
      </w:pPr>
      <w:r>
        <w:rPr>
          <w:rFonts w:ascii="仿宋" w:hAnsi="仿宋" w:eastAsia="仿宋"/>
          <w:b w:val="0"/>
          <w:bCs/>
          <w:szCs w:val="28"/>
          <w:lang w:val="zh-CN"/>
        </w:rPr>
        <w:br w:type="page"/>
      </w:r>
      <w:r>
        <w:rPr>
          <w:rFonts w:hint="eastAsia" w:ascii="宋体" w:hAnsi="宋体" w:cs="宋体"/>
          <w:bCs/>
          <w:sz w:val="24"/>
          <w:szCs w:val="24"/>
        </w:rPr>
        <w:t>授权委托书</w:t>
      </w:r>
    </w:p>
    <w:p>
      <w:pPr>
        <w:rPr>
          <w:rFonts w:hint="eastAsia"/>
        </w:rPr>
      </w:pPr>
    </w:p>
    <w:tbl>
      <w:tblPr>
        <w:tblStyle w:val="14"/>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9479" w:type="dxa"/>
            <w:gridSpan w:val="7"/>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r>
              <w:rPr>
                <w:rFonts w:hint="eastAsia" w:ascii="宋体" w:hAnsi="宋体" w:cs="宋体"/>
                <w:kern w:val="0"/>
                <w:sz w:val="24"/>
              </w:rPr>
              <w:t>致：</w:t>
            </w:r>
            <w:r>
              <w:rPr>
                <w:rFonts w:hint="eastAsia" w:ascii="宋体" w:hAnsi="宋体" w:cs="宋体"/>
                <w:kern w:val="0"/>
                <w:sz w:val="24"/>
                <w:u w:val="single"/>
              </w:rPr>
              <w:t xml:space="preserve">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restart"/>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被授</w:t>
            </w:r>
          </w:p>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权项</w:t>
            </w:r>
          </w:p>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目与</w:t>
            </w:r>
          </w:p>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内容</w:t>
            </w:r>
          </w:p>
        </w:tc>
        <w:tc>
          <w:tcPr>
            <w:tcW w:w="1355" w:type="dxa"/>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r>
              <w:rPr>
                <w:rFonts w:hint="eastAsia" w:ascii="宋体" w:hAnsi="宋体" w:cs="宋体"/>
                <w:bCs/>
                <w:caps/>
                <w:sz w:val="24"/>
                <w:szCs w:val="24"/>
              </w:rPr>
              <w:t>项目名称</w:t>
            </w:r>
          </w:p>
        </w:tc>
        <w:tc>
          <w:tcPr>
            <w:tcW w:w="6422" w:type="dxa"/>
            <w:gridSpan w:val="5"/>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r>
              <w:rPr>
                <w:rFonts w:hint="eastAsia" w:ascii="宋体" w:hAnsi="宋体" w:cs="宋体"/>
                <w:bCs/>
                <w:cap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continue"/>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tc>
        <w:tc>
          <w:tcPr>
            <w:tcW w:w="1355" w:type="dxa"/>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r>
              <w:rPr>
                <w:rFonts w:hint="eastAsia" w:ascii="宋体" w:hAnsi="宋体" w:cs="宋体"/>
                <w:bCs/>
                <w:caps/>
                <w:sz w:val="24"/>
                <w:szCs w:val="24"/>
                <w:lang w:eastAsia="zh-CN"/>
              </w:rPr>
              <w:t>项目</w:t>
            </w:r>
            <w:r>
              <w:rPr>
                <w:rFonts w:hint="eastAsia" w:ascii="宋体" w:hAnsi="宋体" w:cs="宋体"/>
                <w:bCs/>
                <w:caps/>
                <w:sz w:val="24"/>
                <w:szCs w:val="24"/>
              </w:rPr>
              <w:t>编号</w:t>
            </w:r>
          </w:p>
        </w:tc>
        <w:tc>
          <w:tcPr>
            <w:tcW w:w="6422" w:type="dxa"/>
            <w:gridSpan w:val="5"/>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ind w:firstLine="1200" w:firstLineChars="500"/>
              <w:jc w:val="left"/>
              <w:rPr>
                <w:rFonts w:hint="eastAsia" w:ascii="宋体"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continue"/>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tc>
        <w:tc>
          <w:tcPr>
            <w:tcW w:w="1355"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授权范围</w:t>
            </w:r>
          </w:p>
        </w:tc>
        <w:tc>
          <w:tcPr>
            <w:tcW w:w="6422" w:type="dxa"/>
            <w:gridSpan w:val="5"/>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r>
              <w:rPr>
                <w:rFonts w:hint="eastAsia" w:ascii="宋体" w:hAnsi="宋体" w:cs="宋体"/>
                <w:bCs/>
                <w:caps/>
                <w:sz w:val="24"/>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continue"/>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tc>
        <w:tc>
          <w:tcPr>
            <w:tcW w:w="1355" w:type="dxa"/>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r>
              <w:rPr>
                <w:rFonts w:hint="eastAsia" w:ascii="宋体" w:hAnsi="宋体" w:cs="宋体"/>
                <w:bCs/>
                <w:caps/>
                <w:sz w:val="24"/>
                <w:szCs w:val="24"/>
              </w:rPr>
              <w:t>法律责任</w:t>
            </w:r>
          </w:p>
        </w:tc>
        <w:tc>
          <w:tcPr>
            <w:tcW w:w="6422" w:type="dxa"/>
            <w:gridSpan w:val="5"/>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r>
              <w:rPr>
                <w:rFonts w:hint="eastAsia" w:ascii="宋体" w:hAnsi="宋体" w:cs="宋体"/>
                <w:bCs/>
                <w:caps/>
                <w:sz w:val="24"/>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continue"/>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tc>
        <w:tc>
          <w:tcPr>
            <w:tcW w:w="1355"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rPr>
                <w:rFonts w:hint="eastAsia" w:ascii="宋体" w:hAnsi="宋体" w:cs="宋体"/>
                <w:bCs/>
                <w:caps/>
                <w:sz w:val="24"/>
                <w:szCs w:val="24"/>
              </w:rPr>
            </w:pPr>
            <w:r>
              <w:rPr>
                <w:rFonts w:hint="eastAsia" w:ascii="宋体" w:hAnsi="宋体" w:cs="宋体"/>
                <w:bCs/>
                <w:caps/>
                <w:sz w:val="24"/>
                <w:szCs w:val="24"/>
              </w:rPr>
              <w:t>授权期限</w:t>
            </w:r>
          </w:p>
        </w:tc>
        <w:tc>
          <w:tcPr>
            <w:tcW w:w="6422" w:type="dxa"/>
            <w:gridSpan w:val="5"/>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rPr>
                <w:rFonts w:hint="eastAsia" w:ascii="宋体" w:hAnsi="宋体" w:cs="宋体"/>
                <w:bCs/>
                <w:caps/>
                <w:sz w:val="24"/>
                <w:szCs w:val="24"/>
              </w:rPr>
            </w:pPr>
            <w:r>
              <w:rPr>
                <w:rFonts w:hint="eastAsia" w:ascii="宋体" w:hAnsi="宋体" w:cs="宋体"/>
                <w:bCs/>
                <w:caps/>
                <w:sz w:val="24"/>
                <w:szCs w:val="24"/>
              </w:rPr>
              <w:t>本授权书</w:t>
            </w:r>
            <w:r>
              <w:rPr>
                <w:rFonts w:hint="eastAsia" w:ascii="宋体" w:hAnsi="宋体" w:cs="宋体"/>
                <w:sz w:val="24"/>
                <w:szCs w:val="24"/>
              </w:rPr>
              <w:t>自提交投标文件的截止之日起</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90 </w:t>
            </w:r>
            <w:r>
              <w:rPr>
                <w:rFonts w:hint="eastAsia" w:ascii="宋体" w:hAnsi="宋体" w:cs="宋体"/>
                <w:sz w:val="24"/>
                <w:szCs w:val="24"/>
                <w:u w:val="single"/>
              </w:rPr>
              <w:t xml:space="preserve"> </w:t>
            </w:r>
            <w:r>
              <w:rPr>
                <w:rFonts w:hint="eastAsia" w:ascii="宋体" w:hAnsi="宋体" w:cs="宋体"/>
                <w:sz w:val="24"/>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restart"/>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企业信息</w:t>
            </w:r>
          </w:p>
        </w:tc>
        <w:tc>
          <w:tcPr>
            <w:tcW w:w="2489" w:type="dxa"/>
            <w:gridSpan w:val="2"/>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rPr>
                <w:rFonts w:hint="eastAsia" w:ascii="宋体" w:hAnsi="宋体" w:cs="宋体"/>
                <w:bCs/>
                <w:caps/>
                <w:sz w:val="24"/>
                <w:szCs w:val="24"/>
              </w:rPr>
            </w:pPr>
            <w:r>
              <w:rPr>
                <w:rFonts w:hint="eastAsia" w:ascii="宋体" w:hAnsi="宋体" w:cs="宋体"/>
                <w:bCs/>
                <w:caps/>
                <w:sz w:val="24"/>
                <w:szCs w:val="24"/>
              </w:rPr>
              <w:t xml:space="preserve">企 业 名 称 </w:t>
            </w:r>
          </w:p>
        </w:tc>
        <w:tc>
          <w:tcPr>
            <w:tcW w:w="5288" w:type="dxa"/>
            <w:gridSpan w:val="4"/>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rPr>
                <w:rFonts w:hint="eastAsia" w:ascii="宋体"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continue"/>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tc>
        <w:tc>
          <w:tcPr>
            <w:tcW w:w="2489" w:type="dxa"/>
            <w:gridSpan w:val="2"/>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rPr>
                <w:rFonts w:hint="eastAsia" w:ascii="宋体" w:hAnsi="宋体" w:cs="宋体"/>
                <w:bCs/>
                <w:caps/>
                <w:sz w:val="24"/>
                <w:szCs w:val="24"/>
              </w:rPr>
            </w:pPr>
            <w:r>
              <w:rPr>
                <w:rFonts w:hint="eastAsia" w:ascii="宋体" w:hAnsi="宋体" w:cs="宋体"/>
                <w:bCs/>
                <w:caps/>
                <w:sz w:val="24"/>
                <w:szCs w:val="24"/>
              </w:rPr>
              <w:t>法 定 地 址</w:t>
            </w:r>
          </w:p>
        </w:tc>
        <w:tc>
          <w:tcPr>
            <w:tcW w:w="5288" w:type="dxa"/>
            <w:gridSpan w:val="4"/>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rPr>
                <w:rFonts w:hint="eastAsia" w:ascii="宋体"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continue"/>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tc>
        <w:tc>
          <w:tcPr>
            <w:tcW w:w="2489" w:type="dxa"/>
            <w:gridSpan w:val="2"/>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rPr>
                <w:rFonts w:hint="eastAsia" w:ascii="宋体" w:hAnsi="宋体" w:cs="宋体"/>
                <w:bCs/>
                <w:caps/>
                <w:sz w:val="24"/>
                <w:szCs w:val="24"/>
              </w:rPr>
            </w:pPr>
            <w:r>
              <w:rPr>
                <w:rFonts w:hint="eastAsia" w:ascii="宋体" w:hAnsi="宋体" w:cs="宋体"/>
                <w:bCs/>
                <w:caps/>
                <w:sz w:val="24"/>
                <w:szCs w:val="24"/>
              </w:rPr>
              <w:t>营业执照注册证号</w:t>
            </w:r>
          </w:p>
        </w:tc>
        <w:tc>
          <w:tcPr>
            <w:tcW w:w="5288" w:type="dxa"/>
            <w:gridSpan w:val="4"/>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rPr>
                <w:rFonts w:hint="eastAsia" w:ascii="宋体"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restart"/>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rPr>
                <w:rFonts w:hint="eastAsia" w:ascii="宋体" w:hAnsi="宋体" w:cs="宋体"/>
                <w:bCs/>
                <w:caps/>
                <w:sz w:val="24"/>
                <w:szCs w:val="24"/>
              </w:rPr>
            </w:pPr>
            <w:r>
              <w:rPr>
                <w:rFonts w:hint="eastAsia" w:ascii="宋体" w:hAnsi="宋体" w:cs="宋体"/>
                <w:bCs/>
                <w:caps/>
                <w:sz w:val="24"/>
                <w:szCs w:val="24"/>
              </w:rPr>
              <w:t>法定代表人</w:t>
            </w:r>
          </w:p>
        </w:tc>
        <w:tc>
          <w:tcPr>
            <w:tcW w:w="1355"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姓名</w:t>
            </w:r>
          </w:p>
        </w:tc>
        <w:tc>
          <w:tcPr>
            <w:tcW w:w="2693" w:type="dxa"/>
            <w:gridSpan w:val="3"/>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p>
        </w:tc>
        <w:tc>
          <w:tcPr>
            <w:tcW w:w="1559"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性    别</w:t>
            </w:r>
          </w:p>
        </w:tc>
        <w:tc>
          <w:tcPr>
            <w:tcW w:w="2170"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continue"/>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tc>
        <w:tc>
          <w:tcPr>
            <w:tcW w:w="1355"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职务</w:t>
            </w:r>
          </w:p>
        </w:tc>
        <w:tc>
          <w:tcPr>
            <w:tcW w:w="2693" w:type="dxa"/>
            <w:gridSpan w:val="3"/>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p>
        </w:tc>
        <w:tc>
          <w:tcPr>
            <w:tcW w:w="1559"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手机号码</w:t>
            </w:r>
          </w:p>
        </w:tc>
        <w:tc>
          <w:tcPr>
            <w:tcW w:w="2170"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rPr>
                <w:rFonts w:hint="eastAsia" w:ascii="宋体"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restart"/>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被授权人</w:t>
            </w:r>
          </w:p>
        </w:tc>
        <w:tc>
          <w:tcPr>
            <w:tcW w:w="1355"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姓名</w:t>
            </w:r>
          </w:p>
        </w:tc>
        <w:tc>
          <w:tcPr>
            <w:tcW w:w="2693" w:type="dxa"/>
            <w:gridSpan w:val="3"/>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p>
        </w:tc>
        <w:tc>
          <w:tcPr>
            <w:tcW w:w="1559"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性    别</w:t>
            </w:r>
          </w:p>
        </w:tc>
        <w:tc>
          <w:tcPr>
            <w:tcW w:w="2170"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Merge w:val="continue"/>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tc>
        <w:tc>
          <w:tcPr>
            <w:tcW w:w="1355"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职务</w:t>
            </w:r>
          </w:p>
        </w:tc>
        <w:tc>
          <w:tcPr>
            <w:tcW w:w="2693" w:type="dxa"/>
            <w:gridSpan w:val="3"/>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p>
        </w:tc>
        <w:tc>
          <w:tcPr>
            <w:tcW w:w="1559" w:type="dxa"/>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手机号码</w:t>
            </w:r>
          </w:p>
        </w:tc>
        <w:tc>
          <w:tcPr>
            <w:tcW w:w="2170" w:type="dxa"/>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rPr>
                <w:rFonts w:hint="eastAsia" w:ascii="宋体"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通讯地址</w:t>
            </w:r>
          </w:p>
        </w:tc>
        <w:tc>
          <w:tcPr>
            <w:tcW w:w="7777" w:type="dxa"/>
            <w:gridSpan w:val="6"/>
            <w:noWrap w:val="0"/>
            <w:vAlign w:val="top"/>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6" w:hRule="atLeast"/>
          <w:jc w:val="center"/>
        </w:trPr>
        <w:tc>
          <w:tcPr>
            <w:tcW w:w="4899" w:type="dxa"/>
            <w:gridSpan w:val="4"/>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法定代表人身份证复印件</w:t>
            </w:r>
          </w:p>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二代身份证正、反两面都需复印</w:t>
            </w:r>
          </w:p>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（粘贴处）</w:t>
            </w:r>
          </w:p>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tc>
        <w:tc>
          <w:tcPr>
            <w:tcW w:w="4580" w:type="dxa"/>
            <w:gridSpan w:val="3"/>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被授权人身份证复印件</w:t>
            </w:r>
          </w:p>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二代身份证正、反两面都需复印</w:t>
            </w:r>
          </w:p>
          <w:p>
            <w:pPr>
              <w:keepLines w:val="0"/>
              <w:pageBreakBefore w:val="0"/>
              <w:tabs>
                <w:tab w:val="right" w:leader="dot" w:pos="9022"/>
              </w:tabs>
              <w:kinsoku/>
              <w:wordWrap/>
              <w:overflowPunct/>
              <w:topLinePunct w:val="0"/>
              <w:autoSpaceDE w:val="0"/>
              <w:autoSpaceDN w:val="0"/>
              <w:bidi w:val="0"/>
              <w:adjustRightInd w:val="0"/>
              <w:spacing w:line="400" w:lineRule="exact"/>
              <w:jc w:val="center"/>
              <w:rPr>
                <w:rFonts w:hint="eastAsia" w:ascii="宋体" w:hAnsi="宋体" w:cs="宋体"/>
                <w:bCs/>
                <w:caps/>
                <w:sz w:val="24"/>
                <w:szCs w:val="24"/>
              </w:rPr>
            </w:pPr>
            <w:r>
              <w:rPr>
                <w:rFonts w:hint="eastAsia" w:ascii="宋体" w:hAnsi="宋体" w:cs="宋体"/>
                <w:bCs/>
                <w:caps/>
                <w:sz w:val="24"/>
                <w:szCs w:val="24"/>
              </w:rPr>
              <w:t>（粘贴处）</w:t>
            </w:r>
          </w:p>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9479" w:type="dxa"/>
            <w:gridSpan w:val="7"/>
            <w:tcBorders>
              <w:bottom w:val="single" w:color="auto" w:sz="4" w:space="0"/>
            </w:tcBorders>
            <w:noWrap w:val="0"/>
            <w:vAlign w:val="center"/>
          </w:tcPr>
          <w:p>
            <w:pPr>
              <w:keepLines w:val="0"/>
              <w:pageBreakBefore w:val="0"/>
              <w:tabs>
                <w:tab w:val="right" w:leader="dot" w:pos="9022"/>
              </w:tabs>
              <w:kinsoku/>
              <w:wordWrap/>
              <w:overflowPunct/>
              <w:topLinePunct w:val="0"/>
              <w:autoSpaceDE w:val="0"/>
              <w:autoSpaceDN w:val="0"/>
              <w:bidi w:val="0"/>
              <w:adjustRightInd w:val="0"/>
              <w:spacing w:line="400" w:lineRule="exact"/>
              <w:jc w:val="left"/>
              <w:rPr>
                <w:rFonts w:hint="eastAsia" w:ascii="宋体" w:hAnsi="宋体" w:cs="宋体"/>
                <w:bCs/>
                <w:caps/>
                <w:sz w:val="24"/>
                <w:szCs w:val="24"/>
              </w:rPr>
            </w:pPr>
            <w:r>
              <w:rPr>
                <w:rFonts w:hint="eastAsia" w:ascii="宋体" w:hAnsi="宋体" w:cs="宋体"/>
                <w:bCs/>
                <w:caps/>
                <w:sz w:val="24"/>
                <w:szCs w:val="24"/>
              </w:rPr>
              <w:t>法定代表人及被授权人签字或盖章：</w:t>
            </w:r>
          </w:p>
        </w:tc>
      </w:tr>
    </w:tbl>
    <w:p>
      <w:pPr>
        <w:keepLines w:val="0"/>
        <w:pageBreakBefore w:val="0"/>
        <w:kinsoku/>
        <w:wordWrap/>
        <w:overflowPunct/>
        <w:topLinePunct w:val="0"/>
        <w:bidi w:val="0"/>
        <w:spacing w:line="400" w:lineRule="exact"/>
        <w:ind w:left="210" w:leftChars="100"/>
        <w:rPr>
          <w:rFonts w:hint="eastAsia" w:ascii="宋体" w:hAnsi="宋体" w:cs="宋体"/>
          <w:bCs/>
          <w:caps/>
          <w:sz w:val="24"/>
          <w:szCs w:val="24"/>
        </w:rPr>
      </w:pPr>
    </w:p>
    <w:p>
      <w:pPr>
        <w:keepLines w:val="0"/>
        <w:pageBreakBefore w:val="0"/>
        <w:kinsoku/>
        <w:wordWrap/>
        <w:overflowPunct/>
        <w:topLinePunct w:val="0"/>
        <w:bidi w:val="0"/>
        <w:spacing w:line="400" w:lineRule="exact"/>
        <w:ind w:left="210" w:leftChars="100"/>
        <w:rPr>
          <w:rFonts w:hint="eastAsia" w:ascii="宋体" w:hAnsi="宋体" w:cs="宋体"/>
          <w:bCs/>
          <w:caps/>
          <w:sz w:val="24"/>
          <w:szCs w:val="24"/>
        </w:rPr>
      </w:pPr>
      <w:r>
        <w:rPr>
          <w:rFonts w:hint="eastAsia" w:ascii="宋体" w:hAnsi="宋体" w:cs="宋体"/>
          <w:bCs/>
          <w:caps/>
          <w:sz w:val="24"/>
          <w:szCs w:val="24"/>
          <w:lang w:val="en-US" w:eastAsia="zh-CN"/>
        </w:rPr>
        <w:t>供应商</w:t>
      </w:r>
      <w:r>
        <w:rPr>
          <w:rFonts w:hint="eastAsia" w:ascii="宋体" w:hAnsi="宋体" w:cs="宋体"/>
          <w:bCs/>
          <w:caps/>
          <w:sz w:val="24"/>
          <w:szCs w:val="24"/>
        </w:rPr>
        <w:t>名称：</w:t>
      </w:r>
      <w:r>
        <w:rPr>
          <w:rFonts w:hint="eastAsia" w:ascii="宋体" w:hAnsi="宋体" w:cs="宋体"/>
          <w:bCs/>
          <w:caps/>
          <w:sz w:val="24"/>
          <w:szCs w:val="24"/>
          <w:u w:val="single"/>
        </w:rPr>
        <w:t xml:space="preserve">             </w:t>
      </w:r>
      <w:r>
        <w:rPr>
          <w:rFonts w:hint="eastAsia" w:ascii="宋体" w:hAnsi="宋体" w:cs="宋体"/>
          <w:bCs/>
          <w:caps/>
          <w:sz w:val="24"/>
          <w:szCs w:val="24"/>
        </w:rPr>
        <w:t xml:space="preserve">（单位公章）     </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bCs/>
          <w:caps/>
          <w:sz w:val="24"/>
          <w:szCs w:val="24"/>
          <w:u w:val="single"/>
        </w:rPr>
      </w:pPr>
      <w:r>
        <w:rPr>
          <w:rFonts w:hint="eastAsia" w:ascii="宋体" w:hAnsi="宋体" w:cs="宋体"/>
          <w:bCs/>
          <w:caps/>
          <w:sz w:val="24"/>
          <w:szCs w:val="24"/>
        </w:rPr>
        <w:t xml:space="preserve">  日 期：</w:t>
      </w:r>
      <w:r>
        <w:rPr>
          <w:rFonts w:hint="eastAsia" w:ascii="宋体" w:hAnsi="宋体" w:cs="宋体"/>
          <w:bCs/>
          <w:caps/>
          <w:sz w:val="24"/>
          <w:szCs w:val="24"/>
          <w:u w:val="single"/>
        </w:rPr>
        <w:t xml:space="preserve">                        </w:t>
      </w:r>
    </w:p>
    <w:p>
      <w:pPr>
        <w:keepLines w:val="0"/>
        <w:pageBreakBefore w:val="0"/>
        <w:kinsoku/>
        <w:wordWrap/>
        <w:overflowPunct/>
        <w:topLinePunct w:val="0"/>
        <w:autoSpaceDE w:val="0"/>
        <w:autoSpaceDN w:val="0"/>
        <w:bidi w:val="0"/>
        <w:adjustRightInd w:val="0"/>
        <w:spacing w:line="400" w:lineRule="exact"/>
        <w:rPr>
          <w:rFonts w:hint="eastAsia" w:ascii="宋体" w:hAnsi="宋体" w:cs="宋体"/>
          <w:bCs/>
          <w:caps/>
          <w:sz w:val="24"/>
          <w:szCs w:val="24"/>
          <w:u w:val="single"/>
        </w:rPr>
      </w:pPr>
    </w:p>
    <w:p>
      <w:pPr>
        <w:pStyle w:val="2"/>
        <w:rPr>
          <w:rFonts w:hint="eastAsia"/>
        </w:rPr>
      </w:pPr>
    </w:p>
    <w:p>
      <w:pPr>
        <w:keepLines w:val="0"/>
        <w:pageBreakBefore w:val="0"/>
        <w:kinsoku/>
        <w:wordWrap/>
        <w:overflowPunct/>
        <w:topLinePunct w:val="0"/>
        <w:bidi w:val="0"/>
        <w:spacing w:line="400" w:lineRule="exact"/>
        <w:rPr>
          <w:rFonts w:hint="eastAsia"/>
        </w:rPr>
      </w:pPr>
    </w:p>
    <w:p>
      <w:pPr>
        <w:pStyle w:val="4"/>
        <w:keepLines w:val="0"/>
        <w:pageBreakBefore w:val="0"/>
        <w:kinsoku/>
        <w:wordWrap/>
        <w:overflowPunct/>
        <w:topLinePunct w:val="0"/>
        <w:bidi w:val="0"/>
        <w:spacing w:line="400" w:lineRule="exact"/>
        <w:rPr>
          <w:rFonts w:hint="eastAsia"/>
          <w:lang w:eastAsia="zh-CN"/>
        </w:rPr>
      </w:pPr>
      <w:bookmarkStart w:id="89" w:name="_Toc28890_WPSOffice_Level1"/>
      <w:bookmarkStart w:id="90" w:name="_Toc8184_WPSOffice_Level1"/>
      <w:r>
        <w:rPr>
          <w:rFonts w:hint="eastAsia"/>
          <w:lang w:val="en-US" w:eastAsia="zh-CN"/>
        </w:rPr>
        <w:t>第十一部分</w:t>
      </w:r>
      <w:r>
        <w:rPr>
          <w:rFonts w:hint="eastAsia"/>
          <w:lang w:eastAsia="zh-CN"/>
        </w:rPr>
        <w:t>、其他资料</w:t>
      </w:r>
      <w:bookmarkEnd w:id="89"/>
      <w:bookmarkEnd w:id="90"/>
    </w:p>
    <w:p>
      <w:pPr>
        <w:pStyle w:val="6"/>
        <w:keepLines w:val="0"/>
        <w:pageBreakBefore w:val="0"/>
        <w:kinsoku/>
        <w:wordWrap/>
        <w:overflowPunct/>
        <w:topLinePunct w:val="0"/>
        <w:bidi w:val="0"/>
        <w:spacing w:line="400" w:lineRule="exact"/>
        <w:rPr>
          <w:rFonts w:hint="eastAsia"/>
          <w:lang w:eastAsia="zh-CN"/>
        </w:rPr>
      </w:pPr>
      <w:r>
        <w:rPr>
          <w:rFonts w:hint="eastAsia"/>
          <w:lang w:val="en-US" w:eastAsia="zh-CN"/>
        </w:rPr>
        <w:t>1、</w:t>
      </w:r>
      <w:r>
        <w:rPr>
          <w:rFonts w:hint="eastAsia"/>
          <w:lang w:eastAsia="zh-CN"/>
        </w:rPr>
        <w:t>依据招标文件要求，供应商认为有必要说明的其他内容。</w:t>
      </w:r>
    </w:p>
    <w:p>
      <w:pPr>
        <w:pStyle w:val="6"/>
        <w:keepLines w:val="0"/>
        <w:pageBreakBefore w:val="0"/>
        <w:kinsoku/>
        <w:wordWrap/>
        <w:overflowPunct/>
        <w:topLinePunct w:val="0"/>
        <w:bidi w:val="0"/>
        <w:spacing w:line="400" w:lineRule="exact"/>
        <w:rPr>
          <w:rFonts w:hint="eastAsia"/>
          <w:lang w:eastAsia="zh-CN"/>
        </w:rPr>
      </w:pPr>
      <w:r>
        <w:rPr>
          <w:rFonts w:hint="eastAsia"/>
          <w:lang w:val="en-US" w:eastAsia="zh-CN"/>
        </w:rPr>
        <w:t>2</w:t>
      </w:r>
      <w:r>
        <w:rPr>
          <w:rFonts w:hint="eastAsia"/>
          <w:lang w:eastAsia="zh-CN"/>
        </w:rPr>
        <w:t>、其他可以证明供应商实力的文件。</w:t>
      </w:r>
    </w:p>
    <w:p>
      <w:pPr>
        <w:pStyle w:val="6"/>
        <w:keepLines w:val="0"/>
        <w:pageBreakBefore w:val="0"/>
        <w:kinsoku/>
        <w:wordWrap/>
        <w:overflowPunct/>
        <w:topLinePunct w:val="0"/>
        <w:bidi w:val="0"/>
        <w:spacing w:line="400" w:lineRule="exact"/>
        <w:rPr>
          <w:rFonts w:hint="eastAsia"/>
          <w:lang w:val="en-US" w:eastAsia="zh-CN"/>
        </w:rPr>
      </w:pPr>
      <w:r>
        <w:rPr>
          <w:rFonts w:hint="eastAsia"/>
          <w:lang w:val="en-US" w:eastAsia="zh-CN"/>
        </w:rPr>
        <w:t>3、产品来源渠道的合法证明文件。</w:t>
      </w:r>
    </w:p>
    <w:p>
      <w:pPr>
        <w:keepLines w:val="0"/>
        <w:pageBreakBefore w:val="0"/>
        <w:kinsoku/>
        <w:wordWrap/>
        <w:overflowPunct/>
        <w:topLinePunct w:val="0"/>
        <w:bidi w:val="0"/>
        <w:spacing w:line="400" w:lineRule="exact"/>
        <w:rPr>
          <w:rFonts w:hint="eastAsia"/>
          <w:lang w:val="en-US" w:eastAsia="zh-CN"/>
        </w:rPr>
      </w:pPr>
      <w:r>
        <w:rPr>
          <w:rFonts w:hint="eastAsia"/>
          <w:lang w:val="en-US" w:eastAsia="zh-CN"/>
        </w:rPr>
        <w:br w:type="page"/>
      </w:r>
    </w:p>
    <w:p>
      <w:pPr>
        <w:pStyle w:val="5"/>
        <w:keepLines w:val="0"/>
        <w:pageBreakBefore w:val="0"/>
        <w:kinsoku/>
        <w:wordWrap/>
        <w:overflowPunct/>
        <w:topLinePunct w:val="0"/>
        <w:bidi w:val="0"/>
        <w:spacing w:line="400" w:lineRule="exact"/>
        <w:rPr>
          <w:rFonts w:hint="eastAsia"/>
        </w:rPr>
      </w:pPr>
      <w:bookmarkStart w:id="91" w:name="_Toc4594_WPSOffice_Level1"/>
      <w:bookmarkStart w:id="92" w:name="_Toc29057_WPSOffice_Level1"/>
      <w:r>
        <w:rPr>
          <w:rFonts w:hint="eastAsia"/>
          <w:lang w:val="en-US" w:eastAsia="zh-CN"/>
        </w:rPr>
        <w:t>附件1 （如有）                 投标</w:t>
      </w:r>
      <w:r>
        <w:rPr>
          <w:rFonts w:hint="eastAsia"/>
        </w:rPr>
        <w:t>担保函（</w:t>
      </w:r>
      <w:r>
        <w:rPr>
          <w:rFonts w:hint="eastAsia"/>
          <w:lang w:eastAsia="zh-CN"/>
        </w:rPr>
        <w:t>参考格式</w:t>
      </w:r>
      <w:r>
        <w:rPr>
          <w:rFonts w:hint="eastAsia"/>
        </w:rPr>
        <w:t>）</w:t>
      </w:r>
      <w:bookmarkEnd w:id="91"/>
      <w:bookmarkEnd w:id="92"/>
    </w:p>
    <w:p>
      <w:pPr>
        <w:keepLines w:val="0"/>
        <w:pageBreakBefore w:val="0"/>
        <w:kinsoku/>
        <w:wordWrap/>
        <w:overflowPunct/>
        <w:topLinePunct w:val="0"/>
        <w:bidi w:val="0"/>
        <w:spacing w:line="400" w:lineRule="exact"/>
        <w:jc w:val="center"/>
        <w:rPr>
          <w:rFonts w:hint="eastAsia" w:ascii="宋体" w:hAnsi="宋体" w:eastAsia="宋体" w:cs="宋体"/>
          <w:szCs w:val="32"/>
          <w:highlight w:val="none"/>
        </w:rPr>
      </w:pPr>
      <w:r>
        <w:rPr>
          <w:rFonts w:hint="eastAsia" w:ascii="宋体" w:hAnsi="宋体" w:eastAsia="宋体" w:cs="宋体"/>
          <w:szCs w:val="32"/>
          <w:highlight w:val="none"/>
        </w:rPr>
        <w:t xml:space="preserve">                     </w:t>
      </w:r>
      <w:r>
        <w:rPr>
          <w:rFonts w:hint="eastAsia" w:ascii="宋体" w:hAnsi="宋体" w:eastAsia="宋体" w:cs="宋体"/>
          <w:szCs w:val="24"/>
          <w:highlight w:val="none"/>
        </w:rPr>
        <w:t xml:space="preserve">         编号： </w:t>
      </w:r>
    </w:p>
    <w:p>
      <w:pPr>
        <w:keepLines w:val="0"/>
        <w:pageBreakBefore w:val="0"/>
        <w:kinsoku/>
        <w:wordWrap/>
        <w:overflowPunct/>
        <w:topLinePunct w:val="0"/>
        <w:bidi w:val="0"/>
        <w:spacing w:line="400" w:lineRule="exact"/>
        <w:rPr>
          <w:rFonts w:hint="eastAsia" w:ascii="宋体" w:hAnsi="宋体" w:eastAsia="宋体" w:cs="宋体"/>
          <w:szCs w:val="32"/>
          <w:highlight w:val="none"/>
          <w:u w:val="single"/>
        </w:rPr>
      </w:pP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___________________（采购人或采购代理机构）： </w:t>
      </w:r>
    </w:p>
    <w:p>
      <w:pPr>
        <w:keepLines w:val="0"/>
        <w:pageBreakBefore w:val="0"/>
        <w:kinsoku/>
        <w:wordWrap/>
        <w:overflowPunct/>
        <w:topLinePunct w:val="0"/>
        <w:bidi w:val="0"/>
        <w:spacing w:line="400" w:lineRule="exact"/>
        <w:jc w:val="left"/>
        <w:rPr>
          <w:rFonts w:hint="eastAsia" w:ascii="宋体" w:hAnsi="宋体" w:eastAsia="宋体" w:cs="宋体"/>
          <w:szCs w:val="24"/>
          <w:highlight w:val="none"/>
        </w:rPr>
      </w:pPr>
      <w:r>
        <w:rPr>
          <w:rFonts w:hint="eastAsia" w:ascii="宋体" w:hAnsi="宋体" w:eastAsia="宋体" w:cs="宋体"/>
          <w:szCs w:val="24"/>
          <w:highlight w:val="none"/>
        </w:rPr>
        <w:t xml:space="preserve">    鉴于_______________（以下简称“</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”）拟参加编号为___________的_______项目</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以下简称“本项目”）投标，根据本项目招标文件，供应商参加投标时应向你方交纳投标保证金，且可以投标担保函的形式交纳投标保证金。应供应商的申请，我方以保证的方式向你方提供如下投标保证金担保： </w:t>
      </w:r>
    </w:p>
    <w:p>
      <w:pPr>
        <w:keepLines w:val="0"/>
        <w:pageBreakBefore w:val="0"/>
        <w:kinsoku/>
        <w:wordWrap/>
        <w:overflowPunct/>
        <w:topLinePunct w:val="0"/>
        <w:bidi w:val="0"/>
        <w:spacing w:line="400" w:lineRule="exact"/>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一、保证责任的情形及保证金额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（一）在</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出现下列情形之一时，我方承担保证责任：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1．中标后</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无正当理由不与采购人或者采购代理机构签订《政府采购合同》；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2．招标文件规定的</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应当缴纳保证金的其他情形。 </w:t>
      </w:r>
    </w:p>
    <w:p>
      <w:pPr>
        <w:keepLines w:val="0"/>
        <w:pageBreakBefore w:val="0"/>
        <w:kinsoku/>
        <w:wordWrap/>
        <w:overflowPunct/>
        <w:topLinePunct w:val="0"/>
        <w:bidi w:val="0"/>
        <w:spacing w:line="400" w:lineRule="exact"/>
        <w:jc w:val="left"/>
        <w:rPr>
          <w:rFonts w:hint="eastAsia" w:ascii="宋体" w:hAnsi="宋体" w:eastAsia="宋体" w:cs="宋体"/>
          <w:szCs w:val="24"/>
          <w:highlight w:val="none"/>
        </w:rPr>
      </w:pPr>
      <w:r>
        <w:rPr>
          <w:rFonts w:hint="eastAsia" w:ascii="宋体" w:hAnsi="宋体" w:eastAsia="宋体" w:cs="宋体"/>
          <w:szCs w:val="24"/>
          <w:highlight w:val="none"/>
        </w:rPr>
        <w:t xml:space="preserve">  （二）我方承担保证责任的最高金额为人民币______元（大写_________________），即本项目</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的投标保证金金额。 </w:t>
      </w:r>
    </w:p>
    <w:p>
      <w:pPr>
        <w:keepLines w:val="0"/>
        <w:pageBreakBefore w:val="0"/>
        <w:kinsoku/>
        <w:wordWrap/>
        <w:overflowPunct/>
        <w:topLinePunct w:val="0"/>
        <w:bidi w:val="0"/>
        <w:spacing w:line="400" w:lineRule="exact"/>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二、保证的方式及保证期间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我方保证的方式为：连带责任保证。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我方的保证期间为：自本保函生效之日起______个月止。 </w:t>
      </w:r>
    </w:p>
    <w:p>
      <w:pPr>
        <w:keepLines w:val="0"/>
        <w:pageBreakBefore w:val="0"/>
        <w:kinsoku/>
        <w:wordWrap/>
        <w:overflowPunct/>
        <w:topLinePunct w:val="0"/>
        <w:bidi w:val="0"/>
        <w:spacing w:line="400" w:lineRule="exact"/>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三、承担保证责任的程序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1．你方要求我方承担保证责任的，应在本保函保证期间内向我方发出书面索赔通知。索赔通知应写明要求索赔的金额，支付款项应到达的账号，并附有证明</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发生我方应承担保证责任情形的事实材料。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2．我方在收到索赔通知及相关证明材料后，在_____个工作日内进行审查，符合应承担保证责任情形的，我方应按照你方的要求代</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向你方支付投标保证金。 </w:t>
      </w:r>
    </w:p>
    <w:p>
      <w:pPr>
        <w:keepLines w:val="0"/>
        <w:pageBreakBefore w:val="0"/>
        <w:kinsoku/>
        <w:wordWrap/>
        <w:overflowPunct/>
        <w:topLinePunct w:val="0"/>
        <w:bidi w:val="0"/>
        <w:spacing w:line="400" w:lineRule="exact"/>
        <w:rPr>
          <w:rFonts w:hint="eastAsia" w:ascii="宋体" w:hAnsi="宋体" w:eastAsia="宋体" w:cs="宋体"/>
          <w:b/>
          <w:szCs w:val="24"/>
          <w:highlight w:val="none"/>
        </w:rPr>
      </w:pPr>
      <w:r>
        <w:rPr>
          <w:rFonts w:hint="eastAsia" w:ascii="宋体" w:hAnsi="宋体" w:eastAsia="宋体" w:cs="宋体"/>
          <w:b/>
          <w:szCs w:val="24"/>
          <w:highlight w:val="none"/>
        </w:rPr>
        <w:t xml:space="preserve">    四、保证责任的终止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1．保证期间届满你方未向我方书面主张保证责任的，自保证期间届满次日起，我方保证责任自动终止。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2．我方按照本保函向你方履行了保证责任后，自我方向你方支付款项（支付款项从我方账户划出）之日起，保证责任终止。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3．按照法律法规的规定或出现我方保证责任终止的其它情形的，我方在本保函项下的保证责任亦终止。 </w:t>
      </w:r>
    </w:p>
    <w:p>
      <w:pPr>
        <w:keepLines w:val="0"/>
        <w:pageBreakBefore w:val="0"/>
        <w:kinsoku/>
        <w:wordWrap/>
        <w:overflowPunct/>
        <w:topLinePunct w:val="0"/>
        <w:bidi w:val="0"/>
        <w:spacing w:line="400" w:lineRule="exact"/>
        <w:rPr>
          <w:rFonts w:hint="eastAsia" w:ascii="宋体" w:hAnsi="宋体" w:eastAsia="宋体" w:cs="宋体"/>
          <w:b/>
          <w:szCs w:val="24"/>
          <w:highlight w:val="none"/>
        </w:rPr>
      </w:pPr>
      <w:r>
        <w:rPr>
          <w:rFonts w:hint="eastAsia" w:ascii="宋体" w:hAnsi="宋体" w:eastAsia="宋体" w:cs="宋体"/>
          <w:b/>
          <w:szCs w:val="24"/>
          <w:highlight w:val="none"/>
        </w:rPr>
        <w:t xml:space="preserve">    五、免责条款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1．依照法律规定或你方与</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的另行约定，全部或者部分免除</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投标保证金义务时，我方亦免除相应的保证责任。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2．因你方原因致使</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发生本保函第一条第（一）款约定情形的，我方不承担保证责任。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3．因不可抗力造成</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 xml:space="preserve">发生本保函第一条约定情形的，我方不承担保证责任。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4．你方或其他有权机关对招标文件进行任何澄清或修改，加重我方保证责任的，我方对加重部分不承担保证责任，但该澄清或修改经我方事先书面同意的除外。 </w:t>
      </w:r>
    </w:p>
    <w:p>
      <w:pPr>
        <w:keepLines w:val="0"/>
        <w:pageBreakBefore w:val="0"/>
        <w:kinsoku/>
        <w:wordWrap/>
        <w:overflowPunct/>
        <w:topLinePunct w:val="0"/>
        <w:bidi w:val="0"/>
        <w:spacing w:line="400" w:lineRule="exact"/>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六、争议的解决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因本保函发生的纠纷，由你我双方协商解决，协商不成的，通过诉讼程序解决，诉讼管辖地法院为________________法院。 </w:t>
      </w:r>
    </w:p>
    <w:p>
      <w:pPr>
        <w:keepLines w:val="0"/>
        <w:pageBreakBefore w:val="0"/>
        <w:kinsoku/>
        <w:wordWrap/>
        <w:overflowPunct/>
        <w:topLinePunct w:val="0"/>
        <w:bidi w:val="0"/>
        <w:spacing w:line="400" w:lineRule="exact"/>
        <w:rPr>
          <w:rFonts w:hint="eastAsia" w:ascii="宋体" w:hAnsi="宋体" w:eastAsia="宋体" w:cs="宋体"/>
          <w:b/>
          <w:szCs w:val="24"/>
          <w:highlight w:val="none"/>
        </w:rPr>
      </w:pPr>
      <w:r>
        <w:rPr>
          <w:rFonts w:hint="eastAsia" w:ascii="宋体" w:hAnsi="宋体" w:eastAsia="宋体" w:cs="宋体"/>
          <w:b/>
          <w:szCs w:val="24"/>
          <w:highlight w:val="none"/>
        </w:rPr>
        <w:t xml:space="preserve">    七、保函的生效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本保函自我方加盖公章之日起生效。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p>
    <w:p>
      <w:pPr>
        <w:keepLines w:val="0"/>
        <w:pageBreakBefore w:val="0"/>
        <w:kinsoku/>
        <w:wordWrap/>
        <w:overflowPunct/>
        <w:topLinePunct w:val="0"/>
        <w:bidi w:val="0"/>
        <w:spacing w:line="400" w:lineRule="exact"/>
        <w:rPr>
          <w:rFonts w:hint="eastAsia" w:ascii="宋体" w:hAnsi="宋体" w:eastAsia="宋体" w:cs="宋体"/>
          <w:szCs w:val="24"/>
          <w:highlight w:val="none"/>
        </w:rPr>
      </w:pPr>
      <w:r>
        <w:rPr>
          <w:rFonts w:hint="eastAsia" w:ascii="宋体" w:hAnsi="宋体" w:eastAsia="宋体" w:cs="宋体"/>
          <w:szCs w:val="24"/>
          <w:highlight w:val="none"/>
        </w:rPr>
        <w:t xml:space="preserve">                                </w:t>
      </w:r>
    </w:p>
    <w:p>
      <w:pPr>
        <w:keepLines w:val="0"/>
        <w:pageBreakBefore w:val="0"/>
        <w:kinsoku/>
        <w:wordWrap/>
        <w:overflowPunct/>
        <w:topLinePunct w:val="0"/>
        <w:bidi w:val="0"/>
        <w:spacing w:line="400" w:lineRule="exact"/>
        <w:rPr>
          <w:rFonts w:hint="eastAsia" w:ascii="宋体" w:hAnsi="宋体" w:eastAsia="宋体" w:cs="宋体"/>
          <w:szCs w:val="24"/>
          <w:highlight w:val="none"/>
        </w:rPr>
      </w:pPr>
    </w:p>
    <w:p>
      <w:pPr>
        <w:keepLines w:val="0"/>
        <w:pageBreakBefore w:val="0"/>
        <w:kinsoku/>
        <w:wordWrap/>
        <w:overflowPunct/>
        <w:topLinePunct w:val="0"/>
        <w:bidi w:val="0"/>
        <w:spacing w:line="400" w:lineRule="exact"/>
        <w:ind w:right="640" w:firstLine="3360" w:firstLineChars="1600"/>
        <w:rPr>
          <w:rFonts w:hint="eastAsia" w:ascii="宋体" w:hAnsi="宋体" w:eastAsia="宋体" w:cs="宋体"/>
          <w:szCs w:val="24"/>
          <w:highlight w:val="none"/>
        </w:rPr>
      </w:pPr>
      <w:r>
        <w:rPr>
          <w:rFonts w:hint="eastAsia" w:ascii="宋体" w:hAnsi="宋体" w:eastAsia="宋体" w:cs="宋体"/>
          <w:szCs w:val="24"/>
          <w:highlight w:val="none"/>
        </w:rPr>
        <w:t>保证人：</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rPr>
        <w:t>（公章）</w:t>
      </w:r>
    </w:p>
    <w:p>
      <w:pPr>
        <w:keepLines w:val="0"/>
        <w:pageBreakBefore w:val="0"/>
        <w:kinsoku/>
        <w:wordWrap/>
        <w:overflowPunct/>
        <w:topLinePunct w:val="0"/>
        <w:bidi w:val="0"/>
        <w:spacing w:line="400" w:lineRule="exact"/>
        <w:ind w:right="640"/>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 xml:space="preserve"> 年   月   日</w:t>
      </w:r>
    </w:p>
    <w:p>
      <w:pPr>
        <w:keepLines w:val="0"/>
        <w:pageBreakBefore w:val="0"/>
        <w:kinsoku/>
        <w:wordWrap/>
        <w:overflowPunct/>
        <w:topLinePunct w:val="0"/>
        <w:bidi w:val="0"/>
        <w:spacing w:line="400" w:lineRule="exact"/>
        <w:rPr>
          <w:rFonts w:hint="eastAsia" w:ascii="宋体" w:hAnsi="宋体" w:eastAsia="宋体" w:cs="宋体"/>
          <w:highlight w:val="none"/>
        </w:rPr>
      </w:pPr>
      <w:r>
        <w:rPr>
          <w:rFonts w:hint="eastAsia" w:ascii="宋体" w:hAnsi="宋体" w:eastAsia="宋体" w:cs="宋体"/>
          <w:highlight w:val="none"/>
        </w:rPr>
        <w:br w:type="page"/>
      </w:r>
    </w:p>
    <w:p>
      <w:pPr>
        <w:pStyle w:val="5"/>
        <w:keepLines w:val="0"/>
        <w:pageBreakBefore w:val="0"/>
        <w:kinsoku/>
        <w:wordWrap/>
        <w:overflowPunct/>
        <w:topLinePunct w:val="0"/>
        <w:bidi w:val="0"/>
        <w:spacing w:line="400" w:lineRule="exact"/>
        <w:rPr>
          <w:rFonts w:hint="eastAsia"/>
        </w:rPr>
      </w:pPr>
      <w:bookmarkStart w:id="93" w:name="_Toc24894_WPSOffice_Level1"/>
      <w:bookmarkStart w:id="94" w:name="_Toc21165_WPSOffice_Level1"/>
      <w:r>
        <w:rPr>
          <w:rFonts w:hint="eastAsia"/>
        </w:rPr>
        <w:t>附件</w:t>
      </w:r>
      <w:r>
        <w:rPr>
          <w:rFonts w:hint="eastAsia"/>
          <w:lang w:val="en-US" w:eastAsia="zh-CN"/>
        </w:rPr>
        <w:t>2（如有）</w:t>
      </w:r>
      <w:bookmarkEnd w:id="93"/>
      <w:bookmarkEnd w:id="94"/>
    </w:p>
    <w:p>
      <w:pPr>
        <w:spacing w:line="360" w:lineRule="auto"/>
        <w:ind w:left="1"/>
        <w:jc w:val="center"/>
        <w:rPr>
          <w:rFonts w:hint="eastAsia" w:ascii="宋体" w:hAnsi="宋体" w:eastAsia="宋体" w:cs="宋体"/>
          <w:b/>
          <w:color w:val="auto"/>
          <w:sz w:val="36"/>
          <w:szCs w:val="36"/>
          <w:highlight w:val="none"/>
        </w:rPr>
      </w:pPr>
    </w:p>
    <w:p>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中小企业声明函（货物）</w:t>
      </w:r>
    </w:p>
    <w:p>
      <w:pPr>
        <w:spacing w:line="360" w:lineRule="auto"/>
        <w:jc w:val="center"/>
        <w:rPr>
          <w:rFonts w:hint="eastAsia" w:ascii="宋体" w:hAnsi="宋体" w:eastAsia="宋体" w:cs="宋体"/>
          <w:b/>
          <w:i w:val="0"/>
          <w:iCs w:val="0"/>
          <w:color w:val="auto"/>
          <w:sz w:val="24"/>
          <w:szCs w:val="24"/>
          <w:highlight w:val="none"/>
        </w:rPr>
      </w:pPr>
    </w:p>
    <w:p>
      <w:pPr>
        <w:spacing w:line="360" w:lineRule="auto"/>
        <w:ind w:firstLine="436" w:firstLineChars="200"/>
        <w:jc w:val="left"/>
        <w:rPr>
          <w:rFonts w:hint="eastAsia" w:ascii="宋体" w:hAnsi="宋体" w:eastAsia="宋体" w:cs="宋体"/>
          <w:i w:val="0"/>
          <w:iCs w:val="0"/>
          <w:color w:val="auto"/>
          <w:spacing w:val="4"/>
          <w:sz w:val="21"/>
          <w:szCs w:val="21"/>
          <w:highlight w:val="none"/>
        </w:rPr>
      </w:pPr>
      <w:r>
        <w:rPr>
          <w:rFonts w:hint="eastAsia" w:ascii="宋体" w:hAnsi="宋体" w:eastAsia="宋体" w:cs="宋体"/>
          <w:i w:val="0"/>
          <w:iCs w:val="0"/>
          <w:color w:val="auto"/>
          <w:spacing w:val="4"/>
          <w:sz w:val="21"/>
          <w:szCs w:val="21"/>
          <w:highlight w:val="none"/>
        </w:rPr>
        <w:t>本公司（联合体）郑重声明，根据《政府采购促进中小企业发展管理办法》（财库﹝2020﹞46号）的规定，本公司参加</w:t>
      </w:r>
      <w:r>
        <w:rPr>
          <w:rFonts w:hint="eastAsia" w:ascii="宋体" w:hAnsi="宋体" w:eastAsia="宋体" w:cs="宋体"/>
          <w:i w:val="0"/>
          <w:iCs w:val="0"/>
          <w:color w:val="auto"/>
          <w:spacing w:val="4"/>
          <w:sz w:val="21"/>
          <w:szCs w:val="21"/>
          <w:highlight w:val="none"/>
          <w:u w:val="single"/>
        </w:rPr>
        <w:t>（单位名称）</w:t>
      </w:r>
      <w:r>
        <w:rPr>
          <w:rFonts w:hint="eastAsia" w:ascii="宋体" w:hAnsi="宋体" w:eastAsia="宋体" w:cs="宋体"/>
          <w:i w:val="0"/>
          <w:iCs w:val="0"/>
          <w:color w:val="auto"/>
          <w:spacing w:val="4"/>
          <w:sz w:val="21"/>
          <w:szCs w:val="21"/>
          <w:highlight w:val="none"/>
        </w:rPr>
        <w:t>的</w:t>
      </w:r>
      <w:r>
        <w:rPr>
          <w:rFonts w:hint="eastAsia" w:ascii="宋体" w:hAnsi="宋体" w:eastAsia="宋体" w:cs="宋体"/>
          <w:i w:val="0"/>
          <w:iCs w:val="0"/>
          <w:color w:val="auto"/>
          <w:spacing w:val="4"/>
          <w:sz w:val="21"/>
          <w:szCs w:val="21"/>
          <w:highlight w:val="none"/>
          <w:u w:val="single"/>
        </w:rPr>
        <w:t>（项目名称）</w:t>
      </w:r>
      <w:r>
        <w:rPr>
          <w:rFonts w:hint="eastAsia" w:ascii="宋体" w:hAnsi="宋体" w:eastAsia="宋体" w:cs="宋体"/>
          <w:i w:val="0"/>
          <w:iCs w:val="0"/>
          <w:color w:val="auto"/>
          <w:spacing w:val="4"/>
          <w:sz w:val="21"/>
          <w:szCs w:val="21"/>
          <w:highlight w:val="none"/>
        </w:rPr>
        <w:t xml:space="preserve">采购活动，提供的货物全部由符合政策要求的中小企业制造。相关企业（含联合体中的中小企业、签订分包意向协议的中小企业）的具体情况如下： </w:t>
      </w:r>
    </w:p>
    <w:p>
      <w:pPr>
        <w:spacing w:line="360" w:lineRule="auto"/>
        <w:ind w:firstLine="436" w:firstLineChars="200"/>
        <w:jc w:val="left"/>
        <w:rPr>
          <w:rFonts w:hint="eastAsia" w:ascii="宋体" w:hAnsi="宋体" w:eastAsia="宋体" w:cs="宋体"/>
          <w:i w:val="0"/>
          <w:iCs w:val="0"/>
          <w:color w:val="auto"/>
          <w:spacing w:val="4"/>
          <w:sz w:val="21"/>
          <w:szCs w:val="21"/>
          <w:highlight w:val="none"/>
        </w:rPr>
      </w:pPr>
      <w:r>
        <w:rPr>
          <w:rFonts w:hint="eastAsia" w:ascii="宋体" w:hAnsi="宋体" w:eastAsia="宋体" w:cs="宋体"/>
          <w:i w:val="0"/>
          <w:iCs w:val="0"/>
          <w:color w:val="auto"/>
          <w:spacing w:val="4"/>
          <w:sz w:val="21"/>
          <w:szCs w:val="21"/>
          <w:highlight w:val="none"/>
        </w:rPr>
        <w:t>1.</w:t>
      </w:r>
      <w:r>
        <w:rPr>
          <w:rFonts w:hint="eastAsia" w:ascii="宋体" w:hAnsi="宋体" w:eastAsia="宋体" w:cs="宋体"/>
          <w:i w:val="0"/>
          <w:iCs w:val="0"/>
          <w:color w:val="auto"/>
          <w:spacing w:val="4"/>
          <w:sz w:val="21"/>
          <w:szCs w:val="21"/>
          <w:highlight w:val="none"/>
          <w:u w:val="single"/>
        </w:rPr>
        <w:t>（标的名称）</w:t>
      </w:r>
      <w:r>
        <w:rPr>
          <w:rFonts w:hint="eastAsia" w:ascii="宋体" w:hAnsi="宋体" w:eastAsia="宋体" w:cs="宋体"/>
          <w:i w:val="0"/>
          <w:iCs w:val="0"/>
          <w:color w:val="auto"/>
          <w:spacing w:val="4"/>
          <w:sz w:val="21"/>
          <w:szCs w:val="21"/>
          <w:highlight w:val="none"/>
        </w:rPr>
        <w:t>，属于</w:t>
      </w:r>
      <w:r>
        <w:rPr>
          <w:rFonts w:hint="eastAsia" w:ascii="宋体" w:hAnsi="宋体" w:cs="宋体"/>
          <w:i w:val="0"/>
          <w:iCs w:val="0"/>
          <w:color w:val="auto"/>
          <w:spacing w:val="4"/>
          <w:sz w:val="21"/>
          <w:szCs w:val="21"/>
          <w:highlight w:val="none"/>
          <w:u w:val="single"/>
          <w:lang w:val="en-US" w:eastAsia="zh-CN"/>
        </w:rPr>
        <w:t xml:space="preserve">   批发业     </w:t>
      </w:r>
      <w:r>
        <w:rPr>
          <w:rFonts w:hint="eastAsia" w:ascii="宋体" w:hAnsi="宋体" w:eastAsia="宋体" w:cs="宋体"/>
          <w:i w:val="0"/>
          <w:iCs w:val="0"/>
          <w:color w:val="auto"/>
          <w:spacing w:val="4"/>
          <w:sz w:val="21"/>
          <w:szCs w:val="21"/>
          <w:highlight w:val="none"/>
        </w:rPr>
        <w:t>；制造商为</w:t>
      </w:r>
      <w:r>
        <w:rPr>
          <w:rFonts w:hint="eastAsia" w:ascii="宋体" w:hAnsi="宋体" w:eastAsia="宋体" w:cs="宋体"/>
          <w:i w:val="0"/>
          <w:iCs w:val="0"/>
          <w:color w:val="auto"/>
          <w:spacing w:val="4"/>
          <w:sz w:val="21"/>
          <w:szCs w:val="21"/>
          <w:highlight w:val="none"/>
          <w:u w:val="single"/>
        </w:rPr>
        <w:t>（企业名称）</w:t>
      </w:r>
      <w:r>
        <w:rPr>
          <w:rFonts w:hint="eastAsia" w:ascii="宋体" w:hAnsi="宋体" w:eastAsia="宋体" w:cs="宋体"/>
          <w:i w:val="0"/>
          <w:iCs w:val="0"/>
          <w:color w:val="auto"/>
          <w:spacing w:val="4"/>
          <w:sz w:val="21"/>
          <w:szCs w:val="21"/>
          <w:highlight w:val="none"/>
        </w:rPr>
        <w:t>，从业人员</w:t>
      </w:r>
      <w:r>
        <w:rPr>
          <w:rFonts w:hint="eastAsia" w:ascii="宋体" w:hAnsi="宋体" w:eastAsia="宋体" w:cs="宋体"/>
          <w:i w:val="0"/>
          <w:iCs w:val="0"/>
          <w:color w:val="auto"/>
          <w:spacing w:val="4"/>
          <w:sz w:val="21"/>
          <w:szCs w:val="21"/>
          <w:highlight w:val="none"/>
          <w:u w:val="single"/>
        </w:rPr>
        <w:t xml:space="preserve">    </w:t>
      </w:r>
      <w:r>
        <w:rPr>
          <w:rFonts w:hint="eastAsia" w:ascii="宋体" w:hAnsi="宋体" w:eastAsia="宋体" w:cs="宋体"/>
          <w:i w:val="0"/>
          <w:iCs w:val="0"/>
          <w:color w:val="auto"/>
          <w:spacing w:val="4"/>
          <w:sz w:val="21"/>
          <w:szCs w:val="21"/>
          <w:highlight w:val="none"/>
        </w:rPr>
        <w:t>人，营业收入为</w:t>
      </w:r>
      <w:r>
        <w:rPr>
          <w:rFonts w:hint="eastAsia" w:ascii="宋体" w:hAnsi="宋体" w:eastAsia="宋体" w:cs="宋体"/>
          <w:i w:val="0"/>
          <w:iCs w:val="0"/>
          <w:color w:val="auto"/>
          <w:spacing w:val="4"/>
          <w:sz w:val="21"/>
          <w:szCs w:val="21"/>
          <w:highlight w:val="none"/>
          <w:u w:val="single"/>
        </w:rPr>
        <w:t xml:space="preserve">    </w:t>
      </w:r>
      <w:r>
        <w:rPr>
          <w:rFonts w:hint="eastAsia" w:ascii="宋体" w:hAnsi="宋体" w:eastAsia="宋体" w:cs="宋体"/>
          <w:i w:val="0"/>
          <w:iCs w:val="0"/>
          <w:color w:val="auto"/>
          <w:spacing w:val="4"/>
          <w:sz w:val="21"/>
          <w:szCs w:val="21"/>
          <w:highlight w:val="none"/>
        </w:rPr>
        <w:t>万元，资产总额为</w:t>
      </w:r>
      <w:r>
        <w:rPr>
          <w:rFonts w:hint="eastAsia" w:ascii="宋体" w:hAnsi="宋体" w:eastAsia="宋体" w:cs="宋体"/>
          <w:i w:val="0"/>
          <w:iCs w:val="0"/>
          <w:color w:val="auto"/>
          <w:spacing w:val="4"/>
          <w:sz w:val="21"/>
          <w:szCs w:val="21"/>
          <w:highlight w:val="none"/>
          <w:u w:val="single"/>
        </w:rPr>
        <w:t xml:space="preserve">  </w:t>
      </w:r>
      <w:r>
        <w:rPr>
          <w:rFonts w:hint="eastAsia" w:ascii="宋体" w:hAnsi="宋体" w:eastAsia="宋体" w:cs="宋体"/>
          <w:i w:val="0"/>
          <w:iCs w:val="0"/>
          <w:color w:val="auto"/>
          <w:spacing w:val="4"/>
          <w:sz w:val="21"/>
          <w:szCs w:val="21"/>
          <w:highlight w:val="none"/>
        </w:rPr>
        <w:t>万元，属于</w:t>
      </w:r>
      <w:r>
        <w:rPr>
          <w:rFonts w:hint="eastAsia" w:ascii="宋体" w:hAnsi="宋体" w:eastAsia="宋体" w:cs="宋体"/>
          <w:i w:val="0"/>
          <w:iCs w:val="0"/>
          <w:color w:val="auto"/>
          <w:spacing w:val="4"/>
          <w:sz w:val="21"/>
          <w:szCs w:val="21"/>
          <w:highlight w:val="none"/>
          <w:u w:val="single"/>
        </w:rPr>
        <w:t>（中型企业、小型企业、微型企业）</w:t>
      </w:r>
      <w:r>
        <w:rPr>
          <w:rFonts w:hint="eastAsia" w:ascii="宋体" w:hAnsi="宋体" w:eastAsia="宋体" w:cs="宋体"/>
          <w:i w:val="0"/>
          <w:iCs w:val="0"/>
          <w:color w:val="auto"/>
          <w:spacing w:val="4"/>
          <w:sz w:val="21"/>
          <w:szCs w:val="21"/>
          <w:highlight w:val="none"/>
        </w:rPr>
        <w:t xml:space="preserve">； </w:t>
      </w:r>
    </w:p>
    <w:p>
      <w:pPr>
        <w:spacing w:line="360" w:lineRule="auto"/>
        <w:ind w:firstLine="436" w:firstLineChars="200"/>
        <w:jc w:val="left"/>
        <w:rPr>
          <w:rFonts w:hint="eastAsia" w:ascii="宋体" w:hAnsi="宋体" w:eastAsia="宋体" w:cs="宋体"/>
          <w:i w:val="0"/>
          <w:iCs w:val="0"/>
          <w:color w:val="auto"/>
          <w:spacing w:val="4"/>
          <w:sz w:val="21"/>
          <w:szCs w:val="21"/>
          <w:highlight w:val="none"/>
        </w:rPr>
      </w:pPr>
      <w:r>
        <w:rPr>
          <w:rFonts w:hint="eastAsia" w:ascii="宋体" w:hAnsi="宋体" w:eastAsia="宋体" w:cs="宋体"/>
          <w:i w:val="0"/>
          <w:iCs w:val="0"/>
          <w:color w:val="auto"/>
          <w:spacing w:val="4"/>
          <w:sz w:val="21"/>
          <w:szCs w:val="21"/>
          <w:highlight w:val="none"/>
        </w:rPr>
        <w:t>2.</w:t>
      </w:r>
      <w:r>
        <w:rPr>
          <w:rFonts w:hint="eastAsia" w:ascii="宋体" w:hAnsi="宋体" w:eastAsia="宋体" w:cs="宋体"/>
          <w:i w:val="0"/>
          <w:iCs w:val="0"/>
          <w:color w:val="auto"/>
          <w:spacing w:val="4"/>
          <w:sz w:val="21"/>
          <w:szCs w:val="21"/>
          <w:highlight w:val="none"/>
          <w:u w:val="single"/>
        </w:rPr>
        <w:t>（标的名称）</w:t>
      </w:r>
      <w:r>
        <w:rPr>
          <w:rFonts w:hint="eastAsia" w:ascii="宋体" w:hAnsi="宋体" w:eastAsia="宋体" w:cs="宋体"/>
          <w:i w:val="0"/>
          <w:iCs w:val="0"/>
          <w:color w:val="auto"/>
          <w:spacing w:val="4"/>
          <w:sz w:val="21"/>
          <w:szCs w:val="21"/>
          <w:highlight w:val="none"/>
        </w:rPr>
        <w:t>，属于（采购文件中明确的所属行业）；制造商为</w:t>
      </w:r>
      <w:r>
        <w:rPr>
          <w:rFonts w:hint="eastAsia" w:ascii="宋体" w:hAnsi="宋体" w:eastAsia="宋体" w:cs="宋体"/>
          <w:i w:val="0"/>
          <w:iCs w:val="0"/>
          <w:color w:val="auto"/>
          <w:spacing w:val="4"/>
          <w:sz w:val="21"/>
          <w:szCs w:val="21"/>
          <w:highlight w:val="none"/>
          <w:u w:val="single"/>
        </w:rPr>
        <w:t>（企业名称）</w:t>
      </w:r>
      <w:r>
        <w:rPr>
          <w:rFonts w:hint="eastAsia" w:ascii="宋体" w:hAnsi="宋体" w:eastAsia="宋体" w:cs="宋体"/>
          <w:i w:val="0"/>
          <w:iCs w:val="0"/>
          <w:color w:val="auto"/>
          <w:spacing w:val="4"/>
          <w:sz w:val="21"/>
          <w:szCs w:val="21"/>
          <w:highlight w:val="none"/>
        </w:rPr>
        <w:t>，从业人员</w:t>
      </w:r>
      <w:r>
        <w:rPr>
          <w:rFonts w:hint="eastAsia" w:ascii="宋体" w:hAnsi="宋体" w:eastAsia="宋体" w:cs="宋体"/>
          <w:i w:val="0"/>
          <w:iCs w:val="0"/>
          <w:color w:val="auto"/>
          <w:spacing w:val="4"/>
          <w:sz w:val="21"/>
          <w:szCs w:val="21"/>
          <w:highlight w:val="none"/>
          <w:u w:val="single"/>
        </w:rPr>
        <w:t xml:space="preserve">    </w:t>
      </w:r>
      <w:r>
        <w:rPr>
          <w:rFonts w:hint="eastAsia" w:ascii="宋体" w:hAnsi="宋体" w:eastAsia="宋体" w:cs="宋体"/>
          <w:i w:val="0"/>
          <w:iCs w:val="0"/>
          <w:color w:val="auto"/>
          <w:spacing w:val="4"/>
          <w:sz w:val="21"/>
          <w:szCs w:val="21"/>
          <w:highlight w:val="none"/>
        </w:rPr>
        <w:t>人，营业收入为</w:t>
      </w:r>
      <w:r>
        <w:rPr>
          <w:rFonts w:hint="eastAsia" w:ascii="宋体" w:hAnsi="宋体" w:eastAsia="宋体" w:cs="宋体"/>
          <w:i w:val="0"/>
          <w:iCs w:val="0"/>
          <w:color w:val="auto"/>
          <w:spacing w:val="4"/>
          <w:sz w:val="21"/>
          <w:szCs w:val="21"/>
          <w:highlight w:val="none"/>
          <w:u w:val="single"/>
        </w:rPr>
        <w:t xml:space="preserve">    </w:t>
      </w:r>
      <w:r>
        <w:rPr>
          <w:rFonts w:hint="eastAsia" w:ascii="宋体" w:hAnsi="宋体" w:eastAsia="宋体" w:cs="宋体"/>
          <w:i w:val="0"/>
          <w:iCs w:val="0"/>
          <w:color w:val="auto"/>
          <w:spacing w:val="4"/>
          <w:sz w:val="21"/>
          <w:szCs w:val="21"/>
          <w:highlight w:val="none"/>
        </w:rPr>
        <w:t>万元，资产总额为</w:t>
      </w:r>
      <w:r>
        <w:rPr>
          <w:rFonts w:hint="eastAsia" w:ascii="宋体" w:hAnsi="宋体" w:eastAsia="宋体" w:cs="宋体"/>
          <w:i w:val="0"/>
          <w:iCs w:val="0"/>
          <w:color w:val="auto"/>
          <w:spacing w:val="4"/>
          <w:sz w:val="21"/>
          <w:szCs w:val="21"/>
          <w:highlight w:val="none"/>
          <w:u w:val="single"/>
        </w:rPr>
        <w:t xml:space="preserve">   </w:t>
      </w:r>
      <w:r>
        <w:rPr>
          <w:rFonts w:hint="eastAsia" w:ascii="宋体" w:hAnsi="宋体" w:eastAsia="宋体" w:cs="宋体"/>
          <w:i w:val="0"/>
          <w:iCs w:val="0"/>
          <w:color w:val="auto"/>
          <w:spacing w:val="4"/>
          <w:sz w:val="21"/>
          <w:szCs w:val="21"/>
          <w:highlight w:val="none"/>
        </w:rPr>
        <w:t>万元，属于</w:t>
      </w:r>
      <w:r>
        <w:rPr>
          <w:rFonts w:hint="eastAsia" w:ascii="宋体" w:hAnsi="宋体" w:eastAsia="宋体" w:cs="宋体"/>
          <w:i w:val="0"/>
          <w:iCs w:val="0"/>
          <w:color w:val="auto"/>
          <w:spacing w:val="4"/>
          <w:sz w:val="21"/>
          <w:szCs w:val="21"/>
          <w:highlight w:val="none"/>
          <w:u w:val="single"/>
        </w:rPr>
        <w:t>（中型企业、小型企业、微型企业）</w:t>
      </w:r>
      <w:r>
        <w:rPr>
          <w:rFonts w:hint="eastAsia" w:ascii="宋体" w:hAnsi="宋体" w:eastAsia="宋体" w:cs="宋体"/>
          <w:i w:val="0"/>
          <w:iCs w:val="0"/>
          <w:color w:val="auto"/>
          <w:spacing w:val="4"/>
          <w:sz w:val="21"/>
          <w:szCs w:val="21"/>
          <w:highlight w:val="none"/>
        </w:rPr>
        <w:t xml:space="preserve">； </w:t>
      </w:r>
    </w:p>
    <w:p>
      <w:pPr>
        <w:spacing w:line="360" w:lineRule="auto"/>
        <w:ind w:firstLine="436" w:firstLineChars="200"/>
        <w:jc w:val="left"/>
        <w:rPr>
          <w:rFonts w:hint="eastAsia" w:ascii="宋体" w:hAnsi="宋体" w:eastAsia="宋体" w:cs="宋体"/>
          <w:i w:val="0"/>
          <w:iCs w:val="0"/>
          <w:color w:val="auto"/>
          <w:spacing w:val="4"/>
          <w:sz w:val="21"/>
          <w:szCs w:val="21"/>
          <w:highlight w:val="none"/>
        </w:rPr>
      </w:pPr>
      <w:r>
        <w:rPr>
          <w:rFonts w:hint="eastAsia" w:ascii="宋体" w:hAnsi="宋体" w:eastAsia="宋体" w:cs="宋体"/>
          <w:i w:val="0"/>
          <w:iCs w:val="0"/>
          <w:color w:val="auto"/>
          <w:spacing w:val="4"/>
          <w:sz w:val="21"/>
          <w:szCs w:val="21"/>
          <w:highlight w:val="none"/>
        </w:rPr>
        <w:t xml:space="preserve">…… </w:t>
      </w:r>
    </w:p>
    <w:p>
      <w:pPr>
        <w:spacing w:line="360" w:lineRule="auto"/>
        <w:ind w:firstLine="436" w:firstLineChars="200"/>
        <w:jc w:val="left"/>
        <w:rPr>
          <w:rFonts w:hint="eastAsia" w:ascii="宋体" w:hAnsi="宋体" w:eastAsia="宋体" w:cs="宋体"/>
          <w:i w:val="0"/>
          <w:iCs w:val="0"/>
          <w:color w:val="auto"/>
          <w:spacing w:val="4"/>
          <w:sz w:val="21"/>
          <w:szCs w:val="21"/>
          <w:highlight w:val="none"/>
        </w:rPr>
      </w:pPr>
      <w:r>
        <w:rPr>
          <w:rFonts w:hint="eastAsia" w:ascii="宋体" w:hAnsi="宋体" w:eastAsia="宋体" w:cs="宋体"/>
          <w:i w:val="0"/>
          <w:iCs w:val="0"/>
          <w:color w:val="auto"/>
          <w:spacing w:val="4"/>
          <w:sz w:val="21"/>
          <w:szCs w:val="21"/>
          <w:highlight w:val="none"/>
        </w:rPr>
        <w:t xml:space="preserve">以上企业，不属于大企业的分支机构，不存在控股股东为大企业的情形，也不存在与大企业的负责人为同一人的情形。 </w:t>
      </w:r>
    </w:p>
    <w:p>
      <w:pPr>
        <w:spacing w:line="360" w:lineRule="auto"/>
        <w:ind w:firstLine="436" w:firstLineChars="200"/>
        <w:jc w:val="left"/>
        <w:rPr>
          <w:rFonts w:hint="eastAsia" w:ascii="宋体" w:hAnsi="宋体" w:eastAsia="宋体" w:cs="宋体"/>
          <w:i w:val="0"/>
          <w:iCs w:val="0"/>
          <w:color w:val="auto"/>
          <w:spacing w:val="4"/>
          <w:sz w:val="21"/>
          <w:szCs w:val="21"/>
          <w:highlight w:val="none"/>
        </w:rPr>
      </w:pPr>
      <w:r>
        <w:rPr>
          <w:rFonts w:hint="eastAsia" w:ascii="宋体" w:hAnsi="宋体" w:eastAsia="宋体" w:cs="宋体"/>
          <w:i w:val="0"/>
          <w:iCs w:val="0"/>
          <w:color w:val="auto"/>
          <w:spacing w:val="4"/>
          <w:sz w:val="21"/>
          <w:szCs w:val="21"/>
          <w:highlight w:val="none"/>
        </w:rPr>
        <w:t xml:space="preserve">本企业对上述声明内容的真实性负责。如有虚假，将依法承担相应责任。 </w:t>
      </w:r>
    </w:p>
    <w:p>
      <w:pPr>
        <w:spacing w:line="360" w:lineRule="auto"/>
        <w:ind w:firstLine="3815" w:firstLineChars="1750"/>
        <w:jc w:val="left"/>
        <w:rPr>
          <w:rFonts w:hint="eastAsia" w:ascii="宋体" w:hAnsi="宋体" w:eastAsia="宋体" w:cs="宋体"/>
          <w:color w:val="auto"/>
          <w:spacing w:val="4"/>
          <w:sz w:val="21"/>
          <w:szCs w:val="21"/>
          <w:highlight w:val="none"/>
        </w:rPr>
      </w:pPr>
    </w:p>
    <w:p>
      <w:pPr>
        <w:pStyle w:val="2"/>
        <w:rPr>
          <w:rFonts w:hint="eastAsia" w:ascii="宋体" w:hAnsi="宋体" w:eastAsia="宋体" w:cs="宋体"/>
          <w:color w:val="auto"/>
          <w:spacing w:val="4"/>
          <w:sz w:val="21"/>
          <w:szCs w:val="21"/>
          <w:highlight w:val="none"/>
        </w:rPr>
      </w:pPr>
    </w:p>
    <w:p>
      <w:pPr>
        <w:rPr>
          <w:rFonts w:hint="eastAsia"/>
        </w:rPr>
      </w:pPr>
    </w:p>
    <w:p>
      <w:pPr>
        <w:spacing w:line="360" w:lineRule="auto"/>
        <w:ind w:firstLine="4687" w:firstLineChars="215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企业名称（盖章）： </w:t>
      </w:r>
    </w:p>
    <w:p>
      <w:pPr>
        <w:spacing w:line="360" w:lineRule="auto"/>
        <w:ind w:firstLine="4687" w:firstLineChars="215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日    期： </w:t>
      </w:r>
    </w:p>
    <w:p>
      <w:pPr>
        <w:spacing w:line="360" w:lineRule="auto"/>
        <w:jc w:val="left"/>
        <w:rPr>
          <w:rFonts w:hint="eastAsia" w:ascii="宋体" w:hAnsi="宋体" w:eastAsia="宋体" w:cs="宋体"/>
          <w:b/>
          <w:color w:val="auto"/>
          <w:sz w:val="21"/>
          <w:szCs w:val="21"/>
          <w:highlight w:val="none"/>
        </w:rPr>
      </w:pPr>
    </w:p>
    <w:p>
      <w:pPr>
        <w:spacing w:line="360" w:lineRule="auto"/>
        <w:jc w:val="left"/>
        <w:rPr>
          <w:rFonts w:hint="eastAsia" w:ascii="宋体" w:hAnsi="宋体" w:eastAsia="宋体" w:cs="宋体"/>
          <w:b/>
          <w:color w:val="auto"/>
          <w:sz w:val="21"/>
          <w:szCs w:val="21"/>
          <w:highlight w:val="none"/>
        </w:rPr>
      </w:pP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注：非中小企业，无须附此表。</w:t>
      </w:r>
    </w:p>
    <w:p>
      <w:pPr>
        <w:spacing w:line="360" w:lineRule="auto"/>
        <w:ind w:firstLine="4900" w:firstLineChars="1750"/>
        <w:jc w:val="left"/>
        <w:rPr>
          <w:rFonts w:hint="eastAsia" w:ascii="宋体" w:hAnsi="宋体" w:eastAsia="宋体" w:cs="宋体"/>
          <w:color w:val="auto"/>
          <w:sz w:val="28"/>
          <w:szCs w:val="28"/>
          <w:highlight w:val="none"/>
        </w:rPr>
      </w:pPr>
    </w:p>
    <w:p>
      <w:pPr>
        <w:rPr>
          <w:rFonts w:hint="eastAsia"/>
        </w:rPr>
      </w:pPr>
    </w:p>
    <w:p>
      <w:pPr>
        <w:pStyle w:val="2"/>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pStyle w:val="5"/>
        <w:keepLines w:val="0"/>
        <w:pageBreakBefore w:val="0"/>
        <w:kinsoku/>
        <w:wordWrap/>
        <w:overflowPunct/>
        <w:topLinePunct w:val="0"/>
        <w:bidi w:val="0"/>
        <w:spacing w:line="400" w:lineRule="exact"/>
        <w:ind w:left="0" w:leftChars="0" w:firstLine="0" w:firstLineChars="0"/>
        <w:rPr>
          <w:rFonts w:hint="eastAsia"/>
        </w:rPr>
      </w:pPr>
      <w:bookmarkStart w:id="95" w:name="_Toc14175_WPSOffice_Level1"/>
      <w:bookmarkStart w:id="96" w:name="_Toc24243_WPSOffice_Level1"/>
      <w:r>
        <w:rPr>
          <w:rFonts w:hint="eastAsia"/>
        </w:rPr>
        <w:t>附件</w:t>
      </w:r>
      <w:r>
        <w:rPr>
          <w:rFonts w:hint="eastAsia"/>
          <w:lang w:val="en-US" w:eastAsia="zh-CN"/>
        </w:rPr>
        <w:t>3（如有）</w:t>
      </w:r>
      <w:bookmarkEnd w:id="95"/>
      <w:bookmarkEnd w:id="96"/>
    </w:p>
    <w:p>
      <w:pPr>
        <w:keepLines w:val="0"/>
        <w:pageBreakBefore w:val="0"/>
        <w:kinsoku/>
        <w:wordWrap/>
        <w:overflowPunct/>
        <w:topLinePunct w:val="0"/>
        <w:bidi w:val="0"/>
        <w:spacing w:line="400" w:lineRule="exact"/>
        <w:jc w:val="center"/>
        <w:rPr>
          <w:rFonts w:hint="eastAsia" w:ascii="宋体" w:hAnsi="宋体" w:eastAsia="宋体" w:cs="宋体"/>
          <w:b/>
          <w:spacing w:val="6"/>
          <w:sz w:val="32"/>
          <w:szCs w:val="32"/>
          <w:highlight w:val="none"/>
        </w:rPr>
      </w:pPr>
      <w:bookmarkStart w:id="97" w:name="OLE_LINK13"/>
      <w:bookmarkStart w:id="98" w:name="OLE_LINK14"/>
      <w:r>
        <w:rPr>
          <w:rFonts w:hint="eastAsia" w:ascii="宋体" w:hAnsi="宋体" w:eastAsia="宋体" w:cs="宋体"/>
          <w:b/>
          <w:spacing w:val="6"/>
          <w:sz w:val="32"/>
          <w:szCs w:val="32"/>
          <w:highlight w:val="none"/>
        </w:rPr>
        <w:t>残疾人福利性单位声明函</w:t>
      </w:r>
    </w:p>
    <w:bookmarkEnd w:id="97"/>
    <w:bookmarkEnd w:id="98"/>
    <w:p>
      <w:pPr>
        <w:keepLines w:val="0"/>
        <w:pageBreakBefore w:val="0"/>
        <w:kinsoku/>
        <w:wordWrap/>
        <w:overflowPunct/>
        <w:topLinePunct w:val="0"/>
        <w:bidi w:val="0"/>
        <w:spacing w:line="400" w:lineRule="exact"/>
        <w:rPr>
          <w:rFonts w:hint="eastAsia" w:ascii="宋体" w:hAnsi="宋体" w:eastAsia="宋体" w:cs="宋体"/>
          <w:b/>
          <w:spacing w:val="6"/>
          <w:sz w:val="21"/>
          <w:szCs w:val="21"/>
          <w:highlight w:val="none"/>
        </w:rPr>
      </w:pPr>
    </w:p>
    <w:p>
      <w:pPr>
        <w:keepLines w:val="0"/>
        <w:pageBreakBefore w:val="0"/>
        <w:kinsoku/>
        <w:wordWrap/>
        <w:overflowPunct/>
        <w:topLinePunct w:val="0"/>
        <w:bidi w:val="0"/>
        <w:spacing w:line="40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sz w:val="21"/>
          <w:szCs w:val="21"/>
          <w:highlight w:val="none"/>
        </w:rPr>
        <w:t>〔2017〕141</w:t>
      </w:r>
      <w:r>
        <w:rPr>
          <w:rFonts w:hint="eastAsia" w:ascii="宋体" w:hAnsi="宋体" w:eastAsia="宋体" w:cs="宋体"/>
          <w:spacing w:val="6"/>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kinsoku/>
        <w:wordWrap/>
        <w:overflowPunct/>
        <w:topLinePunct w:val="0"/>
        <w:bidi w:val="0"/>
        <w:spacing w:line="400" w:lineRule="exact"/>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本单位对上述声明的真实性负责。如有虚假，将依法承担相应责任。</w:t>
      </w:r>
    </w:p>
    <w:p>
      <w:pPr>
        <w:keepLines w:val="0"/>
        <w:pageBreakBefore w:val="0"/>
        <w:kinsoku/>
        <w:wordWrap/>
        <w:overflowPunct/>
        <w:topLinePunct w:val="0"/>
        <w:bidi w:val="0"/>
        <w:spacing w:line="400" w:lineRule="exact"/>
        <w:ind w:firstLine="444" w:firstLineChars="200"/>
        <w:rPr>
          <w:rFonts w:hint="eastAsia" w:ascii="宋体" w:hAnsi="宋体" w:eastAsia="宋体" w:cs="宋体"/>
          <w:spacing w:val="6"/>
          <w:sz w:val="21"/>
          <w:szCs w:val="21"/>
          <w:highlight w:val="none"/>
        </w:rPr>
      </w:pPr>
    </w:p>
    <w:p>
      <w:pPr>
        <w:keepLines w:val="0"/>
        <w:pageBreakBefore w:val="0"/>
        <w:kinsoku/>
        <w:wordWrap/>
        <w:overflowPunct/>
        <w:topLinePunct w:val="0"/>
        <w:bidi w:val="0"/>
        <w:spacing w:line="400" w:lineRule="exact"/>
        <w:ind w:firstLine="444" w:firstLineChars="200"/>
        <w:rPr>
          <w:rFonts w:hint="eastAsia" w:ascii="宋体" w:hAnsi="宋体" w:eastAsia="宋体" w:cs="宋体"/>
          <w:spacing w:val="6"/>
          <w:sz w:val="21"/>
          <w:szCs w:val="21"/>
          <w:highlight w:val="none"/>
        </w:rPr>
      </w:pPr>
    </w:p>
    <w:p>
      <w:pPr>
        <w:keepLines w:val="0"/>
        <w:pageBreakBefore w:val="0"/>
        <w:kinsoku/>
        <w:wordWrap/>
        <w:overflowPunct/>
        <w:topLinePunct w:val="0"/>
        <w:bidi w:val="0"/>
        <w:spacing w:line="400" w:lineRule="exact"/>
        <w:ind w:firstLine="444" w:firstLineChars="200"/>
        <w:rPr>
          <w:rFonts w:hint="eastAsia" w:ascii="宋体" w:hAnsi="宋体" w:eastAsia="宋体" w:cs="宋体"/>
          <w:spacing w:val="6"/>
          <w:sz w:val="21"/>
          <w:szCs w:val="21"/>
          <w:highlight w:val="none"/>
        </w:rPr>
      </w:pPr>
    </w:p>
    <w:p>
      <w:pPr>
        <w:keepLines w:val="0"/>
        <w:pageBreakBefore w:val="0"/>
        <w:kinsoku/>
        <w:wordWrap/>
        <w:overflowPunct/>
        <w:topLinePunct w:val="0"/>
        <w:bidi w:val="0"/>
        <w:spacing w:line="400" w:lineRule="exact"/>
        <w:ind w:firstLine="444" w:firstLineChars="200"/>
        <w:rPr>
          <w:rFonts w:hint="eastAsia" w:ascii="宋体" w:hAnsi="宋体" w:eastAsia="宋体" w:cs="宋体"/>
          <w:spacing w:val="6"/>
          <w:sz w:val="21"/>
          <w:szCs w:val="21"/>
          <w:highlight w:val="none"/>
        </w:rPr>
      </w:pPr>
    </w:p>
    <w:p>
      <w:pPr>
        <w:keepNext w:val="0"/>
        <w:keepLines w:val="0"/>
        <w:pageBreakBefore w:val="0"/>
        <w:widowControl w:val="0"/>
        <w:tabs>
          <w:tab w:val="left" w:pos="4860"/>
        </w:tabs>
        <w:kinsoku/>
        <w:wordWrap/>
        <w:overflowPunct/>
        <w:topLinePunct w:val="0"/>
        <w:autoSpaceDE/>
        <w:autoSpaceDN/>
        <w:bidi w:val="0"/>
        <w:spacing w:line="400" w:lineRule="exact"/>
        <w:ind w:right="1560" w:firstLine="444" w:firstLineChars="200"/>
        <w:jc w:val="center"/>
        <w:textAlignment w:val="auto"/>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 xml:space="preserve">               </w:t>
      </w:r>
      <w:r>
        <w:rPr>
          <w:rFonts w:hint="eastAsia" w:ascii="宋体" w:hAnsi="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单位名称</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rPr>
        <w:t>（盖章）</w:t>
      </w:r>
    </w:p>
    <w:p>
      <w:pPr>
        <w:keepNext w:val="0"/>
        <w:keepLines w:val="0"/>
        <w:pageBreakBefore w:val="0"/>
        <w:widowControl w:val="0"/>
        <w:kinsoku/>
        <w:wordWrap/>
        <w:overflowPunct/>
        <w:topLinePunct w:val="0"/>
        <w:autoSpaceDE/>
        <w:autoSpaceDN/>
        <w:bidi w:val="0"/>
        <w:adjustRightInd w:val="0"/>
        <w:snapToGrid w:val="0"/>
        <w:spacing w:line="400" w:lineRule="exact"/>
        <w:ind w:right="0" w:firstLine="2940" w:firstLineChars="14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日</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pPr>
        <w:keepLines w:val="0"/>
        <w:pageBreakBefore w:val="0"/>
        <w:tabs>
          <w:tab w:val="left" w:pos="1620"/>
          <w:tab w:val="left" w:pos="1800"/>
        </w:tabs>
        <w:kinsoku/>
        <w:wordWrap/>
        <w:overflowPunct/>
        <w:topLinePunct w:val="0"/>
        <w:bidi w:val="0"/>
        <w:spacing w:line="400" w:lineRule="exact"/>
        <w:ind w:right="540" w:rightChars="257"/>
        <w:rPr>
          <w:rFonts w:hint="eastAsia" w:ascii="宋体" w:hAnsi="宋体" w:eastAsia="宋体" w:cs="宋体"/>
          <w:highlight w:val="none"/>
        </w:rPr>
      </w:pPr>
    </w:p>
    <w:p>
      <w:pPr>
        <w:keepLines w:val="0"/>
        <w:pageBreakBefore w:val="0"/>
        <w:tabs>
          <w:tab w:val="left" w:pos="1620"/>
          <w:tab w:val="left" w:pos="1800"/>
        </w:tabs>
        <w:kinsoku/>
        <w:wordWrap/>
        <w:overflowPunct/>
        <w:topLinePunct w:val="0"/>
        <w:bidi w:val="0"/>
        <w:spacing w:line="400" w:lineRule="exact"/>
        <w:ind w:right="540" w:rightChars="257"/>
        <w:rPr>
          <w:rFonts w:hint="eastAsia" w:ascii="宋体" w:hAnsi="宋体" w:eastAsia="宋体" w:cs="宋体"/>
          <w:highlight w:val="none"/>
        </w:rPr>
      </w:pPr>
    </w:p>
    <w:p>
      <w:pPr>
        <w:keepLines w:val="0"/>
        <w:pageBreakBefore w:val="0"/>
        <w:kinsoku/>
        <w:wordWrap/>
        <w:overflowPunct/>
        <w:topLinePunct w:val="0"/>
        <w:bidi w:val="0"/>
        <w:spacing w:line="400" w:lineRule="exact"/>
        <w:rPr>
          <w:rFonts w:hint="eastAsia" w:ascii="宋体" w:hAnsi="宋体" w:eastAsia="宋体" w:cs="宋体"/>
          <w:highlight w:val="none"/>
        </w:rPr>
      </w:pPr>
    </w:p>
    <w:p>
      <w:pPr>
        <w:keepLines w:val="0"/>
        <w:pageBreakBefore w:val="0"/>
        <w:kinsoku/>
        <w:wordWrap/>
        <w:overflowPunct/>
        <w:topLinePunct w:val="0"/>
        <w:bidi w:val="0"/>
        <w:spacing w:line="400" w:lineRule="exact"/>
        <w:rPr>
          <w:rFonts w:hint="eastAsia" w:ascii="宋体" w:hAnsi="宋体" w:eastAsia="宋体" w:cs="宋体"/>
          <w:highlight w:val="none"/>
        </w:rPr>
      </w:pPr>
    </w:p>
    <w:p>
      <w:pPr>
        <w:keepLines w:val="0"/>
        <w:pageBreakBefore w:val="0"/>
        <w:kinsoku/>
        <w:wordWrap/>
        <w:overflowPunct/>
        <w:topLinePunct w:val="0"/>
        <w:bidi w:val="0"/>
        <w:spacing w:line="400" w:lineRule="exact"/>
        <w:rPr>
          <w:rFonts w:hint="eastAsia" w:ascii="宋体" w:hAnsi="宋体" w:eastAsia="宋体" w:cs="宋体"/>
          <w:highlight w:val="none"/>
        </w:rPr>
      </w:pPr>
    </w:p>
    <w:p>
      <w:pPr>
        <w:keepLines w:val="0"/>
        <w:pageBreakBefore w:val="0"/>
        <w:kinsoku/>
        <w:wordWrap/>
        <w:overflowPunct/>
        <w:topLinePunct w:val="0"/>
        <w:bidi w:val="0"/>
        <w:spacing w:line="400" w:lineRule="exact"/>
        <w:rPr>
          <w:rFonts w:hint="eastAsia" w:ascii="宋体" w:hAnsi="宋体" w:eastAsia="宋体" w:cs="宋体"/>
          <w:highlight w:val="none"/>
        </w:rPr>
      </w:pPr>
    </w:p>
    <w:p>
      <w:pPr>
        <w:keepLines w:val="0"/>
        <w:pageBreakBefore w:val="0"/>
        <w:kinsoku/>
        <w:wordWrap/>
        <w:overflowPunct/>
        <w:topLinePunct w:val="0"/>
        <w:bidi w:val="0"/>
        <w:spacing w:line="400" w:lineRule="exact"/>
        <w:rPr>
          <w:rFonts w:hint="eastAsia" w:ascii="宋体" w:hAnsi="宋体" w:eastAsia="宋体" w:cs="宋体"/>
          <w:highlight w:val="none"/>
        </w:rPr>
      </w:pPr>
    </w:p>
    <w:p>
      <w:pPr>
        <w:keepLines w:val="0"/>
        <w:pageBreakBefore w:val="0"/>
        <w:kinsoku/>
        <w:wordWrap/>
        <w:overflowPunct/>
        <w:topLinePunct w:val="0"/>
        <w:bidi w:val="0"/>
        <w:spacing w:line="400" w:lineRule="exact"/>
        <w:rPr>
          <w:rFonts w:hint="eastAsia" w:ascii="宋体" w:hAnsi="宋体" w:eastAsia="宋体" w:cs="宋体"/>
          <w:highlight w:val="none"/>
        </w:rPr>
      </w:pPr>
      <w:r>
        <w:rPr>
          <w:rFonts w:hint="eastAsia" w:ascii="宋体" w:hAnsi="宋体" w:eastAsia="宋体" w:cs="宋体"/>
          <w:highlight w:val="none"/>
        </w:rPr>
        <w:br w:type="page"/>
      </w:r>
    </w:p>
    <w:p>
      <w:pPr>
        <w:pStyle w:val="5"/>
        <w:keepLines w:val="0"/>
        <w:pageBreakBefore w:val="0"/>
        <w:kinsoku/>
        <w:wordWrap/>
        <w:overflowPunct/>
        <w:topLinePunct w:val="0"/>
        <w:bidi w:val="0"/>
        <w:spacing w:line="400" w:lineRule="exact"/>
        <w:rPr>
          <w:rFonts w:hint="eastAsia"/>
          <w:lang w:val="en-US" w:eastAsia="zh-CN"/>
        </w:rPr>
      </w:pPr>
      <w:bookmarkStart w:id="99" w:name="_Toc3551_WPSOffice_Level1"/>
      <w:bookmarkStart w:id="100" w:name="_Toc24878_WPSOffice_Level1"/>
      <w:r>
        <w:rPr>
          <w:rFonts w:hint="eastAsia"/>
          <w:lang w:val="en-US" w:eastAsia="zh-CN"/>
        </w:rPr>
        <w:t>附件4（如有）</w:t>
      </w:r>
      <w:bookmarkEnd w:id="99"/>
      <w:bookmarkEnd w:id="100"/>
    </w:p>
    <w:p>
      <w:pPr>
        <w:keepLines w:val="0"/>
        <w:pageBreakBefore w:val="0"/>
        <w:kinsoku/>
        <w:wordWrap/>
        <w:overflowPunct/>
        <w:topLinePunct w:val="0"/>
        <w:bidi w:val="0"/>
        <w:spacing w:line="400" w:lineRule="exact"/>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监狱企业证明文件</w:t>
      </w:r>
    </w:p>
    <w:p>
      <w:pPr>
        <w:keepLines w:val="0"/>
        <w:pageBreakBefore w:val="0"/>
        <w:kinsoku/>
        <w:wordWrap/>
        <w:overflowPunct/>
        <w:topLinePunct w:val="0"/>
        <w:bidi w:val="0"/>
        <w:spacing w:line="4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Lines w:val="0"/>
        <w:pageBreakBefore w:val="0"/>
        <w:kinsoku/>
        <w:wordWrap/>
        <w:overflowPunct/>
        <w:topLinePunct w:val="0"/>
        <w:bidi w:val="0"/>
        <w:spacing w:line="40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监狱企业参加政府采购活动时，应当提供由省级以上监狱管理局、戒毒管理局（含新疆生产建设兵团）出具的属于监狱企业的证明文件。</w:t>
      </w:r>
    </w:p>
    <w:p>
      <w:pPr>
        <w:keepLines w:val="0"/>
        <w:pageBreakBefore w:val="0"/>
        <w:kinsoku/>
        <w:wordWrap/>
        <w:overflowPunct/>
        <w:topLinePunct w:val="0"/>
        <w:bidi w:val="0"/>
        <w:spacing w:line="400" w:lineRule="exact"/>
        <w:rPr>
          <w:rFonts w:hint="eastAsia" w:ascii="宋体" w:hAnsi="宋体" w:eastAsia="宋体" w:cs="宋体"/>
          <w:sz w:val="24"/>
          <w:szCs w:val="24"/>
          <w:highlight w:val="none"/>
        </w:rPr>
      </w:pPr>
    </w:p>
    <w:p>
      <w:pPr>
        <w:keepLines w:val="0"/>
        <w:pageBreakBefore w:val="0"/>
        <w:kinsoku/>
        <w:wordWrap/>
        <w:overflowPunct/>
        <w:topLinePunct w:val="0"/>
        <w:bidi w:val="0"/>
        <w:spacing w:line="400" w:lineRule="exact"/>
        <w:rPr>
          <w:rFonts w:hint="eastAsia" w:ascii="宋体" w:hAnsi="宋体" w:eastAsia="宋体" w:cs="宋体"/>
          <w:highlight w:val="none"/>
        </w:rPr>
      </w:pPr>
    </w:p>
    <w:p>
      <w:pPr>
        <w:keepLines w:val="0"/>
        <w:pageBreakBefore w:val="0"/>
        <w:kinsoku/>
        <w:wordWrap/>
        <w:overflowPunct/>
        <w:topLinePunct w:val="0"/>
        <w:bidi w:val="0"/>
        <w:spacing w:line="400" w:lineRule="exact"/>
        <w:rPr>
          <w:rFonts w:hint="eastAsia" w:ascii="宋体" w:hAnsi="宋体" w:eastAsia="宋体" w:cs="宋体"/>
          <w:highlight w:val="none"/>
        </w:rPr>
      </w:pPr>
    </w:p>
    <w:p>
      <w:pPr>
        <w:keepLines w:val="0"/>
        <w:pageBreakBefore w:val="0"/>
        <w:kinsoku/>
        <w:wordWrap/>
        <w:overflowPunct/>
        <w:topLinePunct w:val="0"/>
        <w:bidi w:val="0"/>
        <w:spacing w:line="400" w:lineRule="exact"/>
        <w:rPr>
          <w:rFonts w:hint="eastAsia" w:ascii="宋体" w:hAnsi="宋体" w:eastAsia="宋体" w:cs="宋体"/>
          <w:highlight w:val="none"/>
        </w:rPr>
      </w:pPr>
    </w:p>
    <w:p>
      <w:pPr>
        <w:keepLines w:val="0"/>
        <w:pageBreakBefore w:val="0"/>
        <w:kinsoku/>
        <w:wordWrap/>
        <w:overflowPunct/>
        <w:topLinePunct w:val="0"/>
        <w:bidi w:val="0"/>
        <w:snapToGrid w:val="0"/>
        <w:spacing w:line="400" w:lineRule="exact"/>
        <w:rPr>
          <w:rFonts w:ascii="仿宋" w:hAnsi="仿宋" w:eastAsia="仿宋"/>
          <w:sz w:val="28"/>
          <w:szCs w:val="28"/>
        </w:rPr>
      </w:pPr>
    </w:p>
    <w:sectPr>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5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Mincho">
    <w:altName w:val="MS UI Gothic"/>
    <w:panose1 w:val="02020609040205080304"/>
    <w:charset w:val="80"/>
    <w:family w:val="modern"/>
    <w:pitch w:val="default"/>
    <w:sig w:usb0="00000000" w:usb1="00000000" w:usb2="00000010" w:usb3="00000000" w:csb0="4002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FBC719"/>
    <w:multiLevelType w:val="singleLevel"/>
    <w:tmpl w:val="90FBC719"/>
    <w:lvl w:ilvl="0" w:tentative="0">
      <w:start w:val="1"/>
      <w:numFmt w:val="decimal"/>
      <w:lvlText w:val="%1."/>
      <w:lvlJc w:val="left"/>
      <w:pPr>
        <w:tabs>
          <w:tab w:val="left" w:pos="312"/>
        </w:tabs>
      </w:pPr>
    </w:lvl>
  </w:abstractNum>
  <w:abstractNum w:abstractNumId="1">
    <w:nsid w:val="9A2A96E2"/>
    <w:multiLevelType w:val="singleLevel"/>
    <w:tmpl w:val="9A2A96E2"/>
    <w:lvl w:ilvl="0" w:tentative="0">
      <w:start w:val="1"/>
      <w:numFmt w:val="decimal"/>
      <w:lvlText w:val="%1."/>
      <w:lvlJc w:val="left"/>
      <w:pPr>
        <w:tabs>
          <w:tab w:val="left" w:pos="312"/>
        </w:tabs>
      </w:pPr>
    </w:lvl>
  </w:abstractNum>
  <w:abstractNum w:abstractNumId="2">
    <w:nsid w:val="B73B6D98"/>
    <w:multiLevelType w:val="singleLevel"/>
    <w:tmpl w:val="B73B6D98"/>
    <w:lvl w:ilvl="0" w:tentative="0">
      <w:start w:val="1"/>
      <w:numFmt w:val="decimal"/>
      <w:lvlText w:val="%1."/>
      <w:lvlJc w:val="left"/>
      <w:pPr>
        <w:tabs>
          <w:tab w:val="left" w:pos="312"/>
        </w:tabs>
      </w:pPr>
    </w:lvl>
  </w:abstractNum>
  <w:abstractNum w:abstractNumId="3">
    <w:nsid w:val="C8C71F00"/>
    <w:multiLevelType w:val="singleLevel"/>
    <w:tmpl w:val="C8C71F00"/>
    <w:lvl w:ilvl="0" w:tentative="0">
      <w:start w:val="1"/>
      <w:numFmt w:val="decimal"/>
      <w:suff w:val="nothing"/>
      <w:lvlText w:val="%1、"/>
      <w:lvlJc w:val="left"/>
    </w:lvl>
  </w:abstractNum>
  <w:abstractNum w:abstractNumId="4">
    <w:nsid w:val="DEEB8139"/>
    <w:multiLevelType w:val="singleLevel"/>
    <w:tmpl w:val="DEEB8139"/>
    <w:lvl w:ilvl="0" w:tentative="0">
      <w:start w:val="5"/>
      <w:numFmt w:val="decimal"/>
      <w:suff w:val="nothing"/>
      <w:lvlText w:val="%1、"/>
      <w:lvlJc w:val="left"/>
    </w:lvl>
  </w:abstractNum>
  <w:abstractNum w:abstractNumId="5">
    <w:nsid w:val="1645D76E"/>
    <w:multiLevelType w:val="singleLevel"/>
    <w:tmpl w:val="1645D76E"/>
    <w:lvl w:ilvl="0" w:tentative="0">
      <w:start w:val="2"/>
      <w:numFmt w:val="decimal"/>
      <w:suff w:val="nothing"/>
      <w:lvlText w:val="%1、"/>
      <w:lvlJc w:val="left"/>
    </w:lvl>
  </w:abstractNum>
  <w:abstractNum w:abstractNumId="6">
    <w:nsid w:val="44509C2B"/>
    <w:multiLevelType w:val="singleLevel"/>
    <w:tmpl w:val="44509C2B"/>
    <w:lvl w:ilvl="0" w:tentative="0">
      <w:start w:val="1"/>
      <w:numFmt w:val="decimal"/>
      <w:lvlText w:val="%1."/>
      <w:lvlJc w:val="left"/>
      <w:pPr>
        <w:tabs>
          <w:tab w:val="left" w:pos="312"/>
        </w:tabs>
      </w:pPr>
    </w:lvl>
  </w:abstractNum>
  <w:abstractNum w:abstractNumId="7">
    <w:nsid w:val="55570FC6"/>
    <w:multiLevelType w:val="singleLevel"/>
    <w:tmpl w:val="55570FC6"/>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29"/>
    <w:rsid w:val="00001C29"/>
    <w:rsid w:val="00001EEB"/>
    <w:rsid w:val="000029F7"/>
    <w:rsid w:val="000032F9"/>
    <w:rsid w:val="00003BBC"/>
    <w:rsid w:val="00003CB8"/>
    <w:rsid w:val="000056D3"/>
    <w:rsid w:val="00005890"/>
    <w:rsid w:val="00006C8A"/>
    <w:rsid w:val="0000725C"/>
    <w:rsid w:val="0000750F"/>
    <w:rsid w:val="000075C0"/>
    <w:rsid w:val="00007D6A"/>
    <w:rsid w:val="000120DC"/>
    <w:rsid w:val="00013339"/>
    <w:rsid w:val="0001354E"/>
    <w:rsid w:val="00022044"/>
    <w:rsid w:val="00022532"/>
    <w:rsid w:val="0002263C"/>
    <w:rsid w:val="0002309D"/>
    <w:rsid w:val="00025029"/>
    <w:rsid w:val="00025092"/>
    <w:rsid w:val="00030B0E"/>
    <w:rsid w:val="00030B4E"/>
    <w:rsid w:val="00030E07"/>
    <w:rsid w:val="00034222"/>
    <w:rsid w:val="00035053"/>
    <w:rsid w:val="00040B17"/>
    <w:rsid w:val="0004588C"/>
    <w:rsid w:val="00045CC6"/>
    <w:rsid w:val="000524E1"/>
    <w:rsid w:val="000549CC"/>
    <w:rsid w:val="00055702"/>
    <w:rsid w:val="00056A02"/>
    <w:rsid w:val="000613FA"/>
    <w:rsid w:val="000618C0"/>
    <w:rsid w:val="0006502B"/>
    <w:rsid w:val="0006777F"/>
    <w:rsid w:val="00067914"/>
    <w:rsid w:val="00071126"/>
    <w:rsid w:val="000720C6"/>
    <w:rsid w:val="00075BF5"/>
    <w:rsid w:val="00076A09"/>
    <w:rsid w:val="000772E7"/>
    <w:rsid w:val="00081265"/>
    <w:rsid w:val="0008134A"/>
    <w:rsid w:val="0008341F"/>
    <w:rsid w:val="00084318"/>
    <w:rsid w:val="00084B96"/>
    <w:rsid w:val="0008631B"/>
    <w:rsid w:val="00087994"/>
    <w:rsid w:val="000905FC"/>
    <w:rsid w:val="00090E46"/>
    <w:rsid w:val="00091985"/>
    <w:rsid w:val="00091C73"/>
    <w:rsid w:val="00093F1E"/>
    <w:rsid w:val="00095F03"/>
    <w:rsid w:val="000964E1"/>
    <w:rsid w:val="00097242"/>
    <w:rsid w:val="0009724C"/>
    <w:rsid w:val="0009759A"/>
    <w:rsid w:val="000A05D6"/>
    <w:rsid w:val="000A1ACC"/>
    <w:rsid w:val="000A2040"/>
    <w:rsid w:val="000A2A1A"/>
    <w:rsid w:val="000A4096"/>
    <w:rsid w:val="000A42B9"/>
    <w:rsid w:val="000A5357"/>
    <w:rsid w:val="000A7B66"/>
    <w:rsid w:val="000B1FBE"/>
    <w:rsid w:val="000B2111"/>
    <w:rsid w:val="000C0A16"/>
    <w:rsid w:val="000C1735"/>
    <w:rsid w:val="000C35E3"/>
    <w:rsid w:val="000C4F0C"/>
    <w:rsid w:val="000C54D2"/>
    <w:rsid w:val="000C5D27"/>
    <w:rsid w:val="000D040D"/>
    <w:rsid w:val="000D1837"/>
    <w:rsid w:val="000D66E4"/>
    <w:rsid w:val="000D6B71"/>
    <w:rsid w:val="000D6C1B"/>
    <w:rsid w:val="000E0363"/>
    <w:rsid w:val="000E1795"/>
    <w:rsid w:val="000E4943"/>
    <w:rsid w:val="000E4EB0"/>
    <w:rsid w:val="000E529E"/>
    <w:rsid w:val="000E5C4E"/>
    <w:rsid w:val="000F064A"/>
    <w:rsid w:val="000F2164"/>
    <w:rsid w:val="000F2F91"/>
    <w:rsid w:val="000F4BC1"/>
    <w:rsid w:val="000F5B4B"/>
    <w:rsid w:val="00100174"/>
    <w:rsid w:val="00100516"/>
    <w:rsid w:val="00101B11"/>
    <w:rsid w:val="0010200F"/>
    <w:rsid w:val="00104FC9"/>
    <w:rsid w:val="0010510A"/>
    <w:rsid w:val="00106ABB"/>
    <w:rsid w:val="0010735F"/>
    <w:rsid w:val="00107A5B"/>
    <w:rsid w:val="00107DF5"/>
    <w:rsid w:val="001101F3"/>
    <w:rsid w:val="0011718C"/>
    <w:rsid w:val="001174E8"/>
    <w:rsid w:val="00122C64"/>
    <w:rsid w:val="001234FA"/>
    <w:rsid w:val="0012377F"/>
    <w:rsid w:val="001237B1"/>
    <w:rsid w:val="001246C1"/>
    <w:rsid w:val="00124C60"/>
    <w:rsid w:val="00125154"/>
    <w:rsid w:val="00130F00"/>
    <w:rsid w:val="00134E5E"/>
    <w:rsid w:val="00135DBC"/>
    <w:rsid w:val="00136976"/>
    <w:rsid w:val="001376D2"/>
    <w:rsid w:val="00141119"/>
    <w:rsid w:val="00144C6B"/>
    <w:rsid w:val="00145F77"/>
    <w:rsid w:val="001473D4"/>
    <w:rsid w:val="0015107A"/>
    <w:rsid w:val="00151738"/>
    <w:rsid w:val="001529AB"/>
    <w:rsid w:val="00152D53"/>
    <w:rsid w:val="001534F8"/>
    <w:rsid w:val="00156C08"/>
    <w:rsid w:val="001578BF"/>
    <w:rsid w:val="00163AA6"/>
    <w:rsid w:val="001668E9"/>
    <w:rsid w:val="00167A03"/>
    <w:rsid w:val="00171505"/>
    <w:rsid w:val="00173136"/>
    <w:rsid w:val="00173AFD"/>
    <w:rsid w:val="00173B35"/>
    <w:rsid w:val="00173F1F"/>
    <w:rsid w:val="00175B79"/>
    <w:rsid w:val="001768BB"/>
    <w:rsid w:val="0017691D"/>
    <w:rsid w:val="001769AB"/>
    <w:rsid w:val="001777DB"/>
    <w:rsid w:val="0018043A"/>
    <w:rsid w:val="00181D96"/>
    <w:rsid w:val="00182ADA"/>
    <w:rsid w:val="00185C68"/>
    <w:rsid w:val="00185DA1"/>
    <w:rsid w:val="001862A4"/>
    <w:rsid w:val="00186969"/>
    <w:rsid w:val="00190868"/>
    <w:rsid w:val="00190B0A"/>
    <w:rsid w:val="0019148E"/>
    <w:rsid w:val="00192EB4"/>
    <w:rsid w:val="00193314"/>
    <w:rsid w:val="0019529A"/>
    <w:rsid w:val="001965BE"/>
    <w:rsid w:val="001A1550"/>
    <w:rsid w:val="001A1C67"/>
    <w:rsid w:val="001A2EA2"/>
    <w:rsid w:val="001A417F"/>
    <w:rsid w:val="001A547A"/>
    <w:rsid w:val="001A6F45"/>
    <w:rsid w:val="001B1947"/>
    <w:rsid w:val="001B1B23"/>
    <w:rsid w:val="001B2084"/>
    <w:rsid w:val="001B38C5"/>
    <w:rsid w:val="001B3F37"/>
    <w:rsid w:val="001B4B9F"/>
    <w:rsid w:val="001B79DD"/>
    <w:rsid w:val="001C0DB3"/>
    <w:rsid w:val="001C132D"/>
    <w:rsid w:val="001C1852"/>
    <w:rsid w:val="001C35F0"/>
    <w:rsid w:val="001C54EB"/>
    <w:rsid w:val="001C7A93"/>
    <w:rsid w:val="001C7B4F"/>
    <w:rsid w:val="001D4EFC"/>
    <w:rsid w:val="001D5910"/>
    <w:rsid w:val="001D633E"/>
    <w:rsid w:val="001D669F"/>
    <w:rsid w:val="001D7CEC"/>
    <w:rsid w:val="001D7D7B"/>
    <w:rsid w:val="001E19DB"/>
    <w:rsid w:val="001E2395"/>
    <w:rsid w:val="001E2F60"/>
    <w:rsid w:val="001E3D2A"/>
    <w:rsid w:val="001E4159"/>
    <w:rsid w:val="001E443C"/>
    <w:rsid w:val="001E5960"/>
    <w:rsid w:val="001E6478"/>
    <w:rsid w:val="001F5C07"/>
    <w:rsid w:val="001F5FAE"/>
    <w:rsid w:val="001F6B22"/>
    <w:rsid w:val="00200C97"/>
    <w:rsid w:val="00201C32"/>
    <w:rsid w:val="00201E73"/>
    <w:rsid w:val="00202ED8"/>
    <w:rsid w:val="00207F0D"/>
    <w:rsid w:val="00211872"/>
    <w:rsid w:val="00212D68"/>
    <w:rsid w:val="002155CF"/>
    <w:rsid w:val="00215A34"/>
    <w:rsid w:val="00216093"/>
    <w:rsid w:val="00217A64"/>
    <w:rsid w:val="00223A6E"/>
    <w:rsid w:val="00224A5D"/>
    <w:rsid w:val="00226E7C"/>
    <w:rsid w:val="00227BA4"/>
    <w:rsid w:val="00230CA8"/>
    <w:rsid w:val="00231E3E"/>
    <w:rsid w:val="00232744"/>
    <w:rsid w:val="00236747"/>
    <w:rsid w:val="00236C07"/>
    <w:rsid w:val="00237E32"/>
    <w:rsid w:val="00241110"/>
    <w:rsid w:val="002419FB"/>
    <w:rsid w:val="00241E96"/>
    <w:rsid w:val="00242FDA"/>
    <w:rsid w:val="0024380E"/>
    <w:rsid w:val="002459F0"/>
    <w:rsid w:val="00246AE9"/>
    <w:rsid w:val="00246DA5"/>
    <w:rsid w:val="00247F24"/>
    <w:rsid w:val="00250CDC"/>
    <w:rsid w:val="00251BD6"/>
    <w:rsid w:val="00251BE1"/>
    <w:rsid w:val="002537C2"/>
    <w:rsid w:val="002573BD"/>
    <w:rsid w:val="00261527"/>
    <w:rsid w:val="002618B8"/>
    <w:rsid w:val="0026265D"/>
    <w:rsid w:val="002649C9"/>
    <w:rsid w:val="0026560C"/>
    <w:rsid w:val="00266009"/>
    <w:rsid w:val="00267058"/>
    <w:rsid w:val="002670A0"/>
    <w:rsid w:val="00267D35"/>
    <w:rsid w:val="00270C87"/>
    <w:rsid w:val="00271523"/>
    <w:rsid w:val="00271998"/>
    <w:rsid w:val="00272129"/>
    <w:rsid w:val="0027365E"/>
    <w:rsid w:val="00273B38"/>
    <w:rsid w:val="00273C7D"/>
    <w:rsid w:val="002755EA"/>
    <w:rsid w:val="002755ED"/>
    <w:rsid w:val="002757CC"/>
    <w:rsid w:val="0027611D"/>
    <w:rsid w:val="00276F80"/>
    <w:rsid w:val="00283227"/>
    <w:rsid w:val="00284D00"/>
    <w:rsid w:val="00284FC6"/>
    <w:rsid w:val="00291E4C"/>
    <w:rsid w:val="0029346A"/>
    <w:rsid w:val="002953AA"/>
    <w:rsid w:val="0029671A"/>
    <w:rsid w:val="002A1E19"/>
    <w:rsid w:val="002A1E5D"/>
    <w:rsid w:val="002A3184"/>
    <w:rsid w:val="002A4F1B"/>
    <w:rsid w:val="002B12BC"/>
    <w:rsid w:val="002B3BD1"/>
    <w:rsid w:val="002B4047"/>
    <w:rsid w:val="002B4AEA"/>
    <w:rsid w:val="002B4BBB"/>
    <w:rsid w:val="002B4CA5"/>
    <w:rsid w:val="002B4DB3"/>
    <w:rsid w:val="002B677D"/>
    <w:rsid w:val="002C0AD1"/>
    <w:rsid w:val="002C0B2A"/>
    <w:rsid w:val="002C159D"/>
    <w:rsid w:val="002C1D1E"/>
    <w:rsid w:val="002C2A3E"/>
    <w:rsid w:val="002C3C6A"/>
    <w:rsid w:val="002C4C83"/>
    <w:rsid w:val="002D0F20"/>
    <w:rsid w:val="002D1B5B"/>
    <w:rsid w:val="002D1BDA"/>
    <w:rsid w:val="002D249D"/>
    <w:rsid w:val="002D2682"/>
    <w:rsid w:val="002D3E86"/>
    <w:rsid w:val="002D4C1E"/>
    <w:rsid w:val="002D4DBF"/>
    <w:rsid w:val="002D6AE7"/>
    <w:rsid w:val="002D6E70"/>
    <w:rsid w:val="002E127D"/>
    <w:rsid w:val="002E1581"/>
    <w:rsid w:val="002E16FB"/>
    <w:rsid w:val="002E1849"/>
    <w:rsid w:val="002E2A33"/>
    <w:rsid w:val="002E3FFE"/>
    <w:rsid w:val="002E4544"/>
    <w:rsid w:val="002E6ABB"/>
    <w:rsid w:val="002F13CA"/>
    <w:rsid w:val="002F360D"/>
    <w:rsid w:val="002F3D21"/>
    <w:rsid w:val="002F3DC6"/>
    <w:rsid w:val="002F5823"/>
    <w:rsid w:val="002F6FB3"/>
    <w:rsid w:val="00300D82"/>
    <w:rsid w:val="00300F48"/>
    <w:rsid w:val="003016AF"/>
    <w:rsid w:val="00301CA1"/>
    <w:rsid w:val="003021FF"/>
    <w:rsid w:val="00302B99"/>
    <w:rsid w:val="00303668"/>
    <w:rsid w:val="0030400E"/>
    <w:rsid w:val="00304440"/>
    <w:rsid w:val="00304F0D"/>
    <w:rsid w:val="00307323"/>
    <w:rsid w:val="00307D1E"/>
    <w:rsid w:val="00310B8D"/>
    <w:rsid w:val="00313CCA"/>
    <w:rsid w:val="003144ED"/>
    <w:rsid w:val="00314958"/>
    <w:rsid w:val="00315DB7"/>
    <w:rsid w:val="003173A4"/>
    <w:rsid w:val="00317A52"/>
    <w:rsid w:val="003203AF"/>
    <w:rsid w:val="00320D3B"/>
    <w:rsid w:val="00320DEA"/>
    <w:rsid w:val="00321953"/>
    <w:rsid w:val="003235C6"/>
    <w:rsid w:val="003241CC"/>
    <w:rsid w:val="00325722"/>
    <w:rsid w:val="003279D6"/>
    <w:rsid w:val="00327F16"/>
    <w:rsid w:val="00327FC7"/>
    <w:rsid w:val="00331833"/>
    <w:rsid w:val="00335446"/>
    <w:rsid w:val="003370DB"/>
    <w:rsid w:val="0033736F"/>
    <w:rsid w:val="003440DE"/>
    <w:rsid w:val="003444FE"/>
    <w:rsid w:val="00346C4C"/>
    <w:rsid w:val="00346CB1"/>
    <w:rsid w:val="0034733C"/>
    <w:rsid w:val="00347D5E"/>
    <w:rsid w:val="00353E59"/>
    <w:rsid w:val="00355A30"/>
    <w:rsid w:val="00357157"/>
    <w:rsid w:val="00361182"/>
    <w:rsid w:val="003676B1"/>
    <w:rsid w:val="00370E82"/>
    <w:rsid w:val="0037254F"/>
    <w:rsid w:val="0037650D"/>
    <w:rsid w:val="00376853"/>
    <w:rsid w:val="00377E02"/>
    <w:rsid w:val="0038371F"/>
    <w:rsid w:val="00383BB7"/>
    <w:rsid w:val="0038694A"/>
    <w:rsid w:val="00386B00"/>
    <w:rsid w:val="00390A84"/>
    <w:rsid w:val="00390DED"/>
    <w:rsid w:val="00392CC5"/>
    <w:rsid w:val="003932B0"/>
    <w:rsid w:val="003940FB"/>
    <w:rsid w:val="00394A08"/>
    <w:rsid w:val="00395DAA"/>
    <w:rsid w:val="003A0BBF"/>
    <w:rsid w:val="003A1018"/>
    <w:rsid w:val="003A1A1B"/>
    <w:rsid w:val="003A1B53"/>
    <w:rsid w:val="003A2FF0"/>
    <w:rsid w:val="003A481E"/>
    <w:rsid w:val="003A6A68"/>
    <w:rsid w:val="003B0FCD"/>
    <w:rsid w:val="003B29E7"/>
    <w:rsid w:val="003B3006"/>
    <w:rsid w:val="003B4AA9"/>
    <w:rsid w:val="003C0179"/>
    <w:rsid w:val="003C21F1"/>
    <w:rsid w:val="003C39AB"/>
    <w:rsid w:val="003C5CC9"/>
    <w:rsid w:val="003C731A"/>
    <w:rsid w:val="003C769E"/>
    <w:rsid w:val="003D3397"/>
    <w:rsid w:val="003D40E8"/>
    <w:rsid w:val="003D4648"/>
    <w:rsid w:val="003E06C8"/>
    <w:rsid w:val="003E10C4"/>
    <w:rsid w:val="003E203F"/>
    <w:rsid w:val="003E42FA"/>
    <w:rsid w:val="003E7836"/>
    <w:rsid w:val="003F00B3"/>
    <w:rsid w:val="003F0B8C"/>
    <w:rsid w:val="003F165E"/>
    <w:rsid w:val="003F1892"/>
    <w:rsid w:val="003F33A0"/>
    <w:rsid w:val="003F3D74"/>
    <w:rsid w:val="003F5FC7"/>
    <w:rsid w:val="00402419"/>
    <w:rsid w:val="00414C62"/>
    <w:rsid w:val="00414CB6"/>
    <w:rsid w:val="00415C4B"/>
    <w:rsid w:val="00415C93"/>
    <w:rsid w:val="00416133"/>
    <w:rsid w:val="004163A2"/>
    <w:rsid w:val="00417836"/>
    <w:rsid w:val="00420AEB"/>
    <w:rsid w:val="00421125"/>
    <w:rsid w:val="004254E1"/>
    <w:rsid w:val="0042616D"/>
    <w:rsid w:val="0043084B"/>
    <w:rsid w:val="00431C4C"/>
    <w:rsid w:val="00433CC6"/>
    <w:rsid w:val="004368DD"/>
    <w:rsid w:val="00437E5C"/>
    <w:rsid w:val="00440260"/>
    <w:rsid w:val="0044150F"/>
    <w:rsid w:val="00442FFD"/>
    <w:rsid w:val="00447081"/>
    <w:rsid w:val="00447ABE"/>
    <w:rsid w:val="00450C19"/>
    <w:rsid w:val="00451D38"/>
    <w:rsid w:val="00452082"/>
    <w:rsid w:val="00452FFC"/>
    <w:rsid w:val="004612D1"/>
    <w:rsid w:val="004647BE"/>
    <w:rsid w:val="00465267"/>
    <w:rsid w:val="00465D47"/>
    <w:rsid w:val="00471442"/>
    <w:rsid w:val="0047145F"/>
    <w:rsid w:val="00471F7D"/>
    <w:rsid w:val="00471F89"/>
    <w:rsid w:val="0047287B"/>
    <w:rsid w:val="00474310"/>
    <w:rsid w:val="00475203"/>
    <w:rsid w:val="00476EC0"/>
    <w:rsid w:val="004773A1"/>
    <w:rsid w:val="004774CF"/>
    <w:rsid w:val="004804D1"/>
    <w:rsid w:val="004809C4"/>
    <w:rsid w:val="00480B21"/>
    <w:rsid w:val="00480CBA"/>
    <w:rsid w:val="0048402D"/>
    <w:rsid w:val="004848E2"/>
    <w:rsid w:val="00485E24"/>
    <w:rsid w:val="00487F8C"/>
    <w:rsid w:val="00490DE9"/>
    <w:rsid w:val="00491D72"/>
    <w:rsid w:val="00492099"/>
    <w:rsid w:val="00492B77"/>
    <w:rsid w:val="00493101"/>
    <w:rsid w:val="00494CB8"/>
    <w:rsid w:val="00496D11"/>
    <w:rsid w:val="004971DB"/>
    <w:rsid w:val="004A28C4"/>
    <w:rsid w:val="004A4A4D"/>
    <w:rsid w:val="004A4A54"/>
    <w:rsid w:val="004A6665"/>
    <w:rsid w:val="004A6810"/>
    <w:rsid w:val="004A718E"/>
    <w:rsid w:val="004A76CD"/>
    <w:rsid w:val="004A7876"/>
    <w:rsid w:val="004B1DFC"/>
    <w:rsid w:val="004B3A31"/>
    <w:rsid w:val="004B3DA9"/>
    <w:rsid w:val="004B5293"/>
    <w:rsid w:val="004B649D"/>
    <w:rsid w:val="004B64CA"/>
    <w:rsid w:val="004B6D61"/>
    <w:rsid w:val="004B7318"/>
    <w:rsid w:val="004B7F25"/>
    <w:rsid w:val="004C17F4"/>
    <w:rsid w:val="004C234D"/>
    <w:rsid w:val="004C541B"/>
    <w:rsid w:val="004C580A"/>
    <w:rsid w:val="004D0934"/>
    <w:rsid w:val="004D1665"/>
    <w:rsid w:val="004D4D2E"/>
    <w:rsid w:val="004D58B9"/>
    <w:rsid w:val="004D5B31"/>
    <w:rsid w:val="004D6001"/>
    <w:rsid w:val="004D69D9"/>
    <w:rsid w:val="004D6D7F"/>
    <w:rsid w:val="004E0B38"/>
    <w:rsid w:val="004E13AD"/>
    <w:rsid w:val="004E1675"/>
    <w:rsid w:val="004E22B0"/>
    <w:rsid w:val="004E34D1"/>
    <w:rsid w:val="004E453F"/>
    <w:rsid w:val="004E4CBF"/>
    <w:rsid w:val="004E6DEC"/>
    <w:rsid w:val="004F1A53"/>
    <w:rsid w:val="004F25CD"/>
    <w:rsid w:val="004F289E"/>
    <w:rsid w:val="004F2F80"/>
    <w:rsid w:val="004F33F6"/>
    <w:rsid w:val="004F35BB"/>
    <w:rsid w:val="004F6443"/>
    <w:rsid w:val="004F6852"/>
    <w:rsid w:val="004F6957"/>
    <w:rsid w:val="0050146C"/>
    <w:rsid w:val="00501864"/>
    <w:rsid w:val="005019A6"/>
    <w:rsid w:val="00502B33"/>
    <w:rsid w:val="005032A0"/>
    <w:rsid w:val="005037D8"/>
    <w:rsid w:val="00503F1C"/>
    <w:rsid w:val="0050513C"/>
    <w:rsid w:val="005052E5"/>
    <w:rsid w:val="005053DE"/>
    <w:rsid w:val="005076CB"/>
    <w:rsid w:val="00510FD0"/>
    <w:rsid w:val="005110A4"/>
    <w:rsid w:val="0051147A"/>
    <w:rsid w:val="0051208E"/>
    <w:rsid w:val="00512BF2"/>
    <w:rsid w:val="005132DA"/>
    <w:rsid w:val="00513438"/>
    <w:rsid w:val="00513A7F"/>
    <w:rsid w:val="00515BE2"/>
    <w:rsid w:val="00516419"/>
    <w:rsid w:val="00516F59"/>
    <w:rsid w:val="00520F92"/>
    <w:rsid w:val="00521CFE"/>
    <w:rsid w:val="005234E0"/>
    <w:rsid w:val="00523572"/>
    <w:rsid w:val="00523EDD"/>
    <w:rsid w:val="00530DCB"/>
    <w:rsid w:val="0053230B"/>
    <w:rsid w:val="00532F8A"/>
    <w:rsid w:val="0053345F"/>
    <w:rsid w:val="005342AA"/>
    <w:rsid w:val="00534A0D"/>
    <w:rsid w:val="00534C98"/>
    <w:rsid w:val="00535433"/>
    <w:rsid w:val="00536897"/>
    <w:rsid w:val="00536D88"/>
    <w:rsid w:val="00537118"/>
    <w:rsid w:val="005379E6"/>
    <w:rsid w:val="00537F4B"/>
    <w:rsid w:val="00541064"/>
    <w:rsid w:val="0054137F"/>
    <w:rsid w:val="00542B37"/>
    <w:rsid w:val="00545DCC"/>
    <w:rsid w:val="005511D9"/>
    <w:rsid w:val="00551699"/>
    <w:rsid w:val="00551A0E"/>
    <w:rsid w:val="0055380D"/>
    <w:rsid w:val="0055421C"/>
    <w:rsid w:val="005556D1"/>
    <w:rsid w:val="005603A8"/>
    <w:rsid w:val="00560BF7"/>
    <w:rsid w:val="00566436"/>
    <w:rsid w:val="005664F4"/>
    <w:rsid w:val="0057017E"/>
    <w:rsid w:val="005741D8"/>
    <w:rsid w:val="00574946"/>
    <w:rsid w:val="0057683E"/>
    <w:rsid w:val="00576A09"/>
    <w:rsid w:val="00580DAF"/>
    <w:rsid w:val="00582C50"/>
    <w:rsid w:val="00586112"/>
    <w:rsid w:val="00586DA1"/>
    <w:rsid w:val="00587102"/>
    <w:rsid w:val="005872AD"/>
    <w:rsid w:val="00587469"/>
    <w:rsid w:val="00590A1A"/>
    <w:rsid w:val="0059120E"/>
    <w:rsid w:val="00591971"/>
    <w:rsid w:val="005934EA"/>
    <w:rsid w:val="00594967"/>
    <w:rsid w:val="00595033"/>
    <w:rsid w:val="00595264"/>
    <w:rsid w:val="00597CFE"/>
    <w:rsid w:val="005A05B6"/>
    <w:rsid w:val="005A3304"/>
    <w:rsid w:val="005A34FB"/>
    <w:rsid w:val="005A354A"/>
    <w:rsid w:val="005A3BFE"/>
    <w:rsid w:val="005A4476"/>
    <w:rsid w:val="005A4CA5"/>
    <w:rsid w:val="005A6B66"/>
    <w:rsid w:val="005B03BE"/>
    <w:rsid w:val="005B3C87"/>
    <w:rsid w:val="005B415F"/>
    <w:rsid w:val="005B4B4A"/>
    <w:rsid w:val="005C0992"/>
    <w:rsid w:val="005C0FA6"/>
    <w:rsid w:val="005C5E90"/>
    <w:rsid w:val="005D004C"/>
    <w:rsid w:val="005D21EE"/>
    <w:rsid w:val="005D3B7A"/>
    <w:rsid w:val="005D45E8"/>
    <w:rsid w:val="005D692C"/>
    <w:rsid w:val="005D7700"/>
    <w:rsid w:val="005E05A8"/>
    <w:rsid w:val="005E0662"/>
    <w:rsid w:val="005E3800"/>
    <w:rsid w:val="005E3D3B"/>
    <w:rsid w:val="005E56DD"/>
    <w:rsid w:val="005E6EE8"/>
    <w:rsid w:val="005F04A1"/>
    <w:rsid w:val="005F07C0"/>
    <w:rsid w:val="005F3D6E"/>
    <w:rsid w:val="005F44B1"/>
    <w:rsid w:val="005F5367"/>
    <w:rsid w:val="005F5500"/>
    <w:rsid w:val="005F7752"/>
    <w:rsid w:val="006004CE"/>
    <w:rsid w:val="00601886"/>
    <w:rsid w:val="006020B5"/>
    <w:rsid w:val="006024EB"/>
    <w:rsid w:val="00605256"/>
    <w:rsid w:val="00610277"/>
    <w:rsid w:val="006129FC"/>
    <w:rsid w:val="00614754"/>
    <w:rsid w:val="00615146"/>
    <w:rsid w:val="006160F1"/>
    <w:rsid w:val="0062314F"/>
    <w:rsid w:val="00624207"/>
    <w:rsid w:val="006246F8"/>
    <w:rsid w:val="00625967"/>
    <w:rsid w:val="00627095"/>
    <w:rsid w:val="00631DC0"/>
    <w:rsid w:val="00635090"/>
    <w:rsid w:val="0063756C"/>
    <w:rsid w:val="006378D4"/>
    <w:rsid w:val="00640980"/>
    <w:rsid w:val="006417D9"/>
    <w:rsid w:val="00647B96"/>
    <w:rsid w:val="006506CC"/>
    <w:rsid w:val="006523F8"/>
    <w:rsid w:val="00652506"/>
    <w:rsid w:val="00653B7F"/>
    <w:rsid w:val="00654813"/>
    <w:rsid w:val="00661D06"/>
    <w:rsid w:val="0066204B"/>
    <w:rsid w:val="00662421"/>
    <w:rsid w:val="006655AD"/>
    <w:rsid w:val="00666886"/>
    <w:rsid w:val="006712BC"/>
    <w:rsid w:val="006722B0"/>
    <w:rsid w:val="006742C1"/>
    <w:rsid w:val="006764A4"/>
    <w:rsid w:val="00681A36"/>
    <w:rsid w:val="00681FED"/>
    <w:rsid w:val="006825F0"/>
    <w:rsid w:val="00682C5D"/>
    <w:rsid w:val="00683DF8"/>
    <w:rsid w:val="006857C5"/>
    <w:rsid w:val="0068623C"/>
    <w:rsid w:val="0068681D"/>
    <w:rsid w:val="00686991"/>
    <w:rsid w:val="00687800"/>
    <w:rsid w:val="00690E92"/>
    <w:rsid w:val="006938E7"/>
    <w:rsid w:val="00696772"/>
    <w:rsid w:val="006A00F6"/>
    <w:rsid w:val="006A0213"/>
    <w:rsid w:val="006A05C0"/>
    <w:rsid w:val="006A0766"/>
    <w:rsid w:val="006A229D"/>
    <w:rsid w:val="006A6F39"/>
    <w:rsid w:val="006A7503"/>
    <w:rsid w:val="006A7C4F"/>
    <w:rsid w:val="006B07CB"/>
    <w:rsid w:val="006B0DAC"/>
    <w:rsid w:val="006B3264"/>
    <w:rsid w:val="006B334D"/>
    <w:rsid w:val="006B588D"/>
    <w:rsid w:val="006B69D9"/>
    <w:rsid w:val="006B783A"/>
    <w:rsid w:val="006C2761"/>
    <w:rsid w:val="006C4722"/>
    <w:rsid w:val="006C5FDB"/>
    <w:rsid w:val="006C717E"/>
    <w:rsid w:val="006D1446"/>
    <w:rsid w:val="006D4079"/>
    <w:rsid w:val="006D5548"/>
    <w:rsid w:val="006D5888"/>
    <w:rsid w:val="006D64A0"/>
    <w:rsid w:val="006D658E"/>
    <w:rsid w:val="006D681A"/>
    <w:rsid w:val="006E11E0"/>
    <w:rsid w:val="006E2202"/>
    <w:rsid w:val="006E2489"/>
    <w:rsid w:val="006E3C87"/>
    <w:rsid w:val="006E5650"/>
    <w:rsid w:val="006E6D16"/>
    <w:rsid w:val="006E787A"/>
    <w:rsid w:val="006E7992"/>
    <w:rsid w:val="006F0013"/>
    <w:rsid w:val="006F297F"/>
    <w:rsid w:val="006F31FA"/>
    <w:rsid w:val="006F3472"/>
    <w:rsid w:val="007000D0"/>
    <w:rsid w:val="007035C5"/>
    <w:rsid w:val="007036A6"/>
    <w:rsid w:val="00704BA7"/>
    <w:rsid w:val="00704F19"/>
    <w:rsid w:val="00705F5D"/>
    <w:rsid w:val="0070716E"/>
    <w:rsid w:val="00711480"/>
    <w:rsid w:val="00712717"/>
    <w:rsid w:val="007136B9"/>
    <w:rsid w:val="00715D6B"/>
    <w:rsid w:val="00717A92"/>
    <w:rsid w:val="00717AAE"/>
    <w:rsid w:val="007204DC"/>
    <w:rsid w:val="00721C3F"/>
    <w:rsid w:val="00722F56"/>
    <w:rsid w:val="00724265"/>
    <w:rsid w:val="007275E9"/>
    <w:rsid w:val="00727B43"/>
    <w:rsid w:val="007318EA"/>
    <w:rsid w:val="00731BC2"/>
    <w:rsid w:val="0073221C"/>
    <w:rsid w:val="00736003"/>
    <w:rsid w:val="007413D3"/>
    <w:rsid w:val="0074224D"/>
    <w:rsid w:val="0074413F"/>
    <w:rsid w:val="00744E7A"/>
    <w:rsid w:val="00746BCB"/>
    <w:rsid w:val="00747A02"/>
    <w:rsid w:val="00752CA5"/>
    <w:rsid w:val="0075320A"/>
    <w:rsid w:val="0075508B"/>
    <w:rsid w:val="007564F4"/>
    <w:rsid w:val="00756A71"/>
    <w:rsid w:val="00762CD3"/>
    <w:rsid w:val="0076457D"/>
    <w:rsid w:val="00764A5E"/>
    <w:rsid w:val="007655E7"/>
    <w:rsid w:val="00766530"/>
    <w:rsid w:val="00767EF9"/>
    <w:rsid w:val="00770B09"/>
    <w:rsid w:val="0077117D"/>
    <w:rsid w:val="00771286"/>
    <w:rsid w:val="007716C7"/>
    <w:rsid w:val="00771BD5"/>
    <w:rsid w:val="0077390B"/>
    <w:rsid w:val="0077692B"/>
    <w:rsid w:val="0077754D"/>
    <w:rsid w:val="00780BD6"/>
    <w:rsid w:val="00781CAF"/>
    <w:rsid w:val="0078301F"/>
    <w:rsid w:val="00783606"/>
    <w:rsid w:val="00783F0E"/>
    <w:rsid w:val="00785028"/>
    <w:rsid w:val="00790355"/>
    <w:rsid w:val="007920F8"/>
    <w:rsid w:val="00792289"/>
    <w:rsid w:val="0079524B"/>
    <w:rsid w:val="00795876"/>
    <w:rsid w:val="0079594A"/>
    <w:rsid w:val="00795F2F"/>
    <w:rsid w:val="007A0B31"/>
    <w:rsid w:val="007A1182"/>
    <w:rsid w:val="007A23FC"/>
    <w:rsid w:val="007A2E46"/>
    <w:rsid w:val="007A69C8"/>
    <w:rsid w:val="007A7843"/>
    <w:rsid w:val="007A7CB9"/>
    <w:rsid w:val="007B0853"/>
    <w:rsid w:val="007B0E88"/>
    <w:rsid w:val="007B1BD5"/>
    <w:rsid w:val="007B1F9B"/>
    <w:rsid w:val="007C1683"/>
    <w:rsid w:val="007C2E95"/>
    <w:rsid w:val="007C631B"/>
    <w:rsid w:val="007C6C04"/>
    <w:rsid w:val="007C6DB7"/>
    <w:rsid w:val="007C7EE3"/>
    <w:rsid w:val="007D35FA"/>
    <w:rsid w:val="007D49B3"/>
    <w:rsid w:val="007D65F9"/>
    <w:rsid w:val="007D7598"/>
    <w:rsid w:val="007E06FC"/>
    <w:rsid w:val="007E0899"/>
    <w:rsid w:val="007F209B"/>
    <w:rsid w:val="007F4623"/>
    <w:rsid w:val="007F5CF8"/>
    <w:rsid w:val="00801B3A"/>
    <w:rsid w:val="00801C18"/>
    <w:rsid w:val="0080359E"/>
    <w:rsid w:val="008047BF"/>
    <w:rsid w:val="0080606D"/>
    <w:rsid w:val="00811D68"/>
    <w:rsid w:val="00814854"/>
    <w:rsid w:val="0081524A"/>
    <w:rsid w:val="00816C0F"/>
    <w:rsid w:val="00817DDF"/>
    <w:rsid w:val="00821191"/>
    <w:rsid w:val="008211C5"/>
    <w:rsid w:val="00821998"/>
    <w:rsid w:val="00823791"/>
    <w:rsid w:val="00825CD6"/>
    <w:rsid w:val="00826742"/>
    <w:rsid w:val="0082695A"/>
    <w:rsid w:val="008327A1"/>
    <w:rsid w:val="00833035"/>
    <w:rsid w:val="00835E37"/>
    <w:rsid w:val="00836CD9"/>
    <w:rsid w:val="00837883"/>
    <w:rsid w:val="0084287C"/>
    <w:rsid w:val="00842892"/>
    <w:rsid w:val="00843466"/>
    <w:rsid w:val="008438D0"/>
    <w:rsid w:val="00843D83"/>
    <w:rsid w:val="00845C2D"/>
    <w:rsid w:val="00852D99"/>
    <w:rsid w:val="00853071"/>
    <w:rsid w:val="008537B5"/>
    <w:rsid w:val="00855C06"/>
    <w:rsid w:val="00856BC9"/>
    <w:rsid w:val="008577B0"/>
    <w:rsid w:val="0086049F"/>
    <w:rsid w:val="008649CA"/>
    <w:rsid w:val="00865FEA"/>
    <w:rsid w:val="00866CE7"/>
    <w:rsid w:val="008672D4"/>
    <w:rsid w:val="00870880"/>
    <w:rsid w:val="00871885"/>
    <w:rsid w:val="00880534"/>
    <w:rsid w:val="00881177"/>
    <w:rsid w:val="00882B14"/>
    <w:rsid w:val="00882F48"/>
    <w:rsid w:val="00884B45"/>
    <w:rsid w:val="00886F12"/>
    <w:rsid w:val="0089116D"/>
    <w:rsid w:val="0089140D"/>
    <w:rsid w:val="00891753"/>
    <w:rsid w:val="00892F6F"/>
    <w:rsid w:val="0089483B"/>
    <w:rsid w:val="00895D2A"/>
    <w:rsid w:val="00896281"/>
    <w:rsid w:val="00897872"/>
    <w:rsid w:val="008A023B"/>
    <w:rsid w:val="008A10E1"/>
    <w:rsid w:val="008A17A8"/>
    <w:rsid w:val="008A2531"/>
    <w:rsid w:val="008A4086"/>
    <w:rsid w:val="008A43CE"/>
    <w:rsid w:val="008A75A3"/>
    <w:rsid w:val="008B3FB6"/>
    <w:rsid w:val="008B48FC"/>
    <w:rsid w:val="008B4EE9"/>
    <w:rsid w:val="008B56AD"/>
    <w:rsid w:val="008B63AE"/>
    <w:rsid w:val="008B71A8"/>
    <w:rsid w:val="008B75A4"/>
    <w:rsid w:val="008B79A4"/>
    <w:rsid w:val="008B7DD0"/>
    <w:rsid w:val="008C1A0B"/>
    <w:rsid w:val="008C2FAF"/>
    <w:rsid w:val="008C5CE8"/>
    <w:rsid w:val="008C6768"/>
    <w:rsid w:val="008D22C5"/>
    <w:rsid w:val="008D30FD"/>
    <w:rsid w:val="008D3C6C"/>
    <w:rsid w:val="008D53B6"/>
    <w:rsid w:val="008D548E"/>
    <w:rsid w:val="008D578C"/>
    <w:rsid w:val="008D5A50"/>
    <w:rsid w:val="008D7465"/>
    <w:rsid w:val="008E294F"/>
    <w:rsid w:val="008F01ED"/>
    <w:rsid w:val="008F027C"/>
    <w:rsid w:val="008F0A5C"/>
    <w:rsid w:val="008F1F02"/>
    <w:rsid w:val="008F693E"/>
    <w:rsid w:val="008F7293"/>
    <w:rsid w:val="009043D2"/>
    <w:rsid w:val="009101E3"/>
    <w:rsid w:val="009102AE"/>
    <w:rsid w:val="00911218"/>
    <w:rsid w:val="009121B6"/>
    <w:rsid w:val="009122C7"/>
    <w:rsid w:val="009177A7"/>
    <w:rsid w:val="009212FA"/>
    <w:rsid w:val="009214DD"/>
    <w:rsid w:val="00921752"/>
    <w:rsid w:val="00921D06"/>
    <w:rsid w:val="009229E5"/>
    <w:rsid w:val="00922B09"/>
    <w:rsid w:val="00923791"/>
    <w:rsid w:val="00923DC7"/>
    <w:rsid w:val="009252E1"/>
    <w:rsid w:val="00925C56"/>
    <w:rsid w:val="009305A4"/>
    <w:rsid w:val="00930B8C"/>
    <w:rsid w:val="00931833"/>
    <w:rsid w:val="00931D7E"/>
    <w:rsid w:val="00934309"/>
    <w:rsid w:val="0093689D"/>
    <w:rsid w:val="009407A7"/>
    <w:rsid w:val="00940B85"/>
    <w:rsid w:val="00940D78"/>
    <w:rsid w:val="009410EF"/>
    <w:rsid w:val="0094645B"/>
    <w:rsid w:val="009521D7"/>
    <w:rsid w:val="009534D9"/>
    <w:rsid w:val="0095366E"/>
    <w:rsid w:val="0096287E"/>
    <w:rsid w:val="00962B68"/>
    <w:rsid w:val="00962EA2"/>
    <w:rsid w:val="00962F75"/>
    <w:rsid w:val="00963864"/>
    <w:rsid w:val="00964C28"/>
    <w:rsid w:val="009671E5"/>
    <w:rsid w:val="0096765A"/>
    <w:rsid w:val="00967F42"/>
    <w:rsid w:val="00980B82"/>
    <w:rsid w:val="009818CF"/>
    <w:rsid w:val="009818DB"/>
    <w:rsid w:val="00982597"/>
    <w:rsid w:val="00984043"/>
    <w:rsid w:val="0098419C"/>
    <w:rsid w:val="0098549F"/>
    <w:rsid w:val="00986201"/>
    <w:rsid w:val="00986CD2"/>
    <w:rsid w:val="009875DA"/>
    <w:rsid w:val="00991533"/>
    <w:rsid w:val="0099163E"/>
    <w:rsid w:val="00992EE8"/>
    <w:rsid w:val="009946EB"/>
    <w:rsid w:val="00997BC6"/>
    <w:rsid w:val="009A0537"/>
    <w:rsid w:val="009A143D"/>
    <w:rsid w:val="009A1892"/>
    <w:rsid w:val="009A1A55"/>
    <w:rsid w:val="009A3044"/>
    <w:rsid w:val="009A35CA"/>
    <w:rsid w:val="009A4078"/>
    <w:rsid w:val="009A4237"/>
    <w:rsid w:val="009A4E72"/>
    <w:rsid w:val="009A7358"/>
    <w:rsid w:val="009B0665"/>
    <w:rsid w:val="009B5554"/>
    <w:rsid w:val="009B5FA3"/>
    <w:rsid w:val="009C071A"/>
    <w:rsid w:val="009C1C2F"/>
    <w:rsid w:val="009C2F61"/>
    <w:rsid w:val="009C3CC5"/>
    <w:rsid w:val="009C4522"/>
    <w:rsid w:val="009C6637"/>
    <w:rsid w:val="009C709B"/>
    <w:rsid w:val="009C76DC"/>
    <w:rsid w:val="009C7AA5"/>
    <w:rsid w:val="009D0A8E"/>
    <w:rsid w:val="009D0F5F"/>
    <w:rsid w:val="009D275D"/>
    <w:rsid w:val="009D4BC6"/>
    <w:rsid w:val="009D6319"/>
    <w:rsid w:val="009D7408"/>
    <w:rsid w:val="009E3AB7"/>
    <w:rsid w:val="009E496F"/>
    <w:rsid w:val="009E4CE0"/>
    <w:rsid w:val="009E5F19"/>
    <w:rsid w:val="009E67B3"/>
    <w:rsid w:val="009E6D70"/>
    <w:rsid w:val="009F035A"/>
    <w:rsid w:val="009F175D"/>
    <w:rsid w:val="009F1B71"/>
    <w:rsid w:val="009F1D1D"/>
    <w:rsid w:val="009F48E7"/>
    <w:rsid w:val="00A017B3"/>
    <w:rsid w:val="00A025C0"/>
    <w:rsid w:val="00A047D3"/>
    <w:rsid w:val="00A069C3"/>
    <w:rsid w:val="00A07C89"/>
    <w:rsid w:val="00A10829"/>
    <w:rsid w:val="00A124F2"/>
    <w:rsid w:val="00A13043"/>
    <w:rsid w:val="00A1335F"/>
    <w:rsid w:val="00A14DC0"/>
    <w:rsid w:val="00A16200"/>
    <w:rsid w:val="00A17525"/>
    <w:rsid w:val="00A1782B"/>
    <w:rsid w:val="00A17ACD"/>
    <w:rsid w:val="00A17FE4"/>
    <w:rsid w:val="00A30A21"/>
    <w:rsid w:val="00A31236"/>
    <w:rsid w:val="00A322DA"/>
    <w:rsid w:val="00A325C2"/>
    <w:rsid w:val="00A344AA"/>
    <w:rsid w:val="00A35D09"/>
    <w:rsid w:val="00A40603"/>
    <w:rsid w:val="00A453AF"/>
    <w:rsid w:val="00A46621"/>
    <w:rsid w:val="00A466B7"/>
    <w:rsid w:val="00A46C1E"/>
    <w:rsid w:val="00A473F0"/>
    <w:rsid w:val="00A477B9"/>
    <w:rsid w:val="00A50382"/>
    <w:rsid w:val="00A50C9B"/>
    <w:rsid w:val="00A511A7"/>
    <w:rsid w:val="00A5216F"/>
    <w:rsid w:val="00A52F23"/>
    <w:rsid w:val="00A54D1C"/>
    <w:rsid w:val="00A57247"/>
    <w:rsid w:val="00A57A2B"/>
    <w:rsid w:val="00A6068E"/>
    <w:rsid w:val="00A60959"/>
    <w:rsid w:val="00A6113B"/>
    <w:rsid w:val="00A63104"/>
    <w:rsid w:val="00A63314"/>
    <w:rsid w:val="00A63613"/>
    <w:rsid w:val="00A65D28"/>
    <w:rsid w:val="00A65E19"/>
    <w:rsid w:val="00A66E1C"/>
    <w:rsid w:val="00A7185B"/>
    <w:rsid w:val="00A7318E"/>
    <w:rsid w:val="00A76D40"/>
    <w:rsid w:val="00A81241"/>
    <w:rsid w:val="00A81E11"/>
    <w:rsid w:val="00A82063"/>
    <w:rsid w:val="00A903F0"/>
    <w:rsid w:val="00A90B8D"/>
    <w:rsid w:val="00A92CFA"/>
    <w:rsid w:val="00A9320F"/>
    <w:rsid w:val="00A942FB"/>
    <w:rsid w:val="00A9679D"/>
    <w:rsid w:val="00A96961"/>
    <w:rsid w:val="00A975E2"/>
    <w:rsid w:val="00A97900"/>
    <w:rsid w:val="00AA2869"/>
    <w:rsid w:val="00AA409D"/>
    <w:rsid w:val="00AA4D3B"/>
    <w:rsid w:val="00AA5082"/>
    <w:rsid w:val="00AA74B3"/>
    <w:rsid w:val="00AB0029"/>
    <w:rsid w:val="00AB05BB"/>
    <w:rsid w:val="00AB0DCB"/>
    <w:rsid w:val="00AB2432"/>
    <w:rsid w:val="00AB4C2B"/>
    <w:rsid w:val="00AB5A5C"/>
    <w:rsid w:val="00AB5A94"/>
    <w:rsid w:val="00AB5F91"/>
    <w:rsid w:val="00AC06E9"/>
    <w:rsid w:val="00AC11C4"/>
    <w:rsid w:val="00AC2036"/>
    <w:rsid w:val="00AC2042"/>
    <w:rsid w:val="00AC3B0C"/>
    <w:rsid w:val="00AC47C5"/>
    <w:rsid w:val="00AC539E"/>
    <w:rsid w:val="00AD2E25"/>
    <w:rsid w:val="00AD3033"/>
    <w:rsid w:val="00AD4400"/>
    <w:rsid w:val="00AD4B72"/>
    <w:rsid w:val="00AD5202"/>
    <w:rsid w:val="00AD6966"/>
    <w:rsid w:val="00AD6A98"/>
    <w:rsid w:val="00AD7E6F"/>
    <w:rsid w:val="00AE2E16"/>
    <w:rsid w:val="00AE5F25"/>
    <w:rsid w:val="00AE6F7D"/>
    <w:rsid w:val="00AF2050"/>
    <w:rsid w:val="00AF272B"/>
    <w:rsid w:val="00AF39B0"/>
    <w:rsid w:val="00AF5FCC"/>
    <w:rsid w:val="00AF64AB"/>
    <w:rsid w:val="00AF74D5"/>
    <w:rsid w:val="00B00EDE"/>
    <w:rsid w:val="00B01713"/>
    <w:rsid w:val="00B02841"/>
    <w:rsid w:val="00B0398E"/>
    <w:rsid w:val="00B06049"/>
    <w:rsid w:val="00B1041B"/>
    <w:rsid w:val="00B117D2"/>
    <w:rsid w:val="00B118DC"/>
    <w:rsid w:val="00B11B84"/>
    <w:rsid w:val="00B131D7"/>
    <w:rsid w:val="00B14685"/>
    <w:rsid w:val="00B14B04"/>
    <w:rsid w:val="00B21728"/>
    <w:rsid w:val="00B217C8"/>
    <w:rsid w:val="00B26177"/>
    <w:rsid w:val="00B31651"/>
    <w:rsid w:val="00B34910"/>
    <w:rsid w:val="00B35023"/>
    <w:rsid w:val="00B36A36"/>
    <w:rsid w:val="00B372E9"/>
    <w:rsid w:val="00B40739"/>
    <w:rsid w:val="00B43B2E"/>
    <w:rsid w:val="00B446C5"/>
    <w:rsid w:val="00B44736"/>
    <w:rsid w:val="00B51B64"/>
    <w:rsid w:val="00B55B21"/>
    <w:rsid w:val="00B5685B"/>
    <w:rsid w:val="00B57A9C"/>
    <w:rsid w:val="00B60BF1"/>
    <w:rsid w:val="00B63FA7"/>
    <w:rsid w:val="00B654CB"/>
    <w:rsid w:val="00B66FBD"/>
    <w:rsid w:val="00B71478"/>
    <w:rsid w:val="00B717D5"/>
    <w:rsid w:val="00B72144"/>
    <w:rsid w:val="00B72A8D"/>
    <w:rsid w:val="00B73862"/>
    <w:rsid w:val="00B76A57"/>
    <w:rsid w:val="00B807DC"/>
    <w:rsid w:val="00B808FF"/>
    <w:rsid w:val="00B80BF0"/>
    <w:rsid w:val="00B8135F"/>
    <w:rsid w:val="00B82974"/>
    <w:rsid w:val="00B83DC0"/>
    <w:rsid w:val="00B85C18"/>
    <w:rsid w:val="00B87C87"/>
    <w:rsid w:val="00B90002"/>
    <w:rsid w:val="00B90774"/>
    <w:rsid w:val="00B90B6D"/>
    <w:rsid w:val="00B912C2"/>
    <w:rsid w:val="00B92AA9"/>
    <w:rsid w:val="00B93D6D"/>
    <w:rsid w:val="00B947F0"/>
    <w:rsid w:val="00B94E46"/>
    <w:rsid w:val="00B973D2"/>
    <w:rsid w:val="00BA168D"/>
    <w:rsid w:val="00BA17FF"/>
    <w:rsid w:val="00BA1FEA"/>
    <w:rsid w:val="00BA21B4"/>
    <w:rsid w:val="00BA697C"/>
    <w:rsid w:val="00BB2136"/>
    <w:rsid w:val="00BB42AB"/>
    <w:rsid w:val="00BB5814"/>
    <w:rsid w:val="00BB77D0"/>
    <w:rsid w:val="00BC3864"/>
    <w:rsid w:val="00BC413E"/>
    <w:rsid w:val="00BC418F"/>
    <w:rsid w:val="00BC434A"/>
    <w:rsid w:val="00BC5F32"/>
    <w:rsid w:val="00BC64E3"/>
    <w:rsid w:val="00BC7B26"/>
    <w:rsid w:val="00BD0263"/>
    <w:rsid w:val="00BD48FA"/>
    <w:rsid w:val="00BD56B4"/>
    <w:rsid w:val="00BD648A"/>
    <w:rsid w:val="00BD7823"/>
    <w:rsid w:val="00BE0DAD"/>
    <w:rsid w:val="00BE1DD6"/>
    <w:rsid w:val="00BE33D5"/>
    <w:rsid w:val="00BE443B"/>
    <w:rsid w:val="00BF06F8"/>
    <w:rsid w:val="00BF1117"/>
    <w:rsid w:val="00BF1AEC"/>
    <w:rsid w:val="00BF5904"/>
    <w:rsid w:val="00BF6D8A"/>
    <w:rsid w:val="00C02CD7"/>
    <w:rsid w:val="00C05726"/>
    <w:rsid w:val="00C071A4"/>
    <w:rsid w:val="00C104B3"/>
    <w:rsid w:val="00C10954"/>
    <w:rsid w:val="00C12CB2"/>
    <w:rsid w:val="00C1387D"/>
    <w:rsid w:val="00C151E2"/>
    <w:rsid w:val="00C15D79"/>
    <w:rsid w:val="00C16636"/>
    <w:rsid w:val="00C20750"/>
    <w:rsid w:val="00C21B33"/>
    <w:rsid w:val="00C230F8"/>
    <w:rsid w:val="00C23F38"/>
    <w:rsid w:val="00C258D1"/>
    <w:rsid w:val="00C25D5F"/>
    <w:rsid w:val="00C26C7B"/>
    <w:rsid w:val="00C27195"/>
    <w:rsid w:val="00C302E9"/>
    <w:rsid w:val="00C305EF"/>
    <w:rsid w:val="00C31E80"/>
    <w:rsid w:val="00C324CE"/>
    <w:rsid w:val="00C32A36"/>
    <w:rsid w:val="00C32D3F"/>
    <w:rsid w:val="00C33FD4"/>
    <w:rsid w:val="00C368B4"/>
    <w:rsid w:val="00C375DA"/>
    <w:rsid w:val="00C407B7"/>
    <w:rsid w:val="00C413AB"/>
    <w:rsid w:val="00C41AA4"/>
    <w:rsid w:val="00C42098"/>
    <w:rsid w:val="00C42C6A"/>
    <w:rsid w:val="00C42D5A"/>
    <w:rsid w:val="00C47D83"/>
    <w:rsid w:val="00C50EAE"/>
    <w:rsid w:val="00C52438"/>
    <w:rsid w:val="00C532C4"/>
    <w:rsid w:val="00C54296"/>
    <w:rsid w:val="00C552C3"/>
    <w:rsid w:val="00C56EDB"/>
    <w:rsid w:val="00C5754A"/>
    <w:rsid w:val="00C6000F"/>
    <w:rsid w:val="00C60E52"/>
    <w:rsid w:val="00C60E5A"/>
    <w:rsid w:val="00C63DE6"/>
    <w:rsid w:val="00C647B5"/>
    <w:rsid w:val="00C669D2"/>
    <w:rsid w:val="00C70E62"/>
    <w:rsid w:val="00C710AB"/>
    <w:rsid w:val="00C7353A"/>
    <w:rsid w:val="00C735EC"/>
    <w:rsid w:val="00C738FA"/>
    <w:rsid w:val="00C75F16"/>
    <w:rsid w:val="00C8030A"/>
    <w:rsid w:val="00C80BE4"/>
    <w:rsid w:val="00C80FEE"/>
    <w:rsid w:val="00C82307"/>
    <w:rsid w:val="00C84282"/>
    <w:rsid w:val="00C85404"/>
    <w:rsid w:val="00C854A7"/>
    <w:rsid w:val="00C90785"/>
    <w:rsid w:val="00C90AD6"/>
    <w:rsid w:val="00C9151F"/>
    <w:rsid w:val="00C9300F"/>
    <w:rsid w:val="00C93781"/>
    <w:rsid w:val="00C94C7B"/>
    <w:rsid w:val="00C94D21"/>
    <w:rsid w:val="00C963B5"/>
    <w:rsid w:val="00C97A85"/>
    <w:rsid w:val="00CA1DCF"/>
    <w:rsid w:val="00CA2622"/>
    <w:rsid w:val="00CA26D2"/>
    <w:rsid w:val="00CA3ABA"/>
    <w:rsid w:val="00CA4476"/>
    <w:rsid w:val="00CA5EDA"/>
    <w:rsid w:val="00CA75AB"/>
    <w:rsid w:val="00CB1DDA"/>
    <w:rsid w:val="00CB43D3"/>
    <w:rsid w:val="00CB4FC7"/>
    <w:rsid w:val="00CB68AB"/>
    <w:rsid w:val="00CB75D6"/>
    <w:rsid w:val="00CC1ECA"/>
    <w:rsid w:val="00CC237F"/>
    <w:rsid w:val="00CC4489"/>
    <w:rsid w:val="00CC499E"/>
    <w:rsid w:val="00CC51DC"/>
    <w:rsid w:val="00CC5DA2"/>
    <w:rsid w:val="00CD039F"/>
    <w:rsid w:val="00CD0A1E"/>
    <w:rsid w:val="00CD0B77"/>
    <w:rsid w:val="00CD26AC"/>
    <w:rsid w:val="00CD43B0"/>
    <w:rsid w:val="00CD5E3D"/>
    <w:rsid w:val="00CD6CF7"/>
    <w:rsid w:val="00CD7175"/>
    <w:rsid w:val="00CE53B0"/>
    <w:rsid w:val="00CE6C24"/>
    <w:rsid w:val="00CE7DE9"/>
    <w:rsid w:val="00CF1783"/>
    <w:rsid w:val="00CF73C0"/>
    <w:rsid w:val="00CF7A94"/>
    <w:rsid w:val="00D0222C"/>
    <w:rsid w:val="00D02F10"/>
    <w:rsid w:val="00D03540"/>
    <w:rsid w:val="00D0762D"/>
    <w:rsid w:val="00D07DED"/>
    <w:rsid w:val="00D11433"/>
    <w:rsid w:val="00D11F10"/>
    <w:rsid w:val="00D13345"/>
    <w:rsid w:val="00D17B7D"/>
    <w:rsid w:val="00D212D5"/>
    <w:rsid w:val="00D21D79"/>
    <w:rsid w:val="00D272CC"/>
    <w:rsid w:val="00D303B3"/>
    <w:rsid w:val="00D3100D"/>
    <w:rsid w:val="00D37CB3"/>
    <w:rsid w:val="00D404BA"/>
    <w:rsid w:val="00D4131C"/>
    <w:rsid w:val="00D41565"/>
    <w:rsid w:val="00D41A36"/>
    <w:rsid w:val="00D42D1F"/>
    <w:rsid w:val="00D4333A"/>
    <w:rsid w:val="00D43356"/>
    <w:rsid w:val="00D447F4"/>
    <w:rsid w:val="00D44D47"/>
    <w:rsid w:val="00D45304"/>
    <w:rsid w:val="00D45BF8"/>
    <w:rsid w:val="00D465E6"/>
    <w:rsid w:val="00D47139"/>
    <w:rsid w:val="00D50814"/>
    <w:rsid w:val="00D51959"/>
    <w:rsid w:val="00D54FD3"/>
    <w:rsid w:val="00D55421"/>
    <w:rsid w:val="00D5580B"/>
    <w:rsid w:val="00D56061"/>
    <w:rsid w:val="00D57416"/>
    <w:rsid w:val="00D6151E"/>
    <w:rsid w:val="00D615FF"/>
    <w:rsid w:val="00D6224C"/>
    <w:rsid w:val="00D62D6C"/>
    <w:rsid w:val="00D62D74"/>
    <w:rsid w:val="00D63F78"/>
    <w:rsid w:val="00D643ED"/>
    <w:rsid w:val="00D64465"/>
    <w:rsid w:val="00D6591E"/>
    <w:rsid w:val="00D70707"/>
    <w:rsid w:val="00D71334"/>
    <w:rsid w:val="00D71733"/>
    <w:rsid w:val="00D729A0"/>
    <w:rsid w:val="00D747FC"/>
    <w:rsid w:val="00D74EDD"/>
    <w:rsid w:val="00D76524"/>
    <w:rsid w:val="00D7693C"/>
    <w:rsid w:val="00D77555"/>
    <w:rsid w:val="00D8435A"/>
    <w:rsid w:val="00D84F92"/>
    <w:rsid w:val="00D864E1"/>
    <w:rsid w:val="00D870C6"/>
    <w:rsid w:val="00D87931"/>
    <w:rsid w:val="00D90A7A"/>
    <w:rsid w:val="00D915E1"/>
    <w:rsid w:val="00D934CB"/>
    <w:rsid w:val="00D93FFF"/>
    <w:rsid w:val="00D9416D"/>
    <w:rsid w:val="00D94E2B"/>
    <w:rsid w:val="00D976C5"/>
    <w:rsid w:val="00DA275F"/>
    <w:rsid w:val="00DA2889"/>
    <w:rsid w:val="00DA7B13"/>
    <w:rsid w:val="00DA7D40"/>
    <w:rsid w:val="00DC050A"/>
    <w:rsid w:val="00DC4AF0"/>
    <w:rsid w:val="00DC5272"/>
    <w:rsid w:val="00DC6AB6"/>
    <w:rsid w:val="00DC7217"/>
    <w:rsid w:val="00DC75AD"/>
    <w:rsid w:val="00DC7EB9"/>
    <w:rsid w:val="00DD01F4"/>
    <w:rsid w:val="00DD3429"/>
    <w:rsid w:val="00DD354F"/>
    <w:rsid w:val="00DD4FB8"/>
    <w:rsid w:val="00DD6B96"/>
    <w:rsid w:val="00DD6FFA"/>
    <w:rsid w:val="00DD7326"/>
    <w:rsid w:val="00DE2DBB"/>
    <w:rsid w:val="00DE6FD3"/>
    <w:rsid w:val="00DF1CF0"/>
    <w:rsid w:val="00DF42E8"/>
    <w:rsid w:val="00DF448E"/>
    <w:rsid w:val="00DF6C08"/>
    <w:rsid w:val="00E001F7"/>
    <w:rsid w:val="00E00F84"/>
    <w:rsid w:val="00E0499A"/>
    <w:rsid w:val="00E04DB9"/>
    <w:rsid w:val="00E06E2B"/>
    <w:rsid w:val="00E10509"/>
    <w:rsid w:val="00E10E38"/>
    <w:rsid w:val="00E10EA0"/>
    <w:rsid w:val="00E110FD"/>
    <w:rsid w:val="00E1321D"/>
    <w:rsid w:val="00E14A51"/>
    <w:rsid w:val="00E22322"/>
    <w:rsid w:val="00E22D54"/>
    <w:rsid w:val="00E242E0"/>
    <w:rsid w:val="00E243EB"/>
    <w:rsid w:val="00E24509"/>
    <w:rsid w:val="00E24C5F"/>
    <w:rsid w:val="00E2552A"/>
    <w:rsid w:val="00E26D8F"/>
    <w:rsid w:val="00E277AB"/>
    <w:rsid w:val="00E35EA4"/>
    <w:rsid w:val="00E41809"/>
    <w:rsid w:val="00E42031"/>
    <w:rsid w:val="00E43E23"/>
    <w:rsid w:val="00E51112"/>
    <w:rsid w:val="00E51214"/>
    <w:rsid w:val="00E52F5F"/>
    <w:rsid w:val="00E537D1"/>
    <w:rsid w:val="00E53DF9"/>
    <w:rsid w:val="00E54378"/>
    <w:rsid w:val="00E55D46"/>
    <w:rsid w:val="00E56468"/>
    <w:rsid w:val="00E575EE"/>
    <w:rsid w:val="00E5781F"/>
    <w:rsid w:val="00E60FB1"/>
    <w:rsid w:val="00E65498"/>
    <w:rsid w:val="00E65EEF"/>
    <w:rsid w:val="00E6675B"/>
    <w:rsid w:val="00E70910"/>
    <w:rsid w:val="00E72447"/>
    <w:rsid w:val="00E72542"/>
    <w:rsid w:val="00E72FDC"/>
    <w:rsid w:val="00E7361E"/>
    <w:rsid w:val="00E75448"/>
    <w:rsid w:val="00E75466"/>
    <w:rsid w:val="00E7570B"/>
    <w:rsid w:val="00E77131"/>
    <w:rsid w:val="00E800FA"/>
    <w:rsid w:val="00E809AD"/>
    <w:rsid w:val="00E82D7A"/>
    <w:rsid w:val="00E83F74"/>
    <w:rsid w:val="00E84700"/>
    <w:rsid w:val="00E85D62"/>
    <w:rsid w:val="00E952D6"/>
    <w:rsid w:val="00E96F50"/>
    <w:rsid w:val="00E97E26"/>
    <w:rsid w:val="00EA1198"/>
    <w:rsid w:val="00EA1866"/>
    <w:rsid w:val="00EA1B44"/>
    <w:rsid w:val="00EA281D"/>
    <w:rsid w:val="00EA361A"/>
    <w:rsid w:val="00EA3F0F"/>
    <w:rsid w:val="00EA5C94"/>
    <w:rsid w:val="00EA6402"/>
    <w:rsid w:val="00EA6671"/>
    <w:rsid w:val="00EA6AA3"/>
    <w:rsid w:val="00EB1C91"/>
    <w:rsid w:val="00EB1FFB"/>
    <w:rsid w:val="00EB3598"/>
    <w:rsid w:val="00EB3E3E"/>
    <w:rsid w:val="00EB60DD"/>
    <w:rsid w:val="00EB79E5"/>
    <w:rsid w:val="00EB7C87"/>
    <w:rsid w:val="00EC1213"/>
    <w:rsid w:val="00EC20C2"/>
    <w:rsid w:val="00EC24EA"/>
    <w:rsid w:val="00EC371B"/>
    <w:rsid w:val="00EC5D3C"/>
    <w:rsid w:val="00EC60CB"/>
    <w:rsid w:val="00ED066E"/>
    <w:rsid w:val="00ED24A2"/>
    <w:rsid w:val="00ED3146"/>
    <w:rsid w:val="00ED43C6"/>
    <w:rsid w:val="00ED62FD"/>
    <w:rsid w:val="00ED6E2D"/>
    <w:rsid w:val="00ED74C6"/>
    <w:rsid w:val="00EE26BC"/>
    <w:rsid w:val="00EE69F4"/>
    <w:rsid w:val="00EE6EFC"/>
    <w:rsid w:val="00EE7600"/>
    <w:rsid w:val="00EE7F0F"/>
    <w:rsid w:val="00EF12AB"/>
    <w:rsid w:val="00EF2435"/>
    <w:rsid w:val="00EF247B"/>
    <w:rsid w:val="00EF33B6"/>
    <w:rsid w:val="00EF386C"/>
    <w:rsid w:val="00EF412D"/>
    <w:rsid w:val="00EF459C"/>
    <w:rsid w:val="00EF54E5"/>
    <w:rsid w:val="00EF5D8F"/>
    <w:rsid w:val="00EF6885"/>
    <w:rsid w:val="00EF75AB"/>
    <w:rsid w:val="00F02853"/>
    <w:rsid w:val="00F04D74"/>
    <w:rsid w:val="00F06AB3"/>
    <w:rsid w:val="00F0793F"/>
    <w:rsid w:val="00F114BA"/>
    <w:rsid w:val="00F115E2"/>
    <w:rsid w:val="00F11AA7"/>
    <w:rsid w:val="00F13DAA"/>
    <w:rsid w:val="00F1491A"/>
    <w:rsid w:val="00F14C8B"/>
    <w:rsid w:val="00F16C29"/>
    <w:rsid w:val="00F17331"/>
    <w:rsid w:val="00F17F0F"/>
    <w:rsid w:val="00F2095D"/>
    <w:rsid w:val="00F21CB7"/>
    <w:rsid w:val="00F24332"/>
    <w:rsid w:val="00F24D7B"/>
    <w:rsid w:val="00F24ECD"/>
    <w:rsid w:val="00F260E0"/>
    <w:rsid w:val="00F263D8"/>
    <w:rsid w:val="00F324A3"/>
    <w:rsid w:val="00F32665"/>
    <w:rsid w:val="00F35AD3"/>
    <w:rsid w:val="00F361F1"/>
    <w:rsid w:val="00F413B7"/>
    <w:rsid w:val="00F437A0"/>
    <w:rsid w:val="00F45B81"/>
    <w:rsid w:val="00F46D78"/>
    <w:rsid w:val="00F47A1D"/>
    <w:rsid w:val="00F517E4"/>
    <w:rsid w:val="00F5207E"/>
    <w:rsid w:val="00F52941"/>
    <w:rsid w:val="00F52F00"/>
    <w:rsid w:val="00F53F00"/>
    <w:rsid w:val="00F54524"/>
    <w:rsid w:val="00F56D5D"/>
    <w:rsid w:val="00F62B2E"/>
    <w:rsid w:val="00F64B73"/>
    <w:rsid w:val="00F65ED8"/>
    <w:rsid w:val="00F702F3"/>
    <w:rsid w:val="00F71644"/>
    <w:rsid w:val="00F71F6A"/>
    <w:rsid w:val="00F73987"/>
    <w:rsid w:val="00F7633D"/>
    <w:rsid w:val="00F764DC"/>
    <w:rsid w:val="00F77468"/>
    <w:rsid w:val="00F82D90"/>
    <w:rsid w:val="00F82E18"/>
    <w:rsid w:val="00F91355"/>
    <w:rsid w:val="00F91D8F"/>
    <w:rsid w:val="00F91FA4"/>
    <w:rsid w:val="00F947DE"/>
    <w:rsid w:val="00F94C1F"/>
    <w:rsid w:val="00F95440"/>
    <w:rsid w:val="00F96A33"/>
    <w:rsid w:val="00F97653"/>
    <w:rsid w:val="00FA27D1"/>
    <w:rsid w:val="00FA293E"/>
    <w:rsid w:val="00FA4EC2"/>
    <w:rsid w:val="00FA78B8"/>
    <w:rsid w:val="00FB087E"/>
    <w:rsid w:val="00FB191E"/>
    <w:rsid w:val="00FB1A57"/>
    <w:rsid w:val="00FB4F20"/>
    <w:rsid w:val="00FB51EE"/>
    <w:rsid w:val="00FB5750"/>
    <w:rsid w:val="00FC0E92"/>
    <w:rsid w:val="00FC1A82"/>
    <w:rsid w:val="00FC25EA"/>
    <w:rsid w:val="00FC27B3"/>
    <w:rsid w:val="00FC5F7E"/>
    <w:rsid w:val="00FC63AC"/>
    <w:rsid w:val="00FC650F"/>
    <w:rsid w:val="00FC6C36"/>
    <w:rsid w:val="00FC7ADB"/>
    <w:rsid w:val="00FD0B1B"/>
    <w:rsid w:val="00FD1FA0"/>
    <w:rsid w:val="00FD3DA1"/>
    <w:rsid w:val="00FD57B8"/>
    <w:rsid w:val="00FD5C41"/>
    <w:rsid w:val="00FE1702"/>
    <w:rsid w:val="00FE1D84"/>
    <w:rsid w:val="00FE3721"/>
    <w:rsid w:val="00FE421D"/>
    <w:rsid w:val="00FE5FB4"/>
    <w:rsid w:val="00FF10DA"/>
    <w:rsid w:val="00FF15AB"/>
    <w:rsid w:val="00FF167B"/>
    <w:rsid w:val="00FF2F08"/>
    <w:rsid w:val="00FF7303"/>
    <w:rsid w:val="00FF783E"/>
    <w:rsid w:val="00FF7A9E"/>
    <w:rsid w:val="01562BEA"/>
    <w:rsid w:val="01D46411"/>
    <w:rsid w:val="01FB23CB"/>
    <w:rsid w:val="020A237F"/>
    <w:rsid w:val="022A5074"/>
    <w:rsid w:val="023007E0"/>
    <w:rsid w:val="02A35449"/>
    <w:rsid w:val="02A847EC"/>
    <w:rsid w:val="02BC0862"/>
    <w:rsid w:val="02FE5752"/>
    <w:rsid w:val="030A63D6"/>
    <w:rsid w:val="031820D1"/>
    <w:rsid w:val="033C1CA5"/>
    <w:rsid w:val="03893895"/>
    <w:rsid w:val="03970EF3"/>
    <w:rsid w:val="03BC1F40"/>
    <w:rsid w:val="03D3037E"/>
    <w:rsid w:val="04664A43"/>
    <w:rsid w:val="047021E4"/>
    <w:rsid w:val="04716658"/>
    <w:rsid w:val="0485141B"/>
    <w:rsid w:val="04DF09B4"/>
    <w:rsid w:val="051F50DC"/>
    <w:rsid w:val="053C11A3"/>
    <w:rsid w:val="05A32081"/>
    <w:rsid w:val="05E00AE0"/>
    <w:rsid w:val="061B0B1F"/>
    <w:rsid w:val="0635503F"/>
    <w:rsid w:val="064D5826"/>
    <w:rsid w:val="066C2BF9"/>
    <w:rsid w:val="06C529DF"/>
    <w:rsid w:val="070266DF"/>
    <w:rsid w:val="07051087"/>
    <w:rsid w:val="07366823"/>
    <w:rsid w:val="07684137"/>
    <w:rsid w:val="077240F6"/>
    <w:rsid w:val="07BA4F8F"/>
    <w:rsid w:val="07C9186A"/>
    <w:rsid w:val="07F2070C"/>
    <w:rsid w:val="086C6364"/>
    <w:rsid w:val="08874345"/>
    <w:rsid w:val="09012E66"/>
    <w:rsid w:val="09207FD2"/>
    <w:rsid w:val="0924080E"/>
    <w:rsid w:val="09317E9F"/>
    <w:rsid w:val="0A3151B5"/>
    <w:rsid w:val="0AB37290"/>
    <w:rsid w:val="0ABA6B1D"/>
    <w:rsid w:val="0AC178E3"/>
    <w:rsid w:val="0AED0D60"/>
    <w:rsid w:val="0B275D43"/>
    <w:rsid w:val="0B3C1DF8"/>
    <w:rsid w:val="0B7D16D4"/>
    <w:rsid w:val="0B956B4D"/>
    <w:rsid w:val="0BB75DCD"/>
    <w:rsid w:val="0BC042FB"/>
    <w:rsid w:val="0BCA6135"/>
    <w:rsid w:val="0BCE0CA2"/>
    <w:rsid w:val="0C1235C6"/>
    <w:rsid w:val="0CA14C1A"/>
    <w:rsid w:val="0CF74D52"/>
    <w:rsid w:val="0D033C58"/>
    <w:rsid w:val="0D0B72CC"/>
    <w:rsid w:val="0D175141"/>
    <w:rsid w:val="0D2345A2"/>
    <w:rsid w:val="0D4C6DC3"/>
    <w:rsid w:val="0D7205AA"/>
    <w:rsid w:val="0D762F71"/>
    <w:rsid w:val="0DA92B74"/>
    <w:rsid w:val="0DFA4C42"/>
    <w:rsid w:val="0E713238"/>
    <w:rsid w:val="0E7C14BB"/>
    <w:rsid w:val="0E7E66A0"/>
    <w:rsid w:val="0E8A7D2D"/>
    <w:rsid w:val="0EAC3C9F"/>
    <w:rsid w:val="0EFA0219"/>
    <w:rsid w:val="0F013815"/>
    <w:rsid w:val="0F732787"/>
    <w:rsid w:val="0F92356B"/>
    <w:rsid w:val="101203EA"/>
    <w:rsid w:val="10773563"/>
    <w:rsid w:val="108248AB"/>
    <w:rsid w:val="10834A9F"/>
    <w:rsid w:val="10AD2869"/>
    <w:rsid w:val="10C94C37"/>
    <w:rsid w:val="11173BF1"/>
    <w:rsid w:val="111E123E"/>
    <w:rsid w:val="11723CE3"/>
    <w:rsid w:val="11D132BC"/>
    <w:rsid w:val="12540AB8"/>
    <w:rsid w:val="12841571"/>
    <w:rsid w:val="128E407F"/>
    <w:rsid w:val="129C2D3B"/>
    <w:rsid w:val="12A95BB4"/>
    <w:rsid w:val="12BA2848"/>
    <w:rsid w:val="12C53441"/>
    <w:rsid w:val="13191A65"/>
    <w:rsid w:val="131C44D1"/>
    <w:rsid w:val="136020E4"/>
    <w:rsid w:val="1378617B"/>
    <w:rsid w:val="13977EB1"/>
    <w:rsid w:val="1399371F"/>
    <w:rsid w:val="13BA0471"/>
    <w:rsid w:val="141D2833"/>
    <w:rsid w:val="14625E97"/>
    <w:rsid w:val="14692243"/>
    <w:rsid w:val="14A7705B"/>
    <w:rsid w:val="14B50163"/>
    <w:rsid w:val="14DB7089"/>
    <w:rsid w:val="14E013D0"/>
    <w:rsid w:val="14F825DE"/>
    <w:rsid w:val="14FA264E"/>
    <w:rsid w:val="153F2C69"/>
    <w:rsid w:val="15535564"/>
    <w:rsid w:val="15966C94"/>
    <w:rsid w:val="15B04248"/>
    <w:rsid w:val="15BB7929"/>
    <w:rsid w:val="15D86A00"/>
    <w:rsid w:val="15F54D85"/>
    <w:rsid w:val="16224376"/>
    <w:rsid w:val="163D432F"/>
    <w:rsid w:val="17367AAA"/>
    <w:rsid w:val="179A37C7"/>
    <w:rsid w:val="17AD7B02"/>
    <w:rsid w:val="17EF3187"/>
    <w:rsid w:val="180E411C"/>
    <w:rsid w:val="183D6854"/>
    <w:rsid w:val="1840204A"/>
    <w:rsid w:val="18CB193B"/>
    <w:rsid w:val="18CF2FBE"/>
    <w:rsid w:val="192B4E5D"/>
    <w:rsid w:val="19A34320"/>
    <w:rsid w:val="1A115E4F"/>
    <w:rsid w:val="1A1A7C95"/>
    <w:rsid w:val="1A426C0A"/>
    <w:rsid w:val="1A455270"/>
    <w:rsid w:val="1A97654C"/>
    <w:rsid w:val="1AA87DE1"/>
    <w:rsid w:val="1AC8397F"/>
    <w:rsid w:val="1AD64298"/>
    <w:rsid w:val="1AE730F4"/>
    <w:rsid w:val="1AF733C7"/>
    <w:rsid w:val="1BE533F1"/>
    <w:rsid w:val="1C1A57D8"/>
    <w:rsid w:val="1C7916C9"/>
    <w:rsid w:val="1CAB1C7D"/>
    <w:rsid w:val="1CE26187"/>
    <w:rsid w:val="1DC470D5"/>
    <w:rsid w:val="1DEE7B12"/>
    <w:rsid w:val="1E454683"/>
    <w:rsid w:val="1EC4380A"/>
    <w:rsid w:val="1ECB5FA0"/>
    <w:rsid w:val="1EED7F8D"/>
    <w:rsid w:val="1EF46E53"/>
    <w:rsid w:val="1F1B2DBA"/>
    <w:rsid w:val="1F34448C"/>
    <w:rsid w:val="1F5E15BF"/>
    <w:rsid w:val="1F63617A"/>
    <w:rsid w:val="1FF07358"/>
    <w:rsid w:val="200A313B"/>
    <w:rsid w:val="204D719F"/>
    <w:rsid w:val="20D40353"/>
    <w:rsid w:val="20D924B5"/>
    <w:rsid w:val="210F3D49"/>
    <w:rsid w:val="21150DB0"/>
    <w:rsid w:val="21267873"/>
    <w:rsid w:val="213F2A85"/>
    <w:rsid w:val="21502D2D"/>
    <w:rsid w:val="21C734F7"/>
    <w:rsid w:val="2214487D"/>
    <w:rsid w:val="22564AB3"/>
    <w:rsid w:val="23322CA2"/>
    <w:rsid w:val="23625E19"/>
    <w:rsid w:val="23D92851"/>
    <w:rsid w:val="240750AB"/>
    <w:rsid w:val="245B7808"/>
    <w:rsid w:val="25740B0E"/>
    <w:rsid w:val="270B279E"/>
    <w:rsid w:val="271101EB"/>
    <w:rsid w:val="27240C2B"/>
    <w:rsid w:val="27824C80"/>
    <w:rsid w:val="27A25C76"/>
    <w:rsid w:val="280D5DD0"/>
    <w:rsid w:val="280E239D"/>
    <w:rsid w:val="28373FB3"/>
    <w:rsid w:val="284147EF"/>
    <w:rsid w:val="289121C5"/>
    <w:rsid w:val="28995313"/>
    <w:rsid w:val="28B1694E"/>
    <w:rsid w:val="28B63A6A"/>
    <w:rsid w:val="28B85173"/>
    <w:rsid w:val="292B0388"/>
    <w:rsid w:val="293D5638"/>
    <w:rsid w:val="29537363"/>
    <w:rsid w:val="29A82311"/>
    <w:rsid w:val="29C12C24"/>
    <w:rsid w:val="29C4778B"/>
    <w:rsid w:val="29E42B2F"/>
    <w:rsid w:val="29FE11CB"/>
    <w:rsid w:val="2A0846BC"/>
    <w:rsid w:val="2A7C17FA"/>
    <w:rsid w:val="2AA44BAC"/>
    <w:rsid w:val="2AD073CD"/>
    <w:rsid w:val="2AEF7DCD"/>
    <w:rsid w:val="2B1D00E6"/>
    <w:rsid w:val="2B8221D3"/>
    <w:rsid w:val="2C426031"/>
    <w:rsid w:val="2C5B48BC"/>
    <w:rsid w:val="2C7035B6"/>
    <w:rsid w:val="2C830D2F"/>
    <w:rsid w:val="2C9F363B"/>
    <w:rsid w:val="2CD825A0"/>
    <w:rsid w:val="2CEF25E0"/>
    <w:rsid w:val="2CF27C51"/>
    <w:rsid w:val="2CF80A8A"/>
    <w:rsid w:val="2D006A59"/>
    <w:rsid w:val="2D5E6E75"/>
    <w:rsid w:val="2D67736F"/>
    <w:rsid w:val="2D785A1B"/>
    <w:rsid w:val="2E4F56AD"/>
    <w:rsid w:val="2E547C3E"/>
    <w:rsid w:val="2E55118A"/>
    <w:rsid w:val="2E620312"/>
    <w:rsid w:val="2E77497C"/>
    <w:rsid w:val="2EA6279A"/>
    <w:rsid w:val="2EAC1912"/>
    <w:rsid w:val="2EBF71D3"/>
    <w:rsid w:val="2ED07419"/>
    <w:rsid w:val="2EE47912"/>
    <w:rsid w:val="2F1D15BB"/>
    <w:rsid w:val="2F394943"/>
    <w:rsid w:val="2F6E12E0"/>
    <w:rsid w:val="2FCE3E0E"/>
    <w:rsid w:val="303A74F4"/>
    <w:rsid w:val="303E5D76"/>
    <w:rsid w:val="31215817"/>
    <w:rsid w:val="313708CB"/>
    <w:rsid w:val="320F7DFB"/>
    <w:rsid w:val="32872602"/>
    <w:rsid w:val="32D03751"/>
    <w:rsid w:val="32D341A8"/>
    <w:rsid w:val="32F920F5"/>
    <w:rsid w:val="32F97EAA"/>
    <w:rsid w:val="333C56AA"/>
    <w:rsid w:val="34196405"/>
    <w:rsid w:val="342E7287"/>
    <w:rsid w:val="34455E22"/>
    <w:rsid w:val="34561261"/>
    <w:rsid w:val="34B60B34"/>
    <w:rsid w:val="34BE6C0D"/>
    <w:rsid w:val="34FA5CDD"/>
    <w:rsid w:val="35AF68E9"/>
    <w:rsid w:val="35E74B4E"/>
    <w:rsid w:val="360E29E7"/>
    <w:rsid w:val="36A46DB4"/>
    <w:rsid w:val="36A94029"/>
    <w:rsid w:val="36B17508"/>
    <w:rsid w:val="36DC7163"/>
    <w:rsid w:val="36E640E9"/>
    <w:rsid w:val="37447061"/>
    <w:rsid w:val="37A67659"/>
    <w:rsid w:val="37F47C1F"/>
    <w:rsid w:val="385877B6"/>
    <w:rsid w:val="38CC54BF"/>
    <w:rsid w:val="38F55FE9"/>
    <w:rsid w:val="394045E4"/>
    <w:rsid w:val="396B4815"/>
    <w:rsid w:val="399F1A3E"/>
    <w:rsid w:val="3A6A58A3"/>
    <w:rsid w:val="3A8A0A41"/>
    <w:rsid w:val="3ADC6354"/>
    <w:rsid w:val="3AE6667B"/>
    <w:rsid w:val="3B5F4174"/>
    <w:rsid w:val="3B841856"/>
    <w:rsid w:val="3BED7F79"/>
    <w:rsid w:val="3C317AD7"/>
    <w:rsid w:val="3C9273E9"/>
    <w:rsid w:val="3CB5213E"/>
    <w:rsid w:val="3CC37BE1"/>
    <w:rsid w:val="3D2D3AEA"/>
    <w:rsid w:val="3D725A7D"/>
    <w:rsid w:val="3D8C2379"/>
    <w:rsid w:val="3DAE6374"/>
    <w:rsid w:val="3E0A2E3C"/>
    <w:rsid w:val="3E2242D8"/>
    <w:rsid w:val="3E232486"/>
    <w:rsid w:val="3E6153A4"/>
    <w:rsid w:val="3E8C70C4"/>
    <w:rsid w:val="3EC76B3A"/>
    <w:rsid w:val="3F036A4F"/>
    <w:rsid w:val="3F735213"/>
    <w:rsid w:val="3F9B766B"/>
    <w:rsid w:val="400A03A0"/>
    <w:rsid w:val="40390DE4"/>
    <w:rsid w:val="407E3330"/>
    <w:rsid w:val="40DA44B8"/>
    <w:rsid w:val="410D07CD"/>
    <w:rsid w:val="415F701F"/>
    <w:rsid w:val="419476F7"/>
    <w:rsid w:val="41955151"/>
    <w:rsid w:val="41AB397B"/>
    <w:rsid w:val="42593DF0"/>
    <w:rsid w:val="42597025"/>
    <w:rsid w:val="42614578"/>
    <w:rsid w:val="42625539"/>
    <w:rsid w:val="428B16E1"/>
    <w:rsid w:val="42BA4C18"/>
    <w:rsid w:val="431279E4"/>
    <w:rsid w:val="4313552F"/>
    <w:rsid w:val="432F24E1"/>
    <w:rsid w:val="433F6E8D"/>
    <w:rsid w:val="437D5F1C"/>
    <w:rsid w:val="439431EB"/>
    <w:rsid w:val="44372C2E"/>
    <w:rsid w:val="44605A3B"/>
    <w:rsid w:val="446E2459"/>
    <w:rsid w:val="44A25897"/>
    <w:rsid w:val="44A60F30"/>
    <w:rsid w:val="44BB7060"/>
    <w:rsid w:val="44FE34BF"/>
    <w:rsid w:val="454B3D63"/>
    <w:rsid w:val="45506BE8"/>
    <w:rsid w:val="456E084A"/>
    <w:rsid w:val="457E0AAC"/>
    <w:rsid w:val="45A74DA5"/>
    <w:rsid w:val="46114DD0"/>
    <w:rsid w:val="463031E8"/>
    <w:rsid w:val="4637777C"/>
    <w:rsid w:val="466C3C62"/>
    <w:rsid w:val="469B70A5"/>
    <w:rsid w:val="469E27A6"/>
    <w:rsid w:val="46E46642"/>
    <w:rsid w:val="47100788"/>
    <w:rsid w:val="4729649D"/>
    <w:rsid w:val="481166D4"/>
    <w:rsid w:val="48142EE3"/>
    <w:rsid w:val="490963DA"/>
    <w:rsid w:val="490A02B0"/>
    <w:rsid w:val="490B0BC8"/>
    <w:rsid w:val="49B405F2"/>
    <w:rsid w:val="4A006F8F"/>
    <w:rsid w:val="4A843842"/>
    <w:rsid w:val="4AE64F4D"/>
    <w:rsid w:val="4B1E4095"/>
    <w:rsid w:val="4B303B6B"/>
    <w:rsid w:val="4B4924FD"/>
    <w:rsid w:val="4B916596"/>
    <w:rsid w:val="4B9917E7"/>
    <w:rsid w:val="4BAB34B4"/>
    <w:rsid w:val="4BC36912"/>
    <w:rsid w:val="4BDC10BA"/>
    <w:rsid w:val="4C0F5CEF"/>
    <w:rsid w:val="4C2A6C79"/>
    <w:rsid w:val="4C4050AB"/>
    <w:rsid w:val="4CDC2D25"/>
    <w:rsid w:val="4CFF7675"/>
    <w:rsid w:val="4D386ADB"/>
    <w:rsid w:val="4D876EBA"/>
    <w:rsid w:val="4DAA39C0"/>
    <w:rsid w:val="4DEB17E5"/>
    <w:rsid w:val="4E067941"/>
    <w:rsid w:val="4EB312C3"/>
    <w:rsid w:val="4EE92418"/>
    <w:rsid w:val="4F23746B"/>
    <w:rsid w:val="4F390510"/>
    <w:rsid w:val="4FCF3923"/>
    <w:rsid w:val="4FE5299D"/>
    <w:rsid w:val="501C7E94"/>
    <w:rsid w:val="507402A9"/>
    <w:rsid w:val="50C46FBB"/>
    <w:rsid w:val="50D5753D"/>
    <w:rsid w:val="517B31DA"/>
    <w:rsid w:val="51897A42"/>
    <w:rsid w:val="51945F20"/>
    <w:rsid w:val="51950524"/>
    <w:rsid w:val="51B6704F"/>
    <w:rsid w:val="51C232A9"/>
    <w:rsid w:val="51D233CA"/>
    <w:rsid w:val="523428D6"/>
    <w:rsid w:val="5240604C"/>
    <w:rsid w:val="52A377B7"/>
    <w:rsid w:val="530B034B"/>
    <w:rsid w:val="534367F8"/>
    <w:rsid w:val="53994EB3"/>
    <w:rsid w:val="54042632"/>
    <w:rsid w:val="54514662"/>
    <w:rsid w:val="5452692A"/>
    <w:rsid w:val="548C0CFF"/>
    <w:rsid w:val="5494741C"/>
    <w:rsid w:val="54DE2A1C"/>
    <w:rsid w:val="55316220"/>
    <w:rsid w:val="553539DB"/>
    <w:rsid w:val="55563C59"/>
    <w:rsid w:val="557119A5"/>
    <w:rsid w:val="559839C1"/>
    <w:rsid w:val="55FF3761"/>
    <w:rsid w:val="560C5F3C"/>
    <w:rsid w:val="56466DBA"/>
    <w:rsid w:val="56744022"/>
    <w:rsid w:val="568076C9"/>
    <w:rsid w:val="56CF5CFB"/>
    <w:rsid w:val="56E83021"/>
    <w:rsid w:val="57051014"/>
    <w:rsid w:val="572D0922"/>
    <w:rsid w:val="578B6F00"/>
    <w:rsid w:val="57A25DDA"/>
    <w:rsid w:val="57EE2D0C"/>
    <w:rsid w:val="57F1191D"/>
    <w:rsid w:val="581E1342"/>
    <w:rsid w:val="585C3F87"/>
    <w:rsid w:val="58633B93"/>
    <w:rsid w:val="586C2C1B"/>
    <w:rsid w:val="58774942"/>
    <w:rsid w:val="58CA56A0"/>
    <w:rsid w:val="58CF2CAD"/>
    <w:rsid w:val="59317A63"/>
    <w:rsid w:val="599F6B8F"/>
    <w:rsid w:val="59AD4FD5"/>
    <w:rsid w:val="59C75400"/>
    <w:rsid w:val="59D0191A"/>
    <w:rsid w:val="59D64F5B"/>
    <w:rsid w:val="5A861EEB"/>
    <w:rsid w:val="5A9E1510"/>
    <w:rsid w:val="5B185BA0"/>
    <w:rsid w:val="5B1B52C8"/>
    <w:rsid w:val="5B302415"/>
    <w:rsid w:val="5B3878C4"/>
    <w:rsid w:val="5B705150"/>
    <w:rsid w:val="5BF17E15"/>
    <w:rsid w:val="5C1365D5"/>
    <w:rsid w:val="5C3C41E3"/>
    <w:rsid w:val="5C403D8F"/>
    <w:rsid w:val="5C792CC8"/>
    <w:rsid w:val="5C923567"/>
    <w:rsid w:val="5CD024BA"/>
    <w:rsid w:val="5CEA553B"/>
    <w:rsid w:val="5D26322A"/>
    <w:rsid w:val="5D6802FA"/>
    <w:rsid w:val="5DDD1B32"/>
    <w:rsid w:val="5E1126C5"/>
    <w:rsid w:val="5E152D3E"/>
    <w:rsid w:val="5E4B0A0E"/>
    <w:rsid w:val="5E7008FF"/>
    <w:rsid w:val="5E83300C"/>
    <w:rsid w:val="5E9845F3"/>
    <w:rsid w:val="5E9F65E3"/>
    <w:rsid w:val="5F5D2749"/>
    <w:rsid w:val="5F7B7406"/>
    <w:rsid w:val="5F7C1AF1"/>
    <w:rsid w:val="5FDF6838"/>
    <w:rsid w:val="60162273"/>
    <w:rsid w:val="605E29A7"/>
    <w:rsid w:val="60614A90"/>
    <w:rsid w:val="60657D35"/>
    <w:rsid w:val="607961F9"/>
    <w:rsid w:val="60F347BC"/>
    <w:rsid w:val="60FF3F7C"/>
    <w:rsid w:val="612F39AF"/>
    <w:rsid w:val="61900BF6"/>
    <w:rsid w:val="61B606AA"/>
    <w:rsid w:val="61E32E58"/>
    <w:rsid w:val="61FF7F2C"/>
    <w:rsid w:val="62194B7D"/>
    <w:rsid w:val="6250784A"/>
    <w:rsid w:val="62604C70"/>
    <w:rsid w:val="627B71A0"/>
    <w:rsid w:val="62EE113C"/>
    <w:rsid w:val="631240A8"/>
    <w:rsid w:val="6342073A"/>
    <w:rsid w:val="635937E7"/>
    <w:rsid w:val="637D19B1"/>
    <w:rsid w:val="63902048"/>
    <w:rsid w:val="6395640E"/>
    <w:rsid w:val="639E12FA"/>
    <w:rsid w:val="63B124D3"/>
    <w:rsid w:val="63E60BE8"/>
    <w:rsid w:val="640C27EF"/>
    <w:rsid w:val="640E57BF"/>
    <w:rsid w:val="644A5A26"/>
    <w:rsid w:val="64AD175E"/>
    <w:rsid w:val="64BF61D1"/>
    <w:rsid w:val="64ED459A"/>
    <w:rsid w:val="650642CC"/>
    <w:rsid w:val="652F3CEE"/>
    <w:rsid w:val="653D69A4"/>
    <w:rsid w:val="65497801"/>
    <w:rsid w:val="654D6234"/>
    <w:rsid w:val="65836962"/>
    <w:rsid w:val="6585373B"/>
    <w:rsid w:val="65A4408C"/>
    <w:rsid w:val="65EB20BB"/>
    <w:rsid w:val="662F54E0"/>
    <w:rsid w:val="667C6A4B"/>
    <w:rsid w:val="67007060"/>
    <w:rsid w:val="670B0C33"/>
    <w:rsid w:val="676045FB"/>
    <w:rsid w:val="67AE020E"/>
    <w:rsid w:val="67DF1660"/>
    <w:rsid w:val="680E3E63"/>
    <w:rsid w:val="68407C74"/>
    <w:rsid w:val="6853471D"/>
    <w:rsid w:val="687C12BE"/>
    <w:rsid w:val="68F6179A"/>
    <w:rsid w:val="69122CE5"/>
    <w:rsid w:val="6A330FBC"/>
    <w:rsid w:val="6A435CC1"/>
    <w:rsid w:val="6AB11E5D"/>
    <w:rsid w:val="6AF66B30"/>
    <w:rsid w:val="6AFF6811"/>
    <w:rsid w:val="6B063BED"/>
    <w:rsid w:val="6B2B66B3"/>
    <w:rsid w:val="6B36360F"/>
    <w:rsid w:val="6B3E3C58"/>
    <w:rsid w:val="6BA97366"/>
    <w:rsid w:val="6BDC7EBB"/>
    <w:rsid w:val="6C105A58"/>
    <w:rsid w:val="6C753E24"/>
    <w:rsid w:val="6C834B54"/>
    <w:rsid w:val="6C9D0B3F"/>
    <w:rsid w:val="6CA132B7"/>
    <w:rsid w:val="6CE73713"/>
    <w:rsid w:val="6D1F03A3"/>
    <w:rsid w:val="6D59451F"/>
    <w:rsid w:val="6D621806"/>
    <w:rsid w:val="6D9057D6"/>
    <w:rsid w:val="6DE52758"/>
    <w:rsid w:val="6E3B53E9"/>
    <w:rsid w:val="6E5342CF"/>
    <w:rsid w:val="6E8113E9"/>
    <w:rsid w:val="6E8811DF"/>
    <w:rsid w:val="6EAD3A96"/>
    <w:rsid w:val="6EBB0EBA"/>
    <w:rsid w:val="6EC5724B"/>
    <w:rsid w:val="6EF175D4"/>
    <w:rsid w:val="6EFA57F6"/>
    <w:rsid w:val="6F3F7DB7"/>
    <w:rsid w:val="6F8157CA"/>
    <w:rsid w:val="6F9C3B89"/>
    <w:rsid w:val="6FBF22AF"/>
    <w:rsid w:val="701F6647"/>
    <w:rsid w:val="702E7942"/>
    <w:rsid w:val="7050553F"/>
    <w:rsid w:val="70781807"/>
    <w:rsid w:val="70B9399E"/>
    <w:rsid w:val="71690F52"/>
    <w:rsid w:val="716932BE"/>
    <w:rsid w:val="71C8135F"/>
    <w:rsid w:val="71D14771"/>
    <w:rsid w:val="7241426B"/>
    <w:rsid w:val="72473225"/>
    <w:rsid w:val="72662548"/>
    <w:rsid w:val="727B1EBB"/>
    <w:rsid w:val="72AC053C"/>
    <w:rsid w:val="73265A5F"/>
    <w:rsid w:val="737067F9"/>
    <w:rsid w:val="73A375A7"/>
    <w:rsid w:val="73E309F5"/>
    <w:rsid w:val="73E92E42"/>
    <w:rsid w:val="74D65666"/>
    <w:rsid w:val="74E84C85"/>
    <w:rsid w:val="74EB6D31"/>
    <w:rsid w:val="75085665"/>
    <w:rsid w:val="756B0CB3"/>
    <w:rsid w:val="75754A7A"/>
    <w:rsid w:val="76096233"/>
    <w:rsid w:val="765E284B"/>
    <w:rsid w:val="767C3E9E"/>
    <w:rsid w:val="76986229"/>
    <w:rsid w:val="76EA5264"/>
    <w:rsid w:val="77270444"/>
    <w:rsid w:val="772B715B"/>
    <w:rsid w:val="776547D0"/>
    <w:rsid w:val="778238A1"/>
    <w:rsid w:val="77E31B73"/>
    <w:rsid w:val="780124DD"/>
    <w:rsid w:val="78034341"/>
    <w:rsid w:val="78500568"/>
    <w:rsid w:val="788F219F"/>
    <w:rsid w:val="78BF0B38"/>
    <w:rsid w:val="78D37C29"/>
    <w:rsid w:val="78F13933"/>
    <w:rsid w:val="794171E2"/>
    <w:rsid w:val="795F663F"/>
    <w:rsid w:val="796A5940"/>
    <w:rsid w:val="79BD20FB"/>
    <w:rsid w:val="79C9474A"/>
    <w:rsid w:val="7A120311"/>
    <w:rsid w:val="7A3A0C6A"/>
    <w:rsid w:val="7AA47D56"/>
    <w:rsid w:val="7AD82F7F"/>
    <w:rsid w:val="7B28505F"/>
    <w:rsid w:val="7B957172"/>
    <w:rsid w:val="7BC6601D"/>
    <w:rsid w:val="7BE86FD9"/>
    <w:rsid w:val="7BF55E11"/>
    <w:rsid w:val="7C1662EB"/>
    <w:rsid w:val="7C1A27FF"/>
    <w:rsid w:val="7C214C17"/>
    <w:rsid w:val="7C8C1D2A"/>
    <w:rsid w:val="7C97697B"/>
    <w:rsid w:val="7CA525CE"/>
    <w:rsid w:val="7CD4183B"/>
    <w:rsid w:val="7CF67B0F"/>
    <w:rsid w:val="7CF9257D"/>
    <w:rsid w:val="7D1E16C1"/>
    <w:rsid w:val="7D2C53DA"/>
    <w:rsid w:val="7D43102E"/>
    <w:rsid w:val="7D8E7A6D"/>
    <w:rsid w:val="7DB000A1"/>
    <w:rsid w:val="7DD51933"/>
    <w:rsid w:val="7DF75A4B"/>
    <w:rsid w:val="7EC275E3"/>
    <w:rsid w:val="7EC37706"/>
    <w:rsid w:val="7F39483D"/>
    <w:rsid w:val="7F5B6C96"/>
    <w:rsid w:val="7F750E67"/>
    <w:rsid w:val="7FC171A5"/>
    <w:rsid w:val="7FD110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uiPriority w:val="0"/>
    <w:pPr>
      <w:keepNext/>
      <w:jc w:val="center"/>
      <w:outlineLvl w:val="0"/>
    </w:pPr>
    <w:rPr>
      <w:b/>
      <w:sz w:val="32"/>
    </w:rPr>
  </w:style>
  <w:style w:type="paragraph" w:styleId="4">
    <w:name w:val="heading 2"/>
    <w:basedOn w:val="1"/>
    <w:next w:val="1"/>
    <w:link w:val="18"/>
    <w:qFormat/>
    <w:uiPriority w:val="0"/>
    <w:pPr>
      <w:keepNext/>
      <w:spacing w:line="240" w:lineRule="auto"/>
      <w:jc w:val="center"/>
      <w:outlineLvl w:val="1"/>
    </w:pPr>
    <w:rPr>
      <w:rFonts w:ascii="Times New Roman" w:hAnsi="Times New Roman" w:eastAsia="宋体"/>
      <w:b/>
      <w:sz w:val="28"/>
    </w:rPr>
  </w:style>
  <w:style w:type="paragraph" w:styleId="5">
    <w:name w:val="heading 3"/>
    <w:basedOn w:val="1"/>
    <w:next w:val="6"/>
    <w:link w:val="20"/>
    <w:qFormat/>
    <w:uiPriority w:val="0"/>
    <w:pPr>
      <w:keepNext/>
      <w:spacing w:line="240" w:lineRule="auto"/>
      <w:ind w:firstLine="602" w:firstLineChars="200"/>
      <w:outlineLvl w:val="2"/>
    </w:pPr>
    <w:rPr>
      <w:rFonts w:ascii="Times New Roman" w:hAnsi="Times New Roman" w:eastAsia="宋体"/>
      <w:b/>
      <w:sz w:val="21"/>
    </w:rPr>
  </w:style>
  <w:style w:type="paragraph" w:styleId="7">
    <w:name w:val="heading 4"/>
    <w:basedOn w:val="1"/>
    <w:next w:val="6"/>
    <w:qFormat/>
    <w:uiPriority w:val="0"/>
    <w:pPr>
      <w:keepNext/>
      <w:spacing w:line="600" w:lineRule="exact"/>
      <w:jc w:val="center"/>
      <w:outlineLvl w:val="3"/>
    </w:pPr>
    <w:rPr>
      <w:rFonts w:ascii="楷体_GB2312" w:eastAsia="楷体_GB2312"/>
      <w:sz w:val="32"/>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rPr>
      <w:rFonts w:eastAsia="MS Mincho"/>
      <w:sz w:val="22"/>
      <w:lang w:val="en-GB" w:eastAsia="ja-JP"/>
    </w:rPr>
  </w:style>
  <w:style w:type="paragraph" w:styleId="6">
    <w:name w:val="Normal Indent"/>
    <w:basedOn w:val="1"/>
    <w:next w:val="1"/>
    <w:link w:val="19"/>
    <w:qFormat/>
    <w:uiPriority w:val="0"/>
    <w:pPr>
      <w:ind w:firstLine="420"/>
    </w:pPr>
  </w:style>
  <w:style w:type="paragraph" w:styleId="9">
    <w:name w:val="footer"/>
    <w:basedOn w:val="1"/>
    <w:next w:val="2"/>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b/>
    </w:rPr>
  </w:style>
  <w:style w:type="character" w:customStyle="1" w:styleId="18">
    <w:name w:val="标题 2 Char"/>
    <w:link w:val="4"/>
    <w:qFormat/>
    <w:uiPriority w:val="0"/>
    <w:rPr>
      <w:rFonts w:ascii="Times New Roman" w:hAnsi="Times New Roman" w:eastAsia="宋体"/>
      <w:b/>
      <w:kern w:val="2"/>
      <w:sz w:val="28"/>
    </w:rPr>
  </w:style>
  <w:style w:type="character" w:customStyle="1" w:styleId="19">
    <w:name w:val="正文缩进 Char"/>
    <w:link w:val="6"/>
    <w:qFormat/>
    <w:uiPriority w:val="0"/>
    <w:rPr>
      <w:rFonts w:eastAsia="宋体"/>
      <w:kern w:val="2"/>
      <w:sz w:val="21"/>
      <w:lang w:val="en-US" w:eastAsia="zh-CN" w:bidi="ar-SA"/>
    </w:rPr>
  </w:style>
  <w:style w:type="character" w:customStyle="1" w:styleId="20">
    <w:name w:val="标题 3 Char"/>
    <w:link w:val="5"/>
    <w:qFormat/>
    <w:uiPriority w:val="0"/>
    <w:rPr>
      <w:rFonts w:ascii="Times New Roman" w:hAnsi="Times New Roman" w:eastAsia="宋体"/>
      <w:b/>
      <w:kern w:val="2"/>
      <w:sz w:val="21"/>
    </w:rPr>
  </w:style>
  <w:style w:type="character" w:customStyle="1" w:styleId="21">
    <w:name w:val="标题 1 Char"/>
    <w:link w:val="3"/>
    <w:qFormat/>
    <w:uiPriority w:val="0"/>
    <w:rPr>
      <w:rFonts w:ascii="Times New Roman" w:hAnsi="Times New Roman" w:eastAsia="宋体"/>
      <w:b/>
      <w:kern w:val="2"/>
      <w:sz w:val="32"/>
    </w:rPr>
  </w:style>
  <w:style w:type="paragraph" w:customStyle="1" w:styleId="2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06145c4-36cc-4ed7-81f9-0a06dd261493}"/>
        <w:style w:val=""/>
        <w:category>
          <w:name w:val="常规"/>
          <w:gallery w:val="placeholder"/>
        </w:category>
        <w:types>
          <w:type w:val="bbPlcHdr"/>
        </w:types>
        <w:behaviors>
          <w:behavior w:val="content"/>
        </w:behaviors>
        <w:description w:val=""/>
        <w:guid w:val="{206145c4-36cc-4ed7-81f9-0a06dd261493}"/>
      </w:docPartPr>
      <w:docPartBody>
        <w:p>
          <w:r>
            <w:rPr>
              <w:color w:val="808080"/>
            </w:rPr>
            <w:t>单击此处输入文字。</w:t>
          </w:r>
        </w:p>
      </w:docPartBody>
    </w:docPart>
    <w:docPart>
      <w:docPartPr>
        <w:name w:val="{673715f6-8b7d-493e-888a-271248d2b5c8}"/>
        <w:style w:val=""/>
        <w:category>
          <w:name w:val="常规"/>
          <w:gallery w:val="placeholder"/>
        </w:category>
        <w:types>
          <w:type w:val="bbPlcHdr"/>
        </w:types>
        <w:behaviors>
          <w:behavior w:val="content"/>
        </w:behaviors>
        <w:description w:val=""/>
        <w:guid w:val="{673715f6-8b7d-493e-888a-271248d2b5c8}"/>
      </w:docPartPr>
      <w:docPartBody>
        <w:p>
          <w:r>
            <w:rPr>
              <w:color w:val="808080"/>
            </w:rPr>
            <w:t>单击此处输入文字。</w:t>
          </w:r>
        </w:p>
      </w:docPartBody>
    </w:docPart>
    <w:docPart>
      <w:docPartPr>
        <w:name w:val="{03fe576c-bbbd-4d6d-8227-f34c436a19e9}"/>
        <w:style w:val=""/>
        <w:category>
          <w:name w:val="常规"/>
          <w:gallery w:val="placeholder"/>
        </w:category>
        <w:types>
          <w:type w:val="bbPlcHdr"/>
        </w:types>
        <w:behaviors>
          <w:behavior w:val="content"/>
        </w:behaviors>
        <w:description w:val=""/>
        <w:guid w:val="{03fe576c-bbbd-4d6d-8227-f34c436a19e9}"/>
      </w:docPartPr>
      <w:docPartBody>
        <w:p>
          <w:r>
            <w:rPr>
              <w:color w:val="808080"/>
            </w:rPr>
            <w:t>单击此处输入文字。</w:t>
          </w:r>
        </w:p>
      </w:docPartBody>
    </w:docPart>
    <w:docPart>
      <w:docPartPr>
        <w:name w:val="{b9a49793-f8fd-48cd-b366-7999236d79a1}"/>
        <w:style w:val=""/>
        <w:category>
          <w:name w:val="常规"/>
          <w:gallery w:val="placeholder"/>
        </w:category>
        <w:types>
          <w:type w:val="bbPlcHdr"/>
        </w:types>
        <w:behaviors>
          <w:behavior w:val="content"/>
        </w:behaviors>
        <w:description w:val=""/>
        <w:guid w:val="{b9a49793-f8fd-48cd-b366-7999236d79a1}"/>
      </w:docPartPr>
      <w:docPartBody>
        <w:p>
          <w:r>
            <w:rPr>
              <w:color w:val="808080"/>
            </w:rPr>
            <w:t>单击此处输入文字。</w:t>
          </w:r>
        </w:p>
      </w:docPartBody>
    </w:docPart>
    <w:docPart>
      <w:docPartPr>
        <w:name w:val="{26544e83-15b3-4149-b022-9c03fa3aa9da}"/>
        <w:style w:val=""/>
        <w:category>
          <w:name w:val="常规"/>
          <w:gallery w:val="placeholder"/>
        </w:category>
        <w:types>
          <w:type w:val="bbPlcHdr"/>
        </w:types>
        <w:behaviors>
          <w:behavior w:val="content"/>
        </w:behaviors>
        <w:description w:val=""/>
        <w:guid w:val="{26544e83-15b3-4149-b022-9c03fa3aa9da}"/>
      </w:docPartPr>
      <w:docPartBody>
        <w:p>
          <w:r>
            <w:rPr>
              <w:color w:val="808080"/>
            </w:rPr>
            <w:t>单击此处输入文字。</w:t>
          </w:r>
        </w:p>
      </w:docPartBody>
    </w:docPart>
    <w:docPart>
      <w:docPartPr>
        <w:name w:val="{465a9805-2768-4f50-83ea-f14a1236618a}"/>
        <w:style w:val=""/>
        <w:category>
          <w:name w:val="常规"/>
          <w:gallery w:val="placeholder"/>
        </w:category>
        <w:types>
          <w:type w:val="bbPlcHdr"/>
        </w:types>
        <w:behaviors>
          <w:behavior w:val="content"/>
        </w:behaviors>
        <w:description w:val=""/>
        <w:guid w:val="{465a9805-2768-4f50-83ea-f14a1236618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60</Pages>
  <Words>32342</Words>
  <Characters>36192</Characters>
  <Lines>191</Lines>
  <Paragraphs>53</Paragraphs>
  <TotalTime>449</TotalTime>
  <ScaleCrop>false</ScaleCrop>
  <LinksUpToDate>false</LinksUpToDate>
  <CharactersWithSpaces>37662</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2019-03-14T10:18:00Z</dcterms:created>
  <dc:creator>user</dc:creator>
  <cp:lastModifiedBy>Administrator</cp:lastModifiedBy>
  <cp:lastPrinted>2022-08-08T00:57:00Z</cp:lastPrinted>
  <dcterms:modified xsi:type="dcterms:W3CDTF">2022-08-28T07:28:45Z</dcterms:modified>
  <dc:title>标书编号：SZ99-</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