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color w:val="auto"/>
          <w:sz w:val="36"/>
        </w:rPr>
      </w:pPr>
      <w:r>
        <w:rPr>
          <w:rFonts w:hint="eastAsia" w:cs="宋体"/>
          <w:b/>
          <w:bCs/>
          <w:color w:val="auto"/>
          <w:sz w:val="36"/>
          <w:szCs w:val="36"/>
        </w:rPr>
        <w:t>项目编号：JZZB2022-1170</w:t>
      </w:r>
    </w:p>
    <w:p>
      <w:pPr>
        <w:jc w:val="center"/>
        <w:rPr>
          <w:rFonts w:cs="宋体"/>
          <w:b/>
          <w:color w:val="auto"/>
          <w:sz w:val="56"/>
          <w:szCs w:val="56"/>
        </w:rPr>
      </w:pPr>
    </w:p>
    <w:p>
      <w:pPr>
        <w:jc w:val="center"/>
        <w:rPr>
          <w:rFonts w:cs="宋体"/>
          <w:b/>
          <w:color w:val="auto"/>
          <w:sz w:val="56"/>
          <w:szCs w:val="56"/>
        </w:rPr>
      </w:pPr>
    </w:p>
    <w:p>
      <w:pPr>
        <w:pStyle w:val="8"/>
        <w:spacing w:line="480" w:lineRule="auto"/>
        <w:rPr>
          <w:rFonts w:ascii="宋体" w:hAnsi="宋体" w:cs="宋体"/>
          <w:color w:val="auto"/>
          <w:sz w:val="22"/>
          <w:szCs w:val="32"/>
        </w:rPr>
      </w:pPr>
    </w:p>
    <w:p>
      <w:pPr>
        <w:spacing w:line="360" w:lineRule="auto"/>
        <w:jc w:val="center"/>
        <w:rPr>
          <w:rFonts w:hint="eastAsia" w:cs="宋体"/>
          <w:b/>
          <w:color w:val="auto"/>
          <w:sz w:val="56"/>
          <w:szCs w:val="56"/>
        </w:rPr>
      </w:pPr>
      <w:r>
        <w:rPr>
          <w:rFonts w:hint="eastAsia" w:cs="宋体"/>
          <w:b/>
          <w:color w:val="auto"/>
          <w:sz w:val="56"/>
          <w:szCs w:val="56"/>
        </w:rPr>
        <w:t>合阳县农村改厕后期管护</w:t>
      </w:r>
    </w:p>
    <w:p>
      <w:pPr>
        <w:spacing w:line="360" w:lineRule="auto"/>
        <w:jc w:val="center"/>
        <w:rPr>
          <w:rFonts w:cs="宋体"/>
          <w:b/>
          <w:color w:val="auto"/>
          <w:sz w:val="96"/>
          <w:szCs w:val="96"/>
        </w:rPr>
      </w:pPr>
      <w:r>
        <w:rPr>
          <w:rFonts w:hint="eastAsia" w:cs="宋体"/>
          <w:b/>
          <w:color w:val="auto"/>
          <w:sz w:val="56"/>
          <w:szCs w:val="56"/>
        </w:rPr>
        <w:t>云平台建设项目</w:t>
      </w:r>
    </w:p>
    <w:p>
      <w:pPr>
        <w:jc w:val="center"/>
        <w:rPr>
          <w:rFonts w:cs="宋体"/>
          <w:b/>
          <w:color w:val="auto"/>
          <w:sz w:val="56"/>
          <w:szCs w:val="56"/>
        </w:rPr>
      </w:pPr>
    </w:p>
    <w:p>
      <w:pPr>
        <w:pStyle w:val="2"/>
        <w:ind w:firstLine="1310"/>
        <w:rPr>
          <w:rFonts w:ascii="宋体" w:hAnsi="宋体" w:cs="宋体"/>
          <w:b/>
          <w:color w:val="auto"/>
          <w:sz w:val="56"/>
          <w:szCs w:val="56"/>
        </w:rPr>
      </w:pPr>
    </w:p>
    <w:p>
      <w:pPr>
        <w:pStyle w:val="2"/>
        <w:ind w:firstLine="1310"/>
        <w:rPr>
          <w:rFonts w:ascii="宋体" w:hAnsi="宋体" w:cs="宋体"/>
          <w:b/>
          <w:color w:val="auto"/>
          <w:sz w:val="56"/>
          <w:szCs w:val="56"/>
        </w:rPr>
      </w:pPr>
    </w:p>
    <w:p>
      <w:pPr>
        <w:jc w:val="center"/>
        <w:rPr>
          <w:rFonts w:cs="宋体"/>
          <w:b/>
          <w:color w:val="auto"/>
          <w:sz w:val="56"/>
          <w:szCs w:val="56"/>
        </w:rPr>
      </w:pPr>
      <w:r>
        <w:rPr>
          <w:rFonts w:hint="eastAsia" w:cs="宋体"/>
          <w:b/>
          <w:color w:val="auto"/>
          <w:sz w:val="56"/>
          <w:szCs w:val="56"/>
        </w:rPr>
        <w:t>招 标 文 件</w:t>
      </w:r>
    </w:p>
    <w:p>
      <w:pPr>
        <w:rPr>
          <w:rFonts w:cs="宋体"/>
          <w:color w:val="auto"/>
        </w:rPr>
      </w:pPr>
      <w:bookmarkStart w:id="0" w:name="_Toc363463325"/>
    </w:p>
    <w:p>
      <w:pPr>
        <w:rPr>
          <w:rFonts w:cs="宋体"/>
          <w:color w:val="auto"/>
        </w:rPr>
      </w:pPr>
    </w:p>
    <w:p>
      <w:pPr>
        <w:rPr>
          <w:rFonts w:cs="宋体"/>
          <w:color w:val="auto"/>
        </w:rPr>
      </w:pPr>
      <w:bookmarkStart w:id="257" w:name="_GoBack"/>
      <w:bookmarkEnd w:id="257"/>
    </w:p>
    <w:p>
      <w:pPr>
        <w:rPr>
          <w:rFonts w:cs="宋体"/>
          <w:color w:val="auto"/>
        </w:rPr>
      </w:pPr>
    </w:p>
    <w:p>
      <w:pPr>
        <w:rPr>
          <w:rFonts w:cs="宋体"/>
          <w:color w:val="auto"/>
        </w:rPr>
      </w:pPr>
    </w:p>
    <w:p>
      <w:pPr>
        <w:pStyle w:val="2"/>
        <w:rPr>
          <w:rFonts w:cs="宋体"/>
          <w:color w:val="auto"/>
        </w:rPr>
      </w:pPr>
    </w:p>
    <w:p>
      <w:pPr>
        <w:rPr>
          <w:rFonts w:cs="宋体"/>
          <w:color w:val="auto"/>
        </w:rPr>
      </w:pPr>
    </w:p>
    <w:p>
      <w:pPr>
        <w:pStyle w:val="2"/>
        <w:rPr>
          <w:color w:val="auto"/>
        </w:rPr>
      </w:pPr>
    </w:p>
    <w:p>
      <w:pPr>
        <w:rPr>
          <w:rFonts w:cs="宋体"/>
          <w:color w:val="auto"/>
        </w:rPr>
      </w:pPr>
    </w:p>
    <w:p>
      <w:pPr>
        <w:rPr>
          <w:rFonts w:cs="宋体"/>
          <w:color w:val="auto"/>
        </w:rPr>
      </w:pPr>
    </w:p>
    <w:p>
      <w:pPr>
        <w:rPr>
          <w:rFonts w:cs="宋体"/>
          <w:color w:val="auto"/>
        </w:rPr>
      </w:pPr>
    </w:p>
    <w:bookmarkEnd w:id="0"/>
    <w:p>
      <w:pPr>
        <w:spacing w:after="120" w:afterLines="50"/>
        <w:jc w:val="center"/>
        <w:rPr>
          <w:rFonts w:cs="宋体"/>
          <w:b/>
          <w:bCs/>
          <w:color w:val="auto"/>
          <w:sz w:val="36"/>
          <w:szCs w:val="36"/>
        </w:rPr>
      </w:pPr>
      <w:r>
        <w:rPr>
          <w:rFonts w:hint="eastAsia" w:cs="宋体"/>
          <w:b/>
          <w:bCs/>
          <w:color w:val="auto"/>
          <w:sz w:val="36"/>
          <w:szCs w:val="36"/>
        </w:rPr>
        <w:t>陕西金字招标有限责任公司</w:t>
      </w:r>
    </w:p>
    <w:p>
      <w:pPr>
        <w:spacing w:after="120" w:afterLines="50"/>
        <w:jc w:val="center"/>
        <w:rPr>
          <w:rFonts w:cs="宋体"/>
          <w:b/>
          <w:bCs/>
          <w:color w:val="auto"/>
          <w:sz w:val="36"/>
          <w:szCs w:val="36"/>
        </w:rPr>
      </w:pPr>
    </w:p>
    <w:p>
      <w:pPr>
        <w:spacing w:after="120" w:afterLines="50"/>
        <w:jc w:val="center"/>
        <w:rPr>
          <w:rFonts w:cs="宋体"/>
          <w:b/>
          <w:bCs/>
          <w:color w:val="auto"/>
          <w:sz w:val="36"/>
          <w:szCs w:val="36"/>
        </w:rPr>
      </w:pPr>
      <w:r>
        <w:rPr>
          <w:rFonts w:hint="eastAsia" w:cs="宋体"/>
          <w:b/>
          <w:bCs/>
          <w:color w:val="auto"/>
          <w:sz w:val="36"/>
          <w:szCs w:val="36"/>
        </w:rPr>
        <w:t>2022年10月</w:t>
      </w:r>
    </w:p>
    <w:p>
      <w:pPr>
        <w:rPr>
          <w:rFonts w:cs="宋体"/>
          <w:b/>
          <w:color w:val="auto"/>
          <w:sz w:val="44"/>
          <w:szCs w:val="44"/>
        </w:rPr>
      </w:pPr>
      <w:r>
        <w:rPr>
          <w:rFonts w:hint="eastAsia" w:cs="宋体"/>
          <w:b/>
          <w:color w:val="auto"/>
          <w:sz w:val="44"/>
          <w:szCs w:val="44"/>
        </w:rPr>
        <w:br w:type="page"/>
      </w:r>
    </w:p>
    <w:p>
      <w:pPr>
        <w:spacing w:before="120" w:beforeLines="50" w:line="360" w:lineRule="auto"/>
        <w:jc w:val="center"/>
        <w:rPr>
          <w:rFonts w:cs="宋体"/>
          <w:b/>
          <w:color w:val="auto"/>
          <w:sz w:val="48"/>
          <w:szCs w:val="48"/>
        </w:rPr>
      </w:pPr>
      <w:r>
        <w:rPr>
          <w:rFonts w:hint="eastAsia" w:cs="宋体"/>
          <w:b/>
          <w:color w:val="auto"/>
          <w:sz w:val="48"/>
          <w:szCs w:val="48"/>
        </w:rPr>
        <w:t>目   录</w:t>
      </w:r>
    </w:p>
    <w:p>
      <w:pPr>
        <w:pStyle w:val="22"/>
        <w:tabs>
          <w:tab w:val="right" w:leader="dot" w:pos="8300"/>
          <w:tab w:val="clear" w:pos="1418"/>
          <w:tab w:val="clear" w:pos="8302"/>
        </w:tabs>
        <w:rPr>
          <w:color w:val="auto"/>
        </w:rPr>
      </w:pPr>
      <w:bookmarkStart w:id="1" w:name="_Toc21518"/>
      <w:bookmarkStart w:id="2" w:name="_Toc16218"/>
      <w:bookmarkStart w:id="3" w:name="_Toc20858"/>
      <w:bookmarkStart w:id="4" w:name="_Toc5293"/>
      <w:bookmarkStart w:id="5" w:name="_Toc389582033"/>
      <w:bookmarkStart w:id="6" w:name="_Toc19886"/>
      <w:bookmarkStart w:id="7" w:name="_Toc20652"/>
      <w:bookmarkStart w:id="8" w:name="_Toc426457691"/>
      <w:bookmarkStart w:id="9" w:name="_Toc403077638"/>
      <w:bookmarkStart w:id="10" w:name="_Toc363473971"/>
      <w:bookmarkStart w:id="11" w:name="_Toc363474016"/>
      <w:r>
        <w:rPr>
          <w:rFonts w:hint="eastAsia" w:cs="宋体"/>
          <w:color w:val="auto"/>
        </w:rPr>
        <w:fldChar w:fldCharType="begin"/>
      </w:r>
      <w:r>
        <w:rPr>
          <w:rFonts w:hint="eastAsia" w:cs="宋体"/>
          <w:color w:val="auto"/>
        </w:rPr>
        <w:instrText xml:space="preserve">TOC \o "1-2" \h \u </w:instrText>
      </w:r>
      <w:r>
        <w:rPr>
          <w:rFonts w:hint="eastAsia" w:cs="宋体"/>
          <w:color w:val="auto"/>
        </w:rPr>
        <w:fldChar w:fldCharType="separate"/>
      </w:r>
      <w:r>
        <w:rPr>
          <w:color w:val="auto"/>
        </w:rPr>
        <w:fldChar w:fldCharType="begin"/>
      </w:r>
      <w:r>
        <w:rPr>
          <w:color w:val="auto"/>
        </w:rPr>
        <w:instrText xml:space="preserve"> HYPERLINK \l "_Toc32118" </w:instrText>
      </w:r>
      <w:r>
        <w:rPr>
          <w:color w:val="auto"/>
        </w:rPr>
        <w:fldChar w:fldCharType="separate"/>
      </w:r>
      <w:r>
        <w:rPr>
          <w:rFonts w:hint="eastAsia" w:cs="宋体"/>
          <w:color w:val="auto"/>
        </w:rPr>
        <w:t>第一章  招标公告</w:t>
      </w:r>
      <w:r>
        <w:rPr>
          <w:color w:val="auto"/>
        </w:rPr>
        <w:tab/>
      </w:r>
      <w:r>
        <w:rPr>
          <w:color w:val="auto"/>
        </w:rPr>
        <w:fldChar w:fldCharType="begin"/>
      </w:r>
      <w:r>
        <w:rPr>
          <w:color w:val="auto"/>
        </w:rPr>
        <w:instrText xml:space="preserve"> PAGEREF _Toc32118 \h </w:instrText>
      </w:r>
      <w:r>
        <w:rPr>
          <w:color w:val="auto"/>
        </w:rPr>
        <w:fldChar w:fldCharType="separate"/>
      </w:r>
      <w:r>
        <w:rPr>
          <w:color w:val="auto"/>
        </w:rPr>
        <w:t>1</w:t>
      </w:r>
      <w:r>
        <w:rPr>
          <w:color w:val="auto"/>
        </w:rPr>
        <w:fldChar w:fldCharType="end"/>
      </w:r>
      <w:r>
        <w:rPr>
          <w:color w:val="auto"/>
        </w:rPr>
        <w:fldChar w:fldCharType="end"/>
      </w:r>
    </w:p>
    <w:p>
      <w:pPr>
        <w:pStyle w:val="22"/>
        <w:tabs>
          <w:tab w:val="right" w:leader="dot" w:pos="8300"/>
          <w:tab w:val="clear" w:pos="1418"/>
          <w:tab w:val="clear" w:pos="8302"/>
        </w:tabs>
        <w:rPr>
          <w:color w:val="auto"/>
        </w:rPr>
      </w:pPr>
      <w:r>
        <w:rPr>
          <w:color w:val="auto"/>
        </w:rPr>
        <w:fldChar w:fldCharType="begin"/>
      </w:r>
      <w:r>
        <w:rPr>
          <w:color w:val="auto"/>
        </w:rPr>
        <w:instrText xml:space="preserve"> HYPERLINK \l "_Toc960" </w:instrText>
      </w:r>
      <w:r>
        <w:rPr>
          <w:color w:val="auto"/>
        </w:rPr>
        <w:fldChar w:fldCharType="separate"/>
      </w:r>
      <w:r>
        <w:rPr>
          <w:rFonts w:hint="eastAsia" w:cs="宋体"/>
          <w:color w:val="auto"/>
          <w:szCs w:val="36"/>
        </w:rPr>
        <w:t>第二章  供应商须知</w:t>
      </w:r>
      <w:r>
        <w:rPr>
          <w:color w:val="auto"/>
        </w:rPr>
        <w:tab/>
      </w:r>
      <w:r>
        <w:rPr>
          <w:color w:val="auto"/>
        </w:rPr>
        <w:fldChar w:fldCharType="begin"/>
      </w:r>
      <w:r>
        <w:rPr>
          <w:color w:val="auto"/>
        </w:rPr>
        <w:instrText xml:space="preserve"> PAGEREF _Toc960 \h </w:instrText>
      </w:r>
      <w:r>
        <w:rPr>
          <w:color w:val="auto"/>
        </w:rPr>
        <w:fldChar w:fldCharType="separate"/>
      </w:r>
      <w:r>
        <w:rPr>
          <w:color w:val="auto"/>
        </w:rPr>
        <w:t>5</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"_Toc8627" </w:instrText>
      </w:r>
      <w:r>
        <w:rPr>
          <w:color w:val="auto"/>
        </w:rPr>
        <w:fldChar w:fldCharType="separate"/>
      </w:r>
      <w:r>
        <w:rPr>
          <w:rFonts w:hint="eastAsia" w:cs="宋体"/>
          <w:color w:val="auto"/>
        </w:rPr>
        <w:t>供应商须知前附表</w:t>
      </w:r>
      <w:r>
        <w:rPr>
          <w:color w:val="auto"/>
        </w:rPr>
        <w:tab/>
      </w:r>
      <w:r>
        <w:rPr>
          <w:color w:val="auto"/>
        </w:rPr>
        <w:fldChar w:fldCharType="begin"/>
      </w:r>
      <w:r>
        <w:rPr>
          <w:color w:val="auto"/>
        </w:rPr>
        <w:instrText xml:space="preserve"> PAGEREF _Toc8627 \h </w:instrText>
      </w:r>
      <w:r>
        <w:rPr>
          <w:color w:val="auto"/>
        </w:rPr>
        <w:fldChar w:fldCharType="separate"/>
      </w:r>
      <w:r>
        <w:rPr>
          <w:color w:val="auto"/>
        </w:rPr>
        <w:t>5</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"_Toc22096" </w:instrText>
      </w:r>
      <w:r>
        <w:rPr>
          <w:color w:val="auto"/>
        </w:rPr>
        <w:fldChar w:fldCharType="separate"/>
      </w:r>
      <w:r>
        <w:rPr>
          <w:rFonts w:hint="eastAsia" w:cs="宋体"/>
          <w:color w:val="auto"/>
        </w:rPr>
        <w:t>一.总  则</w:t>
      </w:r>
      <w:r>
        <w:rPr>
          <w:color w:val="auto"/>
        </w:rPr>
        <w:tab/>
      </w:r>
      <w:r>
        <w:rPr>
          <w:color w:val="auto"/>
        </w:rPr>
        <w:fldChar w:fldCharType="begin"/>
      </w:r>
      <w:r>
        <w:rPr>
          <w:color w:val="auto"/>
        </w:rPr>
        <w:instrText xml:space="preserve"> PAGEREF _Toc22096 \h </w:instrText>
      </w:r>
      <w:r>
        <w:rPr>
          <w:color w:val="auto"/>
        </w:rPr>
        <w:fldChar w:fldCharType="separate"/>
      </w:r>
      <w:r>
        <w:rPr>
          <w:color w:val="auto"/>
        </w:rPr>
        <w:t>8</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"_Toc27211" </w:instrText>
      </w:r>
      <w:r>
        <w:rPr>
          <w:color w:val="auto"/>
        </w:rPr>
        <w:fldChar w:fldCharType="separate"/>
      </w:r>
      <w:r>
        <w:rPr>
          <w:rFonts w:hint="eastAsia" w:cs="宋体"/>
          <w:color w:val="auto"/>
          <w:szCs w:val="24"/>
        </w:rPr>
        <w:t>二.招标文件</w:t>
      </w:r>
      <w:r>
        <w:rPr>
          <w:color w:val="auto"/>
        </w:rPr>
        <w:tab/>
      </w:r>
      <w:r>
        <w:rPr>
          <w:color w:val="auto"/>
        </w:rPr>
        <w:fldChar w:fldCharType="begin"/>
      </w:r>
      <w:r>
        <w:rPr>
          <w:color w:val="auto"/>
        </w:rPr>
        <w:instrText xml:space="preserve"> PAGEREF _Toc27211 \h </w:instrText>
      </w:r>
      <w:r>
        <w:rPr>
          <w:color w:val="auto"/>
        </w:rPr>
        <w:fldChar w:fldCharType="separate"/>
      </w:r>
      <w:r>
        <w:rPr>
          <w:color w:val="auto"/>
        </w:rPr>
        <w:t>10</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"_Toc16731" </w:instrText>
      </w:r>
      <w:r>
        <w:rPr>
          <w:color w:val="auto"/>
        </w:rPr>
        <w:fldChar w:fldCharType="separate"/>
      </w:r>
      <w:r>
        <w:rPr>
          <w:rFonts w:hint="eastAsia" w:cs="宋体"/>
          <w:color w:val="auto"/>
          <w:szCs w:val="24"/>
        </w:rPr>
        <w:t>三.投标文件的编制</w:t>
      </w:r>
      <w:r>
        <w:rPr>
          <w:color w:val="auto"/>
        </w:rPr>
        <w:tab/>
      </w:r>
      <w:r>
        <w:rPr>
          <w:color w:val="auto"/>
        </w:rPr>
        <w:fldChar w:fldCharType="begin"/>
      </w:r>
      <w:r>
        <w:rPr>
          <w:color w:val="auto"/>
        </w:rPr>
        <w:instrText xml:space="preserve"> PAGEREF _Toc16731 \h </w:instrText>
      </w:r>
      <w:r>
        <w:rPr>
          <w:color w:val="auto"/>
        </w:rPr>
        <w:fldChar w:fldCharType="separate"/>
      </w:r>
      <w:r>
        <w:rPr>
          <w:color w:val="auto"/>
        </w:rPr>
        <w:t>11</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"_Toc18900" </w:instrText>
      </w:r>
      <w:r>
        <w:rPr>
          <w:color w:val="auto"/>
        </w:rPr>
        <w:fldChar w:fldCharType="separate"/>
      </w:r>
      <w:r>
        <w:rPr>
          <w:rFonts w:hint="eastAsia" w:cs="宋体"/>
          <w:color w:val="auto"/>
          <w:szCs w:val="24"/>
        </w:rPr>
        <w:t>四.投标文件的递交</w:t>
      </w:r>
      <w:r>
        <w:rPr>
          <w:color w:val="auto"/>
        </w:rPr>
        <w:tab/>
      </w:r>
      <w:r>
        <w:rPr>
          <w:color w:val="auto"/>
        </w:rPr>
        <w:fldChar w:fldCharType="begin"/>
      </w:r>
      <w:r>
        <w:rPr>
          <w:color w:val="auto"/>
        </w:rPr>
        <w:instrText xml:space="preserve"> PAGEREF _Toc18900 \h </w:instrText>
      </w:r>
      <w:r>
        <w:rPr>
          <w:color w:val="auto"/>
        </w:rPr>
        <w:fldChar w:fldCharType="separate"/>
      </w:r>
      <w:r>
        <w:rPr>
          <w:color w:val="auto"/>
        </w:rPr>
        <w:t>14</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"_Toc29531" </w:instrText>
      </w:r>
      <w:r>
        <w:rPr>
          <w:color w:val="auto"/>
        </w:rPr>
        <w:fldChar w:fldCharType="separate"/>
      </w:r>
      <w:r>
        <w:rPr>
          <w:rFonts w:hint="eastAsia" w:cs="宋体"/>
          <w:color w:val="auto"/>
          <w:szCs w:val="24"/>
        </w:rPr>
        <w:t>五.开标与评标</w:t>
      </w:r>
      <w:r>
        <w:rPr>
          <w:color w:val="auto"/>
        </w:rPr>
        <w:tab/>
      </w:r>
      <w:r>
        <w:rPr>
          <w:color w:val="auto"/>
        </w:rPr>
        <w:fldChar w:fldCharType="begin"/>
      </w:r>
      <w:r>
        <w:rPr>
          <w:color w:val="auto"/>
        </w:rPr>
        <w:instrText xml:space="preserve"> PAGEREF _Toc29531 \h </w:instrText>
      </w:r>
      <w:r>
        <w:rPr>
          <w:color w:val="auto"/>
        </w:rPr>
        <w:fldChar w:fldCharType="separate"/>
      </w:r>
      <w:r>
        <w:rPr>
          <w:color w:val="auto"/>
        </w:rPr>
        <w:t>14</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"_Toc10785" </w:instrText>
      </w:r>
      <w:r>
        <w:rPr>
          <w:color w:val="auto"/>
        </w:rPr>
        <w:fldChar w:fldCharType="separate"/>
      </w:r>
      <w:r>
        <w:rPr>
          <w:rFonts w:hint="eastAsia" w:cs="宋体"/>
          <w:color w:val="auto"/>
          <w:szCs w:val="24"/>
        </w:rPr>
        <w:t>六.定标、中标通知与签约</w:t>
      </w:r>
      <w:r>
        <w:rPr>
          <w:color w:val="auto"/>
        </w:rPr>
        <w:tab/>
      </w:r>
      <w:r>
        <w:rPr>
          <w:color w:val="auto"/>
        </w:rPr>
        <w:fldChar w:fldCharType="begin"/>
      </w:r>
      <w:r>
        <w:rPr>
          <w:color w:val="auto"/>
        </w:rPr>
        <w:instrText xml:space="preserve"> PAGEREF _Toc10785 \h </w:instrText>
      </w:r>
      <w:r>
        <w:rPr>
          <w:color w:val="auto"/>
        </w:rPr>
        <w:fldChar w:fldCharType="separate"/>
      </w:r>
      <w:r>
        <w:rPr>
          <w:color w:val="auto"/>
        </w:rPr>
        <w:t>16</w:t>
      </w:r>
      <w:r>
        <w:rPr>
          <w:color w:val="auto"/>
        </w:rPr>
        <w:fldChar w:fldCharType="end"/>
      </w:r>
      <w:r>
        <w:rPr>
          <w:color w:val="auto"/>
        </w:rPr>
        <w:fldChar w:fldCharType="end"/>
      </w:r>
    </w:p>
    <w:p>
      <w:pPr>
        <w:pStyle w:val="22"/>
        <w:tabs>
          <w:tab w:val="right" w:leader="dot" w:pos="8300"/>
          <w:tab w:val="clear" w:pos="1418"/>
          <w:tab w:val="clear" w:pos="8302"/>
        </w:tabs>
        <w:rPr>
          <w:color w:val="auto"/>
        </w:rPr>
      </w:pPr>
      <w:r>
        <w:rPr>
          <w:color w:val="auto"/>
        </w:rPr>
        <w:fldChar w:fldCharType="begin"/>
      </w:r>
      <w:r>
        <w:rPr>
          <w:color w:val="auto"/>
        </w:rPr>
        <w:instrText xml:space="preserve"> HYPERLINK \l "_Toc14124" </w:instrText>
      </w:r>
      <w:r>
        <w:rPr>
          <w:color w:val="auto"/>
        </w:rPr>
        <w:fldChar w:fldCharType="separate"/>
      </w:r>
      <w:r>
        <w:rPr>
          <w:rFonts w:hint="eastAsia" w:cs="宋体"/>
          <w:color w:val="auto"/>
        </w:rPr>
        <w:t>第三章  合同条款及格式</w:t>
      </w:r>
      <w:r>
        <w:rPr>
          <w:color w:val="auto"/>
        </w:rPr>
        <w:tab/>
      </w:r>
      <w:r>
        <w:rPr>
          <w:color w:val="auto"/>
        </w:rPr>
        <w:fldChar w:fldCharType="begin"/>
      </w:r>
      <w:r>
        <w:rPr>
          <w:color w:val="auto"/>
        </w:rPr>
        <w:instrText xml:space="preserve"> PAGEREF _Toc14124 \h </w:instrText>
      </w:r>
      <w:r>
        <w:rPr>
          <w:color w:val="auto"/>
        </w:rPr>
        <w:fldChar w:fldCharType="separate"/>
      </w:r>
      <w:r>
        <w:rPr>
          <w:color w:val="auto"/>
        </w:rPr>
        <w:t>20</w:t>
      </w:r>
      <w:r>
        <w:rPr>
          <w:color w:val="auto"/>
        </w:rPr>
        <w:fldChar w:fldCharType="end"/>
      </w:r>
      <w:r>
        <w:rPr>
          <w:color w:val="auto"/>
        </w:rPr>
        <w:fldChar w:fldCharType="end"/>
      </w:r>
    </w:p>
    <w:p>
      <w:pPr>
        <w:pStyle w:val="22"/>
        <w:tabs>
          <w:tab w:val="right" w:leader="dot" w:pos="8300"/>
          <w:tab w:val="clear" w:pos="1418"/>
          <w:tab w:val="clear" w:pos="8302"/>
        </w:tabs>
        <w:rPr>
          <w:color w:val="auto"/>
        </w:rPr>
      </w:pPr>
      <w:r>
        <w:rPr>
          <w:color w:val="auto"/>
        </w:rPr>
        <w:fldChar w:fldCharType="begin"/>
      </w:r>
      <w:r>
        <w:rPr>
          <w:color w:val="auto"/>
        </w:rPr>
        <w:instrText xml:space="preserve"> HYPERLINK \l "_Toc22951" </w:instrText>
      </w:r>
      <w:r>
        <w:rPr>
          <w:color w:val="auto"/>
        </w:rPr>
        <w:fldChar w:fldCharType="separate"/>
      </w:r>
      <w:r>
        <w:rPr>
          <w:rFonts w:hint="eastAsia" w:cs="宋体"/>
          <w:color w:val="auto"/>
        </w:rPr>
        <w:t>第四章  采购内容及技术要求</w:t>
      </w:r>
      <w:r>
        <w:rPr>
          <w:color w:val="auto"/>
        </w:rPr>
        <w:tab/>
      </w:r>
      <w:r>
        <w:rPr>
          <w:color w:val="auto"/>
        </w:rPr>
        <w:fldChar w:fldCharType="begin"/>
      </w:r>
      <w:r>
        <w:rPr>
          <w:color w:val="auto"/>
        </w:rPr>
        <w:instrText xml:space="preserve"> PAGEREF _Toc22951 \h </w:instrText>
      </w:r>
      <w:r>
        <w:rPr>
          <w:color w:val="auto"/>
        </w:rPr>
        <w:fldChar w:fldCharType="separate"/>
      </w:r>
      <w:r>
        <w:rPr>
          <w:color w:val="auto"/>
        </w:rPr>
        <w:t>26</w:t>
      </w:r>
      <w:r>
        <w:rPr>
          <w:color w:val="auto"/>
        </w:rPr>
        <w:fldChar w:fldCharType="end"/>
      </w:r>
      <w:r>
        <w:rPr>
          <w:color w:val="auto"/>
        </w:rPr>
        <w:fldChar w:fldCharType="end"/>
      </w:r>
    </w:p>
    <w:p>
      <w:pPr>
        <w:pStyle w:val="22"/>
        <w:tabs>
          <w:tab w:val="right" w:leader="dot" w:pos="8300"/>
          <w:tab w:val="clear" w:pos="1418"/>
          <w:tab w:val="clear" w:pos="8302"/>
        </w:tabs>
        <w:rPr>
          <w:color w:val="auto"/>
        </w:rPr>
      </w:pPr>
      <w:r>
        <w:rPr>
          <w:color w:val="auto"/>
        </w:rPr>
        <w:fldChar w:fldCharType="begin"/>
      </w:r>
      <w:r>
        <w:rPr>
          <w:color w:val="auto"/>
        </w:rPr>
        <w:instrText xml:space="preserve"> HYPERLINK \l "_Toc314" </w:instrText>
      </w:r>
      <w:r>
        <w:rPr>
          <w:color w:val="auto"/>
        </w:rPr>
        <w:fldChar w:fldCharType="separate"/>
      </w:r>
      <w:r>
        <w:rPr>
          <w:rFonts w:hint="eastAsia" w:cs="宋体"/>
          <w:color w:val="auto"/>
        </w:rPr>
        <w:t>第五章  评标方法</w:t>
      </w:r>
      <w:r>
        <w:rPr>
          <w:color w:val="auto"/>
        </w:rPr>
        <w:tab/>
      </w:r>
      <w:r>
        <w:rPr>
          <w:color w:val="auto"/>
        </w:rPr>
        <w:fldChar w:fldCharType="begin"/>
      </w:r>
      <w:r>
        <w:rPr>
          <w:color w:val="auto"/>
        </w:rPr>
        <w:instrText xml:space="preserve"> PAGEREF _Toc314 \h </w:instrText>
      </w:r>
      <w:r>
        <w:rPr>
          <w:color w:val="auto"/>
        </w:rPr>
        <w:fldChar w:fldCharType="separate"/>
      </w:r>
      <w:r>
        <w:rPr>
          <w:color w:val="auto"/>
        </w:rPr>
        <w:t>34</w:t>
      </w:r>
      <w:r>
        <w:rPr>
          <w:color w:val="auto"/>
        </w:rPr>
        <w:fldChar w:fldCharType="end"/>
      </w:r>
      <w:r>
        <w:rPr>
          <w:color w:val="auto"/>
        </w:rPr>
        <w:fldChar w:fldCharType="end"/>
      </w:r>
    </w:p>
    <w:p>
      <w:pPr>
        <w:pStyle w:val="22"/>
        <w:tabs>
          <w:tab w:val="right" w:leader="dot" w:pos="8300"/>
          <w:tab w:val="clear" w:pos="1418"/>
          <w:tab w:val="clear" w:pos="8302"/>
        </w:tabs>
        <w:rPr>
          <w:color w:val="auto"/>
        </w:rPr>
      </w:pPr>
      <w:r>
        <w:rPr>
          <w:color w:val="auto"/>
        </w:rPr>
        <w:fldChar w:fldCharType="begin"/>
      </w:r>
      <w:r>
        <w:rPr>
          <w:color w:val="auto"/>
        </w:rPr>
        <w:instrText xml:space="preserve"> HYPERLINK \l "_Toc19005" </w:instrText>
      </w:r>
      <w:r>
        <w:rPr>
          <w:color w:val="auto"/>
        </w:rPr>
        <w:fldChar w:fldCharType="separate"/>
      </w:r>
      <w:r>
        <w:rPr>
          <w:rFonts w:hint="eastAsia" w:cs="宋体"/>
          <w:color w:val="auto"/>
          <w:szCs w:val="24"/>
        </w:rPr>
        <w:t>第六章  投标文件构成及格式</w:t>
      </w:r>
      <w:r>
        <w:rPr>
          <w:color w:val="auto"/>
        </w:rPr>
        <w:tab/>
      </w:r>
      <w:r>
        <w:rPr>
          <w:color w:val="auto"/>
        </w:rPr>
        <w:fldChar w:fldCharType="begin"/>
      </w:r>
      <w:r>
        <w:rPr>
          <w:color w:val="auto"/>
        </w:rPr>
        <w:instrText xml:space="preserve"> PAGEREF _Toc19005 \h </w:instrText>
      </w:r>
      <w:r>
        <w:rPr>
          <w:color w:val="auto"/>
        </w:rPr>
        <w:fldChar w:fldCharType="separate"/>
      </w:r>
      <w:r>
        <w:rPr>
          <w:color w:val="auto"/>
        </w:rPr>
        <w:t>44</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"_Toc19617" </w:instrText>
      </w:r>
      <w:r>
        <w:rPr>
          <w:color w:val="auto"/>
        </w:rPr>
        <w:fldChar w:fldCharType="separate"/>
      </w:r>
      <w:r>
        <w:rPr>
          <w:rFonts w:hint="eastAsia" w:cs="宋体"/>
          <w:color w:val="auto"/>
        </w:rPr>
        <w:t>一、投标函</w:t>
      </w:r>
      <w:r>
        <w:rPr>
          <w:color w:val="auto"/>
        </w:rPr>
        <w:tab/>
      </w:r>
      <w:r>
        <w:rPr>
          <w:color w:val="auto"/>
        </w:rPr>
        <w:fldChar w:fldCharType="begin"/>
      </w:r>
      <w:r>
        <w:rPr>
          <w:color w:val="auto"/>
        </w:rPr>
        <w:instrText xml:space="preserve"> PAGEREF _Toc19617 \h </w:instrText>
      </w:r>
      <w:r>
        <w:rPr>
          <w:color w:val="auto"/>
        </w:rPr>
        <w:fldChar w:fldCharType="separate"/>
      </w:r>
      <w:r>
        <w:rPr>
          <w:color w:val="auto"/>
        </w:rPr>
        <w:t>46</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"_Toc32545" </w:instrText>
      </w:r>
      <w:r>
        <w:rPr>
          <w:color w:val="auto"/>
        </w:rPr>
        <w:fldChar w:fldCharType="separate"/>
      </w:r>
      <w:r>
        <w:rPr>
          <w:rFonts w:hint="eastAsia" w:cs="宋体"/>
          <w:color w:val="auto"/>
          <w:szCs w:val="32"/>
        </w:rPr>
        <w:t>二、投标报价表</w:t>
      </w:r>
      <w:r>
        <w:rPr>
          <w:color w:val="auto"/>
        </w:rPr>
        <w:tab/>
      </w:r>
      <w:r>
        <w:rPr>
          <w:color w:val="auto"/>
        </w:rPr>
        <w:fldChar w:fldCharType="begin"/>
      </w:r>
      <w:r>
        <w:rPr>
          <w:color w:val="auto"/>
        </w:rPr>
        <w:instrText xml:space="preserve"> PAGEREF _Toc32545 \h </w:instrText>
      </w:r>
      <w:r>
        <w:rPr>
          <w:color w:val="auto"/>
        </w:rPr>
        <w:fldChar w:fldCharType="separate"/>
      </w:r>
      <w:r>
        <w:rPr>
          <w:color w:val="auto"/>
        </w:rPr>
        <w:t>47</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"_Toc1225" </w:instrText>
      </w:r>
      <w:r>
        <w:rPr>
          <w:color w:val="auto"/>
        </w:rPr>
        <w:fldChar w:fldCharType="separate"/>
      </w:r>
      <w:r>
        <w:rPr>
          <w:rFonts w:hint="eastAsia" w:cs="宋体"/>
          <w:color w:val="auto"/>
        </w:rPr>
        <w:t>三、投标方案说明书</w:t>
      </w:r>
      <w:r>
        <w:rPr>
          <w:color w:val="auto"/>
        </w:rPr>
        <w:tab/>
      </w:r>
      <w:r>
        <w:rPr>
          <w:color w:val="auto"/>
        </w:rPr>
        <w:fldChar w:fldCharType="begin"/>
      </w:r>
      <w:r>
        <w:rPr>
          <w:color w:val="auto"/>
        </w:rPr>
        <w:instrText xml:space="preserve"> PAGEREF _Toc1225 \h </w:instrText>
      </w:r>
      <w:r>
        <w:rPr>
          <w:color w:val="auto"/>
        </w:rPr>
        <w:fldChar w:fldCharType="separate"/>
      </w:r>
      <w:r>
        <w:rPr>
          <w:color w:val="auto"/>
        </w:rPr>
        <w:t>49</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"_Toc32197" </w:instrText>
      </w:r>
      <w:r>
        <w:rPr>
          <w:color w:val="auto"/>
        </w:rPr>
        <w:fldChar w:fldCharType="separate"/>
      </w:r>
      <w:r>
        <w:rPr>
          <w:rFonts w:hint="eastAsia" w:cs="宋体"/>
          <w:color w:val="auto"/>
          <w:szCs w:val="32"/>
        </w:rPr>
        <w:t>四、商务响应说明</w:t>
      </w:r>
      <w:r>
        <w:rPr>
          <w:color w:val="auto"/>
        </w:rPr>
        <w:tab/>
      </w:r>
      <w:r>
        <w:rPr>
          <w:color w:val="auto"/>
        </w:rPr>
        <w:fldChar w:fldCharType="begin"/>
      </w:r>
      <w:r>
        <w:rPr>
          <w:color w:val="auto"/>
        </w:rPr>
        <w:instrText xml:space="preserve"> PAGEREF _Toc32197 \h </w:instrText>
      </w:r>
      <w:r>
        <w:rPr>
          <w:color w:val="auto"/>
        </w:rPr>
        <w:fldChar w:fldCharType="separate"/>
      </w:r>
      <w:r>
        <w:rPr>
          <w:color w:val="auto"/>
        </w:rPr>
        <w:t>53</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"_Toc4263" </w:instrText>
      </w:r>
      <w:r>
        <w:rPr>
          <w:color w:val="auto"/>
        </w:rPr>
        <w:fldChar w:fldCharType="separate"/>
      </w:r>
      <w:r>
        <w:rPr>
          <w:rFonts w:hint="eastAsia" w:cs="宋体"/>
          <w:color w:val="auto"/>
          <w:szCs w:val="32"/>
        </w:rPr>
        <w:t>五、供应商承诺书</w:t>
      </w:r>
      <w:r>
        <w:rPr>
          <w:color w:val="auto"/>
        </w:rPr>
        <w:tab/>
      </w:r>
      <w:r>
        <w:rPr>
          <w:color w:val="auto"/>
        </w:rPr>
        <w:fldChar w:fldCharType="begin"/>
      </w:r>
      <w:r>
        <w:rPr>
          <w:color w:val="auto"/>
        </w:rPr>
        <w:instrText xml:space="preserve"> PAGEREF _Toc4263 \h </w:instrText>
      </w:r>
      <w:r>
        <w:rPr>
          <w:color w:val="auto"/>
        </w:rPr>
        <w:fldChar w:fldCharType="separate"/>
      </w:r>
      <w:r>
        <w:rPr>
          <w:color w:val="auto"/>
        </w:rPr>
        <w:t>56</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"_Toc19310" </w:instrText>
      </w:r>
      <w:r>
        <w:rPr>
          <w:color w:val="auto"/>
        </w:rPr>
        <w:fldChar w:fldCharType="separate"/>
      </w:r>
      <w:r>
        <w:rPr>
          <w:rFonts w:hint="eastAsia" w:cs="宋体"/>
          <w:color w:val="auto"/>
        </w:rPr>
        <w:t>六、资格证明文件</w:t>
      </w:r>
      <w:r>
        <w:rPr>
          <w:color w:val="auto"/>
        </w:rPr>
        <w:tab/>
      </w:r>
      <w:r>
        <w:rPr>
          <w:color w:val="auto"/>
        </w:rPr>
        <w:fldChar w:fldCharType="begin"/>
      </w:r>
      <w:r>
        <w:rPr>
          <w:color w:val="auto"/>
        </w:rPr>
        <w:instrText xml:space="preserve"> PAGEREF _Toc19310 \h </w:instrText>
      </w:r>
      <w:r>
        <w:rPr>
          <w:color w:val="auto"/>
        </w:rPr>
        <w:fldChar w:fldCharType="separate"/>
      </w:r>
      <w:r>
        <w:rPr>
          <w:color w:val="auto"/>
        </w:rPr>
        <w:t>57</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"_Toc14852" </w:instrText>
      </w:r>
      <w:r>
        <w:rPr>
          <w:color w:val="auto"/>
        </w:rPr>
        <w:fldChar w:fldCharType="separate"/>
      </w:r>
      <w:r>
        <w:rPr>
          <w:rFonts w:hint="eastAsia" w:cs="宋体"/>
          <w:bCs/>
          <w:color w:val="auto"/>
          <w:szCs w:val="32"/>
        </w:rPr>
        <w:t>七、保证金缴纳凭证</w:t>
      </w:r>
      <w:r>
        <w:rPr>
          <w:color w:val="auto"/>
        </w:rPr>
        <w:tab/>
      </w:r>
      <w:r>
        <w:rPr>
          <w:color w:val="auto"/>
        </w:rPr>
        <w:fldChar w:fldCharType="begin"/>
      </w:r>
      <w:r>
        <w:rPr>
          <w:color w:val="auto"/>
        </w:rPr>
        <w:instrText xml:space="preserve"> PAGEREF _Toc14852 \h </w:instrText>
      </w:r>
      <w:r>
        <w:rPr>
          <w:color w:val="auto"/>
        </w:rPr>
        <w:fldChar w:fldCharType="separate"/>
      </w:r>
      <w:r>
        <w:rPr>
          <w:color w:val="auto"/>
        </w:rPr>
        <w:t>62</w:t>
      </w:r>
      <w:r>
        <w:rPr>
          <w:color w:val="auto"/>
        </w:rPr>
        <w:fldChar w:fldCharType="end"/>
      </w:r>
      <w:r>
        <w:rPr>
          <w:color w:val="auto"/>
        </w:rPr>
        <w:fldChar w:fldCharType="end"/>
      </w:r>
    </w:p>
    <w:p>
      <w:pPr>
        <w:pStyle w:val="24"/>
        <w:tabs>
          <w:tab w:val="right" w:leader="dot" w:pos="8300"/>
          <w:tab w:val="clear" w:pos="8302"/>
        </w:tabs>
        <w:rPr>
          <w:color w:val="auto"/>
        </w:rPr>
      </w:pPr>
      <w:r>
        <w:rPr>
          <w:color w:val="auto"/>
        </w:rPr>
        <w:fldChar w:fldCharType="begin"/>
      </w:r>
      <w:r>
        <w:rPr>
          <w:color w:val="auto"/>
        </w:rPr>
        <w:instrText xml:space="preserve"> HYPERLINK \l "_Toc26098" </w:instrText>
      </w:r>
      <w:r>
        <w:rPr>
          <w:color w:val="auto"/>
        </w:rPr>
        <w:fldChar w:fldCharType="separate"/>
      </w:r>
      <w:r>
        <w:rPr>
          <w:rFonts w:hint="eastAsia" w:cs="宋体"/>
          <w:color w:val="auto"/>
          <w:szCs w:val="32"/>
        </w:rPr>
        <w:t>八、其他资料</w:t>
      </w:r>
      <w:r>
        <w:rPr>
          <w:color w:val="auto"/>
        </w:rPr>
        <w:tab/>
      </w:r>
      <w:r>
        <w:rPr>
          <w:color w:val="auto"/>
        </w:rPr>
        <w:fldChar w:fldCharType="begin"/>
      </w:r>
      <w:r>
        <w:rPr>
          <w:color w:val="auto"/>
        </w:rPr>
        <w:instrText xml:space="preserve"> PAGEREF _Toc26098 \h </w:instrText>
      </w:r>
      <w:r>
        <w:rPr>
          <w:color w:val="auto"/>
        </w:rPr>
        <w:fldChar w:fldCharType="separate"/>
      </w:r>
      <w:r>
        <w:rPr>
          <w:color w:val="auto"/>
        </w:rPr>
        <w:t>64</w:t>
      </w:r>
      <w:r>
        <w:rPr>
          <w:color w:val="auto"/>
        </w:rPr>
        <w:fldChar w:fldCharType="end"/>
      </w:r>
      <w:r>
        <w:rPr>
          <w:color w:val="auto"/>
        </w:rPr>
        <w:fldChar w:fldCharType="end"/>
      </w:r>
    </w:p>
    <w:p>
      <w:pPr>
        <w:pStyle w:val="22"/>
        <w:spacing w:line="900" w:lineRule="exact"/>
        <w:rPr>
          <w:rFonts w:cs="宋体"/>
          <w:color w:val="auto"/>
        </w:rPr>
      </w:pPr>
      <w:r>
        <w:rPr>
          <w:rFonts w:hint="eastAsia" w:cs="宋体"/>
          <w:color w:val="auto"/>
        </w:rPr>
        <w:fldChar w:fldCharType="end"/>
      </w:r>
    </w:p>
    <w:p>
      <w:pPr>
        <w:tabs>
          <w:tab w:val="left" w:pos="525"/>
        </w:tabs>
        <w:spacing w:line="560" w:lineRule="exact"/>
        <w:jc w:val="center"/>
        <w:rPr>
          <w:rFonts w:cs="宋体"/>
          <w:color w:val="auto"/>
        </w:rPr>
        <w:sectPr>
          <w:pgSz w:w="11906" w:h="16838"/>
          <w:pgMar w:top="1417" w:right="1803" w:bottom="1417" w:left="1803" w:header="1020" w:footer="992" w:gutter="0"/>
          <w:pgNumType w:start="1"/>
          <w:cols w:space="0" w:num="1"/>
          <w:titlePg/>
          <w:docGrid w:linePitch="333" w:charSpace="0"/>
        </w:sectPr>
      </w:pPr>
    </w:p>
    <w:p>
      <w:pPr>
        <w:pStyle w:val="5"/>
        <w:spacing w:line="480" w:lineRule="auto"/>
        <w:rPr>
          <w:rFonts w:ascii="宋体" w:hAnsi="宋体" w:cs="宋体"/>
          <w:color w:val="auto"/>
        </w:rPr>
      </w:pPr>
      <w:bookmarkStart w:id="12" w:name="_Toc28820"/>
      <w:bookmarkStart w:id="13" w:name="_Toc26849"/>
      <w:bookmarkStart w:id="14" w:name="_Toc32118"/>
      <w:bookmarkStart w:id="15" w:name="_Toc18993"/>
      <w:bookmarkStart w:id="16" w:name="_Toc28504"/>
      <w:bookmarkStart w:id="17" w:name="_Toc31289"/>
      <w:r>
        <w:rPr>
          <w:rFonts w:hint="eastAsia" w:ascii="宋体" w:hAnsi="宋体" w:cs="宋体"/>
          <w:color w:val="auto"/>
        </w:rPr>
        <w:t xml:space="preserve">第一章  </w:t>
      </w:r>
      <w:bookmarkEnd w:id="1"/>
      <w:bookmarkEnd w:id="2"/>
      <w:bookmarkEnd w:id="3"/>
      <w:bookmarkEnd w:id="4"/>
      <w:bookmarkEnd w:id="5"/>
      <w:bookmarkEnd w:id="6"/>
      <w:bookmarkEnd w:id="7"/>
      <w:r>
        <w:rPr>
          <w:rFonts w:hint="eastAsia" w:ascii="宋体" w:hAnsi="宋体" w:cs="宋体"/>
          <w:color w:val="auto"/>
        </w:rPr>
        <w:t>招标公告</w:t>
      </w:r>
      <w:bookmarkEnd w:id="8"/>
      <w:bookmarkEnd w:id="12"/>
      <w:bookmarkEnd w:id="13"/>
      <w:bookmarkEnd w:id="14"/>
      <w:bookmarkEnd w:id="15"/>
      <w:bookmarkEnd w:id="16"/>
      <w:bookmarkEnd w:id="17"/>
    </w:p>
    <w:p>
      <w:pPr>
        <w:widowControl/>
        <w:shd w:val="clear" w:color="auto" w:fill="FFFFFF"/>
        <w:wordWrap w:val="0"/>
        <w:spacing w:line="360" w:lineRule="auto"/>
        <w:jc w:val="left"/>
        <w:outlineLvl w:val="5"/>
        <w:rPr>
          <w:rFonts w:cs="宋体"/>
          <w:color w:val="auto"/>
          <w:sz w:val="24"/>
          <w:szCs w:val="24"/>
        </w:rPr>
      </w:pPr>
      <w:bookmarkStart w:id="18" w:name="_Toc2929"/>
      <w:bookmarkStart w:id="19" w:name="_Toc389582035"/>
      <w:bookmarkStart w:id="20" w:name="_Toc23084"/>
      <w:bookmarkStart w:id="21" w:name="_Toc426457692"/>
      <w:bookmarkStart w:id="22" w:name="_Toc30304"/>
      <w:bookmarkStart w:id="23" w:name="_Toc30042"/>
      <w:r>
        <w:rPr>
          <w:rFonts w:hint="eastAsia" w:cs="宋体"/>
          <w:b/>
          <w:bCs/>
          <w:color w:val="auto"/>
          <w:sz w:val="24"/>
          <w:szCs w:val="24"/>
        </w:rPr>
        <w:t>项目概况</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合阳县农村改厕后期管护云平台建设项目招标项目的潜在投标人应在陕西金字招标有限责任公司合阳分公司（渭南市合阳县企业服务中心3楼302室）获取招标文件，并于2022年11月10日14时00分（北京时间）前递交投标文件。</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一、项目基本情况</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项目编号：JZZB2022-1170</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项目名称：合阳县农村改厕后期管护云平台建设项目</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采购方式：公开招标</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预算金额：3,477,899.00元</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采购需求：</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合同包1(合阳县农村改厕后期管护云平台建设项目):</w:t>
      </w:r>
    </w:p>
    <w:p>
      <w:pPr>
        <w:widowControl/>
        <w:shd w:val="clear" w:color="auto" w:fill="FFFFFF"/>
        <w:wordWrap w:val="0"/>
        <w:spacing w:line="360" w:lineRule="auto"/>
        <w:ind w:firstLine="630"/>
        <w:rPr>
          <w:rFonts w:cs="宋体"/>
          <w:color w:val="auto"/>
          <w:sz w:val="24"/>
          <w:szCs w:val="24"/>
        </w:rPr>
      </w:pPr>
      <w:r>
        <w:rPr>
          <w:rFonts w:hint="eastAsia" w:cs="宋体"/>
          <w:color w:val="auto"/>
          <w:sz w:val="24"/>
          <w:szCs w:val="24"/>
        </w:rPr>
        <w:t>合同包预算金额：3,477,899.00元</w:t>
      </w:r>
    </w:p>
    <w:p>
      <w:pPr>
        <w:widowControl/>
        <w:shd w:val="clear" w:color="auto" w:fill="FFFFFF"/>
        <w:wordWrap w:val="0"/>
        <w:spacing w:line="360" w:lineRule="auto"/>
        <w:ind w:firstLine="630"/>
        <w:rPr>
          <w:rFonts w:cs="宋体"/>
          <w:color w:val="auto"/>
          <w:sz w:val="24"/>
          <w:szCs w:val="24"/>
        </w:rPr>
      </w:pPr>
      <w:r>
        <w:rPr>
          <w:rFonts w:hint="eastAsia" w:cs="宋体"/>
          <w:color w:val="auto"/>
          <w:sz w:val="24"/>
          <w:szCs w:val="24"/>
        </w:rPr>
        <w:t>合同包最高限价：3,477,899.00元</w:t>
      </w:r>
    </w:p>
    <w:tbl>
      <w:tblPr>
        <w:tblStyle w:val="2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1"/>
        <w:gridCol w:w="1369"/>
        <w:gridCol w:w="1369"/>
        <w:gridCol w:w="852"/>
        <w:gridCol w:w="1192"/>
        <w:gridCol w:w="1568"/>
        <w:gridCol w:w="15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品目号</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品目名称</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采购标的</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数量（单位）</w:t>
            </w:r>
          </w:p>
        </w:tc>
        <w:tc>
          <w:tcPr>
            <w:tcW w:w="30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技术规格、参数及要求</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品目预算(元)</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b/>
                <w:bCs/>
                <w:color w:val="auto"/>
                <w:szCs w:val="21"/>
              </w:rPr>
            </w:pPr>
            <w:r>
              <w:rPr>
                <w:rFonts w:hint="eastAsia" w:cs="宋体"/>
                <w:b/>
                <w:bCs/>
                <w:color w:val="auto"/>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color w:val="auto"/>
                <w:szCs w:val="21"/>
              </w:rPr>
            </w:pPr>
            <w:r>
              <w:rPr>
                <w:rFonts w:hint="eastAsia" w:cs="宋体"/>
                <w:color w:val="auto"/>
                <w:szCs w:val="21"/>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color w:val="auto"/>
                <w:szCs w:val="21"/>
              </w:rPr>
            </w:pPr>
            <w:r>
              <w:rPr>
                <w:rFonts w:hint="eastAsia" w:cs="宋体"/>
                <w:color w:val="auto"/>
                <w:szCs w:val="21"/>
              </w:rPr>
              <w:t>软件运维服务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color w:val="auto"/>
                <w:szCs w:val="21"/>
              </w:rPr>
            </w:pPr>
            <w:r>
              <w:rPr>
                <w:rFonts w:hint="eastAsia" w:cs="宋体"/>
                <w:color w:val="auto"/>
                <w:szCs w:val="21"/>
              </w:rPr>
              <w:t>合阳县农村改厕后期管护云平台建设项目</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color w:val="auto"/>
                <w:szCs w:val="21"/>
              </w:rPr>
            </w:pPr>
            <w:r>
              <w:rPr>
                <w:rFonts w:hint="eastAsia" w:cs="宋体"/>
                <w:color w:val="auto"/>
                <w:szCs w:val="21"/>
              </w:rPr>
              <w:t>1(项)</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cs="宋体"/>
                <w:color w:val="auto"/>
                <w:szCs w:val="21"/>
              </w:rPr>
            </w:pPr>
            <w:r>
              <w:rPr>
                <w:rFonts w:hint="eastAsia" w:cs="宋体"/>
                <w:color w:val="auto"/>
                <w:szCs w:val="21"/>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right"/>
              <w:rPr>
                <w:rFonts w:cs="宋体"/>
                <w:color w:val="auto"/>
                <w:szCs w:val="21"/>
              </w:rPr>
            </w:pPr>
            <w:r>
              <w:rPr>
                <w:rFonts w:hint="eastAsia" w:cs="宋体"/>
                <w:color w:val="auto"/>
                <w:szCs w:val="21"/>
              </w:rPr>
              <w:t>3,477,899.00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right"/>
              <w:rPr>
                <w:rFonts w:cs="宋体"/>
                <w:color w:val="auto"/>
                <w:szCs w:val="21"/>
              </w:rPr>
            </w:pPr>
            <w:r>
              <w:rPr>
                <w:rFonts w:hint="eastAsia" w:cs="宋体"/>
                <w:color w:val="auto"/>
                <w:szCs w:val="21"/>
              </w:rPr>
              <w:t>3,477,899.00</w:t>
            </w:r>
          </w:p>
        </w:tc>
      </w:tr>
    </w:tbl>
    <w:p>
      <w:pPr>
        <w:widowControl/>
        <w:shd w:val="clear" w:color="auto" w:fill="FFFFFF"/>
        <w:wordWrap w:val="0"/>
        <w:spacing w:line="360" w:lineRule="auto"/>
        <w:ind w:firstLine="630"/>
        <w:rPr>
          <w:rFonts w:cs="宋体"/>
          <w:color w:val="auto"/>
          <w:sz w:val="24"/>
          <w:szCs w:val="24"/>
        </w:rPr>
      </w:pPr>
      <w:r>
        <w:rPr>
          <w:rFonts w:hint="eastAsia" w:cs="宋体"/>
          <w:color w:val="auto"/>
          <w:sz w:val="24"/>
          <w:szCs w:val="24"/>
        </w:rPr>
        <w:t>本合同包不接受联合体投标</w:t>
      </w:r>
    </w:p>
    <w:p>
      <w:pPr>
        <w:widowControl/>
        <w:shd w:val="clear" w:color="auto" w:fill="FFFFFF"/>
        <w:wordWrap w:val="0"/>
        <w:spacing w:line="360" w:lineRule="auto"/>
        <w:ind w:firstLine="630"/>
        <w:rPr>
          <w:rFonts w:cs="宋体"/>
          <w:color w:val="auto"/>
          <w:sz w:val="24"/>
          <w:szCs w:val="24"/>
        </w:rPr>
      </w:pPr>
      <w:r>
        <w:rPr>
          <w:rFonts w:hint="eastAsia" w:cs="宋体"/>
          <w:color w:val="auto"/>
          <w:sz w:val="24"/>
          <w:szCs w:val="24"/>
        </w:rPr>
        <w:t>合同履行期限：合同签订后3年</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二、申请人的资格要求：</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1.满足《中华人民共和国政府采购法》第二十二条规定;</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2.落实政府采购政策需满足的资格要求：</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合同包1(合阳县农村改厕后期管护云平台建设项目)落实政府采购政策需满足的资格要求如下:</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陕西省财政厅关于印发《陕西省中小企业政府采购信用融资办法》（陕财办采〔2018〕23号）；《陕西省财政厅关于加快推进我省中小企业政府采购信用融资工作的通知》（陕财办采〔2020〕15号）；《陕西省财政厅关于进一步加大政府采购支持中小企业力度的通知》（陕财办采〔2022〕5号）。</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（3）《财政部关于印发&lt;进口产品管理办法&gt;的通知》（财库[2007]119号）；《财政部办公厅关于政府采购进口产品管理有关问题的通知》（财办库[2008]248号）。</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（4）支持创新等政府采购政策。</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（5）《财政部国务院扶贫办关于运用政府采购政策支持脱贫攻坚的通知》（财库〔2019〕27号）、《关于运用政府采购政策支持乡村产业振兴的通知》（财库〔2021〕19 号）</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3.本项目的特定资格要求：</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合同包1(合阳县农村改厕后期管护云平台建设项目)特定资格要求如下:</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（1）法定代表人直接参加投标的，须出具法人身份证明及身份证；法定代表人授权代表参加投标的，须出具法定代表人授权书及授权代表身份证； </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（2）单位负责人为同一人或者存在直接控股、管理关系的不同供应商，不得参加同一合同项下的政府采购活动；</w:t>
      </w:r>
    </w:p>
    <w:p>
      <w:pPr>
        <w:widowControl/>
        <w:shd w:val="clear" w:color="auto" w:fill="FFFFFF"/>
        <w:wordWrap w:val="0"/>
        <w:spacing w:line="360" w:lineRule="auto"/>
        <w:ind w:firstLine="480" w:firstLineChars="200"/>
        <w:rPr>
          <w:rFonts w:cs="宋体"/>
          <w:color w:val="auto"/>
          <w:sz w:val="24"/>
          <w:szCs w:val="24"/>
        </w:rPr>
      </w:pPr>
      <w:r>
        <w:rPr>
          <w:rFonts w:hint="eastAsia" w:cs="宋体"/>
          <w:color w:val="auto"/>
          <w:sz w:val="24"/>
          <w:szCs w:val="24"/>
        </w:rPr>
        <w:t>（3）本项目专门面向中小企业采购。</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三、获取招标文件</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时间：2022年10月18日至2022年10月25日，每天上午09:00:00至12:00:00，下午14:00:00至17:00:00（北京时间）</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途径：陕西金字招标有限责任公司合阳分公司（渭南市合阳县企业服务中心3楼302室）</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方式：现场获取</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售价：500元</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四、提交投标文件截止时间、开标时间和地点</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时间：2022年11月10日14时00分00秒 （北京时间）</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提交投标文件地点：陕西金字招标有限责任公司合阳分公司（渭南市合阳县企业服务中心3楼302室）</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开标地点：陕西金字招标有限责任公司合阳分公司（渭南市合阳县企业服务中心3楼302室）</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五、公告期限</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自本公告发布之日起5个工作日。</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六、其他补充事宜</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1）获取招标文件时，请携带单位介绍信、本人身份证原件及复印件（复印件须加盖单位原色鲜章、节假日除外）。（2）请投标人按照《陕西省财政厅关于政府采购供应商注册登记有关事项的通知》中的要求，通过陕西省政府采购网（http://www.ccgp-shaanxi.gov.cn/）注册登记加入陕西省政府采购供应商库。</w:t>
      </w:r>
    </w:p>
    <w:p>
      <w:pPr>
        <w:widowControl/>
        <w:shd w:val="clear" w:color="auto" w:fill="FFFFFF"/>
        <w:wordWrap w:val="0"/>
        <w:spacing w:line="360" w:lineRule="auto"/>
        <w:jc w:val="left"/>
        <w:outlineLvl w:val="3"/>
        <w:rPr>
          <w:rFonts w:cs="宋体"/>
          <w:color w:val="auto"/>
          <w:sz w:val="24"/>
          <w:szCs w:val="24"/>
        </w:rPr>
      </w:pPr>
      <w:r>
        <w:rPr>
          <w:rFonts w:hint="eastAsia" w:cs="宋体"/>
          <w:b/>
          <w:bCs/>
          <w:color w:val="auto"/>
          <w:sz w:val="24"/>
          <w:szCs w:val="24"/>
        </w:rPr>
        <w:t>七、对本次招标提出询问，请按以下方式联系。</w:t>
      </w:r>
    </w:p>
    <w:p>
      <w:pPr>
        <w:widowControl/>
        <w:shd w:val="clear" w:color="auto" w:fill="FFFFFF"/>
        <w:wordWrap w:val="0"/>
        <w:spacing w:line="360" w:lineRule="auto"/>
        <w:ind w:firstLine="480" w:firstLineChars="200"/>
        <w:jc w:val="left"/>
        <w:outlineLvl w:val="5"/>
        <w:rPr>
          <w:rFonts w:cs="宋体"/>
          <w:color w:val="auto"/>
          <w:sz w:val="24"/>
          <w:szCs w:val="24"/>
        </w:rPr>
      </w:pPr>
      <w:r>
        <w:rPr>
          <w:rFonts w:hint="eastAsia" w:cs="宋体"/>
          <w:color w:val="auto"/>
          <w:sz w:val="24"/>
          <w:szCs w:val="24"/>
        </w:rPr>
        <w:t>1.采购人信息</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名称：合阳县乡村振兴服务中心</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地址：合阳县商南路城关二小对面</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联系方式：13891449081</w:t>
      </w:r>
    </w:p>
    <w:p>
      <w:pPr>
        <w:widowControl/>
        <w:shd w:val="clear" w:color="auto" w:fill="FFFFFF"/>
        <w:wordWrap w:val="0"/>
        <w:spacing w:line="360" w:lineRule="auto"/>
        <w:ind w:firstLine="480" w:firstLineChars="200"/>
        <w:jc w:val="left"/>
        <w:outlineLvl w:val="5"/>
        <w:rPr>
          <w:rFonts w:cs="宋体"/>
          <w:color w:val="auto"/>
          <w:sz w:val="24"/>
          <w:szCs w:val="24"/>
        </w:rPr>
      </w:pPr>
      <w:r>
        <w:rPr>
          <w:rFonts w:hint="eastAsia" w:cs="宋体"/>
          <w:color w:val="auto"/>
          <w:sz w:val="24"/>
          <w:szCs w:val="24"/>
        </w:rPr>
        <w:t>2.采购代理机构信息</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名称：陕西金字招标有限责任公司</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地址：西安市新城区南新街28-8号4楼</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联系方式：029-87976716-602</w:t>
      </w:r>
    </w:p>
    <w:p>
      <w:pPr>
        <w:widowControl/>
        <w:shd w:val="clear" w:color="auto" w:fill="FFFFFF"/>
        <w:wordWrap w:val="0"/>
        <w:spacing w:line="360" w:lineRule="auto"/>
        <w:ind w:firstLine="480" w:firstLineChars="200"/>
        <w:jc w:val="left"/>
        <w:outlineLvl w:val="5"/>
        <w:rPr>
          <w:rFonts w:cs="宋体"/>
          <w:color w:val="auto"/>
          <w:sz w:val="24"/>
          <w:szCs w:val="24"/>
        </w:rPr>
      </w:pPr>
      <w:r>
        <w:rPr>
          <w:rFonts w:hint="eastAsia" w:cs="宋体"/>
          <w:color w:val="auto"/>
          <w:sz w:val="24"/>
          <w:szCs w:val="24"/>
        </w:rPr>
        <w:t>3.项目联系方式</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项目联系人：卢荣丹</w:t>
      </w:r>
    </w:p>
    <w:p>
      <w:pPr>
        <w:widowControl/>
        <w:shd w:val="clear" w:color="auto" w:fill="FFFFFF"/>
        <w:wordWrap w:val="0"/>
        <w:spacing w:line="360" w:lineRule="auto"/>
        <w:ind w:firstLine="480"/>
        <w:rPr>
          <w:rFonts w:cs="宋体"/>
          <w:color w:val="auto"/>
          <w:sz w:val="24"/>
          <w:szCs w:val="24"/>
        </w:rPr>
      </w:pPr>
      <w:r>
        <w:rPr>
          <w:rFonts w:hint="eastAsia" w:cs="宋体"/>
          <w:color w:val="auto"/>
          <w:sz w:val="24"/>
          <w:szCs w:val="24"/>
        </w:rPr>
        <w:t>电话：029-87976716-602</w:t>
      </w:r>
    </w:p>
    <w:p>
      <w:pPr>
        <w:widowControl/>
        <w:shd w:val="clear" w:color="auto" w:fill="FFFFFF"/>
        <w:wordWrap w:val="0"/>
        <w:spacing w:line="360" w:lineRule="auto"/>
        <w:ind w:firstLine="480"/>
        <w:jc w:val="right"/>
        <w:rPr>
          <w:rFonts w:cs="宋体"/>
          <w:color w:val="auto"/>
          <w:sz w:val="24"/>
          <w:szCs w:val="24"/>
        </w:rPr>
      </w:pPr>
    </w:p>
    <w:p>
      <w:pPr>
        <w:widowControl/>
        <w:shd w:val="clear" w:color="auto" w:fill="FFFFFF"/>
        <w:spacing w:line="360" w:lineRule="auto"/>
        <w:ind w:right="630" w:firstLine="480"/>
        <w:jc w:val="right"/>
        <w:rPr>
          <w:rFonts w:cs="宋体"/>
          <w:color w:val="auto"/>
          <w:sz w:val="24"/>
          <w:szCs w:val="24"/>
        </w:rPr>
      </w:pPr>
      <w:r>
        <w:rPr>
          <w:rFonts w:hint="eastAsia" w:cs="宋体"/>
          <w:color w:val="auto"/>
          <w:sz w:val="24"/>
          <w:szCs w:val="24"/>
        </w:rPr>
        <w:t>陕西金字招标有限责任公司</w:t>
      </w:r>
    </w:p>
    <w:p>
      <w:pPr>
        <w:widowControl/>
        <w:shd w:val="clear" w:color="auto" w:fill="FFFFFF"/>
        <w:spacing w:line="360" w:lineRule="auto"/>
        <w:ind w:right="840" w:firstLine="480"/>
        <w:rPr>
          <w:rFonts w:cs="宋体"/>
          <w:color w:val="auto"/>
          <w:sz w:val="24"/>
          <w:szCs w:val="24"/>
        </w:rPr>
      </w:pPr>
      <w:r>
        <w:rPr>
          <w:rFonts w:hint="eastAsia" w:cs="宋体"/>
          <w:color w:val="auto"/>
          <w:sz w:val="24"/>
          <w:szCs w:val="24"/>
        </w:rPr>
        <w:t xml:space="preserve">                                       2022年10月18日</w:t>
      </w:r>
    </w:p>
    <w:p>
      <w:pPr>
        <w:rPr>
          <w:rStyle w:val="34"/>
          <w:rFonts w:ascii="宋体" w:hAnsi="宋体" w:cs="宋体"/>
          <w:color w:val="auto"/>
          <w:sz w:val="36"/>
          <w:szCs w:val="36"/>
        </w:rPr>
      </w:pPr>
      <w:r>
        <w:rPr>
          <w:rStyle w:val="34"/>
          <w:rFonts w:hint="eastAsia" w:ascii="宋体" w:hAnsi="宋体" w:cs="宋体"/>
          <w:color w:val="auto"/>
          <w:sz w:val="36"/>
          <w:szCs w:val="36"/>
        </w:rPr>
        <w:br w:type="page"/>
      </w:r>
    </w:p>
    <w:p>
      <w:pPr>
        <w:pStyle w:val="5"/>
        <w:rPr>
          <w:rStyle w:val="34"/>
          <w:rFonts w:ascii="宋体" w:hAnsi="宋体" w:cs="宋体"/>
          <w:b/>
          <w:color w:val="auto"/>
          <w:sz w:val="36"/>
          <w:szCs w:val="36"/>
        </w:rPr>
      </w:pPr>
      <w:bookmarkStart w:id="24" w:name="_Toc960"/>
      <w:r>
        <w:rPr>
          <w:rStyle w:val="34"/>
          <w:rFonts w:hint="eastAsia" w:ascii="宋体" w:hAnsi="宋体" w:cs="宋体"/>
          <w:b/>
          <w:color w:val="auto"/>
          <w:sz w:val="36"/>
          <w:szCs w:val="36"/>
        </w:rPr>
        <w:t xml:space="preserve">第二章  </w:t>
      </w:r>
      <w:bookmarkEnd w:id="18"/>
      <w:bookmarkEnd w:id="19"/>
      <w:r>
        <w:rPr>
          <w:rStyle w:val="34"/>
          <w:rFonts w:hint="eastAsia" w:ascii="宋体" w:hAnsi="宋体" w:cs="宋体"/>
          <w:b/>
          <w:color w:val="auto"/>
          <w:sz w:val="36"/>
          <w:szCs w:val="36"/>
        </w:rPr>
        <w:t>供应商须知</w:t>
      </w:r>
      <w:bookmarkEnd w:id="20"/>
      <w:bookmarkEnd w:id="21"/>
      <w:bookmarkEnd w:id="24"/>
    </w:p>
    <w:bookmarkEnd w:id="22"/>
    <w:bookmarkEnd w:id="23"/>
    <w:p>
      <w:pPr>
        <w:pStyle w:val="6"/>
        <w:spacing w:before="120" w:after="120"/>
        <w:rPr>
          <w:rFonts w:ascii="宋体" w:hAnsi="宋体" w:cs="宋体"/>
          <w:color w:val="auto"/>
          <w:sz w:val="32"/>
        </w:rPr>
      </w:pPr>
      <w:bookmarkStart w:id="25" w:name="_Toc30083"/>
      <w:bookmarkStart w:id="26" w:name="_Toc23108"/>
      <w:bookmarkStart w:id="27" w:name="_Toc13232"/>
      <w:bookmarkStart w:id="28" w:name="_Toc24746"/>
      <w:bookmarkStart w:id="29" w:name="_Toc11975"/>
      <w:bookmarkStart w:id="30" w:name="_Toc30222"/>
      <w:bookmarkStart w:id="31" w:name="_Toc426457693"/>
      <w:bookmarkStart w:id="32" w:name="_Toc8627"/>
      <w:r>
        <w:rPr>
          <w:rFonts w:hint="eastAsia" w:ascii="宋体" w:hAnsi="宋体" w:cs="宋体"/>
          <w:color w:val="auto"/>
          <w:sz w:val="32"/>
        </w:rPr>
        <w:t>供应商须知前附表</w:t>
      </w:r>
      <w:bookmarkEnd w:id="25"/>
      <w:bookmarkEnd w:id="26"/>
      <w:bookmarkEnd w:id="27"/>
      <w:bookmarkEnd w:id="28"/>
      <w:bookmarkEnd w:id="29"/>
      <w:bookmarkEnd w:id="30"/>
      <w:bookmarkEnd w:id="31"/>
      <w:bookmarkEnd w:id="32"/>
    </w:p>
    <w:tbl>
      <w:tblPr>
        <w:tblStyle w:val="2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48"/>
        <w:gridCol w:w="7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tblHeader/>
          <w:jc w:val="center"/>
        </w:trPr>
        <w:tc>
          <w:tcPr>
            <w:tcW w:w="687" w:type="pct"/>
            <w:vAlign w:val="center"/>
          </w:tcPr>
          <w:p>
            <w:pPr>
              <w:spacing w:line="360" w:lineRule="auto"/>
              <w:jc w:val="center"/>
              <w:rPr>
                <w:rFonts w:cs="宋体"/>
                <w:b/>
                <w:bCs/>
                <w:color w:val="auto"/>
                <w:szCs w:val="21"/>
              </w:rPr>
            </w:pPr>
            <w:r>
              <w:rPr>
                <w:rFonts w:hint="eastAsia" w:cs="宋体"/>
                <w:b/>
                <w:bCs/>
                <w:color w:val="auto"/>
                <w:szCs w:val="21"/>
              </w:rPr>
              <w:t>序号</w:t>
            </w:r>
          </w:p>
        </w:tc>
        <w:tc>
          <w:tcPr>
            <w:tcW w:w="4312" w:type="pct"/>
            <w:vAlign w:val="center"/>
          </w:tcPr>
          <w:p>
            <w:pPr>
              <w:spacing w:line="360" w:lineRule="auto"/>
              <w:jc w:val="center"/>
              <w:rPr>
                <w:rFonts w:cs="宋体"/>
                <w:b/>
                <w:bCs/>
                <w:color w:val="auto"/>
                <w:szCs w:val="21"/>
              </w:rPr>
            </w:pPr>
            <w:r>
              <w:rPr>
                <w:rFonts w:hint="eastAsia" w:cs="宋体"/>
                <w:b/>
                <w:bCs/>
                <w:color w:val="auto"/>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Cs w:val="21"/>
              </w:rPr>
            </w:pPr>
            <w:r>
              <w:rPr>
                <w:rFonts w:hint="eastAsia" w:cs="宋体"/>
                <w:color w:val="auto"/>
                <w:szCs w:val="21"/>
              </w:rPr>
              <w:t>1</w:t>
            </w:r>
          </w:p>
        </w:tc>
        <w:tc>
          <w:tcPr>
            <w:tcW w:w="4312" w:type="pct"/>
          </w:tcPr>
          <w:p>
            <w:pPr>
              <w:spacing w:line="360" w:lineRule="auto"/>
              <w:rPr>
                <w:rFonts w:cs="宋体"/>
                <w:color w:val="auto"/>
                <w:szCs w:val="21"/>
              </w:rPr>
            </w:pPr>
            <w:r>
              <w:rPr>
                <w:rFonts w:hint="eastAsia" w:cs="宋体"/>
                <w:color w:val="auto"/>
                <w:szCs w:val="21"/>
              </w:rPr>
              <w:t xml:space="preserve">名称：合阳县乡村振兴服务中心   </w:t>
            </w:r>
          </w:p>
          <w:p>
            <w:pPr>
              <w:spacing w:line="360" w:lineRule="auto"/>
              <w:rPr>
                <w:rFonts w:cs="宋体"/>
                <w:color w:val="auto"/>
                <w:szCs w:val="21"/>
              </w:rPr>
            </w:pPr>
            <w:r>
              <w:rPr>
                <w:rFonts w:hint="eastAsia" w:cs="宋体"/>
                <w:color w:val="auto"/>
                <w:szCs w:val="21"/>
              </w:rPr>
              <w:t xml:space="preserve">联系地址：合阳县商南路城关二小对面 </w:t>
            </w:r>
          </w:p>
          <w:p>
            <w:pPr>
              <w:spacing w:line="360" w:lineRule="auto"/>
              <w:rPr>
                <w:rFonts w:cs="宋体"/>
                <w:color w:val="auto"/>
                <w:szCs w:val="21"/>
              </w:rPr>
            </w:pPr>
            <w:r>
              <w:rPr>
                <w:rFonts w:hint="eastAsia" w:cs="宋体"/>
                <w:color w:val="auto"/>
                <w:szCs w:val="21"/>
              </w:rPr>
              <w:t xml:space="preserve">联系电话：13891449081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Cs w:val="21"/>
              </w:rPr>
            </w:pPr>
            <w:r>
              <w:rPr>
                <w:rFonts w:hint="eastAsia" w:cs="宋体"/>
                <w:color w:val="auto"/>
                <w:szCs w:val="21"/>
              </w:rPr>
              <w:t>2</w:t>
            </w:r>
          </w:p>
        </w:tc>
        <w:tc>
          <w:tcPr>
            <w:tcW w:w="4312" w:type="pct"/>
          </w:tcPr>
          <w:p>
            <w:pPr>
              <w:spacing w:line="360" w:lineRule="auto"/>
              <w:rPr>
                <w:rFonts w:cs="宋体"/>
                <w:color w:val="auto"/>
                <w:szCs w:val="21"/>
              </w:rPr>
            </w:pPr>
            <w:r>
              <w:rPr>
                <w:rFonts w:hint="eastAsia" w:cs="宋体"/>
                <w:color w:val="auto"/>
                <w:szCs w:val="21"/>
              </w:rPr>
              <w:t>名称：陕西金字招标有限责任公司</w:t>
            </w:r>
          </w:p>
          <w:p>
            <w:pPr>
              <w:spacing w:line="360" w:lineRule="auto"/>
              <w:rPr>
                <w:rFonts w:cs="宋体"/>
                <w:color w:val="auto"/>
                <w:szCs w:val="21"/>
              </w:rPr>
            </w:pPr>
            <w:r>
              <w:rPr>
                <w:rFonts w:hint="eastAsia" w:cs="宋体"/>
                <w:color w:val="auto"/>
                <w:szCs w:val="21"/>
              </w:rPr>
              <w:t>地址：西安市新城区南新街28-8号4楼</w:t>
            </w:r>
          </w:p>
          <w:p>
            <w:pPr>
              <w:spacing w:line="360" w:lineRule="auto"/>
              <w:rPr>
                <w:rFonts w:cs="宋体"/>
                <w:color w:val="auto"/>
                <w:szCs w:val="21"/>
              </w:rPr>
            </w:pPr>
            <w:r>
              <w:rPr>
                <w:rFonts w:hint="eastAsia" w:cs="宋体"/>
                <w:color w:val="auto"/>
                <w:szCs w:val="21"/>
              </w:rPr>
              <w:t>联系人：卢荣丹</w:t>
            </w:r>
          </w:p>
          <w:p>
            <w:pPr>
              <w:spacing w:line="360" w:lineRule="auto"/>
              <w:rPr>
                <w:rFonts w:cs="宋体"/>
                <w:color w:val="auto"/>
                <w:szCs w:val="21"/>
              </w:rPr>
            </w:pPr>
            <w:r>
              <w:rPr>
                <w:rFonts w:hint="eastAsia" w:cs="宋体"/>
                <w:color w:val="auto"/>
                <w:szCs w:val="21"/>
              </w:rPr>
              <w:t>联系方式：029-87976716-602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 w:hRule="atLeast"/>
          <w:jc w:val="center"/>
        </w:trPr>
        <w:tc>
          <w:tcPr>
            <w:tcW w:w="687" w:type="pct"/>
            <w:vAlign w:val="center"/>
          </w:tcPr>
          <w:p>
            <w:pPr>
              <w:spacing w:line="360" w:lineRule="auto"/>
              <w:jc w:val="center"/>
              <w:rPr>
                <w:rFonts w:cs="宋体"/>
                <w:color w:val="auto"/>
                <w:szCs w:val="21"/>
              </w:rPr>
            </w:pPr>
            <w:r>
              <w:rPr>
                <w:rFonts w:hint="eastAsia" w:cs="宋体"/>
                <w:color w:val="auto"/>
                <w:szCs w:val="21"/>
              </w:rPr>
              <w:t>3</w:t>
            </w:r>
          </w:p>
        </w:tc>
        <w:tc>
          <w:tcPr>
            <w:tcW w:w="4312" w:type="pct"/>
            <w:vAlign w:val="center"/>
          </w:tcPr>
          <w:p>
            <w:pPr>
              <w:spacing w:line="360" w:lineRule="auto"/>
              <w:rPr>
                <w:rFonts w:cs="宋体"/>
                <w:color w:val="auto"/>
                <w:szCs w:val="21"/>
              </w:rPr>
            </w:pPr>
            <w:r>
              <w:rPr>
                <w:rFonts w:hint="eastAsia" w:cs="宋体"/>
                <w:color w:val="auto"/>
                <w:szCs w:val="21"/>
              </w:rPr>
              <w:t>不允许实质性偏离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Cs w:val="21"/>
              </w:rPr>
            </w:pPr>
            <w:r>
              <w:rPr>
                <w:rFonts w:hint="eastAsia" w:cs="宋体"/>
                <w:color w:val="auto"/>
                <w:szCs w:val="21"/>
              </w:rPr>
              <w:t>4</w:t>
            </w:r>
          </w:p>
        </w:tc>
        <w:tc>
          <w:tcPr>
            <w:tcW w:w="4312" w:type="pct"/>
            <w:vAlign w:val="center"/>
          </w:tcPr>
          <w:p>
            <w:pPr>
              <w:spacing w:line="360" w:lineRule="auto"/>
              <w:rPr>
                <w:rFonts w:cs="宋体"/>
                <w:color w:val="auto"/>
                <w:szCs w:val="21"/>
              </w:rPr>
            </w:pPr>
            <w:r>
              <w:rPr>
                <w:rFonts w:hint="eastAsia" w:cs="宋体"/>
                <w:color w:val="auto"/>
                <w:szCs w:val="21"/>
              </w:rPr>
              <w:t>对于供应商在规定时间内依法提出的询问和质疑，采购代理机构将在三个工作日内答复询问，七个工作日内答复质疑。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687" w:type="pct"/>
            <w:vAlign w:val="center"/>
          </w:tcPr>
          <w:p>
            <w:pPr>
              <w:spacing w:line="360" w:lineRule="auto"/>
              <w:jc w:val="center"/>
              <w:rPr>
                <w:rFonts w:hint="eastAsia" w:eastAsia="宋体" w:cs="宋体"/>
                <w:color w:val="auto"/>
                <w:szCs w:val="21"/>
                <w:lang w:eastAsia="zh-CN"/>
              </w:rPr>
            </w:pPr>
            <w:r>
              <w:rPr>
                <w:rFonts w:hint="eastAsia" w:cs="宋体"/>
                <w:color w:val="auto"/>
                <w:szCs w:val="21"/>
                <w:lang w:val="en-US" w:eastAsia="zh-CN"/>
              </w:rPr>
              <w:t>5</w:t>
            </w:r>
          </w:p>
        </w:tc>
        <w:tc>
          <w:tcPr>
            <w:tcW w:w="4312" w:type="pct"/>
          </w:tcPr>
          <w:p>
            <w:pPr>
              <w:spacing w:line="360" w:lineRule="auto"/>
              <w:rPr>
                <w:rFonts w:cs="宋体"/>
                <w:color w:val="auto"/>
                <w:szCs w:val="21"/>
              </w:rPr>
            </w:pPr>
            <w:r>
              <w:rPr>
                <w:rFonts w:hint="eastAsia" w:cs="宋体"/>
                <w:color w:val="auto"/>
                <w:szCs w:val="21"/>
              </w:rPr>
              <w:t>本次投标的最小单元为“项目全部内容”。任何不完全的投标将按照无效投标处理。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eastAsia" w:eastAsia="宋体" w:cs="宋体"/>
                <w:color w:val="auto"/>
                <w:szCs w:val="21"/>
                <w:lang w:eastAsia="zh-CN"/>
              </w:rPr>
            </w:pPr>
            <w:r>
              <w:rPr>
                <w:rFonts w:hint="eastAsia" w:cs="宋体"/>
                <w:color w:val="auto"/>
                <w:szCs w:val="21"/>
                <w:lang w:val="en-US" w:eastAsia="zh-CN"/>
              </w:rPr>
              <w:t>6</w:t>
            </w:r>
          </w:p>
        </w:tc>
        <w:tc>
          <w:tcPr>
            <w:tcW w:w="4312" w:type="pct"/>
          </w:tcPr>
          <w:p>
            <w:pPr>
              <w:spacing w:line="360" w:lineRule="auto"/>
              <w:rPr>
                <w:rFonts w:cs="宋体"/>
                <w:color w:val="auto"/>
                <w:szCs w:val="21"/>
              </w:rPr>
            </w:pPr>
            <w:r>
              <w:rPr>
                <w:rFonts w:hint="eastAsia" w:cs="宋体"/>
                <w:color w:val="auto"/>
                <w:szCs w:val="21"/>
              </w:rPr>
              <w:t>投标报价是供应商为完成本项目要求的全部服务（含为完成服务提供的货物）内容最终价格的体现。</w:t>
            </w:r>
          </w:p>
          <w:p>
            <w:pPr>
              <w:spacing w:line="360" w:lineRule="auto"/>
              <w:rPr>
                <w:rFonts w:cs="宋体"/>
                <w:color w:val="auto"/>
                <w:szCs w:val="21"/>
              </w:rPr>
            </w:pPr>
            <w:r>
              <w:rPr>
                <w:rFonts w:hint="eastAsia" w:cs="宋体"/>
                <w:color w:val="auto"/>
                <w:szCs w:val="21"/>
              </w:rPr>
              <w:t>供应商所报的价格应考虑到可能发生的所有与完成本项目相关服务及履行合同义务有关的一切费用，任何有选择的报价将不予接受，按无效投标处理。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4" w:hRule="atLeast"/>
          <w:jc w:val="center"/>
        </w:trPr>
        <w:tc>
          <w:tcPr>
            <w:tcW w:w="687" w:type="pct"/>
            <w:vAlign w:val="center"/>
          </w:tcPr>
          <w:p>
            <w:pPr>
              <w:spacing w:line="360" w:lineRule="auto"/>
              <w:jc w:val="center"/>
              <w:rPr>
                <w:rFonts w:hint="eastAsia" w:eastAsia="宋体" w:cs="宋体"/>
                <w:color w:val="auto"/>
                <w:szCs w:val="21"/>
                <w:lang w:eastAsia="zh-CN"/>
              </w:rPr>
            </w:pPr>
            <w:r>
              <w:rPr>
                <w:rFonts w:hint="eastAsia" w:cs="宋体"/>
                <w:color w:val="auto"/>
                <w:szCs w:val="21"/>
                <w:lang w:val="en-US" w:eastAsia="zh-CN"/>
              </w:rPr>
              <w:t>7</w:t>
            </w:r>
          </w:p>
        </w:tc>
        <w:tc>
          <w:tcPr>
            <w:tcW w:w="4312" w:type="pct"/>
          </w:tcPr>
          <w:p>
            <w:pPr>
              <w:spacing w:line="360" w:lineRule="auto"/>
              <w:ind w:firstLine="420" w:firstLineChars="200"/>
              <w:rPr>
                <w:rFonts w:cs="宋体"/>
                <w:color w:val="auto"/>
                <w:szCs w:val="21"/>
              </w:rPr>
            </w:pPr>
            <w:r>
              <w:rPr>
                <w:rFonts w:hint="eastAsia" w:cs="宋体"/>
                <w:color w:val="auto"/>
                <w:szCs w:val="21"/>
              </w:rPr>
              <w:t>供应商资格要求：</w:t>
            </w:r>
          </w:p>
          <w:p>
            <w:pPr>
              <w:spacing w:line="360" w:lineRule="auto"/>
              <w:ind w:firstLine="420" w:firstLineChars="200"/>
              <w:rPr>
                <w:rFonts w:cs="宋体"/>
                <w:color w:val="auto"/>
                <w:szCs w:val="21"/>
              </w:rPr>
            </w:pPr>
            <w:r>
              <w:rPr>
                <w:rFonts w:hint="eastAsia" w:cs="宋体"/>
                <w:color w:val="auto"/>
                <w:szCs w:val="21"/>
              </w:rPr>
              <w:t>1、符合《中华人民共和国政府采购法》第二十二条规定的供应商条件：</w:t>
            </w:r>
          </w:p>
          <w:p>
            <w:pPr>
              <w:spacing w:line="360" w:lineRule="auto"/>
              <w:ind w:firstLine="420" w:firstLineChars="200"/>
              <w:rPr>
                <w:rFonts w:cs="宋体"/>
                <w:color w:val="auto"/>
                <w:szCs w:val="21"/>
              </w:rPr>
            </w:pPr>
            <w:r>
              <w:rPr>
                <w:rFonts w:hint="eastAsia" w:cs="宋体"/>
                <w:color w:val="auto"/>
                <w:szCs w:val="21"/>
              </w:rPr>
              <w:t>（1）具有独立承担民事责任能力的法人、其他组织或自然人，并出具合法有效的营业执照或事业单位法人证书等国家规定的相关证明，自然人参与的提供其身份证明；</w:t>
            </w:r>
          </w:p>
          <w:p>
            <w:pPr>
              <w:spacing w:line="360" w:lineRule="auto"/>
              <w:ind w:firstLine="420" w:firstLineChars="200"/>
              <w:rPr>
                <w:rFonts w:cs="宋体"/>
                <w:color w:val="auto"/>
                <w:szCs w:val="21"/>
              </w:rPr>
            </w:pPr>
            <w:r>
              <w:rPr>
                <w:rFonts w:hint="eastAsia" w:cs="宋体"/>
                <w:color w:val="auto"/>
                <w:szCs w:val="21"/>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p>
            <w:pPr>
              <w:spacing w:line="360" w:lineRule="auto"/>
              <w:ind w:firstLine="420" w:firstLineChars="200"/>
              <w:rPr>
                <w:rFonts w:cs="宋体"/>
                <w:color w:val="auto"/>
                <w:szCs w:val="21"/>
              </w:rPr>
            </w:pPr>
            <w:r>
              <w:rPr>
                <w:rFonts w:hint="eastAsia" w:cs="宋体"/>
                <w:color w:val="auto"/>
                <w:szCs w:val="21"/>
              </w:rPr>
              <w:t xml:space="preserve">（3）税收缴纳证明：提供投标文件递交截止日前一年内已缴纳的至少一个月的纳税证明或完税证明，依法免税的单位应提供相关证明材料； </w:t>
            </w:r>
          </w:p>
          <w:p>
            <w:pPr>
              <w:spacing w:line="360" w:lineRule="auto"/>
              <w:ind w:firstLine="420" w:firstLineChars="200"/>
              <w:rPr>
                <w:rFonts w:cs="宋体"/>
                <w:color w:val="auto"/>
                <w:szCs w:val="21"/>
              </w:rPr>
            </w:pPr>
            <w:r>
              <w:rPr>
                <w:rFonts w:hint="eastAsia" w:cs="宋体"/>
                <w:color w:val="auto"/>
                <w:szCs w:val="21"/>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p>
            <w:pPr>
              <w:spacing w:line="360" w:lineRule="auto"/>
              <w:ind w:firstLine="420" w:firstLineChars="200"/>
              <w:rPr>
                <w:rFonts w:cs="宋体"/>
                <w:color w:val="auto"/>
                <w:szCs w:val="21"/>
              </w:rPr>
            </w:pPr>
            <w:r>
              <w:rPr>
                <w:rFonts w:hint="eastAsia" w:cs="宋体"/>
                <w:color w:val="auto"/>
                <w:szCs w:val="21"/>
              </w:rPr>
              <w:t>（5）参加政府采购活动前3年内，在经营活动中没有重大违法记录的书面声明；</w:t>
            </w:r>
          </w:p>
          <w:p>
            <w:pPr>
              <w:spacing w:line="360" w:lineRule="auto"/>
              <w:ind w:firstLine="420" w:firstLineChars="200"/>
              <w:rPr>
                <w:rFonts w:cs="宋体"/>
                <w:color w:val="auto"/>
                <w:szCs w:val="21"/>
              </w:rPr>
            </w:pPr>
            <w:r>
              <w:rPr>
                <w:rFonts w:hint="eastAsia" w:cs="宋体"/>
                <w:color w:val="auto"/>
                <w:szCs w:val="21"/>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color w:val="auto"/>
                <w:szCs w:val="21"/>
              </w:rPr>
            </w:pPr>
            <w:r>
              <w:rPr>
                <w:rFonts w:hint="eastAsia" w:cs="宋体"/>
                <w:color w:val="auto"/>
                <w:szCs w:val="21"/>
              </w:rPr>
              <w:t>2、法定代表人直接参加投标的，须出具法人身份证明及身份证；法定代表人授权代表参加投标的，须出具法定代表人授权书及授权代表身份。</w:t>
            </w:r>
          </w:p>
          <w:p>
            <w:pPr>
              <w:spacing w:line="360" w:lineRule="auto"/>
              <w:rPr>
                <w:rFonts w:cs="宋体"/>
                <w:color w:val="auto"/>
                <w:szCs w:val="21"/>
              </w:rPr>
            </w:pPr>
            <w:r>
              <w:rPr>
                <w:rFonts w:hint="eastAsia" w:cs="宋体"/>
                <w:color w:val="auto"/>
                <w:szCs w:val="21"/>
              </w:rPr>
              <w:t>3、单位负责人为同一人或者存在直接控股、管理关系的不同供应商，不得参加同一合同项下的政府采购活动。</w:t>
            </w:r>
          </w:p>
          <w:p>
            <w:pPr>
              <w:spacing w:line="360" w:lineRule="auto"/>
              <w:rPr>
                <w:rFonts w:cs="宋体"/>
                <w:color w:val="auto"/>
                <w:szCs w:val="21"/>
              </w:rPr>
            </w:pPr>
            <w:r>
              <w:rPr>
                <w:rFonts w:hint="eastAsia" w:cs="宋体"/>
                <w:color w:val="auto"/>
                <w:szCs w:val="21"/>
              </w:rPr>
              <w:t>4、本项目专门面向中小企业采购。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03" w:hRule="atLeast"/>
          <w:jc w:val="center"/>
        </w:trPr>
        <w:tc>
          <w:tcPr>
            <w:tcW w:w="687" w:type="pct"/>
            <w:vAlign w:val="center"/>
          </w:tcPr>
          <w:p>
            <w:pPr>
              <w:spacing w:line="360" w:lineRule="auto"/>
              <w:jc w:val="center"/>
              <w:rPr>
                <w:rFonts w:hint="eastAsia" w:eastAsia="宋体" w:cs="宋体"/>
                <w:color w:val="auto"/>
                <w:szCs w:val="21"/>
                <w:lang w:eastAsia="zh-CN"/>
              </w:rPr>
            </w:pPr>
            <w:r>
              <w:rPr>
                <w:rFonts w:hint="eastAsia" w:cs="宋体"/>
                <w:color w:val="auto"/>
                <w:szCs w:val="21"/>
                <w:lang w:val="en-US" w:eastAsia="zh-CN"/>
              </w:rPr>
              <w:t>8</w:t>
            </w:r>
          </w:p>
        </w:tc>
        <w:tc>
          <w:tcPr>
            <w:tcW w:w="4312" w:type="pct"/>
          </w:tcPr>
          <w:p>
            <w:pPr>
              <w:spacing w:line="360" w:lineRule="auto"/>
              <w:rPr>
                <w:rFonts w:cs="宋体"/>
                <w:color w:val="auto"/>
                <w:szCs w:val="21"/>
              </w:rPr>
            </w:pPr>
            <w:r>
              <w:rPr>
                <w:rFonts w:hint="eastAsia" w:cs="宋体"/>
                <w:color w:val="auto"/>
                <w:szCs w:val="21"/>
              </w:rPr>
              <w:t>金额：人民币陆万元整（￥60000.00）</w:t>
            </w:r>
          </w:p>
          <w:p>
            <w:pPr>
              <w:spacing w:line="360" w:lineRule="auto"/>
              <w:rPr>
                <w:rFonts w:cs="宋体"/>
                <w:color w:val="auto"/>
                <w:szCs w:val="21"/>
              </w:rPr>
            </w:pPr>
            <w:r>
              <w:rPr>
                <w:rFonts w:hint="eastAsia" w:cs="宋体"/>
                <w:color w:val="auto"/>
                <w:szCs w:val="21"/>
              </w:rPr>
              <w:t>1、投标保证金的交纳形式：转账、电汇、担保机构保函。</w:t>
            </w:r>
          </w:p>
          <w:p>
            <w:pPr>
              <w:spacing w:line="360" w:lineRule="auto"/>
              <w:rPr>
                <w:rFonts w:cs="宋体"/>
                <w:color w:val="auto"/>
                <w:szCs w:val="21"/>
              </w:rPr>
            </w:pPr>
            <w:r>
              <w:rPr>
                <w:rFonts w:hint="eastAsia" w:cs="宋体"/>
                <w:color w:val="auto"/>
                <w:szCs w:val="21"/>
              </w:rPr>
              <w:t>2、供应商以银行转账、电汇形式交纳投标保证金的，须从基本账户转出，并且在投标文件递交截止前到达采购代理机构指定账户（转账时请注明项目编号：JZZB2022-1170）。投标保证金到达采购代理机构指定账户后，供应商须与</w:t>
            </w:r>
            <w:r>
              <w:rPr>
                <w:rFonts w:hint="eastAsia" w:cs="宋体"/>
                <w:color w:val="auto"/>
                <w:kern w:val="2"/>
                <w:szCs w:val="21"/>
                <w:shd w:val="clear" w:color="auto" w:fill="FFFFFF"/>
                <w:lang w:bidi="ar"/>
              </w:rPr>
              <w:t>陕西金字招标有限责任公司</w:t>
            </w:r>
            <w:r>
              <w:rPr>
                <w:rFonts w:hint="eastAsia" w:cs="宋体"/>
                <w:color w:val="auto"/>
                <w:szCs w:val="21"/>
              </w:rPr>
              <w:t>联系确认到账后（联系电话029-87976716-602），将投标保证金缴纳凭证复印件附于招标文件规定处。</w:t>
            </w:r>
          </w:p>
          <w:p>
            <w:pPr>
              <w:spacing w:line="360" w:lineRule="auto"/>
              <w:rPr>
                <w:rFonts w:cs="宋体"/>
                <w:color w:val="auto"/>
                <w:szCs w:val="21"/>
              </w:rPr>
            </w:pPr>
            <w:r>
              <w:rPr>
                <w:rFonts w:hint="eastAsia" w:cs="宋体"/>
                <w:color w:val="auto"/>
                <w:szCs w:val="21"/>
              </w:rPr>
              <w:t>3、供应商以保函形式缴纳投标保证金的，须在投标文件递交截止时间前将担保机构保函正本原件提交至采购代理机构备案，并将保函正本复印件附在招标文件规定处。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687" w:type="pct"/>
            <w:vAlign w:val="center"/>
          </w:tcPr>
          <w:p>
            <w:pPr>
              <w:spacing w:line="360" w:lineRule="auto"/>
              <w:jc w:val="center"/>
              <w:rPr>
                <w:rFonts w:hint="eastAsia" w:eastAsia="宋体" w:cs="宋体"/>
                <w:color w:val="auto"/>
                <w:szCs w:val="21"/>
                <w:lang w:eastAsia="zh-CN"/>
              </w:rPr>
            </w:pPr>
            <w:r>
              <w:rPr>
                <w:rFonts w:hint="eastAsia" w:cs="宋体"/>
                <w:color w:val="auto"/>
                <w:szCs w:val="21"/>
                <w:lang w:val="en-US" w:eastAsia="zh-CN"/>
              </w:rPr>
              <w:t>9</w:t>
            </w:r>
          </w:p>
        </w:tc>
        <w:tc>
          <w:tcPr>
            <w:tcW w:w="4312" w:type="pct"/>
          </w:tcPr>
          <w:p>
            <w:pPr>
              <w:spacing w:line="360" w:lineRule="auto"/>
              <w:rPr>
                <w:rFonts w:cs="宋体"/>
                <w:color w:val="auto"/>
                <w:szCs w:val="21"/>
              </w:rPr>
            </w:pPr>
            <w:r>
              <w:rPr>
                <w:rFonts w:hint="eastAsia" w:cs="宋体"/>
                <w:color w:val="auto"/>
                <w:szCs w:val="21"/>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10</w:t>
            </w:r>
          </w:p>
        </w:tc>
        <w:tc>
          <w:tcPr>
            <w:tcW w:w="4312" w:type="pct"/>
            <w:vAlign w:val="center"/>
          </w:tcPr>
          <w:p>
            <w:pPr>
              <w:spacing w:line="360" w:lineRule="auto"/>
              <w:rPr>
                <w:rFonts w:cs="宋体"/>
                <w:color w:val="auto"/>
                <w:szCs w:val="21"/>
              </w:rPr>
            </w:pPr>
            <w:r>
              <w:rPr>
                <w:rFonts w:hint="eastAsia" w:cs="宋体"/>
                <w:color w:val="auto"/>
                <w:szCs w:val="21"/>
              </w:rPr>
              <w:t>正本的份数：壹份；</w:t>
            </w:r>
          </w:p>
          <w:p>
            <w:pPr>
              <w:spacing w:line="360" w:lineRule="auto"/>
              <w:rPr>
                <w:rFonts w:cs="宋体"/>
                <w:color w:val="auto"/>
                <w:szCs w:val="21"/>
              </w:rPr>
            </w:pPr>
            <w:r>
              <w:rPr>
                <w:rFonts w:hint="eastAsia" w:cs="宋体"/>
                <w:color w:val="auto"/>
                <w:szCs w:val="21"/>
              </w:rPr>
              <w:t>副本的份数：叁份；</w:t>
            </w:r>
          </w:p>
          <w:p>
            <w:pPr>
              <w:spacing w:line="360" w:lineRule="auto"/>
              <w:rPr>
                <w:rFonts w:cs="宋体"/>
                <w:color w:val="auto"/>
                <w:szCs w:val="21"/>
              </w:rPr>
            </w:pPr>
            <w:r>
              <w:rPr>
                <w:rFonts w:hint="eastAsia" w:cs="宋体"/>
                <w:color w:val="auto"/>
                <w:szCs w:val="21"/>
              </w:rPr>
              <w:t>开标一览表：壹份；</w:t>
            </w:r>
          </w:p>
          <w:p>
            <w:pPr>
              <w:spacing w:line="360" w:lineRule="auto"/>
              <w:rPr>
                <w:rFonts w:cs="宋体"/>
                <w:color w:val="auto"/>
                <w:szCs w:val="21"/>
              </w:rPr>
            </w:pPr>
            <w:r>
              <w:rPr>
                <w:rFonts w:hint="eastAsia" w:cs="宋体"/>
                <w:color w:val="auto"/>
                <w:szCs w:val="21"/>
              </w:rPr>
              <w:t>电子版（U盘）：壹份（需在盘面上标注供应商全称、项目名称、编号）。</w:t>
            </w:r>
          </w:p>
          <w:p>
            <w:pPr>
              <w:spacing w:line="360" w:lineRule="auto"/>
              <w:rPr>
                <w:rFonts w:cs="宋体"/>
                <w:color w:val="auto"/>
                <w:szCs w:val="21"/>
              </w:rPr>
            </w:pPr>
            <w:r>
              <w:rPr>
                <w:rFonts w:hint="eastAsia" w:cs="宋体"/>
                <w:color w:val="auto"/>
                <w:szCs w:val="21"/>
              </w:rPr>
              <w:t>电子版包括：</w:t>
            </w:r>
          </w:p>
          <w:p>
            <w:pPr>
              <w:spacing w:line="360" w:lineRule="auto"/>
              <w:rPr>
                <w:rFonts w:cs="宋体"/>
                <w:color w:val="auto"/>
                <w:szCs w:val="21"/>
              </w:rPr>
            </w:pPr>
            <w:r>
              <w:rPr>
                <w:rFonts w:hint="eastAsia" w:cs="宋体"/>
                <w:color w:val="auto"/>
                <w:szCs w:val="21"/>
              </w:rPr>
              <w:t>（1）word版投标文件；</w:t>
            </w:r>
          </w:p>
          <w:p>
            <w:pPr>
              <w:spacing w:line="360" w:lineRule="auto"/>
              <w:rPr>
                <w:rFonts w:cs="宋体"/>
                <w:color w:val="auto"/>
                <w:szCs w:val="21"/>
              </w:rPr>
            </w:pPr>
            <w:r>
              <w:rPr>
                <w:rFonts w:hint="eastAsia" w:cs="宋体"/>
                <w:color w:val="auto"/>
                <w:szCs w:val="21"/>
              </w:rPr>
              <w:t>（2）PDF版投标文件。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11</w:t>
            </w:r>
          </w:p>
        </w:tc>
        <w:tc>
          <w:tcPr>
            <w:tcW w:w="4312" w:type="pct"/>
            <w:vAlign w:val="center"/>
          </w:tcPr>
          <w:p>
            <w:pPr>
              <w:spacing w:line="360" w:lineRule="auto"/>
              <w:rPr>
                <w:rFonts w:cs="宋体"/>
                <w:color w:val="auto"/>
                <w:szCs w:val="21"/>
              </w:rPr>
            </w:pPr>
            <w:r>
              <w:rPr>
                <w:rFonts w:hint="eastAsia" w:cs="宋体"/>
                <w:color w:val="auto"/>
                <w:szCs w:val="21"/>
              </w:rPr>
              <w:t>1、密封包装方式：</w:t>
            </w:r>
          </w:p>
          <w:p>
            <w:pPr>
              <w:spacing w:line="360" w:lineRule="auto"/>
              <w:rPr>
                <w:rFonts w:cs="宋体"/>
                <w:color w:val="auto"/>
                <w:szCs w:val="21"/>
              </w:rPr>
            </w:pPr>
            <w:r>
              <w:rPr>
                <w:rFonts w:hint="eastAsia" w:cs="宋体"/>
                <w:color w:val="auto"/>
                <w:szCs w:val="21"/>
              </w:rPr>
              <w:t>供应商应将投标文件正本、所有的副本、电子版本、开标一览表分别单独密封在封袋中（封袋不得有破损）。封袋应加贴封条，并在封线处加盖供应商公章。</w:t>
            </w:r>
          </w:p>
          <w:p>
            <w:pPr>
              <w:spacing w:line="360" w:lineRule="auto"/>
              <w:rPr>
                <w:rFonts w:cs="宋体"/>
                <w:color w:val="auto"/>
                <w:szCs w:val="21"/>
              </w:rPr>
            </w:pPr>
            <w:r>
              <w:rPr>
                <w:rFonts w:hint="eastAsia" w:cs="宋体"/>
                <w:color w:val="auto"/>
                <w:szCs w:val="21"/>
              </w:rPr>
              <w:t>2、外层包装请按以下要求标记：</w:t>
            </w:r>
          </w:p>
          <w:p>
            <w:pPr>
              <w:spacing w:line="360" w:lineRule="auto"/>
              <w:rPr>
                <w:rFonts w:cs="宋体"/>
                <w:color w:val="auto"/>
                <w:szCs w:val="21"/>
              </w:rPr>
            </w:pPr>
            <w:r>
              <w:rPr>
                <w:rFonts w:hint="eastAsia" w:cs="宋体"/>
                <w:color w:val="auto"/>
                <w:szCs w:val="21"/>
              </w:rPr>
              <w:t>（1) 供应商的全称；</w:t>
            </w:r>
          </w:p>
          <w:p>
            <w:pPr>
              <w:spacing w:line="360" w:lineRule="auto"/>
              <w:rPr>
                <w:rFonts w:cs="宋体"/>
                <w:color w:val="auto"/>
                <w:szCs w:val="21"/>
              </w:rPr>
            </w:pPr>
            <w:r>
              <w:rPr>
                <w:rFonts w:hint="eastAsia" w:cs="宋体"/>
                <w:color w:val="auto"/>
                <w:szCs w:val="21"/>
              </w:rPr>
              <w:t>（2）投标项目名称、项目编号；</w:t>
            </w:r>
          </w:p>
          <w:p>
            <w:pPr>
              <w:spacing w:line="360" w:lineRule="auto"/>
              <w:rPr>
                <w:rFonts w:cs="宋体"/>
                <w:color w:val="auto"/>
                <w:szCs w:val="21"/>
              </w:rPr>
            </w:pPr>
            <w:r>
              <w:rPr>
                <w:rFonts w:hint="eastAsia" w:cs="宋体"/>
                <w:color w:val="auto"/>
                <w:szCs w:val="21"/>
              </w:rPr>
              <w:t>（3）正本、副本、“电子版本”、“开标一览表”及“请勿在＿＿＿＿＿(开标时间)之前启封”。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12</w:t>
            </w:r>
          </w:p>
        </w:tc>
        <w:tc>
          <w:tcPr>
            <w:tcW w:w="4312" w:type="pct"/>
          </w:tcPr>
          <w:p>
            <w:pPr>
              <w:spacing w:line="360" w:lineRule="auto"/>
              <w:rPr>
                <w:rFonts w:hint="eastAsia" w:cs="宋体"/>
                <w:color w:val="auto"/>
                <w:szCs w:val="21"/>
              </w:rPr>
            </w:pPr>
            <w:r>
              <w:rPr>
                <w:rFonts w:hint="eastAsia" w:cs="宋体"/>
                <w:color w:val="auto"/>
                <w:szCs w:val="21"/>
              </w:rPr>
              <w:t>投标文件递交截止时间</w:t>
            </w:r>
            <w:bookmarkStart w:id="33" w:name="OLE_LINK12"/>
            <w:r>
              <w:rPr>
                <w:rFonts w:hint="eastAsia" w:cs="宋体"/>
                <w:color w:val="auto"/>
                <w:szCs w:val="21"/>
              </w:rPr>
              <w:t>：</w:t>
            </w:r>
            <w:bookmarkEnd w:id="33"/>
            <w:r>
              <w:rPr>
                <w:rFonts w:hint="eastAsia" w:cs="宋体"/>
                <w:color w:val="auto"/>
                <w:szCs w:val="21"/>
              </w:rPr>
              <w:t>2022年11月10日14时00分00秒</w:t>
            </w:r>
          </w:p>
          <w:p>
            <w:pPr>
              <w:spacing w:line="360" w:lineRule="auto"/>
              <w:rPr>
                <w:rFonts w:hint="eastAsia" w:cs="宋体"/>
                <w:color w:val="auto"/>
                <w:szCs w:val="21"/>
              </w:rPr>
            </w:pPr>
            <w:r>
              <w:rPr>
                <w:rFonts w:hint="eastAsia" w:cs="宋体"/>
                <w:color w:val="auto"/>
                <w:szCs w:val="21"/>
              </w:rPr>
              <w:t>投标文件递交地址：陕西金字招标有限责任公司合阳分公司（渭南市合阳县企业服务中心3楼302室）</w:t>
            </w:r>
          </w:p>
          <w:p>
            <w:pPr>
              <w:spacing w:line="360" w:lineRule="auto"/>
              <w:rPr>
                <w:rFonts w:cs="宋体"/>
                <w:color w:val="auto"/>
                <w:szCs w:val="21"/>
              </w:rPr>
            </w:pPr>
            <w:r>
              <w:rPr>
                <w:rFonts w:hint="eastAsia" w:cs="宋体"/>
                <w:color w:val="auto"/>
                <w:szCs w:val="21"/>
              </w:rPr>
              <w:t>投标文件接收人：陕西金字招标有限责任公司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13</w:t>
            </w:r>
          </w:p>
        </w:tc>
        <w:tc>
          <w:tcPr>
            <w:tcW w:w="4312" w:type="pct"/>
          </w:tcPr>
          <w:p>
            <w:pPr>
              <w:spacing w:line="360" w:lineRule="auto"/>
              <w:rPr>
                <w:rFonts w:hint="eastAsia" w:cs="宋体"/>
                <w:color w:val="auto"/>
                <w:szCs w:val="21"/>
              </w:rPr>
            </w:pPr>
            <w:r>
              <w:rPr>
                <w:rFonts w:hint="eastAsia" w:cs="宋体"/>
                <w:color w:val="auto"/>
                <w:szCs w:val="21"/>
              </w:rPr>
              <w:t>开标时间：2022年11月10日14时00分00秒 （北京时间）</w:t>
            </w:r>
          </w:p>
          <w:p>
            <w:pPr>
              <w:spacing w:line="360" w:lineRule="auto"/>
              <w:rPr>
                <w:rFonts w:cs="宋体"/>
                <w:color w:val="auto"/>
                <w:szCs w:val="21"/>
              </w:rPr>
            </w:pPr>
            <w:r>
              <w:rPr>
                <w:rFonts w:hint="eastAsia" w:cs="宋体"/>
                <w:color w:val="auto"/>
                <w:szCs w:val="21"/>
              </w:rPr>
              <w:t>开标地点：陕西金字招标有限责任公司合阳分公司（渭南市合阳县企业服务中心3楼302室）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14</w:t>
            </w:r>
          </w:p>
        </w:tc>
        <w:tc>
          <w:tcPr>
            <w:tcW w:w="4312" w:type="pct"/>
            <w:vAlign w:val="center"/>
          </w:tcPr>
          <w:p>
            <w:pPr>
              <w:spacing w:line="360" w:lineRule="auto"/>
              <w:rPr>
                <w:rFonts w:cs="宋体"/>
                <w:color w:val="auto"/>
                <w:szCs w:val="21"/>
              </w:rPr>
            </w:pPr>
            <w:r>
              <w:rPr>
                <w:rFonts w:hint="eastAsia" w:cs="宋体"/>
                <w:color w:val="auto"/>
                <w:szCs w:val="21"/>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15</w:t>
            </w:r>
          </w:p>
        </w:tc>
        <w:tc>
          <w:tcPr>
            <w:tcW w:w="4312" w:type="pct"/>
            <w:vAlign w:val="center"/>
          </w:tcPr>
          <w:p>
            <w:pPr>
              <w:spacing w:line="360" w:lineRule="auto"/>
              <w:rPr>
                <w:rFonts w:cs="宋体"/>
                <w:color w:val="auto"/>
                <w:szCs w:val="21"/>
              </w:rPr>
            </w:pPr>
            <w:r>
              <w:rPr>
                <w:rFonts w:hint="eastAsia" w:cs="宋体"/>
                <w:color w:val="auto"/>
                <w:szCs w:val="21"/>
              </w:rPr>
              <w:t>按</w:t>
            </w:r>
            <w:bookmarkStart w:id="34" w:name="OLE_LINK9"/>
            <w:bookmarkStart w:id="35" w:name="OLE_LINK10"/>
            <w:r>
              <w:rPr>
                <w:rFonts w:hint="eastAsia" w:cs="宋体"/>
                <w:color w:val="auto"/>
                <w:szCs w:val="21"/>
              </w:rPr>
              <w:t>国家计委颁发的《招标代理服务收费管理暂行办法》（计价格[2002]1980号）和国家发展改革委员会办公厅颁发的《关于招标代理服务收费有关问题的通知》（发改办价格[2003]857号）的有关规定执行。</w:t>
            </w:r>
            <w:bookmarkEnd w:id="34"/>
            <w:bookmarkEnd w:id="35"/>
          </w:p>
          <w:p>
            <w:pPr>
              <w:spacing w:line="360" w:lineRule="auto"/>
              <w:rPr>
                <w:rFonts w:cs="宋体"/>
                <w:color w:val="auto"/>
                <w:szCs w:val="21"/>
              </w:rPr>
            </w:pPr>
            <w:r>
              <w:rPr>
                <w:rFonts w:hint="eastAsia" w:cs="宋体"/>
                <w:color w:val="auto"/>
                <w:szCs w:val="21"/>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Cs w:val="21"/>
                <w:lang w:val="en-US" w:eastAsia="zh-CN"/>
              </w:rPr>
            </w:pPr>
            <w:r>
              <w:rPr>
                <w:rFonts w:hint="eastAsia" w:cs="宋体"/>
                <w:color w:val="auto"/>
                <w:szCs w:val="21"/>
                <w:lang w:val="en-US" w:eastAsia="zh-CN"/>
              </w:rPr>
              <w:t>16</w:t>
            </w:r>
          </w:p>
        </w:tc>
        <w:tc>
          <w:tcPr>
            <w:tcW w:w="4312" w:type="pct"/>
            <w:vAlign w:val="center"/>
          </w:tcPr>
          <w:p>
            <w:pPr>
              <w:spacing w:line="360" w:lineRule="auto"/>
              <w:rPr>
                <w:rFonts w:cs="宋体"/>
                <w:color w:val="auto"/>
                <w:szCs w:val="21"/>
              </w:rPr>
            </w:pPr>
            <w:r>
              <w:rPr>
                <w:rFonts w:hint="eastAsia" w:cs="宋体"/>
                <w:color w:val="auto"/>
                <w:szCs w:val="21"/>
              </w:rPr>
              <w:t>户名:陕西金字招标有限责任公司</w:t>
            </w:r>
          </w:p>
          <w:p>
            <w:pPr>
              <w:spacing w:line="360" w:lineRule="auto"/>
              <w:rPr>
                <w:rFonts w:cs="宋体"/>
                <w:color w:val="auto"/>
                <w:szCs w:val="21"/>
              </w:rPr>
            </w:pPr>
            <w:r>
              <w:rPr>
                <w:rFonts w:hint="eastAsia" w:cs="宋体"/>
                <w:color w:val="auto"/>
                <w:szCs w:val="21"/>
              </w:rPr>
              <w:t>账号:8888888167310240</w:t>
            </w:r>
          </w:p>
          <w:p>
            <w:pPr>
              <w:spacing w:line="360" w:lineRule="auto"/>
              <w:rPr>
                <w:rFonts w:cs="宋体"/>
                <w:color w:val="auto"/>
                <w:szCs w:val="21"/>
              </w:rPr>
            </w:pPr>
            <w:r>
              <w:rPr>
                <w:rFonts w:hint="eastAsia" w:cs="宋体"/>
                <w:color w:val="auto"/>
                <w:szCs w:val="21"/>
              </w:rPr>
              <w:t>银行：浙江网商银行股份有限公司</w:t>
            </w:r>
          </w:p>
          <w:p>
            <w:pPr>
              <w:spacing w:line="360" w:lineRule="auto"/>
              <w:rPr>
                <w:rFonts w:cs="宋体"/>
                <w:color w:val="auto"/>
                <w:szCs w:val="21"/>
              </w:rPr>
            </w:pPr>
            <w:r>
              <w:rPr>
                <w:rFonts w:hint="eastAsia" w:cs="宋体"/>
                <w:color w:val="auto"/>
                <w:szCs w:val="21"/>
              </w:rPr>
              <w:t>支行：浙江省杭州市浙江网商银行股份有限公司</w:t>
            </w:r>
          </w:p>
          <w:p>
            <w:pPr>
              <w:spacing w:line="360" w:lineRule="auto"/>
              <w:rPr>
                <w:rFonts w:cs="宋体"/>
                <w:color w:val="auto"/>
                <w:szCs w:val="21"/>
              </w:rPr>
            </w:pPr>
            <w:r>
              <w:rPr>
                <w:rFonts w:hint="eastAsia" w:cs="宋体"/>
                <w:color w:val="auto"/>
                <w:szCs w:val="21"/>
              </w:rPr>
              <w:t>联行号:323331000001</w:t>
            </w:r>
          </w:p>
          <w:p>
            <w:pPr>
              <w:spacing w:line="360" w:lineRule="auto"/>
              <w:rPr>
                <w:rFonts w:cs="宋体"/>
                <w:color w:val="auto"/>
                <w:szCs w:val="21"/>
              </w:rPr>
            </w:pPr>
            <w:r>
              <w:rPr>
                <w:rFonts w:hint="eastAsia" w:cs="宋体"/>
                <w:color w:val="auto"/>
                <w:szCs w:val="21"/>
              </w:rPr>
              <w:t>开户行：浙江网商银行</w:t>
            </w:r>
          </w:p>
          <w:p>
            <w:pPr>
              <w:spacing w:line="360" w:lineRule="auto"/>
              <w:rPr>
                <w:rFonts w:cs="宋体"/>
                <w:color w:val="auto"/>
                <w:szCs w:val="21"/>
              </w:rPr>
            </w:pPr>
            <w:r>
              <w:rPr>
                <w:rFonts w:hint="eastAsia" w:cs="宋体"/>
                <w:color w:val="auto"/>
                <w:szCs w:val="21"/>
              </w:rPr>
              <w:t>注：如遇转账问题，请拨打网商银行人工服务热线95188转3号键进行咨询；</w:t>
            </w:r>
          </w:p>
        </w:tc>
      </w:tr>
    </w:tbl>
    <w:p>
      <w:pPr>
        <w:pStyle w:val="6"/>
        <w:rPr>
          <w:rFonts w:ascii="宋体" w:hAnsi="宋体" w:cs="宋体"/>
          <w:color w:val="auto"/>
        </w:rPr>
      </w:pPr>
      <w:r>
        <w:rPr>
          <w:rFonts w:hint="eastAsia" w:ascii="宋体" w:hAnsi="宋体" w:cs="宋体"/>
          <w:color w:val="auto"/>
        </w:rPr>
        <w:br w:type="page"/>
      </w:r>
      <w:bookmarkEnd w:id="9"/>
      <w:bookmarkEnd w:id="10"/>
      <w:bookmarkEnd w:id="11"/>
      <w:bookmarkStart w:id="36" w:name="_Toc363473972"/>
      <w:bookmarkStart w:id="37" w:name="_Toc20749"/>
      <w:bookmarkStart w:id="38" w:name="_Toc363474017"/>
      <w:bookmarkStart w:id="39" w:name="_Toc7692"/>
      <w:bookmarkStart w:id="40" w:name="_Toc403077639"/>
      <w:bookmarkStart w:id="41" w:name="_Toc22096"/>
      <w:r>
        <w:rPr>
          <w:rFonts w:hint="eastAsia" w:ascii="宋体" w:hAnsi="宋体" w:cs="宋体"/>
          <w:color w:val="auto"/>
        </w:rPr>
        <w:t>一.总  则</w:t>
      </w:r>
      <w:bookmarkEnd w:id="36"/>
      <w:bookmarkEnd w:id="37"/>
      <w:bookmarkEnd w:id="38"/>
      <w:bookmarkEnd w:id="39"/>
      <w:bookmarkEnd w:id="40"/>
      <w:bookmarkEnd w:id="41"/>
    </w:p>
    <w:p>
      <w:pPr>
        <w:pStyle w:val="7"/>
        <w:spacing w:line="360" w:lineRule="auto"/>
        <w:ind w:firstLine="482"/>
        <w:rPr>
          <w:rFonts w:ascii="宋体" w:hAnsi="宋体" w:cs="宋体"/>
          <w:color w:val="auto"/>
          <w:sz w:val="24"/>
        </w:rPr>
      </w:pPr>
      <w:bookmarkStart w:id="42" w:name="_Toc18319"/>
      <w:r>
        <w:rPr>
          <w:rFonts w:hint="eastAsia" w:ascii="宋体" w:hAnsi="宋体" w:cs="宋体"/>
          <w:color w:val="auto"/>
          <w:sz w:val="24"/>
        </w:rPr>
        <w:t>1.资金来源</w:t>
      </w:r>
      <w:bookmarkEnd w:id="42"/>
    </w:p>
    <w:p>
      <w:pPr>
        <w:pStyle w:val="14"/>
        <w:spacing w:line="360" w:lineRule="auto"/>
        <w:ind w:firstLine="480"/>
        <w:rPr>
          <w:rFonts w:ascii="宋体" w:hAnsi="宋体" w:cs="宋体"/>
          <w:color w:val="auto"/>
          <w:sz w:val="24"/>
        </w:rPr>
      </w:pPr>
      <w:r>
        <w:rPr>
          <w:rFonts w:hint="eastAsia" w:ascii="宋体" w:hAnsi="宋体" w:cs="宋体"/>
          <w:color w:val="auto"/>
          <w:sz w:val="24"/>
        </w:rPr>
        <w:t>1.1本次招标采购所签合同使用财政资金支付，资金已落实到位。</w:t>
      </w:r>
    </w:p>
    <w:p>
      <w:pPr>
        <w:pStyle w:val="7"/>
        <w:spacing w:line="360" w:lineRule="auto"/>
        <w:ind w:firstLine="482"/>
        <w:rPr>
          <w:rFonts w:ascii="宋体" w:hAnsi="宋体" w:cs="宋体"/>
          <w:color w:val="auto"/>
          <w:sz w:val="24"/>
        </w:rPr>
      </w:pPr>
      <w:bookmarkStart w:id="43" w:name="_Toc12570"/>
      <w:r>
        <w:rPr>
          <w:rFonts w:hint="eastAsia" w:ascii="宋体" w:hAnsi="宋体" w:cs="宋体"/>
          <w:color w:val="auto"/>
          <w:sz w:val="24"/>
        </w:rPr>
        <w:t>2.名词解释</w:t>
      </w:r>
      <w:bookmarkEnd w:id="43"/>
    </w:p>
    <w:p>
      <w:pPr>
        <w:pStyle w:val="14"/>
        <w:spacing w:line="360" w:lineRule="auto"/>
        <w:ind w:firstLine="480"/>
        <w:rPr>
          <w:rFonts w:ascii="宋体" w:hAnsi="宋体" w:cs="宋体"/>
          <w:color w:val="auto"/>
          <w:sz w:val="24"/>
        </w:rPr>
      </w:pPr>
      <w:r>
        <w:rPr>
          <w:rFonts w:hint="eastAsia" w:ascii="宋体" w:hAnsi="宋体" w:cs="宋体"/>
          <w:color w:val="auto"/>
          <w:sz w:val="24"/>
        </w:rPr>
        <w:t>2.1采购人：见供应商须知前附表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2.2采购代理机构：陕西金字招标有限责任公司 </w:t>
      </w:r>
    </w:p>
    <w:p>
      <w:pPr>
        <w:pStyle w:val="14"/>
        <w:spacing w:line="360" w:lineRule="auto"/>
        <w:ind w:firstLine="480"/>
        <w:rPr>
          <w:rFonts w:ascii="宋体" w:hAnsi="宋体" w:cs="宋体"/>
          <w:color w:val="auto"/>
          <w:sz w:val="24"/>
        </w:rPr>
      </w:pPr>
      <w:r>
        <w:rPr>
          <w:rFonts w:hint="eastAsia" w:ascii="宋体" w:hAnsi="宋体" w:cs="宋体"/>
          <w:color w:val="auto"/>
          <w:sz w:val="24"/>
        </w:rPr>
        <w:t>2.3 监督机构：同级人民政府财政部门及有关部门</w:t>
      </w:r>
    </w:p>
    <w:p>
      <w:pPr>
        <w:pStyle w:val="14"/>
        <w:spacing w:line="360" w:lineRule="auto"/>
        <w:ind w:firstLine="480"/>
        <w:rPr>
          <w:rFonts w:ascii="宋体" w:hAnsi="宋体" w:cs="宋体"/>
          <w:color w:val="auto"/>
          <w:sz w:val="24"/>
        </w:rPr>
      </w:pPr>
      <w:r>
        <w:rPr>
          <w:rFonts w:hint="eastAsia" w:ascii="宋体" w:hAnsi="宋体" w:cs="宋体"/>
          <w:color w:val="auto"/>
          <w:sz w:val="24"/>
        </w:rPr>
        <w:t>2.4供应商：是指响应和符合招标文件规定资格条件且参与投标竞争的法人、其他组织或者自然人。</w:t>
      </w:r>
    </w:p>
    <w:p>
      <w:pPr>
        <w:pStyle w:val="14"/>
        <w:spacing w:line="360" w:lineRule="auto"/>
        <w:ind w:firstLine="480"/>
        <w:rPr>
          <w:rFonts w:ascii="宋体" w:hAnsi="宋体" w:cs="宋体"/>
          <w:color w:val="auto"/>
          <w:sz w:val="24"/>
        </w:rPr>
      </w:pPr>
      <w:r>
        <w:rPr>
          <w:rFonts w:hint="eastAsia" w:ascii="宋体" w:hAnsi="宋体" w:cs="宋体"/>
          <w:color w:val="auto"/>
          <w:sz w:val="24"/>
        </w:rPr>
        <w:t>2.5服务是指供应商为满足招标文件要求而提供的服务。</w:t>
      </w:r>
    </w:p>
    <w:p>
      <w:pPr>
        <w:pStyle w:val="14"/>
        <w:spacing w:line="360" w:lineRule="auto"/>
        <w:ind w:firstLine="480"/>
        <w:rPr>
          <w:rFonts w:ascii="宋体" w:hAnsi="宋体" w:cs="宋体"/>
          <w:color w:val="auto"/>
          <w:sz w:val="24"/>
        </w:rPr>
      </w:pPr>
      <w:r>
        <w:rPr>
          <w:rFonts w:hint="eastAsia" w:ascii="宋体" w:hAnsi="宋体" w:cs="宋体"/>
          <w:color w:val="auto"/>
          <w:sz w:val="24"/>
        </w:rPr>
        <w:t>2.6中小企业是指符合《政府采购促进中小企业发展管理办法》的通知--财库[2020]46号规定的对中小企业的划分标准的企业。</w:t>
      </w:r>
    </w:p>
    <w:p>
      <w:pPr>
        <w:pStyle w:val="14"/>
        <w:spacing w:line="360" w:lineRule="auto"/>
        <w:ind w:firstLine="480"/>
        <w:rPr>
          <w:rFonts w:ascii="宋体" w:hAnsi="宋体" w:cs="宋体"/>
          <w:color w:val="auto"/>
          <w:sz w:val="24"/>
        </w:rPr>
      </w:pPr>
      <w:r>
        <w:rPr>
          <w:rFonts w:hint="eastAsia" w:ascii="宋体" w:hAnsi="宋体" w:cs="宋体"/>
          <w:color w:val="auto"/>
          <w:sz w:val="24"/>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4"/>
        <w:spacing w:line="360" w:lineRule="auto"/>
        <w:ind w:firstLine="480"/>
        <w:rPr>
          <w:rFonts w:ascii="宋体" w:hAnsi="宋体" w:cs="宋体"/>
          <w:color w:val="auto"/>
          <w:sz w:val="24"/>
        </w:rPr>
      </w:pPr>
      <w:r>
        <w:rPr>
          <w:rFonts w:hint="eastAsia" w:ascii="宋体" w:hAnsi="宋体" w:cs="宋体"/>
          <w:color w:val="auto"/>
          <w:sz w:val="24"/>
        </w:rPr>
        <w:t>2.8残疾人福利性单位是指符合《三部门联合发布关于促进残疾人就业政府采购政策的通知》财库〔2017〕141号规定的对残疾人福利性单位划分标准的单位。</w:t>
      </w:r>
    </w:p>
    <w:p>
      <w:pPr>
        <w:pStyle w:val="7"/>
        <w:spacing w:line="360" w:lineRule="auto"/>
        <w:ind w:firstLine="482"/>
        <w:rPr>
          <w:rFonts w:ascii="宋体" w:hAnsi="宋体" w:cs="宋体"/>
          <w:color w:val="auto"/>
          <w:sz w:val="24"/>
        </w:rPr>
      </w:pPr>
      <w:bookmarkStart w:id="44" w:name="_Toc5108"/>
      <w:r>
        <w:rPr>
          <w:rFonts w:hint="eastAsia" w:ascii="宋体" w:hAnsi="宋体" w:cs="宋体"/>
          <w:color w:val="auto"/>
          <w:sz w:val="24"/>
        </w:rPr>
        <w:t>3.合格的供应商</w:t>
      </w:r>
      <w:bookmarkEnd w:id="44"/>
    </w:p>
    <w:p>
      <w:pPr>
        <w:pStyle w:val="14"/>
        <w:spacing w:line="360" w:lineRule="auto"/>
        <w:ind w:firstLine="480"/>
        <w:rPr>
          <w:rFonts w:ascii="宋体" w:hAnsi="宋体" w:cs="宋体"/>
          <w:color w:val="auto"/>
          <w:sz w:val="24"/>
        </w:rPr>
      </w:pPr>
      <w:r>
        <w:rPr>
          <w:rFonts w:hint="eastAsia" w:ascii="宋体" w:hAnsi="宋体" w:cs="宋体"/>
          <w:color w:val="auto"/>
          <w:sz w:val="24"/>
        </w:rPr>
        <w:t>3.1《政府采购法》第二十二条第一款规定的供应商基本资格条件：</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 （1）具有独立承担民事责任能力的法人、其他组织或自然人，并出具合法有效的营业执照或事业单位法人证书等国家规定的相关证明，自然人参与的提供其身份证明；</w:t>
      </w:r>
    </w:p>
    <w:p>
      <w:pPr>
        <w:pStyle w:val="14"/>
        <w:spacing w:line="360" w:lineRule="auto"/>
        <w:ind w:firstLine="480"/>
        <w:rPr>
          <w:rFonts w:ascii="宋体" w:hAnsi="宋体" w:cs="宋体"/>
          <w:color w:val="auto"/>
          <w:sz w:val="24"/>
        </w:rPr>
      </w:pPr>
      <w:r>
        <w:rPr>
          <w:rFonts w:hint="eastAsia" w:ascii="宋体" w:hAnsi="宋体" w:cs="宋体"/>
          <w:color w:val="auto"/>
          <w:sz w:val="24"/>
        </w:rPr>
        <w:t>（2）财务状况报告：提供2020年度或2021年度的财务审计报告（至少包括资产负债表和利润表，成立时间至提交投标文件截止时间不足一年的可提供成立后任意时段的资产负债表），或其开标前六个月内银行开具的资信证明；</w:t>
      </w:r>
    </w:p>
    <w:p>
      <w:pPr>
        <w:pStyle w:val="14"/>
        <w:spacing w:line="360" w:lineRule="auto"/>
        <w:ind w:firstLine="480"/>
        <w:rPr>
          <w:rFonts w:ascii="宋体" w:hAnsi="宋体" w:cs="宋体"/>
          <w:color w:val="auto"/>
          <w:sz w:val="24"/>
        </w:rPr>
      </w:pPr>
      <w:r>
        <w:rPr>
          <w:rFonts w:hint="eastAsia" w:ascii="宋体" w:hAnsi="宋体" w:cs="宋体"/>
          <w:color w:val="auto"/>
          <w:sz w:val="24"/>
        </w:rPr>
        <w:t>（3）税收缴纳证明：提供投标文件递交截止日前一年内已缴纳的至少一个月的纳税证明或完税证明，依法免税的单位应提供相关证明材料；</w:t>
      </w:r>
    </w:p>
    <w:p>
      <w:pPr>
        <w:pStyle w:val="14"/>
        <w:spacing w:line="360" w:lineRule="auto"/>
        <w:ind w:firstLine="480"/>
        <w:rPr>
          <w:rFonts w:ascii="宋体" w:hAnsi="宋体" w:cs="宋体"/>
          <w:color w:val="auto"/>
          <w:sz w:val="24"/>
        </w:rPr>
      </w:pPr>
      <w:r>
        <w:rPr>
          <w:rFonts w:hint="eastAsia" w:ascii="宋体" w:hAnsi="宋体" w:cs="宋体"/>
          <w:color w:val="auto"/>
          <w:sz w:val="24"/>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cs="宋体"/>
          <w:color w:val="auto"/>
          <w:kern w:val="2"/>
          <w:sz w:val="24"/>
          <w:szCs w:val="24"/>
        </w:rPr>
      </w:pPr>
      <w:r>
        <w:rPr>
          <w:rFonts w:hint="eastAsia" w:cs="宋体"/>
          <w:color w:val="auto"/>
          <w:kern w:val="2"/>
          <w:sz w:val="24"/>
          <w:szCs w:val="24"/>
        </w:rPr>
        <w:t>（5）参加政府采购活动前3年内，在经营活动中没有重大违法记录的书面声明；；</w:t>
      </w:r>
    </w:p>
    <w:p>
      <w:pPr>
        <w:spacing w:line="360" w:lineRule="auto"/>
        <w:ind w:firstLine="480" w:firstLineChars="200"/>
        <w:rPr>
          <w:rFonts w:cs="宋体"/>
          <w:color w:val="auto"/>
          <w:kern w:val="2"/>
          <w:sz w:val="24"/>
          <w:szCs w:val="24"/>
        </w:rPr>
      </w:pPr>
      <w:r>
        <w:rPr>
          <w:rFonts w:hint="eastAsia" w:cs="宋体"/>
          <w:color w:val="auto"/>
          <w:kern w:val="2"/>
          <w:sz w:val="24"/>
          <w:szCs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ind w:firstLine="480" w:firstLineChars="200"/>
        <w:rPr>
          <w:rFonts w:cs="宋体"/>
          <w:color w:val="auto"/>
          <w:kern w:val="2"/>
          <w:sz w:val="24"/>
          <w:szCs w:val="24"/>
        </w:rPr>
      </w:pPr>
      <w:r>
        <w:rPr>
          <w:rFonts w:hint="eastAsia" w:cs="宋体"/>
          <w:color w:val="auto"/>
          <w:kern w:val="2"/>
          <w:sz w:val="24"/>
          <w:szCs w:val="24"/>
        </w:rPr>
        <w:t>3.2、法定代表人直接参加投标的，须出具法人身份证明及身份证；法定代表人授权代表参加投标的，须出具法定代表人授权书及授权代表身份。</w:t>
      </w:r>
    </w:p>
    <w:p>
      <w:pPr>
        <w:spacing w:line="360" w:lineRule="auto"/>
        <w:ind w:firstLine="480" w:firstLineChars="200"/>
        <w:rPr>
          <w:rFonts w:cs="宋体"/>
          <w:color w:val="auto"/>
          <w:kern w:val="2"/>
          <w:sz w:val="24"/>
          <w:szCs w:val="24"/>
        </w:rPr>
      </w:pPr>
      <w:r>
        <w:rPr>
          <w:rFonts w:hint="eastAsia" w:cs="宋体"/>
          <w:color w:val="auto"/>
          <w:kern w:val="2"/>
          <w:sz w:val="24"/>
          <w:szCs w:val="24"/>
        </w:rPr>
        <w:t>3.3、单位负责人为同一人或者存在直接控股、管理关系的不同供应商，不得参加同一合同项下的政府采购活动。</w:t>
      </w:r>
    </w:p>
    <w:p>
      <w:pPr>
        <w:spacing w:line="360" w:lineRule="auto"/>
        <w:ind w:firstLine="480" w:firstLineChars="200"/>
        <w:rPr>
          <w:rFonts w:cs="宋体"/>
          <w:color w:val="auto"/>
          <w:sz w:val="24"/>
          <w:szCs w:val="24"/>
        </w:rPr>
      </w:pPr>
      <w:r>
        <w:rPr>
          <w:rFonts w:hint="eastAsia" w:cs="宋体"/>
          <w:color w:val="auto"/>
          <w:kern w:val="2"/>
          <w:sz w:val="24"/>
          <w:szCs w:val="24"/>
        </w:rPr>
        <w:t>3.4、本项目专门面向中小企业采购。</w:t>
      </w:r>
    </w:p>
    <w:p>
      <w:pPr>
        <w:pStyle w:val="14"/>
        <w:spacing w:line="360" w:lineRule="auto"/>
        <w:ind w:firstLine="480"/>
        <w:rPr>
          <w:rFonts w:ascii="宋体" w:hAnsi="宋体" w:cs="宋体"/>
          <w:color w:val="auto"/>
          <w:sz w:val="24"/>
        </w:rPr>
      </w:pPr>
      <w:r>
        <w:rPr>
          <w:rFonts w:hint="eastAsia" w:ascii="宋体" w:hAnsi="宋体" w:cs="宋体"/>
          <w:color w:val="auto"/>
          <w:sz w:val="24"/>
        </w:rPr>
        <w:t>3.5供应商必须在陕西金字招标有限责任公司获取招标文件，方可参加投标。招标文件售后不退。</w:t>
      </w:r>
    </w:p>
    <w:p>
      <w:pPr>
        <w:pStyle w:val="14"/>
        <w:spacing w:line="360" w:lineRule="auto"/>
        <w:ind w:firstLine="480"/>
        <w:rPr>
          <w:rFonts w:ascii="宋体" w:hAnsi="宋体" w:cs="宋体"/>
          <w:color w:val="auto"/>
          <w:sz w:val="24"/>
        </w:rPr>
      </w:pPr>
      <w:bookmarkStart w:id="45" w:name="OLE_LINK33"/>
      <w:r>
        <w:rPr>
          <w:rFonts w:hint="eastAsia" w:ascii="宋体" w:hAnsi="宋体" w:cs="宋体"/>
          <w:color w:val="auto"/>
          <w:sz w:val="24"/>
        </w:rPr>
        <w:t>3.</w:t>
      </w:r>
      <w:bookmarkEnd w:id="45"/>
      <w:r>
        <w:rPr>
          <w:rFonts w:hint="eastAsia" w:ascii="宋体" w:hAnsi="宋体" w:cs="宋体"/>
          <w:color w:val="auto"/>
          <w:sz w:val="24"/>
        </w:rPr>
        <w:t>6联合体投标：不接受</w:t>
      </w:r>
    </w:p>
    <w:p>
      <w:pPr>
        <w:pStyle w:val="14"/>
        <w:spacing w:line="360" w:lineRule="auto"/>
        <w:ind w:firstLine="480"/>
        <w:rPr>
          <w:rFonts w:ascii="宋体" w:hAnsi="宋体" w:cs="宋体"/>
          <w:color w:val="auto"/>
          <w:sz w:val="24"/>
        </w:rPr>
      </w:pPr>
      <w:r>
        <w:rPr>
          <w:rFonts w:hint="eastAsia" w:ascii="宋体" w:hAnsi="宋体" w:cs="宋体"/>
          <w:color w:val="auto"/>
          <w:sz w:val="24"/>
        </w:rPr>
        <w:t>3.7投标费用自理。不论投标的结果如何，供应商均应自行承担所有与参加投标有关的费用。</w:t>
      </w:r>
    </w:p>
    <w:p>
      <w:pPr>
        <w:pStyle w:val="7"/>
        <w:spacing w:line="360" w:lineRule="auto"/>
        <w:ind w:firstLine="482"/>
        <w:rPr>
          <w:rFonts w:ascii="宋体" w:hAnsi="宋体" w:cs="宋体"/>
          <w:color w:val="auto"/>
          <w:sz w:val="24"/>
        </w:rPr>
      </w:pPr>
      <w:bookmarkStart w:id="46" w:name="_Toc14567"/>
      <w:r>
        <w:rPr>
          <w:rFonts w:hint="eastAsia" w:ascii="宋体" w:hAnsi="宋体" w:cs="宋体"/>
          <w:color w:val="auto"/>
          <w:sz w:val="24"/>
        </w:rPr>
        <w:t>4.合格的服务</w:t>
      </w:r>
      <w:bookmarkEnd w:id="46"/>
    </w:p>
    <w:p>
      <w:pPr>
        <w:pStyle w:val="14"/>
        <w:spacing w:line="360" w:lineRule="auto"/>
        <w:ind w:firstLine="480"/>
        <w:rPr>
          <w:rFonts w:ascii="宋体" w:hAnsi="宋体" w:cs="宋体"/>
          <w:color w:val="auto"/>
          <w:sz w:val="24"/>
        </w:rPr>
      </w:pPr>
      <w:r>
        <w:rPr>
          <w:rFonts w:hint="eastAsia" w:ascii="宋体" w:hAnsi="宋体" w:cs="宋体"/>
          <w:color w:val="auto"/>
          <w:sz w:val="24"/>
        </w:rPr>
        <w:t>4.1供应商提供的所有服务，必须符合国家有关标准要求，并满足招标文件规定的服务要求。</w:t>
      </w:r>
    </w:p>
    <w:p>
      <w:pPr>
        <w:pStyle w:val="14"/>
        <w:spacing w:line="360" w:lineRule="auto"/>
        <w:ind w:firstLine="480"/>
        <w:rPr>
          <w:rFonts w:ascii="宋体" w:hAnsi="宋体" w:cs="宋体"/>
          <w:color w:val="auto"/>
          <w:sz w:val="24"/>
        </w:rPr>
      </w:pPr>
      <w:r>
        <w:rPr>
          <w:rFonts w:hint="eastAsia" w:ascii="宋体" w:hAnsi="宋体" w:cs="宋体"/>
          <w:color w:val="auto"/>
          <w:sz w:val="24"/>
        </w:rPr>
        <w:t>4.2采购人有权拒绝接受任何不合格的服务，由此产生的费用及相关后果均由供应商自行承担。</w:t>
      </w:r>
    </w:p>
    <w:p>
      <w:pPr>
        <w:pStyle w:val="7"/>
        <w:spacing w:line="360" w:lineRule="auto"/>
        <w:ind w:firstLine="482"/>
        <w:rPr>
          <w:rFonts w:ascii="宋体" w:hAnsi="宋体" w:cs="宋体"/>
          <w:color w:val="auto"/>
          <w:sz w:val="24"/>
        </w:rPr>
      </w:pPr>
      <w:r>
        <w:rPr>
          <w:rFonts w:hint="eastAsia" w:ascii="宋体" w:hAnsi="宋体" w:cs="宋体"/>
          <w:color w:val="auto"/>
          <w:sz w:val="24"/>
        </w:rPr>
        <w:t>5.供应商信用记录查询及使用</w:t>
      </w:r>
    </w:p>
    <w:p>
      <w:pPr>
        <w:pStyle w:val="14"/>
        <w:spacing w:line="360" w:lineRule="auto"/>
        <w:ind w:firstLine="480"/>
        <w:rPr>
          <w:rFonts w:ascii="宋体" w:hAnsi="宋体" w:cs="宋体"/>
          <w:b/>
          <w:color w:val="auto"/>
          <w:sz w:val="24"/>
        </w:rPr>
      </w:pPr>
      <w:r>
        <w:rPr>
          <w:rFonts w:hint="eastAsia" w:ascii="宋体" w:hAnsi="宋体" w:cs="宋体"/>
          <w:color w:val="auto"/>
          <w:sz w:val="24"/>
        </w:rPr>
        <w:t xml:space="preserve">“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 </w:t>
      </w:r>
    </w:p>
    <w:p>
      <w:pPr>
        <w:pStyle w:val="7"/>
        <w:spacing w:line="360" w:lineRule="auto"/>
        <w:ind w:firstLine="482"/>
        <w:rPr>
          <w:rFonts w:ascii="宋体" w:hAnsi="宋体" w:cs="宋体"/>
          <w:color w:val="auto"/>
          <w:sz w:val="24"/>
        </w:rPr>
      </w:pPr>
      <w:bookmarkStart w:id="47" w:name="_Toc7609"/>
      <w:r>
        <w:rPr>
          <w:rFonts w:hint="eastAsia" w:ascii="宋体" w:hAnsi="宋体" w:cs="宋体"/>
          <w:color w:val="auto"/>
          <w:sz w:val="24"/>
        </w:rPr>
        <w:t>6.投标文件内容的真实性</w:t>
      </w:r>
      <w:bookmarkEnd w:id="47"/>
    </w:p>
    <w:p>
      <w:pPr>
        <w:pStyle w:val="14"/>
        <w:spacing w:line="360" w:lineRule="auto"/>
        <w:ind w:firstLine="480"/>
        <w:rPr>
          <w:rFonts w:ascii="宋体" w:hAnsi="宋体" w:cs="宋体"/>
          <w:color w:val="auto"/>
          <w:sz w:val="24"/>
        </w:rPr>
      </w:pPr>
      <w:r>
        <w:rPr>
          <w:rFonts w:hint="eastAsia" w:ascii="宋体" w:hAnsi="宋体" w:cs="宋体"/>
          <w:color w:val="auto"/>
          <w:sz w:val="24"/>
        </w:rPr>
        <w:t>6.1供应商应保证其投标文件中所提供的所有投标资料、信息是真实的，并且来源于合法的渠道。因投标文件中所提供的投标资料、信息不真实或者其来源不合法而导致的所有法律责任，由供应商自行承担。</w:t>
      </w:r>
    </w:p>
    <w:p>
      <w:pPr>
        <w:pStyle w:val="14"/>
        <w:spacing w:line="360" w:lineRule="auto"/>
        <w:ind w:firstLine="480"/>
        <w:rPr>
          <w:rFonts w:ascii="宋体" w:hAnsi="宋体" w:cs="宋体"/>
          <w:color w:val="auto"/>
          <w:sz w:val="24"/>
        </w:rPr>
      </w:pPr>
      <w:r>
        <w:rPr>
          <w:rFonts w:hint="eastAsia" w:ascii="宋体" w:hAnsi="宋体" w:cs="宋体"/>
          <w:color w:val="auto"/>
          <w:sz w:val="24"/>
        </w:rPr>
        <w:t>6.2不允许偏离实质性要求和条件，不满足实质性要求和条件的投标为无效投标。</w:t>
      </w:r>
    </w:p>
    <w:p>
      <w:pPr>
        <w:pStyle w:val="6"/>
        <w:spacing w:line="360" w:lineRule="auto"/>
        <w:rPr>
          <w:rFonts w:ascii="宋体" w:hAnsi="宋体" w:cs="宋体"/>
          <w:color w:val="auto"/>
          <w:szCs w:val="24"/>
        </w:rPr>
      </w:pPr>
      <w:bookmarkStart w:id="48" w:name="_Toc32687"/>
      <w:bookmarkStart w:id="49" w:name="_Toc27211"/>
      <w:bookmarkStart w:id="50" w:name="_Toc25412"/>
      <w:bookmarkStart w:id="51" w:name="_Toc403077640"/>
      <w:bookmarkStart w:id="52" w:name="_Toc363473973"/>
      <w:bookmarkStart w:id="53" w:name="_Toc363474018"/>
      <w:r>
        <w:rPr>
          <w:rFonts w:hint="eastAsia" w:ascii="宋体" w:hAnsi="宋体" w:cs="宋体"/>
          <w:color w:val="auto"/>
          <w:szCs w:val="24"/>
        </w:rPr>
        <w:t>二.招标文件</w:t>
      </w:r>
      <w:bookmarkEnd w:id="48"/>
      <w:bookmarkEnd w:id="49"/>
      <w:bookmarkEnd w:id="50"/>
      <w:bookmarkEnd w:id="51"/>
      <w:bookmarkEnd w:id="52"/>
      <w:bookmarkEnd w:id="53"/>
    </w:p>
    <w:p>
      <w:pPr>
        <w:pStyle w:val="7"/>
        <w:spacing w:line="360" w:lineRule="auto"/>
        <w:ind w:firstLine="482"/>
        <w:rPr>
          <w:rFonts w:ascii="宋体" w:hAnsi="宋体" w:cs="宋体"/>
          <w:color w:val="auto"/>
          <w:sz w:val="24"/>
        </w:rPr>
      </w:pPr>
      <w:bookmarkStart w:id="54" w:name="_Toc17978"/>
      <w:r>
        <w:rPr>
          <w:rFonts w:hint="eastAsia" w:ascii="宋体" w:hAnsi="宋体" w:cs="宋体"/>
          <w:color w:val="auto"/>
          <w:sz w:val="24"/>
        </w:rPr>
        <w:t>7.招标文件构成</w:t>
      </w:r>
      <w:bookmarkEnd w:id="54"/>
    </w:p>
    <w:p>
      <w:pPr>
        <w:pStyle w:val="14"/>
        <w:spacing w:line="360" w:lineRule="auto"/>
        <w:ind w:firstLine="480"/>
        <w:rPr>
          <w:rFonts w:ascii="宋体" w:hAnsi="宋体" w:cs="宋体"/>
          <w:color w:val="auto"/>
          <w:sz w:val="24"/>
        </w:rPr>
      </w:pPr>
      <w:r>
        <w:rPr>
          <w:rFonts w:hint="eastAsia" w:ascii="宋体" w:hAnsi="宋体" w:cs="宋体"/>
          <w:color w:val="auto"/>
          <w:sz w:val="24"/>
        </w:rPr>
        <w:t>7.1 招标文件要求提供的货物、服务，招标程序和合同条件在招标文件中均有说明。招标文件共六章，内容如下：</w:t>
      </w:r>
    </w:p>
    <w:p>
      <w:pPr>
        <w:pStyle w:val="14"/>
        <w:spacing w:line="360" w:lineRule="auto"/>
        <w:ind w:firstLine="480"/>
        <w:rPr>
          <w:rFonts w:ascii="宋体" w:hAnsi="宋体" w:cs="宋体"/>
          <w:color w:val="auto"/>
          <w:sz w:val="24"/>
        </w:rPr>
      </w:pPr>
      <w:r>
        <w:rPr>
          <w:rFonts w:hint="eastAsia" w:ascii="宋体" w:hAnsi="宋体" w:cs="宋体"/>
          <w:color w:val="auto"/>
          <w:sz w:val="24"/>
        </w:rPr>
        <w:t>第一章 招标公告</w:t>
      </w:r>
    </w:p>
    <w:p>
      <w:pPr>
        <w:pStyle w:val="14"/>
        <w:spacing w:line="360" w:lineRule="auto"/>
        <w:ind w:firstLine="480"/>
        <w:rPr>
          <w:rFonts w:ascii="宋体" w:hAnsi="宋体" w:cs="宋体"/>
          <w:color w:val="auto"/>
          <w:sz w:val="24"/>
        </w:rPr>
      </w:pPr>
      <w:r>
        <w:rPr>
          <w:rFonts w:hint="eastAsia" w:ascii="宋体" w:hAnsi="宋体" w:cs="宋体"/>
          <w:color w:val="auto"/>
          <w:sz w:val="24"/>
        </w:rPr>
        <w:t>第二章 供应商须知</w:t>
      </w:r>
    </w:p>
    <w:p>
      <w:pPr>
        <w:pStyle w:val="14"/>
        <w:spacing w:line="360" w:lineRule="auto"/>
        <w:ind w:firstLine="480"/>
        <w:rPr>
          <w:rFonts w:ascii="宋体" w:hAnsi="宋体" w:cs="宋体"/>
          <w:color w:val="auto"/>
          <w:sz w:val="24"/>
        </w:rPr>
      </w:pPr>
      <w:r>
        <w:rPr>
          <w:rFonts w:hint="eastAsia" w:ascii="宋体" w:hAnsi="宋体" w:cs="宋体"/>
          <w:color w:val="auto"/>
          <w:sz w:val="24"/>
        </w:rPr>
        <w:t>第三章 合同条款及格式</w:t>
      </w:r>
    </w:p>
    <w:p>
      <w:pPr>
        <w:pStyle w:val="14"/>
        <w:spacing w:line="360" w:lineRule="auto"/>
        <w:ind w:firstLine="480"/>
        <w:rPr>
          <w:rFonts w:ascii="宋体" w:hAnsi="宋体" w:cs="宋体"/>
          <w:color w:val="auto"/>
          <w:sz w:val="24"/>
        </w:rPr>
      </w:pPr>
      <w:r>
        <w:rPr>
          <w:rFonts w:hint="eastAsia" w:ascii="宋体" w:hAnsi="宋体" w:cs="宋体"/>
          <w:color w:val="auto"/>
          <w:sz w:val="24"/>
        </w:rPr>
        <w:t>第四章 采购内容及技术要求</w:t>
      </w:r>
    </w:p>
    <w:p>
      <w:pPr>
        <w:pStyle w:val="14"/>
        <w:spacing w:line="360" w:lineRule="auto"/>
        <w:ind w:firstLine="480"/>
        <w:rPr>
          <w:rFonts w:ascii="宋体" w:hAnsi="宋体" w:cs="宋体"/>
          <w:color w:val="auto"/>
          <w:sz w:val="24"/>
        </w:rPr>
      </w:pPr>
      <w:r>
        <w:rPr>
          <w:rFonts w:hint="eastAsia" w:ascii="宋体" w:hAnsi="宋体" w:cs="宋体"/>
          <w:color w:val="auto"/>
          <w:sz w:val="24"/>
        </w:rPr>
        <w:t>第五章 评标方法</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第六章 投标文件构成及格式  </w:t>
      </w:r>
    </w:p>
    <w:p>
      <w:pPr>
        <w:pStyle w:val="14"/>
        <w:spacing w:line="360" w:lineRule="auto"/>
        <w:ind w:firstLine="480"/>
        <w:rPr>
          <w:rFonts w:ascii="宋体" w:hAnsi="宋体" w:cs="宋体"/>
          <w:color w:val="auto"/>
          <w:sz w:val="24"/>
        </w:rPr>
      </w:pPr>
      <w:r>
        <w:rPr>
          <w:rFonts w:hint="eastAsia" w:ascii="宋体" w:hAnsi="宋体" w:cs="宋体"/>
          <w:color w:val="auto"/>
          <w:sz w:val="24"/>
        </w:rPr>
        <w:t>7.2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pStyle w:val="14"/>
        <w:spacing w:line="360" w:lineRule="auto"/>
        <w:ind w:firstLine="480"/>
        <w:rPr>
          <w:rFonts w:ascii="宋体" w:hAnsi="宋体" w:cs="宋体"/>
          <w:color w:val="auto"/>
          <w:sz w:val="24"/>
        </w:rPr>
      </w:pPr>
      <w:r>
        <w:rPr>
          <w:rFonts w:hint="eastAsia" w:ascii="宋体" w:hAnsi="宋体" w:cs="宋体"/>
          <w:color w:val="auto"/>
          <w:sz w:val="24"/>
        </w:rPr>
        <w:t>7.3本招标文件的解释权归陕西金字招标有限责任公司，如发现招标文件内容与现行法律法规不相符的情况，以现行法律法规为准。</w:t>
      </w:r>
    </w:p>
    <w:p>
      <w:pPr>
        <w:pStyle w:val="7"/>
        <w:spacing w:line="360" w:lineRule="auto"/>
        <w:ind w:firstLine="482"/>
        <w:rPr>
          <w:rFonts w:ascii="宋体" w:hAnsi="宋体" w:cs="宋体"/>
          <w:color w:val="auto"/>
          <w:sz w:val="24"/>
        </w:rPr>
      </w:pPr>
      <w:bookmarkStart w:id="55" w:name="_Toc5185"/>
      <w:r>
        <w:rPr>
          <w:rFonts w:hint="eastAsia" w:ascii="宋体" w:hAnsi="宋体" w:cs="宋体"/>
          <w:color w:val="auto"/>
          <w:sz w:val="24"/>
        </w:rPr>
        <w:t>8.招标文件的澄清修改及询问</w:t>
      </w:r>
      <w:bookmarkEnd w:id="55"/>
    </w:p>
    <w:p>
      <w:pPr>
        <w:pStyle w:val="14"/>
        <w:spacing w:line="360" w:lineRule="auto"/>
        <w:ind w:firstLine="480"/>
        <w:rPr>
          <w:rFonts w:ascii="宋体" w:hAnsi="宋体" w:cs="宋体"/>
          <w:color w:val="auto"/>
          <w:sz w:val="24"/>
        </w:rPr>
      </w:pPr>
      <w:r>
        <w:rPr>
          <w:rFonts w:hint="eastAsia" w:ascii="宋体" w:hAnsi="宋体" w:cs="宋体"/>
          <w:color w:val="auto"/>
          <w:sz w:val="24"/>
        </w:rPr>
        <w:t>8.1采购人如果对已发出的招标文件进行必要的澄清或者修改，将在原公告发布媒体上发布澄清公告。澄清或者修改的内容为招标文件的组成部分。</w:t>
      </w:r>
    </w:p>
    <w:p>
      <w:pPr>
        <w:pStyle w:val="14"/>
        <w:spacing w:line="360" w:lineRule="auto"/>
        <w:ind w:firstLine="480"/>
        <w:rPr>
          <w:rFonts w:ascii="宋体" w:hAnsi="宋体" w:cs="宋体"/>
          <w:color w:val="auto"/>
          <w:sz w:val="24"/>
        </w:rPr>
      </w:pPr>
      <w:r>
        <w:rPr>
          <w:rFonts w:hint="eastAsia" w:ascii="宋体" w:hAnsi="宋体" w:cs="宋体"/>
          <w:color w:val="auto"/>
          <w:sz w:val="24"/>
        </w:rPr>
        <w:t>8.2澄清或者修改的内容可能影响投标文件编制的，采购代理机构将在投标截止时间至少15日前，以书面形式通知所有获取招标文件的潜在供应商；不足15日的，采购代理机构将顺延提交投标文件的截止时间。</w:t>
      </w:r>
    </w:p>
    <w:p>
      <w:pPr>
        <w:pStyle w:val="14"/>
        <w:spacing w:line="360" w:lineRule="auto"/>
        <w:ind w:firstLine="480"/>
        <w:rPr>
          <w:rFonts w:ascii="宋体" w:hAnsi="宋体" w:cs="宋体"/>
          <w:color w:val="auto"/>
          <w:sz w:val="24"/>
        </w:rPr>
      </w:pPr>
      <w:r>
        <w:rPr>
          <w:rFonts w:hint="eastAsia" w:ascii="宋体" w:hAnsi="宋体" w:cs="宋体"/>
          <w:color w:val="auto"/>
          <w:sz w:val="24"/>
        </w:rPr>
        <w:t>8.3已经购买招标文件的供应商对招标文件有疑问的，采购代理机构将在3个工作日内采用适当方式予以澄清或以书面形式予以答复。</w:t>
      </w:r>
    </w:p>
    <w:p>
      <w:pPr>
        <w:pStyle w:val="14"/>
        <w:spacing w:line="360" w:lineRule="auto"/>
        <w:ind w:firstLine="480"/>
        <w:rPr>
          <w:rFonts w:ascii="宋体" w:hAnsi="宋体" w:cs="宋体"/>
          <w:color w:val="auto"/>
          <w:sz w:val="24"/>
        </w:rPr>
      </w:pPr>
      <w:r>
        <w:rPr>
          <w:rFonts w:hint="eastAsia" w:ascii="宋体" w:hAnsi="宋体" w:cs="宋体"/>
          <w:color w:val="auto"/>
          <w:sz w:val="24"/>
        </w:rPr>
        <w:t>8.4供应商在收到上述通知后，应立即向采购代理机构回函确认。</w:t>
      </w:r>
    </w:p>
    <w:p>
      <w:pPr>
        <w:pStyle w:val="6"/>
        <w:spacing w:line="360" w:lineRule="auto"/>
        <w:rPr>
          <w:rFonts w:ascii="宋体" w:hAnsi="宋体" w:cs="宋体"/>
          <w:color w:val="auto"/>
          <w:szCs w:val="24"/>
        </w:rPr>
      </w:pPr>
      <w:bookmarkStart w:id="56" w:name="_Toc363474019"/>
      <w:bookmarkStart w:id="57" w:name="_Toc403077641"/>
      <w:bookmarkStart w:id="58" w:name="_Toc2995"/>
      <w:bookmarkStart w:id="59" w:name="_Toc16731"/>
      <w:bookmarkStart w:id="60" w:name="_Toc363473974"/>
      <w:bookmarkStart w:id="61" w:name="_Toc20577"/>
      <w:r>
        <w:rPr>
          <w:rFonts w:hint="eastAsia" w:ascii="宋体" w:hAnsi="宋体" w:cs="宋体"/>
          <w:color w:val="auto"/>
          <w:szCs w:val="24"/>
        </w:rPr>
        <w:t>三.投标文件的编制</w:t>
      </w:r>
      <w:bookmarkEnd w:id="56"/>
      <w:bookmarkEnd w:id="57"/>
      <w:bookmarkEnd w:id="58"/>
      <w:bookmarkEnd w:id="59"/>
      <w:bookmarkEnd w:id="60"/>
      <w:bookmarkEnd w:id="61"/>
    </w:p>
    <w:p>
      <w:pPr>
        <w:pStyle w:val="7"/>
        <w:spacing w:line="360" w:lineRule="auto"/>
        <w:ind w:firstLine="482"/>
        <w:rPr>
          <w:rFonts w:ascii="宋体" w:hAnsi="宋体" w:cs="宋体"/>
          <w:color w:val="auto"/>
          <w:sz w:val="24"/>
        </w:rPr>
      </w:pPr>
      <w:bookmarkStart w:id="62" w:name="_Toc18387"/>
      <w:r>
        <w:rPr>
          <w:rFonts w:hint="eastAsia" w:ascii="宋体" w:hAnsi="宋体" w:cs="宋体"/>
          <w:color w:val="auto"/>
          <w:sz w:val="24"/>
        </w:rPr>
        <w:t>9. 投标语言和投标货币</w:t>
      </w:r>
      <w:bookmarkEnd w:id="62"/>
    </w:p>
    <w:p>
      <w:pPr>
        <w:pStyle w:val="14"/>
        <w:spacing w:line="360" w:lineRule="auto"/>
        <w:ind w:firstLine="480"/>
        <w:rPr>
          <w:rFonts w:ascii="宋体" w:hAnsi="宋体" w:cs="宋体"/>
          <w:color w:val="auto"/>
          <w:sz w:val="24"/>
        </w:rPr>
      </w:pPr>
      <w:r>
        <w:rPr>
          <w:rFonts w:hint="eastAsia" w:ascii="宋体" w:hAnsi="宋体" w:cs="宋体"/>
          <w:color w:val="auto"/>
          <w:sz w:val="24"/>
        </w:rPr>
        <w:t>9.1供应商提交的投标文件以及供应商与采购代理机构就有关投标的所有来往函电均应使用中文。</w:t>
      </w:r>
    </w:p>
    <w:p>
      <w:pPr>
        <w:pStyle w:val="14"/>
        <w:spacing w:line="360" w:lineRule="auto"/>
        <w:ind w:firstLine="480"/>
        <w:rPr>
          <w:rFonts w:ascii="宋体" w:hAnsi="宋体" w:cs="宋体"/>
          <w:color w:val="auto"/>
          <w:sz w:val="24"/>
        </w:rPr>
      </w:pPr>
      <w:r>
        <w:rPr>
          <w:rFonts w:hint="eastAsia" w:ascii="宋体" w:hAnsi="宋体" w:cs="宋体"/>
          <w:color w:val="auto"/>
          <w:sz w:val="24"/>
        </w:rPr>
        <w:t>9.2投标应以人民币报价。任何包含非人民币报价的投标将按无效投标处理。</w:t>
      </w:r>
    </w:p>
    <w:p>
      <w:pPr>
        <w:pStyle w:val="7"/>
        <w:spacing w:line="360" w:lineRule="auto"/>
        <w:ind w:firstLine="482"/>
        <w:rPr>
          <w:rFonts w:ascii="宋体" w:hAnsi="宋体" w:cs="宋体"/>
          <w:color w:val="auto"/>
          <w:sz w:val="24"/>
        </w:rPr>
      </w:pPr>
      <w:bookmarkStart w:id="63" w:name="_Toc17083"/>
      <w:r>
        <w:rPr>
          <w:rFonts w:hint="eastAsia" w:ascii="宋体" w:hAnsi="宋体" w:cs="宋体"/>
          <w:color w:val="auto"/>
          <w:sz w:val="24"/>
        </w:rPr>
        <w:t>10.投标文件的构成</w:t>
      </w:r>
      <w:bookmarkEnd w:id="63"/>
    </w:p>
    <w:p>
      <w:pPr>
        <w:pStyle w:val="14"/>
        <w:spacing w:line="360" w:lineRule="auto"/>
        <w:ind w:firstLine="480"/>
        <w:rPr>
          <w:rFonts w:ascii="宋体" w:hAnsi="宋体" w:cs="宋体"/>
          <w:color w:val="auto"/>
          <w:sz w:val="24"/>
        </w:rPr>
      </w:pPr>
      <w:r>
        <w:rPr>
          <w:rFonts w:hint="eastAsia" w:ascii="宋体" w:hAnsi="宋体" w:cs="宋体"/>
          <w:color w:val="auto"/>
          <w:sz w:val="24"/>
        </w:rPr>
        <w:t>10.1 供应商提交的投标文件应包括下列部分的内容：</w:t>
      </w:r>
    </w:p>
    <w:p>
      <w:pPr>
        <w:pStyle w:val="14"/>
        <w:spacing w:line="360" w:lineRule="auto"/>
        <w:ind w:firstLine="480"/>
        <w:rPr>
          <w:rFonts w:ascii="宋体" w:hAnsi="宋体" w:cs="宋体"/>
          <w:color w:val="auto"/>
          <w:sz w:val="24"/>
        </w:rPr>
      </w:pPr>
      <w:r>
        <w:rPr>
          <w:rFonts w:hint="eastAsia" w:ascii="宋体" w:hAnsi="宋体" w:cs="宋体"/>
          <w:color w:val="auto"/>
          <w:sz w:val="24"/>
        </w:rPr>
        <w:t>（1）按照供应商须知的要求和招标文件规定的格式填写的投标函、投标报价表、法定代表人授权书。</w:t>
      </w:r>
    </w:p>
    <w:p>
      <w:pPr>
        <w:pStyle w:val="14"/>
        <w:spacing w:line="360" w:lineRule="auto"/>
        <w:ind w:firstLine="480"/>
        <w:rPr>
          <w:rFonts w:ascii="宋体" w:hAnsi="宋体" w:cs="宋体"/>
          <w:color w:val="auto"/>
          <w:sz w:val="24"/>
        </w:rPr>
      </w:pPr>
      <w:r>
        <w:rPr>
          <w:rFonts w:hint="eastAsia" w:ascii="宋体" w:hAnsi="宋体" w:cs="宋体"/>
          <w:color w:val="auto"/>
          <w:sz w:val="24"/>
        </w:rPr>
        <w:t>（2）按照招标文件的要求编制的投标方案说明书，内容应包括所提供服务的详细说明和售后服务承诺等。</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（3）按照招标文件供应商须知前附表的要求提交的资格证明文件；  </w:t>
      </w:r>
    </w:p>
    <w:p>
      <w:pPr>
        <w:pStyle w:val="14"/>
        <w:spacing w:line="360" w:lineRule="auto"/>
        <w:ind w:firstLine="480"/>
        <w:rPr>
          <w:rFonts w:ascii="宋体" w:hAnsi="宋体" w:cs="宋体"/>
          <w:color w:val="auto"/>
          <w:sz w:val="24"/>
        </w:rPr>
      </w:pPr>
      <w:r>
        <w:rPr>
          <w:rFonts w:hint="eastAsia" w:ascii="宋体" w:hAnsi="宋体" w:cs="宋体"/>
          <w:color w:val="auto"/>
          <w:sz w:val="24"/>
        </w:rPr>
        <w:t>（4）按照本须知第15条要求提交的投标保证金；</w:t>
      </w:r>
    </w:p>
    <w:p>
      <w:pPr>
        <w:pStyle w:val="14"/>
        <w:spacing w:line="360" w:lineRule="auto"/>
        <w:ind w:firstLine="480"/>
        <w:rPr>
          <w:rFonts w:ascii="宋体" w:hAnsi="宋体" w:cs="宋体"/>
          <w:color w:val="auto"/>
          <w:sz w:val="24"/>
        </w:rPr>
      </w:pPr>
      <w:r>
        <w:rPr>
          <w:rFonts w:hint="eastAsia" w:ascii="宋体" w:hAnsi="宋体" w:cs="宋体"/>
          <w:color w:val="auto"/>
          <w:sz w:val="24"/>
        </w:rPr>
        <w:t>（5）招标文件中要求的其他证明文件。</w:t>
      </w:r>
    </w:p>
    <w:p>
      <w:pPr>
        <w:pStyle w:val="14"/>
        <w:spacing w:line="360" w:lineRule="auto"/>
        <w:ind w:firstLine="480"/>
        <w:rPr>
          <w:rFonts w:ascii="宋体" w:hAnsi="宋体" w:cs="宋体"/>
          <w:color w:val="auto"/>
          <w:sz w:val="24"/>
        </w:rPr>
      </w:pPr>
      <w:r>
        <w:rPr>
          <w:rFonts w:hint="eastAsia" w:ascii="宋体" w:hAnsi="宋体" w:cs="宋体"/>
          <w:color w:val="auto"/>
          <w:sz w:val="24"/>
        </w:rPr>
        <w:t>10.2 如果在招标文件中没有允许提供备选方案，则每个供应商只允许提交一个投标方案，否则，其投标将按照无效投标处理。</w:t>
      </w:r>
    </w:p>
    <w:p>
      <w:pPr>
        <w:pStyle w:val="14"/>
        <w:spacing w:line="360" w:lineRule="auto"/>
        <w:ind w:firstLine="480"/>
        <w:rPr>
          <w:rFonts w:ascii="宋体" w:hAnsi="宋体" w:cs="宋体"/>
          <w:color w:val="auto"/>
          <w:sz w:val="24"/>
        </w:rPr>
      </w:pPr>
      <w:r>
        <w:rPr>
          <w:rFonts w:hint="eastAsia" w:ascii="宋体" w:hAnsi="宋体" w:cs="宋体"/>
          <w:color w:val="auto"/>
          <w:sz w:val="24"/>
        </w:rPr>
        <w:t>10.3 本次投标的最小单元：见供应商须知前附表，供应商可根据自身的资质情况和经营范围进行投标，但不得将其子目自行分解或针对品目进行不完全投标，任何不完全的投标将按无效投标处理。</w:t>
      </w:r>
    </w:p>
    <w:p>
      <w:pPr>
        <w:pStyle w:val="7"/>
        <w:spacing w:line="360" w:lineRule="auto"/>
        <w:ind w:firstLine="482"/>
        <w:rPr>
          <w:rFonts w:ascii="宋体" w:hAnsi="宋体" w:cs="宋体"/>
          <w:color w:val="auto"/>
          <w:sz w:val="24"/>
        </w:rPr>
      </w:pPr>
      <w:bookmarkStart w:id="64" w:name="_Toc16448"/>
      <w:r>
        <w:rPr>
          <w:rFonts w:hint="eastAsia" w:ascii="宋体" w:hAnsi="宋体" w:cs="宋体"/>
          <w:color w:val="auto"/>
          <w:sz w:val="24"/>
        </w:rPr>
        <w:t>11.投标文件格式</w:t>
      </w:r>
      <w:bookmarkEnd w:id="64"/>
    </w:p>
    <w:p>
      <w:pPr>
        <w:pStyle w:val="14"/>
        <w:spacing w:line="360" w:lineRule="auto"/>
        <w:ind w:firstLine="480"/>
        <w:rPr>
          <w:rFonts w:ascii="宋体" w:hAnsi="宋体" w:cs="宋体"/>
          <w:color w:val="auto"/>
          <w:sz w:val="24"/>
        </w:rPr>
      </w:pPr>
      <w:r>
        <w:rPr>
          <w:rFonts w:hint="eastAsia" w:ascii="宋体" w:hAnsi="宋体" w:cs="宋体"/>
          <w:color w:val="auto"/>
          <w:sz w:val="24"/>
        </w:rPr>
        <w:t>11.1 供应商应按照招标文件中第六章所提供的格式和要求制作投标文件，明确表达投标意愿，详细说明投标方案、承诺及价格。</w:t>
      </w:r>
    </w:p>
    <w:p>
      <w:pPr>
        <w:pStyle w:val="14"/>
        <w:spacing w:line="360" w:lineRule="auto"/>
        <w:ind w:firstLine="480"/>
        <w:rPr>
          <w:rFonts w:ascii="宋体" w:hAnsi="宋体" w:cs="宋体"/>
          <w:color w:val="auto"/>
          <w:sz w:val="24"/>
        </w:rPr>
      </w:pPr>
      <w:r>
        <w:rPr>
          <w:rFonts w:hint="eastAsia" w:ascii="宋体" w:hAnsi="宋体" w:cs="宋体"/>
          <w:color w:val="auto"/>
          <w:sz w:val="24"/>
        </w:rPr>
        <w:t>11.2供应商应完整地提供招标文件要求的所有数据和资料。</w:t>
      </w:r>
    </w:p>
    <w:p>
      <w:pPr>
        <w:pStyle w:val="7"/>
        <w:spacing w:line="360" w:lineRule="auto"/>
        <w:ind w:firstLine="482"/>
        <w:rPr>
          <w:rFonts w:ascii="宋体" w:hAnsi="宋体" w:cs="宋体"/>
          <w:color w:val="auto"/>
          <w:sz w:val="24"/>
        </w:rPr>
      </w:pPr>
      <w:bookmarkStart w:id="65" w:name="_Toc1834"/>
      <w:r>
        <w:rPr>
          <w:rFonts w:hint="eastAsia" w:ascii="宋体" w:hAnsi="宋体" w:cs="宋体"/>
          <w:color w:val="auto"/>
          <w:sz w:val="24"/>
        </w:rPr>
        <w:t>12.投标报价</w:t>
      </w:r>
      <w:bookmarkEnd w:id="65"/>
    </w:p>
    <w:p>
      <w:pPr>
        <w:pStyle w:val="14"/>
        <w:spacing w:line="360" w:lineRule="auto"/>
        <w:ind w:firstLine="480"/>
        <w:rPr>
          <w:rFonts w:ascii="宋体" w:hAnsi="宋体" w:cs="宋体"/>
          <w:color w:val="auto"/>
          <w:sz w:val="24"/>
        </w:rPr>
      </w:pPr>
      <w:r>
        <w:rPr>
          <w:rFonts w:hint="eastAsia" w:ascii="宋体" w:hAnsi="宋体" w:cs="宋体"/>
          <w:color w:val="auto"/>
          <w:sz w:val="24"/>
        </w:rPr>
        <w:t>12.1投标报价：见供应商须知前附表。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12.2投标报价表中标明的价格应为履行合同的固定价格，不得以任何理由予以变更。以可调整的价格提交的投标文件将按无效投标处理。</w:t>
      </w:r>
    </w:p>
    <w:p>
      <w:pPr>
        <w:pStyle w:val="7"/>
        <w:spacing w:line="360" w:lineRule="auto"/>
        <w:ind w:firstLine="482"/>
        <w:rPr>
          <w:rFonts w:ascii="宋体" w:hAnsi="宋体" w:cs="宋体"/>
          <w:color w:val="auto"/>
          <w:sz w:val="24"/>
        </w:rPr>
      </w:pPr>
      <w:bookmarkStart w:id="66" w:name="_Toc5485"/>
      <w:r>
        <w:rPr>
          <w:rFonts w:hint="eastAsia" w:ascii="宋体" w:hAnsi="宋体" w:cs="宋体"/>
          <w:color w:val="auto"/>
          <w:sz w:val="24"/>
        </w:rPr>
        <w:t>13.证明供应商合格和资格的文件</w:t>
      </w:r>
      <w:bookmarkEnd w:id="66"/>
    </w:p>
    <w:p>
      <w:pPr>
        <w:pStyle w:val="14"/>
        <w:spacing w:line="360" w:lineRule="auto"/>
        <w:ind w:firstLine="480"/>
        <w:rPr>
          <w:rFonts w:ascii="宋体" w:hAnsi="宋体" w:cs="宋体"/>
          <w:color w:val="auto"/>
          <w:sz w:val="24"/>
        </w:rPr>
      </w:pPr>
      <w:r>
        <w:rPr>
          <w:rFonts w:hint="eastAsia" w:ascii="宋体" w:hAnsi="宋体" w:cs="宋体"/>
          <w:color w:val="auto"/>
          <w:sz w:val="24"/>
        </w:rPr>
        <w:t>13.1供应商应按照招标文件“供应商须知前附表”的要求，在投标文件中提交合格的资格证明文件。如果资格证明文件不齐全或不合格的，其投标将按无效投标处理。</w:t>
      </w:r>
    </w:p>
    <w:p>
      <w:pPr>
        <w:pStyle w:val="7"/>
        <w:spacing w:line="360" w:lineRule="auto"/>
        <w:ind w:firstLine="482"/>
        <w:rPr>
          <w:rFonts w:ascii="宋体" w:hAnsi="宋体" w:cs="宋体"/>
          <w:color w:val="auto"/>
          <w:sz w:val="24"/>
        </w:rPr>
      </w:pPr>
      <w:bookmarkStart w:id="67" w:name="_Toc7499"/>
      <w:r>
        <w:rPr>
          <w:rFonts w:hint="eastAsia" w:ascii="宋体" w:hAnsi="宋体" w:cs="宋体"/>
          <w:color w:val="auto"/>
          <w:sz w:val="24"/>
        </w:rPr>
        <w:t>14.证明服务符合招标文件规定的文件</w:t>
      </w:r>
      <w:bookmarkEnd w:id="67"/>
    </w:p>
    <w:p>
      <w:pPr>
        <w:pStyle w:val="14"/>
        <w:spacing w:line="360" w:lineRule="auto"/>
        <w:ind w:firstLine="480"/>
        <w:rPr>
          <w:rFonts w:ascii="宋体" w:hAnsi="宋体" w:cs="宋体"/>
          <w:color w:val="auto"/>
          <w:sz w:val="24"/>
        </w:rPr>
      </w:pPr>
      <w:r>
        <w:rPr>
          <w:rFonts w:hint="eastAsia" w:ascii="宋体" w:hAnsi="宋体" w:cs="宋体"/>
          <w:color w:val="auto"/>
          <w:sz w:val="24"/>
        </w:rPr>
        <w:t>14.1供应商应在投标文件中提交服务满足招标文件要求并符合国家法律法规、行业管理部门要求的其他强制性标准的证明文件。</w:t>
      </w:r>
    </w:p>
    <w:p>
      <w:pPr>
        <w:pStyle w:val="14"/>
        <w:spacing w:line="360" w:lineRule="auto"/>
        <w:ind w:firstLine="480"/>
        <w:rPr>
          <w:rFonts w:ascii="宋体" w:hAnsi="宋体" w:cs="宋体"/>
          <w:color w:val="auto"/>
          <w:sz w:val="24"/>
        </w:rPr>
      </w:pPr>
      <w:r>
        <w:rPr>
          <w:rFonts w:hint="eastAsia" w:ascii="宋体" w:hAnsi="宋体" w:cs="宋体"/>
          <w:color w:val="auto"/>
          <w:sz w:val="24"/>
        </w:rPr>
        <w:t>14.2服务内容、服务实施方案等的详细说明。</w:t>
      </w:r>
    </w:p>
    <w:p>
      <w:pPr>
        <w:pStyle w:val="14"/>
        <w:spacing w:line="360" w:lineRule="auto"/>
        <w:ind w:firstLine="480"/>
        <w:rPr>
          <w:rFonts w:ascii="宋体" w:hAnsi="宋体" w:cs="宋体"/>
          <w:color w:val="auto"/>
          <w:sz w:val="24"/>
        </w:rPr>
      </w:pPr>
      <w:r>
        <w:rPr>
          <w:rFonts w:hint="eastAsia" w:ascii="宋体" w:hAnsi="宋体" w:cs="宋体"/>
          <w:color w:val="auto"/>
          <w:sz w:val="24"/>
        </w:rPr>
        <w:t>14.3服务要求和商务要求的应答，说明所提供服务对招标的技术和商务要求做出了实质性响应并提供支持文件。</w:t>
      </w:r>
    </w:p>
    <w:p>
      <w:pPr>
        <w:pStyle w:val="7"/>
        <w:spacing w:line="360" w:lineRule="auto"/>
        <w:ind w:firstLine="482"/>
        <w:rPr>
          <w:rFonts w:ascii="宋体" w:hAnsi="宋体" w:cs="宋体"/>
          <w:color w:val="auto"/>
          <w:sz w:val="24"/>
        </w:rPr>
      </w:pPr>
      <w:bookmarkStart w:id="68" w:name="_Toc6832"/>
      <w:r>
        <w:rPr>
          <w:rFonts w:hint="eastAsia" w:ascii="宋体" w:hAnsi="宋体" w:cs="宋体"/>
          <w:color w:val="auto"/>
          <w:sz w:val="24"/>
        </w:rPr>
        <w:t>15.投标保证金</w:t>
      </w:r>
      <w:bookmarkEnd w:id="68"/>
    </w:p>
    <w:p>
      <w:pPr>
        <w:pStyle w:val="14"/>
        <w:spacing w:line="360" w:lineRule="auto"/>
        <w:ind w:firstLine="480"/>
        <w:rPr>
          <w:rFonts w:ascii="宋体" w:hAnsi="宋体" w:cs="宋体"/>
          <w:color w:val="auto"/>
          <w:sz w:val="24"/>
        </w:rPr>
      </w:pPr>
      <w:r>
        <w:rPr>
          <w:rFonts w:hint="eastAsia" w:ascii="宋体" w:hAnsi="宋体" w:cs="宋体"/>
          <w:color w:val="auto"/>
          <w:sz w:val="24"/>
        </w:rPr>
        <w:t>15.1供应商在投标时应向陕西金字招标有限责任公司提交“供应商须知前附表”规定数额的投标保证金,并作为其投标的一部分。</w:t>
      </w:r>
    </w:p>
    <w:p>
      <w:pPr>
        <w:pStyle w:val="14"/>
        <w:spacing w:line="360" w:lineRule="auto"/>
        <w:ind w:firstLine="480"/>
        <w:rPr>
          <w:rFonts w:ascii="宋体" w:hAnsi="宋体" w:cs="宋体"/>
          <w:color w:val="auto"/>
          <w:sz w:val="24"/>
        </w:rPr>
      </w:pPr>
      <w:r>
        <w:rPr>
          <w:rFonts w:hint="eastAsia" w:ascii="宋体" w:hAnsi="宋体" w:cs="宋体"/>
          <w:color w:val="auto"/>
          <w:sz w:val="24"/>
        </w:rPr>
        <w:t>15.2投标保证金是为了保护采购人和采购代理机构免遭因供应商的行为而蒙受损失。采购人在因供应商的行为受到损害时可根据15.8条的规定没收供应商的投标保证金。</w:t>
      </w:r>
    </w:p>
    <w:p>
      <w:pPr>
        <w:pStyle w:val="14"/>
        <w:spacing w:line="360" w:lineRule="auto"/>
        <w:ind w:firstLine="480"/>
        <w:rPr>
          <w:rFonts w:ascii="宋体" w:hAnsi="宋体" w:cs="宋体"/>
          <w:color w:val="auto"/>
          <w:sz w:val="24"/>
        </w:rPr>
      </w:pPr>
      <w:r>
        <w:rPr>
          <w:rFonts w:hint="eastAsia" w:ascii="宋体" w:hAnsi="宋体" w:cs="宋体"/>
          <w:color w:val="auto"/>
          <w:sz w:val="24"/>
        </w:rPr>
        <w:t>15.3投标保证金可采取“供应商须知前附表”规定的任何一种形式；</w:t>
      </w:r>
    </w:p>
    <w:p>
      <w:pPr>
        <w:pStyle w:val="14"/>
        <w:spacing w:line="360" w:lineRule="auto"/>
        <w:ind w:firstLine="480"/>
        <w:rPr>
          <w:rFonts w:ascii="宋体" w:hAnsi="宋体" w:cs="宋体"/>
          <w:color w:val="auto"/>
          <w:sz w:val="24"/>
        </w:rPr>
      </w:pPr>
      <w:r>
        <w:rPr>
          <w:rFonts w:hint="eastAsia" w:ascii="宋体" w:hAnsi="宋体" w:cs="宋体"/>
          <w:color w:val="auto"/>
          <w:sz w:val="24"/>
        </w:rPr>
        <w:t>15.4投标保证金必须按照招标文件 “供应商须知前附表”中规定的缴纳金额及方式办理。</w:t>
      </w:r>
    </w:p>
    <w:p>
      <w:pPr>
        <w:pStyle w:val="14"/>
        <w:spacing w:line="360" w:lineRule="auto"/>
        <w:ind w:firstLine="480"/>
        <w:rPr>
          <w:rFonts w:ascii="宋体" w:hAnsi="宋体" w:cs="宋体"/>
          <w:color w:val="auto"/>
          <w:sz w:val="24"/>
        </w:rPr>
      </w:pPr>
      <w:r>
        <w:rPr>
          <w:rFonts w:hint="eastAsia" w:ascii="宋体" w:hAnsi="宋体" w:cs="宋体"/>
          <w:color w:val="auto"/>
          <w:sz w:val="24"/>
        </w:rPr>
        <w:t>15.5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pPr>
        <w:pStyle w:val="14"/>
        <w:spacing w:line="360" w:lineRule="auto"/>
        <w:ind w:firstLine="480"/>
        <w:rPr>
          <w:rFonts w:ascii="宋体" w:hAnsi="宋体" w:cs="宋体"/>
          <w:b/>
          <w:bCs/>
          <w:color w:val="auto"/>
          <w:sz w:val="24"/>
        </w:rPr>
      </w:pPr>
      <w:r>
        <w:rPr>
          <w:rFonts w:hint="eastAsia" w:ascii="宋体" w:hAnsi="宋体" w:cs="宋体"/>
          <w:color w:val="auto"/>
          <w:sz w:val="24"/>
        </w:rPr>
        <w:t>15.6未中标人的投标保证金，将在中标通知书发出后五个工作日内按原账户退还；中标人的投标保证金，在采购合同签订后五个工作日内退还</w:t>
      </w:r>
      <w:r>
        <w:rPr>
          <w:rFonts w:hint="eastAsia" w:ascii="宋体" w:hAnsi="宋体" w:cs="宋体"/>
          <w:b/>
          <w:bCs/>
          <w:color w:val="auto"/>
          <w:sz w:val="24"/>
        </w:rPr>
        <w:t>（退还时，须向采购代理机构提供采购合同原件壹份及保证金缴纳凭证复印件）。</w:t>
      </w:r>
    </w:p>
    <w:p>
      <w:pPr>
        <w:pStyle w:val="14"/>
        <w:spacing w:line="360" w:lineRule="auto"/>
        <w:ind w:firstLine="480"/>
        <w:rPr>
          <w:rFonts w:ascii="宋体" w:hAnsi="宋体" w:cs="宋体"/>
          <w:color w:val="auto"/>
          <w:sz w:val="24"/>
        </w:rPr>
      </w:pPr>
      <w:r>
        <w:rPr>
          <w:rFonts w:hint="eastAsia" w:ascii="宋体" w:hAnsi="宋体" w:cs="宋体"/>
          <w:color w:val="auto"/>
          <w:sz w:val="24"/>
        </w:rPr>
        <w:t>15.7供应商以担保机构保函形式缴纳投标保证金的，招标结束之后将担保机构保函正本（原件）退回（退还时间参照15.6条款）。供应商领取担保机构保函正本原件时需携带法定代表人授权书原件。</w:t>
      </w:r>
    </w:p>
    <w:p>
      <w:pPr>
        <w:pStyle w:val="14"/>
        <w:spacing w:line="360" w:lineRule="auto"/>
        <w:ind w:firstLine="480"/>
        <w:rPr>
          <w:rFonts w:ascii="宋体" w:hAnsi="宋体" w:cs="宋体"/>
          <w:color w:val="auto"/>
          <w:sz w:val="24"/>
        </w:rPr>
      </w:pPr>
      <w:r>
        <w:rPr>
          <w:rFonts w:hint="eastAsia" w:ascii="宋体" w:hAnsi="宋体" w:cs="宋体"/>
          <w:color w:val="auto"/>
          <w:sz w:val="24"/>
        </w:rPr>
        <w:t>15.8下列任何情况发生时，视为供应商违约，其投标保证金将被没收：</w:t>
      </w:r>
    </w:p>
    <w:p>
      <w:pPr>
        <w:pStyle w:val="14"/>
        <w:spacing w:line="360" w:lineRule="auto"/>
        <w:ind w:firstLine="480"/>
        <w:rPr>
          <w:rFonts w:ascii="宋体" w:hAnsi="宋体" w:cs="宋体"/>
          <w:color w:val="auto"/>
          <w:sz w:val="24"/>
        </w:rPr>
      </w:pPr>
      <w:r>
        <w:rPr>
          <w:rFonts w:hint="eastAsia" w:ascii="宋体" w:hAnsi="宋体" w:cs="宋体"/>
          <w:color w:val="auto"/>
          <w:sz w:val="24"/>
        </w:rPr>
        <w:t>1)供应商在递交投标文件截止时间后，撤回投标文件的或者擅自退出招标投标活动的。</w:t>
      </w:r>
    </w:p>
    <w:p>
      <w:pPr>
        <w:pStyle w:val="14"/>
        <w:spacing w:line="360" w:lineRule="auto"/>
        <w:ind w:firstLine="480"/>
        <w:rPr>
          <w:rFonts w:ascii="宋体" w:hAnsi="宋体" w:cs="宋体"/>
          <w:color w:val="auto"/>
          <w:sz w:val="24"/>
        </w:rPr>
      </w:pPr>
      <w:r>
        <w:rPr>
          <w:rFonts w:hint="eastAsia" w:ascii="宋体" w:hAnsi="宋体" w:cs="宋体"/>
          <w:color w:val="auto"/>
          <w:sz w:val="24"/>
        </w:rPr>
        <w:t>2)供应商中标后放弃中标或未能按规定签订合同、无正当理由不与采购人签订合同的或未能按规定交纳招标代理服务费或由于供应商的原因导致中标无效的。</w:t>
      </w:r>
    </w:p>
    <w:p>
      <w:pPr>
        <w:pStyle w:val="14"/>
        <w:spacing w:line="360" w:lineRule="auto"/>
        <w:ind w:firstLine="480"/>
        <w:rPr>
          <w:rFonts w:ascii="宋体" w:hAnsi="宋体" w:cs="宋体"/>
          <w:color w:val="auto"/>
          <w:sz w:val="24"/>
        </w:rPr>
      </w:pPr>
      <w:r>
        <w:rPr>
          <w:rFonts w:hint="eastAsia" w:ascii="宋体" w:hAnsi="宋体" w:cs="宋体"/>
          <w:color w:val="auto"/>
          <w:sz w:val="24"/>
        </w:rPr>
        <w:t>3）供应商在投标文件中提供伪造、套改、虚假资料参加招标投标的。</w:t>
      </w:r>
    </w:p>
    <w:p>
      <w:pPr>
        <w:pStyle w:val="14"/>
        <w:spacing w:line="360" w:lineRule="auto"/>
        <w:ind w:firstLine="480"/>
        <w:rPr>
          <w:rFonts w:ascii="宋体" w:hAnsi="宋体" w:cs="宋体"/>
          <w:color w:val="auto"/>
          <w:sz w:val="24"/>
        </w:rPr>
      </w:pPr>
      <w:r>
        <w:rPr>
          <w:rFonts w:hint="eastAsia" w:ascii="宋体" w:hAnsi="宋体" w:cs="宋体"/>
          <w:color w:val="auto"/>
          <w:sz w:val="24"/>
        </w:rPr>
        <w:t>4）供应商不按法定程序进行质疑和投诉,捏造事实，查无实据，造成恶劣影响，导致采购活动无法正常进行的。</w:t>
      </w:r>
    </w:p>
    <w:p>
      <w:pPr>
        <w:pStyle w:val="14"/>
        <w:spacing w:line="360" w:lineRule="auto"/>
        <w:ind w:firstLine="480"/>
        <w:rPr>
          <w:rFonts w:ascii="宋体" w:hAnsi="宋体" w:cs="宋体"/>
          <w:color w:val="auto"/>
          <w:sz w:val="24"/>
        </w:rPr>
      </w:pPr>
      <w:r>
        <w:rPr>
          <w:rFonts w:hint="eastAsia" w:ascii="宋体" w:hAnsi="宋体" w:cs="宋体"/>
          <w:color w:val="auto"/>
          <w:sz w:val="24"/>
        </w:rPr>
        <w:t>5）供应商与采购人、其它供应商或者采购代理机构恶意串通的。</w:t>
      </w:r>
    </w:p>
    <w:p>
      <w:pPr>
        <w:pStyle w:val="7"/>
        <w:spacing w:line="360" w:lineRule="auto"/>
        <w:ind w:firstLine="482"/>
        <w:rPr>
          <w:rFonts w:ascii="宋体" w:hAnsi="宋体" w:cs="宋体"/>
          <w:color w:val="auto"/>
          <w:sz w:val="24"/>
        </w:rPr>
      </w:pPr>
      <w:bookmarkStart w:id="69" w:name="_Toc7354"/>
      <w:r>
        <w:rPr>
          <w:rFonts w:hint="eastAsia" w:ascii="宋体" w:hAnsi="宋体" w:cs="宋体"/>
          <w:color w:val="auto"/>
          <w:sz w:val="24"/>
        </w:rPr>
        <w:t>16.投标有效期</w:t>
      </w:r>
      <w:bookmarkEnd w:id="69"/>
    </w:p>
    <w:p>
      <w:pPr>
        <w:pStyle w:val="14"/>
        <w:spacing w:line="360" w:lineRule="auto"/>
        <w:ind w:firstLine="480"/>
        <w:rPr>
          <w:rFonts w:ascii="宋体" w:hAnsi="宋体" w:cs="宋体"/>
          <w:color w:val="auto"/>
          <w:sz w:val="24"/>
        </w:rPr>
      </w:pPr>
      <w:r>
        <w:rPr>
          <w:rFonts w:hint="eastAsia" w:ascii="宋体" w:hAnsi="宋体" w:cs="宋体"/>
          <w:color w:val="auto"/>
          <w:sz w:val="24"/>
        </w:rPr>
        <w:t>16.1投标有效期：见供应商须知前附表。投标文件应在投标有效期内保持有效。投标有效期不满足规定有效期的投标文件将被视为无效投标。</w:t>
      </w:r>
    </w:p>
    <w:p>
      <w:pPr>
        <w:pStyle w:val="14"/>
        <w:spacing w:line="360" w:lineRule="auto"/>
        <w:ind w:firstLine="480"/>
        <w:rPr>
          <w:rFonts w:ascii="宋体" w:hAnsi="宋体" w:cs="宋体"/>
          <w:color w:val="auto"/>
          <w:sz w:val="24"/>
        </w:rPr>
      </w:pPr>
      <w:r>
        <w:rPr>
          <w:rFonts w:hint="eastAsia" w:ascii="宋体" w:hAnsi="宋体" w:cs="宋体"/>
          <w:color w:val="auto"/>
          <w:sz w:val="24"/>
        </w:rPr>
        <w:t>16.2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但要相应延长其投标保证金的有效期。在这种情况下，本章第15条有关投标保证金的退还和没收的规定将在延长了的有效期内继续有效。</w:t>
      </w:r>
    </w:p>
    <w:p>
      <w:pPr>
        <w:pStyle w:val="7"/>
        <w:spacing w:line="360" w:lineRule="auto"/>
        <w:ind w:firstLine="482"/>
        <w:rPr>
          <w:rFonts w:ascii="宋体" w:hAnsi="宋体" w:cs="宋体"/>
          <w:color w:val="auto"/>
          <w:sz w:val="24"/>
        </w:rPr>
      </w:pPr>
      <w:bookmarkStart w:id="70" w:name="_Toc15451"/>
      <w:r>
        <w:rPr>
          <w:rFonts w:hint="eastAsia" w:ascii="宋体" w:hAnsi="宋体" w:cs="宋体"/>
          <w:color w:val="auto"/>
          <w:sz w:val="24"/>
        </w:rPr>
        <w:t>17.投标文件的式样和签署</w:t>
      </w:r>
      <w:bookmarkEnd w:id="70"/>
    </w:p>
    <w:p>
      <w:pPr>
        <w:pStyle w:val="14"/>
        <w:spacing w:line="360" w:lineRule="auto"/>
        <w:ind w:firstLine="480"/>
        <w:rPr>
          <w:rFonts w:ascii="宋体" w:hAnsi="宋体" w:cs="宋体"/>
          <w:color w:val="auto"/>
          <w:sz w:val="24"/>
        </w:rPr>
      </w:pPr>
      <w:r>
        <w:rPr>
          <w:rFonts w:hint="eastAsia" w:ascii="宋体" w:hAnsi="宋体" w:cs="宋体"/>
          <w:color w:val="auto"/>
          <w:sz w:val="24"/>
        </w:rPr>
        <w:t>17.1投标文件正本、副本、电子版、开标一览表份数及要求详见“供应商须知前附表”。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17.2投标文件的正本需打印或用不褪色、不变质的墨水书写，并由供应商的法定代表人或被授权人按招标文件的规定签署（招标文件要求投标文件中签章的统一为签字或盖章），投标文件副本可采用正本的复印件。</w:t>
      </w:r>
    </w:p>
    <w:p>
      <w:pPr>
        <w:pStyle w:val="14"/>
        <w:spacing w:line="360" w:lineRule="auto"/>
        <w:ind w:firstLine="480"/>
        <w:rPr>
          <w:rFonts w:ascii="宋体" w:hAnsi="宋体" w:cs="宋体"/>
          <w:color w:val="auto"/>
          <w:sz w:val="24"/>
        </w:rPr>
      </w:pPr>
      <w:r>
        <w:rPr>
          <w:rFonts w:hint="eastAsia" w:ascii="宋体" w:hAnsi="宋体" w:cs="宋体"/>
          <w:color w:val="auto"/>
          <w:sz w:val="24"/>
        </w:rPr>
        <w:t>17.3任何行间插字、涂改和增删，必须由供应商的法定代表人或其被授权人在旁边签字方有效。</w:t>
      </w:r>
    </w:p>
    <w:p>
      <w:pPr>
        <w:pStyle w:val="14"/>
        <w:spacing w:line="360" w:lineRule="auto"/>
        <w:ind w:firstLine="480"/>
        <w:rPr>
          <w:rFonts w:ascii="宋体" w:hAnsi="宋体" w:cs="宋体"/>
          <w:color w:val="auto"/>
          <w:sz w:val="24"/>
        </w:rPr>
      </w:pPr>
      <w:r>
        <w:rPr>
          <w:rFonts w:hint="eastAsia" w:ascii="宋体" w:hAnsi="宋体" w:cs="宋体"/>
          <w:color w:val="auto"/>
          <w:sz w:val="24"/>
        </w:rPr>
        <w:t>17.4 投标文件正本和副本按照招标文件第六章规定的顺序编排、并应</w:t>
      </w:r>
      <w:r>
        <w:rPr>
          <w:rFonts w:hint="eastAsia" w:ascii="宋体" w:hAnsi="宋体" w:cs="宋体"/>
          <w:color w:val="auto"/>
          <w:sz w:val="24"/>
          <w:lang w:val="zh-CN"/>
        </w:rPr>
        <w:t>编制目录，</w:t>
      </w:r>
      <w:r>
        <w:rPr>
          <w:rFonts w:hint="eastAsia" w:ascii="宋体" w:hAnsi="宋体" w:cs="宋体"/>
          <w:color w:val="auto"/>
          <w:sz w:val="24"/>
        </w:rPr>
        <w:t>逐页标注连续页码，并分别</w:t>
      </w:r>
      <w:r>
        <w:rPr>
          <w:rFonts w:hint="eastAsia" w:ascii="宋体" w:hAnsi="宋体" w:cs="宋体"/>
          <w:color w:val="auto"/>
          <w:sz w:val="24"/>
          <w:lang w:val="zh-CN"/>
        </w:rPr>
        <w:t>胶装成册</w:t>
      </w:r>
      <w:r>
        <w:rPr>
          <w:rFonts w:hint="eastAsia" w:ascii="宋体" w:hAnsi="宋体" w:cs="宋体"/>
          <w:color w:val="auto"/>
          <w:sz w:val="24"/>
        </w:rPr>
        <w:t>。</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 17.5因字迹潦草、表述不清或不按招标文件格式编制的投标文件，所引起的对供应商不利的后果，由供应商自行负责。</w:t>
      </w:r>
    </w:p>
    <w:p>
      <w:pPr>
        <w:pStyle w:val="14"/>
        <w:spacing w:line="360" w:lineRule="auto"/>
        <w:ind w:firstLine="480"/>
        <w:rPr>
          <w:rFonts w:ascii="宋体" w:hAnsi="宋体" w:cs="宋体"/>
          <w:color w:val="auto"/>
          <w:sz w:val="24"/>
        </w:rPr>
      </w:pPr>
      <w:r>
        <w:rPr>
          <w:rFonts w:hint="eastAsia" w:ascii="宋体" w:hAnsi="宋体" w:cs="宋体"/>
          <w:color w:val="auto"/>
          <w:sz w:val="24"/>
        </w:rPr>
        <w:t>17.6投标文件的副本、电子版须和正本保持一致。若正本、副本和电子版有不一致的内容，以正本为准。</w:t>
      </w:r>
    </w:p>
    <w:p>
      <w:pPr>
        <w:pStyle w:val="6"/>
        <w:spacing w:line="360" w:lineRule="auto"/>
        <w:rPr>
          <w:rFonts w:ascii="宋体" w:hAnsi="宋体" w:cs="宋体"/>
          <w:color w:val="auto"/>
          <w:szCs w:val="24"/>
        </w:rPr>
      </w:pPr>
      <w:bookmarkStart w:id="71" w:name="_Toc403077642"/>
      <w:bookmarkStart w:id="72" w:name="_Toc6551"/>
      <w:bookmarkStart w:id="73" w:name="_Toc363474020"/>
      <w:bookmarkStart w:id="74" w:name="_Toc363473975"/>
      <w:bookmarkStart w:id="75" w:name="_Toc28390"/>
      <w:bookmarkStart w:id="76" w:name="_Toc18900"/>
      <w:r>
        <w:rPr>
          <w:rFonts w:hint="eastAsia" w:ascii="宋体" w:hAnsi="宋体" w:cs="宋体"/>
          <w:color w:val="auto"/>
          <w:szCs w:val="24"/>
        </w:rPr>
        <w:t>四.投标文件的递交</w:t>
      </w:r>
      <w:bookmarkEnd w:id="71"/>
      <w:bookmarkEnd w:id="72"/>
      <w:bookmarkEnd w:id="73"/>
      <w:bookmarkEnd w:id="74"/>
      <w:bookmarkEnd w:id="75"/>
      <w:bookmarkEnd w:id="76"/>
    </w:p>
    <w:p>
      <w:pPr>
        <w:pStyle w:val="7"/>
        <w:spacing w:line="360" w:lineRule="auto"/>
        <w:ind w:firstLine="482"/>
        <w:rPr>
          <w:rFonts w:ascii="宋体" w:hAnsi="宋体" w:cs="宋体"/>
          <w:color w:val="auto"/>
          <w:sz w:val="24"/>
        </w:rPr>
      </w:pPr>
      <w:bookmarkStart w:id="77" w:name="_Toc23277"/>
      <w:r>
        <w:rPr>
          <w:rFonts w:hint="eastAsia" w:ascii="宋体" w:hAnsi="宋体" w:cs="宋体"/>
          <w:color w:val="auto"/>
          <w:sz w:val="24"/>
        </w:rPr>
        <w:t>18.投标文件的密封和标记</w:t>
      </w:r>
      <w:bookmarkEnd w:id="77"/>
    </w:p>
    <w:p>
      <w:pPr>
        <w:pStyle w:val="14"/>
        <w:spacing w:line="360" w:lineRule="auto"/>
        <w:ind w:firstLine="480"/>
        <w:rPr>
          <w:rFonts w:ascii="宋体" w:hAnsi="宋体" w:cs="宋体"/>
          <w:color w:val="auto"/>
          <w:sz w:val="24"/>
        </w:rPr>
      </w:pPr>
      <w:r>
        <w:rPr>
          <w:rFonts w:hint="eastAsia" w:ascii="宋体" w:hAnsi="宋体" w:cs="宋体"/>
          <w:color w:val="auto"/>
          <w:sz w:val="24"/>
        </w:rPr>
        <w:t>18.1为方便开标唱标，开标一览表除投标文件内装订外，再单独制作一份密封在封袋中。封线处加贴封条并加盖供应商公章，封袋正面要粘贴标识，单独递交（该单独密封开标一览表的投标报价必须与投标文件正本中的开标一览表（报价表）的投标报价一致，若不一致，则按单独密封的开标一览表为准。）</w:t>
      </w:r>
    </w:p>
    <w:p>
      <w:pPr>
        <w:pStyle w:val="14"/>
        <w:spacing w:line="360" w:lineRule="auto"/>
        <w:ind w:firstLine="480"/>
        <w:rPr>
          <w:rFonts w:ascii="宋体" w:hAnsi="宋体" w:cs="宋体"/>
          <w:color w:val="auto"/>
          <w:sz w:val="24"/>
        </w:rPr>
      </w:pPr>
      <w:r>
        <w:rPr>
          <w:rFonts w:hint="eastAsia" w:ascii="宋体" w:hAnsi="宋体" w:cs="宋体"/>
          <w:color w:val="auto"/>
          <w:sz w:val="24"/>
        </w:rPr>
        <w:t>18.2投标文件的密封和标记：详见“供应商须知前附表”。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18.3如果供应商未对投标文件按上述要求进行完好密封，由此产生的不利后果由供应商自行承担。</w:t>
      </w:r>
    </w:p>
    <w:p>
      <w:pPr>
        <w:pStyle w:val="7"/>
        <w:spacing w:line="360" w:lineRule="auto"/>
        <w:ind w:firstLine="482"/>
        <w:rPr>
          <w:rFonts w:ascii="宋体" w:hAnsi="宋体" w:cs="宋体"/>
          <w:color w:val="auto"/>
          <w:sz w:val="24"/>
        </w:rPr>
      </w:pPr>
      <w:bookmarkStart w:id="78" w:name="_Toc9233"/>
      <w:r>
        <w:rPr>
          <w:rFonts w:hint="eastAsia" w:ascii="宋体" w:hAnsi="宋体" w:cs="宋体"/>
          <w:color w:val="auto"/>
          <w:sz w:val="24"/>
        </w:rPr>
        <w:t>19．投标文件的递交</w:t>
      </w:r>
      <w:bookmarkEnd w:id="78"/>
    </w:p>
    <w:p>
      <w:pPr>
        <w:pStyle w:val="14"/>
        <w:spacing w:line="360" w:lineRule="auto"/>
        <w:ind w:firstLine="480"/>
        <w:rPr>
          <w:rFonts w:ascii="宋体" w:hAnsi="宋体" w:cs="宋体"/>
          <w:color w:val="auto"/>
          <w:sz w:val="24"/>
        </w:rPr>
      </w:pPr>
      <w:r>
        <w:rPr>
          <w:rFonts w:hint="eastAsia" w:ascii="宋体" w:hAnsi="宋体" w:cs="宋体"/>
          <w:color w:val="auto"/>
          <w:sz w:val="24"/>
        </w:rPr>
        <w:t>19.1供应商应按照招标公告中规定的时间、地点，在规定的投标文件递交截止时间前将全部投标文件和投标资料递交至采购代理机构投标文件接收人。</w:t>
      </w:r>
    </w:p>
    <w:p>
      <w:pPr>
        <w:pStyle w:val="14"/>
        <w:spacing w:line="360" w:lineRule="auto"/>
        <w:ind w:firstLine="480"/>
        <w:rPr>
          <w:rFonts w:ascii="宋体" w:hAnsi="宋体" w:cs="宋体"/>
          <w:color w:val="auto"/>
          <w:sz w:val="24"/>
        </w:rPr>
      </w:pPr>
      <w:r>
        <w:rPr>
          <w:rFonts w:hint="eastAsia" w:ascii="宋体" w:hAnsi="宋体" w:cs="宋体"/>
          <w:color w:val="auto"/>
          <w:sz w:val="24"/>
        </w:rPr>
        <w:t>19.2采购代理机构在招标文件规定的投标文件递交截止时间前，只负责投标文件的接收、清点、造册登记工作，并请递交人签字确认，对其有效性不负任何责任；</w:t>
      </w:r>
    </w:p>
    <w:p>
      <w:pPr>
        <w:pStyle w:val="14"/>
        <w:spacing w:line="360" w:lineRule="auto"/>
        <w:ind w:firstLine="480"/>
        <w:rPr>
          <w:rFonts w:ascii="宋体" w:hAnsi="宋体" w:cs="宋体"/>
          <w:color w:val="auto"/>
          <w:sz w:val="24"/>
        </w:rPr>
      </w:pPr>
      <w:r>
        <w:rPr>
          <w:rFonts w:hint="eastAsia" w:ascii="宋体" w:hAnsi="宋体" w:cs="宋体"/>
          <w:color w:val="auto"/>
          <w:sz w:val="24"/>
        </w:rPr>
        <w:t>19.3采购代理机构收到投标文件后，向供应商出具签收回执。</w:t>
      </w:r>
    </w:p>
    <w:p>
      <w:pPr>
        <w:pStyle w:val="7"/>
        <w:spacing w:line="360" w:lineRule="auto"/>
        <w:ind w:firstLine="482"/>
        <w:rPr>
          <w:rFonts w:ascii="宋体" w:hAnsi="宋体" w:cs="宋体"/>
          <w:color w:val="auto"/>
          <w:sz w:val="24"/>
        </w:rPr>
      </w:pPr>
      <w:bookmarkStart w:id="79" w:name="_Toc6255"/>
      <w:r>
        <w:rPr>
          <w:rFonts w:hint="eastAsia" w:ascii="宋体" w:hAnsi="宋体" w:cs="宋体"/>
          <w:color w:val="auto"/>
          <w:sz w:val="24"/>
        </w:rPr>
        <w:t>20．迟交的投标文件</w:t>
      </w:r>
      <w:bookmarkEnd w:id="79"/>
    </w:p>
    <w:p>
      <w:pPr>
        <w:pStyle w:val="14"/>
        <w:spacing w:line="360" w:lineRule="auto"/>
        <w:ind w:firstLine="480"/>
        <w:rPr>
          <w:rFonts w:ascii="宋体" w:hAnsi="宋体" w:cs="宋体"/>
          <w:color w:val="auto"/>
          <w:sz w:val="24"/>
        </w:rPr>
      </w:pPr>
      <w:r>
        <w:rPr>
          <w:rFonts w:hint="eastAsia" w:ascii="宋体" w:hAnsi="宋体" w:cs="宋体"/>
          <w:color w:val="auto"/>
          <w:sz w:val="24"/>
        </w:rPr>
        <w:t>20.1按照招标文件的规定，在递交投标文件的截止时间之后送达的投标文件，为无效投标文件，采购代理机构将拒绝接收。</w:t>
      </w:r>
    </w:p>
    <w:p>
      <w:pPr>
        <w:pStyle w:val="7"/>
        <w:spacing w:line="360" w:lineRule="auto"/>
        <w:ind w:firstLine="482"/>
        <w:rPr>
          <w:rFonts w:ascii="宋体" w:hAnsi="宋体" w:cs="宋体"/>
          <w:color w:val="auto"/>
          <w:sz w:val="24"/>
        </w:rPr>
      </w:pPr>
      <w:bookmarkStart w:id="80" w:name="_Toc9637"/>
      <w:r>
        <w:rPr>
          <w:rFonts w:hint="eastAsia" w:ascii="宋体" w:hAnsi="宋体" w:cs="宋体"/>
          <w:color w:val="auto"/>
          <w:sz w:val="24"/>
        </w:rPr>
        <w:t>21．投标的修改与撤回</w:t>
      </w:r>
      <w:bookmarkEnd w:id="80"/>
    </w:p>
    <w:p>
      <w:pPr>
        <w:pStyle w:val="14"/>
        <w:spacing w:line="360" w:lineRule="auto"/>
        <w:ind w:firstLine="480"/>
        <w:rPr>
          <w:rFonts w:ascii="宋体" w:hAnsi="宋体" w:cs="宋体"/>
          <w:color w:val="auto"/>
          <w:sz w:val="24"/>
        </w:rPr>
      </w:pPr>
      <w:r>
        <w:rPr>
          <w:rFonts w:hint="eastAsia" w:ascii="宋体" w:hAnsi="宋体" w:cs="宋体"/>
          <w:color w:val="auto"/>
          <w:sz w:val="24"/>
        </w:rPr>
        <w:t>21.1 供应商投标文件递交截止时间前，可以修改或撤回其已递交的投标文件，也可以提出价格变动声明，但供应商必须在规定的投标文件递交截止时间之前将修改或撤回或变动价格的书面通知文件递交到采购代理机构。</w:t>
      </w:r>
    </w:p>
    <w:p>
      <w:pPr>
        <w:pStyle w:val="14"/>
        <w:spacing w:line="360" w:lineRule="auto"/>
        <w:ind w:firstLine="480"/>
        <w:rPr>
          <w:rFonts w:ascii="宋体" w:hAnsi="宋体" w:cs="宋体"/>
          <w:color w:val="auto"/>
          <w:sz w:val="24"/>
        </w:rPr>
      </w:pPr>
      <w:r>
        <w:rPr>
          <w:rFonts w:hint="eastAsia" w:ascii="宋体" w:hAnsi="宋体" w:cs="宋体"/>
          <w:color w:val="auto"/>
          <w:sz w:val="24"/>
        </w:rPr>
        <w:t>21.2 供应商的修改或撤回或变动价格的通知应按本须知第18条的规定编制、密封、标记和递交。</w:t>
      </w:r>
    </w:p>
    <w:p>
      <w:pPr>
        <w:pStyle w:val="14"/>
        <w:spacing w:line="360" w:lineRule="auto"/>
        <w:ind w:firstLine="480"/>
        <w:rPr>
          <w:rFonts w:ascii="宋体" w:hAnsi="宋体" w:cs="宋体"/>
          <w:color w:val="auto"/>
          <w:sz w:val="24"/>
        </w:rPr>
      </w:pPr>
      <w:r>
        <w:rPr>
          <w:rFonts w:hint="eastAsia" w:ascii="宋体" w:hAnsi="宋体" w:cs="宋体"/>
          <w:color w:val="auto"/>
          <w:sz w:val="24"/>
        </w:rPr>
        <w:t>21.3 在投标文件递交截止时间之后，供应商不得对其投标做任何修改或撤回。</w:t>
      </w:r>
    </w:p>
    <w:p>
      <w:pPr>
        <w:pStyle w:val="6"/>
        <w:spacing w:line="360" w:lineRule="auto"/>
        <w:rPr>
          <w:rFonts w:ascii="宋体" w:hAnsi="宋体" w:cs="宋体"/>
          <w:color w:val="auto"/>
          <w:szCs w:val="24"/>
        </w:rPr>
      </w:pPr>
      <w:bookmarkStart w:id="81" w:name="_Toc29531"/>
      <w:bookmarkStart w:id="82" w:name="_Toc19464"/>
      <w:bookmarkStart w:id="83" w:name="_Toc29187"/>
      <w:bookmarkStart w:id="84" w:name="_Toc363473976"/>
      <w:bookmarkStart w:id="85" w:name="_Toc403077643"/>
      <w:bookmarkStart w:id="86" w:name="_Toc363474021"/>
      <w:r>
        <w:rPr>
          <w:rFonts w:hint="eastAsia" w:ascii="宋体" w:hAnsi="宋体" w:cs="宋体"/>
          <w:color w:val="auto"/>
          <w:szCs w:val="24"/>
        </w:rPr>
        <w:t>五.开标与评标</w:t>
      </w:r>
      <w:bookmarkEnd w:id="81"/>
      <w:bookmarkEnd w:id="82"/>
      <w:bookmarkEnd w:id="83"/>
      <w:bookmarkEnd w:id="84"/>
      <w:bookmarkEnd w:id="85"/>
      <w:bookmarkEnd w:id="86"/>
    </w:p>
    <w:p>
      <w:pPr>
        <w:pStyle w:val="7"/>
        <w:spacing w:line="360" w:lineRule="auto"/>
        <w:ind w:firstLine="482"/>
        <w:rPr>
          <w:rFonts w:ascii="宋体" w:hAnsi="宋体" w:cs="宋体"/>
          <w:color w:val="auto"/>
          <w:sz w:val="24"/>
        </w:rPr>
      </w:pPr>
      <w:bookmarkStart w:id="87" w:name="_Toc22553"/>
      <w:r>
        <w:rPr>
          <w:rFonts w:hint="eastAsia" w:ascii="宋体" w:hAnsi="宋体" w:cs="宋体"/>
          <w:color w:val="auto"/>
          <w:sz w:val="24"/>
        </w:rPr>
        <w:t>22. 开标</w:t>
      </w:r>
      <w:bookmarkEnd w:id="87"/>
    </w:p>
    <w:p>
      <w:pPr>
        <w:pStyle w:val="14"/>
        <w:spacing w:line="360" w:lineRule="auto"/>
        <w:ind w:firstLine="480"/>
        <w:rPr>
          <w:rFonts w:ascii="宋体" w:hAnsi="宋体" w:cs="宋体"/>
          <w:color w:val="auto"/>
          <w:sz w:val="24"/>
        </w:rPr>
      </w:pPr>
      <w:r>
        <w:rPr>
          <w:rFonts w:hint="eastAsia" w:ascii="宋体" w:hAnsi="宋体" w:cs="宋体"/>
          <w:color w:val="auto"/>
          <w:sz w:val="24"/>
        </w:rPr>
        <w:t>22.1 采购代理机构在规定的时间和地点组织公开开标。开标时所有供应商代表自愿参加，参加开标的代表应签名报到以证明其出席。</w:t>
      </w:r>
    </w:p>
    <w:p>
      <w:pPr>
        <w:pStyle w:val="14"/>
        <w:spacing w:line="360" w:lineRule="auto"/>
        <w:ind w:firstLine="480"/>
        <w:rPr>
          <w:rFonts w:ascii="宋体" w:hAnsi="宋体" w:cs="宋体"/>
          <w:color w:val="auto"/>
          <w:sz w:val="24"/>
        </w:rPr>
      </w:pPr>
      <w:r>
        <w:rPr>
          <w:rFonts w:hint="eastAsia" w:ascii="宋体" w:hAnsi="宋体" w:cs="宋体"/>
          <w:color w:val="auto"/>
          <w:sz w:val="24"/>
        </w:rPr>
        <w:t>22.2 开标时，由监标人和供应商或者其推选的代表检查投标文件的密封情况。检查完毕后，采购代理机构当众宣读供应商名称、投标价格、修改或撤回或变动价格的书面通知（如果有），以及采购代理机构认为合适的其他内容。</w:t>
      </w:r>
    </w:p>
    <w:p>
      <w:pPr>
        <w:pStyle w:val="14"/>
        <w:spacing w:line="360" w:lineRule="auto"/>
        <w:ind w:firstLine="480"/>
        <w:rPr>
          <w:rFonts w:ascii="宋体" w:hAnsi="宋体" w:cs="宋体"/>
          <w:color w:val="auto"/>
          <w:sz w:val="24"/>
        </w:rPr>
      </w:pPr>
      <w:r>
        <w:rPr>
          <w:rFonts w:hint="eastAsia" w:ascii="宋体" w:hAnsi="宋体" w:cs="宋体"/>
          <w:color w:val="auto"/>
          <w:sz w:val="24"/>
        </w:rPr>
        <w:t>22.3只有在开标时唱出的价格和价格变动声明，评标时才能考虑。</w:t>
      </w:r>
    </w:p>
    <w:p>
      <w:pPr>
        <w:pStyle w:val="14"/>
        <w:spacing w:line="360" w:lineRule="auto"/>
        <w:ind w:firstLine="480"/>
        <w:rPr>
          <w:rFonts w:ascii="宋体" w:hAnsi="宋体" w:cs="宋体"/>
          <w:color w:val="auto"/>
          <w:sz w:val="24"/>
        </w:rPr>
      </w:pPr>
      <w:r>
        <w:rPr>
          <w:rFonts w:hint="eastAsia" w:ascii="宋体" w:hAnsi="宋体" w:cs="宋体"/>
          <w:color w:val="auto"/>
          <w:sz w:val="24"/>
        </w:rPr>
        <w:t>22.4在开标时没有启封和宣读的投标文件将原封退回给供应商。</w:t>
      </w:r>
    </w:p>
    <w:p>
      <w:pPr>
        <w:pStyle w:val="14"/>
        <w:spacing w:line="360" w:lineRule="auto"/>
        <w:ind w:firstLine="480"/>
        <w:rPr>
          <w:rFonts w:ascii="宋体" w:hAnsi="宋体" w:cs="宋体"/>
          <w:color w:val="auto"/>
          <w:sz w:val="24"/>
        </w:rPr>
      </w:pPr>
      <w:r>
        <w:rPr>
          <w:rFonts w:hint="eastAsia" w:ascii="宋体" w:hAnsi="宋体" w:cs="宋体"/>
          <w:color w:val="auto"/>
          <w:sz w:val="24"/>
        </w:rPr>
        <w:t>22.5以邮寄方式递交投标文件的为无效投标，不予启封。</w:t>
      </w:r>
    </w:p>
    <w:p>
      <w:pPr>
        <w:pStyle w:val="14"/>
        <w:spacing w:line="360" w:lineRule="auto"/>
        <w:ind w:firstLine="480"/>
        <w:rPr>
          <w:rFonts w:ascii="宋体" w:hAnsi="宋体" w:cs="宋体"/>
          <w:color w:val="auto"/>
          <w:sz w:val="24"/>
        </w:rPr>
      </w:pPr>
      <w:r>
        <w:rPr>
          <w:rFonts w:hint="eastAsia" w:ascii="宋体" w:hAnsi="宋体" w:cs="宋体"/>
          <w:color w:val="auto"/>
          <w:sz w:val="24"/>
        </w:rPr>
        <w:t>22.6 采购代理机构将做开标记录，存档备查。</w:t>
      </w:r>
    </w:p>
    <w:p>
      <w:pPr>
        <w:pStyle w:val="14"/>
        <w:spacing w:line="360" w:lineRule="auto"/>
        <w:ind w:firstLine="480"/>
        <w:rPr>
          <w:rFonts w:ascii="宋体" w:hAnsi="宋体" w:cs="宋体"/>
          <w:color w:val="auto"/>
          <w:sz w:val="24"/>
        </w:rPr>
      </w:pPr>
      <w:r>
        <w:rPr>
          <w:rFonts w:hint="eastAsia" w:ascii="宋体" w:hAnsi="宋体" w:cs="宋体"/>
          <w:color w:val="auto"/>
          <w:sz w:val="24"/>
        </w:rPr>
        <w:t>22.7供应商未参加开标的，视同认可开标结果。</w:t>
      </w:r>
    </w:p>
    <w:p>
      <w:pPr>
        <w:pStyle w:val="7"/>
        <w:spacing w:line="360" w:lineRule="auto"/>
        <w:ind w:firstLine="482"/>
        <w:rPr>
          <w:rFonts w:ascii="宋体" w:hAnsi="宋体" w:cs="宋体"/>
          <w:color w:val="auto"/>
          <w:sz w:val="24"/>
        </w:rPr>
      </w:pPr>
      <w:bookmarkStart w:id="88" w:name="_Toc3767"/>
      <w:r>
        <w:rPr>
          <w:rFonts w:hint="eastAsia" w:ascii="宋体" w:hAnsi="宋体" w:cs="宋体"/>
          <w:color w:val="auto"/>
          <w:sz w:val="24"/>
        </w:rPr>
        <w:t>23．评标组织及评标原则</w:t>
      </w:r>
      <w:bookmarkEnd w:id="88"/>
    </w:p>
    <w:p>
      <w:pPr>
        <w:pStyle w:val="14"/>
        <w:spacing w:line="360" w:lineRule="auto"/>
        <w:ind w:firstLine="480"/>
        <w:rPr>
          <w:rFonts w:ascii="宋体" w:hAnsi="宋体" w:cs="宋体"/>
          <w:color w:val="auto"/>
          <w:sz w:val="24"/>
        </w:rPr>
      </w:pPr>
      <w:r>
        <w:rPr>
          <w:rFonts w:hint="eastAsia" w:ascii="宋体" w:hAnsi="宋体" w:cs="宋体"/>
          <w:color w:val="auto"/>
          <w:sz w:val="24"/>
        </w:rPr>
        <w:t>23.1按照《中华人民共和国政府采购法》、中华人民共和国2015年第658号国务院令--《中华人民共和国政府采购法实施条例》和中华人民共和国财政部2017年第87号部长令--《政府采购货物和服务招标投标管理办法》的规定，依法组建评标委员会。评标委员会按照招标文件规定的评标方法独立进行评标工作。</w:t>
      </w:r>
    </w:p>
    <w:p>
      <w:pPr>
        <w:pStyle w:val="14"/>
        <w:spacing w:line="360" w:lineRule="auto"/>
        <w:ind w:firstLine="480"/>
        <w:rPr>
          <w:rFonts w:ascii="宋体" w:hAnsi="宋体" w:cs="宋体"/>
          <w:color w:val="auto"/>
          <w:sz w:val="24"/>
        </w:rPr>
      </w:pPr>
      <w:r>
        <w:rPr>
          <w:rFonts w:hint="eastAsia" w:ascii="宋体" w:hAnsi="宋体" w:cs="宋体"/>
          <w:color w:val="auto"/>
          <w:sz w:val="24"/>
        </w:rPr>
        <w:t>23.2招标文件和投标文件是评标的依据。在评标中，不得改变招标文件中规定的评标标准、方法和中标条件。供应商不得在开标后使用任何方式对投标文件的实质性内容做任何更改。</w:t>
      </w:r>
    </w:p>
    <w:p>
      <w:pPr>
        <w:pStyle w:val="14"/>
        <w:spacing w:line="360" w:lineRule="auto"/>
        <w:ind w:firstLine="480"/>
        <w:rPr>
          <w:rFonts w:ascii="宋体" w:hAnsi="宋体" w:cs="宋体"/>
          <w:color w:val="auto"/>
          <w:sz w:val="24"/>
        </w:rPr>
      </w:pPr>
      <w:r>
        <w:rPr>
          <w:rFonts w:hint="eastAsia" w:ascii="宋体" w:hAnsi="宋体" w:cs="宋体"/>
          <w:color w:val="auto"/>
          <w:sz w:val="24"/>
        </w:rPr>
        <w:t>23.3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pStyle w:val="14"/>
        <w:spacing w:line="360" w:lineRule="auto"/>
        <w:ind w:firstLine="480"/>
        <w:rPr>
          <w:rFonts w:ascii="宋体" w:hAnsi="宋体" w:cs="宋体"/>
          <w:color w:val="auto"/>
          <w:sz w:val="24"/>
        </w:rPr>
      </w:pPr>
      <w:r>
        <w:rPr>
          <w:rFonts w:hint="eastAsia" w:ascii="宋体" w:hAnsi="宋体" w:cs="宋体"/>
          <w:color w:val="auto"/>
          <w:sz w:val="24"/>
        </w:rPr>
        <w:t>23.4如果供应商在规定时限内，未能答复或拒绝答复评委会提出的澄清、说明或者补正的要求，将由评委会根据其投标文件按最大风险进行评标。</w:t>
      </w:r>
    </w:p>
    <w:p>
      <w:pPr>
        <w:pStyle w:val="7"/>
        <w:spacing w:line="360" w:lineRule="auto"/>
        <w:ind w:firstLine="482"/>
        <w:rPr>
          <w:rFonts w:ascii="宋体" w:hAnsi="宋体" w:cs="宋体"/>
          <w:color w:val="auto"/>
          <w:sz w:val="24"/>
        </w:rPr>
      </w:pPr>
      <w:bookmarkStart w:id="89" w:name="_Toc4331"/>
      <w:r>
        <w:rPr>
          <w:rFonts w:hint="eastAsia" w:ascii="宋体" w:hAnsi="宋体" w:cs="宋体"/>
          <w:color w:val="auto"/>
          <w:sz w:val="24"/>
        </w:rPr>
        <w:t>24．评标过程的保密</w:t>
      </w:r>
      <w:bookmarkEnd w:id="89"/>
    </w:p>
    <w:p>
      <w:pPr>
        <w:pStyle w:val="14"/>
        <w:spacing w:line="360" w:lineRule="auto"/>
        <w:ind w:firstLine="480"/>
        <w:rPr>
          <w:rFonts w:ascii="宋体" w:hAnsi="宋体" w:cs="宋体"/>
          <w:color w:val="auto"/>
          <w:sz w:val="24"/>
        </w:rPr>
      </w:pPr>
      <w:r>
        <w:rPr>
          <w:rFonts w:hint="eastAsia" w:ascii="宋体" w:hAnsi="宋体" w:cs="宋体"/>
          <w:color w:val="auto"/>
          <w:sz w:val="24"/>
        </w:rPr>
        <w:t>24.1评标委员会成员和与评标活动有关的工作人员不得泄露有关投标文件的评审和比较、中标候选人的推荐以及与评标有关的其他情况。</w:t>
      </w:r>
    </w:p>
    <w:p>
      <w:pPr>
        <w:pStyle w:val="14"/>
        <w:spacing w:line="360" w:lineRule="auto"/>
        <w:ind w:firstLine="480"/>
        <w:rPr>
          <w:rFonts w:ascii="宋体" w:hAnsi="宋体" w:cs="宋体"/>
          <w:color w:val="auto"/>
          <w:sz w:val="24"/>
        </w:rPr>
      </w:pPr>
      <w:r>
        <w:rPr>
          <w:rFonts w:hint="eastAsia" w:ascii="宋体" w:hAnsi="宋体" w:cs="宋体"/>
          <w:color w:val="auto"/>
          <w:sz w:val="24"/>
        </w:rPr>
        <w:t>24.2在评标过程中，如果供应商试图在投标文件的评审和比较、中标候选人的推荐以及与评标有关的其他方面，向评标人、采购人和采购代理机构施加任何影响，其投标应做无效投标处理。</w:t>
      </w:r>
    </w:p>
    <w:p>
      <w:pPr>
        <w:pStyle w:val="7"/>
        <w:spacing w:line="360" w:lineRule="auto"/>
        <w:ind w:firstLine="482"/>
        <w:rPr>
          <w:rFonts w:ascii="宋体" w:hAnsi="宋体" w:cs="宋体"/>
          <w:color w:val="auto"/>
          <w:sz w:val="24"/>
        </w:rPr>
      </w:pPr>
      <w:bookmarkStart w:id="90" w:name="_Toc13844"/>
      <w:r>
        <w:rPr>
          <w:rFonts w:hint="eastAsia" w:ascii="宋体" w:hAnsi="宋体" w:cs="宋体"/>
          <w:color w:val="auto"/>
          <w:sz w:val="24"/>
        </w:rPr>
        <w:t>25．评标方法</w:t>
      </w:r>
      <w:bookmarkEnd w:id="90"/>
    </w:p>
    <w:p>
      <w:pPr>
        <w:pStyle w:val="14"/>
        <w:spacing w:line="360" w:lineRule="auto"/>
        <w:ind w:firstLine="480"/>
        <w:rPr>
          <w:rFonts w:ascii="宋体" w:hAnsi="宋体" w:cs="宋体"/>
          <w:color w:val="auto"/>
          <w:sz w:val="24"/>
        </w:rPr>
      </w:pPr>
      <w:r>
        <w:rPr>
          <w:rFonts w:hint="eastAsia" w:ascii="宋体" w:hAnsi="宋体" w:cs="宋体"/>
          <w:color w:val="auto"/>
          <w:sz w:val="24"/>
        </w:rPr>
        <w:t>25.1按照《中华人民共和国政府采购法实施条例》和《政府采购货物和服务招标投标管理办法》的规定，本次评标采用以下评标方法中的一种：详见“供应商须知前附表”。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1） 最低评标价法，是指投标文件满足招标文件全部实质性要求，且投标报价最低的供应商为中标候选人的评标方法。</w:t>
      </w:r>
    </w:p>
    <w:p>
      <w:pPr>
        <w:pStyle w:val="14"/>
        <w:spacing w:line="360" w:lineRule="auto"/>
        <w:ind w:firstLine="480"/>
        <w:rPr>
          <w:rFonts w:ascii="宋体" w:hAnsi="宋体" w:cs="宋体"/>
          <w:color w:val="auto"/>
          <w:sz w:val="24"/>
        </w:rPr>
      </w:pPr>
      <w:r>
        <w:rPr>
          <w:rFonts w:hint="eastAsia" w:ascii="宋体" w:hAnsi="宋体" w:cs="宋体"/>
          <w:color w:val="auto"/>
          <w:sz w:val="24"/>
        </w:rPr>
        <w:t>2） 综合评分法，是指投标文件满足招标文件全部实质性要求，且按照评审因素的量化指标评审得分最高的供应商为中标候选人的评标方法。</w:t>
      </w:r>
    </w:p>
    <w:p>
      <w:pPr>
        <w:pStyle w:val="7"/>
        <w:spacing w:line="360" w:lineRule="auto"/>
        <w:ind w:firstLine="482"/>
        <w:rPr>
          <w:rFonts w:ascii="宋体" w:hAnsi="宋体" w:cs="宋体"/>
          <w:color w:val="auto"/>
          <w:sz w:val="24"/>
        </w:rPr>
      </w:pPr>
      <w:bookmarkStart w:id="91" w:name="_Toc10622"/>
      <w:r>
        <w:rPr>
          <w:rFonts w:hint="eastAsia" w:ascii="宋体" w:hAnsi="宋体" w:cs="宋体"/>
          <w:color w:val="auto"/>
          <w:sz w:val="24"/>
        </w:rPr>
        <w:t>26．评标程序</w:t>
      </w:r>
      <w:bookmarkEnd w:id="91"/>
    </w:p>
    <w:p>
      <w:pPr>
        <w:pStyle w:val="14"/>
        <w:spacing w:line="360" w:lineRule="auto"/>
        <w:ind w:firstLine="480"/>
        <w:rPr>
          <w:rFonts w:ascii="宋体" w:hAnsi="宋体" w:cs="宋体"/>
          <w:color w:val="auto"/>
          <w:sz w:val="24"/>
        </w:rPr>
      </w:pPr>
      <w:r>
        <w:rPr>
          <w:rFonts w:hint="eastAsia" w:ascii="宋体" w:hAnsi="宋体" w:cs="宋体"/>
          <w:color w:val="auto"/>
          <w:sz w:val="24"/>
        </w:rPr>
        <w:t>按照投标文件初审、澄清有关问题、比较与评价、推荐中标候选人名单的工作程序进行评标。在上一步评审中供应商被认定无效投标者，不进入下一步的评审。</w:t>
      </w:r>
    </w:p>
    <w:p>
      <w:pPr>
        <w:pStyle w:val="6"/>
        <w:spacing w:line="360" w:lineRule="auto"/>
        <w:rPr>
          <w:rFonts w:ascii="宋体" w:hAnsi="宋体" w:cs="宋体"/>
          <w:color w:val="auto"/>
          <w:szCs w:val="24"/>
        </w:rPr>
      </w:pPr>
      <w:bookmarkStart w:id="92" w:name="_Toc2889"/>
      <w:bookmarkStart w:id="93" w:name="_Toc13314"/>
      <w:bookmarkStart w:id="94" w:name="_Toc363473977"/>
      <w:bookmarkStart w:id="95" w:name="_Toc403077644"/>
      <w:bookmarkStart w:id="96" w:name="_Toc363474022"/>
      <w:bookmarkStart w:id="97" w:name="_Toc10785"/>
      <w:r>
        <w:rPr>
          <w:rFonts w:hint="eastAsia" w:ascii="宋体" w:hAnsi="宋体" w:cs="宋体"/>
          <w:color w:val="auto"/>
          <w:szCs w:val="24"/>
        </w:rPr>
        <w:t>六.定标、中标通知与签约</w:t>
      </w:r>
      <w:bookmarkEnd w:id="92"/>
      <w:bookmarkEnd w:id="93"/>
      <w:bookmarkEnd w:id="94"/>
      <w:bookmarkEnd w:id="95"/>
      <w:bookmarkEnd w:id="96"/>
      <w:bookmarkEnd w:id="97"/>
    </w:p>
    <w:p>
      <w:pPr>
        <w:pStyle w:val="7"/>
        <w:spacing w:line="360" w:lineRule="auto"/>
        <w:ind w:firstLine="482"/>
        <w:rPr>
          <w:rFonts w:ascii="宋体" w:hAnsi="宋体" w:cs="宋体"/>
          <w:color w:val="auto"/>
          <w:sz w:val="24"/>
        </w:rPr>
      </w:pPr>
      <w:bookmarkStart w:id="98" w:name="_Toc32223"/>
      <w:r>
        <w:rPr>
          <w:rFonts w:hint="eastAsia" w:ascii="宋体" w:hAnsi="宋体" w:cs="宋体"/>
          <w:color w:val="auto"/>
          <w:sz w:val="24"/>
        </w:rPr>
        <w:t>27．定标程序</w:t>
      </w:r>
      <w:bookmarkEnd w:id="98"/>
    </w:p>
    <w:p>
      <w:pPr>
        <w:pStyle w:val="14"/>
        <w:spacing w:line="360" w:lineRule="auto"/>
        <w:ind w:firstLine="480"/>
        <w:rPr>
          <w:rFonts w:ascii="宋体" w:hAnsi="宋体" w:cs="宋体"/>
          <w:color w:val="auto"/>
          <w:sz w:val="24"/>
        </w:rPr>
      </w:pPr>
      <w:r>
        <w:rPr>
          <w:rFonts w:hint="eastAsia" w:ascii="宋体" w:hAnsi="宋体" w:cs="宋体"/>
          <w:color w:val="auto"/>
          <w:sz w:val="24"/>
        </w:rPr>
        <w:t>27.1评标委员会根据评标方法的规定对供应商进行评审排序，推荐3名中标候选人，作为评标结果。评标结果由评标委员会成员签字确认。</w:t>
      </w:r>
    </w:p>
    <w:p>
      <w:pPr>
        <w:pStyle w:val="14"/>
        <w:spacing w:line="360" w:lineRule="auto"/>
        <w:ind w:firstLine="480"/>
        <w:rPr>
          <w:rFonts w:ascii="宋体" w:hAnsi="宋体" w:cs="宋体"/>
          <w:color w:val="auto"/>
          <w:sz w:val="24"/>
        </w:rPr>
      </w:pPr>
      <w:r>
        <w:rPr>
          <w:rFonts w:hint="eastAsia" w:ascii="宋体" w:hAnsi="宋体" w:cs="宋体"/>
          <w:color w:val="auto"/>
          <w:sz w:val="24"/>
        </w:rPr>
        <w:t>27.2采购代理机构在评标结束后2个工作日内将评标报告送采购人。采购人应当在收到评标报告后5个工作日内，按照评标报告中推荐的中标候选人顺序和有关规定确定中标人。</w:t>
      </w:r>
    </w:p>
    <w:p>
      <w:pPr>
        <w:pStyle w:val="14"/>
        <w:spacing w:line="360" w:lineRule="auto"/>
        <w:ind w:firstLine="480"/>
        <w:rPr>
          <w:rFonts w:ascii="宋体" w:hAnsi="宋体" w:cs="宋体"/>
          <w:color w:val="auto"/>
          <w:sz w:val="24"/>
        </w:rPr>
      </w:pPr>
      <w:r>
        <w:rPr>
          <w:rFonts w:hint="eastAsia" w:ascii="宋体" w:hAnsi="宋体" w:cs="宋体"/>
          <w:color w:val="auto"/>
          <w:sz w:val="24"/>
        </w:rPr>
        <w:t>27.3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pStyle w:val="14"/>
        <w:spacing w:line="360" w:lineRule="auto"/>
        <w:ind w:firstLine="480"/>
        <w:rPr>
          <w:rFonts w:ascii="宋体" w:hAnsi="宋体" w:cs="宋体"/>
          <w:color w:val="auto"/>
          <w:sz w:val="24"/>
        </w:rPr>
      </w:pPr>
      <w:r>
        <w:rPr>
          <w:rFonts w:hint="eastAsia" w:ascii="宋体" w:hAnsi="宋体" w:cs="宋体"/>
          <w:color w:val="auto"/>
          <w:sz w:val="24"/>
        </w:rPr>
        <w:t>27.4采购人也可以授权评标委员会评标后直接确定中标人。</w:t>
      </w:r>
    </w:p>
    <w:p>
      <w:pPr>
        <w:pStyle w:val="14"/>
        <w:spacing w:line="360" w:lineRule="auto"/>
        <w:ind w:firstLine="480"/>
        <w:rPr>
          <w:rFonts w:ascii="宋体" w:hAnsi="宋体" w:cs="宋体"/>
          <w:color w:val="auto"/>
          <w:sz w:val="24"/>
        </w:rPr>
      </w:pPr>
      <w:r>
        <w:rPr>
          <w:rFonts w:hint="eastAsia" w:ascii="宋体" w:hAnsi="宋体" w:cs="宋体"/>
          <w:color w:val="auto"/>
          <w:sz w:val="24"/>
        </w:rPr>
        <w:t>27.5中标人确定之后，中标结果将在财政部门指定的政府采购信息发布媒体上公告。</w:t>
      </w:r>
    </w:p>
    <w:p>
      <w:pPr>
        <w:pStyle w:val="14"/>
        <w:spacing w:line="360" w:lineRule="auto"/>
        <w:ind w:firstLine="480"/>
        <w:rPr>
          <w:rFonts w:ascii="宋体" w:hAnsi="宋体" w:cs="宋体"/>
          <w:color w:val="auto"/>
          <w:sz w:val="24"/>
        </w:rPr>
      </w:pPr>
      <w:r>
        <w:rPr>
          <w:rFonts w:hint="eastAsia" w:ascii="宋体" w:hAnsi="宋体" w:cs="宋体"/>
          <w:color w:val="auto"/>
          <w:sz w:val="24"/>
        </w:rPr>
        <w:t>27.6供应商或者其他利害关系人对评标结果有异议的，应当在法律规定的时间内提出。</w:t>
      </w:r>
    </w:p>
    <w:p>
      <w:pPr>
        <w:pStyle w:val="7"/>
        <w:spacing w:line="360" w:lineRule="auto"/>
        <w:ind w:firstLine="482"/>
        <w:rPr>
          <w:rFonts w:ascii="宋体" w:hAnsi="宋体" w:cs="宋体"/>
          <w:color w:val="auto"/>
          <w:sz w:val="24"/>
        </w:rPr>
      </w:pPr>
      <w:bookmarkStart w:id="99" w:name="_Toc23802"/>
      <w:r>
        <w:rPr>
          <w:rFonts w:hint="eastAsia" w:ascii="宋体" w:hAnsi="宋体" w:cs="宋体"/>
          <w:color w:val="auto"/>
          <w:sz w:val="24"/>
        </w:rPr>
        <w:t>28．中标和落标通知</w:t>
      </w:r>
      <w:bookmarkEnd w:id="99"/>
    </w:p>
    <w:p>
      <w:pPr>
        <w:pStyle w:val="14"/>
        <w:spacing w:line="360" w:lineRule="auto"/>
        <w:ind w:firstLine="480"/>
        <w:rPr>
          <w:rFonts w:ascii="宋体" w:hAnsi="宋体" w:cs="宋体"/>
          <w:color w:val="auto"/>
          <w:sz w:val="24"/>
        </w:rPr>
      </w:pPr>
      <w:r>
        <w:rPr>
          <w:rFonts w:hint="eastAsia" w:ascii="宋体" w:hAnsi="宋体" w:cs="宋体"/>
          <w:color w:val="auto"/>
          <w:sz w:val="24"/>
        </w:rPr>
        <w:t>28.1 采购代理机构在发布中标公告后，向中标人发出《中标通知书》。</w:t>
      </w:r>
    </w:p>
    <w:p>
      <w:pPr>
        <w:pStyle w:val="14"/>
        <w:spacing w:line="360" w:lineRule="auto"/>
        <w:ind w:firstLine="480"/>
        <w:rPr>
          <w:rFonts w:ascii="宋体" w:hAnsi="宋体" w:cs="宋体"/>
          <w:color w:val="auto"/>
          <w:sz w:val="24"/>
        </w:rPr>
      </w:pPr>
      <w:r>
        <w:rPr>
          <w:rFonts w:hint="eastAsia" w:ascii="宋体" w:hAnsi="宋体" w:cs="宋体"/>
          <w:color w:val="auto"/>
          <w:sz w:val="24"/>
        </w:rPr>
        <w:t>28.2中标通知书对采购人和中标人具有同等法律效力。中标通知书发出之后，采购人改变中标结果，或者中标人放弃中标，应当承担相应的法律责任。</w:t>
      </w:r>
    </w:p>
    <w:p>
      <w:pPr>
        <w:pStyle w:val="14"/>
        <w:spacing w:line="360" w:lineRule="auto"/>
        <w:ind w:firstLine="480"/>
        <w:rPr>
          <w:rFonts w:ascii="宋体" w:hAnsi="宋体" w:cs="宋体"/>
          <w:color w:val="auto"/>
          <w:sz w:val="24"/>
        </w:rPr>
      </w:pPr>
      <w:r>
        <w:rPr>
          <w:rFonts w:hint="eastAsia" w:ascii="宋体" w:hAnsi="宋体" w:cs="宋体"/>
          <w:color w:val="auto"/>
          <w:sz w:val="24"/>
        </w:rPr>
        <w:t>28.3中标公告发布后，未中标供应商可致电采购代理机构获知本单位的评审得分与排序。</w:t>
      </w:r>
    </w:p>
    <w:p>
      <w:pPr>
        <w:pStyle w:val="7"/>
        <w:spacing w:line="360" w:lineRule="auto"/>
        <w:ind w:firstLine="482"/>
        <w:rPr>
          <w:rFonts w:ascii="宋体" w:hAnsi="宋体" w:cs="宋体"/>
          <w:color w:val="auto"/>
          <w:sz w:val="24"/>
        </w:rPr>
      </w:pPr>
      <w:bookmarkStart w:id="100" w:name="_Toc24255"/>
      <w:r>
        <w:rPr>
          <w:rFonts w:hint="eastAsia" w:ascii="宋体" w:hAnsi="宋体" w:cs="宋体"/>
          <w:color w:val="auto"/>
          <w:sz w:val="24"/>
        </w:rPr>
        <w:t>29. 中标合同的签订</w:t>
      </w:r>
      <w:bookmarkEnd w:id="100"/>
    </w:p>
    <w:p>
      <w:pPr>
        <w:pStyle w:val="14"/>
        <w:spacing w:line="360" w:lineRule="auto"/>
        <w:ind w:firstLine="480"/>
        <w:rPr>
          <w:rFonts w:ascii="宋体" w:hAnsi="宋体" w:cs="宋体"/>
          <w:color w:val="auto"/>
          <w:sz w:val="24"/>
        </w:rPr>
      </w:pPr>
      <w:r>
        <w:rPr>
          <w:rFonts w:hint="eastAsia" w:ascii="宋体" w:hAnsi="宋体" w:cs="宋体"/>
          <w:color w:val="auto"/>
          <w:sz w:val="24"/>
        </w:rPr>
        <w:t>29.1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pStyle w:val="14"/>
        <w:spacing w:line="360" w:lineRule="auto"/>
        <w:ind w:firstLine="480"/>
        <w:rPr>
          <w:rFonts w:ascii="宋体" w:hAnsi="宋体" w:cs="宋体"/>
          <w:color w:val="auto"/>
          <w:sz w:val="24"/>
        </w:rPr>
      </w:pPr>
      <w:r>
        <w:rPr>
          <w:rFonts w:hint="eastAsia" w:ascii="宋体" w:hAnsi="宋体" w:cs="宋体"/>
          <w:color w:val="auto"/>
          <w:sz w:val="24"/>
        </w:rPr>
        <w:t>29.2采购人自政府采购合同签订之日起2个工作日内，将政府采购合同在省级以上人民政府财政部门指定的媒体上公告，但政府采购合同中涉及国家秘密、商业秘密的内容除外。</w:t>
      </w:r>
    </w:p>
    <w:p>
      <w:pPr>
        <w:pStyle w:val="7"/>
        <w:spacing w:line="360" w:lineRule="auto"/>
        <w:ind w:firstLine="482"/>
        <w:rPr>
          <w:rFonts w:ascii="宋体" w:hAnsi="宋体" w:cs="宋体"/>
          <w:color w:val="auto"/>
          <w:sz w:val="24"/>
        </w:rPr>
      </w:pPr>
      <w:bookmarkStart w:id="101" w:name="_Toc15519"/>
      <w:r>
        <w:rPr>
          <w:rFonts w:hint="eastAsia" w:ascii="宋体" w:hAnsi="宋体" w:cs="宋体"/>
          <w:color w:val="auto"/>
          <w:sz w:val="24"/>
        </w:rPr>
        <w:t>30．招标代理服务费</w:t>
      </w:r>
      <w:bookmarkEnd w:id="101"/>
    </w:p>
    <w:p>
      <w:pPr>
        <w:pStyle w:val="14"/>
        <w:spacing w:line="360" w:lineRule="auto"/>
        <w:ind w:firstLine="480"/>
        <w:rPr>
          <w:rFonts w:ascii="宋体" w:hAnsi="宋体" w:cs="宋体"/>
          <w:color w:val="auto"/>
          <w:sz w:val="24"/>
        </w:rPr>
      </w:pPr>
      <w:r>
        <w:rPr>
          <w:rFonts w:hint="eastAsia" w:ascii="宋体" w:hAnsi="宋体" w:cs="宋体"/>
          <w:color w:val="auto"/>
          <w:sz w:val="24"/>
        </w:rPr>
        <w:t>30.1按国家计委颁发的《招标代理服务收费管理暂行办法》（计价格[2002]1980号）和国家发展改革委员会办公厅颁发的《关于招标代理服务收费有关问题的通知》（发改办价格[2003]857号）的有关规定执行。</w:t>
      </w:r>
    </w:p>
    <w:p>
      <w:pPr>
        <w:pStyle w:val="14"/>
        <w:spacing w:line="360" w:lineRule="auto"/>
        <w:ind w:firstLine="480"/>
        <w:rPr>
          <w:rFonts w:ascii="宋体" w:hAnsi="宋体" w:cs="宋体"/>
          <w:color w:val="auto"/>
          <w:sz w:val="24"/>
        </w:rPr>
      </w:pPr>
      <w:r>
        <w:rPr>
          <w:rFonts w:hint="eastAsia" w:ascii="宋体" w:hAnsi="宋体" w:cs="宋体"/>
          <w:color w:val="auto"/>
          <w:sz w:val="24"/>
        </w:rPr>
        <w:t>30.2中标人承担招标代理服务费，中标人在领取中标通知书前，须向采购代理机构一次性支付招标代理服务费。</w:t>
      </w:r>
    </w:p>
    <w:p>
      <w:pPr>
        <w:pStyle w:val="7"/>
        <w:spacing w:line="360" w:lineRule="auto"/>
        <w:ind w:firstLine="482"/>
        <w:rPr>
          <w:rFonts w:ascii="宋体" w:hAnsi="宋体" w:cs="宋体"/>
          <w:color w:val="auto"/>
          <w:sz w:val="24"/>
        </w:rPr>
      </w:pPr>
      <w:bookmarkStart w:id="102" w:name="_Toc30752"/>
      <w:r>
        <w:rPr>
          <w:rFonts w:hint="eastAsia" w:ascii="宋体" w:hAnsi="宋体" w:cs="宋体"/>
          <w:color w:val="auto"/>
          <w:sz w:val="24"/>
        </w:rPr>
        <w:t>31.履约验收</w:t>
      </w:r>
      <w:bookmarkEnd w:id="102"/>
    </w:p>
    <w:p>
      <w:pPr>
        <w:pStyle w:val="14"/>
        <w:spacing w:line="360" w:lineRule="auto"/>
        <w:ind w:firstLine="480"/>
        <w:rPr>
          <w:rFonts w:ascii="宋体" w:hAnsi="宋体" w:cs="宋体"/>
          <w:color w:val="auto"/>
          <w:sz w:val="24"/>
        </w:rPr>
      </w:pPr>
      <w:r>
        <w:rPr>
          <w:rFonts w:hint="eastAsia" w:ascii="宋体" w:hAnsi="宋体" w:cs="宋体"/>
          <w:color w:val="auto"/>
          <w:sz w:val="24"/>
        </w:rPr>
        <w:t>31.1政府采购合同的履行、违约责任和解决争议的方法等适用《中华人民共和国民法典》。采购人按照政府采购合同规定的技术、服务、安全标准组织对供应商履约情况进行验收，并出具验收书。</w:t>
      </w:r>
    </w:p>
    <w:p>
      <w:pPr>
        <w:pStyle w:val="7"/>
        <w:spacing w:line="360" w:lineRule="auto"/>
        <w:ind w:firstLine="482"/>
        <w:rPr>
          <w:rFonts w:ascii="宋体" w:hAnsi="宋体" w:cs="宋体"/>
          <w:color w:val="auto"/>
          <w:sz w:val="24"/>
        </w:rPr>
      </w:pPr>
      <w:bookmarkStart w:id="103" w:name="_Toc2606"/>
      <w:r>
        <w:rPr>
          <w:rFonts w:hint="eastAsia" w:ascii="宋体" w:hAnsi="宋体" w:cs="宋体"/>
          <w:color w:val="auto"/>
          <w:sz w:val="24"/>
        </w:rPr>
        <w:t>32.质疑</w:t>
      </w:r>
      <w:bookmarkEnd w:id="103"/>
    </w:p>
    <w:p>
      <w:pPr>
        <w:pStyle w:val="14"/>
        <w:spacing w:line="360" w:lineRule="auto"/>
        <w:ind w:firstLine="480"/>
        <w:rPr>
          <w:rFonts w:ascii="宋体" w:hAnsi="宋体" w:cs="宋体"/>
          <w:color w:val="auto"/>
          <w:sz w:val="24"/>
        </w:rPr>
      </w:pPr>
      <w:r>
        <w:rPr>
          <w:rFonts w:hint="eastAsia" w:ascii="宋体" w:hAnsi="宋体" w:cs="宋体"/>
          <w:color w:val="auto"/>
          <w:sz w:val="24"/>
        </w:rPr>
        <w:t>32.1供应商认为招标文件、招标过程、中标结果使自己的权益受到损害的，可以在知道或者应知其权益受到损害之日起7个工作日内，以书面形式向采购人、采购代理机构提出质疑。</w:t>
      </w:r>
    </w:p>
    <w:p>
      <w:pPr>
        <w:pStyle w:val="14"/>
        <w:spacing w:line="360" w:lineRule="auto"/>
        <w:ind w:firstLine="480"/>
        <w:rPr>
          <w:rFonts w:ascii="宋体" w:hAnsi="宋体" w:cs="宋体"/>
          <w:bCs/>
          <w:color w:val="auto"/>
          <w:sz w:val="24"/>
          <w:shd w:val="clear" w:color="auto" w:fill="FFFFFF"/>
        </w:rPr>
      </w:pPr>
      <w:r>
        <w:rPr>
          <w:rFonts w:hint="eastAsia" w:ascii="宋体" w:hAnsi="宋体" w:cs="宋体"/>
          <w:color w:val="auto"/>
          <w:sz w:val="24"/>
        </w:rPr>
        <w:t>32.2供应商必须在法定质疑期内一次性提出针对同一采购程序环节的质疑。</w:t>
      </w:r>
    </w:p>
    <w:p>
      <w:pPr>
        <w:pStyle w:val="14"/>
        <w:spacing w:line="360" w:lineRule="auto"/>
        <w:ind w:firstLine="480"/>
        <w:rPr>
          <w:rFonts w:ascii="宋体" w:hAnsi="宋体" w:cs="宋体"/>
          <w:bCs/>
          <w:color w:val="auto"/>
          <w:sz w:val="24"/>
          <w:shd w:val="clear" w:color="auto" w:fill="FFFFFF"/>
        </w:rPr>
      </w:pPr>
      <w:r>
        <w:rPr>
          <w:rFonts w:hint="eastAsia" w:ascii="宋体" w:hAnsi="宋体" w:cs="宋体"/>
          <w:bCs/>
          <w:color w:val="auto"/>
          <w:sz w:val="24"/>
          <w:shd w:val="clear" w:color="auto" w:fill="FFFFFF"/>
        </w:rPr>
        <w:t>32.3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4"/>
        <w:spacing w:line="360" w:lineRule="auto"/>
        <w:ind w:firstLine="480"/>
        <w:rPr>
          <w:rFonts w:ascii="宋体" w:hAnsi="宋体" w:cs="宋体"/>
          <w:color w:val="auto"/>
          <w:sz w:val="24"/>
        </w:rPr>
      </w:pPr>
      <w:r>
        <w:rPr>
          <w:rFonts w:hint="eastAsia" w:ascii="宋体" w:hAnsi="宋体" w:cs="宋体"/>
          <w:color w:val="auto"/>
          <w:sz w:val="24"/>
        </w:rPr>
        <w:t>32.4以联合体形式参加政府采购活动的，其质疑应当由组成联合体的所有供应商共同提出。</w:t>
      </w:r>
    </w:p>
    <w:p>
      <w:pPr>
        <w:pStyle w:val="14"/>
        <w:spacing w:line="360" w:lineRule="auto"/>
        <w:ind w:firstLine="480"/>
        <w:rPr>
          <w:rFonts w:ascii="宋体" w:hAnsi="宋体" w:cs="宋体"/>
          <w:color w:val="auto"/>
          <w:sz w:val="24"/>
        </w:rPr>
      </w:pPr>
      <w:r>
        <w:rPr>
          <w:rFonts w:hint="eastAsia" w:ascii="宋体" w:hAnsi="宋体" w:cs="宋体"/>
          <w:color w:val="auto"/>
          <w:sz w:val="24"/>
        </w:rPr>
        <w:t>32.5供应商提出质疑应当提交质疑函和必要的证明材料。质疑函应当包括下列内容：</w:t>
      </w:r>
    </w:p>
    <w:p>
      <w:pPr>
        <w:pStyle w:val="14"/>
        <w:spacing w:line="360" w:lineRule="auto"/>
        <w:ind w:firstLine="480"/>
        <w:rPr>
          <w:rFonts w:ascii="宋体" w:hAnsi="宋体" w:cs="宋体"/>
          <w:color w:val="auto"/>
          <w:sz w:val="24"/>
        </w:rPr>
      </w:pPr>
      <w:r>
        <w:rPr>
          <w:rFonts w:hint="eastAsia" w:ascii="宋体" w:hAnsi="宋体" w:cs="宋体"/>
          <w:color w:val="auto"/>
          <w:sz w:val="24"/>
        </w:rPr>
        <w:t>32.5.1供应商的姓名或者名称、地址、邮编、联系人及联系电话；</w:t>
      </w:r>
    </w:p>
    <w:p>
      <w:pPr>
        <w:pStyle w:val="14"/>
        <w:spacing w:line="360" w:lineRule="auto"/>
        <w:ind w:firstLine="480"/>
        <w:rPr>
          <w:rFonts w:ascii="宋体" w:hAnsi="宋体" w:cs="宋体"/>
          <w:color w:val="auto"/>
          <w:sz w:val="24"/>
        </w:rPr>
      </w:pPr>
      <w:r>
        <w:rPr>
          <w:rFonts w:hint="eastAsia" w:ascii="宋体" w:hAnsi="宋体" w:cs="宋体"/>
          <w:color w:val="auto"/>
          <w:sz w:val="24"/>
        </w:rPr>
        <w:t>32.5.2质疑项目的名称、编号；</w:t>
      </w:r>
    </w:p>
    <w:p>
      <w:pPr>
        <w:pStyle w:val="14"/>
        <w:spacing w:line="360" w:lineRule="auto"/>
        <w:ind w:firstLine="480"/>
        <w:rPr>
          <w:rFonts w:ascii="宋体" w:hAnsi="宋体" w:cs="宋体"/>
          <w:color w:val="auto"/>
          <w:sz w:val="24"/>
        </w:rPr>
      </w:pPr>
      <w:r>
        <w:rPr>
          <w:rFonts w:hint="eastAsia" w:ascii="宋体" w:hAnsi="宋体" w:cs="宋体"/>
          <w:color w:val="auto"/>
          <w:sz w:val="24"/>
        </w:rPr>
        <w:t>32.5.3具体、明确的质疑事项和与质疑事项相关的请求；</w:t>
      </w:r>
    </w:p>
    <w:p>
      <w:pPr>
        <w:pStyle w:val="14"/>
        <w:spacing w:line="360" w:lineRule="auto"/>
        <w:ind w:firstLine="480"/>
        <w:rPr>
          <w:rFonts w:ascii="宋体" w:hAnsi="宋体" w:cs="宋体"/>
          <w:color w:val="auto"/>
          <w:sz w:val="24"/>
        </w:rPr>
      </w:pPr>
      <w:r>
        <w:rPr>
          <w:rFonts w:hint="eastAsia" w:ascii="宋体" w:hAnsi="宋体" w:cs="宋体"/>
          <w:color w:val="auto"/>
          <w:sz w:val="24"/>
        </w:rPr>
        <w:t>32.5.4事实依据；</w:t>
      </w:r>
    </w:p>
    <w:p>
      <w:pPr>
        <w:pStyle w:val="14"/>
        <w:spacing w:line="360" w:lineRule="auto"/>
        <w:ind w:firstLine="480"/>
        <w:rPr>
          <w:rFonts w:ascii="宋体" w:hAnsi="宋体" w:cs="宋体"/>
          <w:color w:val="auto"/>
          <w:sz w:val="24"/>
        </w:rPr>
      </w:pPr>
      <w:r>
        <w:rPr>
          <w:rFonts w:hint="eastAsia" w:ascii="宋体" w:hAnsi="宋体" w:cs="宋体"/>
          <w:color w:val="auto"/>
          <w:sz w:val="24"/>
        </w:rPr>
        <w:t>32.5.5必要的法律依据；</w:t>
      </w:r>
    </w:p>
    <w:p>
      <w:pPr>
        <w:pStyle w:val="14"/>
        <w:spacing w:line="360" w:lineRule="auto"/>
        <w:ind w:firstLine="480"/>
        <w:rPr>
          <w:rFonts w:ascii="宋体" w:hAnsi="宋体" w:cs="宋体"/>
          <w:color w:val="auto"/>
          <w:sz w:val="24"/>
        </w:rPr>
      </w:pPr>
      <w:r>
        <w:rPr>
          <w:rFonts w:hint="eastAsia" w:ascii="宋体" w:hAnsi="宋体" w:cs="宋体"/>
          <w:color w:val="auto"/>
          <w:sz w:val="24"/>
        </w:rPr>
        <w:t>32.5.6提出质疑的日期。</w:t>
      </w:r>
    </w:p>
    <w:p>
      <w:pPr>
        <w:pStyle w:val="14"/>
        <w:spacing w:line="360" w:lineRule="auto"/>
        <w:ind w:firstLine="480"/>
        <w:rPr>
          <w:rFonts w:ascii="宋体" w:hAnsi="宋体" w:cs="宋体"/>
          <w:color w:val="auto"/>
          <w:sz w:val="24"/>
        </w:rPr>
      </w:pPr>
      <w:r>
        <w:rPr>
          <w:rFonts w:hint="eastAsia" w:ascii="宋体" w:hAnsi="宋体" w:cs="宋体"/>
          <w:color w:val="auto"/>
          <w:sz w:val="24"/>
        </w:rPr>
        <w:t>32.6有下列情形之一的，属于无效质疑，采购代理机构和采购人不予受理：</w:t>
      </w:r>
    </w:p>
    <w:p>
      <w:pPr>
        <w:pStyle w:val="14"/>
        <w:spacing w:line="360" w:lineRule="auto"/>
        <w:ind w:firstLine="480"/>
        <w:rPr>
          <w:rFonts w:ascii="宋体" w:hAnsi="宋体" w:cs="宋体"/>
          <w:color w:val="auto"/>
          <w:sz w:val="24"/>
        </w:rPr>
      </w:pPr>
      <w:r>
        <w:rPr>
          <w:rFonts w:hint="eastAsia" w:ascii="宋体" w:hAnsi="宋体" w:cs="宋体"/>
          <w:color w:val="auto"/>
          <w:sz w:val="24"/>
        </w:rPr>
        <w:t>32.6.1质疑供应商不是参与本次政府采购项目的供应商；</w:t>
      </w:r>
    </w:p>
    <w:p>
      <w:pPr>
        <w:pStyle w:val="14"/>
        <w:spacing w:line="360" w:lineRule="auto"/>
        <w:ind w:firstLine="480"/>
        <w:rPr>
          <w:rFonts w:ascii="宋体" w:hAnsi="宋体" w:cs="宋体"/>
          <w:color w:val="auto"/>
          <w:sz w:val="24"/>
        </w:rPr>
      </w:pPr>
      <w:r>
        <w:rPr>
          <w:rFonts w:hint="eastAsia" w:ascii="宋体" w:hAnsi="宋体" w:cs="宋体"/>
          <w:color w:val="auto"/>
          <w:sz w:val="24"/>
        </w:rPr>
        <w:t>32.6.2质疑供应商与质疑事项不存在利害关系的；</w:t>
      </w:r>
    </w:p>
    <w:p>
      <w:pPr>
        <w:pStyle w:val="14"/>
        <w:spacing w:line="360" w:lineRule="auto"/>
        <w:ind w:firstLine="480"/>
        <w:rPr>
          <w:rFonts w:ascii="宋体" w:hAnsi="宋体" w:cs="宋体"/>
          <w:color w:val="auto"/>
          <w:sz w:val="24"/>
        </w:rPr>
      </w:pPr>
      <w:r>
        <w:rPr>
          <w:rFonts w:hint="eastAsia" w:ascii="宋体" w:hAnsi="宋体" w:cs="宋体"/>
          <w:color w:val="auto"/>
          <w:sz w:val="24"/>
        </w:rPr>
        <w:t>32.6.3未在法定期限内提出质疑的；</w:t>
      </w:r>
    </w:p>
    <w:p>
      <w:pPr>
        <w:pStyle w:val="14"/>
        <w:spacing w:line="360" w:lineRule="auto"/>
        <w:ind w:firstLine="480"/>
        <w:rPr>
          <w:rFonts w:ascii="宋体" w:hAnsi="宋体" w:cs="宋体"/>
          <w:color w:val="auto"/>
          <w:sz w:val="24"/>
        </w:rPr>
      </w:pPr>
      <w:r>
        <w:rPr>
          <w:rFonts w:hint="eastAsia" w:ascii="宋体" w:hAnsi="宋体" w:cs="宋体"/>
          <w:color w:val="auto"/>
          <w:sz w:val="24"/>
        </w:rPr>
        <w:t>32.6.4质疑未以书面形式提出，或质疑函主要内容构成不完整的；</w:t>
      </w:r>
    </w:p>
    <w:p>
      <w:pPr>
        <w:pStyle w:val="14"/>
        <w:spacing w:line="360" w:lineRule="auto"/>
        <w:ind w:firstLine="480"/>
        <w:rPr>
          <w:rFonts w:ascii="宋体" w:hAnsi="宋体" w:cs="宋体"/>
          <w:color w:val="auto"/>
          <w:sz w:val="24"/>
        </w:rPr>
      </w:pPr>
      <w:r>
        <w:rPr>
          <w:rFonts w:hint="eastAsia" w:ascii="宋体" w:hAnsi="宋体" w:cs="宋体"/>
          <w:color w:val="auto"/>
          <w:sz w:val="24"/>
        </w:rPr>
        <w:t>32.6.5应当提交授权书而未提交的；</w:t>
      </w:r>
    </w:p>
    <w:p>
      <w:pPr>
        <w:pStyle w:val="14"/>
        <w:spacing w:line="360" w:lineRule="auto"/>
        <w:ind w:firstLine="480"/>
        <w:rPr>
          <w:rFonts w:ascii="宋体" w:hAnsi="宋体" w:cs="宋体"/>
          <w:color w:val="auto"/>
          <w:sz w:val="24"/>
        </w:rPr>
      </w:pPr>
      <w:r>
        <w:rPr>
          <w:rFonts w:hint="eastAsia" w:ascii="宋体" w:hAnsi="宋体" w:cs="宋体"/>
          <w:color w:val="auto"/>
          <w:sz w:val="24"/>
        </w:rPr>
        <w:t>32.6.6以非法手段取得证据、材料的；</w:t>
      </w:r>
    </w:p>
    <w:p>
      <w:pPr>
        <w:pStyle w:val="14"/>
        <w:spacing w:line="360" w:lineRule="auto"/>
        <w:ind w:firstLine="480"/>
        <w:rPr>
          <w:rFonts w:ascii="宋体" w:hAnsi="宋体" w:cs="宋体"/>
          <w:color w:val="auto"/>
          <w:sz w:val="24"/>
        </w:rPr>
      </w:pPr>
      <w:r>
        <w:rPr>
          <w:rFonts w:hint="eastAsia" w:ascii="宋体" w:hAnsi="宋体" w:cs="宋体"/>
          <w:color w:val="auto"/>
          <w:sz w:val="24"/>
        </w:rPr>
        <w:t>32.6.7质疑答复后，同一质疑人就同一事项或同一采购程序环节再次提出质疑的；</w:t>
      </w:r>
    </w:p>
    <w:p>
      <w:pPr>
        <w:pStyle w:val="14"/>
        <w:spacing w:line="360" w:lineRule="auto"/>
        <w:ind w:firstLine="480"/>
        <w:rPr>
          <w:rFonts w:ascii="宋体" w:hAnsi="宋体" w:cs="宋体"/>
          <w:color w:val="auto"/>
          <w:sz w:val="24"/>
        </w:rPr>
      </w:pPr>
      <w:r>
        <w:rPr>
          <w:rFonts w:hint="eastAsia" w:ascii="宋体" w:hAnsi="宋体" w:cs="宋体"/>
          <w:color w:val="auto"/>
          <w:sz w:val="24"/>
        </w:rPr>
        <w:t>32.6.8不符合法律、法规、规章和政府采购监管机构规定的其他条件的。</w:t>
      </w:r>
    </w:p>
    <w:p>
      <w:pPr>
        <w:pStyle w:val="14"/>
        <w:spacing w:line="360" w:lineRule="auto"/>
        <w:ind w:firstLine="480"/>
        <w:rPr>
          <w:rFonts w:ascii="宋体" w:hAnsi="宋体" w:cs="宋体"/>
          <w:color w:val="auto"/>
          <w:sz w:val="24"/>
        </w:rPr>
      </w:pPr>
      <w:r>
        <w:rPr>
          <w:rFonts w:hint="eastAsia" w:ascii="宋体" w:hAnsi="宋体" w:cs="宋体"/>
          <w:color w:val="auto"/>
          <w:sz w:val="24"/>
        </w:rPr>
        <w:t>32.7质疑答复</w:t>
      </w:r>
    </w:p>
    <w:p>
      <w:pPr>
        <w:pStyle w:val="14"/>
        <w:spacing w:line="360" w:lineRule="auto"/>
        <w:ind w:firstLine="480"/>
        <w:rPr>
          <w:rFonts w:ascii="宋体" w:hAnsi="宋体" w:cs="宋体"/>
          <w:color w:val="auto"/>
          <w:sz w:val="24"/>
        </w:rPr>
      </w:pPr>
      <w:r>
        <w:rPr>
          <w:rFonts w:hint="eastAsia" w:ascii="宋体" w:hAnsi="宋体" w:cs="宋体"/>
          <w:color w:val="auto"/>
          <w:sz w:val="24"/>
        </w:rPr>
        <w:t>32.7.1采购人或采购代理机构在收到质疑函后7个工作日内作出答复，并以书面形式通知质疑供应商和其他有关供应商。</w:t>
      </w:r>
    </w:p>
    <w:p>
      <w:pPr>
        <w:pStyle w:val="14"/>
        <w:spacing w:line="360" w:lineRule="auto"/>
        <w:ind w:firstLine="480"/>
        <w:rPr>
          <w:rFonts w:ascii="宋体" w:hAnsi="宋体" w:cs="宋体"/>
          <w:color w:val="auto"/>
          <w:sz w:val="24"/>
        </w:rPr>
      </w:pPr>
      <w:r>
        <w:rPr>
          <w:rFonts w:hint="eastAsia" w:ascii="宋体" w:hAnsi="宋体" w:cs="宋体"/>
          <w:color w:val="auto"/>
          <w:sz w:val="24"/>
        </w:rPr>
        <w:t>32.7.2质疑供应商对采购人、采购代理机构的答复不满意，或者采购人、采购代理机构未在规定时间内作出答复的，可以在答复期满后15个工作日内向同级人民政府财政部门提起投诉。</w:t>
      </w:r>
    </w:p>
    <w:p>
      <w:pPr>
        <w:pStyle w:val="14"/>
        <w:spacing w:line="360" w:lineRule="auto"/>
        <w:ind w:firstLine="480"/>
        <w:rPr>
          <w:rFonts w:ascii="宋体" w:hAnsi="宋体" w:cs="宋体"/>
          <w:color w:val="auto"/>
          <w:sz w:val="24"/>
        </w:rPr>
      </w:pPr>
      <w:r>
        <w:rPr>
          <w:rFonts w:hint="eastAsia" w:ascii="宋体" w:hAnsi="宋体" w:cs="宋体"/>
          <w:color w:val="auto"/>
          <w:sz w:val="24"/>
        </w:rPr>
        <w:t>32.8其他需要说明的事项</w:t>
      </w:r>
    </w:p>
    <w:p>
      <w:pPr>
        <w:pStyle w:val="14"/>
        <w:spacing w:line="360" w:lineRule="auto"/>
        <w:ind w:firstLine="480"/>
        <w:rPr>
          <w:rFonts w:ascii="宋体" w:hAnsi="宋体" w:cs="宋体"/>
          <w:color w:val="auto"/>
          <w:sz w:val="24"/>
        </w:rPr>
      </w:pPr>
      <w:r>
        <w:rPr>
          <w:rFonts w:hint="eastAsia" w:ascii="宋体" w:hAnsi="宋体" w:cs="宋体"/>
          <w:color w:val="auto"/>
          <w:sz w:val="24"/>
        </w:rPr>
        <w:t>32.8.1质疑函须按财政部《质疑函范本》给定的格式进行填写，范本下载详见【财政部国库司（gks.mof.gov.cn）】网站〖首页·政府采购管理〗栏目中的《政府采购供应商质疑函范本》。《政府采购供应商质疑函范本》链接地址：</w:t>
      </w:r>
    </w:p>
    <w:p>
      <w:pPr>
        <w:pStyle w:val="14"/>
        <w:spacing w:line="360" w:lineRule="auto"/>
        <w:ind w:firstLine="480"/>
        <w:rPr>
          <w:rFonts w:ascii="宋体" w:hAnsi="宋体" w:cs="宋体"/>
          <w:color w:val="auto"/>
          <w:sz w:val="24"/>
        </w:rPr>
      </w:pPr>
      <w:r>
        <w:rPr>
          <w:rFonts w:hint="eastAsia" w:ascii="宋体" w:hAnsi="宋体" w:cs="宋体"/>
          <w:color w:val="auto"/>
          <w:sz w:val="24"/>
        </w:rPr>
        <w:t>http//gks.mof.gov.cn/zhengfucaigouguanli/201802/t20180201_2804589.html</w:t>
      </w:r>
    </w:p>
    <w:p>
      <w:pPr>
        <w:pStyle w:val="14"/>
        <w:spacing w:line="360" w:lineRule="auto"/>
        <w:ind w:firstLine="480"/>
        <w:rPr>
          <w:rFonts w:ascii="宋体" w:hAnsi="宋体" w:cs="宋体"/>
          <w:color w:val="auto"/>
          <w:sz w:val="24"/>
        </w:rPr>
      </w:pPr>
      <w:r>
        <w:rPr>
          <w:rFonts w:hint="eastAsia" w:ascii="宋体" w:hAnsi="宋体" w:cs="宋体"/>
          <w:color w:val="auto"/>
          <w:sz w:val="24"/>
        </w:rPr>
        <w:t>32.8.2接收质疑函的方式：书面形式</w:t>
      </w:r>
    </w:p>
    <w:p>
      <w:pPr>
        <w:pStyle w:val="14"/>
        <w:spacing w:line="360" w:lineRule="auto"/>
        <w:ind w:firstLine="480"/>
        <w:rPr>
          <w:rFonts w:ascii="宋体" w:hAnsi="宋体" w:cs="宋体"/>
          <w:color w:val="auto"/>
          <w:sz w:val="24"/>
        </w:rPr>
      </w:pPr>
      <w:r>
        <w:rPr>
          <w:rFonts w:hint="eastAsia" w:ascii="宋体" w:hAnsi="宋体" w:cs="宋体"/>
          <w:color w:val="auto"/>
          <w:sz w:val="24"/>
        </w:rPr>
        <w:t>32.8.3联系部门：陕西金字招标有限责任公司</w:t>
      </w:r>
    </w:p>
    <w:p>
      <w:pPr>
        <w:pStyle w:val="14"/>
        <w:spacing w:line="360" w:lineRule="auto"/>
        <w:ind w:firstLine="480"/>
        <w:rPr>
          <w:rFonts w:ascii="宋体" w:hAnsi="宋体" w:cs="宋体"/>
          <w:color w:val="auto"/>
          <w:sz w:val="24"/>
        </w:rPr>
      </w:pPr>
      <w:r>
        <w:rPr>
          <w:rFonts w:hint="eastAsia" w:ascii="宋体" w:hAnsi="宋体" w:cs="宋体"/>
          <w:color w:val="auto"/>
          <w:sz w:val="24"/>
        </w:rPr>
        <w:t>32.8.4联系电话：见供应商须知前附表</w:t>
      </w:r>
    </w:p>
    <w:p>
      <w:pPr>
        <w:pStyle w:val="14"/>
        <w:spacing w:line="360" w:lineRule="auto"/>
        <w:ind w:firstLine="480"/>
        <w:rPr>
          <w:rFonts w:ascii="宋体" w:hAnsi="宋体" w:cs="宋体"/>
          <w:color w:val="auto"/>
          <w:sz w:val="24"/>
        </w:rPr>
      </w:pPr>
      <w:r>
        <w:rPr>
          <w:rFonts w:hint="eastAsia" w:ascii="宋体" w:hAnsi="宋体" w:cs="宋体"/>
          <w:color w:val="auto"/>
          <w:sz w:val="24"/>
        </w:rPr>
        <w:t>32.8.5通讯地址：</w:t>
      </w:r>
      <w:r>
        <w:rPr>
          <w:rFonts w:hint="eastAsia" w:ascii="宋体" w:hAnsi="宋体" w:cs="宋体"/>
          <w:color w:val="auto"/>
          <w:sz w:val="24"/>
          <w:shd w:val="clear" w:color="auto" w:fill="FFFFFF"/>
          <w:lang w:bidi="ar"/>
        </w:rPr>
        <w:t>西安市新城区南新街28-8号4楼</w:t>
      </w:r>
    </w:p>
    <w:p>
      <w:pPr>
        <w:pStyle w:val="7"/>
        <w:spacing w:line="360" w:lineRule="auto"/>
        <w:ind w:firstLine="482"/>
        <w:rPr>
          <w:rFonts w:ascii="宋体" w:hAnsi="宋体" w:cs="宋体"/>
          <w:color w:val="auto"/>
          <w:sz w:val="24"/>
        </w:rPr>
      </w:pPr>
      <w:bookmarkStart w:id="104" w:name="_Toc31366"/>
      <w:r>
        <w:rPr>
          <w:rFonts w:hint="eastAsia" w:ascii="宋体" w:hAnsi="宋体" w:cs="宋体"/>
          <w:color w:val="auto"/>
          <w:sz w:val="24"/>
        </w:rPr>
        <w:t>33.其他</w:t>
      </w:r>
      <w:bookmarkEnd w:id="104"/>
    </w:p>
    <w:p>
      <w:pPr>
        <w:pStyle w:val="14"/>
        <w:spacing w:line="360" w:lineRule="auto"/>
        <w:ind w:firstLine="480"/>
        <w:rPr>
          <w:rFonts w:ascii="宋体" w:hAnsi="宋体" w:cs="宋体"/>
          <w:color w:val="auto"/>
          <w:sz w:val="24"/>
        </w:rPr>
      </w:pPr>
      <w:r>
        <w:rPr>
          <w:rFonts w:hint="eastAsia" w:ascii="宋体" w:hAnsi="宋体" w:cs="宋体"/>
          <w:color w:val="auto"/>
          <w:sz w:val="24"/>
        </w:rPr>
        <w:t>33.1 废标的情形</w:t>
      </w:r>
    </w:p>
    <w:p>
      <w:pPr>
        <w:pStyle w:val="14"/>
        <w:spacing w:line="360" w:lineRule="auto"/>
        <w:ind w:firstLine="480"/>
        <w:rPr>
          <w:rFonts w:ascii="宋体" w:hAnsi="宋体" w:cs="宋体"/>
          <w:color w:val="auto"/>
          <w:sz w:val="24"/>
        </w:rPr>
      </w:pPr>
      <w:r>
        <w:rPr>
          <w:rFonts w:hint="eastAsia" w:ascii="宋体" w:hAnsi="宋体" w:cs="宋体"/>
          <w:color w:val="auto"/>
          <w:sz w:val="24"/>
        </w:rPr>
        <w:t>33.1.1招标采购中，出现下列情形之一的，应予以废标：</w:t>
      </w:r>
    </w:p>
    <w:p>
      <w:pPr>
        <w:pStyle w:val="14"/>
        <w:spacing w:line="360" w:lineRule="auto"/>
        <w:ind w:firstLine="480"/>
        <w:rPr>
          <w:rFonts w:ascii="宋体" w:hAnsi="宋体" w:cs="宋体"/>
          <w:color w:val="auto"/>
          <w:sz w:val="24"/>
        </w:rPr>
      </w:pPr>
      <w:r>
        <w:rPr>
          <w:rFonts w:hint="eastAsia" w:ascii="宋体" w:hAnsi="宋体" w:cs="宋体"/>
          <w:color w:val="auto"/>
          <w:sz w:val="24"/>
        </w:rPr>
        <w:t>（1）符合专业条件的供应商或者对招标文件作实质响应的供应商不足3家的；</w:t>
      </w:r>
    </w:p>
    <w:p>
      <w:pPr>
        <w:pStyle w:val="14"/>
        <w:spacing w:line="360" w:lineRule="auto"/>
        <w:ind w:firstLine="480"/>
        <w:rPr>
          <w:rFonts w:ascii="宋体" w:hAnsi="宋体" w:cs="宋体"/>
          <w:color w:val="auto"/>
          <w:sz w:val="24"/>
        </w:rPr>
      </w:pPr>
      <w:r>
        <w:rPr>
          <w:rFonts w:hint="eastAsia" w:ascii="宋体" w:hAnsi="宋体" w:cs="宋体"/>
          <w:color w:val="auto"/>
          <w:sz w:val="24"/>
        </w:rPr>
        <w:t>（2）出现影响采购公正的违法、违规行为的；</w:t>
      </w:r>
    </w:p>
    <w:p>
      <w:pPr>
        <w:pStyle w:val="14"/>
        <w:spacing w:line="360" w:lineRule="auto"/>
        <w:ind w:firstLine="480"/>
        <w:rPr>
          <w:rFonts w:ascii="宋体" w:hAnsi="宋体" w:cs="宋体"/>
          <w:color w:val="auto"/>
          <w:sz w:val="24"/>
        </w:rPr>
      </w:pPr>
      <w:r>
        <w:rPr>
          <w:rFonts w:hint="eastAsia" w:ascii="宋体" w:hAnsi="宋体" w:cs="宋体"/>
          <w:color w:val="auto"/>
          <w:sz w:val="24"/>
        </w:rPr>
        <w:t>（3）供应商的报价均超过了采购预算，采购人不能支付的；</w:t>
      </w:r>
    </w:p>
    <w:p>
      <w:pPr>
        <w:pStyle w:val="14"/>
        <w:spacing w:line="360" w:lineRule="auto"/>
        <w:ind w:firstLine="480"/>
        <w:rPr>
          <w:rFonts w:ascii="宋体" w:hAnsi="宋体" w:cs="宋体"/>
          <w:color w:val="auto"/>
          <w:sz w:val="24"/>
        </w:rPr>
      </w:pPr>
      <w:r>
        <w:rPr>
          <w:rFonts w:hint="eastAsia" w:ascii="宋体" w:hAnsi="宋体" w:cs="宋体"/>
          <w:color w:val="auto"/>
          <w:sz w:val="24"/>
        </w:rPr>
        <w:t>（4）因重大变故，采购任务取消的。</w:t>
      </w:r>
    </w:p>
    <w:p>
      <w:pPr>
        <w:pStyle w:val="14"/>
        <w:spacing w:line="360" w:lineRule="auto"/>
        <w:ind w:firstLine="480"/>
        <w:rPr>
          <w:rFonts w:ascii="宋体" w:hAnsi="宋体" w:cs="宋体"/>
          <w:color w:val="auto"/>
          <w:sz w:val="24"/>
        </w:rPr>
      </w:pPr>
      <w:r>
        <w:rPr>
          <w:rFonts w:hint="eastAsia" w:ascii="宋体" w:hAnsi="宋体" w:cs="宋体"/>
          <w:color w:val="auto"/>
          <w:sz w:val="24"/>
        </w:rPr>
        <w:t>33.1.2废标后，采购代理机构应在财政部门指定采购网上公告，并公告废标的详细理由。</w:t>
      </w:r>
    </w:p>
    <w:p>
      <w:pPr>
        <w:pStyle w:val="14"/>
        <w:spacing w:line="360" w:lineRule="auto"/>
        <w:ind w:firstLine="480"/>
        <w:rPr>
          <w:rFonts w:ascii="宋体" w:hAnsi="宋体" w:cs="宋体"/>
          <w:color w:val="auto"/>
          <w:sz w:val="24"/>
        </w:rPr>
      </w:pPr>
      <w:r>
        <w:rPr>
          <w:rFonts w:hint="eastAsia" w:ascii="宋体" w:hAnsi="宋体" w:cs="宋体"/>
          <w:color w:val="auto"/>
          <w:sz w:val="24"/>
        </w:rPr>
        <w:t>33.2变更采购方式</w:t>
      </w:r>
    </w:p>
    <w:p>
      <w:pPr>
        <w:pStyle w:val="14"/>
        <w:spacing w:line="360" w:lineRule="auto"/>
        <w:ind w:firstLine="480"/>
        <w:rPr>
          <w:rFonts w:ascii="宋体" w:hAnsi="宋体" w:cs="宋体"/>
          <w:color w:val="auto"/>
          <w:sz w:val="24"/>
        </w:rPr>
      </w:pPr>
      <w:r>
        <w:rPr>
          <w:rFonts w:hint="eastAsia" w:ascii="宋体" w:hAnsi="宋体" w:cs="宋体"/>
          <w:color w:val="auto"/>
          <w:sz w:val="24"/>
        </w:rPr>
        <w:t>33.2.1存在下列情形之一的，除采购任务取消情形外，采购人经同级财政部门同意后，可按《政府采购货物和服务招标投标管理办法》（财政部87号令）第四十三条规定的方式处理：</w:t>
      </w:r>
    </w:p>
    <w:p>
      <w:pPr>
        <w:pStyle w:val="14"/>
        <w:spacing w:line="360" w:lineRule="auto"/>
        <w:ind w:firstLine="480"/>
        <w:rPr>
          <w:rFonts w:ascii="宋体" w:hAnsi="宋体" w:cs="宋体"/>
          <w:color w:val="auto"/>
          <w:sz w:val="24"/>
        </w:rPr>
      </w:pPr>
      <w:r>
        <w:rPr>
          <w:rFonts w:hint="eastAsia" w:ascii="宋体" w:hAnsi="宋体" w:cs="宋体"/>
          <w:color w:val="auto"/>
          <w:sz w:val="24"/>
        </w:rPr>
        <w:t>（1）投标截止后参加投标的人不足3家的；</w:t>
      </w:r>
    </w:p>
    <w:p>
      <w:pPr>
        <w:pStyle w:val="14"/>
        <w:spacing w:line="360" w:lineRule="auto"/>
        <w:ind w:firstLine="480"/>
        <w:rPr>
          <w:rFonts w:ascii="宋体" w:hAnsi="宋体" w:cs="宋体"/>
          <w:color w:val="auto"/>
          <w:sz w:val="24"/>
        </w:rPr>
      </w:pPr>
      <w:r>
        <w:rPr>
          <w:rFonts w:hint="eastAsia" w:ascii="宋体" w:hAnsi="宋体" w:cs="宋体"/>
          <w:color w:val="auto"/>
          <w:sz w:val="24"/>
        </w:rPr>
        <w:t>（2）通过资格审查的供应商不足3家的；</w:t>
      </w:r>
    </w:p>
    <w:p>
      <w:pPr>
        <w:pStyle w:val="14"/>
        <w:spacing w:line="360" w:lineRule="auto"/>
        <w:ind w:firstLine="480"/>
        <w:rPr>
          <w:rFonts w:ascii="宋体" w:hAnsi="宋体" w:cs="宋体"/>
          <w:color w:val="auto"/>
          <w:sz w:val="24"/>
        </w:rPr>
      </w:pPr>
      <w:r>
        <w:rPr>
          <w:rFonts w:hint="eastAsia" w:ascii="宋体" w:hAnsi="宋体" w:cs="宋体"/>
          <w:color w:val="auto"/>
          <w:sz w:val="24"/>
        </w:rPr>
        <w:t>（3）通过符合性审查的供应商不足3家的。</w:t>
      </w:r>
    </w:p>
    <w:p>
      <w:pPr>
        <w:pStyle w:val="14"/>
        <w:spacing w:line="360" w:lineRule="auto"/>
        <w:ind w:firstLine="480"/>
        <w:rPr>
          <w:rFonts w:ascii="宋体" w:hAnsi="宋体" w:cs="宋体"/>
          <w:color w:val="auto"/>
          <w:sz w:val="24"/>
        </w:rPr>
      </w:pPr>
      <w:r>
        <w:rPr>
          <w:rFonts w:hint="eastAsia" w:ascii="宋体" w:hAnsi="宋体" w:cs="宋体"/>
          <w:color w:val="auto"/>
          <w:sz w:val="24"/>
        </w:rPr>
        <w:t>33.2.2通过符合性审查的供应商只有2家时，采购人经同级财政部门同意后，可以按《政府采购非招标采购方式管理办法》（财政部第74号令）的规定与该2家供应商进行竞争性谈判采购。</w:t>
      </w:r>
    </w:p>
    <w:p>
      <w:pPr>
        <w:rPr>
          <w:rFonts w:cs="宋体"/>
          <w:color w:val="auto"/>
        </w:rPr>
      </w:pPr>
      <w:bookmarkStart w:id="105" w:name="_Toc3798"/>
      <w:bookmarkStart w:id="106" w:name="_Toc403077645"/>
      <w:bookmarkStart w:id="107" w:name="_Toc426457694"/>
      <w:bookmarkStart w:id="108" w:name="_Toc15898"/>
      <w:bookmarkStart w:id="109" w:name="_Toc11810"/>
      <w:bookmarkStart w:id="110" w:name="_Toc363474023"/>
    </w:p>
    <w:p>
      <w:pPr>
        <w:pStyle w:val="5"/>
        <w:rPr>
          <w:rFonts w:ascii="宋体" w:hAnsi="宋体" w:cs="宋体"/>
          <w:color w:val="auto"/>
        </w:rPr>
      </w:pPr>
      <w:bookmarkStart w:id="111" w:name="_Toc692"/>
      <w:bookmarkStart w:id="112" w:name="_Toc18676"/>
      <w:bookmarkStart w:id="113" w:name="_Toc14124"/>
      <w:r>
        <w:rPr>
          <w:rFonts w:hint="eastAsia" w:ascii="宋体" w:hAnsi="宋体" w:cs="宋体"/>
          <w:color w:val="auto"/>
        </w:rPr>
        <w:t>第三章  合同条款及格式</w:t>
      </w:r>
      <w:bookmarkEnd w:id="105"/>
      <w:bookmarkEnd w:id="106"/>
      <w:bookmarkEnd w:id="107"/>
      <w:bookmarkEnd w:id="108"/>
      <w:bookmarkEnd w:id="109"/>
      <w:bookmarkEnd w:id="111"/>
      <w:bookmarkEnd w:id="112"/>
      <w:bookmarkEnd w:id="113"/>
    </w:p>
    <w:p>
      <w:pPr>
        <w:spacing w:line="360" w:lineRule="auto"/>
        <w:jc w:val="center"/>
        <w:rPr>
          <w:rFonts w:cs="宋体"/>
          <w:b/>
          <w:bCs/>
          <w:color w:val="auto"/>
          <w:sz w:val="32"/>
        </w:rPr>
      </w:pPr>
      <w:bookmarkStart w:id="114" w:name="_Toc5421"/>
      <w:bookmarkStart w:id="115" w:name="_Toc12015"/>
      <w:bookmarkStart w:id="116" w:name="_Toc25691"/>
      <w:bookmarkStart w:id="117" w:name="_Toc29672"/>
      <w:bookmarkStart w:id="118" w:name="_Toc426457695"/>
      <w:bookmarkStart w:id="119" w:name="_Toc1493"/>
      <w:bookmarkStart w:id="120" w:name="_Toc9322"/>
      <w:bookmarkStart w:id="121" w:name="_Toc24601"/>
      <w:bookmarkStart w:id="122" w:name="_Toc9053"/>
      <w:bookmarkStart w:id="123" w:name="_Toc19199"/>
      <w:bookmarkStart w:id="124" w:name="_Toc426457696"/>
      <w:bookmarkStart w:id="125" w:name="_Toc19246"/>
      <w:bookmarkStart w:id="126" w:name="_Toc31520"/>
      <w:bookmarkStart w:id="127" w:name="_Toc31683"/>
      <w:bookmarkStart w:id="128" w:name="_Toc389582037"/>
      <w:bookmarkStart w:id="129" w:name="_Toc29888"/>
      <w:bookmarkStart w:id="130" w:name="_Toc26595"/>
      <w:bookmarkStart w:id="131" w:name="_Toc8333"/>
      <w:bookmarkStart w:id="132" w:name="_Toc20230"/>
      <w:r>
        <w:rPr>
          <w:rFonts w:hint="eastAsia" w:cs="宋体"/>
          <w:b/>
          <w:bCs/>
          <w:color w:val="auto"/>
          <w:sz w:val="32"/>
        </w:rPr>
        <w:t>合同条款及格式前附表</w:t>
      </w:r>
      <w:bookmarkEnd w:id="114"/>
    </w:p>
    <w:p>
      <w:pPr>
        <w:spacing w:line="360" w:lineRule="auto"/>
        <w:ind w:firstLine="480" w:firstLineChars="200"/>
        <w:rPr>
          <w:rFonts w:cs="宋体"/>
          <w:bCs/>
          <w:color w:val="auto"/>
          <w:sz w:val="24"/>
          <w:szCs w:val="24"/>
        </w:rPr>
      </w:pPr>
      <w:r>
        <w:rPr>
          <w:rFonts w:hint="eastAsia" w:cs="宋体"/>
          <w:color w:val="auto"/>
          <w:sz w:val="24"/>
          <w:szCs w:val="24"/>
        </w:rPr>
        <w:t>本表是对合同条款的具体补充和修改，如有矛盾，应以本资料表为准。</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7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81" w:type="dxa"/>
            <w:vAlign w:val="center"/>
          </w:tcPr>
          <w:p>
            <w:pPr>
              <w:spacing w:line="360" w:lineRule="auto"/>
              <w:jc w:val="center"/>
              <w:rPr>
                <w:rFonts w:cs="宋体"/>
                <w:b/>
                <w:color w:val="auto"/>
                <w:sz w:val="24"/>
                <w:szCs w:val="24"/>
              </w:rPr>
            </w:pPr>
            <w:bookmarkStart w:id="133" w:name="_Toc4679"/>
            <w:r>
              <w:rPr>
                <w:rFonts w:hint="eastAsia" w:cs="宋体"/>
                <w:b/>
                <w:color w:val="auto"/>
                <w:sz w:val="24"/>
                <w:szCs w:val="24"/>
              </w:rPr>
              <w:t>序号</w:t>
            </w:r>
          </w:p>
        </w:tc>
        <w:tc>
          <w:tcPr>
            <w:tcW w:w="7963" w:type="dxa"/>
            <w:vAlign w:val="center"/>
          </w:tcPr>
          <w:p>
            <w:pPr>
              <w:spacing w:line="360" w:lineRule="auto"/>
              <w:jc w:val="center"/>
              <w:rPr>
                <w:rFonts w:cs="宋体"/>
                <w:b/>
                <w:color w:val="auto"/>
                <w:sz w:val="24"/>
                <w:szCs w:val="24"/>
              </w:rPr>
            </w:pPr>
            <w:r>
              <w:rPr>
                <w:rFonts w:hint="eastAsia"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1</w:t>
            </w:r>
          </w:p>
        </w:tc>
        <w:tc>
          <w:tcPr>
            <w:tcW w:w="7963" w:type="dxa"/>
            <w:vAlign w:val="center"/>
          </w:tcPr>
          <w:p>
            <w:pPr>
              <w:spacing w:line="360" w:lineRule="auto"/>
              <w:rPr>
                <w:rFonts w:cs="宋体"/>
                <w:color w:val="auto"/>
                <w:sz w:val="24"/>
                <w:szCs w:val="24"/>
              </w:rPr>
            </w:pPr>
            <w:r>
              <w:rPr>
                <w:rFonts w:hint="eastAsia" w:cs="宋体"/>
                <w:b/>
                <w:color w:val="auto"/>
                <w:sz w:val="24"/>
                <w:szCs w:val="24"/>
              </w:rPr>
              <w:t>采购人：</w:t>
            </w:r>
            <w:r>
              <w:rPr>
                <w:rFonts w:hint="eastAsia" w:cs="宋体"/>
                <w:color w:val="auto"/>
                <w:sz w:val="24"/>
                <w:szCs w:val="24"/>
              </w:rPr>
              <w:t>合阳县乡村振兴服务中心</w:t>
            </w:r>
          </w:p>
          <w:p>
            <w:pPr>
              <w:widowControl/>
              <w:shd w:val="clear" w:color="auto" w:fill="FFFFFF"/>
              <w:wordWrap w:val="0"/>
              <w:spacing w:line="360" w:lineRule="auto"/>
              <w:rPr>
                <w:rFonts w:cs="宋体"/>
                <w:bCs/>
                <w:color w:val="auto"/>
                <w:sz w:val="24"/>
                <w:szCs w:val="24"/>
              </w:rPr>
            </w:pPr>
            <w:r>
              <w:rPr>
                <w:rFonts w:hint="eastAsia" w:cs="宋体"/>
                <w:b/>
                <w:color w:val="auto"/>
                <w:sz w:val="24"/>
                <w:szCs w:val="24"/>
              </w:rPr>
              <w:t>地址：</w:t>
            </w:r>
            <w:r>
              <w:rPr>
                <w:rFonts w:hint="eastAsia" w:cs="宋体"/>
                <w:color w:val="auto"/>
                <w:sz w:val="24"/>
                <w:szCs w:val="24"/>
              </w:rPr>
              <w:t>合阳县商南路城关二小对面</w:t>
            </w:r>
          </w:p>
          <w:p>
            <w:pPr>
              <w:spacing w:line="360" w:lineRule="auto"/>
              <w:rPr>
                <w:rFonts w:cs="宋体"/>
                <w:bCs/>
                <w:color w:val="auto"/>
                <w:sz w:val="24"/>
                <w:szCs w:val="24"/>
              </w:rPr>
            </w:pPr>
            <w:r>
              <w:rPr>
                <w:rFonts w:hint="eastAsia" w:cs="宋体"/>
                <w:b/>
                <w:color w:val="auto"/>
                <w:sz w:val="24"/>
                <w:szCs w:val="24"/>
              </w:rPr>
              <w:t>项目名称：</w:t>
            </w:r>
            <w:r>
              <w:rPr>
                <w:rFonts w:hint="eastAsia" w:cs="宋体"/>
                <w:color w:val="auto"/>
                <w:sz w:val="24"/>
                <w:szCs w:val="24"/>
              </w:rPr>
              <w:t>合阳县农村改厕后期管护云平台建设项目</w:t>
            </w:r>
            <w:r>
              <w:rPr>
                <w:rFonts w:hint="eastAsia" w:cs="宋体"/>
                <w:bCs/>
                <w:color w:val="auto"/>
                <w:sz w:val="24"/>
                <w:szCs w:val="24"/>
              </w:rPr>
              <w:t xml:space="preserve"> </w:t>
            </w:r>
          </w:p>
          <w:p>
            <w:pPr>
              <w:spacing w:line="360" w:lineRule="auto"/>
              <w:rPr>
                <w:rFonts w:cs="宋体"/>
                <w:color w:val="auto"/>
                <w:sz w:val="24"/>
                <w:szCs w:val="24"/>
              </w:rPr>
            </w:pPr>
            <w:r>
              <w:rPr>
                <w:rFonts w:hint="eastAsia" w:cs="宋体"/>
                <w:b/>
                <w:color w:val="auto"/>
                <w:sz w:val="24"/>
                <w:szCs w:val="24"/>
              </w:rPr>
              <w:t>资金来源：</w:t>
            </w:r>
            <w:r>
              <w:rPr>
                <w:rFonts w:hint="eastAsia" w:cs="宋体"/>
                <w:color w:val="auto"/>
                <w:sz w:val="24"/>
                <w:szCs w:val="24"/>
              </w:rPr>
              <w:t>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exact"/>
        </w:trPr>
        <w:tc>
          <w:tcPr>
            <w:tcW w:w="881" w:type="dxa"/>
            <w:vAlign w:val="center"/>
          </w:tcPr>
          <w:p>
            <w:pPr>
              <w:spacing w:line="360" w:lineRule="auto"/>
              <w:jc w:val="center"/>
              <w:rPr>
                <w:rFonts w:cs="宋体"/>
                <w:color w:val="auto"/>
                <w:sz w:val="24"/>
                <w:szCs w:val="24"/>
              </w:rPr>
            </w:pPr>
            <w:r>
              <w:rPr>
                <w:rFonts w:hint="eastAsia" w:cs="宋体"/>
                <w:color w:val="auto"/>
                <w:sz w:val="24"/>
                <w:szCs w:val="24"/>
              </w:rPr>
              <w:t>2</w:t>
            </w:r>
          </w:p>
        </w:tc>
        <w:tc>
          <w:tcPr>
            <w:tcW w:w="7963" w:type="dxa"/>
            <w:vAlign w:val="center"/>
          </w:tcPr>
          <w:p>
            <w:pPr>
              <w:spacing w:line="360" w:lineRule="auto"/>
              <w:rPr>
                <w:rFonts w:cs="宋体"/>
                <w:b/>
                <w:color w:val="auto"/>
                <w:sz w:val="24"/>
                <w:szCs w:val="24"/>
              </w:rPr>
            </w:pPr>
            <w:r>
              <w:rPr>
                <w:rFonts w:hint="eastAsia" w:cs="宋体"/>
                <w:b/>
                <w:color w:val="auto"/>
                <w:sz w:val="24"/>
                <w:szCs w:val="24"/>
              </w:rPr>
              <w:t>项目实施地点：</w:t>
            </w:r>
            <w:r>
              <w:rPr>
                <w:rFonts w:hint="eastAsia" w:cs="宋体"/>
                <w:bCs/>
                <w:color w:val="auto"/>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881" w:type="dxa"/>
            <w:vAlign w:val="center"/>
          </w:tcPr>
          <w:p>
            <w:pPr>
              <w:spacing w:line="360" w:lineRule="auto"/>
              <w:jc w:val="center"/>
              <w:rPr>
                <w:rFonts w:cs="宋体"/>
                <w:color w:val="auto"/>
                <w:sz w:val="24"/>
                <w:szCs w:val="24"/>
              </w:rPr>
            </w:pPr>
            <w:r>
              <w:rPr>
                <w:rFonts w:hint="eastAsia" w:cs="宋体"/>
                <w:color w:val="auto"/>
                <w:sz w:val="24"/>
                <w:szCs w:val="24"/>
              </w:rPr>
              <w:t>3</w:t>
            </w:r>
          </w:p>
        </w:tc>
        <w:tc>
          <w:tcPr>
            <w:tcW w:w="7963" w:type="dxa"/>
            <w:vAlign w:val="center"/>
          </w:tcPr>
          <w:p>
            <w:pPr>
              <w:spacing w:line="360" w:lineRule="auto"/>
              <w:rPr>
                <w:rFonts w:cs="宋体"/>
                <w:color w:val="auto"/>
                <w:sz w:val="24"/>
                <w:szCs w:val="24"/>
              </w:rPr>
            </w:pPr>
            <w:r>
              <w:rPr>
                <w:rFonts w:hint="eastAsia" w:cs="宋体"/>
                <w:b/>
                <w:color w:val="auto"/>
                <w:sz w:val="24"/>
                <w:szCs w:val="24"/>
              </w:rPr>
              <w:t>服务期：</w:t>
            </w:r>
            <w:r>
              <w:rPr>
                <w:rFonts w:hint="eastAsia" w:cs="宋体"/>
                <w:color w:val="auto"/>
                <w:sz w:val="24"/>
                <w:szCs w:val="24"/>
              </w:rPr>
              <w:t>合同签订之后</w:t>
            </w:r>
            <w:r>
              <w:rPr>
                <w:rFonts w:hint="eastAsia" w:cs="宋体"/>
                <w:color w:val="auto"/>
                <w:sz w:val="22"/>
                <w:szCs w:val="15"/>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shd w:val="clear" w:color="FFFFFF" w:fill="D9D9D9"/>
              </w:rPr>
            </w:pPr>
            <w:r>
              <w:rPr>
                <w:rFonts w:hint="eastAsia" w:cs="宋体"/>
                <w:color w:val="auto"/>
                <w:sz w:val="24"/>
                <w:szCs w:val="24"/>
              </w:rPr>
              <w:t>4</w:t>
            </w:r>
          </w:p>
        </w:tc>
        <w:tc>
          <w:tcPr>
            <w:tcW w:w="7963" w:type="dxa"/>
            <w:vAlign w:val="center"/>
          </w:tcPr>
          <w:p>
            <w:pPr>
              <w:spacing w:line="360" w:lineRule="auto"/>
              <w:jc w:val="left"/>
              <w:rPr>
                <w:rFonts w:cs="宋体"/>
                <w:b/>
                <w:color w:val="auto"/>
                <w:sz w:val="24"/>
                <w:szCs w:val="24"/>
              </w:rPr>
            </w:pPr>
            <w:r>
              <w:rPr>
                <w:rFonts w:hint="eastAsia" w:cs="宋体"/>
                <w:b/>
                <w:color w:val="auto"/>
                <w:sz w:val="24"/>
                <w:szCs w:val="24"/>
              </w:rPr>
              <w:t>付款：</w:t>
            </w:r>
          </w:p>
          <w:p>
            <w:pPr>
              <w:spacing w:line="360" w:lineRule="auto"/>
              <w:jc w:val="left"/>
              <w:rPr>
                <w:rFonts w:cs="宋体"/>
                <w:color w:val="auto"/>
                <w:sz w:val="24"/>
                <w:szCs w:val="24"/>
              </w:rPr>
            </w:pPr>
            <w:r>
              <w:rPr>
                <w:rFonts w:hint="eastAsia" w:cs="宋体"/>
                <w:color w:val="auto"/>
                <w:sz w:val="24"/>
                <w:szCs w:val="24"/>
              </w:rPr>
              <w:t>1.合同总价即中标价，不受市场价变化或实际工作量变化的影响，如需调整将在补充协议条款中具体明确。</w:t>
            </w:r>
          </w:p>
          <w:p>
            <w:pPr>
              <w:spacing w:line="360" w:lineRule="auto"/>
              <w:jc w:val="left"/>
              <w:rPr>
                <w:rFonts w:cs="宋体"/>
                <w:color w:val="auto"/>
                <w:sz w:val="24"/>
                <w:szCs w:val="24"/>
              </w:rPr>
            </w:pPr>
            <w:r>
              <w:rPr>
                <w:rFonts w:hint="eastAsia" w:cs="宋体"/>
                <w:color w:val="auto"/>
                <w:sz w:val="24"/>
                <w:szCs w:val="24"/>
              </w:rPr>
              <w:t>2.付款方式和程序：</w:t>
            </w:r>
          </w:p>
          <w:p>
            <w:pPr>
              <w:spacing w:line="360" w:lineRule="auto"/>
              <w:jc w:val="left"/>
              <w:rPr>
                <w:rFonts w:cs="宋体"/>
                <w:color w:val="auto"/>
                <w:sz w:val="24"/>
                <w:szCs w:val="24"/>
              </w:rPr>
            </w:pPr>
            <w:r>
              <w:rPr>
                <w:rFonts w:hint="eastAsia" w:cs="宋体"/>
                <w:color w:val="auto"/>
                <w:sz w:val="24"/>
                <w:szCs w:val="24"/>
              </w:rPr>
              <w:t>2.1由采购人负责结算，在付款前，供应商必须开具发票给采购人。</w:t>
            </w:r>
          </w:p>
          <w:p>
            <w:pPr>
              <w:spacing w:line="360" w:lineRule="auto"/>
              <w:jc w:val="left"/>
              <w:rPr>
                <w:rFonts w:cs="宋体"/>
                <w:b/>
                <w:color w:val="auto"/>
                <w:sz w:val="24"/>
                <w:szCs w:val="24"/>
              </w:rPr>
            </w:pPr>
            <w:r>
              <w:rPr>
                <w:rFonts w:hint="eastAsia" w:cs="宋体"/>
                <w:b/>
                <w:color w:val="auto"/>
                <w:sz w:val="24"/>
                <w:szCs w:val="24"/>
              </w:rPr>
              <w:t>2.2付款方式：</w:t>
            </w:r>
          </w:p>
          <w:p>
            <w:pPr>
              <w:spacing w:line="360" w:lineRule="auto"/>
              <w:jc w:val="left"/>
              <w:rPr>
                <w:rFonts w:cs="宋体"/>
                <w:bCs/>
                <w:color w:val="auto"/>
                <w:sz w:val="24"/>
                <w:szCs w:val="24"/>
              </w:rPr>
            </w:pPr>
            <w:r>
              <w:rPr>
                <w:rFonts w:hint="eastAsia" w:cs="宋体"/>
                <w:bCs/>
                <w:color w:val="auto"/>
                <w:sz w:val="24"/>
                <w:szCs w:val="24"/>
              </w:rPr>
              <w:t>2.2.1付款方式：平台建设完成、项目验收合格并正常使用后支付60%，平台运行一年后付20%，剩余20%服务期满后一次性付清。</w:t>
            </w:r>
          </w:p>
          <w:p>
            <w:pPr>
              <w:spacing w:line="360" w:lineRule="auto"/>
              <w:jc w:val="left"/>
              <w:rPr>
                <w:rFonts w:cs="宋体"/>
                <w:color w:val="auto"/>
                <w:sz w:val="24"/>
                <w:szCs w:val="24"/>
                <w:shd w:val="clear" w:color="FFFFFF" w:fill="D9D9D9"/>
              </w:rPr>
            </w:pPr>
            <w:r>
              <w:rPr>
                <w:rFonts w:hint="eastAsia" w:cs="宋体"/>
                <w:bCs/>
                <w:color w:val="auto"/>
                <w:sz w:val="24"/>
                <w:szCs w:val="24"/>
              </w:rPr>
              <w:t>2.2.2支付方式：银行转账。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5</w:t>
            </w:r>
          </w:p>
        </w:tc>
        <w:tc>
          <w:tcPr>
            <w:tcW w:w="7963" w:type="dxa"/>
            <w:vAlign w:val="center"/>
          </w:tcPr>
          <w:p>
            <w:pPr>
              <w:spacing w:line="360" w:lineRule="auto"/>
              <w:rPr>
                <w:rFonts w:cs="宋体"/>
                <w:b/>
                <w:color w:val="auto"/>
                <w:sz w:val="24"/>
                <w:szCs w:val="24"/>
              </w:rPr>
            </w:pPr>
            <w:r>
              <w:rPr>
                <w:rFonts w:hint="eastAsia" w:cs="宋体"/>
                <w:b/>
                <w:color w:val="auto"/>
                <w:sz w:val="24"/>
                <w:szCs w:val="24"/>
              </w:rPr>
              <w:t>质量保证：</w:t>
            </w:r>
          </w:p>
          <w:p>
            <w:pPr>
              <w:spacing w:line="360" w:lineRule="auto"/>
              <w:rPr>
                <w:rFonts w:cs="宋体"/>
                <w:bCs/>
                <w:color w:val="auto"/>
                <w:sz w:val="24"/>
                <w:szCs w:val="24"/>
              </w:rPr>
            </w:pPr>
            <w:r>
              <w:rPr>
                <w:rFonts w:hint="eastAsia" w:cs="宋体"/>
                <w:bCs/>
                <w:color w:val="auto"/>
                <w:sz w:val="24"/>
                <w:szCs w:val="24"/>
              </w:rPr>
              <w:t>1、质量要求：</w:t>
            </w:r>
            <w:r>
              <w:rPr>
                <w:rFonts w:hint="eastAsia" w:cs="宋体"/>
                <w:color w:val="auto"/>
                <w:sz w:val="24"/>
                <w:szCs w:val="24"/>
              </w:rPr>
              <w:t>符合国家及行业质量验收合格标准。</w:t>
            </w:r>
          </w:p>
          <w:p>
            <w:pPr>
              <w:spacing w:line="360" w:lineRule="auto"/>
              <w:rPr>
                <w:rFonts w:cs="宋体"/>
                <w:bCs/>
                <w:color w:val="auto"/>
                <w:sz w:val="24"/>
                <w:szCs w:val="24"/>
              </w:rPr>
            </w:pPr>
            <w:r>
              <w:rPr>
                <w:rFonts w:hint="eastAsia" w:cs="宋体"/>
                <w:bCs/>
                <w:color w:val="auto"/>
                <w:sz w:val="24"/>
                <w:szCs w:val="24"/>
              </w:rPr>
              <w:t>2、在服务范围内按工作内容和要求制定详细的方案，方案科学、合理、可靠。</w:t>
            </w:r>
          </w:p>
          <w:p>
            <w:pPr>
              <w:spacing w:line="360" w:lineRule="auto"/>
              <w:rPr>
                <w:rFonts w:cs="宋体"/>
                <w:bCs/>
                <w:color w:val="auto"/>
                <w:sz w:val="24"/>
                <w:szCs w:val="24"/>
              </w:rPr>
            </w:pPr>
            <w:r>
              <w:rPr>
                <w:rFonts w:hint="eastAsia" w:cs="宋体"/>
                <w:bCs/>
                <w:color w:val="auto"/>
                <w:sz w:val="24"/>
                <w:szCs w:val="24"/>
              </w:rPr>
              <w:t>3、技术队伍配备合理。有针对本项目的专项服务小组，项目负责人、工作人员分工明确。</w:t>
            </w:r>
          </w:p>
          <w:p>
            <w:pPr>
              <w:spacing w:line="360" w:lineRule="auto"/>
              <w:rPr>
                <w:rFonts w:cs="宋体"/>
                <w:color w:val="auto"/>
                <w:sz w:val="24"/>
                <w:szCs w:val="24"/>
              </w:rPr>
            </w:pPr>
            <w:r>
              <w:rPr>
                <w:rFonts w:hint="eastAsia" w:cs="宋体"/>
                <w:bCs/>
                <w:color w:val="auto"/>
                <w:sz w:val="24"/>
                <w:szCs w:val="24"/>
              </w:rPr>
              <w:t>4、有各类突发事件的应急预案和措施，有明确具体的承诺。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pStyle w:val="18"/>
              <w:spacing w:line="360" w:lineRule="auto"/>
              <w:jc w:val="center"/>
              <w:rPr>
                <w:rFonts w:hAnsi="宋体" w:cs="宋体"/>
                <w:b/>
                <w:bCs/>
                <w:color w:val="auto"/>
                <w:kern w:val="0"/>
                <w:sz w:val="24"/>
                <w:szCs w:val="24"/>
              </w:rPr>
            </w:pPr>
            <w:r>
              <w:rPr>
                <w:rFonts w:hint="eastAsia" w:hAnsi="宋体" w:cs="宋体"/>
                <w:color w:val="auto"/>
                <w:kern w:val="0"/>
                <w:sz w:val="24"/>
                <w:szCs w:val="24"/>
              </w:rPr>
              <w:t>6</w:t>
            </w:r>
          </w:p>
        </w:tc>
        <w:tc>
          <w:tcPr>
            <w:tcW w:w="7963" w:type="dxa"/>
            <w:vAlign w:val="center"/>
          </w:tcPr>
          <w:p>
            <w:pPr>
              <w:spacing w:line="360" w:lineRule="auto"/>
              <w:rPr>
                <w:rFonts w:cs="宋体"/>
                <w:color w:val="auto"/>
                <w:sz w:val="24"/>
                <w:szCs w:val="24"/>
              </w:rPr>
            </w:pPr>
            <w:r>
              <w:rPr>
                <w:rFonts w:hint="eastAsia" w:cs="宋体"/>
                <w:b/>
                <w:color w:val="auto"/>
                <w:sz w:val="24"/>
                <w:szCs w:val="24"/>
              </w:rPr>
              <w:t>知识产权：</w:t>
            </w:r>
          </w:p>
          <w:p>
            <w:pPr>
              <w:spacing w:line="360" w:lineRule="auto"/>
              <w:ind w:firstLine="480" w:firstLineChars="200"/>
              <w:rPr>
                <w:rFonts w:cs="宋体"/>
                <w:bCs/>
                <w:color w:val="auto"/>
                <w:sz w:val="24"/>
                <w:szCs w:val="24"/>
              </w:rPr>
            </w:pPr>
            <w:r>
              <w:rPr>
                <w:rFonts w:hint="eastAsia" w:cs="宋体"/>
                <w:color w:val="auto"/>
                <w:sz w:val="24"/>
                <w:szCs w:val="24"/>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pStyle w:val="18"/>
              <w:spacing w:line="360" w:lineRule="auto"/>
              <w:jc w:val="center"/>
              <w:rPr>
                <w:rFonts w:hAnsi="宋体" w:cs="宋体"/>
                <w:color w:val="auto"/>
                <w:sz w:val="24"/>
                <w:szCs w:val="24"/>
              </w:rPr>
            </w:pPr>
            <w:r>
              <w:rPr>
                <w:rFonts w:hint="eastAsia" w:hAnsi="宋体" w:cs="宋体"/>
                <w:color w:val="auto"/>
                <w:kern w:val="0"/>
                <w:sz w:val="24"/>
                <w:szCs w:val="24"/>
              </w:rPr>
              <w:t>7</w:t>
            </w:r>
          </w:p>
        </w:tc>
        <w:tc>
          <w:tcPr>
            <w:tcW w:w="7963" w:type="dxa"/>
            <w:vAlign w:val="center"/>
          </w:tcPr>
          <w:p>
            <w:pPr>
              <w:tabs>
                <w:tab w:val="left" w:pos="152"/>
              </w:tabs>
              <w:spacing w:line="360" w:lineRule="auto"/>
              <w:rPr>
                <w:rFonts w:cs="宋体"/>
                <w:b/>
                <w:bCs/>
                <w:color w:val="auto"/>
                <w:sz w:val="24"/>
              </w:rPr>
            </w:pPr>
            <w:r>
              <w:rPr>
                <w:rFonts w:hint="eastAsia" w:cs="宋体"/>
                <w:b/>
                <w:bCs/>
                <w:color w:val="auto"/>
                <w:sz w:val="24"/>
              </w:rPr>
              <w:t>考核验收</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1、成交供应商与采购人应严格按照《中华人民共和国政府采购法》、《中华人民共和国政府采购法实施条例》等法律法规、标准以及合同、招标文件、投标文件等相关文件要求进行验收。</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2、由采购人和中标人共同对项目进行整体验收。其内容包括是否按照采购人要求进行服务、是否在规定时间内服务完毕。</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3、服务商向采购人提供服务过程中的所有资料,以便采购人日后管理和维护。</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4、验收依据</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4.1招标文件、投标文件、澄清表（函）；</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4.2本合同及附件文本；</w:t>
            </w:r>
          </w:p>
          <w:p>
            <w:pPr>
              <w:adjustRightInd w:val="0"/>
              <w:snapToGrid w:val="0"/>
              <w:spacing w:line="360" w:lineRule="auto"/>
              <w:ind w:firstLine="480" w:firstLineChars="200"/>
              <w:rPr>
                <w:rFonts w:cs="宋体"/>
                <w:color w:val="auto"/>
                <w:sz w:val="24"/>
              </w:rPr>
            </w:pPr>
            <w:r>
              <w:rPr>
                <w:rFonts w:hint="eastAsia" w:cs="宋体"/>
                <w:color w:val="auto"/>
                <w:sz w:val="24"/>
                <w:szCs w:val="24"/>
              </w:rPr>
              <w:t>4.3国家相应的标准、规范。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8</w:t>
            </w:r>
          </w:p>
        </w:tc>
        <w:tc>
          <w:tcPr>
            <w:tcW w:w="7963" w:type="dxa"/>
            <w:vAlign w:val="center"/>
          </w:tcPr>
          <w:p>
            <w:pPr>
              <w:spacing w:line="360" w:lineRule="auto"/>
              <w:rPr>
                <w:rFonts w:cs="宋体"/>
                <w:b/>
                <w:color w:val="auto"/>
                <w:sz w:val="24"/>
                <w:szCs w:val="24"/>
              </w:rPr>
            </w:pPr>
            <w:r>
              <w:rPr>
                <w:rFonts w:hint="eastAsia" w:cs="宋体"/>
                <w:b/>
                <w:color w:val="auto"/>
                <w:sz w:val="24"/>
                <w:szCs w:val="24"/>
              </w:rPr>
              <w:t>违约责任：</w:t>
            </w:r>
          </w:p>
          <w:p>
            <w:pPr>
              <w:spacing w:line="360" w:lineRule="auto"/>
              <w:ind w:firstLine="480" w:firstLineChars="200"/>
              <w:rPr>
                <w:rFonts w:cs="宋体"/>
                <w:color w:val="auto"/>
                <w:sz w:val="24"/>
                <w:szCs w:val="24"/>
              </w:rPr>
            </w:pPr>
            <w:r>
              <w:rPr>
                <w:rFonts w:hint="eastAsia" w:cs="宋体"/>
                <w:color w:val="auto"/>
                <w:sz w:val="24"/>
                <w:szCs w:val="24"/>
              </w:rPr>
              <w:t>按《中华人民共和国政府采购法》、《中华人民共和国民法典》中的相关条款执行。</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未按合同或招标文件要求的或者质量不能满足采购人要求的，采购单位有权终止合同，甚至对供应商违约行为进行追究，同时按《政府采购法》的有关规定进行处罚。</w:t>
            </w:r>
          </w:p>
          <w:p>
            <w:pPr>
              <w:spacing w:line="360" w:lineRule="auto"/>
              <w:ind w:firstLine="480" w:firstLineChars="200"/>
              <w:rPr>
                <w:rFonts w:cs="宋体"/>
                <w:color w:val="auto"/>
                <w:sz w:val="24"/>
                <w:szCs w:val="24"/>
              </w:rPr>
            </w:pPr>
            <w:r>
              <w:rPr>
                <w:rFonts w:hint="eastAsia" w:cs="宋体"/>
                <w:color w:val="auto"/>
                <w:sz w:val="24"/>
                <w:szCs w:val="24"/>
              </w:rPr>
              <w:t>供应商的投标文件为签订正式书面合同书不可分割的部分，投标文件应履行相应的责任。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9</w:t>
            </w:r>
          </w:p>
        </w:tc>
        <w:tc>
          <w:tcPr>
            <w:tcW w:w="7963" w:type="dxa"/>
            <w:vAlign w:val="center"/>
          </w:tcPr>
          <w:p>
            <w:pPr>
              <w:spacing w:line="360" w:lineRule="auto"/>
              <w:rPr>
                <w:rFonts w:cs="宋体"/>
                <w:b/>
                <w:color w:val="auto"/>
                <w:sz w:val="24"/>
                <w:szCs w:val="24"/>
              </w:rPr>
            </w:pPr>
            <w:r>
              <w:rPr>
                <w:rFonts w:hint="eastAsia" w:cs="宋体"/>
                <w:b/>
                <w:color w:val="auto"/>
                <w:sz w:val="24"/>
                <w:szCs w:val="24"/>
              </w:rPr>
              <w:t>政府采购合同：</w:t>
            </w:r>
          </w:p>
          <w:p>
            <w:pPr>
              <w:spacing w:line="360" w:lineRule="auto"/>
              <w:ind w:firstLine="480" w:firstLineChars="200"/>
              <w:rPr>
                <w:rFonts w:cs="宋体"/>
                <w:color w:val="auto"/>
                <w:sz w:val="24"/>
                <w:szCs w:val="24"/>
              </w:rPr>
            </w:pPr>
            <w:r>
              <w:rPr>
                <w:rFonts w:hint="eastAsia" w:cs="宋体"/>
                <w:color w:val="auto"/>
                <w:sz w:val="24"/>
                <w:szCs w:val="24"/>
              </w:rPr>
              <w:t>政府采购合同适用《中华人民共和国民法典》。采购人和供应商之间的权利和义务，应当按照平等、自愿的原则以合同方式约定。</w:t>
            </w:r>
          </w:p>
          <w:p>
            <w:pPr>
              <w:spacing w:line="360" w:lineRule="auto"/>
              <w:ind w:firstLine="480" w:firstLineChars="200"/>
              <w:rPr>
                <w:rFonts w:cs="宋体"/>
                <w:color w:val="auto"/>
                <w:sz w:val="24"/>
                <w:szCs w:val="24"/>
              </w:rPr>
            </w:pPr>
            <w:r>
              <w:rPr>
                <w:rFonts w:hint="eastAsia" w:cs="宋体"/>
                <w:color w:val="auto"/>
                <w:sz w:val="24"/>
                <w:szCs w:val="24"/>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cs="宋体"/>
                <w:color w:val="auto"/>
                <w:sz w:val="24"/>
                <w:szCs w:val="24"/>
              </w:rPr>
            </w:pPr>
            <w:r>
              <w:rPr>
                <w:rFonts w:hint="eastAsia" w:cs="宋体"/>
                <w:color w:val="auto"/>
                <w:sz w:val="24"/>
                <w:szCs w:val="24"/>
              </w:rPr>
              <w:t>政府采购合同应当采用书面形式。</w:t>
            </w:r>
          </w:p>
          <w:p>
            <w:pPr>
              <w:spacing w:line="360" w:lineRule="auto"/>
              <w:ind w:firstLine="480" w:firstLineChars="200"/>
              <w:rPr>
                <w:rFonts w:cs="宋体"/>
                <w:color w:val="auto"/>
                <w:sz w:val="24"/>
                <w:szCs w:val="24"/>
              </w:rPr>
            </w:pPr>
            <w:r>
              <w:rPr>
                <w:rFonts w:hint="eastAsia" w:cs="宋体"/>
                <w:color w:val="auto"/>
                <w:sz w:val="24"/>
                <w:szCs w:val="24"/>
              </w:rPr>
              <w:t>国务院政府采购监督管理部门应当会同国务院有关部门，规定政府采购合同必须具备的条款。</w:t>
            </w:r>
          </w:p>
          <w:p>
            <w:pPr>
              <w:spacing w:line="360" w:lineRule="auto"/>
              <w:ind w:firstLine="480" w:firstLineChars="200"/>
              <w:rPr>
                <w:rFonts w:cs="宋体"/>
                <w:color w:val="auto"/>
                <w:sz w:val="24"/>
                <w:szCs w:val="24"/>
              </w:rPr>
            </w:pPr>
            <w:r>
              <w:rPr>
                <w:rFonts w:hint="eastAsia" w:cs="宋体"/>
                <w:color w:val="auto"/>
                <w:sz w:val="24"/>
                <w:szCs w:val="24"/>
              </w:rPr>
              <w:t xml:space="preserve">    采购人与中标、成交投标人应当在中标、成交通知书发出之日起三十日内，按照采购文件确定的事项签订政府采购合同。</w:t>
            </w:r>
          </w:p>
          <w:p>
            <w:pPr>
              <w:spacing w:line="360" w:lineRule="auto"/>
              <w:ind w:firstLine="480" w:firstLineChars="200"/>
              <w:rPr>
                <w:rFonts w:cs="宋体"/>
                <w:color w:val="auto"/>
                <w:sz w:val="24"/>
                <w:szCs w:val="24"/>
              </w:rPr>
            </w:pPr>
            <w:r>
              <w:rPr>
                <w:rFonts w:hint="eastAsia" w:cs="宋体"/>
                <w:color w:val="auto"/>
                <w:sz w:val="24"/>
                <w:szCs w:val="24"/>
              </w:rPr>
              <w:t xml:space="preserve">    中标、中标通知书对采购人和中标、成交投标人均具有法律效力。中标、中标通知书发出后，采购人改变中标、中标结果的，或者中标、成交投标人放弃中标、成交项目的，应当依法承担法律责任。</w:t>
            </w:r>
          </w:p>
          <w:p>
            <w:pPr>
              <w:spacing w:line="360" w:lineRule="auto"/>
              <w:ind w:firstLine="480" w:firstLineChars="200"/>
              <w:rPr>
                <w:rFonts w:cs="宋体"/>
                <w:color w:val="auto"/>
                <w:sz w:val="24"/>
                <w:szCs w:val="24"/>
              </w:rPr>
            </w:pPr>
            <w:r>
              <w:rPr>
                <w:rFonts w:hint="eastAsia" w:cs="宋体"/>
                <w:color w:val="auto"/>
                <w:sz w:val="24"/>
                <w:szCs w:val="24"/>
              </w:rPr>
              <w:t>政府采购项目的采购合同自签订之日起七个工作日内，采购人应当将合同副本报同级政府采购监督管理部门和有关部门备案。</w:t>
            </w:r>
          </w:p>
          <w:p>
            <w:pPr>
              <w:spacing w:line="360" w:lineRule="auto"/>
              <w:ind w:firstLine="480" w:firstLineChars="200"/>
              <w:rPr>
                <w:rFonts w:cs="宋体"/>
                <w:color w:val="auto"/>
                <w:sz w:val="24"/>
                <w:szCs w:val="24"/>
              </w:rPr>
            </w:pPr>
            <w:r>
              <w:rPr>
                <w:rFonts w:hint="eastAsia" w:cs="宋体"/>
                <w:color w:val="auto"/>
                <w:sz w:val="24"/>
                <w:szCs w:val="24"/>
              </w:rPr>
              <w:t xml:space="preserve">    经采购人同意，中标、成交投标人可以依法采取分包方式履行合同。政府采购合同分包履行的，中标、成交投标人就采购项目和分包项目向采购人负责，分包投标人就分包项目承担责任。</w:t>
            </w:r>
          </w:p>
          <w:p>
            <w:pPr>
              <w:spacing w:line="360" w:lineRule="auto"/>
              <w:ind w:firstLine="480" w:firstLineChars="200"/>
              <w:rPr>
                <w:rFonts w:cs="宋体"/>
                <w:color w:val="auto"/>
                <w:sz w:val="24"/>
                <w:szCs w:val="24"/>
              </w:rPr>
            </w:pPr>
            <w:r>
              <w:rPr>
                <w:rFonts w:hint="eastAsia" w:cs="宋体"/>
                <w:color w:val="auto"/>
                <w:sz w:val="24"/>
                <w:szCs w:val="24"/>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ind w:firstLine="480" w:firstLineChars="200"/>
              <w:rPr>
                <w:rFonts w:cs="宋体"/>
                <w:color w:val="auto"/>
                <w:sz w:val="24"/>
                <w:szCs w:val="24"/>
              </w:rPr>
            </w:pPr>
            <w:r>
              <w:rPr>
                <w:rFonts w:hint="eastAsia" w:cs="宋体"/>
                <w:color w:val="auto"/>
                <w:sz w:val="24"/>
                <w:szCs w:val="24"/>
              </w:rPr>
              <w:t xml:space="preserve">    政府采购合同的双方当事人不得擅自变更、中止或者终止合同。</w:t>
            </w:r>
          </w:p>
          <w:p>
            <w:pPr>
              <w:spacing w:line="360" w:lineRule="auto"/>
              <w:ind w:firstLine="480" w:firstLineChars="200"/>
              <w:rPr>
                <w:rFonts w:cs="宋体"/>
                <w:color w:val="auto"/>
                <w:sz w:val="24"/>
                <w:szCs w:val="24"/>
              </w:rPr>
            </w:pPr>
            <w:r>
              <w:rPr>
                <w:rFonts w:hint="eastAsia"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cs="宋体"/>
          <w:color w:val="auto"/>
          <w:sz w:val="24"/>
          <w:szCs w:val="24"/>
        </w:rPr>
      </w:pPr>
    </w:p>
    <w:p>
      <w:pPr>
        <w:spacing w:line="360" w:lineRule="auto"/>
        <w:ind w:firstLine="880" w:firstLineChars="200"/>
        <w:jc w:val="center"/>
        <w:rPr>
          <w:rFonts w:cs="宋体"/>
          <w:color w:val="auto"/>
          <w:sz w:val="44"/>
          <w:szCs w:val="44"/>
        </w:rPr>
      </w:pPr>
    </w:p>
    <w:p>
      <w:pPr>
        <w:spacing w:line="360" w:lineRule="auto"/>
        <w:ind w:firstLine="880" w:firstLineChars="200"/>
        <w:jc w:val="center"/>
        <w:rPr>
          <w:rFonts w:cs="宋体"/>
          <w:color w:val="auto"/>
          <w:sz w:val="44"/>
          <w:szCs w:val="44"/>
        </w:rPr>
      </w:pPr>
    </w:p>
    <w:p>
      <w:pPr>
        <w:jc w:val="center"/>
        <w:rPr>
          <w:rFonts w:cs="宋体"/>
          <w:b/>
          <w:bCs/>
          <w:color w:val="auto"/>
          <w:sz w:val="44"/>
          <w:szCs w:val="44"/>
        </w:rPr>
      </w:pPr>
    </w:p>
    <w:p>
      <w:pPr>
        <w:tabs>
          <w:tab w:val="left" w:pos="480"/>
          <w:tab w:val="left" w:pos="3261"/>
        </w:tabs>
        <w:spacing w:line="360" w:lineRule="auto"/>
        <w:rPr>
          <w:rFonts w:cs="宋体"/>
          <w:color w:val="auto"/>
          <w:sz w:val="24"/>
        </w:rPr>
      </w:pPr>
    </w:p>
    <w:p>
      <w:pPr>
        <w:adjustRightInd w:val="0"/>
        <w:snapToGrid w:val="0"/>
        <w:spacing w:line="360" w:lineRule="auto"/>
        <w:ind w:firstLine="475" w:firstLineChars="198"/>
        <w:rPr>
          <w:rFonts w:cs="宋体"/>
          <w:color w:val="auto"/>
          <w:sz w:val="24"/>
        </w:rPr>
      </w:pPr>
      <w:r>
        <w:rPr>
          <w:rFonts w:hint="eastAsia" w:cs="宋体"/>
          <w:color w:val="auto"/>
          <w:sz w:val="24"/>
        </w:rPr>
        <w:t xml:space="preserve">   </w:t>
      </w:r>
    </w:p>
    <w:p>
      <w:pPr>
        <w:jc w:val="center"/>
        <w:rPr>
          <w:rFonts w:cs="宋体"/>
          <w:b/>
          <w:bCs/>
          <w:color w:val="auto"/>
          <w:sz w:val="48"/>
          <w:szCs w:val="48"/>
        </w:rPr>
      </w:pPr>
    </w:p>
    <w:p>
      <w:pPr>
        <w:jc w:val="center"/>
        <w:rPr>
          <w:rFonts w:cs="宋体"/>
          <w:b/>
          <w:bCs/>
          <w:color w:val="auto"/>
          <w:sz w:val="48"/>
          <w:szCs w:val="48"/>
        </w:rPr>
      </w:pPr>
    </w:p>
    <w:p>
      <w:pPr>
        <w:spacing w:line="360" w:lineRule="auto"/>
        <w:jc w:val="center"/>
        <w:rPr>
          <w:rFonts w:cs="宋体"/>
          <w:b/>
          <w:color w:val="auto"/>
          <w:sz w:val="44"/>
          <w:szCs w:val="44"/>
        </w:rPr>
      </w:pPr>
    </w:p>
    <w:p>
      <w:pPr>
        <w:spacing w:line="360" w:lineRule="auto"/>
        <w:jc w:val="center"/>
        <w:rPr>
          <w:rFonts w:cs="宋体"/>
          <w:b/>
          <w:color w:val="auto"/>
          <w:sz w:val="44"/>
          <w:szCs w:val="44"/>
        </w:rPr>
      </w:pPr>
    </w:p>
    <w:p>
      <w:pPr>
        <w:spacing w:line="300" w:lineRule="auto"/>
        <w:ind w:firstLine="420" w:firstLineChars="200"/>
        <w:rPr>
          <w:rFonts w:cs="宋体"/>
          <w:color w:val="auto"/>
          <w:kern w:val="2"/>
          <w:szCs w:val="24"/>
        </w:rPr>
      </w:pPr>
    </w:p>
    <w:p>
      <w:pPr>
        <w:spacing w:line="360" w:lineRule="auto"/>
        <w:jc w:val="center"/>
        <w:rPr>
          <w:rFonts w:cs="宋体"/>
          <w:b/>
          <w:bCs/>
          <w:color w:val="auto"/>
          <w:sz w:val="48"/>
          <w:szCs w:val="48"/>
        </w:rPr>
      </w:pPr>
      <w:r>
        <w:rPr>
          <w:rFonts w:hint="eastAsia" w:cs="宋体"/>
          <w:b/>
          <w:bCs/>
          <w:color w:val="auto"/>
          <w:sz w:val="60"/>
          <w:szCs w:val="60"/>
        </w:rPr>
        <w:t>合阳县农村改厕后期管护云平台建设项目</w:t>
      </w:r>
    </w:p>
    <w:p>
      <w:pPr>
        <w:keepNext/>
        <w:keepLines/>
        <w:spacing w:before="60" w:line="360" w:lineRule="auto"/>
        <w:ind w:left="1152" w:hanging="1152"/>
        <w:outlineLvl w:val="5"/>
        <w:rPr>
          <w:rFonts w:cs="宋体"/>
          <w:b/>
          <w:color w:val="auto"/>
          <w:kern w:val="2"/>
          <w:sz w:val="48"/>
          <w:szCs w:val="48"/>
        </w:rPr>
      </w:pPr>
    </w:p>
    <w:p>
      <w:pPr>
        <w:rPr>
          <w:rFonts w:cs="宋体"/>
          <w:color w:val="auto"/>
          <w:sz w:val="24"/>
        </w:rPr>
      </w:pPr>
    </w:p>
    <w:p>
      <w:pPr>
        <w:spacing w:line="360" w:lineRule="auto"/>
        <w:jc w:val="center"/>
        <w:rPr>
          <w:rFonts w:cs="宋体"/>
          <w:b/>
          <w:bCs/>
          <w:color w:val="auto"/>
          <w:sz w:val="52"/>
          <w:szCs w:val="52"/>
        </w:rPr>
      </w:pPr>
      <w:r>
        <w:rPr>
          <w:rFonts w:hint="eastAsia" w:cs="宋体"/>
          <w:b/>
          <w:bCs/>
          <w:color w:val="auto"/>
          <w:sz w:val="52"/>
          <w:szCs w:val="52"/>
        </w:rPr>
        <w:t>服 务 合 同</w:t>
      </w:r>
    </w:p>
    <w:p>
      <w:pPr>
        <w:jc w:val="center"/>
        <w:rPr>
          <w:rFonts w:cs="宋体"/>
          <w:b/>
          <w:color w:val="auto"/>
          <w:sz w:val="48"/>
          <w:szCs w:val="48"/>
        </w:rPr>
      </w:pPr>
    </w:p>
    <w:p>
      <w:pPr>
        <w:jc w:val="center"/>
        <w:rPr>
          <w:rFonts w:cs="宋体"/>
          <w:b/>
          <w:color w:val="auto"/>
          <w:sz w:val="48"/>
          <w:szCs w:val="48"/>
        </w:rPr>
      </w:pPr>
    </w:p>
    <w:p>
      <w:pPr>
        <w:jc w:val="center"/>
        <w:rPr>
          <w:rFonts w:cs="宋体"/>
          <w:b/>
          <w:bCs/>
          <w:color w:val="auto"/>
          <w:sz w:val="44"/>
          <w:szCs w:val="44"/>
        </w:rPr>
      </w:pPr>
      <w:r>
        <w:rPr>
          <w:rFonts w:hint="eastAsia" w:cs="宋体"/>
          <w:b/>
          <w:color w:val="auto"/>
          <w:sz w:val="48"/>
          <w:szCs w:val="48"/>
        </w:rPr>
        <w:t>（示范文本）</w:t>
      </w:r>
    </w:p>
    <w:p>
      <w:pPr>
        <w:jc w:val="left"/>
        <w:rPr>
          <w:rFonts w:cs="宋体"/>
          <w:color w:val="auto"/>
          <w:sz w:val="32"/>
          <w:szCs w:val="32"/>
        </w:rPr>
      </w:pPr>
    </w:p>
    <w:p>
      <w:pPr>
        <w:jc w:val="center"/>
        <w:rPr>
          <w:rFonts w:cs="宋体"/>
          <w:color w:val="auto"/>
          <w:sz w:val="28"/>
          <w:szCs w:val="32"/>
        </w:rPr>
      </w:pPr>
      <w:r>
        <w:rPr>
          <w:rFonts w:hint="eastAsia" w:cs="宋体"/>
          <w:color w:val="auto"/>
          <w:sz w:val="28"/>
          <w:szCs w:val="32"/>
        </w:rPr>
        <w:t>成交供应商和采购人也可根据项目特点自行拟定合同条款。</w:t>
      </w:r>
    </w:p>
    <w:p>
      <w:pPr>
        <w:jc w:val="center"/>
        <w:rPr>
          <w:rFonts w:cs="宋体"/>
          <w:color w:val="auto"/>
          <w:sz w:val="44"/>
          <w:szCs w:val="44"/>
        </w:rPr>
      </w:pPr>
    </w:p>
    <w:p>
      <w:pPr>
        <w:rPr>
          <w:rFonts w:cs="宋体"/>
          <w:b/>
          <w:color w:val="auto"/>
          <w:sz w:val="48"/>
          <w:szCs w:val="48"/>
        </w:rPr>
      </w:pPr>
    </w:p>
    <w:p>
      <w:pPr>
        <w:spacing w:line="300" w:lineRule="auto"/>
        <w:ind w:firstLine="420" w:firstLineChars="200"/>
        <w:rPr>
          <w:rFonts w:cs="宋体"/>
          <w:color w:val="auto"/>
          <w:kern w:val="2"/>
          <w:szCs w:val="24"/>
        </w:rPr>
      </w:pPr>
    </w:p>
    <w:p>
      <w:pPr>
        <w:spacing w:line="360" w:lineRule="auto"/>
        <w:jc w:val="center"/>
        <w:rPr>
          <w:rFonts w:cs="宋体"/>
          <w:b/>
          <w:bCs/>
          <w:color w:val="auto"/>
          <w:sz w:val="24"/>
          <w:szCs w:val="24"/>
        </w:rPr>
      </w:pPr>
      <w:r>
        <w:rPr>
          <w:rFonts w:hint="eastAsia" w:cs="宋体"/>
          <w:b/>
          <w:bCs/>
          <w:color w:val="auto"/>
          <w:sz w:val="32"/>
          <w:szCs w:val="24"/>
        </w:rPr>
        <w:br w:type="page"/>
      </w:r>
      <w:r>
        <w:rPr>
          <w:rFonts w:hint="eastAsia" w:cs="宋体"/>
          <w:b/>
          <w:bCs/>
          <w:color w:val="auto"/>
          <w:sz w:val="32"/>
          <w:szCs w:val="24"/>
        </w:rPr>
        <w:t>第一部分  协议书</w:t>
      </w:r>
    </w:p>
    <w:p>
      <w:pPr>
        <w:adjustRightInd w:val="0"/>
        <w:snapToGrid w:val="0"/>
        <w:spacing w:line="360" w:lineRule="auto"/>
        <w:ind w:firstLine="482" w:firstLineChars="200"/>
        <w:rPr>
          <w:rFonts w:cs="宋体"/>
          <w:b/>
          <w:color w:val="auto"/>
          <w:sz w:val="24"/>
        </w:rPr>
      </w:pPr>
      <w:r>
        <w:rPr>
          <w:rFonts w:hint="eastAsia" w:cs="宋体"/>
          <w:b/>
          <w:color w:val="auto"/>
          <w:sz w:val="24"/>
        </w:rPr>
        <w:t>采购人（全称）：</w:t>
      </w:r>
      <w:r>
        <w:rPr>
          <w:rFonts w:hint="eastAsia" w:cs="宋体"/>
          <w:b/>
          <w:color w:val="auto"/>
          <w:sz w:val="24"/>
          <w:u w:val="single"/>
        </w:rPr>
        <w:t xml:space="preserve">                                          </w:t>
      </w:r>
    </w:p>
    <w:p>
      <w:pPr>
        <w:adjustRightInd w:val="0"/>
        <w:snapToGrid w:val="0"/>
        <w:spacing w:line="360" w:lineRule="auto"/>
        <w:ind w:firstLine="482" w:firstLineChars="200"/>
        <w:rPr>
          <w:rFonts w:cs="宋体"/>
          <w:color w:val="auto"/>
          <w:sz w:val="24"/>
          <w:u w:val="single"/>
        </w:rPr>
      </w:pPr>
      <w:r>
        <w:rPr>
          <w:rFonts w:hint="eastAsia" w:cs="宋体"/>
          <w:b/>
          <w:color w:val="auto"/>
          <w:sz w:val="24"/>
        </w:rPr>
        <w:t>供应商（全称）：</w:t>
      </w:r>
      <w:r>
        <w:rPr>
          <w:rFonts w:hint="eastAsia" w:cs="宋体"/>
          <w:b/>
          <w:color w:val="auto"/>
          <w:sz w:val="24"/>
          <w:u w:val="single"/>
        </w:rPr>
        <w:t xml:space="preserve">                                       </w:t>
      </w:r>
      <w:r>
        <w:rPr>
          <w:rFonts w:hint="eastAsia" w:cs="宋体"/>
          <w:color w:val="auto"/>
          <w:sz w:val="24"/>
          <w:u w:val="single"/>
        </w:rPr>
        <w:t xml:space="preserve">   </w:t>
      </w:r>
    </w:p>
    <w:p>
      <w:pPr>
        <w:adjustRightInd w:val="0"/>
        <w:snapToGrid w:val="0"/>
        <w:spacing w:line="360" w:lineRule="auto"/>
        <w:ind w:firstLine="480" w:firstLineChars="200"/>
        <w:rPr>
          <w:rFonts w:cs="宋体"/>
          <w:color w:val="auto"/>
          <w:sz w:val="24"/>
          <w:u w:val="single"/>
        </w:rPr>
      </w:pPr>
      <w:r>
        <w:rPr>
          <w:rFonts w:hint="eastAsia" w:cs="宋体"/>
          <w:color w:val="auto"/>
          <w:sz w:val="24"/>
        </w:rPr>
        <w:t>根据《中华人民共和国</w:t>
      </w:r>
      <w:r>
        <w:rPr>
          <w:rFonts w:hint="eastAsia" w:cs="宋体"/>
          <w:color w:val="auto"/>
          <w:sz w:val="24"/>
          <w:szCs w:val="24"/>
        </w:rPr>
        <w:t>民法典</w:t>
      </w:r>
      <w:r>
        <w:rPr>
          <w:rFonts w:hint="eastAsia" w:cs="宋体"/>
          <w:color w:val="auto"/>
          <w:sz w:val="24"/>
        </w:rPr>
        <w:t>》及其他有关法律、法规，遵循平等、自愿、公平和诚信的原则，双方就下述项目范围与相关服务事项协商一致，订立本合同。</w:t>
      </w:r>
    </w:p>
    <w:p>
      <w:pPr>
        <w:spacing w:line="360" w:lineRule="auto"/>
        <w:rPr>
          <w:rFonts w:cs="宋体"/>
          <w:b/>
          <w:color w:val="auto"/>
          <w:sz w:val="24"/>
        </w:rPr>
      </w:pPr>
      <w:r>
        <w:rPr>
          <w:rFonts w:hint="eastAsia" w:cs="宋体"/>
          <w:b/>
          <w:color w:val="auto"/>
          <w:sz w:val="24"/>
        </w:rPr>
        <w:t>一、项目概况</w:t>
      </w:r>
    </w:p>
    <w:p>
      <w:pPr>
        <w:adjustRightInd w:val="0"/>
        <w:snapToGrid w:val="0"/>
        <w:spacing w:line="360" w:lineRule="auto"/>
        <w:ind w:firstLine="475" w:firstLineChars="198"/>
        <w:rPr>
          <w:rFonts w:cs="宋体"/>
          <w:color w:val="auto"/>
          <w:sz w:val="24"/>
        </w:rPr>
      </w:pPr>
      <w:r>
        <w:rPr>
          <w:rFonts w:hint="eastAsia" w:cs="宋体"/>
          <w:color w:val="auto"/>
          <w:sz w:val="24"/>
        </w:rPr>
        <w:t>1.项目名称：</w:t>
      </w:r>
      <w:r>
        <w:rPr>
          <w:rFonts w:hint="eastAsia" w:cs="宋体"/>
          <w:color w:val="auto"/>
          <w:sz w:val="24"/>
          <w:u w:val="single"/>
        </w:rPr>
        <w:t xml:space="preserve">                                              </w:t>
      </w:r>
    </w:p>
    <w:p>
      <w:pPr>
        <w:adjustRightInd w:val="0"/>
        <w:snapToGrid w:val="0"/>
        <w:spacing w:line="360" w:lineRule="auto"/>
        <w:ind w:firstLine="475" w:firstLineChars="198"/>
        <w:rPr>
          <w:rFonts w:cs="宋体"/>
          <w:color w:val="auto"/>
          <w:sz w:val="24"/>
          <w:u w:val="single"/>
        </w:rPr>
      </w:pPr>
      <w:r>
        <w:rPr>
          <w:rFonts w:hint="eastAsia" w:cs="宋体"/>
          <w:color w:val="auto"/>
          <w:sz w:val="24"/>
        </w:rPr>
        <w:t>2.项目地点：</w:t>
      </w:r>
      <w:r>
        <w:rPr>
          <w:rFonts w:hint="eastAsia" w:cs="宋体"/>
          <w:color w:val="auto"/>
          <w:sz w:val="24"/>
          <w:u w:val="single"/>
        </w:rPr>
        <w:t xml:space="preserve">                                              </w:t>
      </w:r>
    </w:p>
    <w:p>
      <w:pPr>
        <w:adjustRightInd w:val="0"/>
        <w:snapToGrid w:val="0"/>
        <w:spacing w:line="360" w:lineRule="auto"/>
        <w:ind w:firstLine="475" w:firstLineChars="198"/>
        <w:jc w:val="left"/>
        <w:rPr>
          <w:rFonts w:cs="宋体"/>
          <w:color w:val="auto"/>
          <w:sz w:val="24"/>
          <w:szCs w:val="24"/>
        </w:rPr>
      </w:pPr>
      <w:r>
        <w:rPr>
          <w:rFonts w:hint="eastAsia" w:cs="宋体"/>
          <w:color w:val="auto"/>
          <w:sz w:val="24"/>
          <w:szCs w:val="24"/>
        </w:rPr>
        <w:t>3.项目内容：</w:t>
      </w:r>
      <w:r>
        <w:rPr>
          <w:rFonts w:hint="eastAsia" w:cs="宋体"/>
          <w:color w:val="auto"/>
          <w:sz w:val="24"/>
          <w:szCs w:val="24"/>
          <w:u w:val="single"/>
        </w:rPr>
        <w:t xml:space="preserve">                                              </w:t>
      </w:r>
    </w:p>
    <w:p>
      <w:pPr>
        <w:spacing w:line="360" w:lineRule="auto"/>
        <w:rPr>
          <w:rFonts w:cs="宋体"/>
          <w:b/>
          <w:color w:val="auto"/>
          <w:sz w:val="24"/>
        </w:rPr>
      </w:pPr>
      <w:r>
        <w:rPr>
          <w:rFonts w:hint="eastAsia" w:cs="宋体"/>
          <w:b/>
          <w:color w:val="auto"/>
          <w:sz w:val="24"/>
        </w:rPr>
        <w:t>二、组成本合同的文件</w:t>
      </w:r>
    </w:p>
    <w:p>
      <w:pPr>
        <w:adjustRightInd w:val="0"/>
        <w:snapToGrid w:val="0"/>
        <w:spacing w:line="360" w:lineRule="auto"/>
        <w:ind w:firstLine="475" w:firstLineChars="198"/>
        <w:rPr>
          <w:rFonts w:cs="宋体"/>
          <w:color w:val="auto"/>
          <w:sz w:val="24"/>
        </w:rPr>
      </w:pPr>
      <w:r>
        <w:rPr>
          <w:rFonts w:hint="eastAsia" w:cs="宋体"/>
          <w:color w:val="auto"/>
          <w:sz w:val="24"/>
        </w:rPr>
        <w:t>1. 协议书；</w:t>
      </w:r>
    </w:p>
    <w:p>
      <w:pPr>
        <w:adjustRightInd w:val="0"/>
        <w:snapToGrid w:val="0"/>
        <w:spacing w:line="360" w:lineRule="auto"/>
        <w:ind w:firstLine="475" w:firstLineChars="198"/>
        <w:rPr>
          <w:rFonts w:cs="宋体"/>
          <w:color w:val="auto"/>
          <w:sz w:val="24"/>
        </w:rPr>
      </w:pPr>
      <w:r>
        <w:rPr>
          <w:rFonts w:hint="eastAsia" w:cs="宋体"/>
          <w:color w:val="auto"/>
          <w:sz w:val="24"/>
        </w:rPr>
        <w:t>2. 中标通知书、投标文件、招标文件、澄清、补充文件（或委托书）；</w:t>
      </w:r>
    </w:p>
    <w:p>
      <w:pPr>
        <w:adjustRightInd w:val="0"/>
        <w:snapToGrid w:val="0"/>
        <w:spacing w:line="360" w:lineRule="auto"/>
        <w:ind w:firstLine="480" w:firstLineChars="200"/>
        <w:rPr>
          <w:rFonts w:cs="宋体"/>
          <w:color w:val="auto"/>
          <w:sz w:val="24"/>
        </w:rPr>
      </w:pPr>
      <w:r>
        <w:rPr>
          <w:rFonts w:hint="eastAsia" w:cs="宋体"/>
          <w:color w:val="auto"/>
          <w:sz w:val="24"/>
        </w:rPr>
        <w:t>3.相关服务建议书；</w:t>
      </w:r>
    </w:p>
    <w:p>
      <w:pPr>
        <w:adjustRightInd w:val="0"/>
        <w:snapToGrid w:val="0"/>
        <w:spacing w:line="360" w:lineRule="auto"/>
        <w:rPr>
          <w:rFonts w:cs="宋体"/>
          <w:color w:val="auto"/>
          <w:sz w:val="24"/>
        </w:rPr>
      </w:pPr>
      <w:r>
        <w:rPr>
          <w:rFonts w:hint="eastAsia" w:cs="宋体"/>
          <w:color w:val="auto"/>
          <w:sz w:val="24"/>
        </w:rPr>
        <w:t xml:space="preserve">    4. 附录，即：附表内相关服务的范围和内容；</w:t>
      </w:r>
    </w:p>
    <w:p>
      <w:pPr>
        <w:adjustRightInd w:val="0"/>
        <w:snapToGrid w:val="0"/>
        <w:spacing w:line="360" w:lineRule="auto"/>
        <w:ind w:firstLine="475" w:firstLineChars="198"/>
        <w:rPr>
          <w:rFonts w:cs="宋体"/>
          <w:color w:val="auto"/>
          <w:sz w:val="24"/>
        </w:rPr>
      </w:pPr>
      <w:r>
        <w:rPr>
          <w:rFonts w:hint="eastAsia" w:cs="宋体"/>
          <w:color w:val="auto"/>
          <w:sz w:val="24"/>
        </w:rPr>
        <w:t>本合同签订后，双方依法签订的补充协议也是本合同文件的组成部分。</w:t>
      </w:r>
    </w:p>
    <w:p>
      <w:pPr>
        <w:spacing w:line="360" w:lineRule="auto"/>
        <w:rPr>
          <w:rFonts w:cs="宋体"/>
          <w:b/>
          <w:color w:val="auto"/>
          <w:sz w:val="24"/>
        </w:rPr>
      </w:pPr>
      <w:r>
        <w:rPr>
          <w:rFonts w:hint="eastAsia" w:cs="宋体"/>
          <w:b/>
          <w:color w:val="auto"/>
          <w:sz w:val="24"/>
        </w:rPr>
        <w:t>三、合同价款</w:t>
      </w:r>
    </w:p>
    <w:p>
      <w:pPr>
        <w:adjustRightInd w:val="0"/>
        <w:snapToGrid w:val="0"/>
        <w:spacing w:line="360" w:lineRule="auto"/>
        <w:ind w:firstLine="475" w:firstLineChars="198"/>
        <w:rPr>
          <w:rFonts w:cs="宋体"/>
          <w:color w:val="auto"/>
          <w:sz w:val="24"/>
        </w:rPr>
      </w:pPr>
      <w:r>
        <w:rPr>
          <w:rFonts w:hint="eastAsia" w:cs="宋体"/>
          <w:color w:val="auto"/>
          <w:sz w:val="24"/>
        </w:rPr>
        <w:t>1.合同金额（大写）：</w:t>
      </w:r>
      <w:r>
        <w:rPr>
          <w:rFonts w:hint="eastAsia" w:cs="宋体"/>
          <w:color w:val="auto"/>
          <w:sz w:val="24"/>
          <w:u w:val="single"/>
        </w:rPr>
        <w:t xml:space="preserve">                            </w:t>
      </w:r>
      <w:r>
        <w:rPr>
          <w:rFonts w:hint="eastAsia" w:cs="宋体"/>
          <w:color w:val="auto"/>
          <w:sz w:val="24"/>
        </w:rPr>
        <w:t>（¥        ）。</w:t>
      </w:r>
    </w:p>
    <w:p>
      <w:pPr>
        <w:adjustRightInd w:val="0"/>
        <w:snapToGrid w:val="0"/>
        <w:spacing w:line="360" w:lineRule="auto"/>
        <w:ind w:firstLine="475" w:firstLineChars="198"/>
        <w:rPr>
          <w:rFonts w:cs="宋体"/>
          <w:color w:val="auto"/>
          <w:sz w:val="24"/>
          <w:szCs w:val="24"/>
        </w:rPr>
      </w:pPr>
      <w:r>
        <w:rPr>
          <w:rFonts w:hint="eastAsia" w:cs="宋体"/>
          <w:color w:val="auto"/>
          <w:sz w:val="24"/>
        </w:rPr>
        <w:t>2.</w:t>
      </w:r>
      <w:r>
        <w:rPr>
          <w:rFonts w:hint="eastAsia" w:cs="宋体"/>
          <w:color w:val="auto"/>
          <w:sz w:val="24"/>
          <w:szCs w:val="24"/>
        </w:rPr>
        <w:t>合同总价即成交价，不受市场价变化或实际工作量变化的影响。</w:t>
      </w:r>
    </w:p>
    <w:p>
      <w:pPr>
        <w:adjustRightInd w:val="0"/>
        <w:snapToGrid w:val="0"/>
        <w:spacing w:line="360" w:lineRule="auto"/>
        <w:rPr>
          <w:rFonts w:cs="宋体"/>
          <w:b/>
          <w:color w:val="auto"/>
          <w:sz w:val="24"/>
          <w:szCs w:val="24"/>
        </w:rPr>
      </w:pPr>
      <w:r>
        <w:rPr>
          <w:rFonts w:hint="eastAsia" w:cs="宋体"/>
          <w:b/>
          <w:color w:val="auto"/>
          <w:sz w:val="24"/>
          <w:szCs w:val="24"/>
        </w:rPr>
        <w:t>四、项目实施地点、服务期：</w:t>
      </w:r>
      <w:r>
        <w:rPr>
          <w:rFonts w:hint="eastAsia" w:cs="宋体"/>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五、付款方式：</w:t>
      </w:r>
      <w:r>
        <w:rPr>
          <w:rFonts w:hint="eastAsia" w:cs="宋体"/>
          <w:color w:val="auto"/>
          <w:sz w:val="24"/>
          <w:szCs w:val="24"/>
        </w:rPr>
        <w:t xml:space="preserve"> </w:t>
      </w:r>
    </w:p>
    <w:p>
      <w:pPr>
        <w:adjustRightInd w:val="0"/>
        <w:snapToGrid w:val="0"/>
        <w:spacing w:line="360" w:lineRule="auto"/>
        <w:rPr>
          <w:rFonts w:cs="宋体"/>
          <w:bCs/>
          <w:color w:val="auto"/>
          <w:sz w:val="24"/>
          <w:szCs w:val="24"/>
        </w:rPr>
      </w:pPr>
      <w:r>
        <w:rPr>
          <w:rFonts w:hint="eastAsia" w:cs="宋体"/>
          <w:b/>
          <w:color w:val="auto"/>
          <w:sz w:val="24"/>
          <w:szCs w:val="24"/>
        </w:rPr>
        <w:t>六、质量保证：</w:t>
      </w:r>
      <w:r>
        <w:rPr>
          <w:rFonts w:hint="eastAsia" w:cs="宋体"/>
          <w:bCs/>
          <w:color w:val="auto"/>
          <w:sz w:val="24"/>
          <w:szCs w:val="24"/>
        </w:rPr>
        <w:t xml:space="preserve"> </w:t>
      </w:r>
    </w:p>
    <w:p>
      <w:pPr>
        <w:spacing w:line="360" w:lineRule="auto"/>
        <w:rPr>
          <w:rFonts w:cs="宋体"/>
          <w:b/>
          <w:color w:val="auto"/>
          <w:sz w:val="24"/>
          <w:szCs w:val="24"/>
        </w:rPr>
      </w:pPr>
      <w:r>
        <w:rPr>
          <w:rFonts w:hint="eastAsia" w:cs="宋体"/>
          <w:b/>
          <w:color w:val="auto"/>
          <w:sz w:val="24"/>
          <w:szCs w:val="24"/>
        </w:rPr>
        <w:t xml:space="preserve">七、知识产权 </w:t>
      </w:r>
    </w:p>
    <w:p>
      <w:pPr>
        <w:spacing w:line="360" w:lineRule="auto"/>
        <w:rPr>
          <w:rFonts w:cs="宋体"/>
          <w:b/>
          <w:color w:val="auto"/>
          <w:sz w:val="24"/>
          <w:szCs w:val="24"/>
        </w:rPr>
      </w:pPr>
      <w:r>
        <w:rPr>
          <w:rFonts w:hint="eastAsia" w:cs="宋体"/>
          <w:b/>
          <w:color w:val="auto"/>
          <w:sz w:val="24"/>
          <w:szCs w:val="24"/>
        </w:rPr>
        <w:t>八、违约责任：</w:t>
      </w:r>
      <w:r>
        <w:rPr>
          <w:rFonts w:hint="eastAsia" w:cs="宋体"/>
          <w:bCs/>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九、考核验收：</w:t>
      </w:r>
      <w:r>
        <w:rPr>
          <w:rFonts w:hint="eastAsia" w:cs="宋体"/>
          <w:bCs/>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十、政府采购合同：</w:t>
      </w:r>
    </w:p>
    <w:p>
      <w:pPr>
        <w:spacing w:line="360" w:lineRule="auto"/>
        <w:rPr>
          <w:rFonts w:cs="宋体"/>
          <w:b/>
          <w:color w:val="auto"/>
          <w:sz w:val="24"/>
          <w:szCs w:val="24"/>
        </w:rPr>
      </w:pPr>
      <w:r>
        <w:rPr>
          <w:rFonts w:hint="eastAsia" w:cs="宋体"/>
          <w:b/>
          <w:color w:val="auto"/>
          <w:sz w:val="24"/>
          <w:szCs w:val="24"/>
        </w:rPr>
        <w:t>十一、合同争议的解决</w:t>
      </w:r>
    </w:p>
    <w:p>
      <w:pPr>
        <w:spacing w:line="360" w:lineRule="auto"/>
        <w:ind w:firstLine="480" w:firstLineChars="200"/>
        <w:rPr>
          <w:rFonts w:cs="宋体"/>
          <w:color w:val="auto"/>
          <w:sz w:val="24"/>
          <w:szCs w:val="24"/>
        </w:rPr>
      </w:pPr>
      <w:r>
        <w:rPr>
          <w:rFonts w:hint="eastAsia" w:cs="宋体"/>
          <w:color w:val="auto"/>
          <w:sz w:val="24"/>
        </w:rPr>
        <w:t>合同执行中发生争议的，当事人双方应协商解决，协商达不成一致时，可向采购人所在地人民法院提请诉讼。</w:t>
      </w:r>
    </w:p>
    <w:p>
      <w:pPr>
        <w:spacing w:line="360" w:lineRule="auto"/>
        <w:jc w:val="left"/>
        <w:rPr>
          <w:rFonts w:cs="宋体"/>
          <w:b/>
          <w:bCs/>
          <w:color w:val="auto"/>
          <w:sz w:val="24"/>
          <w:szCs w:val="24"/>
        </w:rPr>
      </w:pPr>
      <w:r>
        <w:rPr>
          <w:rFonts w:hint="eastAsia" w:cs="宋体"/>
          <w:b/>
          <w:bCs/>
          <w:color w:val="auto"/>
          <w:sz w:val="24"/>
          <w:szCs w:val="24"/>
        </w:rPr>
        <w:t>十二、不可抗力情况下的免责约定</w:t>
      </w:r>
    </w:p>
    <w:p>
      <w:pPr>
        <w:spacing w:line="360" w:lineRule="auto"/>
        <w:jc w:val="left"/>
        <w:rPr>
          <w:rFonts w:cs="宋体"/>
          <w:color w:val="auto"/>
          <w:sz w:val="24"/>
          <w:szCs w:val="24"/>
        </w:rPr>
      </w:pPr>
      <w:r>
        <w:rPr>
          <w:rFonts w:hint="eastAsia" w:cs="宋体"/>
          <w:color w:val="auto"/>
          <w:sz w:val="24"/>
          <w:szCs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cs="宋体"/>
          <w:color w:val="auto"/>
          <w:sz w:val="24"/>
          <w:szCs w:val="24"/>
        </w:rPr>
      </w:pPr>
      <w:r>
        <w:rPr>
          <w:rFonts w:hint="eastAsia" w:cs="宋体"/>
          <w:b/>
          <w:color w:val="auto"/>
          <w:sz w:val="24"/>
          <w:szCs w:val="24"/>
        </w:rPr>
        <w:t>十三、其他（</w:t>
      </w:r>
      <w:r>
        <w:rPr>
          <w:rFonts w:hint="eastAsia" w:cs="宋体"/>
          <w:color w:val="auto"/>
          <w:sz w:val="24"/>
          <w:szCs w:val="24"/>
        </w:rPr>
        <w:t>在合同中具体明确）</w:t>
      </w:r>
    </w:p>
    <w:p>
      <w:pPr>
        <w:spacing w:line="360" w:lineRule="auto"/>
        <w:rPr>
          <w:rFonts w:cs="宋体"/>
          <w:b/>
          <w:color w:val="auto"/>
          <w:sz w:val="24"/>
        </w:rPr>
      </w:pPr>
      <w:r>
        <w:rPr>
          <w:rFonts w:hint="eastAsia" w:cs="宋体"/>
          <w:b/>
          <w:color w:val="auto"/>
          <w:sz w:val="24"/>
        </w:rPr>
        <w:t>十四、合同订立</w:t>
      </w:r>
    </w:p>
    <w:p>
      <w:pPr>
        <w:adjustRightInd w:val="0"/>
        <w:snapToGrid w:val="0"/>
        <w:spacing w:line="360" w:lineRule="auto"/>
        <w:ind w:firstLine="475" w:firstLineChars="198"/>
        <w:rPr>
          <w:rFonts w:cs="宋体"/>
          <w:color w:val="auto"/>
          <w:sz w:val="24"/>
        </w:rPr>
      </w:pPr>
      <w:r>
        <w:rPr>
          <w:rFonts w:hint="eastAsia" w:cs="宋体"/>
          <w:color w:val="auto"/>
          <w:sz w:val="24"/>
        </w:rPr>
        <w:t>1. 订立时间：</w:t>
      </w:r>
      <w:r>
        <w:rPr>
          <w:rFonts w:hint="eastAsia" w:cs="宋体"/>
          <w:color w:val="auto"/>
          <w:sz w:val="24"/>
          <w:u w:val="single"/>
        </w:rPr>
        <w:t xml:space="preserve">          </w:t>
      </w:r>
      <w:r>
        <w:rPr>
          <w:rFonts w:hint="eastAsia" w:cs="宋体"/>
          <w:color w:val="auto"/>
          <w:sz w:val="24"/>
        </w:rPr>
        <w:t>年</w:t>
      </w:r>
      <w:r>
        <w:rPr>
          <w:rFonts w:hint="eastAsia" w:cs="宋体"/>
          <w:color w:val="auto"/>
          <w:sz w:val="24"/>
          <w:u w:val="single"/>
        </w:rPr>
        <w:t xml:space="preserve">       </w:t>
      </w:r>
      <w:r>
        <w:rPr>
          <w:rFonts w:hint="eastAsia" w:cs="宋体"/>
          <w:color w:val="auto"/>
          <w:sz w:val="24"/>
        </w:rPr>
        <w:t>月</w:t>
      </w:r>
      <w:r>
        <w:rPr>
          <w:rFonts w:hint="eastAsia" w:cs="宋体"/>
          <w:color w:val="auto"/>
          <w:sz w:val="24"/>
          <w:u w:val="single"/>
        </w:rPr>
        <w:t xml:space="preserve">      </w:t>
      </w:r>
      <w:r>
        <w:rPr>
          <w:rFonts w:hint="eastAsia" w:cs="宋体"/>
          <w:color w:val="auto"/>
          <w:sz w:val="24"/>
        </w:rPr>
        <w:t>日。</w:t>
      </w:r>
    </w:p>
    <w:p>
      <w:pPr>
        <w:adjustRightInd w:val="0"/>
        <w:snapToGrid w:val="0"/>
        <w:spacing w:line="360" w:lineRule="auto"/>
        <w:ind w:firstLine="475" w:firstLineChars="198"/>
        <w:rPr>
          <w:rFonts w:cs="宋体"/>
          <w:color w:val="auto"/>
          <w:sz w:val="24"/>
        </w:rPr>
      </w:pPr>
      <w:r>
        <w:rPr>
          <w:rFonts w:hint="eastAsia" w:cs="宋体"/>
          <w:color w:val="auto"/>
          <w:sz w:val="24"/>
        </w:rPr>
        <w:t>2. 订立地点：</w:t>
      </w:r>
      <w:r>
        <w:rPr>
          <w:rFonts w:hint="eastAsia" w:cs="宋体"/>
          <w:color w:val="auto"/>
          <w:sz w:val="24"/>
          <w:u w:val="single"/>
        </w:rPr>
        <w:t xml:space="preserve">                                 </w:t>
      </w:r>
      <w:r>
        <w:rPr>
          <w:rFonts w:hint="eastAsia" w:cs="宋体"/>
          <w:color w:val="auto"/>
          <w:sz w:val="24"/>
        </w:rPr>
        <w:t>。</w:t>
      </w:r>
    </w:p>
    <w:p>
      <w:pPr>
        <w:tabs>
          <w:tab w:val="left" w:pos="980"/>
        </w:tabs>
        <w:kinsoku w:val="0"/>
        <w:spacing w:line="360" w:lineRule="auto"/>
        <w:ind w:firstLine="480" w:firstLineChars="200"/>
        <w:rPr>
          <w:rFonts w:cs="宋体"/>
          <w:color w:val="auto"/>
          <w:sz w:val="24"/>
        </w:rPr>
      </w:pPr>
      <w:r>
        <w:rPr>
          <w:rFonts w:hint="eastAsia" w:cs="宋体"/>
          <w:color w:val="auto"/>
          <w:sz w:val="24"/>
        </w:rPr>
        <w:t>3. 本合同一式</w:t>
      </w:r>
      <w:r>
        <w:rPr>
          <w:rFonts w:hint="eastAsia" w:cs="宋体"/>
          <w:color w:val="auto"/>
          <w:sz w:val="24"/>
          <w:u w:val="single"/>
        </w:rPr>
        <w:t xml:space="preserve"> 陆 </w:t>
      </w:r>
      <w:r>
        <w:rPr>
          <w:rFonts w:hint="eastAsia" w:cs="宋体"/>
          <w:color w:val="auto"/>
          <w:sz w:val="24"/>
        </w:rPr>
        <w:t>份，具有同等法律效力，双方各执</w:t>
      </w:r>
      <w:r>
        <w:rPr>
          <w:rFonts w:hint="eastAsia" w:cs="宋体"/>
          <w:color w:val="auto"/>
          <w:sz w:val="24"/>
          <w:u w:val="single"/>
        </w:rPr>
        <w:t xml:space="preserve"> 贰 </w:t>
      </w:r>
      <w:r>
        <w:rPr>
          <w:rFonts w:hint="eastAsia" w:cs="宋体"/>
          <w:color w:val="auto"/>
          <w:sz w:val="24"/>
        </w:rPr>
        <w:t>份，监管部门备案</w:t>
      </w:r>
      <w:r>
        <w:rPr>
          <w:rFonts w:hint="eastAsia" w:cs="宋体"/>
          <w:color w:val="auto"/>
          <w:sz w:val="24"/>
          <w:u w:val="single"/>
        </w:rPr>
        <w:t xml:space="preserve"> 壹 </w:t>
      </w:r>
      <w:r>
        <w:rPr>
          <w:rFonts w:hint="eastAsia" w:cs="宋体"/>
          <w:color w:val="auto"/>
          <w:sz w:val="24"/>
        </w:rPr>
        <w:t>份、招标代理机构存档</w:t>
      </w:r>
      <w:r>
        <w:rPr>
          <w:rFonts w:hint="eastAsia" w:cs="宋体"/>
          <w:color w:val="auto"/>
          <w:sz w:val="24"/>
          <w:u w:val="single"/>
        </w:rPr>
        <w:t xml:space="preserve"> 壹 </w:t>
      </w:r>
      <w:r>
        <w:rPr>
          <w:rFonts w:hint="eastAsia" w:cs="宋体"/>
          <w:color w:val="auto"/>
          <w:sz w:val="24"/>
        </w:rPr>
        <w:t>份。各方签字盖章后生效，合同执行完毕自动失效。（合同的服务承诺则长期有效）。</w:t>
      </w:r>
    </w:p>
    <w:p>
      <w:pPr>
        <w:ind w:firstLine="480" w:firstLineChars="200"/>
        <w:rPr>
          <w:rFonts w:cs="宋体"/>
          <w:color w:val="auto"/>
          <w:sz w:val="24"/>
        </w:rPr>
      </w:pPr>
    </w:p>
    <w:p>
      <w:pPr>
        <w:ind w:firstLine="480" w:firstLineChars="200"/>
        <w:rPr>
          <w:rFonts w:cs="宋体"/>
          <w:color w:val="auto"/>
          <w:sz w:val="24"/>
        </w:rPr>
      </w:pPr>
    </w:p>
    <w:p>
      <w:pPr>
        <w:tabs>
          <w:tab w:val="left" w:pos="480"/>
        </w:tabs>
        <w:spacing w:line="360" w:lineRule="auto"/>
        <w:rPr>
          <w:rFonts w:cs="宋体"/>
          <w:b/>
          <w:color w:val="auto"/>
          <w:sz w:val="24"/>
        </w:rPr>
      </w:pPr>
      <w:r>
        <w:rPr>
          <w:rFonts w:hint="eastAsia" w:cs="宋体"/>
          <w:b/>
          <w:color w:val="auto"/>
          <w:sz w:val="24"/>
        </w:rPr>
        <w:t>甲  方（公章）</w:t>
      </w:r>
      <w:r>
        <w:rPr>
          <w:rFonts w:hint="eastAsia" w:cs="宋体"/>
          <w:color w:val="auto"/>
          <w:sz w:val="24"/>
        </w:rPr>
        <w:t xml:space="preserve">                               </w:t>
      </w:r>
      <w:r>
        <w:rPr>
          <w:rFonts w:hint="eastAsia" w:cs="宋体"/>
          <w:b/>
          <w:color w:val="auto"/>
          <w:sz w:val="24"/>
        </w:rPr>
        <w:t xml:space="preserve">乙  方（公章）            </w:t>
      </w:r>
    </w:p>
    <w:p>
      <w:pPr>
        <w:tabs>
          <w:tab w:val="left" w:pos="480"/>
        </w:tabs>
        <w:spacing w:line="360" w:lineRule="auto"/>
        <w:rPr>
          <w:rFonts w:cs="宋体"/>
          <w:color w:val="auto"/>
          <w:sz w:val="24"/>
        </w:rPr>
      </w:pPr>
      <w:r>
        <w:rPr>
          <w:rFonts w:hint="eastAsia" w:cs="宋体"/>
          <w:color w:val="auto"/>
          <w:sz w:val="24"/>
        </w:rPr>
        <w:t xml:space="preserve">单位名称：                                   单位名称：                </w:t>
      </w:r>
    </w:p>
    <w:p>
      <w:pPr>
        <w:tabs>
          <w:tab w:val="left" w:pos="480"/>
        </w:tabs>
        <w:spacing w:line="360" w:lineRule="auto"/>
        <w:rPr>
          <w:rFonts w:cs="宋体"/>
          <w:color w:val="auto"/>
          <w:sz w:val="24"/>
        </w:rPr>
      </w:pPr>
      <w:r>
        <w:rPr>
          <w:rFonts w:hint="eastAsia" w:cs="宋体"/>
          <w:color w:val="auto"/>
          <w:sz w:val="24"/>
        </w:rPr>
        <w:t xml:space="preserve">地    址：                                   地    址：                </w:t>
      </w:r>
    </w:p>
    <w:p>
      <w:pPr>
        <w:tabs>
          <w:tab w:val="left" w:pos="480"/>
        </w:tabs>
        <w:spacing w:line="360" w:lineRule="auto"/>
        <w:rPr>
          <w:rFonts w:cs="宋体"/>
          <w:color w:val="auto"/>
          <w:sz w:val="24"/>
        </w:rPr>
      </w:pPr>
      <w:r>
        <w:rPr>
          <w:rFonts w:hint="eastAsia" w:cs="宋体"/>
          <w:color w:val="auto"/>
          <w:sz w:val="24"/>
        </w:rPr>
        <w:t xml:space="preserve">代 理 人：                                   代 理 人：                </w:t>
      </w:r>
    </w:p>
    <w:p>
      <w:pPr>
        <w:tabs>
          <w:tab w:val="left" w:pos="480"/>
        </w:tabs>
        <w:spacing w:line="360" w:lineRule="auto"/>
        <w:rPr>
          <w:rFonts w:cs="宋体"/>
          <w:color w:val="auto"/>
          <w:sz w:val="24"/>
        </w:rPr>
      </w:pPr>
      <w:r>
        <w:rPr>
          <w:rFonts w:hint="eastAsia" w:cs="宋体"/>
          <w:color w:val="auto"/>
          <w:sz w:val="24"/>
        </w:rPr>
        <w:t xml:space="preserve">联系电话：                                   联系电话：                </w:t>
      </w:r>
    </w:p>
    <w:p>
      <w:pPr>
        <w:tabs>
          <w:tab w:val="left" w:pos="480"/>
        </w:tabs>
        <w:spacing w:line="360" w:lineRule="auto"/>
        <w:rPr>
          <w:rFonts w:cs="宋体"/>
          <w:color w:val="auto"/>
          <w:sz w:val="24"/>
        </w:rPr>
      </w:pPr>
      <w:r>
        <w:rPr>
          <w:rFonts w:hint="eastAsia" w:cs="宋体"/>
          <w:color w:val="auto"/>
          <w:sz w:val="24"/>
        </w:rPr>
        <w:t xml:space="preserve">                                             帐    号：</w:t>
      </w:r>
    </w:p>
    <w:p>
      <w:pPr>
        <w:tabs>
          <w:tab w:val="left" w:pos="480"/>
        </w:tabs>
        <w:spacing w:line="360" w:lineRule="auto"/>
        <w:rPr>
          <w:rFonts w:cs="宋体"/>
          <w:color w:val="auto"/>
          <w:sz w:val="24"/>
        </w:rPr>
      </w:pPr>
      <w:r>
        <w:rPr>
          <w:rFonts w:hint="eastAsia" w:cs="宋体"/>
          <w:color w:val="auto"/>
          <w:sz w:val="24"/>
        </w:rPr>
        <w:t xml:space="preserve">                                             开户银行： </w:t>
      </w:r>
    </w:p>
    <w:p>
      <w:pPr>
        <w:snapToGrid w:val="0"/>
        <w:rPr>
          <w:rFonts w:cs="宋体"/>
          <w:color w:val="auto"/>
          <w:kern w:val="2"/>
          <w:sz w:val="24"/>
          <w:szCs w:val="24"/>
        </w:rPr>
      </w:pPr>
      <w:r>
        <w:rPr>
          <w:rFonts w:hint="eastAsia" w:cs="宋体"/>
          <w:color w:val="auto"/>
          <w:kern w:val="2"/>
          <w:sz w:val="24"/>
          <w:szCs w:val="24"/>
        </w:rPr>
        <w:t xml:space="preserve">签订日期：                                   签订日期：                </w:t>
      </w:r>
    </w:p>
    <w:p>
      <w:pPr>
        <w:rPr>
          <w:rFonts w:cs="宋体"/>
          <w:color w:val="auto"/>
        </w:rPr>
      </w:pPr>
      <w:r>
        <w:rPr>
          <w:rFonts w:hint="eastAsia" w:cs="宋体"/>
          <w:b/>
          <w:bCs/>
          <w:color w:val="auto"/>
          <w:kern w:val="2"/>
          <w:sz w:val="24"/>
          <w:szCs w:val="24"/>
        </w:rPr>
        <w:br w:type="page"/>
      </w:r>
      <w:bookmarkEnd w:id="133"/>
    </w:p>
    <w:bookmarkEnd w:id="115"/>
    <w:bookmarkEnd w:id="116"/>
    <w:bookmarkEnd w:id="117"/>
    <w:bookmarkEnd w:id="118"/>
    <w:bookmarkEnd w:id="119"/>
    <w:bookmarkEnd w:id="120"/>
    <w:bookmarkEnd w:id="121"/>
    <w:p>
      <w:pPr>
        <w:pStyle w:val="5"/>
        <w:spacing w:line="360" w:lineRule="auto"/>
        <w:rPr>
          <w:rFonts w:ascii="宋体" w:hAnsi="宋体" w:cs="宋体"/>
          <w:color w:val="auto"/>
        </w:rPr>
      </w:pPr>
      <w:bookmarkStart w:id="134" w:name="_Toc6072"/>
      <w:bookmarkStart w:id="135" w:name="_Toc22951"/>
      <w:bookmarkStart w:id="136" w:name="_Toc23605"/>
      <w:r>
        <w:rPr>
          <w:rFonts w:hint="eastAsia" w:ascii="宋体" w:hAnsi="宋体" w:cs="宋体"/>
          <w:color w:val="auto"/>
        </w:rPr>
        <w:t>第四章 采购内容及技术要求</w:t>
      </w:r>
      <w:bookmarkEnd w:id="122"/>
      <w:bookmarkEnd w:id="123"/>
      <w:bookmarkEnd w:id="124"/>
      <w:bookmarkEnd w:id="125"/>
      <w:bookmarkEnd w:id="126"/>
      <w:bookmarkEnd w:id="127"/>
      <w:bookmarkEnd w:id="128"/>
      <w:bookmarkEnd w:id="129"/>
      <w:bookmarkEnd w:id="130"/>
      <w:bookmarkEnd w:id="131"/>
      <w:bookmarkEnd w:id="132"/>
      <w:bookmarkEnd w:id="134"/>
      <w:bookmarkEnd w:id="135"/>
      <w:bookmarkEnd w:id="136"/>
      <w:bookmarkStart w:id="137" w:name="_Toc317530110"/>
      <w:bookmarkStart w:id="138" w:name="_Toc389582038"/>
      <w:bookmarkStart w:id="139" w:name="_Toc1025"/>
      <w:bookmarkStart w:id="140" w:name="_Toc23856"/>
      <w:bookmarkStart w:id="141" w:name="_Toc4053"/>
      <w:bookmarkStart w:id="142" w:name="_Toc20481"/>
      <w:bookmarkStart w:id="143" w:name="_Toc2711"/>
      <w:bookmarkStart w:id="144" w:name="_Toc11450"/>
    </w:p>
    <w:bookmarkEnd w:id="137"/>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54"/>
        <w:gridCol w:w="5579"/>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b/>
                <w:bCs/>
                <w:color w:val="auto"/>
                <w:sz w:val="22"/>
                <w:szCs w:val="22"/>
                <w:highlight w:val="none"/>
              </w:rPr>
            </w:pPr>
            <w:bookmarkStart w:id="145" w:name="_Toc426457697"/>
            <w:bookmarkStart w:id="146" w:name="_Toc1462"/>
            <w:bookmarkStart w:id="147" w:name="_Toc25607"/>
            <w:bookmarkStart w:id="148" w:name="_Toc2203"/>
            <w:r>
              <w:rPr>
                <w:rFonts w:hint="eastAsia" w:cs="仿宋"/>
                <w:b/>
                <w:bCs/>
                <w:color w:val="auto"/>
                <w:sz w:val="22"/>
                <w:szCs w:val="22"/>
                <w:highlight w:val="none"/>
              </w:rPr>
              <w:t>序号</w:t>
            </w:r>
          </w:p>
        </w:tc>
        <w:tc>
          <w:tcPr>
            <w:tcW w:w="1255" w:type="dxa"/>
            <w:vAlign w:val="center"/>
          </w:tcPr>
          <w:p>
            <w:pPr>
              <w:jc w:val="center"/>
              <w:rPr>
                <w:rFonts w:cs="仿宋"/>
                <w:b/>
                <w:bCs/>
                <w:color w:val="auto"/>
                <w:sz w:val="22"/>
                <w:szCs w:val="22"/>
                <w:highlight w:val="none"/>
              </w:rPr>
            </w:pPr>
            <w:r>
              <w:rPr>
                <w:rFonts w:hint="eastAsia" w:cs="仿宋"/>
                <w:b/>
                <w:bCs/>
                <w:color w:val="auto"/>
                <w:sz w:val="22"/>
                <w:szCs w:val="22"/>
                <w:highlight w:val="none"/>
              </w:rPr>
              <w:t>服务名称</w:t>
            </w:r>
          </w:p>
        </w:tc>
        <w:tc>
          <w:tcPr>
            <w:tcW w:w="5584" w:type="dxa"/>
            <w:vAlign w:val="center"/>
          </w:tcPr>
          <w:p>
            <w:pPr>
              <w:jc w:val="center"/>
              <w:rPr>
                <w:rFonts w:cs="仿宋"/>
                <w:b/>
                <w:bCs/>
                <w:color w:val="auto"/>
                <w:sz w:val="22"/>
                <w:szCs w:val="22"/>
                <w:highlight w:val="none"/>
              </w:rPr>
            </w:pPr>
            <w:r>
              <w:rPr>
                <w:rFonts w:hint="eastAsia" w:cs="仿宋"/>
                <w:b/>
                <w:bCs/>
                <w:color w:val="auto"/>
                <w:sz w:val="22"/>
                <w:szCs w:val="22"/>
                <w:highlight w:val="none"/>
                <w:lang w:bidi="ar"/>
              </w:rPr>
              <w:t>规格/技术参数要求</w:t>
            </w:r>
          </w:p>
        </w:tc>
        <w:tc>
          <w:tcPr>
            <w:tcW w:w="987" w:type="dxa"/>
            <w:vAlign w:val="center"/>
          </w:tcPr>
          <w:p>
            <w:pPr>
              <w:jc w:val="center"/>
              <w:rPr>
                <w:rFonts w:cs="仿宋"/>
                <w:b/>
                <w:bCs/>
                <w:color w:val="auto"/>
                <w:sz w:val="22"/>
                <w:szCs w:val="22"/>
                <w:highlight w:val="none"/>
              </w:rPr>
            </w:pPr>
            <w:r>
              <w:rPr>
                <w:rFonts w:hint="eastAsia" w:cs="仿宋"/>
                <w:b/>
                <w:bCs/>
                <w:color w:val="auto"/>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b/>
                <w:bCs/>
                <w:color w:val="auto"/>
                <w:sz w:val="22"/>
                <w:szCs w:val="22"/>
                <w:highlight w:val="none"/>
              </w:rPr>
            </w:pPr>
            <w:r>
              <w:rPr>
                <w:rFonts w:hint="eastAsia" w:cs="仿宋"/>
                <w:b/>
                <w:bCs/>
                <w:color w:val="auto"/>
                <w:sz w:val="22"/>
                <w:szCs w:val="22"/>
                <w:highlight w:val="none"/>
              </w:rPr>
              <w:t>1</w:t>
            </w:r>
          </w:p>
        </w:tc>
        <w:tc>
          <w:tcPr>
            <w:tcW w:w="7826" w:type="dxa"/>
            <w:gridSpan w:val="3"/>
            <w:vAlign w:val="center"/>
          </w:tcPr>
          <w:p>
            <w:pPr>
              <w:spacing w:line="360" w:lineRule="auto"/>
              <w:jc w:val="center"/>
              <w:rPr>
                <w:rFonts w:cs="仿宋"/>
                <w:b/>
                <w:bCs/>
                <w:color w:val="auto"/>
                <w:sz w:val="22"/>
                <w:szCs w:val="22"/>
                <w:highlight w:val="none"/>
              </w:rPr>
            </w:pPr>
            <w:r>
              <w:rPr>
                <w:rFonts w:hint="eastAsia" w:cs="仿宋"/>
                <w:b/>
                <w:color w:val="auto"/>
                <w:sz w:val="22"/>
                <w:szCs w:val="22"/>
                <w:highlight w:val="none"/>
              </w:rPr>
              <w:t>智能管护软件系统开发服务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1.1</w:t>
            </w:r>
          </w:p>
        </w:tc>
        <w:tc>
          <w:tcPr>
            <w:tcW w:w="1255" w:type="dxa"/>
            <w:vAlign w:val="center"/>
          </w:tcPr>
          <w:p>
            <w:pPr>
              <w:spacing w:line="560" w:lineRule="exact"/>
              <w:jc w:val="center"/>
              <w:rPr>
                <w:rFonts w:cs="仿宋"/>
                <w:color w:val="auto"/>
                <w:sz w:val="22"/>
                <w:szCs w:val="22"/>
                <w:highlight w:val="none"/>
              </w:rPr>
            </w:pPr>
            <w:r>
              <w:rPr>
                <w:rFonts w:hint="eastAsia" w:cs="仿宋"/>
                <w:color w:val="auto"/>
                <w:sz w:val="22"/>
                <w:szCs w:val="22"/>
                <w:highlight w:val="none"/>
              </w:rPr>
              <w:t>村管理员作业模块</w:t>
            </w:r>
          </w:p>
        </w:tc>
        <w:tc>
          <w:tcPr>
            <w:tcW w:w="5584" w:type="dxa"/>
            <w:vAlign w:val="center"/>
          </w:tcPr>
          <w:p>
            <w:pPr>
              <w:rPr>
                <w:rFonts w:cs="仿宋"/>
                <w:color w:val="auto"/>
                <w:sz w:val="22"/>
                <w:szCs w:val="22"/>
                <w:highlight w:val="none"/>
              </w:rPr>
            </w:pPr>
            <w:r>
              <w:rPr>
                <w:rFonts w:hint="eastAsia" w:cs="仿宋"/>
                <w:color w:val="auto"/>
                <w:sz w:val="22"/>
                <w:szCs w:val="22"/>
                <w:highlight w:val="none"/>
              </w:rPr>
              <w:t>村管理员使用APP或小程序等方式，需实现以下功能：</w:t>
            </w:r>
          </w:p>
          <w:p>
            <w:pPr>
              <w:rPr>
                <w:rFonts w:cs="仿宋"/>
                <w:color w:val="auto"/>
                <w:sz w:val="22"/>
                <w:szCs w:val="22"/>
                <w:highlight w:val="none"/>
              </w:rPr>
            </w:pPr>
            <w:r>
              <w:rPr>
                <w:rFonts w:hint="eastAsia" w:cs="仿宋"/>
                <w:color w:val="auto"/>
                <w:sz w:val="22"/>
                <w:szCs w:val="22"/>
                <w:highlight w:val="none"/>
              </w:rPr>
              <w:t>1.具有改厕档案维护功能；</w:t>
            </w:r>
          </w:p>
          <w:p>
            <w:pPr>
              <w:rPr>
                <w:rFonts w:cs="仿宋"/>
                <w:color w:val="auto"/>
                <w:sz w:val="22"/>
                <w:szCs w:val="22"/>
                <w:highlight w:val="none"/>
              </w:rPr>
            </w:pPr>
            <w:r>
              <w:rPr>
                <w:rFonts w:hint="eastAsia" w:cs="仿宋"/>
                <w:color w:val="auto"/>
                <w:sz w:val="22"/>
                <w:szCs w:val="22"/>
                <w:highlight w:val="none"/>
              </w:rPr>
              <w:t>2.具有用户维护功能；</w:t>
            </w:r>
          </w:p>
          <w:p>
            <w:pPr>
              <w:rPr>
                <w:rFonts w:cs="仿宋"/>
                <w:color w:val="auto"/>
                <w:sz w:val="22"/>
                <w:szCs w:val="22"/>
                <w:highlight w:val="none"/>
              </w:rPr>
            </w:pPr>
            <w:r>
              <w:rPr>
                <w:rFonts w:hint="eastAsia" w:cs="仿宋"/>
                <w:color w:val="auto"/>
                <w:sz w:val="22"/>
                <w:szCs w:val="22"/>
                <w:highlight w:val="none"/>
              </w:rPr>
              <w:t>3.具有报抽、报修功能；</w:t>
            </w:r>
          </w:p>
          <w:p>
            <w:pPr>
              <w:rPr>
                <w:rFonts w:cs="仿宋"/>
                <w:color w:val="auto"/>
                <w:sz w:val="22"/>
                <w:szCs w:val="22"/>
                <w:highlight w:val="none"/>
              </w:rPr>
            </w:pPr>
            <w:r>
              <w:rPr>
                <w:rFonts w:hint="eastAsia" w:cs="仿宋"/>
                <w:color w:val="auto"/>
                <w:sz w:val="22"/>
                <w:szCs w:val="22"/>
                <w:highlight w:val="none"/>
              </w:rPr>
              <w:t>4.具有对未处理作业超时提醒功能；</w:t>
            </w:r>
          </w:p>
          <w:p>
            <w:pPr>
              <w:rPr>
                <w:rFonts w:cs="仿宋"/>
                <w:color w:val="auto"/>
                <w:sz w:val="22"/>
                <w:szCs w:val="22"/>
                <w:highlight w:val="none"/>
              </w:rPr>
            </w:pPr>
            <w:r>
              <w:rPr>
                <w:rFonts w:hint="eastAsia" w:cs="仿宋"/>
                <w:color w:val="auto"/>
                <w:sz w:val="22"/>
                <w:szCs w:val="22"/>
                <w:highlight w:val="none"/>
              </w:rPr>
              <w:t>5.具有对已经完成的抽厕、维修信息进行评价功能；</w:t>
            </w:r>
          </w:p>
          <w:p>
            <w:pPr>
              <w:rPr>
                <w:rFonts w:cs="仿宋"/>
                <w:color w:val="auto"/>
                <w:sz w:val="22"/>
                <w:szCs w:val="22"/>
                <w:highlight w:val="none"/>
              </w:rPr>
            </w:pPr>
            <w:r>
              <w:rPr>
                <w:rFonts w:hint="eastAsia" w:cs="仿宋"/>
                <w:color w:val="auto"/>
                <w:sz w:val="22"/>
                <w:szCs w:val="22"/>
                <w:highlight w:val="none"/>
              </w:rPr>
              <w:t>6.具有显示管理员所进行报抽、报修的作业记录功能；</w:t>
            </w:r>
          </w:p>
          <w:p>
            <w:pPr>
              <w:rPr>
                <w:rFonts w:cs="仿宋"/>
                <w:color w:val="auto"/>
                <w:sz w:val="22"/>
                <w:szCs w:val="22"/>
                <w:highlight w:val="none"/>
              </w:rPr>
            </w:pPr>
            <w:r>
              <w:rPr>
                <w:rFonts w:hint="eastAsia" w:cs="仿宋"/>
                <w:color w:val="auto"/>
                <w:sz w:val="22"/>
                <w:szCs w:val="22"/>
                <w:highlight w:val="none"/>
              </w:rPr>
              <w:t>7.具有对报抽、报修信息智能统计功能；</w:t>
            </w:r>
          </w:p>
          <w:p>
            <w:pPr>
              <w:rPr>
                <w:rFonts w:cs="仿宋"/>
                <w:color w:val="auto"/>
                <w:sz w:val="22"/>
                <w:szCs w:val="22"/>
                <w:highlight w:val="none"/>
              </w:rPr>
            </w:pPr>
            <w:r>
              <w:rPr>
                <w:rFonts w:hint="eastAsia" w:cs="仿宋"/>
                <w:color w:val="auto"/>
                <w:sz w:val="22"/>
                <w:szCs w:val="22"/>
                <w:highlight w:val="none"/>
              </w:rPr>
              <w:t>8.具有对报抽、报修信息查询功能；</w:t>
            </w:r>
          </w:p>
          <w:p>
            <w:pPr>
              <w:rPr>
                <w:rFonts w:cs="仿宋"/>
                <w:color w:val="auto"/>
                <w:sz w:val="22"/>
                <w:szCs w:val="22"/>
                <w:highlight w:val="none"/>
              </w:rPr>
            </w:pPr>
            <w:r>
              <w:rPr>
                <w:rFonts w:hint="eastAsia" w:cs="仿宋"/>
                <w:color w:val="auto"/>
                <w:sz w:val="22"/>
                <w:szCs w:val="22"/>
                <w:highlight w:val="none"/>
              </w:rPr>
              <w:t>9.具有账号、手机号、微信等多登录方式；</w:t>
            </w:r>
          </w:p>
          <w:p>
            <w:pPr>
              <w:rPr>
                <w:rFonts w:cs="仿宋"/>
                <w:color w:val="auto"/>
                <w:sz w:val="22"/>
                <w:szCs w:val="22"/>
                <w:highlight w:val="none"/>
              </w:rPr>
            </w:pPr>
            <w:r>
              <w:rPr>
                <w:rFonts w:hint="eastAsia" w:cs="仿宋"/>
                <w:color w:val="auto"/>
                <w:sz w:val="22"/>
                <w:szCs w:val="22"/>
                <w:highlight w:val="none"/>
              </w:rPr>
              <w:t>10.具有通过通讯录查询清运、维修人员联系方式，一键拨打电话等功能。</w:t>
            </w:r>
          </w:p>
        </w:tc>
        <w:tc>
          <w:tcPr>
            <w:tcW w:w="987" w:type="dxa"/>
            <w:vMerge w:val="restart"/>
            <w:vAlign w:val="center"/>
          </w:tcPr>
          <w:p>
            <w:pPr>
              <w:jc w:val="center"/>
              <w:rPr>
                <w:rFonts w:cs="仿宋"/>
                <w:color w:val="auto"/>
                <w:sz w:val="22"/>
                <w:szCs w:val="22"/>
                <w:highlight w:val="none"/>
              </w:rPr>
            </w:pPr>
            <w:r>
              <w:rPr>
                <w:rFonts w:hint="eastAsia" w:cs="仿宋"/>
                <w:color w:val="auto"/>
                <w:sz w:val="22"/>
                <w:szCs w:val="22"/>
                <w:highlight w:val="none"/>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1.2</w:t>
            </w:r>
          </w:p>
        </w:tc>
        <w:tc>
          <w:tcPr>
            <w:tcW w:w="1255" w:type="dxa"/>
            <w:vAlign w:val="center"/>
          </w:tcPr>
          <w:p>
            <w:pPr>
              <w:spacing w:line="560" w:lineRule="exact"/>
              <w:jc w:val="center"/>
              <w:rPr>
                <w:rFonts w:cs="仿宋"/>
                <w:color w:val="auto"/>
                <w:sz w:val="22"/>
                <w:szCs w:val="22"/>
                <w:highlight w:val="none"/>
              </w:rPr>
            </w:pPr>
            <w:r>
              <w:rPr>
                <w:rFonts w:hint="eastAsia" w:cs="仿宋"/>
                <w:color w:val="auto"/>
                <w:sz w:val="22"/>
                <w:szCs w:val="22"/>
                <w:highlight w:val="none"/>
              </w:rPr>
              <w:t>多功能二维码</w:t>
            </w:r>
          </w:p>
        </w:tc>
        <w:tc>
          <w:tcPr>
            <w:tcW w:w="5584" w:type="dxa"/>
            <w:vAlign w:val="center"/>
          </w:tcPr>
          <w:p>
            <w:pPr>
              <w:rPr>
                <w:rFonts w:cs="仿宋"/>
                <w:color w:val="auto"/>
                <w:sz w:val="22"/>
                <w:szCs w:val="22"/>
                <w:highlight w:val="none"/>
              </w:rPr>
            </w:pPr>
            <w:r>
              <w:rPr>
                <w:rFonts w:hint="eastAsia" w:cs="仿宋"/>
                <w:color w:val="auto"/>
                <w:sz w:val="22"/>
                <w:szCs w:val="22"/>
                <w:highlight w:val="none"/>
              </w:rPr>
              <w:t>一、改厕户微信扫描二维码，需实现功能：</w:t>
            </w:r>
          </w:p>
          <w:p>
            <w:pPr>
              <w:rPr>
                <w:rFonts w:cs="仿宋"/>
                <w:color w:val="auto"/>
                <w:sz w:val="22"/>
                <w:szCs w:val="22"/>
                <w:highlight w:val="none"/>
              </w:rPr>
            </w:pPr>
            <w:r>
              <w:rPr>
                <w:rFonts w:hint="eastAsia" w:cs="仿宋"/>
                <w:color w:val="auto"/>
                <w:sz w:val="22"/>
                <w:szCs w:val="22"/>
                <w:highlight w:val="none"/>
              </w:rPr>
              <w:t>1.具有报抽、报修功能；</w:t>
            </w:r>
          </w:p>
          <w:p>
            <w:pPr>
              <w:rPr>
                <w:rFonts w:cs="仿宋"/>
                <w:color w:val="auto"/>
                <w:sz w:val="22"/>
                <w:szCs w:val="22"/>
                <w:highlight w:val="none"/>
              </w:rPr>
            </w:pPr>
            <w:r>
              <w:rPr>
                <w:rFonts w:hint="eastAsia" w:cs="仿宋"/>
                <w:color w:val="auto"/>
                <w:sz w:val="22"/>
                <w:szCs w:val="22"/>
                <w:highlight w:val="none"/>
              </w:rPr>
              <w:t>2.具有调用微信付费功能；</w:t>
            </w:r>
          </w:p>
          <w:p>
            <w:pPr>
              <w:rPr>
                <w:rFonts w:cs="仿宋"/>
                <w:color w:val="auto"/>
                <w:sz w:val="22"/>
                <w:szCs w:val="22"/>
                <w:highlight w:val="none"/>
              </w:rPr>
            </w:pPr>
            <w:r>
              <w:rPr>
                <w:rFonts w:hint="eastAsia" w:cs="仿宋"/>
                <w:color w:val="auto"/>
                <w:sz w:val="22"/>
                <w:szCs w:val="22"/>
                <w:highlight w:val="none"/>
              </w:rPr>
              <w:t>3.具有村民对已完成的服务进行评价功能；</w:t>
            </w:r>
          </w:p>
          <w:p>
            <w:pPr>
              <w:rPr>
                <w:rFonts w:cs="仿宋"/>
                <w:color w:val="auto"/>
                <w:sz w:val="22"/>
                <w:szCs w:val="22"/>
                <w:highlight w:val="none"/>
              </w:rPr>
            </w:pPr>
            <w:r>
              <w:rPr>
                <w:rFonts w:hint="eastAsia" w:cs="仿宋"/>
                <w:color w:val="auto"/>
                <w:sz w:val="22"/>
                <w:szCs w:val="22"/>
                <w:highlight w:val="none"/>
              </w:rPr>
              <w:t>4.具有在线对管护工作进行反馈功能；</w:t>
            </w:r>
          </w:p>
          <w:p>
            <w:pPr>
              <w:rPr>
                <w:rFonts w:cs="仿宋"/>
                <w:color w:val="auto"/>
                <w:sz w:val="22"/>
                <w:szCs w:val="22"/>
                <w:highlight w:val="none"/>
              </w:rPr>
            </w:pPr>
            <w:r>
              <w:rPr>
                <w:rFonts w:hint="eastAsia" w:cs="仿宋"/>
                <w:color w:val="auto"/>
                <w:sz w:val="22"/>
                <w:szCs w:val="22"/>
                <w:highlight w:val="none"/>
              </w:rPr>
              <w:t>5.具有改厕户对自己的信息进行修改功能；</w:t>
            </w:r>
          </w:p>
          <w:p>
            <w:pPr>
              <w:rPr>
                <w:rFonts w:cs="仿宋"/>
                <w:color w:val="auto"/>
                <w:sz w:val="22"/>
                <w:szCs w:val="22"/>
                <w:highlight w:val="none"/>
              </w:rPr>
            </w:pPr>
            <w:r>
              <w:rPr>
                <w:rFonts w:hint="eastAsia" w:cs="仿宋"/>
                <w:color w:val="auto"/>
                <w:sz w:val="22"/>
                <w:szCs w:val="22"/>
                <w:highlight w:val="none"/>
              </w:rPr>
              <w:t>二、工作人员微信扫描二维码验证后，需实现查询改厕档案信息功能。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restart"/>
            <w:vAlign w:val="center"/>
          </w:tcPr>
          <w:p>
            <w:pPr>
              <w:jc w:val="center"/>
              <w:rPr>
                <w:rFonts w:cs="仿宋"/>
                <w:color w:val="auto"/>
                <w:sz w:val="22"/>
                <w:szCs w:val="22"/>
                <w:highlight w:val="none"/>
              </w:rPr>
            </w:pPr>
            <w:r>
              <w:rPr>
                <w:rFonts w:hint="eastAsia" w:cs="仿宋"/>
                <w:color w:val="auto"/>
                <w:sz w:val="22"/>
                <w:szCs w:val="22"/>
                <w:highlight w:val="none"/>
              </w:rPr>
              <w:t>1.3</w:t>
            </w:r>
          </w:p>
        </w:tc>
        <w:tc>
          <w:tcPr>
            <w:tcW w:w="1255" w:type="dxa"/>
            <w:vMerge w:val="restart"/>
            <w:vAlign w:val="center"/>
          </w:tcPr>
          <w:p>
            <w:pPr>
              <w:spacing w:line="560" w:lineRule="exact"/>
              <w:jc w:val="center"/>
              <w:rPr>
                <w:rFonts w:cs="仿宋"/>
                <w:color w:val="auto"/>
                <w:sz w:val="22"/>
                <w:szCs w:val="22"/>
                <w:highlight w:val="none"/>
              </w:rPr>
            </w:pPr>
            <w:r>
              <w:rPr>
                <w:rFonts w:hint="eastAsia" w:cs="仿宋"/>
                <w:color w:val="auto"/>
                <w:sz w:val="22"/>
                <w:szCs w:val="22"/>
                <w:highlight w:val="none"/>
              </w:rPr>
              <w:t>作业员工作模块</w:t>
            </w:r>
          </w:p>
        </w:tc>
        <w:tc>
          <w:tcPr>
            <w:tcW w:w="5584" w:type="dxa"/>
            <w:vAlign w:val="center"/>
          </w:tcPr>
          <w:p>
            <w:pPr>
              <w:rPr>
                <w:rFonts w:cs="仿宋"/>
                <w:color w:val="auto"/>
                <w:sz w:val="22"/>
                <w:szCs w:val="22"/>
                <w:highlight w:val="none"/>
              </w:rPr>
            </w:pPr>
            <w:r>
              <w:rPr>
                <w:rFonts w:hint="eastAsia" w:cs="仿宋"/>
                <w:color w:val="auto"/>
                <w:sz w:val="22"/>
                <w:szCs w:val="22"/>
                <w:highlight w:val="none"/>
              </w:rPr>
              <w:t>抽厕员使用APP或小程序等方式，需实现功能：</w:t>
            </w:r>
          </w:p>
          <w:p>
            <w:pPr>
              <w:rPr>
                <w:rFonts w:cs="仿宋"/>
                <w:color w:val="auto"/>
                <w:sz w:val="22"/>
                <w:szCs w:val="22"/>
                <w:highlight w:val="none"/>
              </w:rPr>
            </w:pPr>
            <w:r>
              <w:rPr>
                <w:rFonts w:hint="eastAsia" w:cs="仿宋"/>
                <w:color w:val="auto"/>
                <w:sz w:val="22"/>
                <w:szCs w:val="22"/>
                <w:highlight w:val="none"/>
              </w:rPr>
              <w:t>1.具有抽厕员通过APP或小程序等方式自动接收报抽信息，对任务进行处理功能；</w:t>
            </w:r>
          </w:p>
          <w:p>
            <w:pPr>
              <w:rPr>
                <w:rFonts w:cs="仿宋"/>
                <w:color w:val="auto"/>
                <w:sz w:val="22"/>
                <w:szCs w:val="22"/>
                <w:highlight w:val="none"/>
              </w:rPr>
            </w:pPr>
            <w:r>
              <w:rPr>
                <w:rFonts w:hint="eastAsia" w:cs="仿宋"/>
                <w:color w:val="auto"/>
                <w:sz w:val="22"/>
                <w:szCs w:val="22"/>
                <w:highlight w:val="none"/>
              </w:rPr>
              <w:t>2.具有将抽厕任务自主转交给其他车辆功能；</w:t>
            </w:r>
          </w:p>
          <w:p>
            <w:pPr>
              <w:rPr>
                <w:rFonts w:cs="仿宋"/>
                <w:color w:val="auto"/>
                <w:sz w:val="22"/>
                <w:szCs w:val="22"/>
                <w:highlight w:val="none"/>
              </w:rPr>
            </w:pPr>
            <w:r>
              <w:rPr>
                <w:rFonts w:hint="eastAsia" w:cs="仿宋"/>
                <w:color w:val="auto"/>
                <w:sz w:val="22"/>
                <w:szCs w:val="22"/>
                <w:highlight w:val="none"/>
              </w:rPr>
              <w:t>3.具有对报抽位置进行导航功能；</w:t>
            </w:r>
          </w:p>
          <w:p>
            <w:pPr>
              <w:rPr>
                <w:rFonts w:cs="仿宋"/>
                <w:color w:val="auto"/>
                <w:sz w:val="22"/>
                <w:szCs w:val="22"/>
                <w:highlight w:val="none"/>
              </w:rPr>
            </w:pPr>
            <w:r>
              <w:rPr>
                <w:rFonts w:hint="eastAsia" w:cs="仿宋"/>
                <w:color w:val="auto"/>
                <w:sz w:val="22"/>
                <w:szCs w:val="22"/>
                <w:highlight w:val="none"/>
              </w:rPr>
              <w:t>4.具有对超时未处理作业提醒功能；</w:t>
            </w:r>
          </w:p>
          <w:p>
            <w:pPr>
              <w:rPr>
                <w:rFonts w:cs="仿宋"/>
                <w:color w:val="auto"/>
                <w:sz w:val="22"/>
                <w:szCs w:val="22"/>
                <w:highlight w:val="none"/>
              </w:rPr>
            </w:pPr>
            <w:r>
              <w:rPr>
                <w:rFonts w:hint="eastAsia" w:cs="仿宋"/>
                <w:color w:val="auto"/>
                <w:sz w:val="22"/>
                <w:szCs w:val="22"/>
                <w:highlight w:val="none"/>
              </w:rPr>
              <w:t>5.具有通过通讯录查询村管理员联系方式，一键拨打电话功能。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continue"/>
            <w:vAlign w:val="center"/>
          </w:tcPr>
          <w:p>
            <w:pPr>
              <w:jc w:val="center"/>
              <w:rPr>
                <w:rFonts w:cs="仿宋"/>
                <w:color w:val="auto"/>
                <w:sz w:val="22"/>
                <w:szCs w:val="22"/>
                <w:highlight w:val="none"/>
              </w:rPr>
            </w:pPr>
          </w:p>
        </w:tc>
        <w:tc>
          <w:tcPr>
            <w:tcW w:w="1255" w:type="dxa"/>
            <w:vMerge w:val="continue"/>
            <w:vAlign w:val="center"/>
          </w:tcPr>
          <w:p>
            <w:pPr>
              <w:spacing w:line="560" w:lineRule="exact"/>
              <w:jc w:val="center"/>
              <w:rPr>
                <w:rFonts w:cs="仿宋"/>
                <w:color w:val="auto"/>
                <w:sz w:val="22"/>
                <w:szCs w:val="22"/>
                <w:highlight w:val="none"/>
              </w:rPr>
            </w:pPr>
          </w:p>
        </w:tc>
        <w:tc>
          <w:tcPr>
            <w:tcW w:w="5584" w:type="dxa"/>
            <w:vAlign w:val="center"/>
          </w:tcPr>
          <w:p>
            <w:pPr>
              <w:rPr>
                <w:rFonts w:cs="仿宋"/>
                <w:color w:val="auto"/>
                <w:sz w:val="22"/>
                <w:szCs w:val="22"/>
                <w:highlight w:val="none"/>
              </w:rPr>
            </w:pPr>
            <w:r>
              <w:rPr>
                <w:rFonts w:hint="eastAsia" w:cs="仿宋"/>
                <w:color w:val="auto"/>
                <w:sz w:val="22"/>
                <w:szCs w:val="22"/>
                <w:highlight w:val="none"/>
              </w:rPr>
              <w:t>维修厕所人员使用APP或小程序等方式，需实现功能：</w:t>
            </w:r>
          </w:p>
          <w:p>
            <w:pPr>
              <w:rPr>
                <w:rFonts w:cs="仿宋"/>
                <w:color w:val="auto"/>
                <w:sz w:val="22"/>
                <w:szCs w:val="22"/>
                <w:highlight w:val="none"/>
              </w:rPr>
            </w:pPr>
            <w:r>
              <w:rPr>
                <w:rFonts w:hint="eastAsia" w:cs="仿宋"/>
                <w:color w:val="auto"/>
                <w:sz w:val="22"/>
                <w:szCs w:val="22"/>
                <w:highlight w:val="none"/>
              </w:rPr>
              <w:t>1.具有维修员通过APP或小程序等方式自动接收村民、村级管理员提交的报修信息；</w:t>
            </w:r>
          </w:p>
          <w:p>
            <w:pPr>
              <w:rPr>
                <w:rFonts w:cs="仿宋"/>
                <w:color w:val="auto"/>
                <w:sz w:val="22"/>
                <w:szCs w:val="22"/>
                <w:highlight w:val="none"/>
              </w:rPr>
            </w:pPr>
            <w:r>
              <w:rPr>
                <w:rFonts w:hint="eastAsia" w:cs="仿宋"/>
                <w:color w:val="auto"/>
                <w:sz w:val="22"/>
                <w:szCs w:val="22"/>
                <w:highlight w:val="none"/>
              </w:rPr>
              <w:t>2.具有对任务进行处理功能；</w:t>
            </w:r>
          </w:p>
          <w:p>
            <w:pPr>
              <w:rPr>
                <w:rFonts w:cs="仿宋"/>
                <w:color w:val="auto"/>
                <w:sz w:val="22"/>
                <w:szCs w:val="22"/>
                <w:highlight w:val="none"/>
              </w:rPr>
            </w:pPr>
            <w:r>
              <w:rPr>
                <w:rFonts w:hint="eastAsia" w:cs="仿宋"/>
                <w:color w:val="auto"/>
                <w:sz w:val="22"/>
                <w:szCs w:val="22"/>
                <w:highlight w:val="none"/>
              </w:rPr>
              <w:t>3.具有对报修位置的导航功能；</w:t>
            </w:r>
          </w:p>
          <w:p>
            <w:pPr>
              <w:rPr>
                <w:rFonts w:cs="仿宋"/>
                <w:color w:val="auto"/>
                <w:sz w:val="22"/>
                <w:szCs w:val="22"/>
                <w:highlight w:val="none"/>
              </w:rPr>
            </w:pPr>
            <w:r>
              <w:rPr>
                <w:rFonts w:hint="eastAsia" w:cs="仿宋"/>
                <w:color w:val="auto"/>
                <w:sz w:val="22"/>
                <w:szCs w:val="22"/>
                <w:highlight w:val="none"/>
              </w:rPr>
              <w:t>4.具有超时未处理作业提醒功能；</w:t>
            </w:r>
          </w:p>
          <w:p>
            <w:pPr>
              <w:rPr>
                <w:rFonts w:cs="仿宋"/>
                <w:color w:val="auto"/>
                <w:sz w:val="22"/>
                <w:szCs w:val="22"/>
                <w:highlight w:val="none"/>
              </w:rPr>
            </w:pPr>
            <w:r>
              <w:rPr>
                <w:rFonts w:hint="eastAsia" w:cs="仿宋"/>
                <w:color w:val="auto"/>
                <w:sz w:val="22"/>
                <w:szCs w:val="22"/>
                <w:highlight w:val="none"/>
              </w:rPr>
              <w:t>5.具有对作业数据智能统计功能；</w:t>
            </w:r>
          </w:p>
          <w:p>
            <w:pPr>
              <w:rPr>
                <w:rFonts w:cs="仿宋"/>
                <w:color w:val="auto"/>
                <w:sz w:val="22"/>
                <w:szCs w:val="22"/>
                <w:highlight w:val="none"/>
              </w:rPr>
            </w:pPr>
            <w:r>
              <w:rPr>
                <w:rFonts w:hint="eastAsia" w:cs="仿宋"/>
                <w:color w:val="auto"/>
                <w:sz w:val="22"/>
                <w:szCs w:val="22"/>
                <w:highlight w:val="none"/>
              </w:rPr>
              <w:t>6.具有多账号登录切换功能。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restart"/>
            <w:vAlign w:val="center"/>
          </w:tcPr>
          <w:p>
            <w:pPr>
              <w:jc w:val="center"/>
              <w:rPr>
                <w:rFonts w:cs="仿宋"/>
                <w:color w:val="auto"/>
                <w:sz w:val="22"/>
                <w:szCs w:val="22"/>
                <w:highlight w:val="none"/>
              </w:rPr>
            </w:pPr>
            <w:r>
              <w:rPr>
                <w:rFonts w:hint="eastAsia" w:cs="仿宋"/>
                <w:color w:val="auto"/>
                <w:sz w:val="22"/>
                <w:szCs w:val="22"/>
                <w:highlight w:val="none"/>
              </w:rPr>
              <w:t>1.4</w:t>
            </w:r>
          </w:p>
        </w:tc>
        <w:tc>
          <w:tcPr>
            <w:tcW w:w="1255" w:type="dxa"/>
            <w:vMerge w:val="restart"/>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管理员工作模块</w:t>
            </w:r>
          </w:p>
        </w:tc>
        <w:tc>
          <w:tcPr>
            <w:tcW w:w="5584" w:type="dxa"/>
            <w:vAlign w:val="center"/>
          </w:tcPr>
          <w:p>
            <w:pPr>
              <w:rPr>
                <w:rFonts w:cs="仿宋"/>
                <w:color w:val="auto"/>
                <w:sz w:val="22"/>
                <w:szCs w:val="22"/>
                <w:highlight w:val="none"/>
              </w:rPr>
            </w:pPr>
            <w:r>
              <w:rPr>
                <w:rFonts w:hint="eastAsia" w:cs="仿宋"/>
                <w:color w:val="auto"/>
                <w:sz w:val="22"/>
                <w:szCs w:val="22"/>
                <w:highlight w:val="none"/>
              </w:rPr>
              <w:t>供县级管理员使用APP或小程序等方式，需实现功能：</w:t>
            </w:r>
          </w:p>
          <w:p>
            <w:pPr>
              <w:rPr>
                <w:rFonts w:cs="仿宋"/>
                <w:color w:val="auto"/>
                <w:sz w:val="22"/>
                <w:szCs w:val="22"/>
                <w:highlight w:val="none"/>
              </w:rPr>
            </w:pPr>
            <w:r>
              <w:rPr>
                <w:rFonts w:hint="eastAsia" w:cs="仿宋"/>
                <w:color w:val="auto"/>
                <w:sz w:val="22"/>
                <w:szCs w:val="22"/>
                <w:highlight w:val="none"/>
              </w:rPr>
              <w:t>1.具有改厕用户维护功能；</w:t>
            </w:r>
          </w:p>
          <w:p>
            <w:pPr>
              <w:rPr>
                <w:rFonts w:cs="仿宋"/>
                <w:color w:val="auto"/>
                <w:sz w:val="22"/>
                <w:szCs w:val="22"/>
                <w:highlight w:val="none"/>
              </w:rPr>
            </w:pPr>
            <w:r>
              <w:rPr>
                <w:rFonts w:hint="eastAsia" w:cs="仿宋"/>
                <w:color w:val="auto"/>
                <w:sz w:val="22"/>
                <w:szCs w:val="22"/>
                <w:highlight w:val="none"/>
              </w:rPr>
              <w:t>2.具有汇总统计镇/街办报抽数据；</w:t>
            </w:r>
          </w:p>
          <w:p>
            <w:pPr>
              <w:rPr>
                <w:rFonts w:cs="仿宋"/>
                <w:color w:val="auto"/>
                <w:sz w:val="22"/>
                <w:szCs w:val="22"/>
                <w:highlight w:val="none"/>
              </w:rPr>
            </w:pPr>
            <w:r>
              <w:rPr>
                <w:rFonts w:hint="eastAsia" w:cs="仿宋"/>
                <w:color w:val="auto"/>
                <w:sz w:val="22"/>
                <w:szCs w:val="22"/>
                <w:highlight w:val="none"/>
              </w:rPr>
              <w:t>3.具有汇总统计镇/街办报修数据；</w:t>
            </w:r>
          </w:p>
          <w:p>
            <w:pPr>
              <w:rPr>
                <w:rFonts w:cs="仿宋"/>
                <w:color w:val="auto"/>
                <w:sz w:val="22"/>
                <w:szCs w:val="22"/>
                <w:highlight w:val="none"/>
              </w:rPr>
            </w:pPr>
            <w:r>
              <w:rPr>
                <w:rFonts w:hint="eastAsia" w:cs="仿宋"/>
                <w:color w:val="auto"/>
                <w:sz w:val="22"/>
                <w:szCs w:val="22"/>
                <w:highlight w:val="none"/>
              </w:rPr>
              <w:t>4.具有乱倒告警信息功能；</w:t>
            </w:r>
          </w:p>
          <w:p>
            <w:pPr>
              <w:rPr>
                <w:rFonts w:cs="仿宋"/>
                <w:color w:val="auto"/>
                <w:sz w:val="22"/>
                <w:szCs w:val="22"/>
                <w:highlight w:val="none"/>
              </w:rPr>
            </w:pPr>
            <w:r>
              <w:rPr>
                <w:rFonts w:hint="eastAsia" w:cs="仿宋"/>
                <w:color w:val="auto"/>
                <w:sz w:val="22"/>
                <w:szCs w:val="22"/>
                <w:highlight w:val="none"/>
              </w:rPr>
              <w:t>5.具有村民反馈回复功能；</w:t>
            </w:r>
          </w:p>
          <w:p>
            <w:pPr>
              <w:rPr>
                <w:rFonts w:cs="仿宋"/>
                <w:color w:val="auto"/>
                <w:sz w:val="22"/>
                <w:szCs w:val="22"/>
                <w:highlight w:val="none"/>
              </w:rPr>
            </w:pPr>
            <w:r>
              <w:rPr>
                <w:rFonts w:hint="eastAsia" w:cs="仿宋"/>
                <w:color w:val="auto"/>
                <w:sz w:val="22"/>
                <w:szCs w:val="22"/>
                <w:highlight w:val="none"/>
              </w:rPr>
              <w:t>6.具有账号、手机号、微信等多登录方式；</w:t>
            </w:r>
          </w:p>
          <w:p>
            <w:pPr>
              <w:rPr>
                <w:rFonts w:cs="仿宋"/>
                <w:color w:val="auto"/>
                <w:sz w:val="22"/>
                <w:szCs w:val="22"/>
                <w:highlight w:val="none"/>
              </w:rPr>
            </w:pPr>
            <w:r>
              <w:rPr>
                <w:rFonts w:hint="eastAsia" w:cs="仿宋"/>
                <w:color w:val="auto"/>
                <w:sz w:val="22"/>
                <w:szCs w:val="22"/>
                <w:highlight w:val="none"/>
              </w:rPr>
              <w:t>7.具有多账号登录切换功能。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continue"/>
            <w:vAlign w:val="center"/>
          </w:tcPr>
          <w:p>
            <w:pPr>
              <w:jc w:val="center"/>
              <w:rPr>
                <w:rFonts w:cs="仿宋"/>
                <w:color w:val="auto"/>
                <w:sz w:val="22"/>
                <w:szCs w:val="22"/>
                <w:highlight w:val="none"/>
              </w:rPr>
            </w:pPr>
          </w:p>
        </w:tc>
        <w:tc>
          <w:tcPr>
            <w:tcW w:w="1255" w:type="dxa"/>
            <w:vMerge w:val="continue"/>
            <w:vAlign w:val="center"/>
          </w:tcPr>
          <w:p>
            <w:pPr>
              <w:spacing w:line="560" w:lineRule="exact"/>
              <w:jc w:val="center"/>
              <w:rPr>
                <w:rFonts w:cs="仿宋"/>
                <w:color w:val="auto"/>
                <w:sz w:val="22"/>
                <w:szCs w:val="22"/>
                <w:highlight w:val="none"/>
              </w:rPr>
            </w:pPr>
          </w:p>
        </w:tc>
        <w:tc>
          <w:tcPr>
            <w:tcW w:w="5584" w:type="dxa"/>
            <w:vAlign w:val="center"/>
          </w:tcPr>
          <w:p>
            <w:pPr>
              <w:rPr>
                <w:rFonts w:cs="仿宋"/>
                <w:color w:val="auto"/>
                <w:sz w:val="22"/>
                <w:szCs w:val="22"/>
                <w:highlight w:val="none"/>
              </w:rPr>
            </w:pPr>
            <w:r>
              <w:rPr>
                <w:rFonts w:hint="eastAsia" w:cs="仿宋"/>
                <w:color w:val="auto"/>
                <w:sz w:val="22"/>
                <w:szCs w:val="22"/>
                <w:highlight w:val="none"/>
              </w:rPr>
              <w:t>供镇级管理员使用APP或小程序等方式，需实现功能：</w:t>
            </w:r>
          </w:p>
          <w:p>
            <w:pPr>
              <w:rPr>
                <w:rFonts w:cs="仿宋"/>
                <w:color w:val="auto"/>
                <w:sz w:val="22"/>
                <w:szCs w:val="22"/>
                <w:highlight w:val="none"/>
              </w:rPr>
            </w:pPr>
            <w:r>
              <w:rPr>
                <w:rFonts w:hint="eastAsia" w:cs="仿宋"/>
                <w:color w:val="auto"/>
                <w:sz w:val="22"/>
                <w:szCs w:val="22"/>
                <w:highlight w:val="none"/>
              </w:rPr>
              <w:t>1.具有改厕档案维护功能；</w:t>
            </w:r>
          </w:p>
          <w:p>
            <w:pPr>
              <w:rPr>
                <w:rFonts w:cs="仿宋"/>
                <w:color w:val="auto"/>
                <w:sz w:val="22"/>
                <w:szCs w:val="22"/>
                <w:highlight w:val="none"/>
              </w:rPr>
            </w:pPr>
            <w:r>
              <w:rPr>
                <w:rFonts w:hint="eastAsia" w:cs="仿宋"/>
                <w:color w:val="auto"/>
                <w:sz w:val="22"/>
                <w:szCs w:val="22"/>
                <w:highlight w:val="none"/>
              </w:rPr>
              <w:t>2.具有用户维护功能；</w:t>
            </w:r>
          </w:p>
          <w:p>
            <w:pPr>
              <w:rPr>
                <w:rFonts w:cs="仿宋"/>
                <w:color w:val="auto"/>
                <w:sz w:val="22"/>
                <w:szCs w:val="22"/>
                <w:highlight w:val="none"/>
              </w:rPr>
            </w:pPr>
            <w:r>
              <w:rPr>
                <w:rFonts w:hint="eastAsia" w:cs="仿宋"/>
                <w:color w:val="auto"/>
                <w:sz w:val="22"/>
                <w:szCs w:val="22"/>
                <w:highlight w:val="none"/>
              </w:rPr>
              <w:t>3.具有改厕档案审核功能；</w:t>
            </w:r>
          </w:p>
          <w:p>
            <w:pPr>
              <w:rPr>
                <w:rFonts w:cs="仿宋"/>
                <w:color w:val="auto"/>
                <w:sz w:val="22"/>
                <w:szCs w:val="22"/>
                <w:highlight w:val="none"/>
              </w:rPr>
            </w:pPr>
            <w:r>
              <w:rPr>
                <w:rFonts w:hint="eastAsia" w:cs="仿宋"/>
                <w:color w:val="auto"/>
                <w:sz w:val="22"/>
                <w:szCs w:val="22"/>
                <w:highlight w:val="none"/>
              </w:rPr>
              <w:t>4.具有对司机进行作业调度功能；</w:t>
            </w:r>
          </w:p>
          <w:p>
            <w:pPr>
              <w:rPr>
                <w:rFonts w:cs="仿宋"/>
                <w:color w:val="auto"/>
                <w:sz w:val="22"/>
                <w:szCs w:val="22"/>
                <w:highlight w:val="none"/>
              </w:rPr>
            </w:pPr>
            <w:r>
              <w:rPr>
                <w:rFonts w:hint="eastAsia" w:cs="仿宋"/>
                <w:color w:val="auto"/>
                <w:sz w:val="22"/>
                <w:szCs w:val="22"/>
                <w:highlight w:val="none"/>
              </w:rPr>
              <w:t>5.具有作业数据智能统计功能；</w:t>
            </w:r>
          </w:p>
          <w:p>
            <w:pPr>
              <w:rPr>
                <w:rFonts w:cs="仿宋"/>
                <w:color w:val="auto"/>
                <w:sz w:val="22"/>
                <w:szCs w:val="22"/>
                <w:highlight w:val="none"/>
              </w:rPr>
            </w:pPr>
            <w:r>
              <w:rPr>
                <w:rFonts w:hint="eastAsia" w:cs="仿宋"/>
                <w:color w:val="auto"/>
                <w:sz w:val="22"/>
                <w:szCs w:val="22"/>
                <w:highlight w:val="none"/>
              </w:rPr>
              <w:t>6.具有村民反馈回复功能；</w:t>
            </w:r>
          </w:p>
          <w:p>
            <w:pPr>
              <w:rPr>
                <w:rFonts w:cs="仿宋"/>
                <w:color w:val="auto"/>
                <w:sz w:val="22"/>
                <w:szCs w:val="22"/>
                <w:highlight w:val="none"/>
              </w:rPr>
            </w:pPr>
            <w:r>
              <w:rPr>
                <w:rFonts w:hint="eastAsia" w:cs="仿宋"/>
                <w:color w:val="auto"/>
                <w:sz w:val="22"/>
                <w:szCs w:val="22"/>
                <w:highlight w:val="none"/>
              </w:rPr>
              <w:t>7.具有多账号登录切换功能。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restart"/>
            <w:vAlign w:val="center"/>
          </w:tcPr>
          <w:p>
            <w:pPr>
              <w:jc w:val="center"/>
              <w:rPr>
                <w:rFonts w:cs="仿宋"/>
                <w:color w:val="auto"/>
                <w:sz w:val="22"/>
                <w:szCs w:val="22"/>
                <w:highlight w:val="none"/>
              </w:rPr>
            </w:pPr>
            <w:r>
              <w:rPr>
                <w:rFonts w:hint="eastAsia" w:cs="仿宋"/>
                <w:color w:val="auto"/>
                <w:sz w:val="22"/>
                <w:szCs w:val="22"/>
                <w:highlight w:val="none"/>
              </w:rPr>
              <w:t>1.5</w:t>
            </w:r>
          </w:p>
        </w:tc>
        <w:tc>
          <w:tcPr>
            <w:tcW w:w="1255" w:type="dxa"/>
            <w:vMerge w:val="restart"/>
            <w:vAlign w:val="center"/>
          </w:tcPr>
          <w:p>
            <w:pPr>
              <w:spacing w:line="560" w:lineRule="exact"/>
              <w:jc w:val="center"/>
              <w:rPr>
                <w:rFonts w:cs="仿宋"/>
                <w:color w:val="auto"/>
                <w:sz w:val="22"/>
                <w:szCs w:val="22"/>
                <w:highlight w:val="none"/>
              </w:rPr>
            </w:pPr>
            <w:r>
              <w:rPr>
                <w:rFonts w:hint="eastAsia" w:cs="仿宋"/>
                <w:color w:val="auto"/>
                <w:sz w:val="22"/>
                <w:szCs w:val="22"/>
                <w:highlight w:val="none"/>
              </w:rPr>
              <w:t>大数据分析展示系统软件</w:t>
            </w:r>
          </w:p>
        </w:tc>
        <w:tc>
          <w:tcPr>
            <w:tcW w:w="5584" w:type="dxa"/>
            <w:vAlign w:val="center"/>
          </w:tcPr>
          <w:p>
            <w:pPr>
              <w:rPr>
                <w:rFonts w:cs="仿宋"/>
                <w:color w:val="auto"/>
                <w:sz w:val="22"/>
                <w:szCs w:val="22"/>
                <w:highlight w:val="none"/>
              </w:rPr>
            </w:pPr>
            <w:r>
              <w:rPr>
                <w:rFonts w:hint="eastAsia" w:cs="仿宋"/>
                <w:color w:val="auto"/>
                <w:sz w:val="22"/>
                <w:szCs w:val="22"/>
                <w:highlight w:val="none"/>
              </w:rPr>
              <w:t>供县级改厕主管部门使用，用以掌握合阳县农村卫生厕所的管护情况，需实现功能：</w:t>
            </w:r>
          </w:p>
          <w:p>
            <w:pPr>
              <w:rPr>
                <w:rFonts w:cs="仿宋"/>
                <w:color w:val="auto"/>
                <w:sz w:val="22"/>
                <w:szCs w:val="22"/>
                <w:highlight w:val="none"/>
              </w:rPr>
            </w:pPr>
            <w:r>
              <w:rPr>
                <w:rFonts w:hint="eastAsia" w:cs="仿宋"/>
                <w:color w:val="auto"/>
                <w:sz w:val="22"/>
                <w:szCs w:val="22"/>
                <w:highlight w:val="none"/>
              </w:rPr>
              <w:t>1.具有查看合阳县管护数据、镇/街办抽厕、维修数据汇总情况；</w:t>
            </w:r>
          </w:p>
          <w:p>
            <w:pPr>
              <w:rPr>
                <w:rFonts w:cs="仿宋"/>
                <w:color w:val="auto"/>
                <w:sz w:val="22"/>
                <w:szCs w:val="22"/>
                <w:highlight w:val="none"/>
              </w:rPr>
            </w:pPr>
            <w:r>
              <w:rPr>
                <w:rFonts w:hint="eastAsia" w:cs="仿宋"/>
                <w:color w:val="auto"/>
                <w:sz w:val="22"/>
                <w:szCs w:val="22"/>
                <w:highlight w:val="none"/>
              </w:rPr>
              <w:t>2.具有查看村级抽厕、维修数据明细；</w:t>
            </w:r>
          </w:p>
          <w:p>
            <w:pPr>
              <w:rPr>
                <w:rFonts w:cs="仿宋"/>
                <w:color w:val="auto"/>
                <w:sz w:val="22"/>
                <w:szCs w:val="22"/>
                <w:highlight w:val="none"/>
              </w:rPr>
            </w:pPr>
            <w:r>
              <w:rPr>
                <w:rFonts w:hint="eastAsia" w:cs="仿宋"/>
                <w:color w:val="auto"/>
                <w:sz w:val="22"/>
                <w:szCs w:val="22"/>
                <w:highlight w:val="none"/>
              </w:rPr>
              <w:t>3.具有查看镇/街办满意度；</w:t>
            </w:r>
          </w:p>
          <w:p>
            <w:pPr>
              <w:rPr>
                <w:rFonts w:cs="仿宋"/>
                <w:color w:val="auto"/>
                <w:sz w:val="22"/>
                <w:szCs w:val="22"/>
                <w:highlight w:val="none"/>
              </w:rPr>
            </w:pPr>
            <w:r>
              <w:rPr>
                <w:rFonts w:hint="eastAsia" w:cs="仿宋"/>
                <w:color w:val="auto"/>
                <w:sz w:val="22"/>
                <w:szCs w:val="22"/>
                <w:highlight w:val="none"/>
              </w:rPr>
              <w:t>4.具有抽厕、维修信息以可视化地图、柱状图等直观形式显示功能；</w:t>
            </w:r>
          </w:p>
          <w:p>
            <w:pPr>
              <w:rPr>
                <w:rFonts w:cs="仿宋"/>
                <w:color w:val="auto"/>
                <w:sz w:val="22"/>
                <w:szCs w:val="22"/>
                <w:highlight w:val="none"/>
              </w:rPr>
            </w:pPr>
            <w:r>
              <w:rPr>
                <w:rFonts w:hint="eastAsia" w:cs="仿宋"/>
                <w:color w:val="auto"/>
                <w:sz w:val="22"/>
                <w:szCs w:val="22"/>
                <w:highlight w:val="none"/>
              </w:rPr>
              <w:t>5.具有改厕用户信息管理功能；</w:t>
            </w:r>
          </w:p>
          <w:p>
            <w:pPr>
              <w:rPr>
                <w:rFonts w:cs="仿宋"/>
                <w:color w:val="auto"/>
                <w:sz w:val="22"/>
                <w:szCs w:val="22"/>
                <w:highlight w:val="none"/>
              </w:rPr>
            </w:pPr>
            <w:r>
              <w:rPr>
                <w:rFonts w:hint="eastAsia" w:cs="仿宋"/>
                <w:color w:val="auto"/>
                <w:sz w:val="22"/>
                <w:szCs w:val="22"/>
                <w:highlight w:val="none"/>
              </w:rPr>
              <w:t>6.具有查看抽粪车作业信息、作业明细功能；</w:t>
            </w:r>
          </w:p>
          <w:p>
            <w:pPr>
              <w:rPr>
                <w:rFonts w:cs="仿宋"/>
                <w:color w:val="auto"/>
                <w:sz w:val="22"/>
                <w:szCs w:val="22"/>
                <w:highlight w:val="none"/>
              </w:rPr>
            </w:pPr>
            <w:r>
              <w:rPr>
                <w:rFonts w:hint="eastAsia" w:cs="仿宋"/>
                <w:color w:val="auto"/>
                <w:sz w:val="22"/>
                <w:szCs w:val="22"/>
                <w:highlight w:val="none"/>
              </w:rPr>
              <w:t>7.具有抽粪车乱排乱倒报警功能；</w:t>
            </w:r>
          </w:p>
          <w:p>
            <w:pPr>
              <w:rPr>
                <w:rFonts w:cs="仿宋"/>
                <w:color w:val="auto"/>
                <w:sz w:val="22"/>
                <w:szCs w:val="22"/>
                <w:highlight w:val="none"/>
              </w:rPr>
            </w:pPr>
            <w:r>
              <w:rPr>
                <w:rFonts w:hint="eastAsia" w:cs="仿宋"/>
                <w:color w:val="auto"/>
                <w:sz w:val="22"/>
                <w:szCs w:val="22"/>
                <w:highlight w:val="none"/>
              </w:rPr>
              <w:t>8.具有在统计各项数据的基础上进行数据分析功能；</w:t>
            </w:r>
          </w:p>
          <w:p>
            <w:pPr>
              <w:rPr>
                <w:rFonts w:cs="仿宋"/>
                <w:color w:val="auto"/>
                <w:sz w:val="22"/>
                <w:szCs w:val="22"/>
                <w:highlight w:val="none"/>
              </w:rPr>
            </w:pPr>
            <w:r>
              <w:rPr>
                <w:rFonts w:hint="eastAsia" w:cs="仿宋"/>
                <w:color w:val="auto"/>
                <w:sz w:val="22"/>
                <w:szCs w:val="22"/>
                <w:highlight w:val="none"/>
              </w:rPr>
              <w:t>9.具有根据各地区需要作自定义设置系统开关功能；</w:t>
            </w:r>
          </w:p>
          <w:p>
            <w:pPr>
              <w:rPr>
                <w:rFonts w:cs="仿宋"/>
                <w:color w:val="auto"/>
                <w:sz w:val="22"/>
                <w:szCs w:val="22"/>
                <w:highlight w:val="none"/>
              </w:rPr>
            </w:pPr>
            <w:r>
              <w:rPr>
                <w:rFonts w:hint="eastAsia" w:cs="仿宋"/>
                <w:color w:val="auto"/>
                <w:sz w:val="22"/>
                <w:szCs w:val="22"/>
                <w:highlight w:val="none"/>
              </w:rPr>
              <w:t>10.具有发布通知公告，并在各终端显示功能。</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continue"/>
            <w:vAlign w:val="center"/>
          </w:tcPr>
          <w:p>
            <w:pPr>
              <w:jc w:val="center"/>
              <w:rPr>
                <w:rFonts w:cs="仿宋"/>
                <w:color w:val="auto"/>
                <w:sz w:val="22"/>
                <w:szCs w:val="22"/>
                <w:highlight w:val="none"/>
              </w:rPr>
            </w:pPr>
          </w:p>
        </w:tc>
        <w:tc>
          <w:tcPr>
            <w:tcW w:w="1255" w:type="dxa"/>
            <w:vMerge w:val="continue"/>
            <w:vAlign w:val="center"/>
          </w:tcPr>
          <w:p>
            <w:pPr>
              <w:spacing w:line="560" w:lineRule="exact"/>
              <w:jc w:val="center"/>
              <w:rPr>
                <w:rFonts w:cs="仿宋"/>
                <w:color w:val="auto"/>
                <w:sz w:val="22"/>
                <w:szCs w:val="22"/>
                <w:highlight w:val="none"/>
              </w:rPr>
            </w:pPr>
          </w:p>
        </w:tc>
        <w:tc>
          <w:tcPr>
            <w:tcW w:w="5584" w:type="dxa"/>
          </w:tcPr>
          <w:p>
            <w:pPr>
              <w:rPr>
                <w:rFonts w:cs="仿宋"/>
                <w:color w:val="auto"/>
                <w:sz w:val="22"/>
                <w:szCs w:val="22"/>
                <w:highlight w:val="none"/>
              </w:rPr>
            </w:pPr>
            <w:r>
              <w:rPr>
                <w:rFonts w:hint="eastAsia" w:cs="仿宋"/>
                <w:color w:val="auto"/>
                <w:sz w:val="22"/>
                <w:szCs w:val="22"/>
                <w:highlight w:val="none"/>
              </w:rPr>
              <w:t>供镇级改厕主管部门使用，需实现功能：</w:t>
            </w:r>
          </w:p>
          <w:p>
            <w:pPr>
              <w:rPr>
                <w:rFonts w:cs="仿宋"/>
                <w:color w:val="auto"/>
                <w:sz w:val="22"/>
                <w:szCs w:val="22"/>
                <w:highlight w:val="none"/>
              </w:rPr>
            </w:pPr>
            <w:r>
              <w:rPr>
                <w:rFonts w:hint="eastAsia" w:cs="仿宋"/>
                <w:color w:val="auto"/>
                <w:sz w:val="22"/>
                <w:szCs w:val="22"/>
                <w:highlight w:val="none"/>
              </w:rPr>
              <w:t>1.具有查看村级抽厕、维修数据明细；</w:t>
            </w:r>
          </w:p>
          <w:p>
            <w:pPr>
              <w:rPr>
                <w:rFonts w:cs="仿宋"/>
                <w:color w:val="auto"/>
                <w:sz w:val="22"/>
                <w:szCs w:val="22"/>
                <w:highlight w:val="none"/>
              </w:rPr>
            </w:pPr>
            <w:r>
              <w:rPr>
                <w:rFonts w:hint="eastAsia" w:cs="仿宋"/>
                <w:color w:val="auto"/>
                <w:sz w:val="22"/>
                <w:szCs w:val="22"/>
                <w:highlight w:val="none"/>
              </w:rPr>
              <w:t>2.具有查看各工作人员满意度；</w:t>
            </w:r>
          </w:p>
          <w:p>
            <w:pPr>
              <w:rPr>
                <w:rFonts w:cs="仿宋"/>
                <w:color w:val="auto"/>
                <w:sz w:val="22"/>
                <w:szCs w:val="22"/>
                <w:highlight w:val="none"/>
              </w:rPr>
            </w:pPr>
            <w:r>
              <w:rPr>
                <w:rFonts w:hint="eastAsia" w:cs="仿宋"/>
                <w:color w:val="auto"/>
                <w:sz w:val="22"/>
                <w:szCs w:val="22"/>
                <w:highlight w:val="none"/>
              </w:rPr>
              <w:t>3.具有改厕用户信息管理功能；</w:t>
            </w:r>
          </w:p>
          <w:p>
            <w:pPr>
              <w:rPr>
                <w:rFonts w:cs="仿宋"/>
                <w:color w:val="auto"/>
                <w:sz w:val="22"/>
                <w:szCs w:val="22"/>
                <w:highlight w:val="none"/>
              </w:rPr>
            </w:pPr>
            <w:r>
              <w:rPr>
                <w:rFonts w:hint="eastAsia" w:cs="仿宋"/>
                <w:color w:val="auto"/>
                <w:sz w:val="22"/>
                <w:szCs w:val="22"/>
                <w:highlight w:val="none"/>
              </w:rPr>
              <w:t>4.具有查阅本镇村民反馈信息和回复情况；</w:t>
            </w:r>
          </w:p>
          <w:p>
            <w:pPr>
              <w:rPr>
                <w:rFonts w:cs="仿宋"/>
                <w:color w:val="auto"/>
                <w:sz w:val="22"/>
                <w:szCs w:val="22"/>
                <w:highlight w:val="none"/>
              </w:rPr>
            </w:pPr>
            <w:r>
              <w:rPr>
                <w:rFonts w:hint="eastAsia" w:cs="仿宋"/>
                <w:color w:val="auto"/>
                <w:sz w:val="22"/>
                <w:szCs w:val="22"/>
                <w:highlight w:val="none"/>
              </w:rPr>
              <w:t>5.具有查看抽粪车作业信息、作业明细；</w:t>
            </w:r>
          </w:p>
          <w:p>
            <w:pPr>
              <w:rPr>
                <w:rFonts w:cs="仿宋"/>
                <w:color w:val="auto"/>
                <w:sz w:val="22"/>
                <w:szCs w:val="22"/>
                <w:highlight w:val="none"/>
              </w:rPr>
            </w:pPr>
            <w:r>
              <w:rPr>
                <w:rFonts w:hint="eastAsia" w:cs="仿宋"/>
                <w:color w:val="auto"/>
                <w:sz w:val="22"/>
                <w:szCs w:val="22"/>
                <w:highlight w:val="none"/>
              </w:rPr>
              <w:t>6.具有抽粪车乱排乱倒告警功能；</w:t>
            </w:r>
          </w:p>
          <w:p>
            <w:pPr>
              <w:rPr>
                <w:rFonts w:cs="仿宋"/>
                <w:color w:val="auto"/>
                <w:sz w:val="22"/>
                <w:szCs w:val="22"/>
                <w:highlight w:val="none"/>
              </w:rPr>
            </w:pPr>
            <w:r>
              <w:rPr>
                <w:rFonts w:hint="eastAsia" w:cs="仿宋"/>
                <w:color w:val="auto"/>
                <w:sz w:val="22"/>
                <w:szCs w:val="22"/>
                <w:highlight w:val="none"/>
              </w:rPr>
              <w:t>7.具有在统计各项数据的基础上，进行数据分析。</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Merge w:val="continue"/>
            <w:vAlign w:val="center"/>
          </w:tcPr>
          <w:p>
            <w:pPr>
              <w:jc w:val="center"/>
              <w:rPr>
                <w:rFonts w:cs="仿宋"/>
                <w:color w:val="auto"/>
                <w:sz w:val="22"/>
                <w:szCs w:val="22"/>
                <w:highlight w:val="none"/>
              </w:rPr>
            </w:pPr>
          </w:p>
        </w:tc>
        <w:tc>
          <w:tcPr>
            <w:tcW w:w="1255" w:type="dxa"/>
            <w:vMerge w:val="continue"/>
            <w:vAlign w:val="center"/>
          </w:tcPr>
          <w:p>
            <w:pPr>
              <w:spacing w:line="560" w:lineRule="exact"/>
              <w:jc w:val="center"/>
              <w:rPr>
                <w:rFonts w:cs="仿宋"/>
                <w:color w:val="auto"/>
                <w:sz w:val="22"/>
                <w:szCs w:val="22"/>
                <w:highlight w:val="none"/>
              </w:rPr>
            </w:pPr>
          </w:p>
        </w:tc>
        <w:tc>
          <w:tcPr>
            <w:tcW w:w="5584" w:type="dxa"/>
          </w:tcPr>
          <w:p>
            <w:pPr>
              <w:rPr>
                <w:rFonts w:cs="仿宋"/>
                <w:color w:val="auto"/>
                <w:sz w:val="22"/>
                <w:szCs w:val="22"/>
                <w:highlight w:val="none"/>
              </w:rPr>
            </w:pPr>
            <w:r>
              <w:rPr>
                <w:rFonts w:hint="eastAsia" w:cs="仿宋"/>
                <w:color w:val="auto"/>
                <w:sz w:val="22"/>
                <w:szCs w:val="22"/>
                <w:highlight w:val="none"/>
              </w:rPr>
              <w:t>管护单位使用，需实现功能：</w:t>
            </w:r>
          </w:p>
          <w:p>
            <w:pPr>
              <w:rPr>
                <w:rFonts w:cs="仿宋"/>
                <w:color w:val="auto"/>
                <w:sz w:val="22"/>
                <w:szCs w:val="22"/>
                <w:highlight w:val="none"/>
              </w:rPr>
            </w:pPr>
            <w:r>
              <w:rPr>
                <w:rFonts w:hint="eastAsia" w:cs="仿宋"/>
                <w:color w:val="auto"/>
                <w:sz w:val="22"/>
                <w:szCs w:val="22"/>
                <w:highlight w:val="none"/>
              </w:rPr>
              <w:t>具有查看所负责区域的农村卫生厕所的所有管护情况，如抽厕情况、维修情况、车辆厕污乱倒告警、镇/街办信息、车辆信息、维修员信息、处理站信息等。</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1.6</w:t>
            </w:r>
          </w:p>
        </w:tc>
        <w:tc>
          <w:tcPr>
            <w:tcW w:w="1255" w:type="dxa"/>
            <w:vAlign w:val="center"/>
          </w:tcPr>
          <w:p>
            <w:pPr>
              <w:spacing w:line="560" w:lineRule="exact"/>
              <w:jc w:val="center"/>
              <w:rPr>
                <w:rFonts w:cs="仿宋"/>
                <w:color w:val="auto"/>
                <w:sz w:val="22"/>
                <w:szCs w:val="22"/>
                <w:highlight w:val="none"/>
              </w:rPr>
            </w:pPr>
            <w:r>
              <w:rPr>
                <w:rFonts w:hint="eastAsia" w:cs="仿宋"/>
                <w:color w:val="auto"/>
                <w:sz w:val="22"/>
                <w:szCs w:val="22"/>
                <w:highlight w:val="none"/>
              </w:rPr>
              <w:t>数据管理系统</w:t>
            </w:r>
          </w:p>
        </w:tc>
        <w:tc>
          <w:tcPr>
            <w:tcW w:w="5584" w:type="dxa"/>
            <w:vAlign w:val="center"/>
          </w:tcPr>
          <w:p>
            <w:pPr>
              <w:rPr>
                <w:rFonts w:cs="仿宋"/>
                <w:color w:val="auto"/>
                <w:sz w:val="22"/>
                <w:szCs w:val="22"/>
                <w:highlight w:val="none"/>
              </w:rPr>
            </w:pPr>
            <w:r>
              <w:rPr>
                <w:rFonts w:hint="eastAsia" w:cs="仿宋"/>
                <w:color w:val="auto"/>
                <w:sz w:val="22"/>
                <w:szCs w:val="22"/>
                <w:highlight w:val="none"/>
              </w:rPr>
              <w:t>由县级改厕主管部门和镇级改厕主管部门使用，支持农村卫生厕所的基础数据管理，可查看管护单位信息、镇信息、村庄信息、改厕档案信息、改厕档案审核、改厕用户信息、协管员信息、车辆信息、维修员信息、服务站信息、中转站信息、改厕报抽、改厕报修、改厕报警、车辆作业统计、维修作业统计、作业来源统计、司机作业统计、村管理人员作业统计、镇作业统计、系统开关、通知公告发布等</w:t>
            </w:r>
          </w:p>
        </w:tc>
        <w:tc>
          <w:tcPr>
            <w:tcW w:w="987" w:type="dxa"/>
            <w:vMerge w:val="continue"/>
            <w:vAlign w:val="center"/>
          </w:tcPr>
          <w:p>
            <w:pPr>
              <w:jc w:val="center"/>
              <w:rPr>
                <w:rFonts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1.7</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智能电话系统</w:t>
            </w:r>
          </w:p>
        </w:tc>
        <w:tc>
          <w:tcPr>
            <w:tcW w:w="5584" w:type="dxa"/>
            <w:vAlign w:val="center"/>
          </w:tcPr>
          <w:p>
            <w:pPr>
              <w:rPr>
                <w:rFonts w:cs="仿宋"/>
                <w:color w:val="auto"/>
                <w:sz w:val="22"/>
                <w:szCs w:val="22"/>
                <w:highlight w:val="none"/>
              </w:rPr>
            </w:pPr>
            <w:r>
              <w:rPr>
                <w:rFonts w:hint="eastAsia" w:cs="仿宋"/>
                <w:color w:val="auto"/>
                <w:sz w:val="22"/>
                <w:szCs w:val="22"/>
                <w:highlight w:val="none"/>
              </w:rPr>
              <w:t>1.具有村民拨打智能服务电话进行报抽、报修、投诉或建议功能；</w:t>
            </w:r>
          </w:p>
          <w:p>
            <w:pPr>
              <w:rPr>
                <w:rFonts w:cs="仿宋"/>
                <w:color w:val="auto"/>
                <w:sz w:val="22"/>
                <w:szCs w:val="22"/>
                <w:highlight w:val="none"/>
              </w:rPr>
            </w:pPr>
            <w:r>
              <w:rPr>
                <w:rFonts w:hint="eastAsia" w:cs="仿宋"/>
                <w:color w:val="auto"/>
                <w:sz w:val="22"/>
                <w:szCs w:val="22"/>
                <w:highlight w:val="none"/>
              </w:rPr>
              <w:t>2.具有人工客服接听功能；</w:t>
            </w:r>
          </w:p>
          <w:p>
            <w:pPr>
              <w:rPr>
                <w:rFonts w:cs="仿宋"/>
                <w:color w:val="auto"/>
                <w:sz w:val="22"/>
                <w:szCs w:val="22"/>
                <w:highlight w:val="none"/>
              </w:rPr>
            </w:pPr>
            <w:r>
              <w:rPr>
                <w:rFonts w:hint="eastAsia" w:cs="仿宋"/>
                <w:color w:val="auto"/>
                <w:sz w:val="22"/>
                <w:szCs w:val="22"/>
                <w:highlight w:val="none"/>
              </w:rPr>
              <w:t>3.含4.7万户村民3年使用服务。</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2</w:t>
            </w:r>
          </w:p>
        </w:tc>
        <w:tc>
          <w:tcPr>
            <w:tcW w:w="7826" w:type="dxa"/>
            <w:gridSpan w:val="3"/>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云服务器服务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2.1</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云服务器租赁</w:t>
            </w:r>
          </w:p>
        </w:tc>
        <w:tc>
          <w:tcPr>
            <w:tcW w:w="5584" w:type="dxa"/>
            <w:vAlign w:val="center"/>
          </w:tcPr>
          <w:p>
            <w:pPr>
              <w:rPr>
                <w:rFonts w:cs="仿宋"/>
                <w:color w:val="auto"/>
                <w:sz w:val="22"/>
                <w:szCs w:val="22"/>
                <w:highlight w:val="none"/>
              </w:rPr>
            </w:pPr>
            <w:r>
              <w:rPr>
                <w:rFonts w:hint="eastAsia" w:cs="仿宋"/>
                <w:color w:val="auto"/>
                <w:sz w:val="22"/>
                <w:szCs w:val="22"/>
                <w:highlight w:val="none"/>
              </w:rPr>
              <w:t>CPU≥8核，内存≥32G，Linux系统，硬盘≥3TB，20M带宽。</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2.2</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云服务器运维服务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1、日常巡检：检查数据库备份情况，检查数据库运行状况，错误日志分析，数据库空间的情况使用及规划管理等；</w:t>
            </w:r>
          </w:p>
          <w:p>
            <w:pPr>
              <w:rPr>
                <w:rFonts w:cs="仿宋"/>
                <w:color w:val="auto"/>
                <w:sz w:val="22"/>
                <w:szCs w:val="22"/>
                <w:highlight w:val="none"/>
              </w:rPr>
            </w:pPr>
            <w:r>
              <w:rPr>
                <w:rFonts w:hint="eastAsia" w:cs="仿宋"/>
                <w:color w:val="auto"/>
                <w:sz w:val="22"/>
                <w:szCs w:val="22"/>
                <w:highlight w:val="none"/>
              </w:rPr>
              <w:t>2、服务器、网络、应用系统的日常监控、报警，故障排除、故障优化等；</w:t>
            </w:r>
          </w:p>
          <w:p>
            <w:pPr>
              <w:rPr>
                <w:rFonts w:cs="仿宋"/>
                <w:color w:val="auto"/>
                <w:sz w:val="22"/>
                <w:szCs w:val="22"/>
                <w:highlight w:val="none"/>
              </w:rPr>
            </w:pPr>
            <w:r>
              <w:rPr>
                <w:rFonts w:hint="eastAsia" w:cs="仿宋"/>
                <w:color w:val="auto"/>
                <w:sz w:val="22"/>
                <w:szCs w:val="22"/>
                <w:highlight w:val="none"/>
              </w:rPr>
              <w:t>3、性能优化：平台占用资源优化、平台运行效率优化等。</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3</w:t>
            </w:r>
          </w:p>
        </w:tc>
        <w:tc>
          <w:tcPr>
            <w:tcW w:w="7826" w:type="dxa"/>
            <w:gridSpan w:val="3"/>
            <w:vAlign w:val="center"/>
          </w:tcPr>
          <w:p>
            <w:pPr>
              <w:spacing w:line="360" w:lineRule="auto"/>
              <w:jc w:val="center"/>
              <w:rPr>
                <w:rFonts w:cs="仿宋"/>
                <w:color w:val="auto"/>
                <w:sz w:val="22"/>
                <w:szCs w:val="22"/>
                <w:highlight w:val="none"/>
                <w:lang w:bidi="ar"/>
              </w:rPr>
            </w:pPr>
            <w:r>
              <w:rPr>
                <w:rFonts w:hint="eastAsia" w:cs="仿宋"/>
                <w:b/>
                <w:color w:val="auto"/>
                <w:sz w:val="22"/>
                <w:szCs w:val="22"/>
                <w:highlight w:val="none"/>
              </w:rPr>
              <w:t>吸粪车智能集成服务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3.1</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车载视频监控系统</w:t>
            </w:r>
          </w:p>
        </w:tc>
        <w:tc>
          <w:tcPr>
            <w:tcW w:w="5584" w:type="dxa"/>
            <w:vAlign w:val="center"/>
          </w:tcPr>
          <w:p>
            <w:pPr>
              <w:pStyle w:val="26"/>
              <w:autoSpaceDE w:val="0"/>
              <w:autoSpaceDN w:val="0"/>
              <w:spacing w:beforeAutospacing="0" w:afterAutospacing="0"/>
              <w:rPr>
                <w:rFonts w:cs="仿宋"/>
                <w:b/>
                <w:color w:val="auto"/>
                <w:sz w:val="22"/>
                <w:szCs w:val="22"/>
                <w:highlight w:val="none"/>
              </w:rPr>
            </w:pPr>
            <w:r>
              <w:rPr>
                <w:rFonts w:cs="仿宋"/>
                <w:b/>
                <w:color w:val="auto"/>
                <w:sz w:val="22"/>
                <w:szCs w:val="22"/>
                <w:highlight w:val="none"/>
                <w:lang w:bidi="ar"/>
              </w:rPr>
              <w:t>监控系统：</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 xml:space="preserve">成像器件：≥1/4″CMOS AHD </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有效分辨率：≥1280（H）X720（V）</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防水等级：≥IP67</w:t>
            </w:r>
          </w:p>
          <w:p>
            <w:pPr>
              <w:pStyle w:val="26"/>
              <w:autoSpaceDE w:val="0"/>
              <w:autoSpaceDN w:val="0"/>
              <w:spacing w:beforeAutospacing="0" w:afterAutospacing="0"/>
              <w:rPr>
                <w:rFonts w:cs="仿宋"/>
                <w:b/>
                <w:color w:val="auto"/>
                <w:sz w:val="22"/>
                <w:szCs w:val="22"/>
                <w:highlight w:val="none"/>
              </w:rPr>
            </w:pPr>
            <w:r>
              <w:rPr>
                <w:rFonts w:cs="仿宋"/>
                <w:b/>
                <w:color w:val="auto"/>
                <w:sz w:val="22"/>
                <w:szCs w:val="22"/>
                <w:highlight w:val="none"/>
                <w:lang w:bidi="ar"/>
              </w:rPr>
              <w:t>主机：</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（1）设备接口：具有≥1路RS232接口，具有SD卡槽：配备SD卡≥128G；具有TTS语音播报功能；具有≥4路D1/720 AHD；具有≥1路AV OUT输出；具有≥1路侦测接口。</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（2）内置电池：3.7V 500mAh磷酸铁锂电池</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 xml:space="preserve">     工作温度：-25℃—+80℃</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 xml:space="preserve">     贮存温度：-40℃—+85℃</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 xml:space="preserve">     视频压缩格式：H.264或MPEG-4或MJPEG</w:t>
            </w:r>
          </w:p>
          <w:p>
            <w:pPr>
              <w:pStyle w:val="26"/>
              <w:autoSpaceDE w:val="0"/>
              <w:autoSpaceDN w:val="0"/>
              <w:spacing w:beforeAutospacing="0" w:afterAutospacing="0"/>
              <w:rPr>
                <w:rFonts w:cs="仿宋"/>
                <w:bCs/>
                <w:color w:val="auto"/>
                <w:sz w:val="22"/>
                <w:szCs w:val="22"/>
                <w:highlight w:val="none"/>
              </w:rPr>
            </w:pPr>
            <w:r>
              <w:rPr>
                <w:rFonts w:cs="仿宋"/>
                <w:bCs/>
                <w:color w:val="auto"/>
                <w:sz w:val="22"/>
                <w:szCs w:val="22"/>
                <w:highlight w:val="none"/>
                <w:lang w:bidi="ar"/>
              </w:rPr>
              <w:t>（3）ACC关延时录像功能：终端采用开机录像模式，ACC关时，设备可以延时录像一段时间，区间在1min-15h。</w:t>
            </w:r>
          </w:p>
          <w:p>
            <w:pPr>
              <w:autoSpaceDE w:val="0"/>
              <w:rPr>
                <w:rFonts w:cs="仿宋"/>
                <w:bCs/>
                <w:color w:val="auto"/>
                <w:sz w:val="22"/>
                <w:szCs w:val="22"/>
                <w:highlight w:val="none"/>
                <w:lang w:bidi="ar"/>
              </w:rPr>
            </w:pPr>
            <w:r>
              <w:rPr>
                <w:rFonts w:hint="eastAsia" w:cs="仿宋"/>
                <w:bCs/>
                <w:color w:val="auto"/>
                <w:sz w:val="22"/>
                <w:szCs w:val="22"/>
                <w:highlight w:val="none"/>
                <w:lang w:bidi="ar"/>
              </w:rPr>
              <w:t>（4）升级功能：支持本地和后台服务器远程升级</w:t>
            </w:r>
          </w:p>
          <w:p>
            <w:pPr>
              <w:pStyle w:val="26"/>
              <w:spacing w:beforeAutospacing="0" w:afterAutospacing="0"/>
              <w:jc w:val="both"/>
              <w:rPr>
                <w:rFonts w:cs="仿宋"/>
                <w:b/>
                <w:color w:val="auto"/>
                <w:sz w:val="22"/>
                <w:szCs w:val="22"/>
                <w:highlight w:val="none"/>
              </w:rPr>
            </w:pPr>
            <w:r>
              <w:rPr>
                <w:rFonts w:cs="仿宋"/>
                <w:b/>
                <w:color w:val="auto"/>
                <w:kern w:val="2"/>
                <w:sz w:val="22"/>
                <w:szCs w:val="22"/>
                <w:highlight w:val="none"/>
                <w:lang w:bidi="ar"/>
              </w:rPr>
              <w:t>定位系统：</w:t>
            </w:r>
          </w:p>
          <w:p>
            <w:pPr>
              <w:widowControl/>
              <w:jc w:val="left"/>
              <w:rPr>
                <w:color w:val="auto"/>
                <w:sz w:val="22"/>
                <w:szCs w:val="22"/>
                <w:highlight w:val="none"/>
              </w:rPr>
            </w:pPr>
            <w:r>
              <w:rPr>
                <w:rFonts w:hint="eastAsia" w:cs="仿宋"/>
                <w:color w:val="auto"/>
                <w:sz w:val="22"/>
                <w:szCs w:val="22"/>
                <w:highlight w:val="none"/>
                <w:lang w:bidi="ar"/>
              </w:rPr>
              <w:t>能提供实时的时间、经度、纬度、速度、方向等定位状态信息，可存储到终端内部，同时通过无线通信方式上传至监控中心。</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3.2</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车载智能液位监测系统</w:t>
            </w:r>
          </w:p>
        </w:tc>
        <w:tc>
          <w:tcPr>
            <w:tcW w:w="5584" w:type="dxa"/>
            <w:vAlign w:val="center"/>
          </w:tcPr>
          <w:p>
            <w:pPr>
              <w:rPr>
                <w:rFonts w:cs="仿宋"/>
                <w:color w:val="auto"/>
                <w:sz w:val="22"/>
                <w:szCs w:val="22"/>
                <w:highlight w:val="none"/>
              </w:rPr>
            </w:pPr>
            <w:r>
              <w:rPr>
                <w:rFonts w:hint="eastAsia" w:cs="仿宋"/>
                <w:color w:val="auto"/>
                <w:sz w:val="22"/>
                <w:szCs w:val="22"/>
                <w:highlight w:val="none"/>
              </w:rPr>
              <w:t>测距方式：采用超声波或其它不被环境影响的测距方式；</w:t>
            </w:r>
          </w:p>
          <w:p>
            <w:pPr>
              <w:rPr>
                <w:rFonts w:cs="仿宋"/>
                <w:color w:val="auto"/>
                <w:sz w:val="22"/>
                <w:szCs w:val="22"/>
                <w:highlight w:val="none"/>
              </w:rPr>
            </w:pPr>
            <w:r>
              <w:rPr>
                <w:rFonts w:hint="eastAsia" w:cs="仿宋"/>
                <w:color w:val="auto"/>
                <w:sz w:val="22"/>
                <w:szCs w:val="22"/>
                <w:highlight w:val="none"/>
              </w:rPr>
              <w:t>测量范围：25-250(cm)；</w:t>
            </w:r>
          </w:p>
          <w:p>
            <w:pPr>
              <w:rPr>
                <w:rFonts w:cs="仿宋"/>
                <w:color w:val="auto"/>
                <w:sz w:val="22"/>
                <w:szCs w:val="22"/>
                <w:highlight w:val="none"/>
              </w:rPr>
            </w:pPr>
            <w:r>
              <w:rPr>
                <w:rFonts w:hint="eastAsia" w:cs="仿宋"/>
                <w:color w:val="auto"/>
                <w:sz w:val="22"/>
                <w:szCs w:val="22"/>
                <w:highlight w:val="none"/>
              </w:rPr>
              <w:t>测量精度：≤1(cm)；</w:t>
            </w:r>
          </w:p>
          <w:p>
            <w:pPr>
              <w:rPr>
                <w:rFonts w:cs="仿宋"/>
                <w:color w:val="auto"/>
                <w:sz w:val="22"/>
                <w:szCs w:val="22"/>
                <w:highlight w:val="none"/>
              </w:rPr>
            </w:pPr>
            <w:r>
              <w:rPr>
                <w:rFonts w:hint="eastAsia" w:cs="仿宋"/>
                <w:color w:val="auto"/>
                <w:sz w:val="22"/>
                <w:szCs w:val="22"/>
                <w:highlight w:val="none"/>
              </w:rPr>
              <w:t>测量频率：2min/次（可调节）；</w:t>
            </w:r>
          </w:p>
          <w:p>
            <w:pPr>
              <w:rPr>
                <w:rFonts w:cs="仿宋"/>
                <w:color w:val="auto"/>
                <w:sz w:val="22"/>
                <w:szCs w:val="22"/>
                <w:highlight w:val="none"/>
              </w:rPr>
            </w:pPr>
            <w:r>
              <w:rPr>
                <w:rFonts w:hint="eastAsia" w:cs="仿宋"/>
                <w:color w:val="auto"/>
                <w:sz w:val="22"/>
                <w:szCs w:val="22"/>
                <w:highlight w:val="none"/>
              </w:rPr>
              <w:t>外壳：不锈钢（或其它材质）；</w:t>
            </w:r>
          </w:p>
          <w:p>
            <w:pPr>
              <w:rPr>
                <w:rFonts w:cs="仿宋"/>
                <w:color w:val="auto"/>
                <w:sz w:val="22"/>
                <w:szCs w:val="22"/>
                <w:highlight w:val="none"/>
              </w:rPr>
            </w:pPr>
            <w:r>
              <w:rPr>
                <w:rFonts w:hint="eastAsia" w:cs="仿宋"/>
                <w:color w:val="auto"/>
                <w:sz w:val="22"/>
                <w:szCs w:val="22"/>
                <w:highlight w:val="none"/>
              </w:rPr>
              <w:t>传感器：一体封闭式防水探头；</w:t>
            </w:r>
          </w:p>
          <w:p>
            <w:pPr>
              <w:rPr>
                <w:rFonts w:cs="仿宋"/>
                <w:color w:val="auto"/>
                <w:sz w:val="22"/>
                <w:szCs w:val="22"/>
                <w:highlight w:val="none"/>
              </w:rPr>
            </w:pPr>
            <w:r>
              <w:rPr>
                <w:rFonts w:hint="eastAsia" w:cs="仿宋"/>
                <w:color w:val="auto"/>
                <w:sz w:val="22"/>
                <w:szCs w:val="22"/>
                <w:highlight w:val="none"/>
              </w:rPr>
              <w:t>工作温度：-15℃到+60℃；</w:t>
            </w:r>
          </w:p>
          <w:p>
            <w:pPr>
              <w:rPr>
                <w:rFonts w:cs="仿宋"/>
                <w:color w:val="auto"/>
                <w:sz w:val="22"/>
                <w:szCs w:val="22"/>
                <w:highlight w:val="none"/>
              </w:rPr>
            </w:pPr>
            <w:r>
              <w:rPr>
                <w:rFonts w:hint="eastAsia" w:cs="仿宋"/>
                <w:color w:val="auto"/>
                <w:sz w:val="22"/>
                <w:szCs w:val="22"/>
                <w:highlight w:val="none"/>
              </w:rPr>
              <w:t>存储温度：-25℃到+80℃ ；</w:t>
            </w:r>
          </w:p>
          <w:p>
            <w:pPr>
              <w:rPr>
                <w:rFonts w:cs="仿宋"/>
                <w:color w:val="auto"/>
                <w:sz w:val="22"/>
                <w:szCs w:val="22"/>
                <w:highlight w:val="none"/>
              </w:rPr>
            </w:pPr>
            <w:r>
              <w:rPr>
                <w:rFonts w:hint="eastAsia" w:cs="仿宋"/>
                <w:color w:val="auto"/>
                <w:sz w:val="22"/>
                <w:szCs w:val="22"/>
                <w:highlight w:val="none"/>
              </w:rPr>
              <w:t>工作电压：3.3V～12V；</w:t>
            </w:r>
          </w:p>
          <w:p>
            <w:pPr>
              <w:rPr>
                <w:rFonts w:cs="仿宋"/>
                <w:color w:val="auto"/>
                <w:sz w:val="22"/>
                <w:szCs w:val="22"/>
                <w:highlight w:val="none"/>
              </w:rPr>
            </w:pPr>
            <w:r>
              <w:rPr>
                <w:rFonts w:hint="eastAsia" w:cs="仿宋"/>
                <w:color w:val="auto"/>
                <w:sz w:val="22"/>
                <w:szCs w:val="22"/>
                <w:highlight w:val="none"/>
              </w:rPr>
              <w:t>测距角度：＜40°；</w:t>
            </w:r>
          </w:p>
          <w:p>
            <w:pPr>
              <w:rPr>
                <w:rFonts w:cs="仿宋"/>
                <w:color w:val="auto"/>
                <w:sz w:val="22"/>
                <w:szCs w:val="22"/>
                <w:highlight w:val="none"/>
              </w:rPr>
            </w:pPr>
            <w:r>
              <w:rPr>
                <w:rFonts w:hint="eastAsia" w:cs="仿宋"/>
                <w:color w:val="auto"/>
                <w:sz w:val="22"/>
                <w:szCs w:val="22"/>
                <w:highlight w:val="none"/>
              </w:rPr>
              <w:t>平均电流：＜10mA；</w:t>
            </w:r>
          </w:p>
          <w:p>
            <w:pPr>
              <w:rPr>
                <w:rFonts w:cs="仿宋"/>
                <w:color w:val="auto"/>
                <w:sz w:val="22"/>
                <w:szCs w:val="22"/>
                <w:highlight w:val="none"/>
              </w:rPr>
            </w:pPr>
            <w:r>
              <w:rPr>
                <w:rFonts w:hint="eastAsia" w:cs="仿宋"/>
                <w:color w:val="auto"/>
                <w:sz w:val="22"/>
                <w:szCs w:val="22"/>
                <w:highlight w:val="none"/>
              </w:rPr>
              <w:t>盲区距离：＜28cm；</w:t>
            </w:r>
          </w:p>
          <w:p>
            <w:pPr>
              <w:rPr>
                <w:rFonts w:cs="仿宋"/>
                <w:color w:val="auto"/>
                <w:sz w:val="22"/>
                <w:szCs w:val="22"/>
                <w:highlight w:val="none"/>
              </w:rPr>
            </w:pPr>
            <w:r>
              <w:rPr>
                <w:rFonts w:hint="eastAsia" w:cs="仿宋"/>
                <w:color w:val="auto"/>
                <w:sz w:val="22"/>
                <w:szCs w:val="22"/>
                <w:highlight w:val="none"/>
              </w:rPr>
              <w:t>具有耐盐雾(NSS)性能。</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3.3</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吸粪车智能硬件集成、安装、调试服务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车载各硬件系统集成包含：功能集成、网络集成、软件界面集成、各类设备、子系统间的接口对接、协议对接、车载数据传输处理，解决各车载硬件系统与智能管护软件系统之间的互连和互操作性等问题</w:t>
            </w:r>
          </w:p>
          <w:p>
            <w:pPr>
              <w:rPr>
                <w:rFonts w:cs="仿宋"/>
                <w:color w:val="auto"/>
                <w:sz w:val="22"/>
                <w:szCs w:val="22"/>
                <w:highlight w:val="none"/>
              </w:rPr>
            </w:pPr>
            <w:r>
              <w:rPr>
                <w:rFonts w:hint="eastAsia" w:cs="仿宋"/>
                <w:color w:val="auto"/>
                <w:sz w:val="22"/>
                <w:szCs w:val="22"/>
                <w:highlight w:val="none"/>
              </w:rPr>
              <w:t>车载硬件设备的运输、安装、调试；网线、数据线、扎带、螺丝等辅材耗材。</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3.4</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吸粪车智能硬件维护服务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设备运行状况检查、设备检修调试、设备保养、备品备件服务、故障处理、设备版本号升级服务；设备各系统安全运维、日常维护、故障恢复、系统更新。提供3年服务</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3.5</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车载设备物联网卡</w:t>
            </w:r>
          </w:p>
        </w:tc>
        <w:tc>
          <w:tcPr>
            <w:tcW w:w="5584" w:type="dxa"/>
            <w:vAlign w:val="center"/>
          </w:tcPr>
          <w:p>
            <w:pPr>
              <w:rPr>
                <w:rFonts w:cs="仿宋"/>
                <w:color w:val="auto"/>
                <w:sz w:val="22"/>
                <w:szCs w:val="22"/>
                <w:highlight w:val="none"/>
              </w:rPr>
            </w:pPr>
            <w:r>
              <w:rPr>
                <w:rFonts w:hint="eastAsia" w:cs="仿宋"/>
                <w:color w:val="auto"/>
                <w:sz w:val="22"/>
                <w:szCs w:val="22"/>
                <w:highlight w:val="none"/>
              </w:rPr>
              <w:t>用于车载视频监控数据流量传输，≥20G/月流量，提供3年服务。</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94张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4</w:t>
            </w:r>
          </w:p>
        </w:tc>
        <w:tc>
          <w:tcPr>
            <w:tcW w:w="7826" w:type="dxa"/>
            <w:gridSpan w:val="3"/>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化粪池智能集成服务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4.1</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化粪池智能液位前端系统</w:t>
            </w:r>
          </w:p>
        </w:tc>
        <w:tc>
          <w:tcPr>
            <w:tcW w:w="5584" w:type="dxa"/>
            <w:vAlign w:val="center"/>
          </w:tcPr>
          <w:p>
            <w:pPr>
              <w:rPr>
                <w:rFonts w:cs="仿宋"/>
                <w:color w:val="auto"/>
                <w:sz w:val="22"/>
                <w:szCs w:val="22"/>
                <w:highlight w:val="none"/>
              </w:rPr>
            </w:pPr>
            <w:r>
              <w:rPr>
                <w:rFonts w:hint="eastAsia" w:cs="仿宋"/>
                <w:color w:val="auto"/>
                <w:sz w:val="22"/>
                <w:szCs w:val="22"/>
                <w:highlight w:val="none"/>
              </w:rPr>
              <w:t>测距方式：采用超声波测距或其他不被环境影响的方式；</w:t>
            </w:r>
          </w:p>
          <w:p>
            <w:pPr>
              <w:rPr>
                <w:rFonts w:cs="仿宋"/>
                <w:color w:val="auto"/>
                <w:sz w:val="22"/>
                <w:szCs w:val="22"/>
                <w:highlight w:val="none"/>
              </w:rPr>
            </w:pPr>
            <w:r>
              <w:rPr>
                <w:rFonts w:hint="eastAsia" w:cs="仿宋"/>
                <w:color w:val="auto"/>
                <w:sz w:val="22"/>
                <w:szCs w:val="22"/>
                <w:highlight w:val="none"/>
              </w:rPr>
              <w:t>传输方式：NB-IoT或4G或5G等无线传输；</w:t>
            </w:r>
          </w:p>
          <w:p>
            <w:pPr>
              <w:rPr>
                <w:rFonts w:cs="仿宋"/>
                <w:color w:val="auto"/>
                <w:sz w:val="22"/>
                <w:szCs w:val="22"/>
                <w:highlight w:val="none"/>
              </w:rPr>
            </w:pPr>
            <w:r>
              <w:rPr>
                <w:rFonts w:hint="eastAsia" w:cs="仿宋"/>
                <w:color w:val="auto"/>
                <w:sz w:val="22"/>
                <w:szCs w:val="22"/>
                <w:highlight w:val="none"/>
              </w:rPr>
              <w:t>测量范围：25-250(cm)；</w:t>
            </w:r>
          </w:p>
          <w:p>
            <w:pPr>
              <w:rPr>
                <w:rFonts w:cs="仿宋"/>
                <w:color w:val="auto"/>
                <w:sz w:val="22"/>
                <w:szCs w:val="22"/>
                <w:highlight w:val="none"/>
              </w:rPr>
            </w:pPr>
            <w:r>
              <w:rPr>
                <w:rFonts w:hint="eastAsia" w:cs="仿宋"/>
                <w:color w:val="auto"/>
                <w:sz w:val="22"/>
                <w:szCs w:val="22"/>
                <w:highlight w:val="none"/>
              </w:rPr>
              <w:t>测量精度：≤1(cm)；</w:t>
            </w:r>
          </w:p>
          <w:p>
            <w:pPr>
              <w:rPr>
                <w:rFonts w:cs="仿宋"/>
                <w:color w:val="auto"/>
                <w:sz w:val="22"/>
                <w:szCs w:val="22"/>
                <w:highlight w:val="none"/>
              </w:rPr>
            </w:pPr>
            <w:r>
              <w:rPr>
                <w:rFonts w:hint="eastAsia" w:cs="仿宋"/>
                <w:color w:val="auto"/>
                <w:sz w:val="22"/>
                <w:szCs w:val="22"/>
                <w:highlight w:val="none"/>
              </w:rPr>
              <w:t>工作电压：3.3V～12V；</w:t>
            </w:r>
          </w:p>
          <w:p>
            <w:pPr>
              <w:rPr>
                <w:rFonts w:cs="仿宋"/>
                <w:color w:val="auto"/>
                <w:sz w:val="22"/>
                <w:szCs w:val="22"/>
                <w:highlight w:val="none"/>
              </w:rPr>
            </w:pPr>
            <w:r>
              <w:rPr>
                <w:rFonts w:hint="eastAsia" w:cs="仿宋"/>
                <w:color w:val="auto"/>
                <w:sz w:val="22"/>
                <w:szCs w:val="22"/>
                <w:highlight w:val="none"/>
              </w:rPr>
              <w:t>传感器：一体封闭式防水探头；</w:t>
            </w:r>
          </w:p>
          <w:p>
            <w:pPr>
              <w:rPr>
                <w:rFonts w:cs="仿宋"/>
                <w:color w:val="auto"/>
                <w:sz w:val="22"/>
                <w:szCs w:val="22"/>
                <w:highlight w:val="none"/>
              </w:rPr>
            </w:pPr>
            <w:r>
              <w:rPr>
                <w:rFonts w:hint="eastAsia" w:cs="仿宋"/>
                <w:color w:val="auto"/>
                <w:sz w:val="22"/>
                <w:szCs w:val="22"/>
                <w:highlight w:val="none"/>
              </w:rPr>
              <w:t>工作温度：-15℃到+60℃；</w:t>
            </w:r>
          </w:p>
          <w:p>
            <w:pPr>
              <w:rPr>
                <w:rFonts w:cs="仿宋"/>
                <w:color w:val="auto"/>
                <w:sz w:val="22"/>
                <w:szCs w:val="22"/>
                <w:highlight w:val="none"/>
              </w:rPr>
            </w:pPr>
            <w:r>
              <w:rPr>
                <w:rFonts w:hint="eastAsia" w:cs="仿宋"/>
                <w:color w:val="auto"/>
                <w:sz w:val="22"/>
                <w:szCs w:val="22"/>
                <w:highlight w:val="none"/>
              </w:rPr>
              <w:t>存储温度：-25℃到+80℃；</w:t>
            </w:r>
          </w:p>
          <w:p>
            <w:pPr>
              <w:rPr>
                <w:rFonts w:cs="仿宋"/>
                <w:color w:val="auto"/>
                <w:sz w:val="22"/>
                <w:szCs w:val="22"/>
                <w:highlight w:val="none"/>
              </w:rPr>
            </w:pPr>
            <w:r>
              <w:rPr>
                <w:rFonts w:hint="eastAsia" w:cs="仿宋"/>
                <w:color w:val="auto"/>
                <w:sz w:val="22"/>
                <w:szCs w:val="22"/>
                <w:highlight w:val="none"/>
              </w:rPr>
              <w:t>测距角度：＜40°；</w:t>
            </w:r>
          </w:p>
          <w:p>
            <w:pPr>
              <w:rPr>
                <w:rFonts w:cs="仿宋"/>
                <w:color w:val="auto"/>
                <w:sz w:val="22"/>
                <w:szCs w:val="22"/>
                <w:highlight w:val="none"/>
              </w:rPr>
            </w:pPr>
            <w:r>
              <w:rPr>
                <w:rFonts w:hint="eastAsia" w:cs="仿宋"/>
                <w:color w:val="auto"/>
                <w:sz w:val="22"/>
                <w:szCs w:val="22"/>
                <w:highlight w:val="none"/>
              </w:rPr>
              <w:t>盲区距离：＜28cm；</w:t>
            </w:r>
          </w:p>
          <w:p>
            <w:pPr>
              <w:rPr>
                <w:rFonts w:cs="仿宋"/>
                <w:color w:val="auto"/>
                <w:sz w:val="22"/>
                <w:szCs w:val="22"/>
                <w:highlight w:val="none"/>
              </w:rPr>
            </w:pPr>
            <w:r>
              <w:rPr>
                <w:rFonts w:hint="eastAsia" w:cs="仿宋"/>
                <w:color w:val="auto"/>
                <w:sz w:val="22"/>
                <w:szCs w:val="22"/>
                <w:highlight w:val="none"/>
              </w:rPr>
              <w:t>具有耐盐雾(NSS)性能。</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4.2</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化粪池视频监控系统</w:t>
            </w:r>
          </w:p>
        </w:tc>
        <w:tc>
          <w:tcPr>
            <w:tcW w:w="5584" w:type="dxa"/>
            <w:vAlign w:val="center"/>
          </w:tcPr>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图像传感器：≥1/2.8”CMOS、≥1920*1080@30fps</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支持4G（移动、联通，电信）网络传输，兼容3G（移动、联通、电信）</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支持H.265高效压缩算法</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 xml:space="preserve">支持超低照度，≤0.005Lux/F1.6(彩色),≤0.001Lux/F1.6(黑白) </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≥23倍光学变倍，≥16倍数字变倍</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采用高效红外阵列，低功耗，照射距离≥100m</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含太阳能板、预埋杆等</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4.3</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100m</w:t>
            </w:r>
            <w:r>
              <w:rPr>
                <w:rFonts w:hint="eastAsia" w:cs="仿宋"/>
                <w:color w:val="auto"/>
                <w:sz w:val="22"/>
                <w:szCs w:val="22"/>
                <w:highlight w:val="none"/>
                <w:vertAlign w:val="superscript"/>
              </w:rPr>
              <w:t>3</w:t>
            </w:r>
            <w:r>
              <w:rPr>
                <w:rFonts w:hint="eastAsia" w:cs="仿宋"/>
                <w:color w:val="auto"/>
                <w:sz w:val="22"/>
                <w:szCs w:val="22"/>
                <w:highlight w:val="none"/>
              </w:rPr>
              <w:t>大三格化粪池安装建设服务</w:t>
            </w:r>
          </w:p>
        </w:tc>
        <w:tc>
          <w:tcPr>
            <w:tcW w:w="5584" w:type="dxa"/>
            <w:vAlign w:val="center"/>
          </w:tcPr>
          <w:p>
            <w:pPr>
              <w:jc w:val="left"/>
              <w:rPr>
                <w:rFonts w:cs="仿宋"/>
                <w:color w:val="auto"/>
                <w:sz w:val="22"/>
                <w:szCs w:val="22"/>
                <w:highlight w:val="none"/>
              </w:rPr>
            </w:pPr>
            <w:r>
              <w:rPr>
                <w:rFonts w:hint="eastAsia" w:cs="仿宋"/>
                <w:color w:val="auto"/>
                <w:sz w:val="22"/>
                <w:szCs w:val="22"/>
                <w:highlight w:val="none"/>
              </w:rPr>
              <w:t>1.3:7灰土垫层或水泥拌合土垫层（根据土壤的含水率），厚度约30公分、商用混凝土（C30混凝土）垫层厚度约20公分，；</w:t>
            </w:r>
          </w:p>
          <w:p>
            <w:pPr>
              <w:jc w:val="left"/>
              <w:rPr>
                <w:rFonts w:cs="仿宋"/>
                <w:color w:val="auto"/>
                <w:sz w:val="22"/>
                <w:szCs w:val="22"/>
                <w:highlight w:val="none"/>
              </w:rPr>
            </w:pPr>
            <w:r>
              <w:rPr>
                <w:rFonts w:hint="eastAsia" w:cs="仿宋"/>
                <w:color w:val="auto"/>
                <w:sz w:val="22"/>
                <w:szCs w:val="22"/>
                <w:highlight w:val="none"/>
              </w:rPr>
              <w:t>2.污水处理设备：材质HDPE材质；壁厚：≥70mm；观察口：≥450mm;进出水口：≥200mm</w:t>
            </w:r>
          </w:p>
          <w:p>
            <w:pPr>
              <w:jc w:val="left"/>
              <w:rPr>
                <w:rFonts w:cs="仿宋"/>
                <w:color w:val="auto"/>
                <w:sz w:val="22"/>
                <w:szCs w:val="22"/>
                <w:highlight w:val="none"/>
              </w:rPr>
            </w:pPr>
            <w:r>
              <w:rPr>
                <w:rFonts w:hint="eastAsia" w:cs="仿宋"/>
                <w:color w:val="auto"/>
                <w:sz w:val="22"/>
                <w:szCs w:val="22"/>
                <w:highlight w:val="none"/>
              </w:rPr>
              <w:t>3.含设备运输、安装、调试（含配套井筒及井盖、通气管、潜污泵、控制箱、辅材等）；</w:t>
            </w:r>
          </w:p>
          <w:p>
            <w:pPr>
              <w:jc w:val="left"/>
              <w:rPr>
                <w:rFonts w:cs="仿宋"/>
                <w:color w:val="auto"/>
                <w:sz w:val="22"/>
                <w:szCs w:val="22"/>
                <w:highlight w:val="none"/>
              </w:rPr>
            </w:pPr>
            <w:r>
              <w:rPr>
                <w:rFonts w:hint="eastAsia" w:cs="仿宋"/>
                <w:color w:val="auto"/>
                <w:sz w:val="22"/>
                <w:szCs w:val="22"/>
                <w:highlight w:val="none"/>
              </w:rPr>
              <w:t>4.基坑开挖，基坑回填平整；</w:t>
            </w:r>
          </w:p>
          <w:p>
            <w:pPr>
              <w:jc w:val="left"/>
              <w:rPr>
                <w:rFonts w:cs="仿宋"/>
                <w:color w:val="auto"/>
                <w:sz w:val="22"/>
                <w:szCs w:val="22"/>
                <w:highlight w:val="none"/>
              </w:rPr>
            </w:pPr>
            <w:r>
              <w:rPr>
                <w:rFonts w:hint="eastAsia" w:cs="仿宋"/>
                <w:color w:val="auto"/>
                <w:sz w:val="22"/>
                <w:szCs w:val="22"/>
                <w:highlight w:val="none"/>
              </w:rPr>
              <w:t>5.安装304不锈钢护栏；</w:t>
            </w:r>
          </w:p>
          <w:p>
            <w:pPr>
              <w:pStyle w:val="57"/>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6.人工绿化、标志牌装贴等；</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4.4</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化粪池智能集成服务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各硬件系统集成包含：功能集成、网络集成、软件界面集成、各类设备、子系统间的接口对接、协议对接、数据传输处理，解决各硬件系统与智能管护软件系统之间的互连和互操作性等问题。</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4.5</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化粪池智能集成安装服务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硬件设备的运输、安装、调试、网线、扎带、膨胀螺丝、立杆、预埋件、监控箱、电源适配器等辅材耗材。</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4.6</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化粪池智能维护服务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设备运行状况检查、设备检修调试、设备保养、备品备件服务、故障处理、设备版本号升级服务；设备各系统安全运维、日常维护、故障恢复、系统更新；提供3年服务</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4.7</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化粪池智能通信物联网卡</w:t>
            </w:r>
          </w:p>
        </w:tc>
        <w:tc>
          <w:tcPr>
            <w:tcW w:w="5584" w:type="dxa"/>
            <w:vAlign w:val="center"/>
          </w:tcPr>
          <w:p>
            <w:pPr>
              <w:rPr>
                <w:rFonts w:cs="仿宋"/>
                <w:color w:val="auto"/>
                <w:sz w:val="22"/>
                <w:szCs w:val="22"/>
                <w:highlight w:val="none"/>
              </w:rPr>
            </w:pPr>
            <w:r>
              <w:rPr>
                <w:rFonts w:hint="eastAsia" w:cs="仿宋"/>
                <w:color w:val="auto"/>
                <w:sz w:val="22"/>
                <w:szCs w:val="22"/>
                <w:highlight w:val="none"/>
              </w:rPr>
              <w:t>用于化粪池监控设备视频数据流量传输，≥100G/月流量，3年使用费。</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5</w:t>
            </w:r>
          </w:p>
        </w:tc>
        <w:tc>
          <w:tcPr>
            <w:tcW w:w="7826" w:type="dxa"/>
            <w:gridSpan w:val="3"/>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智能管护大数据指挥中心集成服务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5.1</w:t>
            </w:r>
          </w:p>
        </w:tc>
        <w:tc>
          <w:tcPr>
            <w:tcW w:w="1255"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全彩LED显示与控制系统</w:t>
            </w:r>
          </w:p>
        </w:tc>
        <w:tc>
          <w:tcPr>
            <w:tcW w:w="5584" w:type="dxa"/>
            <w:shd w:val="clear" w:color="auto" w:fill="auto"/>
          </w:tcPr>
          <w:p>
            <w:pPr>
              <w:pStyle w:val="2"/>
              <w:ind w:firstLine="0" w:firstLineChars="0"/>
              <w:rPr>
                <w:rFonts w:ascii="宋体" w:hAnsi="宋体" w:cs="仿宋"/>
                <w:b/>
                <w:bCs/>
                <w:color w:val="auto"/>
                <w:sz w:val="22"/>
                <w:szCs w:val="22"/>
                <w:highlight w:val="none"/>
              </w:rPr>
            </w:pPr>
            <w:r>
              <w:rPr>
                <w:rFonts w:hint="eastAsia" w:ascii="宋体" w:hAnsi="宋体" w:cs="仿宋"/>
                <w:b/>
                <w:bCs/>
                <w:color w:val="auto"/>
                <w:sz w:val="22"/>
                <w:szCs w:val="22"/>
                <w:highlight w:val="none"/>
              </w:rPr>
              <w:t>室内全彩LED屏（尺寸约18.87㎡）</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1、尺寸：≥</w:t>
            </w:r>
            <w:r>
              <w:rPr>
                <w:rFonts w:ascii="宋体" w:hAnsi="宋体" w:cs="仿宋"/>
                <w:color w:val="auto"/>
                <w:sz w:val="22"/>
                <w:szCs w:val="22"/>
                <w:highlight w:val="none"/>
              </w:rPr>
              <w:t>7.26</w:t>
            </w:r>
            <w:r>
              <w:rPr>
                <w:rFonts w:hint="eastAsia" w:ascii="宋体" w:hAnsi="宋体" w:cs="仿宋"/>
                <w:color w:val="auto"/>
                <w:sz w:val="22"/>
                <w:szCs w:val="22"/>
                <w:highlight w:val="none"/>
              </w:rPr>
              <w:t>m</w:t>
            </w:r>
            <w:r>
              <w:rPr>
                <w:rFonts w:ascii="宋体" w:hAnsi="宋体" w:cs="仿宋"/>
                <w:color w:val="auto"/>
                <w:sz w:val="22"/>
                <w:szCs w:val="22"/>
                <w:highlight w:val="none"/>
              </w:rPr>
              <w:t>*2.6</w:t>
            </w:r>
            <w:r>
              <w:rPr>
                <w:rFonts w:hint="eastAsia" w:ascii="宋体" w:hAnsi="宋体" w:cs="仿宋"/>
                <w:color w:val="auto"/>
                <w:sz w:val="22"/>
                <w:szCs w:val="22"/>
                <w:highlight w:val="none"/>
              </w:rPr>
              <w:t>m；像素点间距：≤1.86mm；；</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2、像素点采用1红1蓝1绿三合一；</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3、安装方式：钢结构落地式安装；</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4、驱动器件：采用动态行驱动芯片，具有支持亮度调节功能；</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5、工作电压：在4.5VDC能正常工作；</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6、工作环境：能满足—20℃ ~ 50℃ 正常工作；</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7、最佳视角：水平≥140°，垂直≥130°；</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8、物理密度：≥288400点/㎡；</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9、刷新频率：≥3840Hz；</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10、最大对比度：≥5000：1；</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 xml:space="preserve">11、校正后白平衡亮度：≥700cd/㎡ ； </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12、色度均匀性：≤0.0042，亮度均匀性：≥95%；</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13、色温：3000K-18000K具有可调整性 ；</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14、灰度级数：≥16bit ；</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15、平均无故障时间：≥10000小时 ；</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16、平整度：≤0.1mm；</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17、LED电源：约200W，5V，40A；</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18、发送系统：支持单台带载约260万像素，最宽4096像素，最高2560像素；支持HDMI/DVI 视频输入；支持HDMI音频输入/外部音频输入；支持高位阶视频输入，12bit/10bit/8bit；支持普通视频源带载能力：1920×1200，2048×1152，2560×960；支持高位阶视频源带载能力：1440×900；支持18bit灰阶处理与显示；支持一路光探头接口；支持多台级联进行统一控制；支持视频格式：RGB，YCrCb4:2:2，YCrCb4:4:4；标准机箱设计，独立供电；</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19、接收系统：支持单卡最大带载 512×256 像素，最多支持16组 RGB 并行数据；支持8个或以上标准的 HUB75 接口；支持逐点亮色度校正。</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20、视频拼接器：支持超低延时画面处理，≤30ms；支持超高清视频多端口信号输入并实时同步输出,兼容Nvidia Mosaic与AMD Eyefinity 技术；支持超高清底图显示；台标自定义，快速追溯视频信号源；多样化的滚动字幕显示，可设置字体、大小、色彩、位置、透明度、动静态等参数；具备回显、预监功能；输入最高分辨率可达4K@30Hz,输出分辨率可自定义，满足不同规格的LED屏幕显示；支持配置备份和恢复，备份信息可下载保存备份，断电记忆功能，无需担心配置丢失；支持设备主机高温报警和智能风扇调节；支持设备在现场使用期限的授权管理设备受控方式多样化，包含RS232指令控制和LAN客户端软件控制，且支持串口或网口控制第三方设备；</w:t>
            </w:r>
            <w:r>
              <w:rPr>
                <w:rFonts w:ascii="宋体" w:hAnsi="宋体" w:cs="仿宋"/>
                <w:color w:val="auto"/>
                <w:sz w:val="22"/>
                <w:szCs w:val="22"/>
                <w:highlight w:val="none"/>
              </w:rPr>
              <w:t xml:space="preserve"> </w:t>
            </w:r>
          </w:p>
          <w:p>
            <w:pPr>
              <w:rPr>
                <w:rFonts w:cs="仿宋"/>
                <w:color w:val="auto"/>
                <w:sz w:val="22"/>
                <w:szCs w:val="22"/>
                <w:highlight w:val="none"/>
              </w:rPr>
            </w:pPr>
            <w:r>
              <w:rPr>
                <w:rFonts w:hint="eastAsia" w:cs="仿宋"/>
                <w:color w:val="auto"/>
                <w:sz w:val="22"/>
                <w:szCs w:val="22"/>
                <w:highlight w:val="none"/>
              </w:rPr>
              <w:t>21、发布系统：支持多显示屏导播，软件可同时导播多个映射位置不同的显示屏，每个显示屏可设置不同的播放方案；远程显示屏管理。</w:t>
            </w:r>
          </w:p>
          <w:p>
            <w:pPr>
              <w:pStyle w:val="57"/>
              <w:rPr>
                <w:rFonts w:ascii="宋体" w:hAnsi="宋体" w:eastAsia="宋体" w:cs="仿宋"/>
                <w:bCs w:val="0"/>
                <w:color w:val="auto"/>
                <w:sz w:val="22"/>
                <w:szCs w:val="22"/>
                <w:highlight w:val="none"/>
              </w:rPr>
            </w:pPr>
            <w:r>
              <w:rPr>
                <w:rFonts w:hint="eastAsia" w:ascii="宋体" w:hAnsi="宋体" w:eastAsia="宋体" w:cs="仿宋"/>
                <w:bCs w:val="0"/>
                <w:color w:val="auto"/>
                <w:sz w:val="22"/>
                <w:szCs w:val="22"/>
                <w:highlight w:val="none"/>
              </w:rPr>
              <w:t>22、智能终端管控软件：支持对终端资产的自动盘点；支持对全网风险进行全面可视；支持安全策略范式部署，包括自定义范式和缺省范式两种方式；支持漏洞扫描的自定义策略；具备多种基于无特征的病毒检测引擎，同时实现对多个引擎的协同管理；支持基于多种维度的安全隔离控制功能，支持基于服务器、流量、业务系统图形化详细展示状况；支持对漏洞的及时响应和安全运维的一键化配置；管理员可通过管理平台选择向需要发送脚本的终端实现一键下发；支持下钻处理终端漏洞，选择具体终端进行处置，可针对于单个主机的单个漏洞进行单独处置，也可根据同类型的主机或者是漏洞进行集中处理；可支持根据终端类别、所属组织、名称、IP地址等信息来查看过滤结果。</w:t>
            </w:r>
          </w:p>
          <w:p>
            <w:pPr>
              <w:pStyle w:val="57"/>
              <w:spacing w:before="0" w:after="0"/>
              <w:rPr>
                <w:rFonts w:ascii="宋体" w:hAnsi="宋体" w:eastAsia="宋体" w:cs="仿宋"/>
                <w:bCs w:val="0"/>
                <w:color w:val="auto"/>
                <w:sz w:val="22"/>
                <w:szCs w:val="22"/>
                <w:highlight w:val="none"/>
              </w:rPr>
            </w:pPr>
            <w:r>
              <w:rPr>
                <w:rFonts w:hint="eastAsia" w:ascii="宋体" w:hAnsi="宋体" w:eastAsia="宋体" w:cs="仿宋"/>
                <w:bCs w:val="0"/>
                <w:color w:val="auto"/>
                <w:sz w:val="22"/>
                <w:szCs w:val="22"/>
                <w:highlight w:val="none"/>
              </w:rPr>
              <w:t>23、智能管控设备：支持LoRa低功率远距离无线协议，实现远程控制、数据传输；通过功能键可进入或退出拒绝远程断电状态、控制通断电，通过指示灯能直观判断是否通电、是否连接云平台、是否拒绝远程通断电；支持定时开关控制，支持单次、每周、每月、每天某时间自动断电上电，并支持循环结束时间；支持功率告警设置，超过设定阈值时进行现场蜂鸣、断电、短信、APP通知，并联动摄像头现场抓拍，启动异常巡检任务；支持平台策略自定义联动；支持远程强制通电、断电，管理员可通过手机APP或Web管理后台方式；支持网络综合管理平台统一集中管理，支持设备自定义命名，查看电压、电流、实时功率、LoRa信号强度、最新数据上报时间、设备日志；支持当LoRa状态断开后，依然保持通电或拒绝策略通断电的状态，不影响正常使用</w:t>
            </w:r>
          </w:p>
          <w:p>
            <w:pPr>
              <w:pStyle w:val="57"/>
              <w:spacing w:before="0" w:after="0"/>
              <w:rPr>
                <w:rFonts w:ascii="宋体" w:hAnsi="宋体" w:eastAsia="宋体" w:cs="仿宋"/>
                <w:bCs w:val="0"/>
                <w:color w:val="auto"/>
                <w:sz w:val="22"/>
                <w:szCs w:val="22"/>
                <w:highlight w:val="none"/>
              </w:rPr>
            </w:pPr>
            <w:r>
              <w:rPr>
                <w:rFonts w:hint="eastAsia" w:ascii="宋体" w:hAnsi="宋体" w:eastAsia="宋体" w:cs="仿宋"/>
                <w:bCs w:val="0"/>
                <w:color w:val="auto"/>
                <w:sz w:val="22"/>
                <w:szCs w:val="22"/>
                <w:highlight w:val="none"/>
              </w:rPr>
              <w:t>24、动力柜：配电柜内装有空气开关、熔断器、交流接触器、电流互感器、电压互感器、电源防雷器等，具有过流、过压、欠压、短路、断路、超温、超负荷、断电等保护功能。</w:t>
            </w:r>
          </w:p>
          <w:p>
            <w:pPr>
              <w:pStyle w:val="57"/>
              <w:spacing w:before="0" w:after="0"/>
              <w:rPr>
                <w:rFonts w:ascii="宋体" w:hAnsi="宋体" w:eastAsia="宋体" w:cs="仿宋"/>
                <w:bCs w:val="0"/>
                <w:color w:val="auto"/>
                <w:sz w:val="22"/>
                <w:szCs w:val="22"/>
                <w:highlight w:val="none"/>
              </w:rPr>
            </w:pPr>
            <w:r>
              <w:rPr>
                <w:rFonts w:hint="eastAsia" w:ascii="宋体" w:hAnsi="宋体" w:eastAsia="宋体" w:cs="仿宋"/>
                <w:bCs w:val="0"/>
                <w:color w:val="auto"/>
                <w:sz w:val="22"/>
                <w:szCs w:val="22"/>
                <w:highlight w:val="none"/>
              </w:rPr>
              <w:t>25、线材及辅材</w:t>
            </w:r>
          </w:p>
          <w:p>
            <w:pPr>
              <w:pStyle w:val="57"/>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屏体所需的数据排线、摄像头伸缩吊架、3*2.5㎡电源线、6类网线、线管、接头、弯头等</w:t>
            </w:r>
          </w:p>
        </w:tc>
        <w:tc>
          <w:tcPr>
            <w:tcW w:w="987"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5.2</w:t>
            </w:r>
          </w:p>
        </w:tc>
        <w:tc>
          <w:tcPr>
            <w:tcW w:w="1255"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LED条形屏</w:t>
            </w:r>
          </w:p>
        </w:tc>
        <w:tc>
          <w:tcPr>
            <w:tcW w:w="5584" w:type="dxa"/>
            <w:shd w:val="clear" w:color="auto" w:fill="auto"/>
            <w:vAlign w:val="center"/>
          </w:tcPr>
          <w:p>
            <w:pPr>
              <w:rPr>
                <w:rFonts w:cs="仿宋"/>
                <w:color w:val="auto"/>
                <w:sz w:val="22"/>
                <w:szCs w:val="22"/>
                <w:highlight w:val="none"/>
              </w:rPr>
            </w:pPr>
            <w:r>
              <w:rPr>
                <w:rFonts w:hint="eastAsia" w:cs="仿宋"/>
                <w:color w:val="auto"/>
                <w:sz w:val="22"/>
                <w:szCs w:val="22"/>
                <w:highlight w:val="none"/>
              </w:rPr>
              <w:t>像素点间距：约4.75mm；尺寸：长≥7.3米，宽≥0.46米，单色屏</w:t>
            </w:r>
          </w:p>
        </w:tc>
        <w:tc>
          <w:tcPr>
            <w:tcW w:w="987"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5.3</w:t>
            </w:r>
          </w:p>
        </w:tc>
        <w:tc>
          <w:tcPr>
            <w:tcW w:w="1255"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图形处理工作站1</w:t>
            </w:r>
          </w:p>
        </w:tc>
        <w:tc>
          <w:tcPr>
            <w:tcW w:w="5584" w:type="dxa"/>
            <w:shd w:val="clear" w:color="auto" w:fill="auto"/>
            <w:vAlign w:val="center"/>
          </w:tcPr>
          <w:p>
            <w:pPr>
              <w:rPr>
                <w:rFonts w:cs="仿宋"/>
                <w:color w:val="auto"/>
                <w:sz w:val="22"/>
                <w:szCs w:val="22"/>
                <w:highlight w:val="none"/>
              </w:rPr>
            </w:pPr>
            <w:r>
              <w:rPr>
                <w:rFonts w:hint="eastAsia" w:cs="仿宋"/>
                <w:color w:val="auto"/>
                <w:sz w:val="22"/>
                <w:szCs w:val="22"/>
                <w:highlight w:val="none"/>
              </w:rPr>
              <w:t>CPU：≥i9-10代处理器</w:t>
            </w:r>
          </w:p>
          <w:p>
            <w:pPr>
              <w:rPr>
                <w:rFonts w:cs="仿宋"/>
                <w:color w:val="auto"/>
                <w:sz w:val="22"/>
                <w:szCs w:val="22"/>
                <w:highlight w:val="none"/>
              </w:rPr>
            </w:pPr>
            <w:r>
              <w:rPr>
                <w:rFonts w:hint="eastAsia" w:cs="仿宋"/>
                <w:color w:val="auto"/>
                <w:sz w:val="22"/>
                <w:szCs w:val="22"/>
                <w:highlight w:val="none"/>
              </w:rPr>
              <w:t>内存：≥32G DDR4；</w:t>
            </w:r>
          </w:p>
          <w:p>
            <w:pPr>
              <w:rPr>
                <w:rFonts w:cs="仿宋"/>
                <w:color w:val="auto"/>
                <w:sz w:val="22"/>
                <w:szCs w:val="22"/>
                <w:highlight w:val="none"/>
              </w:rPr>
            </w:pPr>
            <w:r>
              <w:rPr>
                <w:rFonts w:hint="eastAsia" w:cs="仿宋"/>
                <w:color w:val="auto"/>
                <w:sz w:val="22"/>
                <w:szCs w:val="22"/>
                <w:highlight w:val="none"/>
              </w:rPr>
              <w:t>显卡：≥12G；</w:t>
            </w:r>
          </w:p>
          <w:p>
            <w:pPr>
              <w:rPr>
                <w:rFonts w:cs="仿宋"/>
                <w:color w:val="auto"/>
                <w:sz w:val="22"/>
                <w:szCs w:val="22"/>
                <w:highlight w:val="none"/>
              </w:rPr>
            </w:pPr>
            <w:r>
              <w:rPr>
                <w:rFonts w:hint="eastAsia" w:cs="仿宋"/>
                <w:color w:val="auto"/>
                <w:sz w:val="22"/>
                <w:szCs w:val="22"/>
                <w:highlight w:val="none"/>
              </w:rPr>
              <w:t>硬盘：≥1TB SSD；</w:t>
            </w:r>
          </w:p>
          <w:p>
            <w:pPr>
              <w:rPr>
                <w:rFonts w:cs="仿宋"/>
                <w:color w:val="auto"/>
                <w:sz w:val="22"/>
                <w:szCs w:val="22"/>
                <w:highlight w:val="none"/>
              </w:rPr>
            </w:pPr>
            <w:r>
              <w:rPr>
                <w:rFonts w:hint="eastAsia" w:cs="仿宋"/>
                <w:color w:val="auto"/>
                <w:sz w:val="22"/>
                <w:szCs w:val="22"/>
                <w:highlight w:val="none"/>
              </w:rPr>
              <w:t>网卡：千兆网卡；</w:t>
            </w:r>
          </w:p>
          <w:p>
            <w:pPr>
              <w:rPr>
                <w:rFonts w:cs="仿宋"/>
                <w:color w:val="auto"/>
                <w:sz w:val="22"/>
                <w:szCs w:val="22"/>
                <w:highlight w:val="none"/>
              </w:rPr>
            </w:pPr>
            <w:r>
              <w:rPr>
                <w:rFonts w:hint="eastAsia" w:cs="仿宋"/>
                <w:color w:val="auto"/>
                <w:sz w:val="22"/>
                <w:szCs w:val="22"/>
                <w:highlight w:val="none"/>
              </w:rPr>
              <w:t>显示器:≥23.8寸宽屏LED（分辨率：≥1920*1080）</w:t>
            </w:r>
          </w:p>
        </w:tc>
        <w:tc>
          <w:tcPr>
            <w:tcW w:w="987"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5.4</w:t>
            </w:r>
          </w:p>
        </w:tc>
        <w:tc>
          <w:tcPr>
            <w:tcW w:w="1255"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图形处理工作站2</w:t>
            </w:r>
          </w:p>
        </w:tc>
        <w:tc>
          <w:tcPr>
            <w:tcW w:w="5584" w:type="dxa"/>
            <w:shd w:val="clear" w:color="auto" w:fill="auto"/>
            <w:vAlign w:val="center"/>
          </w:tcPr>
          <w:p>
            <w:pPr>
              <w:rPr>
                <w:rFonts w:cs="仿宋"/>
                <w:color w:val="auto"/>
                <w:sz w:val="22"/>
                <w:szCs w:val="22"/>
                <w:highlight w:val="none"/>
              </w:rPr>
            </w:pPr>
            <w:r>
              <w:rPr>
                <w:rFonts w:hint="eastAsia" w:cs="仿宋"/>
                <w:color w:val="auto"/>
                <w:sz w:val="22"/>
                <w:szCs w:val="22"/>
                <w:highlight w:val="none"/>
              </w:rPr>
              <w:t>CPU：≥i5-10代处理器；</w:t>
            </w:r>
          </w:p>
          <w:p>
            <w:pPr>
              <w:rPr>
                <w:rFonts w:cs="仿宋"/>
                <w:color w:val="auto"/>
                <w:sz w:val="22"/>
                <w:szCs w:val="22"/>
                <w:highlight w:val="none"/>
              </w:rPr>
            </w:pPr>
            <w:r>
              <w:rPr>
                <w:rFonts w:hint="eastAsia" w:cs="仿宋"/>
                <w:color w:val="auto"/>
                <w:sz w:val="22"/>
                <w:szCs w:val="22"/>
                <w:highlight w:val="none"/>
              </w:rPr>
              <w:t>内存：≥8G DDR4；</w:t>
            </w:r>
          </w:p>
          <w:p>
            <w:pPr>
              <w:rPr>
                <w:rFonts w:cs="仿宋"/>
                <w:color w:val="auto"/>
                <w:sz w:val="22"/>
                <w:szCs w:val="22"/>
                <w:highlight w:val="none"/>
              </w:rPr>
            </w:pPr>
            <w:r>
              <w:rPr>
                <w:rFonts w:hint="eastAsia" w:cs="仿宋"/>
                <w:color w:val="auto"/>
                <w:sz w:val="22"/>
                <w:szCs w:val="22"/>
                <w:highlight w:val="none"/>
              </w:rPr>
              <w:t>显卡：≥6G；</w:t>
            </w:r>
          </w:p>
          <w:p>
            <w:pPr>
              <w:rPr>
                <w:rFonts w:cs="仿宋"/>
                <w:color w:val="auto"/>
                <w:sz w:val="22"/>
                <w:szCs w:val="22"/>
                <w:highlight w:val="none"/>
              </w:rPr>
            </w:pPr>
            <w:r>
              <w:rPr>
                <w:rFonts w:hint="eastAsia" w:cs="仿宋"/>
                <w:color w:val="auto"/>
                <w:sz w:val="22"/>
                <w:szCs w:val="22"/>
                <w:highlight w:val="none"/>
              </w:rPr>
              <w:t>硬盘：≥256G SSD；</w:t>
            </w:r>
          </w:p>
          <w:p>
            <w:pPr>
              <w:rPr>
                <w:rFonts w:cs="仿宋"/>
                <w:color w:val="auto"/>
                <w:sz w:val="22"/>
                <w:szCs w:val="22"/>
                <w:highlight w:val="none"/>
              </w:rPr>
            </w:pPr>
            <w:r>
              <w:rPr>
                <w:rFonts w:hint="eastAsia" w:cs="仿宋"/>
                <w:color w:val="auto"/>
                <w:sz w:val="22"/>
                <w:szCs w:val="22"/>
                <w:highlight w:val="none"/>
              </w:rPr>
              <w:t>网卡：千兆网卡；</w:t>
            </w:r>
          </w:p>
          <w:p>
            <w:pPr>
              <w:rPr>
                <w:rFonts w:cs="仿宋"/>
                <w:color w:val="auto"/>
                <w:sz w:val="22"/>
                <w:szCs w:val="22"/>
                <w:highlight w:val="none"/>
              </w:rPr>
            </w:pPr>
            <w:r>
              <w:rPr>
                <w:rFonts w:hint="eastAsia" w:cs="仿宋"/>
                <w:color w:val="auto"/>
                <w:sz w:val="22"/>
                <w:szCs w:val="22"/>
                <w:highlight w:val="none"/>
              </w:rPr>
              <w:t>显示器:≥23.8寸宽屏LED（分辨率：≥1920*1080）</w:t>
            </w:r>
          </w:p>
        </w:tc>
        <w:tc>
          <w:tcPr>
            <w:tcW w:w="987"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5.5</w:t>
            </w:r>
          </w:p>
        </w:tc>
        <w:tc>
          <w:tcPr>
            <w:tcW w:w="1255"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音响系统</w:t>
            </w:r>
          </w:p>
        </w:tc>
        <w:tc>
          <w:tcPr>
            <w:tcW w:w="5584" w:type="dxa"/>
            <w:shd w:val="clear" w:color="auto" w:fill="auto"/>
            <w:vAlign w:val="center"/>
          </w:tcPr>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A频率响应：≥50Hz-19Hz；驱动单元：高频驱动器；覆盖角度：约60H*40V；阻抗：≥8ohm；灵敏度：≥98dB；最大声压级≥124dB；峰值声压级≥130dB；额定功率：≥400W；节目功率≥800W；峰值功率≥1200W；</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B频率响应：≥50Hz-19Hz；驱动单元：高频驱动器；覆盖角度：约60H*40V;阻抗：≥8ohm；灵敏度：≥97dB；最大声压级≥122dB；峰值声压级≥128dB；额定功率：≥300W；节目功率≥600W；峰值功率≥1200W</w:t>
            </w:r>
          </w:p>
          <w:p>
            <w:pPr>
              <w:pStyle w:val="2"/>
              <w:ind w:firstLine="0" w:firstLineChars="0"/>
              <w:rPr>
                <w:rFonts w:ascii="宋体" w:hAnsi="宋体" w:cs="仿宋"/>
                <w:color w:val="auto"/>
                <w:sz w:val="22"/>
                <w:szCs w:val="22"/>
                <w:highlight w:val="none"/>
              </w:rPr>
            </w:pPr>
            <w:r>
              <w:rPr>
                <w:rFonts w:hint="eastAsia" w:ascii="宋体" w:hAnsi="宋体" w:cs="仿宋"/>
                <w:color w:val="auto"/>
                <w:sz w:val="22"/>
                <w:szCs w:val="22"/>
                <w:highlight w:val="none"/>
              </w:rPr>
              <w:t>含音响、功放、话筒</w:t>
            </w:r>
          </w:p>
        </w:tc>
        <w:tc>
          <w:tcPr>
            <w:tcW w:w="987" w:type="dxa"/>
            <w:shd w:val="clear" w:color="auto" w:fill="auto"/>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5.6</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L型操作台</w:t>
            </w:r>
          </w:p>
        </w:tc>
        <w:tc>
          <w:tcPr>
            <w:tcW w:w="5584" w:type="dxa"/>
            <w:vAlign w:val="center"/>
          </w:tcPr>
          <w:p>
            <w:pPr>
              <w:jc w:val="left"/>
              <w:rPr>
                <w:rFonts w:cs="仿宋"/>
                <w:color w:val="auto"/>
                <w:sz w:val="22"/>
                <w:szCs w:val="22"/>
                <w:highlight w:val="none"/>
              </w:rPr>
            </w:pPr>
            <w:r>
              <w:rPr>
                <w:rFonts w:hint="eastAsia" w:cs="仿宋"/>
                <w:color w:val="auto"/>
                <w:sz w:val="22"/>
                <w:szCs w:val="22"/>
                <w:highlight w:val="none"/>
              </w:rPr>
              <w:t>规格约1800mm*900mm*750mm；1800mm*900mm*750mm</w:t>
            </w:r>
          </w:p>
          <w:p>
            <w:pPr>
              <w:pStyle w:val="57"/>
              <w:spacing w:before="0" w:after="0"/>
              <w:rPr>
                <w:rFonts w:ascii="宋体" w:hAnsi="宋体" w:eastAsia="宋体"/>
                <w:color w:val="auto"/>
                <w:sz w:val="22"/>
                <w:szCs w:val="22"/>
                <w:highlight w:val="none"/>
              </w:rPr>
            </w:pPr>
            <w:r>
              <w:rPr>
                <w:rFonts w:hint="eastAsia" w:ascii="宋体" w:hAnsi="宋体" w:eastAsia="宋体" w:cs="仿宋"/>
                <w:color w:val="auto"/>
                <w:sz w:val="22"/>
                <w:szCs w:val="22"/>
                <w:highlight w:val="none"/>
              </w:rPr>
              <w:t>台面和侧板选用环保实木颗粒板，台面套色喷漆，颜色可定做，侧板配有立体装饰条。金属框架拼装结构，框架选用≥2.0mm厚优质冷轧钢板，前后门和托盘厚≥1.2mm，每个工作位配备一组约19寸机架和一个托盘和一个键盘抽屉。每个工位约高度750mm深900mm，可以进行多工位随意组合。</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5.7</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主席台桌</w:t>
            </w:r>
          </w:p>
        </w:tc>
        <w:tc>
          <w:tcPr>
            <w:tcW w:w="5584" w:type="dxa"/>
            <w:vAlign w:val="center"/>
          </w:tcPr>
          <w:p>
            <w:pPr>
              <w:rPr>
                <w:color w:val="auto"/>
                <w:sz w:val="22"/>
                <w:szCs w:val="22"/>
                <w:highlight w:val="none"/>
              </w:rPr>
            </w:pPr>
            <w:r>
              <w:rPr>
                <w:rFonts w:hint="eastAsia" w:cs="仿宋"/>
                <w:color w:val="auto"/>
                <w:sz w:val="22"/>
                <w:szCs w:val="22"/>
                <w:highlight w:val="none"/>
              </w:rPr>
              <w:t>桌子规格：约1400mm*600mm*760mm，配套椅子规格：约670mm*610mm*1020mm，采用≥0.6mm胡桃木皮贴面，材质：密度板，优质五金配件</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5.8</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大厅桌</w:t>
            </w:r>
          </w:p>
        </w:tc>
        <w:tc>
          <w:tcPr>
            <w:tcW w:w="5584" w:type="dxa"/>
            <w:vAlign w:val="center"/>
          </w:tcPr>
          <w:p>
            <w:pPr>
              <w:rPr>
                <w:rFonts w:cs="仿宋"/>
                <w:color w:val="auto"/>
                <w:sz w:val="22"/>
                <w:szCs w:val="22"/>
                <w:highlight w:val="none"/>
              </w:rPr>
            </w:pPr>
            <w:r>
              <w:rPr>
                <w:rFonts w:hint="eastAsia" w:cs="仿宋"/>
                <w:color w:val="auto"/>
                <w:sz w:val="22"/>
                <w:szCs w:val="22"/>
                <w:highlight w:val="none"/>
              </w:rPr>
              <w:t>规格约1200mm*400mm*760mm,≥0.6mm胡桃木皮贴面，材质：密度板，优质五金配件</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60张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5.9</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大厅椅</w:t>
            </w:r>
          </w:p>
        </w:tc>
        <w:tc>
          <w:tcPr>
            <w:tcW w:w="5584" w:type="dxa"/>
            <w:vAlign w:val="center"/>
          </w:tcPr>
          <w:p>
            <w:pPr>
              <w:rPr>
                <w:rFonts w:cs="仿宋"/>
                <w:color w:val="auto"/>
                <w:sz w:val="22"/>
                <w:szCs w:val="22"/>
                <w:highlight w:val="none"/>
              </w:rPr>
            </w:pPr>
            <w:r>
              <w:rPr>
                <w:rFonts w:hint="eastAsia" w:cs="仿宋"/>
                <w:color w:val="auto"/>
                <w:sz w:val="22"/>
                <w:szCs w:val="22"/>
                <w:highlight w:val="none"/>
              </w:rPr>
              <w:t>规格约500mm*450mm*910mm,≥0.6mm胡桃木皮贴面，材质：密度板，优质五金配件</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5.10</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电动幕布</w:t>
            </w:r>
          </w:p>
        </w:tc>
        <w:tc>
          <w:tcPr>
            <w:tcW w:w="5584" w:type="dxa"/>
            <w:vAlign w:val="center"/>
          </w:tcPr>
          <w:p>
            <w:pPr>
              <w:rPr>
                <w:rFonts w:cs="仿宋"/>
                <w:color w:val="auto"/>
                <w:sz w:val="22"/>
                <w:szCs w:val="22"/>
                <w:highlight w:val="none"/>
              </w:rPr>
            </w:pPr>
            <w:r>
              <w:rPr>
                <w:rFonts w:hint="eastAsia" w:cs="仿宋"/>
                <w:color w:val="auto"/>
                <w:sz w:val="22"/>
                <w:szCs w:val="22"/>
                <w:highlight w:val="none"/>
              </w:rPr>
              <w:t>幕布规格：约8280mm*3160mm，配备舞台专用电机，面料：意大利绒</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5.11</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中央空调</w:t>
            </w:r>
          </w:p>
        </w:tc>
        <w:tc>
          <w:tcPr>
            <w:tcW w:w="5584" w:type="dxa"/>
            <w:vAlign w:val="center"/>
          </w:tcPr>
          <w:p>
            <w:pPr>
              <w:rPr>
                <w:rFonts w:cs="仿宋"/>
                <w:color w:val="auto"/>
                <w:sz w:val="22"/>
                <w:szCs w:val="22"/>
                <w:highlight w:val="none"/>
              </w:rPr>
            </w:pPr>
            <w:r>
              <w:rPr>
                <w:rFonts w:hint="eastAsia" w:cs="仿宋"/>
                <w:color w:val="auto"/>
                <w:sz w:val="22"/>
                <w:szCs w:val="22"/>
                <w:highlight w:val="none"/>
              </w:rPr>
              <w:t>1.额定功率：≥4.9kw、额定电压/频率：380V 3N～/50Hz；</w:t>
            </w:r>
          </w:p>
          <w:p>
            <w:pPr>
              <w:rPr>
                <w:rFonts w:cs="仿宋"/>
                <w:color w:val="auto"/>
                <w:sz w:val="22"/>
                <w:szCs w:val="22"/>
                <w:highlight w:val="none"/>
              </w:rPr>
            </w:pPr>
            <w:r>
              <w:rPr>
                <w:rFonts w:hint="eastAsia" w:cs="仿宋"/>
                <w:color w:val="auto"/>
                <w:sz w:val="22"/>
                <w:szCs w:val="22"/>
                <w:highlight w:val="none"/>
              </w:rPr>
              <w:t>2.额定制冷量：≥13.8kw;额定制热量：≥16kw</w:t>
            </w:r>
          </w:p>
          <w:p>
            <w:pPr>
              <w:pStyle w:val="57"/>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3.室内机：噪声：≤45dB(A);循环风量：≥2500m</w:t>
            </w:r>
            <w:r>
              <w:rPr>
                <w:rFonts w:hint="eastAsia" w:ascii="宋体" w:hAnsi="宋体" w:eastAsia="宋体" w:cs="宋体"/>
                <w:color w:val="auto"/>
                <w:sz w:val="22"/>
                <w:szCs w:val="22"/>
                <w:highlight w:val="none"/>
              </w:rPr>
              <w:t>³</w:t>
            </w:r>
            <w:r>
              <w:rPr>
                <w:rFonts w:hint="eastAsia" w:ascii="宋体" w:hAnsi="宋体" w:eastAsia="宋体" w:cs="仿宋"/>
                <w:color w:val="auto"/>
                <w:sz w:val="22"/>
                <w:szCs w:val="22"/>
                <w:highlight w:val="none"/>
              </w:rPr>
              <w:t>/h；机外静压：50-120Pa</w:t>
            </w:r>
          </w:p>
          <w:p>
            <w:pPr>
              <w:pStyle w:val="57"/>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4.室外机：噪音：≤43dB(A)</w:t>
            </w:r>
          </w:p>
          <w:p>
            <w:pPr>
              <w:pStyle w:val="57"/>
              <w:spacing w:before="0" w:after="0"/>
              <w:rPr>
                <w:rFonts w:ascii="宋体" w:hAnsi="宋体" w:eastAsia="宋体"/>
                <w:color w:val="auto"/>
                <w:sz w:val="22"/>
                <w:szCs w:val="22"/>
                <w:highlight w:val="none"/>
              </w:rPr>
            </w:pPr>
            <w:r>
              <w:rPr>
                <w:rFonts w:hint="eastAsia" w:ascii="宋体" w:hAnsi="宋体" w:eastAsia="宋体" w:cs="仿宋"/>
                <w:color w:val="auto"/>
                <w:sz w:val="22"/>
                <w:szCs w:val="22"/>
                <w:highlight w:val="none"/>
              </w:rPr>
              <w:t>5.包含铜管水管扎带支架电源线等辅材费用及运费和安装费。</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5.12</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新风系统</w:t>
            </w:r>
          </w:p>
        </w:tc>
        <w:tc>
          <w:tcPr>
            <w:tcW w:w="5584" w:type="dxa"/>
            <w:vAlign w:val="center"/>
          </w:tcPr>
          <w:p>
            <w:pPr>
              <w:snapToGrid w:val="0"/>
              <w:rPr>
                <w:rFonts w:cs="仿宋"/>
                <w:color w:val="auto"/>
                <w:sz w:val="22"/>
                <w:szCs w:val="22"/>
                <w:highlight w:val="none"/>
              </w:rPr>
            </w:pPr>
            <w:r>
              <w:rPr>
                <w:rFonts w:hint="eastAsia" w:cs="仿宋"/>
                <w:color w:val="auto"/>
                <w:sz w:val="22"/>
                <w:szCs w:val="22"/>
                <w:highlight w:val="none"/>
              </w:rPr>
              <w:t>额定电压：220V</w:t>
            </w:r>
          </w:p>
          <w:p>
            <w:pPr>
              <w:pStyle w:val="57"/>
              <w:snapToGrid w:val="0"/>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功率：≥1.1kw</w:t>
            </w:r>
          </w:p>
          <w:p>
            <w:pPr>
              <w:pStyle w:val="57"/>
              <w:snapToGrid w:val="0"/>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转速≥2800</w:t>
            </w:r>
          </w:p>
          <w:p>
            <w:pPr>
              <w:pStyle w:val="57"/>
              <w:snapToGrid w:val="0"/>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风量≥2500m</w:t>
            </w:r>
            <w:r>
              <w:rPr>
                <w:rFonts w:hint="eastAsia" w:ascii="宋体" w:hAnsi="宋体" w:eastAsia="宋体" w:cs="宋体"/>
                <w:color w:val="auto"/>
                <w:sz w:val="22"/>
                <w:szCs w:val="22"/>
                <w:highlight w:val="none"/>
              </w:rPr>
              <w:t>³</w:t>
            </w:r>
            <w:r>
              <w:rPr>
                <w:rFonts w:hint="eastAsia" w:ascii="宋体" w:hAnsi="宋体" w:eastAsia="宋体" w:cs="仿宋"/>
                <w:color w:val="auto"/>
                <w:sz w:val="22"/>
                <w:szCs w:val="22"/>
                <w:highlight w:val="none"/>
              </w:rPr>
              <w:t>/h</w:t>
            </w:r>
          </w:p>
          <w:p>
            <w:pPr>
              <w:pStyle w:val="57"/>
              <w:snapToGrid w:val="0"/>
              <w:spacing w:before="0" w:after="0"/>
              <w:rPr>
                <w:rFonts w:ascii="宋体" w:hAnsi="宋体" w:eastAsia="宋体" w:cs="仿宋"/>
                <w:color w:val="auto"/>
                <w:sz w:val="22"/>
                <w:szCs w:val="22"/>
                <w:highlight w:val="none"/>
              </w:rPr>
            </w:pPr>
            <w:r>
              <w:rPr>
                <w:rFonts w:hint="eastAsia" w:ascii="宋体" w:hAnsi="宋体" w:eastAsia="宋体" w:cs="仿宋"/>
                <w:color w:val="auto"/>
                <w:sz w:val="22"/>
                <w:szCs w:val="22"/>
                <w:highlight w:val="none"/>
              </w:rPr>
              <w:t>风压约1200</w:t>
            </w:r>
            <w:r>
              <w:rPr>
                <w:rFonts w:hint="eastAsia" w:ascii="宋体" w:hAnsi="宋体" w:eastAsia="宋体" w:cs="仿宋"/>
                <w:color w:val="auto"/>
                <w:spacing w:val="0"/>
                <w:sz w:val="22"/>
                <w:szCs w:val="22"/>
                <w:highlight w:val="none"/>
                <w:shd w:val="clear" w:color="auto" w:fill="FFFFFF"/>
              </w:rPr>
              <w:t>Kpa</w:t>
            </w:r>
          </w:p>
          <w:p>
            <w:pPr>
              <w:pStyle w:val="57"/>
              <w:rPr>
                <w:rFonts w:ascii="宋体" w:hAnsi="宋体" w:eastAsia="宋体"/>
                <w:color w:val="auto"/>
                <w:sz w:val="22"/>
                <w:szCs w:val="22"/>
                <w:highlight w:val="none"/>
              </w:rPr>
            </w:pPr>
            <w:r>
              <w:rPr>
                <w:rFonts w:hint="eastAsia" w:ascii="宋体" w:hAnsi="宋体" w:eastAsia="宋体" w:cs="仿宋"/>
                <w:color w:val="auto"/>
                <w:sz w:val="22"/>
                <w:szCs w:val="22"/>
                <w:highlight w:val="none"/>
              </w:rPr>
              <w:t>包含3个离心式风机，pvc管、支架电线等辅材费用及运输和安装费用</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5.13</w:t>
            </w:r>
          </w:p>
        </w:tc>
        <w:tc>
          <w:tcPr>
            <w:tcW w:w="1255" w:type="dxa"/>
            <w:vAlign w:val="center"/>
          </w:tcPr>
          <w:p>
            <w:pPr>
              <w:jc w:val="center"/>
              <w:textAlignment w:val="center"/>
              <w:rPr>
                <w:rFonts w:cs="仿宋"/>
                <w:color w:val="auto"/>
                <w:sz w:val="22"/>
                <w:szCs w:val="22"/>
                <w:highlight w:val="none"/>
              </w:rPr>
            </w:pPr>
            <w:r>
              <w:rPr>
                <w:rFonts w:hint="eastAsia" w:cs="仿宋"/>
                <w:color w:val="auto"/>
                <w:sz w:val="22"/>
                <w:szCs w:val="22"/>
                <w:highlight w:val="none"/>
                <w:lang w:bidi="ar"/>
              </w:rPr>
              <w:t>窗帘</w:t>
            </w:r>
          </w:p>
        </w:tc>
        <w:tc>
          <w:tcPr>
            <w:tcW w:w="5584" w:type="dxa"/>
            <w:vAlign w:val="center"/>
          </w:tcPr>
          <w:p>
            <w:pPr>
              <w:rPr>
                <w:rFonts w:cs="仿宋"/>
                <w:color w:val="auto"/>
                <w:sz w:val="22"/>
                <w:szCs w:val="22"/>
                <w:highlight w:val="none"/>
              </w:rPr>
            </w:pPr>
            <w:r>
              <w:rPr>
                <w:rFonts w:hint="eastAsia" w:cs="仿宋"/>
                <w:color w:val="auto"/>
                <w:sz w:val="22"/>
                <w:szCs w:val="22"/>
                <w:highlight w:val="none"/>
              </w:rPr>
              <w:t>与玻璃门、玻璃窗配套，面料意大利绒</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5.14</w:t>
            </w:r>
          </w:p>
        </w:tc>
        <w:tc>
          <w:tcPr>
            <w:tcW w:w="1255" w:type="dxa"/>
            <w:vAlign w:val="center"/>
          </w:tcPr>
          <w:p>
            <w:pPr>
              <w:jc w:val="center"/>
              <w:rPr>
                <w:rFonts w:cs="仿宋"/>
                <w:color w:val="auto"/>
                <w:sz w:val="22"/>
                <w:szCs w:val="22"/>
                <w:highlight w:val="none"/>
              </w:rPr>
            </w:pPr>
            <w:r>
              <w:rPr>
                <w:rFonts w:hint="eastAsia" w:cs="仿宋"/>
                <w:color w:val="auto"/>
                <w:sz w:val="22"/>
                <w:szCs w:val="22"/>
                <w:highlight w:val="none"/>
              </w:rPr>
              <w:t>清洁服务</w:t>
            </w:r>
          </w:p>
        </w:tc>
        <w:tc>
          <w:tcPr>
            <w:tcW w:w="5584" w:type="dxa"/>
            <w:vAlign w:val="center"/>
          </w:tcPr>
          <w:p>
            <w:pPr>
              <w:rPr>
                <w:rFonts w:cs="仿宋"/>
                <w:color w:val="auto"/>
                <w:sz w:val="22"/>
                <w:szCs w:val="22"/>
                <w:highlight w:val="none"/>
              </w:rPr>
            </w:pPr>
            <w:r>
              <w:rPr>
                <w:rFonts w:hint="eastAsia" w:cs="仿宋"/>
                <w:color w:val="auto"/>
                <w:sz w:val="22"/>
                <w:szCs w:val="22"/>
                <w:highlight w:val="none"/>
              </w:rPr>
              <w:t>智能管护大数据指挥中心垃圾清运</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pPr>
              <w:spacing w:line="360" w:lineRule="auto"/>
              <w:jc w:val="center"/>
              <w:rPr>
                <w:rFonts w:cs="仿宋"/>
                <w:b/>
                <w:color w:val="auto"/>
                <w:sz w:val="22"/>
                <w:szCs w:val="22"/>
                <w:highlight w:val="none"/>
              </w:rPr>
            </w:pPr>
            <w:r>
              <w:rPr>
                <w:rFonts w:hint="eastAsia" w:cs="仿宋"/>
                <w:b/>
                <w:color w:val="auto"/>
                <w:sz w:val="22"/>
                <w:szCs w:val="22"/>
                <w:highlight w:val="none"/>
              </w:rPr>
              <w:t>6</w:t>
            </w:r>
          </w:p>
        </w:tc>
        <w:tc>
          <w:tcPr>
            <w:tcW w:w="7826" w:type="dxa"/>
            <w:gridSpan w:val="3"/>
            <w:vAlign w:val="center"/>
          </w:tcPr>
          <w:p>
            <w:pPr>
              <w:spacing w:line="360" w:lineRule="auto"/>
              <w:jc w:val="center"/>
              <w:rPr>
                <w:rFonts w:cs="仿宋"/>
                <w:b/>
                <w:color w:val="auto"/>
                <w:sz w:val="22"/>
                <w:szCs w:val="22"/>
                <w:highlight w:val="none"/>
              </w:rPr>
            </w:pPr>
            <w:r>
              <w:rPr>
                <w:rFonts w:cs="仿宋"/>
                <w:b/>
                <w:color w:val="auto"/>
                <w:sz w:val="22"/>
                <w:szCs w:val="22"/>
                <w:highlight w:val="none"/>
              </w:rPr>
              <w:t>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6.1</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改厕户牌制作、安装</w:t>
            </w:r>
          </w:p>
        </w:tc>
        <w:tc>
          <w:tcPr>
            <w:tcW w:w="5584" w:type="dxa"/>
            <w:vAlign w:val="center"/>
          </w:tcPr>
          <w:p>
            <w:pPr>
              <w:rPr>
                <w:rFonts w:cs="仿宋"/>
                <w:color w:val="auto"/>
                <w:sz w:val="22"/>
                <w:szCs w:val="22"/>
                <w:highlight w:val="none"/>
              </w:rPr>
            </w:pPr>
            <w:r>
              <w:rPr>
                <w:rFonts w:hint="eastAsia" w:cs="仿宋"/>
                <w:color w:val="auto"/>
                <w:sz w:val="22"/>
                <w:szCs w:val="22"/>
                <w:highlight w:val="none"/>
              </w:rPr>
              <w:t>户牌内容需包含：改厕标题、镇/街办村名称、户主姓名、报抽报修智能服务电话、使用维护须知、二维码等</w:t>
            </w:r>
          </w:p>
          <w:p>
            <w:pPr>
              <w:rPr>
                <w:rFonts w:cs="仿宋"/>
                <w:color w:val="auto"/>
                <w:sz w:val="22"/>
                <w:szCs w:val="22"/>
                <w:highlight w:val="none"/>
              </w:rPr>
            </w:pPr>
            <w:r>
              <w:rPr>
                <w:rFonts w:hint="eastAsia" w:cs="仿宋"/>
                <w:color w:val="auto"/>
                <w:sz w:val="22"/>
                <w:szCs w:val="22"/>
                <w:highlight w:val="none"/>
              </w:rPr>
              <w:t>尺寸：约25cm*16cm</w:t>
            </w:r>
          </w:p>
          <w:p>
            <w:pPr>
              <w:rPr>
                <w:rFonts w:cs="仿宋"/>
                <w:color w:val="auto"/>
                <w:sz w:val="22"/>
                <w:szCs w:val="22"/>
                <w:highlight w:val="none"/>
              </w:rPr>
            </w:pPr>
            <w:r>
              <w:rPr>
                <w:rFonts w:hint="eastAsia" w:cs="仿宋"/>
                <w:color w:val="auto"/>
                <w:sz w:val="22"/>
                <w:szCs w:val="22"/>
                <w:highlight w:val="none"/>
              </w:rPr>
              <w:t>材质：铝板</w:t>
            </w:r>
          </w:p>
          <w:p>
            <w:pPr>
              <w:rPr>
                <w:rFonts w:cs="仿宋"/>
                <w:color w:val="auto"/>
                <w:sz w:val="22"/>
                <w:szCs w:val="22"/>
                <w:highlight w:val="none"/>
              </w:rPr>
            </w:pPr>
            <w:r>
              <w:rPr>
                <w:rFonts w:hint="eastAsia" w:cs="仿宋"/>
                <w:color w:val="auto"/>
                <w:sz w:val="22"/>
                <w:szCs w:val="22"/>
                <w:highlight w:val="none"/>
              </w:rPr>
              <w:t>厚度：≥0.5mm</w:t>
            </w:r>
          </w:p>
          <w:p>
            <w:pPr>
              <w:rPr>
                <w:rFonts w:cs="仿宋"/>
                <w:color w:val="auto"/>
                <w:sz w:val="22"/>
                <w:szCs w:val="22"/>
                <w:highlight w:val="none"/>
              </w:rPr>
            </w:pPr>
            <w:r>
              <w:rPr>
                <w:rFonts w:hint="eastAsia" w:cs="仿宋"/>
                <w:color w:val="auto"/>
                <w:sz w:val="22"/>
                <w:szCs w:val="22"/>
                <w:highlight w:val="none"/>
              </w:rPr>
              <w:t>铝制户牌安装到户，含强固胶</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rPr>
              <w:t>2834套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6.2</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明白贴设计印刷</w:t>
            </w:r>
          </w:p>
        </w:tc>
        <w:tc>
          <w:tcPr>
            <w:tcW w:w="5584" w:type="dxa"/>
            <w:vAlign w:val="center"/>
          </w:tcPr>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1.明白贴设计要求：含版面设计；</w:t>
            </w:r>
          </w:p>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2.明白贴尺寸要求：约21cm*15cm；</w:t>
            </w:r>
          </w:p>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3.明白贴质量标准：材质反光膜贴纸；</w:t>
            </w:r>
          </w:p>
          <w:p>
            <w:pPr>
              <w:widowControl/>
              <w:jc w:val="left"/>
              <w:rPr>
                <w:rFonts w:cs="仿宋"/>
                <w:color w:val="auto"/>
                <w:sz w:val="22"/>
                <w:szCs w:val="22"/>
                <w:highlight w:val="none"/>
              </w:rPr>
            </w:pPr>
            <w:r>
              <w:rPr>
                <w:rFonts w:hint="eastAsia" w:cs="仿宋"/>
                <w:color w:val="auto"/>
                <w:sz w:val="22"/>
                <w:szCs w:val="22"/>
                <w:highlight w:val="none"/>
                <w:lang w:bidi="ar"/>
              </w:rPr>
              <w:t>4.明白贴印刷要求：4色印刷专版。</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lang w:bidi="ar"/>
              </w:rPr>
              <w:t>47000户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6.3</w:t>
            </w:r>
          </w:p>
        </w:tc>
        <w:tc>
          <w:tcPr>
            <w:tcW w:w="1255" w:type="dxa"/>
            <w:vAlign w:val="center"/>
          </w:tcPr>
          <w:p>
            <w:pPr>
              <w:spacing w:line="300" w:lineRule="exact"/>
              <w:jc w:val="center"/>
              <w:rPr>
                <w:rFonts w:cs="仿宋"/>
                <w:color w:val="auto"/>
                <w:sz w:val="22"/>
                <w:szCs w:val="22"/>
                <w:highlight w:val="none"/>
              </w:rPr>
            </w:pPr>
            <w:r>
              <w:rPr>
                <w:rFonts w:hint="eastAsia" w:cs="仿宋"/>
                <w:color w:val="auto"/>
                <w:sz w:val="22"/>
                <w:szCs w:val="22"/>
                <w:highlight w:val="none"/>
              </w:rPr>
              <w:t>现场培训宣传</w:t>
            </w:r>
          </w:p>
        </w:tc>
        <w:tc>
          <w:tcPr>
            <w:tcW w:w="5584" w:type="dxa"/>
            <w:vAlign w:val="center"/>
          </w:tcPr>
          <w:p>
            <w:pPr>
              <w:widowControl/>
              <w:rPr>
                <w:rFonts w:cs="仿宋"/>
                <w:color w:val="auto"/>
                <w:sz w:val="22"/>
                <w:szCs w:val="22"/>
                <w:highlight w:val="none"/>
              </w:rPr>
            </w:pPr>
            <w:r>
              <w:rPr>
                <w:rFonts w:hint="eastAsia" w:cs="仿宋"/>
                <w:color w:val="auto"/>
                <w:sz w:val="22"/>
                <w:szCs w:val="22"/>
                <w:highlight w:val="none"/>
                <w:lang w:bidi="ar"/>
              </w:rPr>
              <w:t>1.培训内容：为镇街作业司机提供现场培训及技术咨询服务、</w:t>
            </w:r>
            <w:r>
              <w:rPr>
                <w:rFonts w:hint="eastAsia" w:cs="仿宋"/>
                <w:color w:val="auto"/>
                <w:sz w:val="22"/>
                <w:szCs w:val="22"/>
                <w:highlight w:val="none"/>
              </w:rPr>
              <w:t>为改厕村民提供入户宣传</w:t>
            </w:r>
            <w:r>
              <w:rPr>
                <w:rFonts w:hint="eastAsia" w:cs="仿宋"/>
                <w:color w:val="auto"/>
                <w:sz w:val="22"/>
                <w:szCs w:val="22"/>
                <w:highlight w:val="none"/>
                <w:lang w:bidi="ar"/>
              </w:rPr>
              <w:t>；</w:t>
            </w:r>
          </w:p>
          <w:p>
            <w:pPr>
              <w:rPr>
                <w:rFonts w:cs="仿宋"/>
                <w:color w:val="auto"/>
                <w:sz w:val="22"/>
                <w:szCs w:val="22"/>
                <w:highlight w:val="none"/>
              </w:rPr>
            </w:pPr>
            <w:r>
              <w:rPr>
                <w:rFonts w:hint="eastAsia" w:cs="仿宋"/>
                <w:color w:val="auto"/>
                <w:sz w:val="22"/>
                <w:szCs w:val="22"/>
                <w:highlight w:val="none"/>
                <w:lang w:bidi="ar"/>
              </w:rPr>
              <w:t>2.培训范围：12镇街。</w:t>
            </w:r>
          </w:p>
          <w:p>
            <w:pPr>
              <w:widowControl/>
              <w:jc w:val="left"/>
              <w:rPr>
                <w:rFonts w:cs="仿宋"/>
                <w:color w:val="auto"/>
                <w:sz w:val="22"/>
                <w:szCs w:val="22"/>
                <w:highlight w:val="none"/>
              </w:rPr>
            </w:pPr>
            <w:r>
              <w:rPr>
                <w:rFonts w:hint="eastAsia" w:cs="仿宋"/>
                <w:color w:val="auto"/>
                <w:sz w:val="22"/>
                <w:szCs w:val="22"/>
                <w:highlight w:val="none"/>
                <w:lang w:bidi="ar"/>
              </w:rPr>
              <w:t>3.3年服务期限</w:t>
            </w:r>
          </w:p>
        </w:tc>
        <w:tc>
          <w:tcPr>
            <w:tcW w:w="987" w:type="dxa"/>
            <w:vAlign w:val="center"/>
          </w:tcPr>
          <w:p>
            <w:pPr>
              <w:spacing w:line="300" w:lineRule="exact"/>
              <w:jc w:val="center"/>
              <w:rPr>
                <w:rFonts w:cs="仿宋"/>
                <w:color w:val="auto"/>
                <w:sz w:val="22"/>
                <w:szCs w:val="22"/>
                <w:highlight w:val="none"/>
              </w:rPr>
            </w:pPr>
            <w:r>
              <w:rPr>
                <w:rFonts w:hint="eastAsia" w:cs="仿宋"/>
                <w:color w:val="auto"/>
                <w:sz w:val="22"/>
                <w:szCs w:val="22"/>
                <w:highlight w:val="none"/>
              </w:rPr>
              <w:t>12镇街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6.4</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数据采集整理</w:t>
            </w:r>
          </w:p>
        </w:tc>
        <w:tc>
          <w:tcPr>
            <w:tcW w:w="5584" w:type="dxa"/>
            <w:vAlign w:val="center"/>
          </w:tcPr>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村民基础信息数据采集服务包括：</w:t>
            </w:r>
          </w:p>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1.基本信息，如姓名、电话、改厕类型、改厕年份等；</w:t>
            </w:r>
          </w:p>
          <w:p>
            <w:pPr>
              <w:pStyle w:val="26"/>
              <w:autoSpaceDE w:val="0"/>
              <w:autoSpaceDN w:val="0"/>
              <w:adjustRightInd w:val="0"/>
              <w:snapToGrid w:val="0"/>
              <w:spacing w:beforeAutospacing="0" w:afterAutospacing="0"/>
              <w:jc w:val="both"/>
              <w:rPr>
                <w:rFonts w:cs="仿宋"/>
                <w:color w:val="auto"/>
                <w:sz w:val="22"/>
                <w:szCs w:val="22"/>
                <w:highlight w:val="none"/>
              </w:rPr>
            </w:pPr>
            <w:r>
              <w:rPr>
                <w:rFonts w:cs="仿宋"/>
                <w:color w:val="auto"/>
                <w:sz w:val="22"/>
                <w:szCs w:val="22"/>
                <w:highlight w:val="none"/>
                <w:lang w:bidi="ar"/>
              </w:rPr>
              <w:t>2.编制每户档案资料，如农户改厕调查表、户厕提升改造竣工验收表；</w:t>
            </w:r>
          </w:p>
          <w:p>
            <w:pPr>
              <w:widowControl/>
              <w:jc w:val="left"/>
              <w:rPr>
                <w:rFonts w:cs="仿宋"/>
                <w:color w:val="auto"/>
                <w:sz w:val="22"/>
                <w:szCs w:val="22"/>
                <w:highlight w:val="none"/>
              </w:rPr>
            </w:pPr>
            <w:r>
              <w:rPr>
                <w:rFonts w:hint="eastAsia" w:cs="仿宋"/>
                <w:color w:val="auto"/>
                <w:sz w:val="22"/>
                <w:szCs w:val="22"/>
                <w:highlight w:val="none"/>
                <w:lang w:bidi="ar"/>
              </w:rPr>
              <w:t>3.户厕提升改造所配套的照片资料等。</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lang w:bidi="ar"/>
              </w:rPr>
              <w:t>47000户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6.5</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纸质资料扫描</w:t>
            </w:r>
          </w:p>
        </w:tc>
        <w:tc>
          <w:tcPr>
            <w:tcW w:w="5584" w:type="dxa"/>
            <w:vAlign w:val="center"/>
          </w:tcPr>
          <w:p>
            <w:pPr>
              <w:rPr>
                <w:rFonts w:cs="仿宋"/>
                <w:color w:val="auto"/>
                <w:sz w:val="22"/>
                <w:szCs w:val="22"/>
                <w:highlight w:val="none"/>
              </w:rPr>
            </w:pPr>
            <w:r>
              <w:rPr>
                <w:rFonts w:hint="eastAsia" w:cs="仿宋"/>
                <w:color w:val="auto"/>
                <w:sz w:val="22"/>
                <w:szCs w:val="22"/>
                <w:highlight w:val="none"/>
              </w:rPr>
              <w:t>1.每户改厕纸质档案的逐页扫描，并添加封面、目录，最终形成PDF格式电子文档；</w:t>
            </w:r>
          </w:p>
          <w:p>
            <w:pPr>
              <w:rPr>
                <w:rFonts w:cs="仿宋"/>
                <w:color w:val="auto"/>
                <w:sz w:val="22"/>
                <w:szCs w:val="22"/>
                <w:highlight w:val="none"/>
              </w:rPr>
            </w:pPr>
            <w:r>
              <w:rPr>
                <w:rFonts w:hint="eastAsia" w:cs="仿宋"/>
                <w:color w:val="auto"/>
                <w:sz w:val="22"/>
                <w:szCs w:val="22"/>
                <w:highlight w:val="none"/>
              </w:rPr>
              <w:t>2.县、镇村各级改厕纸质资料的扫面、电子文档制作。</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lang w:bidi="ar"/>
              </w:rPr>
              <w:t>47000户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6" w:type="dxa"/>
            <w:vAlign w:val="center"/>
          </w:tcPr>
          <w:p>
            <w:pPr>
              <w:jc w:val="center"/>
              <w:rPr>
                <w:rFonts w:cs="仿宋"/>
                <w:color w:val="auto"/>
                <w:sz w:val="22"/>
                <w:szCs w:val="22"/>
                <w:highlight w:val="none"/>
              </w:rPr>
            </w:pPr>
            <w:r>
              <w:rPr>
                <w:rFonts w:hint="eastAsia" w:cs="仿宋"/>
                <w:color w:val="auto"/>
                <w:sz w:val="22"/>
                <w:szCs w:val="22"/>
                <w:highlight w:val="none"/>
              </w:rPr>
              <w:t>6.6</w:t>
            </w:r>
          </w:p>
        </w:tc>
        <w:tc>
          <w:tcPr>
            <w:tcW w:w="1255" w:type="dxa"/>
            <w:vAlign w:val="center"/>
          </w:tcPr>
          <w:p>
            <w:pPr>
              <w:spacing w:line="360" w:lineRule="auto"/>
              <w:jc w:val="center"/>
              <w:rPr>
                <w:rFonts w:cs="仿宋"/>
                <w:color w:val="auto"/>
                <w:sz w:val="22"/>
                <w:szCs w:val="22"/>
                <w:highlight w:val="none"/>
              </w:rPr>
            </w:pPr>
            <w:r>
              <w:rPr>
                <w:rFonts w:hint="eastAsia" w:cs="仿宋"/>
                <w:color w:val="auto"/>
                <w:sz w:val="22"/>
                <w:szCs w:val="22"/>
                <w:highlight w:val="none"/>
              </w:rPr>
              <w:t>资料上传录入</w:t>
            </w:r>
          </w:p>
        </w:tc>
        <w:tc>
          <w:tcPr>
            <w:tcW w:w="5584" w:type="dxa"/>
            <w:vAlign w:val="center"/>
          </w:tcPr>
          <w:p>
            <w:pPr>
              <w:rPr>
                <w:rFonts w:cs="仿宋"/>
                <w:color w:val="auto"/>
                <w:sz w:val="22"/>
                <w:szCs w:val="22"/>
                <w:highlight w:val="none"/>
              </w:rPr>
            </w:pPr>
            <w:r>
              <w:rPr>
                <w:rFonts w:hint="eastAsia" w:cs="仿宋"/>
                <w:color w:val="auto"/>
                <w:sz w:val="22"/>
                <w:szCs w:val="22"/>
                <w:highlight w:val="none"/>
              </w:rPr>
              <w:t>改厕档案资料的详细录入以及将改厕档案上传平台等服务工作</w:t>
            </w:r>
          </w:p>
        </w:tc>
        <w:tc>
          <w:tcPr>
            <w:tcW w:w="987" w:type="dxa"/>
            <w:vAlign w:val="center"/>
          </w:tcPr>
          <w:p>
            <w:pPr>
              <w:jc w:val="center"/>
              <w:rPr>
                <w:rFonts w:cs="仿宋"/>
                <w:color w:val="auto"/>
                <w:sz w:val="22"/>
                <w:szCs w:val="22"/>
                <w:highlight w:val="none"/>
              </w:rPr>
            </w:pPr>
            <w:r>
              <w:rPr>
                <w:rFonts w:hint="eastAsia" w:cs="仿宋"/>
                <w:color w:val="auto"/>
                <w:sz w:val="22"/>
                <w:szCs w:val="22"/>
                <w:highlight w:val="none"/>
                <w:lang w:bidi="ar"/>
              </w:rPr>
              <w:t>47000户</w:t>
            </w:r>
          </w:p>
        </w:tc>
      </w:tr>
    </w:tbl>
    <w:p>
      <w:pPr>
        <w:pStyle w:val="2"/>
        <w:ind w:firstLine="0" w:firstLineChars="0"/>
        <w:rPr>
          <w:rFonts w:ascii="宋体" w:hAnsi="宋体" w:cs="宋体"/>
          <w:color w:val="auto"/>
        </w:rPr>
      </w:pPr>
    </w:p>
    <w:p>
      <w:pPr>
        <w:spacing w:line="360" w:lineRule="auto"/>
        <w:jc w:val="left"/>
        <w:outlineLvl w:val="0"/>
        <w:rPr>
          <w:rFonts w:cs="宋体"/>
          <w:b/>
          <w:bCs/>
          <w:color w:val="auto"/>
          <w:sz w:val="28"/>
          <w:szCs w:val="18"/>
        </w:rPr>
      </w:pPr>
      <w:bookmarkStart w:id="149" w:name="_Toc15440"/>
      <w:r>
        <w:rPr>
          <w:rFonts w:hint="eastAsia" w:cs="宋体"/>
          <w:b/>
          <w:bCs/>
          <w:color w:val="auto"/>
          <w:sz w:val="28"/>
          <w:szCs w:val="18"/>
        </w:rPr>
        <w:t>2.商务要求</w:t>
      </w:r>
      <w:bookmarkEnd w:id="149"/>
    </w:p>
    <w:p>
      <w:pPr>
        <w:spacing w:line="360" w:lineRule="auto"/>
        <w:ind w:firstLine="480" w:firstLineChars="200"/>
        <w:rPr>
          <w:rFonts w:cs="宋体"/>
          <w:color w:val="auto"/>
          <w:sz w:val="24"/>
          <w:szCs w:val="16"/>
        </w:rPr>
      </w:pPr>
      <w:r>
        <w:rPr>
          <w:rFonts w:hint="eastAsia" w:cs="宋体"/>
          <w:color w:val="auto"/>
          <w:sz w:val="24"/>
          <w:szCs w:val="16"/>
        </w:rPr>
        <w:t>（一）服务期：合同签订后3年。</w:t>
      </w:r>
    </w:p>
    <w:p>
      <w:pPr>
        <w:spacing w:line="360" w:lineRule="auto"/>
        <w:ind w:firstLine="480" w:firstLineChars="200"/>
        <w:rPr>
          <w:rFonts w:cs="宋体"/>
          <w:color w:val="auto"/>
          <w:sz w:val="24"/>
          <w:szCs w:val="16"/>
        </w:rPr>
      </w:pPr>
      <w:r>
        <w:rPr>
          <w:rFonts w:hint="eastAsia" w:cs="宋体"/>
          <w:color w:val="auto"/>
          <w:sz w:val="24"/>
          <w:szCs w:val="16"/>
        </w:rPr>
        <w:t>（二）建设地点：采购人指定地点</w:t>
      </w:r>
    </w:p>
    <w:p>
      <w:pPr>
        <w:spacing w:line="360" w:lineRule="auto"/>
        <w:ind w:firstLine="480" w:firstLineChars="200"/>
        <w:rPr>
          <w:rFonts w:cs="宋体"/>
          <w:color w:val="auto"/>
          <w:sz w:val="24"/>
          <w:szCs w:val="16"/>
        </w:rPr>
      </w:pPr>
      <w:r>
        <w:rPr>
          <w:rFonts w:hint="eastAsia" w:cs="宋体"/>
          <w:color w:val="auto"/>
          <w:sz w:val="24"/>
          <w:szCs w:val="16"/>
        </w:rPr>
        <w:t>（三）合同签订之日起45日历天内完成</w:t>
      </w:r>
      <w:r>
        <w:rPr>
          <w:rFonts w:hint="eastAsia" w:cs="宋体"/>
          <w:color w:val="auto"/>
          <w:sz w:val="24"/>
          <w:szCs w:val="16"/>
          <w:lang w:eastAsia="zh-CN"/>
        </w:rPr>
        <w:t>平台的安装调试</w:t>
      </w:r>
      <w:r>
        <w:rPr>
          <w:rFonts w:hint="eastAsia" w:cs="宋体"/>
          <w:color w:val="auto"/>
          <w:sz w:val="24"/>
          <w:szCs w:val="16"/>
        </w:rPr>
        <w:t>。</w:t>
      </w:r>
    </w:p>
    <w:p>
      <w:pPr>
        <w:spacing w:line="360" w:lineRule="auto"/>
        <w:ind w:firstLine="480" w:firstLineChars="200"/>
        <w:rPr>
          <w:rFonts w:cs="宋体"/>
          <w:color w:val="auto"/>
          <w:sz w:val="24"/>
          <w:szCs w:val="16"/>
        </w:rPr>
      </w:pPr>
      <w:r>
        <w:rPr>
          <w:rFonts w:hint="eastAsia" w:cs="宋体"/>
          <w:color w:val="auto"/>
          <w:sz w:val="24"/>
          <w:szCs w:val="16"/>
        </w:rPr>
        <w:t>（四）报价要求：供应商的投标报价包括</w:t>
      </w:r>
      <w:r>
        <w:rPr>
          <w:rFonts w:hint="eastAsia" w:cs="宋体"/>
          <w:color w:val="auto"/>
          <w:sz w:val="24"/>
          <w:szCs w:val="16"/>
          <w:lang w:val="en-US" w:eastAsia="zh-CN"/>
        </w:rPr>
        <w:t>产品费、服务费、</w:t>
      </w:r>
      <w:r>
        <w:rPr>
          <w:rFonts w:hint="eastAsia" w:cs="宋体"/>
          <w:color w:val="auto"/>
          <w:sz w:val="24"/>
          <w:szCs w:val="16"/>
        </w:rPr>
        <w:t>人工、管理、税费等全部费用。</w:t>
      </w:r>
    </w:p>
    <w:p>
      <w:pPr>
        <w:pStyle w:val="17"/>
        <w:spacing w:line="360" w:lineRule="auto"/>
        <w:ind w:firstLine="480" w:firstLineChars="200"/>
        <w:rPr>
          <w:rFonts w:ascii="宋体" w:hAnsi="宋体" w:cs="宋体"/>
          <w:color w:val="auto"/>
        </w:rPr>
      </w:pPr>
      <w:r>
        <w:rPr>
          <w:rFonts w:hint="eastAsia" w:ascii="宋体" w:hAnsi="宋体" w:cs="宋体"/>
          <w:color w:val="auto"/>
          <w:sz w:val="24"/>
          <w:szCs w:val="16"/>
        </w:rPr>
        <w:t>（五）付款方式：平台建设完成、项目验收合格并正常使用后支付60%，平台运行一年后付20%，剩余20%服务期满后一次性付清。</w:t>
      </w:r>
    </w:p>
    <w:p>
      <w:pPr>
        <w:pStyle w:val="5"/>
        <w:rPr>
          <w:rFonts w:ascii="宋体" w:hAnsi="宋体" w:cs="宋体"/>
          <w:color w:val="auto"/>
        </w:rPr>
      </w:pPr>
      <w:r>
        <w:rPr>
          <w:rFonts w:hint="eastAsia" w:ascii="宋体" w:hAnsi="宋体" w:cs="宋体"/>
          <w:bCs/>
          <w:color w:val="auto"/>
          <w:sz w:val="36"/>
          <w:szCs w:val="36"/>
        </w:rPr>
        <w:br w:type="page"/>
      </w:r>
      <w:bookmarkEnd w:id="145"/>
      <w:bookmarkEnd w:id="146"/>
      <w:bookmarkEnd w:id="147"/>
      <w:bookmarkEnd w:id="148"/>
      <w:bookmarkStart w:id="150" w:name="_Toc16327"/>
      <w:bookmarkStart w:id="151" w:name="_Toc314"/>
      <w:bookmarkStart w:id="152" w:name="_Toc26112"/>
      <w:r>
        <w:rPr>
          <w:rFonts w:hint="eastAsia" w:ascii="宋体" w:hAnsi="宋体" w:cs="宋体"/>
          <w:color w:val="auto"/>
        </w:rPr>
        <w:t>第五章 评标方法</w:t>
      </w:r>
      <w:bookmarkEnd w:id="150"/>
      <w:bookmarkEnd w:id="151"/>
      <w:bookmarkEnd w:id="152"/>
    </w:p>
    <w:p>
      <w:pPr>
        <w:pStyle w:val="7"/>
        <w:spacing w:line="360" w:lineRule="auto"/>
        <w:ind w:firstLine="482"/>
        <w:rPr>
          <w:rFonts w:ascii="宋体" w:hAnsi="宋体" w:cs="宋体"/>
          <w:color w:val="auto"/>
          <w:sz w:val="24"/>
        </w:rPr>
      </w:pPr>
      <w:bookmarkStart w:id="153" w:name="_Toc23873"/>
      <w:bookmarkStart w:id="154" w:name="_Toc363463332"/>
      <w:r>
        <w:rPr>
          <w:rFonts w:hint="eastAsia" w:ascii="宋体" w:hAnsi="宋体" w:cs="宋体"/>
          <w:color w:val="auto"/>
          <w:sz w:val="24"/>
        </w:rPr>
        <w:t>一．评标方法</w:t>
      </w:r>
      <w:bookmarkEnd w:id="153"/>
      <w:bookmarkEnd w:id="154"/>
    </w:p>
    <w:p>
      <w:pPr>
        <w:pStyle w:val="14"/>
        <w:spacing w:line="360" w:lineRule="auto"/>
        <w:ind w:firstLine="480"/>
        <w:rPr>
          <w:rFonts w:ascii="宋体" w:hAnsi="宋体" w:cs="宋体"/>
          <w:color w:val="auto"/>
          <w:spacing w:val="4"/>
          <w:sz w:val="24"/>
        </w:rPr>
      </w:pPr>
      <w:r>
        <w:rPr>
          <w:rFonts w:hint="eastAsia" w:ascii="宋体" w:hAnsi="宋体" w:cs="宋体"/>
          <w:color w:val="auto"/>
          <w:sz w:val="24"/>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Fonts w:hint="eastAsia" w:ascii="宋体" w:hAnsi="宋体" w:cs="宋体"/>
          <w:color w:val="auto"/>
          <w:spacing w:val="4"/>
          <w:sz w:val="24"/>
        </w:rPr>
        <w:t>本次评标采用</w:t>
      </w:r>
      <w:r>
        <w:rPr>
          <w:rFonts w:hint="eastAsia" w:ascii="宋体" w:hAnsi="宋体" w:cs="宋体"/>
          <w:b/>
          <w:color w:val="auto"/>
          <w:spacing w:val="4"/>
          <w:sz w:val="24"/>
        </w:rPr>
        <w:t>综合评分法</w:t>
      </w:r>
      <w:r>
        <w:rPr>
          <w:rFonts w:hint="eastAsia" w:ascii="宋体" w:hAnsi="宋体" w:cs="宋体"/>
          <w:color w:val="auto"/>
          <w:spacing w:val="4"/>
          <w:sz w:val="24"/>
        </w:rPr>
        <w:t>--</w:t>
      </w:r>
      <w:r>
        <w:rPr>
          <w:rFonts w:hint="eastAsia" w:ascii="宋体" w:hAnsi="宋体" w:cs="宋体"/>
          <w:color w:val="auto"/>
          <w:sz w:val="24"/>
        </w:rPr>
        <w:t>投标文件满足招标文件全部实质性要求，且按照评审因素的量化指标评审得分最高的供应商为中标候选人。</w:t>
      </w:r>
      <w:r>
        <w:rPr>
          <w:rFonts w:hint="eastAsia" w:ascii="宋体" w:hAnsi="宋体" w:cs="宋体"/>
          <w:color w:val="auto"/>
          <w:spacing w:val="4"/>
          <w:sz w:val="24"/>
        </w:rPr>
        <w:t>（最低报价不是中标的唯一标准）。</w:t>
      </w:r>
    </w:p>
    <w:p>
      <w:pPr>
        <w:pStyle w:val="7"/>
        <w:spacing w:line="360" w:lineRule="auto"/>
        <w:ind w:firstLine="482"/>
        <w:rPr>
          <w:rFonts w:ascii="宋体" w:hAnsi="宋体" w:cs="宋体"/>
          <w:color w:val="auto"/>
          <w:sz w:val="24"/>
        </w:rPr>
      </w:pPr>
      <w:bookmarkStart w:id="155" w:name="_Toc25480"/>
      <w:r>
        <w:rPr>
          <w:rFonts w:hint="eastAsia" w:ascii="宋体" w:hAnsi="宋体" w:cs="宋体"/>
          <w:color w:val="auto"/>
          <w:sz w:val="24"/>
        </w:rPr>
        <w:t>二．评标委员会负责具体评标事务，并独立履行下列职责：</w:t>
      </w:r>
      <w:bookmarkEnd w:id="155"/>
    </w:p>
    <w:p>
      <w:pPr>
        <w:pStyle w:val="14"/>
        <w:spacing w:line="360" w:lineRule="auto"/>
        <w:ind w:firstLine="480"/>
        <w:rPr>
          <w:rFonts w:ascii="宋体" w:hAnsi="宋体" w:cs="宋体"/>
          <w:color w:val="auto"/>
          <w:sz w:val="24"/>
        </w:rPr>
      </w:pPr>
      <w:r>
        <w:rPr>
          <w:rFonts w:hint="eastAsia" w:ascii="宋体" w:hAnsi="宋体" w:cs="宋体"/>
          <w:color w:val="auto"/>
          <w:sz w:val="24"/>
        </w:rPr>
        <w:t>2.1审查、评价投标文件是否符合招标文件的商务、技术、合同条款等实质性要求；</w:t>
      </w:r>
    </w:p>
    <w:p>
      <w:pPr>
        <w:pStyle w:val="14"/>
        <w:spacing w:line="360" w:lineRule="auto"/>
        <w:ind w:firstLine="480"/>
        <w:rPr>
          <w:rFonts w:ascii="宋体" w:hAnsi="宋体" w:cs="宋体"/>
          <w:color w:val="auto"/>
          <w:sz w:val="24"/>
        </w:rPr>
      </w:pPr>
      <w:r>
        <w:rPr>
          <w:rFonts w:hint="eastAsia" w:ascii="宋体" w:hAnsi="宋体" w:cs="宋体"/>
          <w:color w:val="auto"/>
          <w:sz w:val="24"/>
        </w:rPr>
        <w:t>2.2要求供应商对投标文件有关事项作出澄清或者说明；</w:t>
      </w:r>
    </w:p>
    <w:p>
      <w:pPr>
        <w:pStyle w:val="14"/>
        <w:spacing w:line="360" w:lineRule="auto"/>
        <w:ind w:firstLine="480"/>
        <w:rPr>
          <w:rFonts w:ascii="宋体" w:hAnsi="宋体" w:cs="宋体"/>
          <w:color w:val="auto"/>
          <w:sz w:val="24"/>
        </w:rPr>
      </w:pPr>
      <w:r>
        <w:rPr>
          <w:rFonts w:hint="eastAsia" w:ascii="宋体" w:hAnsi="宋体" w:cs="宋体"/>
          <w:color w:val="auto"/>
          <w:sz w:val="24"/>
        </w:rPr>
        <w:t>2.3对投标文件进行比较和评价；</w:t>
      </w:r>
    </w:p>
    <w:p>
      <w:pPr>
        <w:pStyle w:val="14"/>
        <w:spacing w:line="360" w:lineRule="auto"/>
        <w:ind w:firstLine="480"/>
        <w:rPr>
          <w:rFonts w:ascii="宋体" w:hAnsi="宋体" w:cs="宋体"/>
          <w:color w:val="auto"/>
          <w:sz w:val="24"/>
        </w:rPr>
      </w:pPr>
      <w:r>
        <w:rPr>
          <w:rFonts w:hint="eastAsia" w:ascii="宋体" w:hAnsi="宋体" w:cs="宋体"/>
          <w:color w:val="auto"/>
          <w:sz w:val="24"/>
        </w:rPr>
        <w:t>2.4确定中标候选人名单，以及根据采购人委托直接确定中标人；</w:t>
      </w:r>
    </w:p>
    <w:p>
      <w:pPr>
        <w:pStyle w:val="14"/>
        <w:spacing w:line="360" w:lineRule="auto"/>
        <w:ind w:firstLine="480"/>
        <w:rPr>
          <w:rFonts w:ascii="宋体" w:hAnsi="宋体" w:cs="宋体"/>
          <w:color w:val="auto"/>
          <w:sz w:val="24"/>
        </w:rPr>
      </w:pPr>
      <w:r>
        <w:rPr>
          <w:rFonts w:hint="eastAsia" w:ascii="宋体" w:hAnsi="宋体" w:cs="宋体"/>
          <w:color w:val="auto"/>
          <w:sz w:val="24"/>
        </w:rPr>
        <w:t>2.5向采购人、采购代理机构或者有关部门报告评标中发现的违法行为。</w:t>
      </w:r>
    </w:p>
    <w:p>
      <w:pPr>
        <w:pStyle w:val="7"/>
        <w:spacing w:line="360" w:lineRule="auto"/>
        <w:ind w:firstLine="482"/>
        <w:rPr>
          <w:rFonts w:ascii="宋体" w:hAnsi="宋体" w:cs="宋体"/>
          <w:color w:val="auto"/>
          <w:sz w:val="24"/>
        </w:rPr>
      </w:pPr>
      <w:bookmarkStart w:id="156" w:name="_Toc20161"/>
      <w:r>
        <w:rPr>
          <w:rFonts w:hint="eastAsia" w:ascii="宋体" w:hAnsi="宋体" w:cs="宋体"/>
          <w:color w:val="auto"/>
          <w:sz w:val="24"/>
        </w:rPr>
        <w:t>三．供应商存在下列情况之一的，投标无效：</w:t>
      </w:r>
      <w:bookmarkEnd w:id="156"/>
    </w:p>
    <w:p>
      <w:pPr>
        <w:pStyle w:val="14"/>
        <w:spacing w:line="360" w:lineRule="auto"/>
        <w:ind w:firstLine="480"/>
        <w:rPr>
          <w:rFonts w:ascii="宋体" w:hAnsi="宋体" w:cs="宋体"/>
          <w:color w:val="auto"/>
          <w:sz w:val="24"/>
        </w:rPr>
      </w:pPr>
      <w:r>
        <w:rPr>
          <w:rFonts w:hint="eastAsia" w:ascii="宋体" w:hAnsi="宋体" w:cs="宋体"/>
          <w:color w:val="auto"/>
          <w:sz w:val="24"/>
        </w:rPr>
        <w:t>3.1未按照招标文件的规定提交投标保证金的；</w:t>
      </w:r>
    </w:p>
    <w:p>
      <w:pPr>
        <w:pStyle w:val="14"/>
        <w:spacing w:line="360" w:lineRule="auto"/>
        <w:ind w:firstLine="480"/>
        <w:rPr>
          <w:rFonts w:ascii="宋体" w:hAnsi="宋体" w:cs="宋体"/>
          <w:color w:val="auto"/>
          <w:sz w:val="24"/>
        </w:rPr>
      </w:pPr>
      <w:r>
        <w:rPr>
          <w:rFonts w:hint="eastAsia" w:ascii="宋体" w:hAnsi="宋体" w:cs="宋体"/>
          <w:color w:val="auto"/>
          <w:sz w:val="24"/>
        </w:rPr>
        <w:t>3.2投标文件未按招标文件要求签署、盖章的；</w:t>
      </w:r>
    </w:p>
    <w:p>
      <w:pPr>
        <w:pStyle w:val="14"/>
        <w:spacing w:line="360" w:lineRule="auto"/>
        <w:ind w:firstLine="480"/>
        <w:rPr>
          <w:rFonts w:ascii="宋体" w:hAnsi="宋体" w:cs="宋体"/>
          <w:color w:val="auto"/>
          <w:sz w:val="24"/>
        </w:rPr>
      </w:pPr>
      <w:r>
        <w:rPr>
          <w:rFonts w:hint="eastAsia" w:ascii="宋体" w:hAnsi="宋体" w:cs="宋体"/>
          <w:color w:val="auto"/>
          <w:sz w:val="24"/>
        </w:rPr>
        <w:t>3.3不具备招标文件中规定的资格要求的；</w:t>
      </w:r>
    </w:p>
    <w:p>
      <w:pPr>
        <w:pStyle w:val="14"/>
        <w:spacing w:line="360" w:lineRule="auto"/>
        <w:ind w:firstLine="480"/>
        <w:rPr>
          <w:rFonts w:ascii="宋体" w:hAnsi="宋体" w:cs="宋体"/>
          <w:color w:val="auto"/>
          <w:sz w:val="24"/>
        </w:rPr>
      </w:pPr>
      <w:r>
        <w:rPr>
          <w:rFonts w:hint="eastAsia" w:ascii="宋体" w:hAnsi="宋体" w:cs="宋体"/>
          <w:color w:val="auto"/>
          <w:sz w:val="24"/>
        </w:rPr>
        <w:t>3.4报价超过招标文件中规定的预算金额或者最高限价的；</w:t>
      </w:r>
    </w:p>
    <w:p>
      <w:pPr>
        <w:pStyle w:val="14"/>
        <w:spacing w:line="360" w:lineRule="auto"/>
        <w:ind w:firstLine="480"/>
        <w:rPr>
          <w:rFonts w:ascii="宋体" w:hAnsi="宋体" w:cs="宋体"/>
          <w:color w:val="auto"/>
          <w:sz w:val="24"/>
        </w:rPr>
      </w:pPr>
      <w:r>
        <w:rPr>
          <w:rFonts w:hint="eastAsia" w:ascii="宋体" w:hAnsi="宋体" w:cs="宋体"/>
          <w:color w:val="auto"/>
          <w:sz w:val="24"/>
        </w:rPr>
        <w:t>3.5投标文件含有采购人不能接受的附加条件的；</w:t>
      </w:r>
    </w:p>
    <w:p>
      <w:pPr>
        <w:pStyle w:val="14"/>
        <w:spacing w:line="360" w:lineRule="auto"/>
        <w:ind w:firstLine="480"/>
        <w:rPr>
          <w:rFonts w:ascii="宋体" w:hAnsi="宋体" w:cs="宋体"/>
          <w:color w:val="auto"/>
          <w:sz w:val="24"/>
        </w:rPr>
      </w:pPr>
      <w:r>
        <w:rPr>
          <w:rFonts w:hint="eastAsia" w:ascii="宋体" w:hAnsi="宋体" w:cs="宋体"/>
          <w:color w:val="auto"/>
          <w:sz w:val="24"/>
        </w:rPr>
        <w:t>3.6无投标有效期或有效期达不到招标文件要求的；</w:t>
      </w:r>
    </w:p>
    <w:p>
      <w:pPr>
        <w:pStyle w:val="14"/>
        <w:spacing w:line="360" w:lineRule="auto"/>
        <w:ind w:firstLine="480"/>
        <w:rPr>
          <w:rFonts w:ascii="宋体" w:hAnsi="宋体" w:cs="宋体"/>
          <w:color w:val="auto"/>
          <w:sz w:val="24"/>
        </w:rPr>
      </w:pPr>
      <w:r>
        <w:rPr>
          <w:rFonts w:hint="eastAsia" w:ascii="宋体" w:hAnsi="宋体" w:cs="宋体"/>
          <w:color w:val="auto"/>
          <w:sz w:val="24"/>
        </w:rPr>
        <w:t>3.7单位负责人为同一人或者存在直接控股、管理关系的不同供应商，参加本项目同一合同项下的投标的；</w:t>
      </w:r>
    </w:p>
    <w:p>
      <w:pPr>
        <w:pStyle w:val="14"/>
        <w:spacing w:line="360" w:lineRule="auto"/>
        <w:ind w:firstLine="480"/>
        <w:rPr>
          <w:rFonts w:ascii="宋体" w:hAnsi="宋体" w:cs="宋体"/>
          <w:color w:val="auto"/>
          <w:sz w:val="24"/>
        </w:rPr>
      </w:pPr>
      <w:r>
        <w:rPr>
          <w:rFonts w:hint="eastAsia" w:ascii="宋体" w:hAnsi="宋体" w:cs="宋体"/>
          <w:color w:val="auto"/>
          <w:sz w:val="24"/>
        </w:rPr>
        <w:t>3.8为本采购项目提供整体设计、规范编制或者项目管理、监理、检测等服务的供应商，参加本采购项目投标的；</w:t>
      </w:r>
    </w:p>
    <w:p>
      <w:pPr>
        <w:pStyle w:val="14"/>
        <w:spacing w:line="360" w:lineRule="auto"/>
        <w:ind w:firstLine="480"/>
        <w:rPr>
          <w:rFonts w:ascii="宋体" w:hAnsi="宋体" w:cs="宋体"/>
          <w:color w:val="auto"/>
          <w:sz w:val="24"/>
        </w:rPr>
      </w:pPr>
      <w:r>
        <w:rPr>
          <w:rFonts w:hint="eastAsia" w:ascii="宋体" w:hAnsi="宋体" w:cs="宋体"/>
          <w:color w:val="auto"/>
          <w:sz w:val="24"/>
        </w:rPr>
        <w:t>3.9提供虚假投标文件和资料的。</w:t>
      </w:r>
    </w:p>
    <w:p>
      <w:pPr>
        <w:pStyle w:val="14"/>
        <w:spacing w:line="360" w:lineRule="auto"/>
        <w:ind w:firstLine="480"/>
        <w:rPr>
          <w:rFonts w:ascii="宋体" w:hAnsi="宋体" w:cs="宋体"/>
          <w:color w:val="auto"/>
          <w:spacing w:val="4"/>
          <w:sz w:val="24"/>
        </w:rPr>
      </w:pPr>
      <w:r>
        <w:rPr>
          <w:rFonts w:hint="eastAsia" w:ascii="宋体" w:hAnsi="宋体" w:cs="宋体"/>
          <w:color w:val="auto"/>
          <w:sz w:val="24"/>
        </w:rPr>
        <w:t>3.10法律、法规和招标文件规定的其他无效情形；</w:t>
      </w:r>
    </w:p>
    <w:p>
      <w:pPr>
        <w:pStyle w:val="7"/>
        <w:spacing w:line="360" w:lineRule="auto"/>
        <w:ind w:firstLine="482"/>
        <w:rPr>
          <w:rFonts w:ascii="宋体" w:hAnsi="宋体" w:cs="宋体"/>
          <w:color w:val="auto"/>
          <w:sz w:val="24"/>
        </w:rPr>
      </w:pPr>
      <w:bookmarkStart w:id="157" w:name="_Toc3160"/>
      <w:r>
        <w:rPr>
          <w:rFonts w:hint="eastAsia" w:ascii="宋体" w:hAnsi="宋体" w:cs="宋体"/>
          <w:color w:val="auto"/>
          <w:sz w:val="24"/>
        </w:rPr>
        <w:t>四．供应商有下列情形之一的，视为供应商串通投标，其投标无效：</w:t>
      </w:r>
      <w:bookmarkEnd w:id="157"/>
    </w:p>
    <w:p>
      <w:pPr>
        <w:pStyle w:val="14"/>
        <w:spacing w:line="360" w:lineRule="auto"/>
        <w:ind w:firstLine="480"/>
        <w:rPr>
          <w:rFonts w:ascii="宋体" w:hAnsi="宋体" w:cs="宋体"/>
          <w:color w:val="auto"/>
          <w:sz w:val="24"/>
        </w:rPr>
      </w:pPr>
      <w:r>
        <w:rPr>
          <w:rFonts w:hint="eastAsia" w:ascii="宋体" w:hAnsi="宋体" w:cs="宋体"/>
          <w:color w:val="auto"/>
          <w:sz w:val="24"/>
        </w:rPr>
        <w:t>4.1不同供应商的投标文件由同一单位或者个人编制；</w:t>
      </w:r>
    </w:p>
    <w:p>
      <w:pPr>
        <w:pStyle w:val="14"/>
        <w:spacing w:line="360" w:lineRule="auto"/>
        <w:ind w:firstLine="480"/>
        <w:rPr>
          <w:rFonts w:ascii="宋体" w:hAnsi="宋体" w:cs="宋体"/>
          <w:color w:val="auto"/>
          <w:sz w:val="24"/>
        </w:rPr>
      </w:pPr>
      <w:r>
        <w:rPr>
          <w:rFonts w:hint="eastAsia" w:ascii="宋体" w:hAnsi="宋体" w:cs="宋体"/>
          <w:color w:val="auto"/>
          <w:sz w:val="24"/>
        </w:rPr>
        <w:t>4.2不同供应商委托同一单位或者个人办理投标事宜；</w:t>
      </w:r>
    </w:p>
    <w:p>
      <w:pPr>
        <w:pStyle w:val="14"/>
        <w:spacing w:line="360" w:lineRule="auto"/>
        <w:ind w:firstLine="480"/>
        <w:rPr>
          <w:rFonts w:ascii="宋体" w:hAnsi="宋体" w:cs="宋体"/>
          <w:color w:val="auto"/>
          <w:sz w:val="24"/>
        </w:rPr>
      </w:pPr>
      <w:r>
        <w:rPr>
          <w:rFonts w:hint="eastAsia" w:ascii="宋体" w:hAnsi="宋体" w:cs="宋体"/>
          <w:color w:val="auto"/>
          <w:sz w:val="24"/>
        </w:rPr>
        <w:t>4.3不同供应商的投标文件载明的项目管理成员或者联系人员为同一人；</w:t>
      </w:r>
    </w:p>
    <w:p>
      <w:pPr>
        <w:pStyle w:val="14"/>
        <w:spacing w:line="360" w:lineRule="auto"/>
        <w:ind w:firstLine="480"/>
        <w:rPr>
          <w:rFonts w:ascii="宋体" w:hAnsi="宋体" w:cs="宋体"/>
          <w:color w:val="auto"/>
          <w:sz w:val="24"/>
        </w:rPr>
      </w:pPr>
      <w:r>
        <w:rPr>
          <w:rFonts w:hint="eastAsia" w:ascii="宋体" w:hAnsi="宋体" w:cs="宋体"/>
          <w:color w:val="auto"/>
          <w:sz w:val="24"/>
        </w:rPr>
        <w:t>4.4不同供应商的投标文件异常一致或者投标报价呈规律性差异；</w:t>
      </w:r>
    </w:p>
    <w:p>
      <w:pPr>
        <w:pStyle w:val="14"/>
        <w:spacing w:line="360" w:lineRule="auto"/>
        <w:ind w:firstLine="480"/>
        <w:rPr>
          <w:rFonts w:ascii="宋体" w:hAnsi="宋体" w:cs="宋体"/>
          <w:color w:val="auto"/>
          <w:sz w:val="24"/>
        </w:rPr>
      </w:pPr>
      <w:r>
        <w:rPr>
          <w:rFonts w:hint="eastAsia" w:ascii="宋体" w:hAnsi="宋体" w:cs="宋体"/>
          <w:color w:val="auto"/>
          <w:sz w:val="24"/>
        </w:rPr>
        <w:t>4.5不同供应商的投标文件相互混装；</w:t>
      </w:r>
    </w:p>
    <w:p>
      <w:pPr>
        <w:pStyle w:val="14"/>
        <w:spacing w:line="360" w:lineRule="auto"/>
        <w:ind w:firstLine="480"/>
        <w:rPr>
          <w:rFonts w:ascii="宋体" w:hAnsi="宋体" w:cs="宋体"/>
          <w:color w:val="auto"/>
          <w:spacing w:val="4"/>
          <w:sz w:val="24"/>
        </w:rPr>
      </w:pPr>
      <w:r>
        <w:rPr>
          <w:rFonts w:hint="eastAsia" w:ascii="宋体" w:hAnsi="宋体" w:cs="宋体"/>
          <w:color w:val="auto"/>
          <w:sz w:val="24"/>
        </w:rPr>
        <w:t>4.6不同供应商的投标保证金从同一单位或者个人的账户转出。</w:t>
      </w:r>
    </w:p>
    <w:p>
      <w:pPr>
        <w:pStyle w:val="7"/>
        <w:spacing w:line="360" w:lineRule="auto"/>
        <w:ind w:firstLine="482"/>
        <w:rPr>
          <w:rFonts w:ascii="宋体" w:hAnsi="宋体" w:cs="宋体"/>
          <w:color w:val="auto"/>
          <w:sz w:val="24"/>
        </w:rPr>
      </w:pPr>
      <w:bookmarkStart w:id="158" w:name="_Toc10623"/>
      <w:r>
        <w:rPr>
          <w:rFonts w:hint="eastAsia" w:ascii="宋体" w:hAnsi="宋体" w:cs="宋体"/>
          <w:color w:val="auto"/>
          <w:sz w:val="24"/>
        </w:rPr>
        <w:t>五、评审标准</w:t>
      </w:r>
      <w:bookmarkEnd w:id="158"/>
    </w:p>
    <w:p>
      <w:pPr>
        <w:pStyle w:val="14"/>
        <w:spacing w:line="360" w:lineRule="auto"/>
        <w:ind w:firstLine="480"/>
        <w:rPr>
          <w:rFonts w:ascii="宋体" w:hAnsi="宋体" w:cs="宋体"/>
          <w:color w:val="auto"/>
          <w:sz w:val="24"/>
        </w:rPr>
      </w:pPr>
      <w:r>
        <w:rPr>
          <w:rFonts w:hint="eastAsia" w:ascii="宋体" w:hAnsi="宋体" w:cs="宋体"/>
          <w:color w:val="auto"/>
          <w:sz w:val="24"/>
        </w:rPr>
        <w:t>5.1初步评审标准：</w:t>
      </w:r>
    </w:p>
    <w:p>
      <w:pPr>
        <w:pStyle w:val="14"/>
        <w:spacing w:line="360" w:lineRule="auto"/>
        <w:ind w:firstLine="480"/>
        <w:rPr>
          <w:rFonts w:ascii="宋体" w:hAnsi="宋体" w:cs="宋体"/>
          <w:color w:val="auto"/>
          <w:sz w:val="24"/>
        </w:rPr>
      </w:pPr>
      <w:r>
        <w:rPr>
          <w:rFonts w:hint="eastAsia" w:ascii="宋体" w:hAnsi="宋体" w:cs="宋体"/>
          <w:color w:val="auto"/>
          <w:sz w:val="24"/>
        </w:rPr>
        <w:t>5.1.1资格评审标准：见附件1初步审查要素表</w:t>
      </w:r>
    </w:p>
    <w:p>
      <w:pPr>
        <w:pStyle w:val="14"/>
        <w:spacing w:line="360" w:lineRule="auto"/>
        <w:ind w:firstLine="480"/>
        <w:rPr>
          <w:rFonts w:ascii="宋体" w:hAnsi="宋体" w:cs="宋体"/>
          <w:color w:val="auto"/>
          <w:sz w:val="24"/>
        </w:rPr>
      </w:pPr>
      <w:r>
        <w:rPr>
          <w:rFonts w:hint="eastAsia" w:ascii="宋体" w:hAnsi="宋体" w:cs="宋体"/>
          <w:color w:val="auto"/>
          <w:sz w:val="24"/>
        </w:rPr>
        <w:t>5.1.2符合性评审标准：见附件1初步审查要素表</w:t>
      </w:r>
    </w:p>
    <w:p>
      <w:pPr>
        <w:pStyle w:val="14"/>
        <w:spacing w:line="360" w:lineRule="auto"/>
        <w:ind w:firstLine="480"/>
        <w:rPr>
          <w:rFonts w:ascii="宋体" w:hAnsi="宋体" w:cs="宋体"/>
          <w:bCs/>
          <w:color w:val="auto"/>
          <w:sz w:val="24"/>
        </w:rPr>
      </w:pPr>
      <w:r>
        <w:rPr>
          <w:rFonts w:hint="eastAsia" w:ascii="宋体" w:hAnsi="宋体" w:cs="宋体"/>
          <w:color w:val="auto"/>
          <w:sz w:val="24"/>
        </w:rPr>
        <w:t>5.2分值构成与评分标准：见附件2评标因素及权重分值表</w:t>
      </w:r>
    </w:p>
    <w:p>
      <w:pPr>
        <w:pStyle w:val="7"/>
        <w:spacing w:line="360" w:lineRule="auto"/>
        <w:ind w:firstLine="482"/>
        <w:rPr>
          <w:rFonts w:ascii="宋体" w:hAnsi="宋体" w:cs="宋体"/>
          <w:color w:val="auto"/>
          <w:sz w:val="24"/>
        </w:rPr>
      </w:pPr>
      <w:bookmarkStart w:id="159" w:name="_Toc363463333"/>
      <w:bookmarkStart w:id="160" w:name="_Toc5429"/>
      <w:r>
        <w:rPr>
          <w:rFonts w:hint="eastAsia" w:ascii="宋体" w:hAnsi="宋体" w:cs="宋体"/>
          <w:color w:val="auto"/>
          <w:sz w:val="24"/>
        </w:rPr>
        <w:t>六．评审程序</w:t>
      </w:r>
      <w:bookmarkEnd w:id="159"/>
      <w:bookmarkEnd w:id="160"/>
    </w:p>
    <w:p>
      <w:pPr>
        <w:pStyle w:val="14"/>
        <w:spacing w:line="360" w:lineRule="auto"/>
        <w:ind w:firstLine="482"/>
        <w:rPr>
          <w:rFonts w:ascii="宋体" w:hAnsi="宋体" w:cs="宋体"/>
          <w:b/>
          <w:color w:val="auto"/>
          <w:sz w:val="24"/>
        </w:rPr>
      </w:pPr>
      <w:r>
        <w:rPr>
          <w:rFonts w:hint="eastAsia" w:ascii="宋体" w:hAnsi="宋体" w:cs="宋体"/>
          <w:b/>
          <w:color w:val="auto"/>
          <w:sz w:val="24"/>
        </w:rPr>
        <w:t>6.1本采购项目评标按照下列工作程序进行</w:t>
      </w:r>
      <w:r>
        <w:rPr>
          <w:rFonts w:hint="eastAsia" w:ascii="宋体" w:hAnsi="宋体" w:cs="宋体"/>
          <w:bCs/>
          <w:color w:val="auto"/>
          <w:sz w:val="24"/>
        </w:rPr>
        <w:t>（在上一步评审中被认定无效投标者，不进入下一步的评审）</w:t>
      </w:r>
      <w:r>
        <w:rPr>
          <w:rFonts w:hint="eastAsia" w:ascii="宋体" w:hAnsi="宋体" w:cs="宋体"/>
          <w:b/>
          <w:color w:val="auto"/>
          <w:sz w:val="24"/>
        </w:rPr>
        <w:t>。</w:t>
      </w:r>
    </w:p>
    <w:p>
      <w:pPr>
        <w:pStyle w:val="14"/>
        <w:spacing w:line="360" w:lineRule="auto"/>
        <w:ind w:firstLine="480"/>
        <w:rPr>
          <w:rFonts w:ascii="宋体" w:hAnsi="宋体" w:cs="宋体"/>
          <w:color w:val="auto"/>
          <w:sz w:val="24"/>
        </w:rPr>
      </w:pPr>
      <w:r>
        <w:rPr>
          <w:rFonts w:hint="eastAsia" w:ascii="宋体" w:hAnsi="宋体" w:cs="宋体"/>
          <w:color w:val="auto"/>
          <w:sz w:val="24"/>
        </w:rPr>
        <w:t>（1）投标文件初审；</w:t>
      </w:r>
    </w:p>
    <w:p>
      <w:pPr>
        <w:pStyle w:val="14"/>
        <w:spacing w:line="360" w:lineRule="auto"/>
        <w:ind w:firstLine="480"/>
        <w:rPr>
          <w:rFonts w:ascii="宋体" w:hAnsi="宋体" w:cs="宋体"/>
          <w:color w:val="auto"/>
          <w:sz w:val="24"/>
        </w:rPr>
      </w:pPr>
      <w:r>
        <w:rPr>
          <w:rFonts w:hint="eastAsia" w:ascii="宋体" w:hAnsi="宋体" w:cs="宋体"/>
          <w:color w:val="auto"/>
          <w:sz w:val="24"/>
        </w:rPr>
        <w:t>（2）澄清有关问题；</w:t>
      </w:r>
    </w:p>
    <w:p>
      <w:pPr>
        <w:pStyle w:val="14"/>
        <w:spacing w:line="360" w:lineRule="auto"/>
        <w:ind w:firstLine="480"/>
        <w:rPr>
          <w:rFonts w:ascii="宋体" w:hAnsi="宋体" w:cs="宋体"/>
          <w:color w:val="auto"/>
          <w:sz w:val="24"/>
        </w:rPr>
      </w:pPr>
      <w:r>
        <w:rPr>
          <w:rFonts w:hint="eastAsia" w:ascii="宋体" w:hAnsi="宋体" w:cs="宋体"/>
          <w:color w:val="auto"/>
          <w:sz w:val="24"/>
        </w:rPr>
        <w:t>（3）比较与评价；</w:t>
      </w:r>
    </w:p>
    <w:p>
      <w:pPr>
        <w:pStyle w:val="14"/>
        <w:spacing w:line="360" w:lineRule="auto"/>
        <w:ind w:firstLine="480"/>
        <w:rPr>
          <w:rFonts w:ascii="宋体" w:hAnsi="宋体" w:cs="宋体"/>
          <w:color w:val="auto"/>
          <w:sz w:val="24"/>
        </w:rPr>
      </w:pPr>
      <w:r>
        <w:rPr>
          <w:rFonts w:hint="eastAsia" w:ascii="宋体" w:hAnsi="宋体" w:cs="宋体"/>
          <w:color w:val="auto"/>
          <w:sz w:val="24"/>
        </w:rPr>
        <w:t>（4）推荐中标候选人名单。</w:t>
      </w:r>
    </w:p>
    <w:p>
      <w:pPr>
        <w:pStyle w:val="14"/>
        <w:spacing w:line="360" w:lineRule="auto"/>
        <w:ind w:firstLine="480"/>
        <w:rPr>
          <w:rFonts w:ascii="宋体" w:hAnsi="宋体" w:cs="宋体"/>
          <w:color w:val="auto"/>
          <w:sz w:val="24"/>
        </w:rPr>
      </w:pPr>
      <w:r>
        <w:rPr>
          <w:rFonts w:hint="eastAsia" w:ascii="宋体" w:hAnsi="宋体" w:cs="宋体"/>
          <w:color w:val="auto"/>
          <w:sz w:val="24"/>
        </w:rPr>
        <w:t>6.2投标文件初审</w:t>
      </w:r>
    </w:p>
    <w:p>
      <w:pPr>
        <w:pStyle w:val="14"/>
        <w:spacing w:line="360" w:lineRule="auto"/>
        <w:ind w:firstLine="480"/>
        <w:rPr>
          <w:rFonts w:ascii="宋体" w:hAnsi="宋体" w:cs="宋体"/>
          <w:color w:val="auto"/>
          <w:sz w:val="24"/>
        </w:rPr>
      </w:pPr>
      <w:r>
        <w:rPr>
          <w:rFonts w:hint="eastAsia" w:ascii="宋体" w:hAnsi="宋体" w:cs="宋体"/>
          <w:color w:val="auto"/>
          <w:sz w:val="24"/>
        </w:rPr>
        <w:t>采购人或采购代理机构根据本章第5.1.1项规定的评审标准对投标文件进行资格性审查。有一项不符合评审标准的，将被认定为无效投标。</w:t>
      </w:r>
    </w:p>
    <w:p>
      <w:pPr>
        <w:pStyle w:val="14"/>
        <w:spacing w:line="360" w:lineRule="auto"/>
        <w:ind w:firstLine="480"/>
        <w:rPr>
          <w:rFonts w:ascii="宋体" w:hAnsi="宋体" w:cs="宋体"/>
          <w:color w:val="auto"/>
          <w:sz w:val="24"/>
        </w:rPr>
      </w:pPr>
      <w:r>
        <w:rPr>
          <w:rFonts w:hint="eastAsia" w:ascii="宋体" w:hAnsi="宋体" w:cs="宋体"/>
          <w:color w:val="auto"/>
          <w:sz w:val="24"/>
        </w:rPr>
        <w:t>评标委员会根据本章第5.1.2项规定的评审标准对投标文件进行符合性评审。有一项不符合评审标准的，评标委员会应当否决其投标。</w:t>
      </w:r>
    </w:p>
    <w:p>
      <w:pPr>
        <w:pStyle w:val="14"/>
        <w:spacing w:line="360" w:lineRule="auto"/>
        <w:ind w:firstLine="480"/>
        <w:rPr>
          <w:rFonts w:ascii="宋体" w:hAnsi="宋体" w:cs="宋体"/>
          <w:color w:val="auto"/>
          <w:sz w:val="24"/>
        </w:rPr>
      </w:pPr>
      <w:r>
        <w:rPr>
          <w:rFonts w:hint="eastAsia" w:ascii="宋体" w:hAnsi="宋体" w:cs="宋体"/>
          <w:color w:val="auto"/>
          <w:sz w:val="24"/>
        </w:rPr>
        <w:t>在资格性审查阶段，不符合招标文件要求的，不得进入符合性审查，在符合性审查时未通过的，不得进入后续评审环节。</w:t>
      </w:r>
    </w:p>
    <w:p>
      <w:pPr>
        <w:pStyle w:val="14"/>
        <w:spacing w:line="360" w:lineRule="auto"/>
        <w:ind w:firstLine="480"/>
        <w:rPr>
          <w:rFonts w:ascii="宋体" w:hAnsi="宋体" w:cs="宋体"/>
          <w:color w:val="auto"/>
          <w:sz w:val="24"/>
        </w:rPr>
      </w:pPr>
      <w:r>
        <w:rPr>
          <w:rFonts w:hint="eastAsia" w:ascii="宋体" w:hAnsi="宋体" w:cs="宋体"/>
          <w:color w:val="auto"/>
          <w:sz w:val="24"/>
        </w:rPr>
        <w:t>6.3投标文件的澄清</w:t>
      </w:r>
    </w:p>
    <w:p>
      <w:pPr>
        <w:pStyle w:val="14"/>
        <w:spacing w:line="360" w:lineRule="auto"/>
        <w:ind w:firstLine="480"/>
        <w:rPr>
          <w:rFonts w:ascii="宋体" w:hAnsi="宋体" w:cs="宋体"/>
          <w:color w:val="auto"/>
          <w:sz w:val="24"/>
        </w:rPr>
      </w:pPr>
      <w:r>
        <w:rPr>
          <w:rFonts w:hint="eastAsia" w:ascii="宋体" w:hAnsi="宋体" w:cs="宋体"/>
          <w:color w:val="auto"/>
          <w:sz w:val="24"/>
        </w:rPr>
        <w:t>6.3.1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pStyle w:val="14"/>
        <w:spacing w:line="360" w:lineRule="auto"/>
        <w:ind w:firstLine="480"/>
        <w:rPr>
          <w:rFonts w:ascii="宋体" w:hAnsi="宋体" w:cs="宋体"/>
          <w:color w:val="auto"/>
          <w:sz w:val="24"/>
        </w:rPr>
      </w:pPr>
      <w:r>
        <w:rPr>
          <w:rFonts w:hint="eastAsia" w:ascii="宋体" w:hAnsi="宋体" w:cs="宋体"/>
          <w:color w:val="auto"/>
          <w:sz w:val="24"/>
        </w:rPr>
        <w:t>6.3.2有效的书面澄清材料，是投标文件的补充材料，成为投标文件的组成部分。</w:t>
      </w:r>
    </w:p>
    <w:p>
      <w:pPr>
        <w:pStyle w:val="14"/>
        <w:spacing w:line="360" w:lineRule="auto"/>
        <w:ind w:firstLine="480"/>
        <w:rPr>
          <w:rFonts w:ascii="宋体" w:hAnsi="宋体" w:cs="宋体"/>
          <w:color w:val="auto"/>
          <w:sz w:val="24"/>
        </w:rPr>
      </w:pPr>
      <w:r>
        <w:rPr>
          <w:rFonts w:hint="eastAsia" w:ascii="宋体" w:hAnsi="宋体" w:cs="宋体"/>
          <w:color w:val="auto"/>
          <w:sz w:val="24"/>
        </w:rPr>
        <w:t>6.3.3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4"/>
        <w:spacing w:line="360" w:lineRule="auto"/>
        <w:ind w:firstLine="480"/>
        <w:rPr>
          <w:rFonts w:ascii="宋体" w:hAnsi="宋体" w:cs="宋体"/>
          <w:color w:val="auto"/>
          <w:sz w:val="24"/>
        </w:rPr>
      </w:pPr>
      <w:r>
        <w:rPr>
          <w:rFonts w:hint="eastAsia" w:ascii="宋体" w:hAnsi="宋体" w:cs="宋体"/>
          <w:color w:val="auto"/>
          <w:sz w:val="24"/>
        </w:rPr>
        <w:t>6.4投标文件比较与评价</w:t>
      </w:r>
    </w:p>
    <w:p>
      <w:pPr>
        <w:pStyle w:val="14"/>
        <w:spacing w:line="360" w:lineRule="auto"/>
        <w:ind w:firstLine="480"/>
        <w:rPr>
          <w:rFonts w:ascii="宋体" w:hAnsi="宋体" w:cs="宋体"/>
          <w:color w:val="auto"/>
          <w:sz w:val="24"/>
        </w:rPr>
      </w:pPr>
      <w:r>
        <w:rPr>
          <w:rFonts w:hint="eastAsia" w:ascii="宋体" w:hAnsi="宋体" w:cs="宋体"/>
          <w:color w:val="auto"/>
          <w:sz w:val="24"/>
        </w:rPr>
        <w:t>6.4.1评委会应按照招标文件中规定的评标方法和标准，对资格性检查和符合性检查合格的投标文件进行商务和技术评估，综合比较与评价。</w:t>
      </w:r>
    </w:p>
    <w:p>
      <w:pPr>
        <w:pStyle w:val="14"/>
        <w:spacing w:line="360" w:lineRule="auto"/>
        <w:ind w:firstLine="480"/>
        <w:rPr>
          <w:rFonts w:ascii="宋体" w:hAnsi="宋体" w:cs="宋体"/>
          <w:color w:val="auto"/>
          <w:sz w:val="24"/>
        </w:rPr>
      </w:pPr>
      <w:r>
        <w:rPr>
          <w:rFonts w:hint="eastAsia" w:ascii="宋体" w:hAnsi="宋体" w:cs="宋体"/>
          <w:color w:val="auto"/>
          <w:sz w:val="24"/>
        </w:rPr>
        <w:t>6.4.2如果投标文件没有实质性响应招标文件的要求，评委会将予以拒绝。供应商不得通过修正或撤销不合要求的偏离或保留，从而使其投标成为实质性响应的投标。</w:t>
      </w:r>
    </w:p>
    <w:p>
      <w:pPr>
        <w:pStyle w:val="7"/>
        <w:spacing w:line="360" w:lineRule="auto"/>
        <w:ind w:firstLine="482"/>
        <w:rPr>
          <w:rFonts w:ascii="宋体" w:hAnsi="宋体" w:cs="宋体"/>
          <w:color w:val="auto"/>
          <w:sz w:val="24"/>
        </w:rPr>
      </w:pPr>
      <w:bookmarkStart w:id="161" w:name="_Toc31171"/>
      <w:r>
        <w:rPr>
          <w:rFonts w:hint="eastAsia" w:ascii="宋体" w:hAnsi="宋体" w:cs="宋体"/>
          <w:color w:val="auto"/>
          <w:sz w:val="24"/>
        </w:rPr>
        <w:t>七．政策性扣减</w:t>
      </w:r>
      <w:bookmarkEnd w:id="161"/>
    </w:p>
    <w:p>
      <w:pPr>
        <w:pStyle w:val="14"/>
        <w:spacing w:line="360" w:lineRule="auto"/>
        <w:ind w:firstLine="480"/>
        <w:rPr>
          <w:rFonts w:ascii="宋体" w:hAnsi="宋体" w:cs="宋体"/>
          <w:color w:val="auto"/>
          <w:sz w:val="24"/>
        </w:rPr>
      </w:pPr>
      <w:r>
        <w:rPr>
          <w:rFonts w:hint="eastAsia" w:ascii="宋体" w:hAnsi="宋体" w:cs="宋体"/>
          <w:color w:val="auto"/>
          <w:sz w:val="24"/>
        </w:rPr>
        <w:t>7.1政策性扣减范围</w:t>
      </w:r>
    </w:p>
    <w:p>
      <w:pPr>
        <w:pStyle w:val="14"/>
        <w:spacing w:line="360" w:lineRule="auto"/>
        <w:ind w:firstLine="480"/>
        <w:rPr>
          <w:rFonts w:ascii="宋体" w:hAnsi="宋体" w:cs="宋体"/>
          <w:color w:val="auto"/>
          <w:sz w:val="24"/>
        </w:rPr>
      </w:pPr>
      <w:r>
        <w:rPr>
          <w:rFonts w:hint="eastAsia" w:ascii="宋体" w:hAnsi="宋体" w:cs="宋体"/>
          <w:color w:val="auto"/>
          <w:sz w:val="24"/>
        </w:rPr>
        <w:t>7.1.1供应商符合监狱企业、残疾人福利性单位条件的，其投标报价价格评审时将按相应比例进行扣减。</w:t>
      </w:r>
    </w:p>
    <w:p>
      <w:pPr>
        <w:pStyle w:val="14"/>
        <w:spacing w:line="360" w:lineRule="auto"/>
        <w:ind w:firstLine="480"/>
        <w:rPr>
          <w:rFonts w:ascii="宋体" w:hAnsi="宋体" w:cs="宋体"/>
          <w:color w:val="auto"/>
          <w:sz w:val="24"/>
        </w:rPr>
      </w:pPr>
      <w:r>
        <w:rPr>
          <w:rFonts w:hint="eastAsia" w:ascii="宋体" w:hAnsi="宋体" w:cs="宋体"/>
          <w:color w:val="auto"/>
          <w:sz w:val="24"/>
        </w:rPr>
        <w:t>7.1.2依照&lt;关于印发《政府采购促进中小企业发展管理办法》（财库[2020]46号）的规定，小型、微型企业应当同时符合以下条件：</w:t>
      </w:r>
    </w:p>
    <w:p>
      <w:pPr>
        <w:pStyle w:val="14"/>
        <w:spacing w:line="360" w:lineRule="auto"/>
        <w:ind w:firstLine="480"/>
        <w:rPr>
          <w:rFonts w:ascii="宋体" w:hAnsi="宋体" w:cs="宋体"/>
          <w:color w:val="auto"/>
          <w:sz w:val="24"/>
        </w:rPr>
      </w:pPr>
      <w:r>
        <w:rPr>
          <w:rFonts w:hint="eastAsia" w:ascii="宋体" w:hAnsi="宋体" w:cs="宋体"/>
          <w:color w:val="auto"/>
          <w:sz w:val="24"/>
        </w:rPr>
        <w:t>（1）符合中小企业划分标准（中小企业划分标准是指国务院有关部门根据企业从业人员、营业收入、资产总额等指标制定的中小企业划型标准（工信部联企业〔2011〕300号））。</w:t>
      </w:r>
    </w:p>
    <w:p>
      <w:pPr>
        <w:pStyle w:val="14"/>
        <w:spacing w:line="360" w:lineRule="auto"/>
        <w:ind w:firstLine="480"/>
        <w:rPr>
          <w:rFonts w:ascii="宋体" w:hAnsi="宋体" w:cs="宋体"/>
          <w:color w:val="auto"/>
          <w:sz w:val="24"/>
        </w:rPr>
      </w:pPr>
      <w:r>
        <w:rPr>
          <w:rFonts w:hint="eastAsia" w:ascii="宋体" w:hAnsi="宋体" w:cs="宋体"/>
          <w:color w:val="auto"/>
          <w:sz w:val="24"/>
        </w:rPr>
        <w:t>（2）提供本企业制造的货物、承担的工程或者服务，或者提供其他中小企业制造的货物，不包括提供或使用大型企业注册商标的货物。</w:t>
      </w:r>
    </w:p>
    <w:p>
      <w:pPr>
        <w:pStyle w:val="14"/>
        <w:spacing w:line="360" w:lineRule="auto"/>
        <w:ind w:firstLine="480"/>
        <w:rPr>
          <w:rFonts w:ascii="宋体" w:hAnsi="宋体" w:cs="宋体"/>
          <w:color w:val="auto"/>
          <w:sz w:val="24"/>
        </w:rPr>
      </w:pPr>
      <w:r>
        <w:rPr>
          <w:rFonts w:hint="eastAsia" w:ascii="宋体" w:hAnsi="宋体" w:cs="宋体"/>
          <w:color w:val="auto"/>
          <w:sz w:val="24"/>
        </w:rPr>
        <w:t>（3）小型、微型企业提供中型企业制造的货物的，视同为中型企业；小型、微型、中型企业提供大型企业制造的货物的，视同为大型企业。</w:t>
      </w:r>
    </w:p>
    <w:p>
      <w:pPr>
        <w:pStyle w:val="14"/>
        <w:spacing w:line="360" w:lineRule="auto"/>
        <w:ind w:firstLine="480"/>
        <w:rPr>
          <w:rFonts w:ascii="宋体" w:hAnsi="宋体" w:cs="宋体"/>
          <w:color w:val="auto"/>
          <w:sz w:val="24"/>
        </w:rPr>
      </w:pPr>
      <w:r>
        <w:rPr>
          <w:rFonts w:hint="eastAsia" w:ascii="宋体" w:hAnsi="宋体" w:cs="宋体"/>
          <w:color w:val="auto"/>
          <w:sz w:val="24"/>
        </w:rPr>
        <w:t>7.1.3采购人拟采购产品属于优先采购节能、环境标志产品范围的，应当优先采购节能、环境标志产品；拟采购产品符合政府采购强制采购政策的，实行强制采购。</w:t>
      </w:r>
    </w:p>
    <w:p>
      <w:pPr>
        <w:pStyle w:val="14"/>
        <w:spacing w:line="360" w:lineRule="auto"/>
        <w:ind w:firstLine="480"/>
        <w:rPr>
          <w:rFonts w:ascii="宋体" w:hAnsi="宋体" w:cs="宋体"/>
          <w:color w:val="auto"/>
          <w:sz w:val="24"/>
        </w:rPr>
      </w:pPr>
      <w:r>
        <w:rPr>
          <w:rFonts w:hint="eastAsia" w:ascii="宋体" w:hAnsi="宋体" w:cs="宋体"/>
          <w:color w:val="auto"/>
          <w:sz w:val="24"/>
        </w:rPr>
        <w:t>（1）采购人依据节能产品、环境标志产品品目清单和节能、环境标志产品认证证书实施政府优先采购和强制采购。</w:t>
      </w:r>
    </w:p>
    <w:p>
      <w:pPr>
        <w:pStyle w:val="14"/>
        <w:spacing w:line="360" w:lineRule="auto"/>
        <w:ind w:firstLine="480"/>
        <w:rPr>
          <w:rFonts w:ascii="宋体" w:hAnsi="宋体" w:cs="宋体"/>
          <w:color w:val="auto"/>
          <w:sz w:val="24"/>
        </w:rPr>
      </w:pPr>
      <w:r>
        <w:rPr>
          <w:rFonts w:hint="eastAsia" w:ascii="宋体" w:hAnsi="宋体" w:cs="宋体"/>
          <w:color w:val="auto"/>
          <w:sz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pStyle w:val="14"/>
        <w:spacing w:line="360" w:lineRule="auto"/>
        <w:ind w:firstLine="480"/>
        <w:rPr>
          <w:rFonts w:ascii="宋体" w:hAnsi="宋体" w:cs="宋体"/>
          <w:color w:val="auto"/>
          <w:sz w:val="24"/>
        </w:rPr>
      </w:pPr>
      <w:r>
        <w:rPr>
          <w:rFonts w:hint="eastAsia" w:ascii="宋体" w:hAnsi="宋体" w:cs="宋体"/>
          <w:color w:val="auto"/>
          <w:sz w:val="24"/>
        </w:rPr>
        <w:t>7.1.4监狱企业参加政府采购活动时，应当提供由省级以上监狱管理局、戒毒管理局(含新疆生产建设兵团)出具的属于监狱企业的证明文件。监狱企业参加政府采购活动时，视同小型、微型企业。</w:t>
      </w:r>
    </w:p>
    <w:p>
      <w:pPr>
        <w:pStyle w:val="14"/>
        <w:spacing w:line="360" w:lineRule="auto"/>
        <w:ind w:firstLine="480"/>
        <w:rPr>
          <w:rFonts w:ascii="宋体" w:hAnsi="宋体" w:cs="宋体"/>
          <w:color w:val="auto"/>
          <w:sz w:val="24"/>
        </w:rPr>
      </w:pPr>
      <w:r>
        <w:rPr>
          <w:rFonts w:hint="eastAsia" w:ascii="宋体" w:hAnsi="宋体" w:cs="宋体"/>
          <w:color w:val="auto"/>
          <w:sz w:val="24"/>
        </w:rPr>
        <w:t>7.1.5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14"/>
        <w:spacing w:line="360" w:lineRule="auto"/>
        <w:ind w:firstLine="480"/>
        <w:rPr>
          <w:rFonts w:ascii="宋体" w:hAnsi="宋体" w:cs="宋体"/>
          <w:color w:val="auto"/>
          <w:sz w:val="24"/>
        </w:rPr>
      </w:pPr>
      <w:r>
        <w:rPr>
          <w:rFonts w:hint="eastAsia" w:ascii="宋体" w:hAnsi="宋体" w:cs="宋体"/>
          <w:color w:val="auto"/>
          <w:sz w:val="24"/>
        </w:rPr>
        <w:t>7.2政策性扣减方式：</w:t>
      </w:r>
    </w:p>
    <w:p>
      <w:pPr>
        <w:pStyle w:val="14"/>
        <w:spacing w:line="360" w:lineRule="auto"/>
        <w:ind w:firstLine="480"/>
        <w:rPr>
          <w:rFonts w:ascii="宋体" w:hAnsi="宋体" w:cs="宋体"/>
          <w:color w:val="auto"/>
          <w:sz w:val="24"/>
        </w:rPr>
      </w:pPr>
      <w:r>
        <w:rPr>
          <w:rFonts w:hint="eastAsia" w:ascii="宋体" w:hAnsi="宋体" w:cs="宋体"/>
          <w:color w:val="auto"/>
          <w:sz w:val="24"/>
        </w:rPr>
        <w:t>7.2.1在投标报价的基础上，对监狱企业、残疾人福利性单位，按“投标报价×10%”进行扣减；</w:t>
      </w:r>
    </w:p>
    <w:p>
      <w:pPr>
        <w:pStyle w:val="14"/>
        <w:spacing w:line="360" w:lineRule="auto"/>
        <w:ind w:firstLine="480"/>
        <w:rPr>
          <w:rFonts w:ascii="宋体" w:hAnsi="宋体" w:cs="宋体"/>
          <w:color w:val="auto"/>
          <w:sz w:val="24"/>
        </w:rPr>
      </w:pPr>
      <w:r>
        <w:rPr>
          <w:rFonts w:hint="eastAsia" w:ascii="宋体" w:hAnsi="宋体" w:cs="宋体"/>
          <w:color w:val="auto"/>
          <w:sz w:val="24"/>
        </w:rPr>
        <w:t>7.2.2供应商为联合体参与投标，且联合协议中约定小型或微型企业的协议合同金额占到联合体协议合同总金额30％以上的，按“投标报价×4%”进行扣减；</w:t>
      </w:r>
    </w:p>
    <w:p>
      <w:pPr>
        <w:pStyle w:val="14"/>
        <w:spacing w:line="360" w:lineRule="auto"/>
        <w:ind w:firstLine="480"/>
        <w:rPr>
          <w:rFonts w:ascii="宋体" w:hAnsi="宋体" w:cs="宋体"/>
          <w:color w:val="auto"/>
          <w:sz w:val="24"/>
        </w:rPr>
      </w:pPr>
      <w:r>
        <w:rPr>
          <w:rFonts w:hint="eastAsia" w:ascii="宋体" w:hAnsi="宋体" w:cs="宋体"/>
          <w:color w:val="auto"/>
          <w:sz w:val="24"/>
        </w:rPr>
        <w:t>7.2.3监狱企业、残疾人福利性单位不重复享受优惠政策；</w:t>
      </w:r>
    </w:p>
    <w:p>
      <w:pPr>
        <w:pStyle w:val="14"/>
        <w:spacing w:line="360" w:lineRule="auto"/>
        <w:ind w:firstLine="480"/>
        <w:rPr>
          <w:rFonts w:ascii="宋体" w:hAnsi="宋体" w:cs="宋体"/>
          <w:color w:val="auto"/>
          <w:sz w:val="24"/>
        </w:rPr>
      </w:pPr>
      <w:r>
        <w:rPr>
          <w:rFonts w:hint="eastAsia" w:ascii="宋体" w:hAnsi="宋体" w:cs="宋体"/>
          <w:color w:val="auto"/>
          <w:sz w:val="24"/>
        </w:rPr>
        <w:t>7.2.4供应商享受支持中小型企业发展政策优惠的，可以同时享受节能、环境标志产品优先采购政策。</w:t>
      </w:r>
    </w:p>
    <w:p>
      <w:pPr>
        <w:pStyle w:val="7"/>
        <w:spacing w:line="360" w:lineRule="auto"/>
        <w:ind w:firstLine="482"/>
        <w:rPr>
          <w:rFonts w:ascii="宋体" w:hAnsi="宋体" w:cs="宋体"/>
          <w:color w:val="auto"/>
          <w:sz w:val="24"/>
        </w:rPr>
      </w:pPr>
      <w:bookmarkStart w:id="162" w:name="_Toc16760"/>
      <w:r>
        <w:rPr>
          <w:rFonts w:hint="eastAsia" w:ascii="宋体" w:hAnsi="宋体" w:cs="宋体"/>
          <w:color w:val="auto"/>
          <w:sz w:val="24"/>
        </w:rPr>
        <w:t>八．特殊情况的处理</w:t>
      </w:r>
      <w:bookmarkEnd w:id="162"/>
    </w:p>
    <w:p>
      <w:pPr>
        <w:pStyle w:val="14"/>
        <w:spacing w:line="360" w:lineRule="auto"/>
        <w:ind w:firstLine="720" w:firstLineChars="300"/>
        <w:rPr>
          <w:rFonts w:ascii="宋体" w:hAnsi="宋体" w:cs="宋体"/>
          <w:color w:val="auto"/>
          <w:sz w:val="24"/>
        </w:rPr>
      </w:pPr>
      <w:r>
        <w:rPr>
          <w:rFonts w:hint="eastAsia" w:ascii="宋体" w:hAnsi="宋体" w:cs="宋体"/>
          <w:color w:val="auto"/>
          <w:sz w:val="24"/>
        </w:rPr>
        <w:t>投标文件报价出现前后不一致的，按照下列规定修正：</w:t>
      </w:r>
    </w:p>
    <w:p>
      <w:pPr>
        <w:pStyle w:val="14"/>
        <w:spacing w:line="360" w:lineRule="auto"/>
        <w:ind w:firstLine="480"/>
        <w:rPr>
          <w:rFonts w:ascii="宋体" w:hAnsi="宋体" w:cs="宋体"/>
          <w:color w:val="auto"/>
          <w:sz w:val="24"/>
        </w:rPr>
      </w:pPr>
      <w:r>
        <w:rPr>
          <w:rFonts w:hint="eastAsia" w:ascii="宋体" w:hAnsi="宋体" w:cs="宋体"/>
          <w:color w:val="auto"/>
          <w:sz w:val="24"/>
        </w:rPr>
        <w:t>（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pStyle w:val="14"/>
        <w:spacing w:line="360" w:lineRule="auto"/>
        <w:ind w:firstLine="480"/>
        <w:rPr>
          <w:rFonts w:ascii="宋体" w:hAnsi="宋体" w:cs="宋体"/>
          <w:color w:val="auto"/>
          <w:sz w:val="24"/>
        </w:rPr>
      </w:pPr>
      <w:r>
        <w:rPr>
          <w:rFonts w:hint="eastAsia" w:ascii="宋体" w:hAnsi="宋体" w:cs="宋体"/>
          <w:color w:val="auto"/>
          <w:sz w:val="24"/>
        </w:rPr>
        <w:t>（2）投标文件的大写金额和小写金额不一致的，以大写金额为准；</w:t>
      </w:r>
    </w:p>
    <w:p>
      <w:pPr>
        <w:pStyle w:val="14"/>
        <w:spacing w:line="360" w:lineRule="auto"/>
        <w:ind w:firstLine="480"/>
        <w:rPr>
          <w:rFonts w:ascii="宋体" w:hAnsi="宋体" w:cs="宋体"/>
          <w:color w:val="auto"/>
          <w:sz w:val="24"/>
        </w:rPr>
      </w:pPr>
      <w:r>
        <w:rPr>
          <w:rFonts w:hint="eastAsia" w:ascii="宋体" w:hAnsi="宋体" w:cs="宋体"/>
          <w:color w:val="auto"/>
          <w:sz w:val="24"/>
        </w:rPr>
        <w:t>（3）单价金额小数点或者百分比有明显错位的，以单独密封的开标一览表的总价为准，并修改单价；</w:t>
      </w:r>
    </w:p>
    <w:p>
      <w:pPr>
        <w:pStyle w:val="14"/>
        <w:spacing w:line="360" w:lineRule="auto"/>
        <w:ind w:firstLine="48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pPr>
        <w:pStyle w:val="14"/>
        <w:spacing w:line="360" w:lineRule="auto"/>
        <w:ind w:firstLine="482"/>
        <w:rPr>
          <w:rFonts w:ascii="宋体" w:hAnsi="宋体" w:cs="宋体"/>
          <w:b/>
          <w:bCs/>
          <w:color w:val="auto"/>
          <w:sz w:val="24"/>
        </w:rPr>
      </w:pPr>
      <w:r>
        <w:rPr>
          <w:rFonts w:hint="eastAsia" w:ascii="宋体" w:hAnsi="宋体" w:cs="宋体"/>
          <w:b/>
          <w:bCs/>
          <w:color w:val="auto"/>
          <w:sz w:val="24"/>
        </w:rPr>
        <w:t>按上述修正的顺序和方法调整的投标报价应对供应商具有约束力。如果供应商不接受修正后的价格，其投标将按无效投标处理。</w:t>
      </w:r>
    </w:p>
    <w:p>
      <w:pPr>
        <w:pStyle w:val="7"/>
        <w:spacing w:line="360" w:lineRule="auto"/>
        <w:ind w:firstLine="482"/>
        <w:rPr>
          <w:rFonts w:ascii="宋体" w:hAnsi="宋体" w:cs="宋体"/>
          <w:color w:val="auto"/>
          <w:sz w:val="24"/>
        </w:rPr>
      </w:pPr>
      <w:bookmarkStart w:id="163" w:name="_Toc1261"/>
      <w:r>
        <w:rPr>
          <w:rFonts w:hint="eastAsia" w:ascii="宋体" w:hAnsi="宋体" w:cs="宋体"/>
          <w:color w:val="auto"/>
          <w:sz w:val="24"/>
        </w:rPr>
        <w:t>九．定标：</w:t>
      </w:r>
      <w:bookmarkEnd w:id="163"/>
    </w:p>
    <w:p>
      <w:pPr>
        <w:pStyle w:val="14"/>
        <w:spacing w:line="360" w:lineRule="auto"/>
        <w:ind w:firstLine="480"/>
        <w:rPr>
          <w:rFonts w:ascii="宋体" w:hAnsi="宋体" w:cs="宋体"/>
          <w:color w:val="auto"/>
          <w:sz w:val="24"/>
        </w:rPr>
      </w:pPr>
      <w:r>
        <w:rPr>
          <w:rFonts w:hint="eastAsia" w:ascii="宋体" w:hAnsi="宋体" w:cs="宋体"/>
          <w:color w:val="auto"/>
          <w:sz w:val="24"/>
        </w:rPr>
        <w:t>9.1评标结果由全体评标委员会成员签字确认。</w:t>
      </w:r>
    </w:p>
    <w:p>
      <w:pPr>
        <w:pStyle w:val="14"/>
        <w:spacing w:line="360" w:lineRule="auto"/>
        <w:ind w:firstLine="480"/>
        <w:rPr>
          <w:rFonts w:ascii="宋体" w:hAnsi="宋体" w:cs="宋体"/>
          <w:color w:val="auto"/>
          <w:spacing w:val="4"/>
          <w:sz w:val="24"/>
        </w:rPr>
      </w:pPr>
      <w:r>
        <w:rPr>
          <w:rFonts w:hint="eastAsia" w:ascii="宋体" w:hAnsi="宋体" w:cs="宋体"/>
          <w:color w:val="auto"/>
          <w:sz w:val="24"/>
        </w:rPr>
        <w:t>9.2采购人根据评标报告中推荐的中标候选人排列顺序确定中标人，以复函通知采购代理机构。</w:t>
      </w:r>
    </w:p>
    <w:p>
      <w:pPr>
        <w:spacing w:line="360" w:lineRule="auto"/>
        <w:rPr>
          <w:rFonts w:cs="宋体"/>
          <w:color w:val="auto"/>
          <w:sz w:val="24"/>
          <w:szCs w:val="24"/>
        </w:rPr>
      </w:pPr>
    </w:p>
    <w:p>
      <w:pPr>
        <w:pStyle w:val="7"/>
        <w:ind w:firstLine="422"/>
        <w:rPr>
          <w:rFonts w:ascii="宋体" w:hAnsi="宋体" w:cs="宋体"/>
          <w:color w:val="auto"/>
        </w:rPr>
      </w:pPr>
      <w:r>
        <w:rPr>
          <w:rFonts w:hint="eastAsia" w:ascii="宋体" w:hAnsi="宋体" w:cs="宋体"/>
          <w:color w:val="auto"/>
        </w:rPr>
        <w:br w:type="page"/>
      </w:r>
      <w:r>
        <w:rPr>
          <w:rFonts w:hint="eastAsia" w:ascii="宋体" w:hAnsi="宋体" w:cs="宋体"/>
          <w:color w:val="auto"/>
        </w:rPr>
        <w:t>附件1：</w:t>
      </w:r>
      <w:bookmarkStart w:id="164" w:name="_Toc15044"/>
      <w:r>
        <w:rPr>
          <w:rFonts w:hint="eastAsia" w:ascii="宋体" w:hAnsi="宋体" w:cs="宋体"/>
          <w:color w:val="auto"/>
        </w:rPr>
        <w:t>初步审查要素表</w:t>
      </w:r>
      <w:bookmarkEnd w:id="164"/>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8"/>
        <w:gridCol w:w="1155"/>
        <w:gridCol w:w="2738"/>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7" w:type="dxa"/>
            <w:gridSpan w:val="2"/>
            <w:vAlign w:val="center"/>
          </w:tcPr>
          <w:p>
            <w:pPr>
              <w:tabs>
                <w:tab w:val="left" w:pos="0"/>
              </w:tabs>
              <w:adjustRightInd w:val="0"/>
              <w:snapToGrid w:val="0"/>
              <w:jc w:val="center"/>
              <w:rPr>
                <w:rFonts w:cs="宋体"/>
                <w:bCs/>
                <w:color w:val="auto"/>
                <w:szCs w:val="21"/>
              </w:rPr>
            </w:pPr>
            <w:r>
              <w:rPr>
                <w:rFonts w:hint="eastAsia" w:cs="宋体"/>
                <w:bCs/>
                <w:color w:val="auto"/>
                <w:szCs w:val="21"/>
              </w:rPr>
              <w:t>条款号</w:t>
            </w:r>
          </w:p>
        </w:tc>
        <w:tc>
          <w:tcPr>
            <w:tcW w:w="1155" w:type="dxa"/>
            <w:vAlign w:val="center"/>
          </w:tcPr>
          <w:p>
            <w:pPr>
              <w:tabs>
                <w:tab w:val="left" w:pos="0"/>
              </w:tabs>
              <w:adjustRightInd w:val="0"/>
              <w:snapToGrid w:val="0"/>
              <w:jc w:val="center"/>
              <w:rPr>
                <w:rFonts w:cs="宋体"/>
                <w:bCs/>
                <w:color w:val="auto"/>
                <w:szCs w:val="21"/>
              </w:rPr>
            </w:pPr>
            <w:r>
              <w:rPr>
                <w:rFonts w:hint="eastAsia" w:cs="宋体"/>
                <w:bCs/>
                <w:color w:val="auto"/>
                <w:szCs w:val="21"/>
              </w:rPr>
              <w:t>评审因素</w:t>
            </w:r>
          </w:p>
        </w:tc>
        <w:tc>
          <w:tcPr>
            <w:tcW w:w="6769" w:type="dxa"/>
            <w:gridSpan w:val="2"/>
            <w:vAlign w:val="center"/>
          </w:tcPr>
          <w:p>
            <w:pPr>
              <w:tabs>
                <w:tab w:val="left" w:pos="0"/>
              </w:tabs>
              <w:adjustRightInd w:val="0"/>
              <w:snapToGrid w:val="0"/>
              <w:jc w:val="center"/>
              <w:rPr>
                <w:rFonts w:cs="宋体"/>
                <w:bCs/>
                <w:color w:val="auto"/>
                <w:szCs w:val="21"/>
              </w:rPr>
            </w:pPr>
            <w:r>
              <w:rPr>
                <w:rFonts w:hint="eastAsia" w:cs="宋体"/>
                <w:bCs/>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2.1.1</w:t>
            </w:r>
          </w:p>
        </w:tc>
        <w:tc>
          <w:tcPr>
            <w:tcW w:w="418"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资格评审</w:t>
            </w:r>
          </w:p>
          <w:p>
            <w:pPr>
              <w:tabs>
                <w:tab w:val="left" w:pos="0"/>
              </w:tabs>
              <w:adjustRightInd w:val="0"/>
              <w:snapToGrid w:val="0"/>
              <w:jc w:val="center"/>
              <w:rPr>
                <w:rFonts w:cs="宋体"/>
                <w:bCs/>
                <w:color w:val="auto"/>
                <w:szCs w:val="21"/>
              </w:rPr>
            </w:pPr>
            <w:r>
              <w:rPr>
                <w:rFonts w:hint="eastAsia" w:cs="宋体"/>
                <w:bCs/>
                <w:color w:val="auto"/>
                <w:szCs w:val="21"/>
              </w:rPr>
              <w:t>标准</w:t>
            </w:r>
          </w:p>
        </w:tc>
        <w:tc>
          <w:tcPr>
            <w:tcW w:w="1155"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基本资格条件</w:t>
            </w:r>
          </w:p>
        </w:tc>
        <w:tc>
          <w:tcPr>
            <w:tcW w:w="6769" w:type="dxa"/>
            <w:gridSpan w:val="2"/>
            <w:vAlign w:val="center"/>
          </w:tcPr>
          <w:p>
            <w:pPr>
              <w:rPr>
                <w:rFonts w:cs="宋体"/>
                <w:color w:val="auto"/>
                <w:szCs w:val="21"/>
              </w:rPr>
            </w:pPr>
            <w:r>
              <w:rPr>
                <w:rFonts w:hint="eastAsia" w:cs="宋体"/>
                <w:color w:val="auto"/>
                <w:szCs w:val="21"/>
              </w:rPr>
              <w:t xml:space="preserve"> </w:t>
            </w:r>
            <w:r>
              <w:rPr>
                <w:rFonts w:hint="eastAsia" w:cs="宋体"/>
                <w:color w:val="auto"/>
                <w:szCs w:val="22"/>
              </w:rPr>
              <w:t>1、</w:t>
            </w:r>
            <w:r>
              <w:rPr>
                <w:rFonts w:hint="eastAsia" w:cs="宋体"/>
                <w:color w:val="auto"/>
                <w:szCs w:val="21"/>
              </w:rPr>
              <w:t>具有独立承担民事责任能力的法人、其他组织或自然人，并出具合法有效的营业执照或事业单位法人证书等国家规定的相关证明，自然人参与的提供其身份证明</w:t>
            </w:r>
            <w:r>
              <w:rPr>
                <w:rFonts w:hint="eastAsia" w:cs="宋体"/>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2"/>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2"/>
              </w:rPr>
              <w:t xml:space="preserve">3、税收缴纳证明：提供投标文件递交截止日前一年内已缴纳的至少一个月的纳税证明或完税证明，依法免税的单位应提供相关证明材料；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2"/>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2"/>
              </w:rPr>
              <w:t>5、参加政府采购活动前3年内，在经营活动中没有重大违法记录的书面声明；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2"/>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特定资格条件</w:t>
            </w:r>
          </w:p>
        </w:tc>
        <w:tc>
          <w:tcPr>
            <w:tcW w:w="6769" w:type="dxa"/>
            <w:gridSpan w:val="2"/>
            <w:vAlign w:val="center"/>
          </w:tcPr>
          <w:p>
            <w:pPr>
              <w:rPr>
                <w:rFonts w:cs="宋体"/>
                <w:color w:val="auto"/>
                <w:szCs w:val="21"/>
              </w:rPr>
            </w:pPr>
            <w:r>
              <w:rPr>
                <w:rFonts w:hint="eastAsia" w:cs="宋体"/>
                <w:color w:val="auto"/>
                <w:szCs w:val="21"/>
              </w:rPr>
              <w:t>二、法定代表人直接参加投标的，须出具法人身份证明及身份证；法定代表人授权代表参加投标的，须出具法定代表人授权书及授权代表身份证；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1"/>
              </w:rPr>
              <w:t>三、单位负责人为同一人或者存在直接控股、管理关系的不同供应商，不得参加同一合同项下的政府采购活动；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continue"/>
            <w:vAlign w:val="center"/>
          </w:tcPr>
          <w:p>
            <w:pPr>
              <w:tabs>
                <w:tab w:val="left" w:pos="0"/>
              </w:tabs>
              <w:adjustRightInd w:val="0"/>
              <w:snapToGrid w:val="0"/>
              <w:jc w:val="center"/>
              <w:rPr>
                <w:rFonts w:cs="宋体"/>
                <w:bCs/>
                <w:color w:val="auto"/>
                <w:szCs w:val="21"/>
              </w:rPr>
            </w:pPr>
          </w:p>
        </w:tc>
        <w:tc>
          <w:tcPr>
            <w:tcW w:w="6769" w:type="dxa"/>
            <w:gridSpan w:val="2"/>
            <w:vAlign w:val="center"/>
          </w:tcPr>
          <w:p>
            <w:pPr>
              <w:rPr>
                <w:rFonts w:cs="宋体"/>
                <w:color w:val="auto"/>
                <w:szCs w:val="21"/>
              </w:rPr>
            </w:pPr>
            <w:r>
              <w:rPr>
                <w:rFonts w:hint="eastAsia" w:cs="宋体"/>
                <w:color w:val="auto"/>
                <w:szCs w:val="21"/>
              </w:rPr>
              <w:t>四、本项目专门面向中小企业采购。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1" w:type="dxa"/>
            <w:gridSpan w:val="5"/>
            <w:vAlign w:val="center"/>
          </w:tcPr>
          <w:p>
            <w:pPr>
              <w:tabs>
                <w:tab w:val="left" w:pos="0"/>
              </w:tabs>
              <w:adjustRightInd w:val="0"/>
              <w:snapToGrid w:val="0"/>
              <w:jc w:val="left"/>
              <w:rPr>
                <w:rFonts w:cs="宋体"/>
                <w:color w:val="auto"/>
                <w:szCs w:val="21"/>
              </w:rPr>
            </w:pPr>
            <w:r>
              <w:rPr>
                <w:rFonts w:hint="eastAsia" w:cs="宋体"/>
                <w:color w:val="auto"/>
                <w:szCs w:val="21"/>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spacing w:line="360" w:lineRule="auto"/>
              <w:rPr>
                <w:rFonts w:cs="宋体"/>
                <w:bCs/>
                <w:color w:val="auto"/>
                <w:szCs w:val="21"/>
              </w:rPr>
            </w:pPr>
            <w:r>
              <w:rPr>
                <w:rFonts w:hint="eastAsia" w:cs="宋体"/>
                <w:bCs/>
                <w:color w:val="auto"/>
                <w:szCs w:val="21"/>
              </w:rPr>
              <w:t>2.1.2</w:t>
            </w:r>
          </w:p>
        </w:tc>
        <w:tc>
          <w:tcPr>
            <w:tcW w:w="418"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符合性评审标准</w:t>
            </w:r>
          </w:p>
        </w:tc>
        <w:tc>
          <w:tcPr>
            <w:tcW w:w="1155"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有效性审查</w:t>
            </w:r>
          </w:p>
        </w:tc>
        <w:tc>
          <w:tcPr>
            <w:tcW w:w="2738" w:type="dxa"/>
            <w:vAlign w:val="center"/>
          </w:tcPr>
          <w:p>
            <w:pPr>
              <w:tabs>
                <w:tab w:val="left" w:pos="0"/>
              </w:tabs>
              <w:adjustRightInd w:val="0"/>
              <w:snapToGrid w:val="0"/>
              <w:rPr>
                <w:rFonts w:cs="宋体"/>
                <w:bCs/>
                <w:color w:val="auto"/>
                <w:szCs w:val="21"/>
              </w:rPr>
            </w:pPr>
            <w:r>
              <w:rPr>
                <w:rFonts w:hint="eastAsia" w:cs="宋体"/>
                <w:bCs/>
                <w:color w:val="auto"/>
                <w:szCs w:val="21"/>
              </w:rPr>
              <w:t>投标文件的签署盖章</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投标文件上法定代表人或被授权人的签字齐全并加盖公章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Cs w:val="21"/>
              </w:rPr>
            </w:pPr>
          </w:p>
        </w:tc>
        <w:tc>
          <w:tcPr>
            <w:tcW w:w="418" w:type="dxa"/>
            <w:vMerge w:val="continue"/>
          </w:tcPr>
          <w:p>
            <w:pPr>
              <w:tabs>
                <w:tab w:val="left" w:pos="0"/>
              </w:tabs>
              <w:adjustRightInd w:val="0"/>
              <w:snapToGrid w:val="0"/>
              <w:spacing w:line="360" w:lineRule="auto"/>
              <w:rPr>
                <w:rFonts w:cs="宋体"/>
                <w:bCs/>
                <w:color w:val="auto"/>
                <w:szCs w:val="21"/>
              </w:rPr>
            </w:pPr>
          </w:p>
        </w:tc>
        <w:tc>
          <w:tcPr>
            <w:tcW w:w="1155" w:type="dxa"/>
            <w:vMerge w:val="continue"/>
          </w:tcPr>
          <w:p>
            <w:pPr>
              <w:tabs>
                <w:tab w:val="left" w:pos="0"/>
              </w:tabs>
              <w:adjustRightInd w:val="0"/>
              <w:snapToGrid w:val="0"/>
              <w:spacing w:line="360" w:lineRule="auto"/>
              <w:rPr>
                <w:rFonts w:cs="宋体"/>
                <w:bCs/>
                <w:color w:val="auto"/>
                <w:szCs w:val="21"/>
              </w:rPr>
            </w:pPr>
          </w:p>
        </w:tc>
        <w:tc>
          <w:tcPr>
            <w:tcW w:w="2738" w:type="dxa"/>
            <w:vAlign w:val="center"/>
          </w:tcPr>
          <w:p>
            <w:pPr>
              <w:tabs>
                <w:tab w:val="left" w:pos="0"/>
              </w:tabs>
              <w:adjustRightInd w:val="0"/>
              <w:snapToGrid w:val="0"/>
              <w:rPr>
                <w:rFonts w:cs="宋体"/>
                <w:bCs/>
                <w:color w:val="auto"/>
                <w:szCs w:val="21"/>
              </w:rPr>
            </w:pPr>
            <w:r>
              <w:rPr>
                <w:rFonts w:hint="eastAsia" w:cs="宋体"/>
                <w:bCs/>
                <w:color w:val="auto"/>
                <w:szCs w:val="21"/>
              </w:rPr>
              <w:t>投标文件格式</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Cs w:val="21"/>
              </w:rPr>
            </w:pPr>
          </w:p>
        </w:tc>
        <w:tc>
          <w:tcPr>
            <w:tcW w:w="418" w:type="dxa"/>
            <w:vMerge w:val="continue"/>
          </w:tcPr>
          <w:p>
            <w:pPr>
              <w:tabs>
                <w:tab w:val="left" w:pos="0"/>
              </w:tabs>
              <w:adjustRightInd w:val="0"/>
              <w:snapToGrid w:val="0"/>
              <w:spacing w:line="360" w:lineRule="auto"/>
              <w:rPr>
                <w:rFonts w:cs="宋体"/>
                <w:bCs/>
                <w:color w:val="auto"/>
                <w:szCs w:val="21"/>
              </w:rPr>
            </w:pPr>
          </w:p>
        </w:tc>
        <w:tc>
          <w:tcPr>
            <w:tcW w:w="1155" w:type="dxa"/>
            <w:vMerge w:val="continue"/>
          </w:tcPr>
          <w:p>
            <w:pPr>
              <w:tabs>
                <w:tab w:val="left" w:pos="0"/>
              </w:tabs>
              <w:adjustRightInd w:val="0"/>
              <w:snapToGrid w:val="0"/>
              <w:spacing w:line="360" w:lineRule="auto"/>
              <w:rPr>
                <w:rFonts w:cs="宋体"/>
                <w:bCs/>
                <w:color w:val="auto"/>
                <w:szCs w:val="21"/>
              </w:rPr>
            </w:pP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报价唯一</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完整性审查</w:t>
            </w: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投标文件份数</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Cs w:val="21"/>
              </w:rPr>
            </w:pPr>
          </w:p>
        </w:tc>
        <w:tc>
          <w:tcPr>
            <w:tcW w:w="418" w:type="dxa"/>
            <w:vMerge w:val="continue"/>
          </w:tcPr>
          <w:p>
            <w:pPr>
              <w:tabs>
                <w:tab w:val="left" w:pos="0"/>
              </w:tabs>
              <w:adjustRightInd w:val="0"/>
              <w:snapToGrid w:val="0"/>
              <w:spacing w:line="360" w:lineRule="auto"/>
              <w:rPr>
                <w:rFonts w:cs="宋体"/>
                <w:bCs/>
                <w:color w:val="auto"/>
                <w:szCs w:val="21"/>
              </w:rPr>
            </w:pPr>
          </w:p>
        </w:tc>
        <w:tc>
          <w:tcPr>
            <w:tcW w:w="1155" w:type="dxa"/>
            <w:vMerge w:val="continue"/>
          </w:tcPr>
          <w:p>
            <w:pPr>
              <w:tabs>
                <w:tab w:val="left" w:pos="0"/>
              </w:tabs>
              <w:adjustRightInd w:val="0"/>
              <w:snapToGrid w:val="0"/>
              <w:spacing w:line="360" w:lineRule="auto"/>
              <w:rPr>
                <w:rFonts w:cs="宋体"/>
                <w:bCs/>
                <w:color w:val="auto"/>
                <w:szCs w:val="21"/>
              </w:rPr>
            </w:pP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投标文件内容</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Cs w:val="21"/>
              </w:rPr>
            </w:pPr>
          </w:p>
        </w:tc>
        <w:tc>
          <w:tcPr>
            <w:tcW w:w="418" w:type="dxa"/>
            <w:vMerge w:val="continue"/>
            <w:vAlign w:val="center"/>
          </w:tcPr>
          <w:p>
            <w:pPr>
              <w:tabs>
                <w:tab w:val="left" w:pos="0"/>
              </w:tabs>
              <w:adjustRightInd w:val="0"/>
              <w:snapToGrid w:val="0"/>
              <w:jc w:val="center"/>
              <w:rPr>
                <w:rFonts w:cs="宋体"/>
                <w:bCs/>
                <w:color w:val="auto"/>
                <w:szCs w:val="21"/>
              </w:rPr>
            </w:pPr>
          </w:p>
        </w:tc>
        <w:tc>
          <w:tcPr>
            <w:tcW w:w="1155" w:type="dxa"/>
            <w:vMerge w:val="restart"/>
            <w:vAlign w:val="center"/>
          </w:tcPr>
          <w:p>
            <w:pPr>
              <w:tabs>
                <w:tab w:val="left" w:pos="0"/>
              </w:tabs>
              <w:adjustRightInd w:val="0"/>
              <w:snapToGrid w:val="0"/>
              <w:jc w:val="center"/>
              <w:rPr>
                <w:rFonts w:cs="宋体"/>
                <w:bCs/>
                <w:color w:val="auto"/>
                <w:szCs w:val="21"/>
              </w:rPr>
            </w:pPr>
            <w:r>
              <w:rPr>
                <w:rFonts w:hint="eastAsia" w:cs="宋体"/>
                <w:bCs/>
                <w:color w:val="auto"/>
                <w:szCs w:val="21"/>
              </w:rPr>
              <w:t>响应性审查</w:t>
            </w: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对招标文件响应程度</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Cs w:val="21"/>
              </w:rPr>
            </w:pPr>
          </w:p>
        </w:tc>
        <w:tc>
          <w:tcPr>
            <w:tcW w:w="418" w:type="dxa"/>
            <w:vMerge w:val="continue"/>
          </w:tcPr>
          <w:p>
            <w:pPr>
              <w:tabs>
                <w:tab w:val="left" w:pos="0"/>
              </w:tabs>
              <w:adjustRightInd w:val="0"/>
              <w:snapToGrid w:val="0"/>
              <w:spacing w:line="360" w:lineRule="auto"/>
              <w:rPr>
                <w:rFonts w:cs="宋体"/>
                <w:bCs/>
                <w:color w:val="auto"/>
                <w:szCs w:val="21"/>
              </w:rPr>
            </w:pPr>
          </w:p>
        </w:tc>
        <w:tc>
          <w:tcPr>
            <w:tcW w:w="1155" w:type="dxa"/>
            <w:vMerge w:val="continue"/>
          </w:tcPr>
          <w:p>
            <w:pPr>
              <w:tabs>
                <w:tab w:val="left" w:pos="0"/>
              </w:tabs>
              <w:adjustRightInd w:val="0"/>
              <w:snapToGrid w:val="0"/>
              <w:spacing w:line="360" w:lineRule="auto"/>
              <w:rPr>
                <w:rFonts w:cs="宋体"/>
                <w:bCs/>
                <w:color w:val="auto"/>
                <w:szCs w:val="21"/>
              </w:rPr>
            </w:pP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服务期限</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Cs w:val="21"/>
              </w:rPr>
            </w:pPr>
          </w:p>
        </w:tc>
        <w:tc>
          <w:tcPr>
            <w:tcW w:w="418" w:type="dxa"/>
            <w:vMerge w:val="continue"/>
          </w:tcPr>
          <w:p>
            <w:pPr>
              <w:tabs>
                <w:tab w:val="left" w:pos="0"/>
              </w:tabs>
              <w:adjustRightInd w:val="0"/>
              <w:snapToGrid w:val="0"/>
              <w:spacing w:line="360" w:lineRule="auto"/>
              <w:rPr>
                <w:rFonts w:cs="宋体"/>
                <w:bCs/>
                <w:color w:val="auto"/>
                <w:szCs w:val="21"/>
              </w:rPr>
            </w:pPr>
          </w:p>
        </w:tc>
        <w:tc>
          <w:tcPr>
            <w:tcW w:w="1155" w:type="dxa"/>
            <w:vMerge w:val="continue"/>
          </w:tcPr>
          <w:p>
            <w:pPr>
              <w:tabs>
                <w:tab w:val="left" w:pos="0"/>
              </w:tabs>
              <w:adjustRightInd w:val="0"/>
              <w:snapToGrid w:val="0"/>
              <w:spacing w:line="360" w:lineRule="auto"/>
              <w:rPr>
                <w:rFonts w:cs="宋体"/>
                <w:bCs/>
                <w:color w:val="auto"/>
                <w:szCs w:val="21"/>
              </w:rPr>
            </w:pPr>
          </w:p>
        </w:tc>
        <w:tc>
          <w:tcPr>
            <w:tcW w:w="2738" w:type="dxa"/>
            <w:vAlign w:val="center"/>
          </w:tcPr>
          <w:p>
            <w:pPr>
              <w:tabs>
                <w:tab w:val="left" w:pos="0"/>
              </w:tabs>
              <w:adjustRightInd w:val="0"/>
              <w:snapToGrid w:val="0"/>
              <w:jc w:val="left"/>
              <w:rPr>
                <w:rFonts w:cs="宋体"/>
                <w:bCs/>
                <w:color w:val="auto"/>
                <w:szCs w:val="21"/>
              </w:rPr>
            </w:pPr>
            <w:r>
              <w:rPr>
                <w:rFonts w:hint="eastAsia" w:cs="宋体"/>
                <w:bCs/>
                <w:color w:val="auto"/>
                <w:szCs w:val="21"/>
              </w:rPr>
              <w:t>投标有效期</w:t>
            </w:r>
          </w:p>
        </w:tc>
        <w:tc>
          <w:tcPr>
            <w:tcW w:w="4031" w:type="dxa"/>
            <w:vAlign w:val="center"/>
          </w:tcPr>
          <w:p>
            <w:pPr>
              <w:tabs>
                <w:tab w:val="left" w:pos="0"/>
              </w:tabs>
              <w:adjustRightInd w:val="0"/>
              <w:snapToGrid w:val="0"/>
              <w:rPr>
                <w:rFonts w:cs="宋体"/>
                <w:bCs/>
                <w:color w:val="auto"/>
                <w:szCs w:val="21"/>
              </w:rPr>
            </w:pPr>
            <w:r>
              <w:rPr>
                <w:rFonts w:hint="eastAsia" w:cs="宋体"/>
                <w:bCs/>
                <w:color w:val="auto"/>
                <w:szCs w:val="21"/>
              </w:rPr>
              <w:t>应满足招标文件中的规定</w:t>
            </w:r>
          </w:p>
        </w:tc>
      </w:tr>
    </w:tbl>
    <w:p>
      <w:pPr>
        <w:rPr>
          <w:rFonts w:cs="宋体"/>
          <w:color w:val="auto"/>
        </w:rPr>
      </w:pPr>
    </w:p>
    <w:p>
      <w:pPr>
        <w:pStyle w:val="7"/>
        <w:ind w:firstLine="560"/>
        <w:rPr>
          <w:rFonts w:ascii="宋体" w:hAnsi="宋体" w:cs="宋体"/>
          <w:color w:val="auto"/>
        </w:rPr>
      </w:pPr>
      <w:r>
        <w:rPr>
          <w:rFonts w:hint="eastAsia" w:ascii="宋体" w:hAnsi="宋体" w:cs="宋体"/>
          <w:b w:val="0"/>
          <w:color w:val="auto"/>
          <w:sz w:val="28"/>
          <w:szCs w:val="28"/>
        </w:rPr>
        <w:br w:type="page"/>
      </w:r>
      <w:r>
        <w:rPr>
          <w:rFonts w:hint="eastAsia" w:ascii="宋体" w:hAnsi="宋体" w:cs="宋体"/>
          <w:color w:val="auto"/>
        </w:rPr>
        <w:t>附件2：</w:t>
      </w:r>
      <w:bookmarkStart w:id="165" w:name="_Toc26828"/>
      <w:r>
        <w:rPr>
          <w:rFonts w:hint="eastAsia" w:ascii="宋体" w:hAnsi="宋体" w:cs="宋体"/>
          <w:color w:val="auto"/>
        </w:rPr>
        <w:t>评标因素及权重分值表</w:t>
      </w:r>
      <w:bookmarkEnd w:id="16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041"/>
        <w:gridCol w:w="796"/>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3" w:type="dxa"/>
            <w:tcBorders>
              <w:top w:val="single" w:color="auto" w:sz="4" w:space="0"/>
              <w:left w:val="single" w:color="auto" w:sz="4" w:space="0"/>
              <w:bottom w:val="single" w:color="auto" w:sz="4" w:space="0"/>
              <w:right w:val="single" w:color="auto" w:sz="4" w:space="0"/>
            </w:tcBorders>
          </w:tcPr>
          <w:p>
            <w:pPr>
              <w:spacing w:line="300" w:lineRule="auto"/>
              <w:jc w:val="center"/>
              <w:rPr>
                <w:b/>
                <w:bCs/>
                <w:color w:val="auto"/>
                <w:kern w:val="2"/>
                <w:sz w:val="24"/>
                <w:szCs w:val="24"/>
              </w:rPr>
            </w:pPr>
            <w:r>
              <w:rPr>
                <w:rFonts w:hint="eastAsia"/>
                <w:b/>
                <w:bCs/>
                <w:color w:val="auto"/>
                <w:sz w:val="24"/>
                <w:szCs w:val="24"/>
              </w:rPr>
              <w:t>序号</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b/>
                <w:bCs/>
                <w:color w:val="auto"/>
                <w:kern w:val="2"/>
                <w:sz w:val="24"/>
                <w:szCs w:val="24"/>
              </w:rPr>
            </w:pPr>
            <w:r>
              <w:rPr>
                <w:rFonts w:hint="eastAsia"/>
                <w:b/>
                <w:bCs/>
                <w:color w:val="auto"/>
                <w:sz w:val="24"/>
                <w:szCs w:val="24"/>
              </w:rPr>
              <w:t>评审项目</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b/>
                <w:bCs/>
                <w:color w:val="auto"/>
                <w:kern w:val="2"/>
                <w:sz w:val="24"/>
                <w:szCs w:val="24"/>
              </w:rPr>
            </w:pPr>
            <w:r>
              <w:rPr>
                <w:rFonts w:hint="eastAsia"/>
                <w:b/>
                <w:bCs/>
                <w:color w:val="auto"/>
                <w:sz w:val="24"/>
                <w:szCs w:val="24"/>
              </w:rPr>
              <w:t>分值</w:t>
            </w:r>
          </w:p>
        </w:tc>
        <w:tc>
          <w:tcPr>
            <w:tcW w:w="6860" w:type="dxa"/>
            <w:tcBorders>
              <w:top w:val="single" w:color="auto" w:sz="4" w:space="0"/>
              <w:left w:val="nil"/>
              <w:bottom w:val="single" w:color="auto" w:sz="4" w:space="0"/>
              <w:right w:val="single" w:color="auto" w:sz="4" w:space="0"/>
            </w:tcBorders>
            <w:vAlign w:val="center"/>
          </w:tcPr>
          <w:p>
            <w:pPr>
              <w:spacing w:line="300" w:lineRule="auto"/>
              <w:jc w:val="center"/>
              <w:rPr>
                <w:b/>
                <w:bCs/>
                <w:color w:val="auto"/>
                <w:kern w:val="2"/>
                <w:sz w:val="24"/>
                <w:szCs w:val="24"/>
              </w:rPr>
            </w:pPr>
            <w:r>
              <w:rPr>
                <w:rFonts w:hint="eastAsia"/>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1</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投标报价</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10</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 xml:space="preserve">价格分统一采用低价优先法计算，即满足磋商文件要求且响应价格最低的磋商报价为评标基准价，其价格分为满分。其他供应商价格分统一按照下列公式计算： </w:t>
            </w:r>
          </w:p>
          <w:p>
            <w:pPr>
              <w:spacing w:line="300" w:lineRule="auto"/>
              <w:rPr>
                <w:color w:val="auto"/>
                <w:kern w:val="2"/>
                <w:sz w:val="24"/>
                <w:szCs w:val="24"/>
              </w:rPr>
            </w:pPr>
            <w:r>
              <w:rPr>
                <w:rFonts w:hint="eastAsia"/>
                <w:color w:val="auto"/>
                <w:sz w:val="24"/>
                <w:szCs w:val="24"/>
              </w:rPr>
              <w:t>投标报价得分=(评标基准价／投标报价)×价格权值×100计算分数时四舍五入取小数点后两位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2</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企业实力</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7</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1.投标人具有质量管理体系认证证书、信息技术服务管理体系认证证书、信息安全管理体系认证证书，每提供1个得1分，本项最高得3分。</w:t>
            </w:r>
          </w:p>
          <w:p>
            <w:pPr>
              <w:spacing w:line="300" w:lineRule="auto"/>
              <w:rPr>
                <w:color w:val="auto"/>
                <w:sz w:val="24"/>
                <w:szCs w:val="24"/>
              </w:rPr>
            </w:pPr>
            <w:r>
              <w:rPr>
                <w:rFonts w:hint="eastAsia"/>
                <w:color w:val="auto"/>
                <w:sz w:val="24"/>
                <w:szCs w:val="24"/>
              </w:rPr>
              <w:t>2.投标人具有信息安全服务资质证书得2分</w:t>
            </w:r>
          </w:p>
          <w:p>
            <w:pPr>
              <w:spacing w:line="300" w:lineRule="auto"/>
              <w:rPr>
                <w:color w:val="auto"/>
                <w:sz w:val="24"/>
                <w:szCs w:val="24"/>
              </w:rPr>
            </w:pPr>
            <w:r>
              <w:rPr>
                <w:rFonts w:hint="eastAsia"/>
                <w:color w:val="auto"/>
                <w:sz w:val="24"/>
                <w:szCs w:val="24"/>
              </w:rPr>
              <w:t>3.投标人具有ITSS信息技术服务运行维护标准符合性证书，3级及以上得2分，3级以下得1分。</w:t>
            </w:r>
          </w:p>
          <w:p>
            <w:pPr>
              <w:spacing w:line="300" w:lineRule="auto"/>
              <w:rPr>
                <w:color w:val="auto"/>
                <w:sz w:val="24"/>
                <w:szCs w:val="24"/>
              </w:rPr>
            </w:pPr>
            <w:r>
              <w:rPr>
                <w:rFonts w:hint="eastAsia"/>
                <w:color w:val="auto"/>
                <w:sz w:val="24"/>
                <w:szCs w:val="24"/>
              </w:rPr>
              <w:t>注：</w:t>
            </w:r>
          </w:p>
          <w:p>
            <w:pPr>
              <w:pStyle w:val="2"/>
              <w:ind w:firstLine="0" w:firstLineChars="0"/>
              <w:rPr>
                <w:rFonts w:ascii="宋体" w:hAnsi="宋体"/>
                <w:color w:val="auto"/>
                <w:sz w:val="24"/>
                <w:szCs w:val="24"/>
              </w:rPr>
            </w:pPr>
            <w:r>
              <w:rPr>
                <w:rFonts w:hint="eastAsia" w:ascii="宋体"/>
                <w:color w:val="auto"/>
                <w:sz w:val="24"/>
                <w:szCs w:val="24"/>
              </w:rPr>
              <w:t>（1）第1-2项须通过国家认证认可监督管理委员会官网进行查询且显示有效，附证书扫描件及查询截图；</w:t>
            </w:r>
          </w:p>
          <w:p>
            <w:pPr>
              <w:pStyle w:val="2"/>
              <w:ind w:firstLine="0" w:firstLineChars="0"/>
              <w:rPr>
                <w:rFonts w:ascii="宋体"/>
                <w:color w:val="auto"/>
                <w:sz w:val="24"/>
                <w:szCs w:val="24"/>
              </w:rPr>
            </w:pPr>
            <w:r>
              <w:rPr>
                <w:rFonts w:hint="eastAsia" w:ascii="宋体"/>
                <w:color w:val="auto"/>
                <w:sz w:val="24"/>
                <w:szCs w:val="24"/>
              </w:rPr>
              <w:t>（2）第3项须通过国家信息技术服务标准工作组官网进行查询且显示有效，附证书扫描件及查询截图。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3</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业绩</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5</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投标人提供2019年1月1日至今实施的类似项目业绩，每提供一个得1分，本项最高不超过5分。</w:t>
            </w:r>
          </w:p>
          <w:p>
            <w:pPr>
              <w:spacing w:line="300" w:lineRule="auto"/>
              <w:rPr>
                <w:color w:val="auto"/>
                <w:kern w:val="2"/>
                <w:sz w:val="24"/>
                <w:szCs w:val="24"/>
              </w:rPr>
            </w:pPr>
            <w:r>
              <w:rPr>
                <w:rFonts w:hint="eastAsia"/>
                <w:color w:val="auto"/>
                <w:sz w:val="24"/>
                <w:szCs w:val="24"/>
              </w:rPr>
              <w:t>注：以合同签订日期为准。业绩证明材料需附合同复印件及验收报告，未提供不得分。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4</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项目需求理解</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10</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根据投标人对项目建设需求的理解和项目背景分析内容进行评审：</w:t>
            </w:r>
          </w:p>
          <w:p>
            <w:pPr>
              <w:spacing w:line="300" w:lineRule="auto"/>
              <w:rPr>
                <w:color w:val="auto"/>
                <w:sz w:val="24"/>
                <w:szCs w:val="24"/>
              </w:rPr>
            </w:pPr>
            <w:r>
              <w:rPr>
                <w:rFonts w:hint="eastAsia"/>
                <w:color w:val="auto"/>
                <w:sz w:val="24"/>
                <w:szCs w:val="24"/>
              </w:rPr>
              <w:t>第一档：内容全面、准确，对用户需求理解详细准确、满足用户实际需要，与项目实际契合度高，得6.1-10分；</w:t>
            </w:r>
          </w:p>
          <w:p>
            <w:pPr>
              <w:spacing w:line="300" w:lineRule="auto"/>
              <w:rPr>
                <w:color w:val="auto"/>
                <w:sz w:val="24"/>
                <w:szCs w:val="24"/>
              </w:rPr>
            </w:pPr>
            <w:r>
              <w:rPr>
                <w:rFonts w:hint="eastAsia"/>
                <w:color w:val="auto"/>
                <w:sz w:val="24"/>
                <w:szCs w:val="24"/>
              </w:rPr>
              <w:t>第二档：内容较全面、较准确，较贴合项目，得3.1-6分；</w:t>
            </w:r>
          </w:p>
          <w:p>
            <w:pPr>
              <w:spacing w:line="300" w:lineRule="auto"/>
              <w:rPr>
                <w:color w:val="auto"/>
                <w:kern w:val="2"/>
                <w:sz w:val="24"/>
                <w:szCs w:val="24"/>
              </w:rPr>
            </w:pPr>
            <w:r>
              <w:rPr>
                <w:rFonts w:hint="eastAsia"/>
                <w:color w:val="auto"/>
                <w:sz w:val="24"/>
                <w:szCs w:val="24"/>
              </w:rPr>
              <w:t>第三档：内容简单、不全面、有遗漏，得1.1-3分；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5</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技术方案</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28</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1.根据投标人对项目系统设计方案进行综合分析评审：</w:t>
            </w:r>
          </w:p>
          <w:p>
            <w:pPr>
              <w:spacing w:line="300" w:lineRule="auto"/>
              <w:rPr>
                <w:color w:val="auto"/>
                <w:sz w:val="24"/>
                <w:szCs w:val="24"/>
              </w:rPr>
            </w:pPr>
            <w:r>
              <w:rPr>
                <w:rFonts w:hint="eastAsia"/>
                <w:color w:val="auto"/>
                <w:sz w:val="24"/>
                <w:szCs w:val="24"/>
              </w:rPr>
              <w:t>第一档：方案设计合理详细、可操作性强，准确体现用户实际需求，与实际情况契合度高，得5.1-8分；</w:t>
            </w:r>
          </w:p>
          <w:p>
            <w:pPr>
              <w:spacing w:line="300" w:lineRule="auto"/>
              <w:rPr>
                <w:color w:val="auto"/>
                <w:sz w:val="24"/>
                <w:szCs w:val="24"/>
              </w:rPr>
            </w:pPr>
            <w:r>
              <w:rPr>
                <w:rFonts w:hint="eastAsia"/>
                <w:color w:val="auto"/>
                <w:sz w:val="24"/>
                <w:szCs w:val="24"/>
              </w:rPr>
              <w:t>第二档：内容较合理可行，具有一定可实施性，得2.1-5分；</w:t>
            </w:r>
          </w:p>
          <w:p>
            <w:pPr>
              <w:spacing w:line="300" w:lineRule="auto"/>
              <w:rPr>
                <w:color w:val="auto"/>
                <w:sz w:val="24"/>
                <w:szCs w:val="24"/>
              </w:rPr>
            </w:pPr>
            <w:r>
              <w:rPr>
                <w:rFonts w:hint="eastAsia"/>
                <w:color w:val="auto"/>
                <w:sz w:val="24"/>
                <w:szCs w:val="24"/>
              </w:rPr>
              <w:t>第三档：内容空洞或表达不清晰、可实施性有所欠缺得1.1-2分；</w:t>
            </w:r>
          </w:p>
          <w:p>
            <w:pPr>
              <w:jc w:val="left"/>
              <w:rPr>
                <w:color w:val="auto"/>
                <w:sz w:val="24"/>
                <w:szCs w:val="24"/>
              </w:rPr>
            </w:pPr>
            <w:r>
              <w:rPr>
                <w:rFonts w:hint="eastAsia"/>
                <w:color w:val="auto"/>
                <w:sz w:val="24"/>
                <w:szCs w:val="24"/>
              </w:rPr>
              <w:t>2.根据投标人对本项目智能管护软件系统开发服务7个模块（见招标文件中采购需求部分）进行评审：</w:t>
            </w:r>
          </w:p>
          <w:p>
            <w:pPr>
              <w:spacing w:line="300" w:lineRule="auto"/>
              <w:rPr>
                <w:color w:val="auto"/>
                <w:sz w:val="24"/>
                <w:szCs w:val="24"/>
              </w:rPr>
            </w:pPr>
            <w:r>
              <w:rPr>
                <w:rFonts w:hint="eastAsia"/>
                <w:color w:val="auto"/>
                <w:sz w:val="24"/>
                <w:szCs w:val="24"/>
              </w:rPr>
              <w:t>第一档：软件模块功能设计科学合理、技术先进，技术参数阐述清晰明确无缺漏项，完全符合招标文件技术要求，附有详细的系统界面截图，每个模块得1-2分。</w:t>
            </w:r>
          </w:p>
          <w:p>
            <w:pPr>
              <w:spacing w:line="300" w:lineRule="auto"/>
              <w:rPr>
                <w:color w:val="auto"/>
                <w:sz w:val="24"/>
                <w:szCs w:val="24"/>
              </w:rPr>
            </w:pPr>
            <w:r>
              <w:rPr>
                <w:rFonts w:hint="eastAsia"/>
                <w:color w:val="auto"/>
                <w:sz w:val="24"/>
                <w:szCs w:val="24"/>
              </w:rPr>
              <w:t>第二档：软件系统功能设计较科学合理、技术参数阐述较清晰，符合使用需求及招标文件技术要求，但各功能系统界面不全面的每个模块得0.1-1分。</w:t>
            </w:r>
          </w:p>
          <w:p>
            <w:pPr>
              <w:pStyle w:val="2"/>
              <w:spacing w:line="300" w:lineRule="auto"/>
              <w:ind w:firstLine="0" w:firstLineChars="0"/>
              <w:rPr>
                <w:rFonts w:ascii="宋体" w:hAnsi="宋体"/>
                <w:color w:val="auto"/>
                <w:sz w:val="24"/>
                <w:szCs w:val="24"/>
              </w:rPr>
            </w:pPr>
            <w:r>
              <w:rPr>
                <w:rFonts w:hint="eastAsia" w:ascii="宋体"/>
                <w:color w:val="auto"/>
                <w:sz w:val="24"/>
                <w:szCs w:val="24"/>
              </w:rPr>
              <w:t>注：本项最高得分14分</w:t>
            </w:r>
          </w:p>
          <w:p>
            <w:pPr>
              <w:pStyle w:val="2"/>
              <w:spacing w:line="300" w:lineRule="auto"/>
              <w:ind w:firstLine="0" w:firstLineChars="0"/>
              <w:rPr>
                <w:rFonts w:ascii="宋体"/>
                <w:color w:val="auto"/>
                <w:sz w:val="24"/>
                <w:szCs w:val="24"/>
              </w:rPr>
            </w:pPr>
            <w:r>
              <w:rPr>
                <w:rFonts w:hint="eastAsia" w:ascii="宋体"/>
                <w:color w:val="auto"/>
                <w:sz w:val="24"/>
                <w:szCs w:val="24"/>
              </w:rPr>
              <w:t>3.所投智能管护软件系统具有与本项目各功能模块相关的计算机软件著作权登记证书，每提供一个得0.5分，本项最高得2分。</w:t>
            </w:r>
          </w:p>
          <w:p>
            <w:pPr>
              <w:pStyle w:val="2"/>
              <w:spacing w:line="300" w:lineRule="auto"/>
              <w:ind w:firstLine="0" w:firstLineChars="0"/>
              <w:rPr>
                <w:rFonts w:hint="eastAsia" w:ascii="宋体"/>
                <w:color w:val="auto"/>
                <w:sz w:val="24"/>
                <w:szCs w:val="24"/>
              </w:rPr>
            </w:pPr>
            <w:r>
              <w:rPr>
                <w:rFonts w:hint="eastAsia" w:ascii="宋体"/>
                <w:color w:val="auto"/>
                <w:sz w:val="24"/>
                <w:szCs w:val="24"/>
              </w:rPr>
              <w:t>4.为保证产品质量，投标人对所投智能管护软件系统、车载视频监控系统、车载智能液位监测系统、化粪池智能液位监测系统、室内全彩LED屏、主席台桌、大厅桌、大厅椅8项来源渠道的合法证明(须提供相关证明材料，包括但不限于授权书或检测报告或彩页等)。评标小组成员按响应情况赋分：</w:t>
            </w:r>
          </w:p>
          <w:p>
            <w:pPr>
              <w:pStyle w:val="2"/>
              <w:spacing w:line="300" w:lineRule="auto"/>
              <w:ind w:firstLine="0" w:firstLineChars="0"/>
              <w:rPr>
                <w:rFonts w:hint="eastAsia" w:ascii="宋体"/>
                <w:color w:val="auto"/>
                <w:sz w:val="24"/>
                <w:szCs w:val="24"/>
              </w:rPr>
            </w:pPr>
            <w:r>
              <w:rPr>
                <w:rFonts w:hint="eastAsia" w:ascii="宋体"/>
                <w:color w:val="auto"/>
                <w:sz w:val="24"/>
                <w:szCs w:val="24"/>
              </w:rPr>
              <w:t>①证明材料齐全赋[2</w:t>
            </w:r>
            <w:r>
              <w:rPr>
                <w:rFonts w:hint="eastAsia" w:ascii="宋体"/>
                <w:color w:val="auto"/>
                <w:sz w:val="24"/>
                <w:szCs w:val="24"/>
                <w:lang w:val="en-US" w:eastAsia="zh-CN"/>
              </w:rPr>
              <w:t>.1</w:t>
            </w:r>
            <w:r>
              <w:rPr>
                <w:rFonts w:hint="eastAsia" w:ascii="宋体"/>
                <w:color w:val="auto"/>
                <w:sz w:val="24"/>
                <w:szCs w:val="24"/>
              </w:rPr>
              <w:t>-</w:t>
            </w:r>
            <w:r>
              <w:rPr>
                <w:rFonts w:hint="eastAsia" w:ascii="宋体"/>
                <w:color w:val="auto"/>
                <w:sz w:val="24"/>
                <w:szCs w:val="24"/>
                <w:lang w:val="en-US" w:eastAsia="zh-CN"/>
              </w:rPr>
              <w:t>4</w:t>
            </w:r>
            <w:r>
              <w:rPr>
                <w:rFonts w:hint="eastAsia" w:ascii="宋体"/>
                <w:color w:val="auto"/>
                <w:sz w:val="24"/>
                <w:szCs w:val="24"/>
              </w:rPr>
              <w:t>]分；</w:t>
            </w:r>
          </w:p>
          <w:p>
            <w:pPr>
              <w:pStyle w:val="2"/>
              <w:spacing w:line="300" w:lineRule="auto"/>
              <w:ind w:firstLine="0" w:firstLineChars="0"/>
              <w:rPr>
                <w:rFonts w:hint="eastAsia" w:ascii="宋体"/>
                <w:color w:val="auto"/>
                <w:sz w:val="24"/>
                <w:szCs w:val="24"/>
              </w:rPr>
            </w:pPr>
            <w:r>
              <w:rPr>
                <w:rFonts w:hint="eastAsia" w:ascii="宋体"/>
                <w:color w:val="auto"/>
                <w:sz w:val="24"/>
                <w:szCs w:val="24"/>
              </w:rPr>
              <w:t>②证明材料较齐全赋[</w:t>
            </w:r>
            <w:r>
              <w:rPr>
                <w:rFonts w:hint="eastAsia" w:ascii="宋体"/>
                <w:color w:val="auto"/>
                <w:sz w:val="24"/>
                <w:szCs w:val="24"/>
                <w:lang w:val="en-US" w:eastAsia="zh-CN"/>
              </w:rPr>
              <w:t>1.1</w:t>
            </w:r>
            <w:r>
              <w:rPr>
                <w:rFonts w:hint="eastAsia" w:ascii="宋体"/>
                <w:color w:val="auto"/>
                <w:sz w:val="24"/>
                <w:szCs w:val="24"/>
              </w:rPr>
              <w:t>-2]分；</w:t>
            </w:r>
          </w:p>
          <w:p>
            <w:pPr>
              <w:pStyle w:val="2"/>
              <w:spacing w:line="300" w:lineRule="auto"/>
              <w:ind w:firstLine="0" w:firstLineChars="0"/>
              <w:rPr>
                <w:rFonts w:hint="eastAsia" w:ascii="宋体"/>
                <w:color w:val="auto"/>
                <w:sz w:val="24"/>
                <w:szCs w:val="24"/>
              </w:rPr>
            </w:pPr>
            <w:r>
              <w:rPr>
                <w:rFonts w:hint="eastAsia" w:ascii="宋体"/>
                <w:color w:val="auto"/>
                <w:sz w:val="24"/>
                <w:szCs w:val="24"/>
              </w:rPr>
              <w:t>③无证明材料或证明材料不齐全赋[0-1]分；</w:t>
            </w:r>
          </w:p>
          <w:p>
            <w:pPr>
              <w:pStyle w:val="2"/>
              <w:spacing w:line="300" w:lineRule="auto"/>
              <w:ind w:firstLine="0" w:firstLineChars="0"/>
              <w:rPr>
                <w:rFonts w:hint="eastAsia" w:ascii="宋体" w:eastAsia="宋体"/>
                <w:color w:val="auto"/>
                <w:sz w:val="24"/>
                <w:szCs w:val="24"/>
                <w:lang w:val="en-US" w:eastAsia="zh-CN"/>
              </w:rPr>
            </w:pPr>
            <w:r>
              <w:rPr>
                <w:rFonts w:hint="eastAsia" w:ascii="宋体"/>
                <w:color w:val="auto"/>
                <w:sz w:val="24"/>
                <w:szCs w:val="24"/>
              </w:rPr>
              <w:t>不提供本项不得分</w:t>
            </w:r>
            <w:r>
              <w:rPr>
                <w:rFonts w:hint="eastAsia" w:asci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6</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项目实施管理方案</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12</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投标人需综合考虑项目的实施工作安排、进度、质量等管理过程，提供相关的项目实施管理方案，根据方案内容进行评审：</w:t>
            </w:r>
          </w:p>
          <w:p>
            <w:pPr>
              <w:spacing w:line="300" w:lineRule="auto"/>
              <w:rPr>
                <w:color w:val="auto"/>
                <w:sz w:val="24"/>
                <w:szCs w:val="24"/>
              </w:rPr>
            </w:pPr>
            <w:r>
              <w:rPr>
                <w:rFonts w:hint="eastAsia"/>
                <w:color w:val="auto"/>
                <w:sz w:val="24"/>
                <w:szCs w:val="24"/>
              </w:rPr>
              <w:t>第一档：方案内容全面完整、结合用户实际需求进行设计、与本项目的实际情况契合度高，针对性强，能针对主要实施风险给出相应措施，得8.1-12分；</w:t>
            </w:r>
          </w:p>
          <w:p>
            <w:pPr>
              <w:spacing w:line="300" w:lineRule="auto"/>
              <w:rPr>
                <w:color w:val="auto"/>
                <w:sz w:val="24"/>
                <w:szCs w:val="24"/>
              </w:rPr>
            </w:pPr>
            <w:r>
              <w:rPr>
                <w:rFonts w:hint="eastAsia"/>
                <w:color w:val="auto"/>
                <w:sz w:val="24"/>
                <w:szCs w:val="24"/>
              </w:rPr>
              <w:t>第二档：方案内容较全面完整、针对性较强，得4.1-8分；</w:t>
            </w:r>
          </w:p>
          <w:p>
            <w:pPr>
              <w:spacing w:line="300" w:lineRule="auto"/>
              <w:rPr>
                <w:color w:val="auto"/>
                <w:kern w:val="2"/>
                <w:sz w:val="24"/>
                <w:szCs w:val="24"/>
              </w:rPr>
            </w:pPr>
            <w:r>
              <w:rPr>
                <w:rFonts w:hint="eastAsia"/>
                <w:color w:val="auto"/>
                <w:sz w:val="24"/>
                <w:szCs w:val="24"/>
              </w:rPr>
              <w:t>第三档：方案内容一般、针对性较差，或存在漏项得1.1-4分；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7</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项目团队</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6</w:t>
            </w:r>
          </w:p>
        </w:tc>
        <w:tc>
          <w:tcPr>
            <w:tcW w:w="6860" w:type="dxa"/>
            <w:tcBorders>
              <w:top w:val="single" w:color="auto" w:sz="4" w:space="0"/>
              <w:left w:val="nil"/>
              <w:bottom w:val="single" w:color="auto" w:sz="4" w:space="0"/>
              <w:right w:val="single" w:color="auto" w:sz="4" w:space="0"/>
            </w:tcBorders>
            <w:vAlign w:val="center"/>
          </w:tcPr>
          <w:p>
            <w:pPr>
              <w:spacing w:line="300" w:lineRule="auto"/>
              <w:rPr>
                <w:color w:val="auto"/>
                <w:kern w:val="2"/>
                <w:sz w:val="24"/>
                <w:szCs w:val="24"/>
              </w:rPr>
            </w:pPr>
            <w:r>
              <w:rPr>
                <w:rFonts w:hint="eastAsia"/>
                <w:color w:val="auto"/>
                <w:sz w:val="24"/>
                <w:szCs w:val="24"/>
              </w:rPr>
              <w:t>1.根据项目拟投入服务团队的组织机构和人员构成情况进行综合比较评价：</w:t>
            </w:r>
          </w:p>
          <w:p>
            <w:pPr>
              <w:spacing w:line="300" w:lineRule="auto"/>
              <w:rPr>
                <w:color w:val="auto"/>
                <w:sz w:val="24"/>
                <w:szCs w:val="24"/>
              </w:rPr>
            </w:pPr>
            <w:r>
              <w:rPr>
                <w:rFonts w:hint="eastAsia"/>
                <w:color w:val="auto"/>
                <w:sz w:val="24"/>
                <w:szCs w:val="24"/>
              </w:rPr>
              <w:t>第一档：组织管理机构完善、合理，团队人员构成专业性强、经验丰富，参与类似项目数量5个及以上并提供材料证明，得2-3分；</w:t>
            </w:r>
          </w:p>
          <w:p>
            <w:pPr>
              <w:spacing w:line="300" w:lineRule="auto"/>
              <w:rPr>
                <w:color w:val="auto"/>
                <w:sz w:val="24"/>
                <w:szCs w:val="24"/>
              </w:rPr>
            </w:pPr>
            <w:r>
              <w:rPr>
                <w:rFonts w:hint="eastAsia"/>
                <w:color w:val="auto"/>
                <w:sz w:val="24"/>
                <w:szCs w:val="24"/>
              </w:rPr>
              <w:t>第二档：组织管理机构健全、合理，团队人员构成和专业性较好，具备一定的相关经验，参与类似项目数量不足5个或未提供材料证明，得1-2分；</w:t>
            </w:r>
          </w:p>
          <w:p>
            <w:pPr>
              <w:spacing w:line="300" w:lineRule="auto"/>
              <w:rPr>
                <w:color w:val="auto"/>
                <w:sz w:val="24"/>
                <w:szCs w:val="24"/>
              </w:rPr>
            </w:pPr>
            <w:r>
              <w:rPr>
                <w:rFonts w:hint="eastAsia"/>
                <w:color w:val="auto"/>
                <w:sz w:val="24"/>
                <w:szCs w:val="24"/>
              </w:rPr>
              <w:t>第三档：组织管理机构和人员构成基本合理，专业性和相关经验有欠缺，未参与过类似项目服务，得0.1-1分；</w:t>
            </w:r>
          </w:p>
          <w:p>
            <w:pPr>
              <w:spacing w:line="300" w:lineRule="auto"/>
              <w:rPr>
                <w:color w:val="auto"/>
                <w:kern w:val="2"/>
                <w:sz w:val="24"/>
                <w:szCs w:val="24"/>
              </w:rPr>
            </w:pPr>
            <w:r>
              <w:rPr>
                <w:rFonts w:hint="eastAsia"/>
                <w:color w:val="auto"/>
                <w:sz w:val="24"/>
                <w:szCs w:val="24"/>
              </w:rPr>
              <w:t>2.为保证系统后期的维护与服务，供应商拟派项目团队成员具有Java软件工程师、高级网络工程师或物联网技术工程师证书，每提供一人得1分，满分得3分（须提供人员证书及开标前近三个月任意一月的社保证明佐证方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8</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售后服务方案</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9</w:t>
            </w:r>
          </w:p>
        </w:tc>
        <w:tc>
          <w:tcPr>
            <w:tcW w:w="6860" w:type="dxa"/>
            <w:tcBorders>
              <w:top w:val="single" w:color="auto" w:sz="4" w:space="0"/>
              <w:left w:val="nil"/>
              <w:bottom w:val="single" w:color="auto" w:sz="4" w:space="0"/>
              <w:right w:val="single" w:color="auto" w:sz="4" w:space="0"/>
            </w:tcBorders>
            <w:vAlign w:val="center"/>
          </w:tcPr>
          <w:p>
            <w:pPr>
              <w:spacing w:line="300" w:lineRule="auto"/>
              <w:rPr>
                <w:color w:val="auto"/>
                <w:kern w:val="2"/>
                <w:sz w:val="24"/>
                <w:szCs w:val="24"/>
              </w:rPr>
            </w:pPr>
            <w:r>
              <w:rPr>
                <w:rFonts w:hint="eastAsia"/>
                <w:color w:val="auto"/>
                <w:sz w:val="24"/>
                <w:szCs w:val="24"/>
              </w:rPr>
              <w:t>根据投标人的售后服务、技术支持能力与承诺等方面进行综合比较评审：</w:t>
            </w:r>
          </w:p>
          <w:p>
            <w:pPr>
              <w:spacing w:line="300" w:lineRule="auto"/>
              <w:rPr>
                <w:color w:val="auto"/>
                <w:sz w:val="24"/>
                <w:szCs w:val="24"/>
              </w:rPr>
            </w:pPr>
            <w:r>
              <w:rPr>
                <w:rFonts w:hint="eastAsia"/>
                <w:color w:val="auto"/>
                <w:sz w:val="24"/>
                <w:szCs w:val="24"/>
              </w:rPr>
              <w:t>第一档：售后服务保障体系及措施完善，曾得到过用户满意评价，提供5个及以上用户证明材料佐证，得6.1-9分；</w:t>
            </w:r>
          </w:p>
          <w:p>
            <w:pPr>
              <w:spacing w:line="300" w:lineRule="auto"/>
              <w:rPr>
                <w:color w:val="auto"/>
                <w:sz w:val="24"/>
                <w:szCs w:val="24"/>
              </w:rPr>
            </w:pPr>
            <w:r>
              <w:rPr>
                <w:rFonts w:hint="eastAsia"/>
                <w:color w:val="auto"/>
                <w:sz w:val="24"/>
                <w:szCs w:val="24"/>
              </w:rPr>
              <w:t>第二档：售后服务保障体系及措施较好，提供用户满意证明材料不足5个，得3.1-6分；</w:t>
            </w:r>
          </w:p>
          <w:p>
            <w:pPr>
              <w:spacing w:line="300" w:lineRule="auto"/>
              <w:rPr>
                <w:color w:val="auto"/>
                <w:kern w:val="2"/>
                <w:sz w:val="24"/>
                <w:szCs w:val="24"/>
              </w:rPr>
            </w:pPr>
            <w:r>
              <w:rPr>
                <w:rFonts w:hint="eastAsia"/>
                <w:color w:val="auto"/>
                <w:sz w:val="24"/>
                <w:szCs w:val="24"/>
              </w:rPr>
              <w:t>第三档：售后服务保障体系及措施基本符合项目需求，内容简单或未提供用户证明材料佐证得1.1-3分。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9</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培训方案</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5</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根据投标人针对本项目设计的培训方案内容进行评审：</w:t>
            </w:r>
          </w:p>
          <w:p>
            <w:pPr>
              <w:spacing w:line="300" w:lineRule="auto"/>
              <w:rPr>
                <w:color w:val="auto"/>
                <w:sz w:val="24"/>
                <w:szCs w:val="24"/>
              </w:rPr>
            </w:pPr>
            <w:r>
              <w:rPr>
                <w:rFonts w:hint="eastAsia"/>
                <w:color w:val="auto"/>
                <w:sz w:val="24"/>
                <w:szCs w:val="24"/>
              </w:rPr>
              <w:t>第一档：方案编制科学、合理，符合用户实际需求、可行性强，曾得到过用户满意评价，提供5个及以上用户证明材料佐证，得3.1-5分；</w:t>
            </w:r>
          </w:p>
          <w:p>
            <w:pPr>
              <w:spacing w:line="300" w:lineRule="auto"/>
              <w:rPr>
                <w:color w:val="auto"/>
                <w:sz w:val="24"/>
                <w:szCs w:val="24"/>
              </w:rPr>
            </w:pPr>
            <w:r>
              <w:rPr>
                <w:rFonts w:hint="eastAsia"/>
                <w:color w:val="auto"/>
                <w:sz w:val="24"/>
                <w:szCs w:val="24"/>
              </w:rPr>
              <w:t>第二档：方案编制较科学、合理，可行性一般，提供用户满意证明材料不足五个，得2.1-3分</w:t>
            </w:r>
          </w:p>
          <w:p>
            <w:pPr>
              <w:spacing w:line="300" w:lineRule="auto"/>
              <w:rPr>
                <w:color w:val="auto"/>
                <w:kern w:val="2"/>
                <w:sz w:val="24"/>
                <w:szCs w:val="24"/>
              </w:rPr>
            </w:pPr>
            <w:r>
              <w:rPr>
                <w:rFonts w:hint="eastAsia"/>
                <w:color w:val="auto"/>
                <w:sz w:val="24"/>
                <w:szCs w:val="24"/>
              </w:rPr>
              <w:t>第三档：方案编制简单，欠合理，可行性不强，未提供用户满意证明材料，得1.1-2分；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10</w:t>
            </w:r>
          </w:p>
        </w:tc>
        <w:tc>
          <w:tcPr>
            <w:tcW w:w="1117"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演示环节</w:t>
            </w:r>
          </w:p>
        </w:tc>
        <w:tc>
          <w:tcPr>
            <w:tcW w:w="840" w:type="dxa"/>
            <w:tcBorders>
              <w:top w:val="single" w:color="auto" w:sz="4" w:space="0"/>
              <w:left w:val="nil"/>
              <w:bottom w:val="single" w:color="auto" w:sz="4" w:space="0"/>
              <w:right w:val="single" w:color="auto" w:sz="4" w:space="0"/>
            </w:tcBorders>
            <w:vAlign w:val="center"/>
          </w:tcPr>
          <w:p>
            <w:pPr>
              <w:spacing w:line="300" w:lineRule="auto"/>
              <w:jc w:val="center"/>
              <w:rPr>
                <w:color w:val="auto"/>
                <w:kern w:val="2"/>
                <w:sz w:val="24"/>
                <w:szCs w:val="24"/>
              </w:rPr>
            </w:pPr>
            <w:r>
              <w:rPr>
                <w:rFonts w:hint="eastAsia"/>
                <w:color w:val="auto"/>
                <w:sz w:val="24"/>
                <w:szCs w:val="24"/>
              </w:rPr>
              <w:t>8</w:t>
            </w:r>
          </w:p>
        </w:tc>
        <w:tc>
          <w:tcPr>
            <w:tcW w:w="6860" w:type="dxa"/>
            <w:tcBorders>
              <w:top w:val="single" w:color="auto" w:sz="4" w:space="0"/>
              <w:left w:val="nil"/>
              <w:bottom w:val="single" w:color="auto" w:sz="4" w:space="0"/>
              <w:right w:val="single" w:color="auto" w:sz="4" w:space="0"/>
            </w:tcBorders>
          </w:tcPr>
          <w:p>
            <w:pPr>
              <w:spacing w:line="300" w:lineRule="auto"/>
              <w:rPr>
                <w:color w:val="auto"/>
                <w:kern w:val="2"/>
                <w:sz w:val="24"/>
                <w:szCs w:val="24"/>
              </w:rPr>
            </w:pPr>
            <w:r>
              <w:rPr>
                <w:rFonts w:hint="eastAsia"/>
                <w:color w:val="auto"/>
                <w:sz w:val="24"/>
                <w:szCs w:val="24"/>
              </w:rPr>
              <w:t>演示要求：</w:t>
            </w:r>
          </w:p>
          <w:p>
            <w:pPr>
              <w:spacing w:line="300" w:lineRule="auto"/>
              <w:rPr>
                <w:color w:val="auto"/>
                <w:sz w:val="24"/>
                <w:szCs w:val="24"/>
              </w:rPr>
            </w:pPr>
            <w:r>
              <w:rPr>
                <w:rFonts w:hint="eastAsia"/>
                <w:color w:val="auto"/>
                <w:sz w:val="24"/>
                <w:szCs w:val="24"/>
              </w:rPr>
              <w:t>1、供应商对以下内容逐条在评标现场调用真实系统演示；供应商自备演示所需设备，每个供应商演示时长不超过</w:t>
            </w:r>
            <w:r>
              <w:rPr>
                <w:rFonts w:hint="eastAsia"/>
                <w:color w:val="auto"/>
                <w:sz w:val="24"/>
                <w:szCs w:val="24"/>
                <w:lang w:val="en-US" w:eastAsia="zh-CN"/>
              </w:rPr>
              <w:t>20</w:t>
            </w:r>
            <w:r>
              <w:rPr>
                <w:rFonts w:hint="eastAsia"/>
                <w:color w:val="auto"/>
                <w:sz w:val="24"/>
                <w:szCs w:val="24"/>
              </w:rPr>
              <w:t>分钟。</w:t>
            </w:r>
          </w:p>
          <w:p>
            <w:pPr>
              <w:spacing w:line="300" w:lineRule="auto"/>
              <w:rPr>
                <w:rFonts w:hint="eastAsia"/>
                <w:color w:val="auto"/>
                <w:sz w:val="24"/>
                <w:szCs w:val="24"/>
              </w:rPr>
            </w:pPr>
            <w:r>
              <w:rPr>
                <w:rFonts w:hint="eastAsia"/>
                <w:color w:val="auto"/>
                <w:sz w:val="24"/>
                <w:szCs w:val="24"/>
              </w:rPr>
              <w:t>2、评标委员会根据现场演示情况计分，满分8分（以下10项任选其中8项进行演示）。</w:t>
            </w:r>
          </w:p>
          <w:p>
            <w:pPr>
              <w:spacing w:line="300" w:lineRule="auto"/>
              <w:rPr>
                <w:rFonts w:hint="eastAsia" w:ascii="宋体"/>
                <w:color w:val="auto"/>
                <w:sz w:val="24"/>
                <w:szCs w:val="24"/>
              </w:rPr>
            </w:pPr>
            <w:r>
              <w:rPr>
                <w:rFonts w:hint="eastAsia" w:ascii="宋体"/>
                <w:color w:val="auto"/>
                <w:sz w:val="24"/>
                <w:szCs w:val="24"/>
              </w:rPr>
              <w:t>评标小组成员按响应情况赋分：</w:t>
            </w:r>
          </w:p>
          <w:p>
            <w:pPr>
              <w:pStyle w:val="2"/>
              <w:ind w:left="0" w:leftChars="0" w:firstLine="0" w:firstLineChars="0"/>
              <w:rPr>
                <w:rFonts w:hint="eastAsia" w:ascii="宋体"/>
                <w:color w:val="auto"/>
                <w:sz w:val="24"/>
                <w:szCs w:val="24"/>
                <w:lang w:val="en-US" w:eastAsia="zh-CN"/>
              </w:rPr>
            </w:pPr>
            <w:r>
              <w:rPr>
                <w:rFonts w:hint="eastAsia" w:ascii="宋体"/>
                <w:color w:val="auto"/>
                <w:sz w:val="24"/>
                <w:szCs w:val="24"/>
                <w:lang w:eastAsia="zh-CN"/>
              </w:rPr>
              <w:t>演示完全符合要求得</w:t>
            </w:r>
            <w:r>
              <w:rPr>
                <w:rFonts w:hint="eastAsia" w:ascii="宋体"/>
                <w:color w:val="auto"/>
                <w:sz w:val="24"/>
                <w:szCs w:val="24"/>
                <w:lang w:val="en-US" w:eastAsia="zh-CN"/>
              </w:rPr>
              <w:t>6.1-8分；</w:t>
            </w:r>
          </w:p>
          <w:p>
            <w:pPr>
              <w:rPr>
                <w:rFonts w:hint="eastAsia" w:ascii="宋体"/>
                <w:color w:val="auto"/>
                <w:sz w:val="24"/>
                <w:szCs w:val="24"/>
                <w:lang w:val="en-US" w:eastAsia="zh-CN"/>
              </w:rPr>
            </w:pPr>
            <w:r>
              <w:rPr>
                <w:rFonts w:hint="eastAsia" w:ascii="宋体"/>
                <w:color w:val="auto"/>
                <w:sz w:val="24"/>
                <w:szCs w:val="24"/>
                <w:lang w:val="en-US" w:eastAsia="zh-CN"/>
              </w:rPr>
              <w:t>演示基本符合要求得3.1-6分；</w:t>
            </w:r>
          </w:p>
          <w:p>
            <w:pPr>
              <w:pStyle w:val="2"/>
              <w:ind w:left="0" w:leftChars="0" w:firstLine="0" w:firstLineChars="0"/>
              <w:rPr>
                <w:rFonts w:hint="eastAsia" w:ascii="宋体"/>
                <w:color w:val="auto"/>
                <w:sz w:val="24"/>
                <w:szCs w:val="24"/>
                <w:lang w:val="en-US" w:eastAsia="zh-CN"/>
              </w:rPr>
            </w:pPr>
            <w:r>
              <w:rPr>
                <w:rFonts w:hint="eastAsia" w:ascii="宋体"/>
                <w:color w:val="auto"/>
                <w:sz w:val="24"/>
                <w:szCs w:val="24"/>
                <w:lang w:val="en-US" w:eastAsia="zh-CN"/>
              </w:rPr>
              <w:t>演示存在遗漏、缺陷的得0-3分。</w:t>
            </w:r>
          </w:p>
          <w:p>
            <w:pPr>
              <w:rPr>
                <w:rFonts w:hint="default"/>
                <w:color w:val="auto"/>
                <w:lang w:val="en-US" w:eastAsia="zh-CN"/>
              </w:rPr>
            </w:pPr>
            <w:r>
              <w:rPr>
                <w:rFonts w:hint="eastAsia" w:ascii="宋体"/>
                <w:color w:val="auto"/>
                <w:sz w:val="24"/>
                <w:szCs w:val="24"/>
                <w:lang w:val="en-US" w:eastAsia="zh-CN"/>
              </w:rPr>
              <w:t>不演示不得分。</w:t>
            </w:r>
          </w:p>
          <w:p>
            <w:pPr>
              <w:spacing w:line="300" w:lineRule="auto"/>
              <w:rPr>
                <w:color w:val="auto"/>
                <w:sz w:val="24"/>
                <w:szCs w:val="24"/>
              </w:rPr>
            </w:pPr>
            <w:r>
              <w:rPr>
                <w:rFonts w:hint="eastAsia"/>
                <w:color w:val="auto"/>
                <w:sz w:val="24"/>
                <w:szCs w:val="24"/>
              </w:rPr>
              <w:t>（1）能够完全演示村民拨打智能服务电话，通过按键录音的方式进行投诉，投诉信息在监管端实时显示、播放。</w:t>
            </w:r>
          </w:p>
          <w:p>
            <w:pPr>
              <w:spacing w:line="300" w:lineRule="auto"/>
              <w:rPr>
                <w:color w:val="auto"/>
                <w:sz w:val="24"/>
                <w:szCs w:val="24"/>
              </w:rPr>
            </w:pPr>
            <w:r>
              <w:rPr>
                <w:rFonts w:hint="eastAsia"/>
                <w:color w:val="auto"/>
                <w:sz w:val="24"/>
                <w:szCs w:val="24"/>
              </w:rPr>
              <w:t>（2）能够完全演示工作人员扫描多功能二维码查看村民改厕电子档案信息。</w:t>
            </w:r>
          </w:p>
          <w:p>
            <w:pPr>
              <w:spacing w:line="300" w:lineRule="auto"/>
              <w:rPr>
                <w:color w:val="auto"/>
                <w:sz w:val="24"/>
                <w:szCs w:val="24"/>
              </w:rPr>
            </w:pPr>
            <w:r>
              <w:rPr>
                <w:rFonts w:hint="eastAsia"/>
                <w:color w:val="auto"/>
                <w:sz w:val="24"/>
                <w:szCs w:val="24"/>
              </w:rPr>
              <w:t>（3）能够完全演示村民扫码后，可自助修改、添加多个手机号码，新添加的手机号可进行注册绑定后，使用多功能二维码提供的服务功能。</w:t>
            </w:r>
          </w:p>
          <w:p>
            <w:pPr>
              <w:spacing w:line="300" w:lineRule="auto"/>
              <w:rPr>
                <w:color w:val="auto"/>
                <w:sz w:val="24"/>
                <w:szCs w:val="24"/>
              </w:rPr>
            </w:pPr>
            <w:r>
              <w:rPr>
                <w:rFonts w:hint="eastAsia"/>
                <w:color w:val="auto"/>
                <w:sz w:val="24"/>
                <w:szCs w:val="24"/>
              </w:rPr>
              <w:t>（4）能够完全演示村管员、作业人员、镇管理员、县管理员通过微信授权、账号密码等多种登录方式登录作业端。</w:t>
            </w:r>
          </w:p>
          <w:p>
            <w:pPr>
              <w:spacing w:line="300" w:lineRule="auto"/>
              <w:rPr>
                <w:color w:val="auto"/>
                <w:sz w:val="24"/>
                <w:szCs w:val="24"/>
              </w:rPr>
            </w:pPr>
            <w:r>
              <w:rPr>
                <w:rFonts w:hint="eastAsia"/>
                <w:color w:val="auto"/>
                <w:sz w:val="24"/>
                <w:szCs w:val="24"/>
              </w:rPr>
              <w:t>（5）能够完全演示作业端可通过地图定位到户厕位置并且能一键导航去村民家抽厕和维修，可一键拨打村民电话，能够列出该车辆所负责村庄的村管理员的联系方式，能够一键拨打电话给村管员。</w:t>
            </w:r>
          </w:p>
          <w:p>
            <w:pPr>
              <w:spacing w:line="300" w:lineRule="auto"/>
              <w:rPr>
                <w:color w:val="auto"/>
                <w:sz w:val="24"/>
                <w:szCs w:val="24"/>
              </w:rPr>
            </w:pPr>
            <w:r>
              <w:rPr>
                <w:rFonts w:hint="eastAsia"/>
                <w:color w:val="auto"/>
                <w:sz w:val="24"/>
                <w:szCs w:val="24"/>
              </w:rPr>
              <w:t>（6）能够完全演示通过PC端、抽厕员作业端直接转交抽厕任务，将待处理的作业指派给其他作业人员。</w:t>
            </w:r>
          </w:p>
          <w:p>
            <w:pPr>
              <w:spacing w:line="300" w:lineRule="auto"/>
              <w:rPr>
                <w:color w:val="auto"/>
                <w:sz w:val="24"/>
                <w:szCs w:val="24"/>
              </w:rPr>
            </w:pPr>
            <w:r>
              <w:rPr>
                <w:rFonts w:hint="eastAsia"/>
                <w:color w:val="auto"/>
                <w:sz w:val="24"/>
                <w:szCs w:val="24"/>
              </w:rPr>
              <w:t>（7）能够完全演示改厕档案、用户信息的新增、编辑等功能，可以实现在添加系统用户信息时，改厕档案不会增加，且用户可以通过平台进行报抽、报修等操作。</w:t>
            </w:r>
          </w:p>
          <w:p>
            <w:pPr>
              <w:spacing w:line="300" w:lineRule="auto"/>
              <w:rPr>
                <w:color w:val="auto"/>
                <w:sz w:val="24"/>
                <w:szCs w:val="24"/>
              </w:rPr>
            </w:pPr>
            <w:r>
              <w:rPr>
                <w:rFonts w:hint="eastAsia"/>
                <w:color w:val="auto"/>
                <w:sz w:val="24"/>
                <w:szCs w:val="24"/>
              </w:rPr>
              <w:t>（8）能够完全演示村民用户信息、改厕档案的列表自定义字段列展示功能，一次设置之后，后续再次登录系统配置内容依然有效。</w:t>
            </w:r>
          </w:p>
          <w:p>
            <w:pPr>
              <w:spacing w:line="300" w:lineRule="auto"/>
              <w:rPr>
                <w:color w:val="auto"/>
                <w:sz w:val="24"/>
                <w:szCs w:val="24"/>
              </w:rPr>
            </w:pPr>
            <w:r>
              <w:rPr>
                <w:rFonts w:hint="eastAsia"/>
                <w:color w:val="auto"/>
                <w:sz w:val="24"/>
                <w:szCs w:val="24"/>
              </w:rPr>
              <w:t>（9）能够完全演示系统部分功能通过开关的形式进行自定义配置：是否需要在线支付、报抽收费提醒、报抽的时间间隔、档案/用户信息变更审核、报抽完成后是否需要上传图片、维修完成后是否需要上传图片、作业人员服务超时时间范围、免费服务次数等信息。</w:t>
            </w:r>
          </w:p>
          <w:p>
            <w:pPr>
              <w:spacing w:line="300" w:lineRule="auto"/>
              <w:rPr>
                <w:color w:val="auto"/>
                <w:kern w:val="2"/>
                <w:sz w:val="24"/>
                <w:szCs w:val="24"/>
              </w:rPr>
            </w:pPr>
            <w:r>
              <w:rPr>
                <w:rFonts w:hint="eastAsia"/>
                <w:color w:val="auto"/>
                <w:sz w:val="24"/>
                <w:szCs w:val="24"/>
              </w:rPr>
              <w:t>（10）能够完全演示区县可视化大屏集成展示车辆的实时位置、车辆的行驶速度、车辆行驶里程、处理站的液位情况，支持通过后台系统配置大屏默认卫星地图、矢量地图展示情况。</w:t>
            </w:r>
          </w:p>
        </w:tc>
      </w:tr>
    </w:tbl>
    <w:p>
      <w:pPr>
        <w:rPr>
          <w:rFonts w:cs="宋体"/>
          <w:color w:val="auto"/>
        </w:rPr>
      </w:pPr>
    </w:p>
    <w:p>
      <w:pPr>
        <w:pStyle w:val="2"/>
        <w:ind w:firstLine="489"/>
        <w:rPr>
          <w:color w:val="auto"/>
        </w:rPr>
      </w:pPr>
    </w:p>
    <w:p>
      <w:pPr>
        <w:rPr>
          <w:rFonts w:cs="宋体"/>
          <w:color w:val="auto"/>
        </w:rPr>
      </w:pPr>
      <w:r>
        <w:rPr>
          <w:rFonts w:hint="eastAsia" w:cs="宋体"/>
          <w:color w:val="auto"/>
        </w:rPr>
        <w:br w:type="page"/>
      </w:r>
    </w:p>
    <w:bookmarkEnd w:id="110"/>
    <w:bookmarkEnd w:id="138"/>
    <w:bookmarkEnd w:id="139"/>
    <w:bookmarkEnd w:id="140"/>
    <w:bookmarkEnd w:id="141"/>
    <w:bookmarkEnd w:id="142"/>
    <w:bookmarkEnd w:id="143"/>
    <w:bookmarkEnd w:id="144"/>
    <w:p>
      <w:pPr>
        <w:pStyle w:val="5"/>
        <w:rPr>
          <w:rFonts w:ascii="宋体" w:hAnsi="宋体" w:cs="宋体"/>
          <w:color w:val="auto"/>
          <w:sz w:val="44"/>
          <w:szCs w:val="24"/>
        </w:rPr>
      </w:pPr>
      <w:bookmarkStart w:id="166" w:name="_Toc19005"/>
      <w:bookmarkStart w:id="167" w:name="_Toc28411"/>
      <w:bookmarkStart w:id="168" w:name="_Toc363474025"/>
      <w:bookmarkStart w:id="169" w:name="_Toc8830"/>
      <w:bookmarkStart w:id="170" w:name="_Toc16252"/>
      <w:bookmarkStart w:id="171" w:name="_Toc14722"/>
      <w:bookmarkStart w:id="172" w:name="_Toc426457698"/>
      <w:bookmarkStart w:id="173" w:name="_Toc22538"/>
      <w:r>
        <w:rPr>
          <w:rFonts w:hint="eastAsia" w:ascii="宋体" w:hAnsi="宋体" w:cs="宋体"/>
          <w:color w:val="auto"/>
          <w:sz w:val="44"/>
          <w:szCs w:val="24"/>
        </w:rPr>
        <w:t>第六章 投标文件构成及格式</w:t>
      </w:r>
      <w:bookmarkEnd w:id="166"/>
      <w:bookmarkEnd w:id="167"/>
      <w:bookmarkEnd w:id="168"/>
      <w:bookmarkEnd w:id="169"/>
      <w:bookmarkEnd w:id="170"/>
      <w:bookmarkEnd w:id="171"/>
      <w:bookmarkEnd w:id="172"/>
      <w:bookmarkEnd w:id="173"/>
    </w:p>
    <w:p>
      <w:pPr>
        <w:rPr>
          <w:rFonts w:cs="宋体"/>
          <w:color w:val="auto"/>
        </w:rPr>
      </w:pPr>
    </w:p>
    <w:p>
      <w:pPr>
        <w:rPr>
          <w:rFonts w:cs="宋体"/>
          <w:b/>
          <w:color w:val="auto"/>
          <w:sz w:val="32"/>
          <w:szCs w:val="32"/>
        </w:rPr>
      </w:pPr>
      <w:r>
        <w:rPr>
          <w:rFonts w:hint="eastAsia" w:cs="宋体"/>
          <w:b/>
          <w:color w:val="auto"/>
          <w:sz w:val="32"/>
          <w:szCs w:val="32"/>
        </w:rPr>
        <w:t>项目编号：JZZB2022-1170</w:t>
      </w:r>
    </w:p>
    <w:p>
      <w:pPr>
        <w:jc w:val="right"/>
        <w:rPr>
          <w:rFonts w:cs="宋体"/>
          <w:b/>
          <w:color w:val="auto"/>
          <w:sz w:val="32"/>
          <w:szCs w:val="32"/>
        </w:rPr>
      </w:pPr>
      <w:r>
        <w:rPr>
          <w:rFonts w:hint="eastAsia" w:cs="宋体"/>
          <w:b/>
          <w:color w:val="auto"/>
          <w:sz w:val="32"/>
          <w:szCs w:val="32"/>
        </w:rPr>
        <w:t>（正本或副本）</w:t>
      </w:r>
    </w:p>
    <w:p>
      <w:pPr>
        <w:rPr>
          <w:rFonts w:cs="宋体"/>
          <w:color w:val="auto"/>
        </w:rPr>
      </w:pPr>
    </w:p>
    <w:p>
      <w:pPr>
        <w:rPr>
          <w:rFonts w:cs="宋体"/>
          <w:color w:val="auto"/>
        </w:rPr>
      </w:pPr>
    </w:p>
    <w:p>
      <w:pPr>
        <w:jc w:val="center"/>
        <w:rPr>
          <w:rFonts w:cs="宋体"/>
          <w:b/>
          <w:color w:val="auto"/>
          <w:sz w:val="52"/>
          <w:szCs w:val="52"/>
        </w:rPr>
      </w:pPr>
    </w:p>
    <w:p>
      <w:pPr>
        <w:pStyle w:val="22"/>
        <w:rPr>
          <w:rFonts w:cs="宋体"/>
          <w:color w:val="auto"/>
        </w:rPr>
      </w:pPr>
    </w:p>
    <w:p>
      <w:pPr>
        <w:rPr>
          <w:color w:val="auto"/>
        </w:rPr>
      </w:pPr>
    </w:p>
    <w:p>
      <w:pPr>
        <w:jc w:val="center"/>
        <w:rPr>
          <w:rFonts w:cs="宋体"/>
          <w:b/>
          <w:color w:val="auto"/>
          <w:sz w:val="48"/>
          <w:szCs w:val="48"/>
        </w:rPr>
      </w:pPr>
      <w:r>
        <w:rPr>
          <w:rFonts w:hint="eastAsia" w:cs="宋体"/>
          <w:b/>
          <w:color w:val="auto"/>
          <w:sz w:val="44"/>
          <w:szCs w:val="44"/>
        </w:rPr>
        <w:t>合阳县农村改厕后期管护云平台建设项目</w:t>
      </w:r>
    </w:p>
    <w:p>
      <w:pPr>
        <w:jc w:val="center"/>
        <w:rPr>
          <w:rFonts w:cs="宋体"/>
          <w:b/>
          <w:color w:val="auto"/>
          <w:sz w:val="52"/>
          <w:szCs w:val="52"/>
        </w:rPr>
      </w:pPr>
    </w:p>
    <w:p>
      <w:pPr>
        <w:pStyle w:val="22"/>
        <w:rPr>
          <w:rFonts w:cs="宋体"/>
          <w:color w:val="auto"/>
        </w:rPr>
      </w:pPr>
    </w:p>
    <w:p>
      <w:pPr>
        <w:jc w:val="center"/>
        <w:rPr>
          <w:rFonts w:hint="eastAsia" w:cs="宋体"/>
          <w:b/>
          <w:color w:val="auto"/>
          <w:sz w:val="52"/>
          <w:szCs w:val="52"/>
        </w:rPr>
      </w:pPr>
    </w:p>
    <w:p>
      <w:pPr>
        <w:jc w:val="center"/>
        <w:rPr>
          <w:rFonts w:hint="eastAsia" w:cs="宋体"/>
          <w:b/>
          <w:color w:val="auto"/>
          <w:sz w:val="52"/>
          <w:szCs w:val="52"/>
        </w:rPr>
      </w:pPr>
    </w:p>
    <w:p>
      <w:pPr>
        <w:jc w:val="center"/>
        <w:rPr>
          <w:rFonts w:cs="宋体"/>
          <w:b/>
          <w:color w:val="auto"/>
          <w:sz w:val="52"/>
          <w:szCs w:val="52"/>
        </w:rPr>
      </w:pPr>
      <w:r>
        <w:rPr>
          <w:rFonts w:hint="eastAsia" w:cs="宋体"/>
          <w:b/>
          <w:color w:val="auto"/>
          <w:sz w:val="52"/>
          <w:szCs w:val="52"/>
        </w:rPr>
        <w:t>投 标 文 件</w:t>
      </w:r>
    </w:p>
    <w:p>
      <w:pPr>
        <w:rPr>
          <w:rFonts w:cs="宋体"/>
          <w:color w:val="auto"/>
        </w:rPr>
      </w:pPr>
      <w:r>
        <w:rPr>
          <w:rFonts w:hint="eastAsia" w:cs="宋体"/>
          <w:b/>
          <w:color w:val="auto"/>
          <w:sz w:val="44"/>
          <w:szCs w:val="44"/>
        </w:rPr>
        <w:t xml:space="preserve"> </w:t>
      </w: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tabs>
          <w:tab w:val="center" w:pos="5346"/>
        </w:tabs>
        <w:spacing w:line="720" w:lineRule="auto"/>
        <w:jc w:val="center"/>
        <w:rPr>
          <w:rFonts w:cs="宋体"/>
          <w:b/>
          <w:color w:val="auto"/>
          <w:sz w:val="32"/>
          <w:szCs w:val="32"/>
        </w:rPr>
      </w:pPr>
      <w:r>
        <w:rPr>
          <w:rFonts w:hint="eastAsia" w:cs="宋体"/>
          <w:b/>
          <w:color w:val="auto"/>
          <w:sz w:val="32"/>
          <w:szCs w:val="32"/>
        </w:rPr>
        <w:t xml:space="preserve"> 供应商名称：</w:t>
      </w:r>
      <w:r>
        <w:rPr>
          <w:rFonts w:hint="eastAsia" w:cs="宋体"/>
          <w:b/>
          <w:color w:val="auto"/>
          <w:sz w:val="32"/>
          <w:szCs w:val="32"/>
          <w:u w:val="single"/>
        </w:rPr>
        <w:t xml:space="preserve">               </w:t>
      </w:r>
      <w:r>
        <w:rPr>
          <w:rFonts w:hint="eastAsia" w:cs="宋体"/>
          <w:b/>
          <w:color w:val="auto"/>
          <w:sz w:val="32"/>
          <w:szCs w:val="32"/>
        </w:rPr>
        <w:t>（公章）</w:t>
      </w:r>
    </w:p>
    <w:p>
      <w:pPr>
        <w:spacing w:line="720" w:lineRule="auto"/>
        <w:jc w:val="center"/>
        <w:rPr>
          <w:rFonts w:cs="宋体"/>
          <w:b/>
          <w:bCs/>
          <w:color w:val="auto"/>
          <w:sz w:val="32"/>
          <w:szCs w:val="32"/>
        </w:rPr>
      </w:pPr>
      <w:r>
        <w:rPr>
          <w:rFonts w:hint="eastAsia" w:cs="宋体"/>
          <w:b/>
          <w:color w:val="auto"/>
          <w:sz w:val="32"/>
          <w:szCs w:val="32"/>
        </w:rPr>
        <w:t xml:space="preserve">  年   月  日</w:t>
      </w:r>
      <w:r>
        <w:rPr>
          <w:rFonts w:hint="eastAsia" w:cs="宋体"/>
          <w:b/>
          <w:color w:val="auto"/>
          <w:sz w:val="36"/>
          <w:szCs w:val="36"/>
        </w:rPr>
        <w:br w:type="page"/>
      </w:r>
      <w:bookmarkStart w:id="174" w:name="_Toc403077647"/>
      <w:bookmarkStart w:id="175" w:name="_Toc426457699"/>
      <w:bookmarkStart w:id="176" w:name="_Toc23267"/>
      <w:bookmarkStart w:id="177" w:name="_Toc23850"/>
      <w:bookmarkStart w:id="178" w:name="_Toc363474026"/>
      <w:bookmarkStart w:id="179" w:name="_Toc30983"/>
      <w:bookmarkStart w:id="180" w:name="_Toc22537"/>
      <w:bookmarkStart w:id="181" w:name="_Toc17702"/>
      <w:r>
        <w:rPr>
          <w:rFonts w:hint="eastAsia" w:cs="宋体"/>
          <w:b/>
          <w:bCs/>
          <w:color w:val="auto"/>
          <w:sz w:val="32"/>
          <w:szCs w:val="32"/>
        </w:rPr>
        <w:t>目    录</w:t>
      </w:r>
      <w:bookmarkEnd w:id="174"/>
      <w:bookmarkEnd w:id="175"/>
      <w:bookmarkEnd w:id="176"/>
      <w:bookmarkEnd w:id="177"/>
      <w:bookmarkEnd w:id="178"/>
      <w:bookmarkEnd w:id="179"/>
      <w:bookmarkEnd w:id="180"/>
      <w:bookmarkEnd w:id="181"/>
    </w:p>
    <w:p>
      <w:pPr>
        <w:numPr>
          <w:ilvl w:val="0"/>
          <w:numId w:val="1"/>
        </w:numPr>
        <w:tabs>
          <w:tab w:val="left" w:pos="1418"/>
        </w:tabs>
        <w:spacing w:line="720" w:lineRule="auto"/>
        <w:ind w:left="831"/>
        <w:rPr>
          <w:rFonts w:cs="宋体"/>
          <w:color w:val="auto"/>
          <w:spacing w:val="4"/>
          <w:sz w:val="24"/>
          <w:szCs w:val="24"/>
        </w:rPr>
      </w:pPr>
      <w:r>
        <w:rPr>
          <w:rFonts w:hint="eastAsia" w:cs="宋体"/>
          <w:color w:val="auto"/>
          <w:spacing w:val="4"/>
          <w:sz w:val="24"/>
          <w:szCs w:val="24"/>
        </w:rPr>
        <w:t>投标函</w:t>
      </w:r>
    </w:p>
    <w:p>
      <w:pPr>
        <w:numPr>
          <w:ilvl w:val="0"/>
          <w:numId w:val="1"/>
        </w:numPr>
        <w:tabs>
          <w:tab w:val="left" w:pos="1418"/>
        </w:tabs>
        <w:spacing w:line="720" w:lineRule="auto"/>
        <w:ind w:left="831"/>
        <w:rPr>
          <w:rFonts w:cs="宋体"/>
          <w:color w:val="auto"/>
          <w:spacing w:val="4"/>
          <w:sz w:val="24"/>
          <w:szCs w:val="24"/>
        </w:rPr>
      </w:pPr>
      <w:r>
        <w:rPr>
          <w:rFonts w:hint="eastAsia" w:cs="宋体"/>
          <w:color w:val="auto"/>
          <w:spacing w:val="4"/>
          <w:sz w:val="24"/>
          <w:szCs w:val="24"/>
        </w:rPr>
        <w:t>投标报价表</w:t>
      </w:r>
    </w:p>
    <w:p>
      <w:pPr>
        <w:numPr>
          <w:ilvl w:val="0"/>
          <w:numId w:val="1"/>
        </w:numPr>
        <w:tabs>
          <w:tab w:val="left" w:pos="1418"/>
        </w:tabs>
        <w:spacing w:line="720" w:lineRule="auto"/>
        <w:ind w:left="831"/>
        <w:rPr>
          <w:rFonts w:cs="宋体"/>
          <w:color w:val="auto"/>
          <w:spacing w:val="4"/>
          <w:sz w:val="24"/>
          <w:szCs w:val="24"/>
        </w:rPr>
      </w:pPr>
      <w:r>
        <w:rPr>
          <w:rFonts w:hint="eastAsia" w:cs="宋体"/>
          <w:color w:val="auto"/>
          <w:sz w:val="24"/>
          <w:szCs w:val="24"/>
        </w:rPr>
        <w:t>投标方案说明书</w:t>
      </w:r>
    </w:p>
    <w:p>
      <w:pPr>
        <w:numPr>
          <w:ilvl w:val="0"/>
          <w:numId w:val="1"/>
        </w:numPr>
        <w:tabs>
          <w:tab w:val="left" w:pos="1418"/>
        </w:tabs>
        <w:spacing w:line="720" w:lineRule="auto"/>
        <w:ind w:left="831"/>
        <w:rPr>
          <w:rFonts w:cs="宋体"/>
          <w:color w:val="auto"/>
          <w:spacing w:val="4"/>
          <w:sz w:val="24"/>
          <w:szCs w:val="24"/>
        </w:rPr>
      </w:pPr>
      <w:r>
        <w:rPr>
          <w:rFonts w:hint="eastAsia" w:cs="宋体"/>
          <w:color w:val="auto"/>
          <w:spacing w:val="4"/>
          <w:sz w:val="24"/>
          <w:szCs w:val="24"/>
        </w:rPr>
        <w:t>商务响应说明</w:t>
      </w:r>
    </w:p>
    <w:p>
      <w:pPr>
        <w:numPr>
          <w:ilvl w:val="0"/>
          <w:numId w:val="1"/>
        </w:numPr>
        <w:tabs>
          <w:tab w:val="left" w:pos="1418"/>
        </w:tabs>
        <w:spacing w:line="720" w:lineRule="auto"/>
        <w:ind w:left="831"/>
        <w:rPr>
          <w:rFonts w:cs="宋体"/>
          <w:color w:val="auto"/>
          <w:spacing w:val="4"/>
          <w:sz w:val="24"/>
          <w:szCs w:val="24"/>
        </w:rPr>
      </w:pPr>
      <w:r>
        <w:rPr>
          <w:rFonts w:hint="eastAsia" w:cs="宋体"/>
          <w:color w:val="auto"/>
          <w:spacing w:val="4"/>
          <w:sz w:val="24"/>
          <w:szCs w:val="24"/>
        </w:rPr>
        <w:t>供应商承诺书</w:t>
      </w:r>
    </w:p>
    <w:p>
      <w:pPr>
        <w:numPr>
          <w:ilvl w:val="0"/>
          <w:numId w:val="1"/>
        </w:numPr>
        <w:tabs>
          <w:tab w:val="left" w:pos="1418"/>
        </w:tabs>
        <w:spacing w:line="720" w:lineRule="auto"/>
        <w:ind w:left="831"/>
        <w:rPr>
          <w:rFonts w:cs="宋体"/>
          <w:color w:val="auto"/>
          <w:spacing w:val="4"/>
          <w:sz w:val="24"/>
          <w:szCs w:val="24"/>
        </w:rPr>
      </w:pPr>
      <w:r>
        <w:rPr>
          <w:rFonts w:hint="eastAsia" w:cs="宋体"/>
          <w:color w:val="auto"/>
          <w:spacing w:val="4"/>
          <w:sz w:val="24"/>
          <w:szCs w:val="24"/>
        </w:rPr>
        <w:t>资格证明文件</w:t>
      </w:r>
    </w:p>
    <w:p>
      <w:pPr>
        <w:tabs>
          <w:tab w:val="left" w:pos="1418"/>
        </w:tabs>
        <w:spacing w:line="720" w:lineRule="auto"/>
        <w:ind w:firstLine="744" w:firstLineChars="300"/>
        <w:rPr>
          <w:rFonts w:cs="宋体"/>
          <w:color w:val="auto"/>
          <w:spacing w:val="4"/>
          <w:sz w:val="24"/>
          <w:szCs w:val="24"/>
        </w:rPr>
      </w:pPr>
      <w:r>
        <w:rPr>
          <w:rFonts w:hint="eastAsia" w:cs="宋体"/>
          <w:color w:val="auto"/>
          <w:spacing w:val="4"/>
          <w:sz w:val="24"/>
          <w:szCs w:val="24"/>
        </w:rPr>
        <w:t xml:space="preserve"> 七、保证金缴纳凭证</w:t>
      </w:r>
    </w:p>
    <w:p>
      <w:pPr>
        <w:tabs>
          <w:tab w:val="left" w:pos="1418"/>
        </w:tabs>
        <w:spacing w:line="720" w:lineRule="auto"/>
        <w:ind w:firstLine="992" w:firstLineChars="400"/>
        <w:rPr>
          <w:rFonts w:cs="宋体"/>
          <w:color w:val="auto"/>
          <w:spacing w:val="4"/>
          <w:sz w:val="24"/>
          <w:szCs w:val="24"/>
        </w:rPr>
      </w:pPr>
      <w:r>
        <w:rPr>
          <w:rFonts w:hint="eastAsia" w:cs="宋体"/>
          <w:color w:val="auto"/>
          <w:spacing w:val="4"/>
          <w:sz w:val="24"/>
          <w:szCs w:val="24"/>
        </w:rPr>
        <w:t>八、其他资料</w:t>
      </w:r>
    </w:p>
    <w:p>
      <w:pPr>
        <w:spacing w:line="480" w:lineRule="auto"/>
        <w:ind w:firstLine="1574" w:firstLineChars="635"/>
        <w:rPr>
          <w:rFonts w:cs="宋体"/>
          <w:color w:val="auto"/>
          <w:spacing w:val="4"/>
          <w:sz w:val="24"/>
          <w:szCs w:val="24"/>
        </w:rPr>
      </w:pPr>
    </w:p>
    <w:p>
      <w:pPr>
        <w:spacing w:line="480" w:lineRule="auto"/>
        <w:ind w:left="105"/>
        <w:rPr>
          <w:rFonts w:cs="宋体"/>
          <w:color w:val="auto"/>
          <w:spacing w:val="4"/>
          <w:szCs w:val="24"/>
        </w:rPr>
      </w:pPr>
    </w:p>
    <w:p>
      <w:pPr>
        <w:pStyle w:val="6"/>
        <w:rPr>
          <w:rFonts w:ascii="宋体" w:hAnsi="宋体" w:cs="宋体"/>
          <w:color w:val="auto"/>
          <w:sz w:val="32"/>
        </w:rPr>
      </w:pPr>
      <w:r>
        <w:rPr>
          <w:rFonts w:hint="eastAsia" w:ascii="宋体" w:hAnsi="宋体" w:cs="宋体"/>
          <w:color w:val="auto"/>
        </w:rPr>
        <w:br w:type="page"/>
      </w:r>
      <w:bookmarkStart w:id="182" w:name="_Toc403077648"/>
      <w:bookmarkStart w:id="183" w:name="_Toc363474027"/>
      <w:bookmarkStart w:id="184" w:name="_Toc13414"/>
      <w:bookmarkStart w:id="185" w:name="_Toc23702"/>
      <w:bookmarkStart w:id="186" w:name="_Toc19617"/>
      <w:bookmarkStart w:id="187" w:name="_Toc24231"/>
      <w:bookmarkStart w:id="188" w:name="_Toc426457700"/>
      <w:bookmarkStart w:id="189" w:name="_Toc9801"/>
      <w:bookmarkStart w:id="190" w:name="_Toc27331"/>
      <w:bookmarkStart w:id="191" w:name="_Toc4930"/>
      <w:bookmarkStart w:id="192" w:name="_Toc14057"/>
      <w:bookmarkStart w:id="193" w:name="_Toc28404"/>
      <w:r>
        <w:rPr>
          <w:rFonts w:hint="eastAsia" w:ascii="宋体" w:hAnsi="宋体" w:cs="宋体"/>
          <w:color w:val="auto"/>
          <w:sz w:val="32"/>
        </w:rPr>
        <w:t>一、投标</w:t>
      </w:r>
      <w:bookmarkEnd w:id="182"/>
      <w:bookmarkEnd w:id="183"/>
      <w:r>
        <w:rPr>
          <w:rFonts w:hint="eastAsia" w:ascii="宋体" w:hAnsi="宋体" w:cs="宋体"/>
          <w:color w:val="auto"/>
          <w:sz w:val="32"/>
        </w:rPr>
        <w:t>函</w:t>
      </w:r>
      <w:bookmarkEnd w:id="184"/>
      <w:bookmarkEnd w:id="185"/>
      <w:bookmarkEnd w:id="186"/>
      <w:bookmarkEnd w:id="187"/>
      <w:bookmarkEnd w:id="188"/>
      <w:bookmarkEnd w:id="189"/>
      <w:bookmarkEnd w:id="190"/>
      <w:bookmarkEnd w:id="191"/>
      <w:bookmarkEnd w:id="192"/>
      <w:bookmarkEnd w:id="193"/>
    </w:p>
    <w:p>
      <w:pPr>
        <w:spacing w:line="360" w:lineRule="auto"/>
        <w:jc w:val="left"/>
        <w:rPr>
          <w:rFonts w:cs="宋体"/>
          <w:color w:val="auto"/>
          <w:spacing w:val="4"/>
          <w:sz w:val="24"/>
          <w:szCs w:val="24"/>
          <w:u w:val="single"/>
        </w:rPr>
      </w:pPr>
      <w:r>
        <w:rPr>
          <w:rFonts w:hint="eastAsia" w:cs="宋体"/>
          <w:b/>
          <w:color w:val="auto"/>
          <w:spacing w:val="4"/>
          <w:sz w:val="24"/>
          <w:szCs w:val="24"/>
        </w:rPr>
        <w:t>致</w:t>
      </w:r>
      <w:r>
        <w:rPr>
          <w:rFonts w:hint="eastAsia" w:cs="宋体"/>
          <w:b/>
          <w:color w:val="auto"/>
          <w:spacing w:val="4"/>
          <w:sz w:val="24"/>
          <w:szCs w:val="24"/>
          <w:u w:val="single"/>
        </w:rPr>
        <w:t>：陕西金字招标有限责任公司</w:t>
      </w:r>
    </w:p>
    <w:p>
      <w:pPr>
        <w:spacing w:line="360" w:lineRule="auto"/>
        <w:ind w:firstLine="496" w:firstLineChars="200"/>
        <w:rPr>
          <w:rFonts w:cs="宋体"/>
          <w:color w:val="auto"/>
          <w:spacing w:val="4"/>
          <w:sz w:val="24"/>
          <w:szCs w:val="24"/>
        </w:rPr>
      </w:pPr>
      <w:r>
        <w:rPr>
          <w:rFonts w:hint="eastAsia" w:cs="宋体"/>
          <w:color w:val="auto"/>
          <w:spacing w:val="4"/>
          <w:sz w:val="24"/>
          <w:szCs w:val="24"/>
        </w:rPr>
        <w:t xml:space="preserve">根据贵方“ </w:t>
      </w:r>
      <w:r>
        <w:rPr>
          <w:rFonts w:hint="eastAsia" w:cs="宋体"/>
          <w:color w:val="auto"/>
          <w:spacing w:val="4"/>
          <w:sz w:val="24"/>
          <w:szCs w:val="24"/>
          <w:u w:val="single"/>
        </w:rPr>
        <w:t xml:space="preserve">      项目名称                 </w:t>
      </w:r>
      <w:r>
        <w:rPr>
          <w:rFonts w:hint="eastAsia" w:cs="宋体"/>
          <w:color w:val="auto"/>
          <w:spacing w:val="4"/>
          <w:sz w:val="24"/>
          <w:szCs w:val="24"/>
        </w:rPr>
        <w:t>”的投标邀请</w:t>
      </w:r>
      <w:r>
        <w:rPr>
          <w:rFonts w:hint="eastAsia" w:cs="宋体"/>
          <w:color w:val="auto"/>
          <w:spacing w:val="4"/>
          <w:sz w:val="24"/>
          <w:szCs w:val="24"/>
          <w:u w:val="single"/>
        </w:rPr>
        <w:t>(编号：        )</w:t>
      </w:r>
      <w:r>
        <w:rPr>
          <w:rFonts w:hint="eastAsia" w:cs="宋体"/>
          <w:color w:val="auto"/>
          <w:spacing w:val="4"/>
          <w:sz w:val="24"/>
          <w:szCs w:val="24"/>
        </w:rPr>
        <w:t>，签字代表</w:t>
      </w:r>
      <w:r>
        <w:rPr>
          <w:rFonts w:hint="eastAsia" w:cs="宋体"/>
          <w:color w:val="auto"/>
          <w:spacing w:val="4"/>
          <w:sz w:val="24"/>
          <w:szCs w:val="24"/>
          <w:u w:val="single"/>
        </w:rPr>
        <w:t>（全名、职务）</w:t>
      </w:r>
      <w:r>
        <w:rPr>
          <w:rFonts w:hint="eastAsia" w:cs="宋体"/>
          <w:color w:val="auto"/>
          <w:spacing w:val="4"/>
          <w:sz w:val="24"/>
          <w:szCs w:val="24"/>
        </w:rPr>
        <w:t>经正式授权并代表供应商</w:t>
      </w:r>
      <w:r>
        <w:rPr>
          <w:rFonts w:hint="eastAsia" w:cs="宋体"/>
          <w:color w:val="auto"/>
          <w:spacing w:val="4"/>
          <w:sz w:val="24"/>
          <w:szCs w:val="24"/>
          <w:u w:val="single"/>
        </w:rPr>
        <w:t>(供应商名称、地址)</w:t>
      </w:r>
      <w:r>
        <w:rPr>
          <w:rFonts w:hint="eastAsia" w:cs="宋体"/>
          <w:color w:val="auto"/>
          <w:spacing w:val="4"/>
          <w:sz w:val="24"/>
          <w:szCs w:val="24"/>
        </w:rPr>
        <w:t xml:space="preserve"> 提交投标文件正本壹份、副本一式</w:t>
      </w:r>
      <w:r>
        <w:rPr>
          <w:rFonts w:hint="eastAsia" w:cs="宋体"/>
          <w:color w:val="auto"/>
          <w:spacing w:val="4"/>
          <w:sz w:val="24"/>
          <w:szCs w:val="24"/>
          <w:u w:val="single"/>
        </w:rPr>
        <w:t xml:space="preserve">    </w:t>
      </w:r>
      <w:r>
        <w:rPr>
          <w:rFonts w:hint="eastAsia" w:cs="宋体"/>
          <w:color w:val="auto"/>
          <w:spacing w:val="4"/>
          <w:sz w:val="24"/>
          <w:szCs w:val="24"/>
        </w:rPr>
        <w:t>份、电子版</w:t>
      </w:r>
      <w:r>
        <w:rPr>
          <w:rFonts w:hint="eastAsia" w:cs="宋体"/>
          <w:color w:val="auto"/>
          <w:spacing w:val="4"/>
          <w:sz w:val="24"/>
          <w:szCs w:val="24"/>
          <w:u w:val="single"/>
        </w:rPr>
        <w:t xml:space="preserve">    </w:t>
      </w:r>
      <w:r>
        <w:rPr>
          <w:rFonts w:hint="eastAsia" w:cs="宋体"/>
          <w:color w:val="auto"/>
          <w:spacing w:val="4"/>
          <w:sz w:val="24"/>
          <w:szCs w:val="24"/>
        </w:rPr>
        <w:t>份、开标一览表</w:t>
      </w:r>
      <w:r>
        <w:rPr>
          <w:rFonts w:hint="eastAsia" w:cs="宋体"/>
          <w:color w:val="auto"/>
          <w:spacing w:val="4"/>
          <w:sz w:val="24"/>
          <w:szCs w:val="24"/>
          <w:u w:val="single"/>
        </w:rPr>
        <w:t xml:space="preserve">    </w:t>
      </w:r>
      <w:r>
        <w:rPr>
          <w:rFonts w:hint="eastAsia" w:cs="宋体"/>
          <w:color w:val="auto"/>
          <w:spacing w:val="4"/>
          <w:sz w:val="24"/>
          <w:szCs w:val="24"/>
        </w:rPr>
        <w:t>份。并提交投标保证金，金额为</w:t>
      </w:r>
      <w:r>
        <w:rPr>
          <w:rFonts w:hint="eastAsia" w:cs="宋体"/>
          <w:color w:val="auto"/>
          <w:spacing w:val="4"/>
          <w:sz w:val="24"/>
          <w:szCs w:val="24"/>
          <w:u w:val="single"/>
        </w:rPr>
        <w:t xml:space="preserve">            </w:t>
      </w:r>
      <w:r>
        <w:rPr>
          <w:rFonts w:hint="eastAsia" w:cs="宋体"/>
          <w:color w:val="auto"/>
          <w:spacing w:val="4"/>
          <w:sz w:val="24"/>
          <w:szCs w:val="24"/>
        </w:rPr>
        <w:t xml:space="preserve"> 。</w:t>
      </w:r>
    </w:p>
    <w:p>
      <w:pPr>
        <w:spacing w:line="360" w:lineRule="auto"/>
        <w:ind w:left="549" w:leftChars="251" w:hanging="22" w:hangingChars="9"/>
        <w:jc w:val="left"/>
        <w:rPr>
          <w:rFonts w:cs="宋体"/>
          <w:color w:val="auto"/>
          <w:spacing w:val="4"/>
          <w:sz w:val="24"/>
          <w:szCs w:val="24"/>
        </w:rPr>
      </w:pPr>
      <w:r>
        <w:rPr>
          <w:rFonts w:hint="eastAsia" w:cs="宋体"/>
          <w:color w:val="auto"/>
          <w:spacing w:val="4"/>
          <w:sz w:val="24"/>
          <w:szCs w:val="24"/>
        </w:rPr>
        <w:t>我方承诺如下：</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 xml:space="preserve">投标报价为小写： </w:t>
      </w:r>
      <w:r>
        <w:rPr>
          <w:rFonts w:hint="eastAsia" w:cs="宋体"/>
          <w:color w:val="auto"/>
          <w:spacing w:val="4"/>
          <w:sz w:val="24"/>
          <w:szCs w:val="24"/>
          <w:u w:val="single"/>
        </w:rPr>
        <w:t xml:space="preserve">        </w:t>
      </w:r>
      <w:r>
        <w:rPr>
          <w:rFonts w:hint="eastAsia" w:cs="宋体"/>
          <w:color w:val="auto"/>
          <w:spacing w:val="4"/>
          <w:sz w:val="24"/>
          <w:szCs w:val="24"/>
        </w:rPr>
        <w:t>（大写：</w:t>
      </w:r>
      <w:r>
        <w:rPr>
          <w:rFonts w:hint="eastAsia" w:cs="宋体"/>
          <w:color w:val="auto"/>
          <w:spacing w:val="4"/>
          <w:sz w:val="24"/>
          <w:szCs w:val="24"/>
          <w:u w:val="single"/>
        </w:rPr>
        <w:t xml:space="preserve">         </w:t>
      </w:r>
      <w:r>
        <w:rPr>
          <w:rFonts w:hint="eastAsia" w:cs="宋体"/>
          <w:color w:val="auto"/>
          <w:spacing w:val="4"/>
          <w:sz w:val="24"/>
          <w:szCs w:val="24"/>
        </w:rPr>
        <w:t>）。</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如果中标，我们根据招标文件的规定，履行合同的责任和义务。</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我们已详细阅读和审核全部招标文件（含修改部分，如有的话）及有关附件，我们知道必须放弃提出含糊不清或误解的问题的权利。</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我们同意在投标有效期内（</w:t>
      </w:r>
      <w:r>
        <w:rPr>
          <w:rFonts w:hint="eastAsia" w:cs="宋体"/>
          <w:color w:val="auto"/>
          <w:spacing w:val="4"/>
          <w:sz w:val="24"/>
          <w:szCs w:val="24"/>
          <w:u w:val="single"/>
        </w:rPr>
        <w:t>自开标之日起    天</w:t>
      </w:r>
      <w:r>
        <w:rPr>
          <w:rFonts w:hint="eastAsia" w:cs="宋体"/>
          <w:color w:val="auto"/>
          <w:spacing w:val="4"/>
          <w:sz w:val="24"/>
          <w:szCs w:val="24"/>
        </w:rPr>
        <w:t>），本投标函对我方具有约束力。</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如果在开标后规定的投标有效期内撤回投标，我们的投标保证金可被贵方没收。</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 xml:space="preserve">同意提供贵方可能另外要求的与本投标有关的任何证据和资料。 </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我们同意，如果中标，向陕西金字招标有限责任公司交纳招标代理服务费。</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与本投标有关的一切正式往来通讯为：</w:t>
      </w:r>
    </w:p>
    <w:p>
      <w:pPr>
        <w:spacing w:line="360" w:lineRule="auto"/>
        <w:ind w:firstLine="1240" w:firstLineChars="500"/>
        <w:jc w:val="left"/>
        <w:rPr>
          <w:rFonts w:cs="宋体"/>
          <w:color w:val="auto"/>
          <w:spacing w:val="4"/>
          <w:sz w:val="24"/>
          <w:szCs w:val="24"/>
        </w:rPr>
      </w:pPr>
    </w:p>
    <w:p>
      <w:pPr>
        <w:spacing w:line="360" w:lineRule="auto"/>
        <w:ind w:firstLine="1240" w:firstLineChars="500"/>
        <w:jc w:val="left"/>
        <w:rPr>
          <w:rFonts w:cs="宋体"/>
          <w:color w:val="auto"/>
          <w:spacing w:val="4"/>
          <w:sz w:val="24"/>
          <w:szCs w:val="24"/>
        </w:rPr>
      </w:pP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联系地址：</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电    话：</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供应商名称：</w:t>
      </w:r>
      <w:r>
        <w:rPr>
          <w:rFonts w:hint="eastAsia" w:cs="宋体"/>
          <w:color w:val="auto"/>
          <w:spacing w:val="4"/>
          <w:sz w:val="24"/>
          <w:szCs w:val="24"/>
          <w:u w:val="single"/>
        </w:rPr>
        <w:t xml:space="preserve">                   </w:t>
      </w:r>
      <w:r>
        <w:rPr>
          <w:rFonts w:hint="eastAsia" w:cs="宋体"/>
          <w:color w:val="auto"/>
          <w:spacing w:val="4"/>
          <w:sz w:val="24"/>
          <w:szCs w:val="24"/>
        </w:rPr>
        <w:t>（盖单位公章）</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法定代表人或被授权人：</w:t>
      </w:r>
      <w:r>
        <w:rPr>
          <w:rFonts w:hint="eastAsia" w:cs="宋体"/>
          <w:color w:val="auto"/>
          <w:spacing w:val="4"/>
          <w:sz w:val="24"/>
          <w:szCs w:val="24"/>
          <w:u w:val="single"/>
        </w:rPr>
        <w:t xml:space="preserve">      </w:t>
      </w:r>
      <w:r>
        <w:rPr>
          <w:rFonts w:hint="eastAsia" w:cs="宋体"/>
          <w:color w:val="auto"/>
          <w:spacing w:val="4"/>
          <w:sz w:val="24"/>
          <w:szCs w:val="24"/>
        </w:rPr>
        <w:t>（签字或盖章）</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日    期：   年   月    日</w:t>
      </w:r>
    </w:p>
    <w:p>
      <w:pPr>
        <w:pStyle w:val="6"/>
        <w:rPr>
          <w:rFonts w:ascii="宋体" w:hAnsi="宋体" w:cs="宋体"/>
          <w:color w:val="auto"/>
        </w:rPr>
      </w:pPr>
      <w:r>
        <w:rPr>
          <w:rFonts w:hint="eastAsia" w:ascii="宋体" w:hAnsi="宋体" w:cs="宋体"/>
          <w:color w:val="auto"/>
          <w:sz w:val="28"/>
        </w:rPr>
        <w:br w:type="page"/>
      </w:r>
      <w:bookmarkStart w:id="194" w:name="_Toc403077651"/>
      <w:bookmarkStart w:id="195" w:name="_Toc27599"/>
      <w:bookmarkStart w:id="196" w:name="_Toc17802"/>
      <w:bookmarkStart w:id="197" w:name="_Toc363474030"/>
      <w:bookmarkStart w:id="198" w:name="_Toc15042"/>
      <w:bookmarkStart w:id="199" w:name="_Toc4332"/>
      <w:bookmarkStart w:id="200" w:name="_Toc9691"/>
      <w:bookmarkStart w:id="201" w:name="_Toc32545"/>
      <w:bookmarkStart w:id="202" w:name="_Toc21319"/>
      <w:bookmarkStart w:id="203" w:name="_Toc29025"/>
      <w:bookmarkStart w:id="204" w:name="_Toc426457703"/>
      <w:bookmarkStart w:id="205" w:name="_Toc765"/>
      <w:r>
        <w:rPr>
          <w:rFonts w:hint="eastAsia" w:ascii="宋体" w:hAnsi="宋体" w:cs="宋体"/>
          <w:color w:val="auto"/>
          <w:sz w:val="32"/>
        </w:rPr>
        <w:t>二、投标报价表</w:t>
      </w:r>
      <w:bookmarkEnd w:id="194"/>
      <w:bookmarkEnd w:id="195"/>
      <w:bookmarkEnd w:id="196"/>
      <w:bookmarkEnd w:id="197"/>
      <w:bookmarkEnd w:id="198"/>
      <w:bookmarkEnd w:id="199"/>
      <w:bookmarkEnd w:id="200"/>
      <w:bookmarkEnd w:id="201"/>
      <w:bookmarkEnd w:id="202"/>
      <w:bookmarkEnd w:id="203"/>
      <w:bookmarkEnd w:id="204"/>
      <w:bookmarkEnd w:id="205"/>
    </w:p>
    <w:p>
      <w:pPr>
        <w:jc w:val="center"/>
        <w:rPr>
          <w:rFonts w:cs="宋体"/>
          <w:b/>
          <w:color w:val="auto"/>
          <w:sz w:val="30"/>
          <w:szCs w:val="30"/>
        </w:rPr>
      </w:pPr>
      <w:r>
        <w:rPr>
          <w:rFonts w:hint="eastAsia" w:cs="宋体"/>
          <w:b/>
          <w:color w:val="auto"/>
          <w:sz w:val="30"/>
          <w:szCs w:val="30"/>
        </w:rPr>
        <w:t>2.1开标一览表</w:t>
      </w:r>
    </w:p>
    <w:p>
      <w:pPr>
        <w:jc w:val="left"/>
        <w:rPr>
          <w:rFonts w:cs="宋体"/>
          <w:bCs/>
          <w:color w:val="auto"/>
          <w:sz w:val="24"/>
          <w:szCs w:val="24"/>
        </w:rPr>
      </w:pPr>
      <w:r>
        <w:rPr>
          <w:rFonts w:hint="eastAsia" w:cs="宋体"/>
          <w:bCs/>
          <w:color w:val="auto"/>
          <w:sz w:val="24"/>
          <w:szCs w:val="24"/>
        </w:rPr>
        <w:t>项目名称：</w:t>
      </w:r>
    </w:p>
    <w:p>
      <w:pPr>
        <w:jc w:val="left"/>
        <w:rPr>
          <w:rFonts w:cs="宋体"/>
          <w:bCs/>
          <w:color w:val="auto"/>
          <w:szCs w:val="24"/>
        </w:rPr>
      </w:pPr>
      <w:r>
        <w:rPr>
          <w:rFonts w:hint="eastAsia" w:cs="宋体"/>
          <w:bCs/>
          <w:color w:val="auto"/>
          <w:sz w:val="24"/>
          <w:szCs w:val="24"/>
        </w:rPr>
        <w:t xml:space="preserve">项目编号：   </w:t>
      </w:r>
      <w:r>
        <w:rPr>
          <w:rFonts w:hint="eastAsia" w:cs="宋体"/>
          <w:bCs/>
          <w:color w:val="auto"/>
          <w:szCs w:val="24"/>
        </w:rPr>
        <w:t xml:space="preserve">                      </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3024"/>
        <w:gridCol w:w="170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12" w:type="pct"/>
            <w:vAlign w:val="center"/>
          </w:tcPr>
          <w:p>
            <w:pPr>
              <w:jc w:val="center"/>
              <w:rPr>
                <w:rFonts w:cs="宋体"/>
                <w:color w:val="auto"/>
                <w:szCs w:val="24"/>
              </w:rPr>
            </w:pPr>
            <w:r>
              <w:rPr>
                <w:rFonts w:hint="eastAsia" w:cs="宋体"/>
                <w:color w:val="auto"/>
                <w:szCs w:val="24"/>
              </w:rPr>
              <w:t>投标总报价</w:t>
            </w:r>
          </w:p>
          <w:p>
            <w:pPr>
              <w:jc w:val="center"/>
              <w:rPr>
                <w:rFonts w:cs="宋体"/>
                <w:color w:val="auto"/>
                <w:szCs w:val="24"/>
              </w:rPr>
            </w:pPr>
            <w:r>
              <w:rPr>
                <w:rFonts w:hint="eastAsia" w:cs="宋体"/>
                <w:color w:val="auto"/>
                <w:szCs w:val="24"/>
              </w:rPr>
              <w:t>（元）</w:t>
            </w:r>
          </w:p>
        </w:tc>
        <w:tc>
          <w:tcPr>
            <w:tcW w:w="1776" w:type="pct"/>
            <w:vAlign w:val="center"/>
          </w:tcPr>
          <w:p>
            <w:pPr>
              <w:jc w:val="center"/>
              <w:rPr>
                <w:rFonts w:cs="宋体"/>
                <w:color w:val="auto"/>
                <w:szCs w:val="24"/>
              </w:rPr>
            </w:pPr>
            <w:r>
              <w:rPr>
                <w:rFonts w:hint="eastAsia" w:cs="宋体"/>
                <w:color w:val="auto"/>
                <w:szCs w:val="24"/>
              </w:rPr>
              <w:t xml:space="preserve"> 服务期限</w:t>
            </w:r>
          </w:p>
          <w:p>
            <w:pPr>
              <w:jc w:val="center"/>
              <w:rPr>
                <w:rFonts w:cs="宋体"/>
                <w:color w:val="auto"/>
                <w:szCs w:val="24"/>
              </w:rPr>
            </w:pPr>
          </w:p>
        </w:tc>
        <w:tc>
          <w:tcPr>
            <w:tcW w:w="1003" w:type="pct"/>
            <w:vAlign w:val="center"/>
          </w:tcPr>
          <w:p>
            <w:pPr>
              <w:jc w:val="center"/>
              <w:rPr>
                <w:rFonts w:cs="宋体"/>
                <w:color w:val="auto"/>
                <w:szCs w:val="24"/>
              </w:rPr>
            </w:pPr>
            <w:r>
              <w:rPr>
                <w:rFonts w:hint="eastAsia" w:cs="宋体"/>
                <w:color w:val="auto"/>
                <w:szCs w:val="24"/>
              </w:rPr>
              <w:t>保证金/保函</w:t>
            </w:r>
          </w:p>
          <w:p>
            <w:pPr>
              <w:jc w:val="center"/>
              <w:rPr>
                <w:rFonts w:cs="宋体"/>
                <w:color w:val="auto"/>
                <w:szCs w:val="24"/>
              </w:rPr>
            </w:pPr>
            <w:r>
              <w:rPr>
                <w:rFonts w:hint="eastAsia" w:cs="宋体"/>
                <w:color w:val="auto"/>
                <w:szCs w:val="24"/>
              </w:rPr>
              <w:t>（有/无）</w:t>
            </w:r>
          </w:p>
        </w:tc>
        <w:tc>
          <w:tcPr>
            <w:tcW w:w="1007" w:type="pct"/>
            <w:vAlign w:val="center"/>
          </w:tcPr>
          <w:p>
            <w:pPr>
              <w:jc w:val="center"/>
              <w:rPr>
                <w:rFonts w:cs="宋体"/>
                <w:color w:val="auto"/>
                <w:szCs w:val="24"/>
              </w:rPr>
            </w:pPr>
            <w:r>
              <w:rPr>
                <w:rFonts w:hint="eastAsia" w:cs="宋体"/>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12" w:type="pct"/>
            <w:vAlign w:val="center"/>
          </w:tcPr>
          <w:p>
            <w:pPr>
              <w:jc w:val="center"/>
              <w:rPr>
                <w:rFonts w:cs="宋体"/>
                <w:color w:val="auto"/>
                <w:szCs w:val="24"/>
              </w:rPr>
            </w:pPr>
          </w:p>
        </w:tc>
        <w:tc>
          <w:tcPr>
            <w:tcW w:w="1776" w:type="pct"/>
            <w:vAlign w:val="center"/>
          </w:tcPr>
          <w:p>
            <w:pPr>
              <w:jc w:val="center"/>
              <w:rPr>
                <w:rFonts w:cs="宋体"/>
                <w:color w:val="auto"/>
                <w:szCs w:val="24"/>
              </w:rPr>
            </w:pPr>
          </w:p>
        </w:tc>
        <w:tc>
          <w:tcPr>
            <w:tcW w:w="1003" w:type="pct"/>
            <w:vAlign w:val="center"/>
          </w:tcPr>
          <w:p>
            <w:pPr>
              <w:jc w:val="center"/>
              <w:rPr>
                <w:rFonts w:cs="宋体"/>
                <w:color w:val="auto"/>
                <w:szCs w:val="24"/>
              </w:rPr>
            </w:pPr>
          </w:p>
        </w:tc>
        <w:tc>
          <w:tcPr>
            <w:tcW w:w="1007" w:type="pct"/>
            <w:vAlign w:val="center"/>
          </w:tcPr>
          <w:p>
            <w:pPr>
              <w:jc w:val="center"/>
              <w:rPr>
                <w:rFonts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000" w:type="pct"/>
            <w:gridSpan w:val="4"/>
            <w:vAlign w:val="center"/>
          </w:tcPr>
          <w:p>
            <w:pPr>
              <w:rPr>
                <w:rFonts w:cs="宋体"/>
                <w:color w:val="auto"/>
                <w:szCs w:val="24"/>
              </w:rPr>
            </w:pPr>
            <w:r>
              <w:rPr>
                <w:rFonts w:hint="eastAsia" w:cs="宋体"/>
                <w:color w:val="auto"/>
                <w:szCs w:val="24"/>
              </w:rPr>
              <w:t xml:space="preserve">投标总报价（大写）：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000" w:type="pct"/>
            <w:gridSpan w:val="4"/>
            <w:vAlign w:val="center"/>
          </w:tcPr>
          <w:p>
            <w:pPr>
              <w:rPr>
                <w:rFonts w:cs="宋体"/>
                <w:color w:val="auto"/>
                <w:szCs w:val="24"/>
              </w:rPr>
            </w:pPr>
            <w:r>
              <w:rPr>
                <w:rFonts w:hint="eastAsia" w:cs="宋体"/>
                <w:color w:val="auto"/>
                <w:szCs w:val="24"/>
              </w:rPr>
              <w:t>备注：表内报价内容以元为单位，保留小数点后两位。</w:t>
            </w:r>
          </w:p>
        </w:tc>
      </w:tr>
    </w:tbl>
    <w:p>
      <w:pPr>
        <w:tabs>
          <w:tab w:val="left" w:pos="7200"/>
          <w:tab w:val="left" w:pos="8504"/>
        </w:tabs>
        <w:spacing w:line="360" w:lineRule="auto"/>
        <w:ind w:right="-1"/>
        <w:rPr>
          <w:rFonts w:cs="宋体"/>
          <w:color w:val="auto"/>
        </w:rPr>
      </w:pPr>
    </w:p>
    <w:p>
      <w:pPr>
        <w:spacing w:line="120" w:lineRule="exact"/>
        <w:rPr>
          <w:rFonts w:cs="宋体"/>
          <w:color w:val="auto"/>
        </w:rPr>
      </w:pPr>
    </w:p>
    <w:p>
      <w:pPr>
        <w:spacing w:line="480" w:lineRule="auto"/>
        <w:ind w:right="540" w:rightChars="257"/>
        <w:jc w:val="left"/>
        <w:rPr>
          <w:rFonts w:cs="宋体"/>
          <w:color w:val="auto"/>
        </w:rPr>
      </w:pPr>
    </w:p>
    <w:p>
      <w:pPr>
        <w:spacing w:line="480" w:lineRule="auto"/>
        <w:ind w:right="540" w:rightChars="257"/>
        <w:jc w:val="left"/>
        <w:rPr>
          <w:rFonts w:cs="宋体"/>
          <w:color w:val="auto"/>
        </w:rPr>
      </w:pPr>
    </w:p>
    <w:p>
      <w:pPr>
        <w:spacing w:line="480" w:lineRule="auto"/>
        <w:ind w:right="540" w:rightChars="257"/>
        <w:jc w:val="left"/>
        <w:rPr>
          <w:rFonts w:cs="宋体"/>
          <w:color w:val="auto"/>
        </w:rPr>
      </w:pPr>
      <w:r>
        <w:rPr>
          <w:rFonts w:hint="eastAsia" w:cs="宋体"/>
          <w:color w:val="auto"/>
        </w:rPr>
        <w:t>供应商名称：</w:t>
      </w:r>
      <w:r>
        <w:rPr>
          <w:rFonts w:hint="eastAsia" w:cs="宋体"/>
          <w:color w:val="auto"/>
          <w:spacing w:val="4"/>
          <w:u w:val="single"/>
        </w:rPr>
        <w:t xml:space="preserve">                   </w:t>
      </w:r>
      <w:r>
        <w:rPr>
          <w:rFonts w:hint="eastAsia" w:cs="宋体"/>
          <w:color w:val="auto"/>
          <w:spacing w:val="4"/>
        </w:rPr>
        <w:t>（盖单位公章）</w:t>
      </w:r>
    </w:p>
    <w:p>
      <w:pPr>
        <w:spacing w:line="480" w:lineRule="auto"/>
        <w:ind w:right="540" w:rightChars="257"/>
        <w:jc w:val="left"/>
        <w:rPr>
          <w:rFonts w:cs="宋体"/>
          <w:color w:val="auto"/>
        </w:rPr>
      </w:pPr>
    </w:p>
    <w:p>
      <w:pPr>
        <w:spacing w:line="500" w:lineRule="exact"/>
        <w:jc w:val="left"/>
        <w:rPr>
          <w:rFonts w:cs="宋体"/>
          <w:color w:val="auto"/>
          <w:spacing w:val="4"/>
        </w:rPr>
      </w:pPr>
      <w:r>
        <w:rPr>
          <w:rFonts w:hint="eastAsia" w:cs="宋体"/>
          <w:color w:val="auto"/>
          <w:spacing w:val="4"/>
        </w:rPr>
        <w:t>法定代表人或被授权人：</w:t>
      </w:r>
      <w:r>
        <w:rPr>
          <w:rFonts w:hint="eastAsia" w:cs="宋体"/>
          <w:color w:val="auto"/>
          <w:spacing w:val="4"/>
          <w:u w:val="single"/>
        </w:rPr>
        <w:t xml:space="preserve">       </w:t>
      </w:r>
      <w:r>
        <w:rPr>
          <w:rFonts w:hint="eastAsia" w:cs="宋体"/>
          <w:color w:val="auto"/>
          <w:spacing w:val="4"/>
        </w:rPr>
        <w:t>（签字或盖章）</w:t>
      </w:r>
    </w:p>
    <w:p>
      <w:pPr>
        <w:spacing w:line="480" w:lineRule="auto"/>
        <w:ind w:right="540" w:rightChars="257"/>
        <w:jc w:val="left"/>
        <w:rPr>
          <w:rFonts w:cs="宋体"/>
          <w:color w:val="auto"/>
        </w:rPr>
      </w:pPr>
    </w:p>
    <w:p>
      <w:pPr>
        <w:spacing w:line="480" w:lineRule="auto"/>
        <w:ind w:right="540" w:rightChars="257"/>
        <w:rPr>
          <w:rFonts w:cs="宋体"/>
          <w:color w:val="auto"/>
        </w:rPr>
      </w:pPr>
      <w:r>
        <w:rPr>
          <w:rFonts w:hint="eastAsia" w:cs="宋体"/>
          <w:color w:val="auto"/>
        </w:rPr>
        <w:t>日    期：      年     月    日</w:t>
      </w:r>
    </w:p>
    <w:p>
      <w:pPr>
        <w:spacing w:before="120" w:beforeLines="50" w:after="120" w:afterLines="50" w:line="480" w:lineRule="auto"/>
        <w:rPr>
          <w:rFonts w:cs="宋体"/>
          <w:color w:val="auto"/>
          <w:szCs w:val="21"/>
          <w:u w:val="single"/>
        </w:rPr>
      </w:pPr>
      <w:r>
        <w:rPr>
          <w:rFonts w:hint="eastAsia" w:cs="宋体"/>
          <w:color w:val="auto"/>
        </w:rPr>
        <w:t>注：本表应按“供应商须知”的规定密封单独提交。</w:t>
      </w:r>
    </w:p>
    <w:p>
      <w:pPr>
        <w:rPr>
          <w:rFonts w:cs="宋体"/>
          <w:color w:val="auto"/>
        </w:rPr>
      </w:pPr>
      <w:r>
        <w:rPr>
          <w:rFonts w:hint="eastAsia" w:cs="宋体"/>
          <w:color w:val="auto"/>
        </w:rPr>
        <w:br w:type="page"/>
      </w:r>
    </w:p>
    <w:p>
      <w:pPr>
        <w:jc w:val="center"/>
        <w:rPr>
          <w:rFonts w:cs="宋体"/>
          <w:color w:val="auto"/>
        </w:rPr>
      </w:pPr>
      <w:r>
        <w:rPr>
          <w:rFonts w:hint="eastAsia" w:cs="宋体"/>
          <w:b/>
          <w:color w:val="auto"/>
          <w:sz w:val="30"/>
          <w:szCs w:val="30"/>
        </w:rPr>
        <w:t>2.2投标分项报价表</w:t>
      </w:r>
      <w:r>
        <w:rPr>
          <w:rFonts w:hint="eastAsia" w:cs="宋体"/>
          <w:color w:val="auto"/>
        </w:rPr>
        <w:t xml:space="preserve">      </w:t>
      </w:r>
    </w:p>
    <w:p>
      <w:pPr>
        <w:rPr>
          <w:rFonts w:cs="宋体"/>
          <w:color w:val="auto"/>
          <w:sz w:val="24"/>
          <w:szCs w:val="24"/>
        </w:rPr>
      </w:pPr>
      <w:r>
        <w:rPr>
          <w:rFonts w:hint="eastAsia" w:cs="宋体"/>
          <w:bCs/>
          <w:color w:val="auto"/>
          <w:szCs w:val="24"/>
        </w:rPr>
        <w:t xml:space="preserve">  </w:t>
      </w:r>
    </w:p>
    <w:p>
      <w:pPr>
        <w:jc w:val="left"/>
        <w:rPr>
          <w:rFonts w:cs="宋体"/>
          <w:bCs/>
          <w:color w:val="auto"/>
          <w:sz w:val="24"/>
          <w:szCs w:val="24"/>
        </w:rPr>
      </w:pPr>
      <w:r>
        <w:rPr>
          <w:rFonts w:hint="eastAsia" w:cs="宋体"/>
          <w:bCs/>
          <w:color w:val="auto"/>
          <w:sz w:val="24"/>
          <w:szCs w:val="24"/>
        </w:rPr>
        <w:t>项目名称：</w:t>
      </w:r>
    </w:p>
    <w:p>
      <w:pPr>
        <w:jc w:val="left"/>
        <w:rPr>
          <w:rFonts w:cs="宋体"/>
          <w:bCs/>
          <w:color w:val="auto"/>
          <w:szCs w:val="24"/>
        </w:rPr>
      </w:pPr>
      <w:r>
        <w:rPr>
          <w:rFonts w:hint="eastAsia" w:cs="宋体"/>
          <w:bCs/>
          <w:color w:val="auto"/>
          <w:sz w:val="24"/>
          <w:szCs w:val="24"/>
        </w:rPr>
        <w:t xml:space="preserve">项目编号： </w:t>
      </w:r>
      <w:r>
        <w:rPr>
          <w:rFonts w:hint="eastAsia" w:cs="宋体"/>
          <w:bCs/>
          <w:color w:val="auto"/>
          <w:szCs w:val="24"/>
        </w:rPr>
        <w:t xml:space="preserve">          </w:t>
      </w:r>
    </w:p>
    <w:tbl>
      <w:tblPr>
        <w:tblStyle w:val="29"/>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37"/>
        <w:gridCol w:w="1215"/>
        <w:gridCol w:w="923"/>
        <w:gridCol w:w="1506"/>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color w:val="auto"/>
              </w:rPr>
            </w:pPr>
            <w:r>
              <w:rPr>
                <w:rFonts w:hint="eastAsia" w:cs="宋体"/>
                <w:color w:val="auto"/>
              </w:rPr>
              <w:t>序号</w:t>
            </w:r>
          </w:p>
        </w:tc>
        <w:tc>
          <w:tcPr>
            <w:tcW w:w="1537" w:type="dxa"/>
            <w:vAlign w:val="center"/>
          </w:tcPr>
          <w:p>
            <w:pPr>
              <w:jc w:val="center"/>
              <w:rPr>
                <w:rFonts w:cs="宋体"/>
                <w:color w:val="auto"/>
              </w:rPr>
            </w:pPr>
            <w:r>
              <w:rPr>
                <w:rFonts w:hint="eastAsia" w:cs="宋体"/>
                <w:color w:val="auto"/>
              </w:rPr>
              <w:t>名称</w:t>
            </w:r>
          </w:p>
        </w:tc>
        <w:tc>
          <w:tcPr>
            <w:tcW w:w="1215" w:type="dxa"/>
            <w:vAlign w:val="center"/>
          </w:tcPr>
          <w:p>
            <w:pPr>
              <w:jc w:val="center"/>
              <w:rPr>
                <w:rFonts w:cs="宋体"/>
                <w:color w:val="auto"/>
              </w:rPr>
            </w:pPr>
            <w:r>
              <w:rPr>
                <w:rFonts w:hint="eastAsia" w:cs="宋体"/>
                <w:color w:val="auto"/>
              </w:rPr>
              <w:t>数量</w:t>
            </w:r>
          </w:p>
        </w:tc>
        <w:tc>
          <w:tcPr>
            <w:tcW w:w="923" w:type="dxa"/>
            <w:vAlign w:val="center"/>
          </w:tcPr>
          <w:p>
            <w:pPr>
              <w:jc w:val="center"/>
              <w:rPr>
                <w:rFonts w:cs="宋体"/>
                <w:color w:val="auto"/>
              </w:rPr>
            </w:pPr>
            <w:r>
              <w:rPr>
                <w:rFonts w:hint="eastAsia" w:cs="宋体"/>
                <w:color w:val="auto"/>
              </w:rPr>
              <w:t>单位</w:t>
            </w:r>
          </w:p>
        </w:tc>
        <w:tc>
          <w:tcPr>
            <w:tcW w:w="1506" w:type="dxa"/>
            <w:vAlign w:val="center"/>
          </w:tcPr>
          <w:p>
            <w:pPr>
              <w:jc w:val="center"/>
              <w:rPr>
                <w:rFonts w:cs="宋体"/>
                <w:color w:val="auto"/>
              </w:rPr>
            </w:pPr>
            <w:r>
              <w:rPr>
                <w:rFonts w:hint="eastAsia" w:cs="宋体"/>
                <w:color w:val="auto"/>
              </w:rPr>
              <w:t>单价</w:t>
            </w:r>
          </w:p>
          <w:p>
            <w:pPr>
              <w:jc w:val="center"/>
              <w:rPr>
                <w:rFonts w:cs="宋体"/>
                <w:color w:val="auto"/>
              </w:rPr>
            </w:pPr>
            <w:r>
              <w:rPr>
                <w:rFonts w:hint="eastAsia" w:cs="宋体"/>
                <w:color w:val="auto"/>
              </w:rPr>
              <w:t>（元）</w:t>
            </w:r>
          </w:p>
        </w:tc>
        <w:tc>
          <w:tcPr>
            <w:tcW w:w="1215" w:type="dxa"/>
            <w:vAlign w:val="center"/>
          </w:tcPr>
          <w:p>
            <w:pPr>
              <w:jc w:val="center"/>
              <w:rPr>
                <w:rFonts w:cs="宋体"/>
                <w:color w:val="auto"/>
              </w:rPr>
            </w:pPr>
            <w:r>
              <w:rPr>
                <w:rFonts w:hint="eastAsia" w:cs="宋体"/>
                <w:color w:val="auto"/>
              </w:rPr>
              <w:t>总价</w:t>
            </w:r>
          </w:p>
          <w:p>
            <w:pPr>
              <w:jc w:val="center"/>
              <w:rPr>
                <w:rFonts w:cs="宋体"/>
                <w:color w:val="auto"/>
              </w:rPr>
            </w:pPr>
            <w:r>
              <w:rPr>
                <w:rFonts w:hint="eastAsia" w:cs="宋体"/>
                <w:color w:val="auto"/>
              </w:rPr>
              <w:t>（元）</w:t>
            </w:r>
          </w:p>
        </w:tc>
        <w:tc>
          <w:tcPr>
            <w:tcW w:w="1215" w:type="dxa"/>
            <w:vAlign w:val="center"/>
          </w:tcPr>
          <w:p>
            <w:pPr>
              <w:jc w:val="center"/>
              <w:rPr>
                <w:rFonts w:cs="宋体"/>
                <w:color w:val="auto"/>
              </w:rPr>
            </w:pPr>
            <w:r>
              <w:rPr>
                <w:rFonts w:hint="eastAsia"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color w:val="auto"/>
              </w:rPr>
            </w:pPr>
            <w:r>
              <w:rPr>
                <w:rFonts w:hint="eastAsia" w:cs="宋体"/>
                <w:color w:val="auto"/>
              </w:rPr>
              <w:t>1</w:t>
            </w:r>
          </w:p>
        </w:tc>
        <w:tc>
          <w:tcPr>
            <w:tcW w:w="1537" w:type="dxa"/>
            <w:vAlign w:val="center"/>
          </w:tcPr>
          <w:p>
            <w:pPr>
              <w:jc w:val="center"/>
              <w:rPr>
                <w:rFonts w:cs="宋体"/>
                <w:color w:val="auto"/>
              </w:rPr>
            </w:pPr>
            <w:r>
              <w:rPr>
                <w:rFonts w:hint="eastAsia" w:cs="宋体"/>
                <w:color w:val="auto"/>
              </w:rPr>
              <w:t xml:space="preserve">     </w:t>
            </w:r>
          </w:p>
        </w:tc>
        <w:tc>
          <w:tcPr>
            <w:tcW w:w="1215" w:type="dxa"/>
            <w:vAlign w:val="center"/>
          </w:tcPr>
          <w:p>
            <w:pPr>
              <w:jc w:val="center"/>
              <w:rPr>
                <w:rFonts w:cs="宋体"/>
                <w:color w:val="auto"/>
              </w:rPr>
            </w:pPr>
          </w:p>
        </w:tc>
        <w:tc>
          <w:tcPr>
            <w:tcW w:w="923" w:type="dxa"/>
            <w:vAlign w:val="center"/>
          </w:tcPr>
          <w:p>
            <w:pPr>
              <w:jc w:val="center"/>
              <w:rPr>
                <w:rFonts w:cs="宋体"/>
                <w:color w:val="auto"/>
              </w:rPr>
            </w:pPr>
          </w:p>
        </w:tc>
        <w:tc>
          <w:tcPr>
            <w:tcW w:w="1506" w:type="dxa"/>
            <w:vAlign w:val="center"/>
          </w:tcPr>
          <w:p>
            <w:pPr>
              <w:jc w:val="center"/>
              <w:rPr>
                <w:rFonts w:cs="宋体"/>
                <w:color w:val="auto"/>
              </w:rPr>
            </w:pPr>
          </w:p>
        </w:tc>
        <w:tc>
          <w:tcPr>
            <w:tcW w:w="1215" w:type="dxa"/>
            <w:vAlign w:val="center"/>
          </w:tcPr>
          <w:p>
            <w:pPr>
              <w:jc w:val="center"/>
              <w:rPr>
                <w:rFonts w:cs="宋体"/>
                <w:color w:val="auto"/>
              </w:rPr>
            </w:pPr>
          </w:p>
        </w:tc>
        <w:tc>
          <w:tcPr>
            <w:tcW w:w="1215" w:type="dxa"/>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color w:val="auto"/>
              </w:rPr>
            </w:pPr>
            <w:r>
              <w:rPr>
                <w:rFonts w:hint="eastAsia" w:cs="宋体"/>
                <w:color w:val="auto"/>
              </w:rPr>
              <w:t>2</w:t>
            </w:r>
          </w:p>
        </w:tc>
        <w:tc>
          <w:tcPr>
            <w:tcW w:w="1537" w:type="dxa"/>
            <w:vAlign w:val="center"/>
          </w:tcPr>
          <w:p>
            <w:pPr>
              <w:jc w:val="center"/>
              <w:rPr>
                <w:rFonts w:cs="宋体"/>
                <w:color w:val="auto"/>
              </w:rPr>
            </w:pPr>
          </w:p>
        </w:tc>
        <w:tc>
          <w:tcPr>
            <w:tcW w:w="1215" w:type="dxa"/>
            <w:vAlign w:val="center"/>
          </w:tcPr>
          <w:p>
            <w:pPr>
              <w:jc w:val="center"/>
              <w:rPr>
                <w:rFonts w:cs="宋体"/>
                <w:color w:val="auto"/>
              </w:rPr>
            </w:pPr>
          </w:p>
        </w:tc>
        <w:tc>
          <w:tcPr>
            <w:tcW w:w="923" w:type="dxa"/>
            <w:vAlign w:val="center"/>
          </w:tcPr>
          <w:p>
            <w:pPr>
              <w:jc w:val="center"/>
              <w:rPr>
                <w:rFonts w:cs="宋体"/>
                <w:color w:val="auto"/>
              </w:rPr>
            </w:pPr>
          </w:p>
        </w:tc>
        <w:tc>
          <w:tcPr>
            <w:tcW w:w="1506" w:type="dxa"/>
            <w:vAlign w:val="center"/>
          </w:tcPr>
          <w:p>
            <w:pPr>
              <w:jc w:val="center"/>
              <w:rPr>
                <w:rFonts w:cs="宋体"/>
                <w:color w:val="auto"/>
              </w:rPr>
            </w:pPr>
          </w:p>
        </w:tc>
        <w:tc>
          <w:tcPr>
            <w:tcW w:w="1215" w:type="dxa"/>
            <w:vAlign w:val="center"/>
          </w:tcPr>
          <w:p>
            <w:pPr>
              <w:jc w:val="center"/>
              <w:rPr>
                <w:rFonts w:cs="宋体"/>
                <w:color w:val="auto"/>
              </w:rPr>
            </w:pPr>
          </w:p>
        </w:tc>
        <w:tc>
          <w:tcPr>
            <w:tcW w:w="1215" w:type="dxa"/>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color w:val="auto"/>
              </w:rPr>
            </w:pPr>
            <w:r>
              <w:rPr>
                <w:rFonts w:hint="eastAsia" w:cs="宋体"/>
                <w:color w:val="auto"/>
              </w:rPr>
              <w:t>3</w:t>
            </w:r>
          </w:p>
        </w:tc>
        <w:tc>
          <w:tcPr>
            <w:tcW w:w="1537" w:type="dxa"/>
            <w:vAlign w:val="center"/>
          </w:tcPr>
          <w:p>
            <w:pPr>
              <w:jc w:val="center"/>
              <w:rPr>
                <w:rFonts w:cs="宋体"/>
                <w:color w:val="auto"/>
              </w:rPr>
            </w:pPr>
            <w:r>
              <w:rPr>
                <w:rFonts w:hint="eastAsia" w:cs="宋体"/>
                <w:color w:val="auto"/>
              </w:rPr>
              <w:t>......</w:t>
            </w:r>
          </w:p>
        </w:tc>
        <w:tc>
          <w:tcPr>
            <w:tcW w:w="1215" w:type="dxa"/>
            <w:vAlign w:val="center"/>
          </w:tcPr>
          <w:p>
            <w:pPr>
              <w:jc w:val="center"/>
              <w:rPr>
                <w:rFonts w:cs="宋体"/>
                <w:color w:val="auto"/>
              </w:rPr>
            </w:pPr>
          </w:p>
        </w:tc>
        <w:tc>
          <w:tcPr>
            <w:tcW w:w="923" w:type="dxa"/>
            <w:vAlign w:val="center"/>
          </w:tcPr>
          <w:p>
            <w:pPr>
              <w:jc w:val="center"/>
              <w:rPr>
                <w:rFonts w:cs="宋体"/>
                <w:color w:val="auto"/>
              </w:rPr>
            </w:pPr>
          </w:p>
        </w:tc>
        <w:tc>
          <w:tcPr>
            <w:tcW w:w="1506" w:type="dxa"/>
            <w:vAlign w:val="center"/>
          </w:tcPr>
          <w:p>
            <w:pPr>
              <w:jc w:val="center"/>
              <w:rPr>
                <w:rFonts w:cs="宋体"/>
                <w:color w:val="auto"/>
              </w:rPr>
            </w:pPr>
          </w:p>
        </w:tc>
        <w:tc>
          <w:tcPr>
            <w:tcW w:w="1215" w:type="dxa"/>
            <w:vAlign w:val="center"/>
          </w:tcPr>
          <w:p>
            <w:pPr>
              <w:jc w:val="center"/>
              <w:rPr>
                <w:rFonts w:cs="宋体"/>
                <w:color w:val="auto"/>
              </w:rPr>
            </w:pPr>
          </w:p>
        </w:tc>
        <w:tc>
          <w:tcPr>
            <w:tcW w:w="1215" w:type="dxa"/>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jc w:val="center"/>
              <w:rPr>
                <w:rFonts w:cs="宋体"/>
                <w:color w:val="auto"/>
              </w:rPr>
            </w:pPr>
            <w:r>
              <w:rPr>
                <w:rFonts w:hint="eastAsia" w:cs="宋体"/>
                <w:color w:val="auto"/>
              </w:rPr>
              <w:t>4</w:t>
            </w:r>
          </w:p>
        </w:tc>
        <w:tc>
          <w:tcPr>
            <w:tcW w:w="1537" w:type="dxa"/>
            <w:vAlign w:val="center"/>
          </w:tcPr>
          <w:p>
            <w:pPr>
              <w:jc w:val="center"/>
              <w:rPr>
                <w:rFonts w:cs="宋体"/>
                <w:color w:val="auto"/>
              </w:rPr>
            </w:pPr>
            <w:r>
              <w:rPr>
                <w:rFonts w:hint="eastAsia" w:cs="宋体"/>
                <w:color w:val="auto"/>
              </w:rPr>
              <w:t>......</w:t>
            </w:r>
          </w:p>
        </w:tc>
        <w:tc>
          <w:tcPr>
            <w:tcW w:w="6074" w:type="dxa"/>
            <w:gridSpan w:val="5"/>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jc w:val="center"/>
              <w:rPr>
                <w:rFonts w:cs="宋体"/>
                <w:color w:val="auto"/>
              </w:rPr>
            </w:pPr>
            <w:r>
              <w:rPr>
                <w:rFonts w:hint="eastAsia" w:cs="宋体"/>
                <w:color w:val="auto"/>
              </w:rPr>
              <w:t>5</w:t>
            </w:r>
          </w:p>
        </w:tc>
        <w:tc>
          <w:tcPr>
            <w:tcW w:w="1537" w:type="dxa"/>
            <w:vAlign w:val="center"/>
          </w:tcPr>
          <w:p>
            <w:pPr>
              <w:jc w:val="center"/>
              <w:rPr>
                <w:rFonts w:cs="宋体"/>
                <w:color w:val="auto"/>
              </w:rPr>
            </w:pPr>
            <w:r>
              <w:rPr>
                <w:rFonts w:hint="eastAsia" w:cs="宋体"/>
                <w:color w:val="auto"/>
              </w:rPr>
              <w:t xml:space="preserve">...... </w:t>
            </w:r>
          </w:p>
        </w:tc>
        <w:tc>
          <w:tcPr>
            <w:tcW w:w="6074" w:type="dxa"/>
            <w:gridSpan w:val="5"/>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jc w:val="center"/>
              <w:rPr>
                <w:rFonts w:cs="宋体"/>
                <w:color w:val="auto"/>
              </w:rPr>
            </w:pPr>
            <w:r>
              <w:rPr>
                <w:rFonts w:hint="eastAsia" w:cs="宋体"/>
                <w:color w:val="auto"/>
              </w:rPr>
              <w:t>6</w:t>
            </w:r>
          </w:p>
        </w:tc>
        <w:tc>
          <w:tcPr>
            <w:tcW w:w="1537" w:type="dxa"/>
            <w:vAlign w:val="center"/>
          </w:tcPr>
          <w:p>
            <w:pPr>
              <w:jc w:val="center"/>
              <w:rPr>
                <w:rFonts w:cs="宋体"/>
                <w:color w:val="auto"/>
              </w:rPr>
            </w:pPr>
            <w:r>
              <w:rPr>
                <w:rFonts w:hint="eastAsia" w:cs="宋体"/>
                <w:color w:val="auto"/>
              </w:rPr>
              <w:t>合计</w:t>
            </w:r>
          </w:p>
        </w:tc>
        <w:tc>
          <w:tcPr>
            <w:tcW w:w="6074" w:type="dxa"/>
            <w:gridSpan w:val="5"/>
            <w:vAlign w:val="center"/>
          </w:tcPr>
          <w:p>
            <w:pPr>
              <w:rPr>
                <w:rFonts w:cs="宋体"/>
                <w:color w:val="auto"/>
              </w:rPr>
            </w:pPr>
            <w:r>
              <w:rPr>
                <w:rFonts w:hint="eastAsia" w:cs="宋体"/>
                <w:color w:val="auto"/>
              </w:rPr>
              <w:t>人民币（大写）：                          小写（￥</w:t>
            </w:r>
            <w:r>
              <w:rPr>
                <w:rFonts w:hint="eastAsia" w:cs="宋体"/>
                <w:color w:val="auto"/>
                <w:u w:val="single"/>
              </w:rPr>
              <w:t xml:space="preserve">     </w:t>
            </w:r>
            <w:r>
              <w:rPr>
                <w:rFonts w:hint="eastAsia"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430" w:type="dxa"/>
            <w:gridSpan w:val="2"/>
            <w:vAlign w:val="center"/>
          </w:tcPr>
          <w:p>
            <w:pPr>
              <w:jc w:val="center"/>
              <w:rPr>
                <w:rFonts w:cs="宋体"/>
                <w:color w:val="auto"/>
              </w:rPr>
            </w:pPr>
            <w:r>
              <w:rPr>
                <w:rFonts w:hint="eastAsia" w:cs="宋体"/>
                <w:color w:val="auto"/>
              </w:rPr>
              <w:t>备注</w:t>
            </w:r>
          </w:p>
        </w:tc>
        <w:tc>
          <w:tcPr>
            <w:tcW w:w="6074" w:type="dxa"/>
            <w:gridSpan w:val="5"/>
            <w:vAlign w:val="center"/>
          </w:tcPr>
          <w:p>
            <w:pPr>
              <w:rPr>
                <w:rFonts w:cs="宋体"/>
                <w:color w:val="auto"/>
              </w:rPr>
            </w:pPr>
            <w:r>
              <w:rPr>
                <w:rFonts w:hint="eastAsia" w:cs="宋体"/>
                <w:color w:val="auto"/>
              </w:rPr>
              <w:t>表内报价内容以元为单位，保留小数点后两位。</w:t>
            </w:r>
          </w:p>
        </w:tc>
      </w:tr>
    </w:tbl>
    <w:p>
      <w:pPr>
        <w:jc w:val="center"/>
        <w:rPr>
          <w:rFonts w:cs="宋体"/>
          <w:color w:val="auto"/>
        </w:rPr>
      </w:pPr>
    </w:p>
    <w:p>
      <w:pPr>
        <w:rPr>
          <w:rFonts w:cs="宋体"/>
          <w:color w:val="auto"/>
        </w:rPr>
      </w:pPr>
    </w:p>
    <w:p>
      <w:pPr>
        <w:spacing w:line="720" w:lineRule="auto"/>
        <w:ind w:firstLine="420" w:firstLineChars="200"/>
        <w:jc w:val="left"/>
        <w:rPr>
          <w:rFonts w:cs="宋体"/>
          <w:color w:val="auto"/>
          <w:u w:val="single"/>
        </w:rPr>
      </w:pPr>
      <w:r>
        <w:rPr>
          <w:rFonts w:hint="eastAsia" w:cs="宋体"/>
          <w:color w:val="auto"/>
        </w:rPr>
        <w:t>供应商名称：</w:t>
      </w:r>
      <w:r>
        <w:rPr>
          <w:rFonts w:hint="eastAsia" w:cs="宋体"/>
          <w:color w:val="auto"/>
          <w:u w:val="single"/>
        </w:rPr>
        <w:t xml:space="preserve">                        </w:t>
      </w:r>
      <w:r>
        <w:rPr>
          <w:rFonts w:hint="eastAsia" w:cs="宋体"/>
          <w:color w:val="auto"/>
        </w:rPr>
        <w:t>（盖单位公章）</w:t>
      </w:r>
    </w:p>
    <w:p>
      <w:pPr>
        <w:spacing w:line="720" w:lineRule="auto"/>
        <w:ind w:firstLine="436" w:firstLineChars="200"/>
        <w:jc w:val="left"/>
        <w:rPr>
          <w:rFonts w:cs="宋体"/>
          <w:color w:val="auto"/>
          <w:spacing w:val="4"/>
        </w:rPr>
      </w:pPr>
      <w:r>
        <w:rPr>
          <w:rFonts w:hint="eastAsia" w:cs="宋体"/>
          <w:color w:val="auto"/>
          <w:spacing w:val="4"/>
        </w:rPr>
        <w:t>法定代表人或被授权人：</w:t>
      </w:r>
      <w:r>
        <w:rPr>
          <w:rFonts w:hint="eastAsia" w:cs="宋体"/>
          <w:color w:val="auto"/>
          <w:spacing w:val="4"/>
          <w:u w:val="single"/>
        </w:rPr>
        <w:t xml:space="preserve">            </w:t>
      </w:r>
      <w:r>
        <w:rPr>
          <w:rFonts w:hint="eastAsia" w:cs="宋体"/>
          <w:color w:val="auto"/>
          <w:spacing w:val="4"/>
        </w:rPr>
        <w:t>（签字或盖章）</w:t>
      </w:r>
    </w:p>
    <w:p>
      <w:pPr>
        <w:spacing w:line="720" w:lineRule="auto"/>
        <w:ind w:firstLine="420" w:firstLineChars="200"/>
        <w:rPr>
          <w:rFonts w:cs="宋体"/>
          <w:color w:val="auto"/>
        </w:rPr>
      </w:pPr>
      <w:r>
        <w:rPr>
          <w:rFonts w:hint="eastAsia" w:cs="宋体"/>
          <w:color w:val="auto"/>
        </w:rPr>
        <w:t>日    期：      年   月    日</w:t>
      </w:r>
    </w:p>
    <w:p>
      <w:pPr>
        <w:spacing w:line="560" w:lineRule="exact"/>
        <w:rPr>
          <w:rFonts w:cs="宋体"/>
          <w:color w:val="auto"/>
        </w:rPr>
      </w:pPr>
      <w:r>
        <w:rPr>
          <w:rFonts w:hint="eastAsia" w:cs="宋体"/>
          <w:color w:val="auto"/>
        </w:rPr>
        <w:t>注：1.如果按单价计算的结果与总价不一致，以单价为准修正总价。</w:t>
      </w:r>
    </w:p>
    <w:p>
      <w:pPr>
        <w:spacing w:line="560" w:lineRule="exact"/>
        <w:ind w:firstLine="420" w:firstLineChars="200"/>
        <w:rPr>
          <w:rFonts w:cs="宋体"/>
          <w:color w:val="auto"/>
        </w:rPr>
      </w:pPr>
      <w:r>
        <w:rPr>
          <w:rFonts w:hint="eastAsia" w:cs="宋体"/>
          <w:color w:val="auto"/>
        </w:rPr>
        <w:t>2.如果不提供详细分项报价将视为没有实质性响应招标文件。</w:t>
      </w:r>
    </w:p>
    <w:p>
      <w:pPr>
        <w:spacing w:line="560" w:lineRule="exact"/>
        <w:ind w:firstLine="420" w:firstLineChars="200"/>
        <w:rPr>
          <w:rFonts w:cs="宋体"/>
          <w:color w:val="auto"/>
        </w:rPr>
      </w:pPr>
      <w:r>
        <w:rPr>
          <w:rFonts w:hint="eastAsia" w:cs="宋体"/>
          <w:bCs/>
          <w:color w:val="auto"/>
        </w:rPr>
        <w:t>3.供应商可适当调整该表格式，但不得减少信息内容。</w:t>
      </w:r>
    </w:p>
    <w:p>
      <w:pPr>
        <w:pStyle w:val="6"/>
        <w:rPr>
          <w:rFonts w:ascii="宋体" w:hAnsi="宋体" w:cs="宋体"/>
          <w:color w:val="auto"/>
        </w:rPr>
      </w:pPr>
      <w:r>
        <w:rPr>
          <w:rFonts w:hint="eastAsia" w:ascii="宋体" w:hAnsi="宋体" w:cs="宋体"/>
          <w:color w:val="auto"/>
          <w:sz w:val="32"/>
        </w:rPr>
        <w:br w:type="page"/>
      </w:r>
      <w:bookmarkStart w:id="206" w:name="_Toc31326"/>
      <w:bookmarkStart w:id="207" w:name="_Toc19152"/>
      <w:bookmarkStart w:id="208" w:name="_Toc12533"/>
      <w:bookmarkStart w:id="209" w:name="_Toc7417"/>
      <w:bookmarkStart w:id="210" w:name="_Toc4085"/>
      <w:bookmarkStart w:id="211" w:name="_Toc8367"/>
      <w:bookmarkStart w:id="212" w:name="_Toc14384"/>
      <w:bookmarkStart w:id="213" w:name="_Toc609"/>
      <w:bookmarkStart w:id="214" w:name="_Toc1225"/>
      <w:r>
        <w:rPr>
          <w:rFonts w:hint="eastAsia" w:ascii="宋体" w:hAnsi="宋体" w:cs="宋体"/>
          <w:color w:val="auto"/>
        </w:rPr>
        <w:t>三、投标方案说明书</w:t>
      </w:r>
      <w:bookmarkEnd w:id="206"/>
      <w:bookmarkEnd w:id="207"/>
      <w:bookmarkEnd w:id="208"/>
      <w:bookmarkEnd w:id="209"/>
      <w:bookmarkEnd w:id="210"/>
      <w:bookmarkEnd w:id="211"/>
      <w:bookmarkEnd w:id="212"/>
      <w:bookmarkEnd w:id="213"/>
      <w:bookmarkEnd w:id="214"/>
    </w:p>
    <w:p>
      <w:pPr>
        <w:spacing w:before="120" w:beforeLines="50" w:line="360" w:lineRule="auto"/>
        <w:ind w:firstLine="480" w:firstLineChars="200"/>
        <w:rPr>
          <w:rFonts w:cs="宋体"/>
          <w:color w:val="auto"/>
          <w:sz w:val="24"/>
          <w:szCs w:val="24"/>
        </w:rPr>
      </w:pPr>
      <w:r>
        <w:rPr>
          <w:rFonts w:hint="eastAsia" w:cs="宋体"/>
          <w:color w:val="auto"/>
          <w:sz w:val="24"/>
          <w:szCs w:val="24"/>
        </w:rPr>
        <w:t>投标人按招标文件的要求，依据第五章评标方法附件2“评标因素及权重分值表”相关内容编写，格式自拟，评标因素及权重分值表要求内容，在投标方案说明书中需逐项对应编制。</w:t>
      </w:r>
    </w:p>
    <w:p>
      <w:pPr>
        <w:pStyle w:val="22"/>
        <w:rPr>
          <w:rFonts w:cs="宋体"/>
          <w:color w:val="auto"/>
          <w:szCs w:val="24"/>
        </w:rPr>
      </w:pPr>
      <w:r>
        <w:rPr>
          <w:rFonts w:hint="eastAsia" w:cs="宋体"/>
          <w:color w:val="auto"/>
          <w:szCs w:val="24"/>
        </w:rPr>
        <w:t>至少包含以下内容：</w:t>
      </w:r>
    </w:p>
    <w:p>
      <w:pPr>
        <w:spacing w:line="360" w:lineRule="auto"/>
        <w:rPr>
          <w:rFonts w:cs="宋体"/>
          <w:color w:val="auto"/>
          <w:sz w:val="24"/>
        </w:rPr>
      </w:pPr>
      <w:r>
        <w:rPr>
          <w:rFonts w:hint="eastAsia" w:cs="宋体"/>
          <w:color w:val="auto"/>
          <w:sz w:val="24"/>
        </w:rPr>
        <w:t>1、企业实力</w:t>
      </w:r>
    </w:p>
    <w:p>
      <w:pPr>
        <w:spacing w:line="360" w:lineRule="auto"/>
        <w:rPr>
          <w:rFonts w:cs="宋体"/>
          <w:color w:val="auto"/>
          <w:sz w:val="24"/>
        </w:rPr>
      </w:pPr>
      <w:r>
        <w:rPr>
          <w:rFonts w:hint="eastAsia" w:cs="宋体"/>
          <w:color w:val="auto"/>
          <w:sz w:val="24"/>
        </w:rPr>
        <w:t>2、业绩</w:t>
      </w:r>
    </w:p>
    <w:p>
      <w:pPr>
        <w:spacing w:line="360" w:lineRule="auto"/>
        <w:rPr>
          <w:rFonts w:cs="宋体"/>
          <w:color w:val="auto"/>
          <w:sz w:val="24"/>
        </w:rPr>
      </w:pPr>
      <w:r>
        <w:rPr>
          <w:rFonts w:hint="eastAsia" w:cs="宋体"/>
          <w:color w:val="auto"/>
          <w:sz w:val="24"/>
        </w:rPr>
        <w:t>3、项目需求理解</w:t>
      </w:r>
    </w:p>
    <w:p>
      <w:pPr>
        <w:spacing w:line="360" w:lineRule="auto"/>
        <w:rPr>
          <w:rFonts w:cs="宋体"/>
          <w:color w:val="auto"/>
          <w:sz w:val="24"/>
        </w:rPr>
      </w:pPr>
      <w:r>
        <w:rPr>
          <w:rFonts w:hint="eastAsia" w:cs="宋体"/>
          <w:color w:val="auto"/>
          <w:sz w:val="24"/>
        </w:rPr>
        <w:t>4、技术方案</w:t>
      </w:r>
    </w:p>
    <w:p>
      <w:pPr>
        <w:spacing w:line="360" w:lineRule="auto"/>
        <w:rPr>
          <w:rFonts w:cs="宋体"/>
          <w:color w:val="auto"/>
          <w:sz w:val="24"/>
        </w:rPr>
      </w:pPr>
      <w:r>
        <w:rPr>
          <w:rFonts w:hint="eastAsia" w:cs="宋体"/>
          <w:color w:val="auto"/>
          <w:sz w:val="24"/>
        </w:rPr>
        <w:t>5、项目实施管理方案</w:t>
      </w:r>
    </w:p>
    <w:p>
      <w:pPr>
        <w:spacing w:line="360" w:lineRule="auto"/>
        <w:rPr>
          <w:rFonts w:cs="宋体"/>
          <w:color w:val="auto"/>
          <w:sz w:val="24"/>
        </w:rPr>
      </w:pPr>
      <w:r>
        <w:rPr>
          <w:rFonts w:hint="eastAsia" w:cs="宋体"/>
          <w:color w:val="auto"/>
          <w:sz w:val="24"/>
        </w:rPr>
        <w:t>6、项目团队</w:t>
      </w:r>
    </w:p>
    <w:p>
      <w:pPr>
        <w:spacing w:line="360" w:lineRule="auto"/>
        <w:rPr>
          <w:rFonts w:cs="宋体"/>
          <w:color w:val="auto"/>
          <w:sz w:val="24"/>
        </w:rPr>
      </w:pPr>
      <w:r>
        <w:rPr>
          <w:rFonts w:hint="eastAsia" w:cs="宋体"/>
          <w:color w:val="auto"/>
          <w:sz w:val="24"/>
        </w:rPr>
        <w:t>7、售后服务方案</w:t>
      </w:r>
    </w:p>
    <w:p>
      <w:pPr>
        <w:spacing w:line="360" w:lineRule="auto"/>
        <w:rPr>
          <w:rFonts w:cs="宋体"/>
          <w:color w:val="auto"/>
          <w:sz w:val="24"/>
        </w:rPr>
      </w:pPr>
      <w:r>
        <w:rPr>
          <w:rFonts w:hint="eastAsia" w:cs="宋体"/>
          <w:color w:val="auto"/>
          <w:sz w:val="24"/>
        </w:rPr>
        <w:t>8、培训方案</w:t>
      </w:r>
    </w:p>
    <w:p>
      <w:pPr>
        <w:spacing w:line="360" w:lineRule="auto"/>
        <w:rPr>
          <w:color w:val="auto"/>
        </w:rPr>
      </w:pPr>
      <w:r>
        <w:rPr>
          <w:rFonts w:hint="eastAsia" w:cs="宋体"/>
          <w:color w:val="auto"/>
          <w:sz w:val="24"/>
        </w:rPr>
        <w:t>9、其他</w:t>
      </w:r>
    </w:p>
    <w:p>
      <w:pPr>
        <w:rPr>
          <w:rFonts w:cs="宋体"/>
          <w:color w:val="auto"/>
          <w:sz w:val="24"/>
          <w:szCs w:val="24"/>
        </w:rPr>
      </w:pPr>
      <w:r>
        <w:rPr>
          <w:rFonts w:hint="eastAsia" w:cs="宋体"/>
          <w:color w:val="auto"/>
          <w:sz w:val="24"/>
          <w:szCs w:val="24"/>
        </w:rPr>
        <w:br w:type="page"/>
      </w:r>
    </w:p>
    <w:p>
      <w:pPr>
        <w:spacing w:after="120" w:line="360" w:lineRule="auto"/>
        <w:rPr>
          <w:rFonts w:cs="宋体"/>
          <w:b/>
          <w:color w:val="auto"/>
          <w:sz w:val="28"/>
          <w:szCs w:val="28"/>
        </w:rPr>
      </w:pPr>
      <w:r>
        <w:rPr>
          <w:rFonts w:hint="eastAsia" w:cs="宋体"/>
          <w:b/>
          <w:color w:val="auto"/>
          <w:sz w:val="28"/>
          <w:szCs w:val="28"/>
          <w:lang w:bidi="ar"/>
        </w:rPr>
        <w:t>附表1：</w:t>
      </w:r>
    </w:p>
    <w:p>
      <w:pPr>
        <w:snapToGrid w:val="0"/>
        <w:spacing w:after="120" w:afterLines="50" w:line="360" w:lineRule="auto"/>
        <w:ind w:left="504"/>
        <w:jc w:val="center"/>
        <w:rPr>
          <w:rFonts w:cs="宋体"/>
          <w:b/>
          <w:color w:val="auto"/>
          <w:spacing w:val="11"/>
          <w:szCs w:val="24"/>
        </w:rPr>
      </w:pPr>
      <w:r>
        <w:rPr>
          <w:rFonts w:hint="eastAsia" w:cs="宋体"/>
          <w:b/>
          <w:color w:val="auto"/>
          <w:spacing w:val="11"/>
          <w:kern w:val="2"/>
          <w:sz w:val="24"/>
          <w:szCs w:val="24"/>
          <w:lang w:bidi="ar"/>
        </w:rPr>
        <w:t>项目负责人简历表</w:t>
      </w:r>
    </w:p>
    <w:tbl>
      <w:tblPr>
        <w:tblStyle w:val="29"/>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958"/>
        <w:gridCol w:w="458"/>
        <w:gridCol w:w="2326"/>
        <w:gridCol w:w="1465"/>
        <w:gridCol w:w="58"/>
        <w:gridCol w:w="998"/>
        <w:gridCol w:w="264"/>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姓名</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性别</w:t>
            </w: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年龄</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职务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职称</w:t>
            </w: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学历</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执业资格</w:t>
            </w:r>
          </w:p>
        </w:tc>
        <w:tc>
          <w:tcPr>
            <w:tcW w:w="790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kern w:val="2"/>
                <w:szCs w:val="22"/>
                <w:lang w:bidi="ar"/>
              </w:rPr>
            </w:pPr>
            <w:r>
              <w:rPr>
                <w:rFonts w:hint="eastAsia" w:cs="宋体"/>
                <w:color w:val="auto"/>
                <w:kern w:val="2"/>
                <w:sz w:val="24"/>
                <w:szCs w:val="22"/>
                <w:lang w:bidi="ar"/>
              </w:rPr>
              <w:t>身份证号</w:t>
            </w:r>
          </w:p>
        </w:tc>
        <w:tc>
          <w:tcPr>
            <w:tcW w:w="64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参加工作时间</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职业年限</w:t>
            </w:r>
          </w:p>
        </w:tc>
        <w:tc>
          <w:tcPr>
            <w:tcW w:w="26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ind w:firstLine="240" w:firstLineChars="100"/>
              <w:rPr>
                <w:rFonts w:cs="宋体"/>
                <w:color w:val="auto"/>
                <w:szCs w:val="22"/>
              </w:rPr>
            </w:pPr>
            <w:r>
              <w:rPr>
                <w:rFonts w:hint="eastAsia" w:cs="宋体"/>
                <w:color w:val="auto"/>
                <w:kern w:val="2"/>
                <w:sz w:val="24"/>
                <w:szCs w:val="22"/>
                <w:lang w:bidi="ar"/>
              </w:rPr>
              <w:t>职称证书编号</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52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本项目担任</w:t>
            </w:r>
          </w:p>
          <w:p>
            <w:pPr>
              <w:spacing w:line="432" w:lineRule="auto"/>
              <w:jc w:val="center"/>
              <w:rPr>
                <w:rFonts w:cs="宋体"/>
                <w:color w:val="auto"/>
                <w:szCs w:val="22"/>
              </w:rPr>
            </w:pPr>
            <w:r>
              <w:rPr>
                <w:rFonts w:hint="eastAsia" w:cs="宋体"/>
                <w:color w:val="auto"/>
                <w:kern w:val="2"/>
                <w:sz w:val="24"/>
                <w:szCs w:val="22"/>
                <w:lang w:bidi="ar"/>
              </w:rPr>
              <w:t>职务</w:t>
            </w:r>
          </w:p>
        </w:tc>
        <w:tc>
          <w:tcPr>
            <w:tcW w:w="263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rPr>
                <w:rFonts w:cs="宋体"/>
                <w:color w:val="auto"/>
                <w:szCs w:val="22"/>
              </w:rPr>
            </w:pPr>
            <w:r>
              <w:rPr>
                <w:rFonts w:hint="eastAsia" w:cs="宋体"/>
                <w:color w:val="auto"/>
                <w:kern w:val="2"/>
                <w:sz w:val="24"/>
                <w:szCs w:val="22"/>
                <w:lang w:bidi="ar"/>
              </w:rPr>
              <w:t>执业资格证书编号</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52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color w:val="auto"/>
                <w:sz w:val="20"/>
              </w:rPr>
            </w:pPr>
          </w:p>
        </w:tc>
        <w:tc>
          <w:tcPr>
            <w:tcW w:w="26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sz w:val="24"/>
                <w:szCs w:val="22"/>
                <w:lang w:bidi="ar"/>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建设单位</w:t>
            </w: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项目名称</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建设规模</w:t>
            </w: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时间</w:t>
            </w: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r>
              <w:rPr>
                <w:rFonts w:hint="eastAsia" w:cs="宋体"/>
                <w:color w:val="auto"/>
                <w:kern w:val="2"/>
                <w:sz w:val="24"/>
                <w:szCs w:val="22"/>
                <w:lang w:bidi="ar"/>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32" w:lineRule="auto"/>
              <w:jc w:val="center"/>
              <w:rPr>
                <w:rFonts w:cs="宋体"/>
                <w:color w:val="auto"/>
                <w:szCs w:val="22"/>
              </w:rPr>
            </w:pPr>
          </w:p>
        </w:tc>
      </w:tr>
    </w:tbl>
    <w:p>
      <w:pPr>
        <w:spacing w:line="432" w:lineRule="auto"/>
        <w:ind w:right="-97" w:rightChars="-46"/>
        <w:rPr>
          <w:rFonts w:cs="宋体"/>
          <w:color w:val="auto"/>
          <w:szCs w:val="22"/>
        </w:rPr>
      </w:pPr>
      <w:r>
        <w:rPr>
          <w:rFonts w:hint="eastAsia" w:cs="宋体"/>
          <w:color w:val="auto"/>
          <w:sz w:val="24"/>
          <w:szCs w:val="22"/>
          <w:lang w:bidi="ar"/>
        </w:rPr>
        <w:t>注：</w:t>
      </w:r>
    </w:p>
    <w:p>
      <w:pPr>
        <w:spacing w:line="432" w:lineRule="auto"/>
        <w:ind w:right="-97" w:rightChars="-46"/>
        <w:rPr>
          <w:rFonts w:cs="宋体"/>
          <w:color w:val="auto"/>
          <w:szCs w:val="22"/>
        </w:rPr>
      </w:pPr>
      <w:r>
        <w:rPr>
          <w:rFonts w:hint="eastAsia" w:cs="宋体"/>
          <w:color w:val="auto"/>
          <w:sz w:val="24"/>
          <w:szCs w:val="22"/>
          <w:lang w:bidi="ar"/>
        </w:rPr>
        <w:t>表后须附身份证、职称证、执业资格证、获奖证书（如果有）复印件。</w:t>
      </w:r>
    </w:p>
    <w:p>
      <w:pPr>
        <w:pStyle w:val="26"/>
        <w:spacing w:beforeAutospacing="0" w:afterAutospacing="0"/>
        <w:jc w:val="both"/>
        <w:rPr>
          <w:rFonts w:cs="宋体"/>
          <w:b/>
          <w:color w:val="auto"/>
          <w:sz w:val="28"/>
          <w:szCs w:val="28"/>
        </w:rPr>
      </w:pPr>
      <w:r>
        <w:rPr>
          <w:rFonts w:hint="eastAsia" w:cs="宋体"/>
          <w:b/>
          <w:color w:val="auto"/>
          <w:sz w:val="28"/>
          <w:szCs w:val="28"/>
          <w:lang w:bidi="ar"/>
        </w:rPr>
        <w:br w:type="page"/>
      </w:r>
      <w:r>
        <w:rPr>
          <w:rFonts w:hint="eastAsia" w:cs="宋体"/>
          <w:b/>
          <w:color w:val="auto"/>
          <w:sz w:val="28"/>
          <w:szCs w:val="28"/>
        </w:rPr>
        <w:t xml:space="preserve">附表2：                  </w:t>
      </w:r>
    </w:p>
    <w:p>
      <w:pPr>
        <w:pStyle w:val="26"/>
        <w:spacing w:beforeAutospacing="0" w:after="240" w:afterLines="100" w:afterAutospacing="0"/>
        <w:jc w:val="center"/>
        <w:rPr>
          <w:rFonts w:cs="宋体"/>
          <w:b/>
          <w:color w:val="auto"/>
          <w:spacing w:val="11"/>
        </w:rPr>
      </w:pPr>
      <w:r>
        <w:rPr>
          <w:rFonts w:hint="eastAsia" w:cs="宋体"/>
          <w:b/>
          <w:color w:val="auto"/>
          <w:spacing w:val="11"/>
          <w:kern w:val="2"/>
          <w:lang w:bidi="ar"/>
        </w:rPr>
        <w:t>人员配备情况表</w:t>
      </w:r>
    </w:p>
    <w:tbl>
      <w:tblPr>
        <w:tblStyle w:val="29"/>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298"/>
        <w:gridCol w:w="597"/>
        <w:gridCol w:w="596"/>
        <w:gridCol w:w="597"/>
        <w:gridCol w:w="874"/>
        <w:gridCol w:w="1211"/>
        <w:gridCol w:w="783"/>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83"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序号</w:t>
            </w:r>
          </w:p>
        </w:tc>
        <w:tc>
          <w:tcPr>
            <w:tcW w:w="1298"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姓  名</w:t>
            </w:r>
          </w:p>
        </w:tc>
        <w:tc>
          <w:tcPr>
            <w:tcW w:w="597"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性别</w:t>
            </w:r>
          </w:p>
        </w:tc>
        <w:tc>
          <w:tcPr>
            <w:tcW w:w="596"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年龄</w:t>
            </w:r>
          </w:p>
        </w:tc>
        <w:tc>
          <w:tcPr>
            <w:tcW w:w="597"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学历</w:t>
            </w:r>
          </w:p>
        </w:tc>
        <w:tc>
          <w:tcPr>
            <w:tcW w:w="874"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技术</w:t>
            </w:r>
          </w:p>
          <w:p>
            <w:pPr>
              <w:spacing w:line="400" w:lineRule="exact"/>
              <w:rPr>
                <w:rFonts w:cs="宋体"/>
                <w:b/>
                <w:color w:val="auto"/>
                <w:szCs w:val="21"/>
              </w:rPr>
            </w:pPr>
            <w:r>
              <w:rPr>
                <w:rFonts w:hint="eastAsia" w:cs="宋体"/>
                <w:b/>
                <w:color w:val="auto"/>
                <w:szCs w:val="21"/>
              </w:rPr>
              <w:t>职称</w:t>
            </w:r>
          </w:p>
        </w:tc>
        <w:tc>
          <w:tcPr>
            <w:tcW w:w="1211" w:type="dxa"/>
            <w:tcMar>
              <w:top w:w="15" w:type="dxa"/>
              <w:left w:w="15" w:type="dxa"/>
              <w:bottom w:w="0" w:type="dxa"/>
              <w:right w:w="15" w:type="dxa"/>
            </w:tcMar>
          </w:tcPr>
          <w:p>
            <w:pPr>
              <w:spacing w:line="400" w:lineRule="exact"/>
              <w:rPr>
                <w:rFonts w:cs="宋体"/>
                <w:b/>
                <w:color w:val="auto"/>
                <w:szCs w:val="21"/>
              </w:rPr>
            </w:pPr>
            <w:r>
              <w:rPr>
                <w:rFonts w:hint="eastAsia" w:cs="宋体"/>
                <w:b/>
                <w:color w:val="auto"/>
                <w:szCs w:val="21"/>
              </w:rPr>
              <w:t>资格证</w:t>
            </w:r>
          </w:p>
          <w:p>
            <w:pPr>
              <w:spacing w:line="400" w:lineRule="exact"/>
              <w:rPr>
                <w:rFonts w:cs="宋体"/>
                <w:b/>
                <w:color w:val="auto"/>
                <w:szCs w:val="21"/>
              </w:rPr>
            </w:pPr>
            <w:r>
              <w:rPr>
                <w:rFonts w:hint="eastAsia" w:cs="宋体"/>
                <w:b/>
                <w:color w:val="auto"/>
                <w:szCs w:val="21"/>
              </w:rPr>
              <w:t>书种类</w:t>
            </w:r>
          </w:p>
        </w:tc>
        <w:tc>
          <w:tcPr>
            <w:tcW w:w="783"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工作</w:t>
            </w:r>
          </w:p>
          <w:p>
            <w:pPr>
              <w:spacing w:line="400" w:lineRule="exact"/>
              <w:rPr>
                <w:rFonts w:cs="宋体"/>
                <w:b/>
                <w:color w:val="auto"/>
                <w:szCs w:val="21"/>
              </w:rPr>
            </w:pPr>
            <w:r>
              <w:rPr>
                <w:rFonts w:hint="eastAsia" w:cs="宋体"/>
                <w:b/>
                <w:color w:val="auto"/>
                <w:szCs w:val="21"/>
              </w:rPr>
              <w:t>年限</w:t>
            </w:r>
          </w:p>
        </w:tc>
        <w:tc>
          <w:tcPr>
            <w:tcW w:w="1965" w:type="dxa"/>
            <w:tcMar>
              <w:top w:w="15" w:type="dxa"/>
              <w:left w:w="15" w:type="dxa"/>
              <w:bottom w:w="0" w:type="dxa"/>
              <w:right w:w="15" w:type="dxa"/>
            </w:tcMar>
            <w:vAlign w:val="center"/>
          </w:tcPr>
          <w:p>
            <w:pPr>
              <w:spacing w:line="400" w:lineRule="exact"/>
              <w:rPr>
                <w:rFonts w:cs="宋体"/>
                <w:b/>
                <w:color w:val="auto"/>
                <w:szCs w:val="21"/>
              </w:rPr>
            </w:pPr>
            <w:r>
              <w:rPr>
                <w:rFonts w:hint="eastAsia" w:cs="宋体"/>
                <w:b/>
                <w:color w:val="auto"/>
                <w:szCs w:val="21"/>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400" w:lineRule="exact"/>
              <w:rPr>
                <w:rFonts w:cs="宋体"/>
                <w:color w:val="auto"/>
                <w:szCs w:val="21"/>
              </w:rPr>
            </w:pPr>
          </w:p>
        </w:tc>
        <w:tc>
          <w:tcPr>
            <w:tcW w:w="1298"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596" w:type="dxa"/>
            <w:tcMar>
              <w:top w:w="15" w:type="dxa"/>
              <w:left w:w="15" w:type="dxa"/>
              <w:bottom w:w="0" w:type="dxa"/>
              <w:right w:w="15" w:type="dxa"/>
            </w:tcMar>
            <w:vAlign w:val="bottom"/>
          </w:tcPr>
          <w:p>
            <w:pPr>
              <w:spacing w:line="400" w:lineRule="exact"/>
              <w:rPr>
                <w:rFonts w:cs="宋体"/>
                <w:color w:val="auto"/>
                <w:szCs w:val="21"/>
              </w:rPr>
            </w:pPr>
          </w:p>
        </w:tc>
        <w:tc>
          <w:tcPr>
            <w:tcW w:w="597" w:type="dxa"/>
            <w:tcMar>
              <w:top w:w="15" w:type="dxa"/>
              <w:left w:w="15" w:type="dxa"/>
              <w:bottom w:w="0" w:type="dxa"/>
              <w:right w:w="15" w:type="dxa"/>
            </w:tcMar>
            <w:vAlign w:val="bottom"/>
          </w:tcPr>
          <w:p>
            <w:pPr>
              <w:spacing w:line="400" w:lineRule="exact"/>
              <w:rPr>
                <w:rFonts w:cs="宋体"/>
                <w:color w:val="auto"/>
                <w:szCs w:val="21"/>
              </w:rPr>
            </w:pPr>
          </w:p>
        </w:tc>
        <w:tc>
          <w:tcPr>
            <w:tcW w:w="874" w:type="dxa"/>
            <w:tcMar>
              <w:top w:w="15" w:type="dxa"/>
              <w:left w:w="15" w:type="dxa"/>
              <w:bottom w:w="0" w:type="dxa"/>
              <w:right w:w="15" w:type="dxa"/>
            </w:tcMar>
            <w:vAlign w:val="bottom"/>
          </w:tcPr>
          <w:p>
            <w:pPr>
              <w:spacing w:line="400" w:lineRule="exact"/>
              <w:rPr>
                <w:rFonts w:cs="宋体"/>
                <w:color w:val="auto"/>
                <w:szCs w:val="21"/>
              </w:rPr>
            </w:pPr>
          </w:p>
        </w:tc>
        <w:tc>
          <w:tcPr>
            <w:tcW w:w="1211" w:type="dxa"/>
            <w:tcMar>
              <w:top w:w="15" w:type="dxa"/>
              <w:left w:w="15" w:type="dxa"/>
              <w:bottom w:w="0" w:type="dxa"/>
              <w:right w:w="15" w:type="dxa"/>
            </w:tcMar>
          </w:tcPr>
          <w:p>
            <w:pPr>
              <w:spacing w:line="400" w:lineRule="exact"/>
              <w:rPr>
                <w:rFonts w:cs="宋体"/>
                <w:color w:val="auto"/>
                <w:szCs w:val="21"/>
              </w:rPr>
            </w:pPr>
          </w:p>
        </w:tc>
        <w:tc>
          <w:tcPr>
            <w:tcW w:w="783" w:type="dxa"/>
            <w:tcMar>
              <w:top w:w="15" w:type="dxa"/>
              <w:left w:w="15" w:type="dxa"/>
              <w:bottom w:w="0" w:type="dxa"/>
              <w:right w:w="15" w:type="dxa"/>
            </w:tcMar>
            <w:vAlign w:val="bottom"/>
          </w:tcPr>
          <w:p>
            <w:pPr>
              <w:spacing w:line="400" w:lineRule="exact"/>
              <w:rPr>
                <w:rFonts w:cs="宋体"/>
                <w:color w:val="auto"/>
                <w:szCs w:val="21"/>
              </w:rPr>
            </w:pPr>
          </w:p>
        </w:tc>
        <w:tc>
          <w:tcPr>
            <w:tcW w:w="1965" w:type="dxa"/>
            <w:tcMar>
              <w:top w:w="15" w:type="dxa"/>
              <w:left w:w="15" w:type="dxa"/>
              <w:bottom w:w="0" w:type="dxa"/>
              <w:right w:w="15" w:type="dxa"/>
            </w:tcMar>
            <w:vAlign w:val="bottom"/>
          </w:tcPr>
          <w:p>
            <w:pPr>
              <w:spacing w:line="400" w:lineRule="exact"/>
              <w:rPr>
                <w:rFonts w:cs="宋体"/>
                <w:color w:val="auto"/>
                <w:szCs w:val="21"/>
              </w:rPr>
            </w:pPr>
          </w:p>
        </w:tc>
      </w:tr>
    </w:tbl>
    <w:p>
      <w:pPr>
        <w:spacing w:line="432" w:lineRule="auto"/>
        <w:ind w:right="-214" w:rightChars="-102"/>
        <w:rPr>
          <w:rFonts w:cs="宋体"/>
          <w:color w:val="auto"/>
          <w:szCs w:val="22"/>
        </w:rPr>
      </w:pPr>
    </w:p>
    <w:p>
      <w:pPr>
        <w:autoSpaceDE w:val="0"/>
        <w:autoSpaceDN w:val="0"/>
        <w:adjustRightInd w:val="0"/>
        <w:spacing w:line="348" w:lineRule="auto"/>
        <w:jc w:val="left"/>
        <w:rPr>
          <w:rFonts w:cs="宋体"/>
          <w:b/>
          <w:color w:val="auto"/>
          <w:spacing w:val="4"/>
          <w:kern w:val="2"/>
          <w:sz w:val="28"/>
          <w:szCs w:val="24"/>
          <w:lang w:bidi="ar"/>
        </w:rPr>
      </w:pPr>
    </w:p>
    <w:p>
      <w:pPr>
        <w:autoSpaceDE w:val="0"/>
        <w:autoSpaceDN w:val="0"/>
        <w:adjustRightInd w:val="0"/>
        <w:spacing w:line="348" w:lineRule="auto"/>
        <w:jc w:val="left"/>
        <w:rPr>
          <w:rFonts w:cs="宋体"/>
          <w:b/>
          <w:color w:val="auto"/>
          <w:spacing w:val="4"/>
          <w:kern w:val="2"/>
          <w:sz w:val="28"/>
          <w:szCs w:val="24"/>
          <w:lang w:bidi="ar"/>
        </w:rPr>
      </w:pPr>
    </w:p>
    <w:p>
      <w:pPr>
        <w:autoSpaceDE w:val="0"/>
        <w:autoSpaceDN w:val="0"/>
        <w:adjustRightInd w:val="0"/>
        <w:spacing w:line="348" w:lineRule="auto"/>
        <w:jc w:val="left"/>
        <w:rPr>
          <w:rFonts w:cs="宋体"/>
          <w:b/>
          <w:color w:val="auto"/>
          <w:spacing w:val="4"/>
          <w:kern w:val="2"/>
          <w:sz w:val="28"/>
          <w:szCs w:val="24"/>
          <w:lang w:bidi="ar"/>
        </w:rPr>
      </w:pPr>
    </w:p>
    <w:p>
      <w:pPr>
        <w:autoSpaceDE w:val="0"/>
        <w:autoSpaceDN w:val="0"/>
        <w:adjustRightInd w:val="0"/>
        <w:spacing w:line="348" w:lineRule="auto"/>
        <w:jc w:val="left"/>
        <w:rPr>
          <w:rFonts w:cs="宋体"/>
          <w:b/>
          <w:color w:val="auto"/>
          <w:spacing w:val="4"/>
          <w:kern w:val="2"/>
          <w:sz w:val="28"/>
          <w:szCs w:val="24"/>
          <w:lang w:bidi="ar"/>
        </w:rPr>
      </w:pPr>
      <w:r>
        <w:rPr>
          <w:rFonts w:hint="eastAsia" w:cs="宋体"/>
          <w:b/>
          <w:color w:val="auto"/>
          <w:spacing w:val="4"/>
          <w:kern w:val="2"/>
          <w:sz w:val="28"/>
          <w:szCs w:val="24"/>
          <w:lang w:bidi="ar"/>
        </w:rPr>
        <w:t>附表3：</w:t>
      </w:r>
    </w:p>
    <w:p>
      <w:pPr>
        <w:autoSpaceDE w:val="0"/>
        <w:autoSpaceDN w:val="0"/>
        <w:adjustRightInd w:val="0"/>
        <w:spacing w:line="348" w:lineRule="auto"/>
        <w:jc w:val="center"/>
        <w:rPr>
          <w:rFonts w:cs="宋体"/>
          <w:b/>
          <w:color w:val="auto"/>
          <w:sz w:val="28"/>
          <w:szCs w:val="28"/>
          <w:lang w:val="zh-CN"/>
        </w:rPr>
      </w:pPr>
      <w:r>
        <w:rPr>
          <w:rFonts w:hint="eastAsia" w:cs="宋体"/>
          <w:b/>
          <w:color w:val="auto"/>
          <w:sz w:val="28"/>
          <w:szCs w:val="28"/>
          <w:lang w:val="zh-CN" w:bidi="ar"/>
        </w:rPr>
        <w:t>业绩汇总表</w:t>
      </w:r>
    </w:p>
    <w:p>
      <w:pPr>
        <w:autoSpaceDE w:val="0"/>
        <w:autoSpaceDN w:val="0"/>
        <w:adjustRightInd w:val="0"/>
        <w:spacing w:line="348" w:lineRule="auto"/>
        <w:jc w:val="center"/>
        <w:rPr>
          <w:rFonts w:cs="宋体"/>
          <w:color w:val="auto"/>
          <w:szCs w:val="24"/>
        </w:rPr>
      </w:pPr>
      <w:r>
        <w:rPr>
          <w:rFonts w:hint="eastAsia" w:cs="宋体"/>
          <w:color w:val="auto"/>
          <w:sz w:val="24"/>
          <w:szCs w:val="24"/>
          <w:lang w:bidi="ar"/>
        </w:rPr>
        <w:t>（2019年1月1日以来类似的项目业绩）</w:t>
      </w:r>
    </w:p>
    <w:tbl>
      <w:tblPr>
        <w:tblStyle w:val="2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1391"/>
        <w:gridCol w:w="1133"/>
        <w:gridCol w:w="1627"/>
        <w:gridCol w:w="1572"/>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项目名称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金额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执行时间</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采购内容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r>
              <w:rPr>
                <w:rFonts w:hint="eastAsia" w:cs="宋体"/>
                <w:bCs/>
                <w:color w:val="auto"/>
                <w:sz w:val="24"/>
                <w:szCs w:val="24"/>
                <w:lang w:bidi="ar"/>
              </w:rPr>
              <w:t>甲方联系人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6" w:lineRule="auto"/>
              <w:jc w:val="center"/>
              <w:rPr>
                <w:rFonts w:cs="宋体"/>
                <w:bCs/>
                <w:color w:val="auto"/>
                <w:szCs w:val="24"/>
              </w:rPr>
            </w:pPr>
          </w:p>
        </w:tc>
      </w:tr>
    </w:tbl>
    <w:p>
      <w:pPr>
        <w:spacing w:before="153" w:line="360" w:lineRule="auto"/>
        <w:rPr>
          <w:rFonts w:cs="宋体"/>
          <w:b/>
          <w:color w:val="auto"/>
        </w:rPr>
      </w:pPr>
      <w:r>
        <w:rPr>
          <w:rFonts w:hint="eastAsia" w:cs="宋体"/>
          <w:b/>
          <w:color w:val="auto"/>
          <w:sz w:val="24"/>
          <w:lang w:bidi="ar"/>
        </w:rPr>
        <w:t>注：请附加盖公章的采购合同或中标通知书复印件。</w:t>
      </w:r>
    </w:p>
    <w:p>
      <w:pPr>
        <w:spacing w:line="432" w:lineRule="auto"/>
        <w:ind w:firstLine="420" w:firstLineChars="200"/>
        <w:rPr>
          <w:rFonts w:cs="宋体"/>
          <w:color w:val="auto"/>
          <w:spacing w:val="4"/>
          <w:szCs w:val="22"/>
        </w:rPr>
      </w:pPr>
      <w:r>
        <w:rPr>
          <w:rFonts w:hint="eastAsia" w:cs="宋体"/>
          <w:color w:val="auto"/>
          <w:szCs w:val="24"/>
        </w:rPr>
        <w:t xml:space="preserve"> </w:t>
      </w:r>
    </w:p>
    <w:p>
      <w:pPr>
        <w:rPr>
          <w:rFonts w:cs="宋体"/>
          <w:color w:val="auto"/>
        </w:rPr>
      </w:pPr>
    </w:p>
    <w:p>
      <w:pPr>
        <w:pStyle w:val="6"/>
        <w:rPr>
          <w:rFonts w:ascii="宋体" w:hAnsi="宋体" w:cs="宋体"/>
          <w:color w:val="auto"/>
        </w:rPr>
      </w:pPr>
      <w:r>
        <w:rPr>
          <w:rFonts w:hint="eastAsia" w:ascii="宋体" w:hAnsi="宋体" w:cs="宋体"/>
          <w:color w:val="auto"/>
          <w:szCs w:val="24"/>
        </w:rPr>
        <w:br w:type="page"/>
      </w:r>
      <w:bookmarkStart w:id="215" w:name="_Toc4931"/>
      <w:bookmarkStart w:id="216" w:name="_Toc32197"/>
      <w:bookmarkStart w:id="217" w:name="_Toc23752"/>
      <w:bookmarkStart w:id="218" w:name="_Toc3362"/>
      <w:r>
        <w:rPr>
          <w:rFonts w:hint="eastAsia" w:ascii="宋体" w:hAnsi="宋体" w:cs="宋体"/>
          <w:color w:val="auto"/>
          <w:sz w:val="32"/>
        </w:rPr>
        <w:t>四、</w:t>
      </w:r>
      <w:bookmarkEnd w:id="215"/>
      <w:r>
        <w:rPr>
          <w:rFonts w:hint="eastAsia" w:ascii="宋体" w:hAnsi="宋体" w:cs="宋体"/>
          <w:color w:val="auto"/>
          <w:sz w:val="32"/>
        </w:rPr>
        <w:t>商务响应说明</w:t>
      </w:r>
      <w:bookmarkEnd w:id="216"/>
    </w:p>
    <w:bookmarkEnd w:id="217"/>
    <w:bookmarkEnd w:id="218"/>
    <w:tbl>
      <w:tblPr>
        <w:tblStyle w:val="29"/>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31"/>
        <w:gridCol w:w="2145"/>
        <w:gridCol w:w="140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序号</w:t>
            </w:r>
          </w:p>
        </w:tc>
        <w:tc>
          <w:tcPr>
            <w:tcW w:w="313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招标文件的商务条款</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投标文件的商务条款</w:t>
            </w: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偏离</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1</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 xml:space="preserve">服务期限：合同签订之日起3年 </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2</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 xml:space="preserve"> 建设地点：采购人指定地点</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3</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合同签订之日起45日历天内完成</w:t>
            </w:r>
            <w:r>
              <w:rPr>
                <w:rFonts w:hint="eastAsia" w:cs="宋体"/>
                <w:color w:val="auto"/>
                <w:sz w:val="21"/>
                <w:szCs w:val="21"/>
                <w:lang w:eastAsia="zh-CN"/>
              </w:rPr>
              <w:t>平台的安装调试</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1"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4</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付款：</w:t>
            </w:r>
          </w:p>
          <w:p>
            <w:pPr>
              <w:jc w:val="left"/>
              <w:rPr>
                <w:rFonts w:cs="宋体"/>
                <w:color w:val="auto"/>
                <w:sz w:val="21"/>
                <w:szCs w:val="21"/>
              </w:rPr>
            </w:pPr>
            <w:r>
              <w:rPr>
                <w:rFonts w:hint="eastAsia" w:cs="宋体"/>
                <w:color w:val="auto"/>
                <w:sz w:val="21"/>
                <w:szCs w:val="21"/>
              </w:rPr>
              <w:t>1.合同总价即中标价，不受市场价变化或实际工作量变化的影响，如需调整将在补充协议条款中具体明确。</w:t>
            </w:r>
          </w:p>
          <w:p>
            <w:pPr>
              <w:jc w:val="left"/>
              <w:rPr>
                <w:rFonts w:cs="宋体"/>
                <w:color w:val="auto"/>
                <w:sz w:val="21"/>
                <w:szCs w:val="21"/>
              </w:rPr>
            </w:pPr>
            <w:r>
              <w:rPr>
                <w:rFonts w:hint="eastAsia" w:cs="宋体"/>
                <w:color w:val="auto"/>
                <w:sz w:val="21"/>
                <w:szCs w:val="21"/>
              </w:rPr>
              <w:t>2.付款方式和程序：</w:t>
            </w:r>
          </w:p>
          <w:p>
            <w:pPr>
              <w:jc w:val="left"/>
              <w:rPr>
                <w:rFonts w:cs="宋体"/>
                <w:color w:val="auto"/>
                <w:sz w:val="21"/>
                <w:szCs w:val="21"/>
              </w:rPr>
            </w:pPr>
            <w:r>
              <w:rPr>
                <w:rFonts w:hint="eastAsia" w:cs="宋体"/>
                <w:color w:val="auto"/>
                <w:sz w:val="21"/>
                <w:szCs w:val="21"/>
              </w:rPr>
              <w:t>2.1由采购人负责结算，在付款前，供应商必须开具发票给采购人。</w:t>
            </w:r>
          </w:p>
          <w:p>
            <w:pPr>
              <w:jc w:val="left"/>
              <w:rPr>
                <w:rFonts w:cs="宋体"/>
                <w:color w:val="auto"/>
                <w:sz w:val="21"/>
                <w:szCs w:val="21"/>
              </w:rPr>
            </w:pPr>
            <w:r>
              <w:rPr>
                <w:rFonts w:hint="eastAsia" w:cs="宋体"/>
                <w:color w:val="auto"/>
                <w:sz w:val="21"/>
                <w:szCs w:val="21"/>
              </w:rPr>
              <w:t>2.2付款方式：</w:t>
            </w:r>
          </w:p>
          <w:p>
            <w:pPr>
              <w:jc w:val="left"/>
              <w:rPr>
                <w:rFonts w:cs="宋体"/>
                <w:color w:val="auto"/>
                <w:sz w:val="21"/>
                <w:szCs w:val="21"/>
              </w:rPr>
            </w:pPr>
            <w:r>
              <w:rPr>
                <w:rFonts w:hint="eastAsia" w:cs="宋体"/>
                <w:color w:val="auto"/>
                <w:sz w:val="21"/>
                <w:szCs w:val="21"/>
              </w:rPr>
              <w:t>2.2.1付款方式：平台建设完成、项目验收合格并正常使用后支付60%，平台运行一年后付20%，剩余20%服务期满后一次性付清。</w:t>
            </w:r>
          </w:p>
          <w:p>
            <w:pPr>
              <w:jc w:val="left"/>
              <w:rPr>
                <w:rFonts w:cs="宋体"/>
                <w:color w:val="auto"/>
                <w:sz w:val="21"/>
                <w:szCs w:val="21"/>
              </w:rPr>
            </w:pPr>
            <w:r>
              <w:rPr>
                <w:rFonts w:hint="eastAsia" w:cs="宋体"/>
                <w:color w:val="auto"/>
                <w:sz w:val="21"/>
                <w:szCs w:val="21"/>
              </w:rPr>
              <w:t>2.2.2支付方式：银行转账。</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5</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质量保证：</w:t>
            </w:r>
          </w:p>
          <w:p>
            <w:pPr>
              <w:jc w:val="left"/>
              <w:rPr>
                <w:rFonts w:cs="宋体"/>
                <w:color w:val="auto"/>
                <w:sz w:val="21"/>
                <w:szCs w:val="21"/>
              </w:rPr>
            </w:pPr>
            <w:r>
              <w:rPr>
                <w:rFonts w:hint="eastAsia" w:cs="宋体"/>
                <w:color w:val="auto"/>
                <w:sz w:val="21"/>
                <w:szCs w:val="21"/>
              </w:rPr>
              <w:t>1、质量要求：符合国家及行业质量验收合格标准。</w:t>
            </w:r>
          </w:p>
          <w:p>
            <w:pPr>
              <w:jc w:val="left"/>
              <w:rPr>
                <w:rFonts w:cs="宋体"/>
                <w:color w:val="auto"/>
                <w:sz w:val="21"/>
                <w:szCs w:val="21"/>
              </w:rPr>
            </w:pPr>
            <w:r>
              <w:rPr>
                <w:rFonts w:hint="eastAsia" w:cs="宋体"/>
                <w:color w:val="auto"/>
                <w:sz w:val="21"/>
                <w:szCs w:val="21"/>
              </w:rPr>
              <w:t>2、在服务范围内按工作内容和要求制定详细的方案，方案科学、合理、可靠。</w:t>
            </w:r>
          </w:p>
          <w:p>
            <w:pPr>
              <w:jc w:val="left"/>
              <w:rPr>
                <w:rFonts w:cs="宋体"/>
                <w:color w:val="auto"/>
                <w:sz w:val="21"/>
                <w:szCs w:val="21"/>
              </w:rPr>
            </w:pPr>
            <w:r>
              <w:rPr>
                <w:rFonts w:hint="eastAsia" w:cs="宋体"/>
                <w:color w:val="auto"/>
                <w:sz w:val="21"/>
                <w:szCs w:val="21"/>
              </w:rPr>
              <w:t>3、技术队伍配备合理。有针对本项目的专项服务小组，项目负责人、工作人员分工明确。</w:t>
            </w:r>
          </w:p>
          <w:p>
            <w:pPr>
              <w:jc w:val="left"/>
              <w:rPr>
                <w:rFonts w:cs="宋体"/>
                <w:color w:val="auto"/>
                <w:sz w:val="21"/>
                <w:szCs w:val="21"/>
              </w:rPr>
            </w:pPr>
            <w:r>
              <w:rPr>
                <w:rFonts w:hint="eastAsia" w:cs="宋体"/>
                <w:color w:val="auto"/>
                <w:sz w:val="21"/>
                <w:szCs w:val="21"/>
              </w:rPr>
              <w:t>4、有各类突发事件的应急预案和措施，有明确具体的承诺</w:t>
            </w:r>
            <w:r>
              <w:rPr>
                <w:rFonts w:hint="eastAsia" w:cs="宋体"/>
                <w:bCs/>
                <w:color w:val="auto"/>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6</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知识产权：</w:t>
            </w:r>
          </w:p>
          <w:p>
            <w:pPr>
              <w:jc w:val="left"/>
              <w:rPr>
                <w:rFonts w:cs="宋体"/>
                <w:color w:val="auto"/>
                <w:sz w:val="21"/>
                <w:szCs w:val="21"/>
              </w:rPr>
            </w:pPr>
            <w:r>
              <w:rPr>
                <w:rFonts w:hint="eastAsia" w:cs="宋体"/>
                <w:color w:val="auto"/>
                <w:sz w:val="21"/>
                <w:szCs w:val="21"/>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7</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考核验收</w:t>
            </w:r>
          </w:p>
          <w:p>
            <w:pPr>
              <w:jc w:val="left"/>
              <w:rPr>
                <w:rFonts w:cs="宋体"/>
                <w:color w:val="auto"/>
                <w:sz w:val="21"/>
                <w:szCs w:val="21"/>
              </w:rPr>
            </w:pPr>
            <w:r>
              <w:rPr>
                <w:rFonts w:hint="eastAsia" w:cs="宋体"/>
                <w:color w:val="auto"/>
                <w:sz w:val="21"/>
                <w:szCs w:val="21"/>
              </w:rPr>
              <w:t>1、成交供应商与采购人应严格按照《中华人民共和国政府采购法》、《中华人民共和国政府采购法实施条例》等法律法规、标准以及合同、招标文件、投标文件等相关文件要求进行验收。</w:t>
            </w:r>
          </w:p>
          <w:p>
            <w:pPr>
              <w:jc w:val="left"/>
              <w:rPr>
                <w:rFonts w:cs="宋体"/>
                <w:color w:val="auto"/>
                <w:sz w:val="21"/>
                <w:szCs w:val="21"/>
              </w:rPr>
            </w:pPr>
            <w:r>
              <w:rPr>
                <w:rFonts w:hint="eastAsia" w:cs="宋体"/>
                <w:color w:val="auto"/>
                <w:sz w:val="21"/>
                <w:szCs w:val="21"/>
              </w:rPr>
              <w:t>2、由采购人和中标人共同对项目进行整体验收。其内容包括是否按照采购人要求进行服务、是否在规定时间内服务完毕。</w:t>
            </w:r>
          </w:p>
          <w:p>
            <w:pPr>
              <w:jc w:val="left"/>
              <w:rPr>
                <w:rFonts w:cs="宋体"/>
                <w:color w:val="auto"/>
                <w:sz w:val="21"/>
                <w:szCs w:val="21"/>
              </w:rPr>
            </w:pPr>
            <w:r>
              <w:rPr>
                <w:rFonts w:hint="eastAsia" w:cs="宋体"/>
                <w:color w:val="auto"/>
                <w:sz w:val="21"/>
                <w:szCs w:val="21"/>
              </w:rPr>
              <w:t>3、服务商向采购人提供服务过程中的所有资料,以便采购人日后管理和维护。</w:t>
            </w:r>
          </w:p>
          <w:p>
            <w:pPr>
              <w:jc w:val="left"/>
              <w:rPr>
                <w:rFonts w:cs="宋体"/>
                <w:color w:val="auto"/>
                <w:sz w:val="21"/>
                <w:szCs w:val="21"/>
              </w:rPr>
            </w:pPr>
            <w:r>
              <w:rPr>
                <w:rFonts w:hint="eastAsia" w:cs="宋体"/>
                <w:color w:val="auto"/>
                <w:sz w:val="21"/>
                <w:szCs w:val="21"/>
              </w:rPr>
              <w:t>4、验收依据</w:t>
            </w:r>
          </w:p>
          <w:p>
            <w:pPr>
              <w:jc w:val="left"/>
              <w:rPr>
                <w:rFonts w:cs="宋体"/>
                <w:color w:val="auto"/>
                <w:sz w:val="21"/>
                <w:szCs w:val="21"/>
              </w:rPr>
            </w:pPr>
            <w:r>
              <w:rPr>
                <w:rFonts w:hint="eastAsia" w:cs="宋体"/>
                <w:color w:val="auto"/>
                <w:sz w:val="21"/>
                <w:szCs w:val="21"/>
              </w:rPr>
              <w:t>4.1招标文件、投标文件、澄清表（函）；</w:t>
            </w:r>
          </w:p>
          <w:p>
            <w:pPr>
              <w:jc w:val="left"/>
              <w:rPr>
                <w:rFonts w:cs="宋体"/>
                <w:color w:val="auto"/>
                <w:sz w:val="21"/>
                <w:szCs w:val="21"/>
              </w:rPr>
            </w:pPr>
            <w:r>
              <w:rPr>
                <w:rFonts w:hint="eastAsia" w:cs="宋体"/>
                <w:color w:val="auto"/>
                <w:sz w:val="21"/>
                <w:szCs w:val="21"/>
              </w:rPr>
              <w:t>4.2本合同及附件文本；</w:t>
            </w:r>
          </w:p>
          <w:p>
            <w:pPr>
              <w:jc w:val="left"/>
              <w:rPr>
                <w:rFonts w:cs="宋体"/>
                <w:color w:val="auto"/>
                <w:sz w:val="21"/>
                <w:szCs w:val="21"/>
              </w:rPr>
            </w:pPr>
            <w:r>
              <w:rPr>
                <w:rFonts w:hint="eastAsia" w:cs="宋体"/>
                <w:color w:val="auto"/>
                <w:sz w:val="21"/>
                <w:szCs w:val="21"/>
              </w:rPr>
              <w:t>4.3国家相应的标准、规范。</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r>
              <w:rPr>
                <w:rFonts w:hint="eastAsia" w:cs="宋体"/>
                <w:color w:val="auto"/>
                <w:sz w:val="21"/>
                <w:szCs w:val="21"/>
              </w:rPr>
              <w:t>8</w:t>
            </w:r>
          </w:p>
        </w:tc>
        <w:tc>
          <w:tcPr>
            <w:tcW w:w="3131" w:type="dxa"/>
            <w:tcBorders>
              <w:top w:val="single" w:color="auto" w:sz="4" w:space="0"/>
              <w:left w:val="single" w:color="auto" w:sz="4" w:space="0"/>
              <w:bottom w:val="single" w:color="auto" w:sz="4" w:space="0"/>
              <w:right w:val="single" w:color="auto" w:sz="4" w:space="0"/>
            </w:tcBorders>
            <w:vAlign w:val="center"/>
          </w:tcPr>
          <w:p>
            <w:pPr>
              <w:jc w:val="left"/>
              <w:rPr>
                <w:rFonts w:cs="宋体"/>
                <w:color w:val="auto"/>
                <w:sz w:val="21"/>
                <w:szCs w:val="21"/>
              </w:rPr>
            </w:pPr>
            <w:r>
              <w:rPr>
                <w:rFonts w:hint="eastAsia" w:cs="宋体"/>
                <w:color w:val="auto"/>
                <w:sz w:val="21"/>
                <w:szCs w:val="21"/>
              </w:rPr>
              <w:t>违约责任：</w:t>
            </w:r>
          </w:p>
          <w:p>
            <w:pPr>
              <w:jc w:val="left"/>
              <w:rPr>
                <w:rFonts w:cs="宋体"/>
                <w:color w:val="auto"/>
                <w:sz w:val="21"/>
                <w:szCs w:val="21"/>
              </w:rPr>
            </w:pPr>
            <w:r>
              <w:rPr>
                <w:rFonts w:hint="eastAsia" w:cs="宋体"/>
                <w:color w:val="auto"/>
                <w:sz w:val="21"/>
                <w:szCs w:val="21"/>
              </w:rPr>
              <w:t>按《中华人民共和国政府采购法》、《中华人民共和国民法典》中的相关条款执行。</w:t>
            </w:r>
          </w:p>
          <w:p>
            <w:pPr>
              <w:jc w:val="left"/>
              <w:rPr>
                <w:rFonts w:cs="宋体"/>
                <w:color w:val="auto"/>
                <w:sz w:val="21"/>
                <w:szCs w:val="21"/>
              </w:rPr>
            </w:pPr>
            <w:r>
              <w:rPr>
                <w:rFonts w:hint="eastAsia" w:cs="宋体"/>
                <w:color w:val="auto"/>
                <w:sz w:val="21"/>
                <w:szCs w:val="21"/>
              </w:rPr>
              <w:t>未按合同或招标文件要求的或者质量不能满足采购人要求的，采购单位有权终止合同，甚至对供应商违约行为进行追究，同时按《政府采购法》的有关规定进行处罚。</w:t>
            </w:r>
          </w:p>
          <w:p>
            <w:pPr>
              <w:jc w:val="left"/>
              <w:rPr>
                <w:rFonts w:cs="宋体"/>
                <w:color w:val="auto"/>
                <w:sz w:val="21"/>
                <w:szCs w:val="21"/>
              </w:rPr>
            </w:pPr>
            <w:r>
              <w:rPr>
                <w:rFonts w:hint="eastAsia" w:cs="宋体"/>
                <w:color w:val="auto"/>
                <w:sz w:val="21"/>
                <w:szCs w:val="21"/>
              </w:rPr>
              <w:t>供应商的投标文件为签订正式书面合同书不可分割的部分，投标文件应履行相应的责任。</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1"/>
                <w:szCs w:val="21"/>
              </w:rPr>
            </w:pPr>
          </w:p>
        </w:tc>
      </w:tr>
    </w:tbl>
    <w:p>
      <w:pPr>
        <w:rPr>
          <w:rFonts w:cs="宋体"/>
          <w:color w:val="auto"/>
        </w:rPr>
      </w:pPr>
      <w:r>
        <w:rPr>
          <w:rFonts w:hint="eastAsia" w:cs="宋体"/>
          <w:color w:val="auto"/>
        </w:rPr>
        <w:t>说明：</w:t>
      </w:r>
    </w:p>
    <w:p>
      <w:pPr>
        <w:spacing w:line="500" w:lineRule="exact"/>
        <w:ind w:firstLine="420" w:firstLineChars="200"/>
        <w:rPr>
          <w:rFonts w:cs="宋体"/>
          <w:color w:val="auto"/>
          <w:szCs w:val="22"/>
        </w:rPr>
      </w:pPr>
      <w:r>
        <w:rPr>
          <w:rFonts w:hint="eastAsia" w:cs="宋体"/>
          <w:color w:val="auto"/>
          <w:szCs w:val="22"/>
        </w:rPr>
        <w:t>1.偏离：根据响应情况如实填写“无偏离/负偏离/优于”（优于的后附证明材料，否则视为虚假响应;无偏离或负偏离的，说明栏填“无”或者 不填写）。</w:t>
      </w:r>
    </w:p>
    <w:p>
      <w:pPr>
        <w:spacing w:line="500" w:lineRule="exact"/>
        <w:ind w:firstLine="420" w:firstLineChars="200"/>
        <w:rPr>
          <w:rFonts w:cs="宋体"/>
          <w:color w:val="auto"/>
        </w:rPr>
      </w:pPr>
      <w:r>
        <w:rPr>
          <w:rFonts w:hint="eastAsia" w:cs="宋体"/>
          <w:color w:val="auto"/>
        </w:rPr>
        <w:t>2.供应商必须据实填写，不得虚假响应，否则将取消其投标或中标资格，并按有关规定进处罚。</w:t>
      </w:r>
    </w:p>
    <w:p>
      <w:pPr>
        <w:ind w:firstLine="420" w:firstLineChars="200"/>
        <w:jc w:val="center"/>
        <w:rPr>
          <w:rFonts w:cs="宋体"/>
          <w:color w:val="auto"/>
        </w:rPr>
      </w:pPr>
    </w:p>
    <w:p>
      <w:pPr>
        <w:ind w:firstLine="42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（盖单位公章）</w:t>
      </w:r>
    </w:p>
    <w:p>
      <w:pPr>
        <w:ind w:firstLine="420" w:firstLineChars="200"/>
        <w:jc w:val="center"/>
        <w:rPr>
          <w:rFonts w:cs="宋体"/>
          <w:color w:val="auto"/>
        </w:rPr>
      </w:pPr>
    </w:p>
    <w:p>
      <w:pPr>
        <w:spacing w:line="500" w:lineRule="exact"/>
        <w:ind w:firstLine="436" w:firstLineChars="200"/>
        <w:jc w:val="left"/>
        <w:rPr>
          <w:rFonts w:cs="宋体"/>
          <w:color w:val="auto"/>
          <w:spacing w:val="4"/>
        </w:rPr>
      </w:pPr>
      <w:r>
        <w:rPr>
          <w:rFonts w:hint="eastAsia" w:cs="宋体"/>
          <w:color w:val="auto"/>
          <w:spacing w:val="4"/>
        </w:rPr>
        <w:t>法定代表人或被授权人：</w:t>
      </w:r>
      <w:r>
        <w:rPr>
          <w:rFonts w:hint="eastAsia" w:cs="宋体"/>
          <w:color w:val="auto"/>
          <w:spacing w:val="4"/>
          <w:u w:val="single"/>
        </w:rPr>
        <w:t xml:space="preserve">      </w:t>
      </w:r>
      <w:r>
        <w:rPr>
          <w:rFonts w:hint="eastAsia" w:cs="宋体"/>
          <w:color w:val="auto"/>
          <w:spacing w:val="4"/>
        </w:rPr>
        <w:t>（签字或盖章）</w:t>
      </w:r>
    </w:p>
    <w:p>
      <w:pPr>
        <w:ind w:firstLine="420" w:firstLineChars="200"/>
        <w:rPr>
          <w:rFonts w:cs="宋体"/>
          <w:color w:val="auto"/>
        </w:rPr>
      </w:pPr>
      <w:r>
        <w:rPr>
          <w:rFonts w:hint="eastAsia" w:cs="宋体"/>
          <w:color w:val="auto"/>
        </w:rPr>
        <w:t xml:space="preserve">      </w:t>
      </w:r>
    </w:p>
    <w:p>
      <w:pPr>
        <w:spacing w:line="520" w:lineRule="exact"/>
        <w:ind w:firstLine="420" w:firstLineChars="200"/>
        <w:rPr>
          <w:rFonts w:cs="宋体"/>
          <w:color w:val="auto"/>
          <w:szCs w:val="24"/>
        </w:rPr>
      </w:pPr>
      <w:r>
        <w:rPr>
          <w:rFonts w:hint="eastAsia" w:cs="宋体"/>
          <w:color w:val="auto"/>
          <w:szCs w:val="24"/>
        </w:rPr>
        <w:t>日      期：      年   月    日</w:t>
      </w:r>
    </w:p>
    <w:p>
      <w:pPr>
        <w:pStyle w:val="6"/>
        <w:rPr>
          <w:rFonts w:ascii="宋体" w:hAnsi="宋体" w:cs="宋体"/>
          <w:color w:val="auto"/>
        </w:rPr>
      </w:pPr>
      <w:r>
        <w:rPr>
          <w:rFonts w:hint="eastAsia" w:ascii="宋体" w:hAnsi="宋体" w:cs="宋体"/>
          <w:color w:val="auto"/>
        </w:rPr>
        <w:br w:type="page"/>
      </w:r>
      <w:bookmarkStart w:id="219" w:name="_Toc15975"/>
      <w:bookmarkStart w:id="220" w:name="_Toc241"/>
      <w:bookmarkStart w:id="221" w:name="_Toc4263"/>
      <w:bookmarkStart w:id="222" w:name="_Toc8692"/>
      <w:bookmarkStart w:id="223" w:name="_Toc6432"/>
      <w:bookmarkStart w:id="224" w:name="_Toc426457714"/>
      <w:bookmarkStart w:id="225" w:name="_Toc10179"/>
      <w:bookmarkStart w:id="226" w:name="_Toc6862"/>
      <w:bookmarkStart w:id="227" w:name="_Toc363474033"/>
      <w:bookmarkStart w:id="228" w:name="_Toc403077656"/>
      <w:bookmarkStart w:id="229" w:name="_Toc10058"/>
      <w:r>
        <w:rPr>
          <w:rFonts w:hint="eastAsia" w:ascii="宋体" w:hAnsi="宋体" w:cs="宋体"/>
          <w:color w:val="auto"/>
          <w:sz w:val="32"/>
        </w:rPr>
        <w:t>五、供应商承诺书</w:t>
      </w:r>
      <w:bookmarkEnd w:id="219"/>
      <w:bookmarkEnd w:id="220"/>
      <w:bookmarkEnd w:id="221"/>
    </w:p>
    <w:p>
      <w:pPr>
        <w:spacing w:before="120" w:beforeLines="50" w:line="360" w:lineRule="auto"/>
        <w:jc w:val="center"/>
        <w:rPr>
          <w:rFonts w:cs="宋体"/>
          <w:b/>
          <w:bCs/>
          <w:color w:val="auto"/>
          <w:sz w:val="32"/>
          <w:szCs w:val="32"/>
        </w:rPr>
      </w:pPr>
      <w:r>
        <w:rPr>
          <w:rFonts w:hint="eastAsia" w:cs="宋体"/>
          <w:b/>
          <w:bCs/>
          <w:color w:val="auto"/>
          <w:kern w:val="20"/>
          <w:sz w:val="22"/>
          <w:szCs w:val="28"/>
        </w:rPr>
        <w:t>5.1陕西省政府采购供应商拒绝政府采购领域商业贿赂承诺书</w:t>
      </w:r>
      <w:bookmarkEnd w:id="222"/>
      <w:bookmarkEnd w:id="223"/>
      <w:bookmarkEnd w:id="224"/>
      <w:bookmarkEnd w:id="225"/>
      <w:bookmarkEnd w:id="226"/>
      <w:bookmarkEnd w:id="227"/>
      <w:bookmarkEnd w:id="228"/>
      <w:bookmarkEnd w:id="229"/>
    </w:p>
    <w:p>
      <w:pPr>
        <w:widowControl/>
        <w:spacing w:line="408" w:lineRule="auto"/>
        <w:ind w:firstLine="420" w:firstLineChars="200"/>
        <w:jc w:val="left"/>
        <w:rPr>
          <w:rFonts w:cs="宋体"/>
          <w:color w:val="auto"/>
        </w:rPr>
      </w:pPr>
      <w:r>
        <w:rPr>
          <w:rFonts w:hint="eastAsia" w:cs="宋体"/>
          <w:color w:val="auto"/>
        </w:rPr>
        <w:t>为响应党中央、国务院关于治理政府采购领域商业贿赂行为的号召，我公司在此庄严承诺：</w:t>
      </w:r>
    </w:p>
    <w:p>
      <w:pPr>
        <w:widowControl/>
        <w:numPr>
          <w:ilvl w:val="0"/>
          <w:numId w:val="3"/>
        </w:numPr>
        <w:spacing w:line="408" w:lineRule="auto"/>
        <w:ind w:firstLine="420" w:firstLineChars="200"/>
        <w:jc w:val="left"/>
        <w:rPr>
          <w:rFonts w:cs="宋体"/>
          <w:color w:val="auto"/>
        </w:rPr>
      </w:pPr>
      <w:r>
        <w:rPr>
          <w:rFonts w:hint="eastAsia" w:cs="宋体"/>
          <w:color w:val="auto"/>
        </w:rPr>
        <w:t>在参与政府采购活动中遵纪守法、诚信经营、公平竞标。</w:t>
      </w:r>
    </w:p>
    <w:p>
      <w:pPr>
        <w:widowControl/>
        <w:numPr>
          <w:ilvl w:val="0"/>
          <w:numId w:val="3"/>
        </w:numPr>
        <w:spacing w:line="408" w:lineRule="auto"/>
        <w:ind w:firstLine="420" w:firstLineChars="200"/>
        <w:jc w:val="left"/>
        <w:rPr>
          <w:rFonts w:cs="宋体"/>
          <w:color w:val="auto"/>
        </w:rPr>
      </w:pPr>
      <w:r>
        <w:rPr>
          <w:rFonts w:hint="eastAsia" w:cs="宋体"/>
          <w:color w:val="auto"/>
        </w:rPr>
        <w:t>不向政府采购人、采购代理机构和政府采购评审专家进行任何形式的商业贿赂以谋取交易机会。</w:t>
      </w:r>
    </w:p>
    <w:p>
      <w:pPr>
        <w:widowControl/>
        <w:numPr>
          <w:ilvl w:val="0"/>
          <w:numId w:val="3"/>
        </w:numPr>
        <w:spacing w:line="408" w:lineRule="auto"/>
        <w:ind w:firstLine="420" w:firstLineChars="200"/>
        <w:jc w:val="left"/>
        <w:rPr>
          <w:rFonts w:cs="宋体"/>
          <w:color w:val="auto"/>
        </w:rPr>
      </w:pPr>
      <w:r>
        <w:rPr>
          <w:rFonts w:hint="eastAsia" w:cs="宋体"/>
          <w:color w:val="auto"/>
        </w:rPr>
        <w:t>不向政府采购代理机构和采购人提供虚假资质文件或采用虚假应标方式参与政府采购市场竞争并谋取中标、成交。</w:t>
      </w:r>
    </w:p>
    <w:p>
      <w:pPr>
        <w:widowControl/>
        <w:numPr>
          <w:ilvl w:val="0"/>
          <w:numId w:val="3"/>
        </w:numPr>
        <w:spacing w:line="408" w:lineRule="auto"/>
        <w:ind w:firstLine="420" w:firstLineChars="200"/>
        <w:jc w:val="left"/>
        <w:rPr>
          <w:rFonts w:cs="宋体"/>
          <w:color w:val="auto"/>
        </w:rPr>
      </w:pPr>
      <w:r>
        <w:rPr>
          <w:rFonts w:hint="eastAsia" w:cs="宋体"/>
          <w:color w:val="auto"/>
        </w:rPr>
        <w:t>不采取“围标、陪标”等商业欺诈手段获得政府采购定单。</w:t>
      </w:r>
    </w:p>
    <w:p>
      <w:pPr>
        <w:widowControl/>
        <w:numPr>
          <w:ilvl w:val="0"/>
          <w:numId w:val="3"/>
        </w:numPr>
        <w:spacing w:line="408" w:lineRule="auto"/>
        <w:ind w:firstLine="420" w:firstLineChars="200"/>
        <w:jc w:val="left"/>
        <w:rPr>
          <w:rFonts w:cs="宋体"/>
          <w:color w:val="auto"/>
        </w:rPr>
      </w:pPr>
      <w:r>
        <w:rPr>
          <w:rFonts w:hint="eastAsia" w:cs="宋体"/>
          <w:color w:val="auto"/>
        </w:rPr>
        <w:t>不采取不正当手段诋毁、排挤其他供应商。</w:t>
      </w:r>
    </w:p>
    <w:p>
      <w:pPr>
        <w:widowControl/>
        <w:numPr>
          <w:ilvl w:val="0"/>
          <w:numId w:val="3"/>
        </w:numPr>
        <w:spacing w:line="408" w:lineRule="auto"/>
        <w:ind w:firstLine="420" w:firstLineChars="200"/>
        <w:jc w:val="left"/>
        <w:rPr>
          <w:rFonts w:cs="宋体"/>
          <w:color w:val="auto"/>
        </w:rPr>
      </w:pPr>
      <w:r>
        <w:rPr>
          <w:rFonts w:hint="eastAsia" w:cs="宋体"/>
          <w:color w:val="auto"/>
        </w:rPr>
        <w:t>不在提供商品和服务时“偷梁换柱、以次充好”损害采购人的合法权益。</w:t>
      </w:r>
    </w:p>
    <w:p>
      <w:pPr>
        <w:widowControl/>
        <w:numPr>
          <w:ilvl w:val="0"/>
          <w:numId w:val="3"/>
        </w:numPr>
        <w:spacing w:line="408" w:lineRule="auto"/>
        <w:ind w:firstLine="420" w:firstLineChars="200"/>
        <w:jc w:val="left"/>
        <w:rPr>
          <w:rFonts w:cs="宋体"/>
          <w:color w:val="auto"/>
        </w:rPr>
      </w:pPr>
      <w:r>
        <w:rPr>
          <w:rFonts w:hint="eastAsia" w:cs="宋体"/>
          <w:color w:val="auto"/>
        </w:rPr>
        <w:t>不与采购人、采购代理机构政府采购评审专家或其它供应商恶意串通，进行质疑和投诉，维护政府采购市场秩序。</w:t>
      </w:r>
    </w:p>
    <w:p>
      <w:pPr>
        <w:widowControl/>
        <w:numPr>
          <w:ilvl w:val="0"/>
          <w:numId w:val="3"/>
        </w:numPr>
        <w:spacing w:line="408" w:lineRule="auto"/>
        <w:ind w:firstLine="420" w:firstLineChars="200"/>
        <w:jc w:val="left"/>
        <w:rPr>
          <w:rFonts w:cs="宋体"/>
          <w:color w:val="auto"/>
        </w:rPr>
      </w:pPr>
      <w:r>
        <w:rPr>
          <w:rFonts w:hint="eastAsia" w:cs="宋体"/>
          <w:color w:val="auto"/>
        </w:rPr>
        <w:t>尊重和接受政府采购监督管理部门的监督和政府采购代理机构招标采购要求，承担因违约行为给采购人造成的损失。</w:t>
      </w:r>
    </w:p>
    <w:p>
      <w:pPr>
        <w:widowControl/>
        <w:numPr>
          <w:ilvl w:val="0"/>
          <w:numId w:val="3"/>
        </w:numPr>
        <w:spacing w:line="408" w:lineRule="auto"/>
        <w:ind w:firstLine="420" w:firstLineChars="200"/>
        <w:jc w:val="left"/>
        <w:rPr>
          <w:rFonts w:cs="宋体"/>
          <w:color w:val="auto"/>
        </w:rPr>
      </w:pPr>
      <w:r>
        <w:rPr>
          <w:rFonts w:hint="eastAsia" w:cs="宋体"/>
          <w:color w:val="auto"/>
        </w:rPr>
        <w:t>不发生其他有悖于政府采购公开、公平、公正和诚信原则的行为。</w:t>
      </w:r>
    </w:p>
    <w:p>
      <w:pPr>
        <w:pStyle w:val="2"/>
        <w:ind w:firstLine="489"/>
        <w:rPr>
          <w:rFonts w:ascii="宋体" w:hAnsi="宋体" w:cs="宋体"/>
          <w:color w:val="auto"/>
        </w:rPr>
      </w:pPr>
    </w:p>
    <w:p>
      <w:pPr>
        <w:widowControl/>
        <w:spacing w:line="408" w:lineRule="auto"/>
        <w:ind w:left="239" w:leftChars="114"/>
        <w:jc w:val="left"/>
        <w:rPr>
          <w:rFonts w:cs="宋体"/>
          <w:color w:val="auto"/>
        </w:rPr>
      </w:pPr>
      <w:r>
        <w:rPr>
          <w:rFonts w:hint="eastAsia" w:cs="宋体"/>
          <w:color w:val="auto"/>
        </w:rPr>
        <w:t>承诺单位：</w:t>
      </w:r>
      <w:r>
        <w:rPr>
          <w:rFonts w:hint="eastAsia" w:cs="宋体"/>
          <w:color w:val="auto"/>
          <w:u w:val="single"/>
        </w:rPr>
        <w:t xml:space="preserve">                       </w:t>
      </w:r>
      <w:r>
        <w:rPr>
          <w:rFonts w:hint="eastAsia" w:cs="宋体"/>
          <w:color w:val="auto"/>
        </w:rPr>
        <w:t>（盖章）</w:t>
      </w:r>
    </w:p>
    <w:p>
      <w:pPr>
        <w:widowControl/>
        <w:spacing w:line="408" w:lineRule="auto"/>
        <w:ind w:left="239" w:leftChars="114"/>
        <w:jc w:val="left"/>
        <w:rPr>
          <w:rFonts w:cs="宋体"/>
          <w:color w:val="auto"/>
        </w:rPr>
      </w:pPr>
      <w:r>
        <w:rPr>
          <w:rFonts w:hint="eastAsia" w:cs="宋体"/>
          <w:color w:val="auto"/>
          <w:spacing w:val="4"/>
        </w:rPr>
        <w:t>法定代表人或被授权人</w:t>
      </w:r>
      <w:r>
        <w:rPr>
          <w:rFonts w:hint="eastAsia" w:cs="宋体"/>
          <w:color w:val="auto"/>
        </w:rPr>
        <w:t>：</w:t>
      </w:r>
      <w:r>
        <w:rPr>
          <w:rFonts w:hint="eastAsia" w:cs="宋体"/>
          <w:color w:val="auto"/>
          <w:u w:val="single"/>
        </w:rPr>
        <w:t xml:space="preserve">                       </w:t>
      </w:r>
      <w:r>
        <w:rPr>
          <w:rFonts w:hint="eastAsia" w:cs="宋体"/>
          <w:color w:val="auto"/>
        </w:rPr>
        <w:t>（</w:t>
      </w:r>
      <w:r>
        <w:rPr>
          <w:rFonts w:hint="eastAsia" w:cs="宋体"/>
          <w:color w:val="auto"/>
          <w:szCs w:val="24"/>
        </w:rPr>
        <w:t>签字或</w:t>
      </w:r>
      <w:r>
        <w:rPr>
          <w:rFonts w:hint="eastAsia" w:cs="宋体"/>
          <w:color w:val="auto"/>
        </w:rPr>
        <w:t>盖章）</w:t>
      </w:r>
    </w:p>
    <w:p>
      <w:pPr>
        <w:widowControl/>
        <w:spacing w:line="408" w:lineRule="auto"/>
        <w:ind w:left="239" w:leftChars="114"/>
        <w:jc w:val="left"/>
        <w:rPr>
          <w:rFonts w:cs="宋体"/>
          <w:color w:val="auto"/>
        </w:rPr>
      </w:pPr>
      <w:r>
        <w:rPr>
          <w:rFonts w:hint="eastAsia" w:cs="宋体"/>
          <w:color w:val="auto"/>
        </w:rPr>
        <w:t>地  址：</w:t>
      </w:r>
      <w:r>
        <w:rPr>
          <w:rFonts w:hint="eastAsia" w:cs="宋体"/>
          <w:color w:val="auto"/>
          <w:u w:val="single"/>
        </w:rPr>
        <w:t>             </w:t>
      </w:r>
      <w:r>
        <w:rPr>
          <w:rFonts w:hint="eastAsia" w:cs="宋体"/>
          <w:color w:val="auto"/>
        </w:rPr>
        <w:t>  </w:t>
      </w:r>
    </w:p>
    <w:p>
      <w:pPr>
        <w:widowControl/>
        <w:spacing w:line="408" w:lineRule="auto"/>
        <w:ind w:left="239" w:leftChars="114"/>
        <w:jc w:val="left"/>
        <w:rPr>
          <w:rFonts w:cs="宋体"/>
          <w:color w:val="auto"/>
        </w:rPr>
      </w:pPr>
      <w:r>
        <w:rPr>
          <w:rFonts w:hint="eastAsia" w:cs="宋体"/>
          <w:color w:val="auto"/>
        </w:rPr>
        <w:t>电  话：</w:t>
      </w:r>
      <w:r>
        <w:rPr>
          <w:rFonts w:hint="eastAsia" w:cs="宋体"/>
          <w:color w:val="auto"/>
          <w:u w:val="single"/>
        </w:rPr>
        <w:t>             </w:t>
      </w:r>
      <w:r>
        <w:rPr>
          <w:rFonts w:hint="eastAsia" w:cs="宋体"/>
          <w:color w:val="auto"/>
        </w:rPr>
        <w:t>                     </w:t>
      </w:r>
      <w:r>
        <w:rPr>
          <w:rFonts w:hint="eastAsia" w:cs="宋体"/>
          <w:color w:val="auto"/>
          <w:szCs w:val="24"/>
        </w:rPr>
        <w:t xml:space="preserve">日    期：    </w:t>
      </w:r>
      <w:r>
        <w:rPr>
          <w:rFonts w:hint="eastAsia" w:cs="宋体"/>
          <w:color w:val="auto"/>
        </w:rPr>
        <w:t xml:space="preserve"> 年  月  日</w:t>
      </w:r>
    </w:p>
    <w:p>
      <w:pPr>
        <w:spacing w:line="500" w:lineRule="exact"/>
        <w:ind w:firstLine="211" w:firstLineChars="100"/>
        <w:jc w:val="center"/>
        <w:rPr>
          <w:rFonts w:cs="宋体"/>
          <w:b/>
          <w:bCs/>
          <w:color w:val="auto"/>
          <w:kern w:val="20"/>
          <w:szCs w:val="24"/>
          <w:lang w:val="zh-CN"/>
        </w:rPr>
      </w:pPr>
      <w:bookmarkStart w:id="230" w:name="_Toc28113"/>
      <w:bookmarkStart w:id="231" w:name="_Toc20139"/>
      <w:bookmarkStart w:id="232" w:name="_Toc403077657"/>
      <w:bookmarkStart w:id="233" w:name="_Toc7550"/>
      <w:bookmarkStart w:id="234" w:name="_Toc23245"/>
      <w:bookmarkStart w:id="235" w:name="_Toc8066"/>
      <w:bookmarkStart w:id="236" w:name="_Toc363474034"/>
      <w:bookmarkStart w:id="237" w:name="_Toc426457715"/>
      <w:bookmarkStart w:id="238" w:name="_Toc155"/>
      <w:r>
        <w:rPr>
          <w:rFonts w:hint="eastAsia" w:cs="宋体"/>
          <w:b/>
          <w:bCs/>
          <w:color w:val="auto"/>
          <w:kern w:val="20"/>
          <w:szCs w:val="24"/>
        </w:rPr>
        <w:br w:type="page"/>
      </w:r>
      <w:r>
        <w:rPr>
          <w:rFonts w:hint="eastAsia" w:cs="宋体"/>
          <w:b/>
          <w:bCs/>
          <w:color w:val="auto"/>
          <w:kern w:val="20"/>
          <w:szCs w:val="24"/>
        </w:rPr>
        <w:t>5.2</w:t>
      </w:r>
      <w:r>
        <w:rPr>
          <w:rFonts w:hint="eastAsia" w:cs="宋体"/>
          <w:b/>
          <w:bCs/>
          <w:color w:val="auto"/>
          <w:kern w:val="20"/>
          <w:szCs w:val="24"/>
          <w:lang w:val="zh-CN"/>
        </w:rPr>
        <w:t xml:space="preserve"> 供应商企业关系关联承诺书</w:t>
      </w:r>
    </w:p>
    <w:p>
      <w:pPr>
        <w:rPr>
          <w:rFonts w:cs="宋体"/>
          <w:color w:val="auto"/>
          <w:lang w:val="zh-CN"/>
        </w:rPr>
      </w:pPr>
    </w:p>
    <w:p>
      <w:pPr>
        <w:spacing w:line="500" w:lineRule="exact"/>
        <w:ind w:firstLine="210" w:firstLineChars="100"/>
        <w:rPr>
          <w:rFonts w:cs="宋体"/>
          <w:color w:val="auto"/>
          <w:szCs w:val="24"/>
        </w:rPr>
      </w:pPr>
      <w:r>
        <w:rPr>
          <w:rFonts w:hint="eastAsia" w:cs="宋体"/>
          <w:color w:val="auto"/>
          <w:szCs w:val="24"/>
        </w:rPr>
        <w:t>1、供应商在本项目投标中，不存在与其它供应商负责人为同一人，有控股、管理等关联关系承诺：</w:t>
      </w:r>
    </w:p>
    <w:p>
      <w:pPr>
        <w:spacing w:line="500" w:lineRule="exact"/>
        <w:ind w:firstLine="210" w:firstLineChars="100"/>
        <w:rPr>
          <w:rFonts w:cs="宋体"/>
          <w:color w:val="auto"/>
          <w:szCs w:val="24"/>
        </w:rPr>
      </w:pPr>
      <w:r>
        <w:rPr>
          <w:rFonts w:hint="eastAsia" w:cs="宋体"/>
          <w:color w:val="auto"/>
          <w:szCs w:val="24"/>
        </w:rPr>
        <w:t>1.1管理关系说明：</w:t>
      </w:r>
    </w:p>
    <w:p>
      <w:pPr>
        <w:spacing w:line="500" w:lineRule="exact"/>
        <w:ind w:firstLine="210" w:firstLineChars="100"/>
        <w:rPr>
          <w:rFonts w:cs="宋体"/>
          <w:color w:val="auto"/>
          <w:szCs w:val="24"/>
        </w:rPr>
      </w:pPr>
      <w:r>
        <w:rPr>
          <w:rFonts w:hint="eastAsia" w:cs="宋体"/>
          <w:color w:val="auto"/>
          <w:szCs w:val="24"/>
        </w:rPr>
        <w:t>我单位管理的具有独立法人的下属单位有</w:t>
      </w:r>
      <w:r>
        <w:rPr>
          <w:rFonts w:hint="eastAsia" w:cs="宋体"/>
          <w:color w:val="auto"/>
          <w:szCs w:val="24"/>
          <w:u w:val="single"/>
        </w:rPr>
        <w:t xml:space="preserve">：                 </w:t>
      </w:r>
      <w:r>
        <w:rPr>
          <w:rFonts w:hint="eastAsia" w:cs="宋体"/>
          <w:color w:val="auto"/>
          <w:szCs w:val="24"/>
        </w:rPr>
        <w:t>。</w:t>
      </w:r>
    </w:p>
    <w:p>
      <w:pPr>
        <w:spacing w:line="500" w:lineRule="exact"/>
        <w:ind w:firstLine="210" w:firstLineChars="100"/>
        <w:rPr>
          <w:rFonts w:cs="宋体"/>
          <w:color w:val="auto"/>
          <w:szCs w:val="24"/>
        </w:rPr>
      </w:pPr>
      <w:r>
        <w:rPr>
          <w:rFonts w:hint="eastAsia" w:cs="宋体"/>
          <w:color w:val="auto"/>
          <w:szCs w:val="24"/>
        </w:rPr>
        <w:t>我单位的上级管理单位有：</w:t>
      </w:r>
      <w:r>
        <w:rPr>
          <w:rFonts w:hint="eastAsia" w:cs="宋体"/>
          <w:color w:val="auto"/>
          <w:szCs w:val="24"/>
          <w:u w:val="single"/>
        </w:rPr>
        <w:t xml:space="preserve">              </w:t>
      </w:r>
      <w:r>
        <w:rPr>
          <w:rFonts w:hint="eastAsia" w:cs="宋体"/>
          <w:color w:val="auto"/>
          <w:szCs w:val="24"/>
        </w:rPr>
        <w:t>。</w:t>
      </w:r>
    </w:p>
    <w:p>
      <w:pPr>
        <w:spacing w:line="500" w:lineRule="exact"/>
        <w:ind w:firstLine="210" w:firstLineChars="100"/>
        <w:rPr>
          <w:rFonts w:cs="宋体"/>
          <w:color w:val="auto"/>
          <w:szCs w:val="24"/>
        </w:rPr>
      </w:pPr>
      <w:r>
        <w:rPr>
          <w:rFonts w:hint="eastAsia" w:cs="宋体"/>
          <w:color w:val="auto"/>
          <w:szCs w:val="24"/>
        </w:rPr>
        <w:t>1.2股权关系说明：</w:t>
      </w:r>
    </w:p>
    <w:p>
      <w:pPr>
        <w:spacing w:line="500" w:lineRule="exact"/>
        <w:ind w:firstLine="210" w:firstLineChars="100"/>
        <w:rPr>
          <w:rFonts w:cs="宋体"/>
          <w:color w:val="auto"/>
          <w:szCs w:val="24"/>
        </w:rPr>
      </w:pPr>
      <w:r>
        <w:rPr>
          <w:rFonts w:hint="eastAsia" w:cs="宋体"/>
          <w:color w:val="auto"/>
          <w:szCs w:val="24"/>
        </w:rPr>
        <w:t>我单位控股的单位有：</w:t>
      </w:r>
      <w:r>
        <w:rPr>
          <w:rFonts w:hint="eastAsia" w:cs="宋体"/>
          <w:color w:val="auto"/>
          <w:szCs w:val="24"/>
          <w:u w:val="single"/>
        </w:rPr>
        <w:t xml:space="preserve">           </w:t>
      </w:r>
      <w:r>
        <w:rPr>
          <w:rFonts w:hint="eastAsia" w:cs="宋体"/>
          <w:color w:val="auto"/>
          <w:szCs w:val="24"/>
        </w:rPr>
        <w:t>。</w:t>
      </w:r>
    </w:p>
    <w:p>
      <w:pPr>
        <w:spacing w:line="500" w:lineRule="exact"/>
        <w:ind w:firstLine="210" w:firstLineChars="100"/>
        <w:rPr>
          <w:rFonts w:cs="宋体"/>
          <w:color w:val="auto"/>
          <w:szCs w:val="24"/>
        </w:rPr>
      </w:pPr>
      <w:r>
        <w:rPr>
          <w:rFonts w:hint="eastAsia" w:cs="宋体"/>
          <w:color w:val="auto"/>
          <w:szCs w:val="24"/>
        </w:rPr>
        <w:t>我单位被</w:t>
      </w:r>
      <w:r>
        <w:rPr>
          <w:rFonts w:hint="eastAsia" w:cs="宋体"/>
          <w:color w:val="auto"/>
          <w:szCs w:val="24"/>
          <w:u w:val="single"/>
        </w:rPr>
        <w:t xml:space="preserve">              </w:t>
      </w:r>
      <w:r>
        <w:rPr>
          <w:rFonts w:hint="eastAsia" w:cs="宋体"/>
          <w:color w:val="auto"/>
          <w:szCs w:val="24"/>
        </w:rPr>
        <w:t>单位控股。</w:t>
      </w:r>
    </w:p>
    <w:p>
      <w:pPr>
        <w:spacing w:line="500" w:lineRule="exact"/>
        <w:ind w:firstLine="210" w:firstLineChars="100"/>
        <w:rPr>
          <w:rFonts w:cs="宋体"/>
          <w:color w:val="auto"/>
          <w:szCs w:val="24"/>
          <w:u w:val="single"/>
        </w:rPr>
      </w:pPr>
      <w:r>
        <w:rPr>
          <w:rFonts w:hint="eastAsia" w:cs="宋体"/>
          <w:color w:val="auto"/>
          <w:szCs w:val="24"/>
        </w:rPr>
        <w:t>1.3、单位负责人</w:t>
      </w:r>
      <w:r>
        <w:rPr>
          <w:rFonts w:hint="eastAsia" w:cs="宋体"/>
          <w:color w:val="auto"/>
          <w:szCs w:val="24"/>
          <w:u w:val="single"/>
        </w:rPr>
        <w:t xml:space="preserve">               </w:t>
      </w:r>
      <w:r>
        <w:rPr>
          <w:rFonts w:hint="eastAsia" w:cs="宋体"/>
          <w:color w:val="auto"/>
          <w:szCs w:val="24"/>
        </w:rPr>
        <w:t>（是或否）存在与其它供应商负责人为同一人。</w:t>
      </w:r>
    </w:p>
    <w:p>
      <w:pPr>
        <w:spacing w:line="500" w:lineRule="exact"/>
        <w:ind w:firstLine="210" w:firstLineChars="100"/>
        <w:rPr>
          <w:rFonts w:cs="宋体"/>
          <w:color w:val="auto"/>
          <w:szCs w:val="24"/>
        </w:rPr>
      </w:pPr>
      <w:r>
        <w:rPr>
          <w:rFonts w:hint="eastAsia" w:cs="宋体"/>
          <w:color w:val="auto"/>
          <w:szCs w:val="24"/>
        </w:rPr>
        <w:t>2、</w:t>
      </w:r>
      <w:r>
        <w:rPr>
          <w:rFonts w:hint="eastAsia" w:cs="宋体"/>
          <w:color w:val="auto"/>
          <w:szCs w:val="24"/>
          <w:u w:val="single"/>
        </w:rPr>
        <w:t xml:space="preserve">              </w:t>
      </w:r>
      <w:r>
        <w:rPr>
          <w:rFonts w:hint="eastAsia" w:cs="宋体"/>
          <w:color w:val="auto"/>
          <w:szCs w:val="24"/>
        </w:rPr>
        <w:t>（是或否） 为采购项目提供整体设计、规范编制或者项目管理、监理、检测等服务的供应商。</w:t>
      </w:r>
    </w:p>
    <w:p>
      <w:pPr>
        <w:spacing w:line="500" w:lineRule="exact"/>
        <w:ind w:firstLine="210" w:firstLineChars="100"/>
        <w:rPr>
          <w:rFonts w:cs="宋体"/>
          <w:color w:val="auto"/>
          <w:szCs w:val="24"/>
          <w:u w:val="single"/>
        </w:rPr>
      </w:pPr>
      <w:r>
        <w:rPr>
          <w:rFonts w:hint="eastAsia" w:cs="宋体"/>
          <w:color w:val="auto"/>
          <w:szCs w:val="24"/>
        </w:rPr>
        <w:t>3、其他与本项目有关的利害关系说明：</w:t>
      </w:r>
      <w:r>
        <w:rPr>
          <w:rFonts w:hint="eastAsia" w:cs="宋体"/>
          <w:color w:val="auto"/>
          <w:szCs w:val="24"/>
          <w:u w:val="single"/>
        </w:rPr>
        <w:t xml:space="preserve">                               </w:t>
      </w:r>
    </w:p>
    <w:p>
      <w:pPr>
        <w:rPr>
          <w:rFonts w:cs="宋体"/>
          <w:color w:val="auto"/>
        </w:rPr>
      </w:pPr>
    </w:p>
    <w:p>
      <w:pPr>
        <w:spacing w:line="500" w:lineRule="exact"/>
        <w:ind w:firstLine="210" w:firstLineChars="100"/>
        <w:rPr>
          <w:rFonts w:cs="宋体"/>
          <w:color w:val="auto"/>
          <w:szCs w:val="24"/>
        </w:rPr>
      </w:pPr>
      <w:r>
        <w:rPr>
          <w:rFonts w:hint="eastAsia" w:cs="宋体"/>
          <w:color w:val="auto"/>
          <w:szCs w:val="24"/>
        </w:rPr>
        <w:t>我单位承诺以上说明真实有效，无虚假内容或隐瞒。</w:t>
      </w:r>
    </w:p>
    <w:p>
      <w:pPr>
        <w:spacing w:line="500" w:lineRule="exact"/>
        <w:ind w:firstLine="210" w:firstLineChars="100"/>
        <w:rPr>
          <w:rFonts w:cs="宋体"/>
          <w:color w:val="auto"/>
          <w:szCs w:val="24"/>
        </w:rPr>
      </w:pPr>
    </w:p>
    <w:p>
      <w:pPr>
        <w:rPr>
          <w:rFonts w:cs="宋体"/>
          <w:color w:val="auto"/>
        </w:rPr>
      </w:pPr>
    </w:p>
    <w:p>
      <w:pPr>
        <w:spacing w:line="500" w:lineRule="exact"/>
        <w:ind w:firstLine="2100" w:firstLineChars="1000"/>
        <w:rPr>
          <w:rFonts w:cs="宋体"/>
          <w:color w:val="auto"/>
          <w:szCs w:val="24"/>
        </w:rPr>
      </w:pPr>
      <w:r>
        <w:rPr>
          <w:rFonts w:hint="eastAsia" w:cs="宋体"/>
          <w:color w:val="auto"/>
          <w:szCs w:val="24"/>
        </w:rPr>
        <w:t>供应商名称</w:t>
      </w:r>
      <w:r>
        <w:rPr>
          <w:rFonts w:hint="eastAsia" w:cs="宋体"/>
          <w:color w:val="auto"/>
          <w:szCs w:val="24"/>
          <w:u w:val="single"/>
        </w:rPr>
        <w:t xml:space="preserve">：                     </w:t>
      </w:r>
      <w:r>
        <w:rPr>
          <w:rFonts w:hint="eastAsia" w:cs="宋体"/>
          <w:color w:val="auto"/>
          <w:szCs w:val="24"/>
        </w:rPr>
        <w:t>（盖单位公章）</w:t>
      </w:r>
    </w:p>
    <w:p>
      <w:pPr>
        <w:spacing w:line="500" w:lineRule="exact"/>
        <w:ind w:firstLine="210" w:firstLineChars="100"/>
        <w:rPr>
          <w:rFonts w:cs="宋体"/>
          <w:color w:val="auto"/>
          <w:szCs w:val="24"/>
        </w:rPr>
      </w:pPr>
    </w:p>
    <w:p>
      <w:pPr>
        <w:spacing w:line="500" w:lineRule="exact"/>
        <w:ind w:firstLine="2100" w:firstLineChars="1000"/>
        <w:rPr>
          <w:rFonts w:cs="宋体"/>
          <w:color w:val="auto"/>
          <w:szCs w:val="24"/>
        </w:rPr>
      </w:pPr>
      <w:r>
        <w:rPr>
          <w:rFonts w:hint="eastAsia" w:cs="宋体"/>
          <w:color w:val="auto"/>
          <w:szCs w:val="24"/>
        </w:rPr>
        <w:t>法定代表人或被授权人</w:t>
      </w:r>
      <w:r>
        <w:rPr>
          <w:rFonts w:hint="eastAsia" w:cs="宋体"/>
          <w:color w:val="auto"/>
          <w:szCs w:val="24"/>
          <w:u w:val="single"/>
        </w:rPr>
        <w:t xml:space="preserve">：      </w:t>
      </w:r>
      <w:r>
        <w:rPr>
          <w:rFonts w:hint="eastAsia" w:cs="宋体"/>
          <w:color w:val="auto"/>
          <w:szCs w:val="24"/>
        </w:rPr>
        <w:t>（签字或盖章）</w:t>
      </w:r>
    </w:p>
    <w:p>
      <w:pPr>
        <w:spacing w:line="500" w:lineRule="exact"/>
        <w:ind w:firstLine="210" w:firstLineChars="100"/>
        <w:rPr>
          <w:rFonts w:cs="宋体"/>
          <w:color w:val="auto"/>
          <w:szCs w:val="24"/>
        </w:rPr>
      </w:pPr>
      <w:r>
        <w:rPr>
          <w:rFonts w:hint="eastAsia" w:cs="宋体"/>
          <w:color w:val="auto"/>
          <w:szCs w:val="24"/>
        </w:rPr>
        <w:t xml:space="preserve">      </w:t>
      </w:r>
    </w:p>
    <w:p>
      <w:pPr>
        <w:spacing w:line="500" w:lineRule="exact"/>
        <w:ind w:firstLine="2100" w:firstLineChars="1000"/>
        <w:rPr>
          <w:rFonts w:cs="宋体"/>
          <w:color w:val="auto"/>
          <w:szCs w:val="24"/>
        </w:rPr>
      </w:pPr>
      <w:r>
        <w:rPr>
          <w:rFonts w:hint="eastAsia" w:cs="宋体"/>
          <w:color w:val="auto"/>
          <w:szCs w:val="24"/>
        </w:rPr>
        <w:t>日      期：      年   月    日</w:t>
      </w:r>
    </w:p>
    <w:p>
      <w:pPr>
        <w:pStyle w:val="6"/>
        <w:rPr>
          <w:rFonts w:ascii="宋体" w:hAnsi="宋体" w:cs="宋体"/>
          <w:color w:val="auto"/>
          <w:sz w:val="32"/>
        </w:rPr>
      </w:pPr>
      <w:bookmarkStart w:id="239" w:name="_Toc17090"/>
      <w:bookmarkStart w:id="240" w:name="_Toc19310"/>
      <w:bookmarkStart w:id="241" w:name="_Toc15526"/>
      <w:r>
        <w:rPr>
          <w:rFonts w:hint="eastAsia" w:ascii="宋体" w:hAnsi="宋体" w:cs="宋体"/>
          <w:color w:val="auto"/>
          <w:sz w:val="32"/>
        </w:rPr>
        <w:br w:type="column"/>
      </w:r>
      <w:r>
        <w:rPr>
          <w:rFonts w:hint="eastAsia" w:ascii="宋体" w:hAnsi="宋体" w:cs="宋体"/>
          <w:color w:val="auto"/>
          <w:sz w:val="32"/>
        </w:rPr>
        <w:t>六、资格证明文件</w:t>
      </w:r>
      <w:bookmarkEnd w:id="230"/>
      <w:bookmarkEnd w:id="231"/>
      <w:bookmarkEnd w:id="232"/>
      <w:bookmarkEnd w:id="233"/>
      <w:bookmarkEnd w:id="234"/>
      <w:bookmarkEnd w:id="235"/>
      <w:bookmarkEnd w:id="236"/>
      <w:bookmarkEnd w:id="237"/>
      <w:bookmarkEnd w:id="238"/>
      <w:bookmarkEnd w:id="239"/>
      <w:bookmarkEnd w:id="240"/>
      <w:bookmarkEnd w:id="241"/>
    </w:p>
    <w:p>
      <w:pPr>
        <w:spacing w:line="360" w:lineRule="auto"/>
        <w:rPr>
          <w:rFonts w:cs="宋体"/>
          <w:color w:val="auto"/>
          <w:szCs w:val="24"/>
        </w:rPr>
      </w:pPr>
      <w:r>
        <w:rPr>
          <w:rFonts w:hint="eastAsia" w:cs="宋体"/>
          <w:b/>
          <w:bCs/>
          <w:color w:val="auto"/>
          <w:szCs w:val="24"/>
        </w:rPr>
        <w:t>（一）基本资格条件：符合《中华人民共和国政府采购法》第二十二条的规定，并提供以下资料；</w:t>
      </w:r>
    </w:p>
    <w:p>
      <w:pPr>
        <w:spacing w:line="360" w:lineRule="auto"/>
        <w:rPr>
          <w:rFonts w:cs="宋体"/>
          <w:color w:val="auto"/>
          <w:szCs w:val="22"/>
        </w:rPr>
      </w:pPr>
      <w:r>
        <w:rPr>
          <w:rFonts w:hint="eastAsia" w:cs="宋体"/>
          <w:color w:val="auto"/>
          <w:szCs w:val="22"/>
        </w:rPr>
        <w:t>1、具有独立承担民事责任能力的法人、其他组织或自然人，并出具合法有效的营业执照或事业单位法人证书等国家规定的相关证明，自然人参与的提供其身份证明；</w:t>
      </w:r>
    </w:p>
    <w:p>
      <w:pPr>
        <w:spacing w:line="360" w:lineRule="auto"/>
        <w:rPr>
          <w:rFonts w:cs="宋体"/>
          <w:color w:val="auto"/>
          <w:szCs w:val="22"/>
        </w:rPr>
      </w:pPr>
      <w:r>
        <w:rPr>
          <w:rFonts w:hint="eastAsia" w:cs="宋体"/>
          <w:color w:val="auto"/>
          <w:szCs w:val="22"/>
        </w:rPr>
        <w:t xml:space="preserve">2、财务状况报告：提供2020年度或2021年度的财务审计报告（至少包括资产负债表和利润表，成立时间至提交投标文件截止时间不足一年的可提供成立后任意时段的资产负债表），或其开标前六个月内银行开具的资信证明； </w:t>
      </w:r>
    </w:p>
    <w:p>
      <w:pPr>
        <w:spacing w:line="360" w:lineRule="auto"/>
        <w:rPr>
          <w:rFonts w:cs="宋体"/>
          <w:color w:val="auto"/>
          <w:szCs w:val="22"/>
        </w:rPr>
      </w:pPr>
      <w:r>
        <w:rPr>
          <w:rFonts w:hint="eastAsia" w:cs="宋体"/>
          <w:color w:val="auto"/>
          <w:szCs w:val="22"/>
        </w:rPr>
        <w:t xml:space="preserve">3、税收缴纳证明：提供投标文件递交截止日前一年内已缴纳的至少一个月的纳税证明或完税证明，依法免税的单位应提供相关证明材料； </w:t>
      </w:r>
    </w:p>
    <w:p>
      <w:pPr>
        <w:spacing w:line="360" w:lineRule="auto"/>
        <w:rPr>
          <w:rFonts w:cs="宋体"/>
          <w:color w:val="auto"/>
          <w:szCs w:val="22"/>
        </w:rPr>
      </w:pPr>
      <w:r>
        <w:rPr>
          <w:rFonts w:hint="eastAsia" w:cs="宋体"/>
          <w:color w:val="auto"/>
          <w:szCs w:val="22"/>
        </w:rPr>
        <w:t xml:space="preserve">4、社会保障资金缴纳证明：提供投标文件递交截止日前一年内已缴存的至少一个月的社会保障资金缴存单据或社保机构开具的社会保险参保缴费情况证明，依法不需要缴纳社会保障资金的单位应提供相关证明材料； </w:t>
      </w:r>
    </w:p>
    <w:p>
      <w:pPr>
        <w:spacing w:line="360" w:lineRule="auto"/>
        <w:rPr>
          <w:rFonts w:cs="宋体"/>
          <w:color w:val="auto"/>
          <w:szCs w:val="22"/>
        </w:rPr>
      </w:pPr>
      <w:r>
        <w:rPr>
          <w:rFonts w:hint="eastAsia" w:cs="宋体"/>
          <w:color w:val="auto"/>
          <w:szCs w:val="22"/>
        </w:rPr>
        <w:t>5、参加政府采购活动前3年内，在经营活动中没有重大违法记录的书面声明；</w:t>
      </w:r>
    </w:p>
    <w:p>
      <w:pPr>
        <w:spacing w:line="360" w:lineRule="auto"/>
        <w:rPr>
          <w:rFonts w:cs="宋体"/>
          <w:color w:val="auto"/>
        </w:rPr>
      </w:pPr>
      <w:r>
        <w:rPr>
          <w:rFonts w:hint="eastAsia" w:cs="宋体"/>
          <w:color w:val="auto"/>
          <w:szCs w:val="22"/>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b/>
          <w:bCs/>
          <w:color w:val="auto"/>
          <w:sz w:val="24"/>
          <w:szCs w:val="24"/>
        </w:rPr>
      </w:pPr>
      <w:r>
        <w:rPr>
          <w:rFonts w:hint="eastAsia" w:cs="宋体"/>
          <w:b/>
          <w:bCs/>
          <w:color w:val="auto"/>
          <w:sz w:val="24"/>
          <w:szCs w:val="24"/>
        </w:rPr>
        <w:t>（二）特定资格条件：</w:t>
      </w:r>
    </w:p>
    <w:p>
      <w:pPr>
        <w:spacing w:line="360" w:lineRule="auto"/>
        <w:rPr>
          <w:rFonts w:cs="宋体"/>
          <w:color w:val="auto"/>
        </w:rPr>
      </w:pPr>
      <w:r>
        <w:rPr>
          <w:rFonts w:hint="eastAsia" w:cs="宋体"/>
          <w:color w:val="auto"/>
        </w:rPr>
        <w:t>（1）法定代表人直接参加投标的，须出具法人身份证明及身份证；法定代表人授权代表参加投标的，须出具法定代表人授权书及授权代表身份证； </w:t>
      </w:r>
    </w:p>
    <w:p>
      <w:pPr>
        <w:spacing w:line="360" w:lineRule="auto"/>
        <w:rPr>
          <w:rFonts w:cs="宋体"/>
          <w:color w:val="auto"/>
        </w:rPr>
      </w:pPr>
      <w:r>
        <w:rPr>
          <w:rFonts w:hint="eastAsia" w:cs="宋体"/>
          <w:color w:val="auto"/>
        </w:rPr>
        <w:t>（2）单位负责人为同一人或者存在直接控股、管理关系的不同供应商，不得参加同一合同项下的政府采购活动；</w:t>
      </w:r>
    </w:p>
    <w:p>
      <w:pPr>
        <w:spacing w:line="360" w:lineRule="auto"/>
        <w:rPr>
          <w:rFonts w:hint="eastAsia" w:eastAsia="宋体" w:cs="宋体"/>
          <w:color w:val="auto"/>
          <w:lang w:eastAsia="zh-CN"/>
        </w:rPr>
      </w:pPr>
      <w:r>
        <w:rPr>
          <w:rFonts w:hint="eastAsia" w:cs="宋体"/>
          <w:color w:val="auto"/>
        </w:rPr>
        <w:t>（3）本项目专门面向中小企业采购</w:t>
      </w:r>
      <w:r>
        <w:rPr>
          <w:rFonts w:hint="eastAsia" w:cs="宋体"/>
          <w:color w:val="auto"/>
          <w:lang w:eastAsia="zh-CN"/>
        </w:rPr>
        <w:t>。</w:t>
      </w:r>
    </w:p>
    <w:p>
      <w:pPr>
        <w:spacing w:line="360" w:lineRule="auto"/>
        <w:rPr>
          <w:rFonts w:cs="宋体"/>
          <w:color w:val="auto"/>
        </w:rPr>
      </w:pPr>
      <w:r>
        <w:rPr>
          <w:rFonts w:hint="eastAsia" w:cs="宋体"/>
          <w:color w:val="auto"/>
        </w:rPr>
        <w:br w:type="page"/>
      </w:r>
    </w:p>
    <w:p>
      <w:pPr>
        <w:spacing w:before="120" w:beforeLines="50"/>
        <w:rPr>
          <w:rFonts w:cs="宋体"/>
          <w:b/>
          <w:bCs/>
          <w:color w:val="auto"/>
          <w:sz w:val="30"/>
          <w:szCs w:val="30"/>
        </w:rPr>
      </w:pPr>
      <w:r>
        <w:rPr>
          <w:rFonts w:hint="eastAsia" w:cs="宋体"/>
          <w:b/>
          <w:bCs/>
          <w:color w:val="auto"/>
          <w:sz w:val="30"/>
          <w:szCs w:val="30"/>
        </w:rPr>
        <w:t>附件1</w:t>
      </w:r>
    </w:p>
    <w:p>
      <w:pPr>
        <w:spacing w:before="120" w:beforeLines="50"/>
        <w:jc w:val="center"/>
        <w:rPr>
          <w:rFonts w:cs="宋体"/>
          <w:b/>
          <w:bCs/>
          <w:color w:val="auto"/>
          <w:sz w:val="30"/>
          <w:szCs w:val="30"/>
        </w:rPr>
      </w:pPr>
      <w:r>
        <w:rPr>
          <w:rFonts w:hint="eastAsia" w:cs="宋体"/>
          <w:b/>
          <w:bCs/>
          <w:color w:val="auto"/>
          <w:sz w:val="30"/>
          <w:szCs w:val="30"/>
        </w:rPr>
        <w:t>法定代表人身份证明</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 xml:space="preserve"> </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统一社会信用代码：</w:t>
      </w:r>
      <w:r>
        <w:rPr>
          <w:rFonts w:hint="eastAsia" w:cs="宋体"/>
          <w:color w:val="auto"/>
          <w:u w:val="single"/>
        </w:rPr>
        <w:t xml:space="preserve">                </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注册地址：</w:t>
      </w:r>
      <w:r>
        <w:rPr>
          <w:rFonts w:hint="eastAsia" w:cs="宋体"/>
          <w:color w:val="auto"/>
          <w:u w:val="single"/>
        </w:rPr>
        <w:t xml:space="preserve">                        </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成立时间：</w:t>
      </w:r>
      <w:r>
        <w:rPr>
          <w:rFonts w:hint="eastAsia" w:cs="宋体"/>
          <w:color w:val="auto"/>
          <w:u w:val="single"/>
        </w:rPr>
        <w:t xml:space="preserve">    </w:t>
      </w:r>
      <w:r>
        <w:rPr>
          <w:rFonts w:hint="eastAsia" w:cs="宋体"/>
          <w:color w:val="auto"/>
        </w:rPr>
        <w:t xml:space="preserve">年 </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autoSpaceDE w:val="0"/>
        <w:autoSpaceDN w:val="0"/>
        <w:adjustRightInd w:val="0"/>
        <w:snapToGrid w:val="0"/>
        <w:spacing w:before="120" w:beforeLines="50" w:line="360" w:lineRule="auto"/>
        <w:ind w:firstLine="420" w:firstLineChars="200"/>
        <w:jc w:val="left"/>
        <w:rPr>
          <w:rFonts w:cs="宋体"/>
          <w:color w:val="auto"/>
          <w:u w:val="single"/>
        </w:rPr>
      </w:pPr>
      <w:r>
        <w:rPr>
          <w:rFonts w:hint="eastAsia" w:cs="宋体"/>
          <w:color w:val="auto"/>
        </w:rPr>
        <w:t>经营期限：</w:t>
      </w:r>
      <w:r>
        <w:rPr>
          <w:rFonts w:hint="eastAsia" w:cs="宋体"/>
          <w:color w:val="auto"/>
          <w:u w:val="single"/>
        </w:rPr>
        <w:t xml:space="preserve">                  </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姓名：</w:t>
      </w:r>
      <w:r>
        <w:rPr>
          <w:rFonts w:hint="eastAsia" w:cs="宋体"/>
          <w:color w:val="auto"/>
          <w:u w:val="single"/>
        </w:rPr>
        <w:t xml:space="preserve">      </w:t>
      </w:r>
      <w:r>
        <w:rPr>
          <w:rFonts w:hint="eastAsia" w:cs="宋体"/>
          <w:color w:val="auto"/>
        </w:rPr>
        <w:t xml:space="preserve"> 性别：</w:t>
      </w:r>
      <w:r>
        <w:rPr>
          <w:rFonts w:hint="eastAsia" w:cs="宋体"/>
          <w:color w:val="auto"/>
          <w:u w:val="single"/>
        </w:rPr>
        <w:t xml:space="preserve">     </w:t>
      </w:r>
      <w:r>
        <w:rPr>
          <w:rFonts w:hint="eastAsia" w:cs="宋体"/>
          <w:color w:val="auto"/>
        </w:rPr>
        <w:t xml:space="preserve"> 年龄：</w:t>
      </w:r>
      <w:r>
        <w:rPr>
          <w:rFonts w:hint="eastAsia" w:cs="宋体"/>
          <w:color w:val="auto"/>
          <w:u w:val="single"/>
        </w:rPr>
        <w:t xml:space="preserve">     </w:t>
      </w:r>
      <w:r>
        <w:rPr>
          <w:rFonts w:hint="eastAsia" w:cs="宋体"/>
          <w:color w:val="auto"/>
        </w:rPr>
        <w:t xml:space="preserve"> 系</w:t>
      </w:r>
      <w:r>
        <w:rPr>
          <w:rFonts w:hint="eastAsia" w:cs="宋体"/>
          <w:color w:val="auto"/>
          <w:u w:val="single"/>
        </w:rPr>
        <w:t xml:space="preserve">         </w:t>
      </w:r>
      <w:r>
        <w:rPr>
          <w:rFonts w:hint="eastAsia" w:cs="宋体"/>
          <w:color w:val="auto"/>
        </w:rPr>
        <w:t>（供应商名称）的法定代表人。</w:t>
      </w:r>
    </w:p>
    <w:p>
      <w:pPr>
        <w:autoSpaceDE w:val="0"/>
        <w:autoSpaceDN w:val="0"/>
        <w:adjustRightInd w:val="0"/>
        <w:snapToGrid w:val="0"/>
        <w:spacing w:before="120" w:beforeLines="50" w:line="360" w:lineRule="auto"/>
        <w:ind w:firstLine="420" w:firstLineChars="200"/>
        <w:jc w:val="left"/>
        <w:rPr>
          <w:rFonts w:cs="宋体"/>
          <w:color w:val="auto"/>
        </w:rPr>
      </w:pPr>
      <w:r>
        <w:rPr>
          <w:rFonts w:hint="eastAsia" w:cs="宋体"/>
          <w:color w:val="auto"/>
        </w:rPr>
        <w:t>特此证明。</w:t>
      </w:r>
    </w:p>
    <w:p>
      <w:pPr>
        <w:autoSpaceDE w:val="0"/>
        <w:autoSpaceDN w:val="0"/>
        <w:adjustRightInd w:val="0"/>
        <w:snapToGrid w:val="0"/>
        <w:spacing w:before="120" w:beforeLines="50" w:line="360" w:lineRule="auto"/>
        <w:ind w:firstLine="420" w:firstLineChars="200"/>
        <w:jc w:val="left"/>
        <w:rPr>
          <w:rFonts w:cs="宋体"/>
          <w:color w:val="auto"/>
          <w:szCs w:val="21"/>
        </w:rPr>
      </w:pPr>
      <w:r>
        <w:rPr>
          <w:rFonts w:hint="eastAsia" w:cs="宋体"/>
          <w:color w:val="auto"/>
          <w:szCs w:val="21"/>
        </w:rPr>
        <w:t>附：法定代表人身份证复印件</w:t>
      </w:r>
      <w:r>
        <w:rPr>
          <w:rFonts w:hint="eastAsia" w:cs="宋体"/>
          <w:color w:val="auto"/>
          <w:szCs w:val="21"/>
          <w:lang w:val="zh-CN"/>
        </w:rPr>
        <w:t>（正反面）</w:t>
      </w:r>
    </w:p>
    <w:p>
      <w:pPr>
        <w:adjustRightInd w:val="0"/>
        <w:snapToGrid w:val="0"/>
        <w:spacing w:line="360" w:lineRule="auto"/>
        <w:ind w:right="420"/>
        <w:rPr>
          <w:rFonts w:cs="宋体"/>
          <w:color w:val="auto"/>
        </w:rPr>
      </w:pPr>
    </w:p>
    <w:p>
      <w:pPr>
        <w:rPr>
          <w:rFonts w:cs="宋体"/>
          <w:color w:val="auto"/>
          <w:sz w:val="24"/>
        </w:rPr>
      </w:pPr>
    </w:p>
    <w:p>
      <w:pPr>
        <w:rPr>
          <w:rFonts w:cs="宋体"/>
          <w:color w:val="auto"/>
        </w:rPr>
      </w:pPr>
    </w:p>
    <w:p>
      <w:pPr>
        <w:rPr>
          <w:rFonts w:cs="宋体"/>
          <w:color w:val="auto"/>
          <w:sz w:val="24"/>
        </w:rPr>
      </w:pPr>
    </w:p>
    <w:p>
      <w:pPr>
        <w:rPr>
          <w:rFonts w:cs="宋体"/>
          <w:color w:val="auto"/>
        </w:rPr>
      </w:pPr>
    </w:p>
    <w:p>
      <w:pPr>
        <w:rPr>
          <w:rFonts w:cs="宋体"/>
          <w:color w:val="auto"/>
          <w:sz w:val="24"/>
        </w:rPr>
      </w:pPr>
    </w:p>
    <w:p>
      <w:pPr>
        <w:rPr>
          <w:rFonts w:cs="宋体"/>
          <w:color w:val="auto"/>
        </w:rPr>
      </w:pPr>
    </w:p>
    <w:p>
      <w:pPr>
        <w:rPr>
          <w:rFonts w:cs="宋体"/>
          <w:color w:val="auto"/>
          <w:sz w:val="24"/>
        </w:rPr>
      </w:pPr>
    </w:p>
    <w:p>
      <w:pPr>
        <w:rPr>
          <w:rFonts w:cs="宋体"/>
          <w:color w:val="auto"/>
        </w:rPr>
      </w:pPr>
    </w:p>
    <w:p>
      <w:pPr>
        <w:rPr>
          <w:rFonts w:cs="宋体"/>
          <w:color w:val="auto"/>
          <w:sz w:val="24"/>
        </w:rPr>
      </w:pPr>
    </w:p>
    <w:p>
      <w:pPr>
        <w:rPr>
          <w:rFonts w:cs="宋体"/>
          <w:color w:val="auto"/>
        </w:rPr>
      </w:pPr>
    </w:p>
    <w:p>
      <w:pPr>
        <w:adjustRightInd w:val="0"/>
        <w:snapToGrid w:val="0"/>
        <w:spacing w:line="360" w:lineRule="auto"/>
        <w:ind w:right="420"/>
        <w:rPr>
          <w:rFonts w:cs="宋体"/>
          <w:color w:val="auto"/>
        </w:rPr>
      </w:pPr>
    </w:p>
    <w:p>
      <w:pPr>
        <w:adjustRightInd w:val="0"/>
        <w:snapToGrid w:val="0"/>
        <w:spacing w:line="480" w:lineRule="auto"/>
        <w:ind w:firstLine="42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（盖单位公章）</w:t>
      </w:r>
    </w:p>
    <w:p>
      <w:pPr>
        <w:adjustRightInd w:val="0"/>
        <w:snapToGrid w:val="0"/>
        <w:spacing w:line="480" w:lineRule="auto"/>
        <w:ind w:firstLine="420" w:firstLineChars="200"/>
        <w:rPr>
          <w:rFonts w:cs="宋体"/>
          <w:color w:val="auto"/>
        </w:rPr>
      </w:pPr>
      <w:r>
        <w:rPr>
          <w:rFonts w:hint="eastAsia" w:cs="宋体"/>
          <w:color w:val="auto"/>
        </w:rPr>
        <w:t>日   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ind w:left="420" w:leftChars="200"/>
        <w:rPr>
          <w:rFonts w:cs="宋体"/>
          <w:color w:val="auto"/>
        </w:rPr>
      </w:pPr>
    </w:p>
    <w:p>
      <w:pPr>
        <w:ind w:left="420" w:leftChars="200"/>
        <w:rPr>
          <w:rFonts w:cs="宋体"/>
          <w:color w:val="auto"/>
        </w:rPr>
      </w:pPr>
    </w:p>
    <w:p>
      <w:pPr>
        <w:rPr>
          <w:rFonts w:cs="宋体"/>
          <w:color w:val="auto"/>
        </w:rPr>
      </w:pPr>
      <w:r>
        <w:rPr>
          <w:rFonts w:hint="eastAsia" w:cs="宋体"/>
          <w:color w:val="auto"/>
        </w:rPr>
        <w:br w:type="page"/>
      </w:r>
    </w:p>
    <w:p>
      <w:pPr>
        <w:spacing w:before="120" w:beforeLines="50" w:line="360" w:lineRule="auto"/>
        <w:jc w:val="center"/>
        <w:rPr>
          <w:rFonts w:cs="宋体"/>
          <w:b/>
          <w:bCs/>
          <w:color w:val="auto"/>
          <w:sz w:val="30"/>
          <w:szCs w:val="30"/>
        </w:rPr>
      </w:pPr>
      <w:r>
        <w:rPr>
          <w:rFonts w:hint="eastAsia" w:cs="宋体"/>
          <w:b/>
          <w:bCs/>
          <w:color w:val="auto"/>
          <w:sz w:val="30"/>
          <w:szCs w:val="30"/>
        </w:rPr>
        <w:t>法定代表人授权书</w:t>
      </w:r>
    </w:p>
    <w:p>
      <w:pPr>
        <w:spacing w:line="560" w:lineRule="exact"/>
        <w:jc w:val="left"/>
        <w:rPr>
          <w:rFonts w:cs="宋体"/>
          <w:color w:val="auto"/>
          <w:spacing w:val="4"/>
          <w:szCs w:val="24"/>
        </w:rPr>
      </w:pPr>
      <w:r>
        <w:rPr>
          <w:rFonts w:hint="eastAsia" w:cs="宋体"/>
          <w:b/>
          <w:color w:val="auto"/>
          <w:spacing w:val="4"/>
          <w:szCs w:val="24"/>
        </w:rPr>
        <w:t>致：</w:t>
      </w:r>
      <w:r>
        <w:rPr>
          <w:rFonts w:hint="eastAsia" w:cs="宋体"/>
          <w:b/>
          <w:color w:val="auto"/>
          <w:spacing w:val="4"/>
          <w:szCs w:val="24"/>
          <w:u w:val="single"/>
        </w:rPr>
        <w:t>陕西金字招标有限责任公司</w:t>
      </w:r>
    </w:p>
    <w:p>
      <w:pPr>
        <w:spacing w:line="560" w:lineRule="exact"/>
        <w:ind w:firstLine="436" w:firstLineChars="200"/>
        <w:jc w:val="left"/>
        <w:rPr>
          <w:rFonts w:cs="宋体"/>
          <w:color w:val="auto"/>
          <w:spacing w:val="4"/>
          <w:szCs w:val="24"/>
        </w:rPr>
      </w:pPr>
      <w:r>
        <w:rPr>
          <w:rFonts w:hint="eastAsia" w:cs="宋体"/>
          <w:color w:val="auto"/>
          <w:spacing w:val="4"/>
          <w:szCs w:val="24"/>
          <w:u w:val="single"/>
        </w:rPr>
        <w:t xml:space="preserve">(供应商名称)   </w:t>
      </w:r>
      <w:r>
        <w:rPr>
          <w:rFonts w:hint="eastAsia" w:cs="宋体"/>
          <w:color w:val="auto"/>
          <w:spacing w:val="4"/>
          <w:szCs w:val="24"/>
        </w:rPr>
        <w:t>按中华人民共和国法律于（</w:t>
      </w:r>
      <w:r>
        <w:rPr>
          <w:rFonts w:hint="eastAsia" w:cs="宋体"/>
          <w:color w:val="auto"/>
          <w:spacing w:val="4"/>
          <w:szCs w:val="24"/>
          <w:u w:val="single"/>
        </w:rPr>
        <w:t xml:space="preserve">     </w:t>
      </w:r>
      <w:r>
        <w:rPr>
          <w:rFonts w:hint="eastAsia" w:cs="宋体"/>
          <w:color w:val="auto"/>
          <w:spacing w:val="4"/>
          <w:szCs w:val="24"/>
        </w:rPr>
        <w:t>年</w:t>
      </w:r>
      <w:r>
        <w:rPr>
          <w:rFonts w:hint="eastAsia" w:cs="宋体"/>
          <w:color w:val="auto"/>
          <w:spacing w:val="4"/>
          <w:szCs w:val="24"/>
          <w:u w:val="single"/>
        </w:rPr>
        <w:t xml:space="preserve">    </w:t>
      </w:r>
      <w:r>
        <w:rPr>
          <w:rFonts w:hint="eastAsia" w:cs="宋体"/>
          <w:color w:val="auto"/>
          <w:spacing w:val="4"/>
          <w:szCs w:val="24"/>
        </w:rPr>
        <w:t>月</w:t>
      </w:r>
      <w:r>
        <w:rPr>
          <w:rFonts w:hint="eastAsia" w:cs="宋体"/>
          <w:color w:val="auto"/>
          <w:spacing w:val="4"/>
          <w:szCs w:val="24"/>
          <w:u w:val="single"/>
        </w:rPr>
        <w:t xml:space="preserve">    </w:t>
      </w:r>
      <w:r>
        <w:rPr>
          <w:rFonts w:hint="eastAsia" w:cs="宋体"/>
          <w:color w:val="auto"/>
          <w:spacing w:val="4"/>
          <w:szCs w:val="24"/>
        </w:rPr>
        <w:t>日 ）  成立。</w:t>
      </w:r>
      <w:r>
        <w:rPr>
          <w:rFonts w:hint="eastAsia" w:cs="宋体"/>
          <w:color w:val="auto"/>
          <w:szCs w:val="24"/>
        </w:rPr>
        <w:t>法定代表人</w:t>
      </w:r>
      <w:r>
        <w:rPr>
          <w:rFonts w:hint="eastAsia" w:cs="宋体"/>
          <w:color w:val="auto"/>
          <w:szCs w:val="24"/>
          <w:u w:val="single"/>
        </w:rPr>
        <w:t xml:space="preserve">  </w:t>
      </w:r>
      <w:r>
        <w:rPr>
          <w:rFonts w:hint="eastAsia" w:cs="宋体"/>
          <w:color w:val="auto"/>
          <w:spacing w:val="4"/>
          <w:szCs w:val="24"/>
          <w:u w:val="single"/>
        </w:rPr>
        <w:t xml:space="preserve">姓名   </w:t>
      </w:r>
      <w:r>
        <w:rPr>
          <w:rFonts w:hint="eastAsia" w:cs="宋体"/>
          <w:color w:val="auto"/>
          <w:spacing w:val="4"/>
          <w:szCs w:val="24"/>
        </w:rPr>
        <w:t>特授权</w:t>
      </w:r>
      <w:r>
        <w:rPr>
          <w:rFonts w:hint="eastAsia" w:cs="宋体"/>
          <w:color w:val="auto"/>
          <w:spacing w:val="4"/>
          <w:szCs w:val="24"/>
          <w:u w:val="single"/>
        </w:rPr>
        <w:t xml:space="preserve">  </w:t>
      </w:r>
      <w:r>
        <w:rPr>
          <w:rFonts w:hint="eastAsia" w:cs="宋体"/>
          <w:color w:val="auto"/>
          <w:szCs w:val="24"/>
          <w:u w:val="single"/>
        </w:rPr>
        <w:t>被授权人</w:t>
      </w:r>
      <w:r>
        <w:rPr>
          <w:rFonts w:hint="eastAsia" w:cs="宋体"/>
          <w:color w:val="auto"/>
          <w:spacing w:val="4"/>
          <w:szCs w:val="24"/>
          <w:u w:val="single"/>
        </w:rPr>
        <w:t xml:space="preserve">姓名  </w:t>
      </w:r>
      <w:r>
        <w:rPr>
          <w:rFonts w:hint="eastAsia" w:cs="宋体"/>
          <w:color w:val="auto"/>
          <w:spacing w:val="4"/>
          <w:szCs w:val="24"/>
        </w:rPr>
        <w:t>代表我公司全权办理针对本次</w:t>
      </w:r>
      <w:r>
        <w:rPr>
          <w:rFonts w:hint="eastAsia" w:cs="宋体"/>
          <w:color w:val="auto"/>
          <w:spacing w:val="4"/>
          <w:szCs w:val="24"/>
          <w:u w:val="single"/>
        </w:rPr>
        <w:t xml:space="preserve">  项目名称、项目编号   </w:t>
      </w:r>
      <w:r>
        <w:rPr>
          <w:rFonts w:hint="eastAsia" w:cs="宋体"/>
          <w:color w:val="auto"/>
          <w:spacing w:val="4"/>
          <w:szCs w:val="24"/>
        </w:rPr>
        <w:t>投标、谈判、签约等具体工作，并签署全部有关的文件、协议及合同。</w:t>
      </w:r>
    </w:p>
    <w:p>
      <w:pPr>
        <w:spacing w:line="560" w:lineRule="exact"/>
        <w:ind w:firstLine="436" w:firstLineChars="200"/>
        <w:jc w:val="left"/>
        <w:rPr>
          <w:rFonts w:cs="宋体"/>
          <w:color w:val="auto"/>
          <w:spacing w:val="4"/>
          <w:szCs w:val="24"/>
        </w:rPr>
      </w:pPr>
      <w:r>
        <w:rPr>
          <w:rFonts w:hint="eastAsia" w:cs="宋体"/>
          <w:color w:val="auto"/>
          <w:spacing w:val="4"/>
          <w:szCs w:val="24"/>
        </w:rPr>
        <w:t>我公司对</w:t>
      </w:r>
      <w:r>
        <w:rPr>
          <w:rFonts w:hint="eastAsia" w:cs="宋体"/>
          <w:color w:val="auto"/>
          <w:szCs w:val="24"/>
        </w:rPr>
        <w:t>被授权人</w:t>
      </w:r>
      <w:r>
        <w:rPr>
          <w:rFonts w:hint="eastAsia" w:cs="宋体"/>
          <w:color w:val="auto"/>
          <w:spacing w:val="4"/>
          <w:szCs w:val="24"/>
        </w:rPr>
        <w:t>的签名负全部责任。</w:t>
      </w:r>
    </w:p>
    <w:p>
      <w:pPr>
        <w:spacing w:line="560" w:lineRule="exact"/>
        <w:ind w:right="204" w:rightChars="97" w:firstLine="420" w:firstLineChars="200"/>
        <w:jc w:val="left"/>
        <w:rPr>
          <w:rFonts w:cs="宋体"/>
          <w:color w:val="auto"/>
        </w:rPr>
      </w:pPr>
      <w:r>
        <w:rPr>
          <w:rFonts w:hint="eastAsia" w:cs="宋体"/>
          <w:color w:val="auto"/>
          <w:szCs w:val="24"/>
        </w:rPr>
        <w:t>本授权有效期与投标有效期一致</w:t>
      </w:r>
      <w:r>
        <w:rPr>
          <w:rFonts w:hint="eastAsia" w:cs="宋体"/>
          <w:color w:val="auto"/>
        </w:rPr>
        <w:t>。</w:t>
      </w:r>
    </w:p>
    <w:tbl>
      <w:tblPr>
        <w:tblStyle w:val="29"/>
        <w:tblW w:w="8504" w:type="dxa"/>
        <w:tblInd w:w="0" w:type="dxa"/>
        <w:tblLayout w:type="fixed"/>
        <w:tblCellMar>
          <w:top w:w="0" w:type="dxa"/>
          <w:left w:w="108" w:type="dxa"/>
          <w:bottom w:w="0" w:type="dxa"/>
          <w:right w:w="108" w:type="dxa"/>
        </w:tblCellMar>
      </w:tblPr>
      <w:tblGrid>
        <w:gridCol w:w="4361"/>
        <w:gridCol w:w="4143"/>
      </w:tblGrid>
      <w:tr>
        <w:trPr>
          <w:trHeight w:val="601" w:hRule="atLeast"/>
        </w:trPr>
        <w:tc>
          <w:tcPr>
            <w:tcW w:w="4361" w:type="dxa"/>
          </w:tcPr>
          <w:p>
            <w:pPr>
              <w:spacing w:line="520" w:lineRule="exact"/>
              <w:jc w:val="left"/>
              <w:rPr>
                <w:rFonts w:cs="宋体"/>
                <w:color w:val="auto"/>
                <w:spacing w:val="4"/>
                <w:szCs w:val="24"/>
                <w:u w:val="single"/>
              </w:rPr>
            </w:pPr>
            <w:r>
              <w:rPr>
                <w:rFonts w:hint="eastAsia" w:cs="宋体"/>
                <w:color w:val="auto"/>
                <w:spacing w:val="4"/>
                <w:szCs w:val="24"/>
              </w:rPr>
              <w:t>被授权人签字或盖章：</w:t>
            </w:r>
            <w:r>
              <w:rPr>
                <w:rFonts w:hint="eastAsia" w:cs="宋体"/>
                <w:color w:val="auto"/>
                <w:spacing w:val="4"/>
                <w:szCs w:val="24"/>
                <w:u w:val="single"/>
              </w:rPr>
              <w:t xml:space="preserve">             </w:t>
            </w:r>
          </w:p>
        </w:tc>
        <w:tc>
          <w:tcPr>
            <w:tcW w:w="4143" w:type="dxa"/>
          </w:tcPr>
          <w:p>
            <w:pPr>
              <w:spacing w:line="520" w:lineRule="exact"/>
              <w:jc w:val="left"/>
              <w:rPr>
                <w:rFonts w:cs="宋体"/>
                <w:color w:val="auto"/>
                <w:spacing w:val="4"/>
                <w:szCs w:val="24"/>
                <w:u w:val="single"/>
              </w:rPr>
            </w:pPr>
            <w:r>
              <w:rPr>
                <w:rFonts w:hint="eastAsia" w:cs="宋体"/>
                <w:color w:val="auto"/>
                <w:szCs w:val="24"/>
              </w:rPr>
              <w:t>法定代表人</w:t>
            </w:r>
            <w:r>
              <w:rPr>
                <w:rFonts w:hint="eastAsia" w:cs="宋体"/>
                <w:color w:val="auto"/>
                <w:spacing w:val="4"/>
                <w:szCs w:val="24"/>
              </w:rPr>
              <w:t>签字或盖章：</w:t>
            </w:r>
            <w:r>
              <w:rPr>
                <w:rFonts w:hint="eastAsia" w:cs="宋体"/>
                <w:color w:val="auto"/>
                <w:spacing w:val="4"/>
                <w:szCs w:val="24"/>
                <w:u w:val="single"/>
              </w:rPr>
              <w:t xml:space="preserve">           </w:t>
            </w:r>
          </w:p>
        </w:tc>
      </w:tr>
      <w:tr>
        <w:tblPrEx>
          <w:tblCellMar>
            <w:top w:w="0" w:type="dxa"/>
            <w:left w:w="108" w:type="dxa"/>
            <w:bottom w:w="0" w:type="dxa"/>
            <w:right w:w="108" w:type="dxa"/>
          </w:tblCellMar>
        </w:tblPrEx>
        <w:trPr>
          <w:trHeight w:val="601" w:hRule="atLeast"/>
        </w:trPr>
        <w:tc>
          <w:tcPr>
            <w:tcW w:w="4361" w:type="dxa"/>
          </w:tcPr>
          <w:p>
            <w:pPr>
              <w:spacing w:line="520" w:lineRule="exact"/>
              <w:jc w:val="left"/>
              <w:rPr>
                <w:rFonts w:cs="宋体"/>
                <w:color w:val="auto"/>
                <w:spacing w:val="4"/>
                <w:szCs w:val="24"/>
              </w:rPr>
            </w:pPr>
            <w:r>
              <w:rPr>
                <w:rFonts w:hint="eastAsia" w:cs="宋体"/>
                <w:color w:val="auto"/>
                <w:spacing w:val="4"/>
                <w:szCs w:val="24"/>
              </w:rPr>
              <w:t>职务：</w:t>
            </w:r>
          </w:p>
        </w:tc>
        <w:tc>
          <w:tcPr>
            <w:tcW w:w="4143" w:type="dxa"/>
          </w:tcPr>
          <w:p>
            <w:pPr>
              <w:spacing w:line="520" w:lineRule="exact"/>
              <w:jc w:val="left"/>
              <w:rPr>
                <w:rFonts w:cs="宋体"/>
                <w:color w:val="auto"/>
                <w:spacing w:val="4"/>
                <w:szCs w:val="24"/>
              </w:rPr>
            </w:pPr>
            <w:r>
              <w:rPr>
                <w:rFonts w:hint="eastAsia" w:cs="宋体"/>
                <w:color w:val="auto"/>
                <w:spacing w:val="4"/>
                <w:szCs w:val="24"/>
              </w:rPr>
              <w:t>职务：</w:t>
            </w:r>
          </w:p>
        </w:tc>
      </w:tr>
    </w:tbl>
    <w:p>
      <w:pPr>
        <w:spacing w:before="240" w:line="360" w:lineRule="auto"/>
        <w:ind w:firstLine="420" w:firstLineChars="200"/>
        <w:rPr>
          <w:rFonts w:cs="宋体"/>
          <w:color w:val="auto"/>
          <w:u w:val="single"/>
        </w:rPr>
      </w:pPr>
      <w:r>
        <w:rPr>
          <w:rFonts w:hint="eastAsia" w:cs="宋体"/>
          <w:color w:val="auto"/>
          <w:lang w:val="zh-CN"/>
        </w:rPr>
        <w:t>附法定代表人身份证复印件及被授权人身份证复印件</w:t>
      </w:r>
      <w:r>
        <w:rPr>
          <w:rFonts w:hint="eastAsia" w:cs="宋体"/>
          <w:color w:val="auto"/>
          <w:szCs w:val="21"/>
          <w:lang w:val="zh-CN"/>
        </w:rPr>
        <w:t>（正反面）</w:t>
      </w:r>
    </w:p>
    <w:p>
      <w:pPr>
        <w:spacing w:line="480" w:lineRule="auto"/>
        <w:ind w:left="424" w:leftChars="202" w:right="540" w:rightChars="257"/>
        <w:jc w:val="left"/>
        <w:rPr>
          <w:rFonts w:cs="宋体"/>
          <w:color w:val="auto"/>
        </w:rPr>
      </w:pPr>
    </w:p>
    <w:p>
      <w:pPr>
        <w:spacing w:line="480" w:lineRule="auto"/>
        <w:ind w:left="424" w:leftChars="202" w:right="540" w:rightChars="257"/>
        <w:jc w:val="left"/>
        <w:rPr>
          <w:rFonts w:cs="宋体"/>
          <w:color w:val="auto"/>
        </w:rPr>
      </w:pPr>
    </w:p>
    <w:p>
      <w:pPr>
        <w:spacing w:line="480" w:lineRule="auto"/>
        <w:ind w:left="424" w:leftChars="202" w:right="540" w:rightChars="257"/>
        <w:jc w:val="left"/>
        <w:rPr>
          <w:rFonts w:cs="宋体"/>
          <w:color w:val="auto"/>
        </w:rPr>
      </w:pPr>
    </w:p>
    <w:p>
      <w:pPr>
        <w:adjustRightInd w:val="0"/>
        <w:snapToGrid w:val="0"/>
        <w:spacing w:line="360" w:lineRule="auto"/>
        <w:ind w:right="420"/>
        <w:rPr>
          <w:rFonts w:cs="宋体"/>
          <w:color w:val="auto"/>
        </w:rPr>
      </w:pPr>
    </w:p>
    <w:p>
      <w:pPr>
        <w:adjustRightInd w:val="0"/>
        <w:snapToGrid w:val="0"/>
        <w:spacing w:line="720" w:lineRule="auto"/>
        <w:ind w:firstLine="42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（盖单位公章）</w:t>
      </w:r>
    </w:p>
    <w:p>
      <w:pPr>
        <w:adjustRightInd w:val="0"/>
        <w:snapToGrid w:val="0"/>
        <w:spacing w:line="720" w:lineRule="auto"/>
        <w:ind w:firstLine="420" w:firstLineChars="200"/>
        <w:rPr>
          <w:rFonts w:cs="宋体"/>
          <w:color w:val="auto"/>
        </w:rPr>
      </w:pPr>
      <w:r>
        <w:rPr>
          <w:rFonts w:hint="eastAsia" w:cs="宋体"/>
          <w:color w:val="auto"/>
        </w:rPr>
        <w:t>日   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ind w:firstLine="422" w:firstLineChars="200"/>
        <w:rPr>
          <w:rFonts w:cs="宋体"/>
          <w:b/>
          <w:bCs/>
          <w:color w:val="auto"/>
          <w:lang w:val="zh-CN"/>
        </w:rPr>
      </w:pPr>
    </w:p>
    <w:p>
      <w:pPr>
        <w:ind w:firstLine="422" w:firstLineChars="200"/>
        <w:rPr>
          <w:rFonts w:cs="宋体"/>
          <w:b/>
          <w:bCs/>
          <w:color w:val="auto"/>
          <w:lang w:val="zh-CN"/>
        </w:rPr>
      </w:pPr>
    </w:p>
    <w:p>
      <w:pPr>
        <w:ind w:left="420" w:leftChars="200"/>
        <w:rPr>
          <w:rFonts w:cs="宋体"/>
          <w:b/>
          <w:bCs/>
          <w:color w:val="auto"/>
          <w:sz w:val="24"/>
          <w:szCs w:val="24"/>
        </w:rPr>
      </w:pPr>
      <w:r>
        <w:rPr>
          <w:rFonts w:hint="eastAsia" w:cs="宋体"/>
          <w:b/>
          <w:bCs/>
          <w:color w:val="auto"/>
          <w:sz w:val="24"/>
          <w:szCs w:val="24"/>
          <w:lang w:val="zh-CN"/>
        </w:rPr>
        <w:t>说明：</w:t>
      </w:r>
      <w:r>
        <w:rPr>
          <w:rFonts w:hint="eastAsia" w:cs="宋体"/>
          <w:b/>
          <w:bCs/>
          <w:color w:val="auto"/>
          <w:sz w:val="24"/>
          <w:szCs w:val="24"/>
        </w:rPr>
        <w:t>法定代表人直接投标时无需提供。</w:t>
      </w:r>
    </w:p>
    <w:p>
      <w:pPr>
        <w:rPr>
          <w:rFonts w:cs="宋体"/>
          <w:b/>
          <w:bCs/>
          <w:color w:val="auto"/>
          <w:sz w:val="24"/>
          <w:szCs w:val="24"/>
        </w:rPr>
      </w:pPr>
      <w:r>
        <w:rPr>
          <w:rFonts w:hint="eastAsia" w:cs="宋体"/>
          <w:b/>
          <w:bCs/>
          <w:color w:val="auto"/>
          <w:sz w:val="24"/>
          <w:szCs w:val="24"/>
        </w:rPr>
        <w:br w:type="page"/>
      </w:r>
    </w:p>
    <w:p>
      <w:pPr>
        <w:spacing w:before="120" w:beforeLines="50"/>
        <w:rPr>
          <w:rFonts w:cs="宋体"/>
          <w:b/>
          <w:bCs/>
          <w:color w:val="auto"/>
          <w:sz w:val="30"/>
          <w:szCs w:val="30"/>
        </w:rPr>
      </w:pPr>
      <w:r>
        <w:rPr>
          <w:rFonts w:hint="eastAsia" w:cs="宋体"/>
          <w:b/>
          <w:bCs/>
          <w:color w:val="auto"/>
          <w:sz w:val="30"/>
          <w:szCs w:val="30"/>
        </w:rPr>
        <w:t>附件2</w:t>
      </w:r>
    </w:p>
    <w:p>
      <w:pPr>
        <w:spacing w:line="460" w:lineRule="exact"/>
        <w:ind w:firstLine="435"/>
        <w:jc w:val="center"/>
        <w:rPr>
          <w:rFonts w:cs="宋体"/>
          <w:color w:val="auto"/>
          <w:sz w:val="30"/>
          <w:szCs w:val="30"/>
        </w:rPr>
      </w:pPr>
      <w:r>
        <w:rPr>
          <w:rFonts w:hint="eastAsia" w:cs="宋体"/>
          <w:color w:val="auto"/>
          <w:sz w:val="30"/>
          <w:szCs w:val="30"/>
          <w:lang w:bidi="ar"/>
        </w:rPr>
        <w:t>中小企业声明函</w:t>
      </w:r>
    </w:p>
    <w:p>
      <w:pPr>
        <w:pStyle w:val="17"/>
        <w:widowControl/>
        <w:spacing w:before="55" w:after="0" w:line="360" w:lineRule="auto"/>
        <w:ind w:firstLine="640"/>
        <w:rPr>
          <w:rFonts w:ascii="宋体" w:hAnsi="宋体" w:cs="宋体"/>
          <w:color w:val="auto"/>
          <w:spacing w:val="-2"/>
          <w:sz w:val="24"/>
          <w:szCs w:val="24"/>
        </w:rPr>
      </w:pPr>
      <w:r>
        <w:rPr>
          <w:rFonts w:hint="eastAsia" w:ascii="宋体" w:hAnsi="宋体" w:cs="宋体"/>
          <w:color w:val="auto"/>
          <w:spacing w:val="-2"/>
          <w:sz w:val="24"/>
          <w:szCs w:val="24"/>
        </w:rPr>
        <w:t xml:space="preserve">本公司（联合体）郑重声明，根据《政府采购促进中小企业发展管理办法》（财库﹝2020﹞46 号）的规定，本公司（联合体）参加 </w:t>
      </w:r>
      <w:r>
        <w:rPr>
          <w:rFonts w:hint="eastAsia" w:ascii="宋体" w:hAnsi="宋体" w:cs="宋体"/>
          <w:color w:val="auto"/>
          <w:spacing w:val="-2"/>
          <w:sz w:val="24"/>
          <w:szCs w:val="24"/>
          <w:u w:val="single"/>
        </w:rPr>
        <w:t xml:space="preserve">（单位名称） </w:t>
      </w:r>
      <w:r>
        <w:rPr>
          <w:rFonts w:hint="eastAsia" w:ascii="宋体" w:hAnsi="宋体" w:cs="宋体"/>
          <w:color w:val="auto"/>
          <w:spacing w:val="-2"/>
          <w:sz w:val="24"/>
          <w:szCs w:val="24"/>
        </w:rPr>
        <w:t>的</w:t>
      </w:r>
      <w:r>
        <w:rPr>
          <w:rFonts w:hint="eastAsia" w:ascii="宋体" w:hAnsi="宋体" w:cs="宋体"/>
          <w:color w:val="auto"/>
          <w:spacing w:val="-2"/>
          <w:sz w:val="24"/>
          <w:szCs w:val="24"/>
          <w:u w:val="single"/>
        </w:rPr>
        <w:t xml:space="preserve"> （项目名称） </w:t>
      </w:r>
      <w:r>
        <w:rPr>
          <w:rFonts w:hint="eastAsia" w:ascii="宋体" w:hAnsi="宋体" w:cs="宋体"/>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50"/>
        <w:widowControl/>
        <w:numPr>
          <w:ilvl w:val="0"/>
          <w:numId w:val="4"/>
        </w:numPr>
        <w:spacing w:line="360" w:lineRule="auto"/>
        <w:ind w:firstLine="480"/>
        <w:rPr>
          <w:rFonts w:hint="default" w:hAnsi="宋体" w:cs="宋体"/>
          <w:color w:val="auto"/>
          <w:szCs w:val="24"/>
        </w:rPr>
      </w:pPr>
      <w:r>
        <w:rPr>
          <w:rFonts w:hAnsi="宋体" w:cs="宋体"/>
          <w:color w:val="auto"/>
          <w:szCs w:val="24"/>
          <w:u w:val="single"/>
          <w:lang w:val="zh-CN"/>
        </w:rPr>
        <w:t>（标的名称）</w:t>
      </w:r>
      <w:r>
        <w:rPr>
          <w:rFonts w:hAnsi="宋体" w:cs="宋体"/>
          <w:color w:val="auto"/>
          <w:szCs w:val="24"/>
        </w:rPr>
        <w:t>，属于</w:t>
      </w:r>
      <w:r>
        <w:rPr>
          <w:rFonts w:hAnsi="宋体" w:cs="宋体"/>
          <w:color w:val="auto"/>
          <w:szCs w:val="24"/>
          <w:u w:val="single"/>
          <w:lang w:val="zh-CN"/>
        </w:rPr>
        <w:t>（采购文件中明确的所属行业）</w:t>
      </w:r>
      <w:r>
        <w:rPr>
          <w:rFonts w:hAnsi="宋体" w:cs="宋体"/>
          <w:color w:val="auto"/>
          <w:szCs w:val="24"/>
          <w:lang w:val="zh-CN"/>
        </w:rPr>
        <w:t>；</w:t>
      </w:r>
      <w:r>
        <w:rPr>
          <w:rFonts w:hAnsi="宋体" w:cs="宋体"/>
          <w:color w:val="auto"/>
          <w:szCs w:val="24"/>
        </w:rPr>
        <w:t>承建（承接）企业为</w:t>
      </w:r>
      <w:r>
        <w:rPr>
          <w:rFonts w:hAnsi="宋体" w:cs="宋体"/>
          <w:color w:val="auto"/>
          <w:szCs w:val="24"/>
          <w:u w:val="single"/>
        </w:rPr>
        <w:t>（企业名称）</w:t>
      </w:r>
      <w:r>
        <w:rPr>
          <w:rFonts w:hAnsi="宋体" w:cs="宋体"/>
          <w:color w:val="auto"/>
          <w:szCs w:val="24"/>
        </w:rPr>
        <w:t>，从业人员</w:t>
      </w:r>
      <w:r>
        <w:rPr>
          <w:rFonts w:hAnsi="宋体" w:cs="宋体"/>
          <w:color w:val="auto"/>
          <w:szCs w:val="24"/>
          <w:u w:val="single"/>
        </w:rPr>
        <w:t xml:space="preserve">    </w:t>
      </w:r>
      <w:r>
        <w:rPr>
          <w:rFonts w:hAnsi="宋体" w:cs="宋体"/>
          <w:color w:val="auto"/>
          <w:szCs w:val="24"/>
        </w:rPr>
        <w:t>人，营业收入为</w:t>
      </w:r>
      <w:r>
        <w:rPr>
          <w:rFonts w:hAnsi="宋体" w:cs="宋体"/>
          <w:color w:val="auto"/>
          <w:szCs w:val="24"/>
          <w:u w:val="single"/>
        </w:rPr>
        <w:t xml:space="preserve"> </w:t>
      </w:r>
      <w:r>
        <w:rPr>
          <w:rFonts w:hAnsi="宋体" w:cs="宋体"/>
          <w:color w:val="auto"/>
          <w:szCs w:val="24"/>
          <w:u w:val="single"/>
        </w:rPr>
        <w:tab/>
      </w:r>
      <w:r>
        <w:rPr>
          <w:rFonts w:hAnsi="宋体" w:cs="宋体"/>
          <w:color w:val="auto"/>
          <w:szCs w:val="24"/>
        </w:rPr>
        <w:t>万元，资产总额为</w:t>
      </w:r>
      <w:r>
        <w:rPr>
          <w:rFonts w:hAnsi="宋体" w:cs="宋体"/>
          <w:color w:val="auto"/>
          <w:szCs w:val="24"/>
          <w:u w:val="single"/>
        </w:rPr>
        <w:t xml:space="preserve">   </w:t>
      </w:r>
      <w:r>
        <w:rPr>
          <w:rFonts w:hAnsi="宋体" w:cs="宋体"/>
          <w:color w:val="auto"/>
          <w:szCs w:val="24"/>
          <w:u w:val="single"/>
        </w:rPr>
        <w:tab/>
      </w:r>
      <w:r>
        <w:rPr>
          <w:rFonts w:hAnsi="宋体" w:cs="宋体"/>
          <w:color w:val="auto"/>
          <w:szCs w:val="24"/>
        </w:rPr>
        <w:t>万元，属于</w:t>
      </w:r>
      <w:r>
        <w:rPr>
          <w:rFonts w:hAnsi="宋体" w:cs="宋体"/>
          <w:color w:val="auto"/>
          <w:szCs w:val="24"/>
          <w:u w:val="single"/>
        </w:rPr>
        <w:t>（中型企业、小型企业、微型企业）</w:t>
      </w:r>
      <w:r>
        <w:rPr>
          <w:rFonts w:hAnsi="宋体" w:cs="宋体"/>
          <w:color w:val="auto"/>
          <w:szCs w:val="24"/>
        </w:rPr>
        <w:t>；</w:t>
      </w:r>
    </w:p>
    <w:p>
      <w:pPr>
        <w:pStyle w:val="50"/>
        <w:widowControl/>
        <w:numPr>
          <w:ilvl w:val="0"/>
          <w:numId w:val="4"/>
        </w:numPr>
        <w:spacing w:line="360" w:lineRule="auto"/>
        <w:ind w:firstLine="480"/>
        <w:rPr>
          <w:rFonts w:hint="default" w:hAnsi="宋体" w:cs="宋体"/>
          <w:color w:val="auto"/>
          <w:szCs w:val="24"/>
        </w:rPr>
      </w:pPr>
      <w:r>
        <w:rPr>
          <w:rFonts w:hAnsi="宋体" w:cs="宋体"/>
          <w:color w:val="auto"/>
          <w:szCs w:val="24"/>
          <w:u w:val="single"/>
          <w:lang w:val="zh-CN"/>
        </w:rPr>
        <w:t>（标的名称）</w:t>
      </w:r>
      <w:r>
        <w:rPr>
          <w:rFonts w:hAnsi="宋体" w:cs="宋体"/>
          <w:color w:val="auto"/>
          <w:szCs w:val="24"/>
        </w:rPr>
        <w:t>，属于</w:t>
      </w:r>
      <w:r>
        <w:rPr>
          <w:rFonts w:hAnsi="宋体" w:cs="宋体"/>
          <w:color w:val="auto"/>
          <w:szCs w:val="24"/>
          <w:u w:val="single"/>
          <w:lang w:val="zh-CN"/>
        </w:rPr>
        <w:t>（采购文件中明确的所属行业）</w:t>
      </w:r>
      <w:r>
        <w:rPr>
          <w:rFonts w:hAnsi="宋体" w:cs="宋体"/>
          <w:color w:val="auto"/>
          <w:szCs w:val="24"/>
          <w:lang w:val="zh-CN"/>
        </w:rPr>
        <w:t>；</w:t>
      </w:r>
      <w:r>
        <w:rPr>
          <w:rFonts w:hAnsi="宋体" w:cs="宋体"/>
          <w:color w:val="auto"/>
          <w:szCs w:val="24"/>
        </w:rPr>
        <w:t>承建（承接）企业为</w:t>
      </w:r>
      <w:r>
        <w:rPr>
          <w:rFonts w:hAnsi="宋体" w:cs="宋体"/>
          <w:color w:val="auto"/>
          <w:szCs w:val="24"/>
          <w:u w:val="single"/>
        </w:rPr>
        <w:t>（企业名称）</w:t>
      </w:r>
      <w:r>
        <w:rPr>
          <w:rFonts w:hAnsi="宋体" w:cs="宋体"/>
          <w:color w:val="auto"/>
          <w:szCs w:val="24"/>
        </w:rPr>
        <w:t>，从业人员</w:t>
      </w:r>
      <w:r>
        <w:rPr>
          <w:rFonts w:hAnsi="宋体" w:cs="宋体"/>
          <w:color w:val="auto"/>
          <w:szCs w:val="24"/>
          <w:u w:val="single"/>
        </w:rPr>
        <w:t xml:space="preserve"> </w:t>
      </w:r>
      <w:r>
        <w:rPr>
          <w:rFonts w:hAnsi="宋体" w:cs="宋体"/>
          <w:color w:val="auto"/>
          <w:szCs w:val="24"/>
          <w:u w:val="single"/>
        </w:rPr>
        <w:tab/>
      </w:r>
      <w:r>
        <w:rPr>
          <w:rFonts w:hAnsi="宋体" w:cs="宋体"/>
          <w:color w:val="auto"/>
          <w:szCs w:val="24"/>
          <w:u w:val="single"/>
        </w:rPr>
        <w:t xml:space="preserve"> </w:t>
      </w:r>
      <w:r>
        <w:rPr>
          <w:rFonts w:hAnsi="宋体" w:cs="宋体"/>
          <w:color w:val="auto"/>
          <w:szCs w:val="24"/>
        </w:rPr>
        <w:t>人，营业收入为</w:t>
      </w:r>
      <w:r>
        <w:rPr>
          <w:rFonts w:hAnsi="宋体" w:cs="宋体"/>
          <w:color w:val="auto"/>
          <w:szCs w:val="24"/>
          <w:u w:val="single"/>
        </w:rPr>
        <w:t xml:space="preserve"> </w:t>
      </w:r>
      <w:r>
        <w:rPr>
          <w:rFonts w:hAnsi="宋体" w:cs="宋体"/>
          <w:color w:val="auto"/>
          <w:szCs w:val="24"/>
          <w:u w:val="single"/>
        </w:rPr>
        <w:tab/>
      </w:r>
      <w:r>
        <w:rPr>
          <w:rFonts w:hAnsi="宋体" w:cs="宋体"/>
          <w:color w:val="auto"/>
          <w:szCs w:val="24"/>
          <w:u w:val="single"/>
        </w:rPr>
        <w:t xml:space="preserve"> </w:t>
      </w:r>
      <w:r>
        <w:rPr>
          <w:rFonts w:hAnsi="宋体" w:cs="宋体"/>
          <w:color w:val="auto"/>
          <w:szCs w:val="24"/>
        </w:rPr>
        <w:t>万元，资产总额为</w:t>
      </w:r>
      <w:r>
        <w:rPr>
          <w:rFonts w:hAnsi="宋体" w:cs="宋体"/>
          <w:color w:val="auto"/>
          <w:szCs w:val="24"/>
          <w:u w:val="single"/>
        </w:rPr>
        <w:t xml:space="preserve">   </w:t>
      </w:r>
      <w:r>
        <w:rPr>
          <w:rFonts w:hAnsi="宋体" w:cs="宋体"/>
          <w:color w:val="auto"/>
          <w:szCs w:val="24"/>
          <w:u w:val="single"/>
        </w:rPr>
        <w:tab/>
      </w:r>
      <w:r>
        <w:rPr>
          <w:rFonts w:hAnsi="宋体" w:cs="宋体"/>
          <w:color w:val="auto"/>
          <w:szCs w:val="24"/>
        </w:rPr>
        <w:t>万元，属于</w:t>
      </w:r>
      <w:r>
        <w:rPr>
          <w:rFonts w:hAnsi="宋体" w:cs="宋体"/>
          <w:color w:val="auto"/>
          <w:szCs w:val="24"/>
          <w:u w:val="single"/>
        </w:rPr>
        <w:t>（中型企业、小型企业、微型企业）</w:t>
      </w:r>
      <w:r>
        <w:rPr>
          <w:rFonts w:hAnsi="宋体" w:cs="宋体"/>
          <w:color w:val="auto"/>
          <w:szCs w:val="24"/>
        </w:rPr>
        <w:t>；</w:t>
      </w:r>
    </w:p>
    <w:p>
      <w:pPr>
        <w:pStyle w:val="50"/>
        <w:widowControl/>
        <w:spacing w:line="360" w:lineRule="auto"/>
        <w:ind w:firstLine="480"/>
        <w:rPr>
          <w:rFonts w:hint="default" w:hAnsi="宋体" w:cs="宋体"/>
          <w:color w:val="auto"/>
          <w:szCs w:val="24"/>
          <w:lang w:val="zh-CN"/>
        </w:rPr>
      </w:pPr>
      <w:r>
        <w:rPr>
          <w:rFonts w:hAnsi="宋体" w:cs="宋体"/>
          <w:color w:val="auto"/>
          <w:szCs w:val="24"/>
          <w:lang w:val="zh-CN"/>
        </w:rPr>
        <w:t>……</w:t>
      </w:r>
    </w:p>
    <w:p>
      <w:pPr>
        <w:pStyle w:val="50"/>
        <w:widowControl/>
        <w:spacing w:line="360" w:lineRule="auto"/>
        <w:ind w:firstLine="480"/>
        <w:rPr>
          <w:rFonts w:hint="default" w:hAnsi="宋体" w:cs="宋体"/>
          <w:color w:val="auto"/>
          <w:szCs w:val="24"/>
          <w:lang w:val="zh-CN"/>
        </w:rPr>
      </w:pPr>
      <w:r>
        <w:rPr>
          <w:rFonts w:hAnsi="宋体" w:cs="宋体"/>
          <w:color w:val="auto"/>
          <w:szCs w:val="24"/>
          <w:lang w:val="zh-CN"/>
        </w:rPr>
        <w:t>以上企业，不属于大企业的分支机构，不存在控股股东为大企业的情形，也不存在与大企业的负责人为同一人的情形。</w:t>
      </w:r>
    </w:p>
    <w:p>
      <w:pPr>
        <w:pStyle w:val="50"/>
        <w:widowControl/>
        <w:spacing w:line="360" w:lineRule="auto"/>
        <w:ind w:firstLine="480"/>
        <w:rPr>
          <w:rFonts w:hint="default" w:hAnsi="宋体" w:cs="宋体"/>
          <w:color w:val="auto"/>
          <w:szCs w:val="24"/>
          <w:lang w:val="zh-CN"/>
        </w:rPr>
      </w:pPr>
      <w:r>
        <w:rPr>
          <w:rFonts w:hAnsi="宋体" w:cs="宋体"/>
          <w:color w:val="auto"/>
          <w:szCs w:val="24"/>
          <w:lang w:val="zh-CN"/>
        </w:rPr>
        <w:t>本企业对上述声明内容的真实性负责。如有虚假，将依法承担相应责任。</w:t>
      </w:r>
    </w:p>
    <w:p>
      <w:pPr>
        <w:pStyle w:val="50"/>
        <w:widowControl/>
        <w:spacing w:line="360" w:lineRule="auto"/>
        <w:ind w:firstLine="480"/>
        <w:rPr>
          <w:rFonts w:hint="default" w:hAnsi="宋体" w:cs="宋体"/>
          <w:color w:val="auto"/>
          <w:szCs w:val="24"/>
        </w:rPr>
      </w:pPr>
    </w:p>
    <w:p>
      <w:pPr>
        <w:pStyle w:val="50"/>
        <w:widowControl/>
        <w:spacing w:line="360" w:lineRule="auto"/>
        <w:ind w:firstLine="4560" w:firstLineChars="1900"/>
        <w:jc w:val="left"/>
        <w:rPr>
          <w:rFonts w:hint="default" w:hAnsi="宋体" w:cs="宋体"/>
          <w:color w:val="auto"/>
          <w:szCs w:val="24"/>
        </w:rPr>
      </w:pPr>
      <w:r>
        <w:rPr>
          <w:rFonts w:hAnsi="宋体" w:cs="宋体"/>
          <w:color w:val="auto"/>
          <w:szCs w:val="24"/>
        </w:rPr>
        <w:t>企业名称（盖章）：</w:t>
      </w:r>
    </w:p>
    <w:p>
      <w:pPr>
        <w:pStyle w:val="50"/>
        <w:widowControl/>
        <w:spacing w:line="360" w:lineRule="auto"/>
        <w:ind w:firstLine="4560" w:firstLineChars="1900"/>
        <w:jc w:val="left"/>
        <w:rPr>
          <w:rFonts w:hint="default" w:hAnsi="宋体" w:cs="宋体"/>
          <w:color w:val="auto"/>
          <w:szCs w:val="24"/>
        </w:rPr>
      </w:pPr>
      <w:r>
        <w:rPr>
          <w:rFonts w:hAnsi="宋体" w:cs="宋体"/>
          <w:color w:val="auto"/>
          <w:szCs w:val="24"/>
        </w:rPr>
        <w:t>日期：</w:t>
      </w:r>
    </w:p>
    <w:p>
      <w:pPr>
        <w:pStyle w:val="50"/>
        <w:widowControl/>
        <w:spacing w:line="360" w:lineRule="auto"/>
        <w:ind w:firstLine="0" w:firstLineChars="0"/>
        <w:rPr>
          <w:rFonts w:hint="default" w:hAnsi="宋体" w:cs="宋体"/>
          <w:color w:val="auto"/>
          <w:szCs w:val="24"/>
        </w:rPr>
      </w:pPr>
      <w:r>
        <w:rPr>
          <w:rFonts w:hAnsi="宋体" w:cs="宋体"/>
          <w:color w:val="auto"/>
          <w:szCs w:val="24"/>
        </w:rPr>
        <w:t>备注：</w:t>
      </w:r>
    </w:p>
    <w:p>
      <w:pPr>
        <w:pStyle w:val="50"/>
        <w:widowControl/>
        <w:spacing w:line="360" w:lineRule="auto"/>
        <w:ind w:firstLine="480"/>
        <w:rPr>
          <w:rFonts w:hint="default" w:hAnsi="宋体" w:cs="宋体"/>
          <w:color w:val="auto"/>
          <w:spacing w:val="-8"/>
          <w:szCs w:val="24"/>
        </w:rPr>
      </w:pPr>
      <w:r>
        <w:rPr>
          <w:rFonts w:hAnsi="宋体" w:cs="宋体"/>
          <w:color w:val="auto"/>
          <w:szCs w:val="24"/>
        </w:rPr>
        <w:t>1、</w:t>
      </w:r>
      <w:r>
        <w:rPr>
          <w:rFonts w:hAnsi="宋体" w:cs="宋体"/>
          <w:color w:val="auto"/>
          <w:spacing w:val="-8"/>
          <w:szCs w:val="24"/>
        </w:rPr>
        <w:t>中小企业参加政府采购活动，应当按照《政府采购促进中小企业发展管理办法》（财库〔2020〕46号）规定和《中小企业划型标准规定》（工信部联企业〔2011〕300号），如实填写并提交本《中小企业声明函》。</w:t>
      </w:r>
    </w:p>
    <w:p>
      <w:pPr>
        <w:pStyle w:val="50"/>
        <w:widowControl/>
        <w:spacing w:line="360" w:lineRule="auto"/>
        <w:ind w:firstLine="448"/>
        <w:rPr>
          <w:rFonts w:hint="default" w:hAnsi="宋体" w:cs="宋体"/>
          <w:color w:val="auto"/>
          <w:spacing w:val="-8"/>
          <w:szCs w:val="24"/>
        </w:rPr>
      </w:pPr>
      <w:r>
        <w:rPr>
          <w:rFonts w:hAnsi="宋体" w:cs="宋体"/>
          <w:color w:val="auto"/>
          <w:spacing w:val="-8"/>
          <w:szCs w:val="24"/>
        </w:rPr>
        <w:t>2、从业人员、营业收入、资产总额填报上一年度数据，无上一年度数据的新成立企业可不填报。</w:t>
      </w:r>
    </w:p>
    <w:p>
      <w:pPr>
        <w:pStyle w:val="50"/>
        <w:widowControl/>
        <w:spacing w:line="360" w:lineRule="auto"/>
        <w:ind w:firstLine="448"/>
        <w:rPr>
          <w:rFonts w:hint="default" w:hAnsi="宋体" w:cs="宋体"/>
          <w:color w:val="auto"/>
          <w:spacing w:val="-8"/>
          <w:szCs w:val="24"/>
        </w:rPr>
      </w:pPr>
      <w:r>
        <w:rPr>
          <w:rFonts w:hAnsi="宋体" w:cs="宋体"/>
          <w:color w:val="auto"/>
          <w:spacing w:val="-8"/>
          <w:szCs w:val="24"/>
        </w:rPr>
        <w:t>3、本项目所属行业为“ 其他未列明行业”。</w:t>
      </w:r>
    </w:p>
    <w:p>
      <w:pPr>
        <w:rPr>
          <w:rFonts w:cs="宋体"/>
          <w:color w:val="auto"/>
          <w:sz w:val="24"/>
          <w:szCs w:val="24"/>
        </w:rPr>
      </w:pPr>
      <w:r>
        <w:rPr>
          <w:rFonts w:hint="eastAsia" w:cs="宋体"/>
          <w:color w:val="auto"/>
          <w:sz w:val="24"/>
          <w:szCs w:val="24"/>
        </w:rPr>
        <w:br w:type="page"/>
      </w:r>
    </w:p>
    <w:p>
      <w:pPr>
        <w:tabs>
          <w:tab w:val="left" w:pos="1418"/>
        </w:tabs>
        <w:spacing w:line="720" w:lineRule="auto"/>
        <w:jc w:val="center"/>
        <w:outlineLvl w:val="1"/>
        <w:rPr>
          <w:rFonts w:cs="宋体"/>
          <w:b/>
          <w:bCs/>
          <w:color w:val="auto"/>
          <w:sz w:val="28"/>
          <w:szCs w:val="28"/>
        </w:rPr>
      </w:pPr>
      <w:bookmarkStart w:id="242" w:name="_Toc14852"/>
      <w:bookmarkStart w:id="243" w:name="_Toc28815"/>
      <w:bookmarkStart w:id="244" w:name="_Toc8681"/>
      <w:bookmarkStart w:id="245" w:name="_Toc16097"/>
      <w:bookmarkStart w:id="246" w:name="_Toc25348"/>
      <w:bookmarkStart w:id="247" w:name="_Toc403077649"/>
      <w:bookmarkStart w:id="248" w:name="_Toc426457701"/>
      <w:bookmarkStart w:id="249" w:name="_Toc19075"/>
      <w:bookmarkStart w:id="250" w:name="_Toc363474028"/>
      <w:bookmarkStart w:id="251" w:name="_Toc4867"/>
      <w:bookmarkStart w:id="252" w:name="_Toc30210"/>
      <w:r>
        <w:rPr>
          <w:rFonts w:hint="eastAsia" w:cs="宋体"/>
          <w:b/>
          <w:bCs/>
          <w:color w:val="auto"/>
          <w:sz w:val="32"/>
          <w:szCs w:val="32"/>
        </w:rPr>
        <w:t>七、保证金缴纳凭证</w:t>
      </w:r>
      <w:bookmarkEnd w:id="242"/>
    </w:p>
    <w:p>
      <w:pPr>
        <w:spacing w:line="560" w:lineRule="exact"/>
        <w:jc w:val="center"/>
        <w:rPr>
          <w:rFonts w:cs="宋体"/>
          <w:b/>
          <w:bCs/>
          <w:color w:val="auto"/>
          <w:sz w:val="28"/>
          <w:szCs w:val="28"/>
        </w:rPr>
      </w:pPr>
    </w:p>
    <w:p>
      <w:pPr>
        <w:spacing w:line="560" w:lineRule="exact"/>
        <w:jc w:val="center"/>
        <w:rPr>
          <w:rFonts w:cs="宋体"/>
          <w:b/>
          <w:bCs/>
          <w:color w:val="auto"/>
          <w:sz w:val="28"/>
          <w:szCs w:val="28"/>
        </w:rPr>
      </w:pPr>
    </w:p>
    <w:p>
      <w:pPr>
        <w:spacing w:line="560" w:lineRule="exact"/>
        <w:jc w:val="center"/>
        <w:rPr>
          <w:rFonts w:cs="宋体"/>
          <w:b/>
          <w:bCs/>
          <w:color w:val="auto"/>
          <w:sz w:val="28"/>
          <w:szCs w:val="28"/>
        </w:rPr>
      </w:pPr>
    </w:p>
    <w:p>
      <w:pPr>
        <w:spacing w:line="560" w:lineRule="exact"/>
        <w:jc w:val="center"/>
        <w:rPr>
          <w:rFonts w:cs="宋体"/>
          <w:b/>
          <w:bCs/>
          <w:color w:val="auto"/>
          <w:sz w:val="28"/>
          <w:szCs w:val="28"/>
        </w:rPr>
      </w:pPr>
    </w:p>
    <w:p>
      <w:pPr>
        <w:ind w:firstLine="141" w:firstLineChars="50"/>
        <w:jc w:val="center"/>
        <w:rPr>
          <w:rFonts w:cs="宋体"/>
          <w:b/>
          <w:color w:val="auto"/>
          <w:sz w:val="28"/>
          <w:szCs w:val="28"/>
          <w:u w:val="single"/>
        </w:rPr>
      </w:pPr>
      <w:r>
        <w:rPr>
          <w:rFonts w:hint="eastAsia" w:cs="宋体"/>
          <w:b/>
          <w:color w:val="auto"/>
          <w:sz w:val="28"/>
          <w:szCs w:val="28"/>
          <w:u w:val="single"/>
        </w:rPr>
        <w:t>本页附投标保证金缴纳凭证复印件或投标保函正本复印件</w:t>
      </w:r>
    </w:p>
    <w:p>
      <w:pPr>
        <w:ind w:firstLine="141" w:firstLineChars="50"/>
        <w:jc w:val="center"/>
        <w:rPr>
          <w:rFonts w:cs="宋体"/>
          <w:b/>
          <w:color w:val="auto"/>
          <w:sz w:val="28"/>
          <w:szCs w:val="28"/>
          <w:u w:val="single"/>
        </w:rPr>
      </w:pPr>
    </w:p>
    <w:p>
      <w:pPr>
        <w:rPr>
          <w:rFonts w:cs="宋体"/>
          <w:b/>
          <w:color w:val="auto"/>
          <w:sz w:val="28"/>
          <w:szCs w:val="28"/>
          <w:u w:val="single"/>
        </w:rPr>
      </w:pPr>
      <w:r>
        <w:rPr>
          <w:rFonts w:hint="eastAsia" w:cs="宋体"/>
          <w:b/>
          <w:color w:val="auto"/>
          <w:sz w:val="28"/>
          <w:szCs w:val="28"/>
          <w:u w:val="single"/>
        </w:rPr>
        <w:br w:type="page"/>
      </w:r>
    </w:p>
    <w:p>
      <w:pPr>
        <w:tabs>
          <w:tab w:val="left" w:pos="2684"/>
        </w:tabs>
        <w:spacing w:before="240" w:beforeLines="100"/>
        <w:rPr>
          <w:rFonts w:cs="宋体"/>
          <w:color w:val="auto"/>
        </w:rPr>
      </w:pPr>
      <w:r>
        <w:rPr>
          <w:rFonts w:hint="eastAsia" w:cs="宋体"/>
          <w:bCs/>
          <w:color w:val="auto"/>
          <w:sz w:val="24"/>
          <w:szCs w:val="24"/>
          <w:u w:val="single"/>
          <w:lang w:bidi="ar"/>
        </w:rPr>
        <w:t>供应商基本账户信息</w:t>
      </w:r>
      <w:r>
        <w:rPr>
          <w:rFonts w:hint="eastAsia" w:cs="宋体"/>
          <w:b/>
          <w:color w:val="auto"/>
          <w:sz w:val="24"/>
          <w:szCs w:val="24"/>
          <w:u w:val="single"/>
          <w:lang w:bidi="ar"/>
        </w:rPr>
        <w:t>：</w:t>
      </w:r>
    </w:p>
    <w:tbl>
      <w:tblPr>
        <w:tblStyle w:val="29"/>
        <w:tblpPr w:leftFromText="180" w:rightFromText="180" w:vertAnchor="text" w:horzAnchor="page" w:tblpX="1845" w:tblpY="967"/>
        <w:tblOverlap w:val="never"/>
        <w:tblW w:w="8240"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24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24"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Cs w:val="21"/>
              </w:rPr>
            </w:pPr>
            <w:r>
              <w:rPr>
                <w:rFonts w:hint="eastAsia" w:cs="宋体"/>
                <w:color w:val="auto"/>
                <w:szCs w:val="21"/>
                <w:lang w:bidi="ar"/>
              </w:rPr>
              <w:t>户名：</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23"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tabs>
                <w:tab w:val="left" w:pos="1324"/>
              </w:tabs>
              <w:spacing w:line="360" w:lineRule="auto"/>
              <w:rPr>
                <w:rFonts w:cs="宋体"/>
                <w:color w:val="auto"/>
                <w:szCs w:val="21"/>
              </w:rPr>
            </w:pPr>
            <w:r>
              <w:rPr>
                <w:rFonts w:hint="eastAsia" w:cs="宋体"/>
                <w:color w:val="auto"/>
                <w:szCs w:val="21"/>
                <w:lang w:bidi="ar"/>
              </w:rPr>
              <w:t>开户行：</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10"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Cs w:val="21"/>
              </w:rPr>
            </w:pPr>
            <w:r>
              <w:rPr>
                <w:rFonts w:hint="eastAsia" w:cs="宋体"/>
                <w:color w:val="auto"/>
                <w:szCs w:val="21"/>
                <w:lang w:bidi="ar"/>
              </w:rPr>
              <w:t>账号：</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60"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Cs w:val="21"/>
              </w:rPr>
            </w:pPr>
            <w:r>
              <w:rPr>
                <w:rFonts w:hint="eastAsia" w:cs="宋体"/>
                <w:color w:val="auto"/>
                <w:szCs w:val="21"/>
                <w:lang w:bidi="ar"/>
              </w:rPr>
              <w:t>银行行号：</w:t>
            </w:r>
          </w:p>
        </w:tc>
      </w:tr>
    </w:tbl>
    <w:p>
      <w:pPr>
        <w:pStyle w:val="16"/>
        <w:widowControl/>
        <w:spacing w:line="360" w:lineRule="auto"/>
        <w:rPr>
          <w:rFonts w:ascii="宋体" w:hAnsi="宋体" w:cs="宋体"/>
          <w:b/>
          <w:color w:val="auto"/>
          <w:sz w:val="28"/>
          <w:szCs w:val="28"/>
        </w:rPr>
      </w:pPr>
    </w:p>
    <w:p>
      <w:pPr>
        <w:pStyle w:val="16"/>
        <w:widowControl/>
        <w:spacing w:line="360" w:lineRule="auto"/>
        <w:rPr>
          <w:rFonts w:ascii="宋体" w:hAnsi="宋体" w:cs="宋体"/>
          <w:b/>
          <w:color w:val="auto"/>
          <w:sz w:val="28"/>
          <w:szCs w:val="28"/>
        </w:rPr>
      </w:pPr>
    </w:p>
    <w:p>
      <w:pPr>
        <w:rPr>
          <w:rFonts w:cs="宋体"/>
          <w:color w:val="auto"/>
          <w:sz w:val="32"/>
          <w:szCs w:val="32"/>
        </w:rPr>
      </w:pPr>
    </w:p>
    <w:p>
      <w:pPr>
        <w:rPr>
          <w:rFonts w:cs="宋体"/>
          <w:color w:val="auto"/>
          <w:sz w:val="32"/>
          <w:szCs w:val="32"/>
        </w:rPr>
      </w:pPr>
      <w:r>
        <w:rPr>
          <w:rFonts w:hint="eastAsia" w:cs="宋体"/>
          <w:color w:val="auto"/>
          <w:sz w:val="32"/>
          <w:szCs w:val="32"/>
        </w:rPr>
        <w:br w:type="page"/>
      </w:r>
    </w:p>
    <w:p>
      <w:pPr>
        <w:pStyle w:val="6"/>
        <w:rPr>
          <w:rFonts w:ascii="宋体" w:hAnsi="宋体" w:cs="宋体"/>
          <w:color w:val="auto"/>
          <w:sz w:val="32"/>
        </w:rPr>
      </w:pPr>
      <w:bookmarkStart w:id="253" w:name="_Toc26098"/>
      <w:r>
        <w:rPr>
          <w:rFonts w:hint="eastAsia" w:ascii="宋体" w:hAnsi="宋体" w:cs="宋体"/>
          <w:color w:val="auto"/>
          <w:sz w:val="32"/>
        </w:rPr>
        <w:t>八、其他资料</w:t>
      </w:r>
      <w:bookmarkEnd w:id="243"/>
      <w:bookmarkEnd w:id="244"/>
      <w:bookmarkEnd w:id="253"/>
    </w:p>
    <w:p>
      <w:pPr>
        <w:spacing w:line="360" w:lineRule="auto"/>
        <w:ind w:firstLine="420" w:firstLineChars="200"/>
        <w:rPr>
          <w:rFonts w:cs="宋体"/>
          <w:bCs/>
          <w:color w:val="auto"/>
          <w:szCs w:val="24"/>
        </w:rPr>
      </w:pPr>
      <w:r>
        <w:rPr>
          <w:rFonts w:hint="eastAsia" w:cs="宋体"/>
          <w:bCs/>
          <w:color w:val="auto"/>
          <w:szCs w:val="24"/>
        </w:rPr>
        <w:t>1、依据招标文件要求，供应商认为有必要说明的其他内容。</w:t>
      </w:r>
    </w:p>
    <w:p>
      <w:pPr>
        <w:spacing w:line="360" w:lineRule="auto"/>
        <w:ind w:firstLine="420" w:firstLineChars="200"/>
        <w:rPr>
          <w:rFonts w:cs="宋体"/>
          <w:bCs/>
          <w:color w:val="auto"/>
          <w:szCs w:val="24"/>
        </w:rPr>
      </w:pPr>
      <w:r>
        <w:rPr>
          <w:rFonts w:hint="eastAsia" w:cs="宋体"/>
          <w:bCs/>
          <w:color w:val="auto"/>
          <w:szCs w:val="24"/>
        </w:rPr>
        <w:t>2、其他可以证明供应商实力的文件。</w:t>
      </w:r>
    </w:p>
    <w:p>
      <w:pPr>
        <w:ind w:firstLine="562" w:firstLineChars="200"/>
        <w:rPr>
          <w:rFonts w:cs="宋体"/>
          <w:b/>
          <w:color w:val="auto"/>
          <w:sz w:val="28"/>
          <w:szCs w:val="28"/>
        </w:rPr>
      </w:pPr>
    </w:p>
    <w:p>
      <w:pPr>
        <w:rPr>
          <w:rFonts w:cs="宋体"/>
          <w:color w:val="auto"/>
        </w:rPr>
      </w:pPr>
      <w:r>
        <w:rPr>
          <w:rFonts w:hint="eastAsia" w:cs="宋体"/>
          <w:color w:val="auto"/>
        </w:rPr>
        <w:br w:type="page"/>
      </w:r>
    </w:p>
    <w:p>
      <w:pPr>
        <w:pStyle w:val="7"/>
        <w:ind w:firstLine="422"/>
        <w:rPr>
          <w:rFonts w:ascii="宋体" w:hAnsi="宋体" w:cs="宋体"/>
          <w:color w:val="auto"/>
        </w:rPr>
      </w:pPr>
      <w:bookmarkStart w:id="254" w:name="_Toc13866"/>
      <w:r>
        <w:rPr>
          <w:rFonts w:hint="eastAsia" w:ascii="宋体" w:hAnsi="宋体" w:cs="宋体"/>
          <w:color w:val="auto"/>
        </w:rPr>
        <w:t>附件1 （如有）</w:t>
      </w:r>
      <w:bookmarkEnd w:id="254"/>
    </w:p>
    <w:p>
      <w:pPr>
        <w:jc w:val="center"/>
        <w:rPr>
          <w:rFonts w:cs="宋体"/>
          <w:b/>
          <w:color w:val="auto"/>
          <w:sz w:val="28"/>
          <w:szCs w:val="28"/>
        </w:rPr>
      </w:pPr>
      <w:r>
        <w:rPr>
          <w:rStyle w:val="35"/>
          <w:rFonts w:hint="eastAsia" w:hAnsi="宋体" w:cs="宋体"/>
          <w:color w:val="auto"/>
          <w:sz w:val="28"/>
          <w:szCs w:val="28"/>
        </w:rPr>
        <w:t>投标担保函（参考格式）</w:t>
      </w:r>
    </w:p>
    <w:p>
      <w:pPr>
        <w:jc w:val="center"/>
        <w:rPr>
          <w:rFonts w:cs="宋体"/>
          <w:color w:val="auto"/>
          <w:szCs w:val="32"/>
        </w:rPr>
      </w:pPr>
      <w:r>
        <w:rPr>
          <w:rFonts w:hint="eastAsia" w:cs="宋体"/>
          <w:color w:val="auto"/>
          <w:szCs w:val="32"/>
        </w:rPr>
        <w:t xml:space="preserve">                     </w:t>
      </w:r>
      <w:r>
        <w:rPr>
          <w:rFonts w:hint="eastAsia" w:cs="宋体"/>
          <w:color w:val="auto"/>
          <w:szCs w:val="24"/>
        </w:rPr>
        <w:t xml:space="preserve">         编号： </w:t>
      </w:r>
    </w:p>
    <w:p>
      <w:pPr>
        <w:rPr>
          <w:rFonts w:cs="宋体"/>
          <w:color w:val="auto"/>
          <w:szCs w:val="32"/>
          <w:u w:val="single"/>
        </w:rPr>
      </w:pPr>
    </w:p>
    <w:p>
      <w:pPr>
        <w:spacing w:line="360" w:lineRule="auto"/>
        <w:rPr>
          <w:rFonts w:cs="宋体"/>
          <w:color w:val="auto"/>
          <w:szCs w:val="24"/>
        </w:rPr>
      </w:pPr>
      <w:r>
        <w:rPr>
          <w:rFonts w:hint="eastAsia" w:cs="宋体"/>
          <w:color w:val="auto"/>
          <w:szCs w:val="24"/>
        </w:rPr>
        <w:t xml:space="preserve">___________________（采购人或采购代理机构）： </w:t>
      </w:r>
    </w:p>
    <w:p>
      <w:pPr>
        <w:spacing w:line="360" w:lineRule="auto"/>
        <w:jc w:val="left"/>
        <w:rPr>
          <w:rFonts w:cs="宋体"/>
          <w:color w:val="auto"/>
          <w:szCs w:val="24"/>
        </w:rPr>
      </w:pPr>
      <w:r>
        <w:rPr>
          <w:rFonts w:hint="eastAsia" w:cs="宋体"/>
          <w:color w:val="auto"/>
          <w:szCs w:val="24"/>
        </w:rPr>
        <w:t xml:space="preserve">    鉴于_______________（以下简称“供应商”）拟参加编号为___________的_______项目</w:t>
      </w:r>
      <w:r>
        <w:rPr>
          <w:rFonts w:hint="eastAsia" w:cs="宋体"/>
          <w:color w:val="auto"/>
          <w:szCs w:val="24"/>
          <w:u w:val="single"/>
        </w:rPr>
        <w:t xml:space="preserve">      </w:t>
      </w:r>
      <w:r>
        <w:rPr>
          <w:rFonts w:hint="eastAsia" w:cs="宋体"/>
          <w:color w:val="auto"/>
          <w:szCs w:val="24"/>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cs="宋体"/>
          <w:b/>
          <w:color w:val="auto"/>
          <w:szCs w:val="24"/>
        </w:rPr>
      </w:pPr>
      <w:r>
        <w:rPr>
          <w:rFonts w:hint="eastAsia" w:cs="宋体"/>
          <w:color w:val="auto"/>
          <w:szCs w:val="24"/>
        </w:rPr>
        <w:t xml:space="preserve">   </w:t>
      </w:r>
      <w:r>
        <w:rPr>
          <w:rFonts w:hint="eastAsia" w:cs="宋体"/>
          <w:b/>
          <w:color w:val="auto"/>
          <w:szCs w:val="24"/>
        </w:rPr>
        <w:t xml:space="preserve"> 一、保证责任的情形及保证金额 </w:t>
      </w:r>
    </w:p>
    <w:p>
      <w:pPr>
        <w:spacing w:line="360" w:lineRule="auto"/>
        <w:rPr>
          <w:rFonts w:cs="宋体"/>
          <w:color w:val="auto"/>
          <w:szCs w:val="24"/>
        </w:rPr>
      </w:pPr>
      <w:r>
        <w:rPr>
          <w:rFonts w:hint="eastAsia" w:cs="宋体"/>
          <w:color w:val="auto"/>
          <w:szCs w:val="24"/>
        </w:rPr>
        <w:t xml:space="preserve">   （一）在供应商出现下列情形之一时，我方承担保证责任： </w:t>
      </w:r>
    </w:p>
    <w:p>
      <w:pPr>
        <w:spacing w:line="360" w:lineRule="auto"/>
        <w:rPr>
          <w:rFonts w:cs="宋体"/>
          <w:color w:val="auto"/>
          <w:szCs w:val="24"/>
        </w:rPr>
      </w:pPr>
      <w:r>
        <w:rPr>
          <w:rFonts w:hint="eastAsia" w:cs="宋体"/>
          <w:color w:val="auto"/>
          <w:szCs w:val="24"/>
        </w:rPr>
        <w:t xml:space="preserve">    1．中标后供应商无正当理由不与采购人或者采购代理机构签订《政府采购合同》； </w:t>
      </w:r>
    </w:p>
    <w:p>
      <w:pPr>
        <w:spacing w:line="360" w:lineRule="auto"/>
        <w:rPr>
          <w:rFonts w:cs="宋体"/>
          <w:color w:val="auto"/>
          <w:szCs w:val="24"/>
        </w:rPr>
      </w:pPr>
      <w:r>
        <w:rPr>
          <w:rFonts w:hint="eastAsia" w:cs="宋体"/>
          <w:color w:val="auto"/>
          <w:szCs w:val="24"/>
        </w:rPr>
        <w:t xml:space="preserve">    2．招标文件规定的供应商应当缴纳保证金的其他情形。 </w:t>
      </w:r>
    </w:p>
    <w:p>
      <w:pPr>
        <w:spacing w:line="360" w:lineRule="auto"/>
        <w:jc w:val="left"/>
        <w:rPr>
          <w:rFonts w:cs="宋体"/>
          <w:color w:val="auto"/>
          <w:szCs w:val="24"/>
        </w:rPr>
      </w:pPr>
      <w:r>
        <w:rPr>
          <w:rFonts w:hint="eastAsia" w:cs="宋体"/>
          <w:color w:val="auto"/>
          <w:szCs w:val="24"/>
        </w:rPr>
        <w:t xml:space="preserve">  （二）我方承担保证责任的最高金额为人民币______元（大写_________________），即本项目</w:t>
      </w:r>
      <w:r>
        <w:rPr>
          <w:rFonts w:hint="eastAsia" w:cs="宋体"/>
          <w:color w:val="auto"/>
          <w:szCs w:val="24"/>
          <w:u w:val="single"/>
        </w:rPr>
        <w:t xml:space="preserve">     </w:t>
      </w:r>
      <w:r>
        <w:rPr>
          <w:rFonts w:hint="eastAsia" w:cs="宋体"/>
          <w:color w:val="auto"/>
          <w:szCs w:val="24"/>
        </w:rPr>
        <w:t xml:space="preserve">的投标保证金金额。 </w:t>
      </w:r>
    </w:p>
    <w:p>
      <w:pPr>
        <w:spacing w:line="360" w:lineRule="auto"/>
        <w:rPr>
          <w:rFonts w:cs="宋体"/>
          <w:b/>
          <w:color w:val="auto"/>
          <w:szCs w:val="24"/>
        </w:rPr>
      </w:pPr>
      <w:r>
        <w:rPr>
          <w:rFonts w:hint="eastAsia" w:cs="宋体"/>
          <w:color w:val="auto"/>
          <w:szCs w:val="24"/>
        </w:rPr>
        <w:t xml:space="preserve">   </w:t>
      </w:r>
      <w:r>
        <w:rPr>
          <w:rFonts w:hint="eastAsia" w:cs="宋体"/>
          <w:b/>
          <w:color w:val="auto"/>
          <w:szCs w:val="24"/>
        </w:rPr>
        <w:t xml:space="preserve"> 二、保证的方式及保证期间 </w:t>
      </w:r>
    </w:p>
    <w:p>
      <w:pPr>
        <w:spacing w:line="360" w:lineRule="auto"/>
        <w:rPr>
          <w:rFonts w:cs="宋体"/>
          <w:color w:val="auto"/>
          <w:szCs w:val="24"/>
        </w:rPr>
      </w:pPr>
      <w:r>
        <w:rPr>
          <w:rFonts w:hint="eastAsia" w:cs="宋体"/>
          <w:color w:val="auto"/>
          <w:szCs w:val="24"/>
        </w:rPr>
        <w:t xml:space="preserve">    我方保证的方式为：连带责任保证。 </w:t>
      </w:r>
    </w:p>
    <w:p>
      <w:pPr>
        <w:spacing w:line="360" w:lineRule="auto"/>
        <w:rPr>
          <w:rFonts w:cs="宋体"/>
          <w:color w:val="auto"/>
          <w:szCs w:val="24"/>
        </w:rPr>
      </w:pPr>
      <w:r>
        <w:rPr>
          <w:rFonts w:hint="eastAsia" w:cs="宋体"/>
          <w:color w:val="auto"/>
          <w:szCs w:val="24"/>
        </w:rPr>
        <w:t xml:space="preserve">    我方的保证期间为：自本保函生效之日起______个月止。 </w:t>
      </w:r>
    </w:p>
    <w:p>
      <w:pPr>
        <w:spacing w:line="360" w:lineRule="auto"/>
        <w:rPr>
          <w:rFonts w:cs="宋体"/>
          <w:b/>
          <w:color w:val="auto"/>
          <w:szCs w:val="24"/>
        </w:rPr>
      </w:pPr>
      <w:r>
        <w:rPr>
          <w:rFonts w:hint="eastAsia" w:cs="宋体"/>
          <w:color w:val="auto"/>
          <w:szCs w:val="24"/>
        </w:rPr>
        <w:t xml:space="preserve">   </w:t>
      </w:r>
      <w:r>
        <w:rPr>
          <w:rFonts w:hint="eastAsia" w:cs="宋体"/>
          <w:b/>
          <w:color w:val="auto"/>
          <w:szCs w:val="24"/>
        </w:rPr>
        <w:t xml:space="preserve"> 三、承担保证责任的程序 </w:t>
      </w:r>
    </w:p>
    <w:p>
      <w:pPr>
        <w:spacing w:line="360" w:lineRule="auto"/>
        <w:rPr>
          <w:rFonts w:cs="宋体"/>
          <w:color w:val="auto"/>
          <w:szCs w:val="24"/>
        </w:rPr>
      </w:pPr>
      <w:r>
        <w:rPr>
          <w:rFonts w:hint="eastAsia" w:cs="宋体"/>
          <w:color w:val="auto"/>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cs="宋体"/>
          <w:color w:val="auto"/>
          <w:szCs w:val="24"/>
        </w:rPr>
      </w:pPr>
      <w:r>
        <w:rPr>
          <w:rFonts w:hint="eastAsia" w:cs="宋体"/>
          <w:color w:val="auto"/>
          <w:szCs w:val="24"/>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cs="宋体"/>
          <w:b/>
          <w:color w:val="auto"/>
          <w:szCs w:val="24"/>
        </w:rPr>
      </w:pPr>
      <w:r>
        <w:rPr>
          <w:rFonts w:hint="eastAsia" w:cs="宋体"/>
          <w:b/>
          <w:color w:val="auto"/>
          <w:szCs w:val="24"/>
        </w:rPr>
        <w:t xml:space="preserve">    四、保证责任的终止 </w:t>
      </w:r>
    </w:p>
    <w:p>
      <w:pPr>
        <w:spacing w:line="360" w:lineRule="auto"/>
        <w:rPr>
          <w:rFonts w:cs="宋体"/>
          <w:color w:val="auto"/>
          <w:szCs w:val="24"/>
        </w:rPr>
      </w:pPr>
      <w:r>
        <w:rPr>
          <w:rFonts w:hint="eastAsia" w:cs="宋体"/>
          <w:color w:val="auto"/>
          <w:szCs w:val="24"/>
        </w:rPr>
        <w:t xml:space="preserve">    1．保证期间届满你方未向我方书面主张保证责任的，自保证期间届满次日起，我方保证责任自动终止。 </w:t>
      </w:r>
    </w:p>
    <w:p>
      <w:pPr>
        <w:spacing w:line="360" w:lineRule="auto"/>
        <w:rPr>
          <w:rFonts w:cs="宋体"/>
          <w:color w:val="auto"/>
          <w:szCs w:val="24"/>
        </w:rPr>
      </w:pPr>
      <w:r>
        <w:rPr>
          <w:rFonts w:hint="eastAsia" w:cs="宋体"/>
          <w:color w:val="auto"/>
          <w:szCs w:val="24"/>
        </w:rPr>
        <w:t xml:space="preserve">    2．我方按照本保函向你方履行了保证责任后，自我方向你方支付款项（支付款项从我方账户划出）之日起，保证责任终止。 </w:t>
      </w:r>
    </w:p>
    <w:p>
      <w:pPr>
        <w:spacing w:line="360" w:lineRule="auto"/>
        <w:rPr>
          <w:rFonts w:cs="宋体"/>
          <w:color w:val="auto"/>
          <w:szCs w:val="24"/>
        </w:rPr>
      </w:pPr>
      <w:r>
        <w:rPr>
          <w:rFonts w:hint="eastAsia" w:cs="宋体"/>
          <w:color w:val="auto"/>
          <w:szCs w:val="24"/>
        </w:rPr>
        <w:t xml:space="preserve">    3．按照法律法规的规定或出现我方保证责任终止的其它情形的，我方在本保函项下的保证责任亦终止。 </w:t>
      </w:r>
    </w:p>
    <w:p>
      <w:pPr>
        <w:spacing w:line="360" w:lineRule="auto"/>
        <w:rPr>
          <w:rFonts w:cs="宋体"/>
          <w:b/>
          <w:color w:val="auto"/>
          <w:szCs w:val="24"/>
        </w:rPr>
      </w:pPr>
      <w:r>
        <w:rPr>
          <w:rFonts w:hint="eastAsia" w:cs="宋体"/>
          <w:b/>
          <w:color w:val="auto"/>
          <w:szCs w:val="24"/>
        </w:rPr>
        <w:t xml:space="preserve">    五、免责条款 </w:t>
      </w:r>
    </w:p>
    <w:p>
      <w:pPr>
        <w:spacing w:line="360" w:lineRule="auto"/>
        <w:rPr>
          <w:rFonts w:cs="宋体"/>
          <w:color w:val="auto"/>
          <w:szCs w:val="24"/>
        </w:rPr>
      </w:pPr>
      <w:r>
        <w:rPr>
          <w:rFonts w:hint="eastAsia" w:cs="宋体"/>
          <w:color w:val="auto"/>
          <w:szCs w:val="24"/>
        </w:rPr>
        <w:t xml:space="preserve">    1．依照法律规定或你方与供应商的另行约定，全部或者部分免除供应商投标保证金义务时，我方亦免除相应的保证责任。 </w:t>
      </w:r>
    </w:p>
    <w:p>
      <w:pPr>
        <w:spacing w:line="360" w:lineRule="auto"/>
        <w:rPr>
          <w:rFonts w:cs="宋体"/>
          <w:color w:val="auto"/>
          <w:szCs w:val="24"/>
        </w:rPr>
      </w:pPr>
      <w:r>
        <w:rPr>
          <w:rFonts w:hint="eastAsia" w:cs="宋体"/>
          <w:color w:val="auto"/>
          <w:szCs w:val="24"/>
        </w:rPr>
        <w:t xml:space="preserve">    2．因你方原因致使供应商发生本保函第一条第（一）款约定情形的，我方不承担保证责任。 </w:t>
      </w:r>
    </w:p>
    <w:p>
      <w:pPr>
        <w:spacing w:line="360" w:lineRule="auto"/>
        <w:rPr>
          <w:rFonts w:cs="宋体"/>
          <w:color w:val="auto"/>
          <w:szCs w:val="24"/>
        </w:rPr>
      </w:pPr>
      <w:r>
        <w:rPr>
          <w:rFonts w:hint="eastAsia" w:cs="宋体"/>
          <w:color w:val="auto"/>
          <w:szCs w:val="24"/>
        </w:rPr>
        <w:t xml:space="preserve">    3．因不可抗力造成供应商发生本保函第一条约定情形的，我方不承担保证责任。 </w:t>
      </w:r>
    </w:p>
    <w:p>
      <w:pPr>
        <w:spacing w:line="360" w:lineRule="auto"/>
        <w:rPr>
          <w:rFonts w:cs="宋体"/>
          <w:color w:val="auto"/>
          <w:szCs w:val="24"/>
        </w:rPr>
      </w:pPr>
      <w:r>
        <w:rPr>
          <w:rFonts w:hint="eastAsia" w:cs="宋体"/>
          <w:color w:val="auto"/>
          <w:szCs w:val="24"/>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cs="宋体"/>
          <w:b/>
          <w:color w:val="auto"/>
          <w:szCs w:val="24"/>
        </w:rPr>
      </w:pPr>
      <w:r>
        <w:rPr>
          <w:rFonts w:hint="eastAsia" w:cs="宋体"/>
          <w:color w:val="auto"/>
          <w:szCs w:val="24"/>
        </w:rPr>
        <w:t xml:space="preserve">   </w:t>
      </w:r>
      <w:r>
        <w:rPr>
          <w:rFonts w:hint="eastAsia" w:cs="宋体"/>
          <w:b/>
          <w:color w:val="auto"/>
          <w:szCs w:val="24"/>
        </w:rPr>
        <w:t xml:space="preserve"> 六、争议的解决 </w:t>
      </w:r>
    </w:p>
    <w:p>
      <w:pPr>
        <w:spacing w:line="360" w:lineRule="auto"/>
        <w:rPr>
          <w:rFonts w:cs="宋体"/>
          <w:color w:val="auto"/>
          <w:szCs w:val="24"/>
        </w:rPr>
      </w:pPr>
      <w:r>
        <w:rPr>
          <w:rFonts w:hint="eastAsia" w:cs="宋体"/>
          <w:color w:val="auto"/>
          <w:szCs w:val="24"/>
        </w:rPr>
        <w:t xml:space="preserve">    因本保函发生的纠纷，由你我双方协商解决，协商不成的，通过诉讼程序解决，诉讼管辖地法院为________________法院。 </w:t>
      </w:r>
    </w:p>
    <w:p>
      <w:pPr>
        <w:spacing w:line="360" w:lineRule="auto"/>
        <w:rPr>
          <w:rFonts w:cs="宋体"/>
          <w:b/>
          <w:color w:val="auto"/>
          <w:szCs w:val="24"/>
        </w:rPr>
      </w:pPr>
      <w:r>
        <w:rPr>
          <w:rFonts w:hint="eastAsia" w:cs="宋体"/>
          <w:b/>
          <w:color w:val="auto"/>
          <w:szCs w:val="24"/>
        </w:rPr>
        <w:t xml:space="preserve">    七、保函的生效 </w:t>
      </w:r>
    </w:p>
    <w:p>
      <w:pPr>
        <w:spacing w:line="360" w:lineRule="auto"/>
        <w:rPr>
          <w:rFonts w:cs="宋体"/>
          <w:color w:val="auto"/>
          <w:szCs w:val="24"/>
        </w:rPr>
      </w:pPr>
      <w:r>
        <w:rPr>
          <w:rFonts w:hint="eastAsia" w:cs="宋体"/>
          <w:color w:val="auto"/>
          <w:szCs w:val="24"/>
        </w:rPr>
        <w:t xml:space="preserve">    本保函自我方加盖公章之日起生效。 </w:t>
      </w:r>
    </w:p>
    <w:p>
      <w:pPr>
        <w:spacing w:line="360" w:lineRule="auto"/>
        <w:rPr>
          <w:rFonts w:cs="宋体"/>
          <w:color w:val="auto"/>
          <w:szCs w:val="24"/>
        </w:rPr>
      </w:pPr>
      <w:r>
        <w:rPr>
          <w:rFonts w:hint="eastAsia" w:cs="宋体"/>
          <w:color w:val="auto"/>
          <w:szCs w:val="24"/>
        </w:rPr>
        <w:t xml:space="preserve">                             </w:t>
      </w:r>
    </w:p>
    <w:p>
      <w:pPr>
        <w:spacing w:line="360" w:lineRule="auto"/>
        <w:rPr>
          <w:rFonts w:cs="宋体"/>
          <w:color w:val="auto"/>
          <w:szCs w:val="24"/>
        </w:rPr>
      </w:pPr>
    </w:p>
    <w:p>
      <w:pPr>
        <w:spacing w:line="360" w:lineRule="auto"/>
        <w:rPr>
          <w:rFonts w:cs="宋体"/>
          <w:color w:val="auto"/>
          <w:szCs w:val="24"/>
        </w:rPr>
      </w:pPr>
      <w:r>
        <w:rPr>
          <w:rFonts w:hint="eastAsia" w:cs="宋体"/>
          <w:color w:val="auto"/>
          <w:szCs w:val="24"/>
        </w:rPr>
        <w:t xml:space="preserve">                                </w:t>
      </w:r>
    </w:p>
    <w:p>
      <w:pPr>
        <w:spacing w:line="360" w:lineRule="auto"/>
        <w:rPr>
          <w:rFonts w:cs="宋体"/>
          <w:color w:val="auto"/>
          <w:szCs w:val="24"/>
        </w:rPr>
      </w:pPr>
    </w:p>
    <w:p>
      <w:pPr>
        <w:spacing w:line="360" w:lineRule="auto"/>
        <w:ind w:right="640" w:firstLine="3360" w:firstLineChars="1600"/>
        <w:rPr>
          <w:rFonts w:cs="宋体"/>
          <w:color w:val="auto"/>
          <w:szCs w:val="24"/>
        </w:rPr>
      </w:pPr>
      <w:r>
        <w:rPr>
          <w:rFonts w:hint="eastAsia" w:cs="宋体"/>
          <w:color w:val="auto"/>
          <w:szCs w:val="24"/>
        </w:rPr>
        <w:t>保证人：</w:t>
      </w:r>
      <w:r>
        <w:rPr>
          <w:rFonts w:hint="eastAsia" w:cs="宋体"/>
          <w:color w:val="auto"/>
          <w:szCs w:val="24"/>
          <w:u w:val="single"/>
        </w:rPr>
        <w:t xml:space="preserve">                  </w:t>
      </w:r>
      <w:r>
        <w:rPr>
          <w:rFonts w:hint="eastAsia" w:cs="宋体"/>
          <w:color w:val="auto"/>
          <w:szCs w:val="24"/>
        </w:rPr>
        <w:t>（公章）</w:t>
      </w:r>
    </w:p>
    <w:p>
      <w:pPr>
        <w:spacing w:line="360" w:lineRule="auto"/>
        <w:ind w:right="640"/>
        <w:rPr>
          <w:rFonts w:cs="宋体"/>
          <w:color w:val="auto"/>
          <w:szCs w:val="24"/>
        </w:rPr>
      </w:pPr>
      <w:r>
        <w:rPr>
          <w:rFonts w:hint="eastAsia" w:cs="宋体"/>
          <w:color w:val="auto"/>
          <w:szCs w:val="24"/>
        </w:rPr>
        <w:t xml:space="preserve">                                          年   月   日</w:t>
      </w:r>
    </w:p>
    <w:p>
      <w:pPr>
        <w:snapToGrid w:val="0"/>
        <w:spacing w:line="480" w:lineRule="auto"/>
        <w:rPr>
          <w:rFonts w:cs="宋体"/>
          <w:color w:val="auto"/>
          <w:szCs w:val="21"/>
        </w:rPr>
      </w:pPr>
    </w:p>
    <w:p>
      <w:pPr>
        <w:snapToGrid w:val="0"/>
        <w:rPr>
          <w:rFonts w:cs="宋体"/>
          <w:color w:val="auto"/>
          <w:szCs w:val="21"/>
        </w:rPr>
      </w:pPr>
    </w:p>
    <w:p>
      <w:pPr>
        <w:snapToGrid w:val="0"/>
        <w:rPr>
          <w:rFonts w:cs="宋体"/>
          <w:color w:val="auto"/>
          <w:szCs w:val="21"/>
        </w:rPr>
      </w:pPr>
    </w:p>
    <w:p>
      <w:pPr>
        <w:snapToGrid w:val="0"/>
        <w:rPr>
          <w:rFonts w:cs="宋体"/>
          <w:color w:val="auto"/>
          <w:szCs w:val="21"/>
        </w:rPr>
      </w:pPr>
    </w:p>
    <w:p>
      <w:pPr>
        <w:rPr>
          <w:rFonts w:cs="宋体"/>
          <w:color w:val="auto"/>
        </w:rPr>
      </w:pPr>
      <w:r>
        <w:rPr>
          <w:rFonts w:hint="eastAsia" w:cs="宋体"/>
          <w:color w:val="auto"/>
        </w:rPr>
        <w:br w:type="page"/>
      </w:r>
    </w:p>
    <w:bookmarkEnd w:id="245"/>
    <w:bookmarkEnd w:id="246"/>
    <w:bookmarkEnd w:id="247"/>
    <w:bookmarkEnd w:id="248"/>
    <w:bookmarkEnd w:id="249"/>
    <w:bookmarkEnd w:id="250"/>
    <w:bookmarkEnd w:id="251"/>
    <w:bookmarkEnd w:id="252"/>
    <w:p>
      <w:pPr>
        <w:rPr>
          <w:rFonts w:cs="宋体"/>
          <w:color w:val="auto"/>
        </w:rPr>
      </w:pPr>
    </w:p>
    <w:p>
      <w:pPr>
        <w:pStyle w:val="7"/>
        <w:ind w:firstLine="422"/>
        <w:rPr>
          <w:rFonts w:ascii="宋体" w:hAnsi="宋体" w:cs="宋体"/>
          <w:color w:val="auto"/>
        </w:rPr>
      </w:pPr>
      <w:r>
        <w:rPr>
          <w:rFonts w:hint="eastAsia" w:ascii="宋体" w:hAnsi="宋体" w:cs="宋体"/>
          <w:color w:val="auto"/>
        </w:rPr>
        <w:t>附件2（如有）</w:t>
      </w:r>
    </w:p>
    <w:p>
      <w:pPr>
        <w:spacing w:line="588" w:lineRule="exact"/>
        <w:jc w:val="center"/>
        <w:rPr>
          <w:rFonts w:cs="宋体"/>
          <w:b/>
          <w:color w:val="auto"/>
          <w:spacing w:val="6"/>
          <w:sz w:val="32"/>
          <w:szCs w:val="32"/>
        </w:rPr>
      </w:pPr>
      <w:bookmarkStart w:id="255" w:name="OLE_LINK14"/>
      <w:bookmarkStart w:id="256" w:name="OLE_LINK13"/>
      <w:r>
        <w:rPr>
          <w:rFonts w:hint="eastAsia" w:cs="宋体"/>
          <w:b/>
          <w:color w:val="auto"/>
          <w:spacing w:val="6"/>
          <w:sz w:val="32"/>
          <w:szCs w:val="32"/>
        </w:rPr>
        <w:t>残疾人福利性单位声明函</w:t>
      </w:r>
    </w:p>
    <w:bookmarkEnd w:id="255"/>
    <w:bookmarkEnd w:id="256"/>
    <w:p>
      <w:pPr>
        <w:spacing w:line="588" w:lineRule="exact"/>
        <w:rPr>
          <w:rFonts w:cs="宋体"/>
          <w:b/>
          <w:color w:val="auto"/>
          <w:spacing w:val="6"/>
          <w:sz w:val="30"/>
          <w:szCs w:val="30"/>
        </w:rPr>
      </w:pPr>
    </w:p>
    <w:p>
      <w:pPr>
        <w:spacing w:line="588" w:lineRule="exact"/>
        <w:ind w:firstLine="444" w:firstLineChars="200"/>
        <w:rPr>
          <w:rFonts w:cs="宋体"/>
          <w:color w:val="auto"/>
          <w:spacing w:val="6"/>
          <w:szCs w:val="24"/>
        </w:rPr>
      </w:pPr>
      <w:r>
        <w:rPr>
          <w:rFonts w:hint="eastAsia" w:cs="宋体"/>
          <w:color w:val="auto"/>
          <w:spacing w:val="6"/>
          <w:szCs w:val="24"/>
        </w:rPr>
        <w:t>本单位郑重声明，根据《财政部 民政部 中国残疾人联合会关于促进残疾人就业政府采购政策的通知》（财库</w:t>
      </w:r>
      <w:r>
        <w:rPr>
          <w:rFonts w:hint="eastAsia" w:cs="宋体"/>
          <w:color w:val="auto"/>
          <w:szCs w:val="24"/>
        </w:rPr>
        <w:t>〔2017〕 141</w:t>
      </w:r>
      <w:r>
        <w:rPr>
          <w:rFonts w:hint="eastAsia" w:cs="宋体"/>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cs="宋体"/>
          <w:color w:val="auto"/>
          <w:spacing w:val="6"/>
          <w:szCs w:val="24"/>
        </w:rPr>
      </w:pPr>
      <w:r>
        <w:rPr>
          <w:rFonts w:hint="eastAsia" w:cs="宋体"/>
          <w:color w:val="auto"/>
          <w:spacing w:val="6"/>
          <w:szCs w:val="24"/>
        </w:rPr>
        <w:t>本单位对上述声明的真实性负责。如有虚假，将依法承担相应责任。</w:t>
      </w:r>
    </w:p>
    <w:p>
      <w:pPr>
        <w:spacing w:line="588" w:lineRule="exact"/>
        <w:ind w:firstLine="444" w:firstLineChars="200"/>
        <w:rPr>
          <w:rFonts w:cs="宋体"/>
          <w:color w:val="auto"/>
          <w:spacing w:val="6"/>
          <w:szCs w:val="24"/>
        </w:rPr>
      </w:pPr>
    </w:p>
    <w:p>
      <w:pPr>
        <w:spacing w:line="588" w:lineRule="exact"/>
        <w:ind w:firstLine="444" w:firstLineChars="200"/>
        <w:rPr>
          <w:rFonts w:cs="宋体"/>
          <w:color w:val="auto"/>
          <w:spacing w:val="6"/>
          <w:szCs w:val="24"/>
        </w:rPr>
      </w:pPr>
    </w:p>
    <w:p>
      <w:pPr>
        <w:spacing w:line="588" w:lineRule="exact"/>
        <w:ind w:firstLine="444" w:firstLineChars="200"/>
        <w:rPr>
          <w:rFonts w:cs="宋体"/>
          <w:color w:val="auto"/>
          <w:spacing w:val="6"/>
          <w:szCs w:val="24"/>
        </w:rPr>
      </w:pPr>
    </w:p>
    <w:p>
      <w:pPr>
        <w:spacing w:line="588" w:lineRule="exact"/>
        <w:ind w:firstLine="444" w:firstLineChars="200"/>
        <w:rPr>
          <w:rFonts w:cs="宋体"/>
          <w:color w:val="auto"/>
          <w:spacing w:val="6"/>
          <w:szCs w:val="24"/>
        </w:rPr>
      </w:pPr>
    </w:p>
    <w:p>
      <w:pPr>
        <w:tabs>
          <w:tab w:val="left" w:pos="4860"/>
        </w:tabs>
        <w:spacing w:line="720" w:lineRule="auto"/>
        <w:ind w:right="1560" w:firstLine="444" w:firstLineChars="200"/>
        <w:jc w:val="center"/>
        <w:rPr>
          <w:rFonts w:cs="宋体"/>
          <w:color w:val="auto"/>
          <w:spacing w:val="6"/>
          <w:szCs w:val="24"/>
        </w:rPr>
      </w:pPr>
      <w:r>
        <w:rPr>
          <w:rFonts w:hint="eastAsia" w:cs="宋体"/>
          <w:color w:val="auto"/>
          <w:spacing w:val="6"/>
          <w:szCs w:val="24"/>
        </w:rPr>
        <w:t xml:space="preserve">               单位名称：</w:t>
      </w:r>
      <w:r>
        <w:rPr>
          <w:rFonts w:hint="eastAsia" w:cs="宋体"/>
          <w:color w:val="auto"/>
          <w:spacing w:val="6"/>
          <w:szCs w:val="24"/>
          <w:u w:val="single"/>
        </w:rPr>
        <w:t xml:space="preserve">                 </w:t>
      </w:r>
      <w:r>
        <w:rPr>
          <w:rFonts w:hint="eastAsia" w:cs="宋体"/>
          <w:color w:val="auto"/>
          <w:spacing w:val="6"/>
          <w:szCs w:val="24"/>
        </w:rPr>
        <w:t>（盖章）</w:t>
      </w:r>
    </w:p>
    <w:p>
      <w:pPr>
        <w:adjustRightInd w:val="0"/>
        <w:snapToGrid w:val="0"/>
        <w:spacing w:line="720" w:lineRule="auto"/>
        <w:ind w:firstLine="2520" w:firstLineChars="1200"/>
        <w:rPr>
          <w:rFonts w:cs="宋体"/>
          <w:color w:val="auto"/>
        </w:rPr>
      </w:pPr>
      <w:r>
        <w:rPr>
          <w:rFonts w:hint="eastAsia" w:cs="宋体"/>
          <w:color w:val="auto"/>
        </w:rPr>
        <w:t>日     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tabs>
          <w:tab w:val="left" w:pos="1620"/>
          <w:tab w:val="left" w:pos="1800"/>
        </w:tabs>
        <w:spacing w:line="440" w:lineRule="exact"/>
        <w:ind w:right="540" w:rightChars="257"/>
        <w:rPr>
          <w:rFonts w:cs="宋体"/>
          <w:color w:val="auto"/>
        </w:rPr>
      </w:pPr>
    </w:p>
    <w:p>
      <w:pPr>
        <w:tabs>
          <w:tab w:val="left" w:pos="1620"/>
          <w:tab w:val="left" w:pos="1800"/>
        </w:tabs>
        <w:spacing w:line="440" w:lineRule="exact"/>
        <w:ind w:right="540" w:rightChars="257"/>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r>
        <w:rPr>
          <w:rFonts w:hint="eastAsia" w:cs="宋体"/>
          <w:color w:val="auto"/>
        </w:rPr>
        <w:br w:type="page"/>
      </w:r>
    </w:p>
    <w:p>
      <w:pPr>
        <w:pStyle w:val="7"/>
        <w:ind w:firstLine="422"/>
        <w:rPr>
          <w:rFonts w:ascii="宋体" w:hAnsi="宋体" w:cs="宋体"/>
          <w:color w:val="auto"/>
        </w:rPr>
      </w:pPr>
      <w:r>
        <w:rPr>
          <w:rFonts w:hint="eastAsia" w:ascii="宋体" w:hAnsi="宋体" w:cs="宋体"/>
          <w:color w:val="auto"/>
        </w:rPr>
        <w:t>附件3（如有）</w:t>
      </w:r>
    </w:p>
    <w:p>
      <w:pPr>
        <w:jc w:val="center"/>
        <w:rPr>
          <w:rFonts w:cs="宋体"/>
          <w:b/>
          <w:bCs/>
          <w:color w:val="auto"/>
          <w:sz w:val="32"/>
          <w:szCs w:val="32"/>
        </w:rPr>
      </w:pPr>
      <w:r>
        <w:rPr>
          <w:rFonts w:hint="eastAsia" w:cs="宋体"/>
          <w:b/>
          <w:bCs/>
          <w:color w:val="auto"/>
          <w:sz w:val="32"/>
          <w:szCs w:val="32"/>
        </w:rPr>
        <w:t>监狱企业证明文件</w:t>
      </w:r>
    </w:p>
    <w:p>
      <w:pPr>
        <w:spacing w:line="500" w:lineRule="exact"/>
        <w:ind w:firstLine="420" w:firstLineChars="200"/>
        <w:jc w:val="left"/>
        <w:rPr>
          <w:rFonts w:cs="宋体"/>
          <w:color w:val="auto"/>
        </w:rPr>
      </w:pPr>
      <w:r>
        <w:rPr>
          <w:rFonts w:hint="eastAsia"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20" w:firstLineChars="200"/>
        <w:jc w:val="left"/>
        <w:rPr>
          <w:rFonts w:cs="宋体"/>
          <w:color w:val="auto"/>
        </w:rPr>
      </w:pPr>
      <w:r>
        <w:rPr>
          <w:rFonts w:hint="eastAsia" w:cs="宋体"/>
          <w:color w:val="auto"/>
        </w:rPr>
        <w:t>监狱企业参加政府采购活动时，应当提供由省级以上监狱管理局、戒毒管理局（含新疆生产建设兵团）出具的属于监狱企业的证明文件。</w:t>
      </w:r>
    </w:p>
    <w:p>
      <w:pPr>
        <w:rPr>
          <w:rFonts w:cs="宋体"/>
          <w:color w:val="auto"/>
          <w:sz w:val="24"/>
          <w:szCs w:val="24"/>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rPr>
          <w:rFonts w:cs="宋体"/>
          <w:color w:val="auto"/>
        </w:rPr>
      </w:pPr>
    </w:p>
    <w:p>
      <w:pPr>
        <w:tabs>
          <w:tab w:val="left" w:pos="1620"/>
          <w:tab w:val="left" w:pos="1800"/>
        </w:tabs>
        <w:spacing w:line="440" w:lineRule="exact"/>
        <w:ind w:right="540" w:rightChars="257"/>
        <w:rPr>
          <w:rFonts w:cs="宋体"/>
          <w:color w:val="auto"/>
        </w:rPr>
      </w:pPr>
    </w:p>
    <w:p>
      <w:pPr>
        <w:tabs>
          <w:tab w:val="left" w:pos="1620"/>
          <w:tab w:val="left" w:pos="1800"/>
        </w:tabs>
        <w:spacing w:line="440" w:lineRule="exact"/>
        <w:ind w:right="540" w:rightChars="257"/>
        <w:rPr>
          <w:rFonts w:cs="宋体"/>
          <w:color w:val="auto"/>
        </w:rPr>
      </w:pPr>
    </w:p>
    <w:p>
      <w:pPr>
        <w:rPr>
          <w:rFonts w:cs="宋体"/>
          <w:color w:val="auto"/>
        </w:rPr>
      </w:pPr>
    </w:p>
    <w:p>
      <w:pPr>
        <w:rPr>
          <w:rFonts w:cs="宋体"/>
          <w:color w:val="auto"/>
        </w:rPr>
      </w:pPr>
    </w:p>
    <w:p>
      <w:pPr>
        <w:rPr>
          <w:rFonts w:cs="宋体"/>
          <w:color w:val="auto"/>
        </w:rPr>
      </w:pPr>
    </w:p>
    <w:sectPr>
      <w:footerReference r:id="rId4" w:type="first"/>
      <w:footerReference r:id="rId3" w:type="default"/>
      <w:pgSz w:w="11906" w:h="16838"/>
      <w:pgMar w:top="1417" w:right="1803" w:bottom="1417" w:left="1803" w:header="1134" w:footer="992" w:gutter="0"/>
      <w:pgNumType w:start="1"/>
      <w:cols w:space="0" w:num="1"/>
      <w:titlePg/>
      <w:docGrid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14B66CD3"/>
    <w:multiLevelType w:val="singleLevel"/>
    <w:tmpl w:val="14B66CD3"/>
    <w:lvl w:ilvl="0" w:tentative="0">
      <w:start w:val="1"/>
      <w:numFmt w:val="chineseCounting"/>
      <w:suff w:val="nothing"/>
      <w:lvlText w:val="%1、"/>
      <w:lvlJc w:val="left"/>
      <w:rPr>
        <w:rFonts w:hint="eastAsia"/>
      </w:rPr>
    </w:lvl>
  </w:abstractNum>
  <w:abstractNum w:abstractNumId="2">
    <w:nsid w:val="336973C9"/>
    <w:multiLevelType w:val="multilevel"/>
    <w:tmpl w:val="336973C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6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WIxMzczMDY5OGEzY2RkOGZlNWViYzNhNzNlMjUifQ=="/>
  </w:docVars>
  <w:rsids>
    <w:rsidRoot w:val="00172A27"/>
    <w:rsid w:val="000012D2"/>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579"/>
    <w:rsid w:val="000305A9"/>
    <w:rsid w:val="0003107B"/>
    <w:rsid w:val="00031900"/>
    <w:rsid w:val="00031F87"/>
    <w:rsid w:val="00032B82"/>
    <w:rsid w:val="00033AAB"/>
    <w:rsid w:val="0003640E"/>
    <w:rsid w:val="00036555"/>
    <w:rsid w:val="000365AC"/>
    <w:rsid w:val="00041B7C"/>
    <w:rsid w:val="00042698"/>
    <w:rsid w:val="00043B48"/>
    <w:rsid w:val="00044FD0"/>
    <w:rsid w:val="000469FE"/>
    <w:rsid w:val="00047AB5"/>
    <w:rsid w:val="00047D88"/>
    <w:rsid w:val="0005073F"/>
    <w:rsid w:val="0005079D"/>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19E7"/>
    <w:rsid w:val="00071E16"/>
    <w:rsid w:val="00074D9F"/>
    <w:rsid w:val="00074EFA"/>
    <w:rsid w:val="00075C16"/>
    <w:rsid w:val="00075CE3"/>
    <w:rsid w:val="000801B6"/>
    <w:rsid w:val="00082F4D"/>
    <w:rsid w:val="00085C2B"/>
    <w:rsid w:val="000873CE"/>
    <w:rsid w:val="0009062D"/>
    <w:rsid w:val="00093FA0"/>
    <w:rsid w:val="0009435B"/>
    <w:rsid w:val="00094888"/>
    <w:rsid w:val="00094DB4"/>
    <w:rsid w:val="000A0C7F"/>
    <w:rsid w:val="000A2116"/>
    <w:rsid w:val="000A286B"/>
    <w:rsid w:val="000A2CE8"/>
    <w:rsid w:val="000A2FA7"/>
    <w:rsid w:val="000A35A8"/>
    <w:rsid w:val="000A3AE0"/>
    <w:rsid w:val="000A45E4"/>
    <w:rsid w:val="000A6376"/>
    <w:rsid w:val="000A6C3D"/>
    <w:rsid w:val="000B0BCD"/>
    <w:rsid w:val="000B1179"/>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E76E3"/>
    <w:rsid w:val="000F1A0E"/>
    <w:rsid w:val="000F1A9E"/>
    <w:rsid w:val="000F48F8"/>
    <w:rsid w:val="000F4AF5"/>
    <w:rsid w:val="000F55F7"/>
    <w:rsid w:val="000F796B"/>
    <w:rsid w:val="00100983"/>
    <w:rsid w:val="00101CF8"/>
    <w:rsid w:val="0010580A"/>
    <w:rsid w:val="001058CA"/>
    <w:rsid w:val="0010604B"/>
    <w:rsid w:val="0010605E"/>
    <w:rsid w:val="00117899"/>
    <w:rsid w:val="001208B9"/>
    <w:rsid w:val="00120A9F"/>
    <w:rsid w:val="00122278"/>
    <w:rsid w:val="00123494"/>
    <w:rsid w:val="00123553"/>
    <w:rsid w:val="001235D9"/>
    <w:rsid w:val="001254DD"/>
    <w:rsid w:val="00125A87"/>
    <w:rsid w:val="001274A2"/>
    <w:rsid w:val="00130987"/>
    <w:rsid w:val="001328B1"/>
    <w:rsid w:val="00133921"/>
    <w:rsid w:val="00135B3D"/>
    <w:rsid w:val="00136D87"/>
    <w:rsid w:val="001374E6"/>
    <w:rsid w:val="001407F0"/>
    <w:rsid w:val="00140EBC"/>
    <w:rsid w:val="00141BA0"/>
    <w:rsid w:val="00143AFF"/>
    <w:rsid w:val="00143B3B"/>
    <w:rsid w:val="00143D3B"/>
    <w:rsid w:val="00146123"/>
    <w:rsid w:val="001462C6"/>
    <w:rsid w:val="00146A73"/>
    <w:rsid w:val="00146D90"/>
    <w:rsid w:val="001515EF"/>
    <w:rsid w:val="00152CE8"/>
    <w:rsid w:val="00152FAD"/>
    <w:rsid w:val="00153967"/>
    <w:rsid w:val="00155F47"/>
    <w:rsid w:val="001601EB"/>
    <w:rsid w:val="00160DBE"/>
    <w:rsid w:val="00161827"/>
    <w:rsid w:val="00171C82"/>
    <w:rsid w:val="00172650"/>
    <w:rsid w:val="00172A27"/>
    <w:rsid w:val="00175A12"/>
    <w:rsid w:val="00177AF0"/>
    <w:rsid w:val="00180763"/>
    <w:rsid w:val="001811CA"/>
    <w:rsid w:val="00181BBD"/>
    <w:rsid w:val="00181EAD"/>
    <w:rsid w:val="00183CF9"/>
    <w:rsid w:val="001848E3"/>
    <w:rsid w:val="00185937"/>
    <w:rsid w:val="00186F95"/>
    <w:rsid w:val="00187A48"/>
    <w:rsid w:val="001901B6"/>
    <w:rsid w:val="0019096D"/>
    <w:rsid w:val="0019145F"/>
    <w:rsid w:val="00191B2F"/>
    <w:rsid w:val="00191E12"/>
    <w:rsid w:val="00192CC2"/>
    <w:rsid w:val="00192D23"/>
    <w:rsid w:val="00192EF0"/>
    <w:rsid w:val="0019304F"/>
    <w:rsid w:val="0019450B"/>
    <w:rsid w:val="00194A69"/>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D03B6"/>
    <w:rsid w:val="001D2015"/>
    <w:rsid w:val="001D2346"/>
    <w:rsid w:val="001D23B9"/>
    <w:rsid w:val="001D3EFF"/>
    <w:rsid w:val="001D403A"/>
    <w:rsid w:val="001D43D2"/>
    <w:rsid w:val="001D5276"/>
    <w:rsid w:val="001D6935"/>
    <w:rsid w:val="001D79D9"/>
    <w:rsid w:val="001D7DDD"/>
    <w:rsid w:val="001E3838"/>
    <w:rsid w:val="001E63FA"/>
    <w:rsid w:val="001E6B35"/>
    <w:rsid w:val="001E7866"/>
    <w:rsid w:val="001F20F9"/>
    <w:rsid w:val="001F2EFE"/>
    <w:rsid w:val="001F4189"/>
    <w:rsid w:val="001F5DE8"/>
    <w:rsid w:val="001F6478"/>
    <w:rsid w:val="001F655E"/>
    <w:rsid w:val="001F7C73"/>
    <w:rsid w:val="00200DF2"/>
    <w:rsid w:val="002023A2"/>
    <w:rsid w:val="002023AB"/>
    <w:rsid w:val="00203F3B"/>
    <w:rsid w:val="0020401E"/>
    <w:rsid w:val="0020407A"/>
    <w:rsid w:val="0020609B"/>
    <w:rsid w:val="00206E6D"/>
    <w:rsid w:val="002072CF"/>
    <w:rsid w:val="002140FB"/>
    <w:rsid w:val="00220627"/>
    <w:rsid w:val="00220CA0"/>
    <w:rsid w:val="00222BEA"/>
    <w:rsid w:val="00223DD6"/>
    <w:rsid w:val="00224197"/>
    <w:rsid w:val="00224DAF"/>
    <w:rsid w:val="00232C05"/>
    <w:rsid w:val="00235695"/>
    <w:rsid w:val="002360A1"/>
    <w:rsid w:val="00236A16"/>
    <w:rsid w:val="00237F01"/>
    <w:rsid w:val="002416C6"/>
    <w:rsid w:val="002431A6"/>
    <w:rsid w:val="00245742"/>
    <w:rsid w:val="0024620A"/>
    <w:rsid w:val="00246984"/>
    <w:rsid w:val="002469DC"/>
    <w:rsid w:val="00246D18"/>
    <w:rsid w:val="0024731F"/>
    <w:rsid w:val="0024793C"/>
    <w:rsid w:val="002515D2"/>
    <w:rsid w:val="0025308F"/>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43DD"/>
    <w:rsid w:val="0027618B"/>
    <w:rsid w:val="0027621A"/>
    <w:rsid w:val="0027676B"/>
    <w:rsid w:val="00282591"/>
    <w:rsid w:val="00283B78"/>
    <w:rsid w:val="00283EAB"/>
    <w:rsid w:val="00284749"/>
    <w:rsid w:val="00284B38"/>
    <w:rsid w:val="00285F0A"/>
    <w:rsid w:val="00287394"/>
    <w:rsid w:val="00287A7D"/>
    <w:rsid w:val="00287E4B"/>
    <w:rsid w:val="0029168F"/>
    <w:rsid w:val="00291E57"/>
    <w:rsid w:val="002926B0"/>
    <w:rsid w:val="00292805"/>
    <w:rsid w:val="00292EC3"/>
    <w:rsid w:val="00294AE4"/>
    <w:rsid w:val="002952B6"/>
    <w:rsid w:val="00296E03"/>
    <w:rsid w:val="00297178"/>
    <w:rsid w:val="00297836"/>
    <w:rsid w:val="00297A00"/>
    <w:rsid w:val="002A1205"/>
    <w:rsid w:val="002A284F"/>
    <w:rsid w:val="002A2E29"/>
    <w:rsid w:val="002A3C35"/>
    <w:rsid w:val="002A5726"/>
    <w:rsid w:val="002A58BD"/>
    <w:rsid w:val="002A60AE"/>
    <w:rsid w:val="002A6589"/>
    <w:rsid w:val="002A6FB9"/>
    <w:rsid w:val="002A6FF1"/>
    <w:rsid w:val="002B0549"/>
    <w:rsid w:val="002B0EDA"/>
    <w:rsid w:val="002B2819"/>
    <w:rsid w:val="002B31D1"/>
    <w:rsid w:val="002B3EBD"/>
    <w:rsid w:val="002B4750"/>
    <w:rsid w:val="002B530D"/>
    <w:rsid w:val="002B532D"/>
    <w:rsid w:val="002B71C3"/>
    <w:rsid w:val="002B77C0"/>
    <w:rsid w:val="002C0490"/>
    <w:rsid w:val="002C148F"/>
    <w:rsid w:val="002C2359"/>
    <w:rsid w:val="002C2953"/>
    <w:rsid w:val="002C3A39"/>
    <w:rsid w:val="002C5EC2"/>
    <w:rsid w:val="002C612D"/>
    <w:rsid w:val="002C67D3"/>
    <w:rsid w:val="002D13FF"/>
    <w:rsid w:val="002D16A5"/>
    <w:rsid w:val="002D2ADB"/>
    <w:rsid w:val="002D57A6"/>
    <w:rsid w:val="002D6E29"/>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2E94"/>
    <w:rsid w:val="00304D48"/>
    <w:rsid w:val="00305B11"/>
    <w:rsid w:val="00307FB5"/>
    <w:rsid w:val="00311F60"/>
    <w:rsid w:val="003131D3"/>
    <w:rsid w:val="00314270"/>
    <w:rsid w:val="00314C15"/>
    <w:rsid w:val="003153BB"/>
    <w:rsid w:val="003156D5"/>
    <w:rsid w:val="003163BC"/>
    <w:rsid w:val="00316E3B"/>
    <w:rsid w:val="00317566"/>
    <w:rsid w:val="00320032"/>
    <w:rsid w:val="003202ED"/>
    <w:rsid w:val="00320F96"/>
    <w:rsid w:val="0032176D"/>
    <w:rsid w:val="003231B5"/>
    <w:rsid w:val="00324146"/>
    <w:rsid w:val="00325CAE"/>
    <w:rsid w:val="00332060"/>
    <w:rsid w:val="0033486A"/>
    <w:rsid w:val="00334DA1"/>
    <w:rsid w:val="00336BF5"/>
    <w:rsid w:val="0034071E"/>
    <w:rsid w:val="00340B50"/>
    <w:rsid w:val="00341409"/>
    <w:rsid w:val="00341A2C"/>
    <w:rsid w:val="00341D74"/>
    <w:rsid w:val="0034291B"/>
    <w:rsid w:val="0034505B"/>
    <w:rsid w:val="0034546A"/>
    <w:rsid w:val="003461CB"/>
    <w:rsid w:val="00346702"/>
    <w:rsid w:val="003475F6"/>
    <w:rsid w:val="0034776A"/>
    <w:rsid w:val="00347D41"/>
    <w:rsid w:val="00347D7F"/>
    <w:rsid w:val="00350EE6"/>
    <w:rsid w:val="003511C6"/>
    <w:rsid w:val="003511FE"/>
    <w:rsid w:val="00351B8B"/>
    <w:rsid w:val="00354360"/>
    <w:rsid w:val="00355A15"/>
    <w:rsid w:val="0035608B"/>
    <w:rsid w:val="003562C6"/>
    <w:rsid w:val="00357437"/>
    <w:rsid w:val="00357FB9"/>
    <w:rsid w:val="00361CFF"/>
    <w:rsid w:val="00362942"/>
    <w:rsid w:val="00364C97"/>
    <w:rsid w:val="00365A8B"/>
    <w:rsid w:val="00365D33"/>
    <w:rsid w:val="003662C7"/>
    <w:rsid w:val="003669D7"/>
    <w:rsid w:val="003675EE"/>
    <w:rsid w:val="00367AF9"/>
    <w:rsid w:val="00367D1B"/>
    <w:rsid w:val="0037189E"/>
    <w:rsid w:val="00373CA0"/>
    <w:rsid w:val="00380CF2"/>
    <w:rsid w:val="00381B70"/>
    <w:rsid w:val="00382977"/>
    <w:rsid w:val="00382D0C"/>
    <w:rsid w:val="00385E6D"/>
    <w:rsid w:val="00387456"/>
    <w:rsid w:val="00394241"/>
    <w:rsid w:val="00395D4F"/>
    <w:rsid w:val="00397092"/>
    <w:rsid w:val="00397D83"/>
    <w:rsid w:val="003A0FEE"/>
    <w:rsid w:val="003A1264"/>
    <w:rsid w:val="003A3202"/>
    <w:rsid w:val="003A3CC5"/>
    <w:rsid w:val="003A67CF"/>
    <w:rsid w:val="003A731A"/>
    <w:rsid w:val="003B08EF"/>
    <w:rsid w:val="003B0923"/>
    <w:rsid w:val="003B318A"/>
    <w:rsid w:val="003B34AC"/>
    <w:rsid w:val="003B34BE"/>
    <w:rsid w:val="003B3985"/>
    <w:rsid w:val="003B3D71"/>
    <w:rsid w:val="003B3EA3"/>
    <w:rsid w:val="003B7936"/>
    <w:rsid w:val="003C098E"/>
    <w:rsid w:val="003C3F07"/>
    <w:rsid w:val="003C4212"/>
    <w:rsid w:val="003C4A14"/>
    <w:rsid w:val="003C5F7B"/>
    <w:rsid w:val="003C6AFD"/>
    <w:rsid w:val="003C6FFB"/>
    <w:rsid w:val="003C72AA"/>
    <w:rsid w:val="003D0DD0"/>
    <w:rsid w:val="003D2811"/>
    <w:rsid w:val="003D3509"/>
    <w:rsid w:val="003D407E"/>
    <w:rsid w:val="003D442D"/>
    <w:rsid w:val="003D6E4A"/>
    <w:rsid w:val="003D791C"/>
    <w:rsid w:val="003E1B40"/>
    <w:rsid w:val="003E281F"/>
    <w:rsid w:val="003E4B61"/>
    <w:rsid w:val="003E54A3"/>
    <w:rsid w:val="003E57FC"/>
    <w:rsid w:val="003E7FAD"/>
    <w:rsid w:val="003F37EA"/>
    <w:rsid w:val="003F41ED"/>
    <w:rsid w:val="004007CB"/>
    <w:rsid w:val="00400A7D"/>
    <w:rsid w:val="00401BB8"/>
    <w:rsid w:val="00402004"/>
    <w:rsid w:val="004023F1"/>
    <w:rsid w:val="00403AE3"/>
    <w:rsid w:val="0040608B"/>
    <w:rsid w:val="004068BB"/>
    <w:rsid w:val="004103C6"/>
    <w:rsid w:val="00410CFB"/>
    <w:rsid w:val="00410F74"/>
    <w:rsid w:val="004120D0"/>
    <w:rsid w:val="00413401"/>
    <w:rsid w:val="00415979"/>
    <w:rsid w:val="00416CA7"/>
    <w:rsid w:val="00421C4E"/>
    <w:rsid w:val="004220E6"/>
    <w:rsid w:val="0042318F"/>
    <w:rsid w:val="004254B8"/>
    <w:rsid w:val="00425BBD"/>
    <w:rsid w:val="00425D51"/>
    <w:rsid w:val="00426B8C"/>
    <w:rsid w:val="00427864"/>
    <w:rsid w:val="00433012"/>
    <w:rsid w:val="00436AFB"/>
    <w:rsid w:val="00437B01"/>
    <w:rsid w:val="00440128"/>
    <w:rsid w:val="00440274"/>
    <w:rsid w:val="00441AEE"/>
    <w:rsid w:val="00442BE1"/>
    <w:rsid w:val="00443900"/>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153A"/>
    <w:rsid w:val="00491A88"/>
    <w:rsid w:val="00492F78"/>
    <w:rsid w:val="00493D09"/>
    <w:rsid w:val="00494C44"/>
    <w:rsid w:val="004950BA"/>
    <w:rsid w:val="00495D9C"/>
    <w:rsid w:val="00496054"/>
    <w:rsid w:val="00496BFE"/>
    <w:rsid w:val="004A154C"/>
    <w:rsid w:val="004A2C5D"/>
    <w:rsid w:val="004A3680"/>
    <w:rsid w:val="004A4F66"/>
    <w:rsid w:val="004A559B"/>
    <w:rsid w:val="004A6E2A"/>
    <w:rsid w:val="004B0456"/>
    <w:rsid w:val="004B3CF3"/>
    <w:rsid w:val="004B48E8"/>
    <w:rsid w:val="004B5EDA"/>
    <w:rsid w:val="004C0DA1"/>
    <w:rsid w:val="004C381B"/>
    <w:rsid w:val="004C4384"/>
    <w:rsid w:val="004C4C6F"/>
    <w:rsid w:val="004C5071"/>
    <w:rsid w:val="004C5764"/>
    <w:rsid w:val="004C59E7"/>
    <w:rsid w:val="004C5B06"/>
    <w:rsid w:val="004C5D32"/>
    <w:rsid w:val="004C64AA"/>
    <w:rsid w:val="004C691C"/>
    <w:rsid w:val="004C6A9A"/>
    <w:rsid w:val="004C757C"/>
    <w:rsid w:val="004C7797"/>
    <w:rsid w:val="004C7DEA"/>
    <w:rsid w:val="004D0372"/>
    <w:rsid w:val="004D156D"/>
    <w:rsid w:val="004D2CC5"/>
    <w:rsid w:val="004D2E27"/>
    <w:rsid w:val="004D3E27"/>
    <w:rsid w:val="004E1799"/>
    <w:rsid w:val="004E2EF0"/>
    <w:rsid w:val="004E3AA3"/>
    <w:rsid w:val="004E47E0"/>
    <w:rsid w:val="004E6FE2"/>
    <w:rsid w:val="004F09D7"/>
    <w:rsid w:val="004F2039"/>
    <w:rsid w:val="004F27E7"/>
    <w:rsid w:val="004F29C5"/>
    <w:rsid w:val="004F5595"/>
    <w:rsid w:val="004F5A55"/>
    <w:rsid w:val="004F67AB"/>
    <w:rsid w:val="005019A4"/>
    <w:rsid w:val="00502282"/>
    <w:rsid w:val="0050503C"/>
    <w:rsid w:val="0050765B"/>
    <w:rsid w:val="00507A55"/>
    <w:rsid w:val="0051026F"/>
    <w:rsid w:val="00511A3E"/>
    <w:rsid w:val="00512510"/>
    <w:rsid w:val="00512695"/>
    <w:rsid w:val="00512BE4"/>
    <w:rsid w:val="00516BE2"/>
    <w:rsid w:val="00516EFF"/>
    <w:rsid w:val="00517F4E"/>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431E"/>
    <w:rsid w:val="00534CB2"/>
    <w:rsid w:val="005402A4"/>
    <w:rsid w:val="00541140"/>
    <w:rsid w:val="005418A7"/>
    <w:rsid w:val="00542612"/>
    <w:rsid w:val="0054314A"/>
    <w:rsid w:val="0054527D"/>
    <w:rsid w:val="00547072"/>
    <w:rsid w:val="00550095"/>
    <w:rsid w:val="0055039F"/>
    <w:rsid w:val="00551656"/>
    <w:rsid w:val="0055167A"/>
    <w:rsid w:val="005531C3"/>
    <w:rsid w:val="005531F8"/>
    <w:rsid w:val="00553F46"/>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283"/>
    <w:rsid w:val="00580D0D"/>
    <w:rsid w:val="00581814"/>
    <w:rsid w:val="00581AD3"/>
    <w:rsid w:val="00585D85"/>
    <w:rsid w:val="00587608"/>
    <w:rsid w:val="005908C0"/>
    <w:rsid w:val="005912A1"/>
    <w:rsid w:val="005A111F"/>
    <w:rsid w:val="005A21AD"/>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717F"/>
    <w:rsid w:val="005C0C3C"/>
    <w:rsid w:val="005C3BE2"/>
    <w:rsid w:val="005C71D3"/>
    <w:rsid w:val="005C7B3B"/>
    <w:rsid w:val="005D0601"/>
    <w:rsid w:val="005D3410"/>
    <w:rsid w:val="005D527D"/>
    <w:rsid w:val="005D5919"/>
    <w:rsid w:val="005D5953"/>
    <w:rsid w:val="005D5FF2"/>
    <w:rsid w:val="005D6C2B"/>
    <w:rsid w:val="005E16B8"/>
    <w:rsid w:val="005E21C0"/>
    <w:rsid w:val="005E3E7C"/>
    <w:rsid w:val="005E6C34"/>
    <w:rsid w:val="005F068D"/>
    <w:rsid w:val="005F0749"/>
    <w:rsid w:val="005F0CE3"/>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51BD"/>
    <w:rsid w:val="0061598C"/>
    <w:rsid w:val="00616634"/>
    <w:rsid w:val="006177C0"/>
    <w:rsid w:val="006202C9"/>
    <w:rsid w:val="0062164D"/>
    <w:rsid w:val="0062215C"/>
    <w:rsid w:val="006221FB"/>
    <w:rsid w:val="006266DC"/>
    <w:rsid w:val="006274B5"/>
    <w:rsid w:val="00627A77"/>
    <w:rsid w:val="00630002"/>
    <w:rsid w:val="00630468"/>
    <w:rsid w:val="006306A7"/>
    <w:rsid w:val="00633A8E"/>
    <w:rsid w:val="00633D55"/>
    <w:rsid w:val="00635C4B"/>
    <w:rsid w:val="0063680A"/>
    <w:rsid w:val="00637409"/>
    <w:rsid w:val="00641DB2"/>
    <w:rsid w:val="0064458F"/>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801"/>
    <w:rsid w:val="00692847"/>
    <w:rsid w:val="00692BB0"/>
    <w:rsid w:val="00693C9D"/>
    <w:rsid w:val="00694722"/>
    <w:rsid w:val="00696667"/>
    <w:rsid w:val="00697057"/>
    <w:rsid w:val="0069735B"/>
    <w:rsid w:val="006A050E"/>
    <w:rsid w:val="006A10CF"/>
    <w:rsid w:val="006A11BC"/>
    <w:rsid w:val="006A2C56"/>
    <w:rsid w:val="006A2CF8"/>
    <w:rsid w:val="006A4018"/>
    <w:rsid w:val="006A4BBE"/>
    <w:rsid w:val="006A52AE"/>
    <w:rsid w:val="006A7A95"/>
    <w:rsid w:val="006B1D85"/>
    <w:rsid w:val="006B275B"/>
    <w:rsid w:val="006B31E9"/>
    <w:rsid w:val="006B3B5C"/>
    <w:rsid w:val="006B40FE"/>
    <w:rsid w:val="006C0227"/>
    <w:rsid w:val="006C1C58"/>
    <w:rsid w:val="006C4334"/>
    <w:rsid w:val="006C4695"/>
    <w:rsid w:val="006C5249"/>
    <w:rsid w:val="006C7270"/>
    <w:rsid w:val="006D2D53"/>
    <w:rsid w:val="006D2FE4"/>
    <w:rsid w:val="006D3CD5"/>
    <w:rsid w:val="006D43E4"/>
    <w:rsid w:val="006D4CE5"/>
    <w:rsid w:val="006E24C3"/>
    <w:rsid w:val="006E4756"/>
    <w:rsid w:val="006E4A77"/>
    <w:rsid w:val="006E5941"/>
    <w:rsid w:val="006F1750"/>
    <w:rsid w:val="006F3639"/>
    <w:rsid w:val="006F3DF9"/>
    <w:rsid w:val="006F55DA"/>
    <w:rsid w:val="006F5B48"/>
    <w:rsid w:val="006F6C23"/>
    <w:rsid w:val="006F7786"/>
    <w:rsid w:val="007003FD"/>
    <w:rsid w:val="00704320"/>
    <w:rsid w:val="00707A58"/>
    <w:rsid w:val="00710A64"/>
    <w:rsid w:val="00711A09"/>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406BB"/>
    <w:rsid w:val="0074156B"/>
    <w:rsid w:val="00741B61"/>
    <w:rsid w:val="00741F8C"/>
    <w:rsid w:val="00742F0E"/>
    <w:rsid w:val="0074307C"/>
    <w:rsid w:val="00743A26"/>
    <w:rsid w:val="007449DC"/>
    <w:rsid w:val="007462B6"/>
    <w:rsid w:val="00746A69"/>
    <w:rsid w:val="00747543"/>
    <w:rsid w:val="00747E14"/>
    <w:rsid w:val="00752946"/>
    <w:rsid w:val="00752B5A"/>
    <w:rsid w:val="00753D9E"/>
    <w:rsid w:val="00755997"/>
    <w:rsid w:val="00755C2D"/>
    <w:rsid w:val="00756815"/>
    <w:rsid w:val="00756C7A"/>
    <w:rsid w:val="0076043A"/>
    <w:rsid w:val="00760EBA"/>
    <w:rsid w:val="00764AC1"/>
    <w:rsid w:val="00765254"/>
    <w:rsid w:val="007656E1"/>
    <w:rsid w:val="00767A80"/>
    <w:rsid w:val="00767EB8"/>
    <w:rsid w:val="00770864"/>
    <w:rsid w:val="00771B8F"/>
    <w:rsid w:val="00772A17"/>
    <w:rsid w:val="00772B95"/>
    <w:rsid w:val="00772ED6"/>
    <w:rsid w:val="0077517B"/>
    <w:rsid w:val="00780109"/>
    <w:rsid w:val="00782ED4"/>
    <w:rsid w:val="00784DCA"/>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7ACF"/>
    <w:rsid w:val="007C0059"/>
    <w:rsid w:val="007C0BB8"/>
    <w:rsid w:val="007C1A66"/>
    <w:rsid w:val="007C3045"/>
    <w:rsid w:val="007C3281"/>
    <w:rsid w:val="007C3C17"/>
    <w:rsid w:val="007C53EE"/>
    <w:rsid w:val="007C677C"/>
    <w:rsid w:val="007D2EED"/>
    <w:rsid w:val="007D4C0C"/>
    <w:rsid w:val="007D51A1"/>
    <w:rsid w:val="007E25FA"/>
    <w:rsid w:val="007E3D23"/>
    <w:rsid w:val="007E5150"/>
    <w:rsid w:val="007E58FA"/>
    <w:rsid w:val="007E6087"/>
    <w:rsid w:val="007E65E0"/>
    <w:rsid w:val="007F42E0"/>
    <w:rsid w:val="007F5E23"/>
    <w:rsid w:val="007F6399"/>
    <w:rsid w:val="007F6B81"/>
    <w:rsid w:val="008016FD"/>
    <w:rsid w:val="00801F84"/>
    <w:rsid w:val="00802930"/>
    <w:rsid w:val="008035BB"/>
    <w:rsid w:val="00804DA7"/>
    <w:rsid w:val="00805053"/>
    <w:rsid w:val="008066EF"/>
    <w:rsid w:val="00807464"/>
    <w:rsid w:val="00807FB0"/>
    <w:rsid w:val="00811BAE"/>
    <w:rsid w:val="00815091"/>
    <w:rsid w:val="00815886"/>
    <w:rsid w:val="008160FC"/>
    <w:rsid w:val="00823C2A"/>
    <w:rsid w:val="0083039B"/>
    <w:rsid w:val="0083359C"/>
    <w:rsid w:val="00834113"/>
    <w:rsid w:val="0083422C"/>
    <w:rsid w:val="0083636C"/>
    <w:rsid w:val="008375A2"/>
    <w:rsid w:val="00837F2D"/>
    <w:rsid w:val="00841A55"/>
    <w:rsid w:val="00841EFB"/>
    <w:rsid w:val="008433A7"/>
    <w:rsid w:val="00844827"/>
    <w:rsid w:val="008454C1"/>
    <w:rsid w:val="00845606"/>
    <w:rsid w:val="00845E65"/>
    <w:rsid w:val="008469FF"/>
    <w:rsid w:val="00846F27"/>
    <w:rsid w:val="00851985"/>
    <w:rsid w:val="008525F1"/>
    <w:rsid w:val="00852ADB"/>
    <w:rsid w:val="00853948"/>
    <w:rsid w:val="00853DA2"/>
    <w:rsid w:val="00857795"/>
    <w:rsid w:val="0086021C"/>
    <w:rsid w:val="0086135C"/>
    <w:rsid w:val="008623A4"/>
    <w:rsid w:val="00863C6A"/>
    <w:rsid w:val="00865836"/>
    <w:rsid w:val="008661FB"/>
    <w:rsid w:val="00866F1E"/>
    <w:rsid w:val="00874001"/>
    <w:rsid w:val="00881655"/>
    <w:rsid w:val="00881A05"/>
    <w:rsid w:val="00881E88"/>
    <w:rsid w:val="00885EDA"/>
    <w:rsid w:val="00886913"/>
    <w:rsid w:val="008879B6"/>
    <w:rsid w:val="008918C1"/>
    <w:rsid w:val="00891A34"/>
    <w:rsid w:val="008925D4"/>
    <w:rsid w:val="008927E9"/>
    <w:rsid w:val="00893B66"/>
    <w:rsid w:val="00894231"/>
    <w:rsid w:val="00896FAF"/>
    <w:rsid w:val="008A0D0B"/>
    <w:rsid w:val="008A13B5"/>
    <w:rsid w:val="008A1B2F"/>
    <w:rsid w:val="008A3210"/>
    <w:rsid w:val="008A41EF"/>
    <w:rsid w:val="008A472E"/>
    <w:rsid w:val="008A70BB"/>
    <w:rsid w:val="008A7DD9"/>
    <w:rsid w:val="008B03B9"/>
    <w:rsid w:val="008B054D"/>
    <w:rsid w:val="008B0AB9"/>
    <w:rsid w:val="008B1D10"/>
    <w:rsid w:val="008B52E4"/>
    <w:rsid w:val="008B5697"/>
    <w:rsid w:val="008B69BC"/>
    <w:rsid w:val="008B7971"/>
    <w:rsid w:val="008C0308"/>
    <w:rsid w:val="008C18F2"/>
    <w:rsid w:val="008C2C9B"/>
    <w:rsid w:val="008C3CD3"/>
    <w:rsid w:val="008C405D"/>
    <w:rsid w:val="008C4973"/>
    <w:rsid w:val="008C7974"/>
    <w:rsid w:val="008D0886"/>
    <w:rsid w:val="008D108D"/>
    <w:rsid w:val="008D198C"/>
    <w:rsid w:val="008D420F"/>
    <w:rsid w:val="008D5E47"/>
    <w:rsid w:val="008D652F"/>
    <w:rsid w:val="008D6A55"/>
    <w:rsid w:val="008D78D2"/>
    <w:rsid w:val="008E00D5"/>
    <w:rsid w:val="008E27EC"/>
    <w:rsid w:val="008E3B36"/>
    <w:rsid w:val="008E4881"/>
    <w:rsid w:val="008E6319"/>
    <w:rsid w:val="008E6735"/>
    <w:rsid w:val="008F19DC"/>
    <w:rsid w:val="008F2374"/>
    <w:rsid w:val="008F4AD0"/>
    <w:rsid w:val="008F56D8"/>
    <w:rsid w:val="008F610C"/>
    <w:rsid w:val="008F7193"/>
    <w:rsid w:val="008F7759"/>
    <w:rsid w:val="00900CC6"/>
    <w:rsid w:val="00901902"/>
    <w:rsid w:val="009079F5"/>
    <w:rsid w:val="00907A0E"/>
    <w:rsid w:val="00914AA0"/>
    <w:rsid w:val="00915F4C"/>
    <w:rsid w:val="009164D5"/>
    <w:rsid w:val="00916E08"/>
    <w:rsid w:val="00920A81"/>
    <w:rsid w:val="009213B8"/>
    <w:rsid w:val="009214E2"/>
    <w:rsid w:val="009237D9"/>
    <w:rsid w:val="00923EB8"/>
    <w:rsid w:val="0092475C"/>
    <w:rsid w:val="00925C5F"/>
    <w:rsid w:val="00931C47"/>
    <w:rsid w:val="00931D85"/>
    <w:rsid w:val="00933E65"/>
    <w:rsid w:val="00934A01"/>
    <w:rsid w:val="009360BC"/>
    <w:rsid w:val="00940352"/>
    <w:rsid w:val="009413FE"/>
    <w:rsid w:val="00945AA0"/>
    <w:rsid w:val="00951CA1"/>
    <w:rsid w:val="00953562"/>
    <w:rsid w:val="00953643"/>
    <w:rsid w:val="00953C80"/>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3E35"/>
    <w:rsid w:val="00976803"/>
    <w:rsid w:val="009848D6"/>
    <w:rsid w:val="00985FB1"/>
    <w:rsid w:val="009874F5"/>
    <w:rsid w:val="0099189F"/>
    <w:rsid w:val="009928A7"/>
    <w:rsid w:val="00992FE6"/>
    <w:rsid w:val="00993F52"/>
    <w:rsid w:val="009948F4"/>
    <w:rsid w:val="009970FF"/>
    <w:rsid w:val="009A140E"/>
    <w:rsid w:val="009A3D51"/>
    <w:rsid w:val="009A407F"/>
    <w:rsid w:val="009A615E"/>
    <w:rsid w:val="009A6F3E"/>
    <w:rsid w:val="009A75BA"/>
    <w:rsid w:val="009B03C8"/>
    <w:rsid w:val="009B29E2"/>
    <w:rsid w:val="009B2F62"/>
    <w:rsid w:val="009B39DE"/>
    <w:rsid w:val="009B3B14"/>
    <w:rsid w:val="009B560D"/>
    <w:rsid w:val="009B5D8B"/>
    <w:rsid w:val="009B7C82"/>
    <w:rsid w:val="009C1657"/>
    <w:rsid w:val="009C2930"/>
    <w:rsid w:val="009C5430"/>
    <w:rsid w:val="009C54FD"/>
    <w:rsid w:val="009C6AC8"/>
    <w:rsid w:val="009D60DC"/>
    <w:rsid w:val="009D67CB"/>
    <w:rsid w:val="009D67F4"/>
    <w:rsid w:val="009D7F0C"/>
    <w:rsid w:val="009E0110"/>
    <w:rsid w:val="009E0942"/>
    <w:rsid w:val="009E28D2"/>
    <w:rsid w:val="009E331B"/>
    <w:rsid w:val="009E420A"/>
    <w:rsid w:val="009E5014"/>
    <w:rsid w:val="009E5210"/>
    <w:rsid w:val="009E73DD"/>
    <w:rsid w:val="009E7539"/>
    <w:rsid w:val="009F0487"/>
    <w:rsid w:val="009F11B4"/>
    <w:rsid w:val="009F13AF"/>
    <w:rsid w:val="009F1DB9"/>
    <w:rsid w:val="009F2ADB"/>
    <w:rsid w:val="009F2C5C"/>
    <w:rsid w:val="009F3173"/>
    <w:rsid w:val="009F4336"/>
    <w:rsid w:val="009F4C2D"/>
    <w:rsid w:val="009F65EC"/>
    <w:rsid w:val="00A006FB"/>
    <w:rsid w:val="00A0106B"/>
    <w:rsid w:val="00A03432"/>
    <w:rsid w:val="00A04937"/>
    <w:rsid w:val="00A06BD0"/>
    <w:rsid w:val="00A06BDF"/>
    <w:rsid w:val="00A06E80"/>
    <w:rsid w:val="00A1408C"/>
    <w:rsid w:val="00A15F10"/>
    <w:rsid w:val="00A16F9D"/>
    <w:rsid w:val="00A178A3"/>
    <w:rsid w:val="00A17DFD"/>
    <w:rsid w:val="00A20071"/>
    <w:rsid w:val="00A204ED"/>
    <w:rsid w:val="00A21ADF"/>
    <w:rsid w:val="00A23309"/>
    <w:rsid w:val="00A2572F"/>
    <w:rsid w:val="00A25BC0"/>
    <w:rsid w:val="00A26405"/>
    <w:rsid w:val="00A26659"/>
    <w:rsid w:val="00A273DF"/>
    <w:rsid w:val="00A27459"/>
    <w:rsid w:val="00A318EF"/>
    <w:rsid w:val="00A320DD"/>
    <w:rsid w:val="00A33C7A"/>
    <w:rsid w:val="00A33F10"/>
    <w:rsid w:val="00A34ACC"/>
    <w:rsid w:val="00A3586E"/>
    <w:rsid w:val="00A36EFA"/>
    <w:rsid w:val="00A37195"/>
    <w:rsid w:val="00A376D2"/>
    <w:rsid w:val="00A42961"/>
    <w:rsid w:val="00A43444"/>
    <w:rsid w:val="00A442F5"/>
    <w:rsid w:val="00A4717E"/>
    <w:rsid w:val="00A476C2"/>
    <w:rsid w:val="00A50B4B"/>
    <w:rsid w:val="00A536FE"/>
    <w:rsid w:val="00A56402"/>
    <w:rsid w:val="00A565A6"/>
    <w:rsid w:val="00A56C04"/>
    <w:rsid w:val="00A56C3B"/>
    <w:rsid w:val="00A60548"/>
    <w:rsid w:val="00A60F3B"/>
    <w:rsid w:val="00A61A02"/>
    <w:rsid w:val="00A61D9E"/>
    <w:rsid w:val="00A6659F"/>
    <w:rsid w:val="00A70805"/>
    <w:rsid w:val="00A70B6E"/>
    <w:rsid w:val="00A71A9C"/>
    <w:rsid w:val="00A71FD5"/>
    <w:rsid w:val="00A7384B"/>
    <w:rsid w:val="00A75795"/>
    <w:rsid w:val="00A767FD"/>
    <w:rsid w:val="00A800EA"/>
    <w:rsid w:val="00A844F2"/>
    <w:rsid w:val="00A866A1"/>
    <w:rsid w:val="00A8702F"/>
    <w:rsid w:val="00A91A39"/>
    <w:rsid w:val="00A92B88"/>
    <w:rsid w:val="00A93421"/>
    <w:rsid w:val="00A936A7"/>
    <w:rsid w:val="00A93C02"/>
    <w:rsid w:val="00A95441"/>
    <w:rsid w:val="00A95C86"/>
    <w:rsid w:val="00A95DF4"/>
    <w:rsid w:val="00A95FFA"/>
    <w:rsid w:val="00A964F1"/>
    <w:rsid w:val="00A97C1E"/>
    <w:rsid w:val="00AA076C"/>
    <w:rsid w:val="00AA64B8"/>
    <w:rsid w:val="00AA6E2F"/>
    <w:rsid w:val="00AB0F39"/>
    <w:rsid w:val="00AB35DC"/>
    <w:rsid w:val="00AB6538"/>
    <w:rsid w:val="00AB6C4F"/>
    <w:rsid w:val="00AC258B"/>
    <w:rsid w:val="00AC311A"/>
    <w:rsid w:val="00AC494E"/>
    <w:rsid w:val="00AC6ADA"/>
    <w:rsid w:val="00AC7AA4"/>
    <w:rsid w:val="00AD0174"/>
    <w:rsid w:val="00AD06EE"/>
    <w:rsid w:val="00AD080C"/>
    <w:rsid w:val="00AD1E26"/>
    <w:rsid w:val="00AD269B"/>
    <w:rsid w:val="00AD2CE8"/>
    <w:rsid w:val="00AD4BB4"/>
    <w:rsid w:val="00AD57DA"/>
    <w:rsid w:val="00AE17EB"/>
    <w:rsid w:val="00AE1A52"/>
    <w:rsid w:val="00AE3075"/>
    <w:rsid w:val="00AF129B"/>
    <w:rsid w:val="00AF39FB"/>
    <w:rsid w:val="00AF46E8"/>
    <w:rsid w:val="00AF5DE0"/>
    <w:rsid w:val="00AF703E"/>
    <w:rsid w:val="00B00393"/>
    <w:rsid w:val="00B02FF4"/>
    <w:rsid w:val="00B06D4E"/>
    <w:rsid w:val="00B07458"/>
    <w:rsid w:val="00B076C1"/>
    <w:rsid w:val="00B0776C"/>
    <w:rsid w:val="00B10353"/>
    <w:rsid w:val="00B10F79"/>
    <w:rsid w:val="00B11732"/>
    <w:rsid w:val="00B129F4"/>
    <w:rsid w:val="00B141BF"/>
    <w:rsid w:val="00B15F08"/>
    <w:rsid w:val="00B16E72"/>
    <w:rsid w:val="00B17439"/>
    <w:rsid w:val="00B175A8"/>
    <w:rsid w:val="00B203C9"/>
    <w:rsid w:val="00B22442"/>
    <w:rsid w:val="00B238E2"/>
    <w:rsid w:val="00B2513A"/>
    <w:rsid w:val="00B256BA"/>
    <w:rsid w:val="00B271CE"/>
    <w:rsid w:val="00B334EE"/>
    <w:rsid w:val="00B337D4"/>
    <w:rsid w:val="00B339D7"/>
    <w:rsid w:val="00B346F5"/>
    <w:rsid w:val="00B3565A"/>
    <w:rsid w:val="00B43210"/>
    <w:rsid w:val="00B45947"/>
    <w:rsid w:val="00B47674"/>
    <w:rsid w:val="00B50E99"/>
    <w:rsid w:val="00B5232D"/>
    <w:rsid w:val="00B537AB"/>
    <w:rsid w:val="00B54889"/>
    <w:rsid w:val="00B5701C"/>
    <w:rsid w:val="00B57699"/>
    <w:rsid w:val="00B57A91"/>
    <w:rsid w:val="00B57E6E"/>
    <w:rsid w:val="00B61E76"/>
    <w:rsid w:val="00B62441"/>
    <w:rsid w:val="00B62516"/>
    <w:rsid w:val="00B64028"/>
    <w:rsid w:val="00B64999"/>
    <w:rsid w:val="00B667DC"/>
    <w:rsid w:val="00B67415"/>
    <w:rsid w:val="00B76186"/>
    <w:rsid w:val="00B7660D"/>
    <w:rsid w:val="00B80D22"/>
    <w:rsid w:val="00B82021"/>
    <w:rsid w:val="00B83451"/>
    <w:rsid w:val="00B9103D"/>
    <w:rsid w:val="00B910E1"/>
    <w:rsid w:val="00B9117F"/>
    <w:rsid w:val="00B922BA"/>
    <w:rsid w:val="00B92426"/>
    <w:rsid w:val="00B929AF"/>
    <w:rsid w:val="00B946E9"/>
    <w:rsid w:val="00B94FFC"/>
    <w:rsid w:val="00B97BB6"/>
    <w:rsid w:val="00BA0213"/>
    <w:rsid w:val="00BA2267"/>
    <w:rsid w:val="00BA2A4A"/>
    <w:rsid w:val="00BA4B45"/>
    <w:rsid w:val="00BA4D3E"/>
    <w:rsid w:val="00BA4E35"/>
    <w:rsid w:val="00BA5837"/>
    <w:rsid w:val="00BA77F2"/>
    <w:rsid w:val="00BA7E5A"/>
    <w:rsid w:val="00BB0DD7"/>
    <w:rsid w:val="00BB1695"/>
    <w:rsid w:val="00BB1A6E"/>
    <w:rsid w:val="00BB23ED"/>
    <w:rsid w:val="00BB3821"/>
    <w:rsid w:val="00BB5584"/>
    <w:rsid w:val="00BC1652"/>
    <w:rsid w:val="00BC2982"/>
    <w:rsid w:val="00BC35DC"/>
    <w:rsid w:val="00BC402C"/>
    <w:rsid w:val="00BC5446"/>
    <w:rsid w:val="00BC5AA5"/>
    <w:rsid w:val="00BD082D"/>
    <w:rsid w:val="00BD1610"/>
    <w:rsid w:val="00BD2360"/>
    <w:rsid w:val="00BD23FF"/>
    <w:rsid w:val="00BD2F3A"/>
    <w:rsid w:val="00BD4884"/>
    <w:rsid w:val="00BD6755"/>
    <w:rsid w:val="00BD7D66"/>
    <w:rsid w:val="00BE196D"/>
    <w:rsid w:val="00BE21A8"/>
    <w:rsid w:val="00BE2274"/>
    <w:rsid w:val="00BE49C6"/>
    <w:rsid w:val="00BE4A73"/>
    <w:rsid w:val="00BE6D9D"/>
    <w:rsid w:val="00BE7F7E"/>
    <w:rsid w:val="00BF0267"/>
    <w:rsid w:val="00BF1B34"/>
    <w:rsid w:val="00BF532F"/>
    <w:rsid w:val="00BF6CEB"/>
    <w:rsid w:val="00BF76EB"/>
    <w:rsid w:val="00BF775E"/>
    <w:rsid w:val="00BF7ADF"/>
    <w:rsid w:val="00BF7F89"/>
    <w:rsid w:val="00C00C48"/>
    <w:rsid w:val="00C0219E"/>
    <w:rsid w:val="00C03BA0"/>
    <w:rsid w:val="00C04AE7"/>
    <w:rsid w:val="00C04DD6"/>
    <w:rsid w:val="00C075AE"/>
    <w:rsid w:val="00C07A9B"/>
    <w:rsid w:val="00C108D7"/>
    <w:rsid w:val="00C10A84"/>
    <w:rsid w:val="00C11E5F"/>
    <w:rsid w:val="00C12835"/>
    <w:rsid w:val="00C12BD0"/>
    <w:rsid w:val="00C133A5"/>
    <w:rsid w:val="00C13D42"/>
    <w:rsid w:val="00C15B56"/>
    <w:rsid w:val="00C164AC"/>
    <w:rsid w:val="00C16F87"/>
    <w:rsid w:val="00C177C0"/>
    <w:rsid w:val="00C20030"/>
    <w:rsid w:val="00C204D0"/>
    <w:rsid w:val="00C2067A"/>
    <w:rsid w:val="00C2143A"/>
    <w:rsid w:val="00C2160A"/>
    <w:rsid w:val="00C2519A"/>
    <w:rsid w:val="00C2609E"/>
    <w:rsid w:val="00C272EB"/>
    <w:rsid w:val="00C326DE"/>
    <w:rsid w:val="00C35337"/>
    <w:rsid w:val="00C35538"/>
    <w:rsid w:val="00C36942"/>
    <w:rsid w:val="00C400F3"/>
    <w:rsid w:val="00C44586"/>
    <w:rsid w:val="00C4538A"/>
    <w:rsid w:val="00C51D7C"/>
    <w:rsid w:val="00C52225"/>
    <w:rsid w:val="00C5322F"/>
    <w:rsid w:val="00C53363"/>
    <w:rsid w:val="00C5366B"/>
    <w:rsid w:val="00C53B66"/>
    <w:rsid w:val="00C54F68"/>
    <w:rsid w:val="00C55626"/>
    <w:rsid w:val="00C55EB5"/>
    <w:rsid w:val="00C56A5D"/>
    <w:rsid w:val="00C5717E"/>
    <w:rsid w:val="00C61001"/>
    <w:rsid w:val="00C639AF"/>
    <w:rsid w:val="00C63B41"/>
    <w:rsid w:val="00C640BE"/>
    <w:rsid w:val="00C64151"/>
    <w:rsid w:val="00C64344"/>
    <w:rsid w:val="00C654E7"/>
    <w:rsid w:val="00C66C28"/>
    <w:rsid w:val="00C67750"/>
    <w:rsid w:val="00C70D10"/>
    <w:rsid w:val="00C73D2A"/>
    <w:rsid w:val="00C74CEF"/>
    <w:rsid w:val="00C76E8A"/>
    <w:rsid w:val="00C77097"/>
    <w:rsid w:val="00C77492"/>
    <w:rsid w:val="00C81CC7"/>
    <w:rsid w:val="00C8212D"/>
    <w:rsid w:val="00C827EA"/>
    <w:rsid w:val="00C830A5"/>
    <w:rsid w:val="00C83D36"/>
    <w:rsid w:val="00C85829"/>
    <w:rsid w:val="00C85B9A"/>
    <w:rsid w:val="00C86A4B"/>
    <w:rsid w:val="00C86E07"/>
    <w:rsid w:val="00C876F4"/>
    <w:rsid w:val="00C92441"/>
    <w:rsid w:val="00C932BD"/>
    <w:rsid w:val="00CA2E25"/>
    <w:rsid w:val="00CA563C"/>
    <w:rsid w:val="00CA5F9A"/>
    <w:rsid w:val="00CA78D4"/>
    <w:rsid w:val="00CA7AC2"/>
    <w:rsid w:val="00CA7E73"/>
    <w:rsid w:val="00CB2AFA"/>
    <w:rsid w:val="00CB2C53"/>
    <w:rsid w:val="00CB440C"/>
    <w:rsid w:val="00CB57A8"/>
    <w:rsid w:val="00CB5C35"/>
    <w:rsid w:val="00CC0ECA"/>
    <w:rsid w:val="00CC2EBC"/>
    <w:rsid w:val="00CC38DC"/>
    <w:rsid w:val="00CC3C9C"/>
    <w:rsid w:val="00CC6645"/>
    <w:rsid w:val="00CC6F7F"/>
    <w:rsid w:val="00CC7692"/>
    <w:rsid w:val="00CD21DF"/>
    <w:rsid w:val="00CD3605"/>
    <w:rsid w:val="00CD4A77"/>
    <w:rsid w:val="00CD4BE0"/>
    <w:rsid w:val="00CD4CB6"/>
    <w:rsid w:val="00CD55FA"/>
    <w:rsid w:val="00CE37EA"/>
    <w:rsid w:val="00CE390F"/>
    <w:rsid w:val="00CE3EB6"/>
    <w:rsid w:val="00CE59BD"/>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6448"/>
    <w:rsid w:val="00D074DD"/>
    <w:rsid w:val="00D07607"/>
    <w:rsid w:val="00D11A22"/>
    <w:rsid w:val="00D13189"/>
    <w:rsid w:val="00D14917"/>
    <w:rsid w:val="00D1574E"/>
    <w:rsid w:val="00D15BBC"/>
    <w:rsid w:val="00D16179"/>
    <w:rsid w:val="00D17F8B"/>
    <w:rsid w:val="00D20237"/>
    <w:rsid w:val="00D222BE"/>
    <w:rsid w:val="00D22709"/>
    <w:rsid w:val="00D23DD6"/>
    <w:rsid w:val="00D2474D"/>
    <w:rsid w:val="00D254C9"/>
    <w:rsid w:val="00D300C2"/>
    <w:rsid w:val="00D316DD"/>
    <w:rsid w:val="00D33731"/>
    <w:rsid w:val="00D3408C"/>
    <w:rsid w:val="00D352ED"/>
    <w:rsid w:val="00D3729D"/>
    <w:rsid w:val="00D37D91"/>
    <w:rsid w:val="00D4148D"/>
    <w:rsid w:val="00D4169C"/>
    <w:rsid w:val="00D41E62"/>
    <w:rsid w:val="00D42EF7"/>
    <w:rsid w:val="00D44A27"/>
    <w:rsid w:val="00D458C3"/>
    <w:rsid w:val="00D45F15"/>
    <w:rsid w:val="00D53B01"/>
    <w:rsid w:val="00D53E76"/>
    <w:rsid w:val="00D54E99"/>
    <w:rsid w:val="00D56A0D"/>
    <w:rsid w:val="00D56FBF"/>
    <w:rsid w:val="00D62D3F"/>
    <w:rsid w:val="00D62DB1"/>
    <w:rsid w:val="00D631E3"/>
    <w:rsid w:val="00D63274"/>
    <w:rsid w:val="00D63D82"/>
    <w:rsid w:val="00D63ED8"/>
    <w:rsid w:val="00D64A77"/>
    <w:rsid w:val="00D6568C"/>
    <w:rsid w:val="00D66E30"/>
    <w:rsid w:val="00D67295"/>
    <w:rsid w:val="00D67A15"/>
    <w:rsid w:val="00D725A4"/>
    <w:rsid w:val="00D72F74"/>
    <w:rsid w:val="00D74AFE"/>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95929"/>
    <w:rsid w:val="00DA27DC"/>
    <w:rsid w:val="00DA347C"/>
    <w:rsid w:val="00DA5074"/>
    <w:rsid w:val="00DA696B"/>
    <w:rsid w:val="00DA6C2B"/>
    <w:rsid w:val="00DA7207"/>
    <w:rsid w:val="00DB1102"/>
    <w:rsid w:val="00DB27D5"/>
    <w:rsid w:val="00DB2E50"/>
    <w:rsid w:val="00DB5280"/>
    <w:rsid w:val="00DB6DE0"/>
    <w:rsid w:val="00DB6FEC"/>
    <w:rsid w:val="00DC2002"/>
    <w:rsid w:val="00DC2A59"/>
    <w:rsid w:val="00DC33A8"/>
    <w:rsid w:val="00DC63FF"/>
    <w:rsid w:val="00DC7A39"/>
    <w:rsid w:val="00DD0896"/>
    <w:rsid w:val="00DD0B2A"/>
    <w:rsid w:val="00DD0BC5"/>
    <w:rsid w:val="00DD1110"/>
    <w:rsid w:val="00DD2333"/>
    <w:rsid w:val="00DD415B"/>
    <w:rsid w:val="00DD6187"/>
    <w:rsid w:val="00DE153C"/>
    <w:rsid w:val="00DE1BE1"/>
    <w:rsid w:val="00DE34A5"/>
    <w:rsid w:val="00DE4B72"/>
    <w:rsid w:val="00DE77D7"/>
    <w:rsid w:val="00DF2BB8"/>
    <w:rsid w:val="00DF2FEA"/>
    <w:rsid w:val="00DF43A7"/>
    <w:rsid w:val="00DF48D9"/>
    <w:rsid w:val="00DF5CD4"/>
    <w:rsid w:val="00DF73D0"/>
    <w:rsid w:val="00DF792D"/>
    <w:rsid w:val="00E02DD8"/>
    <w:rsid w:val="00E04B26"/>
    <w:rsid w:val="00E05E91"/>
    <w:rsid w:val="00E07351"/>
    <w:rsid w:val="00E12803"/>
    <w:rsid w:val="00E14D59"/>
    <w:rsid w:val="00E15100"/>
    <w:rsid w:val="00E15522"/>
    <w:rsid w:val="00E16AFB"/>
    <w:rsid w:val="00E20247"/>
    <w:rsid w:val="00E2256F"/>
    <w:rsid w:val="00E244F7"/>
    <w:rsid w:val="00E24D07"/>
    <w:rsid w:val="00E25714"/>
    <w:rsid w:val="00E2630C"/>
    <w:rsid w:val="00E268D4"/>
    <w:rsid w:val="00E26F34"/>
    <w:rsid w:val="00E26FD9"/>
    <w:rsid w:val="00E274C0"/>
    <w:rsid w:val="00E27819"/>
    <w:rsid w:val="00E30BD6"/>
    <w:rsid w:val="00E3410C"/>
    <w:rsid w:val="00E3443E"/>
    <w:rsid w:val="00E3454D"/>
    <w:rsid w:val="00E3698D"/>
    <w:rsid w:val="00E36EA4"/>
    <w:rsid w:val="00E40390"/>
    <w:rsid w:val="00E40BED"/>
    <w:rsid w:val="00E41A70"/>
    <w:rsid w:val="00E4215D"/>
    <w:rsid w:val="00E4258A"/>
    <w:rsid w:val="00E42BFD"/>
    <w:rsid w:val="00E4504B"/>
    <w:rsid w:val="00E452BE"/>
    <w:rsid w:val="00E456A9"/>
    <w:rsid w:val="00E464C2"/>
    <w:rsid w:val="00E47A9D"/>
    <w:rsid w:val="00E50AD5"/>
    <w:rsid w:val="00E50EAA"/>
    <w:rsid w:val="00E52B51"/>
    <w:rsid w:val="00E54C9A"/>
    <w:rsid w:val="00E5634D"/>
    <w:rsid w:val="00E61B8D"/>
    <w:rsid w:val="00E64AB7"/>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E71"/>
    <w:rsid w:val="00E90F5E"/>
    <w:rsid w:val="00E92D28"/>
    <w:rsid w:val="00E930B7"/>
    <w:rsid w:val="00E97ED9"/>
    <w:rsid w:val="00EA2035"/>
    <w:rsid w:val="00EA2A92"/>
    <w:rsid w:val="00EA3894"/>
    <w:rsid w:val="00EA38BE"/>
    <w:rsid w:val="00EA448A"/>
    <w:rsid w:val="00EB0533"/>
    <w:rsid w:val="00EB0987"/>
    <w:rsid w:val="00EB2254"/>
    <w:rsid w:val="00EB2F76"/>
    <w:rsid w:val="00EB6450"/>
    <w:rsid w:val="00EB7709"/>
    <w:rsid w:val="00EC0D68"/>
    <w:rsid w:val="00EC1A6F"/>
    <w:rsid w:val="00EC1D1F"/>
    <w:rsid w:val="00EC3FDA"/>
    <w:rsid w:val="00EC4455"/>
    <w:rsid w:val="00EC5D9F"/>
    <w:rsid w:val="00EC7CD7"/>
    <w:rsid w:val="00ED1B41"/>
    <w:rsid w:val="00ED263C"/>
    <w:rsid w:val="00ED2B16"/>
    <w:rsid w:val="00ED3F0C"/>
    <w:rsid w:val="00ED4F43"/>
    <w:rsid w:val="00ED539D"/>
    <w:rsid w:val="00ED5AF1"/>
    <w:rsid w:val="00ED697B"/>
    <w:rsid w:val="00ED6F4F"/>
    <w:rsid w:val="00ED7348"/>
    <w:rsid w:val="00EE0087"/>
    <w:rsid w:val="00EE26DF"/>
    <w:rsid w:val="00EE5595"/>
    <w:rsid w:val="00EE5F8E"/>
    <w:rsid w:val="00EE6D85"/>
    <w:rsid w:val="00EE74C8"/>
    <w:rsid w:val="00EF078E"/>
    <w:rsid w:val="00EF3BB8"/>
    <w:rsid w:val="00EF425F"/>
    <w:rsid w:val="00EF4E0C"/>
    <w:rsid w:val="00EF54EE"/>
    <w:rsid w:val="00F0274E"/>
    <w:rsid w:val="00F041BF"/>
    <w:rsid w:val="00F04899"/>
    <w:rsid w:val="00F05B8D"/>
    <w:rsid w:val="00F05CF0"/>
    <w:rsid w:val="00F115FB"/>
    <w:rsid w:val="00F120BC"/>
    <w:rsid w:val="00F12955"/>
    <w:rsid w:val="00F13F8C"/>
    <w:rsid w:val="00F153FD"/>
    <w:rsid w:val="00F16698"/>
    <w:rsid w:val="00F17079"/>
    <w:rsid w:val="00F17CB6"/>
    <w:rsid w:val="00F20E00"/>
    <w:rsid w:val="00F21008"/>
    <w:rsid w:val="00F218EC"/>
    <w:rsid w:val="00F23A6F"/>
    <w:rsid w:val="00F23E07"/>
    <w:rsid w:val="00F24F27"/>
    <w:rsid w:val="00F24F8F"/>
    <w:rsid w:val="00F26497"/>
    <w:rsid w:val="00F26CB0"/>
    <w:rsid w:val="00F26FEB"/>
    <w:rsid w:val="00F30D25"/>
    <w:rsid w:val="00F32FF9"/>
    <w:rsid w:val="00F35171"/>
    <w:rsid w:val="00F36791"/>
    <w:rsid w:val="00F37689"/>
    <w:rsid w:val="00F420C8"/>
    <w:rsid w:val="00F449D2"/>
    <w:rsid w:val="00F44A71"/>
    <w:rsid w:val="00F45E55"/>
    <w:rsid w:val="00F50FB9"/>
    <w:rsid w:val="00F535ED"/>
    <w:rsid w:val="00F5590B"/>
    <w:rsid w:val="00F57748"/>
    <w:rsid w:val="00F629A6"/>
    <w:rsid w:val="00F62AFE"/>
    <w:rsid w:val="00F6322B"/>
    <w:rsid w:val="00F63CCC"/>
    <w:rsid w:val="00F6400F"/>
    <w:rsid w:val="00F6535F"/>
    <w:rsid w:val="00F670BD"/>
    <w:rsid w:val="00F73360"/>
    <w:rsid w:val="00F73BB2"/>
    <w:rsid w:val="00F73DAD"/>
    <w:rsid w:val="00F73FDB"/>
    <w:rsid w:val="00F746CC"/>
    <w:rsid w:val="00F75760"/>
    <w:rsid w:val="00F75A02"/>
    <w:rsid w:val="00F772A7"/>
    <w:rsid w:val="00F837D0"/>
    <w:rsid w:val="00F83E77"/>
    <w:rsid w:val="00F84CEA"/>
    <w:rsid w:val="00F85C96"/>
    <w:rsid w:val="00F905EE"/>
    <w:rsid w:val="00F91362"/>
    <w:rsid w:val="00F92C73"/>
    <w:rsid w:val="00F92FD5"/>
    <w:rsid w:val="00F939C3"/>
    <w:rsid w:val="00F93A3B"/>
    <w:rsid w:val="00F9493E"/>
    <w:rsid w:val="00F94F6B"/>
    <w:rsid w:val="00F96FFA"/>
    <w:rsid w:val="00F976FC"/>
    <w:rsid w:val="00FA0049"/>
    <w:rsid w:val="00FA2775"/>
    <w:rsid w:val="00FB059D"/>
    <w:rsid w:val="00FB06A9"/>
    <w:rsid w:val="00FB0825"/>
    <w:rsid w:val="00FB0EE9"/>
    <w:rsid w:val="00FB284D"/>
    <w:rsid w:val="00FB4260"/>
    <w:rsid w:val="00FB42D7"/>
    <w:rsid w:val="00FB4780"/>
    <w:rsid w:val="00FB4846"/>
    <w:rsid w:val="00FB608B"/>
    <w:rsid w:val="00FB6AE8"/>
    <w:rsid w:val="00FB6C3F"/>
    <w:rsid w:val="00FC198F"/>
    <w:rsid w:val="00FC3375"/>
    <w:rsid w:val="00FC4394"/>
    <w:rsid w:val="00FC47E8"/>
    <w:rsid w:val="00FC5111"/>
    <w:rsid w:val="00FC5798"/>
    <w:rsid w:val="00FC6C11"/>
    <w:rsid w:val="00FC6E00"/>
    <w:rsid w:val="00FC6EAB"/>
    <w:rsid w:val="00FD1020"/>
    <w:rsid w:val="00FD1B5E"/>
    <w:rsid w:val="00FD26B0"/>
    <w:rsid w:val="00FD2E08"/>
    <w:rsid w:val="00FD3B75"/>
    <w:rsid w:val="00FD4787"/>
    <w:rsid w:val="00FD4B7E"/>
    <w:rsid w:val="00FD54EA"/>
    <w:rsid w:val="00FE1623"/>
    <w:rsid w:val="00FE1FBF"/>
    <w:rsid w:val="00FE2B44"/>
    <w:rsid w:val="00FE3122"/>
    <w:rsid w:val="00FE4141"/>
    <w:rsid w:val="00FE569A"/>
    <w:rsid w:val="00FE7E7E"/>
    <w:rsid w:val="00FF0465"/>
    <w:rsid w:val="00FF15C6"/>
    <w:rsid w:val="00FF2D90"/>
    <w:rsid w:val="00FF4440"/>
    <w:rsid w:val="00FF463A"/>
    <w:rsid w:val="01165348"/>
    <w:rsid w:val="01171514"/>
    <w:rsid w:val="012877C0"/>
    <w:rsid w:val="012F48A9"/>
    <w:rsid w:val="01475DB8"/>
    <w:rsid w:val="01594B10"/>
    <w:rsid w:val="017A799C"/>
    <w:rsid w:val="0187414D"/>
    <w:rsid w:val="019A344F"/>
    <w:rsid w:val="01AF252D"/>
    <w:rsid w:val="01C14687"/>
    <w:rsid w:val="01D00A45"/>
    <w:rsid w:val="01E35C83"/>
    <w:rsid w:val="01E6263E"/>
    <w:rsid w:val="02123DEC"/>
    <w:rsid w:val="022206C8"/>
    <w:rsid w:val="022C2CE5"/>
    <w:rsid w:val="023B57CC"/>
    <w:rsid w:val="023E4169"/>
    <w:rsid w:val="024025DC"/>
    <w:rsid w:val="02513C28"/>
    <w:rsid w:val="0252508F"/>
    <w:rsid w:val="025B6511"/>
    <w:rsid w:val="0260397E"/>
    <w:rsid w:val="02863196"/>
    <w:rsid w:val="028F47A0"/>
    <w:rsid w:val="02927FA9"/>
    <w:rsid w:val="02AA39E6"/>
    <w:rsid w:val="02CF2BA6"/>
    <w:rsid w:val="02D30C2D"/>
    <w:rsid w:val="033506A1"/>
    <w:rsid w:val="035012E1"/>
    <w:rsid w:val="03617690"/>
    <w:rsid w:val="037C5AFD"/>
    <w:rsid w:val="039D3D97"/>
    <w:rsid w:val="039D6CFC"/>
    <w:rsid w:val="03DB4775"/>
    <w:rsid w:val="03EF7ABE"/>
    <w:rsid w:val="03FE786C"/>
    <w:rsid w:val="040463C3"/>
    <w:rsid w:val="040E18C9"/>
    <w:rsid w:val="0457343C"/>
    <w:rsid w:val="045C7A74"/>
    <w:rsid w:val="048B3BAA"/>
    <w:rsid w:val="048C4A21"/>
    <w:rsid w:val="04A31271"/>
    <w:rsid w:val="04BC0CAD"/>
    <w:rsid w:val="04CF7A93"/>
    <w:rsid w:val="04D366C3"/>
    <w:rsid w:val="05033D5F"/>
    <w:rsid w:val="05743288"/>
    <w:rsid w:val="05D77E8B"/>
    <w:rsid w:val="05E20938"/>
    <w:rsid w:val="05E368DD"/>
    <w:rsid w:val="06281AEC"/>
    <w:rsid w:val="06344478"/>
    <w:rsid w:val="063D0369"/>
    <w:rsid w:val="066C70A8"/>
    <w:rsid w:val="0677693A"/>
    <w:rsid w:val="068E7516"/>
    <w:rsid w:val="06A6772F"/>
    <w:rsid w:val="06A86B9B"/>
    <w:rsid w:val="06CD5F18"/>
    <w:rsid w:val="06D136F2"/>
    <w:rsid w:val="071E06E8"/>
    <w:rsid w:val="07286941"/>
    <w:rsid w:val="07345D03"/>
    <w:rsid w:val="073F1A64"/>
    <w:rsid w:val="07495BC4"/>
    <w:rsid w:val="074B29BC"/>
    <w:rsid w:val="07524142"/>
    <w:rsid w:val="076E1FAD"/>
    <w:rsid w:val="078179C6"/>
    <w:rsid w:val="07927A69"/>
    <w:rsid w:val="07BC50F0"/>
    <w:rsid w:val="07DA0EFA"/>
    <w:rsid w:val="07ED06C5"/>
    <w:rsid w:val="080C7762"/>
    <w:rsid w:val="081F52FF"/>
    <w:rsid w:val="085C0608"/>
    <w:rsid w:val="086D51A2"/>
    <w:rsid w:val="086F12AB"/>
    <w:rsid w:val="08892439"/>
    <w:rsid w:val="088C7A57"/>
    <w:rsid w:val="089E5548"/>
    <w:rsid w:val="08E950B0"/>
    <w:rsid w:val="08F41DB5"/>
    <w:rsid w:val="09877471"/>
    <w:rsid w:val="099B0F39"/>
    <w:rsid w:val="09B3479F"/>
    <w:rsid w:val="09D07714"/>
    <w:rsid w:val="09DE6096"/>
    <w:rsid w:val="0A02049F"/>
    <w:rsid w:val="0A1F12CC"/>
    <w:rsid w:val="0AA25D26"/>
    <w:rsid w:val="0ABE345B"/>
    <w:rsid w:val="0AE911E2"/>
    <w:rsid w:val="0AF77EC5"/>
    <w:rsid w:val="0B216017"/>
    <w:rsid w:val="0B254430"/>
    <w:rsid w:val="0B3F6FF5"/>
    <w:rsid w:val="0BCD31E7"/>
    <w:rsid w:val="0BD90F56"/>
    <w:rsid w:val="0BF6441C"/>
    <w:rsid w:val="0C121429"/>
    <w:rsid w:val="0C271FA8"/>
    <w:rsid w:val="0C493FA2"/>
    <w:rsid w:val="0C6E59F3"/>
    <w:rsid w:val="0C8B4997"/>
    <w:rsid w:val="0CD7373F"/>
    <w:rsid w:val="0CFA3648"/>
    <w:rsid w:val="0CFA58FA"/>
    <w:rsid w:val="0D0F5BC6"/>
    <w:rsid w:val="0D21529C"/>
    <w:rsid w:val="0D33432C"/>
    <w:rsid w:val="0D3D0097"/>
    <w:rsid w:val="0D406A07"/>
    <w:rsid w:val="0D4C557B"/>
    <w:rsid w:val="0DA45775"/>
    <w:rsid w:val="0DB32981"/>
    <w:rsid w:val="0DBF6A67"/>
    <w:rsid w:val="0DED68F1"/>
    <w:rsid w:val="0DFA18A6"/>
    <w:rsid w:val="0E2E2015"/>
    <w:rsid w:val="0E6A050F"/>
    <w:rsid w:val="0E8558E0"/>
    <w:rsid w:val="0EA501BE"/>
    <w:rsid w:val="0F2D3983"/>
    <w:rsid w:val="0F4345D7"/>
    <w:rsid w:val="0F6F19D1"/>
    <w:rsid w:val="0F7565C0"/>
    <w:rsid w:val="0F94197C"/>
    <w:rsid w:val="0FAA55AB"/>
    <w:rsid w:val="0FBB18B2"/>
    <w:rsid w:val="0FBE38ED"/>
    <w:rsid w:val="0FC53937"/>
    <w:rsid w:val="0FD23D82"/>
    <w:rsid w:val="0FD41F67"/>
    <w:rsid w:val="0FD74134"/>
    <w:rsid w:val="0FDD6E52"/>
    <w:rsid w:val="10064C74"/>
    <w:rsid w:val="10102BF8"/>
    <w:rsid w:val="10146479"/>
    <w:rsid w:val="104D734C"/>
    <w:rsid w:val="1051110E"/>
    <w:rsid w:val="10753CB1"/>
    <w:rsid w:val="1091096D"/>
    <w:rsid w:val="1092654A"/>
    <w:rsid w:val="1093093B"/>
    <w:rsid w:val="10A42C5E"/>
    <w:rsid w:val="10BB117E"/>
    <w:rsid w:val="10DB172E"/>
    <w:rsid w:val="10E14F53"/>
    <w:rsid w:val="10E43121"/>
    <w:rsid w:val="10E72B68"/>
    <w:rsid w:val="10EC5B41"/>
    <w:rsid w:val="10F74E25"/>
    <w:rsid w:val="110805BA"/>
    <w:rsid w:val="110F1BD5"/>
    <w:rsid w:val="1114283C"/>
    <w:rsid w:val="11184CA3"/>
    <w:rsid w:val="111C5C94"/>
    <w:rsid w:val="111C7550"/>
    <w:rsid w:val="114A1CAE"/>
    <w:rsid w:val="11597ACC"/>
    <w:rsid w:val="116850B5"/>
    <w:rsid w:val="11A7127C"/>
    <w:rsid w:val="11BB0E33"/>
    <w:rsid w:val="11BD2F0B"/>
    <w:rsid w:val="120F2A29"/>
    <w:rsid w:val="121C2D21"/>
    <w:rsid w:val="122942A3"/>
    <w:rsid w:val="123C2D42"/>
    <w:rsid w:val="128819B3"/>
    <w:rsid w:val="128C1B9B"/>
    <w:rsid w:val="12A714B7"/>
    <w:rsid w:val="12A92671"/>
    <w:rsid w:val="12B247B0"/>
    <w:rsid w:val="12DF3B07"/>
    <w:rsid w:val="130B0817"/>
    <w:rsid w:val="132041F2"/>
    <w:rsid w:val="132E3E25"/>
    <w:rsid w:val="13352D67"/>
    <w:rsid w:val="1353182C"/>
    <w:rsid w:val="13830B72"/>
    <w:rsid w:val="139329C1"/>
    <w:rsid w:val="13E86C1F"/>
    <w:rsid w:val="13EF2475"/>
    <w:rsid w:val="13FA41EA"/>
    <w:rsid w:val="14025DE6"/>
    <w:rsid w:val="14153D4B"/>
    <w:rsid w:val="14172869"/>
    <w:rsid w:val="143D4587"/>
    <w:rsid w:val="147C65C2"/>
    <w:rsid w:val="14902DA1"/>
    <w:rsid w:val="14BB1994"/>
    <w:rsid w:val="14EA33BC"/>
    <w:rsid w:val="14FD6C55"/>
    <w:rsid w:val="152F6F9F"/>
    <w:rsid w:val="157A49C0"/>
    <w:rsid w:val="15E2625A"/>
    <w:rsid w:val="15E6711C"/>
    <w:rsid w:val="15F7761B"/>
    <w:rsid w:val="161E6D84"/>
    <w:rsid w:val="162E798F"/>
    <w:rsid w:val="1689152D"/>
    <w:rsid w:val="169C7CA8"/>
    <w:rsid w:val="16BE2649"/>
    <w:rsid w:val="16D072C5"/>
    <w:rsid w:val="16F2389F"/>
    <w:rsid w:val="16FF1F95"/>
    <w:rsid w:val="171A78CF"/>
    <w:rsid w:val="174410DE"/>
    <w:rsid w:val="1762318A"/>
    <w:rsid w:val="17657E9C"/>
    <w:rsid w:val="17826335"/>
    <w:rsid w:val="17910EAA"/>
    <w:rsid w:val="1792112C"/>
    <w:rsid w:val="17985F2B"/>
    <w:rsid w:val="17BB6913"/>
    <w:rsid w:val="17BE4961"/>
    <w:rsid w:val="17E94F31"/>
    <w:rsid w:val="18645D52"/>
    <w:rsid w:val="18726C15"/>
    <w:rsid w:val="18757658"/>
    <w:rsid w:val="187B2A13"/>
    <w:rsid w:val="188A030C"/>
    <w:rsid w:val="18B96C89"/>
    <w:rsid w:val="19083357"/>
    <w:rsid w:val="19115143"/>
    <w:rsid w:val="19193E50"/>
    <w:rsid w:val="19307FA4"/>
    <w:rsid w:val="19353775"/>
    <w:rsid w:val="19425258"/>
    <w:rsid w:val="19461F1D"/>
    <w:rsid w:val="196D699F"/>
    <w:rsid w:val="19C34D8C"/>
    <w:rsid w:val="19CF4659"/>
    <w:rsid w:val="1A011959"/>
    <w:rsid w:val="1A083090"/>
    <w:rsid w:val="1A114519"/>
    <w:rsid w:val="1A2B7124"/>
    <w:rsid w:val="1A3E65F3"/>
    <w:rsid w:val="1A6A150F"/>
    <w:rsid w:val="1A8C32C3"/>
    <w:rsid w:val="1A973A3A"/>
    <w:rsid w:val="1A9E5BAA"/>
    <w:rsid w:val="1AD70065"/>
    <w:rsid w:val="1B030342"/>
    <w:rsid w:val="1B152FFB"/>
    <w:rsid w:val="1B3106CA"/>
    <w:rsid w:val="1B324A2B"/>
    <w:rsid w:val="1B3D220D"/>
    <w:rsid w:val="1B4102CF"/>
    <w:rsid w:val="1B67570D"/>
    <w:rsid w:val="1B77250E"/>
    <w:rsid w:val="1BAB76BA"/>
    <w:rsid w:val="1BAE1AB4"/>
    <w:rsid w:val="1BB52C1C"/>
    <w:rsid w:val="1BB703CC"/>
    <w:rsid w:val="1BBA5F45"/>
    <w:rsid w:val="1BC74859"/>
    <w:rsid w:val="1BCB564E"/>
    <w:rsid w:val="1BE8596E"/>
    <w:rsid w:val="1C3531A9"/>
    <w:rsid w:val="1C3B1572"/>
    <w:rsid w:val="1C5F0976"/>
    <w:rsid w:val="1C633E84"/>
    <w:rsid w:val="1C7B4710"/>
    <w:rsid w:val="1C876888"/>
    <w:rsid w:val="1C894447"/>
    <w:rsid w:val="1CC11607"/>
    <w:rsid w:val="1D2D0D4B"/>
    <w:rsid w:val="1D9B01C6"/>
    <w:rsid w:val="1D9F0A91"/>
    <w:rsid w:val="1DAC04F6"/>
    <w:rsid w:val="1DC4401E"/>
    <w:rsid w:val="1DE231AA"/>
    <w:rsid w:val="1DEF00A4"/>
    <w:rsid w:val="1E186B17"/>
    <w:rsid w:val="1E3C2A76"/>
    <w:rsid w:val="1E711CE8"/>
    <w:rsid w:val="1E830C01"/>
    <w:rsid w:val="1E9E60BA"/>
    <w:rsid w:val="1EC512F5"/>
    <w:rsid w:val="1EE77DBE"/>
    <w:rsid w:val="1EF00924"/>
    <w:rsid w:val="1EF417AF"/>
    <w:rsid w:val="1F505A44"/>
    <w:rsid w:val="1F511369"/>
    <w:rsid w:val="1F712071"/>
    <w:rsid w:val="1F7A7B75"/>
    <w:rsid w:val="1F877000"/>
    <w:rsid w:val="1F8F581A"/>
    <w:rsid w:val="1FC01A2E"/>
    <w:rsid w:val="1FF16CE6"/>
    <w:rsid w:val="1FF16D8A"/>
    <w:rsid w:val="1FF22B8A"/>
    <w:rsid w:val="200C4323"/>
    <w:rsid w:val="2018037A"/>
    <w:rsid w:val="20280FE1"/>
    <w:rsid w:val="20381050"/>
    <w:rsid w:val="20384A18"/>
    <w:rsid w:val="20452FD8"/>
    <w:rsid w:val="20544C79"/>
    <w:rsid w:val="2062104A"/>
    <w:rsid w:val="20697556"/>
    <w:rsid w:val="206F2764"/>
    <w:rsid w:val="20785385"/>
    <w:rsid w:val="208452A5"/>
    <w:rsid w:val="20892729"/>
    <w:rsid w:val="20AC2DEC"/>
    <w:rsid w:val="20F72BE2"/>
    <w:rsid w:val="210F51A9"/>
    <w:rsid w:val="21207BCE"/>
    <w:rsid w:val="21460B0C"/>
    <w:rsid w:val="214D18F7"/>
    <w:rsid w:val="215009A2"/>
    <w:rsid w:val="217A40A2"/>
    <w:rsid w:val="21BA3633"/>
    <w:rsid w:val="221655EB"/>
    <w:rsid w:val="22A3277C"/>
    <w:rsid w:val="230E25EC"/>
    <w:rsid w:val="230F0129"/>
    <w:rsid w:val="23130C83"/>
    <w:rsid w:val="23333814"/>
    <w:rsid w:val="2334175D"/>
    <w:rsid w:val="238273D5"/>
    <w:rsid w:val="239D2EAD"/>
    <w:rsid w:val="23AB21FD"/>
    <w:rsid w:val="23B5749E"/>
    <w:rsid w:val="23BA1EB0"/>
    <w:rsid w:val="23CA5AA3"/>
    <w:rsid w:val="23FD1BC3"/>
    <w:rsid w:val="24342F11"/>
    <w:rsid w:val="24421157"/>
    <w:rsid w:val="244408F1"/>
    <w:rsid w:val="24582BC0"/>
    <w:rsid w:val="24697191"/>
    <w:rsid w:val="247920AF"/>
    <w:rsid w:val="247B38AE"/>
    <w:rsid w:val="249E0756"/>
    <w:rsid w:val="24F60993"/>
    <w:rsid w:val="250F60C6"/>
    <w:rsid w:val="25606C8F"/>
    <w:rsid w:val="257A0E47"/>
    <w:rsid w:val="257D08AA"/>
    <w:rsid w:val="25837377"/>
    <w:rsid w:val="25C601F5"/>
    <w:rsid w:val="25D47E5C"/>
    <w:rsid w:val="25E92890"/>
    <w:rsid w:val="26272329"/>
    <w:rsid w:val="262E1CF0"/>
    <w:rsid w:val="26644196"/>
    <w:rsid w:val="26767780"/>
    <w:rsid w:val="269E1273"/>
    <w:rsid w:val="26A52BA4"/>
    <w:rsid w:val="26A95439"/>
    <w:rsid w:val="27010C3A"/>
    <w:rsid w:val="273934D0"/>
    <w:rsid w:val="27501A5B"/>
    <w:rsid w:val="277F726D"/>
    <w:rsid w:val="279478AF"/>
    <w:rsid w:val="27AE4C81"/>
    <w:rsid w:val="27D8013D"/>
    <w:rsid w:val="27E31D3B"/>
    <w:rsid w:val="27F7695E"/>
    <w:rsid w:val="284677BF"/>
    <w:rsid w:val="28686781"/>
    <w:rsid w:val="287856D6"/>
    <w:rsid w:val="28AC499D"/>
    <w:rsid w:val="28BF3AB9"/>
    <w:rsid w:val="28C80903"/>
    <w:rsid w:val="28E02A1E"/>
    <w:rsid w:val="29000207"/>
    <w:rsid w:val="29061C9D"/>
    <w:rsid w:val="29276992"/>
    <w:rsid w:val="294A1EDF"/>
    <w:rsid w:val="29B035A5"/>
    <w:rsid w:val="29C76065"/>
    <w:rsid w:val="29CC2D62"/>
    <w:rsid w:val="29EA4E39"/>
    <w:rsid w:val="2A040FE1"/>
    <w:rsid w:val="2A47761D"/>
    <w:rsid w:val="2A9D0E85"/>
    <w:rsid w:val="2AA31A15"/>
    <w:rsid w:val="2ABC33A0"/>
    <w:rsid w:val="2AC3464A"/>
    <w:rsid w:val="2ADC4EAC"/>
    <w:rsid w:val="2AEB5DB8"/>
    <w:rsid w:val="2AF3526C"/>
    <w:rsid w:val="2B264065"/>
    <w:rsid w:val="2B7502BB"/>
    <w:rsid w:val="2BA612E3"/>
    <w:rsid w:val="2BB64665"/>
    <w:rsid w:val="2BEB1114"/>
    <w:rsid w:val="2C063DE0"/>
    <w:rsid w:val="2C540277"/>
    <w:rsid w:val="2C7D0A34"/>
    <w:rsid w:val="2C930FE8"/>
    <w:rsid w:val="2CAE2397"/>
    <w:rsid w:val="2CC05F7C"/>
    <w:rsid w:val="2CC529EE"/>
    <w:rsid w:val="2CD06F4A"/>
    <w:rsid w:val="2CDC57F2"/>
    <w:rsid w:val="2CE74A07"/>
    <w:rsid w:val="2D024C1A"/>
    <w:rsid w:val="2D20060F"/>
    <w:rsid w:val="2D264D90"/>
    <w:rsid w:val="2D674215"/>
    <w:rsid w:val="2D7545FA"/>
    <w:rsid w:val="2D8B45A5"/>
    <w:rsid w:val="2DE25DD3"/>
    <w:rsid w:val="2E2E567E"/>
    <w:rsid w:val="2E791665"/>
    <w:rsid w:val="2E871F6C"/>
    <w:rsid w:val="2E8852BC"/>
    <w:rsid w:val="2EA20A93"/>
    <w:rsid w:val="2EAE5D28"/>
    <w:rsid w:val="2F163264"/>
    <w:rsid w:val="2F1F0B51"/>
    <w:rsid w:val="2F45212B"/>
    <w:rsid w:val="2F5A7398"/>
    <w:rsid w:val="2F7436E8"/>
    <w:rsid w:val="2F8A473E"/>
    <w:rsid w:val="2FB0531E"/>
    <w:rsid w:val="2FDD345C"/>
    <w:rsid w:val="301F23DF"/>
    <w:rsid w:val="30397816"/>
    <w:rsid w:val="306F72D2"/>
    <w:rsid w:val="3087451E"/>
    <w:rsid w:val="30B3242C"/>
    <w:rsid w:val="30D17B32"/>
    <w:rsid w:val="30DC703C"/>
    <w:rsid w:val="30DF1DCF"/>
    <w:rsid w:val="30ED1814"/>
    <w:rsid w:val="310337EB"/>
    <w:rsid w:val="310B66D2"/>
    <w:rsid w:val="31183FE8"/>
    <w:rsid w:val="313C08E6"/>
    <w:rsid w:val="314365C3"/>
    <w:rsid w:val="31705EE7"/>
    <w:rsid w:val="31BF1AD1"/>
    <w:rsid w:val="31DB6574"/>
    <w:rsid w:val="31F864B7"/>
    <w:rsid w:val="3266552B"/>
    <w:rsid w:val="327D492C"/>
    <w:rsid w:val="32C30843"/>
    <w:rsid w:val="32CE5713"/>
    <w:rsid w:val="32FD0860"/>
    <w:rsid w:val="32FF2900"/>
    <w:rsid w:val="33087974"/>
    <w:rsid w:val="33222915"/>
    <w:rsid w:val="3355025F"/>
    <w:rsid w:val="33694CF9"/>
    <w:rsid w:val="336E1BE8"/>
    <w:rsid w:val="338C2135"/>
    <w:rsid w:val="338F1F96"/>
    <w:rsid w:val="33BD31C2"/>
    <w:rsid w:val="33BE5C4F"/>
    <w:rsid w:val="33BF3EE9"/>
    <w:rsid w:val="33F56764"/>
    <w:rsid w:val="34063D59"/>
    <w:rsid w:val="3452271D"/>
    <w:rsid w:val="34B27E5A"/>
    <w:rsid w:val="34DA78AE"/>
    <w:rsid w:val="34E4534C"/>
    <w:rsid w:val="34E91244"/>
    <w:rsid w:val="34F915C4"/>
    <w:rsid w:val="35080A59"/>
    <w:rsid w:val="35087FD7"/>
    <w:rsid w:val="35164F44"/>
    <w:rsid w:val="35266AE6"/>
    <w:rsid w:val="35277D51"/>
    <w:rsid w:val="355118CA"/>
    <w:rsid w:val="35691EF5"/>
    <w:rsid w:val="356A2DE7"/>
    <w:rsid w:val="357629EC"/>
    <w:rsid w:val="35A91876"/>
    <w:rsid w:val="35B17D88"/>
    <w:rsid w:val="35B82BBA"/>
    <w:rsid w:val="35E437AA"/>
    <w:rsid w:val="35FB42F5"/>
    <w:rsid w:val="36305F08"/>
    <w:rsid w:val="36691639"/>
    <w:rsid w:val="36813C44"/>
    <w:rsid w:val="368746B6"/>
    <w:rsid w:val="36883480"/>
    <w:rsid w:val="36A205C4"/>
    <w:rsid w:val="36DC729D"/>
    <w:rsid w:val="370944C3"/>
    <w:rsid w:val="37321EF9"/>
    <w:rsid w:val="37392636"/>
    <w:rsid w:val="374800C8"/>
    <w:rsid w:val="37513F76"/>
    <w:rsid w:val="377A1616"/>
    <w:rsid w:val="37991E9C"/>
    <w:rsid w:val="37A0584C"/>
    <w:rsid w:val="37AE62C3"/>
    <w:rsid w:val="37C52881"/>
    <w:rsid w:val="37D15902"/>
    <w:rsid w:val="37E521FE"/>
    <w:rsid w:val="38105790"/>
    <w:rsid w:val="381B0CC2"/>
    <w:rsid w:val="383F77C8"/>
    <w:rsid w:val="384B5B49"/>
    <w:rsid w:val="38626D9C"/>
    <w:rsid w:val="38A87003"/>
    <w:rsid w:val="38E27070"/>
    <w:rsid w:val="38EF4472"/>
    <w:rsid w:val="38F92C81"/>
    <w:rsid w:val="39196FEA"/>
    <w:rsid w:val="394134AC"/>
    <w:rsid w:val="398C3186"/>
    <w:rsid w:val="398C40CE"/>
    <w:rsid w:val="39A14A37"/>
    <w:rsid w:val="39BA475C"/>
    <w:rsid w:val="39CA4569"/>
    <w:rsid w:val="39F14C64"/>
    <w:rsid w:val="3A164678"/>
    <w:rsid w:val="3A165171"/>
    <w:rsid w:val="3A16715B"/>
    <w:rsid w:val="3A3B3D8A"/>
    <w:rsid w:val="3A5B1E7F"/>
    <w:rsid w:val="3A773F37"/>
    <w:rsid w:val="3A792688"/>
    <w:rsid w:val="3A8028E1"/>
    <w:rsid w:val="3A9041B9"/>
    <w:rsid w:val="3A960861"/>
    <w:rsid w:val="3AAC481C"/>
    <w:rsid w:val="3ABB3B14"/>
    <w:rsid w:val="3AE97E30"/>
    <w:rsid w:val="3AFB06C4"/>
    <w:rsid w:val="3AFF3CC6"/>
    <w:rsid w:val="3B1039B8"/>
    <w:rsid w:val="3B1D3714"/>
    <w:rsid w:val="3B215498"/>
    <w:rsid w:val="3B3C1123"/>
    <w:rsid w:val="3B5F0C53"/>
    <w:rsid w:val="3B70247D"/>
    <w:rsid w:val="3B8B3B7A"/>
    <w:rsid w:val="3BBD4182"/>
    <w:rsid w:val="3BD75C97"/>
    <w:rsid w:val="3C027D4E"/>
    <w:rsid w:val="3C130491"/>
    <w:rsid w:val="3C1F21D0"/>
    <w:rsid w:val="3C42009C"/>
    <w:rsid w:val="3C5B63BC"/>
    <w:rsid w:val="3C71644C"/>
    <w:rsid w:val="3C8F66B1"/>
    <w:rsid w:val="3CD75931"/>
    <w:rsid w:val="3D0616CA"/>
    <w:rsid w:val="3D481D82"/>
    <w:rsid w:val="3D510B1E"/>
    <w:rsid w:val="3D542D81"/>
    <w:rsid w:val="3DB25A5B"/>
    <w:rsid w:val="3DE13E4D"/>
    <w:rsid w:val="3DF04EF6"/>
    <w:rsid w:val="3DF36CF4"/>
    <w:rsid w:val="3E0D0ACC"/>
    <w:rsid w:val="3E5E3CF6"/>
    <w:rsid w:val="3EB4494A"/>
    <w:rsid w:val="3ED33314"/>
    <w:rsid w:val="3ED77E2C"/>
    <w:rsid w:val="3EE355D0"/>
    <w:rsid w:val="3EF56614"/>
    <w:rsid w:val="3EF8381E"/>
    <w:rsid w:val="3F07032D"/>
    <w:rsid w:val="3F3409F6"/>
    <w:rsid w:val="3F4106F1"/>
    <w:rsid w:val="3F5433AF"/>
    <w:rsid w:val="3F8F5599"/>
    <w:rsid w:val="3FB553D0"/>
    <w:rsid w:val="3FB5602E"/>
    <w:rsid w:val="3FEB53A7"/>
    <w:rsid w:val="3FED77CF"/>
    <w:rsid w:val="3FF6117B"/>
    <w:rsid w:val="40047E36"/>
    <w:rsid w:val="401B5C80"/>
    <w:rsid w:val="402A647F"/>
    <w:rsid w:val="40595256"/>
    <w:rsid w:val="406C21C9"/>
    <w:rsid w:val="40A676E9"/>
    <w:rsid w:val="40B10819"/>
    <w:rsid w:val="40BF1E6D"/>
    <w:rsid w:val="40DB38EA"/>
    <w:rsid w:val="40E83F0F"/>
    <w:rsid w:val="40F65A27"/>
    <w:rsid w:val="4122362A"/>
    <w:rsid w:val="415828E6"/>
    <w:rsid w:val="416820D8"/>
    <w:rsid w:val="41740278"/>
    <w:rsid w:val="41965C93"/>
    <w:rsid w:val="41C00F65"/>
    <w:rsid w:val="41C36320"/>
    <w:rsid w:val="41C720B8"/>
    <w:rsid w:val="41CE19DD"/>
    <w:rsid w:val="4200792C"/>
    <w:rsid w:val="4206515C"/>
    <w:rsid w:val="42084A18"/>
    <w:rsid w:val="423148B8"/>
    <w:rsid w:val="427445FD"/>
    <w:rsid w:val="42867002"/>
    <w:rsid w:val="42C92A21"/>
    <w:rsid w:val="42ED13FA"/>
    <w:rsid w:val="42F41241"/>
    <w:rsid w:val="431A5C36"/>
    <w:rsid w:val="43491464"/>
    <w:rsid w:val="434E040F"/>
    <w:rsid w:val="437A1A1E"/>
    <w:rsid w:val="4392315C"/>
    <w:rsid w:val="4395047D"/>
    <w:rsid w:val="43F05E1D"/>
    <w:rsid w:val="441547A9"/>
    <w:rsid w:val="44353AA3"/>
    <w:rsid w:val="44C80130"/>
    <w:rsid w:val="44DC1B9F"/>
    <w:rsid w:val="45061931"/>
    <w:rsid w:val="450E7154"/>
    <w:rsid w:val="452F625A"/>
    <w:rsid w:val="455933CC"/>
    <w:rsid w:val="45823B72"/>
    <w:rsid w:val="45D02133"/>
    <w:rsid w:val="45EC32A5"/>
    <w:rsid w:val="45F605F5"/>
    <w:rsid w:val="461E35B1"/>
    <w:rsid w:val="4635704A"/>
    <w:rsid w:val="463A4AA4"/>
    <w:rsid w:val="463A62E0"/>
    <w:rsid w:val="465B4030"/>
    <w:rsid w:val="469F284C"/>
    <w:rsid w:val="46B502C1"/>
    <w:rsid w:val="46BF39F6"/>
    <w:rsid w:val="46C007F4"/>
    <w:rsid w:val="46D67B12"/>
    <w:rsid w:val="471D4C18"/>
    <w:rsid w:val="4727115F"/>
    <w:rsid w:val="47625ED1"/>
    <w:rsid w:val="479B21E5"/>
    <w:rsid w:val="47C40DD5"/>
    <w:rsid w:val="47D9599A"/>
    <w:rsid w:val="47E75E09"/>
    <w:rsid w:val="488E7377"/>
    <w:rsid w:val="48944D43"/>
    <w:rsid w:val="489C026E"/>
    <w:rsid w:val="48B131E5"/>
    <w:rsid w:val="49136944"/>
    <w:rsid w:val="494D3F74"/>
    <w:rsid w:val="4989333F"/>
    <w:rsid w:val="499661F8"/>
    <w:rsid w:val="499A2DFD"/>
    <w:rsid w:val="49CB5668"/>
    <w:rsid w:val="49F17652"/>
    <w:rsid w:val="4A1E549B"/>
    <w:rsid w:val="4A3F126C"/>
    <w:rsid w:val="4A687024"/>
    <w:rsid w:val="4AE87B39"/>
    <w:rsid w:val="4AF163DD"/>
    <w:rsid w:val="4AF46A2C"/>
    <w:rsid w:val="4B003837"/>
    <w:rsid w:val="4B04012B"/>
    <w:rsid w:val="4B1D1396"/>
    <w:rsid w:val="4B230500"/>
    <w:rsid w:val="4B294D26"/>
    <w:rsid w:val="4B3C5024"/>
    <w:rsid w:val="4B4655CB"/>
    <w:rsid w:val="4B7D0F09"/>
    <w:rsid w:val="4B89004E"/>
    <w:rsid w:val="4B984B07"/>
    <w:rsid w:val="4BA55545"/>
    <w:rsid w:val="4BAA0F20"/>
    <w:rsid w:val="4BBF5772"/>
    <w:rsid w:val="4BD42F98"/>
    <w:rsid w:val="4BFD58FC"/>
    <w:rsid w:val="4C1559E9"/>
    <w:rsid w:val="4C245054"/>
    <w:rsid w:val="4C2A56EA"/>
    <w:rsid w:val="4C556873"/>
    <w:rsid w:val="4C7038FB"/>
    <w:rsid w:val="4C8C57EC"/>
    <w:rsid w:val="4C9F01E6"/>
    <w:rsid w:val="4CA84402"/>
    <w:rsid w:val="4CCD39DA"/>
    <w:rsid w:val="4CD31A71"/>
    <w:rsid w:val="4CD82ACC"/>
    <w:rsid w:val="4CE875CC"/>
    <w:rsid w:val="4D4D381C"/>
    <w:rsid w:val="4D952497"/>
    <w:rsid w:val="4DB13F59"/>
    <w:rsid w:val="4DBF646A"/>
    <w:rsid w:val="4DC1224F"/>
    <w:rsid w:val="4DC23A1D"/>
    <w:rsid w:val="4E053FFC"/>
    <w:rsid w:val="4E0A534D"/>
    <w:rsid w:val="4E444738"/>
    <w:rsid w:val="4E8A3D4F"/>
    <w:rsid w:val="4E976DC6"/>
    <w:rsid w:val="4EAB13E0"/>
    <w:rsid w:val="4EAF6565"/>
    <w:rsid w:val="4EBB406D"/>
    <w:rsid w:val="4EE70990"/>
    <w:rsid w:val="4EFD3CA0"/>
    <w:rsid w:val="4F170FE3"/>
    <w:rsid w:val="4F2E75E9"/>
    <w:rsid w:val="4F401E36"/>
    <w:rsid w:val="4F442388"/>
    <w:rsid w:val="4F687188"/>
    <w:rsid w:val="4F755D84"/>
    <w:rsid w:val="4F787C14"/>
    <w:rsid w:val="4F7F2315"/>
    <w:rsid w:val="4F8F64D3"/>
    <w:rsid w:val="50184973"/>
    <w:rsid w:val="50247D10"/>
    <w:rsid w:val="50265E0A"/>
    <w:rsid w:val="502913D8"/>
    <w:rsid w:val="50A60283"/>
    <w:rsid w:val="51053BF3"/>
    <w:rsid w:val="512B04C5"/>
    <w:rsid w:val="512B4637"/>
    <w:rsid w:val="5156365B"/>
    <w:rsid w:val="516B2B23"/>
    <w:rsid w:val="51791347"/>
    <w:rsid w:val="51914BFA"/>
    <w:rsid w:val="51D96987"/>
    <w:rsid w:val="51DD23AF"/>
    <w:rsid w:val="51DF24F5"/>
    <w:rsid w:val="51EF38C2"/>
    <w:rsid w:val="520A3EC1"/>
    <w:rsid w:val="522B4CE1"/>
    <w:rsid w:val="5237369C"/>
    <w:rsid w:val="524B5398"/>
    <w:rsid w:val="525F53C4"/>
    <w:rsid w:val="52704CB5"/>
    <w:rsid w:val="527C5054"/>
    <w:rsid w:val="52976ACB"/>
    <w:rsid w:val="52A5375E"/>
    <w:rsid w:val="52B15DE1"/>
    <w:rsid w:val="52BE382F"/>
    <w:rsid w:val="52C109C7"/>
    <w:rsid w:val="52E87389"/>
    <w:rsid w:val="52F15438"/>
    <w:rsid w:val="52F5553C"/>
    <w:rsid w:val="52FB6928"/>
    <w:rsid w:val="536F129E"/>
    <w:rsid w:val="53731FA9"/>
    <w:rsid w:val="538763F5"/>
    <w:rsid w:val="53C12BDF"/>
    <w:rsid w:val="53D0673A"/>
    <w:rsid w:val="540E36A9"/>
    <w:rsid w:val="540E4F04"/>
    <w:rsid w:val="541805F8"/>
    <w:rsid w:val="54211F7C"/>
    <w:rsid w:val="543F69EA"/>
    <w:rsid w:val="54953ADC"/>
    <w:rsid w:val="54A939FE"/>
    <w:rsid w:val="54B55507"/>
    <w:rsid w:val="54BB2F47"/>
    <w:rsid w:val="54D35858"/>
    <w:rsid w:val="54D53927"/>
    <w:rsid w:val="54D57A56"/>
    <w:rsid w:val="551F7E4C"/>
    <w:rsid w:val="552C19BE"/>
    <w:rsid w:val="552E230F"/>
    <w:rsid w:val="552F4F8B"/>
    <w:rsid w:val="5544727E"/>
    <w:rsid w:val="5545557F"/>
    <w:rsid w:val="5559172B"/>
    <w:rsid w:val="5566250B"/>
    <w:rsid w:val="559B01C1"/>
    <w:rsid w:val="55AC51D2"/>
    <w:rsid w:val="55B07EC1"/>
    <w:rsid w:val="55B57209"/>
    <w:rsid w:val="55C902A2"/>
    <w:rsid w:val="55D14FAD"/>
    <w:rsid w:val="55DB48B0"/>
    <w:rsid w:val="55E17C68"/>
    <w:rsid w:val="55E5182B"/>
    <w:rsid w:val="56034FE5"/>
    <w:rsid w:val="561E7D2D"/>
    <w:rsid w:val="56463262"/>
    <w:rsid w:val="56564B91"/>
    <w:rsid w:val="56775F49"/>
    <w:rsid w:val="56885080"/>
    <w:rsid w:val="5690783C"/>
    <w:rsid w:val="56CC39BF"/>
    <w:rsid w:val="56DC53F6"/>
    <w:rsid w:val="56E8239C"/>
    <w:rsid w:val="56FD5EBA"/>
    <w:rsid w:val="57117704"/>
    <w:rsid w:val="57160908"/>
    <w:rsid w:val="574F0859"/>
    <w:rsid w:val="578373DA"/>
    <w:rsid w:val="579A77B4"/>
    <w:rsid w:val="57CB57BA"/>
    <w:rsid w:val="57CE3F8B"/>
    <w:rsid w:val="57D00815"/>
    <w:rsid w:val="57E16AAA"/>
    <w:rsid w:val="57EA7352"/>
    <w:rsid w:val="5810450B"/>
    <w:rsid w:val="58897A90"/>
    <w:rsid w:val="592A2A30"/>
    <w:rsid w:val="594749F9"/>
    <w:rsid w:val="59476115"/>
    <w:rsid w:val="597E04AB"/>
    <w:rsid w:val="59953163"/>
    <w:rsid w:val="599F74F4"/>
    <w:rsid w:val="59A16560"/>
    <w:rsid w:val="59E96FC2"/>
    <w:rsid w:val="59F31C71"/>
    <w:rsid w:val="5A0C0D0A"/>
    <w:rsid w:val="5A6944EA"/>
    <w:rsid w:val="5A6D5DD7"/>
    <w:rsid w:val="5A6F43A0"/>
    <w:rsid w:val="5A81696B"/>
    <w:rsid w:val="5B1B5CFA"/>
    <w:rsid w:val="5B31040E"/>
    <w:rsid w:val="5B6014DE"/>
    <w:rsid w:val="5BAA2D4E"/>
    <w:rsid w:val="5BDC0C81"/>
    <w:rsid w:val="5C0A2CA6"/>
    <w:rsid w:val="5C107C01"/>
    <w:rsid w:val="5C1C6902"/>
    <w:rsid w:val="5CE861EA"/>
    <w:rsid w:val="5CF31202"/>
    <w:rsid w:val="5D0D0A5A"/>
    <w:rsid w:val="5D135364"/>
    <w:rsid w:val="5D1B7756"/>
    <w:rsid w:val="5D24203A"/>
    <w:rsid w:val="5D3D4190"/>
    <w:rsid w:val="5D443CF5"/>
    <w:rsid w:val="5D523A56"/>
    <w:rsid w:val="5D59272F"/>
    <w:rsid w:val="5D8C19A7"/>
    <w:rsid w:val="5DA42C12"/>
    <w:rsid w:val="5DBB2B9B"/>
    <w:rsid w:val="5DE722C8"/>
    <w:rsid w:val="5E0D7652"/>
    <w:rsid w:val="5E266B47"/>
    <w:rsid w:val="5E2C2D16"/>
    <w:rsid w:val="5E3352CC"/>
    <w:rsid w:val="5E6C41D8"/>
    <w:rsid w:val="5EA14F87"/>
    <w:rsid w:val="5EB07FFD"/>
    <w:rsid w:val="5EB12C47"/>
    <w:rsid w:val="5EC62C14"/>
    <w:rsid w:val="5EE75C28"/>
    <w:rsid w:val="5F34112B"/>
    <w:rsid w:val="5F3C0431"/>
    <w:rsid w:val="5F3C7AEA"/>
    <w:rsid w:val="5F436141"/>
    <w:rsid w:val="5F4A4006"/>
    <w:rsid w:val="5F5A7F63"/>
    <w:rsid w:val="5F5E60E0"/>
    <w:rsid w:val="5F6704F9"/>
    <w:rsid w:val="5FAC2718"/>
    <w:rsid w:val="60AA5077"/>
    <w:rsid w:val="60DD2497"/>
    <w:rsid w:val="60F611BD"/>
    <w:rsid w:val="6103018B"/>
    <w:rsid w:val="611D2854"/>
    <w:rsid w:val="61300984"/>
    <w:rsid w:val="6135424E"/>
    <w:rsid w:val="61354623"/>
    <w:rsid w:val="613A1C1F"/>
    <w:rsid w:val="619E4AEF"/>
    <w:rsid w:val="619E73B1"/>
    <w:rsid w:val="61A62975"/>
    <w:rsid w:val="61D17A78"/>
    <w:rsid w:val="624429C7"/>
    <w:rsid w:val="6261092B"/>
    <w:rsid w:val="627E6465"/>
    <w:rsid w:val="62883A8F"/>
    <w:rsid w:val="62C33EC4"/>
    <w:rsid w:val="62D75E40"/>
    <w:rsid w:val="62DF104F"/>
    <w:rsid w:val="63147998"/>
    <w:rsid w:val="633B4DB7"/>
    <w:rsid w:val="63423E46"/>
    <w:rsid w:val="637102C7"/>
    <w:rsid w:val="6393458A"/>
    <w:rsid w:val="639F2DF5"/>
    <w:rsid w:val="640712B6"/>
    <w:rsid w:val="643505DF"/>
    <w:rsid w:val="644B448D"/>
    <w:rsid w:val="6464010A"/>
    <w:rsid w:val="64984512"/>
    <w:rsid w:val="64AE52F0"/>
    <w:rsid w:val="64C91D05"/>
    <w:rsid w:val="64DD0CB7"/>
    <w:rsid w:val="64F178C7"/>
    <w:rsid w:val="65375449"/>
    <w:rsid w:val="654A79CF"/>
    <w:rsid w:val="65727758"/>
    <w:rsid w:val="657F5BFB"/>
    <w:rsid w:val="659D05DC"/>
    <w:rsid w:val="659D71F0"/>
    <w:rsid w:val="65F80CBE"/>
    <w:rsid w:val="660C3E24"/>
    <w:rsid w:val="661957C5"/>
    <w:rsid w:val="6635189E"/>
    <w:rsid w:val="66381562"/>
    <w:rsid w:val="66532588"/>
    <w:rsid w:val="66585D1C"/>
    <w:rsid w:val="66636DA7"/>
    <w:rsid w:val="66A41CBE"/>
    <w:rsid w:val="66EE4C37"/>
    <w:rsid w:val="67066F2C"/>
    <w:rsid w:val="67505F8C"/>
    <w:rsid w:val="678914B6"/>
    <w:rsid w:val="67BD092C"/>
    <w:rsid w:val="67E142E2"/>
    <w:rsid w:val="67E50D68"/>
    <w:rsid w:val="67EA0216"/>
    <w:rsid w:val="68345E8F"/>
    <w:rsid w:val="6846755B"/>
    <w:rsid w:val="684C20DA"/>
    <w:rsid w:val="687152A7"/>
    <w:rsid w:val="688C1749"/>
    <w:rsid w:val="68B107B5"/>
    <w:rsid w:val="6915613A"/>
    <w:rsid w:val="691E53FA"/>
    <w:rsid w:val="6941672D"/>
    <w:rsid w:val="6959663A"/>
    <w:rsid w:val="6969465F"/>
    <w:rsid w:val="69750960"/>
    <w:rsid w:val="6985509D"/>
    <w:rsid w:val="69E75CEE"/>
    <w:rsid w:val="69FB496B"/>
    <w:rsid w:val="6A1A7DA3"/>
    <w:rsid w:val="6A6248C6"/>
    <w:rsid w:val="6A6D70AD"/>
    <w:rsid w:val="6A806A08"/>
    <w:rsid w:val="6A9F30F7"/>
    <w:rsid w:val="6AAF3BF4"/>
    <w:rsid w:val="6ACC61B3"/>
    <w:rsid w:val="6ACE1BB6"/>
    <w:rsid w:val="6AD21FD2"/>
    <w:rsid w:val="6AF85BA1"/>
    <w:rsid w:val="6B036375"/>
    <w:rsid w:val="6B056F0A"/>
    <w:rsid w:val="6B172FBF"/>
    <w:rsid w:val="6B352F4C"/>
    <w:rsid w:val="6B391E59"/>
    <w:rsid w:val="6B3E3547"/>
    <w:rsid w:val="6B593B73"/>
    <w:rsid w:val="6B662C52"/>
    <w:rsid w:val="6B712E92"/>
    <w:rsid w:val="6BD118E0"/>
    <w:rsid w:val="6BD526E8"/>
    <w:rsid w:val="6BDC31C7"/>
    <w:rsid w:val="6C0F02A4"/>
    <w:rsid w:val="6C152AE5"/>
    <w:rsid w:val="6C215EAA"/>
    <w:rsid w:val="6C23619F"/>
    <w:rsid w:val="6C250B24"/>
    <w:rsid w:val="6C252A40"/>
    <w:rsid w:val="6C4E1180"/>
    <w:rsid w:val="6C6C184A"/>
    <w:rsid w:val="6C722665"/>
    <w:rsid w:val="6CA86739"/>
    <w:rsid w:val="6CC06862"/>
    <w:rsid w:val="6CC14D56"/>
    <w:rsid w:val="6CF34043"/>
    <w:rsid w:val="6CFD344A"/>
    <w:rsid w:val="6D1C31AB"/>
    <w:rsid w:val="6D236405"/>
    <w:rsid w:val="6D49326E"/>
    <w:rsid w:val="6D4B5A6F"/>
    <w:rsid w:val="6D6300D5"/>
    <w:rsid w:val="6D7231C6"/>
    <w:rsid w:val="6D8975A5"/>
    <w:rsid w:val="6DB8333A"/>
    <w:rsid w:val="6DD30EA9"/>
    <w:rsid w:val="6DE13BAC"/>
    <w:rsid w:val="6DE953A6"/>
    <w:rsid w:val="6E3A3FA2"/>
    <w:rsid w:val="6E5611FB"/>
    <w:rsid w:val="6E5B4656"/>
    <w:rsid w:val="6E6C605B"/>
    <w:rsid w:val="6E6F23D2"/>
    <w:rsid w:val="6E973146"/>
    <w:rsid w:val="6E9E37F3"/>
    <w:rsid w:val="6EA6004D"/>
    <w:rsid w:val="6EAD6A9C"/>
    <w:rsid w:val="6ED22832"/>
    <w:rsid w:val="6EE3190F"/>
    <w:rsid w:val="6F527B03"/>
    <w:rsid w:val="6F5F1689"/>
    <w:rsid w:val="6F6D5E81"/>
    <w:rsid w:val="6F7307C0"/>
    <w:rsid w:val="6F8E32A4"/>
    <w:rsid w:val="6F9A146E"/>
    <w:rsid w:val="6FE918CA"/>
    <w:rsid w:val="701F1306"/>
    <w:rsid w:val="704B3E85"/>
    <w:rsid w:val="70803ADA"/>
    <w:rsid w:val="708052B8"/>
    <w:rsid w:val="70B6524F"/>
    <w:rsid w:val="7105441D"/>
    <w:rsid w:val="711B0DB4"/>
    <w:rsid w:val="7138613C"/>
    <w:rsid w:val="71462D37"/>
    <w:rsid w:val="71907CAE"/>
    <w:rsid w:val="719A4569"/>
    <w:rsid w:val="71DB1E04"/>
    <w:rsid w:val="71DC2D77"/>
    <w:rsid w:val="72100D33"/>
    <w:rsid w:val="722E1A10"/>
    <w:rsid w:val="724745B5"/>
    <w:rsid w:val="72593E73"/>
    <w:rsid w:val="725F72B6"/>
    <w:rsid w:val="7270752F"/>
    <w:rsid w:val="72AB4ACD"/>
    <w:rsid w:val="72BD3E0F"/>
    <w:rsid w:val="72C35C78"/>
    <w:rsid w:val="72E53CA7"/>
    <w:rsid w:val="72E80587"/>
    <w:rsid w:val="730E577A"/>
    <w:rsid w:val="732E6D16"/>
    <w:rsid w:val="733D1677"/>
    <w:rsid w:val="733D6E8A"/>
    <w:rsid w:val="735A2970"/>
    <w:rsid w:val="736F5B65"/>
    <w:rsid w:val="737C66F5"/>
    <w:rsid w:val="73BB0416"/>
    <w:rsid w:val="73D246C4"/>
    <w:rsid w:val="73FE7CAF"/>
    <w:rsid w:val="741C481A"/>
    <w:rsid w:val="74490EA2"/>
    <w:rsid w:val="744F2C26"/>
    <w:rsid w:val="745E6FF3"/>
    <w:rsid w:val="749703E7"/>
    <w:rsid w:val="74E67A0E"/>
    <w:rsid w:val="750D7796"/>
    <w:rsid w:val="75155309"/>
    <w:rsid w:val="751A02DC"/>
    <w:rsid w:val="752234F7"/>
    <w:rsid w:val="75745BA4"/>
    <w:rsid w:val="75840CDB"/>
    <w:rsid w:val="75987A8E"/>
    <w:rsid w:val="75A1779E"/>
    <w:rsid w:val="75CD67FB"/>
    <w:rsid w:val="75D6497D"/>
    <w:rsid w:val="75D8387C"/>
    <w:rsid w:val="76092C49"/>
    <w:rsid w:val="76430528"/>
    <w:rsid w:val="765E60A6"/>
    <w:rsid w:val="76664776"/>
    <w:rsid w:val="76962958"/>
    <w:rsid w:val="76B161E7"/>
    <w:rsid w:val="76ED6C9A"/>
    <w:rsid w:val="77222536"/>
    <w:rsid w:val="773D3C79"/>
    <w:rsid w:val="7745011A"/>
    <w:rsid w:val="77592488"/>
    <w:rsid w:val="77706B69"/>
    <w:rsid w:val="777C31CA"/>
    <w:rsid w:val="77D15D7E"/>
    <w:rsid w:val="77EA10E8"/>
    <w:rsid w:val="77F36C3B"/>
    <w:rsid w:val="77F92C11"/>
    <w:rsid w:val="782A02FC"/>
    <w:rsid w:val="78327197"/>
    <w:rsid w:val="78517258"/>
    <w:rsid w:val="78810C2A"/>
    <w:rsid w:val="78882EAE"/>
    <w:rsid w:val="78AB7E6D"/>
    <w:rsid w:val="78DF2D59"/>
    <w:rsid w:val="78E17808"/>
    <w:rsid w:val="78E561DD"/>
    <w:rsid w:val="79186F48"/>
    <w:rsid w:val="7930488D"/>
    <w:rsid w:val="794C1303"/>
    <w:rsid w:val="795D3D1D"/>
    <w:rsid w:val="7963766C"/>
    <w:rsid w:val="797809C0"/>
    <w:rsid w:val="798152B2"/>
    <w:rsid w:val="79857D74"/>
    <w:rsid w:val="798968C0"/>
    <w:rsid w:val="799716EC"/>
    <w:rsid w:val="799A3293"/>
    <w:rsid w:val="79DD4C0A"/>
    <w:rsid w:val="79DE7DAB"/>
    <w:rsid w:val="79DF06EA"/>
    <w:rsid w:val="79F10BF9"/>
    <w:rsid w:val="79FB1D40"/>
    <w:rsid w:val="79FC1419"/>
    <w:rsid w:val="79FF7789"/>
    <w:rsid w:val="7A097A01"/>
    <w:rsid w:val="7A0A72A3"/>
    <w:rsid w:val="7A1B11DF"/>
    <w:rsid w:val="7A352537"/>
    <w:rsid w:val="7A37260E"/>
    <w:rsid w:val="7A4E2566"/>
    <w:rsid w:val="7A610296"/>
    <w:rsid w:val="7A7E3A32"/>
    <w:rsid w:val="7A810C91"/>
    <w:rsid w:val="7AD17722"/>
    <w:rsid w:val="7B433587"/>
    <w:rsid w:val="7B4D7010"/>
    <w:rsid w:val="7B6C5FAE"/>
    <w:rsid w:val="7B744583"/>
    <w:rsid w:val="7B98103C"/>
    <w:rsid w:val="7BAF2247"/>
    <w:rsid w:val="7BB36A58"/>
    <w:rsid w:val="7BC51CA9"/>
    <w:rsid w:val="7BFC2C4A"/>
    <w:rsid w:val="7BFD7D2F"/>
    <w:rsid w:val="7C0D5EC1"/>
    <w:rsid w:val="7C5E41AC"/>
    <w:rsid w:val="7C6826E6"/>
    <w:rsid w:val="7C7445A1"/>
    <w:rsid w:val="7C975A3F"/>
    <w:rsid w:val="7D1B7006"/>
    <w:rsid w:val="7D2701C2"/>
    <w:rsid w:val="7D543B16"/>
    <w:rsid w:val="7D61104F"/>
    <w:rsid w:val="7D763594"/>
    <w:rsid w:val="7D890613"/>
    <w:rsid w:val="7D963416"/>
    <w:rsid w:val="7DC01404"/>
    <w:rsid w:val="7E041BAA"/>
    <w:rsid w:val="7E096221"/>
    <w:rsid w:val="7E0C6C3E"/>
    <w:rsid w:val="7E27601C"/>
    <w:rsid w:val="7E484108"/>
    <w:rsid w:val="7E8907D6"/>
    <w:rsid w:val="7E9D5EDB"/>
    <w:rsid w:val="7EA21D71"/>
    <w:rsid w:val="7EDA402E"/>
    <w:rsid w:val="7EEC4462"/>
    <w:rsid w:val="7EEF5417"/>
    <w:rsid w:val="7F0C7A2E"/>
    <w:rsid w:val="7F104F2A"/>
    <w:rsid w:val="7F166E48"/>
    <w:rsid w:val="7F575FA6"/>
    <w:rsid w:val="7FCF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nhideWhenUsed="0" w:uiPriority="0" w:semiHidden="0" w:name="HTML Address"/>
    <w:lsdException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1"/>
      <w:lang w:val="en-US" w:eastAsia="zh-CN" w:bidi="ar-SA"/>
    </w:rPr>
  </w:style>
  <w:style w:type="paragraph" w:styleId="5">
    <w:name w:val="heading 1"/>
    <w:basedOn w:val="1"/>
    <w:next w:val="1"/>
    <w:link w:val="34"/>
    <w:qFormat/>
    <w:uiPriority w:val="0"/>
    <w:pPr>
      <w:keepNext/>
      <w:jc w:val="center"/>
      <w:outlineLvl w:val="0"/>
    </w:pPr>
    <w:rPr>
      <w:rFonts w:ascii="Times New Roman" w:hAnsi="Times New Roman"/>
      <w:b/>
      <w:kern w:val="2"/>
      <w:sz w:val="32"/>
    </w:rPr>
  </w:style>
  <w:style w:type="paragraph" w:styleId="6">
    <w:name w:val="heading 2"/>
    <w:basedOn w:val="1"/>
    <w:next w:val="1"/>
    <w:link w:val="40"/>
    <w:qFormat/>
    <w:uiPriority w:val="9"/>
    <w:pPr>
      <w:keepNext/>
      <w:keepLines/>
      <w:widowControl/>
      <w:jc w:val="center"/>
      <w:outlineLvl w:val="1"/>
    </w:pPr>
    <w:rPr>
      <w:rFonts w:ascii="Times New Roman" w:hAnsi="Times New Roman"/>
      <w:b/>
      <w:bCs/>
      <w:sz w:val="24"/>
      <w:szCs w:val="32"/>
    </w:rPr>
  </w:style>
  <w:style w:type="paragraph" w:styleId="7">
    <w:name w:val="heading 3"/>
    <w:basedOn w:val="1"/>
    <w:next w:val="1"/>
    <w:link w:val="35"/>
    <w:qFormat/>
    <w:uiPriority w:val="0"/>
    <w:pPr>
      <w:keepNext/>
      <w:ind w:firstLine="723" w:firstLineChars="200"/>
      <w:jc w:val="left"/>
      <w:outlineLvl w:val="2"/>
    </w:pPr>
    <w:rPr>
      <w:rFonts w:ascii="Times New Roman" w:hAnsi="Times New Roman"/>
      <w:b/>
      <w:bCs/>
      <w:kern w:val="2"/>
      <w:szCs w:val="24"/>
    </w:rPr>
  </w:style>
  <w:style w:type="paragraph" w:styleId="8">
    <w:name w:val="heading 4"/>
    <w:basedOn w:val="1"/>
    <w:next w:val="1"/>
    <w:link w:val="43"/>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9">
    <w:name w:val="heading 5"/>
    <w:basedOn w:val="1"/>
    <w:next w:val="1"/>
    <w:link w:val="39"/>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10">
    <w:name w:val="heading 6"/>
    <w:basedOn w:val="1"/>
    <w:next w:val="1"/>
    <w:link w:val="4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1">
    <w:name w:val="heading 7"/>
    <w:basedOn w:val="1"/>
    <w:next w:val="1"/>
    <w:link w:val="38"/>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2">
    <w:name w:val="heading 8"/>
    <w:basedOn w:val="1"/>
    <w:next w:val="1"/>
    <w:link w:val="44"/>
    <w:qFormat/>
    <w:uiPriority w:val="0"/>
    <w:pPr>
      <w:keepNext/>
      <w:tabs>
        <w:tab w:val="left" w:pos="1440"/>
      </w:tabs>
      <w:spacing w:line="360" w:lineRule="auto"/>
      <w:ind w:left="1440" w:hanging="1440"/>
      <w:outlineLvl w:val="7"/>
    </w:pPr>
    <w:rPr>
      <w:rFonts w:ascii="仿宋_GB2312" w:eastAsia="仿宋_GB2312"/>
      <w:b/>
      <w:kern w:val="2"/>
    </w:rPr>
  </w:style>
  <w:style w:type="paragraph" w:styleId="13">
    <w:name w:val="heading 9"/>
    <w:basedOn w:val="1"/>
    <w:next w:val="1"/>
    <w:link w:val="41"/>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hAnsi="Times New Roman"/>
      <w:sz w:val="21"/>
      <w:szCs w:val="21"/>
    </w:rPr>
  </w:style>
  <w:style w:type="paragraph" w:styleId="3">
    <w:name w:val="Body Text Indent"/>
    <w:basedOn w:val="1"/>
    <w:next w:val="4"/>
    <w:qFormat/>
    <w:uiPriority w:val="0"/>
    <w:pPr>
      <w:widowControl/>
      <w:ind w:firstLine="652" w:firstLineChars="233"/>
    </w:pPr>
    <w:rPr>
      <w:rFonts w:ascii="Times New Roman"/>
      <w:sz w:val="28"/>
    </w:rPr>
  </w:style>
  <w:style w:type="paragraph" w:styleId="4">
    <w:name w:val="envelope return"/>
    <w:basedOn w:val="1"/>
    <w:qFormat/>
    <w:uiPriority w:val="0"/>
    <w:pPr>
      <w:autoSpaceDE w:val="0"/>
      <w:autoSpaceDN w:val="0"/>
      <w:snapToGrid w:val="0"/>
      <w:jc w:val="left"/>
    </w:pPr>
    <w:rPr>
      <w:rFonts w:ascii="Arial" w:hAnsi="Arial" w:cs="宋体"/>
      <w:sz w:val="22"/>
      <w:szCs w:val="22"/>
      <w:lang w:val="zh-CN" w:bidi="zh-CN"/>
    </w:rPr>
  </w:style>
  <w:style w:type="paragraph" w:styleId="14">
    <w:name w:val="Normal Indent"/>
    <w:basedOn w:val="1"/>
    <w:next w:val="15"/>
    <w:link w:val="37"/>
    <w:qFormat/>
    <w:uiPriority w:val="0"/>
    <w:pPr>
      <w:ind w:firstLine="420" w:firstLineChars="200"/>
    </w:pPr>
    <w:rPr>
      <w:rFonts w:ascii="Times New Roman" w:hAnsi="Times New Roman"/>
      <w:kern w:val="2"/>
      <w:szCs w:val="24"/>
    </w:rPr>
  </w:style>
  <w:style w:type="paragraph" w:styleId="15">
    <w:name w:val="toc 4"/>
    <w:next w:val="1"/>
    <w:unhideWhenUsed/>
    <w:qFormat/>
    <w:uiPriority w:val="39"/>
    <w:pPr>
      <w:widowControl w:val="0"/>
      <w:ind w:left="1260" w:leftChars="600"/>
      <w:jc w:val="both"/>
    </w:pPr>
    <w:rPr>
      <w:rFonts w:ascii="宋体" w:hAnsi="Times New Roman" w:eastAsia="宋体" w:cs="Times New Roman"/>
      <w:sz w:val="24"/>
      <w:lang w:val="en-US" w:eastAsia="zh-CN" w:bidi="ar-SA"/>
    </w:rPr>
  </w:style>
  <w:style w:type="paragraph" w:styleId="16">
    <w:name w:val="annotation text"/>
    <w:basedOn w:val="1"/>
    <w:link w:val="53"/>
    <w:qFormat/>
    <w:uiPriority w:val="0"/>
    <w:pPr>
      <w:jc w:val="left"/>
    </w:pPr>
    <w:rPr>
      <w:rFonts w:ascii="Times New Roman" w:hAnsi="Times New Roman"/>
      <w:kern w:val="2"/>
      <w:szCs w:val="24"/>
    </w:rPr>
  </w:style>
  <w:style w:type="paragraph" w:styleId="17">
    <w:name w:val="Body Text"/>
    <w:basedOn w:val="1"/>
    <w:next w:val="1"/>
    <w:link w:val="48"/>
    <w:qFormat/>
    <w:uiPriority w:val="0"/>
    <w:pPr>
      <w:spacing w:after="120"/>
    </w:pPr>
    <w:rPr>
      <w:rFonts w:ascii="Times New Roman" w:hAnsi="Times New Roman"/>
      <w:kern w:val="2"/>
    </w:rPr>
  </w:style>
  <w:style w:type="paragraph" w:styleId="18">
    <w:name w:val="Plain Text"/>
    <w:next w:val="1"/>
    <w:qFormat/>
    <w:uiPriority w:val="0"/>
    <w:pPr>
      <w:widowControl w:val="0"/>
      <w:jc w:val="both"/>
    </w:pPr>
    <w:rPr>
      <w:rFonts w:ascii="宋体" w:hAnsi="Courier New" w:eastAsia="宋体" w:cs="Times New Roman"/>
      <w:kern w:val="2"/>
      <w:sz w:val="21"/>
      <w:lang w:val="en-US" w:eastAsia="zh-CN" w:bidi="ar-SA"/>
    </w:rPr>
  </w:style>
  <w:style w:type="paragraph" w:styleId="19">
    <w:name w:val="Balloon Text"/>
    <w:basedOn w:val="1"/>
    <w:link w:val="56"/>
    <w:qFormat/>
    <w:uiPriority w:val="0"/>
    <w:rPr>
      <w:sz w:val="18"/>
      <w:szCs w:val="18"/>
    </w:rPr>
  </w:style>
  <w:style w:type="paragraph" w:styleId="20">
    <w:name w:val="footer"/>
    <w:basedOn w:val="1"/>
    <w:link w:val="49"/>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pPr>
      <w:tabs>
        <w:tab w:val="left" w:pos="1418"/>
        <w:tab w:val="right" w:leader="dot" w:pos="8302"/>
      </w:tabs>
      <w:spacing w:line="360" w:lineRule="auto"/>
    </w:pPr>
    <w:rPr>
      <w:sz w:val="24"/>
    </w:rPr>
  </w:style>
  <w:style w:type="paragraph" w:styleId="23">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unhideWhenUsed/>
    <w:qFormat/>
    <w:uiPriority w:val="39"/>
    <w:pPr>
      <w:tabs>
        <w:tab w:val="right" w:leader="dot" w:pos="8302"/>
      </w:tabs>
      <w:spacing w:line="360" w:lineRule="auto"/>
      <w:ind w:left="420" w:leftChars="200"/>
    </w:pPr>
  </w:style>
  <w:style w:type="paragraph" w:styleId="25">
    <w:name w:val="Body Text 2"/>
    <w:basedOn w:val="1"/>
    <w:qFormat/>
    <w:uiPriority w:val="0"/>
    <w:rPr>
      <w:rFonts w:ascii="楷体_GB2312" w:hAnsi="Copperplate Gothic Bold" w:eastAsia="楷体_GB2312"/>
      <w:kern w:val="2"/>
      <w:sz w:val="28"/>
    </w:rPr>
  </w:style>
  <w:style w:type="paragraph" w:styleId="26">
    <w:name w:val="Normal (Web)"/>
    <w:basedOn w:val="1"/>
    <w:qFormat/>
    <w:uiPriority w:val="0"/>
    <w:pPr>
      <w:spacing w:beforeAutospacing="1" w:afterAutospacing="1"/>
      <w:jc w:val="left"/>
    </w:pPr>
    <w:rPr>
      <w:sz w:val="24"/>
    </w:rPr>
  </w:style>
  <w:style w:type="paragraph" w:styleId="27">
    <w:name w:val="Title"/>
    <w:basedOn w:val="1"/>
    <w:next w:val="1"/>
    <w:link w:val="45"/>
    <w:qFormat/>
    <w:uiPriority w:val="0"/>
    <w:pPr>
      <w:spacing w:before="240" w:after="60"/>
      <w:jc w:val="center"/>
      <w:outlineLvl w:val="0"/>
    </w:pPr>
    <w:rPr>
      <w:rFonts w:ascii="Cambria" w:hAnsi="Cambria"/>
      <w:b/>
      <w:bCs/>
      <w:kern w:val="2"/>
      <w:sz w:val="32"/>
      <w:szCs w:val="32"/>
    </w:rPr>
  </w:style>
  <w:style w:type="paragraph" w:styleId="28">
    <w:name w:val="annotation subject"/>
    <w:basedOn w:val="16"/>
    <w:next w:val="16"/>
    <w:link w:val="58"/>
    <w:qFormat/>
    <w:uiPriority w:val="0"/>
    <w:rPr>
      <w:rFonts w:ascii="宋体" w:hAnsi="宋体"/>
      <w:b/>
      <w:bCs/>
      <w:kern w:val="0"/>
      <w:szCs w:val="20"/>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annotation reference"/>
    <w:basedOn w:val="31"/>
    <w:qFormat/>
    <w:uiPriority w:val="0"/>
    <w:rPr>
      <w:sz w:val="21"/>
      <w:szCs w:val="21"/>
    </w:rPr>
  </w:style>
  <w:style w:type="character" w:customStyle="1" w:styleId="34">
    <w:name w:val="标题 1 Char"/>
    <w:link w:val="5"/>
    <w:qFormat/>
    <w:uiPriority w:val="0"/>
    <w:rPr>
      <w:rFonts w:ascii="Times New Roman" w:hAnsi="Times New Roman" w:eastAsia="宋体"/>
      <w:b/>
      <w:kern w:val="2"/>
      <w:sz w:val="32"/>
    </w:rPr>
  </w:style>
  <w:style w:type="character" w:customStyle="1" w:styleId="35">
    <w:name w:val="标题 3 Char"/>
    <w:link w:val="7"/>
    <w:qFormat/>
    <w:uiPriority w:val="0"/>
    <w:rPr>
      <w:rFonts w:hAnsi="Times New Roman" w:eastAsia="宋体"/>
      <w:b/>
      <w:bCs/>
      <w:kern w:val="2"/>
      <w:sz w:val="24"/>
      <w:szCs w:val="24"/>
    </w:rPr>
  </w:style>
  <w:style w:type="character" w:customStyle="1" w:styleId="36">
    <w:name w:val="副标题 Char"/>
    <w:link w:val="23"/>
    <w:qFormat/>
    <w:uiPriority w:val="0"/>
    <w:rPr>
      <w:rFonts w:ascii="Cambria" w:hAnsi="Cambria"/>
      <w:b/>
      <w:bCs/>
      <w:kern w:val="28"/>
      <w:sz w:val="32"/>
      <w:szCs w:val="32"/>
    </w:rPr>
  </w:style>
  <w:style w:type="character" w:customStyle="1" w:styleId="37">
    <w:name w:val="正文缩进 Char"/>
    <w:link w:val="14"/>
    <w:qFormat/>
    <w:uiPriority w:val="0"/>
    <w:rPr>
      <w:rFonts w:hAnsi="Times New Roman" w:eastAsia="宋体"/>
      <w:kern w:val="2"/>
      <w:sz w:val="21"/>
      <w:szCs w:val="24"/>
    </w:rPr>
  </w:style>
  <w:style w:type="character" w:customStyle="1" w:styleId="38">
    <w:name w:val="标题 7 Char"/>
    <w:link w:val="11"/>
    <w:qFormat/>
    <w:uiPriority w:val="0"/>
    <w:rPr>
      <w:rFonts w:ascii="Arial" w:hAnsi="Arial"/>
      <w:b/>
      <w:color w:val="000000"/>
      <w:kern w:val="2"/>
      <w:sz w:val="15"/>
    </w:rPr>
  </w:style>
  <w:style w:type="character" w:customStyle="1" w:styleId="39">
    <w:name w:val="标题 5 Char"/>
    <w:link w:val="9"/>
    <w:qFormat/>
    <w:uiPriority w:val="0"/>
    <w:rPr>
      <w:rFonts w:ascii="Arial Unicode MS" w:hAnsi="Arial Unicode MS"/>
      <w:bCs/>
      <w:kern w:val="2"/>
      <w:sz w:val="24"/>
      <w:szCs w:val="24"/>
    </w:rPr>
  </w:style>
  <w:style w:type="character" w:customStyle="1" w:styleId="40">
    <w:name w:val="标题 2 Char"/>
    <w:link w:val="6"/>
    <w:qFormat/>
    <w:uiPriority w:val="9"/>
    <w:rPr>
      <w:rFonts w:ascii="Times New Roman" w:hAnsi="Times New Roman" w:eastAsia="宋体"/>
      <w:b/>
      <w:bCs/>
      <w:sz w:val="24"/>
      <w:szCs w:val="32"/>
    </w:rPr>
  </w:style>
  <w:style w:type="character" w:customStyle="1" w:styleId="41">
    <w:name w:val="标题 9 Char"/>
    <w:link w:val="13"/>
    <w:qFormat/>
    <w:uiPriority w:val="0"/>
    <w:rPr>
      <w:rFonts w:ascii="Arial" w:hAnsi="Arial" w:eastAsia="黑体"/>
      <w:kern w:val="2"/>
      <w:sz w:val="21"/>
      <w:szCs w:val="21"/>
    </w:rPr>
  </w:style>
  <w:style w:type="character" w:customStyle="1" w:styleId="42">
    <w:name w:val="标题 6 Char"/>
    <w:link w:val="10"/>
    <w:qFormat/>
    <w:uiPriority w:val="0"/>
    <w:rPr>
      <w:rFonts w:ascii="Arial Unicode MS" w:hAnsi="Arial Unicode MS"/>
      <w:bCs/>
      <w:kern w:val="2"/>
      <w:sz w:val="24"/>
      <w:szCs w:val="24"/>
    </w:rPr>
  </w:style>
  <w:style w:type="character" w:customStyle="1" w:styleId="43">
    <w:name w:val="标题 4 Char"/>
    <w:link w:val="8"/>
    <w:qFormat/>
    <w:uiPriority w:val="0"/>
    <w:rPr>
      <w:rFonts w:ascii="Arial" w:hAnsi="Arial"/>
      <w:bCs/>
      <w:kern w:val="2"/>
      <w:sz w:val="24"/>
      <w:szCs w:val="28"/>
    </w:rPr>
  </w:style>
  <w:style w:type="character" w:customStyle="1" w:styleId="44">
    <w:name w:val="标题 8 Char"/>
    <w:link w:val="12"/>
    <w:qFormat/>
    <w:uiPriority w:val="0"/>
    <w:rPr>
      <w:rFonts w:ascii="仿宋_GB2312" w:eastAsia="仿宋_GB2312"/>
      <w:b/>
      <w:kern w:val="2"/>
      <w:sz w:val="24"/>
    </w:rPr>
  </w:style>
  <w:style w:type="character" w:customStyle="1" w:styleId="45">
    <w:name w:val="标题 Char"/>
    <w:link w:val="27"/>
    <w:qFormat/>
    <w:uiPriority w:val="0"/>
    <w:rPr>
      <w:rFonts w:ascii="Cambria" w:hAnsi="Cambria"/>
      <w:b/>
      <w:bCs/>
      <w:kern w:val="2"/>
      <w:sz w:val="32"/>
      <w:szCs w:val="32"/>
    </w:rPr>
  </w:style>
  <w:style w:type="paragraph" w:customStyle="1" w:styleId="46">
    <w:name w:val="title12"/>
    <w:basedOn w:val="1"/>
    <w:qFormat/>
    <w:uiPriority w:val="0"/>
    <w:pPr>
      <w:spacing w:before="150"/>
      <w:jc w:val="left"/>
    </w:pPr>
    <w:rPr>
      <w:b/>
      <w:sz w:val="22"/>
      <w:szCs w:val="22"/>
    </w:rPr>
  </w:style>
  <w:style w:type="paragraph" w:customStyle="1" w:styleId="47">
    <w:name w:val="正文文本1"/>
    <w:basedOn w:val="1"/>
    <w:qFormat/>
    <w:uiPriority w:val="0"/>
    <w:pPr>
      <w:spacing w:after="220"/>
      <w:ind w:firstLine="340"/>
    </w:pPr>
    <w:rPr>
      <w:rFonts w:cs="宋体"/>
      <w:color w:val="0000FF"/>
      <w:sz w:val="20"/>
      <w:lang w:val="zh-CN" w:bidi="zh-CN"/>
    </w:rPr>
  </w:style>
  <w:style w:type="character" w:customStyle="1" w:styleId="48">
    <w:name w:val="正文文本 Char"/>
    <w:basedOn w:val="31"/>
    <w:link w:val="17"/>
    <w:qFormat/>
    <w:uiPriority w:val="0"/>
    <w:rPr>
      <w:rFonts w:hint="eastAsia" w:ascii="宋体" w:hAnsi="Calibri" w:eastAsia="宋体" w:cs="宋体"/>
      <w:sz w:val="24"/>
    </w:rPr>
  </w:style>
  <w:style w:type="character" w:customStyle="1" w:styleId="49">
    <w:name w:val="页脚 Char"/>
    <w:basedOn w:val="31"/>
    <w:link w:val="20"/>
    <w:qFormat/>
    <w:uiPriority w:val="0"/>
    <w:rPr>
      <w:rFonts w:hint="eastAsia" w:ascii="宋体" w:hAnsi="宋体" w:eastAsia="宋体" w:cs="宋体"/>
      <w:sz w:val="18"/>
      <w:szCs w:val="18"/>
    </w:rPr>
  </w:style>
  <w:style w:type="paragraph" w:customStyle="1" w:styleId="50">
    <w:name w:val="正文缩进1"/>
    <w:basedOn w:val="1"/>
    <w:qFormat/>
    <w:uiPriority w:val="0"/>
    <w:pPr>
      <w:ind w:firstLine="420" w:firstLineChars="200"/>
    </w:pPr>
    <w:rPr>
      <w:rFonts w:hint="eastAsia" w:hAnsi="Times New Roman"/>
      <w:sz w:val="24"/>
    </w:rPr>
  </w:style>
  <w:style w:type="character" w:customStyle="1" w:styleId="51">
    <w:name w:val="正文文本 字符1"/>
    <w:basedOn w:val="31"/>
    <w:qFormat/>
    <w:uiPriority w:val="0"/>
    <w:rPr>
      <w:rFonts w:hint="eastAsia" w:ascii="宋体" w:hAnsi="宋体" w:eastAsia="宋体" w:cs="宋体"/>
      <w:sz w:val="24"/>
    </w:rPr>
  </w:style>
  <w:style w:type="character" w:customStyle="1" w:styleId="52">
    <w:name w:val="批注文字 字符1"/>
    <w:basedOn w:val="31"/>
    <w:qFormat/>
    <w:uiPriority w:val="0"/>
    <w:rPr>
      <w:rFonts w:hint="eastAsia" w:ascii="宋体" w:hAnsi="宋体" w:eastAsia="宋体" w:cs="宋体"/>
      <w:sz w:val="24"/>
    </w:rPr>
  </w:style>
  <w:style w:type="character" w:customStyle="1" w:styleId="53">
    <w:name w:val="批注文字 Char"/>
    <w:basedOn w:val="31"/>
    <w:link w:val="16"/>
    <w:qFormat/>
    <w:uiPriority w:val="0"/>
    <w:rPr>
      <w:kern w:val="2"/>
      <w:sz w:val="21"/>
      <w:szCs w:val="24"/>
    </w:rPr>
  </w:style>
  <w:style w:type="paragraph" w:customStyle="1" w:styleId="54">
    <w:name w:val="Table Paragraph"/>
    <w:basedOn w:val="1"/>
    <w:qFormat/>
    <w:uiPriority w:val="0"/>
    <w:pPr>
      <w:autoSpaceDE w:val="0"/>
      <w:autoSpaceDN w:val="0"/>
      <w:adjustRightInd w:val="0"/>
      <w:jc w:val="left"/>
    </w:pPr>
    <w:rPr>
      <w:rFonts w:ascii="Times New Roman" w:hAnsi="Times New Roman"/>
      <w:sz w:val="24"/>
      <w:szCs w:val="24"/>
    </w:rPr>
  </w:style>
  <w:style w:type="character" w:customStyle="1" w:styleId="55">
    <w:name w:val="Char Char"/>
    <w:qFormat/>
    <w:uiPriority w:val="0"/>
    <w:rPr>
      <w:sz w:val="18"/>
      <w:szCs w:val="18"/>
    </w:rPr>
  </w:style>
  <w:style w:type="character" w:customStyle="1" w:styleId="56">
    <w:name w:val="批注框文本 Char"/>
    <w:basedOn w:val="31"/>
    <w:link w:val="19"/>
    <w:qFormat/>
    <w:uiPriority w:val="0"/>
    <w:rPr>
      <w:rFonts w:ascii="宋体" w:hAnsi="宋体"/>
      <w:sz w:val="18"/>
      <w:szCs w:val="18"/>
    </w:rPr>
  </w:style>
  <w:style w:type="paragraph" w:customStyle="1" w:styleId="57">
    <w:name w:val="表格文字"/>
    <w:basedOn w:val="1"/>
    <w:qFormat/>
    <w:uiPriority w:val="99"/>
    <w:pPr>
      <w:spacing w:before="25" w:after="25"/>
      <w:jc w:val="left"/>
    </w:pPr>
    <w:rPr>
      <w:rFonts w:asciiTheme="minorHAnsi" w:hAnsiTheme="minorHAnsi" w:eastAsiaTheme="minorEastAsia" w:cstheme="minorBidi"/>
      <w:bCs/>
      <w:spacing w:val="10"/>
      <w:sz w:val="24"/>
      <w:szCs w:val="24"/>
    </w:rPr>
  </w:style>
  <w:style w:type="character" w:customStyle="1" w:styleId="58">
    <w:name w:val="批注主题 Char"/>
    <w:basedOn w:val="53"/>
    <w:link w:val="28"/>
    <w:qFormat/>
    <w:uiPriority w:val="0"/>
    <w:rPr>
      <w:rFonts w:ascii="宋体" w:hAnsi="宋体"/>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33538</Words>
  <Characters>36512</Characters>
  <Lines>298</Lines>
  <Paragraphs>84</Paragraphs>
  <TotalTime>62</TotalTime>
  <ScaleCrop>false</ScaleCrop>
  <LinksUpToDate>false</LinksUpToDate>
  <CharactersWithSpaces>39028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2022-10-21T09:17:00Z</dcterms:created>
  <dc:creator>郭颖</dc:creator>
  <cp:lastModifiedBy>DELL</cp:lastModifiedBy>
  <cp:lastPrinted>2022-07-12T03:48:00Z</cp:lastPrinted>
  <dcterms:modified xsi:type="dcterms:W3CDTF">2022-11-07T01:03:18Z</dcterms:modified>
  <dc:title>政府采购货物和服务项目</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313B517528F242EDAAAC4E6C9AE3D9C8</vt:lpwstr>
  </property>
</Properties>
</file>