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360" w:lineRule="auto"/>
        <w:ind w:right="-197" w:rightChars="-94"/>
        <w:jc w:val="center"/>
        <w:textAlignment w:val="auto"/>
        <w:outlineLvl w:val="9"/>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eastAsia="zh-CN"/>
        </w:rPr>
        <w:t>富平县云创数字孵化基地一期工程</w:t>
      </w:r>
      <w:r>
        <w:rPr>
          <w:rFonts w:hint="eastAsia" w:ascii="宋体" w:hAnsi="宋体" w:eastAsia="宋体" w:cs="宋体"/>
          <w:b/>
          <w:color w:val="auto"/>
          <w:kern w:val="0"/>
          <w:sz w:val="28"/>
          <w:szCs w:val="28"/>
          <w:highlight w:val="none"/>
          <w:lang w:eastAsia="zh-CN"/>
        </w:rPr>
        <w:t>施工招标</w:t>
      </w:r>
      <w:r>
        <w:rPr>
          <w:rFonts w:hint="eastAsia" w:ascii="宋体" w:hAnsi="宋体" w:eastAsia="宋体" w:cs="宋体"/>
          <w:b/>
          <w:color w:val="auto"/>
          <w:kern w:val="0"/>
          <w:sz w:val="28"/>
          <w:szCs w:val="28"/>
          <w:highlight w:val="none"/>
        </w:rPr>
        <w:t>公告</w:t>
      </w:r>
    </w:p>
    <w:tbl>
      <w:tblPr>
        <w:tblStyle w:val="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项目概况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富平县云创数字孵化基地一期工程</w:t>
            </w:r>
            <w:r>
              <w:rPr>
                <w:rFonts w:hint="eastAsia" w:ascii="宋体" w:hAnsi="宋体" w:eastAsia="宋体" w:cs="宋体"/>
                <w:color w:val="auto"/>
                <w:kern w:val="0"/>
                <w:sz w:val="21"/>
                <w:szCs w:val="21"/>
                <w:highlight w:val="none"/>
                <w:lang w:val="en-US" w:eastAsia="zh-CN"/>
              </w:rPr>
              <w:t>招标项目的潜在投标人应在渭南市临渭区西四路林业大厦四层会议室获取招标文件，并于</w:t>
            </w:r>
            <w:r>
              <w:rPr>
                <w:rFonts w:hint="eastAsia" w:ascii="宋体" w:hAnsi="宋体" w:cs="宋体"/>
                <w:color w:val="auto"/>
                <w:kern w:val="0"/>
                <w:sz w:val="21"/>
                <w:szCs w:val="21"/>
                <w:highlight w:val="none"/>
                <w:lang w:val="en-US" w:eastAsia="zh-CN"/>
              </w:rPr>
              <w:t>2022年06月27日14</w:t>
            </w:r>
            <w:r>
              <w:rPr>
                <w:rFonts w:hint="eastAsia" w:ascii="宋体" w:hAnsi="宋体" w:eastAsia="宋体" w:cs="宋体"/>
                <w:color w:val="auto"/>
                <w:kern w:val="0"/>
                <w:sz w:val="21"/>
                <w:szCs w:val="21"/>
                <w:highlight w:val="none"/>
                <w:lang w:val="en-US" w:eastAsia="zh-CN"/>
              </w:rPr>
              <w:t>时30分</w:t>
            </w:r>
            <w:r>
              <w:rPr>
                <w:rFonts w:hint="eastAsia" w:ascii="宋体" w:hAnsi="宋体" w:eastAsia="宋体" w:cs="宋体"/>
                <w:color w:val="auto"/>
                <w:kern w:val="0"/>
                <w:sz w:val="21"/>
                <w:szCs w:val="21"/>
                <w:highlight w:val="none"/>
                <w:lang w:val="en-US" w:eastAsia="zh-CN"/>
              </w:rPr>
              <w:t>（北京时间）前递交投标文件。</w:t>
            </w:r>
          </w:p>
        </w:tc>
      </w:tr>
    </w:tbl>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项目编号：HMGJ-DL-2022-028</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项目名称：</w:t>
      </w:r>
      <w:r>
        <w:rPr>
          <w:rFonts w:hint="eastAsia" w:ascii="宋体" w:hAnsi="宋体" w:cs="宋体"/>
          <w:color w:val="auto"/>
          <w:kern w:val="0"/>
          <w:sz w:val="21"/>
          <w:szCs w:val="21"/>
          <w:highlight w:val="none"/>
          <w:lang w:val="en-US" w:eastAsia="zh-CN"/>
        </w:rPr>
        <w:t>富平县云创数字孵化基地一期工程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采购方式：公开招标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预算金额：17</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500</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000.00元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840" w:firstLineChars="4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合同包1(</w:t>
      </w:r>
      <w:r>
        <w:rPr>
          <w:rFonts w:hint="eastAsia" w:ascii="宋体" w:hAnsi="宋体" w:cs="宋体"/>
          <w:color w:val="auto"/>
          <w:kern w:val="0"/>
          <w:sz w:val="21"/>
          <w:szCs w:val="21"/>
          <w:highlight w:val="none"/>
          <w:lang w:val="en-US" w:eastAsia="zh-CN"/>
        </w:rPr>
        <w:t>富平县云创数字孵化基地一期工程</w:t>
      </w:r>
      <w:r>
        <w:rPr>
          <w:rFonts w:hint="eastAsia" w:ascii="宋体" w:hAnsi="宋体" w:eastAsia="宋体" w:cs="宋体"/>
          <w:color w:val="auto"/>
          <w:kern w:val="0"/>
          <w:sz w:val="21"/>
          <w:szCs w:val="21"/>
          <w:highlight w:val="none"/>
          <w:lang w:val="en-US" w:eastAsia="zh-CN"/>
        </w:rPr>
        <w:t>施工):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合同包预算金额：17</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500</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000.00元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合同包最高限价：</w:t>
      </w:r>
      <w:r>
        <w:rPr>
          <w:rFonts w:hint="default" w:ascii="宋体" w:hAnsi="宋体" w:eastAsia="宋体" w:cs="宋体"/>
          <w:i w:val="0"/>
          <w:caps w:val="0"/>
          <w:color w:val="auto"/>
          <w:spacing w:val="0"/>
          <w:kern w:val="0"/>
          <w:sz w:val="21"/>
          <w:szCs w:val="21"/>
          <w:highlight w:val="none"/>
          <w:lang w:val="en-US" w:eastAsia="zh-CN" w:bidi="ar"/>
        </w:rPr>
        <w:t>13</w:t>
      </w:r>
      <w:r>
        <w:rPr>
          <w:rFonts w:hint="eastAsia" w:ascii="宋体" w:hAnsi="宋体" w:cs="宋体"/>
          <w:i w:val="0"/>
          <w:caps w:val="0"/>
          <w:color w:val="auto"/>
          <w:spacing w:val="0"/>
          <w:kern w:val="0"/>
          <w:sz w:val="21"/>
          <w:szCs w:val="21"/>
          <w:highlight w:val="none"/>
          <w:lang w:val="en-US" w:eastAsia="zh-CN" w:bidi="ar"/>
        </w:rPr>
        <w:t>,</w:t>
      </w:r>
      <w:r>
        <w:rPr>
          <w:rFonts w:hint="default" w:ascii="宋体" w:hAnsi="宋体" w:eastAsia="宋体" w:cs="宋体"/>
          <w:i w:val="0"/>
          <w:caps w:val="0"/>
          <w:color w:val="auto"/>
          <w:spacing w:val="0"/>
          <w:kern w:val="0"/>
          <w:sz w:val="21"/>
          <w:szCs w:val="21"/>
          <w:highlight w:val="none"/>
          <w:lang w:val="en-US" w:eastAsia="zh-CN" w:bidi="ar"/>
        </w:rPr>
        <w:t>213</w:t>
      </w:r>
      <w:r>
        <w:rPr>
          <w:rFonts w:hint="eastAsia" w:ascii="宋体" w:hAnsi="宋体" w:cs="宋体"/>
          <w:i w:val="0"/>
          <w:caps w:val="0"/>
          <w:color w:val="auto"/>
          <w:spacing w:val="0"/>
          <w:kern w:val="0"/>
          <w:sz w:val="21"/>
          <w:szCs w:val="21"/>
          <w:highlight w:val="none"/>
          <w:lang w:val="en-US" w:eastAsia="zh-CN" w:bidi="ar"/>
        </w:rPr>
        <w:t>,</w:t>
      </w:r>
      <w:r>
        <w:rPr>
          <w:rFonts w:hint="default" w:ascii="宋体" w:hAnsi="宋体" w:eastAsia="宋体" w:cs="宋体"/>
          <w:i w:val="0"/>
          <w:caps w:val="0"/>
          <w:color w:val="auto"/>
          <w:spacing w:val="0"/>
          <w:kern w:val="0"/>
          <w:sz w:val="21"/>
          <w:szCs w:val="21"/>
          <w:highlight w:val="none"/>
          <w:lang w:val="en-US" w:eastAsia="zh-CN" w:bidi="ar"/>
        </w:rPr>
        <w:t>085.16</w:t>
      </w:r>
      <w:r>
        <w:rPr>
          <w:rFonts w:hint="eastAsia" w:ascii="宋体" w:hAnsi="宋体" w:eastAsia="宋体" w:cs="宋体"/>
          <w:color w:val="auto"/>
          <w:kern w:val="0"/>
          <w:sz w:val="21"/>
          <w:szCs w:val="21"/>
          <w:highlight w:val="none"/>
          <w:lang w:val="en-US" w:eastAsia="zh-CN"/>
        </w:rPr>
        <w:t>元</w:t>
      </w:r>
    </w:p>
    <w:tbl>
      <w:tblPr>
        <w:tblStyle w:val="12"/>
        <w:tblW w:w="873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8"/>
        <w:gridCol w:w="900"/>
        <w:gridCol w:w="2080"/>
        <w:gridCol w:w="720"/>
        <w:gridCol w:w="1095"/>
        <w:gridCol w:w="1649"/>
        <w:gridCol w:w="16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jc w:val="center"/>
        </w:trPr>
        <w:tc>
          <w:tcPr>
            <w:tcW w:w="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品目号</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品目名称</w:t>
            </w:r>
          </w:p>
        </w:tc>
        <w:tc>
          <w:tcPr>
            <w:tcW w:w="2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采购标的</w:t>
            </w:r>
          </w:p>
        </w:tc>
        <w:tc>
          <w:tcPr>
            <w:tcW w:w="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数量（单位）</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技术规格、参数及要求</w:t>
            </w:r>
          </w:p>
        </w:tc>
        <w:tc>
          <w:tcPr>
            <w:tcW w:w="16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品目预算(元)</w:t>
            </w:r>
          </w:p>
        </w:tc>
        <w:tc>
          <w:tcPr>
            <w:tcW w:w="16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highlight w:val="none"/>
              </w:rPr>
            </w:pPr>
            <w:r>
              <w:rPr>
                <w:rFonts w:hint="eastAsia" w:ascii="宋体" w:hAnsi="宋体" w:eastAsia="宋体" w:cs="宋体"/>
                <w:b/>
                <w:i w:val="0"/>
                <w:caps w:val="0"/>
                <w:color w:val="auto"/>
                <w:spacing w:val="0"/>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jc w:val="center"/>
        </w:trPr>
        <w:tc>
          <w:tcPr>
            <w:tcW w:w="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kern w:val="0"/>
                <w:sz w:val="21"/>
                <w:szCs w:val="21"/>
                <w:highlight w:val="none"/>
                <w:lang w:val="en-US" w:eastAsia="zh-CN" w:bidi="ar"/>
              </w:rPr>
              <w:t>1-1</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cs="宋体"/>
                <w:i w:val="0"/>
                <w:caps w:val="0"/>
                <w:color w:val="auto"/>
                <w:spacing w:val="0"/>
                <w:kern w:val="0"/>
                <w:sz w:val="21"/>
                <w:szCs w:val="21"/>
                <w:highlight w:val="none"/>
                <w:lang w:val="en-US" w:eastAsia="zh-CN" w:bidi="ar"/>
              </w:rPr>
            </w:pPr>
            <w:r>
              <w:rPr>
                <w:rFonts w:hint="eastAsia" w:ascii="宋体" w:hAnsi="宋体" w:cs="宋体"/>
                <w:i w:val="0"/>
                <w:caps w:val="0"/>
                <w:color w:val="auto"/>
                <w:spacing w:val="0"/>
                <w:kern w:val="0"/>
                <w:sz w:val="21"/>
                <w:szCs w:val="21"/>
                <w:highlight w:val="none"/>
                <w:lang w:val="en-US" w:eastAsia="zh-CN" w:bidi="ar"/>
              </w:rPr>
              <w:t>装修工程</w:t>
            </w:r>
          </w:p>
        </w:tc>
        <w:tc>
          <w:tcPr>
            <w:tcW w:w="2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cs="宋体"/>
                <w:i w:val="0"/>
                <w:caps w:val="0"/>
                <w:color w:val="auto"/>
                <w:spacing w:val="0"/>
                <w:kern w:val="0"/>
                <w:sz w:val="21"/>
                <w:szCs w:val="21"/>
                <w:highlight w:val="none"/>
                <w:lang w:val="en-US" w:eastAsia="zh-CN" w:bidi="ar"/>
              </w:rPr>
            </w:pPr>
            <w:r>
              <w:rPr>
                <w:rFonts w:hint="eastAsia" w:ascii="宋体" w:hAnsi="宋体" w:cs="宋体"/>
                <w:i w:val="0"/>
                <w:caps w:val="0"/>
                <w:color w:val="auto"/>
                <w:spacing w:val="0"/>
                <w:kern w:val="0"/>
                <w:sz w:val="21"/>
                <w:szCs w:val="21"/>
                <w:highlight w:val="none"/>
                <w:lang w:val="en-US" w:eastAsia="zh-CN" w:bidi="ar"/>
              </w:rPr>
              <w:t>富平县云创数字孵化基地一期工程</w:t>
            </w:r>
          </w:p>
        </w:tc>
        <w:tc>
          <w:tcPr>
            <w:tcW w:w="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cs="宋体"/>
                <w:i w:val="0"/>
                <w:caps w:val="0"/>
                <w:color w:val="auto"/>
                <w:spacing w:val="0"/>
                <w:kern w:val="0"/>
                <w:sz w:val="21"/>
                <w:szCs w:val="21"/>
                <w:highlight w:val="none"/>
                <w:lang w:val="en-US" w:eastAsia="zh-CN" w:bidi="ar"/>
              </w:rPr>
            </w:pPr>
            <w:r>
              <w:rPr>
                <w:rFonts w:hint="eastAsia" w:ascii="宋体" w:hAnsi="宋体" w:cs="宋体"/>
                <w:i w:val="0"/>
                <w:caps w:val="0"/>
                <w:color w:val="auto"/>
                <w:spacing w:val="0"/>
                <w:kern w:val="0"/>
                <w:sz w:val="21"/>
                <w:szCs w:val="21"/>
                <w:highlight w:val="none"/>
                <w:lang w:val="en-US" w:eastAsia="zh-CN" w:bidi="ar"/>
              </w:rPr>
              <w:t>1(项)</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kern w:val="0"/>
                <w:sz w:val="21"/>
                <w:szCs w:val="21"/>
                <w:highlight w:val="none"/>
                <w:lang w:val="en-US" w:eastAsia="zh-CN" w:bidi="ar"/>
              </w:rPr>
              <w:t>详见采购文件</w:t>
            </w:r>
          </w:p>
        </w:tc>
        <w:tc>
          <w:tcPr>
            <w:tcW w:w="16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sz w:val="21"/>
                <w:szCs w:val="21"/>
                <w:highlight w:val="none"/>
              </w:rPr>
            </w:pPr>
            <w:r>
              <w:rPr>
                <w:rFonts w:hint="eastAsia" w:ascii="宋体" w:hAnsi="宋体" w:eastAsia="宋体" w:cs="宋体"/>
                <w:color w:val="auto"/>
                <w:kern w:val="0"/>
                <w:sz w:val="21"/>
                <w:szCs w:val="21"/>
                <w:highlight w:val="none"/>
                <w:lang w:val="en-US" w:eastAsia="zh-CN"/>
              </w:rPr>
              <w:t>17</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500</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000.00</w:t>
            </w:r>
          </w:p>
        </w:tc>
        <w:tc>
          <w:tcPr>
            <w:tcW w:w="16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sz w:val="21"/>
                <w:szCs w:val="21"/>
                <w:highlight w:val="none"/>
              </w:rPr>
            </w:pPr>
            <w:r>
              <w:rPr>
                <w:rFonts w:hint="default" w:ascii="宋体" w:hAnsi="宋体" w:eastAsia="宋体" w:cs="宋体"/>
                <w:i w:val="0"/>
                <w:caps w:val="0"/>
                <w:color w:val="auto"/>
                <w:spacing w:val="0"/>
                <w:kern w:val="0"/>
                <w:sz w:val="21"/>
                <w:szCs w:val="21"/>
                <w:highlight w:val="none"/>
                <w:lang w:val="en-US" w:eastAsia="zh-CN" w:bidi="ar"/>
              </w:rPr>
              <w:t>13</w:t>
            </w:r>
            <w:r>
              <w:rPr>
                <w:rFonts w:hint="eastAsia" w:ascii="宋体" w:hAnsi="宋体" w:cs="宋体"/>
                <w:i w:val="0"/>
                <w:caps w:val="0"/>
                <w:color w:val="auto"/>
                <w:spacing w:val="0"/>
                <w:kern w:val="0"/>
                <w:sz w:val="21"/>
                <w:szCs w:val="21"/>
                <w:highlight w:val="none"/>
                <w:lang w:val="en-US" w:eastAsia="zh-CN" w:bidi="ar"/>
              </w:rPr>
              <w:t>,</w:t>
            </w:r>
            <w:r>
              <w:rPr>
                <w:rFonts w:hint="default" w:ascii="宋体" w:hAnsi="宋体" w:eastAsia="宋体" w:cs="宋体"/>
                <w:i w:val="0"/>
                <w:caps w:val="0"/>
                <w:color w:val="auto"/>
                <w:spacing w:val="0"/>
                <w:kern w:val="0"/>
                <w:sz w:val="21"/>
                <w:szCs w:val="21"/>
                <w:highlight w:val="none"/>
                <w:lang w:val="en-US" w:eastAsia="zh-CN" w:bidi="ar"/>
              </w:rPr>
              <w:t>213</w:t>
            </w:r>
            <w:r>
              <w:rPr>
                <w:rFonts w:hint="eastAsia" w:ascii="宋体" w:hAnsi="宋体" w:cs="宋体"/>
                <w:i w:val="0"/>
                <w:caps w:val="0"/>
                <w:color w:val="auto"/>
                <w:spacing w:val="0"/>
                <w:kern w:val="0"/>
                <w:sz w:val="21"/>
                <w:szCs w:val="21"/>
                <w:highlight w:val="none"/>
                <w:lang w:val="en-US" w:eastAsia="zh-CN" w:bidi="ar"/>
              </w:rPr>
              <w:t>,</w:t>
            </w:r>
            <w:r>
              <w:rPr>
                <w:rFonts w:hint="default" w:ascii="宋体" w:hAnsi="宋体" w:eastAsia="宋体" w:cs="宋体"/>
                <w:i w:val="0"/>
                <w:caps w:val="0"/>
                <w:color w:val="auto"/>
                <w:spacing w:val="0"/>
                <w:kern w:val="0"/>
                <w:sz w:val="21"/>
                <w:szCs w:val="21"/>
                <w:highlight w:val="none"/>
                <w:lang w:val="en-US" w:eastAsia="zh-CN" w:bidi="ar"/>
              </w:rPr>
              <w:t>085.16</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本合同包不接受联合体投标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合同履行期限：自合同签订之日起</w:t>
      </w:r>
      <w:r>
        <w:rPr>
          <w:rFonts w:hint="eastAsia" w:ascii="宋体" w:hAnsi="宋体" w:cs="宋体"/>
          <w:color w:val="auto"/>
          <w:kern w:val="0"/>
          <w:sz w:val="21"/>
          <w:szCs w:val="21"/>
          <w:highlight w:val="none"/>
          <w:lang w:val="en-US" w:eastAsia="zh-CN"/>
        </w:rPr>
        <w:t>185日历天</w:t>
      </w:r>
      <w:r>
        <w:rPr>
          <w:rFonts w:hint="eastAsia" w:ascii="宋体" w:hAnsi="宋体" w:eastAsia="宋体" w:cs="宋体"/>
          <w:color w:val="auto"/>
          <w:kern w:val="0"/>
          <w:sz w:val="21"/>
          <w:szCs w:val="21"/>
          <w:highlight w:val="none"/>
          <w:lang w:val="en-US" w:eastAsia="zh-CN"/>
        </w:rPr>
        <w:t>完成全部施工内容</w:t>
      </w:r>
      <w:r>
        <w:rPr>
          <w:rFonts w:hint="eastAsia" w:ascii="宋体" w:hAnsi="宋体" w:cs="宋体"/>
          <w:color w:val="auto"/>
          <w:kern w:val="0"/>
          <w:sz w:val="21"/>
          <w:szCs w:val="21"/>
          <w:highlight w:val="none"/>
          <w:lang w:val="en-US" w:eastAsia="zh-CN"/>
        </w:rPr>
        <w:t>。</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二、申请人的资格要求：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1.满足《中华人民共和国政府釆购法》第二十二条规定；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2.落实政府采购政策需满足的资格要求：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合同包1(</w:t>
      </w:r>
      <w:r>
        <w:rPr>
          <w:rFonts w:hint="eastAsia" w:ascii="宋体" w:hAnsi="宋体" w:cs="宋体"/>
          <w:color w:val="auto"/>
          <w:kern w:val="0"/>
          <w:sz w:val="21"/>
          <w:szCs w:val="21"/>
          <w:highlight w:val="none"/>
          <w:lang w:val="en-US" w:eastAsia="zh-CN"/>
        </w:rPr>
        <w:t>富平县云创数字孵化基地一期工程</w:t>
      </w:r>
      <w:r>
        <w:rPr>
          <w:rFonts w:hint="eastAsia" w:ascii="宋体" w:hAnsi="宋体" w:eastAsia="宋体" w:cs="宋体"/>
          <w:color w:val="auto"/>
          <w:kern w:val="0"/>
          <w:sz w:val="21"/>
          <w:szCs w:val="21"/>
          <w:highlight w:val="none"/>
          <w:lang w:val="en-US" w:eastAsia="zh-CN"/>
        </w:rPr>
        <w:t>施工)落实政府采购政策需满足的资格要求如下: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政府采购促进中小企业发展管理办法》（财库〔2020〕46号）；⑧《陕西省中小企业政府采购信用融资办法》（陕财办采〔2018〕23号）；⑨《关于运用政府采购政策支持乡村产业振兴的通知》（财库〔2021〕19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3.本项目的特定资格要求：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合同包1(</w:t>
      </w:r>
      <w:r>
        <w:rPr>
          <w:rFonts w:hint="eastAsia" w:ascii="宋体" w:hAnsi="宋体" w:cs="宋体"/>
          <w:color w:val="auto"/>
          <w:kern w:val="0"/>
          <w:sz w:val="21"/>
          <w:szCs w:val="21"/>
          <w:highlight w:val="none"/>
          <w:lang w:val="en-US" w:eastAsia="zh-CN"/>
        </w:rPr>
        <w:t>富平县云创数字孵化基地一期工程</w:t>
      </w:r>
      <w:r>
        <w:rPr>
          <w:rFonts w:hint="eastAsia" w:ascii="宋体" w:hAnsi="宋体" w:eastAsia="宋体" w:cs="宋体"/>
          <w:color w:val="auto"/>
          <w:kern w:val="0"/>
          <w:sz w:val="21"/>
          <w:szCs w:val="21"/>
          <w:highlight w:val="none"/>
          <w:lang w:val="en-US" w:eastAsia="zh-CN"/>
        </w:rPr>
        <w:t>施工)特定资格要求如下: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3.1投标人在递交投标文件截止时间前被“信用中国”网站（www.creditchina.gov.cn）和中国政府采购网（www.ccgp.gov.cn）上被列入失信被执行人、</w:t>
      </w:r>
      <w:r>
        <w:rPr>
          <w:rFonts w:hint="eastAsia" w:ascii="宋体" w:hAnsi="宋体" w:cs="宋体"/>
          <w:color w:val="auto"/>
          <w:kern w:val="0"/>
          <w:sz w:val="21"/>
          <w:szCs w:val="21"/>
          <w:highlight w:val="none"/>
          <w:lang w:val="en-US" w:eastAsia="zh-CN"/>
        </w:rPr>
        <w:t>税收违法黑名单</w:t>
      </w:r>
      <w:r>
        <w:rPr>
          <w:rFonts w:hint="eastAsia" w:ascii="宋体" w:hAnsi="宋体" w:eastAsia="宋体" w:cs="宋体"/>
          <w:color w:val="auto"/>
          <w:kern w:val="0"/>
          <w:sz w:val="21"/>
          <w:szCs w:val="21"/>
          <w:highlight w:val="none"/>
          <w:lang w:val="en-US" w:eastAsia="zh-CN"/>
        </w:rPr>
        <w:t>、政府采购严重违法失信行为记录名单的，不得参加投标；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在投标人单位近3个月缴纳养老保险证明）；</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3.3具备建筑工程施工总承包三级及以上资质或建筑装修装饰工程专业承包二级及以上资质；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3.4具备有效的安全生产许可证；</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拟派项目经理具备建筑工程专业二级及以上注册建造师资格并具备有效的安全生产考核合格证书，无在建项目、无不良记录。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企业相关信息（含项目经理）需在“陕西省建筑市场监管与诚信信息发布平台”上查询到并在有效期内、且无不良记录。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（1）单位负责人为同一人或者存在直接控股、管理关系的不同投标人，不得同时参加本次采购活动；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（2）为本项目提供整体设计、规范编制或者项目管理、监理、检测等服务的投标人，不得再参加本项目的采购活动；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需向采购代理机构获取招标文件并登记备案，未向采购代理机构获取招标文件并登记备案的投标人均无资格参加投标。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eastAsia="zh-CN"/>
        </w:rPr>
        <w:t>获取招标文件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86" w:leftChars="122" w:hanging="630" w:hangingChars="3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w:t>
      </w:r>
      <w:r>
        <w:rPr>
          <w:rFonts w:hint="eastAsia" w:ascii="宋体" w:hAnsi="宋体" w:eastAsia="宋体" w:cs="宋体"/>
          <w:color w:val="auto"/>
          <w:kern w:val="0"/>
          <w:sz w:val="21"/>
          <w:szCs w:val="21"/>
          <w:highlight w:val="none"/>
          <w:lang w:val="en-US" w:eastAsia="zh-CN"/>
        </w:rPr>
        <w:t>2022年</w:t>
      </w:r>
      <w:r>
        <w:rPr>
          <w:rFonts w:hint="eastAsia" w:ascii="宋体" w:hAnsi="宋体" w:cs="宋体"/>
          <w:color w:val="auto"/>
          <w:kern w:val="0"/>
          <w:sz w:val="21"/>
          <w:szCs w:val="21"/>
          <w:highlight w:val="none"/>
          <w:lang w:val="en-US" w:eastAsia="zh-CN"/>
        </w:rPr>
        <w:t>06</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06</w:t>
      </w:r>
      <w:r>
        <w:rPr>
          <w:rFonts w:hint="eastAsia" w:ascii="宋体" w:hAnsi="宋体" w:eastAsia="宋体" w:cs="宋体"/>
          <w:color w:val="auto"/>
          <w:kern w:val="0"/>
          <w:sz w:val="21"/>
          <w:szCs w:val="21"/>
          <w:highlight w:val="none"/>
          <w:lang w:val="en-US" w:eastAsia="zh-CN"/>
        </w:rPr>
        <w:t>日至2022年</w:t>
      </w:r>
      <w:r>
        <w:rPr>
          <w:rFonts w:hint="eastAsia" w:ascii="宋体" w:hAnsi="宋体" w:cs="宋体"/>
          <w:color w:val="auto"/>
          <w:kern w:val="0"/>
          <w:sz w:val="21"/>
          <w:szCs w:val="21"/>
          <w:highlight w:val="none"/>
          <w:lang w:val="en-US" w:eastAsia="zh-CN"/>
        </w:rPr>
        <w:t>06</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日</w:t>
      </w:r>
      <w:r>
        <w:rPr>
          <w:rFonts w:hint="eastAsia" w:ascii="宋体" w:hAnsi="宋体" w:eastAsia="宋体" w:cs="宋体"/>
          <w:color w:val="auto"/>
          <w:kern w:val="0"/>
          <w:sz w:val="21"/>
          <w:szCs w:val="21"/>
          <w:highlight w:val="none"/>
          <w:lang w:val="en-US" w:eastAsia="zh-CN"/>
        </w:rPr>
        <w:t>，每天上午09:00:00至12:00:00，下午14:00:00至17:00:00（北京时间，法定节假日除外）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地点：渭南市临渭区西四路林业大厦四层</w:t>
      </w:r>
      <w:r>
        <w:rPr>
          <w:rFonts w:hint="eastAsia" w:ascii="宋体" w:hAnsi="宋体" w:cs="宋体"/>
          <w:color w:val="auto"/>
          <w:kern w:val="0"/>
          <w:sz w:val="21"/>
          <w:szCs w:val="21"/>
          <w:highlight w:val="none"/>
          <w:lang w:val="en-US" w:eastAsia="zh-CN"/>
        </w:rPr>
        <w:t>会议室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方式：在线获取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售价：免费获取</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四、提交投标文件截止时间、开标时间和地点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2022年06月27日14</w:t>
      </w:r>
      <w:r>
        <w:rPr>
          <w:rFonts w:hint="eastAsia" w:ascii="宋体" w:hAnsi="宋体" w:eastAsia="宋体" w:cs="宋体"/>
          <w:color w:val="auto"/>
          <w:kern w:val="0"/>
          <w:sz w:val="21"/>
          <w:szCs w:val="21"/>
          <w:highlight w:val="none"/>
          <w:lang w:val="en-US" w:eastAsia="zh-CN"/>
        </w:rPr>
        <w:t>时30分</w:t>
      </w:r>
      <w:r>
        <w:rPr>
          <w:rFonts w:hint="eastAsia" w:ascii="宋体" w:hAnsi="宋体" w:eastAsia="宋体" w:cs="宋体"/>
          <w:color w:val="auto"/>
          <w:kern w:val="0"/>
          <w:sz w:val="21"/>
          <w:szCs w:val="21"/>
          <w:highlight w:val="none"/>
          <w:lang w:val="en-US" w:eastAsia="zh-CN"/>
        </w:rPr>
        <w:t>00秒（北京时间）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地点：渭南市临渭区西四路林业大厦四层开标室</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五、公告期限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自本公告发布之日起5个工作日。</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六、其他补充事宜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本项目开标地点：渭南市临渭区西四路林业大厦四层开标室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1.本项目专门面向中小企业采购；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获取招标文件请携带单位介绍信和身份证原件及加盖投标人公章的复印件壹份。3.受新型冠状病毒疫情影响，本项目招标文件获取还可以采用电子邮件形式发送，请在招标文件获取的规定时间内将单位介绍信、经办人身份证复印件加盖公章扫描发至代理机构邮箱（hmzxgs@163.com），并及时联系代理机构工作人员确认，待代理机构工作人员核实无误后向投标人发送招标文件。4.根据陕西省财政厅关于政府采购供应商注册登记有关事项的通知，参加投标的投标人未在陕西省政府采购网（www.ccgp-shaanxi.gov.cn）注册登记加入陕西省政府采购供应商库的，应按要求及时办理注册登记，并接受财政部门监督管理。5.根据疫情防控要求，各投标人仅限1名授权代表参加开标会议。</w:t>
      </w:r>
      <w:bookmarkStart w:id="0" w:name="_GoBack"/>
      <w:bookmarkEnd w:id="0"/>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七、凡对本次采购提出询问，请按以下方式联系。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1.釆购人信息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名称：富平县住房和城乡建设局</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地址：富平县车站大街西段143号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联系方式：0913-8221295</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2.釆购代理机构信息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名称：鸿民国际工程咨询有限公司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地址：渭南市临渭区西四路林业大厦四层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联系方式：0913-2087368</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3.项目联系方式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项目联系人：吝银芳、薛沙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电话：18992361925</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20" w:firstLineChars="2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鸿民国际工程咨询有限公司</w:t>
      </w:r>
    </w:p>
    <w:p>
      <w:pPr>
        <w:pStyle w:val="2"/>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   2022年</w:t>
      </w:r>
      <w:r>
        <w:rPr>
          <w:rFonts w:hint="eastAsia" w:cs="宋体"/>
          <w:color w:val="auto"/>
          <w:kern w:val="0"/>
          <w:sz w:val="21"/>
          <w:szCs w:val="21"/>
          <w:highlight w:val="none"/>
          <w:lang w:val="en-US" w:eastAsia="zh-CN"/>
        </w:rPr>
        <w:t>06</w:t>
      </w:r>
      <w:r>
        <w:rPr>
          <w:rFonts w:hint="eastAsia" w:ascii="宋体" w:hAnsi="宋体" w:eastAsia="宋体" w:cs="宋体"/>
          <w:color w:val="auto"/>
          <w:kern w:val="0"/>
          <w:sz w:val="21"/>
          <w:szCs w:val="21"/>
          <w:highlight w:val="none"/>
          <w:lang w:val="en-US" w:eastAsia="zh-CN"/>
        </w:rPr>
        <w:t>月</w:t>
      </w:r>
      <w:r>
        <w:rPr>
          <w:rFonts w:hint="eastAsia"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日</w:t>
      </w:r>
    </w:p>
    <w:p>
      <w:pPr>
        <w:pStyle w:val="3"/>
        <w:rPr>
          <w:rFonts w:hint="eastAsia" w:ascii="宋体" w:hAnsi="宋体" w:eastAsia="宋体" w:cs="宋体"/>
          <w:color w:val="auto"/>
          <w:kern w:val="0"/>
          <w:sz w:val="21"/>
          <w:szCs w:val="21"/>
          <w:highlight w:val="none"/>
          <w:lang w:val="en-US" w:eastAsia="zh-CN"/>
        </w:rPr>
      </w:pPr>
    </w:p>
    <w:p>
      <w:pPr>
        <w:rPr>
          <w:rFonts w:hint="eastAsia"/>
          <w:color w:val="auto"/>
          <w:lang w:val="en-US" w:eastAsia="zh-CN"/>
        </w:rPr>
      </w:pPr>
    </w:p>
    <w:p>
      <w:pPr>
        <w:pStyle w:val="2"/>
        <w:rPr>
          <w:rFonts w:hint="eastAsia"/>
          <w:color w:val="auto"/>
          <w:lang w:val="en-US" w:eastAsia="zh-CN"/>
        </w:rPr>
      </w:pPr>
    </w:p>
    <w:p>
      <w:pPr>
        <w:rPr>
          <w:color w:val="auto"/>
        </w:rPr>
      </w:pPr>
    </w:p>
    <w:sectPr>
      <w:pgSz w:w="11906" w:h="16838"/>
      <w:pgMar w:top="1417"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E659B"/>
    <w:multiLevelType w:val="multilevel"/>
    <w:tmpl w:val="D93E659B"/>
    <w:lvl w:ilvl="0" w:tentative="0">
      <w:start w:val="1"/>
      <w:numFmt w:val="chineseCountingThousand"/>
      <w:pStyle w:val="4"/>
      <w:suff w:val="space"/>
      <w:lvlText w:val="第 %1 章"/>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5"/>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pStyle w:val="6"/>
      <w:isLgl/>
      <w:suff w:val="space"/>
      <w:lvlText w:val="%1.%2.%3"/>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7"/>
      <w:isLgl/>
      <w:suff w:val="space"/>
      <w:lvlText w:val="%1.%2.%3.%4"/>
      <w:lvlJc w:val="left"/>
      <w:pPr>
        <w:ind w:left="0" w:firstLine="0"/>
      </w:pPr>
      <w:rPr>
        <w:rFonts w:hint="eastAsia" w:ascii="Arial" w:hAnsi="Arial" w:eastAsia="黑体"/>
        <w:b w:val="0"/>
        <w:i w:val="0"/>
        <w:sz w:val="30"/>
      </w:rPr>
    </w:lvl>
    <w:lvl w:ilvl="4" w:tentative="0">
      <w:start w:val="1"/>
      <w:numFmt w:val="decimal"/>
      <w:pStyle w:val="8"/>
      <w:isLgl/>
      <w:suff w:val="space"/>
      <w:lvlText w:val="%1.%2.%3.%4.%5"/>
      <w:lvlJc w:val="left"/>
      <w:pPr>
        <w:ind w:left="0" w:firstLine="0"/>
      </w:pPr>
      <w:rPr>
        <w:rFonts w:hint="eastAsia" w:ascii="Arial" w:hAnsi="Arial" w:eastAsia="黑体"/>
        <w:b w:val="0"/>
        <w:i w:val="0"/>
        <w:sz w:val="28"/>
      </w:rPr>
    </w:lvl>
    <w:lvl w:ilvl="5" w:tentative="0">
      <w:start w:val="1"/>
      <w:numFmt w:val="decimal"/>
      <w:pStyle w:val="9"/>
      <w:isLgl/>
      <w:suff w:val="space"/>
      <w:lvlText w:val="%1.%2.%3.%4.%5.%6"/>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8" w:tentative="0">
      <w:start w:val="1"/>
      <w:numFmt w:val="decimal"/>
      <w:isLgl/>
      <w:suff w:val="space"/>
      <w:lvlText w:val="%1.%2.%3.%4.%5.%6.%7.%8.%9"/>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A2C61"/>
    <w:rsid w:val="08DC57CE"/>
    <w:rsid w:val="0A475753"/>
    <w:rsid w:val="1B1A7F32"/>
    <w:rsid w:val="24D860FC"/>
    <w:rsid w:val="2D8248A3"/>
    <w:rsid w:val="320A5A08"/>
    <w:rsid w:val="3FCA5FBE"/>
    <w:rsid w:val="4E2646B1"/>
    <w:rsid w:val="4F942150"/>
    <w:rsid w:val="5A9D7D1B"/>
    <w:rsid w:val="60106245"/>
    <w:rsid w:val="63182DFF"/>
    <w:rsid w:val="639A2C61"/>
    <w:rsid w:val="64457056"/>
    <w:rsid w:val="689D1FB4"/>
    <w:rsid w:val="6C611966"/>
    <w:rsid w:val="7023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numPr>
        <w:ilvl w:val="1"/>
        <w:numId w:val="1"/>
      </w:numPr>
      <w:spacing w:before="240" w:after="120"/>
      <w:ind w:firstLineChars="0"/>
      <w:jc w:val="left"/>
      <w:outlineLvl w:val="1"/>
    </w:pPr>
    <w:rPr>
      <w:rFonts w:ascii="宋体" w:hAnsi="宋体" w:eastAsia="黑体" w:cs="宋体"/>
      <w:bCs/>
      <w:sz w:val="32"/>
      <w:szCs w:val="28"/>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next w:val="1"/>
    <w:qFormat/>
    <w:uiPriority w:val="0"/>
    <w:pPr>
      <w:spacing w:line="312" w:lineRule="auto"/>
      <w:ind w:firstLine="420" w:firstLineChars="100"/>
    </w:pPr>
    <w:rPr>
      <w:rFonts w:eastAsia="宋体"/>
    </w:rPr>
  </w:style>
  <w:style w:type="paragraph" w:styleId="10">
    <w:name w:val="toc 1"/>
    <w:basedOn w:val="1"/>
    <w:next w:val="1"/>
    <w:qFormat/>
    <w:uiPriority w:val="0"/>
    <w:pPr>
      <w:tabs>
        <w:tab w:val="right" w:leader="dot" w:pos="8777"/>
      </w:tabs>
      <w:spacing w:before="120" w:after="120"/>
      <w:jc w:val="left"/>
    </w:pPr>
    <w:rPr>
      <w:rFonts w:ascii="Calibri" w:hAnsi="Calibri" w:eastAsia="宋体" w:cs="Times New Roman"/>
      <w:b/>
      <w:bCs/>
      <w:caps/>
      <w:sz w:val="36"/>
      <w:szCs w:val="36"/>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2022-05-30T00:21:00Z</dcterms:created>
  <dc:creator>芳芳</dc:creator>
  <cp:lastModifiedBy>芳芳</cp:lastModifiedBy>
  <dcterms:modified xsi:type="dcterms:W3CDTF">2022-06-02T06:48:16Z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