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宋体" w:hAnsi="宋体"/>
          <w:b/>
          <w:bCs/>
          <w:szCs w:val="21"/>
        </w:rPr>
      </w:pPr>
    </w:p>
    <w:p>
      <w:pPr>
        <w:jc w:val="center"/>
        <w:outlineLvl w:val="9"/>
        <w:rPr>
          <w:rFonts w:hint="eastAsia" w:ascii="宋体" w:hAnsi="宋体"/>
          <w:b/>
          <w:color w:val="FF0000"/>
          <w:sz w:val="44"/>
        </w:rPr>
      </w:pPr>
    </w:p>
    <w:p>
      <w:pPr>
        <w:jc w:val="center"/>
        <w:outlineLvl w:val="9"/>
        <w:rPr>
          <w:rFonts w:hint="eastAsia" w:ascii="宋体" w:hAnsi="宋体"/>
          <w:b/>
          <w:color w:val="auto"/>
          <w:sz w:val="44"/>
        </w:rPr>
      </w:pPr>
    </w:p>
    <w:p>
      <w:pPr>
        <w:jc w:val="center"/>
        <w:outlineLvl w:val="9"/>
        <w:rPr>
          <w:rFonts w:hint="eastAsia" w:ascii="宋体" w:hAnsi="宋体"/>
          <w:b/>
          <w:bCs w:val="0"/>
          <w:color w:val="auto"/>
          <w:sz w:val="44"/>
          <w:highlight w:val="none"/>
        </w:rPr>
      </w:pPr>
      <w:r>
        <w:rPr>
          <w:rFonts w:hint="eastAsia" w:ascii="宋体" w:hAnsi="宋体"/>
          <w:b/>
          <w:bCs w:val="0"/>
          <w:color w:val="auto"/>
          <w:sz w:val="44"/>
          <w:highlight w:val="none"/>
        </w:rPr>
        <w:t>目    录</w:t>
      </w:r>
    </w:p>
    <w:p>
      <w:pPr>
        <w:spacing w:line="800" w:lineRule="exact"/>
        <w:ind w:firstLine="321" w:firstLineChars="100"/>
        <w:outlineLvl w:val="9"/>
        <w:rPr>
          <w:rFonts w:hint="eastAsia" w:ascii="宋体" w:hAnsi="宋体"/>
          <w:b/>
          <w:color w:val="auto"/>
          <w:sz w:val="32"/>
        </w:rPr>
      </w:pP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_Toc1649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_Toc20832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磋商须知前附表及磋商须知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_Toc20832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_Toc16205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部分  评审方法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_Toc16205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_Toc27014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 xml:space="preserve">部分  </w:t>
      </w:r>
      <w:r>
        <w:rPr>
          <w:rFonts w:hint="eastAsia" w:ascii="宋体" w:hAnsi="宋体" w:eastAsia="宋体" w:cs="宋体"/>
          <w:b/>
          <w:bCs/>
          <w:kern w:val="1"/>
          <w:sz w:val="28"/>
          <w:szCs w:val="28"/>
        </w:rPr>
        <w:t>合同文本及主要条款</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_Toc27014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_Toc11849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 xml:space="preserve">部分  </w:t>
      </w:r>
      <w:r>
        <w:rPr>
          <w:rFonts w:hint="eastAsia" w:ascii="宋体" w:hAnsi="宋体" w:eastAsia="宋体" w:cs="宋体"/>
          <w:b/>
          <w:bCs/>
          <w:sz w:val="28"/>
          <w:szCs w:val="28"/>
          <w:lang w:val="en-US" w:eastAsia="zh-CN"/>
        </w:rPr>
        <w:t>技术标准和要求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_Toc11849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_Toc30571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部分  磋商响应文件格式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_Toc30571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_Toc28854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 xml:space="preserve">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工程量清单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_Toc28854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_Toc30192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 xml:space="preserve">部分 </w:t>
      </w:r>
      <w:r>
        <w:rPr>
          <w:rFonts w:hint="eastAsia" w:ascii="宋体" w:hAnsi="宋体" w:eastAsia="宋体" w:cs="宋体"/>
          <w:b/>
          <w:bCs/>
          <w:sz w:val="28"/>
          <w:szCs w:val="28"/>
          <w:lang w:val="en-US" w:eastAsia="zh-CN"/>
        </w:rPr>
        <w:t xml:space="preserve"> 图纸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_Toc30192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宋体" w:hAnsi="宋体" w:eastAsia="宋体" w:cs="宋体"/>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900" w:lineRule="exact"/>
        <w:ind w:firstLine="838" w:firstLineChars="298"/>
        <w:textAlignment w:val="auto"/>
        <w:outlineLvl w:val="9"/>
        <w:rPr>
          <w:rFonts w:hint="eastAsia" w:ascii="宋体" w:hAnsi="宋体" w:cs="宋体"/>
          <w:b/>
          <w:sz w:val="28"/>
          <w:szCs w:val="28"/>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tabs>
          <w:tab w:val="clear" w:pos="4153"/>
        </w:tabs>
        <w:jc w:val="right"/>
        <w:outlineLvl w:val="9"/>
        <w:rPr>
          <w:rFonts w:hint="eastAsia" w:ascii="宋体" w:hAnsi="宋体" w:eastAsia="宋体"/>
          <w:b/>
          <w:sz w:val="32"/>
          <w:lang w:val="en-US" w:eastAsia="zh-CN"/>
        </w:rPr>
      </w:pPr>
    </w:p>
    <w:p>
      <w:pPr>
        <w:pStyle w:val="2"/>
        <w:outlineLvl w:val="9"/>
        <w:rPr>
          <w:rFonts w:hint="eastAsia" w:ascii="宋体" w:hAnsi="宋体"/>
          <w:b/>
          <w:sz w:val="32"/>
        </w:rPr>
      </w:pPr>
    </w:p>
    <w:p>
      <w:pPr>
        <w:pStyle w:val="2"/>
        <w:rPr>
          <w:rFonts w:hint="eastAsia" w:ascii="宋体" w:hAnsi="宋体"/>
          <w:b/>
          <w:sz w:val="10"/>
          <w:szCs w:val="10"/>
        </w:rPr>
      </w:pPr>
      <w:bookmarkStart w:id="0" w:name="_Toc12963"/>
      <w:bookmarkStart w:id="1" w:name="_Toc25938"/>
    </w:p>
    <w:p>
      <w:pPr>
        <w:spacing w:line="560" w:lineRule="exact"/>
        <w:jc w:val="center"/>
        <w:outlineLvl w:val="0"/>
        <w:rPr>
          <w:rFonts w:hint="eastAsia" w:ascii="宋体" w:hAnsi="宋体" w:cs="宋体"/>
          <w:b/>
          <w:bCs/>
          <w:color w:val="000000"/>
          <w:sz w:val="30"/>
          <w:szCs w:val="30"/>
        </w:rPr>
      </w:pPr>
      <w:bookmarkStart w:id="2" w:name="_Toc11351"/>
      <w:bookmarkStart w:id="3" w:name="_Toc1649"/>
      <w:r>
        <w:rPr>
          <w:rFonts w:hint="eastAsia" w:ascii="宋体" w:hAnsi="宋体"/>
          <w:b/>
          <w:sz w:val="36"/>
        </w:rPr>
        <w:t>第一部分  竞争性磋商公告</w:t>
      </w:r>
      <w:bookmarkEnd w:id="0"/>
      <w:bookmarkEnd w:id="1"/>
      <w:bookmarkEnd w:id="2"/>
      <w:bookmarkEnd w:id="3"/>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60" w:lineRule="exact"/>
        <w:ind w:left="0" w:right="0"/>
        <w:jc w:val="left"/>
        <w:textAlignment w:val="auto"/>
        <w:rPr>
          <w:rFonts w:hint="eastAsia" w:ascii="宋体" w:hAnsi="宋体" w:eastAsia="宋体" w:cs="宋体"/>
          <w:b w:val="0"/>
          <w:bCs w:val="0"/>
          <w:color w:val="auto"/>
          <w:sz w:val="24"/>
          <w:szCs w:val="24"/>
        </w:rPr>
      </w:pPr>
      <w:bookmarkStart w:id="4" w:name="_Toc26780"/>
      <w:bookmarkStart w:id="5" w:name="_Toc21638"/>
      <w:r>
        <w:rPr>
          <w:rStyle w:val="27"/>
          <w:rFonts w:hint="eastAsia" w:ascii="宋体" w:hAnsi="宋体" w:eastAsia="宋体" w:cs="宋体"/>
          <w:b/>
          <w:bCs/>
          <w:i w:val="0"/>
          <w:iCs w:val="0"/>
          <w:caps w:val="0"/>
          <w:color w:val="auto"/>
          <w:spacing w:val="0"/>
          <w:sz w:val="24"/>
          <w:szCs w:val="24"/>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2023年省级水利发展资金供水项目（流曲镇军寨村供水改造提升工程）采购项目的潜在供应商应在华春众创工场（富平）（详细地址：富平县富兴路中段西侧紫御台B区商务楼四层）获取采购文件，并于2023年06月13日09时30分（北京时间）前提交响应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项目编号：HCF2023—CGZB—012</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项目名称：2023年省级水利发展资金供水项目（流曲镇军寨村供水改造提升工程）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预算金额：1,400,000.00元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合同包1(2023年省级水利发展资金供水项目（流曲镇军寨村供水改造提升工程）)：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合同包预算金额：1,400,000.00元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合同包最高限价：1,300,335.84元</w:t>
      </w:r>
    </w:p>
    <w:tbl>
      <w:tblPr>
        <w:tblStyle w:val="24"/>
        <w:tblW w:w="921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8"/>
        <w:gridCol w:w="1034"/>
        <w:gridCol w:w="1811"/>
        <w:gridCol w:w="1136"/>
        <w:gridCol w:w="1178"/>
        <w:gridCol w:w="1710"/>
        <w:gridCol w:w="1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trPr>
        <w:tc>
          <w:tcPr>
            <w:tcW w:w="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56" w:hRule="atLeast"/>
        </w:trPr>
        <w:tc>
          <w:tcPr>
            <w:tcW w:w="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供水管道工程和下水道铺设</w:t>
            </w:r>
          </w:p>
        </w:tc>
        <w:tc>
          <w:tcPr>
            <w:tcW w:w="1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2023年省级水利发展资金供水项目（流曲镇军寨村供水改造提升工程）</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1,400,000.00</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1,300,335.84</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合同履行期限：具体服务起止日期以合同签订时间为准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合同包1(2023年省级水利发展资金供水项目（流曲镇军寨村供水改造提升工程）)落实政府采购政策需满足的资格要求如下：详见竞争性磋商文件。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（5）三部门联合发布《关于促进残疾人就业政府采购政策的通知》（财库〔2017〕141号）；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（6）《财政部发展改革委生态环境部市场监管总局关于调整优化节能产品、环境标志产品政府采购执行机制的通知》（财库〔2019〕9号）；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（7）《关于促进政府采购公平竞争优化营商环境的通知》（财库〔2019〕38号）；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 农业农村部 国家乡村振兴局关于运用政府采购政策支持乡村产业振兴的通知》（财库〔2021〕19号）；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（9）陕西省财政厅《关于进一步加强政府绿色采购有关问题的通知》（陕财办采〔2021〕29号）；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（12）《政府采购促进中小企业发展管理办法》（财库〔2020〕46号）；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（13）《关于进一步加大政府采购支持中小企业力度的通知》（财库〔2022〕19号）；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（14）《陕西省财政厅关于进一步落实政府采购支持中小企业相关政策的通知》（陕财办采〔2023〕3号）；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（15）《陕西省财政厅关于进一步优化政府采购营商环境有关事项的通知》（陕财办采（2023）4号）。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合同包1(2023年省级水利发展资金供水项目（流曲镇军寨村供水改造提升工程）)特定资格要求如下：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（1）具有独立承担民事责任能力的法人、其他组织或自然人，提供合法有效年报合格的统一社会信用代码营业执照或事业单位法人证书等国家规定的相关证明，自然人参与的提供其身份证明；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（2）提供法定代表人授权委托书原件（附法定代表人、被授权人身份证复印件）及被授权人身份证原件（法定代表人参会只须提供其身份证原件）；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（3）须具备水利水电工程施工总承包三级及以上资质；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（4）须具有建设行政主管部门核发有效的安全生产许可证；</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（5）拟派项目经理须具备水利水电工程注册建造师二级及以上资格和有效的安全生产考核证书，须提供项目经理无在建工程的相关证明材料或承诺书；</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（6）须提供2022年度经审计的财务报告（成立时间至提交磋商响应文件截止时间不足一年的可提供成立后任意时段的财务报表）；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（7）须提供依法缴纳税收的良好记录（提供磋商响应文件递交截止时间前六个月内任意一个月份的缴纳凭据复印件并加盖单位公章。依法免税或开标前一年内零申报的供应商应提供相关证明文件）；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（8）须提供依法缴纳社会保障资金的良好记录（提供磋商响应文件递交截止时间前六个月内任意一个月份的缴纳凭据复印件并加盖单位公章。依法不需要缴纳社会保障资金的供应商应提供相关证明文件）；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投标截止日前不得为“信用中国”网站（www.creditchina.gov.cn）中列入失信被执行人、重大税收违法失信主体和政府采购严重违法失信行为记录名单中的供应商；不得为“中国政府采购网”（www.ccgp.gov.cn）政府采购严重违法失信行为信息记录中被财政部门禁止参加政府采购活动的供应商（最终以采购代理机构评审现场查询结果为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（10）提供近三年内在经营活动中无重大违法记录的书面声明；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（11）提供磋商保证金转账凭证和基本存款账户信息证明资料复印件并加盖单位公章或金融机构、担保机构出具的保函复印件；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（12）提供单位负责人为同一人或者存在直接控股、管理关系的不同供应商，不得参加同一合同项下的政府采购活动的书面声明；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（13）提供具有履行本合同所必需的设备和专业技术能力的说明及承诺；</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（14）本项目专门面向中小企业采购，供应商须提供《中小企业声明函》。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注：对于可通过互联网或相关信息系统查询的信息，可不提供纸质材料。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三、获取采购文件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11"/>
          <w:sz w:val="24"/>
          <w:szCs w:val="24"/>
          <w:shd w:val="clear" w:fill="FFFFFF"/>
        </w:rPr>
        <w:t>2023年06月01日至2023年06月07日，每天上午08:30:00至11:30:00，下午14:30:00至17:30:00（北京时间）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途径：华春众创工场（富平）（详细地址：富平县富兴路中段西侧紫御台B区商务楼四层）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四、响应文件提交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截止时间：2023年06月13日09时30分00秒（北京时间）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地点：华春众创工场（富平）（详细地址：富平县富兴路中段西侧紫御台B区商务楼四层）2号会议室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五、开启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时间：2023年06月13日 09时30分00秒（北京时间）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地点：华春众创工场（富平）（详细地址：富平县富兴路中段西侧紫御台B区商务楼四层）2号会议室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六、公告期限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七、其他补充事宜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1、获取磋商文件方式：携带单位介绍信、经办人身份证原件及加盖公章的复印件到获取地点获取。获取时间为工作日。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3、本项目响应文件提交截止时间、开启时间和地点如有变更另行公告。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名称：富平县水务局（本级）</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地址：富平县人民路3号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联系方式：0913-8212327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名称：华春建设工程项目管理有限责任公司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地址：陕西省西安市碑林区南二环西段21号华融国际商务大厦B-1701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联系方式：0913-8219328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项目联系人：王工</w:t>
      </w:r>
    </w:p>
    <w:p>
      <w:pPr>
        <w:ind w:firstLine="480" w:firstLineChars="200"/>
        <w:jc w:val="both"/>
        <w:outlineLvl w:val="0"/>
        <w:rPr>
          <w:rFonts w:hint="eastAsia" w:ascii="宋体" w:hAnsi="宋体"/>
          <w:b/>
          <w:sz w:val="36"/>
        </w:rPr>
      </w:pPr>
      <w:r>
        <w:rPr>
          <w:rFonts w:hint="eastAsia" w:ascii="宋体" w:hAnsi="宋体" w:eastAsia="宋体" w:cs="宋体"/>
          <w:i w:val="0"/>
          <w:iCs w:val="0"/>
          <w:caps w:val="0"/>
          <w:color w:val="auto"/>
          <w:spacing w:val="0"/>
          <w:sz w:val="24"/>
          <w:szCs w:val="24"/>
          <w:shd w:val="clear" w:fill="FFFFFF"/>
        </w:rPr>
        <w:t>电话：0913-8219328</w:t>
      </w:r>
      <w:r>
        <w:rPr>
          <w:rStyle w:val="27"/>
          <w:rFonts w:hint="eastAsia" w:ascii="宋体" w:hAnsi="宋体" w:eastAsia="宋体" w:cs="宋体"/>
          <w:b w:val="0"/>
          <w:bCs/>
          <w:kern w:val="0"/>
          <w:sz w:val="24"/>
          <w:szCs w:val="24"/>
          <w:highlight w:val="none"/>
          <w:lang w:val="en-US" w:eastAsia="zh-CN" w:bidi="ar-SA"/>
        </w:rPr>
        <w:t xml:space="preserve"> </w:t>
      </w:r>
      <w:r>
        <w:rPr>
          <w:rFonts w:hint="eastAsia" w:ascii="宋体" w:hAnsi="宋体"/>
          <w:b/>
          <w:sz w:val="36"/>
        </w:rPr>
        <w:br w:type="page"/>
      </w:r>
      <w:bookmarkStart w:id="6" w:name="_Toc20832"/>
      <w:bookmarkStart w:id="7" w:name="_Toc15532"/>
      <w:r>
        <w:rPr>
          <w:rFonts w:hint="eastAsia" w:ascii="宋体" w:hAnsi="宋体"/>
          <w:b/>
          <w:sz w:val="36"/>
          <w:lang w:val="en-US" w:eastAsia="zh-CN"/>
        </w:rPr>
        <w:t xml:space="preserve">           </w:t>
      </w:r>
      <w:r>
        <w:rPr>
          <w:rFonts w:hint="eastAsia" w:ascii="宋体" w:hAnsi="宋体"/>
          <w:b/>
          <w:sz w:val="36"/>
        </w:rPr>
        <w:t>第二部分  磋商须知前附表及磋商须知</w:t>
      </w:r>
      <w:bookmarkEnd w:id="4"/>
      <w:bookmarkEnd w:id="5"/>
      <w:bookmarkEnd w:id="6"/>
      <w:bookmarkEnd w:id="7"/>
    </w:p>
    <w:p>
      <w:pPr>
        <w:jc w:val="center"/>
        <w:outlineLvl w:val="9"/>
        <w:rPr>
          <w:rFonts w:hint="eastAsia" w:ascii="宋体" w:hAnsi="宋体"/>
          <w:b/>
          <w:sz w:val="28"/>
          <w:szCs w:val="28"/>
        </w:rPr>
      </w:pPr>
      <w:r>
        <w:rPr>
          <w:rFonts w:hint="eastAsia" w:ascii="宋体" w:hAnsi="宋体"/>
          <w:b/>
          <w:sz w:val="28"/>
          <w:szCs w:val="28"/>
        </w:rPr>
        <w:t>一、磋商须知前附表</w:t>
      </w:r>
    </w:p>
    <w:tbl>
      <w:tblPr>
        <w:tblStyle w:val="24"/>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7"/>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jc w:val="center"/>
        </w:trPr>
        <w:tc>
          <w:tcPr>
            <w:tcW w:w="706" w:type="dxa"/>
            <w:noWrap w:val="0"/>
            <w:vAlign w:val="center"/>
          </w:tcPr>
          <w:p>
            <w:pPr>
              <w:spacing w:line="420" w:lineRule="exact"/>
              <w:jc w:val="center"/>
              <w:outlineLvl w:val="9"/>
              <w:rPr>
                <w:rFonts w:hint="eastAsia" w:ascii="宋体" w:hAnsi="宋体"/>
                <w:b/>
                <w:sz w:val="24"/>
              </w:rPr>
            </w:pPr>
            <w:r>
              <w:rPr>
                <w:rFonts w:hint="eastAsia" w:ascii="宋体" w:hAnsi="宋体"/>
                <w:b/>
                <w:sz w:val="24"/>
              </w:rPr>
              <w:t>序号</w:t>
            </w:r>
          </w:p>
        </w:tc>
        <w:tc>
          <w:tcPr>
            <w:tcW w:w="2017" w:type="dxa"/>
            <w:noWrap w:val="0"/>
            <w:vAlign w:val="center"/>
          </w:tcPr>
          <w:p>
            <w:pPr>
              <w:spacing w:line="420" w:lineRule="exact"/>
              <w:jc w:val="center"/>
              <w:outlineLvl w:val="9"/>
              <w:rPr>
                <w:rFonts w:hint="eastAsia" w:ascii="宋体" w:hAnsi="宋体"/>
                <w:b/>
                <w:sz w:val="24"/>
              </w:rPr>
            </w:pPr>
            <w:r>
              <w:rPr>
                <w:rFonts w:hint="eastAsia" w:ascii="宋体" w:hAnsi="宋体"/>
                <w:b/>
                <w:sz w:val="24"/>
              </w:rPr>
              <w:t>内容</w:t>
            </w:r>
          </w:p>
        </w:tc>
        <w:tc>
          <w:tcPr>
            <w:tcW w:w="7161" w:type="dxa"/>
            <w:noWrap w:val="0"/>
            <w:vAlign w:val="center"/>
          </w:tcPr>
          <w:p>
            <w:pPr>
              <w:pStyle w:val="82"/>
              <w:widowControl w:val="0"/>
              <w:spacing w:before="0" w:beforeAutospacing="0" w:after="0" w:afterAutospacing="0" w:line="420" w:lineRule="exact"/>
              <w:outlineLvl w:val="9"/>
              <w:rPr>
                <w:rFonts w:hint="eastAsia" w:eastAsia="宋体"/>
                <w:kern w:val="2"/>
                <w:sz w:val="24"/>
                <w:szCs w:val="24"/>
              </w:rPr>
            </w:pPr>
            <w:r>
              <w:rPr>
                <w:rFonts w:hint="eastAsia" w:eastAsia="宋体"/>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06" w:type="dxa"/>
            <w:noWrap w:val="0"/>
            <w:vAlign w:val="center"/>
          </w:tcPr>
          <w:p>
            <w:pPr>
              <w:spacing w:line="420" w:lineRule="exact"/>
              <w:jc w:val="center"/>
              <w:outlineLvl w:val="9"/>
              <w:rPr>
                <w:rFonts w:hint="eastAsia" w:ascii="宋体" w:hAnsi="宋体"/>
                <w:sz w:val="24"/>
              </w:rPr>
            </w:pPr>
            <w:r>
              <w:rPr>
                <w:rFonts w:hint="eastAsia" w:ascii="宋体" w:hAnsi="宋体"/>
                <w:sz w:val="24"/>
              </w:rPr>
              <w:t>1</w:t>
            </w:r>
          </w:p>
        </w:tc>
        <w:tc>
          <w:tcPr>
            <w:tcW w:w="2017" w:type="dxa"/>
            <w:noWrap w:val="0"/>
            <w:vAlign w:val="center"/>
          </w:tcPr>
          <w:p>
            <w:pPr>
              <w:spacing w:line="420" w:lineRule="exact"/>
              <w:jc w:val="center"/>
              <w:outlineLvl w:val="9"/>
              <w:rPr>
                <w:rFonts w:hint="eastAsia" w:ascii="宋体" w:hAnsi="宋体"/>
                <w:color w:val="auto"/>
                <w:sz w:val="24"/>
                <w:highlight w:val="none"/>
              </w:rPr>
            </w:pPr>
            <w:r>
              <w:rPr>
                <w:rFonts w:hint="eastAsia" w:ascii="宋体" w:hAnsi="宋体"/>
                <w:color w:val="auto"/>
                <w:sz w:val="24"/>
                <w:highlight w:val="none"/>
              </w:rPr>
              <w:t>采购人</w:t>
            </w:r>
          </w:p>
        </w:tc>
        <w:tc>
          <w:tcPr>
            <w:tcW w:w="7161" w:type="dxa"/>
            <w:noWrap w:val="0"/>
            <w:vAlign w:val="top"/>
          </w:tcPr>
          <w:p>
            <w:pPr>
              <w:spacing w:line="44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名称：</w:t>
            </w:r>
            <w:r>
              <w:rPr>
                <w:rFonts w:hint="eastAsia" w:ascii="宋体" w:hAnsi="宋体"/>
                <w:sz w:val="24"/>
                <w:lang w:val="en-US" w:eastAsia="zh-CN"/>
              </w:rPr>
              <w:t>富平县农村饮水工程指挥部办公室</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s="宋体"/>
                <w:i w:val="0"/>
                <w:caps w:val="0"/>
                <w:color w:val="auto"/>
                <w:spacing w:val="0"/>
                <w:kern w:val="0"/>
                <w:sz w:val="24"/>
                <w:szCs w:val="24"/>
                <w:shd w:val="clear" w:color="auto" w:fill="FFFFFF"/>
                <w:lang w:val="en-US" w:eastAsia="zh-CN" w:bidi="ar-SA"/>
              </w:rPr>
            </w:pPr>
            <w:r>
              <w:rPr>
                <w:rFonts w:hint="eastAsia" w:cs="宋体"/>
                <w:i w:val="0"/>
                <w:caps w:val="0"/>
                <w:color w:val="auto"/>
                <w:spacing w:val="0"/>
                <w:kern w:val="0"/>
                <w:sz w:val="24"/>
                <w:szCs w:val="24"/>
                <w:shd w:val="clear" w:color="auto" w:fill="FFFFFF"/>
                <w:lang w:val="en-US" w:eastAsia="zh-CN" w:bidi="ar-SA"/>
              </w:rPr>
              <w:t>地址：</w:t>
            </w:r>
            <w:r>
              <w:rPr>
                <w:rFonts w:hint="eastAsia" w:ascii="宋体" w:hAnsi="宋体" w:eastAsia="宋体" w:cs="宋体"/>
                <w:kern w:val="0"/>
                <w:sz w:val="24"/>
                <w:highlight w:val="none"/>
                <w:lang w:val="en-US" w:eastAsia="zh-CN"/>
              </w:rPr>
              <w:t>富平县</w:t>
            </w:r>
            <w:r>
              <w:rPr>
                <w:rFonts w:hint="eastAsia" w:cs="宋体"/>
                <w:kern w:val="0"/>
                <w:sz w:val="24"/>
                <w:highlight w:val="none"/>
                <w:lang w:val="en-US" w:eastAsia="zh-CN"/>
              </w:rPr>
              <w:t>人民路3号</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联系人：</w:t>
            </w:r>
            <w:r>
              <w:rPr>
                <w:rFonts w:hint="eastAsia"/>
                <w:sz w:val="24"/>
                <w:lang w:val="en-US" w:eastAsia="zh-CN"/>
              </w:rPr>
              <w:t>朱工</w:t>
            </w:r>
            <w:r>
              <w:rPr>
                <w:rFonts w:hint="eastAsia" w:ascii="宋体" w:hAnsi="宋体" w:eastAsia="宋体" w:cs="宋体"/>
                <w:color w:val="auto"/>
                <w:kern w:val="2"/>
                <w:sz w:val="24"/>
                <w:szCs w:val="24"/>
                <w:highlight w:val="none"/>
                <w:lang w:val="en-US" w:eastAsia="zh-CN" w:bidi="ar-SA"/>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olor w:val="auto"/>
                <w:sz w:val="24"/>
                <w:highlight w:val="none"/>
                <w:lang w:val="en-US" w:eastAsia="zh-CN"/>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电话</w:t>
            </w:r>
            <w:r>
              <w:rPr>
                <w:rFonts w:hint="eastAsia" w:ascii="宋体" w:hAnsi="宋体" w:eastAsia="宋体" w:cs="宋体"/>
                <w:color w:val="auto"/>
                <w:kern w:val="2"/>
                <w:sz w:val="24"/>
                <w:szCs w:val="24"/>
                <w:highlight w:val="none"/>
                <w:lang w:val="en-US" w:eastAsia="zh-CN" w:bidi="ar-SA"/>
              </w:rPr>
              <w:t>：</w:t>
            </w:r>
            <w:r>
              <w:rPr>
                <w:rFonts w:hint="eastAsia" w:cs="宋体"/>
                <w:sz w:val="24"/>
                <w:szCs w:val="24"/>
                <w:lang w:val="en-US" w:eastAsia="zh-CN"/>
              </w:rPr>
              <w:t>0913-8212327</w:t>
            </w:r>
            <w:r>
              <w:rPr>
                <w:rFonts w:hint="eastAsia" w:ascii="宋体" w:hAnsi="宋体" w:eastAsia="宋体" w:cs="宋体"/>
                <w:color w:val="auto"/>
                <w:kern w:val="2"/>
                <w:sz w:val="24"/>
                <w:szCs w:val="24"/>
                <w:highlight w:val="none"/>
                <w:lang w:val="en-US" w:eastAsia="zh-CN" w:bidi="ar-SA"/>
              </w:rPr>
              <w:t xml:space="preserve">   </w:t>
            </w:r>
            <w:r>
              <w:rPr>
                <w:rFonts w:hint="eastAsia"/>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06" w:type="dxa"/>
            <w:noWrap w:val="0"/>
            <w:vAlign w:val="center"/>
          </w:tcPr>
          <w:p>
            <w:pPr>
              <w:spacing w:line="420" w:lineRule="exact"/>
              <w:jc w:val="center"/>
              <w:outlineLvl w:val="9"/>
              <w:rPr>
                <w:rFonts w:hint="eastAsia" w:ascii="宋体" w:hAnsi="宋体"/>
                <w:sz w:val="24"/>
              </w:rPr>
            </w:pPr>
            <w:r>
              <w:rPr>
                <w:rFonts w:hint="eastAsia" w:ascii="宋体" w:hAnsi="宋体"/>
                <w:sz w:val="24"/>
              </w:rPr>
              <w:t>2</w:t>
            </w:r>
          </w:p>
        </w:tc>
        <w:tc>
          <w:tcPr>
            <w:tcW w:w="2017" w:type="dxa"/>
            <w:noWrap w:val="0"/>
            <w:vAlign w:val="center"/>
          </w:tcPr>
          <w:p>
            <w:pPr>
              <w:spacing w:line="420" w:lineRule="exact"/>
              <w:jc w:val="center"/>
              <w:outlineLvl w:val="9"/>
              <w:rPr>
                <w:rFonts w:hint="eastAsia" w:ascii="宋体" w:hAnsi="宋体"/>
                <w:color w:val="auto"/>
                <w:sz w:val="24"/>
              </w:rPr>
            </w:pPr>
            <w:r>
              <w:rPr>
                <w:rFonts w:hint="eastAsia" w:ascii="宋体" w:hAnsi="宋体"/>
                <w:color w:val="auto"/>
                <w:sz w:val="24"/>
              </w:rPr>
              <w:t>采购代理机构</w:t>
            </w:r>
          </w:p>
        </w:tc>
        <w:tc>
          <w:tcPr>
            <w:tcW w:w="7161" w:type="dxa"/>
            <w:noWrap w:val="0"/>
            <w:vAlign w:val="center"/>
          </w:tcPr>
          <w:p>
            <w:pPr>
              <w:pStyle w:val="82"/>
              <w:widowControl w:val="0"/>
              <w:spacing w:before="0" w:beforeAutospacing="0" w:after="0" w:afterAutospacing="0" w:line="420" w:lineRule="exact"/>
              <w:jc w:val="both"/>
              <w:outlineLvl w:val="9"/>
              <w:rPr>
                <w:rFonts w:hint="eastAsia" w:eastAsia="宋体"/>
                <w:b w:val="0"/>
                <w:color w:val="auto"/>
                <w:sz w:val="24"/>
                <w:szCs w:val="24"/>
              </w:rPr>
            </w:pPr>
            <w:r>
              <w:rPr>
                <w:rFonts w:eastAsia="宋体"/>
                <w:b w:val="0"/>
                <w:color w:val="auto"/>
                <w:sz w:val="24"/>
                <w:szCs w:val="24"/>
              </w:rPr>
              <w:t>名称：</w:t>
            </w:r>
            <w:r>
              <w:rPr>
                <w:rFonts w:hint="eastAsia" w:eastAsia="宋体"/>
                <w:b w:val="0"/>
                <w:color w:val="auto"/>
                <w:sz w:val="24"/>
                <w:szCs w:val="24"/>
              </w:rPr>
              <w:t>华春建设工程项目管理有限责任公司</w:t>
            </w:r>
          </w:p>
          <w:p>
            <w:pPr>
              <w:pStyle w:val="82"/>
              <w:widowControl w:val="0"/>
              <w:spacing w:before="0" w:beforeAutospacing="0" w:after="0" w:afterAutospacing="0" w:line="420" w:lineRule="exact"/>
              <w:jc w:val="both"/>
              <w:outlineLvl w:val="9"/>
              <w:rPr>
                <w:rFonts w:eastAsia="宋体"/>
                <w:b w:val="0"/>
                <w:color w:val="auto"/>
                <w:sz w:val="24"/>
                <w:szCs w:val="24"/>
              </w:rPr>
            </w:pPr>
            <w:r>
              <w:rPr>
                <w:rFonts w:eastAsia="宋体"/>
                <w:b w:val="0"/>
                <w:color w:val="auto"/>
                <w:sz w:val="24"/>
                <w:szCs w:val="24"/>
              </w:rPr>
              <w:t>地址：</w:t>
            </w:r>
            <w:r>
              <w:rPr>
                <w:rFonts w:hint="eastAsia" w:eastAsia="宋体"/>
                <w:b w:val="0"/>
                <w:color w:val="auto"/>
                <w:sz w:val="24"/>
                <w:szCs w:val="24"/>
              </w:rPr>
              <w:t>陕西省西安市碑林区南二环西段21号华融国际商务大厦B-1701</w:t>
            </w:r>
          </w:p>
          <w:p>
            <w:pPr>
              <w:pStyle w:val="82"/>
              <w:widowControl w:val="0"/>
              <w:spacing w:before="0" w:beforeAutospacing="0" w:after="0" w:afterAutospacing="0" w:line="420" w:lineRule="exact"/>
              <w:jc w:val="both"/>
              <w:outlineLvl w:val="9"/>
              <w:rPr>
                <w:rFonts w:eastAsia="宋体"/>
                <w:b w:val="0"/>
                <w:color w:val="auto"/>
                <w:sz w:val="24"/>
                <w:szCs w:val="24"/>
              </w:rPr>
            </w:pPr>
            <w:r>
              <w:rPr>
                <w:rFonts w:eastAsia="宋体"/>
                <w:b w:val="0"/>
                <w:color w:val="auto"/>
                <w:sz w:val="24"/>
                <w:szCs w:val="24"/>
              </w:rPr>
              <w:t>联系人：</w:t>
            </w:r>
            <w:r>
              <w:rPr>
                <w:rFonts w:hint="eastAsia" w:eastAsia="宋体"/>
                <w:b w:val="0"/>
                <w:color w:val="auto"/>
                <w:sz w:val="24"/>
                <w:szCs w:val="24"/>
                <w:highlight w:val="none"/>
                <w:lang w:val="en-US" w:eastAsia="zh-CN"/>
              </w:rPr>
              <w:t>王工</w:t>
            </w:r>
            <w:r>
              <w:rPr>
                <w:rFonts w:eastAsia="宋体"/>
                <w:b w:val="0"/>
                <w:color w:val="auto"/>
                <w:sz w:val="24"/>
                <w:szCs w:val="24"/>
                <w:highlight w:val="none"/>
              </w:rPr>
              <w:t xml:space="preserve">    </w:t>
            </w:r>
          </w:p>
          <w:p>
            <w:pPr>
              <w:pStyle w:val="82"/>
              <w:widowControl w:val="0"/>
              <w:spacing w:before="0" w:beforeAutospacing="0" w:after="0" w:afterAutospacing="0" w:line="420" w:lineRule="exact"/>
              <w:jc w:val="both"/>
              <w:outlineLvl w:val="9"/>
              <w:rPr>
                <w:rFonts w:hint="default" w:eastAsia="宋体"/>
                <w:b w:val="0"/>
                <w:color w:val="auto"/>
                <w:sz w:val="24"/>
                <w:szCs w:val="24"/>
                <w:lang w:val="en-US" w:eastAsia="zh-CN"/>
              </w:rPr>
            </w:pPr>
            <w:r>
              <w:rPr>
                <w:rFonts w:eastAsia="宋体"/>
                <w:b w:val="0"/>
                <w:color w:val="auto"/>
                <w:sz w:val="24"/>
                <w:szCs w:val="24"/>
              </w:rPr>
              <w:t>电话：</w:t>
            </w:r>
            <w:r>
              <w:rPr>
                <w:rFonts w:hint="eastAsia" w:eastAsia="宋体"/>
                <w:b w:val="0"/>
                <w:color w:val="auto"/>
                <w:sz w:val="24"/>
                <w:szCs w:val="24"/>
              </w:rPr>
              <w:t>0913-8219328</w:t>
            </w:r>
            <w:r>
              <w:rPr>
                <w:rFonts w:hint="eastAsia" w:eastAsia="宋体"/>
                <w:b w:val="0"/>
                <w:color w:val="auto"/>
                <w:sz w:val="24"/>
                <w:szCs w:val="24"/>
                <w:lang w:val="en-US" w:eastAsia="zh-CN"/>
              </w:rPr>
              <w:t>/18791341915</w:t>
            </w:r>
            <w:r>
              <w:rPr>
                <w:rFonts w:hint="eastAsia" w:eastAsia="宋体"/>
                <w:b w:val="0"/>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06" w:type="dxa"/>
            <w:noWrap w:val="0"/>
            <w:vAlign w:val="center"/>
          </w:tcPr>
          <w:p>
            <w:pPr>
              <w:spacing w:line="420" w:lineRule="exact"/>
              <w:jc w:val="center"/>
              <w:outlineLvl w:val="9"/>
              <w:rPr>
                <w:rFonts w:hint="eastAsia" w:ascii="宋体" w:hAnsi="宋体"/>
                <w:bCs/>
                <w:kern w:val="0"/>
                <w:sz w:val="24"/>
              </w:rPr>
            </w:pPr>
            <w:r>
              <w:rPr>
                <w:rFonts w:hint="eastAsia" w:ascii="宋体" w:hAnsi="宋体"/>
                <w:bCs/>
                <w:kern w:val="0"/>
                <w:sz w:val="24"/>
              </w:rPr>
              <w:t>3</w:t>
            </w:r>
          </w:p>
        </w:tc>
        <w:tc>
          <w:tcPr>
            <w:tcW w:w="2017" w:type="dxa"/>
            <w:noWrap w:val="0"/>
            <w:vAlign w:val="center"/>
          </w:tcPr>
          <w:p>
            <w:pPr>
              <w:topLinePunct w:val="0"/>
              <w:bidi w:val="0"/>
              <w:spacing w:line="360" w:lineRule="auto"/>
              <w:jc w:val="center"/>
              <w:rPr>
                <w:rFonts w:hint="eastAsia" w:ascii="宋体" w:hAnsi="宋体"/>
                <w:bCs/>
                <w:kern w:val="0"/>
                <w:sz w:val="24"/>
                <w:highlight w:val="none"/>
              </w:rPr>
            </w:pPr>
            <w:r>
              <w:rPr>
                <w:rFonts w:hint="eastAsia" w:ascii="宋体" w:hAnsi="宋体" w:cs="宋体"/>
                <w:sz w:val="24"/>
                <w:szCs w:val="24"/>
                <w:highlight w:val="none"/>
                <w:lang w:val="en-US" w:eastAsia="zh-CN"/>
              </w:rPr>
              <w:t>项目名称</w:t>
            </w:r>
          </w:p>
        </w:tc>
        <w:tc>
          <w:tcPr>
            <w:tcW w:w="7161"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outlineLvl w:val="9"/>
              <w:rPr>
                <w:rFonts w:hint="default" w:ascii="宋体" w:hAnsi="宋体" w:eastAsia="宋体"/>
                <w:b/>
                <w:sz w:val="24"/>
                <w:highlight w:val="none"/>
                <w:lang w:val="en-US" w:eastAsia="zh-CN"/>
              </w:rPr>
            </w:pPr>
            <w:r>
              <w:rPr>
                <w:rFonts w:hint="eastAsia" w:cs="宋体"/>
                <w:spacing w:val="0"/>
                <w:kern w:val="0"/>
                <w:sz w:val="24"/>
                <w:szCs w:val="24"/>
                <w:highlight w:val="none"/>
                <w:lang w:val="en-US" w:eastAsia="zh-CN"/>
              </w:rPr>
              <w:t>2023年省级水利发展资金供水项目（流曲镇军寨村供水改造提升工程）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6" w:type="dxa"/>
            <w:noWrap w:val="0"/>
            <w:vAlign w:val="center"/>
          </w:tcPr>
          <w:p>
            <w:pPr>
              <w:spacing w:line="420" w:lineRule="exact"/>
              <w:jc w:val="center"/>
              <w:outlineLvl w:val="9"/>
              <w:rPr>
                <w:rFonts w:hint="eastAsia" w:ascii="宋体" w:hAnsi="宋体"/>
                <w:sz w:val="24"/>
              </w:rPr>
            </w:pPr>
            <w:r>
              <w:rPr>
                <w:rFonts w:hint="eastAsia" w:ascii="宋体" w:hAnsi="宋体"/>
                <w:sz w:val="24"/>
              </w:rPr>
              <w:t>4</w:t>
            </w:r>
          </w:p>
        </w:tc>
        <w:tc>
          <w:tcPr>
            <w:tcW w:w="2017" w:type="dxa"/>
            <w:noWrap w:val="0"/>
            <w:vAlign w:val="center"/>
          </w:tcPr>
          <w:p>
            <w:pPr>
              <w:spacing w:line="400" w:lineRule="exact"/>
              <w:jc w:val="center"/>
              <w:rPr>
                <w:rFonts w:hint="eastAsia" w:ascii="宋体" w:hAnsi="宋体"/>
                <w:bCs/>
                <w:kern w:val="0"/>
                <w:sz w:val="24"/>
                <w:highlight w:val="none"/>
              </w:rPr>
            </w:pPr>
            <w:r>
              <w:rPr>
                <w:rFonts w:hint="eastAsia" w:ascii="宋体" w:hAnsi="宋体"/>
                <w:bCs/>
                <w:kern w:val="0"/>
                <w:sz w:val="24"/>
                <w:highlight w:val="none"/>
                <w:lang w:val="en-US" w:eastAsia="zh-CN"/>
              </w:rPr>
              <w:t>项目编号</w:t>
            </w:r>
          </w:p>
        </w:tc>
        <w:tc>
          <w:tcPr>
            <w:tcW w:w="7161" w:type="dxa"/>
            <w:noWrap w:val="0"/>
            <w:vAlign w:val="center"/>
          </w:tcPr>
          <w:p>
            <w:pPr>
              <w:pStyle w:val="82"/>
              <w:widowControl w:val="0"/>
              <w:spacing w:before="0" w:beforeAutospacing="0" w:after="0" w:afterAutospacing="0" w:line="400" w:lineRule="exact"/>
              <w:jc w:val="both"/>
              <w:outlineLvl w:val="9"/>
              <w:rPr>
                <w:rFonts w:hint="default" w:eastAsia="宋体"/>
                <w:b w:val="0"/>
                <w:sz w:val="24"/>
                <w:szCs w:val="24"/>
                <w:highlight w:val="none"/>
                <w:lang w:val="en-US" w:eastAsia="zh-CN"/>
              </w:rPr>
            </w:pPr>
            <w:r>
              <w:rPr>
                <w:rFonts w:hint="eastAsia" w:eastAsia="宋体" w:cs="宋体"/>
                <w:b w:val="0"/>
                <w:bCs w:val="0"/>
                <w:spacing w:val="0"/>
                <w:kern w:val="0"/>
                <w:sz w:val="24"/>
                <w:szCs w:val="24"/>
                <w:highlight w:val="none"/>
                <w:lang w:val="en-US" w:eastAsia="zh-CN" w:bidi="ar-SA"/>
              </w:rPr>
              <w:t>HCF2023—CGZB—012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6" w:type="dxa"/>
            <w:noWrap w:val="0"/>
            <w:vAlign w:val="center"/>
          </w:tcPr>
          <w:p>
            <w:pPr>
              <w:spacing w:line="420" w:lineRule="exact"/>
              <w:jc w:val="center"/>
              <w:outlineLvl w:val="9"/>
              <w:rPr>
                <w:rFonts w:hint="eastAsia" w:ascii="宋体" w:hAnsi="宋体"/>
                <w:sz w:val="24"/>
              </w:rPr>
            </w:pPr>
            <w:r>
              <w:rPr>
                <w:rFonts w:hint="eastAsia" w:ascii="宋体" w:hAnsi="宋体"/>
                <w:sz w:val="24"/>
              </w:rPr>
              <w:t>5</w:t>
            </w:r>
          </w:p>
        </w:tc>
        <w:tc>
          <w:tcPr>
            <w:tcW w:w="2017" w:type="dxa"/>
            <w:noWrap w:val="0"/>
            <w:vAlign w:val="center"/>
          </w:tcPr>
          <w:p>
            <w:pPr>
              <w:spacing w:line="400" w:lineRule="exact"/>
              <w:jc w:val="center"/>
              <w:outlineLvl w:val="9"/>
              <w:rPr>
                <w:rFonts w:hint="eastAsia" w:ascii="宋体" w:hAnsi="宋体"/>
                <w:bCs/>
                <w:kern w:val="0"/>
                <w:sz w:val="24"/>
              </w:rPr>
            </w:pPr>
            <w:r>
              <w:rPr>
                <w:rFonts w:hint="eastAsia" w:ascii="宋体" w:hAnsi="宋体"/>
                <w:bCs/>
                <w:kern w:val="0"/>
                <w:sz w:val="24"/>
                <w:highlight w:val="none"/>
                <w:lang w:val="en-US" w:eastAsia="zh-CN"/>
              </w:rPr>
              <w:t>项目</w:t>
            </w:r>
            <w:r>
              <w:rPr>
                <w:rFonts w:hint="eastAsia" w:ascii="宋体" w:hAnsi="宋体"/>
                <w:bCs/>
                <w:kern w:val="0"/>
                <w:sz w:val="24"/>
              </w:rPr>
              <w:t>性质</w:t>
            </w:r>
          </w:p>
        </w:tc>
        <w:tc>
          <w:tcPr>
            <w:tcW w:w="7161" w:type="dxa"/>
            <w:noWrap w:val="0"/>
            <w:vAlign w:val="center"/>
          </w:tcPr>
          <w:p>
            <w:pPr>
              <w:pStyle w:val="82"/>
              <w:widowControl w:val="0"/>
              <w:spacing w:before="0" w:beforeAutospacing="0" w:after="0" w:afterAutospacing="0" w:line="400" w:lineRule="exact"/>
              <w:jc w:val="both"/>
              <w:outlineLvl w:val="9"/>
              <w:rPr>
                <w:rFonts w:hint="eastAsia" w:eastAsia="宋体"/>
                <w:b w:val="0"/>
                <w:sz w:val="24"/>
                <w:szCs w:val="24"/>
                <w:lang w:eastAsia="zh-CN"/>
              </w:rPr>
            </w:pPr>
            <w:r>
              <w:rPr>
                <w:rFonts w:hint="eastAsia" w:eastAsia="宋体"/>
                <w:b w:val="0"/>
                <w:sz w:val="24"/>
                <w:szCs w:val="24"/>
                <w:lang w:val="en-US"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6" w:type="dxa"/>
            <w:noWrap w:val="0"/>
            <w:vAlign w:val="center"/>
          </w:tcPr>
          <w:p>
            <w:pPr>
              <w:spacing w:line="420" w:lineRule="exact"/>
              <w:jc w:val="center"/>
              <w:outlineLvl w:val="9"/>
              <w:rPr>
                <w:rFonts w:hint="eastAsia" w:ascii="宋体" w:hAnsi="宋体"/>
                <w:sz w:val="24"/>
              </w:rPr>
            </w:pPr>
            <w:r>
              <w:rPr>
                <w:rFonts w:hint="eastAsia" w:ascii="宋体" w:hAnsi="宋体"/>
                <w:sz w:val="24"/>
              </w:rPr>
              <w:t>6</w:t>
            </w:r>
          </w:p>
        </w:tc>
        <w:tc>
          <w:tcPr>
            <w:tcW w:w="2017" w:type="dxa"/>
            <w:noWrap w:val="0"/>
            <w:vAlign w:val="center"/>
          </w:tcPr>
          <w:p>
            <w:pPr>
              <w:pStyle w:val="82"/>
              <w:widowControl w:val="0"/>
              <w:spacing w:before="0" w:beforeAutospacing="0" w:after="0" w:afterAutospacing="0" w:line="400" w:lineRule="exact"/>
              <w:outlineLvl w:val="9"/>
              <w:rPr>
                <w:rFonts w:hint="eastAsia" w:eastAsia="宋体"/>
                <w:b w:val="0"/>
                <w:sz w:val="24"/>
                <w:szCs w:val="24"/>
                <w:highlight w:val="none"/>
              </w:rPr>
            </w:pPr>
            <w:r>
              <w:rPr>
                <w:rFonts w:hint="eastAsia" w:eastAsia="宋体"/>
                <w:b w:val="0"/>
                <w:sz w:val="24"/>
                <w:szCs w:val="24"/>
                <w:highlight w:val="none"/>
              </w:rPr>
              <w:t>资金来源</w:t>
            </w:r>
          </w:p>
        </w:tc>
        <w:tc>
          <w:tcPr>
            <w:tcW w:w="7161" w:type="dxa"/>
            <w:noWrap w:val="0"/>
            <w:vAlign w:val="center"/>
          </w:tcPr>
          <w:p>
            <w:pPr>
              <w:pStyle w:val="82"/>
              <w:widowControl w:val="0"/>
              <w:spacing w:before="0" w:beforeAutospacing="0" w:after="0" w:afterAutospacing="0" w:line="400" w:lineRule="exact"/>
              <w:jc w:val="both"/>
              <w:outlineLvl w:val="9"/>
              <w:rPr>
                <w:rFonts w:hint="default" w:eastAsia="宋体"/>
                <w:b w:val="0"/>
                <w:sz w:val="24"/>
                <w:szCs w:val="24"/>
                <w:highlight w:val="none"/>
                <w:lang w:val="en-US" w:eastAsia="zh-CN"/>
              </w:rPr>
            </w:pPr>
            <w:r>
              <w:rPr>
                <w:rFonts w:hint="eastAsia" w:eastAsia="宋体"/>
                <w:b w:val="0"/>
                <w:sz w:val="24"/>
                <w:szCs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6" w:type="dxa"/>
            <w:noWrap w:val="0"/>
            <w:vAlign w:val="center"/>
          </w:tcPr>
          <w:p>
            <w:pPr>
              <w:spacing w:line="420" w:lineRule="exact"/>
              <w:jc w:val="center"/>
              <w:outlineLvl w:val="9"/>
              <w:rPr>
                <w:rFonts w:hint="eastAsia" w:ascii="宋体" w:hAnsi="宋体"/>
                <w:sz w:val="24"/>
              </w:rPr>
            </w:pPr>
            <w:r>
              <w:rPr>
                <w:rFonts w:hint="eastAsia" w:ascii="宋体" w:hAnsi="宋体"/>
                <w:sz w:val="24"/>
              </w:rPr>
              <w:t>7</w:t>
            </w:r>
          </w:p>
        </w:tc>
        <w:tc>
          <w:tcPr>
            <w:tcW w:w="2017" w:type="dxa"/>
            <w:noWrap w:val="0"/>
            <w:vAlign w:val="center"/>
          </w:tcPr>
          <w:p>
            <w:pPr>
              <w:pStyle w:val="82"/>
              <w:widowControl w:val="0"/>
              <w:spacing w:before="0" w:beforeAutospacing="0" w:after="0" w:afterAutospacing="0" w:line="400" w:lineRule="exact"/>
              <w:outlineLvl w:val="9"/>
              <w:rPr>
                <w:rFonts w:hint="eastAsia" w:eastAsia="宋体"/>
                <w:b w:val="0"/>
                <w:sz w:val="24"/>
                <w:szCs w:val="24"/>
                <w:lang w:val="zh-CN"/>
              </w:rPr>
            </w:pPr>
            <w:r>
              <w:rPr>
                <w:rFonts w:hint="eastAsia" w:eastAsia="宋体"/>
                <w:b w:val="0"/>
                <w:sz w:val="24"/>
                <w:szCs w:val="24"/>
                <w:lang w:val="zh-CN"/>
              </w:rPr>
              <w:t>招标范围</w:t>
            </w:r>
          </w:p>
        </w:tc>
        <w:tc>
          <w:tcPr>
            <w:tcW w:w="7161" w:type="dxa"/>
            <w:noWrap w:val="0"/>
            <w:vAlign w:val="center"/>
          </w:tcPr>
          <w:p>
            <w:pPr>
              <w:spacing w:line="400" w:lineRule="exact"/>
              <w:outlineLvl w:val="9"/>
              <w:rPr>
                <w:rFonts w:hint="eastAsia" w:ascii="宋体" w:hAnsi="宋体"/>
                <w:b/>
                <w:sz w:val="24"/>
                <w:lang w:val="zh-CN"/>
              </w:rPr>
            </w:pPr>
            <w:r>
              <w:rPr>
                <w:rFonts w:hint="eastAsia" w:ascii="宋体" w:hAnsi="宋体" w:eastAsia="宋体" w:cs="Times New Roman"/>
                <w:kern w:val="0"/>
                <w:sz w:val="24"/>
                <w:szCs w:val="24"/>
                <w:highlight w:val="none"/>
                <w:lang w:val="en-US" w:eastAsia="zh-CN" w:bidi="ar-SA"/>
              </w:rPr>
              <w:t>铺设管道</w:t>
            </w:r>
            <w:r>
              <w:rPr>
                <w:rFonts w:hint="eastAsia" w:ascii="宋体" w:hAnsi="宋体" w:cs="Times New Roman"/>
                <w:kern w:val="0"/>
                <w:sz w:val="24"/>
                <w:szCs w:val="24"/>
                <w:highlight w:val="none"/>
                <w:lang w:val="en-US" w:eastAsia="zh-CN" w:bidi="ar-SA"/>
              </w:rPr>
              <w:t>8.43</w:t>
            </w:r>
            <w:r>
              <w:rPr>
                <w:rFonts w:hint="eastAsia" w:ascii="宋体" w:hAnsi="宋体" w:eastAsia="宋体" w:cs="Times New Roman"/>
                <w:kern w:val="0"/>
                <w:sz w:val="24"/>
                <w:szCs w:val="24"/>
                <w:highlight w:val="none"/>
                <w:lang w:val="en-US" w:eastAsia="zh-CN" w:bidi="ar-SA"/>
              </w:rPr>
              <w:t>km，入户改造</w:t>
            </w:r>
            <w:r>
              <w:rPr>
                <w:rFonts w:hint="eastAsia" w:ascii="宋体" w:hAnsi="宋体" w:cs="Times New Roman"/>
                <w:kern w:val="0"/>
                <w:sz w:val="24"/>
                <w:szCs w:val="24"/>
                <w:highlight w:val="none"/>
                <w:lang w:val="en-US" w:eastAsia="zh-CN" w:bidi="ar-SA"/>
              </w:rPr>
              <w:t>455</w:t>
            </w:r>
            <w:r>
              <w:rPr>
                <w:rFonts w:hint="eastAsia" w:ascii="宋体" w:hAnsi="宋体" w:eastAsia="宋体" w:cs="Times New Roman"/>
                <w:kern w:val="0"/>
                <w:sz w:val="24"/>
                <w:szCs w:val="24"/>
                <w:highlight w:val="none"/>
                <w:lang w:val="en-US" w:eastAsia="zh-CN" w:bidi="ar-SA"/>
              </w:rPr>
              <w:t>户（具体建设内容详见竞争性磋商文件第七部分工程量清单）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6" w:type="dxa"/>
            <w:noWrap w:val="0"/>
            <w:vAlign w:val="center"/>
          </w:tcPr>
          <w:p>
            <w:pPr>
              <w:spacing w:line="420" w:lineRule="exact"/>
              <w:jc w:val="center"/>
              <w:outlineLvl w:val="9"/>
              <w:rPr>
                <w:rFonts w:hint="eastAsia" w:ascii="宋体" w:hAnsi="宋体"/>
                <w:sz w:val="24"/>
              </w:rPr>
            </w:pPr>
            <w:r>
              <w:rPr>
                <w:rFonts w:hint="eastAsia" w:ascii="宋体" w:hAnsi="宋体"/>
                <w:sz w:val="24"/>
              </w:rPr>
              <w:t>8</w:t>
            </w:r>
          </w:p>
        </w:tc>
        <w:tc>
          <w:tcPr>
            <w:tcW w:w="2017" w:type="dxa"/>
            <w:noWrap w:val="0"/>
            <w:vAlign w:val="center"/>
          </w:tcPr>
          <w:p>
            <w:pPr>
              <w:spacing w:line="400" w:lineRule="exact"/>
              <w:jc w:val="center"/>
              <w:outlineLvl w:val="9"/>
              <w:rPr>
                <w:rFonts w:hint="eastAsia" w:ascii="宋体" w:hAnsi="宋体"/>
                <w:sz w:val="24"/>
              </w:rPr>
            </w:pPr>
            <w:r>
              <w:rPr>
                <w:rFonts w:hint="eastAsia" w:ascii="宋体" w:hAnsi="宋体"/>
                <w:sz w:val="24"/>
              </w:rPr>
              <w:t>供应商资格要求</w:t>
            </w:r>
          </w:p>
        </w:tc>
        <w:tc>
          <w:tcPr>
            <w:tcW w:w="7161"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default"/>
                <w:lang w:val="en-US"/>
              </w:rPr>
            </w:pPr>
            <w:r>
              <w:rPr>
                <w:rFonts w:hint="eastAsia"/>
                <w:sz w:val="24"/>
                <w:szCs w:val="24"/>
                <w:highlight w:val="none"/>
                <w:lang w:val="en-US" w:eastAsia="zh-CN"/>
              </w:rPr>
              <w:t>详见竞争性磋商公告第二项申请人的资格要求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6" w:type="dxa"/>
            <w:noWrap w:val="0"/>
            <w:vAlign w:val="center"/>
          </w:tcPr>
          <w:p>
            <w:pPr>
              <w:spacing w:line="420" w:lineRule="exact"/>
              <w:jc w:val="center"/>
              <w:outlineLvl w:val="9"/>
              <w:rPr>
                <w:rFonts w:hint="eastAsia" w:ascii="宋体" w:hAnsi="宋体"/>
                <w:sz w:val="24"/>
                <w:highlight w:val="none"/>
              </w:rPr>
            </w:pPr>
            <w:r>
              <w:rPr>
                <w:rFonts w:hint="eastAsia" w:ascii="宋体" w:hAnsi="宋体"/>
                <w:sz w:val="24"/>
                <w:highlight w:val="none"/>
              </w:rPr>
              <w:t>9</w:t>
            </w:r>
          </w:p>
        </w:tc>
        <w:tc>
          <w:tcPr>
            <w:tcW w:w="2017"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outlineLvl w:val="9"/>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工   期</w:t>
            </w:r>
          </w:p>
        </w:tc>
        <w:tc>
          <w:tcPr>
            <w:tcW w:w="7161"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ascii="宋体" w:hAnsi="宋体" w:cs="宋体"/>
                <w:kern w:val="0"/>
                <w:sz w:val="24"/>
                <w:highlight w:val="none"/>
                <w:lang w:eastAsia="zh-CN"/>
              </w:rPr>
            </w:pPr>
            <w:r>
              <w:rPr>
                <w:rFonts w:hint="eastAsia" w:ascii="宋体" w:hAnsi="宋体" w:cs="宋体"/>
                <w:color w:val="auto"/>
                <w:kern w:val="0"/>
                <w:sz w:val="24"/>
                <w:highlight w:val="none"/>
              </w:rPr>
              <w:t>合同签订后</w:t>
            </w:r>
            <w:r>
              <w:rPr>
                <w:rFonts w:hint="eastAsia" w:cs="宋体"/>
                <w:color w:val="auto"/>
                <w:kern w:val="0"/>
                <w:sz w:val="24"/>
                <w:highlight w:val="none"/>
                <w:lang w:val="en-US" w:eastAsia="zh-CN"/>
              </w:rPr>
              <w:t>90</w:t>
            </w:r>
            <w:r>
              <w:rPr>
                <w:rFonts w:hint="eastAsia" w:ascii="宋体" w:hAnsi="宋体" w:cs="宋体"/>
                <w:color w:val="auto"/>
                <w:kern w:val="0"/>
                <w:sz w:val="24"/>
                <w:highlight w:val="none"/>
              </w:rPr>
              <w:t>日历天内施工完毕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2017" w:type="dxa"/>
            <w:noWrap w:val="0"/>
            <w:vAlign w:val="center"/>
          </w:tcPr>
          <w:p>
            <w:pPr>
              <w:spacing w:line="400" w:lineRule="exact"/>
              <w:jc w:val="center"/>
              <w:outlineLvl w:val="9"/>
              <w:rPr>
                <w:rFonts w:hint="eastAsia" w:ascii="宋体" w:hAnsi="宋体" w:eastAsia="宋体"/>
                <w:b w:val="0"/>
                <w:bCs w:val="0"/>
                <w:kern w:val="0"/>
                <w:sz w:val="24"/>
                <w:szCs w:val="24"/>
                <w:highlight w:val="none"/>
                <w:lang w:val="en-US" w:eastAsia="zh-CN" w:bidi="ar-SA"/>
              </w:rPr>
            </w:pPr>
            <w:r>
              <w:rPr>
                <w:rFonts w:hint="eastAsia" w:ascii="宋体" w:hAnsi="宋体" w:eastAsia="宋体"/>
                <w:b w:val="0"/>
                <w:bCs w:val="0"/>
                <w:kern w:val="0"/>
                <w:sz w:val="24"/>
                <w:szCs w:val="24"/>
                <w:highlight w:val="none"/>
                <w:lang w:val="en-US" w:eastAsia="zh-CN" w:bidi="ar-SA"/>
              </w:rPr>
              <w:t>质量标准</w:t>
            </w:r>
          </w:p>
        </w:tc>
        <w:tc>
          <w:tcPr>
            <w:tcW w:w="7161"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ascii="宋体" w:hAnsi="宋体" w:cs="宋体"/>
                <w:kern w:val="0"/>
                <w:sz w:val="24"/>
                <w:szCs w:val="20"/>
                <w:highlight w:val="none"/>
                <w:lang w:val="en-US" w:eastAsia="zh-CN" w:bidi="ar-SA"/>
              </w:rPr>
            </w:pPr>
            <w:r>
              <w:rPr>
                <w:rFonts w:hint="eastAsia" w:cs="宋体"/>
                <w:kern w:val="0"/>
                <w:sz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6" w:type="dxa"/>
            <w:noWrap w:val="0"/>
            <w:vAlign w:val="center"/>
          </w:tcPr>
          <w:p>
            <w:pPr>
              <w:spacing w:line="420" w:lineRule="exact"/>
              <w:jc w:val="center"/>
              <w:outlineLvl w:val="9"/>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1</w:t>
            </w:r>
          </w:p>
        </w:tc>
        <w:tc>
          <w:tcPr>
            <w:tcW w:w="2017" w:type="dxa"/>
            <w:noWrap w:val="0"/>
            <w:vAlign w:val="center"/>
          </w:tcPr>
          <w:p>
            <w:pPr>
              <w:spacing w:line="400" w:lineRule="exact"/>
              <w:jc w:val="center"/>
              <w:outlineLvl w:val="9"/>
              <w:rPr>
                <w:rFonts w:hint="eastAsia" w:ascii="宋体" w:hAnsi="宋体" w:eastAsia="宋体"/>
                <w:b w:val="0"/>
                <w:bCs w:val="0"/>
                <w:kern w:val="0"/>
                <w:sz w:val="24"/>
                <w:szCs w:val="24"/>
                <w:highlight w:val="none"/>
                <w:lang w:val="zh-CN" w:eastAsia="zh-CN" w:bidi="ar-SA"/>
              </w:rPr>
            </w:pPr>
            <w:r>
              <w:rPr>
                <w:rFonts w:hint="eastAsia" w:ascii="宋体" w:hAnsi="宋体" w:eastAsia="宋体"/>
                <w:b w:val="0"/>
                <w:bCs w:val="0"/>
                <w:kern w:val="0"/>
                <w:sz w:val="24"/>
                <w:szCs w:val="24"/>
                <w:highlight w:val="none"/>
                <w:lang w:val="zh-CN" w:eastAsia="zh-CN" w:bidi="ar-SA"/>
              </w:rPr>
              <w:t>付款方式</w:t>
            </w:r>
          </w:p>
        </w:tc>
        <w:tc>
          <w:tcPr>
            <w:tcW w:w="7161"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default"/>
                <w:highlight w:val="none"/>
                <w:lang w:val="en-US" w:eastAsia="zh-CN"/>
              </w:rPr>
            </w:pPr>
            <w:r>
              <w:rPr>
                <w:rFonts w:hint="eastAsia"/>
                <w:highlight w:val="none"/>
                <w:lang w:val="en-US" w:eastAsia="zh-CN"/>
              </w:rPr>
              <w:t>按月计量支付（具体详见磋商文件第四部分专用合同条款17.3）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2017" w:type="dxa"/>
            <w:noWrap w:val="0"/>
            <w:vAlign w:val="center"/>
          </w:tcPr>
          <w:p>
            <w:pPr>
              <w:spacing w:line="400" w:lineRule="exact"/>
              <w:jc w:val="center"/>
              <w:outlineLvl w:val="9"/>
              <w:rPr>
                <w:rFonts w:hint="eastAsia" w:ascii="宋体" w:hAnsi="宋体"/>
                <w:b w:val="0"/>
                <w:bCs w:val="0"/>
                <w:kern w:val="0"/>
                <w:sz w:val="24"/>
                <w:szCs w:val="24"/>
                <w:highlight w:val="none"/>
                <w:lang w:val="en-US" w:eastAsia="zh-CN" w:bidi="ar-SA"/>
              </w:rPr>
            </w:pPr>
            <w:r>
              <w:rPr>
                <w:rFonts w:hint="eastAsia" w:ascii="宋体" w:hAnsi="宋体"/>
                <w:b w:val="0"/>
                <w:bCs w:val="0"/>
                <w:kern w:val="0"/>
                <w:sz w:val="24"/>
                <w:szCs w:val="24"/>
                <w:highlight w:val="none"/>
                <w:lang w:val="en-US" w:eastAsia="zh-CN" w:bidi="ar-SA"/>
              </w:rPr>
              <w:t>质量保修期</w:t>
            </w:r>
          </w:p>
          <w:p>
            <w:pPr>
              <w:spacing w:line="400" w:lineRule="exact"/>
              <w:jc w:val="center"/>
              <w:outlineLvl w:val="9"/>
              <w:rPr>
                <w:rFonts w:hint="default" w:ascii="宋体" w:hAnsi="宋体" w:eastAsia="宋体"/>
                <w:b w:val="0"/>
                <w:bCs w:val="0"/>
                <w:kern w:val="0"/>
                <w:sz w:val="24"/>
                <w:szCs w:val="24"/>
                <w:highlight w:val="none"/>
                <w:lang w:val="en-US" w:eastAsia="zh-CN" w:bidi="ar-SA"/>
              </w:rPr>
            </w:pPr>
            <w:r>
              <w:rPr>
                <w:rFonts w:hint="eastAsia" w:ascii="宋体" w:hAnsi="宋体"/>
                <w:b w:val="0"/>
                <w:bCs w:val="0"/>
                <w:kern w:val="0"/>
                <w:sz w:val="24"/>
                <w:szCs w:val="24"/>
                <w:highlight w:val="none"/>
                <w:lang w:val="en-US" w:eastAsia="zh-CN" w:bidi="ar-SA"/>
              </w:rPr>
              <w:t>（缺陷责任期）</w:t>
            </w:r>
          </w:p>
        </w:tc>
        <w:tc>
          <w:tcPr>
            <w:tcW w:w="7161"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default"/>
                <w:highlight w:val="none"/>
                <w:lang w:val="en-US" w:eastAsia="zh-CN"/>
              </w:rPr>
            </w:pPr>
            <w:r>
              <w:rPr>
                <w:rFonts w:hint="eastAsia"/>
                <w:highlight w:val="none"/>
                <w:lang w:val="en-US" w:eastAsia="zh-CN"/>
              </w:rPr>
              <w:t>自竣工验收合格之日起不少于24个月。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6" w:type="dxa"/>
            <w:noWrap w:val="0"/>
            <w:vAlign w:val="center"/>
          </w:tcPr>
          <w:p>
            <w:pPr>
              <w:spacing w:line="420" w:lineRule="exact"/>
              <w:jc w:val="center"/>
              <w:outlineLvl w:val="9"/>
              <w:rPr>
                <w:rFonts w:hint="default" w:ascii="宋体" w:hAnsi="宋体"/>
                <w:sz w:val="24"/>
                <w:highlight w:val="none"/>
                <w:lang w:val="en-US" w:eastAsia="zh-CN"/>
              </w:rPr>
            </w:pPr>
            <w:r>
              <w:rPr>
                <w:rFonts w:hint="eastAsia" w:ascii="宋体" w:hAnsi="宋体"/>
                <w:sz w:val="24"/>
                <w:highlight w:val="none"/>
                <w:lang w:val="en-US" w:eastAsia="zh-CN"/>
              </w:rPr>
              <w:t>13</w:t>
            </w:r>
          </w:p>
        </w:tc>
        <w:tc>
          <w:tcPr>
            <w:tcW w:w="2017" w:type="dxa"/>
            <w:noWrap w:val="0"/>
            <w:vAlign w:val="center"/>
          </w:tcPr>
          <w:p>
            <w:pPr>
              <w:spacing w:line="400" w:lineRule="exact"/>
              <w:jc w:val="center"/>
              <w:outlineLvl w:val="9"/>
              <w:rPr>
                <w:rFonts w:hint="default" w:ascii="宋体" w:hAnsi="宋体"/>
                <w:b w:val="0"/>
                <w:bCs w:val="0"/>
                <w:kern w:val="0"/>
                <w:sz w:val="24"/>
                <w:szCs w:val="24"/>
                <w:highlight w:val="none"/>
                <w:lang w:val="en-US" w:eastAsia="zh-CN" w:bidi="ar-SA"/>
              </w:rPr>
            </w:pPr>
            <w:r>
              <w:rPr>
                <w:rFonts w:hint="eastAsia" w:ascii="宋体" w:hAnsi="宋体"/>
                <w:b w:val="0"/>
                <w:bCs w:val="0"/>
                <w:kern w:val="0"/>
                <w:sz w:val="24"/>
                <w:szCs w:val="24"/>
                <w:highlight w:val="none"/>
                <w:lang w:val="en-US" w:eastAsia="zh-CN" w:bidi="ar-SA"/>
              </w:rPr>
              <w:t>履约保证金</w:t>
            </w:r>
          </w:p>
        </w:tc>
        <w:tc>
          <w:tcPr>
            <w:tcW w:w="7161"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highlight w:val="none"/>
                <w:lang w:val="en-US" w:eastAsia="zh-CN"/>
              </w:rPr>
            </w:pPr>
            <w:r>
              <w:rPr>
                <w:rFonts w:hint="eastAsia"/>
                <w:highlight w:val="none"/>
                <w:lang w:val="en-US" w:eastAsia="zh-CN"/>
              </w:rPr>
              <w:t>形式：履约担保、保兑支票、银行汇票或现金支票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default"/>
                <w:highlight w:val="none"/>
                <w:lang w:val="en-US" w:eastAsia="zh-CN"/>
              </w:rPr>
            </w:pPr>
            <w:r>
              <w:rPr>
                <w:rFonts w:hint="eastAsia"/>
                <w:highlight w:val="none"/>
                <w:lang w:val="en-US" w:eastAsia="zh-CN"/>
              </w:rPr>
              <w:t xml:space="preserve">金额：人民币5万元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6" w:type="dxa"/>
            <w:noWrap w:val="0"/>
            <w:vAlign w:val="center"/>
          </w:tcPr>
          <w:p>
            <w:pPr>
              <w:spacing w:line="420" w:lineRule="exact"/>
              <w:jc w:val="center"/>
              <w:outlineLvl w:val="9"/>
              <w:rPr>
                <w:rFonts w:hint="default" w:ascii="宋体" w:hAnsi="宋体" w:eastAsia="宋体"/>
                <w:sz w:val="24"/>
                <w:lang w:val="en-US" w:eastAsia="zh-CN"/>
              </w:rPr>
            </w:pPr>
            <w:r>
              <w:rPr>
                <w:rFonts w:hint="eastAsia" w:ascii="宋体" w:hAnsi="宋体"/>
                <w:sz w:val="24"/>
                <w:lang w:val="en-US" w:eastAsia="zh-CN"/>
              </w:rPr>
              <w:t>14</w:t>
            </w:r>
          </w:p>
        </w:tc>
        <w:tc>
          <w:tcPr>
            <w:tcW w:w="2017" w:type="dxa"/>
            <w:noWrap w:val="0"/>
            <w:vAlign w:val="center"/>
          </w:tcPr>
          <w:p>
            <w:pPr>
              <w:spacing w:line="400" w:lineRule="exact"/>
              <w:jc w:val="center"/>
              <w:outlineLvl w:val="9"/>
              <w:rPr>
                <w:rFonts w:hint="eastAsia" w:ascii="宋体" w:hAnsi="宋体" w:eastAsia="宋体"/>
                <w:b w:val="0"/>
                <w:bCs w:val="0"/>
                <w:kern w:val="0"/>
                <w:sz w:val="24"/>
                <w:szCs w:val="24"/>
                <w:highlight w:val="none"/>
                <w:lang w:val="zh-CN" w:eastAsia="zh-CN" w:bidi="ar-SA"/>
              </w:rPr>
            </w:pPr>
            <w:r>
              <w:rPr>
                <w:rFonts w:hint="eastAsia" w:ascii="宋体" w:hAnsi="宋体" w:eastAsia="宋体"/>
                <w:b w:val="0"/>
                <w:bCs w:val="0"/>
                <w:kern w:val="0"/>
                <w:sz w:val="24"/>
                <w:szCs w:val="24"/>
                <w:highlight w:val="none"/>
                <w:lang w:val="zh-CN" w:eastAsia="zh-CN" w:bidi="ar-SA"/>
              </w:rPr>
              <w:t>联合体</w:t>
            </w:r>
            <w:r>
              <w:rPr>
                <w:rFonts w:hint="eastAsia" w:ascii="宋体" w:hAnsi="宋体" w:eastAsia="宋体"/>
                <w:b w:val="0"/>
                <w:bCs w:val="0"/>
                <w:kern w:val="0"/>
                <w:sz w:val="24"/>
                <w:szCs w:val="24"/>
                <w:highlight w:val="none"/>
                <w:lang w:val="en-US" w:eastAsia="zh-CN" w:bidi="ar-SA"/>
              </w:rPr>
              <w:t>投标</w:t>
            </w:r>
          </w:p>
        </w:tc>
        <w:tc>
          <w:tcPr>
            <w:tcW w:w="7161" w:type="dxa"/>
            <w:noWrap w:val="0"/>
            <w:vAlign w:val="center"/>
          </w:tcPr>
          <w:p>
            <w:pPr>
              <w:spacing w:line="400" w:lineRule="exact"/>
              <w:outlineLvl w:val="9"/>
              <w:rPr>
                <w:rFonts w:hint="eastAsia" w:ascii="宋体" w:hAnsi="宋体" w:eastAsia="宋体"/>
                <w:sz w:val="24"/>
                <w:highlight w:val="none"/>
                <w:lang w:eastAsia="zh-CN"/>
              </w:rPr>
            </w:pPr>
            <w:r>
              <w:rPr>
                <w:rFonts w:hint="eastAsia" w:ascii="宋体" w:hAnsi="宋体"/>
                <w:sz w:val="24"/>
                <w:highlight w:val="none"/>
              </w:rPr>
              <w:t>不</w:t>
            </w:r>
            <w:r>
              <w:rPr>
                <w:rFonts w:hint="eastAsia" w:ascii="宋体" w:hAnsi="宋体"/>
                <w:sz w:val="24"/>
                <w:highlight w:val="none"/>
                <w:lang w:val="en-US" w:eastAsia="zh-CN"/>
              </w:rPr>
              <w:t>接受</w:t>
            </w:r>
            <w:r>
              <w:rPr>
                <w:rFonts w:hint="eastAsia" w:ascii="宋体" w:hAnsi="宋体" w:eastAsia="宋体"/>
                <w:b w:val="0"/>
                <w:bCs w:val="0"/>
                <w:kern w:val="0"/>
                <w:sz w:val="24"/>
                <w:szCs w:val="24"/>
                <w:highlight w:val="none"/>
                <w:lang w:val="zh-CN" w:eastAsia="zh-CN" w:bidi="ar-SA"/>
              </w:rPr>
              <w:t>联合体</w:t>
            </w:r>
            <w:r>
              <w:rPr>
                <w:rFonts w:hint="eastAsia" w:ascii="宋体" w:hAnsi="宋体" w:eastAsia="宋体"/>
                <w:b w:val="0"/>
                <w:bCs w:val="0"/>
                <w:kern w:val="0"/>
                <w:sz w:val="24"/>
                <w:szCs w:val="24"/>
                <w:highlight w:val="none"/>
                <w:lang w:val="en-US" w:eastAsia="zh-CN" w:bidi="ar-SA"/>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6" w:type="dxa"/>
            <w:noWrap w:val="0"/>
            <w:vAlign w:val="center"/>
          </w:tcPr>
          <w:p>
            <w:pPr>
              <w:spacing w:line="420" w:lineRule="exact"/>
              <w:jc w:val="center"/>
              <w:outlineLvl w:val="9"/>
              <w:rPr>
                <w:rFonts w:hint="default" w:ascii="宋体" w:hAnsi="宋体" w:eastAsia="宋体"/>
                <w:sz w:val="24"/>
                <w:lang w:val="en-US" w:eastAsia="zh-CN"/>
              </w:rPr>
            </w:pPr>
            <w:r>
              <w:rPr>
                <w:rFonts w:hint="eastAsia" w:ascii="宋体" w:hAnsi="宋体"/>
                <w:sz w:val="24"/>
                <w:lang w:val="en-US" w:eastAsia="zh-CN"/>
              </w:rPr>
              <w:t>15</w:t>
            </w:r>
          </w:p>
        </w:tc>
        <w:tc>
          <w:tcPr>
            <w:tcW w:w="2017" w:type="dxa"/>
            <w:noWrap w:val="0"/>
            <w:vAlign w:val="center"/>
          </w:tcPr>
          <w:p>
            <w:pPr>
              <w:spacing w:line="400" w:lineRule="exact"/>
              <w:jc w:val="center"/>
              <w:outlineLvl w:val="9"/>
              <w:rPr>
                <w:rFonts w:hint="eastAsia" w:ascii="宋体" w:hAnsi="宋体"/>
                <w:sz w:val="24"/>
              </w:rPr>
            </w:pPr>
            <w:r>
              <w:rPr>
                <w:rFonts w:hint="eastAsia" w:ascii="宋体" w:hAnsi="宋体"/>
                <w:sz w:val="24"/>
              </w:rPr>
              <w:t>资格审查方式</w:t>
            </w:r>
          </w:p>
        </w:tc>
        <w:tc>
          <w:tcPr>
            <w:tcW w:w="7161" w:type="dxa"/>
            <w:noWrap w:val="0"/>
            <w:vAlign w:val="center"/>
          </w:tcPr>
          <w:p>
            <w:pPr>
              <w:spacing w:line="400" w:lineRule="exact"/>
              <w:outlineLvl w:val="9"/>
              <w:rPr>
                <w:rFonts w:hint="eastAsia" w:ascii="宋体" w:hAnsi="宋体"/>
                <w:spacing w:val="-2"/>
                <w:sz w:val="24"/>
              </w:rPr>
            </w:pPr>
            <w:r>
              <w:rPr>
                <w:rFonts w:hint="eastAsia" w:ascii="宋体" w:hAnsi="宋体"/>
                <w:spacing w:val="-2"/>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dxa"/>
            <w:noWrap w:val="0"/>
            <w:vAlign w:val="center"/>
          </w:tcPr>
          <w:p>
            <w:pPr>
              <w:spacing w:line="420" w:lineRule="exact"/>
              <w:jc w:val="center"/>
              <w:outlineLvl w:val="9"/>
              <w:rPr>
                <w:rFonts w:hint="default" w:ascii="宋体" w:hAnsi="宋体" w:eastAsia="宋体"/>
                <w:sz w:val="24"/>
                <w:lang w:val="en-US" w:eastAsia="zh-CN"/>
              </w:rPr>
            </w:pPr>
            <w:r>
              <w:rPr>
                <w:rFonts w:hint="eastAsia" w:ascii="宋体" w:hAnsi="宋体"/>
                <w:sz w:val="24"/>
                <w:lang w:val="en-US" w:eastAsia="zh-CN"/>
              </w:rPr>
              <w:t>16</w:t>
            </w:r>
          </w:p>
        </w:tc>
        <w:tc>
          <w:tcPr>
            <w:tcW w:w="2017" w:type="dxa"/>
            <w:noWrap w:val="0"/>
            <w:vAlign w:val="center"/>
          </w:tcPr>
          <w:p>
            <w:pPr>
              <w:spacing w:line="400" w:lineRule="exact"/>
              <w:jc w:val="center"/>
              <w:outlineLvl w:val="9"/>
              <w:rPr>
                <w:rFonts w:hint="eastAsia" w:ascii="宋体" w:hAnsi="宋体"/>
                <w:sz w:val="24"/>
                <w:lang w:val="zh-CN"/>
              </w:rPr>
            </w:pPr>
            <w:r>
              <w:rPr>
                <w:rFonts w:hint="eastAsia" w:ascii="宋体" w:hAnsi="宋体"/>
                <w:sz w:val="24"/>
              </w:rPr>
              <w:t>磋商有效期</w:t>
            </w:r>
          </w:p>
        </w:tc>
        <w:tc>
          <w:tcPr>
            <w:tcW w:w="7161" w:type="dxa"/>
            <w:noWrap w:val="0"/>
            <w:vAlign w:val="center"/>
          </w:tcPr>
          <w:p>
            <w:pPr>
              <w:spacing w:line="400" w:lineRule="exact"/>
              <w:outlineLvl w:val="9"/>
              <w:rPr>
                <w:rFonts w:hint="eastAsia" w:ascii="宋体" w:hAnsi="宋体"/>
                <w:sz w:val="24"/>
                <w:highlight w:val="yellow"/>
              </w:rPr>
            </w:pPr>
            <w:r>
              <w:rPr>
                <w:rFonts w:hint="eastAsia" w:ascii="宋体" w:hAnsi="宋体" w:cs="宋体"/>
                <w:kern w:val="1"/>
                <w:sz w:val="24"/>
                <w:u w:val="none"/>
                <w:lang w:val="en-US" w:eastAsia="zh-CN"/>
              </w:rPr>
              <w:t>自磋商响应文件</w:t>
            </w:r>
            <w:r>
              <w:rPr>
                <w:rFonts w:hint="eastAsia" w:ascii="宋体" w:hAnsi="宋体" w:cs="宋体"/>
                <w:kern w:val="1"/>
                <w:sz w:val="24"/>
                <w:highlight w:val="none"/>
                <w:u w:val="none"/>
                <w:lang w:val="en-US" w:eastAsia="zh-CN"/>
              </w:rPr>
              <w:t>递交截止之日起不少于</w:t>
            </w:r>
            <w:r>
              <w:rPr>
                <w:rFonts w:ascii="宋体" w:hAnsi="宋体" w:cs="宋体"/>
                <w:kern w:val="1"/>
                <w:sz w:val="24"/>
                <w:highlight w:val="none"/>
                <w:u w:val="none"/>
              </w:rPr>
              <w:t>90</w:t>
            </w:r>
            <w:r>
              <w:rPr>
                <w:rFonts w:ascii="宋体" w:hAnsi="宋体" w:cs="宋体"/>
                <w:kern w:val="1"/>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dxa"/>
            <w:noWrap w:val="0"/>
            <w:vAlign w:val="center"/>
          </w:tcPr>
          <w:p>
            <w:pPr>
              <w:spacing w:line="420" w:lineRule="exact"/>
              <w:jc w:val="center"/>
              <w:outlineLvl w:val="9"/>
              <w:rPr>
                <w:rFonts w:hint="default" w:ascii="宋体" w:hAnsi="宋体" w:eastAsia="宋体"/>
                <w:sz w:val="24"/>
                <w:lang w:val="en-US" w:eastAsia="zh-CN"/>
              </w:rPr>
            </w:pPr>
            <w:r>
              <w:rPr>
                <w:rFonts w:hint="eastAsia" w:ascii="宋体" w:hAnsi="宋体"/>
                <w:sz w:val="24"/>
                <w:lang w:val="en-US" w:eastAsia="zh-CN"/>
              </w:rPr>
              <w:t>17</w:t>
            </w:r>
          </w:p>
        </w:tc>
        <w:tc>
          <w:tcPr>
            <w:tcW w:w="2017" w:type="dxa"/>
            <w:noWrap w:val="0"/>
            <w:vAlign w:val="center"/>
          </w:tcPr>
          <w:p>
            <w:pPr>
              <w:spacing w:line="400" w:lineRule="exact"/>
              <w:jc w:val="center"/>
              <w:outlineLvl w:val="9"/>
              <w:rPr>
                <w:rFonts w:hint="default" w:ascii="宋体" w:hAnsi="宋体" w:eastAsia="宋体"/>
                <w:sz w:val="24"/>
                <w:lang w:val="en-US" w:eastAsia="zh-CN"/>
              </w:rPr>
            </w:pPr>
            <w:r>
              <w:rPr>
                <w:rFonts w:hint="eastAsia" w:ascii="宋体" w:hAnsi="宋体"/>
                <w:sz w:val="24"/>
                <w:lang w:val="en-US" w:eastAsia="zh-CN"/>
              </w:rPr>
              <w:t>转包、分包</w:t>
            </w:r>
          </w:p>
        </w:tc>
        <w:tc>
          <w:tcPr>
            <w:tcW w:w="7161" w:type="dxa"/>
            <w:noWrap w:val="0"/>
            <w:vAlign w:val="center"/>
          </w:tcPr>
          <w:p>
            <w:pPr>
              <w:spacing w:line="400" w:lineRule="exact"/>
              <w:outlineLvl w:val="9"/>
              <w:rPr>
                <w:rFonts w:hint="default" w:ascii="宋体" w:hAnsi="宋体" w:eastAsia="宋体"/>
                <w:spacing w:val="-2"/>
                <w:sz w:val="24"/>
                <w:lang w:val="en-US" w:eastAsia="zh-CN"/>
              </w:rPr>
            </w:pPr>
            <w:r>
              <w:rPr>
                <w:rFonts w:hint="eastAsia" w:ascii="宋体" w:hAnsi="宋体"/>
                <w:spacing w:val="-2"/>
                <w:sz w:val="24"/>
                <w:lang w:val="en-US" w:eastAsia="zh-CN"/>
              </w:rPr>
              <w:t>本项目不得转包、分包。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dxa"/>
            <w:noWrap w:val="0"/>
            <w:vAlign w:val="center"/>
          </w:tcPr>
          <w:p>
            <w:pPr>
              <w:spacing w:line="420" w:lineRule="exact"/>
              <w:jc w:val="center"/>
              <w:outlineLvl w:val="9"/>
              <w:rPr>
                <w:rFonts w:hint="default" w:ascii="宋体" w:hAnsi="宋体" w:eastAsia="宋体"/>
                <w:sz w:val="24"/>
                <w:lang w:val="en-US" w:eastAsia="zh-CN"/>
              </w:rPr>
            </w:pPr>
            <w:r>
              <w:rPr>
                <w:rFonts w:hint="eastAsia" w:ascii="宋体" w:hAnsi="宋体"/>
                <w:sz w:val="24"/>
                <w:lang w:val="en-US" w:eastAsia="zh-CN"/>
              </w:rPr>
              <w:t>18</w:t>
            </w:r>
          </w:p>
        </w:tc>
        <w:tc>
          <w:tcPr>
            <w:tcW w:w="2017" w:type="dxa"/>
            <w:noWrap w:val="0"/>
            <w:vAlign w:val="center"/>
          </w:tcPr>
          <w:p>
            <w:pPr>
              <w:spacing w:line="400" w:lineRule="exact"/>
              <w:jc w:val="center"/>
              <w:outlineLvl w:val="9"/>
              <w:rPr>
                <w:rFonts w:hint="eastAsia" w:ascii="宋体" w:hAnsi="宋体"/>
                <w:sz w:val="24"/>
              </w:rPr>
            </w:pPr>
            <w:r>
              <w:rPr>
                <w:rFonts w:hint="eastAsia" w:ascii="宋体" w:hAnsi="宋体" w:cs="宋体"/>
                <w:kern w:val="1"/>
                <w:sz w:val="24"/>
              </w:rPr>
              <w:t>现场勘查</w:t>
            </w:r>
          </w:p>
        </w:tc>
        <w:tc>
          <w:tcPr>
            <w:tcW w:w="7161" w:type="dxa"/>
            <w:noWrap w:val="0"/>
            <w:vAlign w:val="center"/>
          </w:tcPr>
          <w:p>
            <w:pPr>
              <w:spacing w:line="400" w:lineRule="exact"/>
              <w:outlineLvl w:val="9"/>
              <w:rPr>
                <w:rFonts w:hint="eastAsia" w:ascii="宋体" w:hAnsi="宋体"/>
                <w:spacing w:val="-2"/>
                <w:sz w:val="24"/>
              </w:rPr>
            </w:pPr>
            <w:r>
              <w:rPr>
                <w:rFonts w:hint="eastAsia" w:ascii="宋体" w:hAnsi="宋体" w:cs="宋体"/>
                <w:spacing w:val="-11"/>
                <w:kern w:val="1"/>
                <w:sz w:val="24"/>
              </w:rPr>
              <w:t>不</w:t>
            </w:r>
            <w:r>
              <w:rPr>
                <w:rFonts w:hint="eastAsia" w:ascii="宋体" w:hAnsi="宋体" w:cs="宋体"/>
                <w:spacing w:val="-11"/>
                <w:kern w:val="1"/>
                <w:sz w:val="24"/>
                <w:lang w:eastAsia="zh-CN"/>
              </w:rPr>
              <w:t>统一</w:t>
            </w:r>
            <w:r>
              <w:rPr>
                <w:rFonts w:hint="eastAsia" w:ascii="宋体" w:hAnsi="宋体" w:cs="宋体"/>
                <w:spacing w:val="-11"/>
                <w:kern w:val="1"/>
                <w:sz w:val="24"/>
              </w:rPr>
              <w:t>组织。</w:t>
            </w:r>
            <w:r>
              <w:rPr>
                <w:rFonts w:hint="eastAsia" w:ascii="宋体" w:hAnsi="宋体" w:cs="宋体"/>
                <w:spacing w:val="-11"/>
                <w:kern w:val="1"/>
                <w:sz w:val="24"/>
                <w:lang w:val="en-US" w:eastAsia="zh-CN"/>
              </w:rPr>
              <w:t>供应商</w:t>
            </w:r>
            <w:r>
              <w:rPr>
                <w:rFonts w:hint="eastAsia" w:ascii="宋体" w:hAnsi="宋体" w:cs="宋体"/>
                <w:spacing w:val="-11"/>
                <w:kern w:val="1"/>
                <w:sz w:val="24"/>
              </w:rPr>
              <w:t>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19</w:t>
            </w:r>
          </w:p>
        </w:tc>
        <w:tc>
          <w:tcPr>
            <w:tcW w:w="2017" w:type="dxa"/>
            <w:noWrap w:val="0"/>
            <w:vAlign w:val="center"/>
          </w:tcPr>
          <w:p>
            <w:pPr>
              <w:spacing w:line="400" w:lineRule="exact"/>
              <w:jc w:val="center"/>
              <w:outlineLvl w:val="9"/>
              <w:rPr>
                <w:rFonts w:hint="eastAsia" w:ascii="宋体" w:hAnsi="宋体" w:eastAsia="宋体"/>
                <w:sz w:val="24"/>
                <w:highlight w:val="none"/>
                <w:lang w:val="zh-CN" w:eastAsia="zh-CN"/>
              </w:rPr>
            </w:pPr>
            <w:r>
              <w:rPr>
                <w:rFonts w:hint="eastAsia" w:ascii="宋体" w:hAnsi="宋体"/>
                <w:sz w:val="24"/>
                <w:highlight w:val="none"/>
                <w:lang w:eastAsia="zh-CN"/>
              </w:rPr>
              <w:t>磋商保证金</w:t>
            </w:r>
          </w:p>
        </w:tc>
        <w:tc>
          <w:tcPr>
            <w:tcW w:w="716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rPr>
            </w:pPr>
            <w:r>
              <w:rPr>
                <w:rFonts w:hint="eastAsia" w:ascii="宋体" w:hAnsi="宋体"/>
                <w:sz w:val="24"/>
                <w:highlight w:val="none"/>
                <w:lang w:eastAsia="zh-CN"/>
              </w:rPr>
              <w:t>磋商保证金</w:t>
            </w:r>
            <w:r>
              <w:rPr>
                <w:rFonts w:hint="eastAsia" w:ascii="宋体" w:hAnsi="宋体"/>
                <w:sz w:val="24"/>
                <w:highlight w:val="none"/>
              </w:rPr>
              <w:t>的</w:t>
            </w:r>
            <w:r>
              <w:rPr>
                <w:rFonts w:hint="eastAsia" w:ascii="宋体" w:hAnsi="宋体"/>
                <w:sz w:val="24"/>
                <w:highlight w:val="none"/>
                <w:lang w:val="en-US" w:eastAsia="zh-CN"/>
              </w:rPr>
              <w:t>缴纳</w:t>
            </w:r>
            <w:r>
              <w:rPr>
                <w:rFonts w:hint="eastAsia" w:ascii="宋体" w:hAnsi="宋体"/>
                <w:sz w:val="24"/>
                <w:highlight w:val="none"/>
              </w:rPr>
              <w:t>形式：转账</w:t>
            </w:r>
            <w:r>
              <w:rPr>
                <w:rFonts w:hint="eastAsia" w:ascii="宋体" w:hAnsi="宋体"/>
                <w:sz w:val="24"/>
                <w:highlight w:val="none"/>
                <w:lang w:val="en-US" w:eastAsia="zh-CN"/>
              </w:rPr>
              <w:t>/</w:t>
            </w:r>
            <w:r>
              <w:rPr>
                <w:rFonts w:hint="eastAsia" w:ascii="宋体" w:hAnsi="宋体"/>
                <w:sz w:val="24"/>
                <w:highlight w:val="none"/>
              </w:rPr>
              <w:t>电汇</w:t>
            </w:r>
            <w:r>
              <w:rPr>
                <w:rFonts w:hint="eastAsia" w:ascii="宋体" w:hAnsi="宋体"/>
                <w:sz w:val="24"/>
                <w:highlight w:val="none"/>
                <w:lang w:val="en-US" w:eastAsia="zh-CN"/>
              </w:rPr>
              <w:t>/</w:t>
            </w:r>
            <w:r>
              <w:rPr>
                <w:rFonts w:hint="eastAsia" w:ascii="宋体" w:hAnsi="宋体" w:cs="宋体"/>
                <w:sz w:val="24"/>
                <w:szCs w:val="24"/>
                <w:highlight w:val="none"/>
                <w:lang w:val="en-US" w:eastAsia="zh-CN"/>
              </w:rPr>
              <w:t>金融机构/</w:t>
            </w:r>
            <w:r>
              <w:rPr>
                <w:rFonts w:hint="eastAsia" w:ascii="宋体" w:hAnsi="宋体"/>
                <w:sz w:val="24"/>
                <w:highlight w:val="none"/>
              </w:rPr>
              <w:t>担保机构保函。</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供应商以银行转账</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lang w:eastAsia="zh-CN"/>
              </w:rPr>
              <w:t>电汇形式</w:t>
            </w:r>
            <w:r>
              <w:rPr>
                <w:rFonts w:hint="eastAsia" w:ascii="宋体" w:hAnsi="宋体" w:eastAsia="宋体" w:cs="Times New Roman"/>
                <w:sz w:val="24"/>
                <w:highlight w:val="none"/>
                <w:lang w:val="en-US" w:eastAsia="zh-CN"/>
              </w:rPr>
              <w:t>缴纳</w:t>
            </w:r>
            <w:r>
              <w:rPr>
                <w:rFonts w:hint="eastAsia" w:ascii="宋体" w:hAnsi="宋体" w:eastAsia="宋体" w:cs="Times New Roman"/>
                <w:sz w:val="24"/>
                <w:highlight w:val="none"/>
                <w:lang w:eastAsia="zh-CN"/>
              </w:rPr>
              <w:t>保证金的，须从基本账户转出。</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contextualSpacing/>
              <w:jc w:val="left"/>
              <w:textAlignment w:val="auto"/>
              <w:outlineLvl w:val="9"/>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eastAsia="zh-CN"/>
              </w:rPr>
              <w:t>供应商以保函形式缴纳磋商保证金的，须在</w:t>
            </w:r>
            <w:r>
              <w:rPr>
                <w:rFonts w:hint="eastAsia" w:ascii="宋体" w:hAnsi="宋体" w:cs="宋体"/>
                <w:kern w:val="1"/>
                <w:sz w:val="24"/>
                <w:highlight w:val="none"/>
                <w:lang w:val="en-US" w:eastAsia="zh-CN"/>
              </w:rPr>
              <w:t>提交响应文件截止时间之前</w:t>
            </w:r>
            <w:r>
              <w:rPr>
                <w:rFonts w:hint="eastAsia" w:ascii="宋体" w:hAnsi="宋体" w:eastAsia="宋体" w:cs="Times New Roman"/>
                <w:sz w:val="24"/>
                <w:highlight w:val="none"/>
                <w:lang w:eastAsia="zh-CN"/>
              </w:rPr>
              <w:t>将</w:t>
            </w:r>
            <w:r>
              <w:rPr>
                <w:rFonts w:hint="eastAsia" w:ascii="宋体" w:hAnsi="宋体" w:cs="宋体"/>
                <w:sz w:val="24"/>
                <w:szCs w:val="24"/>
                <w:highlight w:val="none"/>
                <w:lang w:val="en-US" w:eastAsia="zh-CN"/>
              </w:rPr>
              <w:t>金融机构</w:t>
            </w:r>
            <w:r>
              <w:rPr>
                <w:rFonts w:hint="eastAsia" w:cs="宋体"/>
                <w:sz w:val="24"/>
                <w:szCs w:val="24"/>
                <w:highlight w:val="none"/>
                <w:lang w:val="en-US" w:eastAsia="zh-CN"/>
              </w:rPr>
              <w:t>、</w:t>
            </w:r>
            <w:r>
              <w:rPr>
                <w:rFonts w:hint="eastAsia" w:ascii="宋体" w:hAnsi="宋体" w:eastAsia="宋体" w:cs="Times New Roman"/>
                <w:sz w:val="24"/>
                <w:highlight w:val="none"/>
                <w:lang w:eastAsia="zh-CN"/>
              </w:rPr>
              <w:t>担保机构保函原件提交至采购代理机构备案</w:t>
            </w:r>
            <w:r>
              <w:rPr>
                <w:rFonts w:hint="eastAsia" w:cs="Times New Roman"/>
                <w:sz w:val="24"/>
                <w:highlight w:val="none"/>
                <w:lang w:eastAsia="zh-CN"/>
              </w:rPr>
              <w:t>，</w:t>
            </w:r>
            <w:r>
              <w:rPr>
                <w:rFonts w:hint="eastAsia" w:ascii="宋体" w:hAnsi="宋体" w:eastAsia="宋体" w:cs="Times New Roman"/>
                <w:b/>
                <w:bCs/>
                <w:sz w:val="24"/>
                <w:highlight w:val="none"/>
                <w:lang w:val="en-US" w:eastAsia="zh-CN"/>
              </w:rPr>
              <w:t>保函原件提交至</w:t>
            </w:r>
            <w:r>
              <w:rPr>
                <w:rFonts w:hint="eastAsia" w:ascii="宋体" w:hAnsi="宋体" w:eastAsia="宋体" w:cs="宋体"/>
                <w:b/>
                <w:bCs/>
                <w:kern w:val="0"/>
                <w:sz w:val="24"/>
                <w:highlight w:val="none"/>
              </w:rPr>
              <w:t>华春众创工场（富平）（详细地址：富平县富兴路中段西侧紫御台B区商务楼四层</w:t>
            </w:r>
            <w:r>
              <w:rPr>
                <w:rFonts w:hint="eastAsia" w:ascii="宋体" w:hAnsi="宋体" w:eastAsia="宋体" w:cs="Times New Roman"/>
                <w:b/>
                <w:bCs/>
                <w:sz w:val="24"/>
                <w:highlight w:val="none"/>
                <w:lang w:eastAsia="zh-CN"/>
              </w:rPr>
              <w:t>）</w:t>
            </w:r>
            <w:r>
              <w:rPr>
                <w:rFonts w:hint="eastAsia" w:ascii="宋体" w:hAnsi="宋体" w:eastAsia="宋体" w:cs="Times New Roman"/>
                <w:sz w:val="24"/>
                <w:highlight w:val="none"/>
                <w:lang w:eastAsia="zh-CN"/>
              </w:rPr>
              <w:t>，并将保函复印件附在磋商响应文件规定处。</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rPr>
            </w:pPr>
            <w:r>
              <w:rPr>
                <w:rFonts w:hint="eastAsia" w:ascii="宋体" w:hAnsi="宋体"/>
                <w:sz w:val="24"/>
                <w:highlight w:val="none"/>
                <w:lang w:eastAsia="zh-CN"/>
              </w:rPr>
              <w:t>磋商保证金</w:t>
            </w:r>
            <w:r>
              <w:rPr>
                <w:rFonts w:hint="eastAsia" w:ascii="宋体" w:hAnsi="宋体"/>
                <w:sz w:val="24"/>
                <w:highlight w:val="none"/>
              </w:rPr>
              <w:t>的金额（人民币）</w:t>
            </w:r>
            <w:r>
              <w:rPr>
                <w:rFonts w:hint="eastAsia" w:ascii="宋体" w:hAnsi="宋体"/>
                <w:color w:val="auto"/>
                <w:sz w:val="24"/>
                <w:highlight w:val="none"/>
              </w:rPr>
              <w:t>：</w:t>
            </w:r>
            <w:r>
              <w:rPr>
                <w:rFonts w:hint="eastAsia" w:ascii="宋体" w:hAnsi="宋体" w:cs="Times New Roman"/>
                <w:b/>
                <w:color w:val="auto"/>
                <w:sz w:val="24"/>
                <w:highlight w:val="none"/>
                <w:u w:val="single"/>
                <w:lang w:val="en-US" w:eastAsia="zh-CN"/>
              </w:rPr>
              <w:t>壹万元整</w:t>
            </w:r>
            <w:r>
              <w:rPr>
                <w:rFonts w:hint="eastAsia" w:ascii="宋体" w:hAnsi="宋体"/>
                <w:b/>
                <w:color w:val="auto"/>
                <w:sz w:val="24"/>
                <w:highlight w:val="none"/>
                <w:u w:val="single"/>
                <w:lang w:val="en-US" w:eastAsia="zh-CN"/>
              </w:rPr>
              <w:t>（10000</w:t>
            </w:r>
            <w:r>
              <w:rPr>
                <w:rFonts w:hint="eastAsia" w:ascii="宋体" w:hAnsi="宋体"/>
                <w:b/>
                <w:color w:val="auto"/>
                <w:sz w:val="24"/>
                <w:highlight w:val="none"/>
                <w:u w:val="single"/>
              </w:rPr>
              <w:t>.00</w:t>
            </w:r>
            <w:r>
              <w:rPr>
                <w:rFonts w:hint="eastAsia" w:ascii="宋体" w:hAnsi="宋体"/>
                <w:b/>
                <w:color w:val="auto"/>
                <w:sz w:val="24"/>
                <w:highlight w:val="none"/>
                <w:u w:val="single"/>
                <w:lang w:val="en-US" w:eastAsia="zh-CN"/>
              </w:rPr>
              <w:t>元</w:t>
            </w:r>
            <w:r>
              <w:rPr>
                <w:rFonts w:hint="eastAsia" w:ascii="宋体" w:hAnsi="宋体"/>
                <w:b/>
                <w:color w:val="auto"/>
                <w:sz w:val="24"/>
                <w:highlight w:val="none"/>
                <w:u w:val="single"/>
              </w:rPr>
              <w:t>）</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cs="宋体"/>
                <w:kern w:val="1"/>
                <w:sz w:val="24"/>
                <w:highlight w:val="none"/>
                <w:lang w:val="en-US" w:eastAsia="zh-CN"/>
              </w:rPr>
            </w:pPr>
            <w:r>
              <w:rPr>
                <w:rFonts w:hint="eastAsia" w:ascii="宋体" w:hAnsi="宋体"/>
                <w:sz w:val="24"/>
                <w:highlight w:val="none"/>
                <w:lang w:eastAsia="zh-CN"/>
              </w:rPr>
              <w:t>磋商保证金</w:t>
            </w:r>
            <w:r>
              <w:rPr>
                <w:rFonts w:hint="eastAsia" w:ascii="宋体" w:hAnsi="宋体"/>
                <w:sz w:val="24"/>
                <w:highlight w:val="none"/>
              </w:rPr>
              <w:t>提交时间：</w:t>
            </w:r>
            <w:r>
              <w:rPr>
                <w:rFonts w:hint="eastAsia" w:ascii="宋体" w:hAnsi="宋体" w:cs="宋体"/>
                <w:kern w:val="1"/>
                <w:sz w:val="24"/>
                <w:highlight w:val="none"/>
                <w:lang w:val="en-US" w:eastAsia="zh-CN"/>
              </w:rPr>
              <w:t>提交响应文件截止时间之前</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b/>
                <w:sz w:val="24"/>
                <w:highlight w:val="none"/>
              </w:rPr>
            </w:pPr>
            <w:r>
              <w:rPr>
                <w:rFonts w:hint="eastAsia" w:ascii="宋体" w:hAnsi="宋体"/>
                <w:sz w:val="24"/>
                <w:highlight w:val="none"/>
              </w:rPr>
              <w:t>汇入单位名称：</w:t>
            </w:r>
            <w:r>
              <w:rPr>
                <w:rFonts w:hint="eastAsia" w:ascii="宋体" w:hAnsi="宋体"/>
                <w:b/>
                <w:sz w:val="24"/>
                <w:highlight w:val="none"/>
              </w:rPr>
              <w:t>华春建设工程项目管理有限责任公司</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b/>
                <w:sz w:val="24"/>
                <w:highlight w:val="none"/>
              </w:rPr>
            </w:pPr>
            <w:r>
              <w:rPr>
                <w:rFonts w:hint="eastAsia" w:ascii="宋体" w:hAnsi="宋体"/>
                <w:sz w:val="24"/>
                <w:highlight w:val="none"/>
              </w:rPr>
              <w:t>开户行名称：</w:t>
            </w:r>
            <w:r>
              <w:rPr>
                <w:rFonts w:hint="eastAsia" w:ascii="宋体" w:hAnsi="宋体"/>
                <w:b/>
                <w:sz w:val="24"/>
                <w:highlight w:val="none"/>
              </w:rPr>
              <w:t>平安银行西安分行营业部</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eastAsia="宋体"/>
                <w:highlight w:val="none"/>
                <w:lang w:val="en-US" w:eastAsia="zh-CN"/>
              </w:rPr>
            </w:pPr>
            <w:r>
              <w:rPr>
                <w:rFonts w:hint="eastAsia" w:ascii="宋体" w:hAnsi="宋体"/>
                <w:kern w:val="2"/>
                <w:sz w:val="24"/>
                <w:szCs w:val="24"/>
                <w:highlight w:val="none"/>
                <w:lang w:val="en-US" w:eastAsia="zh-CN" w:bidi="ar-SA"/>
              </w:rPr>
              <w:t>行  号：</w:t>
            </w:r>
            <w:r>
              <w:rPr>
                <w:rFonts w:hint="eastAsia" w:ascii="宋体" w:hAnsi="宋体" w:eastAsia="宋体" w:cs="Times New Roman"/>
                <w:b/>
                <w:kern w:val="2"/>
                <w:sz w:val="24"/>
                <w:szCs w:val="24"/>
                <w:highlight w:val="none"/>
                <w:lang w:val="en-US" w:eastAsia="zh-CN" w:bidi="ar-SA"/>
              </w:rPr>
              <w:t>307584007998</w:t>
            </w:r>
          </w:p>
          <w:p>
            <w:pPr>
              <w:pStyle w:val="3"/>
              <w:outlineLvl w:val="9"/>
              <w:rPr>
                <w:rFonts w:hint="default" w:ascii="宋体" w:hAnsi="宋体" w:eastAsia="宋体"/>
                <w:b/>
                <w:sz w:val="24"/>
                <w:highlight w:val="green"/>
                <w:lang w:val="en-US" w:eastAsia="zh-CN"/>
              </w:rPr>
            </w:pPr>
            <w:r>
              <w:rPr>
                <w:rFonts w:hint="eastAsia" w:ascii="宋体" w:hAnsi="宋体"/>
                <w:sz w:val="24"/>
                <w:highlight w:val="none"/>
                <w:lang w:val="en-US" w:eastAsia="zh-CN"/>
              </w:rPr>
              <w:t xml:space="preserve">账  </w:t>
            </w:r>
            <w:r>
              <w:rPr>
                <w:rFonts w:hint="eastAsia" w:ascii="宋体" w:hAnsi="宋体"/>
                <w:sz w:val="24"/>
                <w:highlight w:val="none"/>
              </w:rPr>
              <w:t>号：</w:t>
            </w:r>
            <w:r>
              <w:rPr>
                <w:rFonts w:hint="eastAsia" w:ascii="宋体" w:hAnsi="宋体" w:eastAsia="宋体" w:cs="Times New Roman"/>
                <w:b/>
                <w:kern w:val="2"/>
                <w:sz w:val="24"/>
                <w:szCs w:val="24"/>
                <w:highlight w:val="none"/>
                <w:lang w:val="en-US" w:eastAsia="zh-CN" w:bidi="ar-SA"/>
              </w:rPr>
              <w:t>3020847100</w:t>
            </w:r>
            <w:r>
              <w:rPr>
                <w:rFonts w:hint="eastAsia" w:ascii="宋体" w:hAnsi="宋体" w:cs="Times New Roman"/>
                <w:b/>
                <w:kern w:val="2"/>
                <w:sz w:val="24"/>
                <w:szCs w:val="24"/>
                <w:highlight w:val="none"/>
                <w:lang w:val="en-US" w:eastAsia="zh-CN" w:bidi="ar-SA"/>
              </w:rPr>
              <w:t>1014</w:t>
            </w:r>
          </w:p>
          <w:p>
            <w:pPr>
              <w:pStyle w:val="3"/>
              <w:outlineLvl w:val="9"/>
              <w:rPr>
                <w:rFonts w:hint="eastAsia" w:ascii="宋体" w:hAnsi="宋体"/>
                <w:b/>
                <w:sz w:val="24"/>
                <w:highlight w:val="none"/>
              </w:rPr>
            </w:pPr>
            <w:r>
              <w:rPr>
                <w:rFonts w:hint="eastAsia" w:ascii="宋体" w:hAnsi="宋体"/>
                <w:b/>
                <w:sz w:val="24"/>
                <w:highlight w:val="none"/>
                <w:lang w:eastAsia="zh-CN"/>
              </w:rPr>
              <w:t>（</w:t>
            </w:r>
            <w:r>
              <w:rPr>
                <w:rFonts w:hint="eastAsia" w:ascii="宋体" w:hAnsi="宋体"/>
                <w:b/>
                <w:sz w:val="24"/>
                <w:highlight w:val="none"/>
                <w:lang w:val="en-US" w:eastAsia="zh-CN"/>
              </w:rPr>
              <w:t>本账号仅用于磋商保证金的转账</w:t>
            </w:r>
            <w:r>
              <w:rPr>
                <w:rFonts w:hint="eastAsia" w:ascii="宋体" w:hAnsi="宋体"/>
                <w:b/>
                <w:sz w:val="24"/>
                <w:highlight w:val="none"/>
                <w:lang w:eastAsia="zh-CN"/>
              </w:rPr>
              <w:t>）</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lang w:eastAsia="zh-CN"/>
              </w:rPr>
            </w:pPr>
            <w:r>
              <w:rPr>
                <w:rFonts w:hint="eastAsia" w:ascii="宋体" w:hAnsi="宋体"/>
                <w:sz w:val="24"/>
                <w:highlight w:val="none"/>
              </w:rPr>
              <w:t>汇款用途：</w:t>
            </w:r>
            <w:r>
              <w:rPr>
                <w:rFonts w:hint="eastAsia" w:ascii="宋体" w:hAnsi="宋体" w:eastAsia="宋体" w:cs="宋体"/>
                <w:kern w:val="1"/>
                <w:sz w:val="24"/>
                <w:highlight w:val="none"/>
                <w:u w:val="single"/>
                <w:lang w:val="en-US" w:eastAsia="zh-CN"/>
              </w:rPr>
              <w:t xml:space="preserve">          （项目名称）</w:t>
            </w:r>
            <w:r>
              <w:rPr>
                <w:rFonts w:hint="eastAsia" w:ascii="宋体" w:hAnsi="宋体"/>
                <w:spacing w:val="0"/>
                <w:sz w:val="24"/>
                <w:highlight w:val="none"/>
                <w:u w:val="none"/>
                <w:lang w:val="en-US" w:eastAsia="zh-CN"/>
              </w:rPr>
              <w:t>磋商保证金（可简写），</w:t>
            </w:r>
            <w:r>
              <w:rPr>
                <w:rFonts w:hint="eastAsia" w:ascii="宋体" w:hAnsi="宋体"/>
                <w:sz w:val="24"/>
                <w:highlight w:val="none"/>
              </w:rPr>
              <w:t>开标时供应商须提供</w:t>
            </w:r>
            <w:r>
              <w:rPr>
                <w:rFonts w:hint="eastAsia" w:ascii="宋体" w:hAnsi="宋体"/>
                <w:sz w:val="24"/>
                <w:highlight w:val="none"/>
                <w:lang w:val="en-US" w:eastAsia="zh-CN"/>
              </w:rPr>
              <w:t>磋商</w:t>
            </w:r>
            <w:r>
              <w:rPr>
                <w:rFonts w:hint="eastAsia" w:ascii="宋体" w:hAnsi="宋体"/>
                <w:sz w:val="24"/>
                <w:highlight w:val="none"/>
              </w:rPr>
              <w:t>保证金转账凭证</w:t>
            </w:r>
            <w:r>
              <w:rPr>
                <w:rFonts w:hint="eastAsia" w:ascii="宋体" w:hAnsi="宋体"/>
                <w:sz w:val="24"/>
                <w:highlight w:val="none"/>
                <w:lang w:val="en-US" w:eastAsia="zh-CN"/>
              </w:rPr>
              <w:t>和基本账户信息证明资料</w:t>
            </w:r>
            <w:r>
              <w:rPr>
                <w:rFonts w:hint="eastAsia" w:ascii="宋体" w:hAnsi="宋体"/>
                <w:sz w:val="24"/>
                <w:highlight w:val="none"/>
              </w:rPr>
              <w:t>复印件</w:t>
            </w:r>
            <w:r>
              <w:rPr>
                <w:rFonts w:hint="eastAsia" w:ascii="宋体" w:hAnsi="宋体"/>
                <w:sz w:val="24"/>
                <w:highlight w:val="none"/>
                <w:lang w:val="en-US" w:eastAsia="zh-CN"/>
              </w:rPr>
              <w:t>并</w:t>
            </w:r>
            <w:r>
              <w:rPr>
                <w:rFonts w:hint="eastAsia" w:ascii="宋体" w:hAnsi="宋体"/>
                <w:sz w:val="24"/>
                <w:highlight w:val="none"/>
              </w:rPr>
              <w:t>加盖单位公章</w:t>
            </w:r>
            <w:r>
              <w:rPr>
                <w:rFonts w:hint="eastAsia" w:cs="宋体"/>
                <w:kern w:val="0"/>
                <w:sz w:val="24"/>
                <w:szCs w:val="24"/>
                <w:highlight w:val="none"/>
                <w:lang w:val="en-US" w:eastAsia="zh-CN"/>
              </w:rPr>
              <w:t>或</w:t>
            </w:r>
            <w:r>
              <w:rPr>
                <w:rFonts w:hint="eastAsia" w:ascii="宋体" w:hAnsi="宋体" w:cs="宋体"/>
                <w:sz w:val="24"/>
                <w:szCs w:val="24"/>
                <w:highlight w:val="none"/>
                <w:lang w:val="en-US" w:eastAsia="zh-CN"/>
              </w:rPr>
              <w:t>金融机构、</w:t>
            </w:r>
            <w:r>
              <w:rPr>
                <w:rFonts w:hint="eastAsia" w:cs="宋体"/>
                <w:kern w:val="0"/>
                <w:sz w:val="24"/>
                <w:szCs w:val="24"/>
                <w:highlight w:val="none"/>
                <w:lang w:val="en-US" w:eastAsia="zh-CN"/>
              </w:rPr>
              <w:t>担保机构出具的保函复印件</w:t>
            </w:r>
            <w:r>
              <w:rPr>
                <w:rFonts w:hint="eastAsia" w:ascii="宋体" w:hAnsi="宋体"/>
                <w:sz w:val="24"/>
                <w:highlight w:val="none"/>
              </w:rPr>
              <w:t>，否则视为自动放弃投标。磋商保证金的有效期与磋商有效期一致。</w:t>
            </w:r>
            <w:r>
              <w:rPr>
                <w:rFonts w:hint="eastAsia" w:ascii="宋体" w:hAnsi="宋体" w:cs="宋体"/>
                <w:sz w:val="24"/>
                <w:szCs w:val="24"/>
                <w:highlight w:val="none"/>
                <w:lang w:val="en-US" w:eastAsia="zh-CN"/>
              </w:rPr>
              <w:t>金融机构、</w:t>
            </w:r>
            <w:r>
              <w:rPr>
                <w:rFonts w:hint="eastAsia" w:ascii="宋体" w:hAnsi="宋体"/>
                <w:sz w:val="24"/>
                <w:highlight w:val="none"/>
              </w:rPr>
              <w:t>担保机构出具的保函的有效期为磋商有效期延长一个月。</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rPr>
            </w:pPr>
            <w:r>
              <w:rPr>
                <w:rFonts w:hint="eastAsia" w:ascii="宋体" w:hAnsi="宋体" w:cs="宋体"/>
                <w:b/>
                <w:kern w:val="1"/>
                <w:sz w:val="24"/>
                <w:highlight w:val="none"/>
              </w:rPr>
              <w:t>请转款时务必在摘要处注明项目名称，同时请电话查询是否到账：（</w:t>
            </w:r>
            <w:r>
              <w:rPr>
                <w:rFonts w:hint="eastAsia" w:ascii="宋体" w:hAnsi="宋体" w:cs="宋体"/>
                <w:b/>
                <w:kern w:val="1"/>
                <w:sz w:val="24"/>
                <w:highlight w:val="none"/>
                <w:lang w:val="en-US" w:eastAsia="zh-CN"/>
              </w:rPr>
              <w:t>0913-8219328</w:t>
            </w:r>
            <w:r>
              <w:rPr>
                <w:rFonts w:hint="eastAsia" w:ascii="宋体" w:hAnsi="宋体" w:cs="宋体"/>
                <w:b/>
                <w:kern w:val="1"/>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2017" w:type="dxa"/>
            <w:noWrap w:val="0"/>
            <w:vAlign w:val="center"/>
          </w:tcPr>
          <w:p>
            <w:pPr>
              <w:spacing w:line="400" w:lineRule="exact"/>
              <w:jc w:val="center"/>
              <w:outlineLvl w:val="9"/>
              <w:rPr>
                <w:rFonts w:hint="eastAsia" w:ascii="宋体" w:hAnsi="宋体"/>
                <w:sz w:val="24"/>
                <w:highlight w:val="none"/>
              </w:rPr>
            </w:pPr>
            <w:r>
              <w:rPr>
                <w:rFonts w:hint="eastAsia" w:ascii="宋体" w:hAnsi="宋体"/>
                <w:sz w:val="24"/>
                <w:highlight w:val="none"/>
                <w:lang w:eastAsia="zh-CN"/>
              </w:rPr>
              <w:t>招标</w:t>
            </w:r>
            <w:r>
              <w:rPr>
                <w:rFonts w:hint="eastAsia" w:ascii="宋体" w:hAnsi="宋体"/>
                <w:sz w:val="24"/>
                <w:highlight w:val="none"/>
              </w:rPr>
              <w:t>代理费</w:t>
            </w:r>
            <w:r>
              <w:rPr>
                <w:rFonts w:hint="eastAsia" w:ascii="宋体" w:hAnsi="宋体"/>
                <w:sz w:val="24"/>
                <w:highlight w:val="none"/>
                <w:lang w:eastAsia="zh-CN"/>
              </w:rPr>
              <w:t>、</w:t>
            </w:r>
            <w:r>
              <w:rPr>
                <w:rFonts w:hint="eastAsia" w:ascii="宋体" w:hAnsi="宋体"/>
                <w:sz w:val="24"/>
                <w:highlight w:val="none"/>
                <w:lang w:val="en-US" w:eastAsia="zh-CN"/>
              </w:rPr>
              <w:t>编制标底费</w:t>
            </w:r>
            <w:r>
              <w:rPr>
                <w:rFonts w:hint="eastAsia" w:ascii="宋体" w:hAnsi="宋体"/>
                <w:sz w:val="24"/>
                <w:highlight w:val="none"/>
              </w:rPr>
              <w:t>的收费依据及支付依据</w:t>
            </w:r>
          </w:p>
        </w:tc>
        <w:tc>
          <w:tcPr>
            <w:tcW w:w="7161" w:type="dxa"/>
            <w:noWrap w:val="0"/>
            <w:vAlign w:val="center"/>
          </w:tcPr>
          <w:p>
            <w:pPr>
              <w:spacing w:line="400" w:lineRule="exact"/>
              <w:jc w:val="both"/>
              <w:outlineLvl w:val="9"/>
              <w:rPr>
                <w:rFonts w:hint="default"/>
                <w:highlight w:val="none"/>
                <w:lang w:val="en-US"/>
              </w:rPr>
            </w:pPr>
            <w:r>
              <w:rPr>
                <w:rFonts w:hint="eastAsia" w:ascii="宋体" w:hAnsi="宋体" w:eastAsia="宋体" w:cs="Times New Roman"/>
                <w:sz w:val="24"/>
                <w:highlight w:val="none"/>
              </w:rPr>
              <w:t>收费依据：</w:t>
            </w:r>
            <w:r>
              <w:rPr>
                <w:rFonts w:hint="eastAsia" w:ascii="宋体" w:hAnsi="宋体" w:eastAsia="宋体" w:cs="Times New Roman"/>
                <w:sz w:val="24"/>
                <w:highlight w:val="none"/>
                <w:lang w:val="en-US" w:eastAsia="zh-CN"/>
              </w:rPr>
              <w:t>招标代理费</w:t>
            </w:r>
            <w:r>
              <w:rPr>
                <w:rFonts w:hint="eastAsia" w:ascii="宋体" w:hAnsi="宋体" w:cs="Times New Roman"/>
                <w:sz w:val="24"/>
                <w:highlight w:val="none"/>
                <w:lang w:val="en-US" w:eastAsia="zh-CN"/>
              </w:rPr>
              <w:t>参考</w:t>
            </w:r>
            <w:r>
              <w:rPr>
                <w:rFonts w:hint="eastAsia" w:ascii="宋体" w:hAnsi="宋体" w:eastAsia="宋体" w:cs="Times New Roman"/>
                <w:sz w:val="24"/>
                <w:highlight w:val="none"/>
                <w:lang w:val="en-US" w:eastAsia="zh-CN"/>
              </w:rPr>
              <w:t>（发改价格【2002】1980号文件）计算收取、编制标底费按（陕价行发【2014】88号文件）计算收取。支付依据：按（发改办价格【2003】857号文件），由成交供应商支付。若本次招标失败（非代理机构原因），招标代理费及编制标底费由采购人支付。具体金额详见中标（成交）结果公告，在领取成交通知书时向采购代理机构一次付清（现金或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21</w:t>
            </w:r>
          </w:p>
        </w:tc>
        <w:tc>
          <w:tcPr>
            <w:tcW w:w="2017" w:type="dxa"/>
            <w:noWrap w:val="0"/>
            <w:vAlign w:val="center"/>
          </w:tcPr>
          <w:p>
            <w:pPr>
              <w:spacing w:line="400" w:lineRule="exact"/>
              <w:jc w:val="center"/>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最高限价</w:t>
            </w:r>
          </w:p>
        </w:tc>
        <w:tc>
          <w:tcPr>
            <w:tcW w:w="71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壹佰叁拾万零叁佰叁拾伍元捌角肆分（</w:t>
            </w:r>
            <w:r>
              <w:rPr>
                <w:rFonts w:hint="eastAsia" w:ascii="宋体" w:hAnsi="宋体" w:eastAsia="宋体" w:cs="宋体"/>
                <w:i w:val="0"/>
                <w:iCs w:val="0"/>
                <w:caps w:val="0"/>
                <w:color w:val="auto"/>
                <w:spacing w:val="0"/>
                <w:sz w:val="24"/>
                <w:szCs w:val="24"/>
                <w:shd w:val="clear" w:fill="FFFFFF"/>
              </w:rPr>
              <w:t>1,300,335.84</w:t>
            </w:r>
            <w:r>
              <w:rPr>
                <w:rFonts w:hint="eastAsia" w:ascii="宋体" w:hAnsi="宋体" w:cs="Times New Roman"/>
                <w:color w:val="auto"/>
                <w:sz w:val="24"/>
                <w:highlight w:val="none"/>
                <w:lang w:val="en-US" w:eastAsia="zh-CN"/>
              </w:rPr>
              <w:t>元）</w:t>
            </w:r>
            <w:r>
              <w:rPr>
                <w:rFonts w:hint="eastAsia" w:ascii="宋体" w:hAnsi="宋体" w:eastAsia="宋体" w:cs="Times New Roman"/>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eastAsia="宋体" w:cs="Times New Roman"/>
                <w:color w:val="auto"/>
                <w:sz w:val="24"/>
                <w:highlight w:val="none"/>
              </w:rPr>
              <w:t>任何超过此</w:t>
            </w:r>
            <w:r>
              <w:rPr>
                <w:rFonts w:hint="eastAsia" w:ascii="宋体" w:hAnsi="宋体" w:eastAsia="宋体" w:cs="Times New Roman"/>
                <w:color w:val="auto"/>
                <w:sz w:val="24"/>
                <w:highlight w:val="none"/>
                <w:lang w:val="en-US" w:eastAsia="zh-CN"/>
              </w:rPr>
              <w:t>价</w:t>
            </w:r>
            <w:r>
              <w:rPr>
                <w:rFonts w:hint="eastAsia" w:ascii="宋体" w:hAnsi="宋体" w:eastAsia="宋体" w:cs="Times New Roman"/>
                <w:color w:val="auto"/>
                <w:sz w:val="24"/>
                <w:highlight w:val="none"/>
              </w:rPr>
              <w:t>的</w:t>
            </w:r>
            <w:r>
              <w:rPr>
                <w:rFonts w:hint="eastAsia" w:ascii="宋体" w:hAnsi="宋体" w:eastAsia="宋体" w:cs="Times New Roman"/>
                <w:color w:val="auto"/>
                <w:sz w:val="24"/>
                <w:highlight w:val="none"/>
                <w:lang w:val="en-US" w:eastAsia="zh-CN"/>
              </w:rPr>
              <w:t>磋商</w:t>
            </w:r>
            <w:r>
              <w:rPr>
                <w:rFonts w:hint="eastAsia" w:ascii="宋体" w:hAnsi="宋体" w:eastAsia="宋体" w:cs="Times New Roman"/>
                <w:color w:val="auto"/>
                <w:sz w:val="24"/>
                <w:highlight w:val="none"/>
              </w:rPr>
              <w:t>报价，</w:t>
            </w:r>
            <w:r>
              <w:rPr>
                <w:rFonts w:hint="eastAsia" w:ascii="宋体" w:hAnsi="宋体"/>
                <w:color w:val="auto"/>
                <w:sz w:val="24"/>
                <w:highlight w:val="none"/>
              </w:rPr>
              <w:t>采购人不予接受。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22</w:t>
            </w:r>
          </w:p>
        </w:tc>
        <w:tc>
          <w:tcPr>
            <w:tcW w:w="2017" w:type="dxa"/>
            <w:noWrap w:val="0"/>
            <w:vAlign w:val="center"/>
          </w:tcPr>
          <w:p>
            <w:pPr>
              <w:spacing w:line="400" w:lineRule="exact"/>
              <w:jc w:val="center"/>
              <w:outlineLvl w:val="9"/>
              <w:rPr>
                <w:rFonts w:hint="eastAsia" w:ascii="宋体" w:hAnsi="宋体"/>
                <w:sz w:val="24"/>
              </w:rPr>
            </w:pPr>
            <w:r>
              <w:rPr>
                <w:rFonts w:hint="eastAsia" w:ascii="宋体" w:hAnsi="宋体" w:eastAsia="宋体" w:cs="Times New Roman"/>
                <w:sz w:val="24"/>
                <w:lang w:val="en-US" w:eastAsia="zh-CN"/>
              </w:rPr>
              <w:t>签字或盖章要求</w:t>
            </w:r>
          </w:p>
        </w:tc>
        <w:tc>
          <w:tcPr>
            <w:tcW w:w="7161" w:type="dxa"/>
            <w:noWrap w:val="0"/>
            <w:vAlign w:val="center"/>
          </w:tcPr>
          <w:p>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1.响应文件包装上加盖供应商单位公章和法定代表人或其委托代理人签字或盖章，封口加盖供应商单位公章。 </w:t>
            </w:r>
          </w:p>
          <w:p>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2.响应文件格式中标明签字和盖章处，应签字或盖章。 </w:t>
            </w:r>
          </w:p>
          <w:p>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eastAsia="宋体" w:cs="Times New Roman"/>
                <w:color w:val="auto"/>
                <w:sz w:val="24"/>
                <w:highlight w:val="none"/>
                <w:lang w:val="en-US" w:eastAsia="zh-CN"/>
              </w:rPr>
              <w:t>3.已标价工程量清单应逐页加盖供应商单位公章和法定代表人或其委托代理人签字，且造价人员应签字并加盖执业印章。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06" w:type="dxa"/>
            <w:noWrap w:val="0"/>
            <w:vAlign w:val="center"/>
          </w:tcPr>
          <w:p>
            <w:pPr>
              <w:spacing w:line="420" w:lineRule="exact"/>
              <w:jc w:val="center"/>
              <w:outlineLvl w:val="9"/>
              <w:rPr>
                <w:rFonts w:hint="default"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23</w:t>
            </w:r>
          </w:p>
        </w:tc>
        <w:tc>
          <w:tcPr>
            <w:tcW w:w="2017" w:type="dxa"/>
            <w:noWrap w:val="0"/>
            <w:vAlign w:val="center"/>
          </w:tcPr>
          <w:p>
            <w:pPr>
              <w:spacing w:line="400" w:lineRule="exact"/>
              <w:jc w:val="center"/>
              <w:outlineLvl w:val="9"/>
              <w:rPr>
                <w:rFonts w:hint="eastAsia" w:ascii="宋体" w:hAnsi="宋体" w:eastAsia="宋体" w:cs="Times New Roman"/>
                <w:kern w:val="2"/>
                <w:sz w:val="24"/>
                <w:szCs w:val="24"/>
                <w:lang w:val="en-US" w:eastAsia="zh-CN" w:bidi="ar-SA"/>
              </w:rPr>
            </w:pPr>
            <w:r>
              <w:rPr>
                <w:rFonts w:hint="eastAsia" w:ascii="宋体" w:hAnsi="宋体"/>
                <w:sz w:val="24"/>
              </w:rPr>
              <w:t>递交磋商响应文件截止时间、地点</w:t>
            </w:r>
          </w:p>
        </w:tc>
        <w:tc>
          <w:tcPr>
            <w:tcW w:w="71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份 数：正本一</w:t>
            </w:r>
            <w:r>
              <w:rPr>
                <w:rFonts w:hint="eastAsia" w:ascii="宋体" w:hAnsi="宋体"/>
                <w:color w:val="auto"/>
                <w:sz w:val="24"/>
                <w:highlight w:val="none"/>
                <w:lang w:eastAsia="zh-CN"/>
              </w:rPr>
              <w:t>份</w:t>
            </w:r>
            <w:r>
              <w:rPr>
                <w:rFonts w:hint="eastAsia" w:ascii="宋体" w:hAnsi="宋体"/>
                <w:color w:val="auto"/>
                <w:sz w:val="24"/>
                <w:highlight w:val="none"/>
              </w:rPr>
              <w:t>、副本</w:t>
            </w:r>
            <w:r>
              <w:rPr>
                <w:rFonts w:hint="eastAsia" w:ascii="宋体" w:hAnsi="宋体"/>
                <w:color w:val="auto"/>
                <w:sz w:val="24"/>
                <w:highlight w:val="none"/>
                <w:lang w:val="en-US" w:eastAsia="zh-CN"/>
              </w:rPr>
              <w:t>两份</w:t>
            </w:r>
            <w:r>
              <w:rPr>
                <w:rFonts w:hint="eastAsia" w:ascii="宋体" w:hAnsi="宋体"/>
                <w:color w:val="auto"/>
                <w:sz w:val="24"/>
                <w:highlight w:val="none"/>
              </w:rPr>
              <w:t>及电子U盘</w:t>
            </w:r>
            <w:r>
              <w:rPr>
                <w:rFonts w:hint="eastAsia" w:ascii="宋体" w:hAnsi="宋体"/>
                <w:color w:val="auto"/>
                <w:sz w:val="24"/>
                <w:highlight w:val="none"/>
                <w:lang w:val="en-US" w:eastAsia="zh-CN"/>
              </w:rPr>
              <w:t>两份</w:t>
            </w:r>
          </w:p>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时 间：20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lang w:val="en-US" w:eastAsia="zh-CN"/>
              </w:rPr>
              <w:t>06</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(北京时间)</w:t>
            </w:r>
          </w:p>
          <w:p>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color w:val="auto"/>
                <w:sz w:val="24"/>
                <w:highlight w:val="none"/>
              </w:rPr>
              <w:t>地 点：华春众创工场（富平）</w:t>
            </w:r>
            <w:r>
              <w:rPr>
                <w:rFonts w:hint="eastAsia" w:ascii="宋体" w:hAnsi="宋体"/>
                <w:color w:val="auto"/>
                <w:sz w:val="24"/>
                <w:highlight w:val="none"/>
                <w:lang w:val="en-US" w:eastAsia="zh-CN"/>
              </w:rPr>
              <w:t>2号</w:t>
            </w:r>
            <w:r>
              <w:rPr>
                <w:rFonts w:hint="eastAsia" w:ascii="宋体" w:hAnsi="宋体"/>
                <w:color w:val="auto"/>
                <w:sz w:val="24"/>
                <w:highlight w:val="none"/>
              </w:rPr>
              <w:t>会议室</w:t>
            </w:r>
          </w:p>
          <w:p>
            <w:pPr>
              <w:keepNext w:val="0"/>
              <w:keepLines w:val="0"/>
              <w:pageBreakBefore w:val="0"/>
              <w:widowControl w:val="0"/>
              <w:kinsoku/>
              <w:wordWrap/>
              <w:overflowPunct/>
              <w:topLinePunct w:val="0"/>
              <w:autoSpaceDE/>
              <w:autoSpaceDN/>
              <w:bidi w:val="0"/>
              <w:adjustRightInd/>
              <w:snapToGrid/>
              <w:spacing w:line="360" w:lineRule="exact"/>
              <w:ind w:left="960" w:leftChars="0" w:hanging="960" w:hangingChars="4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（详细地址：富平县富兴路中段西侧紫御台B区商务楼四层）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24</w:t>
            </w:r>
          </w:p>
        </w:tc>
        <w:tc>
          <w:tcPr>
            <w:tcW w:w="2017" w:type="dxa"/>
            <w:noWrap w:val="0"/>
            <w:vAlign w:val="center"/>
          </w:tcPr>
          <w:p>
            <w:pPr>
              <w:spacing w:line="400" w:lineRule="exact"/>
              <w:jc w:val="center"/>
              <w:outlineLvl w:val="9"/>
              <w:rPr>
                <w:rFonts w:hint="eastAsia" w:ascii="宋体" w:hAnsi="宋体"/>
                <w:sz w:val="24"/>
              </w:rPr>
            </w:pPr>
            <w:r>
              <w:rPr>
                <w:rFonts w:hint="eastAsia" w:ascii="宋体" w:hAnsi="宋体"/>
                <w:sz w:val="24"/>
              </w:rPr>
              <w:t>开标时间及地点</w:t>
            </w:r>
          </w:p>
        </w:tc>
        <w:tc>
          <w:tcPr>
            <w:tcW w:w="71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lang w:val="en-US" w:eastAsia="zh-CN"/>
              </w:rPr>
              <w:t>06</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(北京时间)</w:t>
            </w:r>
          </w:p>
          <w:p>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color w:val="auto"/>
                <w:sz w:val="24"/>
                <w:highlight w:val="none"/>
              </w:rPr>
              <w:t>开标地点：华春众创工场（富平）</w:t>
            </w:r>
            <w:r>
              <w:rPr>
                <w:rFonts w:hint="eastAsia" w:ascii="宋体" w:hAnsi="宋体"/>
                <w:color w:val="auto"/>
                <w:sz w:val="24"/>
                <w:highlight w:val="none"/>
                <w:lang w:val="en-US" w:eastAsia="zh-CN"/>
              </w:rPr>
              <w:t>2号</w:t>
            </w:r>
            <w:r>
              <w:rPr>
                <w:rFonts w:hint="eastAsia" w:ascii="宋体" w:hAnsi="宋体"/>
                <w:color w:val="auto"/>
                <w:sz w:val="24"/>
                <w:highlight w:val="none"/>
              </w:rPr>
              <w:t>会议室</w:t>
            </w:r>
          </w:p>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（详细地址：富平县富兴路中段西侧紫御台B区商务楼四层）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706" w:type="dxa"/>
            <w:noWrap w:val="0"/>
            <w:vAlign w:val="center"/>
          </w:tcPr>
          <w:p>
            <w:pPr>
              <w:spacing w:line="420" w:lineRule="exact"/>
              <w:jc w:val="center"/>
              <w:outlineLvl w:val="9"/>
              <w:rPr>
                <w:rFonts w:hint="default" w:ascii="宋体" w:hAnsi="宋体"/>
                <w:sz w:val="24"/>
                <w:highlight w:val="none"/>
                <w:lang w:val="en-US"/>
              </w:rPr>
            </w:pPr>
            <w:r>
              <w:rPr>
                <w:rFonts w:hint="eastAsia" w:ascii="宋体" w:hAnsi="宋体"/>
                <w:sz w:val="24"/>
                <w:highlight w:val="none"/>
                <w:lang w:val="en-US" w:eastAsia="zh-CN"/>
              </w:rPr>
              <w:t>25</w:t>
            </w:r>
          </w:p>
        </w:tc>
        <w:tc>
          <w:tcPr>
            <w:tcW w:w="2017" w:type="dxa"/>
            <w:noWrap w:val="0"/>
            <w:vAlign w:val="center"/>
          </w:tcPr>
          <w:p>
            <w:pPr>
              <w:jc w:val="center"/>
              <w:outlineLvl w:val="9"/>
              <w:rPr>
                <w:rFonts w:hint="eastAsia" w:ascii="宋体" w:hAnsi="宋体"/>
                <w:sz w:val="24"/>
              </w:rPr>
            </w:pPr>
            <w:r>
              <w:rPr>
                <w:rFonts w:hint="eastAsia" w:ascii="宋体" w:hAnsi="宋体" w:cs="宋体"/>
                <w:color w:val="auto"/>
                <w:kern w:val="1"/>
                <w:sz w:val="24"/>
                <w:lang w:eastAsia="zh-CN"/>
              </w:rPr>
              <w:t>质疑与投诉</w:t>
            </w:r>
          </w:p>
        </w:tc>
        <w:tc>
          <w:tcPr>
            <w:tcW w:w="71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outlineLvl w:val="9"/>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质疑、投诉的接收和处理严格按照</w:t>
            </w:r>
            <w:r>
              <w:rPr>
                <w:rFonts w:hint="eastAsia" w:ascii="宋体" w:hAnsi="宋体" w:cs="宋体"/>
                <w:color w:val="auto"/>
                <w:kern w:val="1"/>
                <w:sz w:val="24"/>
                <w:highlight w:val="none"/>
                <w:lang w:val="en-US" w:eastAsia="zh-CN"/>
              </w:rPr>
              <w:t>《中华人民共和国政府采购法》《政府采购供应商投诉处理办法》《政府采购质疑和投诉办法》《财政部关于加强政府采购供应</w:t>
            </w:r>
            <w:r>
              <w:rPr>
                <w:rFonts w:hint="eastAsia" w:ascii="宋体" w:hAnsi="宋体" w:cs="宋体"/>
                <w:color w:val="auto"/>
                <w:kern w:val="1"/>
                <w:sz w:val="24"/>
                <w:lang w:val="en-US" w:eastAsia="zh-CN"/>
              </w:rPr>
              <w:t>商投诉受理审查工作的通知》等的相关规定办理。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投诉联系方式：0913-8219328</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sz w:val="24"/>
              </w:rPr>
            </w:pPr>
            <w:r>
              <w:rPr>
                <w:rFonts w:hint="eastAsia" w:ascii="宋体" w:hAnsi="宋体" w:cs="宋体"/>
                <w:color w:val="auto"/>
                <w:kern w:val="1"/>
                <w:sz w:val="24"/>
                <w:lang w:val="en-US" w:eastAsia="zh-CN"/>
              </w:rPr>
              <w:t>投诉联系地址：同报名地址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06"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26</w:t>
            </w:r>
          </w:p>
        </w:tc>
        <w:tc>
          <w:tcPr>
            <w:tcW w:w="2017" w:type="dxa"/>
            <w:noWrap w:val="0"/>
            <w:vAlign w:val="center"/>
          </w:tcPr>
          <w:p>
            <w:pPr>
              <w:spacing w:line="400" w:lineRule="exact"/>
              <w:ind w:left="960" w:hanging="960" w:hangingChars="400"/>
              <w:outlineLvl w:val="9"/>
              <w:rPr>
                <w:rFonts w:hint="eastAsia" w:ascii="宋体" w:hAnsi="宋体"/>
                <w:sz w:val="24"/>
              </w:rPr>
            </w:pPr>
            <w:r>
              <w:rPr>
                <w:rFonts w:hint="eastAsia" w:ascii="宋体" w:hAnsi="宋体"/>
                <w:sz w:val="24"/>
              </w:rPr>
              <w:t>磋商报价次数、磋</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ascii="宋体" w:hAnsi="宋体"/>
                <w:szCs w:val="21"/>
              </w:rPr>
            </w:pPr>
            <w:r>
              <w:rPr>
                <w:rFonts w:hint="eastAsia" w:ascii="宋体" w:hAnsi="宋体"/>
                <w:sz w:val="24"/>
              </w:rPr>
              <w:t>商程序和最终报价的产生原则</w:t>
            </w:r>
          </w:p>
        </w:tc>
        <w:tc>
          <w:tcPr>
            <w:tcW w:w="71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highlight w:val="yellow"/>
                <w:lang w:eastAsia="zh-CN"/>
              </w:rPr>
            </w:pPr>
            <w:r>
              <w:rPr>
                <w:rFonts w:hint="eastAsia" w:ascii="宋体" w:hAnsi="宋体"/>
                <w:sz w:val="24"/>
              </w:rPr>
              <w:t>本次磋商采用二次报价。</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磋商程序为：</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磋商小组对所有提交的响应文件进行评审；</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磋商小组所有成员应当集中与单一供应商分别进行磋商；</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供应商按照要求提交二次报价；</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磋商小组评审、推荐</w:t>
            </w:r>
            <w:r>
              <w:rPr>
                <w:rFonts w:hint="eastAsia" w:ascii="宋体" w:hAnsi="宋体"/>
                <w:sz w:val="24"/>
                <w:highlight w:val="none"/>
              </w:rPr>
              <w:t>成交候选</w:t>
            </w:r>
            <w:r>
              <w:rPr>
                <w:rFonts w:hint="eastAsia" w:ascii="宋体" w:hAnsi="宋体"/>
                <w:sz w:val="24"/>
                <w:highlight w:val="none"/>
                <w:lang w:val="en-US" w:eastAsia="zh-CN"/>
              </w:rPr>
              <w:t>供应商</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ascii="宋体" w:hAnsi="宋体"/>
                <w:sz w:val="24"/>
              </w:rPr>
              <w:t>在磋商过程中，磋商小组可以根据磋商文件和磋商情况实质性变动</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highlight w:val="none"/>
              </w:rPr>
            </w:pPr>
            <w:r>
              <w:rPr>
                <w:rFonts w:ascii="宋体" w:hAnsi="宋体"/>
                <w:sz w:val="24"/>
              </w:rPr>
              <w:t>采购需求中的技术、服务要求以及合同草案条款</w:t>
            </w:r>
            <w:r>
              <w:rPr>
                <w:rFonts w:ascii="宋体" w:hAnsi="宋体"/>
                <w:sz w:val="24"/>
                <w:highlight w:val="none"/>
              </w:rPr>
              <w:t>，</w:t>
            </w:r>
            <w:r>
              <w:rPr>
                <w:rFonts w:hint="eastAsia" w:ascii="宋体" w:hAnsi="宋体"/>
                <w:sz w:val="24"/>
                <w:highlight w:val="none"/>
              </w:rPr>
              <w:t>二次报价为最终</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highlight w:val="none"/>
              </w:rPr>
              <w:t>报价</w:t>
            </w:r>
            <w:r>
              <w:rPr>
                <w:rFonts w:hint="eastAsia" w:ascii="宋体" w:hAnsi="宋体"/>
                <w:sz w:val="24"/>
                <w:highlight w:val="none"/>
                <w:lang w:eastAsia="zh-CN"/>
              </w:rPr>
              <w:t>，</w:t>
            </w:r>
            <w:r>
              <w:rPr>
                <w:rFonts w:hint="eastAsia" w:ascii="宋体" w:hAnsi="宋体"/>
                <w:sz w:val="24"/>
                <w:highlight w:val="none"/>
                <w:lang w:val="en-US" w:eastAsia="zh-CN"/>
              </w:rPr>
              <w:t>且不得高于一次报价</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4" w:type="dxa"/>
            <w:gridSpan w:val="3"/>
            <w:noWrap w:val="0"/>
            <w:vAlign w:val="center"/>
          </w:tcPr>
          <w:p>
            <w:pPr>
              <w:numPr>
                <w:ilvl w:val="0"/>
                <w:numId w:val="0"/>
              </w:numPr>
              <w:spacing w:line="348" w:lineRule="auto"/>
              <w:outlineLvl w:val="9"/>
              <w:rPr>
                <w:rFonts w:hint="eastAsia" w:ascii="宋体" w:hAnsi="宋体"/>
                <w:sz w:val="24"/>
              </w:rPr>
            </w:pPr>
            <w:r>
              <w:rPr>
                <w:rFonts w:hint="eastAsia" w:ascii="宋体" w:hAnsi="宋体" w:cs="宋体"/>
                <w:color w:val="000000"/>
                <w:sz w:val="24"/>
                <w:szCs w:val="24"/>
                <w:lang w:val="en-US" w:eastAsia="zh-CN"/>
              </w:rPr>
              <w:t>注</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4"/>
                <w:lang w:val="en-US" w:eastAsia="zh-CN"/>
              </w:rPr>
              <w:t>本项目暂列金额具体详见工程量清单。</w:t>
            </w:r>
          </w:p>
        </w:tc>
      </w:tr>
    </w:tbl>
    <w:p>
      <w:pPr>
        <w:jc w:val="center"/>
        <w:outlineLvl w:val="9"/>
        <w:rPr>
          <w:rFonts w:hint="eastAsia" w:ascii="宋体" w:hAnsi="宋体"/>
          <w:b/>
          <w:sz w:val="28"/>
          <w:szCs w:val="28"/>
        </w:rPr>
      </w:pPr>
    </w:p>
    <w:p>
      <w:pPr>
        <w:pStyle w:val="23"/>
        <w:rPr>
          <w:rFonts w:hint="eastAsia" w:ascii="宋体" w:hAnsi="宋体"/>
          <w:b/>
          <w:sz w:val="28"/>
          <w:szCs w:val="28"/>
        </w:rPr>
      </w:pPr>
    </w:p>
    <w:p>
      <w:pPr>
        <w:pStyle w:val="23"/>
        <w:rPr>
          <w:rFonts w:hint="eastAsia" w:ascii="宋体" w:hAnsi="宋体"/>
          <w:b/>
          <w:sz w:val="28"/>
          <w:szCs w:val="28"/>
        </w:rPr>
      </w:pPr>
    </w:p>
    <w:p>
      <w:pPr>
        <w:pStyle w:val="23"/>
        <w:rPr>
          <w:rFonts w:hint="eastAsia" w:ascii="宋体" w:hAnsi="宋体"/>
          <w:b/>
          <w:sz w:val="28"/>
          <w:szCs w:val="28"/>
        </w:rPr>
      </w:pPr>
    </w:p>
    <w:p>
      <w:pPr>
        <w:pStyle w:val="23"/>
        <w:rPr>
          <w:rFonts w:hint="eastAsia" w:ascii="宋体" w:hAnsi="宋体"/>
          <w:b/>
          <w:sz w:val="28"/>
          <w:szCs w:val="28"/>
        </w:rPr>
      </w:pPr>
    </w:p>
    <w:p>
      <w:pPr>
        <w:jc w:val="center"/>
        <w:outlineLvl w:val="9"/>
        <w:rPr>
          <w:rFonts w:hint="eastAsia" w:ascii="宋体" w:hAnsi="宋体"/>
          <w:b/>
          <w:sz w:val="28"/>
          <w:szCs w:val="28"/>
        </w:rPr>
      </w:pPr>
      <w:r>
        <w:rPr>
          <w:rFonts w:hint="eastAsia" w:ascii="宋体" w:hAnsi="宋体"/>
          <w:b/>
          <w:sz w:val="28"/>
          <w:szCs w:val="28"/>
        </w:rPr>
        <w:t>二、磋商</w:t>
      </w:r>
      <w:r>
        <w:rPr>
          <w:rFonts w:hint="eastAsia" w:ascii="宋体" w:hAnsi="宋体" w:eastAsia="宋体" w:cs="Times New Roman"/>
          <w:b/>
          <w:sz w:val="28"/>
          <w:szCs w:val="28"/>
        </w:rPr>
        <w:t>须知</w:t>
      </w:r>
    </w:p>
    <w:p>
      <w:pPr>
        <w:spacing w:line="160" w:lineRule="exact"/>
        <w:jc w:val="center"/>
        <w:outlineLvl w:val="9"/>
        <w:rPr>
          <w:rFonts w:hint="eastAsia" w:ascii="宋体" w:hAnsi="宋体"/>
          <w:b/>
          <w:sz w:val="10"/>
          <w:szCs w:val="10"/>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hAnsi="宋体"/>
          <w:b/>
          <w:bCs/>
          <w:sz w:val="24"/>
          <w:highlight w:val="none"/>
        </w:rPr>
      </w:pPr>
      <w:r>
        <w:rPr>
          <w:rFonts w:hint="eastAsia" w:hAnsi="宋体"/>
          <w:b/>
          <w:bCs/>
          <w:sz w:val="24"/>
          <w:highlight w:val="none"/>
          <w:lang w:val="en-US" w:eastAsia="zh-CN"/>
        </w:rPr>
        <w:t>（一）</w:t>
      </w:r>
      <w:r>
        <w:rPr>
          <w:rFonts w:hint="eastAsia" w:hAnsi="宋体"/>
          <w:b/>
          <w:bCs/>
          <w:sz w:val="24"/>
          <w:highlight w:val="none"/>
        </w:rPr>
        <w:t>总则</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sz w:val="24"/>
        </w:rPr>
      </w:pPr>
      <w:r>
        <w:rPr>
          <w:rFonts w:ascii="宋体" w:hAnsi="宋体"/>
          <w:b/>
          <w:sz w:val="24"/>
        </w:rPr>
        <w:t>1</w:t>
      </w:r>
      <w:r>
        <w:rPr>
          <w:rFonts w:hint="eastAsia" w:ascii="宋体" w:hAnsi="宋体"/>
          <w:b/>
          <w:sz w:val="24"/>
        </w:rPr>
        <w:t>.适用范围</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sz w:val="24"/>
        </w:rPr>
      </w:pPr>
      <w:r>
        <w:rPr>
          <w:rFonts w:ascii="宋体" w:hAnsi="宋体"/>
          <w:sz w:val="24"/>
        </w:rPr>
        <w:t>1.</w:t>
      </w:r>
      <w:r>
        <w:rPr>
          <w:rFonts w:hint="eastAsia" w:ascii="宋体" w:hAnsi="宋体"/>
          <w:sz w:val="24"/>
        </w:rPr>
        <w:t>1本竞争性磋商文件仅适用于本次竞争性磋商所述的项目招标。</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sz w:val="24"/>
        </w:rPr>
      </w:pPr>
      <w:r>
        <w:rPr>
          <w:rFonts w:hint="eastAsia" w:ascii="宋体" w:hAnsi="宋体"/>
          <w:b/>
          <w:sz w:val="24"/>
        </w:rPr>
        <w:t>2.有关定义</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sz w:val="24"/>
        </w:rPr>
      </w:pPr>
      <w:r>
        <w:rPr>
          <w:rFonts w:hint="eastAsia" w:ascii="宋体" w:hAnsi="宋体"/>
          <w:sz w:val="24"/>
        </w:rPr>
        <w:t>2.1“监督管理机构”系</w:t>
      </w:r>
      <w:r>
        <w:rPr>
          <w:rFonts w:hint="eastAsia" w:ascii="宋体" w:hAnsi="宋体" w:eastAsia="宋体" w:cs="Times New Roman"/>
          <w:sz w:val="24"/>
        </w:rPr>
        <w:t>指</w:t>
      </w:r>
      <w:r>
        <w:rPr>
          <w:rFonts w:hint="eastAsia" w:ascii="宋体" w:hAnsi="宋体" w:eastAsia="宋体" w:cs="Times New Roman"/>
          <w:sz w:val="24"/>
          <w:lang w:val="en-US" w:eastAsia="zh-CN"/>
        </w:rPr>
        <w:t>富平县</w:t>
      </w:r>
      <w:r>
        <w:rPr>
          <w:rFonts w:hint="eastAsia" w:ascii="宋体" w:hAnsi="宋体" w:eastAsia="宋体" w:cs="Times New Roman"/>
          <w:sz w:val="24"/>
        </w:rPr>
        <w:t>财政</w:t>
      </w:r>
      <w:r>
        <w:rPr>
          <w:rFonts w:hint="eastAsia" w:ascii="宋体" w:hAnsi="宋体" w:eastAsia="宋体" w:cs="Times New Roman"/>
          <w:sz w:val="24"/>
          <w:lang w:val="en-US" w:eastAsia="zh-CN"/>
        </w:rPr>
        <w:t>局</w:t>
      </w:r>
      <w:r>
        <w:rPr>
          <w:rFonts w:hint="eastAsia" w:ascii="宋体" w:hAnsi="宋体"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sz w:val="24"/>
        </w:rPr>
      </w:pPr>
      <w:r>
        <w:rPr>
          <w:rFonts w:hint="eastAsia" w:ascii="宋体" w:hAnsi="宋体" w:eastAsia="宋体" w:cs="Times New Roman"/>
          <w:sz w:val="24"/>
        </w:rPr>
        <w:t>2.2“采购人”系指</w:t>
      </w:r>
      <w:r>
        <w:rPr>
          <w:rFonts w:hint="eastAsia" w:ascii="宋体" w:hAnsi="宋体"/>
          <w:sz w:val="24"/>
          <w:lang w:val="en-US" w:eastAsia="zh-CN"/>
        </w:rPr>
        <w:t>富平县农村饮水工程指挥部办公室</w:t>
      </w:r>
      <w:r>
        <w:rPr>
          <w:rFonts w:hint="eastAsia" w:ascii="宋体" w:hAnsi="宋体" w:eastAsia="宋体"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sz w:val="24"/>
          <w:lang w:val="en-US" w:eastAsia="zh-CN"/>
        </w:rPr>
      </w:pPr>
      <w:r>
        <w:rPr>
          <w:rFonts w:hint="eastAsia" w:ascii="宋体" w:hAnsi="宋体" w:eastAsia="宋体" w:cs="Times New Roman"/>
          <w:sz w:val="24"/>
        </w:rPr>
        <w:t>2.3“采购代理机构”系指华春</w:t>
      </w:r>
      <w:r>
        <w:rPr>
          <w:rFonts w:hint="eastAsia" w:ascii="宋体" w:hAnsi="宋体" w:eastAsia="宋体"/>
          <w:sz w:val="24"/>
          <w:lang w:val="en-US" w:eastAsia="zh-CN"/>
        </w:rPr>
        <w:t>建设工程项目管理有限责任公司。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sz w:val="24"/>
        </w:rPr>
      </w:pPr>
      <w:r>
        <w:rPr>
          <w:rFonts w:hint="eastAsia" w:ascii="宋体" w:hAnsi="宋体" w:eastAsia="宋体"/>
          <w:sz w:val="24"/>
          <w:lang w:val="en-US" w:eastAsia="zh-CN"/>
        </w:rPr>
        <w:t>2.4“供应商”系指向采购人</w:t>
      </w:r>
      <w:r>
        <w:rPr>
          <w:rFonts w:hint="eastAsia" w:ascii="宋体" w:hAnsi="宋体"/>
          <w:sz w:val="24"/>
        </w:rPr>
        <w:t>提交磋商响应文件的企业。</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b/>
          <w:sz w:val="24"/>
        </w:rPr>
      </w:pPr>
      <w:r>
        <w:rPr>
          <w:rFonts w:hint="eastAsia" w:ascii="宋体" w:hAnsi="宋体" w:eastAsia="宋体" w:cs="Times New Roman"/>
          <w:sz w:val="24"/>
          <w:lang w:val="en-US" w:eastAsia="zh-CN"/>
        </w:rPr>
        <w:t>2.5本项目所属行业：建筑业。</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sz w:val="24"/>
        </w:rPr>
      </w:pPr>
      <w:r>
        <w:rPr>
          <w:rFonts w:hint="eastAsia" w:ascii="宋体" w:hAnsi="宋体"/>
          <w:b/>
          <w:sz w:val="24"/>
        </w:rPr>
        <w:t>3.投标费用</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sz w:val="24"/>
        </w:rPr>
      </w:pPr>
      <w:r>
        <w:rPr>
          <w:rFonts w:hint="eastAsia" w:ascii="宋体" w:hAnsi="宋体"/>
          <w:sz w:val="24"/>
        </w:rPr>
        <w:t>无论投标结果如何，供应商应自行承担其编制与递交磋商响应文件所涉及的一切费用。</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bCs/>
          <w:sz w:val="24"/>
        </w:rPr>
      </w:pPr>
      <w:r>
        <w:rPr>
          <w:rFonts w:hint="eastAsia" w:ascii="宋体" w:hAnsi="宋体"/>
          <w:b/>
          <w:bCs/>
          <w:sz w:val="24"/>
        </w:rPr>
        <w:t>4.采购代理机构及合格的供应商</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bCs/>
          <w:sz w:val="24"/>
        </w:rPr>
      </w:pPr>
      <w:r>
        <w:rPr>
          <w:rFonts w:hint="eastAsia" w:ascii="宋体" w:hAnsi="宋体"/>
          <w:bCs/>
          <w:sz w:val="24"/>
        </w:rPr>
        <w:t>4.1采购代理机构</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jc w:val="both"/>
        <w:textAlignment w:val="auto"/>
        <w:outlineLvl w:val="9"/>
        <w:rPr>
          <w:rFonts w:hint="eastAsia" w:ascii="宋体" w:hAnsi="宋体"/>
          <w:sz w:val="24"/>
        </w:rPr>
      </w:pPr>
      <w:r>
        <w:rPr>
          <w:rFonts w:hint="eastAsia" w:ascii="宋体" w:hAnsi="宋体"/>
          <w:sz w:val="24"/>
        </w:rPr>
        <w:t>组织</w:t>
      </w:r>
      <w:r>
        <w:rPr>
          <w:rFonts w:ascii="宋体" w:hAnsi="宋体"/>
          <w:sz w:val="24"/>
        </w:rPr>
        <w:t>本次</w:t>
      </w:r>
      <w:r>
        <w:rPr>
          <w:rFonts w:hint="eastAsia" w:ascii="宋体" w:hAnsi="宋体"/>
          <w:sz w:val="24"/>
        </w:rPr>
        <w:t>磋商</w:t>
      </w:r>
      <w:r>
        <w:rPr>
          <w:rFonts w:ascii="宋体" w:hAnsi="宋体"/>
          <w:sz w:val="24"/>
        </w:rPr>
        <w:t>的采购代理机构为</w:t>
      </w:r>
      <w:r>
        <w:rPr>
          <w:rFonts w:hint="eastAsia" w:ascii="宋体" w:hAnsi="宋体"/>
          <w:sz w:val="24"/>
        </w:rPr>
        <w:t>华春建设工程项目管理有限责任公司</w:t>
      </w:r>
      <w:r>
        <w:rPr>
          <w:rFonts w:ascii="宋体" w:hAnsi="宋体"/>
          <w:sz w:val="24"/>
        </w:rPr>
        <w:t>。</w:t>
      </w:r>
      <w:r>
        <w:rPr>
          <w:rFonts w:hint="eastAsia" w:ascii="宋体" w:hAnsi="宋体"/>
          <w:sz w:val="24"/>
        </w:rPr>
        <w:t>华春建设工程项目管理有限责任公司为在政府采购管理机构备案的合格采购</w:t>
      </w:r>
      <w:r>
        <w:rPr>
          <w:rFonts w:ascii="宋体" w:hAnsi="宋体"/>
          <w:sz w:val="24"/>
        </w:rPr>
        <w:t>代理机构。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4.2合格的供应商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lang w:val="en-US" w:eastAsia="zh-CN"/>
        </w:rPr>
      </w:pPr>
      <w:r>
        <w:rPr>
          <w:rFonts w:hint="eastAsia" w:ascii="宋体" w:hAnsi="宋体"/>
          <w:sz w:val="24"/>
          <w:highlight w:val="none"/>
        </w:rPr>
        <w:t>4</w:t>
      </w:r>
      <w:r>
        <w:rPr>
          <w:rFonts w:ascii="宋体" w:hAnsi="宋体"/>
          <w:sz w:val="24"/>
          <w:highlight w:val="none"/>
        </w:rPr>
        <w:t>.2.1合格的</w:t>
      </w:r>
      <w:r>
        <w:rPr>
          <w:rFonts w:hint="eastAsia" w:ascii="宋体" w:hAnsi="宋体"/>
          <w:sz w:val="24"/>
          <w:highlight w:val="none"/>
        </w:rPr>
        <w:t>供应商</w:t>
      </w:r>
      <w:r>
        <w:rPr>
          <w:rFonts w:hint="eastAsia" w:ascii="宋体" w:hAnsi="宋体"/>
          <w:sz w:val="24"/>
          <w:highlight w:val="none"/>
          <w:lang w:val="en-US" w:eastAsia="zh-CN"/>
        </w:rPr>
        <w:t>应满足磋商公告“二、申请人的资格要求 ”中包含的所有内容。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4</w:t>
      </w:r>
      <w:r>
        <w:rPr>
          <w:rFonts w:ascii="宋体" w:hAnsi="宋体"/>
          <w:sz w:val="24"/>
          <w:highlight w:val="none"/>
        </w:rPr>
        <w:t>.2.2</w:t>
      </w:r>
      <w:r>
        <w:rPr>
          <w:rFonts w:hint="eastAsia" w:ascii="宋体" w:hAnsi="宋体"/>
          <w:sz w:val="24"/>
          <w:highlight w:val="none"/>
        </w:rPr>
        <w:t>参加本次磋商的供应商</w:t>
      </w:r>
      <w:r>
        <w:rPr>
          <w:rFonts w:ascii="宋体" w:hAnsi="宋体"/>
          <w:sz w:val="24"/>
          <w:highlight w:val="none"/>
        </w:rPr>
        <w:t>不得直接或间接地与采购单位（包括</w:t>
      </w:r>
      <w:r>
        <w:rPr>
          <w:rFonts w:hint="eastAsia" w:ascii="宋体" w:hAnsi="宋体"/>
          <w:sz w:val="24"/>
          <w:highlight w:val="none"/>
        </w:rPr>
        <w:t>华春建设工程项目管理有限责任公司</w:t>
      </w:r>
      <w:r>
        <w:rPr>
          <w:rFonts w:ascii="宋体" w:hAnsi="宋体"/>
          <w:sz w:val="24"/>
          <w:highlight w:val="none"/>
        </w:rPr>
        <w:t>、采购人及用户）有任何关联，亦不得是采购单位的附属机构。如果</w:t>
      </w:r>
      <w:r>
        <w:rPr>
          <w:rFonts w:hint="eastAsia" w:ascii="宋体" w:hAnsi="宋体"/>
          <w:sz w:val="24"/>
          <w:highlight w:val="none"/>
        </w:rPr>
        <w:t>供应商</w:t>
      </w:r>
      <w:r>
        <w:rPr>
          <w:rFonts w:ascii="宋体" w:hAnsi="宋体"/>
          <w:sz w:val="24"/>
          <w:highlight w:val="none"/>
        </w:rPr>
        <w:t>在</w:t>
      </w:r>
      <w:r>
        <w:rPr>
          <w:rFonts w:hint="eastAsia" w:ascii="宋体" w:hAnsi="宋体"/>
          <w:sz w:val="24"/>
          <w:highlight w:val="none"/>
        </w:rPr>
        <w:t>磋商</w:t>
      </w:r>
      <w:r>
        <w:rPr>
          <w:rFonts w:ascii="宋体" w:hAnsi="宋体"/>
          <w:sz w:val="24"/>
          <w:highlight w:val="none"/>
        </w:rPr>
        <w:t>中隐瞒了上述关系，</w:t>
      </w:r>
      <w:r>
        <w:rPr>
          <w:rFonts w:hint="eastAsia" w:ascii="宋体" w:hAnsi="宋体"/>
          <w:sz w:val="24"/>
          <w:highlight w:val="none"/>
        </w:rPr>
        <w:t>其磋商响应文件按无效处理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4.2.3单位负责人为同一人或者存在直接控股、管理关系的不同供应商，不得参加本项目同一合同项下的磋商。</w:t>
      </w:r>
      <w:r>
        <w:rPr>
          <w:rFonts w:ascii="宋体" w:hAnsi="宋体"/>
          <w:sz w:val="24"/>
          <w:highlight w:val="none"/>
        </w:rPr>
        <w:t>如果</w:t>
      </w:r>
      <w:r>
        <w:rPr>
          <w:rFonts w:hint="eastAsia" w:ascii="宋体" w:hAnsi="宋体"/>
          <w:sz w:val="24"/>
          <w:highlight w:val="none"/>
        </w:rPr>
        <w:t>供应商</w:t>
      </w:r>
      <w:r>
        <w:rPr>
          <w:rFonts w:ascii="宋体" w:hAnsi="宋体"/>
          <w:sz w:val="24"/>
          <w:highlight w:val="none"/>
        </w:rPr>
        <w:t>在</w:t>
      </w:r>
      <w:r>
        <w:rPr>
          <w:rFonts w:hint="eastAsia" w:ascii="宋体" w:hAnsi="宋体"/>
          <w:sz w:val="24"/>
          <w:highlight w:val="none"/>
        </w:rPr>
        <w:t>磋商</w:t>
      </w:r>
      <w:r>
        <w:rPr>
          <w:rFonts w:ascii="宋体" w:hAnsi="宋体"/>
          <w:sz w:val="24"/>
          <w:highlight w:val="none"/>
        </w:rPr>
        <w:t>中隐瞒了上述关系，</w:t>
      </w:r>
      <w:r>
        <w:rPr>
          <w:rFonts w:hint="eastAsia" w:ascii="宋体" w:hAnsi="宋体"/>
          <w:sz w:val="24"/>
          <w:highlight w:val="none"/>
        </w:rPr>
        <w:t>其磋商响应文件按无效处理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sz w:val="24"/>
          <w:highlight w:val="none"/>
          <w:lang w:eastAsia="zh-CN"/>
        </w:rPr>
      </w:pPr>
      <w:r>
        <w:rPr>
          <w:rFonts w:hint="eastAsia" w:ascii="宋体" w:hAnsi="宋体"/>
          <w:sz w:val="24"/>
          <w:highlight w:val="none"/>
        </w:rPr>
        <w:t>4.2.4</w:t>
      </w:r>
      <w:r>
        <w:rPr>
          <w:rFonts w:hint="default" w:ascii="宋体" w:hAnsi="宋体"/>
          <w:sz w:val="24"/>
          <w:highlight w:val="none"/>
        </w:rPr>
        <w:t>为采购项目提供整体设计、规范编制或者项目管理、监理、检测等服务的供应商，不得再参加该采购项目的其他采购活动。</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w:t>
      </w:r>
      <w:r>
        <w:rPr>
          <w:rFonts w:hint="eastAsia" w:ascii="宋体" w:hAnsi="宋体"/>
          <w:sz w:val="24"/>
        </w:rPr>
        <w:t>事实</w:t>
      </w:r>
      <w:r>
        <w:rPr>
          <w:rFonts w:ascii="宋体" w:hAnsi="宋体"/>
          <w:sz w:val="24"/>
        </w:rPr>
        <w:t>，</w:t>
      </w:r>
      <w:r>
        <w:rPr>
          <w:rFonts w:hint="eastAsia" w:ascii="宋体" w:hAnsi="宋体"/>
          <w:sz w:val="24"/>
        </w:rPr>
        <w:t>其磋商响应文件按无效处理</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yellow"/>
        </w:rPr>
      </w:pPr>
      <w:r>
        <w:rPr>
          <w:rFonts w:hint="eastAsia" w:ascii="宋体" w:hAnsi="宋体" w:eastAsia="宋体"/>
          <w:sz w:val="24"/>
          <w:highlight w:val="none"/>
        </w:rPr>
        <w:t>4</w:t>
      </w:r>
      <w:r>
        <w:rPr>
          <w:rFonts w:hint="default" w:ascii="宋体" w:hAnsi="宋体" w:eastAsia="宋体"/>
          <w:sz w:val="24"/>
          <w:highlight w:val="none"/>
        </w:rPr>
        <w:t>.2.</w:t>
      </w:r>
      <w:r>
        <w:rPr>
          <w:rFonts w:hint="eastAsia" w:ascii="宋体" w:hAnsi="宋体" w:eastAsia="宋体"/>
          <w:sz w:val="24"/>
          <w:highlight w:val="none"/>
        </w:rPr>
        <w:t>5</w:t>
      </w:r>
      <w:r>
        <w:rPr>
          <w:rFonts w:hint="eastAsia" w:ascii="宋体" w:hAnsi="宋体" w:eastAsia="宋体"/>
          <w:sz w:val="24"/>
          <w:highlight w:val="none"/>
          <w:lang w:val="en-US" w:eastAsia="zh-CN"/>
        </w:rPr>
        <w:t>供</w:t>
      </w:r>
      <w:r>
        <w:rPr>
          <w:rFonts w:hint="eastAsia" w:ascii="宋体" w:hAnsi="宋体" w:cs="宋体"/>
          <w:sz w:val="24"/>
          <w:szCs w:val="24"/>
          <w:highlight w:val="none"/>
          <w:lang w:val="en-US" w:eastAsia="zh-CN"/>
        </w:rPr>
        <w:t>应商必须从代理机构获取竞争性磋商文件，通过其他渠道获取的竞争性磋商文件为无效文件。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6</w:t>
      </w:r>
      <w:r>
        <w:rPr>
          <w:rFonts w:ascii="宋体" w:hAnsi="宋体"/>
          <w:sz w:val="24"/>
          <w:highlight w:val="none"/>
        </w:rPr>
        <w:t>不论磋商报价的结果如何，供应商均应自行承担所有与参加磋商报价有关的费用。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Cs/>
          <w:sz w:val="24"/>
        </w:rPr>
      </w:pPr>
      <w:r>
        <w:rPr>
          <w:rFonts w:hint="eastAsia" w:ascii="宋体" w:hAnsi="宋体"/>
          <w:b/>
          <w:sz w:val="24"/>
        </w:rPr>
        <w:t>5.知识产权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5.1供应商应保证本项目使用的任何产品和服务（包括部分使用），不会产生因第三方提出侵犯其专利权、商标权或其它知识产权而引起的</w:t>
      </w:r>
      <w:r>
        <w:rPr>
          <w:rFonts w:hint="eastAsia" w:ascii="宋体" w:hAnsi="宋体"/>
          <w:sz w:val="24"/>
          <w:highlight w:val="none"/>
        </w:rPr>
        <w:t>法律</w:t>
      </w:r>
      <w:r>
        <w:rPr>
          <w:rFonts w:hint="eastAsia" w:ascii="宋体" w:hAnsi="宋体"/>
          <w:sz w:val="24"/>
        </w:rPr>
        <w:t>和经济纠纷，如因专利权、商标权或其它知识产权而引起法律纠纷和经济纠纷，由供应商承担所有相关责任。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5.2采购人享有本项目在实施过程中产生的知识成果。</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lang w:val="en-US" w:eastAsia="zh-CN"/>
        </w:rPr>
        <w:t>5.3</w:t>
      </w:r>
      <w:r>
        <w:rPr>
          <w:rFonts w:hint="eastAsia" w:ascii="宋体" w:hAnsi="宋体"/>
          <w:sz w:val="24"/>
        </w:rPr>
        <w:t>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bCs/>
          <w:sz w:val="24"/>
        </w:rPr>
      </w:pPr>
      <w:r>
        <w:rPr>
          <w:rFonts w:hint="eastAsia" w:ascii="宋体" w:hAnsi="宋体"/>
          <w:sz w:val="24"/>
          <w:lang w:val="en-US" w:eastAsia="zh-CN"/>
        </w:rPr>
        <w:t>5.4</w:t>
      </w:r>
      <w:r>
        <w:rPr>
          <w:rFonts w:hint="eastAsia" w:ascii="宋体" w:hAnsi="宋体"/>
          <w:sz w:val="24"/>
        </w:rPr>
        <w:t>如供应商所不拥有的知识产权，则在响应报价中必须包括合法获取该知识产权的相关费用。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6.纪律与保密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6.1供应商的投标行为应遵守中国的有关法律、法规和规章。</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6.2供应商不得相互串通</w:t>
      </w:r>
      <w:r>
        <w:rPr>
          <w:rFonts w:hint="eastAsia" w:ascii="宋体" w:hAnsi="宋体"/>
          <w:sz w:val="24"/>
          <w:highlight w:val="none"/>
          <w:lang w:val="en-US" w:eastAsia="zh-CN"/>
        </w:rPr>
        <w:t>磋商</w:t>
      </w:r>
      <w:r>
        <w:rPr>
          <w:rFonts w:hint="eastAsia" w:ascii="宋体" w:hAnsi="宋体"/>
          <w:sz w:val="24"/>
          <w:highlight w:val="none"/>
        </w:rPr>
        <w:t>报价，</w:t>
      </w:r>
      <w:r>
        <w:rPr>
          <w:rFonts w:hint="eastAsia" w:ascii="宋体" w:hAnsi="宋体"/>
          <w:sz w:val="24"/>
        </w:rPr>
        <w:t>不得妨碍其他供应商的公平竞争，不得损害采购人或其他供应商的合法权益，供应商不得以向采购人</w:t>
      </w:r>
      <w:r>
        <w:rPr>
          <w:rFonts w:hint="eastAsia" w:ascii="宋体" w:hAnsi="宋体"/>
          <w:sz w:val="24"/>
          <w:highlight w:val="none"/>
        </w:rPr>
        <w:t>、</w:t>
      </w:r>
      <w:r>
        <w:rPr>
          <w:rFonts w:hint="eastAsia" w:ascii="宋体" w:hAnsi="宋体"/>
          <w:sz w:val="24"/>
          <w:highlight w:val="none"/>
          <w:lang w:eastAsia="zh-CN"/>
        </w:rPr>
        <w:t>磋商小组</w:t>
      </w:r>
      <w:r>
        <w:rPr>
          <w:rFonts w:hint="eastAsia" w:ascii="宋体" w:hAnsi="宋体"/>
          <w:sz w:val="24"/>
          <w:highlight w:val="none"/>
        </w:rPr>
        <w:t>成员行贿或者采取其他不正当手段谋取中标。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6.3在确定</w:t>
      </w:r>
      <w:r>
        <w:rPr>
          <w:rFonts w:hint="eastAsia" w:ascii="宋体" w:hAnsi="宋体"/>
          <w:sz w:val="24"/>
          <w:highlight w:val="none"/>
          <w:lang w:val="en-US" w:eastAsia="zh-CN"/>
        </w:rPr>
        <w:t>成交供应商</w:t>
      </w:r>
      <w:r>
        <w:rPr>
          <w:rFonts w:hint="eastAsia" w:ascii="宋体" w:hAnsi="宋体"/>
          <w:sz w:val="24"/>
          <w:highlight w:val="none"/>
        </w:rPr>
        <w:t>之前，供应商不得与采购人就</w:t>
      </w:r>
      <w:r>
        <w:rPr>
          <w:rFonts w:hint="eastAsia" w:ascii="宋体" w:hAnsi="宋体"/>
          <w:sz w:val="24"/>
          <w:highlight w:val="none"/>
          <w:lang w:val="en-US" w:eastAsia="zh-CN"/>
        </w:rPr>
        <w:t>磋商报价</w:t>
      </w:r>
      <w:r>
        <w:rPr>
          <w:rFonts w:hint="eastAsia" w:ascii="宋体" w:hAnsi="宋体"/>
          <w:sz w:val="24"/>
          <w:highlight w:val="none"/>
        </w:rPr>
        <w:t>、投标方案等实质性内容进行谈判，也不得私下接触</w:t>
      </w:r>
      <w:r>
        <w:rPr>
          <w:rFonts w:hint="eastAsia" w:ascii="宋体" w:hAnsi="宋体"/>
          <w:sz w:val="24"/>
          <w:highlight w:val="none"/>
          <w:lang w:eastAsia="zh-CN"/>
        </w:rPr>
        <w:t>磋商小组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6.4在确定</w:t>
      </w:r>
      <w:r>
        <w:rPr>
          <w:rFonts w:hint="eastAsia" w:ascii="宋体" w:hAnsi="宋体"/>
          <w:sz w:val="24"/>
          <w:highlight w:val="none"/>
          <w:lang w:val="en-US" w:eastAsia="zh-CN"/>
        </w:rPr>
        <w:t>成交供应商</w:t>
      </w:r>
      <w:r>
        <w:rPr>
          <w:rFonts w:hint="eastAsia" w:ascii="宋体" w:hAnsi="宋体"/>
          <w:sz w:val="24"/>
          <w:highlight w:val="none"/>
        </w:rPr>
        <w:t>之前，供应商试图在磋商响应文件审查、澄清、比较和评价时对</w:t>
      </w:r>
      <w:r>
        <w:rPr>
          <w:rFonts w:hint="eastAsia" w:ascii="宋体" w:hAnsi="宋体"/>
          <w:sz w:val="24"/>
          <w:highlight w:val="none"/>
          <w:lang w:eastAsia="zh-CN"/>
        </w:rPr>
        <w:t>磋商小组</w:t>
      </w:r>
      <w:r>
        <w:rPr>
          <w:rFonts w:hint="eastAsia" w:ascii="宋体" w:hAnsi="宋体"/>
          <w:sz w:val="24"/>
          <w:highlight w:val="none"/>
        </w:rPr>
        <w:t>、采购人和采购代理机构施加任何影响都可能导致其投标无效。</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highlight w:val="none"/>
        </w:rPr>
      </w:pPr>
      <w:r>
        <w:rPr>
          <w:rFonts w:hint="eastAsia" w:ascii="宋体" w:hAnsi="宋体"/>
          <w:b/>
          <w:sz w:val="24"/>
          <w:highlight w:val="none"/>
        </w:rPr>
        <w:t>7.联合体投标</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default" w:ascii="宋体" w:hAnsi="宋体" w:eastAsia="宋体"/>
          <w:b/>
          <w:bCs/>
          <w:sz w:val="24"/>
          <w:lang w:val="en-US" w:eastAsia="zh-CN"/>
        </w:rPr>
      </w:pPr>
      <w:r>
        <w:rPr>
          <w:rFonts w:hint="eastAsia" w:ascii="宋体" w:hAnsi="宋体"/>
          <w:b/>
          <w:bCs/>
          <w:sz w:val="24"/>
        </w:rPr>
        <w:t>不接受</w:t>
      </w:r>
      <w:r>
        <w:rPr>
          <w:rFonts w:hint="eastAsia" w:ascii="宋体" w:hAnsi="宋体"/>
          <w:b/>
          <w:bCs/>
          <w:sz w:val="24"/>
          <w:lang w:val="en-US" w:eastAsia="zh-CN"/>
        </w:rPr>
        <w:t>联合体投标</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bCs/>
          <w:sz w:val="24"/>
        </w:rPr>
      </w:pPr>
      <w:r>
        <w:rPr>
          <w:rFonts w:hint="eastAsia" w:ascii="宋体" w:hAnsi="宋体"/>
          <w:b/>
          <w:bCs/>
          <w:sz w:val="24"/>
        </w:rPr>
        <w:t>8.合同标的转让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合同未约定或者未经采购人同意，</w:t>
      </w:r>
      <w:r>
        <w:rPr>
          <w:rFonts w:hint="eastAsia" w:ascii="宋体" w:hAnsi="宋体"/>
          <w:sz w:val="24"/>
          <w:highlight w:val="none"/>
          <w:lang w:val="en-US" w:eastAsia="zh-CN"/>
        </w:rPr>
        <w:t>成交供应商</w:t>
      </w:r>
      <w:r>
        <w:rPr>
          <w:rFonts w:hint="eastAsia" w:ascii="宋体" w:hAnsi="宋体"/>
          <w:sz w:val="24"/>
        </w:rPr>
        <w:t>不得向他人转让</w:t>
      </w:r>
      <w:r>
        <w:rPr>
          <w:rFonts w:hint="eastAsia" w:ascii="宋体" w:hAnsi="宋体"/>
          <w:sz w:val="24"/>
          <w:lang w:val="en-US" w:eastAsia="zh-CN"/>
        </w:rPr>
        <w:t>成交</w:t>
      </w:r>
      <w:r>
        <w:rPr>
          <w:rFonts w:hint="eastAsia" w:ascii="宋体" w:hAnsi="宋体"/>
          <w:sz w:val="24"/>
        </w:rPr>
        <w:t>项目，也不得将</w:t>
      </w:r>
      <w:r>
        <w:rPr>
          <w:rFonts w:hint="eastAsia" w:ascii="宋体" w:hAnsi="宋体"/>
          <w:sz w:val="24"/>
          <w:lang w:val="en-US" w:eastAsia="zh-CN"/>
        </w:rPr>
        <w:t>成交</w:t>
      </w:r>
      <w:r>
        <w:rPr>
          <w:rFonts w:hint="eastAsia" w:ascii="宋体" w:hAnsi="宋体"/>
          <w:sz w:val="24"/>
        </w:rPr>
        <w:t xml:space="preserve">项目肢解后分别向他人转让。 </w:t>
      </w:r>
      <w:bookmarkStart w:id="8" w:name="_Hlt509650116"/>
      <w:bookmarkEnd w:id="8"/>
      <w:bookmarkStart w:id="9" w:name="_Hlt509649678"/>
      <w:bookmarkEnd w:id="9"/>
      <w:bookmarkStart w:id="10" w:name="_Hlt509649645"/>
      <w:bookmarkEnd w:id="10"/>
      <w:bookmarkStart w:id="11" w:name="_Hlt509649669"/>
      <w:bookmarkEnd w:id="11"/>
      <w:bookmarkStart w:id="12" w:name="_Hlt509650936"/>
      <w:bookmarkEnd w:id="12"/>
      <w:bookmarkStart w:id="13" w:name="_Hlt509649795"/>
      <w:bookmarkEnd w:id="13"/>
      <w:bookmarkStart w:id="14" w:name="_Hlt526418153"/>
      <w:bookmarkEnd w:id="14"/>
      <w:bookmarkStart w:id="15" w:name="_Hlt509649330"/>
      <w:bookmarkEnd w:id="15"/>
      <w:bookmarkStart w:id="16" w:name="_Hlt509650690"/>
      <w:bookmarkEnd w:id="16"/>
      <w:bookmarkStart w:id="17" w:name="_Hlt509650103"/>
      <w:bookmarkEnd w:id="17"/>
      <w:bookmarkStart w:id="18" w:name="_Hlt509650333"/>
      <w:bookmarkEnd w:id="18"/>
      <w:bookmarkStart w:id="19" w:name="_Hlt509650961"/>
      <w:bookmarkEnd w:id="19"/>
      <w:bookmarkStart w:id="20" w:name="_Hlt509650929"/>
      <w:bookmarkEnd w:id="20"/>
      <w:bookmarkStart w:id="21" w:name="_Hlt509650932"/>
      <w:bookmarkEnd w:id="21"/>
      <w:bookmarkStart w:id="22" w:name="_Toc356157313"/>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highlight w:val="none"/>
        </w:rPr>
      </w:pPr>
      <w:r>
        <w:rPr>
          <w:rFonts w:hint="eastAsia" w:ascii="宋体" w:hAnsi="宋体"/>
          <w:b/>
          <w:bCs/>
          <w:sz w:val="24"/>
          <w:highlight w:val="none"/>
          <w:lang w:val="en-US" w:eastAsia="zh-CN"/>
        </w:rPr>
        <w:t>9</w:t>
      </w:r>
      <w:r>
        <w:rPr>
          <w:rFonts w:hint="eastAsia" w:ascii="宋体" w:hAnsi="宋体"/>
          <w:b/>
          <w:bCs/>
          <w:sz w:val="24"/>
          <w:highlight w:val="none"/>
        </w:rPr>
        <w:t>.提供服务</w:t>
      </w:r>
      <w:r>
        <w:rPr>
          <w:rFonts w:ascii="宋体" w:hAnsi="宋体"/>
          <w:b/>
          <w:bCs/>
          <w:sz w:val="24"/>
          <w:highlight w:val="none"/>
        </w:rPr>
        <w:t>的合格性和合法性</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ascii="宋体" w:hAnsi="宋体"/>
          <w:sz w:val="24"/>
          <w:highlight w:val="none"/>
        </w:rPr>
        <w:t>供应商</w:t>
      </w:r>
      <w:r>
        <w:rPr>
          <w:rFonts w:hint="eastAsia" w:ascii="宋体" w:hAnsi="宋体"/>
          <w:sz w:val="24"/>
          <w:highlight w:val="none"/>
        </w:rPr>
        <w:t>提供的服务</w:t>
      </w:r>
      <w:r>
        <w:rPr>
          <w:rFonts w:ascii="宋体" w:hAnsi="宋体"/>
          <w:sz w:val="24"/>
          <w:highlight w:val="none"/>
        </w:rPr>
        <w:t>应满足磋商文件的要求</w:t>
      </w:r>
      <w:r>
        <w:rPr>
          <w:rFonts w:hint="eastAsia" w:ascii="宋体" w:hAnsi="宋体"/>
          <w:sz w:val="24"/>
          <w:highlight w:val="none"/>
        </w:rPr>
        <w:t>，</w:t>
      </w:r>
      <w:r>
        <w:rPr>
          <w:rFonts w:ascii="宋体" w:hAnsi="宋体"/>
          <w:sz w:val="24"/>
          <w:highlight w:val="none"/>
        </w:rPr>
        <w:t>并应符合国家法律法规、行业管理部门</w:t>
      </w:r>
      <w:r>
        <w:rPr>
          <w:rFonts w:hint="eastAsia" w:ascii="宋体" w:hAnsi="宋体"/>
          <w:sz w:val="24"/>
          <w:highlight w:val="none"/>
        </w:rPr>
        <w:t>所</w:t>
      </w:r>
      <w:r>
        <w:rPr>
          <w:rFonts w:ascii="宋体" w:hAnsi="宋体"/>
          <w:sz w:val="24"/>
          <w:highlight w:val="none"/>
        </w:rPr>
        <w:t>要求的其他强制性标准。</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0</w:t>
      </w:r>
      <w:r>
        <w:rPr>
          <w:rFonts w:hint="eastAsia" w:ascii="宋体" w:hAnsi="宋体"/>
          <w:b/>
          <w:bCs/>
          <w:sz w:val="24"/>
          <w:highlight w:val="none"/>
        </w:rPr>
        <w:t>.</w:t>
      </w:r>
      <w:r>
        <w:rPr>
          <w:rFonts w:ascii="宋体" w:hAnsi="宋体"/>
          <w:b/>
          <w:sz w:val="24"/>
          <w:highlight w:val="none"/>
        </w:rPr>
        <w:t>磋商响应文件内容的真实性</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ascii="宋体" w:hAnsi="宋体"/>
          <w:sz w:val="24"/>
          <w:highlight w:val="none"/>
        </w:rPr>
      </w:pPr>
      <w:r>
        <w:rPr>
          <w:rFonts w:ascii="宋体" w:hAnsi="宋体"/>
          <w:sz w:val="24"/>
          <w:highlight w:val="none"/>
        </w:rPr>
        <w:t>供应商应保证其磋商响应文件中所提供的资料、信息是真实的</w:t>
      </w:r>
      <w:r>
        <w:rPr>
          <w:rFonts w:hint="eastAsia" w:ascii="宋体" w:hAnsi="宋体"/>
          <w:sz w:val="24"/>
          <w:highlight w:val="none"/>
        </w:rPr>
        <w:t>，</w:t>
      </w:r>
      <w:r>
        <w:rPr>
          <w:rFonts w:ascii="宋体" w:hAnsi="宋体"/>
          <w:sz w:val="24"/>
          <w:highlight w:val="none"/>
        </w:rPr>
        <w:t>并且来源于合法的渠道。因磋商响应文件中所提供的资料、信息不真实</w:t>
      </w:r>
      <w:r>
        <w:rPr>
          <w:rFonts w:hint="eastAsia" w:ascii="宋体" w:hAnsi="宋体"/>
          <w:sz w:val="24"/>
          <w:highlight w:val="none"/>
        </w:rPr>
        <w:t>，</w:t>
      </w:r>
      <w:r>
        <w:rPr>
          <w:rFonts w:ascii="宋体" w:hAnsi="宋体"/>
          <w:sz w:val="24"/>
          <w:highlight w:val="none"/>
        </w:rPr>
        <w:t>或者其来源不合法而导致的所有法律责任，由供应商自行承担。</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hAnsi="宋体"/>
          <w:b/>
          <w:bCs/>
          <w:sz w:val="24"/>
        </w:rPr>
      </w:pPr>
      <w:r>
        <w:rPr>
          <w:rFonts w:hint="eastAsia" w:hAnsi="宋体"/>
          <w:b/>
          <w:bCs/>
          <w:sz w:val="24"/>
          <w:lang w:val="en-US" w:eastAsia="zh-CN"/>
        </w:rPr>
        <w:t>（二）</w:t>
      </w:r>
      <w:r>
        <w:rPr>
          <w:rFonts w:hint="eastAsia" w:hAnsi="宋体"/>
          <w:b/>
          <w:bCs/>
          <w:sz w:val="24"/>
        </w:rPr>
        <w:t>磋商文件</w:t>
      </w:r>
      <w:bookmarkEnd w:id="22"/>
      <w:bookmarkStart w:id="23" w:name="_Hlt509649791"/>
      <w:bookmarkEnd w:id="23"/>
      <w:bookmarkStart w:id="24" w:name="_Hlt509650361"/>
      <w:bookmarkEnd w:id="24"/>
      <w:bookmarkStart w:id="25" w:name="_Hlt509649930"/>
      <w:bookmarkEnd w:id="25"/>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b/>
          <w:sz w:val="24"/>
        </w:rPr>
      </w:pPr>
      <w:bookmarkStart w:id="26" w:name="_Hlt509650734"/>
      <w:bookmarkEnd w:id="26"/>
      <w:r>
        <w:rPr>
          <w:rFonts w:hint="eastAsia" w:ascii="宋体" w:hAnsi="宋体"/>
          <w:b/>
          <w:sz w:val="24"/>
        </w:rPr>
        <w:t>1</w:t>
      </w:r>
      <w:r>
        <w:rPr>
          <w:rFonts w:hint="eastAsia" w:ascii="宋体" w:hAnsi="宋体"/>
          <w:b/>
          <w:sz w:val="24"/>
          <w:lang w:val="en-US" w:eastAsia="zh-CN"/>
        </w:rPr>
        <w:t>1</w:t>
      </w:r>
      <w:r>
        <w:rPr>
          <w:rFonts w:hint="eastAsia" w:ascii="宋体" w:hAnsi="宋体"/>
          <w:b/>
          <w:sz w:val="24"/>
        </w:rPr>
        <w:t>.磋商文件构成</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ascii="宋体" w:hAnsi="宋体"/>
          <w:sz w:val="24"/>
        </w:rPr>
        <w:t>.1</w:t>
      </w:r>
      <w:r>
        <w:rPr>
          <w:rFonts w:hint="eastAsia" w:ascii="宋体" w:hAnsi="宋体"/>
          <w:sz w:val="24"/>
        </w:rPr>
        <w:t>磋商文件包括以下部分：</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.1第一部分：</w:t>
      </w:r>
      <w:r>
        <w:rPr>
          <w:rFonts w:hint="eastAsia" w:ascii="宋体" w:hAnsi="宋体"/>
          <w:bCs/>
          <w:sz w:val="24"/>
          <w:highlight w:val="none"/>
        </w:rPr>
        <w:t>竞争性磋商公告；</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.2第二部分：</w:t>
      </w:r>
      <w:bookmarkStart w:id="27" w:name="_Hlt509650925"/>
      <w:bookmarkEnd w:id="27"/>
      <w:r>
        <w:rPr>
          <w:rFonts w:hint="eastAsia" w:ascii="宋体" w:hAnsi="宋体"/>
          <w:bCs/>
          <w:sz w:val="24"/>
          <w:highlight w:val="none"/>
        </w:rPr>
        <w:t>磋商须知前附表及磋商须知；</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.3第三部分：评审方法</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.4第四部分：</w:t>
      </w:r>
      <w:r>
        <w:rPr>
          <w:rFonts w:hint="eastAsia" w:ascii="宋体" w:hAnsi="宋体"/>
          <w:bCs/>
          <w:sz w:val="24"/>
          <w:highlight w:val="none"/>
        </w:rPr>
        <w:t>合同文本及主要条款；</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lang w:eastAsia="zh-CN"/>
        </w:rPr>
      </w:pPr>
      <w:r>
        <w:rPr>
          <w:rFonts w:hint="eastAsia" w:ascii="宋体" w:hAnsi="宋体"/>
          <w:bCs/>
          <w:sz w:val="24"/>
          <w:highlight w:val="none"/>
        </w:rPr>
        <w:t>1</w:t>
      </w:r>
      <w:r>
        <w:rPr>
          <w:rFonts w:hint="eastAsia" w:ascii="宋体" w:hAnsi="宋体"/>
          <w:bCs/>
          <w:sz w:val="24"/>
          <w:highlight w:val="none"/>
          <w:lang w:val="en-US" w:eastAsia="zh-CN"/>
        </w:rPr>
        <w:t>1</w:t>
      </w:r>
      <w:r>
        <w:rPr>
          <w:rFonts w:hint="eastAsia" w:ascii="宋体" w:hAnsi="宋体"/>
          <w:bCs/>
          <w:sz w:val="24"/>
          <w:highlight w:val="none"/>
        </w:rPr>
        <w:t>.1.5</w:t>
      </w:r>
      <w:r>
        <w:rPr>
          <w:rFonts w:hint="eastAsia" w:ascii="宋体" w:hAnsi="宋体"/>
          <w:sz w:val="24"/>
          <w:highlight w:val="none"/>
        </w:rPr>
        <w:t>第五部分：</w:t>
      </w:r>
      <w:r>
        <w:rPr>
          <w:rFonts w:hint="eastAsia" w:ascii="宋体" w:hAnsi="宋体"/>
          <w:sz w:val="24"/>
          <w:highlight w:val="none"/>
          <w:lang w:val="en-US" w:eastAsia="zh-CN"/>
        </w:rPr>
        <w:t>技术标准和要求</w:t>
      </w:r>
      <w:r>
        <w:rPr>
          <w:rFonts w:hint="eastAsia" w:ascii="宋体" w:hAnsi="宋体"/>
          <w:bCs/>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lang w:eastAsia="zh-CN"/>
        </w:rPr>
      </w:pPr>
      <w:r>
        <w:rPr>
          <w:rFonts w:hint="eastAsia" w:ascii="宋体" w:hAnsi="宋体"/>
          <w:bCs/>
          <w:sz w:val="24"/>
          <w:highlight w:val="none"/>
        </w:rPr>
        <w:t>1</w:t>
      </w:r>
      <w:r>
        <w:rPr>
          <w:rFonts w:hint="eastAsia" w:ascii="宋体" w:hAnsi="宋体"/>
          <w:bCs/>
          <w:sz w:val="24"/>
          <w:highlight w:val="none"/>
          <w:lang w:val="en-US" w:eastAsia="zh-CN"/>
        </w:rPr>
        <w:t>1</w:t>
      </w:r>
      <w:r>
        <w:rPr>
          <w:rFonts w:hint="eastAsia" w:ascii="宋体" w:hAnsi="宋体"/>
          <w:bCs/>
          <w:sz w:val="24"/>
          <w:highlight w:val="none"/>
        </w:rPr>
        <w:t>.1.</w:t>
      </w:r>
      <w:r>
        <w:rPr>
          <w:rFonts w:hint="eastAsia" w:ascii="宋体" w:hAnsi="宋体"/>
          <w:bCs/>
          <w:sz w:val="24"/>
          <w:highlight w:val="none"/>
          <w:lang w:val="en-US" w:eastAsia="zh-CN"/>
        </w:rPr>
        <w:t>6</w:t>
      </w:r>
      <w:r>
        <w:rPr>
          <w:rFonts w:hint="eastAsia" w:ascii="宋体" w:hAnsi="宋体"/>
          <w:sz w:val="24"/>
          <w:highlight w:val="none"/>
        </w:rPr>
        <w:t>第</w:t>
      </w:r>
      <w:r>
        <w:rPr>
          <w:rFonts w:hint="eastAsia" w:ascii="宋体" w:hAnsi="宋体"/>
          <w:sz w:val="24"/>
          <w:highlight w:val="none"/>
          <w:lang w:val="en-US" w:eastAsia="zh-CN"/>
        </w:rPr>
        <w:t>六</w:t>
      </w:r>
      <w:r>
        <w:rPr>
          <w:rFonts w:hint="eastAsia" w:ascii="宋体" w:hAnsi="宋体"/>
          <w:sz w:val="24"/>
          <w:highlight w:val="none"/>
        </w:rPr>
        <w:t>部分：磋商</w:t>
      </w:r>
      <w:r>
        <w:rPr>
          <w:rFonts w:hint="eastAsia" w:ascii="宋体" w:hAnsi="宋体"/>
          <w:bCs/>
          <w:sz w:val="24"/>
          <w:highlight w:val="none"/>
        </w:rPr>
        <w:t>响应文件格式</w:t>
      </w:r>
      <w:r>
        <w:rPr>
          <w:rFonts w:hint="eastAsia" w:ascii="宋体" w:hAnsi="宋体"/>
          <w:bCs/>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eastAsia="宋体" w:cs="Times New Roman"/>
          <w:sz w:val="24"/>
          <w:highlight w:val="none"/>
          <w:lang w:eastAsia="zh-CN"/>
        </w:rPr>
      </w:pPr>
      <w:r>
        <w:rPr>
          <w:rFonts w:hint="eastAsia" w:ascii="宋体" w:hAnsi="宋体"/>
          <w:bCs/>
          <w:sz w:val="24"/>
          <w:highlight w:val="none"/>
        </w:rPr>
        <w:t>1</w:t>
      </w:r>
      <w:r>
        <w:rPr>
          <w:rFonts w:hint="eastAsia" w:ascii="宋体" w:hAnsi="宋体"/>
          <w:bCs/>
          <w:sz w:val="24"/>
          <w:highlight w:val="none"/>
          <w:lang w:val="en-US" w:eastAsia="zh-CN"/>
        </w:rPr>
        <w:t>1</w:t>
      </w:r>
      <w:r>
        <w:rPr>
          <w:rFonts w:hint="eastAsia" w:ascii="宋体" w:hAnsi="宋体"/>
          <w:bCs/>
          <w:sz w:val="24"/>
          <w:highlight w:val="none"/>
        </w:rPr>
        <w:t>.1.</w:t>
      </w:r>
      <w:r>
        <w:rPr>
          <w:rFonts w:hint="eastAsia" w:ascii="宋体" w:hAnsi="宋体"/>
          <w:bCs/>
          <w:sz w:val="24"/>
          <w:highlight w:val="none"/>
          <w:lang w:val="en-US" w:eastAsia="zh-CN"/>
        </w:rPr>
        <w:t>7</w:t>
      </w:r>
      <w:r>
        <w:rPr>
          <w:rFonts w:hint="eastAsia" w:ascii="宋体" w:hAnsi="宋体"/>
          <w:sz w:val="24"/>
          <w:highlight w:val="none"/>
        </w:rPr>
        <w:t>第</w:t>
      </w:r>
      <w:r>
        <w:rPr>
          <w:rFonts w:hint="eastAsia" w:ascii="宋体" w:hAnsi="宋体" w:cs="Times New Roman"/>
          <w:sz w:val="24"/>
          <w:highlight w:val="none"/>
          <w:lang w:val="en-US" w:eastAsia="zh-CN"/>
        </w:rPr>
        <w:t>七</w:t>
      </w:r>
      <w:r>
        <w:rPr>
          <w:rFonts w:hint="eastAsia" w:ascii="宋体" w:hAnsi="宋体" w:eastAsia="宋体" w:cs="Times New Roman"/>
          <w:sz w:val="24"/>
          <w:highlight w:val="none"/>
        </w:rPr>
        <w:t>部分：</w:t>
      </w:r>
      <w:r>
        <w:rPr>
          <w:rFonts w:hint="eastAsia" w:ascii="宋体" w:hAnsi="宋体" w:eastAsia="宋体" w:cs="Times New Roman"/>
          <w:sz w:val="24"/>
          <w:highlight w:val="none"/>
          <w:lang w:eastAsia="zh-CN"/>
        </w:rPr>
        <w:t>工程量清单</w:t>
      </w:r>
      <w:r>
        <w:rPr>
          <w:rFonts w:hint="eastAsia" w:ascii="宋体" w:hAnsi="宋体"/>
          <w:bCs/>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11.1.</w:t>
      </w:r>
      <w:r>
        <w:rPr>
          <w:rFonts w:hint="eastAsia" w:ascii="宋体" w:hAnsi="宋体" w:cs="Times New Roman"/>
          <w:sz w:val="24"/>
          <w:highlight w:val="none"/>
          <w:lang w:val="en-US" w:eastAsia="zh-CN"/>
        </w:rPr>
        <w:t>8</w:t>
      </w:r>
      <w:r>
        <w:rPr>
          <w:rFonts w:hint="eastAsia" w:ascii="宋体" w:hAnsi="宋体" w:eastAsia="宋体" w:cs="Times New Roman"/>
          <w:sz w:val="24"/>
          <w:highlight w:val="none"/>
          <w:lang w:val="en-US" w:eastAsia="zh-CN"/>
        </w:rPr>
        <w:t>第</w:t>
      </w:r>
      <w:r>
        <w:rPr>
          <w:rFonts w:hint="eastAsia" w:ascii="宋体" w:hAnsi="宋体" w:cs="Times New Roman"/>
          <w:sz w:val="24"/>
          <w:highlight w:val="none"/>
          <w:lang w:val="en-US" w:eastAsia="zh-CN"/>
        </w:rPr>
        <w:t>八</w:t>
      </w:r>
      <w:r>
        <w:rPr>
          <w:rFonts w:hint="eastAsia" w:ascii="宋体" w:hAnsi="宋体" w:eastAsia="宋体" w:cs="Times New Roman"/>
          <w:sz w:val="24"/>
          <w:highlight w:val="none"/>
          <w:lang w:val="en-US" w:eastAsia="zh-CN"/>
        </w:rPr>
        <w:t>部分：图纸。</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1</w:t>
      </w:r>
      <w:r>
        <w:rPr>
          <w:rFonts w:hint="eastAsia" w:ascii="宋体" w:hAnsi="宋体"/>
          <w:sz w:val="24"/>
          <w:lang w:val="en-US" w:eastAsia="zh-CN"/>
        </w:rPr>
        <w:t>1</w:t>
      </w:r>
      <w:r>
        <w:rPr>
          <w:rFonts w:ascii="宋体" w:hAnsi="宋体"/>
          <w:sz w:val="24"/>
        </w:rPr>
        <w:t>.</w:t>
      </w:r>
      <w:r>
        <w:rPr>
          <w:rFonts w:hint="eastAsia" w:ascii="宋体" w:hAnsi="宋体"/>
          <w:sz w:val="24"/>
        </w:rPr>
        <w:t>2</w:t>
      </w:r>
      <w:r>
        <w:rPr>
          <w:rFonts w:ascii="宋体" w:hAnsi="宋体"/>
          <w:sz w:val="24"/>
        </w:rPr>
        <w:t>供应商应认真阅读磋商文件中所有的事项、格式、条款和规范等要求。</w:t>
      </w:r>
      <w:r>
        <w:rPr>
          <w:rFonts w:ascii="宋体" w:hAnsi="宋体"/>
          <w:sz w:val="24"/>
          <w:highlight w:val="none"/>
        </w:rPr>
        <w:t>如果供应商没有按照磋商文件要求提交全部资料，或者磋商响应文件没有对磋商文件在各方面都做出实质性响应，由此带来的不利于供应商的评</w:t>
      </w:r>
      <w:r>
        <w:rPr>
          <w:rFonts w:hint="eastAsia" w:ascii="宋体" w:hAnsi="宋体"/>
          <w:sz w:val="24"/>
          <w:highlight w:val="none"/>
        </w:rPr>
        <w:t>审</w:t>
      </w:r>
      <w:r>
        <w:rPr>
          <w:rFonts w:ascii="宋体" w:hAnsi="宋体"/>
          <w:sz w:val="24"/>
          <w:highlight w:val="none"/>
        </w:rPr>
        <w:t>结果，其风险由供应商</w:t>
      </w:r>
      <w:r>
        <w:rPr>
          <w:rFonts w:hint="eastAsia" w:ascii="宋体" w:hAnsi="宋体"/>
          <w:sz w:val="24"/>
          <w:highlight w:val="none"/>
        </w:rPr>
        <w:t>自行</w:t>
      </w:r>
      <w:r>
        <w:rPr>
          <w:rFonts w:ascii="宋体" w:hAnsi="宋体"/>
          <w:sz w:val="24"/>
          <w:highlight w:val="none"/>
        </w:rPr>
        <w:t>承担。</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.3供应商获取竞争性磋商文件后，应仔细检查竞争性磋商文件的所有内容，如有残缺等问题应在获得磋商文件</w:t>
      </w:r>
      <w:r>
        <w:rPr>
          <w:rFonts w:ascii="宋体" w:hAnsi="宋体"/>
          <w:sz w:val="24"/>
        </w:rPr>
        <w:t>3</w:t>
      </w:r>
      <w:r>
        <w:rPr>
          <w:rFonts w:hint="eastAsia" w:ascii="宋体" w:hAnsi="宋体"/>
          <w:sz w:val="24"/>
        </w:rPr>
        <w:t>日内向采购代理机构提出，否则，由此引起的损失由供应商自行承担。</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hint="eastAsia" w:ascii="宋体" w:hAnsi="宋体"/>
          <w:sz w:val="24"/>
          <w:highlight w:val="none"/>
        </w:rPr>
        <w:t>.4</w:t>
      </w:r>
      <w:r>
        <w:rPr>
          <w:rFonts w:ascii="宋体" w:hAnsi="宋体"/>
          <w:sz w:val="24"/>
          <w:highlight w:val="none"/>
        </w:rPr>
        <w:t>本磋商文件的解释权</w:t>
      </w:r>
      <w:r>
        <w:rPr>
          <w:rFonts w:hint="eastAsia" w:ascii="宋体" w:hAnsi="宋体"/>
          <w:sz w:val="24"/>
          <w:highlight w:val="none"/>
        </w:rPr>
        <w:t>归采购代理</w:t>
      </w:r>
      <w:r>
        <w:rPr>
          <w:rFonts w:hint="eastAsia" w:ascii="宋体" w:hAnsi="宋体"/>
          <w:sz w:val="24"/>
          <w:highlight w:val="none"/>
          <w:lang w:eastAsia="zh-CN"/>
        </w:rPr>
        <w:t>机构</w:t>
      </w:r>
      <w:r>
        <w:rPr>
          <w:rFonts w:hint="eastAsia" w:ascii="宋体" w:hAnsi="宋体"/>
          <w:sz w:val="24"/>
          <w:highlight w:val="none"/>
        </w:rPr>
        <w:t>及采购人</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b/>
          <w:sz w:val="24"/>
        </w:rPr>
      </w:pPr>
      <w:r>
        <w:rPr>
          <w:rFonts w:hint="eastAsia" w:ascii="宋体" w:hAnsi="宋体"/>
          <w:b/>
          <w:sz w:val="24"/>
        </w:rPr>
        <w:t>1</w:t>
      </w:r>
      <w:r>
        <w:rPr>
          <w:rFonts w:hint="eastAsia" w:ascii="宋体" w:hAnsi="宋体"/>
          <w:b/>
          <w:sz w:val="24"/>
          <w:lang w:val="en-US" w:eastAsia="zh-CN"/>
        </w:rPr>
        <w:t>2</w:t>
      </w:r>
      <w:r>
        <w:rPr>
          <w:rFonts w:hint="eastAsia" w:ascii="宋体" w:hAnsi="宋体"/>
          <w:b/>
          <w:sz w:val="24"/>
        </w:rPr>
        <w:t>.竞争性磋商文件的澄清修改和质疑答复</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default" w:ascii="宋体" w:hAnsi="宋体" w:eastAsia="宋体"/>
          <w:sz w:val="24"/>
          <w:lang w:val="en-US" w:eastAsia="zh-CN"/>
        </w:rPr>
      </w:pPr>
      <w:bookmarkStart w:id="28" w:name="_Hlt510342861"/>
      <w:bookmarkEnd w:id="28"/>
      <w:bookmarkStart w:id="29" w:name="_Hlt509649724"/>
      <w:bookmarkEnd w:id="29"/>
      <w:bookmarkStart w:id="30" w:name="_Hlt509650697"/>
      <w:bookmarkEnd w:id="30"/>
      <w:r>
        <w:rPr>
          <w:rFonts w:hint="eastAsia" w:ascii="宋体" w:hAnsi="宋体"/>
          <w:sz w:val="24"/>
        </w:rPr>
        <w:t>1</w:t>
      </w:r>
      <w:r>
        <w:rPr>
          <w:rFonts w:hint="eastAsia" w:ascii="宋体" w:hAnsi="宋体"/>
          <w:sz w:val="24"/>
          <w:lang w:val="en-US" w:eastAsia="zh-CN"/>
        </w:rPr>
        <w:t>2</w:t>
      </w:r>
      <w:r>
        <w:rPr>
          <w:rFonts w:ascii="宋体" w:hAnsi="宋体"/>
          <w:sz w:val="24"/>
        </w:rPr>
        <w:t>.</w:t>
      </w:r>
      <w:r>
        <w:rPr>
          <w:rFonts w:hint="eastAsia" w:ascii="宋体" w:hAnsi="宋体"/>
          <w:sz w:val="24"/>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供应商应当按照磋商文件澄清或修改后的要求参与竞争性磋商，供应商没有作出实质性响应</w:t>
      </w:r>
      <w:r>
        <w:rPr>
          <w:rFonts w:hint="eastAsia" w:ascii="宋体" w:hAnsi="宋体"/>
          <w:sz w:val="24"/>
          <w:lang w:val="en-US" w:eastAsia="zh-CN"/>
        </w:rPr>
        <w:t>而可能导致其响应文件被拒绝的风险将由供应商自行承担。</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2.2</w:t>
      </w:r>
      <w:r>
        <w:rPr>
          <w:rFonts w:hint="eastAsia" w:ascii="宋体" w:hAnsi="宋体"/>
          <w:sz w:val="24"/>
        </w:rPr>
        <w:t>对于在规定时间内收到的供应商依法提出的询问或者质疑，</w:t>
      </w:r>
      <w:r>
        <w:rPr>
          <w:rFonts w:ascii="宋体" w:hAnsi="宋体"/>
          <w:sz w:val="24"/>
        </w:rPr>
        <w:t>采购代理机构将</w:t>
      </w:r>
      <w:r>
        <w:rPr>
          <w:rFonts w:hint="eastAsia" w:ascii="宋体" w:hAnsi="宋体"/>
          <w:sz w:val="24"/>
        </w:rPr>
        <w:t>按质疑程序及时作出答复，若对磋商文件做出实质性变动，则按照相关规定延长磋商</w:t>
      </w:r>
      <w:r>
        <w:rPr>
          <w:rFonts w:hint="eastAsia" w:ascii="宋体" w:hAnsi="宋体"/>
          <w:sz w:val="24"/>
          <w:highlight w:val="none"/>
          <w:lang w:eastAsia="zh-CN"/>
        </w:rPr>
        <w:t>响应文件递交</w:t>
      </w:r>
      <w:r>
        <w:rPr>
          <w:rFonts w:hint="eastAsia" w:ascii="宋体" w:hAnsi="宋体"/>
          <w:sz w:val="24"/>
          <w:highlight w:val="none"/>
        </w:rPr>
        <w:t>截</w:t>
      </w:r>
      <w:r>
        <w:rPr>
          <w:rFonts w:hint="eastAsia" w:ascii="宋体" w:hAnsi="宋体"/>
          <w:sz w:val="24"/>
        </w:rPr>
        <w:t>止时间。</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3</w:t>
      </w:r>
      <w:r>
        <w:rPr>
          <w:rFonts w:hint="eastAsia" w:ascii="宋体" w:hAnsi="宋体"/>
          <w:sz w:val="24"/>
        </w:rPr>
        <w:t>供应商提出质疑应当有明确的请求和必要的证明材料。</w:t>
      </w:r>
    </w:p>
    <w:p>
      <w:pPr>
        <w:jc w:val="center"/>
        <w:outlineLvl w:val="9"/>
        <w:rPr>
          <w:rFonts w:hint="eastAsia" w:ascii="宋体" w:hAnsi="宋体" w:eastAsia="宋体" w:cs="Times New Roman"/>
          <w:b/>
          <w:sz w:val="28"/>
          <w:szCs w:val="28"/>
        </w:rPr>
      </w:pPr>
      <w:r>
        <w:rPr>
          <w:rFonts w:hint="eastAsia" w:ascii="宋体" w:hAnsi="宋体" w:eastAsia="宋体" w:cs="Times New Roman"/>
          <w:b/>
          <w:sz w:val="28"/>
          <w:szCs w:val="28"/>
        </w:rPr>
        <w:t>三、磋商响应文件的编制</w:t>
      </w:r>
    </w:p>
    <w:p>
      <w:pPr>
        <w:keepNext w:val="0"/>
        <w:keepLines w:val="0"/>
        <w:pageBreakBefore w:val="0"/>
        <w:widowControl w:val="0"/>
        <w:kinsoku/>
        <w:wordWrap/>
        <w:overflowPunct/>
        <w:topLinePunct w:val="0"/>
        <w:autoSpaceDE/>
        <w:autoSpaceDN/>
        <w:bidi w:val="0"/>
        <w:adjustRightInd/>
        <w:spacing w:line="360" w:lineRule="auto"/>
        <w:ind w:firstLine="410" w:firstLineChars="170"/>
        <w:textAlignment w:val="auto"/>
        <w:outlineLvl w:val="9"/>
        <w:rPr>
          <w:rFonts w:hint="eastAsia" w:ascii="宋体" w:hAnsi="宋体"/>
          <w:b/>
          <w:sz w:val="24"/>
        </w:rPr>
      </w:pPr>
      <w:r>
        <w:rPr>
          <w:rFonts w:hint="eastAsia" w:ascii="宋体" w:hAnsi="宋体"/>
          <w:b/>
          <w:sz w:val="24"/>
        </w:rPr>
        <w:t>1</w:t>
      </w:r>
      <w:r>
        <w:rPr>
          <w:rFonts w:hint="eastAsia" w:ascii="宋体" w:hAnsi="宋体"/>
          <w:b/>
          <w:sz w:val="24"/>
          <w:lang w:val="en-US" w:eastAsia="zh-CN"/>
        </w:rPr>
        <w:t>3</w:t>
      </w:r>
      <w:r>
        <w:rPr>
          <w:rFonts w:hint="eastAsia" w:ascii="宋体" w:hAnsi="宋体"/>
          <w:b/>
          <w:sz w:val="24"/>
        </w:rPr>
        <w:t>.磋商响应文件构成与格式</w:t>
      </w:r>
    </w:p>
    <w:p>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sz w:val="24"/>
        </w:rPr>
      </w:pPr>
      <w:bookmarkStart w:id="31" w:name="_Hlt509650345"/>
      <w:bookmarkEnd w:id="31"/>
      <w:r>
        <w:rPr>
          <w:rFonts w:hint="eastAsia" w:ascii="宋体" w:hAnsi="宋体"/>
          <w:sz w:val="24"/>
        </w:rPr>
        <w:t>1</w:t>
      </w:r>
      <w:r>
        <w:rPr>
          <w:rFonts w:hint="eastAsia" w:ascii="宋体" w:hAnsi="宋体"/>
          <w:sz w:val="24"/>
          <w:lang w:val="en-US" w:eastAsia="zh-CN"/>
        </w:rPr>
        <w:t>3</w:t>
      </w:r>
      <w:r>
        <w:rPr>
          <w:rFonts w:hint="eastAsia" w:ascii="宋体" w:hAnsi="宋体"/>
          <w:sz w:val="24"/>
        </w:rPr>
        <w:t>.1磋商响应文件是对竞争性磋商文件的实质性响应及承诺文件。</w:t>
      </w:r>
    </w:p>
    <w:p>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spacing w:val="-4"/>
          <w:sz w:val="24"/>
        </w:rPr>
      </w:pPr>
      <w:r>
        <w:rPr>
          <w:rFonts w:hint="eastAsia" w:ascii="宋体" w:hAnsi="宋体"/>
          <w:bCs/>
          <w:sz w:val="24"/>
        </w:rPr>
        <w:t>1</w:t>
      </w:r>
      <w:r>
        <w:rPr>
          <w:rFonts w:hint="eastAsia" w:ascii="宋体" w:hAnsi="宋体"/>
          <w:sz w:val="24"/>
          <w:lang w:val="en-US" w:eastAsia="zh-CN"/>
        </w:rPr>
        <w:t>3</w:t>
      </w:r>
      <w:r>
        <w:rPr>
          <w:rFonts w:hint="eastAsia" w:ascii="宋体" w:hAnsi="宋体"/>
          <w:bCs/>
          <w:sz w:val="24"/>
        </w:rPr>
        <w:t>.2</w:t>
      </w:r>
      <w:r>
        <w:rPr>
          <w:rFonts w:hint="eastAsia" w:ascii="宋体" w:hAnsi="宋体"/>
          <w:bCs/>
          <w:spacing w:val="-4"/>
          <w:sz w:val="24"/>
        </w:rPr>
        <w:t>除专用术语外，磋商响应文件以及供应商与采购人就有关投标的往来函电均应使用中文。供应商提交的支持性文件和印制的文件可以用另一种语言，但相应内容应翻译成中文，对不同文字文本磋商响应文件的解释发生异议的，以中文文本为准。</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.3除非磋商文件另有规定，磋商响应文件应使用中华人民共和国法定计量单位。</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.4除非磋商文件另有规定，磋商响应文件应使用人民币填报所有报价。</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.5</w:t>
      </w:r>
      <w:r>
        <w:rPr>
          <w:rFonts w:hint="eastAsia" w:ascii="宋体" w:hAnsi="宋体" w:cs="宋体"/>
          <w:kern w:val="24"/>
          <w:sz w:val="24"/>
          <w:lang w:val="en-US" w:eastAsia="zh-CN"/>
        </w:rPr>
        <w:t>供应商编写磋商响应文件时，请按磋商文件</w:t>
      </w:r>
      <w:r>
        <w:rPr>
          <w:rFonts w:hint="eastAsia" w:ascii="宋体" w:hAnsi="宋体" w:cs="宋体"/>
          <w:kern w:val="24"/>
          <w:sz w:val="24"/>
          <w:highlight w:val="none"/>
          <w:lang w:val="en-US" w:eastAsia="zh-CN"/>
        </w:rPr>
        <w:t>“第六部分</w:t>
      </w:r>
      <w:r>
        <w:rPr>
          <w:rFonts w:hint="eastAsia" w:ascii="宋体" w:hAnsi="宋体" w:cs="宋体"/>
          <w:kern w:val="24"/>
          <w:sz w:val="24"/>
          <w:lang w:val="en-US" w:eastAsia="zh-CN"/>
        </w:rPr>
        <w:t xml:space="preserve"> 磋商响应文件格式”提供的相应格式及顺序编排，</w:t>
      </w:r>
      <w:r>
        <w:rPr>
          <w:rFonts w:hint="eastAsia" w:ascii="宋体" w:hAnsi="宋体"/>
          <w:sz w:val="24"/>
        </w:rPr>
        <w:t>磋商响应文件需打印，按A4规格制作</w:t>
      </w:r>
      <w:r>
        <w:rPr>
          <w:rFonts w:hint="eastAsia" w:ascii="宋体" w:hAnsi="宋体" w:cs="宋体"/>
          <w:kern w:val="24"/>
          <w:sz w:val="24"/>
        </w:rPr>
        <w:t>，统一胶装</w:t>
      </w:r>
      <w:r>
        <w:rPr>
          <w:rFonts w:hint="eastAsia" w:ascii="宋体" w:hAnsi="宋体" w:cs="宋体"/>
          <w:kern w:val="1"/>
          <w:sz w:val="24"/>
        </w:rPr>
        <w:t>（</w:t>
      </w:r>
      <w:r>
        <w:rPr>
          <w:rFonts w:hint="eastAsia" w:ascii="宋体" w:hAnsi="宋体" w:cs="宋体"/>
          <w:b/>
          <w:kern w:val="1"/>
          <w:sz w:val="24"/>
        </w:rPr>
        <w:t>非胶装的磋商响应文件视为无效磋商响应文件</w:t>
      </w:r>
      <w:r>
        <w:rPr>
          <w:rFonts w:hint="eastAsia" w:ascii="宋体" w:hAnsi="宋体" w:cs="宋体"/>
          <w:kern w:val="1"/>
          <w:sz w:val="24"/>
        </w:rPr>
        <w:t>）</w:t>
      </w:r>
      <w:r>
        <w:rPr>
          <w:rFonts w:hint="eastAsia" w:ascii="宋体" w:hAnsi="宋体" w:cs="宋体"/>
          <w:kern w:val="24"/>
          <w:sz w:val="24"/>
        </w:rPr>
        <w:t>、标码（页码应有连续性，但由工程类专业软件编制的内容可除外），并标明目录</w:t>
      </w:r>
      <w:r>
        <w:rPr>
          <w:rFonts w:hint="eastAsia" w:ascii="宋体" w:hAnsi="宋体" w:cs="宋体"/>
          <w:kern w:val="24"/>
          <w:sz w:val="24"/>
          <w:highlight w:val="none"/>
        </w:rPr>
        <w:t>（目录含页码，</w:t>
      </w:r>
      <w:r>
        <w:rPr>
          <w:rFonts w:hint="eastAsia" w:ascii="宋体" w:hAnsi="宋体" w:cs="宋体"/>
          <w:kern w:val="24"/>
          <w:sz w:val="24"/>
        </w:rPr>
        <w:t>磋商文件中响应文件格式未提供目录，请供应商自行编制），</w:t>
      </w:r>
      <w:r>
        <w:rPr>
          <w:rFonts w:hint="eastAsia" w:ascii="宋体" w:hAnsi="宋体" w:cs="宋体"/>
          <w:sz w:val="24"/>
          <w:szCs w:val="22"/>
        </w:rPr>
        <w:t>为响应国家环保号召，磋商响应文件建议采用双面打印</w:t>
      </w:r>
      <w:r>
        <w:rPr>
          <w:rFonts w:hint="eastAsia" w:ascii="宋体" w:hAnsi="宋体" w:cs="宋体"/>
          <w:kern w:val="24"/>
          <w:sz w:val="24"/>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3</w:t>
      </w:r>
      <w:r>
        <w:rPr>
          <w:rFonts w:hint="eastAsia" w:ascii="宋体" w:hAnsi="宋体"/>
          <w:sz w:val="24"/>
          <w:highlight w:val="none"/>
        </w:rPr>
        <w:t>.6电报、电话、</w:t>
      </w:r>
      <w:r>
        <w:rPr>
          <w:rFonts w:hint="eastAsia" w:ascii="宋体" w:hAnsi="宋体"/>
          <w:sz w:val="24"/>
          <w:highlight w:val="none"/>
          <w:lang w:val="en-US" w:eastAsia="zh-CN"/>
        </w:rPr>
        <w:t>邮寄、</w:t>
      </w:r>
      <w:r>
        <w:rPr>
          <w:rFonts w:hint="eastAsia" w:ascii="宋体" w:hAnsi="宋体"/>
          <w:sz w:val="24"/>
          <w:highlight w:val="none"/>
        </w:rPr>
        <w:t>传真形式的投标概不接受。</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.7采购人一律不予退还供应商的磋商响应文件。</w:t>
      </w:r>
    </w:p>
    <w:p>
      <w:pPr>
        <w:keepNext w:val="0"/>
        <w:keepLines w:val="0"/>
        <w:pageBreakBefore w:val="0"/>
        <w:widowControl w:val="0"/>
        <w:kinsoku/>
        <w:wordWrap/>
        <w:overflowPunct/>
        <w:topLinePunct w:val="0"/>
        <w:autoSpaceDE/>
        <w:autoSpaceDN/>
        <w:bidi w:val="0"/>
        <w:adjustRightInd/>
        <w:spacing w:line="360" w:lineRule="auto"/>
        <w:ind w:firstLine="410" w:firstLineChars="170"/>
        <w:textAlignment w:val="auto"/>
        <w:outlineLvl w:val="9"/>
        <w:rPr>
          <w:rFonts w:hint="eastAsia" w:ascii="宋体" w:hAnsi="宋体"/>
          <w:sz w:val="24"/>
        </w:rPr>
      </w:pPr>
      <w:r>
        <w:rPr>
          <w:rFonts w:hint="eastAsia" w:ascii="宋体" w:hAnsi="宋体"/>
          <w:b/>
          <w:sz w:val="24"/>
        </w:rPr>
        <w:t>1</w:t>
      </w:r>
      <w:r>
        <w:rPr>
          <w:rFonts w:hint="eastAsia" w:ascii="宋体" w:hAnsi="宋体"/>
          <w:b/>
          <w:sz w:val="24"/>
          <w:lang w:val="en-US" w:eastAsia="zh-CN"/>
        </w:rPr>
        <w:t>4</w:t>
      </w:r>
      <w:r>
        <w:rPr>
          <w:rFonts w:hint="eastAsia" w:ascii="宋体" w:hAnsi="宋体"/>
          <w:b/>
          <w:sz w:val="24"/>
        </w:rPr>
        <w:t>.报价</w:t>
      </w:r>
    </w:p>
    <w:p>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.1供应商的报价应含所投项目工程内容所发生的一切应有费用。</w:t>
      </w:r>
      <w:r>
        <w:rPr>
          <w:rFonts w:hint="eastAsia" w:ascii="宋体" w:hAnsi="宋体"/>
          <w:sz w:val="24"/>
          <w:lang w:eastAsia="zh-CN"/>
        </w:rPr>
        <w:t>磋商</w:t>
      </w:r>
      <w:r>
        <w:rPr>
          <w:rFonts w:hint="eastAsia" w:ascii="宋体" w:hAnsi="宋体"/>
          <w:sz w:val="24"/>
          <w:highlight w:val="none"/>
          <w:lang w:val="en-US" w:eastAsia="zh-CN"/>
        </w:rPr>
        <w:t>最终</w:t>
      </w:r>
      <w:r>
        <w:rPr>
          <w:rFonts w:hint="eastAsia" w:ascii="宋体" w:hAnsi="宋体"/>
          <w:sz w:val="24"/>
        </w:rPr>
        <w:t>报价为签订合同的依据。</w:t>
      </w:r>
    </w:p>
    <w:p>
      <w:pPr>
        <w:keepNext w:val="0"/>
        <w:keepLines w:val="0"/>
        <w:pageBreakBefore w:val="0"/>
        <w:widowControl w:val="0"/>
        <w:kinsoku/>
        <w:wordWrap/>
        <w:overflowPunct/>
        <w:topLinePunct w:val="0"/>
        <w:autoSpaceDE/>
        <w:autoSpaceDN/>
        <w:bidi w:val="0"/>
        <w:adjustRightInd/>
        <w:spacing w:line="360" w:lineRule="auto"/>
        <w:ind w:firstLine="389" w:firstLineChars="171"/>
        <w:textAlignment w:val="auto"/>
        <w:outlineLvl w:val="9"/>
        <w:rPr>
          <w:rFonts w:ascii="宋体" w:hAnsi="宋体"/>
          <w:spacing w:val="-6"/>
          <w:sz w:val="24"/>
        </w:rPr>
      </w:pPr>
      <w:r>
        <w:rPr>
          <w:rFonts w:hint="eastAsia" w:ascii="宋体" w:hAnsi="宋体"/>
          <w:spacing w:val="-6"/>
          <w:sz w:val="24"/>
        </w:rPr>
        <w:t>1</w:t>
      </w:r>
      <w:r>
        <w:rPr>
          <w:rFonts w:hint="eastAsia" w:ascii="宋体" w:hAnsi="宋体"/>
          <w:spacing w:val="-6"/>
          <w:sz w:val="24"/>
          <w:lang w:val="en-US" w:eastAsia="zh-CN"/>
        </w:rPr>
        <w:t>4</w:t>
      </w:r>
      <w:r>
        <w:rPr>
          <w:rFonts w:hint="eastAsia" w:ascii="宋体" w:hAnsi="宋体"/>
          <w:spacing w:val="-6"/>
          <w:sz w:val="24"/>
        </w:rPr>
        <w:t>.2</w:t>
      </w:r>
      <w:r>
        <w:rPr>
          <w:rFonts w:ascii="宋体" w:hAnsi="宋体"/>
          <w:spacing w:val="-6"/>
          <w:sz w:val="24"/>
        </w:rPr>
        <w:t>磋商报价应以人民币报价。任何包含非人民币报价的</w:t>
      </w:r>
      <w:r>
        <w:rPr>
          <w:rFonts w:hint="eastAsia" w:ascii="宋体" w:hAnsi="宋体"/>
          <w:spacing w:val="-6"/>
          <w:sz w:val="24"/>
        </w:rPr>
        <w:t>磋商响应文件均按无效处理</w:t>
      </w:r>
      <w:r>
        <w:rPr>
          <w:rFonts w:ascii="宋体" w:hAnsi="宋体"/>
          <w:spacing w:val="-6"/>
          <w:sz w:val="24"/>
        </w:rPr>
        <w:t>。</w:t>
      </w:r>
    </w:p>
    <w:p>
      <w:pPr>
        <w:keepNext w:val="0"/>
        <w:keepLines w:val="0"/>
        <w:pageBreakBefore w:val="0"/>
        <w:widowControl w:val="0"/>
        <w:kinsoku/>
        <w:wordWrap/>
        <w:overflowPunct/>
        <w:topLinePunct w:val="0"/>
        <w:autoSpaceDE/>
        <w:autoSpaceDN/>
        <w:bidi w:val="0"/>
        <w:adjustRightInd/>
        <w:spacing w:line="360" w:lineRule="auto"/>
        <w:ind w:firstLine="389" w:firstLineChars="171"/>
        <w:textAlignment w:val="auto"/>
        <w:outlineLvl w:val="9"/>
        <w:rPr>
          <w:rFonts w:hint="eastAsia" w:ascii="宋体" w:hAnsi="宋体"/>
          <w:spacing w:val="-6"/>
          <w:sz w:val="24"/>
        </w:rPr>
      </w:pPr>
      <w:r>
        <w:rPr>
          <w:rFonts w:hint="eastAsia" w:ascii="宋体" w:hAnsi="宋体"/>
          <w:spacing w:val="-6"/>
          <w:sz w:val="24"/>
        </w:rPr>
        <w:t>1</w:t>
      </w:r>
      <w:r>
        <w:rPr>
          <w:rFonts w:hint="eastAsia" w:ascii="宋体" w:hAnsi="宋体"/>
          <w:spacing w:val="-6"/>
          <w:sz w:val="24"/>
          <w:lang w:val="en-US" w:eastAsia="zh-CN"/>
        </w:rPr>
        <w:t>4</w:t>
      </w:r>
      <w:r>
        <w:rPr>
          <w:rFonts w:hint="eastAsia" w:ascii="宋体" w:hAnsi="宋体"/>
          <w:spacing w:val="-6"/>
          <w:sz w:val="24"/>
        </w:rPr>
        <w:t>.3除非磋商文件另有规定，只允许有一个最终报价，任何有选择的报价或替代方案将导致投标无效。</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rPr>
        <w:t>1</w:t>
      </w:r>
      <w:r>
        <w:rPr>
          <w:rFonts w:hint="eastAsia" w:ascii="宋体" w:hAnsi="宋体"/>
          <w:sz w:val="24"/>
          <w:lang w:val="en-US" w:eastAsia="zh-CN"/>
        </w:rPr>
        <w:t>4</w:t>
      </w:r>
      <w:r>
        <w:rPr>
          <w:rFonts w:hint="eastAsia" w:ascii="宋体" w:hAnsi="宋体"/>
          <w:sz w:val="24"/>
        </w:rPr>
        <w:t>.4供应商</w:t>
      </w:r>
      <w:r>
        <w:rPr>
          <w:rFonts w:hint="eastAsia" w:ascii="宋体" w:hAnsi="宋体"/>
          <w:sz w:val="24"/>
          <w:lang w:val="en-US" w:eastAsia="zh-CN"/>
        </w:rPr>
        <w:t>最终</w:t>
      </w:r>
      <w:r>
        <w:rPr>
          <w:rFonts w:hint="eastAsia" w:ascii="宋体" w:hAnsi="宋体"/>
          <w:sz w:val="24"/>
        </w:rPr>
        <w:t>报价在合同实施期间不因市场变化因素</w:t>
      </w:r>
      <w:r>
        <w:rPr>
          <w:rFonts w:hint="eastAsia" w:ascii="宋体" w:hAnsi="宋体"/>
          <w:sz w:val="24"/>
          <w:highlight w:val="none"/>
        </w:rPr>
        <w:t>而变动</w:t>
      </w:r>
      <w:r>
        <w:rPr>
          <w:rFonts w:hint="eastAsia" w:ascii="宋体" w:hAnsi="宋体"/>
          <w:sz w:val="24"/>
          <w:highlight w:val="none"/>
          <w:lang w:eastAsia="zh-CN"/>
        </w:rPr>
        <w:t>（</w:t>
      </w:r>
      <w:r>
        <w:rPr>
          <w:rFonts w:hint="eastAsia" w:ascii="宋体" w:hAnsi="宋体"/>
          <w:sz w:val="24"/>
          <w:highlight w:val="none"/>
          <w:lang w:val="en-US" w:eastAsia="zh-CN"/>
        </w:rPr>
        <w:t>政策性调整除外</w:t>
      </w:r>
      <w:r>
        <w:rPr>
          <w:rFonts w:hint="eastAsia" w:ascii="宋体" w:hAnsi="宋体"/>
          <w:sz w:val="24"/>
          <w:highlight w:val="none"/>
          <w:lang w:eastAsia="zh-CN"/>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5</w:t>
      </w:r>
      <w:r>
        <w:rPr>
          <w:rFonts w:hint="eastAsia" w:ascii="宋体" w:hAnsi="宋体"/>
          <w:b/>
          <w:bCs/>
          <w:sz w:val="24"/>
          <w:highlight w:val="none"/>
        </w:rPr>
        <w:t>.</w:t>
      </w:r>
      <w:r>
        <w:rPr>
          <w:rFonts w:ascii="宋体" w:hAnsi="宋体"/>
          <w:b/>
          <w:sz w:val="24"/>
          <w:highlight w:val="none"/>
        </w:rPr>
        <w:t xml:space="preserve"> 磋商响应文件的构成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sz w:val="24"/>
          <w:highlight w:val="none"/>
          <w:lang w:val="en-US" w:eastAsia="zh-CN"/>
        </w:rPr>
        <w:t>1</w:t>
      </w:r>
      <w:r>
        <w:rPr>
          <w:rFonts w:ascii="宋体" w:hAnsi="宋体"/>
          <w:sz w:val="24"/>
          <w:highlight w:val="none"/>
        </w:rPr>
        <w:t>按照磋商须知的要求和磋商响应文件规定格式填写的磋商报价</w:t>
      </w:r>
      <w:r>
        <w:rPr>
          <w:rFonts w:hint="eastAsia" w:ascii="宋体" w:hAnsi="宋体"/>
          <w:sz w:val="24"/>
          <w:highlight w:val="none"/>
          <w:lang w:val="en-US" w:eastAsia="zh-CN"/>
        </w:rPr>
        <w:t>表</w:t>
      </w:r>
      <w:r>
        <w:rPr>
          <w:rFonts w:hint="eastAsia" w:ascii="宋体" w:hAnsi="宋体"/>
          <w:sz w:val="24"/>
          <w:highlight w:val="none"/>
          <w:lang w:eastAsia="zh-CN"/>
        </w:rPr>
        <w:t>，</w:t>
      </w:r>
      <w:r>
        <w:rPr>
          <w:rFonts w:ascii="宋体" w:hAnsi="宋体"/>
          <w:sz w:val="24"/>
          <w:highlight w:val="none"/>
        </w:rPr>
        <w:t>按要求格式出具的法定代表人授权</w:t>
      </w:r>
      <w:r>
        <w:rPr>
          <w:rFonts w:hint="eastAsia" w:ascii="宋体" w:hAnsi="宋体"/>
          <w:sz w:val="24"/>
          <w:highlight w:val="none"/>
          <w:lang w:eastAsia="zh-CN"/>
        </w:rPr>
        <w:t>委托</w:t>
      </w:r>
      <w:r>
        <w:rPr>
          <w:rFonts w:ascii="宋体" w:hAnsi="宋体"/>
          <w:sz w:val="24"/>
          <w:highlight w:val="none"/>
        </w:rPr>
        <w:t>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5.2</w:t>
      </w:r>
      <w:r>
        <w:rPr>
          <w:rFonts w:ascii="宋体" w:hAnsi="宋体"/>
          <w:sz w:val="24"/>
          <w:highlight w:val="none"/>
        </w:rPr>
        <w:t>按照</w:t>
      </w:r>
      <w:r>
        <w:rPr>
          <w:rFonts w:hint="eastAsia" w:ascii="宋体" w:hAnsi="宋体"/>
          <w:sz w:val="24"/>
          <w:highlight w:val="none"/>
        </w:rPr>
        <w:t>磋商</w:t>
      </w:r>
      <w:r>
        <w:rPr>
          <w:rFonts w:ascii="宋体" w:hAnsi="宋体"/>
          <w:sz w:val="24"/>
          <w:highlight w:val="none"/>
        </w:rPr>
        <w:t>文件的要求编制的</w:t>
      </w:r>
      <w:r>
        <w:rPr>
          <w:rFonts w:hint="eastAsia" w:ascii="宋体" w:hAnsi="宋体"/>
          <w:sz w:val="24"/>
          <w:highlight w:val="none"/>
        </w:rPr>
        <w:t>磋商响应文件</w:t>
      </w:r>
      <w:r>
        <w:rPr>
          <w:rFonts w:ascii="宋体" w:hAnsi="宋体"/>
          <w:sz w:val="24"/>
          <w:highlight w:val="none"/>
        </w:rPr>
        <w:t>，内容应包括</w:t>
      </w:r>
      <w:r>
        <w:rPr>
          <w:rFonts w:hint="eastAsia" w:ascii="宋体" w:hAnsi="宋体"/>
          <w:sz w:val="24"/>
          <w:highlight w:val="none"/>
        </w:rPr>
        <w:t>磋商文件“第</w:t>
      </w:r>
      <w:r>
        <w:rPr>
          <w:rFonts w:hint="eastAsia" w:ascii="宋体" w:hAnsi="宋体"/>
          <w:sz w:val="24"/>
          <w:highlight w:val="none"/>
          <w:lang w:val="en-US" w:eastAsia="zh-CN"/>
        </w:rPr>
        <w:t>六</w:t>
      </w:r>
      <w:r>
        <w:rPr>
          <w:rFonts w:hint="eastAsia" w:ascii="宋体" w:hAnsi="宋体"/>
          <w:sz w:val="24"/>
          <w:highlight w:val="none"/>
        </w:rPr>
        <w:t>部分</w:t>
      </w:r>
      <w:r>
        <w:rPr>
          <w:rFonts w:hint="eastAsia" w:ascii="宋体" w:hAnsi="宋体"/>
          <w:sz w:val="24"/>
          <w:highlight w:val="none"/>
          <w:lang w:val="en-US" w:eastAsia="zh-CN"/>
        </w:rPr>
        <w:t xml:space="preserve"> </w:t>
      </w:r>
      <w:r>
        <w:rPr>
          <w:rFonts w:hint="eastAsia" w:ascii="宋体" w:hAnsi="宋体"/>
          <w:sz w:val="24"/>
          <w:highlight w:val="none"/>
        </w:rPr>
        <w:t>磋商响应文件</w:t>
      </w:r>
      <w:r>
        <w:rPr>
          <w:rFonts w:hint="eastAsia" w:ascii="宋体" w:hAnsi="宋体"/>
          <w:sz w:val="24"/>
          <w:highlight w:val="none"/>
          <w:lang w:val="en-US" w:eastAsia="zh-CN"/>
        </w:rPr>
        <w:t>格式</w:t>
      </w:r>
      <w:r>
        <w:rPr>
          <w:rFonts w:hint="eastAsia" w:ascii="宋体" w:hAnsi="宋体"/>
          <w:sz w:val="24"/>
          <w:highlight w:val="none"/>
        </w:rPr>
        <w:t>”内的所有内容</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5.3</w:t>
      </w:r>
      <w:r>
        <w:rPr>
          <w:rFonts w:ascii="宋体" w:hAnsi="宋体"/>
          <w:sz w:val="24"/>
          <w:highlight w:val="none"/>
        </w:rPr>
        <w:t>按照磋商文件的要求提交的资</w:t>
      </w:r>
      <w:r>
        <w:rPr>
          <w:rFonts w:hint="eastAsia" w:ascii="宋体" w:hAnsi="宋体"/>
          <w:sz w:val="24"/>
          <w:highlight w:val="none"/>
          <w:lang w:val="en-US" w:eastAsia="zh-CN"/>
        </w:rPr>
        <w:t>格</w:t>
      </w:r>
      <w:r>
        <w:rPr>
          <w:rFonts w:ascii="宋体" w:hAnsi="宋体"/>
          <w:sz w:val="24"/>
          <w:highlight w:val="none"/>
        </w:rPr>
        <w:t>证明文件</w:t>
      </w:r>
      <w:r>
        <w:rPr>
          <w:rFonts w:hint="eastAsia" w:ascii="宋体" w:hAnsi="宋体"/>
          <w:sz w:val="24"/>
          <w:highlight w:val="none"/>
        </w:rPr>
        <w:t>和其他证明文件。</w:t>
      </w:r>
    </w:p>
    <w:p>
      <w:pPr>
        <w:keepNext w:val="0"/>
        <w:keepLines w:val="0"/>
        <w:pageBreakBefore w:val="0"/>
        <w:widowControl w:val="0"/>
        <w:kinsoku/>
        <w:wordWrap/>
        <w:overflowPunct/>
        <w:topLinePunct w:val="0"/>
        <w:autoSpaceDE/>
        <w:autoSpaceDN/>
        <w:bidi w:val="0"/>
        <w:adjustRightInd/>
        <w:spacing w:line="360" w:lineRule="auto"/>
        <w:ind w:firstLine="412" w:firstLineChars="171"/>
        <w:textAlignment w:val="auto"/>
        <w:outlineLvl w:val="9"/>
        <w:rPr>
          <w:rFonts w:hint="eastAsia" w:ascii="宋体" w:hAnsi="宋体"/>
          <w:b/>
          <w:sz w:val="24"/>
          <w:highlight w:val="none"/>
        </w:rPr>
      </w:pPr>
      <w:r>
        <w:rPr>
          <w:rFonts w:hint="eastAsia" w:ascii="宋体" w:hAnsi="宋体"/>
          <w:b/>
          <w:sz w:val="24"/>
        </w:rPr>
        <w:t>1</w:t>
      </w:r>
      <w:r>
        <w:rPr>
          <w:rFonts w:hint="eastAsia" w:ascii="宋体" w:hAnsi="宋体"/>
          <w:b/>
          <w:sz w:val="24"/>
          <w:lang w:val="en-US" w:eastAsia="zh-CN"/>
        </w:rPr>
        <w:t>6</w:t>
      </w:r>
      <w:r>
        <w:rPr>
          <w:rFonts w:hint="eastAsia" w:ascii="宋体" w:hAnsi="宋体"/>
          <w:b/>
          <w:sz w:val="24"/>
        </w:rPr>
        <w:t>.投标内容填写及说明</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kern w:val="1"/>
          <w:sz w:val="24"/>
          <w:highlight w:val="none"/>
        </w:rPr>
      </w:pPr>
      <w:bookmarkStart w:id="32" w:name="_Hlt509650572"/>
      <w:bookmarkEnd w:id="32"/>
      <w:bookmarkStart w:id="33" w:name="_Toc356157315"/>
      <w:r>
        <w:rPr>
          <w:rFonts w:hint="eastAsia" w:ascii="宋体" w:hAnsi="宋体"/>
          <w:sz w:val="24"/>
          <w:highlight w:val="none"/>
        </w:rPr>
        <w:t>1</w:t>
      </w:r>
      <w:r>
        <w:rPr>
          <w:rFonts w:hint="eastAsia" w:ascii="宋体" w:hAnsi="宋体"/>
          <w:sz w:val="24"/>
          <w:highlight w:val="none"/>
          <w:lang w:val="en-US" w:eastAsia="zh-CN"/>
        </w:rPr>
        <w:t>6</w:t>
      </w:r>
      <w:r>
        <w:rPr>
          <w:rFonts w:hint="eastAsia" w:ascii="宋体" w:hAnsi="宋体"/>
          <w:sz w:val="24"/>
          <w:highlight w:val="none"/>
        </w:rPr>
        <w:t>.1</w:t>
      </w:r>
      <w:r>
        <w:rPr>
          <w:rFonts w:hint="eastAsia" w:ascii="宋体" w:hAnsi="宋体" w:cs="宋体"/>
          <w:spacing w:val="-4"/>
          <w:kern w:val="24"/>
          <w:sz w:val="24"/>
          <w:highlight w:val="none"/>
        </w:rPr>
        <w:t>供应商应严格按照竞争性磋商文件第</w:t>
      </w:r>
      <w:r>
        <w:rPr>
          <w:rFonts w:hint="eastAsia" w:ascii="宋体" w:hAnsi="宋体" w:cs="宋体"/>
          <w:spacing w:val="-4"/>
          <w:kern w:val="24"/>
          <w:sz w:val="24"/>
          <w:highlight w:val="none"/>
          <w:lang w:val="en-US" w:eastAsia="zh-CN"/>
        </w:rPr>
        <w:t>六</w:t>
      </w:r>
      <w:r>
        <w:rPr>
          <w:rFonts w:hint="eastAsia" w:ascii="宋体" w:hAnsi="宋体" w:cs="宋体"/>
          <w:spacing w:val="-4"/>
          <w:kern w:val="24"/>
          <w:sz w:val="24"/>
          <w:highlight w:val="none"/>
        </w:rPr>
        <w:t>部分中提供的“磋商响应文件格式”填写相关内容。</w:t>
      </w:r>
      <w:r>
        <w:rPr>
          <w:rFonts w:hint="eastAsia" w:ascii="宋体" w:hAnsi="宋体" w:cs="宋体"/>
          <w:b/>
          <w:bCs/>
          <w:kern w:val="1"/>
          <w:sz w:val="24"/>
          <w:highlight w:val="none"/>
        </w:rPr>
        <w:t>除明确允许</w:t>
      </w:r>
      <w:r>
        <w:rPr>
          <w:rFonts w:hint="eastAsia" w:ascii="宋体" w:hAnsi="宋体" w:cs="宋体"/>
          <w:b/>
          <w:bCs/>
          <w:kern w:val="1"/>
          <w:sz w:val="24"/>
          <w:highlight w:val="none"/>
          <w:lang w:eastAsia="zh-CN"/>
        </w:rPr>
        <w:t>供应商</w:t>
      </w:r>
      <w:r>
        <w:rPr>
          <w:rFonts w:hint="eastAsia" w:ascii="宋体" w:hAnsi="宋体" w:cs="宋体"/>
          <w:b/>
          <w:bCs/>
          <w:kern w:val="1"/>
          <w:sz w:val="24"/>
          <w:highlight w:val="none"/>
        </w:rPr>
        <w:t>可以自行编写的外，</w:t>
      </w:r>
      <w:r>
        <w:rPr>
          <w:rFonts w:hint="eastAsia" w:ascii="宋体" w:hAnsi="宋体" w:cs="宋体"/>
          <w:b/>
          <w:bCs/>
          <w:kern w:val="1"/>
          <w:sz w:val="24"/>
          <w:highlight w:val="none"/>
          <w:lang w:eastAsia="zh-CN"/>
        </w:rPr>
        <w:t>供应商</w:t>
      </w:r>
      <w:r>
        <w:rPr>
          <w:rFonts w:hint="eastAsia" w:ascii="宋体" w:hAnsi="宋体" w:cs="宋体"/>
          <w:b/>
          <w:bCs/>
          <w:kern w:val="1"/>
          <w:sz w:val="24"/>
          <w:highlight w:val="none"/>
        </w:rPr>
        <w:t>不得以“磋商响应文件格式”规定之外的方式填写相关内容。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pacing w:val="4"/>
          <w:sz w:val="24"/>
          <w:highlight w:val="none"/>
        </w:rPr>
      </w:pPr>
      <w:r>
        <w:rPr>
          <w:rFonts w:hint="eastAsia" w:ascii="宋体" w:hAnsi="宋体"/>
          <w:sz w:val="24"/>
          <w:highlight w:val="none"/>
        </w:rPr>
        <w:t>1</w:t>
      </w:r>
      <w:r>
        <w:rPr>
          <w:rFonts w:hint="eastAsia" w:ascii="宋体" w:hAnsi="宋体"/>
          <w:sz w:val="24"/>
          <w:highlight w:val="none"/>
          <w:lang w:val="en-US" w:eastAsia="zh-CN"/>
        </w:rPr>
        <w:t>6</w:t>
      </w:r>
      <w:r>
        <w:rPr>
          <w:rFonts w:hint="eastAsia" w:ascii="宋体" w:hAnsi="宋体"/>
          <w:sz w:val="24"/>
          <w:highlight w:val="none"/>
        </w:rPr>
        <w:t>.2</w:t>
      </w:r>
      <w:r>
        <w:rPr>
          <w:rFonts w:hint="eastAsia" w:ascii="宋体" w:hAnsi="宋体" w:cs="宋体"/>
          <w:kern w:val="1"/>
          <w:sz w:val="24"/>
          <w:highlight w:val="none"/>
        </w:rPr>
        <w:t>对于没有格式要求的磋商响应文件由</w:t>
      </w:r>
      <w:r>
        <w:rPr>
          <w:rFonts w:hint="eastAsia" w:ascii="宋体" w:hAnsi="宋体" w:cs="宋体"/>
          <w:kern w:val="1"/>
          <w:sz w:val="24"/>
          <w:highlight w:val="none"/>
          <w:lang w:val="en-US" w:eastAsia="zh-CN"/>
        </w:rPr>
        <w:t>供应商</w:t>
      </w:r>
      <w:r>
        <w:rPr>
          <w:rFonts w:hint="eastAsia" w:ascii="宋体" w:hAnsi="宋体" w:cs="宋体"/>
          <w:kern w:val="1"/>
          <w:sz w:val="24"/>
          <w:highlight w:val="none"/>
        </w:rPr>
        <w:t>自行编写。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kern w:val="1"/>
          <w:sz w:val="24"/>
          <w:highlight w:val="none"/>
        </w:rPr>
      </w:pPr>
      <w:r>
        <w:rPr>
          <w:rFonts w:hint="eastAsia" w:ascii="宋体" w:hAnsi="宋体"/>
          <w:sz w:val="24"/>
          <w:highlight w:val="none"/>
        </w:rPr>
        <w:t>1</w:t>
      </w:r>
      <w:r>
        <w:rPr>
          <w:rFonts w:hint="eastAsia" w:ascii="宋体" w:hAnsi="宋体"/>
          <w:sz w:val="24"/>
          <w:highlight w:val="none"/>
          <w:lang w:val="en-US" w:eastAsia="zh-CN"/>
        </w:rPr>
        <w:t>6</w:t>
      </w:r>
      <w:r>
        <w:rPr>
          <w:rFonts w:ascii="宋体" w:hAnsi="宋体"/>
          <w:sz w:val="24"/>
          <w:highlight w:val="none"/>
        </w:rPr>
        <w:t>.</w:t>
      </w:r>
      <w:r>
        <w:rPr>
          <w:rFonts w:hint="eastAsia" w:ascii="宋体" w:hAnsi="宋体"/>
          <w:sz w:val="24"/>
          <w:highlight w:val="none"/>
        </w:rPr>
        <w:t>3</w:t>
      </w:r>
      <w:r>
        <w:rPr>
          <w:rFonts w:hint="eastAsia" w:ascii="宋体" w:hAnsi="宋体" w:cs="宋体"/>
          <w:kern w:val="1"/>
          <w:sz w:val="24"/>
          <w:highlight w:val="none"/>
        </w:rPr>
        <w:t>供应商自行承担未按照</w:t>
      </w:r>
      <w:r>
        <w:rPr>
          <w:rFonts w:hint="eastAsia" w:ascii="宋体" w:hAnsi="宋体" w:cs="宋体"/>
          <w:kern w:val="1"/>
          <w:sz w:val="24"/>
          <w:highlight w:val="none"/>
          <w:lang w:val="en-US" w:eastAsia="zh-CN"/>
        </w:rPr>
        <w:t>采购</w:t>
      </w:r>
      <w:r>
        <w:rPr>
          <w:rFonts w:hint="eastAsia" w:ascii="宋体" w:hAnsi="宋体" w:cs="宋体"/>
          <w:kern w:val="1"/>
          <w:sz w:val="24"/>
          <w:highlight w:val="none"/>
        </w:rPr>
        <w:t>要求提供相关内容被视为无效</w:t>
      </w:r>
      <w:r>
        <w:rPr>
          <w:rFonts w:hint="eastAsia" w:ascii="宋体" w:hAnsi="宋体" w:cs="宋体"/>
          <w:kern w:val="1"/>
          <w:sz w:val="24"/>
          <w:highlight w:val="none"/>
          <w:lang w:val="en-US" w:eastAsia="zh-CN"/>
        </w:rPr>
        <w:t>投标</w:t>
      </w:r>
      <w:r>
        <w:rPr>
          <w:rFonts w:hint="eastAsia" w:ascii="宋体" w:hAnsi="宋体" w:cs="宋体"/>
          <w:kern w:val="1"/>
          <w:sz w:val="24"/>
          <w:highlight w:val="none"/>
        </w:rPr>
        <w:t>的风险。</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eastAsia="宋体"/>
          <w:b/>
          <w:sz w:val="24"/>
          <w:highlight w:val="none"/>
          <w:lang w:eastAsia="zh-CN"/>
        </w:rPr>
      </w:pPr>
      <w:r>
        <w:rPr>
          <w:rFonts w:hint="eastAsia" w:ascii="宋体" w:hAnsi="宋体"/>
          <w:b/>
          <w:sz w:val="24"/>
          <w:highlight w:val="none"/>
        </w:rPr>
        <w:t>1</w:t>
      </w:r>
      <w:r>
        <w:rPr>
          <w:rFonts w:hint="eastAsia" w:ascii="宋体" w:hAnsi="宋体"/>
          <w:b/>
          <w:sz w:val="24"/>
          <w:highlight w:val="none"/>
          <w:lang w:val="en-US" w:eastAsia="zh-CN"/>
        </w:rPr>
        <w:t>7</w:t>
      </w:r>
      <w:r>
        <w:rPr>
          <w:rFonts w:hint="eastAsia" w:ascii="宋体" w:hAnsi="宋体"/>
          <w:b/>
          <w:sz w:val="24"/>
          <w:highlight w:val="none"/>
        </w:rPr>
        <w:t>.</w:t>
      </w:r>
      <w:r>
        <w:rPr>
          <w:rFonts w:hint="eastAsia" w:ascii="宋体" w:hAnsi="宋体"/>
          <w:b/>
          <w:sz w:val="24"/>
          <w:highlight w:val="none"/>
          <w:lang w:eastAsia="zh-CN"/>
        </w:rPr>
        <w:t>磋商保证金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7</w:t>
      </w:r>
      <w:r>
        <w:rPr>
          <w:rFonts w:hint="eastAsia" w:ascii="宋体" w:hAnsi="宋体"/>
          <w:sz w:val="24"/>
          <w:highlight w:val="none"/>
        </w:rPr>
        <w:t>.1</w:t>
      </w:r>
      <w:r>
        <w:rPr>
          <w:rFonts w:hint="eastAsia" w:ascii="宋体" w:hAnsi="宋体"/>
          <w:sz w:val="24"/>
          <w:highlight w:val="none"/>
          <w:lang w:eastAsia="zh-CN"/>
        </w:rPr>
        <w:t>磋商保证金</w:t>
      </w:r>
      <w:r>
        <w:rPr>
          <w:rFonts w:hint="eastAsia" w:ascii="宋体" w:hAnsi="宋体"/>
          <w:sz w:val="24"/>
          <w:highlight w:val="none"/>
        </w:rPr>
        <w:t>按照</w:t>
      </w:r>
      <w:r>
        <w:rPr>
          <w:rFonts w:hint="eastAsia" w:ascii="宋体" w:hAnsi="宋体"/>
          <w:sz w:val="24"/>
          <w:highlight w:val="none"/>
          <w:lang w:val="en-US" w:eastAsia="zh-CN"/>
        </w:rPr>
        <w:t>磋商</w:t>
      </w:r>
      <w:r>
        <w:rPr>
          <w:rFonts w:hint="eastAsia" w:ascii="宋体" w:hAnsi="宋体"/>
          <w:sz w:val="24"/>
          <w:highlight w:val="none"/>
        </w:rPr>
        <w:t>须知前附表要求缴纳。</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供应商未按照</w:t>
      </w:r>
      <w:r>
        <w:rPr>
          <w:rFonts w:hint="eastAsia" w:ascii="宋体" w:hAnsi="宋体"/>
          <w:sz w:val="24"/>
          <w:highlight w:val="none"/>
          <w:lang w:eastAsia="zh-CN"/>
        </w:rPr>
        <w:t>竞争性磋商文件</w:t>
      </w:r>
      <w:r>
        <w:rPr>
          <w:rFonts w:hint="eastAsia" w:ascii="宋体" w:hAnsi="宋体"/>
          <w:sz w:val="24"/>
          <w:highlight w:val="none"/>
        </w:rPr>
        <w:t>要求</w:t>
      </w:r>
      <w:r>
        <w:rPr>
          <w:rFonts w:hint="eastAsia" w:ascii="宋体" w:hAnsi="宋体"/>
          <w:sz w:val="24"/>
          <w:highlight w:val="none"/>
          <w:lang w:val="en-US" w:eastAsia="zh-CN"/>
        </w:rPr>
        <w:t>缴</w:t>
      </w:r>
      <w:r>
        <w:rPr>
          <w:rFonts w:hint="eastAsia" w:ascii="宋体" w:hAnsi="宋体"/>
          <w:sz w:val="24"/>
          <w:highlight w:val="none"/>
        </w:rPr>
        <w:t>纳</w:t>
      </w:r>
      <w:r>
        <w:rPr>
          <w:rFonts w:hint="eastAsia" w:ascii="宋体" w:hAnsi="宋体"/>
          <w:sz w:val="24"/>
          <w:highlight w:val="none"/>
          <w:lang w:eastAsia="zh-CN"/>
        </w:rPr>
        <w:t>磋商保证金</w:t>
      </w:r>
      <w:r>
        <w:rPr>
          <w:rFonts w:hint="eastAsia" w:ascii="宋体" w:hAnsi="宋体"/>
          <w:sz w:val="24"/>
          <w:highlight w:val="none"/>
        </w:rPr>
        <w:t>的或</w:t>
      </w:r>
      <w:r>
        <w:rPr>
          <w:rFonts w:hint="eastAsia" w:ascii="宋体" w:hAnsi="宋体"/>
          <w:sz w:val="24"/>
          <w:highlight w:val="none"/>
          <w:lang w:eastAsia="zh-CN"/>
        </w:rPr>
        <w:t>磋商保证金</w:t>
      </w:r>
      <w:r>
        <w:rPr>
          <w:rFonts w:hint="eastAsia" w:ascii="宋体" w:hAnsi="宋体"/>
          <w:sz w:val="24"/>
          <w:highlight w:val="none"/>
        </w:rPr>
        <w:t>的交付单位和供应商的名称不一致，视为无效磋商。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b/>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mailto:17.11华春建设工程项目管理有限责任公司将在成交通知书发出后5个工作日内退还未成交供应商的磋商保证金；采购合同签订后5个工作日内退还成交供应商的保证金（成交供应商须在合同签订后两个工作日内，提供完整的合同扫描件发送至邮箱673951152@qq.com）。" </w:instrText>
      </w:r>
      <w:r>
        <w:rPr>
          <w:rFonts w:hint="eastAsia" w:ascii="宋体" w:hAnsi="宋体"/>
          <w:sz w:val="24"/>
          <w:highlight w:val="none"/>
        </w:rPr>
        <w:fldChar w:fldCharType="separate"/>
      </w:r>
      <w:r>
        <w:rPr>
          <w:rFonts w:hint="eastAsia" w:ascii="宋体" w:hAnsi="宋体"/>
          <w:sz w:val="24"/>
          <w:highlight w:val="none"/>
        </w:rPr>
        <w:t>1</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3未成交供应商的磋商保证金应当在成交通知书发出后5个工作日内退还，成交供应商的磋商保证金应当在采购合同签订后5个工作日内退还。</w:t>
      </w:r>
      <w:r>
        <w:rPr>
          <w:rFonts w:hint="eastAsia" w:ascii="宋体" w:hAnsi="宋体" w:eastAsia="宋体" w:cs="宋体"/>
          <w:b/>
          <w:bCs/>
          <w:kern w:val="1"/>
          <w:sz w:val="24"/>
          <w:highlight w:val="none"/>
          <w:lang w:val="zh-CN"/>
        </w:rPr>
        <w:t>（成交供应商须在合同签订后两个工作日内，提供完整的合同扫描件发送至邮箱</w:t>
      </w:r>
      <w:r>
        <w:rPr>
          <w:rFonts w:hint="eastAsia" w:ascii="宋体" w:hAnsi="宋体" w:cs="宋体"/>
          <w:b/>
          <w:bCs/>
          <w:kern w:val="1"/>
          <w:sz w:val="24"/>
          <w:highlight w:val="none"/>
          <w:lang w:val="en-US" w:eastAsia="zh-CN"/>
        </w:rPr>
        <w:t>694008170@qq.com</w:t>
      </w:r>
      <w:r>
        <w:rPr>
          <w:rFonts w:hint="eastAsia" w:ascii="宋体" w:hAnsi="宋体" w:eastAsia="宋体" w:cs="宋体"/>
          <w:b/>
          <w:bCs/>
          <w:kern w:val="1"/>
          <w:sz w:val="24"/>
          <w:highlight w:val="none"/>
          <w:lang w:val="zh-CN"/>
        </w:rPr>
        <w:t>）</w:t>
      </w:r>
      <w:r>
        <w:rPr>
          <w:rStyle w:val="32"/>
          <w:rFonts w:hint="eastAsia" w:ascii="宋体" w:hAnsi="宋体"/>
          <w:b/>
          <w:sz w:val="24"/>
          <w:highlight w:val="none"/>
        </w:rPr>
        <w:t>。</w:t>
      </w:r>
      <w:r>
        <w:rPr>
          <w:rFonts w:hint="eastAsia" w:ascii="宋体" w:hAnsi="宋体"/>
          <w:sz w:val="24"/>
          <w:highlight w:val="none"/>
        </w:rPr>
        <w:fldChar w:fldCharType="end"/>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sz w:val="24"/>
          <w:lang w:val="en-US" w:eastAsia="zh-CN"/>
        </w:rPr>
      </w:pPr>
      <w:r>
        <w:rPr>
          <w:rFonts w:hint="eastAsia" w:ascii="宋体" w:hAnsi="宋体" w:cs="Times New Roman"/>
          <w:sz w:val="24"/>
          <w:lang w:val="en-US" w:eastAsia="zh-CN"/>
        </w:rPr>
        <w:t>17.4磋商保证金退还方式：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sz w:val="24"/>
          <w:lang w:val="en-US" w:eastAsia="zh-CN"/>
        </w:rPr>
      </w:pPr>
      <w:r>
        <w:rPr>
          <w:rFonts w:hint="eastAsia" w:ascii="宋体" w:hAnsi="宋体" w:cs="Times New Roman"/>
          <w:sz w:val="24"/>
          <w:lang w:val="en-US" w:eastAsia="zh-CN"/>
        </w:rPr>
        <w:t>（1）供应商以银行转账/电汇形式缴纳保证金的，代理机构以银行转账形式退还至供应商基本账户。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sz w:val="24"/>
        </w:rPr>
      </w:pPr>
      <w:r>
        <w:rPr>
          <w:rFonts w:hint="eastAsia" w:ascii="宋体" w:hAnsi="宋体" w:cs="Times New Roman"/>
          <w:sz w:val="24"/>
          <w:lang w:val="en-US" w:eastAsia="zh-CN"/>
        </w:rPr>
        <w:t>（2）供应商以金融机构/担保机构保函形式缴纳磋商保证金的，磋商结束之后代理机构将其保函原件退回（退还时间参照17.3条款）。供应商领取保函原件时须携带法定代表人授权委托书原件。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hint="eastAsia" w:ascii="宋体" w:hAnsi="宋体"/>
          <w:sz w:val="24"/>
        </w:rPr>
        <w:t>发生下列情形之一的，代理机构将不予退还供应商</w:t>
      </w:r>
      <w:r>
        <w:rPr>
          <w:rFonts w:hint="eastAsia" w:ascii="宋体" w:hAnsi="宋体"/>
          <w:sz w:val="24"/>
          <w:lang w:eastAsia="zh-CN"/>
        </w:rPr>
        <w:t>缴纳</w:t>
      </w:r>
      <w:r>
        <w:rPr>
          <w:rFonts w:hint="eastAsia" w:ascii="宋体" w:hAnsi="宋体"/>
          <w:sz w:val="24"/>
        </w:rPr>
        <w:t>的</w:t>
      </w:r>
      <w:r>
        <w:rPr>
          <w:rFonts w:hint="eastAsia" w:ascii="宋体" w:hAnsi="宋体"/>
          <w:sz w:val="24"/>
          <w:lang w:eastAsia="zh-CN"/>
        </w:rPr>
        <w:t>磋商保证金</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.1供应商在</w:t>
      </w:r>
      <w:r>
        <w:rPr>
          <w:rFonts w:hint="eastAsia" w:ascii="宋体" w:hAnsi="宋体"/>
          <w:color w:val="auto"/>
          <w:sz w:val="24"/>
          <w:highlight w:val="none"/>
          <w:lang w:val="en-US" w:eastAsia="zh-CN"/>
        </w:rPr>
        <w:t>提交响应文件截止时间后</w:t>
      </w:r>
      <w:r>
        <w:rPr>
          <w:rFonts w:hint="eastAsia" w:ascii="宋体" w:hAnsi="宋体"/>
          <w:color w:val="auto"/>
          <w:sz w:val="24"/>
          <w:highlight w:val="none"/>
        </w:rPr>
        <w:t>撤回</w:t>
      </w:r>
      <w:r>
        <w:rPr>
          <w:rFonts w:hint="eastAsia" w:ascii="宋体" w:hAnsi="宋体"/>
          <w:color w:val="auto"/>
          <w:sz w:val="24"/>
          <w:highlight w:val="none"/>
          <w:lang w:val="en-US" w:eastAsia="zh-CN"/>
        </w:rPr>
        <w:t>响应文件的</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.2</w:t>
      </w:r>
      <w:r>
        <w:rPr>
          <w:rFonts w:hint="eastAsia" w:ascii="宋体" w:hAnsi="宋体"/>
          <w:color w:val="auto"/>
          <w:sz w:val="24"/>
          <w:highlight w:val="none"/>
          <w:lang w:val="en-US" w:eastAsia="zh-CN"/>
        </w:rPr>
        <w:t>供应商在响应文件中提供虚假材料的；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17.5.3除因不可抗力或竞争性磋商文件认可的情形以外，成交供应商不与采购人签订合同的；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4供应商与采购人、其他供应商或者采购代理机构恶意串通的；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17.5.5磋商文件规定的其他情形</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1</w:t>
      </w:r>
      <w:r>
        <w:rPr>
          <w:rFonts w:hint="eastAsia" w:ascii="宋体" w:hAnsi="宋体"/>
          <w:b/>
          <w:sz w:val="24"/>
          <w:lang w:val="en-US" w:eastAsia="zh-CN"/>
        </w:rPr>
        <w:t>8</w:t>
      </w:r>
      <w:r>
        <w:rPr>
          <w:rFonts w:hint="eastAsia" w:ascii="宋体" w:hAnsi="宋体"/>
          <w:b/>
          <w:sz w:val="24"/>
        </w:rPr>
        <w:t>.磋商有效期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.1磋商有效期见</w:t>
      </w:r>
      <w:r>
        <w:rPr>
          <w:rFonts w:hint="eastAsia" w:ascii="宋体" w:hAnsi="宋体"/>
          <w:sz w:val="24"/>
          <w:lang w:val="en-US" w:eastAsia="zh-CN"/>
        </w:rPr>
        <w:t>磋商</w:t>
      </w:r>
      <w:r>
        <w:rPr>
          <w:rFonts w:hint="eastAsia" w:ascii="宋体" w:hAnsi="宋体"/>
          <w:sz w:val="24"/>
        </w:rPr>
        <w:t>须知前附表，</w:t>
      </w:r>
      <w:r>
        <w:rPr>
          <w:rFonts w:hint="eastAsia" w:ascii="宋体" w:hAnsi="宋体"/>
          <w:sz w:val="24"/>
          <w:lang w:val="en-US" w:eastAsia="zh-CN"/>
        </w:rPr>
        <w:t>不响应</w:t>
      </w:r>
      <w:r>
        <w:rPr>
          <w:rFonts w:hint="eastAsia" w:ascii="宋体" w:hAnsi="宋体"/>
          <w:sz w:val="24"/>
        </w:rPr>
        <w:t>磋商有效期</w:t>
      </w:r>
      <w:r>
        <w:rPr>
          <w:rFonts w:hint="eastAsia" w:ascii="宋体" w:hAnsi="宋体"/>
          <w:sz w:val="24"/>
          <w:lang w:val="en-US" w:eastAsia="zh-CN"/>
        </w:rPr>
        <w:t>的</w:t>
      </w:r>
      <w:r>
        <w:rPr>
          <w:rFonts w:hint="eastAsia" w:ascii="宋体" w:hAnsi="宋体"/>
          <w:sz w:val="24"/>
        </w:rPr>
        <w:t>，视为无效</w:t>
      </w:r>
      <w:r>
        <w:rPr>
          <w:rFonts w:hint="eastAsia" w:ascii="宋体" w:hAnsi="宋体"/>
          <w:sz w:val="24"/>
          <w:lang w:val="en-US" w:eastAsia="zh-CN"/>
        </w:rPr>
        <w:t>响应</w:t>
      </w:r>
      <w:r>
        <w:rPr>
          <w:rFonts w:hint="eastAsia" w:ascii="宋体" w:hAnsi="宋体"/>
          <w:sz w:val="24"/>
        </w:rPr>
        <w:t>文件，其磋商响应文件将被拒绝。成交</w:t>
      </w:r>
      <w:r>
        <w:rPr>
          <w:rFonts w:hint="eastAsia" w:ascii="宋体" w:hAnsi="宋体"/>
          <w:sz w:val="24"/>
          <w:lang w:val="en-US" w:eastAsia="zh-CN"/>
        </w:rPr>
        <w:t>供应商</w:t>
      </w:r>
      <w:r>
        <w:rPr>
          <w:rFonts w:hint="eastAsia" w:ascii="宋体" w:hAnsi="宋体"/>
          <w:sz w:val="24"/>
        </w:rPr>
        <w:t>的磋商响应文件有效期延长至合同执行完毕。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1</w:t>
      </w:r>
      <w:r>
        <w:rPr>
          <w:rFonts w:hint="eastAsia" w:ascii="宋体" w:hAnsi="宋体"/>
          <w:sz w:val="24"/>
          <w:lang w:val="en-US" w:eastAsia="zh-CN"/>
        </w:rPr>
        <w:t>8</w:t>
      </w:r>
      <w:r>
        <w:rPr>
          <w:rFonts w:hint="eastAsia" w:ascii="宋体" w:hAnsi="宋体"/>
          <w:sz w:val="24"/>
        </w:rPr>
        <w:t>.2在磋商</w:t>
      </w:r>
      <w:r>
        <w:rPr>
          <w:rFonts w:hint="eastAsia" w:ascii="宋体" w:hAnsi="宋体"/>
          <w:sz w:val="24"/>
          <w:lang w:eastAsia="zh-CN"/>
        </w:rPr>
        <w:t>响应</w:t>
      </w:r>
      <w:r>
        <w:rPr>
          <w:rFonts w:hint="eastAsia" w:ascii="宋体" w:hAnsi="宋体"/>
          <w:sz w:val="24"/>
        </w:rPr>
        <w:t>文件递交后，供应商的投标保持有效，供应商不得要求撤销或修改其磋商响应文件。</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lang w:val="en-US" w:eastAsia="zh-CN"/>
        </w:rPr>
        <w:t>19</w:t>
      </w:r>
      <w:r>
        <w:rPr>
          <w:rFonts w:hint="eastAsia" w:ascii="宋体" w:hAnsi="宋体"/>
          <w:b/>
          <w:sz w:val="24"/>
        </w:rPr>
        <w:t>.磋商响应文件份数和签署</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lang w:val="en-US" w:eastAsia="zh-CN"/>
        </w:rPr>
        <w:t>19</w:t>
      </w:r>
      <w:r>
        <w:rPr>
          <w:rFonts w:hint="eastAsia" w:ascii="宋体" w:hAnsi="宋体"/>
          <w:sz w:val="24"/>
        </w:rPr>
        <w:t>.1 供应商应按照磋商须知前附表的要求准备磋商响应文件，并在封面上注明“正本”和“副本”字样。磋商响应文件的正本与副本如有不一致之处，以正本为准。</w:t>
      </w:r>
    </w:p>
    <w:p>
      <w:pPr>
        <w:jc w:val="center"/>
        <w:outlineLvl w:val="9"/>
        <w:rPr>
          <w:rFonts w:hint="eastAsia" w:ascii="宋体" w:hAnsi="宋体" w:eastAsia="宋体" w:cs="Times New Roman"/>
          <w:b/>
          <w:sz w:val="28"/>
          <w:szCs w:val="28"/>
        </w:rPr>
      </w:pPr>
      <w:r>
        <w:rPr>
          <w:rFonts w:hint="eastAsia" w:ascii="宋体" w:hAnsi="宋体" w:eastAsia="宋体" w:cs="Times New Roman"/>
          <w:b/>
          <w:sz w:val="28"/>
          <w:szCs w:val="28"/>
          <w:lang w:val="en-US" w:eastAsia="zh-CN"/>
        </w:rPr>
        <w:t>四、</w:t>
      </w:r>
      <w:r>
        <w:rPr>
          <w:rFonts w:hint="eastAsia" w:ascii="宋体" w:hAnsi="宋体" w:eastAsia="宋体" w:cs="Times New Roman"/>
          <w:b/>
          <w:sz w:val="28"/>
          <w:szCs w:val="28"/>
        </w:rPr>
        <w:t>磋商响应文件的递交</w:t>
      </w:r>
      <w:bookmarkEnd w:id="33"/>
      <w:bookmarkStart w:id="34" w:name="_Hlt509649414"/>
      <w:bookmarkEnd w:id="34"/>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2</w:t>
      </w:r>
      <w:r>
        <w:rPr>
          <w:rFonts w:hint="eastAsia" w:ascii="宋体" w:hAnsi="宋体"/>
          <w:b/>
          <w:sz w:val="24"/>
          <w:lang w:val="en-US" w:eastAsia="zh-CN"/>
        </w:rPr>
        <w:t>0.</w:t>
      </w:r>
      <w:r>
        <w:rPr>
          <w:rFonts w:hint="eastAsia" w:ascii="宋体" w:hAnsi="宋体"/>
          <w:b/>
          <w:sz w:val="24"/>
        </w:rPr>
        <w:t>磋商响应文件的密封和标记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2</w:t>
      </w:r>
      <w:r>
        <w:rPr>
          <w:rFonts w:hint="eastAsia" w:ascii="宋体" w:hAnsi="宋体"/>
          <w:sz w:val="24"/>
          <w:lang w:val="en-US" w:eastAsia="zh-CN"/>
        </w:rPr>
        <w:t>0</w:t>
      </w:r>
      <w:r>
        <w:rPr>
          <w:rFonts w:hint="eastAsia" w:ascii="宋体" w:hAnsi="宋体"/>
          <w:sz w:val="24"/>
        </w:rPr>
        <w:t>.1</w:t>
      </w:r>
      <w:r>
        <w:rPr>
          <w:rFonts w:ascii="宋体" w:hAnsi="宋体" w:cs="宋体"/>
          <w:kern w:val="1"/>
          <w:sz w:val="24"/>
        </w:rPr>
        <w:t>磋商响应文件应胶装成册并封</w:t>
      </w:r>
      <w:r>
        <w:rPr>
          <w:rFonts w:ascii="宋体" w:hAnsi="宋体" w:cs="宋体"/>
          <w:kern w:val="1"/>
          <w:sz w:val="24"/>
          <w:highlight w:val="none"/>
        </w:rPr>
        <w:t>装</w:t>
      </w:r>
      <w:r>
        <w:rPr>
          <w:rFonts w:hint="eastAsia" w:ascii="宋体" w:hAnsi="宋体" w:cs="宋体"/>
          <w:kern w:val="1"/>
          <w:sz w:val="24"/>
          <w:highlight w:val="none"/>
        </w:rPr>
        <w:t>（</w:t>
      </w:r>
      <w:r>
        <w:rPr>
          <w:rFonts w:hint="eastAsia" w:ascii="宋体" w:hAnsi="宋体" w:cs="宋体"/>
          <w:b/>
          <w:kern w:val="1"/>
          <w:sz w:val="24"/>
          <w:highlight w:val="none"/>
        </w:rPr>
        <w:t>非胶装的磋商响应文件视为无效磋商响应文件</w:t>
      </w:r>
      <w:r>
        <w:rPr>
          <w:rFonts w:hint="eastAsia" w:ascii="宋体" w:hAnsi="宋体" w:cs="宋体"/>
          <w:kern w:val="1"/>
          <w:sz w:val="24"/>
          <w:highlight w:val="none"/>
        </w:rPr>
        <w:t>）</w:t>
      </w:r>
      <w:r>
        <w:rPr>
          <w:rFonts w:ascii="宋体" w:hAnsi="宋体" w:cs="宋体"/>
          <w:kern w:val="1"/>
          <w:sz w:val="24"/>
          <w:highlight w:val="none"/>
        </w:rPr>
        <w:t>，并在密封袋上</w:t>
      </w:r>
      <w:r>
        <w:rPr>
          <w:rFonts w:hint="eastAsia" w:ascii="宋体" w:hAnsi="宋体" w:cs="宋体"/>
          <w:kern w:val="1"/>
          <w:sz w:val="24"/>
          <w:highlight w:val="none"/>
          <w:lang w:val="en-US" w:eastAsia="zh-CN"/>
        </w:rPr>
        <w:t>由</w:t>
      </w:r>
      <w:r>
        <w:rPr>
          <w:rFonts w:hint="eastAsia" w:ascii="宋体" w:hAnsi="宋体"/>
          <w:sz w:val="24"/>
          <w:highlight w:val="none"/>
        </w:rPr>
        <w:t>法定代表人或被授权</w:t>
      </w:r>
      <w:r>
        <w:rPr>
          <w:rFonts w:hint="eastAsia" w:ascii="宋体" w:hAnsi="宋体"/>
          <w:sz w:val="24"/>
          <w:highlight w:val="none"/>
          <w:lang w:val="en-US" w:eastAsia="zh-CN"/>
        </w:rPr>
        <w:t>人</w:t>
      </w:r>
      <w:r>
        <w:rPr>
          <w:rFonts w:hint="eastAsia" w:ascii="宋体" w:hAnsi="宋体"/>
          <w:sz w:val="24"/>
          <w:highlight w:val="none"/>
        </w:rPr>
        <w:t>签字</w:t>
      </w:r>
      <w:r>
        <w:rPr>
          <w:rFonts w:hint="eastAsia" w:ascii="宋体" w:hAnsi="宋体"/>
          <w:sz w:val="24"/>
          <w:highlight w:val="none"/>
          <w:lang w:val="en-US" w:eastAsia="zh-CN"/>
        </w:rPr>
        <w:t>或盖章，</w:t>
      </w:r>
      <w:r>
        <w:rPr>
          <w:rFonts w:hint="eastAsia" w:ascii="宋体" w:hAnsi="宋体"/>
          <w:sz w:val="24"/>
          <w:highlight w:val="none"/>
        </w:rPr>
        <w:t>并</w:t>
      </w:r>
      <w:r>
        <w:rPr>
          <w:rFonts w:ascii="宋体" w:hAnsi="宋体" w:cs="宋体"/>
          <w:kern w:val="1"/>
          <w:sz w:val="24"/>
          <w:highlight w:val="none"/>
        </w:rPr>
        <w:t>标注项目名称、项目编号、供应商</w:t>
      </w:r>
      <w:r>
        <w:rPr>
          <w:rFonts w:hint="eastAsia" w:ascii="宋体" w:hAnsi="宋体" w:cs="宋体"/>
          <w:kern w:val="1"/>
          <w:sz w:val="24"/>
          <w:highlight w:val="none"/>
          <w:lang w:val="en-US" w:eastAsia="zh-CN"/>
        </w:rPr>
        <w:t>全称</w:t>
      </w:r>
      <w:r>
        <w:rPr>
          <w:rFonts w:ascii="宋体" w:hAnsi="宋体" w:cs="宋体"/>
          <w:kern w:val="1"/>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s="宋体"/>
          <w:b/>
          <w:kern w:val="1"/>
          <w:sz w:val="24"/>
          <w:highlight w:val="none"/>
        </w:rPr>
      </w:pPr>
      <w:r>
        <w:rPr>
          <w:rFonts w:hint="eastAsia" w:ascii="宋体" w:hAnsi="宋体"/>
          <w:sz w:val="24"/>
          <w:highlight w:val="none"/>
        </w:rPr>
        <w:t>2</w:t>
      </w:r>
      <w:r>
        <w:rPr>
          <w:rFonts w:hint="eastAsia" w:ascii="宋体" w:hAnsi="宋体"/>
          <w:sz w:val="24"/>
          <w:highlight w:val="none"/>
          <w:lang w:val="en-US" w:eastAsia="zh-CN"/>
        </w:rPr>
        <w:t>0</w:t>
      </w:r>
      <w:r>
        <w:rPr>
          <w:rFonts w:hint="eastAsia" w:ascii="宋体" w:hAnsi="宋体"/>
          <w:sz w:val="24"/>
          <w:highlight w:val="none"/>
        </w:rPr>
        <w:t>.</w:t>
      </w:r>
      <w:bookmarkStart w:id="35" w:name="_Hlt509650747"/>
      <w:bookmarkEnd w:id="35"/>
      <w:r>
        <w:rPr>
          <w:rFonts w:hint="eastAsia" w:ascii="宋体" w:hAnsi="宋体"/>
          <w:sz w:val="24"/>
          <w:highlight w:val="none"/>
          <w:lang w:val="en-US" w:eastAsia="zh-CN"/>
        </w:rPr>
        <w:t>2</w:t>
      </w:r>
      <w:r>
        <w:rPr>
          <w:rFonts w:hint="eastAsia" w:ascii="宋体" w:hAnsi="宋体" w:cs="宋体"/>
          <w:kern w:val="1"/>
          <w:sz w:val="24"/>
          <w:highlight w:val="none"/>
          <w:lang w:eastAsia="zh-CN"/>
        </w:rPr>
        <w:t>磋商响应文件</w:t>
      </w:r>
      <w:r>
        <w:rPr>
          <w:rFonts w:hint="eastAsia" w:ascii="宋体" w:hAnsi="宋体" w:cs="宋体"/>
          <w:kern w:val="1"/>
          <w:sz w:val="24"/>
          <w:highlight w:val="none"/>
        </w:rPr>
        <w:t>的</w:t>
      </w:r>
      <w:r>
        <w:rPr>
          <w:rFonts w:hint="eastAsia" w:ascii="宋体" w:hAnsi="宋体" w:cs="宋体"/>
          <w:kern w:val="1"/>
          <w:sz w:val="24"/>
          <w:highlight w:val="none"/>
          <w:lang w:eastAsia="zh-CN"/>
        </w:rPr>
        <w:t>正本</w:t>
      </w:r>
      <w:r>
        <w:rPr>
          <w:rFonts w:hint="eastAsia" w:ascii="宋体" w:hAnsi="宋体" w:cs="宋体"/>
          <w:kern w:val="1"/>
          <w:sz w:val="24"/>
          <w:highlight w:val="none"/>
        </w:rPr>
        <w:t>、</w:t>
      </w:r>
      <w:r>
        <w:rPr>
          <w:rFonts w:hint="eastAsia" w:ascii="宋体" w:hAnsi="宋体" w:cs="宋体"/>
          <w:kern w:val="1"/>
          <w:sz w:val="24"/>
          <w:highlight w:val="none"/>
          <w:lang w:eastAsia="zh-CN"/>
        </w:rPr>
        <w:t>副本应</w:t>
      </w:r>
      <w:r>
        <w:rPr>
          <w:rFonts w:hint="eastAsia" w:ascii="宋体" w:hAnsi="宋体" w:cs="宋体"/>
          <w:kern w:val="1"/>
          <w:sz w:val="24"/>
          <w:highlight w:val="none"/>
        </w:rPr>
        <w:t>分开包装，加贴封条，标明</w:t>
      </w:r>
      <w:r>
        <w:rPr>
          <w:rFonts w:hint="eastAsia" w:ascii="宋体" w:hAnsi="宋体" w:cs="宋体"/>
          <w:kern w:val="1"/>
          <w:sz w:val="24"/>
          <w:highlight w:val="none"/>
          <w:lang w:eastAsia="zh-CN"/>
        </w:rPr>
        <w:t>正本</w:t>
      </w:r>
      <w:r>
        <w:rPr>
          <w:rFonts w:hint="eastAsia" w:ascii="宋体" w:hAnsi="宋体" w:cs="宋体"/>
          <w:kern w:val="1"/>
          <w:sz w:val="24"/>
          <w:highlight w:val="none"/>
        </w:rPr>
        <w:t>、</w:t>
      </w:r>
      <w:r>
        <w:rPr>
          <w:rFonts w:hint="eastAsia" w:ascii="宋体" w:hAnsi="宋体" w:cs="宋体"/>
          <w:kern w:val="1"/>
          <w:sz w:val="24"/>
          <w:highlight w:val="none"/>
          <w:lang w:eastAsia="zh-CN"/>
        </w:rPr>
        <w:t>副本</w:t>
      </w:r>
      <w:r>
        <w:rPr>
          <w:rFonts w:hint="eastAsia" w:ascii="宋体" w:hAnsi="宋体" w:cs="宋体"/>
          <w:kern w:val="1"/>
          <w:sz w:val="24"/>
          <w:highlight w:val="none"/>
        </w:rPr>
        <w:t>字样，封套的封口处加盖</w:t>
      </w:r>
      <w:r>
        <w:rPr>
          <w:rFonts w:hint="eastAsia" w:ascii="宋体" w:hAnsi="宋体" w:cs="宋体"/>
          <w:kern w:val="1"/>
          <w:sz w:val="24"/>
          <w:highlight w:val="none"/>
          <w:lang w:eastAsia="zh-CN"/>
        </w:rPr>
        <w:t>供应商</w:t>
      </w:r>
      <w:r>
        <w:rPr>
          <w:rFonts w:hint="eastAsia" w:ascii="宋体" w:hAnsi="宋体" w:cs="宋体"/>
          <w:kern w:val="1"/>
          <w:sz w:val="24"/>
          <w:highlight w:val="none"/>
        </w:rPr>
        <w:t>公章</w:t>
      </w:r>
      <w:r>
        <w:rPr>
          <w:rFonts w:hint="eastAsia" w:ascii="宋体" w:hAnsi="宋体" w:cs="宋体"/>
          <w:kern w:val="1"/>
          <w:sz w:val="24"/>
          <w:highlight w:val="none"/>
          <w:lang w:eastAsia="zh-CN"/>
        </w:rPr>
        <w:t>且须</w:t>
      </w:r>
      <w:r>
        <w:rPr>
          <w:rFonts w:hint="eastAsia" w:ascii="宋体" w:hAnsi="宋体" w:cs="宋体"/>
          <w:kern w:val="1"/>
          <w:sz w:val="24"/>
          <w:highlight w:val="none"/>
        </w:rPr>
        <w:t>法定代表人或被授权</w:t>
      </w:r>
      <w:r>
        <w:rPr>
          <w:rFonts w:hint="eastAsia" w:ascii="宋体" w:hAnsi="宋体" w:cs="宋体"/>
          <w:kern w:val="1"/>
          <w:sz w:val="24"/>
          <w:highlight w:val="none"/>
          <w:lang w:val="en-US" w:eastAsia="zh-CN"/>
        </w:rPr>
        <w:t>人</w:t>
      </w:r>
      <w:r>
        <w:rPr>
          <w:rFonts w:hint="eastAsia" w:ascii="宋体" w:hAnsi="宋体" w:cs="宋体"/>
          <w:kern w:val="1"/>
          <w:sz w:val="24"/>
          <w:highlight w:val="none"/>
          <w:lang w:eastAsia="zh-CN"/>
        </w:rPr>
        <w:t>签字或盖章，</w:t>
      </w:r>
      <w:r>
        <w:rPr>
          <w:rFonts w:hint="eastAsia" w:ascii="宋体" w:hAnsi="宋体" w:cs="宋体"/>
          <w:kern w:val="1"/>
          <w:sz w:val="24"/>
          <w:highlight w:val="none"/>
        </w:rPr>
        <w:t>电子</w:t>
      </w:r>
      <w:r>
        <w:rPr>
          <w:rFonts w:hint="eastAsia" w:ascii="宋体" w:hAnsi="宋体" w:cs="宋体"/>
          <w:kern w:val="1"/>
          <w:sz w:val="24"/>
          <w:highlight w:val="none"/>
          <w:lang w:val="en-US" w:eastAsia="zh-CN"/>
        </w:rPr>
        <w:t>U盘必须</w:t>
      </w:r>
      <w:r>
        <w:rPr>
          <w:rFonts w:hint="eastAsia" w:ascii="宋体" w:hAnsi="宋体" w:cs="宋体"/>
          <w:kern w:val="1"/>
          <w:sz w:val="24"/>
          <w:highlight w:val="none"/>
        </w:rPr>
        <w:t>随正本密封在一起。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kern w:val="1"/>
          <w:sz w:val="24"/>
          <w:highlight w:val="none"/>
          <w:lang w:val="en-US" w:eastAsia="zh-CN"/>
        </w:rPr>
      </w:pPr>
      <w:r>
        <w:rPr>
          <w:rFonts w:hint="eastAsia" w:ascii="宋体" w:hAnsi="宋体" w:cs="宋体"/>
          <w:kern w:val="1"/>
          <w:sz w:val="24"/>
          <w:highlight w:val="none"/>
          <w:lang w:val="en-US" w:eastAsia="zh-CN"/>
        </w:rPr>
        <w:t>20.3供应商所提供的电子版响应文件必须为纸质版响应文件的所有内容，包括响应文件的全部内容word或pdf形式</w:t>
      </w:r>
      <w:r>
        <w:rPr>
          <w:rFonts w:hint="eastAsia" w:ascii="宋体" w:hAnsi="宋体" w:cs="宋体"/>
          <w:b/>
          <w:bCs/>
          <w:kern w:val="1"/>
          <w:sz w:val="24"/>
          <w:highlight w:val="none"/>
          <w:lang w:val="en-US" w:eastAsia="zh-CN"/>
        </w:rPr>
        <w:t>（注：已标价工程量清单可为Excel版本）</w:t>
      </w:r>
      <w:r>
        <w:rPr>
          <w:rFonts w:hint="eastAsia" w:ascii="宋体" w:hAnsi="宋体" w:cs="宋体"/>
          <w:kern w:val="1"/>
          <w:sz w:val="24"/>
          <w:highlight w:val="none"/>
          <w:lang w:val="en-US" w:eastAsia="zh-CN"/>
        </w:rPr>
        <w:t>，所有电子版响应文件须密封于正本文件中。</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b/>
          <w:kern w:val="1"/>
          <w:sz w:val="24"/>
        </w:rPr>
      </w:pPr>
      <w:r>
        <w:rPr>
          <w:rFonts w:hint="eastAsia" w:ascii="宋体" w:hAnsi="宋体"/>
          <w:sz w:val="24"/>
          <w:highlight w:val="none"/>
        </w:rPr>
        <w:t>2</w:t>
      </w:r>
      <w:r>
        <w:rPr>
          <w:rFonts w:hint="eastAsia" w:ascii="宋体" w:hAnsi="宋体"/>
          <w:sz w:val="24"/>
          <w:highlight w:val="none"/>
          <w:lang w:val="en-US" w:eastAsia="zh-CN"/>
        </w:rPr>
        <w:t>0</w:t>
      </w: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cs="宋体"/>
          <w:b/>
          <w:kern w:val="1"/>
          <w:sz w:val="24"/>
          <w:highlight w:val="none"/>
        </w:rPr>
        <w:t>对于须提供的</w:t>
      </w:r>
      <w:r>
        <w:rPr>
          <w:rFonts w:hint="eastAsia" w:ascii="宋体" w:hAnsi="宋体" w:cs="宋体"/>
          <w:b/>
          <w:kern w:val="1"/>
          <w:sz w:val="24"/>
          <w:highlight w:val="none"/>
          <w:lang w:eastAsia="zh-CN"/>
        </w:rPr>
        <w:t>磋商</w:t>
      </w:r>
      <w:r>
        <w:rPr>
          <w:rFonts w:hint="eastAsia" w:ascii="宋体" w:hAnsi="宋体" w:cs="宋体"/>
          <w:b/>
          <w:kern w:val="1"/>
          <w:sz w:val="24"/>
          <w:highlight w:val="none"/>
        </w:rPr>
        <w:t>公告中第</w:t>
      </w:r>
      <w:r>
        <w:rPr>
          <w:rFonts w:hint="eastAsia" w:ascii="宋体" w:hAnsi="宋体" w:cs="宋体"/>
          <w:b/>
          <w:kern w:val="1"/>
          <w:sz w:val="24"/>
          <w:highlight w:val="none"/>
          <w:lang w:val="en-US" w:eastAsia="zh-CN"/>
        </w:rPr>
        <w:t>二</w:t>
      </w:r>
      <w:r>
        <w:rPr>
          <w:rFonts w:hint="eastAsia" w:ascii="宋体" w:hAnsi="宋体" w:cs="宋体"/>
          <w:b/>
          <w:kern w:val="1"/>
          <w:sz w:val="24"/>
          <w:highlight w:val="none"/>
        </w:rPr>
        <w:t>项</w:t>
      </w:r>
      <w:r>
        <w:rPr>
          <w:rFonts w:hint="eastAsia" w:ascii="宋体" w:hAnsi="宋体" w:cs="宋体"/>
          <w:b/>
          <w:kern w:val="1"/>
          <w:sz w:val="24"/>
          <w:highlight w:val="none"/>
          <w:lang w:eastAsia="zh-CN"/>
        </w:rPr>
        <w:t>“</w:t>
      </w:r>
      <w:r>
        <w:rPr>
          <w:rFonts w:hint="eastAsia" w:ascii="宋体" w:hAnsi="宋体" w:cs="宋体"/>
          <w:b/>
          <w:kern w:val="1"/>
          <w:sz w:val="24"/>
          <w:highlight w:val="none"/>
          <w:lang w:val="en-US" w:eastAsia="zh-CN"/>
        </w:rPr>
        <w:t>申请人的资格要求</w:t>
      </w:r>
      <w:r>
        <w:rPr>
          <w:rFonts w:hint="eastAsia" w:ascii="宋体" w:hAnsi="宋体" w:cs="宋体"/>
          <w:b/>
          <w:kern w:val="1"/>
          <w:sz w:val="24"/>
          <w:highlight w:val="none"/>
          <w:lang w:eastAsia="zh-CN"/>
        </w:rPr>
        <w:t>”</w:t>
      </w:r>
      <w:r>
        <w:rPr>
          <w:rFonts w:hint="eastAsia" w:ascii="宋体" w:hAnsi="宋体" w:cs="宋体"/>
          <w:b/>
          <w:kern w:val="1"/>
          <w:sz w:val="24"/>
          <w:highlight w:val="none"/>
        </w:rPr>
        <w:t>的全部内容（含被授权</w:t>
      </w:r>
      <w:r>
        <w:rPr>
          <w:rFonts w:hint="eastAsia" w:ascii="宋体" w:hAnsi="宋体" w:cs="宋体"/>
          <w:b/>
          <w:kern w:val="1"/>
          <w:sz w:val="24"/>
          <w:highlight w:val="none"/>
          <w:lang w:val="en-US" w:eastAsia="zh-CN"/>
        </w:rPr>
        <w:t>人</w:t>
      </w:r>
      <w:r>
        <w:rPr>
          <w:rFonts w:hint="eastAsia" w:ascii="宋体" w:hAnsi="宋体" w:cs="宋体"/>
          <w:b/>
          <w:kern w:val="1"/>
          <w:sz w:val="24"/>
          <w:highlight w:val="none"/>
        </w:rPr>
        <w:t>身份证原件）及</w:t>
      </w:r>
      <w:r>
        <w:rPr>
          <w:rFonts w:hint="eastAsia" w:ascii="宋体" w:hAnsi="宋体" w:cs="宋体"/>
          <w:b/>
          <w:kern w:val="1"/>
          <w:sz w:val="24"/>
          <w:highlight w:val="none"/>
          <w:lang w:eastAsia="zh-CN"/>
        </w:rPr>
        <w:t>磋商</w:t>
      </w:r>
      <w:r>
        <w:rPr>
          <w:rFonts w:hint="eastAsia" w:ascii="宋体" w:hAnsi="宋体" w:cs="宋体"/>
          <w:b/>
          <w:kern w:val="1"/>
          <w:sz w:val="24"/>
          <w:highlight w:val="none"/>
        </w:rPr>
        <w:t>文件中要求的其他</w:t>
      </w:r>
      <w:r>
        <w:rPr>
          <w:rFonts w:hint="eastAsia" w:ascii="宋体" w:hAnsi="宋体" w:cs="宋体"/>
          <w:b/>
          <w:kern w:val="1"/>
          <w:sz w:val="24"/>
          <w:highlight w:val="none"/>
          <w:lang w:val="en-US" w:eastAsia="zh-CN"/>
        </w:rPr>
        <w:t>资格</w:t>
      </w:r>
      <w:r>
        <w:rPr>
          <w:rFonts w:hint="eastAsia" w:ascii="宋体" w:hAnsi="宋体" w:cs="宋体"/>
          <w:b/>
          <w:kern w:val="1"/>
          <w:sz w:val="24"/>
          <w:highlight w:val="none"/>
        </w:rPr>
        <w:t>证明文件</w:t>
      </w:r>
      <w:r>
        <w:rPr>
          <w:rFonts w:hint="eastAsia" w:ascii="宋体" w:hAnsi="宋体" w:cs="宋体"/>
          <w:b/>
          <w:kern w:val="1"/>
          <w:sz w:val="24"/>
          <w:highlight w:val="none"/>
          <w:lang w:val="en-US" w:eastAsia="zh-CN"/>
        </w:rPr>
        <w:t>等</w:t>
      </w:r>
      <w:r>
        <w:rPr>
          <w:rFonts w:hint="eastAsia" w:ascii="宋体" w:hAnsi="宋体" w:cs="宋体"/>
          <w:b/>
          <w:kern w:val="1"/>
          <w:sz w:val="24"/>
          <w:highlight w:val="none"/>
        </w:rPr>
        <w:t>资料单独密封以供审查，在递交</w:t>
      </w:r>
      <w:r>
        <w:rPr>
          <w:rFonts w:hint="eastAsia" w:ascii="宋体" w:hAnsi="宋体" w:cs="宋体"/>
          <w:b/>
          <w:kern w:val="1"/>
          <w:sz w:val="24"/>
          <w:highlight w:val="none"/>
          <w:lang w:eastAsia="zh-CN"/>
        </w:rPr>
        <w:t>磋商响应</w:t>
      </w:r>
      <w:r>
        <w:rPr>
          <w:rFonts w:hint="eastAsia" w:ascii="宋体" w:hAnsi="宋体" w:cs="宋体"/>
          <w:b/>
          <w:kern w:val="1"/>
          <w:sz w:val="24"/>
          <w:highlight w:val="none"/>
        </w:rPr>
        <w:t>文件时一同</w:t>
      </w:r>
      <w:r>
        <w:rPr>
          <w:rFonts w:hint="eastAsia" w:ascii="宋体" w:hAnsi="宋体" w:cs="宋体"/>
          <w:b/>
          <w:kern w:val="1"/>
          <w:sz w:val="24"/>
        </w:rPr>
        <w:t>提交，</w:t>
      </w:r>
      <w:r>
        <w:rPr>
          <w:rFonts w:ascii="宋体" w:hAnsi="宋体" w:cs="宋体"/>
          <w:b/>
          <w:spacing w:val="-4"/>
          <w:kern w:val="1"/>
          <w:sz w:val="24"/>
        </w:rPr>
        <w:t>逾时则视为</w:t>
      </w:r>
      <w:r>
        <w:rPr>
          <w:rFonts w:hint="eastAsia" w:ascii="宋体" w:hAnsi="宋体" w:cs="宋体"/>
          <w:b/>
          <w:spacing w:val="-4"/>
          <w:kern w:val="1"/>
          <w:sz w:val="24"/>
        </w:rPr>
        <w:t>未提交</w:t>
      </w:r>
      <w:r>
        <w:rPr>
          <w:rFonts w:hint="eastAsia" w:ascii="宋体" w:hAnsi="宋体" w:cs="宋体"/>
          <w:b/>
          <w:kern w:val="1"/>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highlight w:val="none"/>
        </w:rPr>
      </w:pPr>
      <w:r>
        <w:rPr>
          <w:rFonts w:hint="eastAsia" w:ascii="宋体" w:hAnsi="宋体" w:cs="宋体"/>
          <w:kern w:val="1"/>
          <w:sz w:val="24"/>
          <w:highlight w:val="none"/>
        </w:rPr>
        <w:t>2</w:t>
      </w:r>
      <w:r>
        <w:rPr>
          <w:rFonts w:hint="eastAsia" w:ascii="宋体" w:hAnsi="宋体" w:cs="宋体"/>
          <w:kern w:val="1"/>
          <w:sz w:val="24"/>
          <w:highlight w:val="none"/>
          <w:lang w:val="en-US" w:eastAsia="zh-CN"/>
        </w:rPr>
        <w:t>0</w:t>
      </w:r>
      <w:r>
        <w:rPr>
          <w:rFonts w:ascii="宋体" w:hAnsi="宋体" w:cs="宋体"/>
          <w:kern w:val="1"/>
          <w:sz w:val="24"/>
          <w:highlight w:val="none"/>
        </w:rPr>
        <w:t>.</w:t>
      </w:r>
      <w:r>
        <w:rPr>
          <w:rFonts w:hint="eastAsia" w:ascii="宋体" w:hAnsi="宋体" w:cs="宋体"/>
          <w:kern w:val="1"/>
          <w:sz w:val="24"/>
          <w:highlight w:val="none"/>
          <w:lang w:val="en-US" w:eastAsia="zh-CN"/>
        </w:rPr>
        <w:t>5</w:t>
      </w:r>
      <w:r>
        <w:rPr>
          <w:rFonts w:ascii="宋体" w:hAnsi="宋体" w:cs="宋体"/>
          <w:kern w:val="1"/>
          <w:sz w:val="24"/>
          <w:highlight w:val="none"/>
        </w:rPr>
        <w:t>如果未按上述规定封装或加写标记，</w:t>
      </w:r>
      <w:r>
        <w:rPr>
          <w:rFonts w:hint="eastAsia" w:ascii="宋体" w:hAnsi="宋体" w:cs="宋体"/>
          <w:kern w:val="1"/>
          <w:sz w:val="24"/>
          <w:highlight w:val="none"/>
          <w:lang w:val="en-US" w:eastAsia="zh-CN"/>
        </w:rPr>
        <w:t>引起</w:t>
      </w:r>
      <w:r>
        <w:rPr>
          <w:rFonts w:ascii="宋体" w:hAnsi="宋体" w:cs="宋体"/>
          <w:kern w:val="1"/>
          <w:sz w:val="24"/>
          <w:highlight w:val="none"/>
        </w:rPr>
        <w:t>错放或提前开封</w:t>
      </w:r>
      <w:r>
        <w:rPr>
          <w:rFonts w:hint="eastAsia" w:ascii="宋体" w:hAnsi="宋体" w:cs="宋体"/>
          <w:kern w:val="1"/>
          <w:sz w:val="24"/>
          <w:highlight w:val="none"/>
          <w:lang w:val="en-US" w:eastAsia="zh-CN"/>
        </w:rPr>
        <w:t>而导致投标无效</w:t>
      </w:r>
      <w:r>
        <w:rPr>
          <w:rFonts w:ascii="宋体" w:hAnsi="宋体" w:cs="宋体"/>
          <w:kern w:val="1"/>
          <w:sz w:val="24"/>
          <w:highlight w:val="none"/>
        </w:rPr>
        <w:t>的责任</w:t>
      </w:r>
      <w:r>
        <w:rPr>
          <w:rFonts w:hint="eastAsia" w:ascii="宋体" w:hAnsi="宋体" w:cs="宋体"/>
          <w:kern w:val="1"/>
          <w:sz w:val="24"/>
          <w:highlight w:val="none"/>
          <w:lang w:val="en-US" w:eastAsia="zh-CN"/>
        </w:rPr>
        <w:t>由供应商自行承担</w:t>
      </w:r>
      <w:r>
        <w:rPr>
          <w:rFonts w:ascii="宋体" w:hAnsi="宋体" w:cs="宋体"/>
          <w:kern w:val="1"/>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2</w:t>
      </w:r>
      <w:r>
        <w:rPr>
          <w:rFonts w:hint="eastAsia" w:ascii="宋体" w:hAnsi="宋体"/>
          <w:b/>
          <w:sz w:val="24"/>
          <w:lang w:val="en-US" w:eastAsia="zh-CN"/>
        </w:rPr>
        <w:t>1</w:t>
      </w:r>
      <w:r>
        <w:rPr>
          <w:rFonts w:hint="eastAsia" w:ascii="宋体" w:hAnsi="宋体"/>
          <w:b/>
          <w:sz w:val="24"/>
        </w:rPr>
        <w:t xml:space="preserve">.磋商响应文件的递交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.1供应商应当在竞争性磋商文件要求提交磋商响应文件的截止时间前，将磋商响应文件密封送达磋商须知前附表指定磋商地点。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.2在竞争性磋商文件要求提交磋商响应文件的截止时间之后送达的磋商响应文件，为无效磋商响应文件，采购代理机构将拒绝接收。</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2</w:t>
      </w:r>
      <w:r>
        <w:rPr>
          <w:rFonts w:hint="eastAsia" w:ascii="宋体" w:hAnsi="宋体"/>
          <w:b/>
          <w:sz w:val="24"/>
          <w:lang w:val="en-US" w:eastAsia="zh-CN"/>
        </w:rPr>
        <w:t>2</w:t>
      </w:r>
      <w:r>
        <w:rPr>
          <w:rFonts w:hint="eastAsia" w:ascii="宋体" w:hAnsi="宋体"/>
          <w:b/>
          <w:sz w:val="24"/>
        </w:rPr>
        <w:t>.磋商响应文件的修改和撤回</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highlight w:val="none"/>
        </w:rPr>
      </w:pPr>
      <w:bookmarkStart w:id="36" w:name="_Hlt509649294"/>
      <w:bookmarkEnd w:id="36"/>
      <w:bookmarkStart w:id="37" w:name="_Toc356157316"/>
      <w:r>
        <w:rPr>
          <w:rFonts w:hint="eastAsia" w:ascii="宋体" w:hAnsi="宋体" w:eastAsia="宋体" w:cs="Times New Roman"/>
          <w:sz w:val="24"/>
          <w:highlight w:val="none"/>
        </w:rPr>
        <w:t>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.1供应商在</w:t>
      </w:r>
      <w:r>
        <w:rPr>
          <w:rFonts w:hint="eastAsia" w:ascii="宋体" w:hAnsi="宋体" w:eastAsia="宋体" w:cs="Times New Roman"/>
          <w:sz w:val="24"/>
          <w:highlight w:val="none"/>
          <w:lang w:val="en-US" w:eastAsia="zh-CN"/>
        </w:rPr>
        <w:t>提交</w:t>
      </w:r>
      <w:r>
        <w:rPr>
          <w:rFonts w:hint="eastAsia" w:ascii="宋体" w:hAnsi="宋体" w:eastAsia="宋体" w:cs="Times New Roman"/>
          <w:sz w:val="24"/>
          <w:highlight w:val="none"/>
        </w:rPr>
        <w:t>响应文件</w:t>
      </w:r>
      <w:r>
        <w:rPr>
          <w:rFonts w:hint="eastAsia" w:ascii="宋体" w:hAnsi="宋体" w:eastAsia="宋体" w:cs="Times New Roman"/>
          <w:sz w:val="24"/>
          <w:highlight w:val="none"/>
          <w:lang w:val="en-US" w:eastAsia="zh-CN"/>
        </w:rPr>
        <w:t>截止时间前</w:t>
      </w:r>
      <w:r>
        <w:rPr>
          <w:rFonts w:hint="eastAsia" w:ascii="宋体" w:hAnsi="宋体" w:eastAsia="宋体" w:cs="Times New Roman"/>
          <w:sz w:val="24"/>
          <w:highlight w:val="none"/>
        </w:rPr>
        <w:t>，可以修改或撤回其磋商响应文件，也可以提出价格变动声明，但供应商必须在规定的磋商响应文件递交截止时间之前将修改或撤回或变动价格的书面通知文件递交到采购代理机构。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.2 在磋商响应文件递交截止时间之后，供应商不得对其磋商报价做任何修改或撤回。</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.3在磋商结束之后，对于供应商正常经营活动必须的资质和证明文件原件（包括但不限于：营业执照、</w:t>
      </w:r>
      <w:r>
        <w:rPr>
          <w:rFonts w:hint="eastAsia" w:ascii="宋体" w:hAnsi="宋体" w:eastAsia="宋体" w:cs="Times New Roman"/>
          <w:sz w:val="24"/>
          <w:highlight w:val="none"/>
          <w:lang w:val="en-US" w:eastAsia="zh-CN"/>
        </w:rPr>
        <w:t>中标（成交）</w:t>
      </w:r>
      <w:r>
        <w:rPr>
          <w:rFonts w:hint="eastAsia" w:ascii="宋体" w:hAnsi="宋体" w:eastAsia="宋体" w:cs="Times New Roman"/>
          <w:sz w:val="24"/>
          <w:highlight w:val="none"/>
          <w:lang w:eastAsia="zh-CN"/>
        </w:rPr>
        <w:t>通知书</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经济</w:t>
      </w:r>
      <w:r>
        <w:rPr>
          <w:rFonts w:hint="eastAsia" w:ascii="宋体" w:hAnsi="宋体" w:eastAsia="宋体" w:cs="Times New Roman"/>
          <w:sz w:val="24"/>
          <w:highlight w:val="none"/>
        </w:rPr>
        <w:t>合同等），经审查后予以退还。其他磋商响应文件和资料一律不予退还。</w:t>
      </w:r>
    </w:p>
    <w:p>
      <w:pPr>
        <w:jc w:val="center"/>
        <w:outlineLvl w:val="9"/>
        <w:rPr>
          <w:rFonts w:hint="eastAsia" w:ascii="宋体" w:hAnsi="宋体" w:eastAsia="宋体" w:cs="Times New Roman"/>
          <w:b/>
          <w:sz w:val="28"/>
          <w:szCs w:val="28"/>
        </w:rPr>
      </w:pPr>
      <w:r>
        <w:rPr>
          <w:rFonts w:hint="eastAsia" w:ascii="宋体" w:hAnsi="宋体" w:eastAsia="宋体" w:cs="Times New Roman"/>
          <w:b/>
          <w:sz w:val="28"/>
          <w:szCs w:val="28"/>
        </w:rPr>
        <w:t>五</w:t>
      </w:r>
      <w:bookmarkEnd w:id="37"/>
      <w:r>
        <w:rPr>
          <w:rFonts w:hint="eastAsia" w:ascii="宋体" w:hAnsi="宋体" w:eastAsia="宋体" w:cs="Times New Roman"/>
          <w:b/>
          <w:sz w:val="28"/>
          <w:szCs w:val="28"/>
        </w:rPr>
        <w:t>、磋商与评审</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hint="eastAsia" w:ascii="宋体" w:hAnsi="宋体"/>
          <w:b/>
          <w:sz w:val="24"/>
          <w:highlight w:val="none"/>
        </w:rPr>
      </w:pPr>
      <w:r>
        <w:rPr>
          <w:rFonts w:ascii="宋体" w:hAnsi="宋体"/>
          <w:b/>
          <w:sz w:val="24"/>
          <w:highlight w:val="none"/>
        </w:rPr>
        <w:t>2</w:t>
      </w:r>
      <w:r>
        <w:rPr>
          <w:rFonts w:hint="eastAsia" w:ascii="宋体" w:hAnsi="宋体"/>
          <w:b/>
          <w:sz w:val="24"/>
          <w:highlight w:val="none"/>
          <w:lang w:val="en-US" w:eastAsia="zh-CN"/>
        </w:rPr>
        <w:t>3</w:t>
      </w:r>
      <w:r>
        <w:rPr>
          <w:rFonts w:ascii="宋体" w:hAnsi="宋体"/>
          <w:b/>
          <w:sz w:val="24"/>
          <w:highlight w:val="none"/>
        </w:rPr>
        <w:t>.</w:t>
      </w:r>
      <w:r>
        <w:rPr>
          <w:rFonts w:hint="eastAsia" w:ascii="宋体" w:hAnsi="宋体"/>
          <w:b/>
          <w:sz w:val="24"/>
          <w:highlight w:val="none"/>
        </w:rPr>
        <w:t>磋商小组和磋商评审原则</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FF0000"/>
          <w:sz w:val="24"/>
          <w:highlight w:val="none"/>
        </w:rPr>
      </w:pPr>
      <w:r>
        <w:rPr>
          <w:rFonts w:hint="eastAsia" w:ascii="宋体" w:hAnsi="宋体"/>
          <w:sz w:val="24"/>
          <w:highlight w:val="none"/>
        </w:rPr>
        <w:t>2</w:t>
      </w:r>
      <w:r>
        <w:rPr>
          <w:rFonts w:hint="eastAsia" w:ascii="宋体" w:hAnsi="宋体"/>
          <w:sz w:val="24"/>
          <w:highlight w:val="none"/>
          <w:lang w:val="en-US" w:eastAsia="zh-CN"/>
        </w:rPr>
        <w:t>3</w:t>
      </w:r>
      <w:r>
        <w:rPr>
          <w:rFonts w:hint="eastAsia" w:ascii="宋体" w:hAnsi="宋体"/>
          <w:sz w:val="24"/>
          <w:highlight w:val="none"/>
        </w:rPr>
        <w:t>.1按照《中华人民共和国政府采购法》《中华人民共和国政府采购法</w:t>
      </w:r>
      <w:r>
        <w:rPr>
          <w:rFonts w:hint="eastAsia" w:ascii="宋体" w:hAnsi="宋体"/>
          <w:sz w:val="24"/>
          <w:highlight w:val="none"/>
          <w:lang w:eastAsia="zh-CN"/>
        </w:rPr>
        <w:t>实施条例</w:t>
      </w:r>
      <w:r>
        <w:rPr>
          <w:rFonts w:hint="eastAsia" w:ascii="宋体" w:hAnsi="宋体"/>
          <w:sz w:val="24"/>
          <w:highlight w:val="none"/>
        </w:rPr>
        <w:t>》《政府采购竞争性磋商采购方式管理暂行办法》有关规定，依法组建磋商小组。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采购代理机构负责评标过程中的记录、联络及</w:t>
      </w:r>
      <w:r>
        <w:rPr>
          <w:rFonts w:hint="eastAsia" w:ascii="宋体" w:hAnsi="宋体"/>
          <w:sz w:val="24"/>
          <w:highlight w:val="none"/>
          <w:lang w:eastAsia="zh-CN"/>
        </w:rPr>
        <w:t>磋商小组</w:t>
      </w:r>
      <w:r>
        <w:rPr>
          <w:rFonts w:hint="eastAsia" w:ascii="宋体" w:hAnsi="宋体"/>
          <w:sz w:val="24"/>
          <w:highlight w:val="none"/>
        </w:rPr>
        <w:t>交办的其他工作</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3</w:t>
      </w:r>
      <w:r>
        <w:rPr>
          <w:rFonts w:hint="eastAsia" w:ascii="宋体" w:hAnsi="宋体"/>
          <w:sz w:val="24"/>
          <w:highlight w:val="none"/>
        </w:rPr>
        <w:t>.2</w:t>
      </w:r>
      <w:r>
        <w:rPr>
          <w:rFonts w:ascii="宋体" w:hAnsi="宋体"/>
          <w:sz w:val="24"/>
          <w:highlight w:val="none"/>
        </w:rPr>
        <w:t>磋商文件和</w:t>
      </w:r>
      <w:r>
        <w:rPr>
          <w:rFonts w:hint="eastAsia" w:ascii="宋体" w:hAnsi="宋体"/>
          <w:sz w:val="24"/>
          <w:highlight w:val="none"/>
          <w:lang w:val="en-US" w:eastAsia="zh-CN"/>
        </w:rPr>
        <w:t>供应商</w:t>
      </w:r>
      <w:r>
        <w:rPr>
          <w:rFonts w:hint="eastAsia" w:ascii="宋体" w:hAnsi="宋体"/>
          <w:sz w:val="24"/>
          <w:highlight w:val="none"/>
        </w:rPr>
        <w:t>的</w:t>
      </w:r>
      <w:r>
        <w:rPr>
          <w:rFonts w:ascii="宋体" w:hAnsi="宋体"/>
          <w:sz w:val="24"/>
          <w:highlight w:val="none"/>
        </w:rPr>
        <w:t>响应文件是评审的依据。</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hint="eastAsia" w:ascii="宋体" w:hAnsi="宋体"/>
          <w:b/>
          <w:sz w:val="24"/>
          <w:highlight w:val="none"/>
        </w:rPr>
      </w:pPr>
      <w:r>
        <w:rPr>
          <w:rFonts w:hint="eastAsia" w:ascii="宋体" w:hAnsi="宋体"/>
          <w:b/>
          <w:sz w:val="24"/>
          <w:highlight w:val="none"/>
        </w:rPr>
        <w:t>2</w:t>
      </w:r>
      <w:r>
        <w:rPr>
          <w:rFonts w:hint="eastAsia" w:ascii="宋体" w:hAnsi="宋体"/>
          <w:b/>
          <w:sz w:val="24"/>
          <w:highlight w:val="none"/>
          <w:lang w:val="en-US" w:eastAsia="zh-CN"/>
        </w:rPr>
        <w:t>4</w:t>
      </w:r>
      <w:r>
        <w:rPr>
          <w:rFonts w:hint="eastAsia" w:ascii="宋体" w:hAnsi="宋体"/>
          <w:b/>
          <w:sz w:val="24"/>
          <w:highlight w:val="none"/>
        </w:rPr>
        <w:t>.</w:t>
      </w:r>
      <w:r>
        <w:rPr>
          <w:rFonts w:ascii="宋体" w:hAnsi="宋体"/>
          <w:b/>
          <w:sz w:val="24"/>
          <w:highlight w:val="none"/>
        </w:rPr>
        <w:t>磋商</w:t>
      </w:r>
      <w:r>
        <w:rPr>
          <w:rFonts w:hint="eastAsia" w:ascii="宋体" w:hAnsi="宋体"/>
          <w:b/>
          <w:sz w:val="24"/>
          <w:highlight w:val="none"/>
        </w:rPr>
        <w:t>及评审程序</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ascii="宋体" w:hAnsi="宋体"/>
          <w:sz w:val="24"/>
          <w:highlight w:val="none"/>
        </w:rPr>
        <w:t>2</w:t>
      </w:r>
      <w:r>
        <w:rPr>
          <w:rFonts w:hint="eastAsia" w:ascii="宋体" w:hAnsi="宋体"/>
          <w:sz w:val="24"/>
          <w:highlight w:val="none"/>
          <w:lang w:val="en-US" w:eastAsia="zh-CN"/>
        </w:rPr>
        <w:t>4</w:t>
      </w:r>
      <w:r>
        <w:rPr>
          <w:rFonts w:ascii="宋体" w:hAnsi="宋体"/>
          <w:sz w:val="24"/>
          <w:highlight w:val="none"/>
        </w:rPr>
        <w:t>.1采购代理机构在规定的时间和地点组织磋商。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.2本次磋商的报价次数、磋商程序和最终报价的产生原则见“磋商须知前附表”的规定。</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.3磋商开始后，</w:t>
      </w:r>
      <w:r>
        <w:rPr>
          <w:rFonts w:ascii="宋体" w:hAnsi="宋体"/>
          <w:sz w:val="24"/>
          <w:highlight w:val="none"/>
        </w:rPr>
        <w:t>磋商小组</w:t>
      </w:r>
      <w:r>
        <w:rPr>
          <w:rFonts w:hint="eastAsia" w:ascii="宋体" w:hAnsi="宋体"/>
          <w:sz w:val="24"/>
          <w:highlight w:val="none"/>
        </w:rPr>
        <w:t>首先</w:t>
      </w:r>
      <w:r>
        <w:rPr>
          <w:rFonts w:ascii="宋体" w:hAnsi="宋体"/>
          <w:sz w:val="24"/>
          <w:highlight w:val="none"/>
        </w:rPr>
        <w:t>对响应文件进行评审，并根据磋商文件规定的程序、评定成交的标准等事项与实质性响应磋商文件要求的</w:t>
      </w:r>
      <w:r>
        <w:rPr>
          <w:rFonts w:hint="eastAsia" w:ascii="宋体" w:hAnsi="宋体"/>
          <w:sz w:val="24"/>
          <w:highlight w:val="none"/>
          <w:lang w:eastAsia="zh-CN"/>
        </w:rPr>
        <w:t>供应商</w:t>
      </w:r>
      <w:r>
        <w:rPr>
          <w:rFonts w:ascii="宋体" w:hAnsi="宋体"/>
          <w:sz w:val="24"/>
          <w:highlight w:val="none"/>
        </w:rPr>
        <w:t>进行磋商。未实质性响应磋商文件的响应文件按无效处理，磋商小组</w:t>
      </w:r>
      <w:r>
        <w:rPr>
          <w:rFonts w:hint="eastAsia" w:ascii="宋体" w:hAnsi="宋体"/>
          <w:sz w:val="24"/>
          <w:highlight w:val="none"/>
        </w:rPr>
        <w:t>将</w:t>
      </w:r>
      <w:r>
        <w:rPr>
          <w:rFonts w:ascii="宋体" w:hAnsi="宋体"/>
          <w:sz w:val="24"/>
          <w:highlight w:val="none"/>
        </w:rPr>
        <w:t>告知有关</w:t>
      </w:r>
      <w:r>
        <w:rPr>
          <w:rFonts w:hint="eastAsia" w:ascii="宋体" w:hAnsi="宋体"/>
          <w:sz w:val="24"/>
          <w:highlight w:val="none"/>
          <w:lang w:eastAsia="zh-CN"/>
        </w:rPr>
        <w:t>供应商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.4磋商小组所有成员应当集中与单一供应商分别进行磋商</w:t>
      </w:r>
      <w:r>
        <w:rPr>
          <w:rFonts w:hint="eastAsia" w:ascii="宋体" w:hAnsi="宋体"/>
          <w:sz w:val="24"/>
          <w:highlight w:val="none"/>
          <w:lang w:eastAsia="zh-CN"/>
        </w:rPr>
        <w:t>，</w:t>
      </w:r>
      <w:r>
        <w:rPr>
          <w:rFonts w:ascii="宋体" w:hAnsi="宋体"/>
          <w:sz w:val="24"/>
          <w:highlight w:val="none"/>
        </w:rPr>
        <w:t>并给予所有参加磋商的</w:t>
      </w:r>
      <w:r>
        <w:rPr>
          <w:rFonts w:hint="eastAsia" w:ascii="宋体" w:hAnsi="宋体"/>
          <w:sz w:val="24"/>
          <w:highlight w:val="none"/>
          <w:lang w:eastAsia="zh-CN"/>
        </w:rPr>
        <w:t>供应商</w:t>
      </w:r>
      <w:r>
        <w:rPr>
          <w:rFonts w:ascii="宋体" w:hAnsi="宋体"/>
          <w:sz w:val="24"/>
          <w:highlight w:val="none"/>
        </w:rPr>
        <w:t>平等的磋商机会。</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default" w:ascii="宋体" w:hAnsi="宋体"/>
          <w:sz w:val="24"/>
          <w:highlight w:val="none"/>
          <w:lang w:val="en-US" w:eastAsia="zh-CN"/>
        </w:rPr>
      </w:pPr>
      <w:r>
        <w:rPr>
          <w:rFonts w:hint="eastAsia" w:ascii="宋体" w:hAnsi="宋体"/>
          <w:sz w:val="24"/>
          <w:highlight w:val="none"/>
          <w:lang w:val="en-US" w:eastAsia="zh-CN"/>
        </w:rPr>
        <w:t>24.5</w:t>
      </w:r>
      <w:r>
        <w:rPr>
          <w:rFonts w:hint="eastAsia" w:ascii="宋体" w:hAnsi="宋体"/>
          <w:sz w:val="24"/>
          <w:highlight w:val="none"/>
        </w:rPr>
        <w:t>磋商时，磋商响应文件中出现下列情况，修正原则为：</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①磋商</w:t>
      </w:r>
      <w:r>
        <w:rPr>
          <w:rFonts w:hint="eastAsia" w:ascii="宋体" w:hAnsi="宋体"/>
          <w:sz w:val="24"/>
          <w:highlight w:val="none"/>
          <w:lang w:val="en-US" w:eastAsia="zh-CN"/>
        </w:rPr>
        <w:t>报价表</w:t>
      </w:r>
      <w:r>
        <w:rPr>
          <w:rFonts w:hint="eastAsia" w:ascii="宋体" w:hAnsi="宋体"/>
          <w:sz w:val="24"/>
          <w:highlight w:val="none"/>
        </w:rPr>
        <w:t>内容与响应文件中相应内容不一致的，以磋商</w:t>
      </w:r>
      <w:r>
        <w:rPr>
          <w:rFonts w:hint="eastAsia" w:ascii="宋体" w:hAnsi="宋体"/>
          <w:sz w:val="24"/>
          <w:highlight w:val="none"/>
          <w:lang w:val="en-US" w:eastAsia="zh-CN"/>
        </w:rPr>
        <w:t>报价表</w:t>
      </w:r>
      <w:r>
        <w:rPr>
          <w:rFonts w:hint="eastAsia" w:ascii="宋体" w:hAnsi="宋体"/>
          <w:sz w:val="24"/>
          <w:highlight w:val="none"/>
        </w:rPr>
        <w:t>为准；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sz w:val="24"/>
          <w:highlight w:val="none"/>
        </w:rPr>
      </w:pPr>
      <w:r>
        <w:rPr>
          <w:rFonts w:hint="eastAsia" w:ascii="宋体" w:hAnsi="宋体"/>
          <w:sz w:val="24"/>
          <w:highlight w:val="none"/>
        </w:rPr>
        <w:t>②大写金额和小写金额不一致的，以大写金额为准；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eastAsia="宋体" w:cs="Times New Roman"/>
          <w:sz w:val="24"/>
          <w:highlight w:val="none"/>
          <w:lang w:val="en-US" w:eastAsia="zh-CN"/>
        </w:rPr>
      </w:pPr>
      <w:r>
        <w:rPr>
          <w:rFonts w:hint="eastAsia" w:ascii="宋体" w:hAnsi="宋体"/>
          <w:sz w:val="24"/>
          <w:highlight w:val="none"/>
        </w:rPr>
        <w:t>③响应文件正本与副本不一致的，以正本为准</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eastAsia="宋体" w:cs="Times New Roman"/>
          <w:sz w:val="24"/>
          <w:highlight w:val="none"/>
        </w:rPr>
      </w:pPr>
      <w:r>
        <w:rPr>
          <w:rFonts w:hint="eastAsia" w:ascii="宋体" w:hAnsi="宋体" w:eastAsia="宋体" w:cs="Times New Roman"/>
          <w:sz w:val="24"/>
          <w:highlight w:val="none"/>
        </w:rPr>
        <w:t>同时出现两种以上不一致的，按照前款的顺序修正</w:t>
      </w:r>
      <w:r>
        <w:rPr>
          <w:rFonts w:hint="eastAsia" w:ascii="宋体" w:hAnsi="宋体" w:eastAsia="宋体" w:cs="Times New Roman"/>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6</w:t>
      </w:r>
      <w:r>
        <w:rPr>
          <w:rFonts w:ascii="宋体" w:hAnsi="宋体"/>
          <w:sz w:val="24"/>
          <w:highlight w:val="none"/>
        </w:rPr>
        <w:t>在磋商过程中，磋商小组可以根据磋商文件和磋商情况实质性变动采购需求中的技术、服务要求以及合同草案条款</w:t>
      </w:r>
      <w:r>
        <w:rPr>
          <w:rFonts w:hint="eastAsia" w:ascii="宋体" w:hAnsi="宋体"/>
          <w:sz w:val="24"/>
          <w:highlight w:val="none"/>
        </w:rPr>
        <w:t>。所有</w:t>
      </w:r>
      <w:r>
        <w:rPr>
          <w:rFonts w:ascii="宋体" w:hAnsi="宋体"/>
          <w:sz w:val="24"/>
          <w:highlight w:val="none"/>
        </w:rPr>
        <w:t>变动</w:t>
      </w:r>
      <w:r>
        <w:rPr>
          <w:rFonts w:hint="eastAsia" w:ascii="宋体" w:hAnsi="宋体"/>
          <w:sz w:val="24"/>
          <w:highlight w:val="none"/>
        </w:rPr>
        <w:t>内容均</w:t>
      </w:r>
      <w:r>
        <w:rPr>
          <w:rFonts w:ascii="宋体" w:hAnsi="宋体"/>
          <w:sz w:val="24"/>
          <w:highlight w:val="none"/>
        </w:rPr>
        <w:t>是磋商文件的有效组成部分，磋商小组</w:t>
      </w:r>
      <w:r>
        <w:rPr>
          <w:rFonts w:hint="eastAsia" w:ascii="宋体" w:hAnsi="宋体"/>
          <w:sz w:val="24"/>
          <w:highlight w:val="none"/>
        </w:rPr>
        <w:t>将</w:t>
      </w:r>
      <w:r>
        <w:rPr>
          <w:rFonts w:ascii="宋体" w:hAnsi="宋体"/>
          <w:sz w:val="24"/>
          <w:highlight w:val="none"/>
        </w:rPr>
        <w:t>以书面形式同时通知所有参加磋商的</w:t>
      </w:r>
      <w:r>
        <w:rPr>
          <w:rFonts w:hint="eastAsia" w:ascii="宋体" w:hAnsi="宋体"/>
          <w:sz w:val="24"/>
          <w:highlight w:val="none"/>
          <w:lang w:eastAsia="zh-CN"/>
        </w:rPr>
        <w:t>供应商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参加磋商的</w:t>
      </w:r>
      <w:r>
        <w:rPr>
          <w:rFonts w:hint="eastAsia" w:ascii="宋体" w:hAnsi="宋体"/>
          <w:sz w:val="24"/>
          <w:highlight w:val="none"/>
          <w:lang w:eastAsia="zh-CN"/>
        </w:rPr>
        <w:t>供应商</w:t>
      </w:r>
      <w:r>
        <w:rPr>
          <w:rFonts w:ascii="宋体" w:hAnsi="宋体"/>
          <w:sz w:val="24"/>
          <w:highlight w:val="none"/>
        </w:rPr>
        <w:t>应当按照磋商文件的变动情况和磋商小组的要求重新提交响应文件，并由其法定代表人或</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z w:val="24"/>
          <w:highlight w:val="none"/>
        </w:rPr>
        <w:t>签字或者加盖公章。由</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z w:val="24"/>
          <w:highlight w:val="none"/>
        </w:rPr>
        <w:t>签字的，应当附法定代表人授权</w:t>
      </w:r>
      <w:r>
        <w:rPr>
          <w:rFonts w:hint="eastAsia" w:ascii="宋体" w:hAnsi="宋体"/>
          <w:sz w:val="24"/>
          <w:highlight w:val="none"/>
          <w:lang w:eastAsia="zh-CN"/>
        </w:rPr>
        <w:t>委托</w:t>
      </w:r>
      <w:r>
        <w:rPr>
          <w:rFonts w:ascii="宋体" w:hAnsi="宋体"/>
          <w:sz w:val="24"/>
          <w:highlight w:val="none"/>
        </w:rPr>
        <w:t>书。</w:t>
      </w:r>
      <w:r>
        <w:rPr>
          <w:rFonts w:hint="eastAsia" w:ascii="宋体" w:hAnsi="宋体"/>
          <w:sz w:val="24"/>
          <w:highlight w:val="none"/>
          <w:lang w:eastAsia="zh-CN"/>
        </w:rPr>
        <w:t>供应商</w:t>
      </w:r>
      <w:r>
        <w:rPr>
          <w:rFonts w:ascii="宋体" w:hAnsi="宋体"/>
          <w:sz w:val="24"/>
          <w:highlight w:val="none"/>
        </w:rPr>
        <w:t>为自然人的，应当由本人签字并附身份证明。</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磋商结束后，</w:t>
      </w:r>
      <w:r>
        <w:rPr>
          <w:rFonts w:ascii="宋体" w:hAnsi="宋体"/>
          <w:sz w:val="24"/>
          <w:highlight w:val="none"/>
        </w:rPr>
        <w:t>磋商小组要求所有继续参加磋商的</w:t>
      </w:r>
      <w:r>
        <w:rPr>
          <w:rFonts w:hint="eastAsia" w:ascii="宋体" w:hAnsi="宋体"/>
          <w:sz w:val="24"/>
          <w:highlight w:val="none"/>
          <w:lang w:val="en-US" w:eastAsia="zh-CN"/>
        </w:rPr>
        <w:t>供应商</w:t>
      </w:r>
      <w:r>
        <w:rPr>
          <w:rFonts w:ascii="宋体" w:hAnsi="宋体"/>
          <w:sz w:val="24"/>
          <w:highlight w:val="none"/>
        </w:rPr>
        <w:t>在规定时间内提交最后报价，最后报价是</w:t>
      </w:r>
      <w:r>
        <w:rPr>
          <w:rFonts w:hint="eastAsia" w:ascii="宋体" w:hAnsi="宋体"/>
          <w:sz w:val="24"/>
          <w:highlight w:val="none"/>
          <w:lang w:eastAsia="zh-CN"/>
        </w:rPr>
        <w:t>供应商</w:t>
      </w:r>
      <w:r>
        <w:rPr>
          <w:rFonts w:ascii="宋体" w:hAnsi="宋体"/>
          <w:sz w:val="24"/>
          <w:highlight w:val="none"/>
        </w:rPr>
        <w:t>响应文件的有效组成部分。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9</w:t>
      </w:r>
      <w:r>
        <w:rPr>
          <w:rFonts w:ascii="宋体" w:hAnsi="宋体"/>
          <w:sz w:val="24"/>
          <w:highlight w:val="none"/>
        </w:rPr>
        <w:t>已提交响应文件的</w:t>
      </w:r>
      <w:r>
        <w:rPr>
          <w:rFonts w:hint="eastAsia" w:ascii="宋体" w:hAnsi="宋体"/>
          <w:sz w:val="24"/>
          <w:highlight w:val="none"/>
          <w:lang w:eastAsia="zh-CN"/>
        </w:rPr>
        <w:t>供应商</w:t>
      </w:r>
      <w:r>
        <w:rPr>
          <w:rFonts w:ascii="宋体" w:hAnsi="宋体"/>
          <w:sz w:val="24"/>
          <w:highlight w:val="none"/>
        </w:rPr>
        <w:t>，在提交最后报价之前，可以根据磋商情况退出磋商。采购机构</w:t>
      </w:r>
      <w:r>
        <w:rPr>
          <w:rFonts w:hint="eastAsia" w:ascii="宋体" w:hAnsi="宋体"/>
          <w:sz w:val="24"/>
          <w:highlight w:val="none"/>
        </w:rPr>
        <w:t>将</w:t>
      </w:r>
      <w:r>
        <w:rPr>
          <w:rFonts w:ascii="宋体" w:hAnsi="宋体"/>
          <w:sz w:val="24"/>
          <w:highlight w:val="none"/>
        </w:rPr>
        <w:t>退还退出磋商的</w:t>
      </w:r>
      <w:r>
        <w:rPr>
          <w:rFonts w:hint="eastAsia" w:ascii="宋体" w:hAnsi="宋体"/>
          <w:sz w:val="24"/>
          <w:highlight w:val="none"/>
          <w:lang w:eastAsia="zh-CN"/>
        </w:rPr>
        <w:t>供应商</w:t>
      </w:r>
      <w:r>
        <w:rPr>
          <w:rFonts w:ascii="宋体" w:hAnsi="宋体"/>
          <w:sz w:val="24"/>
          <w:highlight w:val="none"/>
        </w:rPr>
        <w:t>的保证金。</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ascii="宋体" w:hAnsi="宋体"/>
          <w:b/>
          <w:sz w:val="24"/>
          <w:highlight w:val="none"/>
        </w:rPr>
      </w:pPr>
      <w:r>
        <w:rPr>
          <w:rFonts w:ascii="宋体" w:hAnsi="宋体"/>
          <w:b/>
          <w:sz w:val="24"/>
          <w:highlight w:val="none"/>
        </w:rPr>
        <w:t>2</w:t>
      </w:r>
      <w:r>
        <w:rPr>
          <w:rFonts w:hint="eastAsia" w:ascii="宋体" w:hAnsi="宋体"/>
          <w:b/>
          <w:sz w:val="24"/>
          <w:highlight w:val="none"/>
          <w:lang w:val="en-US" w:eastAsia="zh-CN"/>
        </w:rPr>
        <w:t>5</w:t>
      </w:r>
      <w:r>
        <w:rPr>
          <w:rFonts w:ascii="宋体" w:hAnsi="宋体"/>
          <w:b/>
          <w:sz w:val="24"/>
          <w:highlight w:val="none"/>
        </w:rPr>
        <w:t>．评审过程的保密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sz w:val="24"/>
          <w:highlight w:val="none"/>
        </w:rPr>
      </w:pPr>
      <w:r>
        <w:rPr>
          <w:rFonts w:ascii="宋体" w:hAnsi="宋体"/>
          <w:sz w:val="24"/>
          <w:highlight w:val="none"/>
        </w:rPr>
        <w:t>2</w:t>
      </w:r>
      <w:r>
        <w:rPr>
          <w:rFonts w:hint="eastAsia" w:ascii="宋体" w:hAnsi="宋体"/>
          <w:sz w:val="24"/>
          <w:highlight w:val="none"/>
          <w:lang w:val="en-US" w:eastAsia="zh-CN"/>
        </w:rPr>
        <w:t>5</w:t>
      </w:r>
      <w:r>
        <w:rPr>
          <w:rFonts w:ascii="宋体" w:hAnsi="宋体"/>
          <w:sz w:val="24"/>
          <w:highlight w:val="none"/>
        </w:rPr>
        <w:t>.1竞争性磋商小组成员和与评审活动有关的工作人员不得泄露有关磋商响应文件的评审和比较、</w:t>
      </w:r>
      <w:r>
        <w:rPr>
          <w:rFonts w:hint="eastAsia" w:ascii="宋体" w:hAnsi="宋体"/>
          <w:sz w:val="24"/>
          <w:highlight w:val="none"/>
        </w:rPr>
        <w:t>成交候选</w:t>
      </w:r>
      <w:r>
        <w:rPr>
          <w:rFonts w:hint="eastAsia" w:ascii="宋体" w:hAnsi="宋体"/>
          <w:sz w:val="24"/>
          <w:highlight w:val="none"/>
          <w:lang w:val="en-US" w:eastAsia="zh-CN"/>
        </w:rPr>
        <w:t>供应商</w:t>
      </w:r>
      <w:r>
        <w:rPr>
          <w:rFonts w:ascii="宋体" w:hAnsi="宋体"/>
          <w:sz w:val="24"/>
          <w:highlight w:val="none"/>
        </w:rPr>
        <w:t>的推荐以及与评审有关的其他情况。</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sz w:val="24"/>
          <w:highlight w:val="none"/>
        </w:rPr>
      </w:pPr>
      <w:r>
        <w:rPr>
          <w:rFonts w:ascii="宋体" w:hAnsi="宋体"/>
          <w:sz w:val="24"/>
          <w:highlight w:val="none"/>
        </w:rPr>
        <w:t>2</w:t>
      </w:r>
      <w:r>
        <w:rPr>
          <w:rFonts w:hint="eastAsia" w:ascii="宋体" w:hAnsi="宋体"/>
          <w:sz w:val="24"/>
          <w:highlight w:val="none"/>
          <w:lang w:val="en-US" w:eastAsia="zh-CN"/>
        </w:rPr>
        <w:t>5</w:t>
      </w:r>
      <w:r>
        <w:rPr>
          <w:rFonts w:ascii="宋体" w:hAnsi="宋体"/>
          <w:sz w:val="24"/>
          <w:highlight w:val="none"/>
        </w:rPr>
        <w:t>.2在评审过程中，如果供应商试图在磋商响应文件的评审和比较、</w:t>
      </w:r>
      <w:r>
        <w:rPr>
          <w:rFonts w:hint="eastAsia" w:ascii="宋体" w:hAnsi="宋体"/>
          <w:sz w:val="24"/>
          <w:highlight w:val="none"/>
        </w:rPr>
        <w:t>成交候选</w:t>
      </w:r>
      <w:r>
        <w:rPr>
          <w:rFonts w:hint="eastAsia" w:ascii="宋体" w:hAnsi="宋体"/>
          <w:sz w:val="24"/>
          <w:highlight w:val="none"/>
          <w:lang w:val="en-US" w:eastAsia="zh-CN"/>
        </w:rPr>
        <w:t>供应商</w:t>
      </w:r>
      <w:r>
        <w:rPr>
          <w:rFonts w:ascii="宋体" w:hAnsi="宋体"/>
          <w:sz w:val="24"/>
          <w:highlight w:val="none"/>
        </w:rPr>
        <w:t>的推荐以及与评审有关的其他方面，向磋商小组、采购人和采购代理机构施加任何影响，</w:t>
      </w:r>
      <w:r>
        <w:rPr>
          <w:rFonts w:hint="eastAsia" w:ascii="宋体" w:hAnsi="宋体"/>
          <w:sz w:val="24"/>
          <w:highlight w:val="none"/>
        </w:rPr>
        <w:t>其</w:t>
      </w:r>
      <w:r>
        <w:rPr>
          <w:rFonts w:ascii="宋体" w:hAnsi="宋体"/>
          <w:sz w:val="24"/>
          <w:highlight w:val="none"/>
        </w:rPr>
        <w:t>磋商</w:t>
      </w:r>
      <w:r>
        <w:rPr>
          <w:rFonts w:hint="eastAsia" w:ascii="宋体" w:hAnsi="宋体"/>
          <w:sz w:val="24"/>
          <w:highlight w:val="none"/>
        </w:rPr>
        <w:t>响应文件</w:t>
      </w:r>
      <w:r>
        <w:rPr>
          <w:rFonts w:ascii="宋体" w:hAnsi="宋体"/>
          <w:sz w:val="24"/>
          <w:highlight w:val="none"/>
        </w:rPr>
        <w:t>将</w:t>
      </w:r>
      <w:r>
        <w:rPr>
          <w:rFonts w:hint="eastAsia" w:ascii="宋体" w:hAnsi="宋体"/>
          <w:sz w:val="24"/>
          <w:highlight w:val="none"/>
        </w:rPr>
        <w:t>按照无效处理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ascii="宋体" w:hAnsi="宋体"/>
          <w:b/>
          <w:sz w:val="24"/>
          <w:highlight w:val="none"/>
        </w:rPr>
      </w:pPr>
      <w:r>
        <w:rPr>
          <w:rFonts w:ascii="宋体" w:hAnsi="宋体"/>
          <w:b/>
          <w:sz w:val="24"/>
          <w:highlight w:val="none"/>
        </w:rPr>
        <w:t>2</w:t>
      </w:r>
      <w:r>
        <w:rPr>
          <w:rFonts w:hint="eastAsia" w:ascii="宋体" w:hAnsi="宋体"/>
          <w:b/>
          <w:sz w:val="24"/>
          <w:highlight w:val="none"/>
          <w:lang w:val="en-US" w:eastAsia="zh-CN"/>
        </w:rPr>
        <w:t>6</w:t>
      </w:r>
      <w:r>
        <w:rPr>
          <w:rFonts w:ascii="宋体" w:hAnsi="宋体"/>
          <w:b/>
          <w:sz w:val="24"/>
          <w:highlight w:val="none"/>
        </w:rPr>
        <w:t>．评审方法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按照财政部《政府采购竞争性磋商采购方式管理暂行办法》有关规定，竞争性磋商小组将从方案质量和服务均能满足磋商文件实质性响应要求，</w:t>
      </w:r>
      <w:r>
        <w:rPr>
          <w:rFonts w:ascii="宋体" w:hAnsi="宋体"/>
          <w:sz w:val="24"/>
          <w:highlight w:val="none"/>
        </w:rPr>
        <w:t>且报价不高于</w:t>
      </w:r>
      <w:r>
        <w:rPr>
          <w:rFonts w:hint="eastAsia" w:ascii="宋体" w:hAnsi="宋体"/>
          <w:sz w:val="24"/>
          <w:highlight w:val="none"/>
          <w:lang w:val="en-US" w:eastAsia="zh-CN"/>
        </w:rPr>
        <w:t>最高限价</w:t>
      </w:r>
      <w:r>
        <w:rPr>
          <w:rFonts w:hint="eastAsia" w:ascii="宋体" w:hAnsi="宋体"/>
          <w:sz w:val="24"/>
          <w:highlight w:val="none"/>
        </w:rPr>
        <w:t>的供应商中，按照综合</w:t>
      </w:r>
      <w:r>
        <w:rPr>
          <w:rFonts w:ascii="宋体" w:hAnsi="宋体"/>
          <w:sz w:val="24"/>
          <w:highlight w:val="none"/>
        </w:rPr>
        <w:t>考评</w:t>
      </w:r>
      <w:r>
        <w:rPr>
          <w:rFonts w:hint="eastAsia" w:ascii="宋体" w:hAnsi="宋体"/>
          <w:sz w:val="24"/>
          <w:highlight w:val="none"/>
        </w:rPr>
        <w:t>得分</w:t>
      </w:r>
      <w:r>
        <w:rPr>
          <w:rFonts w:ascii="宋体" w:hAnsi="宋体"/>
          <w:sz w:val="24"/>
          <w:highlight w:val="none"/>
        </w:rPr>
        <w:t>由高到</w:t>
      </w:r>
      <w:r>
        <w:rPr>
          <w:rFonts w:hint="eastAsia" w:ascii="宋体" w:hAnsi="宋体"/>
          <w:sz w:val="24"/>
          <w:highlight w:val="none"/>
        </w:rPr>
        <w:t>低的顺序提出3名成交候选</w:t>
      </w:r>
      <w:r>
        <w:rPr>
          <w:rFonts w:hint="eastAsia" w:ascii="宋体" w:hAnsi="宋体"/>
          <w:sz w:val="24"/>
          <w:highlight w:val="none"/>
          <w:lang w:val="en-US" w:eastAsia="zh-CN"/>
        </w:rPr>
        <w:t>供应商</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Ansi="宋体"/>
          <w:kern w:val="1"/>
          <w:sz w:val="24"/>
        </w:rPr>
      </w:pPr>
      <w:r>
        <w:rPr>
          <w:rFonts w:hint="eastAsia" w:ascii="宋体" w:hAnsi="宋体" w:eastAsia="宋体" w:cs="Times New Roman"/>
          <w:b/>
          <w:sz w:val="28"/>
          <w:szCs w:val="28"/>
        </w:rPr>
        <w:t>六、确定成交人、</w:t>
      </w:r>
      <w:r>
        <w:rPr>
          <w:rFonts w:hint="eastAsia" w:ascii="宋体" w:hAnsi="宋体" w:eastAsia="宋体" w:cs="Times New Roman"/>
          <w:b/>
          <w:sz w:val="28"/>
          <w:szCs w:val="28"/>
          <w:lang w:val="en-US" w:eastAsia="zh-CN"/>
        </w:rPr>
        <w:t>成交</w:t>
      </w:r>
      <w:r>
        <w:rPr>
          <w:rFonts w:hint="eastAsia" w:ascii="宋体" w:hAnsi="宋体" w:eastAsia="宋体" w:cs="Times New Roman"/>
          <w:b/>
          <w:sz w:val="28"/>
          <w:szCs w:val="28"/>
        </w:rPr>
        <w:t>通知与签约</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ascii="宋体" w:hAnsi="宋体"/>
          <w:b/>
          <w:sz w:val="24"/>
        </w:rPr>
        <w:t>2</w:t>
      </w:r>
      <w:r>
        <w:rPr>
          <w:rFonts w:hint="eastAsia" w:ascii="宋体" w:hAnsi="宋体"/>
          <w:b/>
          <w:sz w:val="24"/>
          <w:lang w:val="en-US" w:eastAsia="zh-CN"/>
        </w:rPr>
        <w:t>7</w:t>
      </w:r>
      <w:r>
        <w:rPr>
          <w:rFonts w:ascii="宋体" w:hAnsi="宋体"/>
          <w:b/>
          <w:sz w:val="24"/>
        </w:rPr>
        <w:t>．</w:t>
      </w:r>
      <w:r>
        <w:rPr>
          <w:rFonts w:hint="eastAsia" w:ascii="宋体" w:hAnsi="宋体"/>
          <w:b/>
          <w:sz w:val="24"/>
        </w:rPr>
        <w:t>确定成交人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ascii="宋体" w:hAnsi="宋体"/>
          <w:sz w:val="24"/>
        </w:rPr>
        <w:t>2</w:t>
      </w:r>
      <w:r>
        <w:rPr>
          <w:rFonts w:hint="eastAsia" w:ascii="宋体" w:hAnsi="宋体"/>
          <w:sz w:val="24"/>
          <w:lang w:val="en-US" w:eastAsia="zh-CN"/>
        </w:rPr>
        <w:t>7</w:t>
      </w:r>
      <w:r>
        <w:rPr>
          <w:rFonts w:ascii="宋体" w:hAnsi="宋体"/>
          <w:sz w:val="24"/>
        </w:rPr>
        <w:t>.1</w:t>
      </w:r>
      <w:r>
        <w:rPr>
          <w:rFonts w:hint="eastAsia" w:ascii="宋体" w:hAnsi="宋体"/>
          <w:sz w:val="24"/>
        </w:rPr>
        <w:t>磋商小组</w:t>
      </w:r>
      <w:r>
        <w:rPr>
          <w:rFonts w:ascii="宋体" w:hAnsi="宋体"/>
          <w:sz w:val="24"/>
        </w:rPr>
        <w:t>根据评审方法的规定对供应商进行评审排序，推荐</w:t>
      </w:r>
      <w:r>
        <w:rPr>
          <w:rFonts w:hint="eastAsia" w:ascii="宋体" w:hAnsi="宋体"/>
          <w:sz w:val="24"/>
          <w:highlight w:val="none"/>
        </w:rPr>
        <w:t>成交候选</w:t>
      </w:r>
      <w:r>
        <w:rPr>
          <w:rFonts w:hint="eastAsia" w:ascii="宋体" w:hAnsi="宋体"/>
          <w:sz w:val="24"/>
          <w:highlight w:val="none"/>
          <w:lang w:val="en-US" w:eastAsia="zh-CN"/>
        </w:rPr>
        <w:t>供应商</w:t>
      </w:r>
      <w:r>
        <w:rPr>
          <w:rFonts w:ascii="宋体" w:hAnsi="宋体"/>
          <w:sz w:val="24"/>
        </w:rPr>
        <w:t>，</w:t>
      </w:r>
      <w:r>
        <w:rPr>
          <w:rFonts w:hint="eastAsia" w:ascii="宋体" w:hAnsi="宋体"/>
          <w:sz w:val="24"/>
        </w:rPr>
        <w:t>形</w:t>
      </w:r>
      <w:r>
        <w:rPr>
          <w:rFonts w:hint="eastAsia" w:ascii="宋体" w:hAnsi="宋体"/>
          <w:sz w:val="24"/>
          <w:highlight w:val="none"/>
        </w:rPr>
        <w:t>成评审报告</w:t>
      </w:r>
      <w:r>
        <w:rPr>
          <w:rFonts w:ascii="宋体" w:hAnsi="宋体"/>
          <w:sz w:val="24"/>
          <w:highlight w:val="none"/>
        </w:rPr>
        <w:t>。</w:t>
      </w:r>
      <w:r>
        <w:rPr>
          <w:rFonts w:hint="eastAsia" w:ascii="宋体" w:hAnsi="宋体"/>
          <w:sz w:val="24"/>
          <w:highlight w:val="none"/>
        </w:rPr>
        <w:t>评审报告</w:t>
      </w:r>
      <w:r>
        <w:rPr>
          <w:rFonts w:ascii="宋体" w:hAnsi="宋体"/>
          <w:sz w:val="24"/>
          <w:highlight w:val="none"/>
        </w:rPr>
        <w:t>由</w:t>
      </w:r>
      <w:r>
        <w:rPr>
          <w:rFonts w:hint="eastAsia" w:ascii="宋体" w:hAnsi="宋体"/>
          <w:sz w:val="24"/>
          <w:highlight w:val="none"/>
        </w:rPr>
        <w:t>磋商小组成员</w:t>
      </w:r>
      <w:r>
        <w:rPr>
          <w:rFonts w:ascii="宋体" w:hAnsi="宋体"/>
          <w:sz w:val="24"/>
          <w:highlight w:val="none"/>
        </w:rPr>
        <w:t>签字确认。</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ascii="宋体" w:hAnsi="宋体"/>
          <w:sz w:val="24"/>
          <w:highlight w:val="none"/>
        </w:rPr>
        <w:t>2</w:t>
      </w:r>
      <w:r>
        <w:rPr>
          <w:rFonts w:hint="eastAsia" w:ascii="宋体" w:hAnsi="宋体"/>
          <w:sz w:val="24"/>
          <w:highlight w:val="none"/>
          <w:lang w:val="en-US" w:eastAsia="zh-CN"/>
        </w:rPr>
        <w:t>7</w:t>
      </w:r>
      <w:r>
        <w:rPr>
          <w:rFonts w:ascii="宋体" w:hAnsi="宋体"/>
          <w:sz w:val="24"/>
          <w:highlight w:val="none"/>
        </w:rPr>
        <w:t>.2采</w:t>
      </w:r>
      <w:r>
        <w:rPr>
          <w:rFonts w:ascii="宋体" w:hAnsi="宋体"/>
          <w:b w:val="0"/>
          <w:bCs w:val="0"/>
          <w:sz w:val="24"/>
          <w:highlight w:val="none"/>
        </w:rPr>
        <w:t>购</w:t>
      </w:r>
      <w:r>
        <w:rPr>
          <w:rFonts w:ascii="宋体" w:hAnsi="宋体"/>
          <w:sz w:val="24"/>
          <w:highlight w:val="none"/>
        </w:rPr>
        <w:t>人从</w:t>
      </w:r>
      <w:r>
        <w:rPr>
          <w:rFonts w:hint="eastAsia" w:ascii="宋体" w:hAnsi="宋体"/>
          <w:sz w:val="24"/>
          <w:highlight w:val="none"/>
        </w:rPr>
        <w:t>评审报告</w:t>
      </w:r>
      <w:r>
        <w:rPr>
          <w:rFonts w:ascii="宋体" w:hAnsi="宋体"/>
          <w:sz w:val="24"/>
          <w:highlight w:val="none"/>
        </w:rPr>
        <w:t>提出的</w:t>
      </w:r>
      <w:r>
        <w:rPr>
          <w:rFonts w:hint="eastAsia" w:ascii="宋体" w:hAnsi="宋体"/>
          <w:sz w:val="24"/>
          <w:highlight w:val="none"/>
        </w:rPr>
        <w:t>成交候选</w:t>
      </w:r>
      <w:r>
        <w:rPr>
          <w:rFonts w:hint="eastAsia" w:ascii="宋体" w:hAnsi="宋体"/>
          <w:sz w:val="24"/>
          <w:highlight w:val="none"/>
          <w:lang w:val="en-US" w:eastAsia="zh-CN"/>
        </w:rPr>
        <w:t>供应商</w:t>
      </w:r>
      <w:r>
        <w:rPr>
          <w:rFonts w:ascii="宋体" w:hAnsi="宋体"/>
          <w:sz w:val="24"/>
          <w:highlight w:val="none"/>
        </w:rPr>
        <w:t>中，根据</w:t>
      </w:r>
      <w:r>
        <w:rPr>
          <w:rFonts w:hint="eastAsia" w:ascii="宋体" w:hAnsi="宋体"/>
          <w:sz w:val="24"/>
          <w:highlight w:val="none"/>
        </w:rPr>
        <w:t>评审因素及量化指标</w:t>
      </w:r>
      <w:r>
        <w:rPr>
          <w:rFonts w:hint="eastAsia" w:ascii="宋体" w:hAnsi="宋体"/>
          <w:sz w:val="24"/>
          <w:highlight w:val="none"/>
          <w:lang w:eastAsia="zh-CN"/>
        </w:rPr>
        <w:t>、</w:t>
      </w:r>
      <w:r>
        <w:rPr>
          <w:rFonts w:ascii="宋体" w:hAnsi="宋体"/>
          <w:sz w:val="24"/>
          <w:highlight w:val="none"/>
        </w:rPr>
        <w:t>最后报价</w:t>
      </w:r>
      <w:r>
        <w:rPr>
          <w:rFonts w:hint="eastAsia" w:ascii="宋体" w:hAnsi="宋体"/>
          <w:sz w:val="24"/>
          <w:highlight w:val="none"/>
        </w:rPr>
        <w:t>综合权衡，</w:t>
      </w:r>
      <w:r>
        <w:rPr>
          <w:rFonts w:ascii="宋体" w:hAnsi="宋体"/>
          <w:sz w:val="24"/>
          <w:highlight w:val="none"/>
        </w:rPr>
        <w:t>确定成交供应商</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7</w:t>
      </w:r>
      <w:r>
        <w:rPr>
          <w:rFonts w:hint="eastAsia" w:ascii="宋体" w:hAnsi="宋体"/>
          <w:sz w:val="24"/>
          <w:highlight w:val="none"/>
        </w:rPr>
        <w:t>.3采购人也可以书面授权磋商小组直接确定成交供应商。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green"/>
        </w:rPr>
      </w:pPr>
      <w:r>
        <w:rPr>
          <w:rFonts w:ascii="宋体" w:hAnsi="宋体"/>
          <w:sz w:val="24"/>
          <w:highlight w:val="none"/>
        </w:rPr>
        <w:t>2</w:t>
      </w:r>
      <w:r>
        <w:rPr>
          <w:rFonts w:hint="eastAsia" w:ascii="宋体" w:hAnsi="宋体"/>
          <w:sz w:val="24"/>
          <w:highlight w:val="none"/>
          <w:lang w:val="en-US" w:eastAsia="zh-CN"/>
        </w:rPr>
        <w:t>7</w:t>
      </w:r>
      <w:r>
        <w:rPr>
          <w:rFonts w:ascii="宋体" w:hAnsi="宋体"/>
          <w:sz w:val="24"/>
          <w:highlight w:val="none"/>
        </w:rPr>
        <w:t>.4</w:t>
      </w:r>
      <w:r>
        <w:rPr>
          <w:rFonts w:hint="eastAsia" w:ascii="宋体" w:hAnsi="宋体"/>
          <w:sz w:val="24"/>
          <w:highlight w:val="none"/>
        </w:rPr>
        <w:t>采购人或者采购代理机构在成交供应商确定后</w:t>
      </w:r>
      <w:r>
        <w:rPr>
          <w:rFonts w:hint="eastAsia" w:ascii="宋体" w:hAnsi="宋体"/>
          <w:sz w:val="24"/>
          <w:highlight w:val="none"/>
          <w:lang w:val="en-US" w:eastAsia="zh-CN"/>
        </w:rPr>
        <w:t>1</w:t>
      </w:r>
      <w:r>
        <w:rPr>
          <w:rFonts w:hint="eastAsia" w:ascii="宋体" w:hAnsi="宋体"/>
          <w:sz w:val="24"/>
          <w:highlight w:val="none"/>
        </w:rPr>
        <w:t>个工作日内，在省级以上财政部门指定的政府采购信息发布</w:t>
      </w:r>
      <w:r>
        <w:rPr>
          <w:rFonts w:hint="eastAsia" w:ascii="宋体" w:hAnsi="宋体"/>
          <w:sz w:val="24"/>
        </w:rPr>
        <w:t>媒体上公告</w:t>
      </w:r>
      <w:r>
        <w:rPr>
          <w:rFonts w:hint="eastAsia" w:ascii="宋体" w:hAnsi="宋体"/>
          <w:sz w:val="24"/>
          <w:lang w:val="en-US" w:eastAsia="zh-CN"/>
        </w:rPr>
        <w:t>成交结果</w:t>
      </w:r>
      <w:r>
        <w:rPr>
          <w:rFonts w:ascii="宋体" w:hAnsi="宋体"/>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ascii="宋体" w:hAnsi="宋体"/>
          <w:sz w:val="24"/>
        </w:rPr>
        <w:t>2</w:t>
      </w:r>
      <w:r>
        <w:rPr>
          <w:rFonts w:hint="eastAsia" w:ascii="宋体" w:hAnsi="宋体"/>
          <w:sz w:val="24"/>
          <w:lang w:val="en-US" w:eastAsia="zh-CN"/>
        </w:rPr>
        <w:t>7</w:t>
      </w:r>
      <w:r>
        <w:rPr>
          <w:rFonts w:ascii="宋体" w:hAnsi="宋体"/>
          <w:sz w:val="24"/>
        </w:rPr>
        <w:t>.5供应商对</w:t>
      </w:r>
      <w:r>
        <w:rPr>
          <w:rFonts w:hint="eastAsia" w:ascii="宋体" w:hAnsi="宋体"/>
          <w:sz w:val="24"/>
          <w:lang w:val="en-US" w:eastAsia="zh-CN"/>
        </w:rPr>
        <w:t>采购结果</w:t>
      </w:r>
      <w:r>
        <w:rPr>
          <w:rFonts w:ascii="宋体" w:hAnsi="宋体"/>
          <w:sz w:val="24"/>
        </w:rPr>
        <w:t>公告有异议的，</w:t>
      </w:r>
      <w:r>
        <w:rPr>
          <w:rFonts w:hint="eastAsia" w:ascii="宋体" w:hAnsi="宋体"/>
          <w:sz w:val="24"/>
        </w:rPr>
        <w:t>按照《中华人民共和国政府采购法》第五十二条之有关规定执行。</w:t>
      </w:r>
      <w:r>
        <w:rPr>
          <w:rFonts w:ascii="宋体" w:hAnsi="宋体"/>
          <w:sz w:val="24"/>
        </w:rPr>
        <w:t>提出质疑的供应商</w:t>
      </w:r>
      <w:r>
        <w:rPr>
          <w:rFonts w:hint="eastAsia" w:ascii="宋体" w:hAnsi="宋体"/>
          <w:sz w:val="24"/>
        </w:rPr>
        <w:t>应当有明确的请求和必要的证明材料，</w:t>
      </w:r>
      <w:r>
        <w:rPr>
          <w:rFonts w:ascii="宋体" w:hAnsi="宋体"/>
          <w:sz w:val="24"/>
        </w:rPr>
        <w:t>应保证提出的质疑内容及相应证明材料的真实性及来源的合法性，并承担相应的法律责任。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ascii="宋体" w:hAnsi="宋体"/>
          <w:sz w:val="24"/>
        </w:rPr>
        <w:t>2</w:t>
      </w:r>
      <w:r>
        <w:rPr>
          <w:rFonts w:hint="eastAsia" w:ascii="宋体" w:hAnsi="宋体"/>
          <w:sz w:val="24"/>
          <w:lang w:val="en-US" w:eastAsia="zh-CN"/>
        </w:rPr>
        <w:t>7</w:t>
      </w:r>
      <w:r>
        <w:rPr>
          <w:rFonts w:ascii="宋体" w:hAnsi="宋体"/>
          <w:sz w:val="24"/>
        </w:rPr>
        <w:t>.6</w:t>
      </w:r>
      <w:r>
        <w:rPr>
          <w:rFonts w:hint="eastAsia" w:ascii="宋体" w:hAnsi="宋体"/>
          <w:sz w:val="24"/>
        </w:rPr>
        <w:t>成交供应商拒绝与采购人签订合同的，采购人可以按照</w:t>
      </w:r>
      <w:r>
        <w:rPr>
          <w:rFonts w:hint="eastAsia" w:ascii="宋体" w:hAnsi="宋体"/>
          <w:sz w:val="24"/>
          <w:highlight w:val="none"/>
        </w:rPr>
        <w:t>评审报告</w:t>
      </w:r>
      <w:r>
        <w:rPr>
          <w:rFonts w:hint="eastAsia" w:ascii="宋体" w:hAnsi="宋体"/>
          <w:sz w:val="24"/>
        </w:rPr>
        <w:t>推荐的成交人名单排序，确定下一候选人为成交供应商，也可以重新开展政府采购活动。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rPr>
      </w:pPr>
      <w:r>
        <w:rPr>
          <w:rFonts w:hint="eastAsia" w:ascii="宋体" w:hAnsi="宋体"/>
          <w:b/>
          <w:bCs/>
          <w:sz w:val="24"/>
        </w:rPr>
        <w:t>2</w:t>
      </w:r>
      <w:r>
        <w:rPr>
          <w:rFonts w:hint="eastAsia" w:ascii="宋体" w:hAnsi="宋体"/>
          <w:b/>
          <w:bCs/>
          <w:sz w:val="24"/>
          <w:lang w:val="en-US" w:eastAsia="zh-CN"/>
        </w:rPr>
        <w:t>8</w:t>
      </w:r>
      <w:r>
        <w:rPr>
          <w:rFonts w:ascii="宋体" w:hAnsi="宋体"/>
          <w:b/>
          <w:bCs/>
          <w:sz w:val="24"/>
        </w:rPr>
        <w:t>．</w:t>
      </w:r>
      <w:r>
        <w:rPr>
          <w:rFonts w:hint="eastAsia" w:ascii="宋体" w:hAnsi="宋体"/>
          <w:b/>
          <w:bCs/>
          <w:sz w:val="24"/>
          <w:lang w:val="en-US" w:eastAsia="zh-CN"/>
        </w:rPr>
        <w:t>成交</w:t>
      </w:r>
      <w:r>
        <w:rPr>
          <w:rFonts w:ascii="宋体" w:hAnsi="宋体"/>
          <w:b/>
          <w:bCs/>
          <w:sz w:val="24"/>
        </w:rPr>
        <w:t>通知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8</w:t>
      </w:r>
      <w:r>
        <w:rPr>
          <w:rFonts w:ascii="宋体" w:hAnsi="宋体"/>
          <w:sz w:val="24"/>
        </w:rPr>
        <w:t>.1</w:t>
      </w:r>
      <w:r>
        <w:rPr>
          <w:rFonts w:hint="eastAsia" w:ascii="宋体" w:hAnsi="宋体"/>
          <w:sz w:val="24"/>
        </w:rPr>
        <w:t xml:space="preserve"> 成交供应商确定之后，</w:t>
      </w:r>
      <w:r>
        <w:rPr>
          <w:rFonts w:hint="eastAsia" w:ascii="宋体" w:hAnsi="宋体"/>
          <w:sz w:val="24"/>
          <w:lang w:val="en-US" w:eastAsia="zh-CN"/>
        </w:rPr>
        <w:t>代理公司</w:t>
      </w:r>
      <w:r>
        <w:rPr>
          <w:rFonts w:hint="eastAsia" w:ascii="宋体" w:hAnsi="宋体"/>
          <w:sz w:val="24"/>
        </w:rPr>
        <w:t>将</w:t>
      </w:r>
      <w:r>
        <w:rPr>
          <w:rFonts w:ascii="宋体" w:hAnsi="宋体"/>
          <w:sz w:val="24"/>
          <w:highlight w:val="none"/>
        </w:rPr>
        <w:t>发出</w:t>
      </w:r>
      <w:r>
        <w:rPr>
          <w:rFonts w:hint="eastAsia" w:ascii="宋体" w:hAnsi="宋体"/>
          <w:sz w:val="24"/>
          <w:highlight w:val="none"/>
          <w:lang w:eastAsia="zh-CN"/>
        </w:rPr>
        <w:t>成交通知书</w:t>
      </w:r>
      <w:r>
        <w:rPr>
          <w:rFonts w:hint="eastAsia" w:ascii="宋体" w:hAnsi="宋体"/>
          <w:sz w:val="24"/>
          <w:highlight w:val="none"/>
        </w:rPr>
        <w:t>，</w:t>
      </w:r>
      <w:r>
        <w:rPr>
          <w:rFonts w:hint="eastAsia" w:ascii="宋体" w:hAnsi="宋体"/>
          <w:b/>
          <w:bCs/>
          <w:i w:val="0"/>
          <w:iCs w:val="0"/>
          <w:sz w:val="24"/>
          <w:highlight w:val="none"/>
          <w:lang w:val="en-US" w:eastAsia="zh-CN"/>
        </w:rPr>
        <w:t>成</w:t>
      </w:r>
      <w:r>
        <w:rPr>
          <w:rFonts w:hint="eastAsia" w:ascii="宋体" w:hAnsi="宋体"/>
          <w:b/>
          <w:bCs/>
          <w:i w:val="0"/>
          <w:iCs w:val="0"/>
          <w:sz w:val="24"/>
          <w:lang w:val="en-US" w:eastAsia="zh-CN"/>
        </w:rPr>
        <w:t>交</w:t>
      </w:r>
      <w:r>
        <w:rPr>
          <w:rFonts w:hint="eastAsia" w:ascii="宋体" w:hAnsi="宋体"/>
          <w:b/>
          <w:bCs/>
          <w:i w:val="0"/>
          <w:iCs w:val="0"/>
          <w:sz w:val="24"/>
        </w:rPr>
        <w:t>供应商领取</w:t>
      </w:r>
      <w:r>
        <w:rPr>
          <w:rFonts w:hint="eastAsia" w:ascii="宋体" w:hAnsi="宋体"/>
          <w:b/>
          <w:bCs/>
          <w:i w:val="0"/>
          <w:iCs w:val="0"/>
          <w:sz w:val="24"/>
          <w:lang w:eastAsia="zh-CN"/>
        </w:rPr>
        <w:t>成交通知书</w:t>
      </w:r>
      <w:r>
        <w:rPr>
          <w:rFonts w:hint="eastAsia" w:ascii="宋体" w:hAnsi="宋体"/>
          <w:b/>
          <w:bCs/>
          <w:i w:val="0"/>
          <w:iCs w:val="0"/>
          <w:sz w:val="24"/>
        </w:rPr>
        <w:t>时请提供二次报价</w:t>
      </w:r>
      <w:r>
        <w:rPr>
          <w:rFonts w:hint="eastAsia" w:ascii="宋体" w:hAnsi="宋体"/>
          <w:b/>
          <w:bCs/>
          <w:i w:val="0"/>
          <w:iCs w:val="0"/>
          <w:sz w:val="24"/>
          <w:highlight w:val="none"/>
        </w:rPr>
        <w:t>明细。</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8</w:t>
      </w:r>
      <w:r>
        <w:rPr>
          <w:rFonts w:ascii="宋体" w:hAnsi="宋体"/>
          <w:sz w:val="24"/>
        </w:rPr>
        <w:t>.2</w:t>
      </w:r>
      <w:r>
        <w:rPr>
          <w:rFonts w:hint="eastAsia" w:ascii="宋体" w:hAnsi="宋体"/>
          <w:sz w:val="24"/>
          <w:lang w:eastAsia="zh-CN"/>
        </w:rPr>
        <w:t>成交通知书</w:t>
      </w:r>
      <w:r>
        <w:rPr>
          <w:rFonts w:ascii="宋体" w:hAnsi="宋体"/>
          <w:sz w:val="24"/>
        </w:rPr>
        <w:t>对采购人和成交供应商具有同等法律效力。</w:t>
      </w:r>
      <w:r>
        <w:rPr>
          <w:rFonts w:hint="eastAsia" w:ascii="宋体" w:hAnsi="宋体"/>
          <w:sz w:val="24"/>
          <w:lang w:eastAsia="zh-CN"/>
        </w:rPr>
        <w:t>成交通知书</w:t>
      </w:r>
      <w:r>
        <w:rPr>
          <w:rFonts w:ascii="宋体" w:hAnsi="宋体"/>
          <w:sz w:val="24"/>
        </w:rPr>
        <w:t>发出</w:t>
      </w:r>
      <w:r>
        <w:rPr>
          <w:rFonts w:ascii="宋体" w:hAnsi="宋体"/>
          <w:spacing w:val="-6"/>
          <w:sz w:val="24"/>
        </w:rPr>
        <w:t>之后，采购人改变成交结果，或者成交供应商放弃成交，应当承担相应的法律责任。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8</w:t>
      </w:r>
      <w:r>
        <w:rPr>
          <w:rFonts w:ascii="宋体" w:hAnsi="宋体"/>
          <w:sz w:val="24"/>
        </w:rPr>
        <w:t xml:space="preserve">.3 </w:t>
      </w:r>
      <w:r>
        <w:rPr>
          <w:rFonts w:hint="eastAsia" w:ascii="宋体" w:hAnsi="宋体"/>
          <w:sz w:val="24"/>
          <w:lang w:eastAsia="zh-CN"/>
        </w:rPr>
        <w:t>成交通知书</w:t>
      </w:r>
      <w:r>
        <w:rPr>
          <w:rFonts w:ascii="宋体" w:hAnsi="宋体"/>
          <w:sz w:val="24"/>
        </w:rPr>
        <w:t>发出后</w:t>
      </w:r>
      <w:r>
        <w:rPr>
          <w:rFonts w:hint="eastAsia" w:ascii="宋体" w:hAnsi="宋体"/>
          <w:sz w:val="24"/>
        </w:rPr>
        <w:t>5</w:t>
      </w:r>
      <w:r>
        <w:rPr>
          <w:rFonts w:ascii="宋体" w:hAnsi="宋体"/>
          <w:sz w:val="24"/>
        </w:rPr>
        <w:t>个工作日内，</w:t>
      </w:r>
      <w:r>
        <w:rPr>
          <w:rFonts w:hint="eastAsia" w:ascii="宋体" w:hAnsi="宋体"/>
          <w:sz w:val="24"/>
          <w:lang w:val="en-US" w:eastAsia="zh-CN"/>
        </w:rPr>
        <w:t>代理公司</w:t>
      </w:r>
      <w:r>
        <w:rPr>
          <w:rFonts w:ascii="宋体" w:hAnsi="宋体"/>
          <w:sz w:val="24"/>
        </w:rPr>
        <w:t>将通知未成交的供应商，</w:t>
      </w:r>
      <w:r>
        <w:rPr>
          <w:rFonts w:hint="eastAsia" w:ascii="宋体" w:hAnsi="宋体"/>
          <w:sz w:val="24"/>
        </w:rPr>
        <w:t>并</w:t>
      </w:r>
      <w:r>
        <w:rPr>
          <w:rFonts w:ascii="宋体" w:hAnsi="宋体"/>
          <w:sz w:val="24"/>
        </w:rPr>
        <w:t>退还</w:t>
      </w:r>
      <w:r>
        <w:rPr>
          <w:rFonts w:hint="eastAsia" w:ascii="宋体" w:hAnsi="宋体"/>
          <w:sz w:val="24"/>
        </w:rPr>
        <w:t>其</w:t>
      </w:r>
      <w:r>
        <w:rPr>
          <w:rFonts w:hint="eastAsia" w:ascii="宋体" w:hAnsi="宋体"/>
          <w:sz w:val="24"/>
          <w:lang w:eastAsia="zh-CN"/>
        </w:rPr>
        <w:t>磋商保证金</w:t>
      </w:r>
      <w:r>
        <w:rPr>
          <w:rFonts w:hint="eastAsia" w:ascii="宋体" w:hAnsi="宋体"/>
          <w:sz w:val="24"/>
          <w:highlight w:val="none"/>
        </w:rPr>
        <w:t>；</w:t>
      </w:r>
      <w:r>
        <w:rPr>
          <w:rFonts w:hint="eastAsia" w:ascii="宋体" w:hAnsi="宋体"/>
          <w:sz w:val="24"/>
          <w:highlight w:val="none"/>
          <w:lang w:val="en-US" w:eastAsia="zh-CN"/>
        </w:rPr>
        <w:t>采购合同</w:t>
      </w:r>
      <w:r>
        <w:rPr>
          <w:rFonts w:hint="eastAsia" w:ascii="宋体" w:hAnsi="宋体"/>
          <w:sz w:val="24"/>
          <w:highlight w:val="none"/>
        </w:rPr>
        <w:t>签订</w:t>
      </w:r>
      <w:r>
        <w:rPr>
          <w:rFonts w:hint="eastAsia" w:ascii="宋体" w:hAnsi="宋体"/>
          <w:sz w:val="24"/>
        </w:rPr>
        <w:t>后5个工作日内退还</w:t>
      </w:r>
      <w:r>
        <w:rPr>
          <w:rFonts w:hint="eastAsia" w:ascii="宋体" w:hAnsi="宋体"/>
          <w:sz w:val="24"/>
          <w:lang w:eastAsia="zh-CN"/>
        </w:rPr>
        <w:t>成交</w:t>
      </w:r>
      <w:r>
        <w:rPr>
          <w:rFonts w:hint="eastAsia" w:ascii="宋体" w:hAnsi="宋体"/>
          <w:sz w:val="24"/>
        </w:rPr>
        <w:t>供应商的保证金。</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rPr>
      </w:pPr>
      <w:r>
        <w:rPr>
          <w:rFonts w:hint="eastAsia" w:ascii="宋体" w:hAnsi="宋体"/>
          <w:b/>
          <w:bCs/>
          <w:sz w:val="24"/>
          <w:lang w:val="en-US" w:eastAsia="zh-CN"/>
        </w:rPr>
        <w:t>29.</w:t>
      </w:r>
      <w:r>
        <w:rPr>
          <w:rFonts w:ascii="宋体" w:hAnsi="宋体"/>
          <w:b/>
          <w:bCs/>
          <w:sz w:val="24"/>
        </w:rPr>
        <w:t>成交合同的签订</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lang w:eastAsia="zh-CN"/>
        </w:rPr>
      </w:pPr>
      <w:r>
        <w:rPr>
          <w:rFonts w:ascii="宋体" w:hAnsi="宋体"/>
          <w:sz w:val="24"/>
        </w:rPr>
        <w:t>采购人应当自</w:t>
      </w:r>
      <w:r>
        <w:rPr>
          <w:rFonts w:hint="eastAsia" w:ascii="宋体" w:hAnsi="宋体"/>
          <w:sz w:val="24"/>
          <w:lang w:eastAsia="zh-CN"/>
        </w:rPr>
        <w:t>成交通知书</w:t>
      </w:r>
      <w:r>
        <w:rPr>
          <w:rFonts w:ascii="宋体" w:hAnsi="宋体"/>
          <w:sz w:val="24"/>
        </w:rPr>
        <w:t>发出之日起</w:t>
      </w:r>
      <w:r>
        <w:rPr>
          <w:rFonts w:hint="eastAsia" w:ascii="宋体" w:hAnsi="宋体"/>
          <w:sz w:val="24"/>
          <w:lang w:val="en-US" w:eastAsia="zh-CN"/>
        </w:rPr>
        <w:t>二十五</w:t>
      </w:r>
      <w:r>
        <w:rPr>
          <w:rFonts w:ascii="宋体" w:hAnsi="宋体"/>
          <w:sz w:val="24"/>
        </w:rPr>
        <w:t>日内，按照磋商文件和成交供应商</w:t>
      </w:r>
      <w:r>
        <w:rPr>
          <w:rFonts w:hint="eastAsia" w:ascii="宋体" w:hAnsi="宋体"/>
          <w:sz w:val="24"/>
        </w:rPr>
        <w:t>的</w:t>
      </w:r>
      <w:r>
        <w:rPr>
          <w:rFonts w:ascii="宋体" w:hAnsi="宋体"/>
          <w:sz w:val="24"/>
        </w:rPr>
        <w:t>响应文件（包括</w:t>
      </w:r>
      <w:r>
        <w:rPr>
          <w:rFonts w:hint="eastAsia" w:ascii="宋体" w:hAnsi="宋体"/>
          <w:sz w:val="24"/>
        </w:rPr>
        <w:t>磋商</w:t>
      </w:r>
      <w:r>
        <w:rPr>
          <w:rFonts w:ascii="宋体" w:hAnsi="宋体"/>
          <w:sz w:val="24"/>
        </w:rPr>
        <w:t>评审中形成的</w:t>
      </w:r>
      <w:r>
        <w:rPr>
          <w:rFonts w:hint="eastAsia" w:ascii="宋体" w:hAnsi="宋体"/>
          <w:sz w:val="24"/>
        </w:rPr>
        <w:t>最后报价等</w:t>
      </w:r>
      <w:bookmarkStart w:id="1103" w:name="_GoBack"/>
      <w:bookmarkEnd w:id="1103"/>
      <w:r>
        <w:rPr>
          <w:rFonts w:hint="eastAsia" w:ascii="宋体" w:hAnsi="宋体"/>
          <w:sz w:val="24"/>
        </w:rPr>
        <w:t>补充</w:t>
      </w:r>
      <w:r>
        <w:rPr>
          <w:rFonts w:ascii="宋体" w:hAnsi="宋体"/>
          <w:sz w:val="24"/>
        </w:rPr>
        <w:t>文件），与成交供应商签订书面合同。</w:t>
      </w:r>
      <w:r>
        <w:rPr>
          <w:rFonts w:hint="eastAsia" w:ascii="宋体" w:hAnsi="宋体"/>
          <w:sz w:val="24"/>
        </w:rPr>
        <w:t>成交供应商无正当理由不得拖延或拒绝与采购人签订书面合同，否则，采购人有权取消该供应商资格、不退还</w:t>
      </w:r>
      <w:r>
        <w:rPr>
          <w:rFonts w:hint="eastAsia" w:ascii="宋体" w:hAnsi="宋体"/>
          <w:sz w:val="24"/>
          <w:lang w:eastAsia="zh-CN"/>
        </w:rPr>
        <w:t>磋商保证金</w:t>
      </w:r>
      <w:r>
        <w:rPr>
          <w:rFonts w:hint="eastAsia" w:ascii="宋体" w:hAnsi="宋体"/>
          <w:sz w:val="24"/>
        </w:rPr>
        <w:t>，因此给采购人造成损失的，成交供应商还应赔偿其全部损失</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default" w:ascii="宋体" w:hAnsi="宋体" w:eastAsia="宋体"/>
          <w:b/>
          <w:bCs/>
          <w:sz w:val="24"/>
          <w:highlight w:val="none"/>
          <w:lang w:val="en-US" w:eastAsia="zh-CN"/>
        </w:rPr>
      </w:pPr>
      <w:r>
        <w:rPr>
          <w:rFonts w:hint="eastAsia" w:ascii="宋体" w:hAnsi="宋体"/>
          <w:b/>
          <w:bCs/>
          <w:sz w:val="24"/>
          <w:highlight w:val="none"/>
        </w:rPr>
        <w:t>3</w:t>
      </w:r>
      <w:r>
        <w:rPr>
          <w:rFonts w:hint="eastAsia" w:ascii="宋体" w:hAnsi="宋体"/>
          <w:b/>
          <w:bCs/>
          <w:sz w:val="24"/>
          <w:highlight w:val="none"/>
          <w:lang w:val="en-US" w:eastAsia="zh-CN"/>
        </w:rPr>
        <w:t>0</w:t>
      </w:r>
      <w:r>
        <w:rPr>
          <w:rFonts w:ascii="宋体" w:hAnsi="宋体"/>
          <w:b/>
          <w:bCs/>
          <w:sz w:val="24"/>
          <w:highlight w:val="none"/>
        </w:rPr>
        <w:t>．</w:t>
      </w:r>
      <w:r>
        <w:rPr>
          <w:rFonts w:hint="eastAsia" w:ascii="宋体" w:hAnsi="宋体"/>
          <w:b/>
          <w:bCs/>
          <w:sz w:val="24"/>
          <w:highlight w:val="none"/>
          <w:lang w:val="en-US" w:eastAsia="zh-CN"/>
        </w:rPr>
        <w:t>招标</w:t>
      </w:r>
      <w:r>
        <w:rPr>
          <w:rFonts w:ascii="宋体" w:hAnsi="宋体"/>
          <w:b/>
          <w:bCs/>
          <w:sz w:val="24"/>
          <w:highlight w:val="none"/>
        </w:rPr>
        <w:t>代理费</w:t>
      </w:r>
      <w:r>
        <w:rPr>
          <w:rFonts w:hint="eastAsia" w:ascii="宋体" w:hAnsi="宋体"/>
          <w:b/>
          <w:bCs/>
          <w:sz w:val="24"/>
          <w:highlight w:val="none"/>
          <w:lang w:val="en-US" w:eastAsia="zh-CN"/>
        </w:rPr>
        <w:t>及编制标底费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收费依据：</w:t>
      </w:r>
      <w:r>
        <w:rPr>
          <w:rFonts w:hint="eastAsia" w:ascii="宋体" w:hAnsi="宋体" w:eastAsia="宋体" w:cs="Times New Roman"/>
          <w:sz w:val="24"/>
          <w:highlight w:val="none"/>
          <w:lang w:val="en-US" w:eastAsia="zh-CN"/>
        </w:rPr>
        <w:t>招标代理费</w:t>
      </w:r>
      <w:r>
        <w:rPr>
          <w:rFonts w:hint="eastAsia" w:ascii="宋体" w:hAnsi="宋体" w:cs="Times New Roman"/>
          <w:sz w:val="24"/>
          <w:highlight w:val="none"/>
          <w:lang w:val="en-US" w:eastAsia="zh-CN"/>
        </w:rPr>
        <w:t>参考</w:t>
      </w:r>
      <w:r>
        <w:rPr>
          <w:rFonts w:hint="eastAsia" w:ascii="宋体" w:hAnsi="宋体" w:eastAsia="宋体" w:cs="Times New Roman"/>
          <w:sz w:val="24"/>
          <w:highlight w:val="none"/>
          <w:lang w:val="en-US" w:eastAsia="zh-CN"/>
        </w:rPr>
        <w:t>（发改价格【2002】1980号文件）计算收取、编制标底费按（陕价行发【2014】88号文件）计算收取。支付依据：按（发改办价格【2003】857号文件），由成交供应商支付。若本次招标失败（非代理机构原因），招标代理费及编制标底费由采购人支付。具体金额详见中标（成交）结果公告，在领取成交通知书时向采购代理机构一次付清（现金或转账）。</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31.采购合同的履约验收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采购人按照政府采购合同规定组织对</w:t>
      </w:r>
      <w:r>
        <w:rPr>
          <w:rFonts w:hint="eastAsia" w:ascii="宋体" w:hAnsi="宋体" w:cs="Times New Roman"/>
          <w:sz w:val="24"/>
          <w:highlight w:val="none"/>
          <w:lang w:val="en-US" w:eastAsia="zh-CN"/>
        </w:rPr>
        <w:t>供应商</w:t>
      </w:r>
      <w:r>
        <w:rPr>
          <w:rFonts w:hint="eastAsia" w:ascii="宋体" w:hAnsi="宋体" w:eastAsia="宋体" w:cs="Times New Roman"/>
          <w:sz w:val="24"/>
          <w:highlight w:val="none"/>
          <w:lang w:val="en-US" w:eastAsia="zh-CN"/>
        </w:rPr>
        <w:t>履约情况进行验收。</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highlight w:val="none"/>
        </w:rPr>
      </w:pPr>
      <w:r>
        <w:rPr>
          <w:rFonts w:hint="eastAsia" w:ascii="宋体" w:hAnsi="宋体"/>
          <w:b/>
          <w:bCs/>
          <w:sz w:val="24"/>
          <w:highlight w:val="none"/>
          <w:lang w:val="en-US" w:eastAsia="zh-CN"/>
        </w:rPr>
        <w:t>32</w:t>
      </w:r>
      <w:r>
        <w:rPr>
          <w:rFonts w:ascii="宋体" w:hAnsi="宋体"/>
          <w:b/>
          <w:bCs/>
          <w:sz w:val="24"/>
          <w:highlight w:val="none"/>
        </w:rPr>
        <w:t>.其他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bookmarkStart w:id="38" w:name="_Toc23054"/>
      <w:bookmarkStart w:id="39" w:name="_Toc20178"/>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.1磋商开始后，出现下列情形之一的，采购代理机构将终止竞争性磋商采</w:t>
      </w:r>
      <w:r>
        <w:rPr>
          <w:rFonts w:hint="eastAsia" w:ascii="宋体" w:hAnsi="宋体" w:eastAsia="宋体" w:cs="宋体"/>
          <w:kern w:val="0"/>
          <w:sz w:val="24"/>
          <w:szCs w:val="24"/>
          <w:highlight w:val="none"/>
          <w:lang w:val="en-US" w:eastAsia="zh-CN"/>
        </w:rPr>
        <w:t>购活动，发布项目终止公告并说明原因，重新开展采购活动：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（二）出现影响采购公正的违法、违规行为的；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（三）截止报名时间，</w:t>
      </w:r>
      <w:r>
        <w:rPr>
          <w:rFonts w:hint="eastAsia" w:ascii="宋体" w:hAnsi="宋体" w:cs="宋体"/>
          <w:kern w:val="0"/>
          <w:sz w:val="24"/>
          <w:szCs w:val="24"/>
          <w:highlight w:val="none"/>
          <w:lang w:val="en-US" w:eastAsia="zh-CN"/>
        </w:rPr>
        <w:t>获取</w:t>
      </w:r>
      <w:r>
        <w:rPr>
          <w:rFonts w:hint="eastAsia" w:ascii="宋体" w:hAnsi="宋体" w:eastAsia="宋体" w:cs="宋体"/>
          <w:kern w:val="0"/>
          <w:sz w:val="24"/>
          <w:szCs w:val="24"/>
          <w:highlight w:val="none"/>
          <w:lang w:val="en-US" w:eastAsia="zh-CN"/>
        </w:rPr>
        <w:t>磋商文件的供应商不足3家的；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（四）投标截止时间止递交磋商响应文件的供应商不足3家的；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（五）在采购过程中符合要求的供应商不足3家的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（六）报价未超过</w:t>
      </w:r>
      <w:r>
        <w:rPr>
          <w:rFonts w:hint="eastAsia" w:ascii="宋体" w:hAnsi="宋体" w:cs="宋体"/>
          <w:kern w:val="0"/>
          <w:sz w:val="24"/>
          <w:szCs w:val="24"/>
          <w:highlight w:val="none"/>
          <w:lang w:val="en-US" w:eastAsia="zh-CN"/>
        </w:rPr>
        <w:t>最高限价</w:t>
      </w:r>
      <w:r>
        <w:rPr>
          <w:rFonts w:hint="eastAsia" w:ascii="宋体" w:hAnsi="宋体" w:eastAsia="宋体" w:cs="宋体"/>
          <w:kern w:val="0"/>
          <w:sz w:val="24"/>
          <w:szCs w:val="24"/>
          <w:highlight w:val="none"/>
          <w:lang w:val="en-US" w:eastAsia="zh-CN"/>
        </w:rPr>
        <w:t>的供应商不足3家的。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32.2磋商报价产品符合财库［2019］19号文件精神，进入节能产品政府采购品目清单（有效期内）的，符合财库[2019]18号文件精神，进入环境标志产品政府采购品目清单（有效期内）的，提供证明文件，在评审中享受评标价格优惠折扣(详见评审方法)。磋商响应单位属于（财库[2020]46号）、（财库〔2022〕19号）、（陕财办采〔2023〕3号）文件规定的小微企业的，提供中小企业声明函（见磋商</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文件格式附件），在评审中享受评审价格优惠折扣 (详见评审方法)。磋商响应单位属于（财库[2014]68号）文件规定的监狱企业的，提供由省级以上监狱管理局、戒毒管理局出具的属于监狱企业的证明文件，视同小微企业，在评审中享受评审价格优惠折扣 (详见评审方法)。磋商响应单位属于（财库[2017]141号）文件规定的残疾人福利性单位的，提供残疾人福利性单位声明函（见磋商</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文件格式附件），视同小微企业，在评审中享受评审价格优惠折扣 (详见评审方法)。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32.3政府采购信用担保及信用融资政策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为支持和促进中小企业发展，进一步发挥政府采购政策功能作用，根据《财政部关于开展政府采购信用担保试点工作的通知》《陕西省政府采购信用担保试点工作实施方案（试行）》和陕西省财政厅关于印发《陕西省中小企业政府采购信用融资办法》，以及渭南市财政局关于转发《陕西省中小企业政府采购信用融资办法》的通知，为参与渭南市政府采购项目的供应商提供政府采购信用担保和融资服务，并按照程序确定了合作的担保机构和商业银行。</w:t>
      </w:r>
    </w:p>
    <w:p>
      <w:pPr>
        <w:keepNext w:val="0"/>
        <w:keepLines w:val="0"/>
        <w:pageBreakBefore w:val="0"/>
        <w:widowControl w:val="0"/>
        <w:kinsoku/>
        <w:wordWrap/>
        <w:overflowPunct/>
        <w:topLinePunct w:val="0"/>
        <w:autoSpaceDE/>
        <w:autoSpaceDN/>
        <w:bidi w:val="0"/>
        <w:adjustRightInd/>
        <w:spacing w:line="360" w:lineRule="auto"/>
        <w:ind w:firstLine="456" w:firstLineChars="200"/>
        <w:textAlignment w:val="auto"/>
        <w:outlineLvl w:val="9"/>
        <w:rPr>
          <w:rFonts w:hint="eastAsia" w:ascii="宋体" w:hAnsi="宋体" w:eastAsia="宋体" w:cs="宋体"/>
          <w:spacing w:val="-6"/>
          <w:kern w:val="0"/>
          <w:sz w:val="24"/>
          <w:szCs w:val="24"/>
          <w:highlight w:val="none"/>
          <w:lang w:val="en-US" w:eastAsia="zh-CN"/>
        </w:rPr>
      </w:pPr>
      <w:r>
        <w:rPr>
          <w:rFonts w:hint="eastAsia" w:ascii="宋体" w:hAnsi="宋体" w:eastAsia="宋体" w:cs="宋体"/>
          <w:spacing w:val="-6"/>
          <w:kern w:val="0"/>
          <w:sz w:val="24"/>
          <w:szCs w:val="24"/>
          <w:highlight w:val="none"/>
          <w:lang w:val="en-US" w:eastAsia="zh-CN"/>
        </w:rPr>
        <w:t>成交供应商缴纳履约保证金（如有）时可自愿选择通过担保机构保函的形式缴纳；成交供应商如果需要融资贷款服务的，可凭成交通知书、政府采购合同等相关资料，按照相关程序申请办理，具体规定可登陆陕西省政府采购网（www.ccgp-shaanxi.gov.cn/）重要通知专栏中查询了解。</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highlight w:val="none"/>
        </w:rPr>
      </w:pPr>
      <w:r>
        <w:rPr>
          <w:rFonts w:hint="eastAsia" w:ascii="宋体" w:hAnsi="宋体"/>
          <w:b/>
          <w:bCs/>
          <w:sz w:val="24"/>
          <w:highlight w:val="none"/>
        </w:rPr>
        <w:t>3</w:t>
      </w:r>
      <w:r>
        <w:rPr>
          <w:rFonts w:hint="eastAsia" w:ascii="宋体" w:hAnsi="宋体"/>
          <w:b/>
          <w:bCs/>
          <w:sz w:val="24"/>
          <w:highlight w:val="none"/>
          <w:lang w:val="en-US" w:eastAsia="zh-CN"/>
        </w:rPr>
        <w:t>3</w:t>
      </w:r>
      <w:r>
        <w:rPr>
          <w:rFonts w:ascii="宋体" w:hAnsi="宋体"/>
          <w:b/>
          <w:bCs/>
          <w:sz w:val="24"/>
          <w:highlight w:val="none"/>
        </w:rPr>
        <w:t>.</w:t>
      </w:r>
      <w:r>
        <w:rPr>
          <w:rFonts w:hint="eastAsia" w:ascii="宋体" w:hAnsi="宋体"/>
          <w:b/>
          <w:bCs/>
          <w:sz w:val="24"/>
          <w:highlight w:val="none"/>
        </w:rPr>
        <w:t>质疑和投诉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bookmarkStart w:id="40" w:name="_Toc16205"/>
      <w:bookmarkStart w:id="41" w:name="_Toc18843"/>
      <w:r>
        <w:rPr>
          <w:rFonts w:hint="eastAsia" w:ascii="宋体" w:hAnsi="宋体" w:cs="宋体"/>
          <w:sz w:val="24"/>
          <w:szCs w:val="24"/>
          <w:highlight w:val="none"/>
        </w:rPr>
        <w:t>质疑、投诉的接收和处理严格</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《中华人民共和国政府采购法》《政府采购供应商投诉处理办法》《政府采购质疑和投诉办法》《财政部关于加强政府采购供应商投诉受理审查工作的通知》《陕西省财政厅关于进一步规范政府采购活动的通知》</w:t>
      </w:r>
      <w:r>
        <w:rPr>
          <w:rFonts w:hint="eastAsia" w:ascii="宋体" w:hAnsi="宋体" w:eastAsia="宋体" w:cs="宋体"/>
          <w:sz w:val="24"/>
          <w:szCs w:val="24"/>
          <w:highlight w:val="none"/>
        </w:rPr>
        <w:t xml:space="preserve">等的相关规定办理。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lang w:val="en-US" w:eastAsia="zh-CN"/>
        </w:rPr>
        <w:t>33.1</w:t>
      </w:r>
      <w:r>
        <w:rPr>
          <w:rFonts w:hint="eastAsia" w:ascii="宋体" w:hAnsi="宋体" w:cs="宋体"/>
          <w:sz w:val="24"/>
          <w:szCs w:val="24"/>
        </w:rPr>
        <w:t>供应商认为</w:t>
      </w:r>
      <w:r>
        <w:rPr>
          <w:rFonts w:hint="eastAsia" w:ascii="宋体" w:hAnsi="宋体" w:cs="宋体"/>
          <w:sz w:val="24"/>
          <w:szCs w:val="24"/>
          <w:lang w:val="en-US" w:eastAsia="zh-CN"/>
        </w:rPr>
        <w:t>竞争性磋商文件</w:t>
      </w:r>
      <w:r>
        <w:rPr>
          <w:rFonts w:hint="eastAsia" w:ascii="宋体" w:hAnsi="宋体" w:cs="宋体"/>
          <w:sz w:val="24"/>
          <w:szCs w:val="24"/>
        </w:rPr>
        <w:t>、采购过程和</w:t>
      </w:r>
      <w:r>
        <w:rPr>
          <w:rFonts w:hint="eastAsia" w:ascii="宋体" w:hAnsi="宋体" w:cs="宋体"/>
          <w:sz w:val="24"/>
          <w:szCs w:val="24"/>
          <w:lang w:val="en-US" w:eastAsia="zh-CN"/>
        </w:rPr>
        <w:t>成交</w:t>
      </w:r>
      <w:r>
        <w:rPr>
          <w:rFonts w:hint="eastAsia" w:ascii="宋体" w:hAnsi="宋体" w:cs="宋体"/>
          <w:sz w:val="24"/>
          <w:szCs w:val="24"/>
        </w:rPr>
        <w:t>结果使自己的权益受到损害的，可以在知道或者应知其权益受到损害之日起七个工作日内，以书面原件形式向采购人或采购代理机构提出质疑，供应商应该在法定质疑期内一次性提出针对同一采购程序环节的质疑，逾期质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highlight w:val="none"/>
        </w:rPr>
      </w:pPr>
      <w:r>
        <w:rPr>
          <w:rFonts w:hint="eastAsia" w:ascii="宋体" w:hAnsi="宋体" w:cs="宋体"/>
          <w:sz w:val="24"/>
          <w:szCs w:val="24"/>
          <w:highlight w:val="none"/>
          <w:lang w:val="en-US" w:eastAsia="zh-CN"/>
        </w:rPr>
        <w:t>33.2</w:t>
      </w:r>
      <w:r>
        <w:rPr>
          <w:rFonts w:hint="eastAsia" w:ascii="宋体" w:hAnsi="宋体" w:cs="宋体"/>
          <w:sz w:val="24"/>
          <w:szCs w:val="24"/>
          <w:highlight w:val="none"/>
        </w:rPr>
        <w:t>质疑文件应当包括下列主要内容：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1）质疑供应商</w:t>
      </w:r>
      <w:r>
        <w:rPr>
          <w:rFonts w:hint="eastAsia" w:ascii="宋体" w:hAnsi="宋体" w:cs="宋体"/>
          <w:sz w:val="24"/>
          <w:szCs w:val="24"/>
          <w:lang w:eastAsia="zh-CN"/>
        </w:rPr>
        <w:t>的姓名或者</w:t>
      </w:r>
      <w:r>
        <w:rPr>
          <w:rFonts w:hint="eastAsia" w:ascii="宋体" w:hAnsi="宋体" w:cs="宋体"/>
          <w:sz w:val="24"/>
          <w:szCs w:val="24"/>
        </w:rPr>
        <w:t>名称、地址、</w:t>
      </w:r>
      <w:r>
        <w:rPr>
          <w:rFonts w:hint="eastAsia" w:ascii="宋体" w:hAnsi="宋体" w:cs="宋体"/>
          <w:sz w:val="24"/>
          <w:szCs w:val="24"/>
          <w:lang w:eastAsia="zh-CN"/>
        </w:rPr>
        <w:t>邮编、</w:t>
      </w:r>
      <w:r>
        <w:rPr>
          <w:rFonts w:hint="eastAsia" w:ascii="宋体" w:hAnsi="宋体" w:cs="宋体"/>
          <w:sz w:val="24"/>
          <w:szCs w:val="24"/>
        </w:rPr>
        <w:t>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rPr>
        <w:t>2）质疑项目</w:t>
      </w:r>
      <w:r>
        <w:rPr>
          <w:rFonts w:hint="eastAsia" w:ascii="宋体" w:hAnsi="宋体" w:cs="宋体"/>
          <w:sz w:val="24"/>
          <w:szCs w:val="24"/>
          <w:lang w:eastAsia="zh-CN"/>
        </w:rPr>
        <w:t>的名称、编号；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3）具体、明确的质疑事项和与质疑事项相关的请求</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eastAsia="zh-CN"/>
        </w:rPr>
        <w:t>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Cs/>
          <w:sz w:val="24"/>
          <w:szCs w:val="24"/>
          <w:lang w:eastAsia="zh-CN"/>
        </w:rPr>
      </w:pPr>
      <w:r>
        <w:rPr>
          <w:rFonts w:hint="eastAsia" w:ascii="宋体" w:hAnsi="宋体" w:cs="宋体"/>
          <w:bCs/>
          <w:sz w:val="24"/>
          <w:szCs w:val="24"/>
          <w:lang w:val="en-US" w:eastAsia="zh-CN"/>
        </w:rPr>
        <w:t>33.</w:t>
      </w:r>
      <w:r>
        <w:rPr>
          <w:rFonts w:hint="eastAsia" w:ascii="宋体" w:hAnsi="宋体" w:cs="宋体"/>
          <w:bCs/>
          <w:sz w:val="24"/>
          <w:szCs w:val="24"/>
        </w:rPr>
        <w:t>3质疑函应当署名。质疑供应商为自然人的，应当由本人签字；</w:t>
      </w:r>
      <w:r>
        <w:rPr>
          <w:rFonts w:hint="eastAsia" w:ascii="宋体" w:hAnsi="宋体" w:cs="宋体"/>
          <w:bCs/>
          <w:sz w:val="24"/>
          <w:szCs w:val="24"/>
          <w:lang w:eastAsia="zh-CN"/>
        </w:rPr>
        <w:t>供应商为法人或者其他组织的，应当由法定代表人、主要负责人，或者其</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hint="eastAsia" w:ascii="宋体" w:hAnsi="宋体" w:cs="宋体"/>
          <w:bCs/>
          <w:sz w:val="24"/>
          <w:szCs w:val="24"/>
          <w:lang w:eastAsia="zh-CN"/>
        </w:rPr>
        <w:t>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bCs/>
          <w:sz w:val="24"/>
          <w:szCs w:val="24"/>
          <w:lang w:val="en-US" w:eastAsia="zh-CN"/>
        </w:rPr>
        <w:t>33.4</w:t>
      </w:r>
      <w:r>
        <w:rPr>
          <w:rFonts w:hint="eastAsia" w:ascii="宋体" w:hAnsi="宋体" w:cs="宋体"/>
          <w:bCs/>
          <w:sz w:val="24"/>
          <w:szCs w:val="24"/>
        </w:rPr>
        <w:t>供应商质疑应当有明确的请求和必要的证明材料。</w:t>
      </w:r>
      <w:r>
        <w:rPr>
          <w:rFonts w:hint="eastAsia" w:ascii="宋体" w:hAnsi="宋体" w:cs="宋体"/>
          <w:sz w:val="24"/>
          <w:szCs w:val="24"/>
        </w:rPr>
        <w:t>质疑内容不得含有虚假、恶意成份。依照谁主张谁举证的原则，提出质疑者必须同时提交相关确凿的证据材料和注明证据的确切来源，证据来源必须合法，采购代理机构有权将质疑函</w:t>
      </w:r>
      <w:r>
        <w:rPr>
          <w:rFonts w:hint="eastAsia" w:ascii="宋体" w:hAnsi="宋体" w:cs="宋体"/>
          <w:sz w:val="24"/>
          <w:szCs w:val="24"/>
          <w:lang w:eastAsia="zh-CN"/>
        </w:rPr>
        <w:t>、</w:t>
      </w:r>
      <w:r>
        <w:rPr>
          <w:rFonts w:hint="eastAsia" w:ascii="宋体" w:hAnsi="宋体" w:cs="宋体"/>
          <w:sz w:val="24"/>
          <w:szCs w:val="24"/>
        </w:rPr>
        <w:t>质疑事项转发各关联方，请其作出解释说明。对捏造事实、滥用维权扰乱采购秩序的恶意质疑者，将依法处理。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bCs/>
          <w:sz w:val="24"/>
          <w:szCs w:val="24"/>
          <w:lang w:val="en-US" w:eastAsia="zh-CN"/>
        </w:rPr>
        <w:t>33.5</w:t>
      </w:r>
      <w:r>
        <w:rPr>
          <w:rFonts w:hint="eastAsia" w:ascii="宋体" w:hAnsi="宋体" w:cs="宋体"/>
          <w:bCs/>
          <w:sz w:val="24"/>
          <w:szCs w:val="24"/>
        </w:rP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33.6</w:t>
      </w:r>
      <w:r>
        <w:rPr>
          <w:rFonts w:hint="eastAsia" w:ascii="宋体" w:hAnsi="宋体" w:cs="宋体"/>
          <w:sz w:val="24"/>
          <w:szCs w:val="24"/>
        </w:rPr>
        <w:t>质疑供应商对采购人、采购代理机构的质疑答复不满意，或者采购人、采购代理机构未在规定期限内作出答复的，可以在答复期满后15个工作日内向采购人的同级政府采购监督管理部门提起投诉。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33.7</w:t>
      </w:r>
      <w:r>
        <w:rPr>
          <w:rFonts w:hint="eastAsia" w:ascii="宋体" w:hAnsi="宋体" w:cs="宋体"/>
          <w:sz w:val="24"/>
          <w:szCs w:val="24"/>
        </w:rPr>
        <w:t>质疑受理部门：</w:t>
      </w:r>
      <w:r>
        <w:rPr>
          <w:rFonts w:hint="eastAsia" w:ascii="宋体" w:hAnsi="宋体" w:cs="宋体"/>
          <w:sz w:val="24"/>
          <w:szCs w:val="24"/>
          <w:lang w:val="en-US" w:eastAsia="zh-CN"/>
        </w:rPr>
        <w:t>采购代理机构</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33.8</w:t>
      </w:r>
      <w:r>
        <w:rPr>
          <w:rFonts w:hint="eastAsia" w:ascii="宋体" w:hAnsi="宋体" w:cs="宋体"/>
          <w:sz w:val="24"/>
          <w:szCs w:val="24"/>
        </w:rPr>
        <w:t>提交质疑文</w:t>
      </w:r>
      <w:r>
        <w:rPr>
          <w:rFonts w:hint="eastAsia" w:ascii="宋体" w:hAnsi="宋体" w:cs="宋体"/>
          <w:sz w:val="24"/>
          <w:szCs w:val="24"/>
          <w:highlight w:val="none"/>
        </w:rPr>
        <w:t>件地点：</w:t>
      </w:r>
      <w:r>
        <w:rPr>
          <w:rFonts w:hint="eastAsia" w:ascii="宋体" w:hAnsi="宋体" w:cs="宋体"/>
          <w:sz w:val="24"/>
          <w:szCs w:val="24"/>
          <w:highlight w:val="none"/>
          <w:lang w:val="en-US" w:eastAsia="zh-CN"/>
        </w:rPr>
        <w:t>同获取磋商文件地点</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319" w:rightChars="-152"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33.9</w:t>
      </w:r>
      <w:r>
        <w:rPr>
          <w:rFonts w:hint="eastAsia" w:ascii="宋体" w:hAnsi="宋体" w:cs="宋体"/>
          <w:sz w:val="24"/>
          <w:szCs w:val="24"/>
        </w:rPr>
        <w:t>本次采购活动中，采购代理机构对质疑回复等文件的送达方式为现场取件。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highlight w:val="yellow"/>
        </w:rPr>
      </w:pPr>
      <w:r>
        <w:rPr>
          <w:rFonts w:hint="eastAsia" w:ascii="宋体" w:hAnsi="宋体" w:cs="宋体"/>
          <w:sz w:val="24"/>
          <w:szCs w:val="24"/>
          <w:lang w:val="en-US" w:eastAsia="zh-CN"/>
        </w:rPr>
        <w:t>33.10</w:t>
      </w:r>
      <w:r>
        <w:rPr>
          <w:rFonts w:hint="eastAsia" w:ascii="宋体" w:hAnsi="宋体" w:cs="宋体"/>
          <w:sz w:val="24"/>
          <w:szCs w:val="24"/>
        </w:rPr>
        <w:t>质疑函应当使用中文。</w:t>
      </w:r>
    </w:p>
    <w:p>
      <w:pPr>
        <w:jc w:val="center"/>
        <w:outlineLvl w:val="0"/>
        <w:rPr>
          <w:rFonts w:hint="eastAsia" w:ascii="宋体" w:hAnsi="宋体"/>
          <w:b/>
          <w:sz w:val="36"/>
          <w:highlight w:val="none"/>
        </w:rPr>
      </w:pPr>
      <w:r>
        <w:rPr>
          <w:rFonts w:hint="eastAsia" w:ascii="宋体" w:hAnsi="宋体"/>
          <w:b/>
          <w:sz w:val="36"/>
          <w:highlight w:val="none"/>
        </w:rPr>
        <w:t>第</w:t>
      </w:r>
      <w:r>
        <w:rPr>
          <w:rFonts w:hint="eastAsia" w:ascii="宋体" w:hAnsi="宋体"/>
          <w:b/>
          <w:sz w:val="36"/>
          <w:highlight w:val="none"/>
          <w:lang w:val="en-US" w:eastAsia="zh-CN"/>
        </w:rPr>
        <w:t>三</w:t>
      </w:r>
      <w:r>
        <w:rPr>
          <w:rFonts w:hint="eastAsia" w:ascii="宋体" w:hAnsi="宋体"/>
          <w:b/>
          <w:sz w:val="36"/>
          <w:highlight w:val="none"/>
        </w:rPr>
        <w:t xml:space="preserve">部分  </w:t>
      </w:r>
      <w:bookmarkEnd w:id="38"/>
      <w:r>
        <w:rPr>
          <w:rFonts w:hint="eastAsia" w:ascii="宋体" w:hAnsi="宋体"/>
          <w:b/>
          <w:sz w:val="36"/>
          <w:highlight w:val="none"/>
        </w:rPr>
        <w:t>评审方法</w:t>
      </w:r>
      <w:bookmarkEnd w:id="39"/>
      <w:bookmarkEnd w:id="40"/>
      <w:bookmarkEnd w:id="41"/>
    </w:p>
    <w:p>
      <w:pPr>
        <w:tabs>
          <w:tab w:val="left" w:pos="360"/>
          <w:tab w:val="left" w:pos="540"/>
          <w:tab w:val="left" w:pos="3600"/>
          <w:tab w:val="left" w:pos="3780"/>
          <w:tab w:val="left" w:pos="8460"/>
          <w:tab w:val="left" w:pos="9180"/>
        </w:tabs>
        <w:spacing w:line="360" w:lineRule="auto"/>
        <w:ind w:right="-21" w:firstLine="422"/>
        <w:outlineLvl w:val="9"/>
        <w:rPr>
          <w:rFonts w:hint="eastAsia" w:ascii="宋体" w:hAnsi="宋体" w:cs="宋体"/>
          <w:b/>
          <w:kern w:val="1"/>
          <w:sz w:val="24"/>
        </w:rPr>
      </w:pPr>
      <w:r>
        <w:rPr>
          <w:rFonts w:hint="eastAsia" w:ascii="宋体" w:hAnsi="宋体" w:cs="宋体"/>
          <w:b/>
          <w:kern w:val="1"/>
          <w:sz w:val="24"/>
        </w:rPr>
        <w:t>一、总  则</w:t>
      </w:r>
    </w:p>
    <w:p>
      <w:pPr>
        <w:tabs>
          <w:tab w:val="left" w:pos="6510"/>
        </w:tabs>
        <w:spacing w:line="360" w:lineRule="auto"/>
        <w:ind w:left="-61" w:right="-10" w:firstLine="514"/>
        <w:outlineLvl w:val="9"/>
        <w:rPr>
          <w:rFonts w:hint="eastAsia" w:ascii="宋体" w:hAnsi="宋体" w:cs="宋体"/>
          <w:bCs/>
          <w:kern w:val="1"/>
          <w:sz w:val="24"/>
        </w:rPr>
      </w:pPr>
      <w:r>
        <w:rPr>
          <w:rFonts w:hint="eastAsia" w:ascii="宋体" w:hAnsi="宋体" w:cs="宋体"/>
          <w:bCs/>
          <w:kern w:val="1"/>
          <w:sz w:val="24"/>
        </w:rPr>
        <w:t>第一条 为了做好</w:t>
      </w:r>
      <w:r>
        <w:rPr>
          <w:rFonts w:hint="eastAsia" w:ascii="宋体" w:hAnsi="宋体" w:cs="宋体"/>
          <w:bCs/>
          <w:kern w:val="1"/>
          <w:sz w:val="24"/>
          <w:lang w:val="en-US" w:eastAsia="zh-CN"/>
        </w:rPr>
        <w:t>2023年省级水利发展资金供水项目（流曲镇军寨村供水改造提升工程）</w:t>
      </w:r>
      <w:r>
        <w:rPr>
          <w:rFonts w:hint="eastAsia" w:ascii="宋体" w:hAnsi="宋体" w:cs="宋体"/>
          <w:bCs/>
          <w:kern w:val="1"/>
          <w:sz w:val="24"/>
        </w:rPr>
        <w:t>（</w:t>
      </w:r>
      <w:r>
        <w:rPr>
          <w:rFonts w:hint="eastAsia" w:ascii="宋体" w:hAnsi="宋体" w:cs="宋体"/>
          <w:bCs/>
          <w:kern w:val="1"/>
          <w:sz w:val="24"/>
          <w:highlight w:val="none"/>
          <w:lang w:val="en-US" w:eastAsia="zh-CN"/>
        </w:rPr>
        <w:t>项目编号</w:t>
      </w:r>
      <w:r>
        <w:rPr>
          <w:rFonts w:hint="eastAsia" w:ascii="宋体" w:hAnsi="宋体" w:cs="宋体"/>
          <w:bCs/>
          <w:kern w:val="1"/>
          <w:sz w:val="24"/>
        </w:rPr>
        <w:t>：</w:t>
      </w:r>
      <w:r>
        <w:rPr>
          <w:rFonts w:hint="eastAsia" w:ascii="宋体" w:hAnsi="宋体" w:cs="宋体"/>
          <w:bCs/>
          <w:kern w:val="1"/>
          <w:sz w:val="24"/>
          <w:highlight w:val="none"/>
          <w:lang w:val="en-US" w:eastAsia="zh-CN"/>
        </w:rPr>
        <w:t>HCF2023—CGZB—012</w:t>
      </w:r>
      <w:r>
        <w:rPr>
          <w:rFonts w:hint="eastAsia" w:ascii="宋体" w:hAnsi="宋体" w:cs="宋体"/>
          <w:bCs/>
          <w:kern w:val="1"/>
          <w:sz w:val="24"/>
        </w:rPr>
        <w:t>）的招标评标工作，保证项目评审工作的正常有序进行，维护采购人、供应商的合法权益，依据</w:t>
      </w:r>
      <w:r>
        <w:rPr>
          <w:rFonts w:hint="eastAsia" w:ascii="宋体" w:hAnsi="宋体" w:cs="宋体"/>
          <w:bCs/>
          <w:kern w:val="1"/>
          <w:sz w:val="24"/>
          <w:lang w:eastAsia="zh-CN"/>
        </w:rPr>
        <w:t>《</w:t>
      </w:r>
      <w:r>
        <w:rPr>
          <w:rFonts w:hint="eastAsia" w:ascii="宋体" w:hAnsi="宋体" w:cs="宋体"/>
          <w:bCs/>
          <w:kern w:val="1"/>
          <w:sz w:val="24"/>
        </w:rPr>
        <w:t>中华人民共和国</w:t>
      </w:r>
      <w:r>
        <w:rPr>
          <w:rFonts w:hint="eastAsia" w:ascii="宋体" w:hAnsi="宋体" w:cs="宋体"/>
          <w:bCs/>
          <w:kern w:val="1"/>
          <w:sz w:val="24"/>
          <w:lang w:val="en-US" w:eastAsia="zh-CN"/>
        </w:rPr>
        <w:t>政府采购法</w:t>
      </w:r>
      <w:r>
        <w:rPr>
          <w:rFonts w:hint="eastAsia" w:ascii="宋体" w:hAnsi="宋体" w:cs="宋体"/>
          <w:bCs/>
          <w:kern w:val="1"/>
          <w:sz w:val="24"/>
          <w:lang w:eastAsia="zh-CN"/>
        </w:rPr>
        <w:t>》</w:t>
      </w:r>
      <w:r>
        <w:rPr>
          <w:rFonts w:hint="eastAsia" w:ascii="宋体" w:hAnsi="宋体" w:cs="宋体"/>
          <w:bCs/>
          <w:kern w:val="1"/>
          <w:sz w:val="24"/>
        </w:rPr>
        <w:t>《中华人民共和国政府采购法</w:t>
      </w:r>
      <w:r>
        <w:rPr>
          <w:rFonts w:hint="eastAsia" w:ascii="宋体" w:hAnsi="宋体" w:cs="宋体"/>
          <w:bCs/>
          <w:kern w:val="1"/>
          <w:sz w:val="24"/>
          <w:lang w:eastAsia="zh-CN"/>
        </w:rPr>
        <w:t>实施条例</w:t>
      </w:r>
      <w:r>
        <w:rPr>
          <w:rFonts w:hint="eastAsia" w:ascii="宋体" w:hAnsi="宋体" w:cs="宋体"/>
          <w:bCs/>
          <w:kern w:val="1"/>
          <w:sz w:val="24"/>
        </w:rPr>
        <w:t>》及其它相关法律法规，本着公开、公平、公正的原则，制定评标办法。</w:t>
      </w:r>
    </w:p>
    <w:p>
      <w:pPr>
        <w:spacing w:line="360" w:lineRule="auto"/>
        <w:ind w:left="-61" w:right="-10" w:firstLine="514"/>
        <w:outlineLvl w:val="9"/>
        <w:rPr>
          <w:rFonts w:hint="eastAsia" w:ascii="宋体" w:hAnsi="宋体" w:cs="宋体"/>
          <w:bCs/>
          <w:kern w:val="1"/>
          <w:sz w:val="24"/>
        </w:rPr>
      </w:pPr>
      <w:r>
        <w:rPr>
          <w:rFonts w:hint="eastAsia" w:ascii="宋体" w:hAnsi="宋体" w:cs="宋体"/>
          <w:bCs/>
          <w:kern w:val="1"/>
          <w:sz w:val="24"/>
        </w:rPr>
        <w:t>第二条 本次项目评标采</w:t>
      </w:r>
      <w:r>
        <w:rPr>
          <w:rFonts w:hint="eastAsia" w:ascii="宋体" w:hAnsi="宋体" w:cs="宋体"/>
          <w:bCs/>
          <w:kern w:val="1"/>
          <w:sz w:val="24"/>
          <w:highlight w:val="none"/>
        </w:rPr>
        <w:t>用综合评</w:t>
      </w:r>
      <w:r>
        <w:rPr>
          <w:rFonts w:hint="eastAsia" w:ascii="宋体" w:hAnsi="宋体" w:cs="宋体"/>
          <w:bCs/>
          <w:kern w:val="1"/>
          <w:sz w:val="24"/>
          <w:highlight w:val="none"/>
          <w:lang w:val="en-US" w:eastAsia="zh-CN"/>
        </w:rPr>
        <w:t>分</w:t>
      </w:r>
      <w:r>
        <w:rPr>
          <w:rFonts w:hint="eastAsia" w:ascii="宋体" w:hAnsi="宋体" w:cs="宋体"/>
          <w:bCs/>
          <w:kern w:val="1"/>
          <w:sz w:val="24"/>
          <w:highlight w:val="none"/>
        </w:rPr>
        <w:t>法作为对供</w:t>
      </w:r>
      <w:r>
        <w:rPr>
          <w:rFonts w:hint="eastAsia" w:ascii="宋体" w:hAnsi="宋体" w:cs="宋体"/>
          <w:bCs/>
          <w:kern w:val="1"/>
          <w:sz w:val="24"/>
        </w:rPr>
        <w:t>应商</w:t>
      </w:r>
      <w:r>
        <w:rPr>
          <w:rFonts w:hint="eastAsia" w:ascii="宋体" w:hAnsi="宋体" w:cs="宋体"/>
          <w:bCs/>
          <w:kern w:val="1"/>
          <w:sz w:val="24"/>
          <w:highlight w:val="none"/>
          <w:lang w:val="en-US" w:eastAsia="zh-CN"/>
        </w:rPr>
        <w:t>磋商响应文件</w:t>
      </w:r>
      <w:r>
        <w:rPr>
          <w:rFonts w:hint="eastAsia" w:ascii="宋体" w:hAnsi="宋体" w:cs="宋体"/>
          <w:bCs/>
          <w:kern w:val="1"/>
          <w:sz w:val="24"/>
        </w:rPr>
        <w:t>的比较方法。</w:t>
      </w:r>
    </w:p>
    <w:p>
      <w:pPr>
        <w:spacing w:line="360" w:lineRule="auto"/>
        <w:ind w:left="-61" w:right="-10" w:firstLine="514"/>
        <w:outlineLvl w:val="9"/>
        <w:rPr>
          <w:rFonts w:hint="eastAsia" w:ascii="宋体" w:hAnsi="宋体" w:eastAsia="宋体" w:cs="宋体"/>
          <w:bCs/>
          <w:kern w:val="1"/>
          <w:sz w:val="24"/>
          <w:lang w:eastAsia="zh-CN"/>
        </w:rPr>
      </w:pPr>
      <w:r>
        <w:rPr>
          <w:rFonts w:hint="eastAsia" w:ascii="宋体" w:hAnsi="宋体" w:cs="宋体"/>
          <w:bCs/>
          <w:kern w:val="1"/>
          <w:sz w:val="24"/>
        </w:rPr>
        <w:t>第三条 按照《中华人民共和国政府采购法》和《政府采购竞争性磋商采购方式管理暂行办法》，依法组建磋商小组。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r>
        <w:rPr>
          <w:rFonts w:hint="eastAsia" w:ascii="宋体" w:hAnsi="宋体" w:cs="宋体"/>
          <w:kern w:val="1"/>
          <w:sz w:val="24"/>
        </w:rPr>
        <w:t>采购代理机构负责评标过程中的记录、联络及</w:t>
      </w:r>
      <w:r>
        <w:rPr>
          <w:rFonts w:hint="eastAsia" w:ascii="宋体" w:hAnsi="宋体" w:cs="宋体"/>
          <w:kern w:val="1"/>
          <w:sz w:val="24"/>
          <w:lang w:val="en-US" w:eastAsia="zh-CN"/>
        </w:rPr>
        <w:t>磋商小组</w:t>
      </w:r>
      <w:r>
        <w:rPr>
          <w:rFonts w:hint="eastAsia" w:ascii="宋体" w:hAnsi="宋体" w:cs="宋体"/>
          <w:kern w:val="1"/>
          <w:sz w:val="24"/>
        </w:rPr>
        <w:t>交办的其他工作</w:t>
      </w:r>
      <w:r>
        <w:rPr>
          <w:rFonts w:hint="eastAsia" w:ascii="宋体" w:hAnsi="宋体" w:cs="宋体"/>
          <w:kern w:val="1"/>
          <w:sz w:val="24"/>
          <w:lang w:eastAsia="zh-CN"/>
        </w:rPr>
        <w:t>。</w:t>
      </w:r>
    </w:p>
    <w:p>
      <w:pPr>
        <w:spacing w:line="360" w:lineRule="auto"/>
        <w:ind w:firstLine="480" w:firstLineChars="200"/>
        <w:outlineLvl w:val="9"/>
        <w:rPr>
          <w:rFonts w:hint="eastAsia" w:ascii="宋体" w:hAnsi="宋体"/>
          <w:b/>
          <w:spacing w:val="4"/>
          <w:sz w:val="24"/>
        </w:rPr>
      </w:pPr>
      <w:r>
        <w:rPr>
          <w:rFonts w:hint="eastAsia" w:ascii="宋体" w:hAnsi="宋体" w:cs="宋体"/>
          <w:bCs/>
          <w:kern w:val="1"/>
          <w:sz w:val="24"/>
        </w:rPr>
        <w:t xml:space="preserve">第四条 </w:t>
      </w:r>
      <w:r>
        <w:rPr>
          <w:rFonts w:hint="eastAsia" w:ascii="宋体" w:hAnsi="宋体" w:cs="宋体"/>
          <w:bCs/>
          <w:kern w:val="1"/>
          <w:sz w:val="24"/>
          <w:highlight w:val="none"/>
          <w:lang w:eastAsia="zh-CN"/>
        </w:rPr>
        <w:t>磋商小组成员应当按照</w:t>
      </w:r>
      <w:r>
        <w:rPr>
          <w:rFonts w:hint="eastAsia" w:ascii="宋体" w:hAnsi="宋体" w:cs="宋体"/>
          <w:bCs/>
          <w:kern w:val="1"/>
          <w:sz w:val="24"/>
          <w:highlight w:val="none"/>
        </w:rPr>
        <w:t>客观</w:t>
      </w:r>
      <w:r>
        <w:rPr>
          <w:rFonts w:hint="eastAsia" w:ascii="宋体" w:hAnsi="宋体" w:cs="宋体"/>
          <w:bCs/>
          <w:kern w:val="1"/>
          <w:sz w:val="24"/>
          <w:highlight w:val="none"/>
          <w:lang w:eastAsia="zh-CN"/>
        </w:rPr>
        <w:t>、</w:t>
      </w:r>
      <w:r>
        <w:rPr>
          <w:rFonts w:hint="eastAsia" w:ascii="宋体" w:hAnsi="宋体" w:cs="宋体"/>
          <w:bCs/>
          <w:kern w:val="1"/>
          <w:sz w:val="24"/>
          <w:highlight w:val="none"/>
        </w:rPr>
        <w:t>公</w:t>
      </w:r>
      <w:r>
        <w:rPr>
          <w:rFonts w:hint="eastAsia" w:ascii="宋体" w:hAnsi="宋体" w:cs="宋体"/>
          <w:bCs/>
          <w:kern w:val="1"/>
          <w:sz w:val="24"/>
          <w:highlight w:val="none"/>
          <w:lang w:eastAsia="zh-CN"/>
        </w:rPr>
        <w:t>正、审慎</w:t>
      </w:r>
      <w:r>
        <w:rPr>
          <w:rFonts w:hint="eastAsia" w:ascii="宋体" w:hAnsi="宋体" w:cs="宋体"/>
          <w:bCs/>
          <w:kern w:val="1"/>
          <w:sz w:val="24"/>
          <w:highlight w:val="none"/>
        </w:rPr>
        <w:t>的原则，</w:t>
      </w:r>
      <w:r>
        <w:rPr>
          <w:rFonts w:hint="eastAsia" w:ascii="宋体" w:hAnsi="宋体" w:cs="宋体"/>
          <w:bCs/>
          <w:kern w:val="1"/>
          <w:sz w:val="24"/>
          <w:highlight w:val="none"/>
          <w:lang w:eastAsia="zh-CN"/>
        </w:rPr>
        <w:t>根据磋商文件规定的评审程序、评审方法和评审标准进行独立评审。未实质性响应磋商文件的响应文件按无效响应处理，磋商小组应当告知提交响应文件的供应商。</w:t>
      </w:r>
    </w:p>
    <w:p>
      <w:pPr>
        <w:spacing w:line="360" w:lineRule="auto"/>
        <w:ind w:firstLine="498" w:firstLineChars="200"/>
        <w:outlineLvl w:val="9"/>
        <w:rPr>
          <w:rFonts w:hint="eastAsia" w:ascii="宋体" w:hAnsi="宋体"/>
          <w:b/>
          <w:spacing w:val="4"/>
          <w:sz w:val="24"/>
        </w:rPr>
      </w:pPr>
      <w:r>
        <w:rPr>
          <w:rFonts w:hint="eastAsia" w:ascii="宋体" w:hAnsi="宋体"/>
          <w:b/>
          <w:spacing w:val="4"/>
          <w:sz w:val="24"/>
        </w:rPr>
        <w:t>二、评审方法</w:t>
      </w:r>
    </w:p>
    <w:p>
      <w:pPr>
        <w:spacing w:line="360" w:lineRule="auto"/>
        <w:ind w:firstLine="496" w:firstLineChars="200"/>
        <w:outlineLvl w:val="9"/>
        <w:rPr>
          <w:rFonts w:hint="eastAsia" w:ascii="宋体" w:hAnsi="宋体"/>
          <w:spacing w:val="4"/>
          <w:sz w:val="24"/>
        </w:rPr>
      </w:pPr>
      <w:r>
        <w:rPr>
          <w:rFonts w:ascii="宋体" w:hAnsi="宋体"/>
          <w:spacing w:val="4"/>
          <w:sz w:val="24"/>
        </w:rPr>
        <w:t>按照《中华人民共和国政府采购法》</w:t>
      </w:r>
      <w:r>
        <w:rPr>
          <w:rFonts w:hint="eastAsia" w:ascii="宋体" w:hAnsi="宋体"/>
          <w:spacing w:val="4"/>
          <w:sz w:val="24"/>
        </w:rPr>
        <w:t>《中华人民共和国政府采购法实施条例》《政府采购竞争性磋商采购方式管理暂行办法》规定，竞争性磋商小组采用综合评分法对提交最后报价的供应商的响应文件和最后报价进行综合评分，按照评审得分由高到低顺序推荐3</w:t>
      </w:r>
      <w:r>
        <w:rPr>
          <w:rFonts w:hint="eastAsia" w:ascii="宋体" w:hAnsi="宋体"/>
          <w:spacing w:val="4"/>
          <w:sz w:val="24"/>
          <w:highlight w:val="none"/>
        </w:rPr>
        <w:t>名</w:t>
      </w:r>
      <w:r>
        <w:rPr>
          <w:rFonts w:hint="eastAsia" w:ascii="宋体" w:hAnsi="宋体"/>
          <w:sz w:val="24"/>
          <w:highlight w:val="none"/>
        </w:rPr>
        <w:t>成交候选</w:t>
      </w:r>
      <w:r>
        <w:rPr>
          <w:rFonts w:hint="eastAsia" w:ascii="宋体" w:hAnsi="宋体"/>
          <w:sz w:val="24"/>
          <w:highlight w:val="none"/>
          <w:lang w:val="en-US" w:eastAsia="zh-CN"/>
        </w:rPr>
        <w:t>供应商</w:t>
      </w:r>
      <w:r>
        <w:rPr>
          <w:rFonts w:hint="eastAsia" w:ascii="宋体" w:hAnsi="宋体"/>
          <w:spacing w:val="4"/>
          <w:sz w:val="24"/>
          <w:highlight w:val="none"/>
        </w:rPr>
        <w:t>。</w:t>
      </w:r>
    </w:p>
    <w:p>
      <w:pPr>
        <w:spacing w:line="360" w:lineRule="auto"/>
        <w:ind w:firstLine="498" w:firstLineChars="200"/>
        <w:outlineLvl w:val="9"/>
        <w:rPr>
          <w:rFonts w:hint="eastAsia" w:ascii="宋体" w:hAnsi="宋体"/>
          <w:b/>
          <w:spacing w:val="4"/>
          <w:sz w:val="24"/>
        </w:rPr>
      </w:pPr>
      <w:r>
        <w:rPr>
          <w:rFonts w:hint="eastAsia" w:ascii="宋体" w:hAnsi="宋体"/>
          <w:b/>
          <w:spacing w:val="4"/>
          <w:sz w:val="24"/>
        </w:rPr>
        <w:t>三、评审程序</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审查分为</w:t>
      </w:r>
      <w:r>
        <w:rPr>
          <w:rFonts w:hint="eastAsia" w:ascii="宋体" w:hAnsi="宋体"/>
          <w:spacing w:val="4"/>
          <w:sz w:val="24"/>
          <w:lang w:val="en-US" w:eastAsia="zh-CN"/>
        </w:rPr>
        <w:t>资格性</w:t>
      </w:r>
      <w:r>
        <w:rPr>
          <w:rFonts w:hint="eastAsia" w:ascii="宋体" w:hAnsi="宋体"/>
          <w:spacing w:val="4"/>
          <w:sz w:val="24"/>
        </w:rPr>
        <w:t>评审</w:t>
      </w:r>
      <w:r>
        <w:rPr>
          <w:rFonts w:hint="eastAsia" w:ascii="宋体" w:hAnsi="宋体"/>
          <w:spacing w:val="4"/>
          <w:sz w:val="24"/>
          <w:lang w:eastAsia="zh-CN"/>
        </w:rPr>
        <w:t>、</w:t>
      </w:r>
      <w:r>
        <w:rPr>
          <w:rFonts w:hint="eastAsia" w:ascii="宋体" w:hAnsi="宋体"/>
          <w:spacing w:val="4"/>
          <w:sz w:val="24"/>
          <w:lang w:val="en-US" w:eastAsia="zh-CN"/>
        </w:rPr>
        <w:t>符合性</w:t>
      </w:r>
      <w:r>
        <w:rPr>
          <w:rFonts w:hint="eastAsia" w:ascii="宋体" w:hAnsi="宋体"/>
          <w:spacing w:val="4"/>
          <w:sz w:val="24"/>
        </w:rPr>
        <w:t>评审和详细评审。分别按照以下内容对磋商响应文件进行</w:t>
      </w:r>
      <w:r>
        <w:rPr>
          <w:rFonts w:hint="eastAsia" w:ascii="宋体" w:hAnsi="宋体"/>
          <w:spacing w:val="4"/>
          <w:sz w:val="24"/>
          <w:lang w:val="en-US" w:eastAsia="zh-CN"/>
        </w:rPr>
        <w:t>审查</w:t>
      </w:r>
      <w:r>
        <w:rPr>
          <w:rFonts w:hint="eastAsia" w:ascii="宋体" w:hAnsi="宋体"/>
          <w:spacing w:val="4"/>
          <w:sz w:val="24"/>
        </w:rPr>
        <w:t>，一项不合格即按照无效响应处理。</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spacing w:val="4"/>
          <w:sz w:val="24"/>
          <w:highlight w:val="none"/>
        </w:rPr>
      </w:pPr>
      <w:r>
        <w:rPr>
          <w:rFonts w:hint="eastAsia" w:ascii="宋体" w:hAnsi="宋体"/>
          <w:spacing w:val="4"/>
          <w:sz w:val="24"/>
          <w:highlight w:val="none"/>
        </w:rPr>
        <w:t>1、资格</w:t>
      </w:r>
      <w:r>
        <w:rPr>
          <w:rFonts w:hint="eastAsia" w:ascii="宋体" w:hAnsi="宋体"/>
          <w:spacing w:val="4"/>
          <w:sz w:val="24"/>
          <w:highlight w:val="none"/>
          <w:lang w:val="en-US" w:eastAsia="zh-CN"/>
        </w:rPr>
        <w:t>性</w:t>
      </w:r>
      <w:r>
        <w:rPr>
          <w:rFonts w:hint="eastAsia" w:ascii="宋体" w:hAnsi="宋体"/>
          <w:spacing w:val="4"/>
          <w:sz w:val="24"/>
          <w:highlight w:val="none"/>
        </w:rPr>
        <w:t>评审：具体</w:t>
      </w:r>
      <w:r>
        <w:rPr>
          <w:rFonts w:hint="eastAsia" w:ascii="宋体" w:hAnsi="宋体"/>
          <w:spacing w:val="4"/>
          <w:sz w:val="24"/>
          <w:highlight w:val="none"/>
          <w:lang w:val="en-US" w:eastAsia="zh-CN"/>
        </w:rPr>
        <w:t>内容</w:t>
      </w:r>
      <w:r>
        <w:rPr>
          <w:rFonts w:hint="eastAsia" w:ascii="宋体" w:hAnsi="宋体"/>
          <w:spacing w:val="4"/>
          <w:sz w:val="24"/>
          <w:highlight w:val="none"/>
        </w:rPr>
        <w:t>详见后附表。</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spacing w:val="4"/>
          <w:sz w:val="24"/>
          <w:highlight w:val="none"/>
        </w:rPr>
      </w:pPr>
      <w:r>
        <w:rPr>
          <w:rFonts w:hint="eastAsia" w:ascii="宋体" w:hAnsi="宋体"/>
          <w:spacing w:val="4"/>
          <w:sz w:val="24"/>
          <w:highlight w:val="none"/>
        </w:rPr>
        <w:t>依据《中华人民共和国政府采购法》第二十三条和竞争性磋商文件的规定，对磋商响应文件中的资格证明文件进行审查，审查供应商是否具备相应资格。</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spacing w:val="4"/>
          <w:sz w:val="24"/>
          <w:highlight w:val="none"/>
        </w:rPr>
      </w:pPr>
      <w:r>
        <w:rPr>
          <w:rFonts w:hint="eastAsia" w:ascii="宋体" w:hAnsi="宋体"/>
          <w:spacing w:val="4"/>
          <w:sz w:val="24"/>
          <w:highlight w:val="none"/>
        </w:rPr>
        <w:t>开标结束后，由采购人依法对供应商的资格进行审查，审查合格的供应商方可进入评标阶段，缺项或一项不符合要求即不合格，不合格的供应商其投标无效，不再进入下一步评审。供应商须在提交磋商文件截止时间前单独提交资格证明材料原件，逾期不接受任何补充资料。</w:t>
      </w:r>
    </w:p>
    <w:p>
      <w:pPr>
        <w:spacing w:line="360" w:lineRule="auto"/>
        <w:ind w:firstLine="496" w:firstLineChars="200"/>
        <w:outlineLvl w:val="9"/>
        <w:rPr>
          <w:rFonts w:hint="eastAsia" w:ascii="宋体" w:hAnsi="宋体" w:eastAsia="宋体" w:cs="Times New Roman"/>
          <w:spacing w:val="4"/>
          <w:sz w:val="24"/>
        </w:rPr>
      </w:pPr>
      <w:r>
        <w:rPr>
          <w:rFonts w:hint="eastAsia" w:ascii="宋体" w:hAnsi="宋体" w:eastAsia="宋体" w:cs="Times New Roman"/>
          <w:spacing w:val="4"/>
          <w:sz w:val="24"/>
          <w:lang w:val="en-US" w:eastAsia="zh-CN"/>
        </w:rPr>
        <w:t>2、符合性评审：</w:t>
      </w:r>
      <w:r>
        <w:rPr>
          <w:rFonts w:hint="eastAsia" w:ascii="宋体" w:hAnsi="宋体" w:eastAsia="宋体" w:cs="Times New Roman"/>
          <w:spacing w:val="4"/>
          <w:sz w:val="24"/>
        </w:rPr>
        <w:t>具体</w:t>
      </w:r>
      <w:r>
        <w:rPr>
          <w:rFonts w:hint="eastAsia" w:ascii="宋体" w:hAnsi="宋体" w:eastAsia="宋体" w:cs="Times New Roman"/>
          <w:spacing w:val="4"/>
          <w:sz w:val="24"/>
          <w:lang w:val="en-US" w:eastAsia="zh-CN"/>
        </w:rPr>
        <w:t>内容</w:t>
      </w:r>
      <w:r>
        <w:rPr>
          <w:rFonts w:hint="eastAsia" w:ascii="宋体" w:hAnsi="宋体" w:eastAsia="宋体" w:cs="Times New Roman"/>
          <w:spacing w:val="4"/>
          <w:sz w:val="24"/>
        </w:rPr>
        <w:t>详见后附表。</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评审过程中</w:t>
      </w:r>
      <w:r>
        <w:rPr>
          <w:rFonts w:hint="eastAsia" w:ascii="宋体" w:hAnsi="宋体"/>
          <w:spacing w:val="4"/>
          <w:sz w:val="24"/>
          <w:highlight w:val="none"/>
        </w:rPr>
        <w:t>凡有一项不合格即作为无效响应处理，不再进入下一步评审</w:t>
      </w:r>
      <w:r>
        <w:rPr>
          <w:rFonts w:hint="eastAsia" w:ascii="宋体" w:hAnsi="宋体"/>
          <w:spacing w:val="4"/>
          <w:sz w:val="24"/>
          <w:highlight w:val="none"/>
          <w:lang w:eastAsia="zh-CN"/>
        </w:rPr>
        <w:t>。</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3</w:t>
      </w:r>
      <w:r>
        <w:rPr>
          <w:rFonts w:hint="eastAsia" w:ascii="宋体" w:hAnsi="宋体"/>
          <w:spacing w:val="4"/>
          <w:sz w:val="24"/>
        </w:rPr>
        <w:t>、详细评审</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按《评审因素及量化指标分解表》对实质性响应磋商文件要求的供应商的响应文件进行评审。</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4</w:t>
      </w:r>
      <w:r>
        <w:rPr>
          <w:rFonts w:hint="eastAsia" w:ascii="宋体" w:hAnsi="宋体"/>
          <w:spacing w:val="4"/>
          <w:sz w:val="24"/>
        </w:rPr>
        <w:t>、澄清有关问题</w:t>
      </w:r>
    </w:p>
    <w:p>
      <w:pPr>
        <w:spacing w:line="360" w:lineRule="auto"/>
        <w:ind w:firstLine="496" w:firstLineChars="200"/>
        <w:outlineLvl w:val="9"/>
        <w:rPr>
          <w:rFonts w:hint="eastAsia" w:ascii="宋体" w:hAnsi="宋体"/>
          <w:spacing w:val="4"/>
          <w:sz w:val="24"/>
        </w:rPr>
      </w:pPr>
      <w:r>
        <w:rPr>
          <w:rFonts w:ascii="宋体" w:hAnsi="宋体"/>
          <w:spacing w:val="4"/>
          <w:sz w:val="24"/>
        </w:rPr>
        <w:t>磋商小组在对响应文件的有效性、完整性和响应程度进行审查时，可以要求</w:t>
      </w:r>
      <w:r>
        <w:rPr>
          <w:rFonts w:hint="eastAsia" w:ascii="宋体" w:hAnsi="宋体"/>
          <w:spacing w:val="4"/>
          <w:sz w:val="24"/>
          <w:lang w:eastAsia="zh-CN"/>
        </w:rPr>
        <w:t>供应商</w:t>
      </w:r>
      <w:r>
        <w:rPr>
          <w:rFonts w:ascii="宋体" w:hAnsi="宋体"/>
          <w:spacing w:val="4"/>
          <w:sz w:val="24"/>
        </w:rPr>
        <w:t>对响应文件中含义不明确、同类问题表述不一致或者有明显文字和计算错误的内容等作出必要的澄清、说明或者更正。</w:t>
      </w:r>
      <w:r>
        <w:rPr>
          <w:rFonts w:hint="eastAsia" w:ascii="宋体" w:hAnsi="宋体"/>
          <w:spacing w:val="4"/>
          <w:sz w:val="24"/>
          <w:lang w:eastAsia="zh-CN"/>
        </w:rPr>
        <w:t>供应商</w:t>
      </w:r>
      <w:r>
        <w:rPr>
          <w:rFonts w:ascii="宋体" w:hAnsi="宋体"/>
          <w:spacing w:val="4"/>
          <w:sz w:val="24"/>
        </w:rPr>
        <w:t>的澄清、说明或者更正不得超出响应文件的范围或者改变响应文件的实质性内容。</w:t>
      </w:r>
    </w:p>
    <w:p>
      <w:pPr>
        <w:spacing w:line="360" w:lineRule="auto"/>
        <w:ind w:firstLine="496" w:firstLineChars="200"/>
        <w:outlineLvl w:val="9"/>
        <w:rPr>
          <w:rFonts w:ascii="宋体" w:hAnsi="宋体"/>
          <w:spacing w:val="4"/>
          <w:sz w:val="24"/>
        </w:rPr>
      </w:pPr>
      <w:r>
        <w:rPr>
          <w:rFonts w:ascii="宋体" w:hAnsi="宋体"/>
          <w:spacing w:val="4"/>
          <w:sz w:val="24"/>
        </w:rPr>
        <w:t>磋商小组要求</w:t>
      </w:r>
      <w:r>
        <w:rPr>
          <w:rFonts w:hint="eastAsia" w:ascii="宋体" w:hAnsi="宋体"/>
          <w:spacing w:val="4"/>
          <w:sz w:val="24"/>
          <w:lang w:eastAsia="zh-CN"/>
        </w:rPr>
        <w:t>供应商</w:t>
      </w:r>
      <w:r>
        <w:rPr>
          <w:rFonts w:ascii="宋体" w:hAnsi="宋体"/>
          <w:spacing w:val="4"/>
          <w:sz w:val="24"/>
        </w:rPr>
        <w:t>澄清、说明或者更正响应文件应当以书面形式</w:t>
      </w:r>
      <w:r>
        <w:rPr>
          <w:rFonts w:hint="eastAsia" w:ascii="宋体" w:hAnsi="宋体"/>
          <w:spacing w:val="4"/>
          <w:sz w:val="24"/>
        </w:rPr>
        <w:t>提</w:t>
      </w:r>
      <w:r>
        <w:rPr>
          <w:rFonts w:ascii="宋体" w:hAnsi="宋体"/>
          <w:spacing w:val="4"/>
          <w:sz w:val="24"/>
        </w:rPr>
        <w:t>出。</w:t>
      </w:r>
      <w:r>
        <w:rPr>
          <w:rFonts w:hint="eastAsia" w:ascii="宋体" w:hAnsi="宋体"/>
          <w:spacing w:val="4"/>
          <w:sz w:val="24"/>
          <w:lang w:eastAsia="zh-CN"/>
        </w:rPr>
        <w:t>供应商</w:t>
      </w:r>
      <w:r>
        <w:rPr>
          <w:rFonts w:ascii="宋体" w:hAnsi="宋体"/>
          <w:spacing w:val="4"/>
          <w:sz w:val="24"/>
        </w:rPr>
        <w:t>的澄清、说明或者更正应当由法定代表人或其</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pacing w:val="4"/>
          <w:sz w:val="24"/>
        </w:rPr>
        <w:t>签字或者加盖公章。由</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pacing w:val="4"/>
          <w:sz w:val="24"/>
        </w:rPr>
        <w:t>签字的，应当</w:t>
      </w:r>
      <w:r>
        <w:rPr>
          <w:rFonts w:hint="eastAsia" w:ascii="宋体" w:hAnsi="宋体"/>
          <w:spacing w:val="4"/>
          <w:sz w:val="24"/>
          <w:lang w:val="en-US" w:eastAsia="zh-CN"/>
        </w:rPr>
        <w:t>提供</w:t>
      </w:r>
      <w:r>
        <w:rPr>
          <w:rFonts w:ascii="宋体" w:hAnsi="宋体"/>
          <w:spacing w:val="4"/>
          <w:sz w:val="24"/>
        </w:rPr>
        <w:t>法定代表人授权</w:t>
      </w:r>
      <w:r>
        <w:rPr>
          <w:rFonts w:hint="eastAsia" w:ascii="宋体" w:hAnsi="宋体"/>
          <w:spacing w:val="4"/>
          <w:sz w:val="24"/>
          <w:lang w:eastAsia="zh-CN"/>
        </w:rPr>
        <w:t>委托</w:t>
      </w:r>
      <w:r>
        <w:rPr>
          <w:rFonts w:ascii="宋体" w:hAnsi="宋体"/>
          <w:spacing w:val="4"/>
          <w:sz w:val="24"/>
        </w:rPr>
        <w:t>书。</w:t>
      </w:r>
      <w:r>
        <w:rPr>
          <w:rFonts w:hint="eastAsia" w:ascii="宋体" w:hAnsi="宋体"/>
          <w:spacing w:val="4"/>
          <w:sz w:val="24"/>
          <w:lang w:eastAsia="zh-CN"/>
        </w:rPr>
        <w:t>供应商为自然人的，应当由本人签字并附身份证明。</w:t>
      </w:r>
    </w:p>
    <w:p>
      <w:pPr>
        <w:spacing w:line="360" w:lineRule="auto"/>
        <w:ind w:firstLine="496" w:firstLineChars="200"/>
        <w:rPr>
          <w:rFonts w:hint="eastAsia" w:ascii="宋体" w:hAnsi="宋体" w:eastAsia="宋体"/>
          <w:spacing w:val="4"/>
          <w:sz w:val="24"/>
          <w:lang w:eastAsia="zh-CN"/>
        </w:rPr>
      </w:pPr>
      <w:r>
        <w:rPr>
          <w:rFonts w:hint="eastAsia" w:ascii="宋体" w:hAnsi="宋体"/>
          <w:spacing w:val="4"/>
          <w:sz w:val="24"/>
          <w:lang w:val="en-US" w:eastAsia="zh-CN"/>
        </w:rPr>
        <w:t>5</w:t>
      </w:r>
      <w:r>
        <w:rPr>
          <w:rFonts w:hint="eastAsia" w:ascii="宋体" w:hAnsi="宋体"/>
          <w:spacing w:val="4"/>
          <w:sz w:val="24"/>
        </w:rPr>
        <w:t>、</w:t>
      </w:r>
      <w:r>
        <w:rPr>
          <w:rFonts w:hint="eastAsia" w:ascii="宋体" w:hAnsi="宋体"/>
          <w:sz w:val="24"/>
        </w:rPr>
        <w:t>磋商小组所有成员应当集中与单一供应商分别进行磋商</w:t>
      </w:r>
      <w:r>
        <w:rPr>
          <w:rFonts w:hint="eastAsia" w:ascii="宋体" w:hAnsi="宋体"/>
          <w:spacing w:val="4"/>
          <w:sz w:val="24"/>
          <w:highlight w:val="none"/>
          <w:lang w:val="en-US" w:eastAsia="zh-CN"/>
        </w:rPr>
        <w:t>。</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6</w:t>
      </w:r>
      <w:r>
        <w:rPr>
          <w:rFonts w:hint="eastAsia" w:ascii="宋体" w:hAnsi="宋体"/>
          <w:spacing w:val="4"/>
          <w:sz w:val="24"/>
          <w:highlight w:val="none"/>
        </w:rPr>
        <w:t>、政策性价格优惠折扣规定</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经</w:t>
      </w:r>
      <w:r>
        <w:rPr>
          <w:rFonts w:hint="eastAsia" w:ascii="宋体" w:hAnsi="宋体"/>
          <w:spacing w:val="4"/>
          <w:sz w:val="24"/>
          <w:lang w:eastAsia="zh-CN"/>
        </w:rPr>
        <w:t>符合性审查合格</w:t>
      </w:r>
      <w:r>
        <w:rPr>
          <w:rFonts w:hint="eastAsia" w:ascii="宋体" w:hAnsi="宋体"/>
          <w:spacing w:val="4"/>
          <w:sz w:val="24"/>
        </w:rPr>
        <w:t>后，对于满足</w:t>
      </w:r>
      <w:r>
        <w:rPr>
          <w:rFonts w:hint="eastAsia" w:ascii="宋体" w:hAnsi="宋体"/>
          <w:spacing w:val="4"/>
          <w:sz w:val="24"/>
          <w:lang w:val="en-US" w:eastAsia="zh-CN"/>
        </w:rPr>
        <w:t>磋商响应</w:t>
      </w:r>
      <w:r>
        <w:rPr>
          <w:rFonts w:hint="eastAsia" w:ascii="宋体" w:hAnsi="宋体"/>
          <w:spacing w:val="4"/>
          <w:sz w:val="24"/>
        </w:rPr>
        <w:t>文件全部实质性要求并按照规定提交了</w:t>
      </w:r>
      <w:r>
        <w:rPr>
          <w:rFonts w:hint="eastAsia" w:ascii="宋体" w:hAnsi="宋体"/>
          <w:spacing w:val="4"/>
          <w:sz w:val="24"/>
          <w:lang w:val="en-US" w:eastAsia="zh-CN"/>
        </w:rPr>
        <w:t>磋商</w:t>
      </w:r>
      <w:r>
        <w:rPr>
          <w:rFonts w:hint="eastAsia" w:ascii="宋体" w:hAnsi="宋体"/>
          <w:spacing w:val="4"/>
          <w:sz w:val="24"/>
        </w:rPr>
        <w:t>报价的</w:t>
      </w:r>
      <w:r>
        <w:rPr>
          <w:rFonts w:hint="eastAsia" w:ascii="宋体" w:hAnsi="宋体"/>
          <w:spacing w:val="4"/>
          <w:sz w:val="24"/>
          <w:lang w:val="en-US" w:eastAsia="zh-CN"/>
        </w:rPr>
        <w:t>磋商响应</w:t>
      </w:r>
      <w:r>
        <w:rPr>
          <w:rFonts w:hint="eastAsia" w:ascii="宋体" w:hAnsi="宋体"/>
          <w:spacing w:val="4"/>
          <w:sz w:val="24"/>
          <w:lang w:eastAsia="zh-CN"/>
        </w:rPr>
        <w:t>文件</w:t>
      </w:r>
      <w:r>
        <w:rPr>
          <w:rFonts w:hint="eastAsia" w:ascii="宋体" w:hAnsi="宋体"/>
          <w:spacing w:val="4"/>
          <w:sz w:val="24"/>
        </w:rPr>
        <w:t>，按照以下规则进行评审价格的确定。</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.1</w:t>
      </w:r>
      <w:r>
        <w:rPr>
          <w:rFonts w:hint="eastAsia" w:ascii="宋体" w:hAnsi="宋体"/>
          <w:spacing w:val="4"/>
          <w:sz w:val="24"/>
          <w:lang w:val="en-US" w:eastAsia="zh-CN"/>
        </w:rPr>
        <w:t xml:space="preserve">根据财政部、国家发展改革委《关于印发〈节能产品政府采购实施意见〉的通知》（财库〔2004〕185号）规定“政府采购属于节能产品品目清单的，在技术、服务等指标同等条件下，应当优先采购节能品目清单的节能产品。” </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 xml:space="preserve">6.2、根据财政部、国家环保总局联合印发《关于环境标志产品政府采购实施的意见》（财库〔2006〕90号）规定“采购人采购的产品属于环境标志产品政府采购清单中品目的，在性能、技术、服务等指标同等条件下，应当优先采购清单中的产品。”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6.3根据国务院办公厅《关于建立政府强制采购节能产品制度的通知》（国办发〔2007〕51号）有关要求，在技术、服务等指标满足采购需求的前提下，要优先采购节能产品，对部分节能效果、性能等达到要求的产品，实行强制采购。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6.4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6.5国家确定的节能产品、环境标志产品认证机构详见市场监管总局《关于发布参与实施政府采购节能产品、环境标志产品认证机构名录的公告》（2019年第16号）。</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6.6环境标志产品政府采购品目清单详见财政部、生态环境部《关于印发环境标志产品政府采购品目清单的通知》（财库〔2019〕18号）。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6.7节能产品政府采购品目清单详见财政部、发展改革委《关于印发节能产品政府采购品目清单的通知》（财库〔2019〕19号）。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6.8根据《财政部 农业农村部 国家乡村振兴局关于运用政府采购政策支持乡村产业振兴的通知》（财库〔2021〕19号），自2021年起，各级预算单位应当按照不低于10%的比例预留年度食堂食材采购份额，通过脱贫地区农副产品网络销售平台采购脱贫地区农副产品。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6.9根据陕西省财政厅关于印发《陕西省中小企业政府采购信用融资办法》（陕财办采〔2018〕23号）规定“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lang w:val="en-US" w:eastAsia="zh-CN"/>
        </w:rPr>
        <w:t>6.10根据《陕西省财政厅关于加快推进我省中小企业政府采购信用融资工作的通知》（陕财办采〔2020〕15 号）规定“有融资需求的供应商可根据自身情况，在陕西省政府采购信用融资平台（含各市分平台）自主选择金融机构及其融资产品，凭政府采购中标（成交）通知书或政府采购合同向金融机构提出融资申请。”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6</w:t>
      </w:r>
      <w:r>
        <w:rPr>
          <w:rFonts w:hint="eastAsia" w:ascii="宋体" w:hAnsi="宋体"/>
          <w:spacing w:val="4"/>
          <w:sz w:val="24"/>
          <w:highlight w:val="none"/>
        </w:rPr>
        <w:t>.</w:t>
      </w:r>
      <w:r>
        <w:rPr>
          <w:rFonts w:hint="eastAsia" w:ascii="宋体" w:hAnsi="宋体"/>
          <w:spacing w:val="4"/>
          <w:sz w:val="24"/>
          <w:highlight w:val="none"/>
          <w:lang w:val="en-US" w:eastAsia="zh-CN"/>
        </w:rPr>
        <w:t>11</w:t>
      </w:r>
      <w:r>
        <w:rPr>
          <w:rFonts w:hint="eastAsia" w:ascii="宋体" w:hAnsi="宋体"/>
          <w:spacing w:val="4"/>
          <w:sz w:val="24"/>
          <w:highlight w:val="none"/>
        </w:rPr>
        <w:t>磋商报价人为小型和微型企业、监狱企业的评审价计算规则：</w:t>
      </w:r>
    </w:p>
    <w:p>
      <w:pPr>
        <w:spacing w:line="360" w:lineRule="auto"/>
        <w:ind w:firstLine="496" w:firstLineChars="200"/>
        <w:outlineLvl w:val="9"/>
        <w:rPr>
          <w:rFonts w:hint="eastAsia" w:ascii="宋体" w:hAnsi="宋体"/>
          <w:spacing w:val="4"/>
          <w:sz w:val="24"/>
        </w:rPr>
      </w:pPr>
      <w:r>
        <w:rPr>
          <w:rFonts w:hint="eastAsia" w:ascii="宋体" w:hAnsi="宋体"/>
          <w:spacing w:val="4"/>
          <w:sz w:val="24"/>
          <w:highlight w:val="none"/>
          <w:lang w:val="en-US" w:eastAsia="zh-CN"/>
        </w:rPr>
        <w:t>6</w:t>
      </w:r>
      <w:r>
        <w:rPr>
          <w:rFonts w:hint="eastAsia" w:ascii="宋体" w:hAnsi="宋体"/>
          <w:spacing w:val="4"/>
          <w:sz w:val="24"/>
          <w:highlight w:val="none"/>
        </w:rPr>
        <w:t>.</w:t>
      </w:r>
      <w:r>
        <w:rPr>
          <w:rFonts w:hint="eastAsia" w:ascii="宋体" w:hAnsi="宋体"/>
          <w:spacing w:val="4"/>
          <w:sz w:val="24"/>
          <w:highlight w:val="none"/>
          <w:lang w:val="en-US" w:eastAsia="zh-CN"/>
        </w:rPr>
        <w:t>11</w:t>
      </w:r>
      <w:r>
        <w:rPr>
          <w:rFonts w:hint="eastAsia" w:ascii="宋体" w:hAnsi="宋体"/>
          <w:spacing w:val="4"/>
          <w:sz w:val="24"/>
          <w:highlight w:val="none"/>
        </w:rPr>
        <w:t>.1本办法所称中小企业（含中型</w:t>
      </w:r>
      <w:r>
        <w:rPr>
          <w:rFonts w:hint="eastAsia" w:ascii="宋体" w:hAnsi="宋体"/>
          <w:spacing w:val="4"/>
          <w:sz w:val="24"/>
        </w:rPr>
        <w:t>、小型、微型企业，下同）应当同时符合以下条件：</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.1.1符合中小企业划分标准；</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.1.2提供本企业制造的货物、承担的工程或者服务，或者提供其他中小企业制造的货物。</w:t>
      </w:r>
      <w:bookmarkStart w:id="42" w:name="OLE_LINK1"/>
      <w:r>
        <w:rPr>
          <w:rFonts w:hint="eastAsia" w:ascii="宋体" w:hAnsi="宋体"/>
          <w:spacing w:val="4"/>
          <w:sz w:val="24"/>
        </w:rPr>
        <w:t>本项所称货物不包括使用大型企业注册商标的货物。</w:t>
      </w:r>
      <w:bookmarkEnd w:id="42"/>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.2本规定所称中小企业划分标准，是指国务院有关部门根据企业从业人员、营业收入、资产总额等指标制定的中小企业划型标准</w:t>
      </w:r>
      <w:r>
        <w:rPr>
          <w:rFonts w:hint="eastAsia" w:ascii="宋体" w:hAnsi="宋体"/>
          <w:spacing w:val="4"/>
          <w:sz w:val="24"/>
          <w:highlight w:val="none"/>
        </w:rPr>
        <w:t>（工信部联企业〔2011〕300号）；</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.3小型、微型企业提供有中型企业制造的货物的，视同为中型企业；小型、微型、中型企业提供有大型企业制造的货物的，视同为大型企业。</w:t>
      </w:r>
    </w:p>
    <w:p>
      <w:pPr>
        <w:spacing w:line="360" w:lineRule="auto"/>
        <w:ind w:firstLine="496" w:firstLineChars="200"/>
        <w:rPr>
          <w:rFonts w:hint="eastAsia" w:ascii="宋体" w:hAnsi="宋体" w:eastAsia="宋体" w:cs="Times New Roman"/>
          <w:spacing w:val="4"/>
          <w:sz w:val="24"/>
          <w:lang w:eastAsia="zh-CN"/>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w:t>
      </w:r>
      <w:r>
        <w:rPr>
          <w:rFonts w:hint="eastAsia" w:ascii="宋体" w:hAnsi="宋体" w:eastAsia="宋体" w:cs="Times New Roman"/>
          <w:spacing w:val="4"/>
          <w:sz w:val="24"/>
        </w:rPr>
        <w:t>动时，应当提供由省级以上监狱管理局、戒毒管理局（含新疆生产建设兵团）出具的属于监狱企业的证明文件。</w:t>
      </w:r>
      <w:r>
        <w:rPr>
          <w:rFonts w:hint="eastAsia" w:ascii="宋体" w:hAnsi="宋体" w:eastAsia="宋体" w:cs="Times New Roman"/>
          <w:spacing w:val="4"/>
          <w:sz w:val="24"/>
          <w:lang w:val="en-US" w:eastAsia="zh-CN"/>
        </w:rPr>
        <w:t>在</w:t>
      </w:r>
      <w:r>
        <w:rPr>
          <w:rFonts w:hint="eastAsia" w:ascii="宋体" w:hAnsi="宋体" w:eastAsia="宋体" w:cs="Times New Roman"/>
          <w:spacing w:val="4"/>
          <w:sz w:val="24"/>
        </w:rPr>
        <w:t>参加政府采购活动时，视同小型、微型企业</w:t>
      </w:r>
      <w:r>
        <w:rPr>
          <w:rFonts w:hint="eastAsia" w:ascii="宋体" w:hAnsi="宋体" w:eastAsia="宋体" w:cs="Times New Roman"/>
          <w:spacing w:val="4"/>
          <w:sz w:val="24"/>
          <w:lang w:eastAsia="zh-CN"/>
        </w:rPr>
        <w:t>，</w:t>
      </w:r>
      <w:r>
        <w:rPr>
          <w:rFonts w:hint="eastAsia" w:ascii="宋体" w:hAnsi="宋体" w:eastAsia="宋体" w:cs="Times New Roman"/>
          <w:spacing w:val="4"/>
          <w:sz w:val="24"/>
          <w:lang w:val="en-US" w:eastAsia="zh-CN"/>
        </w:rPr>
        <w:t>享受评审中价格扣除等政府采购促进中小企业发展的政府采购政策</w:t>
      </w:r>
      <w:r>
        <w:rPr>
          <w:rFonts w:hint="eastAsia" w:ascii="宋体" w:hAnsi="宋体" w:eastAsia="宋体" w:cs="Times New Roman"/>
          <w:spacing w:val="4"/>
          <w:sz w:val="24"/>
        </w:rPr>
        <w:t>。</w:t>
      </w:r>
    </w:p>
    <w:p>
      <w:pPr>
        <w:spacing w:line="360" w:lineRule="auto"/>
        <w:ind w:firstLine="496" w:firstLineChars="200"/>
        <w:rPr>
          <w:rFonts w:hint="eastAsia" w:ascii="宋体" w:hAnsi="宋体" w:eastAsia="宋体" w:cs="Times New Roman"/>
          <w:spacing w:val="4"/>
          <w:sz w:val="24"/>
        </w:rPr>
      </w:pPr>
      <w:r>
        <w:rPr>
          <w:rFonts w:hint="eastAsia" w:ascii="宋体" w:hAnsi="宋体" w:eastAsia="宋体" w:cs="Times New Roman"/>
          <w:spacing w:val="4"/>
          <w:sz w:val="24"/>
          <w:lang w:val="en-US" w:eastAsia="zh-CN"/>
        </w:rPr>
        <w:t>6</w:t>
      </w:r>
      <w:r>
        <w:rPr>
          <w:rFonts w:hint="eastAsia" w:ascii="宋体" w:hAnsi="宋体" w:eastAsia="宋体" w:cs="Times New Roman"/>
          <w:spacing w:val="4"/>
          <w:sz w:val="24"/>
        </w:rPr>
        <w:t>.</w:t>
      </w:r>
      <w:r>
        <w:rPr>
          <w:rFonts w:hint="eastAsia" w:ascii="宋体" w:hAnsi="宋体" w:cs="Times New Roman"/>
          <w:spacing w:val="4"/>
          <w:sz w:val="24"/>
          <w:lang w:val="en-US" w:eastAsia="zh-CN"/>
        </w:rPr>
        <w:t>11</w:t>
      </w:r>
      <w:r>
        <w:rPr>
          <w:rFonts w:hint="eastAsia" w:ascii="宋体" w:hAnsi="宋体" w:eastAsia="宋体" w:cs="Times New Roman"/>
          <w:spacing w:val="4"/>
          <w:sz w:val="24"/>
        </w:rPr>
        <w:t>.5符合条件的残疾人福利性单位在参加政府采购活动时，应当提供本通知规定的《残疾人福利性单位声明函》，并对声明的真实性负责。残疾人福利性单位参加政府采购活动时，视同小型、微型企业。</w:t>
      </w:r>
    </w:p>
    <w:p>
      <w:pPr>
        <w:spacing w:line="360" w:lineRule="auto"/>
        <w:ind w:firstLine="496" w:firstLineChars="200"/>
        <w:rPr>
          <w:rFonts w:hint="default" w:ascii="宋体" w:hAnsi="宋体" w:eastAsia="宋体" w:cs="Times New Roman"/>
          <w:spacing w:val="4"/>
          <w:sz w:val="24"/>
          <w:lang w:val="en-US" w:eastAsia="zh-CN"/>
        </w:rPr>
      </w:pPr>
      <w:r>
        <w:rPr>
          <w:rFonts w:hint="eastAsia" w:ascii="宋体" w:hAnsi="宋体" w:eastAsia="宋体" w:cs="Times New Roman"/>
          <w:spacing w:val="4"/>
          <w:sz w:val="24"/>
          <w:lang w:val="en-US" w:eastAsia="zh-CN"/>
        </w:rPr>
        <w:t>6</w:t>
      </w:r>
      <w:r>
        <w:rPr>
          <w:rFonts w:hint="eastAsia" w:ascii="宋体" w:hAnsi="宋体" w:eastAsia="宋体" w:cs="Times New Roman"/>
          <w:spacing w:val="4"/>
          <w:sz w:val="24"/>
        </w:rPr>
        <w:t>.</w:t>
      </w:r>
      <w:r>
        <w:rPr>
          <w:rFonts w:hint="eastAsia" w:ascii="宋体" w:hAnsi="宋体" w:cs="Times New Roman"/>
          <w:spacing w:val="4"/>
          <w:sz w:val="24"/>
          <w:lang w:val="en-US" w:eastAsia="zh-CN"/>
        </w:rPr>
        <w:t>11</w:t>
      </w:r>
      <w:r>
        <w:rPr>
          <w:rFonts w:hint="eastAsia" w:ascii="宋体" w:hAnsi="宋体" w:eastAsia="宋体" w:cs="Times New Roman"/>
          <w:spacing w:val="4"/>
          <w:sz w:val="24"/>
        </w:rPr>
        <w:t>.</w:t>
      </w:r>
      <w:r>
        <w:rPr>
          <w:rFonts w:hint="eastAsia" w:ascii="宋体" w:hAnsi="宋体" w:eastAsia="宋体" w:cs="Times New Roman"/>
          <w:spacing w:val="4"/>
          <w:sz w:val="24"/>
          <w:lang w:val="en-US" w:eastAsia="zh-CN"/>
        </w:rPr>
        <w:t>6</w:t>
      </w:r>
      <w:r>
        <w:rPr>
          <w:rFonts w:hint="eastAsia" w:ascii="宋体" w:hAnsi="宋体" w:cs="Times New Roman"/>
          <w:spacing w:val="4"/>
          <w:sz w:val="24"/>
          <w:lang w:val="en-US" w:eastAsia="zh-CN"/>
        </w:rPr>
        <w:t>政策性扣减</w:t>
      </w:r>
    </w:p>
    <w:p>
      <w:pPr>
        <w:keepNext w:val="0"/>
        <w:keepLines w:val="0"/>
        <w:pageBreakBefore w:val="0"/>
        <w:widowControl w:val="0"/>
        <w:kinsoku/>
        <w:wordWrap/>
        <w:overflowPunct/>
        <w:topLinePunct w:val="0"/>
        <w:autoSpaceDE/>
        <w:autoSpaceDN/>
        <w:bidi w:val="0"/>
        <w:adjustRightInd/>
        <w:spacing w:line="360" w:lineRule="auto"/>
        <w:ind w:firstLine="498" w:firstLineChars="200"/>
        <w:textAlignment w:val="auto"/>
        <w:outlineLvl w:val="9"/>
        <w:rPr>
          <w:rFonts w:hint="default" w:ascii="宋体" w:hAnsi="宋体" w:cs="Times New Roman"/>
          <w:b/>
          <w:bCs/>
          <w:spacing w:val="4"/>
          <w:kern w:val="2"/>
          <w:sz w:val="24"/>
          <w:szCs w:val="18"/>
          <w:highlight w:val="none"/>
          <w:lang w:val="en-US" w:eastAsia="zh-CN" w:bidi="ar-SA"/>
        </w:rPr>
      </w:pPr>
      <w:r>
        <w:rPr>
          <w:rFonts w:hint="eastAsia" w:ascii="宋体" w:hAnsi="宋体" w:cs="Times New Roman"/>
          <w:b/>
          <w:bCs/>
          <w:spacing w:val="4"/>
          <w:kern w:val="2"/>
          <w:sz w:val="24"/>
          <w:szCs w:val="18"/>
          <w:highlight w:val="none"/>
          <w:lang w:val="en-US" w:eastAsia="zh-CN" w:bidi="ar-SA"/>
        </w:rPr>
        <w:t>根据《政府采购促进中小企业发展管理办法》（财库〔2020〕46号）、《关于进一步加大政府采购支持中小企业力度的通知》（财库〔2022〕19号）文件规定，</w:t>
      </w:r>
      <w:r>
        <w:rPr>
          <w:rFonts w:hint="eastAsia" w:ascii="宋体" w:hAnsi="宋体" w:eastAsia="宋体" w:cs="Times New Roman"/>
          <w:b/>
          <w:bCs/>
          <w:spacing w:val="4"/>
          <w:kern w:val="2"/>
          <w:sz w:val="24"/>
          <w:szCs w:val="18"/>
          <w:highlight w:val="none"/>
          <w:lang w:val="en-US" w:eastAsia="zh-CN" w:bidi="ar-SA"/>
        </w:rPr>
        <w:t>本项目专门面向中小企业</w:t>
      </w:r>
      <w:r>
        <w:rPr>
          <w:rFonts w:hint="eastAsia" w:ascii="宋体" w:hAnsi="宋体" w:cs="Times New Roman"/>
          <w:b/>
          <w:bCs/>
          <w:spacing w:val="4"/>
          <w:kern w:val="2"/>
          <w:sz w:val="24"/>
          <w:szCs w:val="18"/>
          <w:highlight w:val="none"/>
          <w:lang w:val="en-US" w:eastAsia="zh-CN" w:bidi="ar-SA"/>
        </w:rPr>
        <w:t>采购</w:t>
      </w:r>
      <w:r>
        <w:rPr>
          <w:rFonts w:hint="eastAsia" w:ascii="宋体" w:hAnsi="宋体" w:eastAsia="宋体" w:cs="Times New Roman"/>
          <w:b/>
          <w:bCs/>
          <w:spacing w:val="4"/>
          <w:kern w:val="2"/>
          <w:sz w:val="24"/>
          <w:szCs w:val="18"/>
          <w:highlight w:val="none"/>
          <w:lang w:val="en-US" w:eastAsia="zh-CN" w:bidi="ar-SA"/>
        </w:rPr>
        <w:t>，</w:t>
      </w:r>
      <w:r>
        <w:rPr>
          <w:rFonts w:hint="eastAsia" w:ascii="宋体" w:hAnsi="宋体" w:cs="Times New Roman"/>
          <w:b/>
          <w:bCs/>
          <w:spacing w:val="4"/>
          <w:kern w:val="2"/>
          <w:sz w:val="24"/>
          <w:szCs w:val="18"/>
          <w:highlight w:val="none"/>
          <w:lang w:val="en-US" w:eastAsia="zh-CN" w:bidi="ar-SA"/>
        </w:rPr>
        <w:t>不再享受价格扣除。中小企业参加政府采购活动，应当出具本办法规定的《中小企业声明函》。未出具《中小企业声明函》的，按无效投标处理。</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7</w:t>
      </w:r>
      <w:r>
        <w:rPr>
          <w:rFonts w:hint="eastAsia" w:ascii="宋体" w:hAnsi="宋体"/>
          <w:spacing w:val="4"/>
          <w:sz w:val="24"/>
          <w:highlight w:val="none"/>
        </w:rPr>
        <w:t>、比较、评价：</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对所有实质性响应文件进行了</w:t>
      </w:r>
      <w:r>
        <w:rPr>
          <w:rFonts w:hint="eastAsia" w:ascii="宋体" w:hAnsi="宋体"/>
          <w:spacing w:val="4"/>
          <w:sz w:val="24"/>
          <w:highlight w:val="none"/>
        </w:rPr>
        <w:t>评审价</w:t>
      </w:r>
      <w:r>
        <w:rPr>
          <w:rFonts w:hint="eastAsia" w:ascii="宋体" w:hAnsi="宋体"/>
          <w:spacing w:val="4"/>
          <w:sz w:val="24"/>
        </w:rPr>
        <w:t>确认之后，由竞争性磋商小组各成员按照下列《评审因素及量化指标分解表》规定的内容独立进行综合比较，评价打分。</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8</w:t>
      </w:r>
      <w:r>
        <w:rPr>
          <w:rFonts w:hint="eastAsia" w:ascii="宋体" w:hAnsi="宋体"/>
          <w:spacing w:val="4"/>
          <w:sz w:val="24"/>
        </w:rPr>
        <w:t>、推荐成交候选供应商名单</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rPr>
        <w:t>汇总磋商小组成员对每个</w:t>
      </w:r>
      <w:r>
        <w:rPr>
          <w:rFonts w:hint="eastAsia" w:ascii="宋体" w:hAnsi="宋体"/>
          <w:spacing w:val="4"/>
          <w:sz w:val="24"/>
          <w:lang w:val="en-US" w:eastAsia="zh-CN"/>
        </w:rPr>
        <w:t>供应商的</w:t>
      </w:r>
      <w:r>
        <w:rPr>
          <w:rFonts w:hint="eastAsia" w:ascii="宋体" w:hAnsi="宋体"/>
          <w:spacing w:val="4"/>
          <w:sz w:val="24"/>
        </w:rPr>
        <w:t>综合得分，按照评审得分由高到低顺序推荐3</w:t>
      </w:r>
      <w:r>
        <w:rPr>
          <w:rFonts w:hint="eastAsia" w:ascii="宋体" w:hAnsi="宋体"/>
          <w:spacing w:val="4"/>
          <w:sz w:val="24"/>
          <w:highlight w:val="none"/>
        </w:rPr>
        <w:t>名</w:t>
      </w:r>
      <w:r>
        <w:rPr>
          <w:rFonts w:hint="eastAsia" w:ascii="宋体" w:hAnsi="宋体"/>
          <w:sz w:val="24"/>
          <w:highlight w:val="none"/>
        </w:rPr>
        <w:t>成交候选</w:t>
      </w:r>
      <w:r>
        <w:rPr>
          <w:rFonts w:hint="eastAsia" w:ascii="宋体" w:hAnsi="宋体"/>
          <w:sz w:val="24"/>
          <w:highlight w:val="none"/>
          <w:lang w:val="en-US" w:eastAsia="zh-CN"/>
        </w:rPr>
        <w:t>供应商</w:t>
      </w:r>
      <w:r>
        <w:rPr>
          <w:rFonts w:hint="eastAsia" w:ascii="宋体" w:hAnsi="宋体"/>
          <w:spacing w:val="4"/>
          <w:sz w:val="24"/>
          <w:highlight w:val="none"/>
        </w:rPr>
        <w:t>。</w:t>
      </w:r>
    </w:p>
    <w:p>
      <w:pPr>
        <w:pStyle w:val="23"/>
        <w:rPr>
          <w:rFonts w:hint="eastAsia"/>
        </w:rPr>
      </w:pPr>
    </w:p>
    <w:p>
      <w:pPr>
        <w:spacing w:line="400" w:lineRule="exact"/>
        <w:jc w:val="center"/>
        <w:outlineLvl w:val="9"/>
        <w:rPr>
          <w:rFonts w:hint="eastAsia" w:ascii="宋体" w:hAnsi="宋体"/>
          <w:b/>
          <w:sz w:val="24"/>
        </w:rPr>
      </w:pPr>
      <w:r>
        <w:rPr>
          <w:rFonts w:hint="eastAsia" w:ascii="宋体" w:hAnsi="宋体"/>
          <w:b/>
          <w:sz w:val="24"/>
        </w:rPr>
        <w:t>否决投标条件</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A0.总  则</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本附件所集中列示的否决投标条件，是本章</w:t>
      </w:r>
      <w:r>
        <w:rPr>
          <w:rFonts w:hint="eastAsia" w:ascii="宋体" w:hAnsi="宋体"/>
          <w:spacing w:val="4"/>
          <w:sz w:val="24"/>
          <w:highlight w:val="none"/>
        </w:rPr>
        <w:t>“评</w:t>
      </w:r>
      <w:r>
        <w:rPr>
          <w:rFonts w:hint="eastAsia" w:ascii="宋体" w:hAnsi="宋体"/>
          <w:spacing w:val="4"/>
          <w:sz w:val="24"/>
          <w:highlight w:val="none"/>
          <w:lang w:val="en-US" w:eastAsia="zh-CN"/>
        </w:rPr>
        <w:t>审方</w:t>
      </w:r>
      <w:r>
        <w:rPr>
          <w:rFonts w:hint="eastAsia" w:ascii="宋体" w:hAnsi="宋体"/>
          <w:spacing w:val="4"/>
          <w:sz w:val="24"/>
          <w:highlight w:val="none"/>
        </w:rPr>
        <w:t>法”的</w:t>
      </w:r>
      <w:r>
        <w:rPr>
          <w:rFonts w:hint="eastAsia" w:ascii="宋体" w:hAnsi="宋体"/>
          <w:spacing w:val="4"/>
          <w:sz w:val="24"/>
        </w:rPr>
        <w:t>组成部分，是对本章正文部分所规定的否决投标条件的总结和补充，如果出现相互矛盾的情况，以本章正文部分的规定为准。</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A1.否决投标条件</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供应商</w:t>
      </w:r>
      <w:r>
        <w:rPr>
          <w:rFonts w:hint="eastAsia" w:ascii="宋体" w:hAnsi="宋体"/>
          <w:spacing w:val="4"/>
          <w:sz w:val="24"/>
          <w:highlight w:val="none"/>
        </w:rPr>
        <w:t>或其</w:t>
      </w:r>
      <w:r>
        <w:rPr>
          <w:rFonts w:hint="eastAsia" w:ascii="宋体" w:hAnsi="宋体"/>
          <w:spacing w:val="4"/>
          <w:sz w:val="24"/>
          <w:highlight w:val="none"/>
          <w:lang w:val="en-US" w:eastAsia="zh-CN"/>
        </w:rPr>
        <w:t>磋商响应</w:t>
      </w:r>
      <w:r>
        <w:rPr>
          <w:rFonts w:hint="eastAsia" w:ascii="宋体" w:hAnsi="宋体"/>
          <w:spacing w:val="4"/>
          <w:sz w:val="24"/>
          <w:highlight w:val="none"/>
        </w:rPr>
        <w:t>文件有下列情形之一的，否决其投标：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A1.1 有串通投标或弄虚作假或有其他违法行为的。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A1.2 不按</w:t>
      </w:r>
      <w:r>
        <w:rPr>
          <w:rFonts w:hint="eastAsia" w:ascii="宋体" w:hAnsi="宋体"/>
          <w:spacing w:val="4"/>
          <w:sz w:val="24"/>
          <w:highlight w:val="none"/>
          <w:lang w:eastAsia="zh-CN"/>
        </w:rPr>
        <w:t>磋商小组</w:t>
      </w:r>
      <w:r>
        <w:rPr>
          <w:rFonts w:hint="eastAsia" w:ascii="宋体" w:hAnsi="宋体"/>
          <w:spacing w:val="4"/>
          <w:sz w:val="24"/>
          <w:highlight w:val="none"/>
        </w:rPr>
        <w:t>要求澄清、说明或补正的。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A1.3</w:t>
      </w:r>
      <w:r>
        <w:rPr>
          <w:rFonts w:hint="eastAsia" w:ascii="宋体" w:hAnsi="宋体"/>
          <w:spacing w:val="4"/>
          <w:sz w:val="24"/>
          <w:highlight w:val="none"/>
          <w:lang w:val="en-US" w:eastAsia="zh-CN"/>
        </w:rPr>
        <w:t xml:space="preserve"> </w:t>
      </w:r>
      <w:r>
        <w:rPr>
          <w:rFonts w:hint="eastAsia" w:ascii="宋体" w:hAnsi="宋体"/>
          <w:spacing w:val="4"/>
          <w:sz w:val="24"/>
          <w:highlight w:val="none"/>
        </w:rPr>
        <w:t>在资格</w:t>
      </w:r>
      <w:r>
        <w:rPr>
          <w:rFonts w:hint="eastAsia" w:ascii="宋体" w:hAnsi="宋体"/>
          <w:spacing w:val="4"/>
          <w:sz w:val="24"/>
          <w:highlight w:val="none"/>
          <w:lang w:val="en-US" w:eastAsia="zh-CN"/>
        </w:rPr>
        <w:t>性</w:t>
      </w:r>
      <w:r>
        <w:rPr>
          <w:rFonts w:hint="eastAsia" w:ascii="宋体" w:hAnsi="宋体"/>
          <w:spacing w:val="4"/>
          <w:sz w:val="24"/>
          <w:highlight w:val="none"/>
        </w:rPr>
        <w:t>评审、</w:t>
      </w:r>
      <w:r>
        <w:rPr>
          <w:rFonts w:hint="eastAsia" w:ascii="宋体" w:hAnsi="宋体"/>
          <w:spacing w:val="4"/>
          <w:sz w:val="24"/>
          <w:highlight w:val="none"/>
          <w:lang w:eastAsia="zh-CN"/>
        </w:rPr>
        <w:t>符合性</w:t>
      </w:r>
      <w:r>
        <w:rPr>
          <w:rFonts w:hint="eastAsia" w:ascii="宋体" w:hAnsi="宋体"/>
          <w:spacing w:val="4"/>
          <w:sz w:val="24"/>
          <w:highlight w:val="none"/>
        </w:rPr>
        <w:t>评审中，不符合评标方法中规定的任何一项评审标准的。</w:t>
      </w:r>
    </w:p>
    <w:p>
      <w:pPr>
        <w:pStyle w:val="2"/>
        <w:rPr>
          <w:rFonts w:hint="eastAsia"/>
          <w:highlight w:val="none"/>
        </w:rPr>
      </w:pP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4磋商响应</w:t>
      </w:r>
      <w:r>
        <w:rPr>
          <w:rFonts w:hint="eastAsia" w:ascii="宋体" w:hAnsi="宋体"/>
          <w:spacing w:val="4"/>
          <w:sz w:val="24"/>
          <w:highlight w:val="none"/>
        </w:rPr>
        <w:t>文件完整性不符合竞争性磋商文件规定的投标。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5供应商</w:t>
      </w:r>
      <w:r>
        <w:rPr>
          <w:rFonts w:hint="eastAsia" w:ascii="宋体" w:hAnsi="宋体"/>
          <w:spacing w:val="4"/>
          <w:sz w:val="24"/>
          <w:highlight w:val="none"/>
        </w:rPr>
        <w:t>递交两份或多份内容不同的</w:t>
      </w:r>
      <w:r>
        <w:rPr>
          <w:rFonts w:hint="eastAsia" w:ascii="宋体" w:hAnsi="宋体"/>
          <w:spacing w:val="4"/>
          <w:sz w:val="24"/>
          <w:highlight w:val="none"/>
          <w:lang w:val="en-US" w:eastAsia="zh-CN"/>
        </w:rPr>
        <w:t>磋商响应</w:t>
      </w:r>
      <w:r>
        <w:rPr>
          <w:rFonts w:hint="eastAsia" w:ascii="宋体" w:hAnsi="宋体"/>
          <w:spacing w:val="4"/>
          <w:sz w:val="24"/>
          <w:highlight w:val="none"/>
        </w:rPr>
        <w:t>文件，或在一份</w:t>
      </w:r>
      <w:r>
        <w:rPr>
          <w:rFonts w:hint="eastAsia" w:ascii="宋体" w:hAnsi="宋体"/>
          <w:spacing w:val="4"/>
          <w:sz w:val="24"/>
          <w:highlight w:val="none"/>
          <w:lang w:val="en-US" w:eastAsia="zh-CN"/>
        </w:rPr>
        <w:t>磋商响应</w:t>
      </w:r>
      <w:r>
        <w:rPr>
          <w:rFonts w:hint="eastAsia" w:ascii="宋体" w:hAnsi="宋体"/>
          <w:spacing w:val="4"/>
          <w:sz w:val="24"/>
          <w:highlight w:val="none"/>
        </w:rPr>
        <w:t>文件中对同一</w:t>
      </w:r>
      <w:r>
        <w:rPr>
          <w:rFonts w:hint="eastAsia" w:ascii="宋体" w:hAnsi="宋体"/>
          <w:spacing w:val="4"/>
          <w:sz w:val="24"/>
          <w:highlight w:val="none"/>
          <w:lang w:val="en-US" w:eastAsia="zh-CN"/>
        </w:rPr>
        <w:t>采购</w:t>
      </w:r>
      <w:r>
        <w:rPr>
          <w:rFonts w:hint="eastAsia" w:ascii="宋体" w:hAnsi="宋体"/>
          <w:spacing w:val="4"/>
          <w:sz w:val="24"/>
          <w:highlight w:val="none"/>
        </w:rPr>
        <w:t>项目有两个或多个报价的。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6</w:t>
      </w:r>
      <w:r>
        <w:rPr>
          <w:rFonts w:hint="eastAsia" w:ascii="宋体" w:hAnsi="宋体"/>
          <w:spacing w:val="4"/>
          <w:sz w:val="24"/>
          <w:highlight w:val="none"/>
          <w:lang w:eastAsia="zh-CN"/>
        </w:rPr>
        <w:t>磋商小组认定供应商的报价明显低于其他通过符合性评审供应商的报价，有可能影响产品质量或者不能诚信履约的，且供应商不能在评标现场合理的时间内提供书面说明或者不能提供相应证明材料的。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7</w:t>
      </w:r>
      <w:r>
        <w:rPr>
          <w:rFonts w:hint="eastAsia" w:ascii="宋体" w:hAnsi="宋体"/>
          <w:spacing w:val="4"/>
          <w:sz w:val="24"/>
          <w:highlight w:val="none"/>
        </w:rPr>
        <w:t>响应文件电子版与文字版报价数据不一致的投标。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8供应商</w:t>
      </w:r>
      <w:r>
        <w:rPr>
          <w:rFonts w:hint="eastAsia" w:ascii="宋体" w:hAnsi="宋体"/>
          <w:spacing w:val="4"/>
          <w:sz w:val="24"/>
          <w:highlight w:val="none"/>
        </w:rPr>
        <w:t>私自改动磋商文件提供的工程量清单中的工程数量的投标。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9</w:t>
      </w:r>
      <w:r>
        <w:rPr>
          <w:rFonts w:hint="eastAsia" w:ascii="宋体" w:hAnsi="宋体"/>
          <w:spacing w:val="4"/>
          <w:sz w:val="24"/>
          <w:highlight w:val="none"/>
        </w:rPr>
        <w:t>其他经</w:t>
      </w:r>
      <w:r>
        <w:rPr>
          <w:rFonts w:hint="eastAsia" w:ascii="宋体" w:hAnsi="宋体"/>
          <w:spacing w:val="4"/>
          <w:sz w:val="24"/>
          <w:highlight w:val="none"/>
          <w:lang w:val="en-US" w:eastAsia="zh-CN"/>
        </w:rPr>
        <w:t>磋商小组</w:t>
      </w:r>
      <w:r>
        <w:rPr>
          <w:rFonts w:hint="eastAsia" w:ascii="宋体" w:hAnsi="宋体"/>
          <w:spacing w:val="4"/>
          <w:sz w:val="24"/>
          <w:highlight w:val="none"/>
        </w:rPr>
        <w:t>确认的未能实质性响应竞争性磋商文件要求的投标。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A1.1</w:t>
      </w:r>
      <w:r>
        <w:rPr>
          <w:rFonts w:hint="eastAsia" w:ascii="宋体" w:hAnsi="宋体"/>
          <w:spacing w:val="4"/>
          <w:sz w:val="24"/>
          <w:highlight w:val="none"/>
          <w:lang w:val="en-US" w:eastAsia="zh-CN"/>
        </w:rPr>
        <w:t>0</w:t>
      </w:r>
      <w:r>
        <w:rPr>
          <w:rFonts w:hint="eastAsia" w:ascii="宋体" w:hAnsi="宋体"/>
          <w:spacing w:val="4"/>
          <w:sz w:val="24"/>
          <w:highlight w:val="none"/>
        </w:rPr>
        <w:t>法律、法规及行业有规定的其他情形。</w:t>
      </w:r>
    </w:p>
    <w:p>
      <w:pPr>
        <w:spacing w:line="360" w:lineRule="auto"/>
        <w:ind w:firstLine="496" w:firstLineChars="200"/>
        <w:outlineLvl w:val="9"/>
        <w:rPr>
          <w:rFonts w:hint="eastAsia" w:ascii="宋体" w:hAnsi="宋体"/>
          <w:spacing w:val="4"/>
          <w:sz w:val="24"/>
          <w:highlight w:val="none"/>
          <w:lang w:eastAsia="zh-CN"/>
        </w:rPr>
      </w:pPr>
      <w:r>
        <w:rPr>
          <w:rFonts w:hint="eastAsia" w:ascii="宋体" w:hAnsi="宋体"/>
          <w:spacing w:val="4"/>
          <w:sz w:val="24"/>
          <w:highlight w:val="none"/>
        </w:rPr>
        <w:t>A1.1</w:t>
      </w:r>
      <w:r>
        <w:rPr>
          <w:rFonts w:hint="eastAsia" w:ascii="宋体" w:hAnsi="宋体"/>
          <w:spacing w:val="4"/>
          <w:sz w:val="24"/>
          <w:highlight w:val="none"/>
          <w:lang w:val="en-US" w:eastAsia="zh-CN"/>
        </w:rPr>
        <w:t>1磋商报价超过最高限价的。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A2.串通投标</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有下列情形之一的，属于</w:t>
      </w:r>
      <w:r>
        <w:rPr>
          <w:rFonts w:hint="eastAsia" w:ascii="宋体" w:hAnsi="宋体"/>
          <w:spacing w:val="4"/>
          <w:sz w:val="24"/>
          <w:lang w:val="en-US" w:eastAsia="zh-CN"/>
        </w:rPr>
        <w:t>供应商</w:t>
      </w:r>
      <w:r>
        <w:rPr>
          <w:rFonts w:hint="eastAsia" w:ascii="宋体" w:hAnsi="宋体"/>
          <w:spacing w:val="4"/>
          <w:sz w:val="24"/>
        </w:rPr>
        <w:t>相互串通投标：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（1）</w:t>
      </w:r>
      <w:r>
        <w:rPr>
          <w:rFonts w:hint="eastAsia" w:ascii="宋体" w:hAnsi="宋体"/>
          <w:spacing w:val="4"/>
          <w:sz w:val="24"/>
          <w:highlight w:val="none"/>
          <w:lang w:val="en-US" w:eastAsia="zh-CN"/>
        </w:rPr>
        <w:t>供应商</w:t>
      </w:r>
      <w:r>
        <w:rPr>
          <w:rFonts w:hint="eastAsia" w:ascii="宋体" w:hAnsi="宋体"/>
          <w:spacing w:val="4"/>
          <w:sz w:val="24"/>
          <w:highlight w:val="none"/>
        </w:rPr>
        <w:t>之间协商</w:t>
      </w:r>
      <w:r>
        <w:rPr>
          <w:rFonts w:hint="eastAsia" w:ascii="宋体" w:hAnsi="宋体"/>
          <w:spacing w:val="4"/>
          <w:sz w:val="24"/>
          <w:highlight w:val="none"/>
          <w:lang w:eastAsia="zh-CN"/>
        </w:rPr>
        <w:t>磋商</w:t>
      </w:r>
      <w:r>
        <w:rPr>
          <w:rFonts w:hint="eastAsia" w:ascii="宋体" w:hAnsi="宋体"/>
          <w:spacing w:val="4"/>
          <w:sz w:val="24"/>
          <w:highlight w:val="none"/>
        </w:rPr>
        <w:t>报价等响应文件的实质性内容；</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（2）</w:t>
      </w:r>
      <w:r>
        <w:rPr>
          <w:rFonts w:hint="eastAsia" w:ascii="宋体" w:hAnsi="宋体"/>
          <w:spacing w:val="4"/>
          <w:sz w:val="24"/>
          <w:highlight w:val="none"/>
          <w:lang w:val="en-US" w:eastAsia="zh-CN"/>
        </w:rPr>
        <w:t>供应商</w:t>
      </w:r>
      <w:r>
        <w:rPr>
          <w:rFonts w:hint="eastAsia" w:ascii="宋体" w:hAnsi="宋体"/>
          <w:spacing w:val="4"/>
          <w:sz w:val="24"/>
          <w:highlight w:val="none"/>
        </w:rPr>
        <w:t>之间约定</w:t>
      </w:r>
      <w:r>
        <w:rPr>
          <w:rFonts w:hint="eastAsia" w:ascii="宋体" w:hAnsi="宋体"/>
          <w:spacing w:val="4"/>
          <w:sz w:val="24"/>
          <w:highlight w:val="none"/>
          <w:lang w:val="en-US" w:eastAsia="zh-CN"/>
        </w:rPr>
        <w:t>成交</w:t>
      </w:r>
      <w:r>
        <w:rPr>
          <w:rFonts w:hint="eastAsia" w:ascii="宋体" w:hAnsi="宋体"/>
          <w:spacing w:val="4"/>
          <w:sz w:val="24"/>
          <w:highlight w:val="none"/>
        </w:rPr>
        <w:t>人；</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（3）</w:t>
      </w:r>
      <w:r>
        <w:rPr>
          <w:rFonts w:hint="eastAsia" w:ascii="宋体" w:hAnsi="宋体"/>
          <w:spacing w:val="4"/>
          <w:sz w:val="24"/>
          <w:highlight w:val="none"/>
          <w:lang w:val="en-US" w:eastAsia="zh-CN"/>
        </w:rPr>
        <w:t>供应商</w:t>
      </w:r>
      <w:r>
        <w:rPr>
          <w:rFonts w:hint="eastAsia" w:ascii="宋体" w:hAnsi="宋体"/>
          <w:spacing w:val="4"/>
          <w:sz w:val="24"/>
          <w:highlight w:val="none"/>
        </w:rPr>
        <w:t>之间约定部分</w:t>
      </w:r>
      <w:r>
        <w:rPr>
          <w:rFonts w:hint="eastAsia" w:ascii="宋体" w:hAnsi="宋体"/>
          <w:spacing w:val="4"/>
          <w:sz w:val="24"/>
          <w:highlight w:val="none"/>
          <w:lang w:eastAsia="zh-CN"/>
        </w:rPr>
        <w:t>供应商</w:t>
      </w:r>
      <w:r>
        <w:rPr>
          <w:rFonts w:hint="eastAsia" w:ascii="宋体" w:hAnsi="宋体"/>
          <w:spacing w:val="4"/>
          <w:sz w:val="24"/>
          <w:highlight w:val="none"/>
        </w:rPr>
        <w:t>放弃投标或者</w:t>
      </w:r>
      <w:r>
        <w:rPr>
          <w:rFonts w:hint="eastAsia" w:ascii="宋体" w:hAnsi="宋体"/>
          <w:spacing w:val="4"/>
          <w:sz w:val="24"/>
          <w:highlight w:val="none"/>
          <w:lang w:val="en-US" w:eastAsia="zh-CN"/>
        </w:rPr>
        <w:t>成交</w:t>
      </w:r>
      <w:r>
        <w:rPr>
          <w:rFonts w:hint="eastAsia" w:ascii="宋体" w:hAnsi="宋体"/>
          <w:spacing w:val="4"/>
          <w:sz w:val="24"/>
          <w:highlight w:val="none"/>
        </w:rPr>
        <w:t>；</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（4）属于同一集团、协会、商会等组织成员的</w:t>
      </w:r>
      <w:r>
        <w:rPr>
          <w:rFonts w:hint="eastAsia" w:ascii="宋体" w:hAnsi="宋体"/>
          <w:spacing w:val="4"/>
          <w:sz w:val="24"/>
          <w:highlight w:val="none"/>
          <w:lang w:val="en-US" w:eastAsia="zh-CN"/>
        </w:rPr>
        <w:t>供应商</w:t>
      </w:r>
      <w:r>
        <w:rPr>
          <w:rFonts w:hint="eastAsia" w:ascii="宋体" w:hAnsi="宋体"/>
          <w:spacing w:val="4"/>
          <w:sz w:val="24"/>
          <w:highlight w:val="none"/>
        </w:rPr>
        <w:t>按照该组织要求协同投标；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（5）</w:t>
      </w:r>
      <w:r>
        <w:rPr>
          <w:rFonts w:hint="eastAsia" w:ascii="宋体" w:hAnsi="宋体"/>
          <w:spacing w:val="4"/>
          <w:sz w:val="24"/>
          <w:highlight w:val="none"/>
          <w:lang w:val="en-US" w:eastAsia="zh-CN"/>
        </w:rPr>
        <w:t>供应商</w:t>
      </w:r>
      <w:r>
        <w:rPr>
          <w:rFonts w:hint="eastAsia" w:ascii="宋体" w:hAnsi="宋体"/>
          <w:spacing w:val="4"/>
          <w:sz w:val="24"/>
          <w:highlight w:val="none"/>
        </w:rPr>
        <w:t>之间为谋取</w:t>
      </w:r>
      <w:r>
        <w:rPr>
          <w:rFonts w:hint="eastAsia" w:ascii="宋体" w:hAnsi="宋体"/>
          <w:spacing w:val="4"/>
          <w:sz w:val="24"/>
          <w:highlight w:val="none"/>
          <w:lang w:val="en-US" w:eastAsia="zh-CN"/>
        </w:rPr>
        <w:t>成交</w:t>
      </w:r>
      <w:r>
        <w:rPr>
          <w:rFonts w:hint="eastAsia" w:ascii="宋体" w:hAnsi="宋体"/>
          <w:spacing w:val="4"/>
          <w:sz w:val="24"/>
          <w:highlight w:val="none"/>
        </w:rPr>
        <w:t>或者排斥特定</w:t>
      </w:r>
      <w:r>
        <w:rPr>
          <w:rFonts w:hint="eastAsia" w:ascii="宋体" w:hAnsi="宋体"/>
          <w:spacing w:val="4"/>
          <w:sz w:val="24"/>
          <w:highlight w:val="none"/>
          <w:lang w:eastAsia="zh-CN"/>
        </w:rPr>
        <w:t>供应商</w:t>
      </w:r>
      <w:r>
        <w:rPr>
          <w:rFonts w:hint="eastAsia" w:ascii="宋体" w:hAnsi="宋体"/>
          <w:spacing w:val="4"/>
          <w:sz w:val="24"/>
          <w:highlight w:val="none"/>
        </w:rPr>
        <w:t>而采取的其他联合行动。</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有下列情形之一的，视为</w:t>
      </w:r>
      <w:r>
        <w:rPr>
          <w:rFonts w:hint="eastAsia" w:ascii="宋体" w:hAnsi="宋体"/>
          <w:spacing w:val="4"/>
          <w:sz w:val="24"/>
          <w:highlight w:val="none"/>
          <w:lang w:val="en-US" w:eastAsia="zh-CN"/>
        </w:rPr>
        <w:t>供应商</w:t>
      </w:r>
      <w:r>
        <w:rPr>
          <w:rFonts w:hint="eastAsia" w:ascii="宋体" w:hAnsi="宋体"/>
          <w:spacing w:val="4"/>
          <w:sz w:val="24"/>
          <w:highlight w:val="none"/>
        </w:rPr>
        <w:t>相互串通投标：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（1）</w:t>
      </w:r>
      <w:r>
        <w:rPr>
          <w:rFonts w:hint="eastAsia" w:ascii="宋体" w:hAnsi="宋体" w:eastAsia="宋体" w:cs="宋体"/>
          <w:spacing w:val="4"/>
          <w:sz w:val="24"/>
          <w:highlight w:val="none"/>
        </w:rPr>
        <w:t>不</w:t>
      </w:r>
      <w:r>
        <w:rPr>
          <w:rFonts w:hint="eastAsia" w:ascii="宋体" w:hAnsi="宋体"/>
          <w:spacing w:val="4"/>
          <w:sz w:val="24"/>
          <w:highlight w:val="none"/>
        </w:rPr>
        <w:t>同</w:t>
      </w:r>
      <w:r>
        <w:rPr>
          <w:rFonts w:hint="eastAsia" w:ascii="宋体" w:hAnsi="宋体"/>
          <w:spacing w:val="4"/>
          <w:sz w:val="24"/>
          <w:highlight w:val="none"/>
          <w:lang w:val="en-US" w:eastAsia="zh-CN"/>
        </w:rPr>
        <w:t>供应商</w:t>
      </w:r>
      <w:r>
        <w:rPr>
          <w:rFonts w:hint="eastAsia" w:ascii="宋体" w:hAnsi="宋体"/>
          <w:spacing w:val="4"/>
          <w:sz w:val="24"/>
          <w:highlight w:val="none"/>
        </w:rPr>
        <w:t>的响应文件由同一单位或者个人编制；</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2</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委托同一单位或者个人办理投标事宜；</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3</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的响应文件载明的项目管理成员为同一人；</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4</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的响应文件异常一致或者</w:t>
      </w:r>
      <w:r>
        <w:rPr>
          <w:rFonts w:hint="eastAsia" w:ascii="宋体" w:hAnsi="宋体" w:eastAsia="宋体" w:cs="宋体"/>
          <w:spacing w:val="4"/>
          <w:sz w:val="24"/>
          <w:highlight w:val="none"/>
          <w:lang w:val="en-US" w:eastAsia="zh-CN"/>
        </w:rPr>
        <w:t>磋商</w:t>
      </w:r>
      <w:r>
        <w:rPr>
          <w:rFonts w:hint="eastAsia" w:ascii="宋体" w:hAnsi="宋体" w:eastAsia="宋体" w:cs="宋体"/>
          <w:spacing w:val="4"/>
          <w:sz w:val="24"/>
          <w:highlight w:val="none"/>
        </w:rPr>
        <w:t>报价呈规律性差异；</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5</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的响应文件相互混装；</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6</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的磋商保证金从同一单位或者个人的账户转出；</w:t>
      </w:r>
    </w:p>
    <w:p>
      <w:pPr>
        <w:spacing w:line="360" w:lineRule="auto"/>
        <w:ind w:firstLine="496" w:firstLineChars="200"/>
        <w:outlineLvl w:val="9"/>
        <w:rPr>
          <w:rFonts w:hint="default" w:ascii="宋体" w:hAnsi="宋体"/>
          <w:spacing w:val="4"/>
          <w:sz w:val="24"/>
          <w:highlight w:val="none"/>
          <w:lang w:val="en-US" w:eastAsia="zh-CN"/>
        </w:rPr>
      </w:pPr>
      <w:r>
        <w:rPr>
          <w:rFonts w:hint="eastAsia" w:ascii="宋体" w:hAnsi="宋体"/>
          <w:spacing w:val="4"/>
          <w:sz w:val="24"/>
          <w:highlight w:val="none"/>
        </w:rPr>
        <w:t>（</w:t>
      </w:r>
      <w:r>
        <w:rPr>
          <w:rFonts w:hint="eastAsia" w:ascii="宋体" w:hAnsi="宋体"/>
          <w:spacing w:val="4"/>
          <w:sz w:val="24"/>
          <w:highlight w:val="none"/>
          <w:lang w:val="en-US" w:eastAsia="zh-CN"/>
        </w:rPr>
        <w:t>7</w:t>
      </w:r>
      <w:r>
        <w:rPr>
          <w:rFonts w:hint="eastAsia" w:ascii="宋体" w:hAnsi="宋体"/>
          <w:spacing w:val="4"/>
          <w:sz w:val="24"/>
          <w:highlight w:val="none"/>
        </w:rPr>
        <w:t>）</w:t>
      </w:r>
      <w:r>
        <w:rPr>
          <w:rFonts w:hint="eastAsia" w:ascii="宋体" w:hAnsi="宋体" w:eastAsia="宋体" w:cs="宋体"/>
          <w:spacing w:val="4"/>
          <w:sz w:val="24"/>
          <w:highlight w:val="none"/>
          <w:lang w:val="en-US" w:eastAsia="zh-CN"/>
        </w:rPr>
        <w:t>不同</w:t>
      </w:r>
      <w:r>
        <w:rPr>
          <w:rFonts w:hint="eastAsia" w:ascii="宋体" w:hAnsi="宋体"/>
          <w:spacing w:val="4"/>
          <w:sz w:val="24"/>
          <w:highlight w:val="none"/>
          <w:lang w:val="en-US" w:eastAsia="zh-CN"/>
        </w:rPr>
        <w:t>供应商的响应文件由同一电脑编制、上传或磋商报价用同一个预算编制软件密码锁制作或出自同一电子文档。</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A3.弄虚作假</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供应商</w:t>
      </w:r>
      <w:r>
        <w:rPr>
          <w:rFonts w:hint="eastAsia" w:ascii="宋体" w:hAnsi="宋体"/>
          <w:spacing w:val="4"/>
          <w:sz w:val="24"/>
        </w:rPr>
        <w:t>有下列情形之一的，属于弄虚作假的行为：</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A3.1 使用伪造、变造的许可证件；</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A3.2 提供虚假的财务状况或者业绩；</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A3.3 提供虚假的项目负责人或者主要技术人员简历、劳动关系证明；</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A3.4 提供虚假的信用状况；</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A3.5 其他弄虚作假的行为。</w:t>
      </w: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jc w:val="center"/>
        <w:outlineLvl w:val="9"/>
        <w:rPr>
          <w:rFonts w:hint="default" w:ascii="宋体" w:hAnsi="宋体" w:eastAsia="宋体"/>
          <w:b/>
          <w:bCs/>
          <w:spacing w:val="4"/>
          <w:sz w:val="28"/>
          <w:szCs w:val="28"/>
          <w:highlight w:val="none"/>
          <w:lang w:val="en-US" w:eastAsia="zh-CN"/>
        </w:rPr>
      </w:pPr>
      <w:r>
        <w:rPr>
          <w:rFonts w:hint="eastAsia" w:ascii="宋体" w:hAnsi="宋体"/>
          <w:b/>
          <w:bCs/>
          <w:spacing w:val="4"/>
          <w:sz w:val="28"/>
          <w:szCs w:val="28"/>
          <w:highlight w:val="none"/>
          <w:lang w:val="en-US" w:eastAsia="zh-CN"/>
        </w:rPr>
        <w:br w:type="page"/>
      </w:r>
      <w:r>
        <w:rPr>
          <w:rFonts w:hint="eastAsia" w:ascii="宋体" w:hAnsi="宋体"/>
          <w:b/>
          <w:bCs/>
          <w:spacing w:val="4"/>
          <w:sz w:val="28"/>
          <w:szCs w:val="28"/>
          <w:highlight w:val="none"/>
          <w:lang w:val="en-US" w:eastAsia="zh-CN"/>
        </w:rPr>
        <w:t>资格性评审</w:t>
      </w:r>
    </w:p>
    <w:p>
      <w:pPr>
        <w:pStyle w:val="2"/>
        <w:outlineLvl w:val="9"/>
        <w:rPr>
          <w:rFonts w:hint="eastAsia" w:ascii="宋体" w:hAnsi="宋体"/>
          <w:sz w:val="24"/>
        </w:rPr>
      </w:pPr>
    </w:p>
    <w:tbl>
      <w:tblPr>
        <w:tblStyle w:val="24"/>
        <w:tblpPr w:leftFromText="180" w:rightFromText="180" w:vertAnchor="text" w:horzAnchor="page" w:tblpX="1503" w:tblpY="68"/>
        <w:tblOverlap w:val="never"/>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89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6" w:type="dxa"/>
            <w:noWrap w:val="0"/>
            <w:vAlign w:val="center"/>
          </w:tcPr>
          <w:p>
            <w:pPr>
              <w:spacing w:line="380" w:lineRule="exact"/>
              <w:jc w:val="center"/>
              <w:outlineLvl w:val="9"/>
              <w:rPr>
                <w:rFonts w:hint="eastAsia" w:ascii="宋体" w:hAnsi="宋体"/>
                <w:b/>
                <w:szCs w:val="21"/>
              </w:rPr>
            </w:pPr>
            <w:r>
              <w:rPr>
                <w:rFonts w:hint="eastAsia" w:ascii="宋体" w:hAnsi="宋体"/>
                <w:b/>
                <w:szCs w:val="21"/>
              </w:rPr>
              <w:t>评审内容</w:t>
            </w:r>
          </w:p>
        </w:tc>
        <w:tc>
          <w:tcPr>
            <w:tcW w:w="6899" w:type="dxa"/>
            <w:noWrap w:val="0"/>
            <w:vAlign w:val="center"/>
          </w:tcPr>
          <w:p>
            <w:pPr>
              <w:spacing w:line="380" w:lineRule="exact"/>
              <w:jc w:val="center"/>
              <w:outlineLvl w:val="9"/>
              <w:rPr>
                <w:rFonts w:hint="eastAsia" w:ascii="宋体" w:hAnsi="宋体"/>
                <w:b/>
                <w:szCs w:val="21"/>
              </w:rPr>
            </w:pPr>
            <w:r>
              <w:rPr>
                <w:rFonts w:hint="eastAsia" w:ascii="宋体" w:hAnsi="宋体"/>
                <w:b/>
                <w:szCs w:val="21"/>
              </w:rPr>
              <w:t>评审因素</w:t>
            </w:r>
          </w:p>
        </w:tc>
        <w:tc>
          <w:tcPr>
            <w:tcW w:w="1324" w:type="dxa"/>
            <w:noWrap w:val="0"/>
            <w:vAlign w:val="center"/>
          </w:tcPr>
          <w:p>
            <w:pPr>
              <w:spacing w:line="380" w:lineRule="exact"/>
              <w:jc w:val="center"/>
              <w:outlineLvl w:val="9"/>
              <w:rPr>
                <w:rFonts w:hint="eastAsia"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6" w:type="dxa"/>
            <w:vMerge w:val="restart"/>
            <w:noWrap w:val="0"/>
            <w:vAlign w:val="center"/>
          </w:tcPr>
          <w:p>
            <w:pPr>
              <w:spacing w:line="380" w:lineRule="exact"/>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资格评审</w:t>
            </w:r>
          </w:p>
        </w:tc>
        <w:tc>
          <w:tcPr>
            <w:tcW w:w="6899" w:type="dxa"/>
            <w:noWrap w:val="0"/>
            <w:vAlign w:val="center"/>
          </w:tcPr>
          <w:p>
            <w:pPr>
              <w:spacing w:line="500" w:lineRule="exact"/>
              <w:outlineLvl w:val="9"/>
              <w:rPr>
                <w:rFonts w:hint="eastAsia" w:cs="宋体"/>
                <w:szCs w:val="24"/>
                <w:highlight w:val="none"/>
                <w:lang w:val="en-US" w:eastAsia="zh-CN"/>
              </w:rPr>
            </w:pPr>
            <w:r>
              <w:rPr>
                <w:rFonts w:hint="eastAsia" w:eastAsia="宋体" w:cs="宋体"/>
                <w:szCs w:val="24"/>
                <w:lang w:val="en-US" w:eastAsia="zh-CN"/>
              </w:rPr>
              <w:t>具有独立承担民事责任能力的法人、其他组织或自然人，提供合法有效年报合格的统一社会信用代码营业执照或事业单位法人证书等国家规定的相关证明，自然人参与的提供其身份证明；</w:t>
            </w:r>
          </w:p>
        </w:tc>
        <w:tc>
          <w:tcPr>
            <w:tcW w:w="1324" w:type="dxa"/>
            <w:vMerge w:val="restart"/>
            <w:noWrap w:val="0"/>
            <w:vAlign w:val="center"/>
          </w:tcPr>
          <w:p>
            <w:pPr>
              <w:spacing w:line="380" w:lineRule="exact"/>
              <w:jc w:val="center"/>
              <w:outlineLvl w:val="9"/>
              <w:rPr>
                <w:rFonts w:hint="eastAsia"/>
                <w:highlight w:val="yellow"/>
              </w:rPr>
            </w:pPr>
          </w:p>
          <w:p>
            <w:pPr>
              <w:spacing w:line="380" w:lineRule="exact"/>
              <w:jc w:val="center"/>
              <w:outlineLvl w:val="9"/>
              <w:rPr>
                <w:rFonts w:hint="eastAsia"/>
                <w:b w:val="0"/>
                <w:bCs w:val="0"/>
                <w:highlight w:val="none"/>
              </w:rPr>
            </w:pPr>
            <w:r>
              <w:rPr>
                <w:rFonts w:hint="eastAsia"/>
                <w:b w:val="0"/>
                <w:bCs w:val="0"/>
                <w:highlight w:val="none"/>
              </w:rPr>
              <w:t>符合性评审</w:t>
            </w:r>
          </w:p>
          <w:p>
            <w:pPr>
              <w:spacing w:line="380" w:lineRule="exact"/>
              <w:jc w:val="center"/>
              <w:outlineLvl w:val="9"/>
              <w:rPr>
                <w:rFonts w:hint="eastAsia"/>
                <w:b w:val="0"/>
                <w:bCs w:val="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cs="宋体"/>
                <w:szCs w:val="24"/>
                <w:lang w:val="en-US" w:eastAsia="zh-CN"/>
              </w:rPr>
            </w:pPr>
            <w:r>
              <w:rPr>
                <w:rFonts w:hint="eastAsia" w:cs="宋体"/>
                <w:szCs w:val="24"/>
                <w:lang w:val="en-US" w:eastAsia="zh-CN"/>
              </w:rPr>
              <w:t xml:space="preserve">提供法定代表人授权委托书原件（附法定代表人、被授权人身份证复印件）及被授权人身份证原件（法定代表人参会只须提供其身份证原件）； </w:t>
            </w:r>
          </w:p>
        </w:tc>
        <w:tc>
          <w:tcPr>
            <w:tcW w:w="1324"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ascii="Times New Roman" w:hAnsi="Times New Roman" w:eastAsia="宋体" w:cs="宋体"/>
                <w:szCs w:val="24"/>
                <w:highlight w:val="none"/>
                <w:lang w:val="en-US" w:eastAsia="zh-CN"/>
              </w:rPr>
            </w:pPr>
            <w:r>
              <w:rPr>
                <w:rFonts w:hint="eastAsia" w:ascii="Times New Roman" w:hAnsi="Times New Roman" w:eastAsia="宋体" w:cs="宋体"/>
                <w:szCs w:val="24"/>
                <w:highlight w:val="none"/>
                <w:lang w:val="en-US" w:eastAsia="zh-CN"/>
              </w:rPr>
              <w:t>须具备水利水电工程施工总承包三级及以上资质</w:t>
            </w:r>
            <w:r>
              <w:rPr>
                <w:rFonts w:hint="eastAsia" w:cs="宋体"/>
                <w:szCs w:val="24"/>
                <w:highlight w:val="none"/>
                <w:lang w:val="en-US" w:eastAsia="zh-CN"/>
              </w:rPr>
              <w:t>；</w:t>
            </w:r>
          </w:p>
        </w:tc>
        <w:tc>
          <w:tcPr>
            <w:tcW w:w="1324" w:type="dxa"/>
            <w:vMerge w:val="continue"/>
            <w:noWrap w:val="0"/>
            <w:vAlign w:val="center"/>
          </w:tcPr>
          <w:p>
            <w:pPr>
              <w:spacing w:line="380" w:lineRule="exact"/>
              <w:jc w:val="center"/>
              <w:outlineLvl w:val="9"/>
              <w:rPr>
                <w:rFonts w:hint="eastAsia" w:ascii="宋体" w:hAnsi="宋体"/>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ascii="Times New Roman" w:hAnsi="Times New Roman" w:eastAsia="宋体" w:cs="宋体"/>
                <w:szCs w:val="24"/>
                <w:highlight w:val="none"/>
                <w:lang w:val="en-US" w:eastAsia="zh-CN"/>
              </w:rPr>
            </w:pPr>
            <w:r>
              <w:rPr>
                <w:rFonts w:hint="eastAsia" w:ascii="Times New Roman" w:hAnsi="Times New Roman" w:eastAsia="宋体" w:cs="宋体"/>
                <w:szCs w:val="24"/>
                <w:highlight w:val="none"/>
                <w:lang w:val="en-US" w:eastAsia="zh-CN"/>
              </w:rPr>
              <w:t>须具有建设行政主管部门核发有效的安全生产许可证；</w:t>
            </w:r>
          </w:p>
        </w:tc>
        <w:tc>
          <w:tcPr>
            <w:tcW w:w="1324" w:type="dxa"/>
            <w:vMerge w:val="continue"/>
            <w:noWrap w:val="0"/>
            <w:vAlign w:val="center"/>
          </w:tcPr>
          <w:p>
            <w:pPr>
              <w:spacing w:line="380" w:lineRule="exact"/>
              <w:jc w:val="center"/>
              <w:outlineLvl w:val="9"/>
              <w:rPr>
                <w:rFonts w:hint="eastAsia" w:ascii="宋体" w:hAnsi="宋体"/>
                <w:b w:val="0"/>
                <w:bCs w:val="0"/>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ascii="Times New Roman" w:hAnsi="Times New Roman" w:eastAsia="宋体" w:cs="宋体"/>
                <w:szCs w:val="24"/>
                <w:highlight w:val="none"/>
                <w:lang w:val="en-US" w:eastAsia="zh-CN"/>
              </w:rPr>
            </w:pPr>
            <w:r>
              <w:rPr>
                <w:rFonts w:hint="eastAsia" w:ascii="Times New Roman" w:hAnsi="Times New Roman" w:eastAsia="宋体" w:cs="Times New Roman"/>
                <w:lang w:val="en-US" w:eastAsia="zh-CN"/>
              </w:rPr>
              <w:t>拟派项目经理须具备水利水电工程注册建造师二级及以上资格和有效的安全生产考核证书，须提供项目经理无在建工程的相关证明材料或承诺书；</w:t>
            </w:r>
          </w:p>
        </w:tc>
        <w:tc>
          <w:tcPr>
            <w:tcW w:w="1324" w:type="dxa"/>
            <w:vMerge w:val="continue"/>
            <w:noWrap w:val="0"/>
            <w:vAlign w:val="center"/>
          </w:tcPr>
          <w:p>
            <w:pPr>
              <w:pStyle w:val="2"/>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cs="宋体"/>
                <w:szCs w:val="24"/>
                <w:lang w:val="en-US" w:eastAsia="zh-CN"/>
              </w:rPr>
            </w:pPr>
            <w:r>
              <w:rPr>
                <w:rFonts w:hint="eastAsia" w:ascii="Times New Roman" w:hAnsi="Times New Roman" w:eastAsia="宋体" w:cs="Times New Roman"/>
                <w:lang w:val="en-US" w:eastAsia="zh-CN"/>
              </w:rPr>
              <w:t>须提供2022年度经审计的财务报告（成立时间至提交磋商响应文件截止时间不足一年的可提供成立后任意时段的财务报表）；</w:t>
            </w:r>
          </w:p>
        </w:tc>
        <w:tc>
          <w:tcPr>
            <w:tcW w:w="1324"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cs="宋体"/>
                <w:szCs w:val="24"/>
                <w:lang w:val="en-US" w:eastAsia="zh-CN"/>
              </w:rPr>
            </w:pPr>
            <w:r>
              <w:rPr>
                <w:rFonts w:hint="eastAsia" w:ascii="Times New Roman" w:hAnsi="Times New Roman" w:eastAsia="宋体" w:cs="Times New Roman"/>
                <w:lang w:val="en-US" w:eastAsia="zh-CN"/>
              </w:rPr>
              <w:t>须提供依法缴纳税收的良好记录（提供磋商响应文件递交截止时间前六个月内任意一个月份的缴纳凭据复印件并加盖单位公章。依法免税或开标前一年内零申报的供应商应提供相关证明文件）；</w:t>
            </w:r>
          </w:p>
        </w:tc>
        <w:tc>
          <w:tcPr>
            <w:tcW w:w="1324"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cs="宋体"/>
                <w:szCs w:val="24"/>
                <w:lang w:val="en-US" w:eastAsia="zh-CN"/>
              </w:rPr>
            </w:pPr>
            <w:r>
              <w:rPr>
                <w:rFonts w:hint="eastAsia" w:ascii="Times New Roman" w:hAnsi="Times New Roman" w:eastAsia="宋体" w:cs="Times New Roman"/>
                <w:lang w:val="en-US" w:eastAsia="zh-CN"/>
              </w:rPr>
              <w:t>须提供依法缴纳社会保障资金的良好记录（提供磋商响应文件递交截止时间前六个月内任意一个月份的缴纳凭据复印件并加盖单位公章。依法不需要缴纳社会保障资金的供应商应提供相关证明文件）； </w:t>
            </w:r>
          </w:p>
        </w:tc>
        <w:tc>
          <w:tcPr>
            <w:tcW w:w="1324"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cs="宋体"/>
                <w:szCs w:val="24"/>
                <w:lang w:val="en-US" w:eastAsia="zh-CN"/>
              </w:rPr>
            </w:pPr>
            <w:r>
              <w:rPr>
                <w:rFonts w:hint="eastAsia" w:ascii="Times New Roman" w:hAnsi="Times New Roman" w:eastAsia="宋体" w:cs="Times New Roman"/>
                <w:lang w:val="en-US" w:eastAsia="zh-CN"/>
              </w:rPr>
              <w:t>投标截止日前不得为“信用中国”网站（www.creditchina.gov.cn）中列入失信被执行人、重大税收违法失信主体和政府采购严重违法失信行为记录名单中的供应商；不得为“中国政府采购网”（www.ccgp.gov.cn）政府采购严重违法失信行为信息记录中被财政部门禁止参加政府采购活动的供应商（最终以采购代理机构评审现场查询结果为准）</w:t>
            </w:r>
            <w:r>
              <w:rPr>
                <w:rFonts w:hint="eastAsia" w:cs="Times New Roman"/>
                <w:lang w:val="en-US" w:eastAsia="zh-CN"/>
              </w:rPr>
              <w:t>；</w:t>
            </w:r>
          </w:p>
        </w:tc>
        <w:tc>
          <w:tcPr>
            <w:tcW w:w="1324" w:type="dxa"/>
            <w:vMerge w:val="continue"/>
            <w:noWrap w:val="0"/>
            <w:vAlign w:val="center"/>
          </w:tcPr>
          <w:p>
            <w:pPr>
              <w:spacing w:line="380" w:lineRule="exact"/>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提供近三年内在经营活动中无重大违法记录的书面声明</w:t>
            </w:r>
            <w:r>
              <w:rPr>
                <w:rFonts w:hint="eastAsia" w:cs="宋体"/>
                <w:b/>
                <w:bCs/>
                <w:szCs w:val="24"/>
                <w:lang w:val="en-US" w:eastAsia="zh-CN"/>
              </w:rPr>
              <w:t>（原件）</w:t>
            </w:r>
          </w:p>
        </w:tc>
        <w:tc>
          <w:tcPr>
            <w:tcW w:w="1324"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cs="宋体"/>
                <w:szCs w:val="24"/>
                <w:lang w:val="en-US" w:eastAsia="zh-CN"/>
              </w:rPr>
            </w:pPr>
            <w:r>
              <w:rPr>
                <w:rFonts w:hint="eastAsia" w:ascii="Times New Roman" w:hAnsi="Times New Roman" w:eastAsia="宋体" w:cs="Times New Roman"/>
                <w:lang w:val="en-US" w:eastAsia="zh-CN"/>
              </w:rPr>
              <w:t>提供磋商保证金转账凭证和基本存款账户信息证明资料复印件并加盖单位公章或金融机构、担保机构出具的保函复印件</w:t>
            </w:r>
            <w:r>
              <w:rPr>
                <w:rFonts w:hint="eastAsia" w:cs="Times New Roman"/>
                <w:lang w:val="en-US" w:eastAsia="zh-CN"/>
              </w:rPr>
              <w:t>；</w:t>
            </w:r>
          </w:p>
        </w:tc>
        <w:tc>
          <w:tcPr>
            <w:tcW w:w="1324" w:type="dxa"/>
            <w:vMerge w:val="continue"/>
            <w:noWrap w:val="0"/>
            <w:vAlign w:val="center"/>
          </w:tcPr>
          <w:p>
            <w:pPr>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cs="宋体"/>
                <w:szCs w:val="24"/>
                <w:lang w:val="en-US" w:eastAsia="zh-CN"/>
              </w:rPr>
            </w:pPr>
            <w:r>
              <w:rPr>
                <w:rFonts w:hint="eastAsia" w:ascii="Times New Roman" w:hAnsi="Times New Roman" w:eastAsia="宋体" w:cs="Times New Roman"/>
                <w:lang w:val="en-US" w:eastAsia="zh-CN"/>
              </w:rPr>
              <w:t>提供单位负责人为同一人或者存在直接控股、管理关系的不同供应商，不得参加同一合同项下的政府采购活动的书面声明；</w:t>
            </w:r>
            <w:r>
              <w:rPr>
                <w:rFonts w:hint="eastAsia" w:cs="宋体"/>
                <w:b/>
                <w:bCs/>
                <w:szCs w:val="24"/>
                <w:lang w:val="en-US" w:eastAsia="zh-CN"/>
              </w:rPr>
              <w:t>（原件）</w:t>
            </w:r>
          </w:p>
        </w:tc>
        <w:tc>
          <w:tcPr>
            <w:tcW w:w="1324" w:type="dxa"/>
            <w:vMerge w:val="continue"/>
            <w:noWrap w:val="0"/>
            <w:vAlign w:val="center"/>
          </w:tcPr>
          <w:p>
            <w:pPr>
              <w:spacing w:line="380" w:lineRule="exact"/>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提供具有履行本合同所必需的设备和专业技术能力的说明及承诺</w:t>
            </w:r>
            <w:r>
              <w:rPr>
                <w:rFonts w:hint="eastAsia" w:cs="宋体"/>
                <w:b/>
                <w:bCs/>
                <w:szCs w:val="24"/>
                <w:lang w:val="en-US" w:eastAsia="zh-CN"/>
              </w:rPr>
              <w:t>（原件）</w:t>
            </w:r>
          </w:p>
        </w:tc>
        <w:tc>
          <w:tcPr>
            <w:tcW w:w="1324" w:type="dxa"/>
            <w:vMerge w:val="continue"/>
            <w:noWrap w:val="0"/>
            <w:vAlign w:val="center"/>
          </w:tcPr>
          <w:p>
            <w:pPr>
              <w:spacing w:line="380" w:lineRule="exact"/>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899" w:type="dxa"/>
            <w:noWrap w:val="0"/>
            <w:vAlign w:val="center"/>
          </w:tcPr>
          <w:p>
            <w:pPr>
              <w:spacing w:line="500" w:lineRule="exact"/>
              <w:outlineLvl w:val="9"/>
              <w:rPr>
                <w:rFonts w:hint="eastAsia" w:cs="宋体"/>
                <w:szCs w:val="24"/>
                <w:lang w:val="en-US" w:eastAsia="zh-CN"/>
              </w:rPr>
            </w:pPr>
            <w:r>
              <w:rPr>
                <w:rFonts w:hint="eastAsia" w:ascii="Times New Roman" w:hAnsi="Times New Roman" w:eastAsia="宋体" w:cs="Times New Roman"/>
                <w:lang w:val="en-US" w:eastAsia="zh-CN"/>
              </w:rPr>
              <w:t>本项目专门面向中小企业采购，供应商须提供《中小企业声明函》</w:t>
            </w:r>
            <w:r>
              <w:rPr>
                <w:rFonts w:hint="eastAsia" w:cs="宋体"/>
                <w:b/>
                <w:bCs/>
                <w:szCs w:val="24"/>
                <w:lang w:val="en-US" w:eastAsia="zh-CN"/>
              </w:rPr>
              <w:t>（原件）</w:t>
            </w:r>
          </w:p>
        </w:tc>
        <w:tc>
          <w:tcPr>
            <w:tcW w:w="1324" w:type="dxa"/>
            <w:vMerge w:val="continue"/>
            <w:noWrap w:val="0"/>
            <w:vAlign w:val="center"/>
          </w:tcPr>
          <w:p>
            <w:pPr>
              <w:spacing w:line="380" w:lineRule="exact"/>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noWrap w:val="0"/>
            <w:vAlign w:val="center"/>
          </w:tcPr>
          <w:p>
            <w:pPr>
              <w:spacing w:line="500" w:lineRule="exact"/>
              <w:outlineLvl w:val="9"/>
              <w:rPr>
                <w:rFonts w:hint="default" w:ascii="宋体" w:hAnsi="宋体"/>
                <w:szCs w:val="21"/>
                <w:highlight w:val="none"/>
                <w:lang w:val="en-US" w:eastAsia="zh-CN"/>
              </w:rPr>
            </w:pPr>
            <w:r>
              <w:rPr>
                <w:rFonts w:hint="eastAsia" w:ascii="宋体" w:hAnsi="宋体"/>
                <w:szCs w:val="21"/>
                <w:highlight w:val="none"/>
                <w:lang w:val="en-US" w:eastAsia="zh-CN"/>
              </w:rPr>
              <w:t>备注</w:t>
            </w:r>
          </w:p>
        </w:tc>
        <w:tc>
          <w:tcPr>
            <w:tcW w:w="8223" w:type="dxa"/>
            <w:gridSpan w:val="2"/>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outlineLvl w:val="9"/>
              <w:rPr>
                <w:rFonts w:hint="eastAsia"/>
                <w:highlight w:val="none"/>
                <w:lang w:val="en-US" w:eastAsia="zh-CN"/>
              </w:rPr>
            </w:pPr>
            <w:r>
              <w:rPr>
                <w:rFonts w:hint="eastAsia"/>
                <w:highlight w:val="none"/>
                <w:lang w:val="en-US" w:eastAsia="zh-CN"/>
              </w:rPr>
              <w:t>对于可通过互联网或相关信息系统查询的信息，可不提供纸质材料；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lang w:eastAsia="zh-CN"/>
              </w:rPr>
            </w:pPr>
            <w:r>
              <w:rPr>
                <w:rFonts w:hint="eastAsia"/>
                <w:highlight w:val="none"/>
                <w:lang w:val="en-US" w:eastAsia="zh-CN"/>
              </w:rPr>
              <w:t>2、开标时须携带以上资料一套（标袋封装），资格审查时查验。</w:t>
            </w:r>
          </w:p>
        </w:tc>
      </w:tr>
    </w:tbl>
    <w:p>
      <w:pPr>
        <w:pStyle w:val="2"/>
        <w:jc w:val="center"/>
        <w:outlineLvl w:val="9"/>
        <w:rPr>
          <w:rFonts w:hint="eastAsia" w:ascii="宋体" w:hAnsi="宋体"/>
          <w:b/>
          <w:bCs/>
          <w:spacing w:val="4"/>
          <w:sz w:val="28"/>
          <w:szCs w:val="28"/>
          <w:highlight w:val="none"/>
          <w:lang w:val="en-US" w:eastAsia="zh-CN"/>
        </w:rPr>
      </w:pPr>
    </w:p>
    <w:p>
      <w:pPr>
        <w:pStyle w:val="2"/>
        <w:jc w:val="center"/>
        <w:outlineLvl w:val="9"/>
        <w:rPr>
          <w:rFonts w:hint="default" w:ascii="宋体" w:hAnsi="宋体" w:eastAsia="宋体"/>
          <w:b/>
          <w:bCs/>
          <w:spacing w:val="4"/>
          <w:sz w:val="28"/>
          <w:szCs w:val="28"/>
          <w:highlight w:val="none"/>
          <w:lang w:val="en-US" w:eastAsia="zh-CN"/>
        </w:rPr>
      </w:pPr>
      <w:r>
        <w:rPr>
          <w:rFonts w:hint="eastAsia" w:ascii="宋体" w:hAnsi="宋体"/>
          <w:b/>
          <w:bCs/>
          <w:spacing w:val="4"/>
          <w:sz w:val="28"/>
          <w:szCs w:val="28"/>
          <w:highlight w:val="none"/>
          <w:lang w:val="en-US" w:eastAsia="zh-CN"/>
        </w:rPr>
        <w:t>符合性评审</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224"/>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2" w:type="dxa"/>
            <w:noWrap w:val="0"/>
            <w:vAlign w:val="center"/>
          </w:tcPr>
          <w:p>
            <w:pPr>
              <w:pStyle w:val="2"/>
              <w:jc w:val="center"/>
              <w:outlineLvl w:val="9"/>
              <w:rPr>
                <w:rFonts w:hint="eastAsia" w:ascii="宋体" w:hAnsi="宋体"/>
                <w:kern w:val="2"/>
                <w:sz w:val="21"/>
                <w:szCs w:val="21"/>
                <w:highlight w:val="none"/>
                <w:lang w:val="en-US" w:eastAsia="zh-CN" w:bidi="ar-SA"/>
              </w:rPr>
            </w:pPr>
            <w:r>
              <w:rPr>
                <w:rFonts w:hint="eastAsia" w:ascii="宋体" w:hAnsi="宋体"/>
                <w:b/>
                <w:sz w:val="21"/>
                <w:szCs w:val="21"/>
              </w:rPr>
              <w:t>评审内容</w:t>
            </w:r>
          </w:p>
        </w:tc>
        <w:tc>
          <w:tcPr>
            <w:tcW w:w="3224" w:type="dxa"/>
            <w:noWrap w:val="0"/>
            <w:vAlign w:val="center"/>
          </w:tcPr>
          <w:p>
            <w:pPr>
              <w:spacing w:line="380" w:lineRule="exact"/>
              <w:jc w:val="center"/>
              <w:outlineLvl w:val="9"/>
              <w:rPr>
                <w:rFonts w:hint="eastAsia" w:ascii="宋体" w:hAnsi="宋体"/>
                <w:b/>
                <w:bCs/>
                <w:spacing w:val="4"/>
                <w:sz w:val="21"/>
                <w:szCs w:val="21"/>
                <w:highlight w:val="none"/>
                <w:vertAlign w:val="baseline"/>
              </w:rPr>
            </w:pPr>
            <w:r>
              <w:rPr>
                <w:rFonts w:hint="eastAsia" w:ascii="宋体" w:hAnsi="宋体"/>
                <w:b/>
                <w:sz w:val="21"/>
                <w:szCs w:val="21"/>
              </w:rPr>
              <w:t>评审因素</w:t>
            </w:r>
          </w:p>
        </w:tc>
        <w:tc>
          <w:tcPr>
            <w:tcW w:w="4542" w:type="dxa"/>
            <w:noWrap w:val="0"/>
            <w:vAlign w:val="center"/>
          </w:tcPr>
          <w:p>
            <w:pPr>
              <w:spacing w:line="380" w:lineRule="exact"/>
              <w:jc w:val="center"/>
              <w:outlineLvl w:val="9"/>
              <w:rPr>
                <w:rFonts w:hint="eastAsia" w:ascii="宋体" w:hAnsi="宋体"/>
                <w:b/>
                <w:bCs/>
                <w:spacing w:val="4"/>
                <w:sz w:val="21"/>
                <w:szCs w:val="21"/>
                <w:highlight w:val="none"/>
                <w:vertAlign w:val="baseline"/>
              </w:rPr>
            </w:pPr>
            <w:r>
              <w:rPr>
                <w:rFonts w:hint="eastAsia" w:ascii="宋体" w:hAnsi="宋体"/>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72" w:type="dxa"/>
            <w:vMerge w:val="restart"/>
            <w:noWrap w:val="0"/>
            <w:vAlign w:val="center"/>
          </w:tcPr>
          <w:p>
            <w:pPr>
              <w:pStyle w:val="2"/>
              <w:jc w:val="center"/>
              <w:outlineLvl w:val="9"/>
              <w:rPr>
                <w:rFonts w:hint="eastAsia"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符合性</w:t>
            </w:r>
          </w:p>
          <w:p>
            <w:pPr>
              <w:pStyle w:val="2"/>
              <w:jc w:val="center"/>
              <w:outlineLvl w:val="9"/>
              <w:rPr>
                <w:rFonts w:hint="eastAsia"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评审</w:t>
            </w:r>
          </w:p>
        </w:tc>
        <w:tc>
          <w:tcPr>
            <w:tcW w:w="3224" w:type="dxa"/>
            <w:noWrap w:val="0"/>
            <w:vAlign w:val="center"/>
          </w:tcPr>
          <w:p>
            <w:pPr>
              <w:spacing w:line="500" w:lineRule="exact"/>
              <w:jc w:val="left"/>
              <w:outlineLvl w:val="9"/>
              <w:rPr>
                <w:rFonts w:hint="default" w:ascii="宋体" w:hAnsi="宋体"/>
                <w:sz w:val="21"/>
                <w:szCs w:val="21"/>
                <w:highlight w:val="none"/>
                <w:lang w:val="en-US" w:eastAsia="zh-CN"/>
              </w:rPr>
            </w:pPr>
            <w:r>
              <w:rPr>
                <w:rFonts w:hint="eastAsia" w:ascii="宋体" w:hAnsi="宋体"/>
                <w:sz w:val="21"/>
                <w:szCs w:val="21"/>
                <w:highlight w:val="none"/>
                <w:lang w:val="en-US" w:eastAsia="zh-CN"/>
              </w:rPr>
              <w:t>响应</w:t>
            </w:r>
            <w:r>
              <w:rPr>
                <w:rFonts w:hint="eastAsia" w:ascii="宋体" w:hAnsi="宋体"/>
                <w:sz w:val="21"/>
                <w:szCs w:val="21"/>
                <w:highlight w:val="none"/>
              </w:rPr>
              <w:t>文件报价</w:t>
            </w:r>
          </w:p>
        </w:tc>
        <w:tc>
          <w:tcPr>
            <w:tcW w:w="45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sz w:val="21"/>
                <w:szCs w:val="21"/>
                <w:highlight w:val="none"/>
                <w:lang w:val="en-US" w:eastAsia="zh-CN"/>
              </w:rPr>
            </w:pPr>
            <w:r>
              <w:rPr>
                <w:rFonts w:hint="eastAsia" w:ascii="宋体" w:hAnsi="宋体"/>
                <w:sz w:val="21"/>
                <w:szCs w:val="21"/>
                <w:highlight w:val="none"/>
              </w:rPr>
              <w:t>内容无重大缺漏项，</w:t>
            </w:r>
            <w:r>
              <w:rPr>
                <w:rFonts w:hint="eastAsia" w:ascii="宋体" w:hAnsi="宋体"/>
                <w:sz w:val="21"/>
                <w:szCs w:val="21"/>
                <w:highlight w:val="none"/>
                <w:lang w:eastAsia="zh-CN"/>
              </w:rPr>
              <w:t>报价唯一，</w:t>
            </w:r>
            <w:r>
              <w:rPr>
                <w:rFonts w:hint="eastAsia" w:ascii="宋体" w:hAnsi="宋体"/>
                <w:sz w:val="21"/>
                <w:szCs w:val="21"/>
                <w:highlight w:val="none"/>
              </w:rPr>
              <w:t>且</w:t>
            </w:r>
            <w:r>
              <w:rPr>
                <w:rFonts w:hint="eastAsia" w:ascii="宋体" w:hAnsi="宋体"/>
                <w:sz w:val="21"/>
                <w:szCs w:val="21"/>
                <w:highlight w:val="none"/>
                <w:lang w:val="en-US" w:eastAsia="zh-CN"/>
              </w:rPr>
              <w:t>不</w:t>
            </w:r>
            <w:r>
              <w:rPr>
                <w:rFonts w:hint="eastAsia" w:ascii="宋体" w:hAnsi="宋体"/>
                <w:sz w:val="21"/>
                <w:szCs w:val="21"/>
                <w:highlight w:val="none"/>
              </w:rPr>
              <w:t>高于</w:t>
            </w:r>
            <w:r>
              <w:rPr>
                <w:rFonts w:hint="eastAsia" w:ascii="宋体" w:hAnsi="宋体"/>
                <w:sz w:val="21"/>
                <w:szCs w:val="21"/>
                <w:highlight w:val="none"/>
                <w:lang w:val="en-US" w:eastAsia="zh-CN"/>
              </w:rPr>
              <w:t>本项目最高限价。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center"/>
          </w:tcPr>
          <w:p>
            <w:pPr>
              <w:pStyle w:val="2"/>
              <w:jc w:val="center"/>
              <w:outlineLvl w:val="9"/>
              <w:rPr>
                <w:rFonts w:hint="eastAsia" w:ascii="宋体" w:hAnsi="宋体"/>
                <w:kern w:val="2"/>
                <w:sz w:val="21"/>
                <w:szCs w:val="21"/>
                <w:highlight w:val="none"/>
                <w:lang w:val="en-US" w:eastAsia="zh-CN" w:bidi="ar-SA"/>
              </w:rPr>
            </w:pPr>
          </w:p>
        </w:tc>
        <w:tc>
          <w:tcPr>
            <w:tcW w:w="3224" w:type="dxa"/>
            <w:noWrap w:val="0"/>
            <w:vAlign w:val="center"/>
          </w:tcPr>
          <w:p>
            <w:pPr>
              <w:spacing w:line="500" w:lineRule="exact"/>
              <w:jc w:val="left"/>
              <w:outlineLvl w:val="9"/>
              <w:rPr>
                <w:rFonts w:hint="eastAsia" w:ascii="宋体" w:hAnsi="宋体"/>
                <w:sz w:val="21"/>
                <w:szCs w:val="21"/>
                <w:highlight w:val="none"/>
                <w:lang w:val="en-US" w:eastAsia="zh-CN"/>
              </w:rPr>
            </w:pPr>
            <w:r>
              <w:rPr>
                <w:rFonts w:hint="eastAsia" w:ascii="宋体" w:hAnsi="宋体"/>
                <w:sz w:val="21"/>
                <w:szCs w:val="21"/>
                <w:highlight w:val="none"/>
              </w:rPr>
              <w:t>供应商名称</w:t>
            </w:r>
          </w:p>
        </w:tc>
        <w:tc>
          <w:tcPr>
            <w:tcW w:w="4542" w:type="dxa"/>
            <w:noWrap w:val="0"/>
            <w:vAlign w:val="center"/>
          </w:tcPr>
          <w:p>
            <w:pPr>
              <w:spacing w:line="500" w:lineRule="exact"/>
              <w:jc w:val="center"/>
              <w:outlineLvl w:val="9"/>
              <w:rPr>
                <w:rFonts w:hint="eastAsia" w:ascii="宋体" w:hAnsi="宋体"/>
                <w:sz w:val="21"/>
                <w:szCs w:val="21"/>
                <w:highlight w:val="none"/>
                <w:lang w:val="en-US" w:eastAsia="zh-CN"/>
              </w:rPr>
            </w:pPr>
            <w:r>
              <w:rPr>
                <w:rFonts w:hint="eastAsia" w:ascii="宋体" w:hAnsi="宋体"/>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224" w:type="dxa"/>
            <w:noWrap w:val="0"/>
            <w:vAlign w:val="center"/>
          </w:tcPr>
          <w:p>
            <w:pPr>
              <w:spacing w:line="500" w:lineRule="exact"/>
              <w:jc w:val="left"/>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磋商响应文件签字、盖章</w:t>
            </w:r>
          </w:p>
        </w:tc>
        <w:tc>
          <w:tcPr>
            <w:tcW w:w="45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224" w:type="dxa"/>
            <w:noWrap w:val="0"/>
            <w:vAlign w:val="center"/>
          </w:tcPr>
          <w:p>
            <w:pPr>
              <w:spacing w:line="500" w:lineRule="exact"/>
              <w:jc w:val="left"/>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磋商响应文件份数、格式</w:t>
            </w:r>
          </w:p>
        </w:tc>
        <w:tc>
          <w:tcPr>
            <w:tcW w:w="4542" w:type="dxa"/>
            <w:noWrap w:val="0"/>
            <w:vAlign w:val="center"/>
          </w:tcPr>
          <w:p>
            <w:pPr>
              <w:spacing w:line="500" w:lineRule="exact"/>
              <w:jc w:val="center"/>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72"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224" w:type="dxa"/>
            <w:noWrap w:val="0"/>
            <w:vAlign w:val="center"/>
          </w:tcPr>
          <w:p>
            <w:pPr>
              <w:spacing w:line="500" w:lineRule="exact"/>
              <w:outlineLvl w:val="9"/>
              <w:rPr>
                <w:rFonts w:hint="eastAsia" w:ascii="宋体" w:hAnsi="宋体" w:eastAsia="宋体" w:cs="Times New Roman"/>
                <w:b/>
                <w:bCs/>
                <w:spacing w:val="4"/>
                <w:kern w:val="2"/>
                <w:sz w:val="21"/>
                <w:szCs w:val="21"/>
                <w:highlight w:val="none"/>
                <w:vertAlign w:val="baseline"/>
                <w:lang w:val="en-US" w:eastAsia="zh-CN" w:bidi="ar-SA"/>
              </w:rPr>
            </w:pPr>
            <w:r>
              <w:rPr>
                <w:rFonts w:hint="eastAsia" w:ascii="宋体" w:hAnsi="宋体"/>
                <w:sz w:val="21"/>
                <w:szCs w:val="21"/>
                <w:highlight w:val="none"/>
                <w:lang w:val="en-US" w:eastAsia="zh-CN"/>
              </w:rPr>
              <w:t>工期</w:t>
            </w:r>
          </w:p>
        </w:tc>
        <w:tc>
          <w:tcPr>
            <w:tcW w:w="45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Times New Roman"/>
                <w:b/>
                <w:bCs/>
                <w:spacing w:val="4"/>
                <w:kern w:val="2"/>
                <w:sz w:val="21"/>
                <w:szCs w:val="21"/>
                <w:highlight w:val="none"/>
                <w:vertAlign w:val="baseline"/>
                <w:lang w:val="en-US" w:eastAsia="zh-CN" w:bidi="ar-SA"/>
              </w:rPr>
            </w:pPr>
            <w:r>
              <w:rPr>
                <w:rFonts w:hint="eastAsia" w:ascii="宋体" w:hAnsi="宋体"/>
                <w:sz w:val="21"/>
                <w:szCs w:val="21"/>
                <w:highlight w:val="none"/>
              </w:rPr>
              <w:t>符合</w:t>
            </w:r>
            <w:r>
              <w:rPr>
                <w:rFonts w:hint="eastAsia" w:ascii="宋体" w:hAnsi="宋体"/>
                <w:sz w:val="21"/>
                <w:szCs w:val="21"/>
                <w:highlight w:val="none"/>
                <w:lang w:val="en-US" w:eastAsia="zh-CN"/>
              </w:rPr>
              <w:t>或优于</w:t>
            </w:r>
            <w:r>
              <w:rPr>
                <w:rFonts w:hint="eastAsia" w:ascii="宋体" w:hAnsi="宋体"/>
                <w:sz w:val="21"/>
                <w:szCs w:val="21"/>
                <w:highlight w:val="none"/>
              </w:rPr>
              <w:t>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72"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224" w:type="dxa"/>
            <w:noWrap w:val="0"/>
            <w:vAlign w:val="center"/>
          </w:tcPr>
          <w:p>
            <w:pPr>
              <w:spacing w:line="380" w:lineRule="exact"/>
              <w:outlineLvl w:val="9"/>
              <w:rPr>
                <w:rFonts w:hint="default" w:ascii="宋体" w:hAnsi="宋体"/>
                <w:sz w:val="21"/>
                <w:szCs w:val="21"/>
                <w:highlight w:val="none"/>
                <w:lang w:val="en-US" w:eastAsia="zh-CN"/>
              </w:rPr>
            </w:pPr>
            <w:r>
              <w:rPr>
                <w:rFonts w:hint="eastAsia" w:ascii="宋体" w:hAnsi="宋体"/>
                <w:sz w:val="21"/>
                <w:szCs w:val="21"/>
                <w:highlight w:val="none"/>
                <w:lang w:val="en-US" w:eastAsia="zh-CN"/>
              </w:rPr>
              <w:t>质量标准</w:t>
            </w:r>
          </w:p>
        </w:tc>
        <w:tc>
          <w:tcPr>
            <w:tcW w:w="4542" w:type="dxa"/>
            <w:noWrap w:val="0"/>
            <w:vAlign w:val="center"/>
          </w:tcPr>
          <w:p>
            <w:pPr>
              <w:spacing w:line="380" w:lineRule="exact"/>
              <w:jc w:val="center"/>
              <w:outlineLvl w:val="9"/>
              <w:rPr>
                <w:rFonts w:hint="eastAsia" w:ascii="宋体" w:hAnsi="宋体"/>
                <w:sz w:val="21"/>
                <w:szCs w:val="21"/>
                <w:highlight w:val="none"/>
              </w:rPr>
            </w:pPr>
            <w:r>
              <w:rPr>
                <w:rFonts w:hint="eastAsia" w:ascii="宋体" w:hAnsi="宋体"/>
                <w:sz w:val="21"/>
                <w:szCs w:val="21"/>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2"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224" w:type="dxa"/>
            <w:noWrap w:val="0"/>
            <w:vAlign w:val="center"/>
          </w:tcPr>
          <w:p>
            <w:pPr>
              <w:spacing w:line="380" w:lineRule="exact"/>
              <w:outlineLvl w:val="9"/>
              <w:rPr>
                <w:rFonts w:hint="eastAsia" w:ascii="宋体" w:hAnsi="宋体"/>
                <w:b/>
                <w:bCs/>
                <w:spacing w:val="4"/>
                <w:sz w:val="21"/>
                <w:szCs w:val="21"/>
                <w:highlight w:val="none"/>
                <w:vertAlign w:val="baseline"/>
              </w:rPr>
            </w:pPr>
            <w:r>
              <w:rPr>
                <w:rFonts w:hint="eastAsia" w:ascii="宋体" w:hAnsi="宋体"/>
                <w:sz w:val="21"/>
                <w:szCs w:val="21"/>
                <w:highlight w:val="none"/>
                <w:lang w:val="en-US" w:eastAsia="zh-CN"/>
              </w:rPr>
              <w:t>质量保修期（缺陷责任期）</w:t>
            </w:r>
          </w:p>
        </w:tc>
        <w:tc>
          <w:tcPr>
            <w:tcW w:w="45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符合</w:t>
            </w:r>
            <w:r>
              <w:rPr>
                <w:rFonts w:hint="eastAsia" w:ascii="宋体" w:hAnsi="宋体"/>
                <w:sz w:val="21"/>
                <w:szCs w:val="21"/>
                <w:highlight w:val="none"/>
                <w:lang w:val="en-US" w:eastAsia="zh-CN"/>
              </w:rPr>
              <w:t>或优于</w:t>
            </w:r>
            <w:r>
              <w:rPr>
                <w:rFonts w:hint="eastAsia" w:ascii="宋体" w:hAnsi="宋体"/>
                <w:sz w:val="21"/>
                <w:szCs w:val="21"/>
                <w:highlight w:val="none"/>
              </w:rPr>
              <w:t>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224" w:type="dxa"/>
            <w:noWrap w:val="0"/>
            <w:vAlign w:val="center"/>
          </w:tcPr>
          <w:p>
            <w:pPr>
              <w:spacing w:line="500" w:lineRule="exact"/>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磋商有效期</w:t>
            </w:r>
          </w:p>
        </w:tc>
        <w:tc>
          <w:tcPr>
            <w:tcW w:w="4542" w:type="dxa"/>
            <w:noWrap w:val="0"/>
            <w:vAlign w:val="center"/>
          </w:tcPr>
          <w:p>
            <w:pPr>
              <w:spacing w:line="500" w:lineRule="exact"/>
              <w:jc w:val="center"/>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符合</w:t>
            </w:r>
            <w:r>
              <w:rPr>
                <w:rFonts w:hint="eastAsia" w:ascii="宋体" w:hAnsi="宋体"/>
                <w:sz w:val="21"/>
                <w:szCs w:val="21"/>
                <w:highlight w:val="none"/>
                <w:lang w:val="en-US" w:eastAsia="zh-CN"/>
              </w:rPr>
              <w:t>或优于</w:t>
            </w:r>
            <w:r>
              <w:rPr>
                <w:rFonts w:hint="eastAsia" w:ascii="宋体" w:hAnsi="宋体"/>
                <w:sz w:val="21"/>
                <w:szCs w:val="21"/>
                <w:highlight w:val="none"/>
              </w:rPr>
              <w:t>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038" w:type="dxa"/>
            <w:gridSpan w:val="3"/>
            <w:noWrap w:val="0"/>
            <w:vAlign w:val="top"/>
          </w:tcPr>
          <w:p>
            <w:pPr>
              <w:spacing w:line="500" w:lineRule="exact"/>
              <w:jc w:val="both"/>
              <w:outlineLvl w:val="9"/>
              <w:rPr>
                <w:rFonts w:hint="eastAsia" w:ascii="宋体" w:hAnsi="宋体"/>
                <w:sz w:val="21"/>
                <w:szCs w:val="21"/>
                <w:highlight w:val="none"/>
              </w:rPr>
            </w:pPr>
            <w:r>
              <w:rPr>
                <w:rFonts w:hint="eastAsia" w:ascii="宋体" w:hAnsi="宋体" w:eastAsia="宋体" w:cs="宋体"/>
                <w:b/>
                <w:bCs/>
                <w:sz w:val="24"/>
                <w:szCs w:val="24"/>
                <w:lang w:val="en-US" w:eastAsia="zh-CN"/>
              </w:rPr>
              <w:t>备注：未通过符合性评审的供应商，将不再进行下一步评审。</w:t>
            </w:r>
          </w:p>
        </w:tc>
      </w:tr>
    </w:tbl>
    <w:p>
      <w:pPr>
        <w:pStyle w:val="2"/>
        <w:jc w:val="center"/>
        <w:outlineLvl w:val="9"/>
        <w:rPr>
          <w:rFonts w:hint="eastAsia" w:ascii="宋体" w:hAnsi="宋体"/>
          <w:b/>
          <w:bCs/>
          <w:spacing w:val="4"/>
          <w:sz w:val="28"/>
          <w:szCs w:val="28"/>
          <w:highlight w:val="none"/>
        </w:rPr>
      </w:pPr>
    </w:p>
    <w:p>
      <w:pPr>
        <w:pStyle w:val="2"/>
        <w:jc w:val="center"/>
        <w:outlineLvl w:val="9"/>
        <w:rPr>
          <w:rFonts w:hint="eastAsia" w:ascii="宋体" w:hAnsi="宋体"/>
          <w:b/>
          <w:bCs/>
          <w:sz w:val="28"/>
          <w:szCs w:val="28"/>
          <w:highlight w:val="none"/>
        </w:rPr>
      </w:pPr>
      <w:r>
        <w:rPr>
          <w:rFonts w:hint="eastAsia" w:ascii="宋体" w:hAnsi="宋体"/>
          <w:b/>
          <w:bCs/>
          <w:spacing w:val="4"/>
          <w:sz w:val="28"/>
          <w:szCs w:val="28"/>
          <w:highlight w:val="none"/>
        </w:rPr>
        <w:t>评审因素及量化指标分解表</w:t>
      </w:r>
    </w:p>
    <w:p>
      <w:pPr>
        <w:pStyle w:val="2"/>
        <w:outlineLvl w:val="9"/>
        <w:rPr>
          <w:highlight w:val="none"/>
        </w:rPr>
      </w:pPr>
    </w:p>
    <w:tbl>
      <w:tblPr>
        <w:tblStyle w:val="24"/>
        <w:tblpPr w:leftFromText="180" w:rightFromText="180" w:vertAnchor="text" w:horzAnchor="page" w:tblpX="1349" w:tblpY="1"/>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232"/>
        <w:gridCol w:w="720"/>
        <w:gridCol w:w="2910"/>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1" w:type="dxa"/>
            <w:vMerge w:val="restart"/>
            <w:noWrap w:val="0"/>
            <w:vAlign w:val="center"/>
          </w:tcPr>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技术</w:t>
            </w:r>
          </w:p>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部分</w:t>
            </w:r>
          </w:p>
          <w:p>
            <w:pPr>
              <w:spacing w:line="280" w:lineRule="exact"/>
              <w:jc w:val="center"/>
              <w:outlineLvl w:val="9"/>
              <w:rPr>
                <w:rFonts w:hint="eastAsia" w:ascii="宋体" w:hAnsi="宋体" w:eastAsia="宋体"/>
                <w:color w:val="auto"/>
                <w:szCs w:val="21"/>
                <w:highlight w:val="none"/>
                <w:lang w:eastAsia="zh-CN"/>
              </w:rPr>
            </w:pPr>
            <w:r>
              <w:rPr>
                <w:rFonts w:hint="eastAsia" w:ascii="宋体" w:hAnsi="宋体" w:eastAsia="宋体" w:cs="宋体"/>
                <w:b w:val="0"/>
                <w:bCs/>
                <w:color w:val="auto"/>
                <w:highlight w:val="none"/>
                <w:lang w:val="en-US" w:eastAsia="zh-CN"/>
              </w:rPr>
              <w:t>50</w:t>
            </w:r>
            <w:r>
              <w:rPr>
                <w:rFonts w:hint="eastAsia" w:ascii="宋体" w:hAnsi="宋体" w:eastAsia="宋体" w:cs="宋体"/>
                <w:b w:val="0"/>
                <w:bCs/>
                <w:color w:val="auto"/>
                <w:highlight w:val="none"/>
              </w:rPr>
              <w:t>分</w:t>
            </w:r>
          </w:p>
        </w:tc>
        <w:tc>
          <w:tcPr>
            <w:tcW w:w="3232" w:type="dxa"/>
            <w:noWrap w:val="0"/>
            <w:vAlign w:val="center"/>
          </w:tcPr>
          <w:p>
            <w:pPr>
              <w:spacing w:line="280" w:lineRule="exact"/>
              <w:jc w:val="center"/>
              <w:outlineLvl w:val="9"/>
              <w:rPr>
                <w:rFonts w:hint="eastAsia" w:ascii="宋体" w:hAnsi="宋体" w:eastAsia="宋体"/>
                <w:color w:val="auto"/>
                <w:szCs w:val="21"/>
                <w:highlight w:val="none"/>
                <w:lang w:eastAsia="zh-CN"/>
              </w:rPr>
            </w:pPr>
            <w:r>
              <w:rPr>
                <w:rFonts w:hint="eastAsia" w:ascii="宋体" w:hAnsi="宋体"/>
                <w:color w:val="auto"/>
                <w:szCs w:val="21"/>
                <w:highlight w:val="none"/>
              </w:rPr>
              <w:t>评审</w:t>
            </w:r>
            <w:r>
              <w:rPr>
                <w:rFonts w:hint="eastAsia" w:ascii="宋体" w:hAnsi="宋体"/>
                <w:color w:val="auto"/>
                <w:szCs w:val="21"/>
                <w:highlight w:val="none"/>
                <w:lang w:val="en-US" w:eastAsia="zh-CN"/>
              </w:rPr>
              <w:t>项目</w:t>
            </w:r>
          </w:p>
        </w:tc>
        <w:tc>
          <w:tcPr>
            <w:tcW w:w="720" w:type="dxa"/>
            <w:noWrap w:val="0"/>
            <w:vAlign w:val="center"/>
          </w:tcPr>
          <w:p>
            <w:pPr>
              <w:spacing w:line="280" w:lineRule="exact"/>
              <w:jc w:val="center"/>
              <w:outlineLvl w:val="9"/>
              <w:rPr>
                <w:rFonts w:hint="eastAsia" w:ascii="宋体" w:hAnsi="宋体"/>
                <w:color w:val="auto"/>
                <w:szCs w:val="21"/>
                <w:highlight w:val="none"/>
              </w:rPr>
            </w:pPr>
            <w:r>
              <w:rPr>
                <w:rFonts w:hint="eastAsia" w:ascii="宋体" w:hAnsi="宋体"/>
                <w:color w:val="auto"/>
                <w:szCs w:val="21"/>
                <w:highlight w:val="none"/>
              </w:rPr>
              <w:t>分值</w:t>
            </w:r>
          </w:p>
        </w:tc>
        <w:tc>
          <w:tcPr>
            <w:tcW w:w="2910" w:type="dxa"/>
            <w:noWrap w:val="0"/>
            <w:vAlign w:val="center"/>
          </w:tcPr>
          <w:p>
            <w:pPr>
              <w:spacing w:line="280" w:lineRule="exact"/>
              <w:jc w:val="center"/>
              <w:outlineLvl w:val="9"/>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评分标准</w:t>
            </w:r>
          </w:p>
        </w:tc>
        <w:tc>
          <w:tcPr>
            <w:tcW w:w="2214" w:type="dxa"/>
            <w:noWrap w:val="0"/>
            <w:vAlign w:val="center"/>
          </w:tcPr>
          <w:p>
            <w:pPr>
              <w:spacing w:line="280" w:lineRule="exact"/>
              <w:jc w:val="center"/>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ascii="宋体" w:hAnsi="宋体"/>
                <w:color w:val="auto"/>
                <w:szCs w:val="21"/>
                <w:highlight w:val="none"/>
              </w:rPr>
            </w:pPr>
            <w:r>
              <w:rPr>
                <w:rFonts w:hint="eastAsia" w:ascii="宋体" w:hAnsi="宋体" w:eastAsia="宋体" w:cs="宋体"/>
                <w:b w:val="0"/>
                <w:bCs/>
                <w:color w:val="auto"/>
                <w:szCs w:val="21"/>
                <w:highlight w:val="none"/>
              </w:rPr>
              <w:t>施工方案与技术措施</w:t>
            </w:r>
          </w:p>
        </w:tc>
        <w:tc>
          <w:tcPr>
            <w:tcW w:w="720" w:type="dxa"/>
            <w:noWrap w:val="0"/>
            <w:vAlign w:val="center"/>
          </w:tcPr>
          <w:p>
            <w:pPr>
              <w:spacing w:line="320" w:lineRule="exact"/>
              <w:jc w:val="center"/>
              <w:outlineLvl w:val="9"/>
              <w:rPr>
                <w:rFonts w:hint="eastAsia" w:ascii="宋体" w:hAnsi="宋体"/>
                <w:color w:val="auto"/>
                <w:szCs w:val="21"/>
                <w:highlight w:val="none"/>
              </w:rPr>
            </w:pPr>
            <w:r>
              <w:rPr>
                <w:rFonts w:hint="eastAsia" w:ascii="宋体" w:hAnsi="宋体" w:cs="宋体"/>
                <w:b w:val="0"/>
                <w:bCs/>
                <w:color w:val="auto"/>
                <w:highlight w:val="none"/>
                <w:lang w:val="en-US" w:eastAsia="zh-CN"/>
              </w:rPr>
              <w:t>15</w:t>
            </w:r>
            <w:r>
              <w:rPr>
                <w:rFonts w:hint="eastAsia" w:ascii="宋体" w:hAnsi="宋体" w:eastAsia="宋体" w:cs="宋体"/>
                <w:b w:val="0"/>
                <w:bCs/>
                <w:color w:val="auto"/>
                <w:highlight w:val="none"/>
                <w:lang w:val="en-US" w:eastAsia="zh-CN"/>
              </w:rPr>
              <w:t>分</w:t>
            </w:r>
          </w:p>
        </w:tc>
        <w:tc>
          <w:tcPr>
            <w:tcW w:w="2910" w:type="dxa"/>
            <w:noWrap w:val="0"/>
            <w:vAlign w:val="center"/>
          </w:tcPr>
          <w:p>
            <w:pPr>
              <w:spacing w:line="320" w:lineRule="exact"/>
              <w:jc w:val="left"/>
              <w:outlineLvl w:val="9"/>
              <w:rPr>
                <w:rFonts w:hint="default" w:ascii="宋体" w:hAnsi="宋体" w:eastAsia="宋体"/>
                <w:color w:val="auto"/>
                <w:szCs w:val="21"/>
                <w:highlight w:val="none"/>
                <w:lang w:val="en-US" w:eastAsia="zh-CN"/>
              </w:rPr>
            </w:pPr>
            <w:r>
              <w:rPr>
                <w:rFonts w:hint="eastAsia" w:ascii="宋体" w:hAnsi="宋体" w:eastAsia="宋体" w:cs="宋体"/>
                <w:b w:val="0"/>
                <w:bCs/>
                <w:color w:val="auto"/>
                <w:szCs w:val="21"/>
                <w:highlight w:val="none"/>
                <w:lang w:val="en-US" w:eastAsia="zh-CN"/>
              </w:rPr>
              <w:t>对本项目特性了解透彻，施工方案、方法与技术措施内容全面，方案先进、经济与项目实际结合紧密，对施工具有高度指导性，得</w:t>
            </w:r>
            <w:r>
              <w:rPr>
                <w:rFonts w:hint="eastAsia" w:ascii="宋体" w:hAnsi="宋体" w:cs="宋体"/>
                <w:b w:val="0"/>
                <w:bCs/>
                <w:color w:val="auto"/>
                <w:szCs w:val="21"/>
                <w:highlight w:val="none"/>
                <w:lang w:val="en-US" w:eastAsia="zh-CN"/>
              </w:rPr>
              <w:t>10</w:t>
            </w:r>
            <w:r>
              <w:rPr>
                <w:rFonts w:hint="eastAsia" w:ascii="宋体" w:hAnsi="宋体" w:eastAsia="宋体" w:cs="宋体"/>
                <w:b w:val="0"/>
                <w:bCs/>
                <w:color w:val="auto"/>
                <w:szCs w:val="21"/>
                <w:highlight w:val="none"/>
                <w:lang w:val="en-US" w:eastAsia="zh-CN"/>
              </w:rPr>
              <w:t>-1</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分；对项目特性了解较好，施工组织设计方案基本可行得</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10</w:t>
            </w:r>
            <w:r>
              <w:rPr>
                <w:rFonts w:hint="eastAsia" w:ascii="宋体" w:hAnsi="宋体" w:eastAsia="宋体" w:cs="宋体"/>
                <w:b w:val="0"/>
                <w:bCs/>
                <w:color w:val="auto"/>
                <w:szCs w:val="21"/>
                <w:highlight w:val="none"/>
                <w:lang w:val="en-US" w:eastAsia="zh-CN"/>
              </w:rPr>
              <w:t>分，</w:t>
            </w:r>
            <w:r>
              <w:rPr>
                <w:rFonts w:hint="eastAsia" w:ascii="宋体" w:hAnsi="宋体" w:cs="宋体"/>
                <w:b w:val="0"/>
                <w:bCs/>
                <w:color w:val="auto"/>
                <w:szCs w:val="21"/>
                <w:highlight w:val="none"/>
                <w:lang w:val="en-US" w:eastAsia="zh-CN"/>
              </w:rPr>
              <w:t>粗略</w:t>
            </w:r>
            <w:r>
              <w:rPr>
                <w:rFonts w:hint="eastAsia" w:ascii="宋体" w:hAnsi="宋体" w:eastAsia="宋体" w:cs="宋体"/>
                <w:b w:val="0"/>
                <w:bCs/>
                <w:color w:val="auto"/>
                <w:szCs w:val="21"/>
                <w:highlight w:val="none"/>
                <w:lang w:val="en-US" w:eastAsia="zh-CN"/>
              </w:rPr>
              <w:t>得0-</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p>
        </w:tc>
        <w:tc>
          <w:tcPr>
            <w:tcW w:w="2214" w:type="dxa"/>
            <w:noWrap w:val="0"/>
            <w:vAlign w:val="center"/>
          </w:tcPr>
          <w:p>
            <w:pPr>
              <w:spacing w:line="280" w:lineRule="exact"/>
              <w:outlineLvl w:val="9"/>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质量管理体系与措施</w:t>
            </w:r>
          </w:p>
        </w:tc>
        <w:tc>
          <w:tcPr>
            <w:tcW w:w="720" w:type="dxa"/>
            <w:noWrap w:val="0"/>
            <w:vAlign w:val="center"/>
          </w:tcPr>
          <w:p>
            <w:pPr>
              <w:spacing w:line="320" w:lineRule="exact"/>
              <w:jc w:val="center"/>
              <w:outlineLvl w:val="9"/>
              <w:rPr>
                <w:rFonts w:hint="eastAsia" w:ascii="宋体" w:hAnsi="宋体" w:cs="宋体"/>
                <w:color w:val="auto"/>
                <w:szCs w:val="21"/>
                <w:highlight w:val="none"/>
              </w:rPr>
            </w:pPr>
            <w:r>
              <w:rPr>
                <w:rFonts w:hint="eastAsia" w:ascii="宋体" w:hAnsi="宋体" w:cs="宋体"/>
                <w:b w:val="0"/>
                <w:bCs/>
                <w:color w:val="auto"/>
                <w:highlight w:val="none"/>
                <w:lang w:val="en-US" w:eastAsia="zh-CN"/>
              </w:rPr>
              <w:t>7</w:t>
            </w:r>
            <w:r>
              <w:rPr>
                <w:rFonts w:hint="eastAsia" w:ascii="宋体" w:hAnsi="宋体" w:eastAsia="宋体" w:cs="宋体"/>
                <w:b w:val="0"/>
                <w:bCs/>
                <w:color w:val="auto"/>
                <w:highlight w:val="none"/>
                <w:lang w:val="en-US" w:eastAsia="zh-CN"/>
              </w:rPr>
              <w:t>分</w:t>
            </w:r>
          </w:p>
        </w:tc>
        <w:tc>
          <w:tcPr>
            <w:tcW w:w="2910" w:type="dxa"/>
            <w:noWrap w:val="0"/>
            <w:vAlign w:val="center"/>
          </w:tcPr>
          <w:p>
            <w:pPr>
              <w:spacing w:line="320" w:lineRule="exact"/>
              <w:jc w:val="left"/>
              <w:outlineLvl w:val="9"/>
              <w:rPr>
                <w:rFonts w:hint="eastAsia" w:ascii="宋体" w:hAnsi="宋体" w:cs="宋体"/>
                <w:color w:val="auto"/>
                <w:szCs w:val="21"/>
                <w:highlight w:val="none"/>
              </w:rPr>
            </w:pPr>
            <w:r>
              <w:rPr>
                <w:rFonts w:hint="eastAsia" w:ascii="宋体" w:hAnsi="宋体" w:eastAsia="宋体" w:cs="宋体"/>
                <w:b w:val="0"/>
                <w:bCs/>
                <w:color w:val="auto"/>
                <w:szCs w:val="21"/>
                <w:highlight w:val="none"/>
                <w:lang w:val="en-US" w:eastAsia="zh-CN"/>
              </w:rPr>
              <w:t>质量目标明确，管理体系健全，预控和动态控制措施完整，实施工艺、手段先进、可靠、科学，管理体系和组织措施功能完善、管理幅度适宜，得</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lang w:val="en-US" w:eastAsia="zh-CN"/>
              </w:rPr>
              <w:t>分；质量目标基本明确，控制措施基本全面酌情得</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cs="宋体"/>
                <w:b w:val="0"/>
                <w:bCs/>
                <w:color w:val="auto"/>
                <w:szCs w:val="21"/>
                <w:highlight w:val="none"/>
                <w:lang w:val="en-US" w:eastAsia="zh-CN"/>
              </w:rPr>
              <w:t>粗略</w:t>
            </w:r>
            <w:r>
              <w:rPr>
                <w:rFonts w:hint="eastAsia" w:ascii="宋体" w:hAnsi="宋体" w:eastAsia="宋体" w:cs="宋体"/>
                <w:b w:val="0"/>
                <w:bCs/>
                <w:color w:val="auto"/>
                <w:szCs w:val="21"/>
                <w:highlight w:val="none"/>
                <w:lang w:val="en-US" w:eastAsia="zh-CN"/>
              </w:rPr>
              <w:t>得0-</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w:t>
            </w:r>
          </w:p>
        </w:tc>
        <w:tc>
          <w:tcPr>
            <w:tcW w:w="2214" w:type="dxa"/>
            <w:noWrap w:val="0"/>
            <w:vAlign w:val="center"/>
          </w:tcPr>
          <w:p>
            <w:pPr>
              <w:spacing w:line="280" w:lineRule="exact"/>
              <w:outlineLvl w:val="9"/>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安全管理体系与措施</w:t>
            </w:r>
          </w:p>
        </w:tc>
        <w:tc>
          <w:tcPr>
            <w:tcW w:w="720" w:type="dxa"/>
            <w:noWrap w:val="0"/>
            <w:vAlign w:val="center"/>
          </w:tcPr>
          <w:p>
            <w:pPr>
              <w:spacing w:line="320" w:lineRule="exact"/>
              <w:jc w:val="center"/>
              <w:outlineLvl w:val="9"/>
              <w:rPr>
                <w:rFonts w:hint="eastAsia" w:ascii="宋体" w:hAnsi="宋体" w:cs="宋体"/>
                <w:color w:val="auto"/>
                <w:szCs w:val="21"/>
                <w:highlight w:val="none"/>
              </w:rPr>
            </w:pPr>
            <w:r>
              <w:rPr>
                <w:rFonts w:hint="eastAsia" w:ascii="宋体" w:hAnsi="宋体" w:cs="宋体"/>
                <w:b w:val="0"/>
                <w:bCs/>
                <w:color w:val="auto"/>
                <w:highlight w:val="none"/>
                <w:lang w:val="en-US" w:eastAsia="zh-CN"/>
              </w:rPr>
              <w:t>7</w:t>
            </w:r>
            <w:r>
              <w:rPr>
                <w:rFonts w:hint="eastAsia" w:ascii="宋体" w:hAnsi="宋体" w:eastAsia="宋体" w:cs="宋体"/>
                <w:b w:val="0"/>
                <w:bCs/>
                <w:color w:val="auto"/>
                <w:highlight w:val="none"/>
                <w:lang w:val="en-US" w:eastAsia="zh-CN"/>
              </w:rPr>
              <w:t>分</w:t>
            </w:r>
          </w:p>
        </w:tc>
        <w:tc>
          <w:tcPr>
            <w:tcW w:w="2910" w:type="dxa"/>
            <w:noWrap w:val="0"/>
            <w:vAlign w:val="center"/>
          </w:tcPr>
          <w:p>
            <w:pPr>
              <w:spacing w:line="320" w:lineRule="exact"/>
              <w:jc w:val="left"/>
              <w:outlineLvl w:val="9"/>
              <w:rPr>
                <w:rFonts w:hint="eastAsia" w:ascii="宋体" w:hAnsi="宋体" w:cs="宋体"/>
                <w:color w:val="auto"/>
                <w:szCs w:val="21"/>
                <w:highlight w:val="none"/>
              </w:rPr>
            </w:pPr>
            <w:r>
              <w:rPr>
                <w:rFonts w:hint="eastAsia" w:ascii="宋体" w:hAnsi="宋体" w:eastAsia="宋体" w:cs="宋体"/>
                <w:b w:val="0"/>
                <w:bCs/>
                <w:color w:val="auto"/>
                <w:szCs w:val="21"/>
                <w:highlight w:val="none"/>
                <w:lang w:val="en-US" w:eastAsia="zh-CN"/>
              </w:rPr>
              <w:t>安全生产目标明确，预防和动态控制措施及制度完整、到位，管理体系和组织措施功能完善，得</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lang w:val="en-US" w:eastAsia="zh-CN"/>
              </w:rPr>
              <w:t>分；安全生产目标基本明确，控制措施基本全面酌情得</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cs="宋体"/>
                <w:b w:val="0"/>
                <w:bCs/>
                <w:color w:val="auto"/>
                <w:szCs w:val="21"/>
                <w:highlight w:val="none"/>
                <w:lang w:val="en-US" w:eastAsia="zh-CN"/>
              </w:rPr>
              <w:t>粗略</w:t>
            </w:r>
            <w:r>
              <w:rPr>
                <w:rFonts w:hint="eastAsia" w:ascii="宋体" w:hAnsi="宋体" w:eastAsia="宋体" w:cs="宋体"/>
                <w:b w:val="0"/>
                <w:bCs/>
                <w:color w:val="auto"/>
                <w:szCs w:val="21"/>
                <w:highlight w:val="none"/>
                <w:lang w:val="en-US" w:eastAsia="zh-CN"/>
              </w:rPr>
              <w:t>得0-</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w:t>
            </w:r>
          </w:p>
        </w:tc>
        <w:tc>
          <w:tcPr>
            <w:tcW w:w="2214" w:type="dxa"/>
            <w:noWrap w:val="0"/>
            <w:vAlign w:val="center"/>
          </w:tcPr>
          <w:p>
            <w:pPr>
              <w:spacing w:line="280" w:lineRule="exact"/>
              <w:outlineLvl w:val="9"/>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环境保护管理体系与措施</w:t>
            </w:r>
          </w:p>
        </w:tc>
        <w:tc>
          <w:tcPr>
            <w:tcW w:w="720" w:type="dxa"/>
            <w:noWrap w:val="0"/>
            <w:vAlign w:val="center"/>
          </w:tcPr>
          <w:p>
            <w:pPr>
              <w:spacing w:line="320" w:lineRule="exact"/>
              <w:jc w:val="center"/>
              <w:outlineLvl w:val="9"/>
              <w:rPr>
                <w:rFonts w:hint="eastAsia" w:ascii="宋体" w:hAnsi="宋体" w:eastAsia="宋体" w:cs="宋体"/>
                <w:color w:val="auto"/>
                <w:szCs w:val="21"/>
                <w:highlight w:val="none"/>
                <w:lang w:eastAsia="zh-CN"/>
              </w:rPr>
            </w:pPr>
            <w:r>
              <w:rPr>
                <w:rFonts w:hint="eastAsia" w:ascii="宋体" w:hAnsi="宋体" w:cs="宋体"/>
                <w:b w:val="0"/>
                <w:bCs/>
                <w:color w:val="auto"/>
                <w:highlight w:val="none"/>
                <w:lang w:val="en-US" w:eastAsia="zh-CN"/>
              </w:rPr>
              <w:t>7</w:t>
            </w:r>
            <w:r>
              <w:rPr>
                <w:rFonts w:hint="eastAsia" w:ascii="宋体" w:hAnsi="宋体" w:eastAsia="宋体" w:cs="宋体"/>
                <w:b w:val="0"/>
                <w:bCs/>
                <w:color w:val="auto"/>
                <w:highlight w:val="none"/>
                <w:lang w:val="en-US" w:eastAsia="zh-CN"/>
              </w:rPr>
              <w:t>分</w:t>
            </w:r>
          </w:p>
        </w:tc>
        <w:tc>
          <w:tcPr>
            <w:tcW w:w="2910" w:type="dxa"/>
            <w:noWrap w:val="0"/>
            <w:vAlign w:val="center"/>
          </w:tcPr>
          <w:p>
            <w:pPr>
              <w:spacing w:line="320" w:lineRule="exact"/>
              <w:jc w:val="left"/>
              <w:outlineLvl w:val="9"/>
              <w:rPr>
                <w:rFonts w:hint="eastAsia" w:ascii="宋体" w:hAnsi="宋体" w:eastAsia="宋体" w:cs="宋体"/>
                <w:color w:val="auto"/>
                <w:szCs w:val="21"/>
                <w:highlight w:val="none"/>
                <w:lang w:eastAsia="zh-CN"/>
              </w:rPr>
            </w:pPr>
            <w:r>
              <w:rPr>
                <w:rFonts w:hint="eastAsia" w:ascii="宋体" w:hAnsi="宋体" w:eastAsia="宋体" w:cs="宋体"/>
                <w:b w:val="0"/>
                <w:bCs/>
                <w:color w:val="auto"/>
                <w:szCs w:val="21"/>
                <w:highlight w:val="none"/>
                <w:lang w:val="en-US" w:eastAsia="zh-CN"/>
              </w:rPr>
              <w:t>环境保护、水土保持目标明确，预防和动态控制措施及制度完整、到位，管理体系和组织措施功能完善，得</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lang w:val="en-US" w:eastAsia="zh-CN"/>
              </w:rPr>
              <w:t>分；环保目标基本明确，控制措施基本全面酌情得</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cs="宋体"/>
                <w:b w:val="0"/>
                <w:bCs/>
                <w:color w:val="auto"/>
                <w:szCs w:val="21"/>
                <w:highlight w:val="none"/>
                <w:lang w:val="en-US" w:eastAsia="zh-CN"/>
              </w:rPr>
              <w:t>粗略</w:t>
            </w:r>
            <w:r>
              <w:rPr>
                <w:rFonts w:hint="eastAsia" w:ascii="宋体" w:hAnsi="宋体" w:eastAsia="宋体" w:cs="宋体"/>
                <w:b w:val="0"/>
                <w:bCs/>
                <w:color w:val="auto"/>
                <w:szCs w:val="21"/>
                <w:highlight w:val="none"/>
                <w:lang w:val="en-US" w:eastAsia="zh-CN"/>
              </w:rPr>
              <w:t>得0-</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w:t>
            </w:r>
          </w:p>
        </w:tc>
        <w:tc>
          <w:tcPr>
            <w:tcW w:w="2214" w:type="dxa"/>
            <w:noWrap w:val="0"/>
            <w:vAlign w:val="center"/>
          </w:tcPr>
          <w:p>
            <w:pPr>
              <w:spacing w:line="280" w:lineRule="exact"/>
              <w:outlineLvl w:val="9"/>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施工进度计划及措施</w:t>
            </w:r>
          </w:p>
        </w:tc>
        <w:tc>
          <w:tcPr>
            <w:tcW w:w="720" w:type="dxa"/>
            <w:noWrap w:val="0"/>
            <w:vAlign w:val="center"/>
          </w:tcPr>
          <w:p>
            <w:pPr>
              <w:spacing w:line="320" w:lineRule="exact"/>
              <w:jc w:val="center"/>
              <w:outlineLvl w:val="9"/>
              <w:rPr>
                <w:rFonts w:hint="eastAsia" w:cs="宋体"/>
                <w:color w:val="auto"/>
                <w:sz w:val="21"/>
                <w:szCs w:val="21"/>
                <w:highlight w:val="none"/>
                <w:lang w:val="en-US" w:eastAsia="zh-CN"/>
              </w:rPr>
            </w:pPr>
            <w:r>
              <w:rPr>
                <w:rFonts w:hint="eastAsia" w:ascii="宋体" w:hAnsi="宋体" w:cs="宋体"/>
                <w:b w:val="0"/>
                <w:bCs/>
                <w:color w:val="auto"/>
                <w:highlight w:val="none"/>
                <w:lang w:val="en-US" w:eastAsia="zh-CN"/>
              </w:rPr>
              <w:t>7</w:t>
            </w:r>
            <w:r>
              <w:rPr>
                <w:rFonts w:hint="eastAsia" w:ascii="宋体" w:hAnsi="宋体" w:eastAsia="宋体" w:cs="宋体"/>
                <w:b w:val="0"/>
                <w:bCs/>
                <w:color w:val="auto"/>
                <w:highlight w:val="none"/>
                <w:lang w:val="en-US" w:eastAsia="zh-CN"/>
              </w:rPr>
              <w:t>分</w:t>
            </w:r>
          </w:p>
        </w:tc>
        <w:tc>
          <w:tcPr>
            <w:tcW w:w="2910" w:type="dxa"/>
            <w:noWrap w:val="0"/>
            <w:vAlign w:val="center"/>
          </w:tcPr>
          <w:p>
            <w:pPr>
              <w:spacing w:line="320" w:lineRule="exact"/>
              <w:jc w:val="left"/>
              <w:outlineLvl w:val="9"/>
              <w:rPr>
                <w:rFonts w:hint="default" w:eastAsia="宋体" w:cs="宋体"/>
                <w:color w:val="auto"/>
                <w:sz w:val="21"/>
                <w:szCs w:val="21"/>
                <w:highlight w:val="none"/>
                <w:lang w:val="en-US" w:eastAsia="zh-CN"/>
              </w:rPr>
            </w:pPr>
            <w:r>
              <w:rPr>
                <w:rFonts w:hint="eastAsia" w:ascii="宋体" w:hAnsi="宋体" w:eastAsia="宋体" w:cs="宋体"/>
                <w:b w:val="0"/>
                <w:bCs/>
                <w:color w:val="auto"/>
                <w:szCs w:val="21"/>
                <w:highlight w:val="none"/>
                <w:lang w:val="en-US" w:eastAsia="zh-CN"/>
              </w:rPr>
              <w:t>总工期满足</w:t>
            </w:r>
            <w:r>
              <w:rPr>
                <w:rFonts w:hint="eastAsia" w:ascii="宋体" w:hAnsi="宋体" w:cs="宋体"/>
                <w:b w:val="0"/>
                <w:bCs/>
                <w:color w:val="auto"/>
                <w:szCs w:val="21"/>
                <w:highlight w:val="none"/>
                <w:lang w:val="en-US" w:eastAsia="zh-CN"/>
              </w:rPr>
              <w:t>磋商</w:t>
            </w:r>
            <w:r>
              <w:rPr>
                <w:rFonts w:hint="eastAsia" w:ascii="宋体" w:hAnsi="宋体" w:eastAsia="宋体" w:cs="宋体"/>
                <w:b w:val="0"/>
                <w:bCs/>
                <w:color w:val="auto"/>
                <w:szCs w:val="21"/>
                <w:highlight w:val="none"/>
                <w:lang w:val="en-US" w:eastAsia="zh-CN"/>
              </w:rPr>
              <w:t>文件要求、节点工期制定满足进度计划，进度计划有网络图或横道图、关键路径准确且工期控制合理得</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lang w:val="en-US" w:eastAsia="zh-CN"/>
              </w:rPr>
              <w:t>分；总工期满足</w:t>
            </w:r>
            <w:r>
              <w:rPr>
                <w:rFonts w:hint="eastAsia" w:ascii="宋体" w:hAnsi="宋体" w:cs="宋体"/>
                <w:b w:val="0"/>
                <w:bCs/>
                <w:color w:val="auto"/>
                <w:szCs w:val="21"/>
                <w:highlight w:val="none"/>
                <w:lang w:val="en-US" w:eastAsia="zh-CN"/>
              </w:rPr>
              <w:t>磋商</w:t>
            </w:r>
            <w:r>
              <w:rPr>
                <w:rFonts w:hint="eastAsia" w:ascii="宋体" w:hAnsi="宋体" w:eastAsia="宋体" w:cs="宋体"/>
                <w:b w:val="0"/>
                <w:bCs/>
                <w:color w:val="auto"/>
                <w:szCs w:val="21"/>
                <w:highlight w:val="none"/>
                <w:lang w:val="en-US" w:eastAsia="zh-CN"/>
              </w:rPr>
              <w:t>文件要求、进度计划有网络图或横道图，节点工期控制基本合理得</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cs="宋体"/>
                <w:b w:val="0"/>
                <w:bCs/>
                <w:color w:val="auto"/>
                <w:szCs w:val="21"/>
                <w:highlight w:val="none"/>
                <w:lang w:val="en-US" w:eastAsia="zh-CN"/>
              </w:rPr>
              <w:t>粗略</w:t>
            </w:r>
            <w:r>
              <w:rPr>
                <w:rFonts w:hint="eastAsia" w:ascii="宋体" w:hAnsi="宋体" w:eastAsia="宋体" w:cs="宋体"/>
                <w:b w:val="0"/>
                <w:bCs/>
                <w:color w:val="auto"/>
                <w:szCs w:val="21"/>
                <w:highlight w:val="none"/>
                <w:lang w:val="en-US" w:eastAsia="zh-CN"/>
              </w:rPr>
              <w:t>得0-</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w:t>
            </w:r>
          </w:p>
        </w:tc>
        <w:tc>
          <w:tcPr>
            <w:tcW w:w="2214" w:type="dxa"/>
            <w:noWrap w:val="0"/>
            <w:vAlign w:val="center"/>
          </w:tcPr>
          <w:p>
            <w:pPr>
              <w:pStyle w:val="20"/>
              <w:tabs>
                <w:tab w:val="left" w:pos="1146"/>
                <w:tab w:val="left" w:pos="2565"/>
              </w:tabs>
              <w:spacing w:before="0" w:beforeAutospacing="0" w:after="0" w:afterAutospacing="0" w:line="280" w:lineRule="exact"/>
              <w:outlineLvl w:val="9"/>
              <w:rPr>
                <w:rFonts w:hint="eastAsia"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lang w:val="en-US" w:eastAsia="zh-CN"/>
              </w:rPr>
              <w:t>资源配备计划</w:t>
            </w:r>
          </w:p>
        </w:tc>
        <w:tc>
          <w:tcPr>
            <w:tcW w:w="720" w:type="dxa"/>
            <w:noWrap w:val="0"/>
            <w:vAlign w:val="center"/>
          </w:tcPr>
          <w:p>
            <w:pPr>
              <w:spacing w:line="320" w:lineRule="exact"/>
              <w:jc w:val="center"/>
              <w:outlineLvl w:val="9"/>
              <w:rPr>
                <w:rFonts w:hint="eastAsia" w:cs="宋体"/>
                <w:color w:val="auto"/>
                <w:szCs w:val="21"/>
                <w:highlight w:val="none"/>
              </w:rPr>
            </w:pPr>
            <w:r>
              <w:rPr>
                <w:rFonts w:hint="eastAsia" w:ascii="宋体" w:hAnsi="宋体" w:cs="宋体"/>
                <w:b w:val="0"/>
                <w:bCs/>
                <w:color w:val="auto"/>
                <w:highlight w:val="none"/>
                <w:lang w:val="en-US" w:eastAsia="zh-CN"/>
              </w:rPr>
              <w:t>7</w:t>
            </w:r>
            <w:r>
              <w:rPr>
                <w:rFonts w:hint="eastAsia" w:ascii="宋体" w:hAnsi="宋体" w:eastAsia="宋体" w:cs="宋体"/>
                <w:b w:val="0"/>
                <w:bCs/>
                <w:color w:val="auto"/>
                <w:highlight w:val="none"/>
                <w:lang w:val="en-US" w:eastAsia="zh-CN"/>
              </w:rPr>
              <w:t>分</w:t>
            </w:r>
          </w:p>
        </w:tc>
        <w:tc>
          <w:tcPr>
            <w:tcW w:w="2910" w:type="dxa"/>
            <w:noWrap w:val="0"/>
            <w:vAlign w:val="center"/>
          </w:tcPr>
          <w:p>
            <w:pPr>
              <w:spacing w:line="320" w:lineRule="exact"/>
              <w:jc w:val="left"/>
              <w:outlineLvl w:val="9"/>
              <w:rPr>
                <w:rFonts w:hint="eastAsia" w:cs="宋体"/>
                <w:color w:val="auto"/>
                <w:szCs w:val="21"/>
                <w:highlight w:val="none"/>
              </w:rPr>
            </w:pPr>
            <w:r>
              <w:rPr>
                <w:rFonts w:hint="eastAsia" w:ascii="宋体" w:hAnsi="宋体" w:eastAsia="宋体" w:cs="宋体"/>
                <w:b w:val="0"/>
                <w:bCs/>
                <w:color w:val="auto"/>
                <w:szCs w:val="21"/>
                <w:highlight w:val="none"/>
                <w:lang w:val="en-US" w:eastAsia="zh-CN"/>
              </w:rPr>
              <w:t>本项目施工特点及工程进度需求所配备的施工设备、相关仪器，根据施工要求满足程度</w:t>
            </w:r>
            <w:r>
              <w:rPr>
                <w:rFonts w:hint="eastAsia" w:ascii="宋体" w:hAnsi="宋体" w:cs="宋体"/>
                <w:b w:val="0"/>
                <w:bCs/>
                <w:color w:val="auto"/>
                <w:szCs w:val="21"/>
                <w:highlight w:val="none"/>
                <w:lang w:val="en-US" w:eastAsia="zh-CN"/>
              </w:rPr>
              <w:t>，配备合理</w:t>
            </w:r>
            <w:r>
              <w:rPr>
                <w:rFonts w:hint="eastAsia" w:ascii="宋体" w:hAnsi="宋体" w:eastAsia="宋体" w:cs="宋体"/>
                <w:b w:val="0"/>
                <w:bCs/>
                <w:color w:val="auto"/>
                <w:szCs w:val="21"/>
                <w:highlight w:val="none"/>
                <w:lang w:val="en-US" w:eastAsia="zh-CN"/>
              </w:rPr>
              <w:t>得</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lang w:val="en-US" w:eastAsia="zh-CN"/>
              </w:rPr>
              <w:t>分；</w:t>
            </w:r>
            <w:r>
              <w:rPr>
                <w:rFonts w:hint="eastAsia" w:ascii="宋体" w:hAnsi="宋体" w:cs="宋体"/>
                <w:b w:val="0"/>
                <w:bCs/>
                <w:color w:val="auto"/>
                <w:szCs w:val="21"/>
                <w:highlight w:val="none"/>
                <w:lang w:val="en-US" w:eastAsia="zh-CN"/>
              </w:rPr>
              <w:t>配备</w:t>
            </w:r>
            <w:r>
              <w:rPr>
                <w:rFonts w:hint="eastAsia" w:ascii="宋体" w:hAnsi="宋体" w:eastAsia="宋体" w:cs="宋体"/>
                <w:b w:val="0"/>
                <w:bCs/>
                <w:color w:val="auto"/>
                <w:szCs w:val="21"/>
                <w:highlight w:val="none"/>
                <w:lang w:val="en-US" w:eastAsia="zh-CN"/>
              </w:rPr>
              <w:t>基本合理得</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cs="宋体"/>
                <w:b w:val="0"/>
                <w:bCs/>
                <w:color w:val="auto"/>
                <w:szCs w:val="21"/>
                <w:highlight w:val="none"/>
                <w:lang w:val="en-US" w:eastAsia="zh-CN"/>
              </w:rPr>
              <w:t>配置欠佳</w:t>
            </w:r>
            <w:r>
              <w:rPr>
                <w:rFonts w:hint="eastAsia" w:ascii="宋体" w:hAnsi="宋体" w:eastAsia="宋体" w:cs="宋体"/>
                <w:b w:val="0"/>
                <w:bCs/>
                <w:color w:val="auto"/>
                <w:szCs w:val="21"/>
                <w:highlight w:val="none"/>
                <w:lang w:val="en-US" w:eastAsia="zh-CN"/>
              </w:rPr>
              <w:t>得0-</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w:t>
            </w:r>
          </w:p>
        </w:tc>
        <w:tc>
          <w:tcPr>
            <w:tcW w:w="2214" w:type="dxa"/>
            <w:noWrap w:val="0"/>
            <w:vAlign w:val="center"/>
          </w:tcPr>
          <w:p>
            <w:pPr>
              <w:spacing w:line="280" w:lineRule="exact"/>
              <w:outlineLvl w:val="9"/>
              <w:rPr>
                <w:rFonts w:hint="eastAsia"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restart"/>
            <w:noWrap w:val="0"/>
            <w:vAlign w:val="center"/>
          </w:tcPr>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商务</w:t>
            </w:r>
          </w:p>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部分</w:t>
            </w:r>
          </w:p>
          <w:p>
            <w:pPr>
              <w:spacing w:line="280" w:lineRule="exact"/>
              <w:jc w:val="center"/>
              <w:outlineLvl w:val="9"/>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20</w:t>
            </w:r>
            <w:r>
              <w:rPr>
                <w:rFonts w:hint="eastAsia" w:ascii="宋体" w:hAnsi="宋体" w:eastAsia="宋体" w:cs="宋体"/>
                <w:b w:val="0"/>
                <w:bCs/>
                <w:color w:val="auto"/>
                <w:highlight w:val="none"/>
              </w:rPr>
              <w:t>分</w:t>
            </w:r>
          </w:p>
          <w:p>
            <w:pPr>
              <w:spacing w:line="280" w:lineRule="exact"/>
              <w:outlineLvl w:val="9"/>
              <w:rPr>
                <w:rFonts w:hint="eastAsia" w:ascii="宋体" w:hAnsi="宋体" w:eastAsia="宋体" w:cs="宋体"/>
                <w:b w:val="0"/>
                <w:bCs/>
                <w:color w:val="auto"/>
                <w:highlight w:val="none"/>
              </w:rPr>
            </w:pPr>
          </w:p>
        </w:tc>
        <w:tc>
          <w:tcPr>
            <w:tcW w:w="3232" w:type="dxa"/>
            <w:noWrap w:val="0"/>
            <w:vAlign w:val="center"/>
          </w:tcPr>
          <w:p>
            <w:pPr>
              <w:spacing w:line="320" w:lineRule="exact"/>
              <w:jc w:val="both"/>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企业类似业绩</w:t>
            </w:r>
          </w:p>
        </w:tc>
        <w:tc>
          <w:tcPr>
            <w:tcW w:w="720" w:type="dxa"/>
            <w:noWrap w:val="0"/>
            <w:vAlign w:val="center"/>
          </w:tcPr>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6分</w:t>
            </w:r>
          </w:p>
        </w:tc>
        <w:tc>
          <w:tcPr>
            <w:tcW w:w="2910" w:type="dxa"/>
            <w:noWrap w:val="0"/>
            <w:vAlign w:val="center"/>
          </w:tcPr>
          <w:p>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提供20</w:t>
            </w:r>
            <w:r>
              <w:rPr>
                <w:rFonts w:hint="eastAsia" w:ascii="宋体" w:hAnsi="宋体" w:cs="宋体"/>
                <w:b w:val="0"/>
                <w:bCs/>
                <w:color w:val="auto"/>
                <w:szCs w:val="21"/>
                <w:highlight w:val="none"/>
                <w:lang w:val="en-US" w:eastAsia="zh-CN"/>
              </w:rPr>
              <w:t>20</w:t>
            </w:r>
            <w:r>
              <w:rPr>
                <w:rFonts w:hint="eastAsia" w:ascii="宋体" w:hAnsi="宋体" w:eastAsia="宋体" w:cs="宋体"/>
                <w:b w:val="0"/>
                <w:bCs/>
                <w:color w:val="auto"/>
                <w:szCs w:val="21"/>
                <w:highlight w:val="none"/>
              </w:rPr>
              <w:t>年</w:t>
            </w: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月1日至今完成的类似业绩</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以中标（成交）通知书或合同或竣工验收证明材料</w:t>
            </w:r>
            <w:r>
              <w:rPr>
                <w:rFonts w:hint="eastAsia" w:ascii="宋体" w:hAnsi="宋体" w:cs="宋体"/>
                <w:b w:val="0"/>
                <w:bCs/>
                <w:color w:val="auto"/>
                <w:szCs w:val="21"/>
                <w:highlight w:val="none"/>
                <w:lang w:val="en-US" w:eastAsia="zh-CN"/>
              </w:rPr>
              <w:t>落款</w:t>
            </w:r>
            <w:r>
              <w:rPr>
                <w:rFonts w:hint="eastAsia" w:ascii="宋体" w:hAnsi="宋体" w:eastAsia="宋体" w:cs="宋体"/>
                <w:b w:val="0"/>
                <w:bCs/>
                <w:color w:val="auto"/>
                <w:szCs w:val="21"/>
                <w:highlight w:val="none"/>
                <w:lang w:val="en-US" w:eastAsia="zh-CN"/>
              </w:rPr>
              <w:t>时间为准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一项得</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分，最多得</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分。</w:t>
            </w:r>
          </w:p>
        </w:tc>
        <w:tc>
          <w:tcPr>
            <w:tcW w:w="2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宋体"/>
                <w:color w:val="auto"/>
                <w:szCs w:val="21"/>
                <w:highlight w:val="none"/>
              </w:rPr>
            </w:pPr>
            <w:r>
              <w:rPr>
                <w:rFonts w:hint="eastAsia" w:ascii="宋体" w:hAnsi="宋体" w:eastAsia="宋体" w:cs="宋体"/>
                <w:sz w:val="21"/>
                <w:szCs w:val="21"/>
                <w:highlight w:val="none"/>
                <w:lang w:val="en-US" w:eastAsia="zh-CN"/>
              </w:rPr>
              <w:t>磋商响应</w:t>
            </w:r>
            <w:r>
              <w:rPr>
                <w:rFonts w:hint="eastAsia" w:ascii="宋体" w:hAnsi="宋体" w:eastAsia="宋体" w:cs="宋体"/>
                <w:sz w:val="21"/>
                <w:szCs w:val="21"/>
                <w:highlight w:val="none"/>
              </w:rPr>
              <w:t>文件中附</w:t>
            </w:r>
            <w:r>
              <w:rPr>
                <w:rFonts w:hint="eastAsia" w:ascii="宋体" w:hAnsi="宋体" w:eastAsia="宋体" w:cs="宋体"/>
                <w:b w:val="0"/>
                <w:bCs/>
                <w:color w:val="auto"/>
                <w:szCs w:val="21"/>
                <w:highlight w:val="none"/>
              </w:rPr>
              <w:t>类似业绩</w:t>
            </w:r>
            <w:r>
              <w:rPr>
                <w:rFonts w:hint="eastAsia" w:ascii="宋体" w:hAnsi="宋体" w:cs="宋体"/>
                <w:b w:val="0"/>
                <w:bCs/>
                <w:color w:val="auto"/>
                <w:szCs w:val="21"/>
                <w:highlight w:val="none"/>
                <w:lang w:val="en-US" w:eastAsia="zh-CN"/>
              </w:rPr>
              <w:t>的</w:t>
            </w:r>
            <w:r>
              <w:rPr>
                <w:rFonts w:hint="eastAsia" w:ascii="宋体" w:hAnsi="宋体" w:eastAsia="宋体" w:cs="宋体"/>
                <w:b w:val="0"/>
                <w:bCs/>
                <w:color w:val="auto"/>
                <w:szCs w:val="21"/>
                <w:highlight w:val="none"/>
                <w:lang w:val="en-US" w:eastAsia="zh-CN"/>
              </w:rPr>
              <w:t>中标（</w:t>
            </w:r>
            <w:r>
              <w:rPr>
                <w:rFonts w:hint="eastAsia" w:ascii="宋体" w:hAnsi="宋体" w:eastAsia="宋体" w:cs="宋体"/>
                <w:b w:val="0"/>
                <w:bCs/>
                <w:color w:val="auto"/>
                <w:szCs w:val="21"/>
                <w:highlight w:val="none"/>
                <w:lang w:eastAsia="zh-CN"/>
              </w:rPr>
              <w:t>成交</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eastAsia="zh-CN"/>
              </w:rPr>
              <w:t>通知书</w:t>
            </w:r>
            <w:r>
              <w:rPr>
                <w:rFonts w:hint="eastAsia" w:ascii="宋体" w:hAnsi="宋体" w:eastAsia="宋体" w:cs="宋体"/>
                <w:b w:val="0"/>
                <w:bCs/>
                <w:color w:val="auto"/>
                <w:szCs w:val="21"/>
                <w:highlight w:val="none"/>
              </w:rPr>
              <w:t>或合同</w:t>
            </w:r>
            <w:r>
              <w:rPr>
                <w:rFonts w:hint="eastAsia" w:ascii="宋体" w:hAnsi="宋体" w:eastAsia="宋体" w:cs="宋体"/>
                <w:b w:val="0"/>
                <w:bCs/>
                <w:color w:val="auto"/>
                <w:szCs w:val="21"/>
                <w:highlight w:val="none"/>
                <w:lang w:val="en-US" w:eastAsia="zh-CN"/>
              </w:rPr>
              <w:t>或</w:t>
            </w:r>
            <w:r>
              <w:rPr>
                <w:rFonts w:hint="eastAsia" w:ascii="宋体" w:hAnsi="宋体" w:eastAsia="宋体" w:cs="宋体"/>
                <w:b w:val="0"/>
                <w:bCs/>
                <w:color w:val="auto"/>
                <w:szCs w:val="21"/>
                <w:highlight w:val="none"/>
              </w:rPr>
              <w:t>竣工验收证明材料</w:t>
            </w:r>
            <w:r>
              <w:rPr>
                <w:rFonts w:hint="eastAsia" w:ascii="宋体" w:hAnsi="宋体" w:eastAsia="宋体" w:cs="宋体"/>
                <w:sz w:val="21"/>
                <w:szCs w:val="21"/>
                <w:highlight w:val="none"/>
              </w:rPr>
              <w:t>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61" w:type="dxa"/>
            <w:vMerge w:val="continue"/>
            <w:noWrap w:val="0"/>
            <w:vAlign w:val="center"/>
          </w:tcPr>
          <w:p>
            <w:pPr>
              <w:spacing w:line="280" w:lineRule="exact"/>
              <w:outlineLvl w:val="9"/>
              <w:rPr>
                <w:rFonts w:hint="eastAsia" w:ascii="宋体" w:hAnsi="宋体" w:eastAsia="宋体" w:cs="宋体"/>
                <w:b w:val="0"/>
                <w:bCs/>
                <w:color w:val="auto"/>
                <w:highlight w:val="none"/>
              </w:rPr>
            </w:pPr>
          </w:p>
        </w:tc>
        <w:tc>
          <w:tcPr>
            <w:tcW w:w="3232" w:type="dxa"/>
            <w:noWrap w:val="0"/>
            <w:vAlign w:val="center"/>
          </w:tcPr>
          <w:p>
            <w:pPr>
              <w:spacing w:line="320" w:lineRule="exact"/>
              <w:jc w:val="left"/>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承诺（对农民工工资、不转包、不分包</w:t>
            </w:r>
            <w:r>
              <w:rPr>
                <w:rFonts w:hint="eastAsia" w:ascii="宋体" w:hAnsi="宋体" w:eastAsia="宋体" w:cs="宋体"/>
                <w:b w:val="0"/>
                <w:bCs/>
                <w:color w:val="auto"/>
                <w:highlight w:val="none"/>
                <w:lang w:eastAsia="zh-CN"/>
              </w:rPr>
              <w:t>等</w:t>
            </w:r>
            <w:r>
              <w:rPr>
                <w:rFonts w:hint="eastAsia" w:ascii="宋体" w:hAnsi="宋体" w:eastAsia="宋体" w:cs="宋体"/>
                <w:b w:val="0"/>
                <w:bCs/>
                <w:color w:val="auto"/>
                <w:highlight w:val="none"/>
              </w:rPr>
              <w:t>的承诺）</w:t>
            </w:r>
          </w:p>
        </w:tc>
        <w:tc>
          <w:tcPr>
            <w:tcW w:w="720" w:type="dxa"/>
            <w:noWrap w:val="0"/>
            <w:vAlign w:val="center"/>
          </w:tcPr>
          <w:p>
            <w:pPr>
              <w:spacing w:line="320" w:lineRule="exact"/>
              <w:jc w:val="center"/>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4分</w:t>
            </w:r>
          </w:p>
        </w:tc>
        <w:tc>
          <w:tcPr>
            <w:tcW w:w="2910" w:type="dxa"/>
            <w:noWrap w:val="0"/>
            <w:vAlign w:val="center"/>
          </w:tcPr>
          <w:p>
            <w:pPr>
              <w:spacing w:line="320" w:lineRule="exac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w:t>
            </w:r>
            <w:r>
              <w:rPr>
                <w:rFonts w:hint="eastAsia" w:ascii="宋体" w:hAnsi="宋体" w:cs="宋体"/>
                <w:b w:val="0"/>
                <w:bCs/>
                <w:color w:val="auto"/>
                <w:szCs w:val="21"/>
                <w:highlight w:val="none"/>
                <w:lang w:val="en-US" w:eastAsia="zh-CN"/>
              </w:rPr>
              <w:t>0</w:t>
            </w:r>
            <w:r>
              <w:rPr>
                <w:rFonts w:hint="eastAsia" w:ascii="宋体" w:hAnsi="宋体" w:eastAsia="宋体" w:cs="宋体"/>
                <w:b w:val="0"/>
                <w:bCs/>
                <w:color w:val="auto"/>
                <w:szCs w:val="21"/>
                <w:highlight w:val="none"/>
                <w:lang w:val="en-US" w:eastAsia="zh-CN"/>
              </w:rPr>
              <w:t>-4分。</w:t>
            </w:r>
          </w:p>
        </w:tc>
        <w:tc>
          <w:tcPr>
            <w:tcW w:w="2214" w:type="dxa"/>
            <w:noWrap w:val="0"/>
            <w:vAlign w:val="center"/>
          </w:tcPr>
          <w:p>
            <w:pPr>
              <w:spacing w:line="320" w:lineRule="exact"/>
              <w:jc w:val="left"/>
              <w:outlineLvl w:val="9"/>
              <w:rPr>
                <w:rFonts w:hint="eastAsia" w:ascii="宋体" w:hAnsi="宋体" w:eastAsia="宋体" w:cs="宋体"/>
                <w:b w:val="0"/>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961" w:type="dxa"/>
            <w:vMerge w:val="continue"/>
            <w:noWrap w:val="0"/>
            <w:vAlign w:val="center"/>
          </w:tcPr>
          <w:p>
            <w:pPr>
              <w:spacing w:line="280" w:lineRule="exact"/>
              <w:outlineLvl w:val="9"/>
              <w:rPr>
                <w:rFonts w:hint="eastAsia" w:ascii="宋体" w:hAnsi="宋体" w:eastAsia="宋体" w:cs="宋体"/>
                <w:b w:val="0"/>
                <w:bCs/>
                <w:color w:val="auto"/>
                <w:highlight w:val="none"/>
              </w:rPr>
            </w:pPr>
          </w:p>
        </w:tc>
        <w:tc>
          <w:tcPr>
            <w:tcW w:w="32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项目机构组成</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10</w:t>
            </w:r>
            <w:r>
              <w:rPr>
                <w:rFonts w:hint="eastAsia" w:ascii="宋体" w:hAnsi="宋体" w:eastAsia="宋体" w:cs="宋体"/>
                <w:b w:val="0"/>
                <w:bCs/>
                <w:color w:val="auto"/>
                <w:highlight w:val="none"/>
                <w:lang w:val="en-US" w:eastAsia="zh-CN"/>
              </w:rPr>
              <w:t>分</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eastAsia="宋体" w:cs="宋体"/>
                <w:b w:val="0"/>
                <w:bCs/>
                <w:color w:val="auto"/>
                <w:szCs w:val="21"/>
                <w:highlight w:val="none"/>
                <w:lang w:val="en-US"/>
              </w:rPr>
            </w:pPr>
            <w:r>
              <w:rPr>
                <w:rFonts w:hint="default" w:ascii="宋体" w:hAnsi="宋体" w:eastAsia="宋体" w:cs="宋体"/>
                <w:b w:val="0"/>
                <w:bCs/>
                <w:color w:val="auto"/>
                <w:szCs w:val="21"/>
                <w:highlight w:val="none"/>
                <w:lang w:val="en-US"/>
              </w:rPr>
              <w:t>具有五大员（质量员、安全员、施工员、材料员、资料员）上岗证书</w:t>
            </w:r>
            <w:r>
              <w:rPr>
                <w:rFonts w:hint="eastAsia" w:ascii="宋体" w:hAnsi="宋体" w:eastAsia="宋体" w:cs="宋体"/>
                <w:b w:val="0"/>
                <w:bCs/>
                <w:color w:val="auto"/>
                <w:szCs w:val="21"/>
                <w:highlight w:val="none"/>
                <w:lang w:val="en-US" w:eastAsia="zh-CN"/>
              </w:rPr>
              <w:t>（安全员</w:t>
            </w:r>
            <w:r>
              <w:rPr>
                <w:rFonts w:hint="eastAsia" w:ascii="宋体" w:hAnsi="宋体" w:cs="宋体"/>
                <w:b w:val="0"/>
                <w:bCs/>
                <w:color w:val="auto"/>
                <w:szCs w:val="21"/>
                <w:highlight w:val="none"/>
                <w:lang w:val="en-US" w:eastAsia="zh-CN"/>
              </w:rPr>
              <w:t>附</w:t>
            </w:r>
            <w:r>
              <w:rPr>
                <w:rFonts w:hint="eastAsia" w:ascii="宋体" w:hAnsi="宋体" w:eastAsia="宋体" w:cs="宋体"/>
                <w:b w:val="0"/>
                <w:bCs/>
                <w:color w:val="auto"/>
                <w:szCs w:val="21"/>
                <w:highlight w:val="none"/>
                <w:lang w:val="en-US" w:eastAsia="zh-CN"/>
              </w:rPr>
              <w:t>安全生产考核合格证）的每证得1分；有相应</w:t>
            </w:r>
            <w:r>
              <w:rPr>
                <w:rFonts w:hint="default" w:ascii="宋体" w:hAnsi="宋体" w:eastAsia="宋体" w:cs="宋体"/>
                <w:b w:val="0"/>
                <w:bCs/>
                <w:color w:val="auto"/>
                <w:szCs w:val="21"/>
                <w:highlight w:val="none"/>
                <w:lang w:val="en-US"/>
              </w:rPr>
              <w:t>职称证</w:t>
            </w:r>
            <w:r>
              <w:rPr>
                <w:rFonts w:hint="eastAsia" w:ascii="宋体" w:hAnsi="宋体" w:eastAsia="宋体" w:cs="宋体"/>
                <w:b w:val="0"/>
                <w:bCs/>
                <w:color w:val="auto"/>
                <w:szCs w:val="21"/>
                <w:highlight w:val="none"/>
                <w:lang w:val="en-US" w:eastAsia="zh-CN"/>
              </w:rPr>
              <w:t>（初级及以上均可）</w:t>
            </w:r>
            <w:r>
              <w:rPr>
                <w:rFonts w:hint="default" w:ascii="宋体" w:hAnsi="宋体" w:eastAsia="宋体" w:cs="宋体"/>
                <w:b w:val="0"/>
                <w:bCs/>
                <w:color w:val="auto"/>
                <w:szCs w:val="21"/>
                <w:highlight w:val="none"/>
                <w:lang w:val="en-US"/>
              </w:rPr>
              <w:t>的</w:t>
            </w:r>
            <w:r>
              <w:rPr>
                <w:rFonts w:hint="eastAsia" w:ascii="宋体" w:hAnsi="宋体" w:eastAsia="宋体" w:cs="宋体"/>
                <w:b w:val="0"/>
                <w:bCs/>
                <w:color w:val="auto"/>
                <w:szCs w:val="21"/>
                <w:highlight w:val="none"/>
                <w:lang w:val="en-US" w:eastAsia="zh-CN"/>
              </w:rPr>
              <w:t>每证加1分，共计</w:t>
            </w:r>
            <w:r>
              <w:rPr>
                <w:rFonts w:hint="default" w:ascii="宋体" w:hAnsi="宋体" w:eastAsia="宋体" w:cs="宋体"/>
                <w:b w:val="0"/>
                <w:bCs/>
                <w:color w:val="auto"/>
                <w:szCs w:val="21"/>
                <w:highlight w:val="none"/>
                <w:lang w:val="en-US"/>
              </w:rPr>
              <w:t>10分</w:t>
            </w:r>
            <w:r>
              <w:rPr>
                <w:rFonts w:hint="eastAsia" w:ascii="宋体" w:hAnsi="宋体" w:eastAsia="宋体" w:cs="宋体"/>
                <w:b w:val="0"/>
                <w:bCs/>
                <w:color w:val="auto"/>
                <w:szCs w:val="21"/>
                <w:highlight w:val="none"/>
                <w:lang w:val="en-US" w:eastAsia="zh-CN"/>
              </w:rPr>
              <w:t>。</w:t>
            </w:r>
          </w:p>
        </w:tc>
        <w:tc>
          <w:tcPr>
            <w:tcW w:w="2214" w:type="dxa"/>
            <w:noWrap w:val="0"/>
            <w:vAlign w:val="center"/>
          </w:tcPr>
          <w:p>
            <w:pPr>
              <w:spacing w:line="320" w:lineRule="exact"/>
              <w:jc w:val="left"/>
              <w:outlineLvl w:val="9"/>
              <w:rPr>
                <w:rFonts w:hint="eastAsia" w:ascii="宋体" w:hAnsi="宋体" w:eastAsia="宋体" w:cs="宋体"/>
                <w:b w:val="0"/>
                <w:bCs/>
                <w:color w:val="auto"/>
                <w:highlight w:val="none"/>
              </w:rPr>
            </w:pPr>
            <w:r>
              <w:rPr>
                <w:rFonts w:hint="eastAsia" w:ascii="宋体" w:hAnsi="宋体" w:eastAsia="宋体" w:cs="宋体"/>
                <w:sz w:val="21"/>
                <w:szCs w:val="21"/>
                <w:highlight w:val="none"/>
                <w:lang w:val="en-US" w:eastAsia="zh-CN"/>
              </w:rPr>
              <w:t>磋商响应</w:t>
            </w:r>
            <w:r>
              <w:rPr>
                <w:rFonts w:hint="eastAsia" w:ascii="宋体" w:hAnsi="宋体" w:eastAsia="宋体" w:cs="宋体"/>
                <w:sz w:val="21"/>
                <w:szCs w:val="21"/>
                <w:highlight w:val="none"/>
              </w:rPr>
              <w:t>文件中附</w:t>
            </w:r>
            <w:r>
              <w:rPr>
                <w:rFonts w:hint="eastAsia" w:ascii="宋体" w:hAnsi="宋体" w:cs="宋体"/>
                <w:sz w:val="21"/>
                <w:szCs w:val="21"/>
                <w:highlight w:val="none"/>
                <w:lang w:val="en-US" w:eastAsia="zh-CN"/>
              </w:rPr>
              <w:t>相关证书的</w:t>
            </w:r>
            <w:r>
              <w:rPr>
                <w:rFonts w:hint="eastAsia" w:ascii="宋体" w:hAnsi="宋体" w:eastAsia="宋体" w:cs="宋体"/>
                <w:sz w:val="21"/>
                <w:szCs w:val="21"/>
                <w:highlight w:val="none"/>
              </w:rPr>
              <w:t>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61" w:type="dxa"/>
            <w:noWrap w:val="0"/>
            <w:vAlign w:val="center"/>
          </w:tcPr>
          <w:p>
            <w:pPr>
              <w:spacing w:line="280" w:lineRule="exact"/>
              <w:jc w:val="center"/>
              <w:outlineLvl w:val="9"/>
              <w:rPr>
                <w:rFonts w:hint="eastAsia" w:ascii="宋体" w:hAnsi="宋体" w:eastAsia="宋体" w:cs="宋体"/>
                <w:b w:val="0"/>
                <w:bCs/>
                <w:color w:val="auto"/>
                <w:kern w:val="1"/>
                <w:szCs w:val="21"/>
                <w:highlight w:val="none"/>
                <w:lang w:val="en-US" w:eastAsia="zh-CN"/>
              </w:rPr>
            </w:pPr>
            <w:r>
              <w:rPr>
                <w:rFonts w:hint="eastAsia" w:ascii="宋体" w:hAnsi="宋体" w:eastAsia="宋体" w:cs="宋体"/>
                <w:b w:val="0"/>
                <w:bCs/>
                <w:color w:val="auto"/>
                <w:kern w:val="1"/>
                <w:szCs w:val="21"/>
                <w:highlight w:val="none"/>
                <w:lang w:val="en-US" w:eastAsia="zh-CN"/>
              </w:rPr>
              <w:t>磋商</w:t>
            </w:r>
          </w:p>
          <w:p>
            <w:pPr>
              <w:spacing w:line="280" w:lineRule="exact"/>
              <w:jc w:val="center"/>
              <w:outlineLvl w:val="9"/>
              <w:rPr>
                <w:rFonts w:hint="eastAsia" w:ascii="宋体" w:hAnsi="宋体" w:eastAsia="宋体" w:cs="宋体"/>
                <w:b w:val="0"/>
                <w:bCs/>
                <w:color w:val="auto"/>
                <w:kern w:val="1"/>
                <w:szCs w:val="21"/>
                <w:highlight w:val="none"/>
              </w:rPr>
            </w:pPr>
            <w:r>
              <w:rPr>
                <w:rFonts w:hint="eastAsia" w:ascii="宋体" w:hAnsi="宋体" w:eastAsia="宋体" w:cs="宋体"/>
                <w:b w:val="0"/>
                <w:bCs/>
                <w:color w:val="auto"/>
                <w:kern w:val="1"/>
                <w:szCs w:val="21"/>
                <w:highlight w:val="none"/>
              </w:rPr>
              <w:t>报价</w:t>
            </w:r>
          </w:p>
          <w:p>
            <w:pPr>
              <w:spacing w:line="280" w:lineRule="exact"/>
              <w:jc w:val="center"/>
              <w:outlineLvl w:val="9"/>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kern w:val="1"/>
                <w:szCs w:val="21"/>
                <w:highlight w:val="none"/>
                <w:lang w:val="en-US" w:eastAsia="zh-CN"/>
              </w:rPr>
              <w:t>30分</w:t>
            </w:r>
          </w:p>
        </w:tc>
        <w:tc>
          <w:tcPr>
            <w:tcW w:w="3232" w:type="dxa"/>
            <w:noWrap w:val="0"/>
            <w:vAlign w:val="center"/>
          </w:tcPr>
          <w:p>
            <w:pPr>
              <w:spacing w:line="320" w:lineRule="exact"/>
              <w:jc w:val="left"/>
              <w:outlineLvl w:val="9"/>
              <w:rPr>
                <w:rFonts w:hint="eastAsia" w:ascii="宋体" w:hAnsi="宋体" w:eastAsia="宋体" w:cs="宋体"/>
                <w:b w:val="0"/>
                <w:bCs/>
                <w:color w:val="auto"/>
                <w:highlight w:val="none"/>
              </w:rPr>
            </w:pPr>
            <w:r>
              <w:rPr>
                <w:rFonts w:hint="eastAsia" w:ascii="宋体" w:hAnsi="宋体" w:eastAsia="宋体" w:cs="宋体"/>
                <w:b w:val="0"/>
                <w:bCs/>
                <w:color w:val="auto"/>
                <w:kern w:val="1"/>
                <w:szCs w:val="21"/>
                <w:highlight w:val="none"/>
                <w:lang w:val="en-US" w:eastAsia="zh-CN"/>
              </w:rPr>
              <w:t>磋商</w:t>
            </w:r>
            <w:r>
              <w:rPr>
                <w:rFonts w:hint="eastAsia" w:ascii="宋体" w:hAnsi="宋体" w:eastAsia="宋体" w:cs="宋体"/>
                <w:b w:val="0"/>
                <w:bCs/>
                <w:color w:val="auto"/>
                <w:kern w:val="1"/>
                <w:szCs w:val="21"/>
                <w:highlight w:val="none"/>
              </w:rPr>
              <w:t>报价</w:t>
            </w:r>
          </w:p>
        </w:tc>
        <w:tc>
          <w:tcPr>
            <w:tcW w:w="720" w:type="dxa"/>
            <w:noWrap w:val="0"/>
            <w:vAlign w:val="center"/>
          </w:tcPr>
          <w:p>
            <w:pPr>
              <w:spacing w:line="320" w:lineRule="exact"/>
              <w:jc w:val="center"/>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kern w:val="1"/>
                <w:szCs w:val="21"/>
                <w:highlight w:val="none"/>
              </w:rPr>
              <w:t>30分</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①</w:t>
            </w:r>
            <w:r>
              <w:rPr>
                <w:rFonts w:hint="eastAsia" w:ascii="宋体" w:hAnsi="宋体" w:eastAsia="宋体" w:cs="宋体"/>
                <w:highlight w:val="none"/>
              </w:rPr>
              <w:t>经资格审查合格的磋商</w:t>
            </w:r>
            <w:r>
              <w:rPr>
                <w:rFonts w:hint="eastAsia" w:ascii="宋体" w:hAnsi="宋体" w:eastAsia="宋体" w:cs="宋体"/>
              </w:rPr>
              <w:t>响应文件，其磋商报价有效；</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②满足磋商文件要求且最后提交价格最低的磋商报价为</w:t>
            </w:r>
            <w:r>
              <w:rPr>
                <w:rFonts w:hint="eastAsia" w:ascii="宋体" w:hAnsi="宋体" w:eastAsia="宋体" w:cs="宋体"/>
                <w:lang w:val="en-US" w:eastAsia="zh-CN"/>
              </w:rPr>
              <w:t>磋商</w:t>
            </w:r>
            <w:r>
              <w:rPr>
                <w:rFonts w:hint="eastAsia" w:ascii="宋体" w:hAnsi="宋体" w:eastAsia="宋体" w:cs="宋体"/>
              </w:rPr>
              <w:t>基准价；</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 xml:space="preserve">③磋商报价得分=(磋商基准价／最后磋商报价)×30%×100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④政策性加分执行磋商文件中的标准；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⑤磋商报价不完整的，本项得0分。</w:t>
            </w:r>
          </w:p>
        </w:tc>
        <w:tc>
          <w:tcPr>
            <w:tcW w:w="2214" w:type="dxa"/>
            <w:noWrap w:val="0"/>
            <w:vAlign w:val="center"/>
          </w:tcPr>
          <w:p>
            <w:pPr>
              <w:spacing w:line="320" w:lineRule="exact"/>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磋商小组认为供应商的报价明显低于其他通过符合性评审供应商的报价，有可能影响产品质量或者不能诚信履约的，应当要求其在评标现场合理的时间内提供书面说明，必要时提交相关证明材料；供应商不能证明其报价合理性的，磋商小组应当将其作为无效响应处理。</w:t>
            </w:r>
          </w:p>
          <w:p>
            <w:pPr>
              <w:pStyle w:val="3"/>
              <w:jc w:val="left"/>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7" w:type="dxa"/>
            <w:gridSpan w:val="5"/>
            <w:noWrap w:val="0"/>
            <w:vAlign w:val="center"/>
          </w:tcPr>
          <w:p>
            <w:pPr>
              <w:spacing w:line="320" w:lineRule="exact"/>
              <w:jc w:val="center"/>
              <w:outlineLvl w:val="9"/>
              <w:rPr>
                <w:rFonts w:hint="eastAsia" w:ascii="宋体" w:hAnsi="宋体" w:eastAsia="宋体" w:cs="宋体"/>
                <w:b w:val="0"/>
                <w:bCs/>
                <w:color w:val="auto"/>
              </w:rPr>
            </w:pPr>
            <w:r>
              <w:rPr>
                <w:rFonts w:hint="eastAsia" w:ascii="宋体" w:hAnsi="宋体" w:eastAsia="宋体" w:cs="宋体"/>
                <w:b w:val="0"/>
                <w:bCs/>
                <w:color w:val="auto"/>
                <w:kern w:val="1"/>
                <w:szCs w:val="21"/>
                <w:lang w:eastAsia="zh-CN"/>
              </w:rPr>
              <w:t>磋商</w:t>
            </w:r>
            <w:r>
              <w:rPr>
                <w:rFonts w:hint="eastAsia" w:ascii="宋体" w:hAnsi="宋体" w:eastAsia="宋体" w:cs="宋体"/>
                <w:b w:val="0"/>
                <w:bCs/>
                <w:color w:val="auto"/>
                <w:kern w:val="1"/>
                <w:szCs w:val="21"/>
              </w:rPr>
              <w:t>小组根据</w:t>
            </w:r>
            <w:r>
              <w:rPr>
                <w:rFonts w:hint="eastAsia" w:ascii="宋体" w:hAnsi="宋体" w:eastAsia="宋体" w:cs="宋体"/>
                <w:b w:val="0"/>
                <w:bCs/>
                <w:color w:val="auto"/>
                <w:kern w:val="1"/>
                <w:szCs w:val="21"/>
                <w:lang w:eastAsia="zh-CN"/>
              </w:rPr>
              <w:t>供应商</w:t>
            </w:r>
            <w:r>
              <w:rPr>
                <w:rFonts w:hint="eastAsia" w:ascii="宋体" w:hAnsi="宋体" w:eastAsia="宋体" w:cs="宋体"/>
                <w:b w:val="0"/>
                <w:bCs/>
                <w:color w:val="auto"/>
                <w:kern w:val="1"/>
                <w:szCs w:val="21"/>
              </w:rPr>
              <w:t>响应文件横向对比，自主赋分，有重大错误、缺项或漏项时该子项不得分。</w:t>
            </w:r>
          </w:p>
        </w:tc>
      </w:tr>
    </w:tbl>
    <w:p>
      <w:pPr>
        <w:jc w:val="both"/>
        <w:outlineLvl w:val="0"/>
        <w:rPr>
          <w:rFonts w:hint="eastAsia" w:ascii="宋体" w:hAnsi="宋体"/>
          <w:b/>
          <w:sz w:val="36"/>
        </w:rPr>
      </w:pPr>
      <w:bookmarkStart w:id="43" w:name="_Toc14947"/>
      <w:bookmarkStart w:id="44" w:name="_Toc319"/>
      <w:bookmarkStart w:id="45" w:name="_Toc517"/>
    </w:p>
    <w:p>
      <w:pPr>
        <w:jc w:val="center"/>
        <w:outlineLvl w:val="0"/>
        <w:rPr>
          <w:rFonts w:hint="eastAsia" w:ascii="宋体" w:hAnsi="宋体"/>
          <w:b/>
          <w:sz w:val="36"/>
        </w:rPr>
      </w:pPr>
      <w:bookmarkStart w:id="46" w:name="_Toc31860"/>
    </w:p>
    <w:p>
      <w:pPr>
        <w:pStyle w:val="2"/>
        <w:rPr>
          <w:rFonts w:hint="eastAsia" w:ascii="宋体" w:hAnsi="宋体"/>
          <w:b/>
          <w:sz w:val="36"/>
        </w:rPr>
      </w:pPr>
    </w:p>
    <w:p>
      <w:pPr>
        <w:pStyle w:val="2"/>
        <w:rPr>
          <w:rFonts w:hint="eastAsia" w:ascii="宋体" w:hAnsi="宋体"/>
          <w:b/>
          <w:sz w:val="36"/>
        </w:rPr>
      </w:pPr>
    </w:p>
    <w:p>
      <w:pPr>
        <w:jc w:val="center"/>
        <w:outlineLvl w:val="0"/>
        <w:rPr>
          <w:rFonts w:hint="eastAsia" w:ascii="宋体" w:hAnsi="宋体" w:eastAsia="宋体" w:cs="宋体"/>
          <w:b w:val="0"/>
          <w:bCs/>
          <w:sz w:val="36"/>
          <w:szCs w:val="36"/>
          <w:highlight w:val="yellow"/>
        </w:rPr>
      </w:pPr>
      <w:bookmarkStart w:id="47" w:name="_Toc27014"/>
      <w:r>
        <w:rPr>
          <w:rFonts w:hint="eastAsia" w:ascii="宋体" w:hAnsi="宋体"/>
          <w:b/>
          <w:sz w:val="36"/>
          <w:highlight w:val="none"/>
        </w:rPr>
        <w:t>第</w:t>
      </w:r>
      <w:r>
        <w:rPr>
          <w:rFonts w:hint="eastAsia" w:ascii="宋体" w:hAnsi="宋体"/>
          <w:b/>
          <w:sz w:val="36"/>
          <w:highlight w:val="none"/>
          <w:lang w:val="en-US" w:eastAsia="zh-CN"/>
        </w:rPr>
        <w:t>四</w:t>
      </w:r>
      <w:r>
        <w:rPr>
          <w:rFonts w:hint="eastAsia" w:ascii="宋体" w:hAnsi="宋体"/>
          <w:b/>
          <w:sz w:val="36"/>
          <w:highlight w:val="none"/>
        </w:rPr>
        <w:t xml:space="preserve">部分  </w:t>
      </w:r>
      <w:bookmarkEnd w:id="43"/>
      <w:r>
        <w:rPr>
          <w:rFonts w:ascii="宋体" w:hAnsi="宋体" w:cs="宋体"/>
          <w:b/>
          <w:kern w:val="1"/>
          <w:sz w:val="36"/>
          <w:szCs w:val="36"/>
          <w:highlight w:val="none"/>
        </w:rPr>
        <w:t>合同文</w:t>
      </w:r>
      <w:r>
        <w:rPr>
          <w:rFonts w:hint="eastAsia" w:ascii="宋体" w:hAnsi="宋体" w:cs="宋体"/>
          <w:b/>
          <w:kern w:val="1"/>
          <w:sz w:val="36"/>
          <w:szCs w:val="36"/>
          <w:highlight w:val="none"/>
        </w:rPr>
        <w:t>本</w:t>
      </w:r>
      <w:r>
        <w:rPr>
          <w:rFonts w:ascii="宋体" w:hAnsi="宋体" w:cs="宋体"/>
          <w:b/>
          <w:kern w:val="1"/>
          <w:sz w:val="36"/>
          <w:szCs w:val="36"/>
          <w:highlight w:val="none"/>
        </w:rPr>
        <w:t>及主要条款</w:t>
      </w:r>
      <w:bookmarkEnd w:id="44"/>
      <w:bookmarkEnd w:id="46"/>
      <w:bookmarkEnd w:id="47"/>
    </w:p>
    <w:p>
      <w:pPr>
        <w:keepNext/>
        <w:keepLines/>
        <w:pageBreakBefore w:val="0"/>
        <w:widowControl/>
        <w:kinsoku/>
        <w:wordWrap/>
        <w:overflowPunct/>
        <w:topLinePunct w:val="0"/>
        <w:autoSpaceDE/>
        <w:autoSpaceDN/>
        <w:bidi w:val="0"/>
        <w:adjustRightInd/>
        <w:snapToGrid/>
        <w:spacing w:line="300" w:lineRule="exact"/>
        <w:jc w:val="center"/>
        <w:textAlignment w:val="auto"/>
        <w:outlineLvl w:val="9"/>
        <w:rPr>
          <w:rFonts w:hint="eastAsia"/>
          <w:b/>
          <w:bCs/>
          <w:sz w:val="24"/>
          <w:szCs w:val="24"/>
        </w:rPr>
      </w:pPr>
      <w:bookmarkStart w:id="48" w:name="_Toc307416146"/>
      <w:bookmarkStart w:id="49" w:name="_Toc307417443"/>
      <w:bookmarkStart w:id="50" w:name="_Toc19885"/>
      <w:bookmarkStart w:id="51" w:name="_Toc285028771"/>
      <w:bookmarkStart w:id="52" w:name="_Toc307415540"/>
      <w:bookmarkStart w:id="53" w:name="_Toc263677306"/>
      <w:bookmarkStart w:id="54" w:name="_Toc430097416"/>
      <w:bookmarkStart w:id="55" w:name="_Toc307485210"/>
      <w:bookmarkStart w:id="56" w:name="_Toc267472871"/>
      <w:bookmarkStart w:id="57" w:name="_Toc265658091"/>
      <w:bookmarkStart w:id="58" w:name="_Toc263370619"/>
      <w:bookmarkStart w:id="59" w:name="_Toc265657484"/>
      <w:bookmarkStart w:id="60" w:name="_Toc184635122"/>
      <w:bookmarkStart w:id="61" w:name="_Toc265673897"/>
      <w:bookmarkStart w:id="62" w:name="_Toc190"/>
      <w:bookmarkStart w:id="63" w:name="_Toc637"/>
    </w:p>
    <w:p>
      <w:pPr>
        <w:keepNext/>
        <w:keepLines/>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b w:val="0"/>
          <w:sz w:val="28"/>
          <w:szCs w:val="28"/>
        </w:rPr>
      </w:pPr>
      <w:r>
        <w:rPr>
          <w:rFonts w:hint="eastAsia"/>
          <w:b/>
          <w:bCs/>
          <w:sz w:val="24"/>
          <w:szCs w:val="24"/>
        </w:rPr>
        <w:t xml:space="preserve">第1节 </w:t>
      </w:r>
      <w:r>
        <w:rPr>
          <w:rFonts w:hint="eastAsia"/>
          <w:b/>
          <w:bCs/>
          <w:sz w:val="24"/>
          <w:szCs w:val="24"/>
          <w:lang w:val="en-US" w:eastAsia="zh-CN"/>
        </w:rPr>
        <w:t xml:space="preserve">  </w:t>
      </w:r>
      <w:r>
        <w:rPr>
          <w:rFonts w:hint="eastAsia"/>
          <w:b/>
          <w:bCs/>
          <w:sz w:val="24"/>
          <w:szCs w:val="24"/>
        </w:rPr>
        <w:t>通用合同条款</w:t>
      </w:r>
      <w:bookmarkEnd w:id="48"/>
      <w:bookmarkEnd w:id="49"/>
      <w:bookmarkEnd w:id="50"/>
      <w:bookmarkEnd w:id="51"/>
      <w:bookmarkEnd w:id="52"/>
      <w:bookmarkEnd w:id="53"/>
      <w:bookmarkEnd w:id="54"/>
      <w:bookmarkEnd w:id="55"/>
      <w:bookmarkEnd w:id="56"/>
    </w:p>
    <w:p>
      <w:pPr>
        <w:numPr>
          <w:ilvl w:val="0"/>
          <w:numId w:val="0"/>
        </w:numPr>
        <w:ind w:leftChars="0"/>
        <w:jc w:val="both"/>
        <w:outlineLvl w:val="9"/>
        <w:rPr>
          <w:rFonts w:hint="eastAsia" w:ascii="宋体" w:hAnsi="宋体" w:eastAsia="宋体" w:cs="宋体"/>
          <w:sz w:val="24"/>
          <w:szCs w:val="24"/>
        </w:rPr>
      </w:pPr>
      <w:bookmarkStart w:id="64" w:name="_Toc307416147"/>
      <w:bookmarkStart w:id="65" w:name="_Toc263677307"/>
      <w:bookmarkStart w:id="66" w:name="_Toc184635098"/>
      <w:bookmarkStart w:id="67" w:name="_Toc307417444"/>
      <w:bookmarkStart w:id="68" w:name="_Toc307485211"/>
      <w:bookmarkStart w:id="69" w:name="_Toc263370592"/>
      <w:bookmarkStart w:id="70" w:name="_Toc285028772"/>
      <w:bookmarkStart w:id="71" w:name="_Toc267472872"/>
      <w:bookmarkStart w:id="72" w:name="_Toc12356"/>
      <w:bookmarkStart w:id="73" w:name="_Toc430097417"/>
      <w:r>
        <w:rPr>
          <w:rFonts w:hint="eastAsia" w:ascii="宋体" w:hAnsi="宋体" w:eastAsia="宋体" w:cs="宋体"/>
          <w:sz w:val="24"/>
          <w:szCs w:val="24"/>
        </w:rPr>
        <w:t>1．一般约定</w:t>
      </w:r>
      <w:bookmarkEnd w:id="64"/>
      <w:bookmarkEnd w:id="65"/>
      <w:bookmarkEnd w:id="66"/>
      <w:bookmarkEnd w:id="67"/>
      <w:bookmarkEnd w:id="68"/>
      <w:bookmarkEnd w:id="69"/>
      <w:bookmarkEnd w:id="70"/>
      <w:bookmarkEnd w:id="71"/>
      <w:bookmarkEnd w:id="72"/>
      <w:bookmarkEnd w:id="73"/>
    </w:p>
    <w:p>
      <w:pPr>
        <w:jc w:val="both"/>
        <w:outlineLvl w:val="9"/>
        <w:rPr>
          <w:rFonts w:hint="eastAsia" w:ascii="宋体" w:hAnsi="宋体" w:eastAsia="宋体" w:cs="宋体"/>
          <w:sz w:val="24"/>
          <w:szCs w:val="24"/>
        </w:rPr>
      </w:pPr>
      <w:bookmarkStart w:id="74" w:name="_Toc285028773"/>
      <w:bookmarkStart w:id="75" w:name="_Toc263677308"/>
      <w:bookmarkStart w:id="76" w:name="_Toc267472873"/>
      <w:r>
        <w:rPr>
          <w:rFonts w:hint="eastAsia" w:ascii="宋体" w:hAnsi="宋体" w:eastAsia="宋体" w:cs="宋体"/>
          <w:sz w:val="24"/>
          <w:szCs w:val="24"/>
        </w:rPr>
        <w:t>1.1 词语定义</w:t>
      </w:r>
      <w:bookmarkEnd w:id="74"/>
      <w:bookmarkEnd w:id="75"/>
      <w:bookmarkEnd w:id="76"/>
    </w:p>
    <w:p>
      <w:pPr>
        <w:spacing w:line="360" w:lineRule="auto"/>
        <w:ind w:firstLine="480" w:firstLineChars="200"/>
        <w:outlineLvl w:val="9"/>
        <w:rPr>
          <w:rFonts w:ascii="宋体" w:hAnsi="宋体"/>
          <w:sz w:val="24"/>
          <w:szCs w:val="24"/>
        </w:rPr>
      </w:pPr>
      <w:r>
        <w:rPr>
          <w:rFonts w:hint="eastAsia" w:ascii="宋体" w:hAnsi="宋体"/>
          <w:sz w:val="24"/>
          <w:szCs w:val="24"/>
        </w:rPr>
        <w:t>通用合同条款、专用合同条款中的下列词语应具有本款所赋予的含义。</w:t>
      </w:r>
    </w:p>
    <w:p>
      <w:pPr>
        <w:spacing w:line="360" w:lineRule="auto"/>
        <w:ind w:firstLine="480" w:firstLineChars="200"/>
        <w:outlineLvl w:val="9"/>
        <w:rPr>
          <w:rFonts w:ascii="宋体" w:hAnsi="宋体"/>
          <w:sz w:val="24"/>
          <w:szCs w:val="24"/>
        </w:rPr>
      </w:pPr>
      <w:bookmarkStart w:id="77" w:name="_Toc267472874"/>
      <w:bookmarkStart w:id="78" w:name="_Toc267470878"/>
      <w:bookmarkStart w:id="79" w:name="_Toc275528017"/>
      <w:bookmarkStart w:id="80" w:name="_Toc285028774"/>
      <w:r>
        <w:rPr>
          <w:rFonts w:hint="eastAsia" w:ascii="宋体" w:hAnsi="宋体"/>
          <w:sz w:val="24"/>
          <w:szCs w:val="24"/>
        </w:rPr>
        <w:t>1.1.1 合同</w:t>
      </w:r>
      <w:bookmarkEnd w:id="77"/>
      <w:bookmarkEnd w:id="78"/>
      <w:bookmarkEnd w:id="79"/>
      <w:bookmarkEnd w:id="80"/>
    </w:p>
    <w:p>
      <w:pPr>
        <w:spacing w:line="360" w:lineRule="auto"/>
        <w:ind w:firstLine="480" w:firstLineChars="200"/>
        <w:outlineLvl w:val="9"/>
        <w:rPr>
          <w:rFonts w:ascii="宋体" w:hAnsi="宋体"/>
          <w:sz w:val="24"/>
          <w:szCs w:val="24"/>
        </w:rPr>
      </w:pPr>
      <w:r>
        <w:rPr>
          <w:rFonts w:hint="eastAsia" w:ascii="宋体" w:hAnsi="宋体"/>
          <w:sz w:val="24"/>
          <w:szCs w:val="24"/>
        </w:rPr>
        <w:t>1.1.1.1 合同文件（或称合同）：指合同协议书、中标通知书、投标函及投标函附录、专用合同条款、通用合同条款、技术标准和要求、图纸、已标价工程量清单，以及其他合同文件。</w:t>
      </w:r>
    </w:p>
    <w:p>
      <w:pPr>
        <w:spacing w:line="360" w:lineRule="auto"/>
        <w:ind w:firstLine="480" w:firstLineChars="200"/>
        <w:outlineLvl w:val="9"/>
        <w:rPr>
          <w:rFonts w:ascii="宋体" w:hAnsi="宋体"/>
          <w:sz w:val="24"/>
          <w:szCs w:val="24"/>
        </w:rPr>
      </w:pPr>
      <w:r>
        <w:rPr>
          <w:rFonts w:hint="eastAsia" w:ascii="宋体" w:hAnsi="宋体"/>
          <w:sz w:val="24"/>
          <w:szCs w:val="24"/>
        </w:rPr>
        <w:t>1.1.1.2 合同协议书：指第1.5款所指的合同协议书。</w:t>
      </w:r>
    </w:p>
    <w:p>
      <w:pPr>
        <w:spacing w:line="360" w:lineRule="auto"/>
        <w:ind w:firstLine="480" w:firstLineChars="200"/>
        <w:outlineLvl w:val="9"/>
        <w:rPr>
          <w:rFonts w:ascii="宋体" w:hAnsi="宋体"/>
          <w:sz w:val="24"/>
          <w:szCs w:val="24"/>
        </w:rPr>
      </w:pPr>
      <w:r>
        <w:rPr>
          <w:rFonts w:hint="eastAsia" w:ascii="宋体" w:hAnsi="宋体"/>
          <w:sz w:val="24"/>
          <w:szCs w:val="24"/>
        </w:rPr>
        <w:t>1.1.1.3 中标通知书：指发包人通知承包人中标的函件。</w:t>
      </w:r>
    </w:p>
    <w:p>
      <w:pPr>
        <w:spacing w:line="360" w:lineRule="auto"/>
        <w:ind w:firstLine="480" w:firstLineChars="200"/>
        <w:outlineLvl w:val="9"/>
        <w:rPr>
          <w:rFonts w:ascii="宋体" w:hAnsi="宋体"/>
          <w:sz w:val="24"/>
          <w:szCs w:val="24"/>
        </w:rPr>
      </w:pPr>
      <w:r>
        <w:rPr>
          <w:rFonts w:hint="eastAsia" w:ascii="宋体" w:hAnsi="宋体"/>
          <w:sz w:val="24"/>
          <w:szCs w:val="24"/>
        </w:rPr>
        <w:t>1.1.1.4 投标函：指构成合同文件组成部分的由承包人填写并签署的投标函。</w:t>
      </w:r>
    </w:p>
    <w:p>
      <w:pPr>
        <w:spacing w:line="360" w:lineRule="auto"/>
        <w:ind w:firstLine="480" w:firstLineChars="200"/>
        <w:outlineLvl w:val="9"/>
        <w:rPr>
          <w:rFonts w:ascii="宋体" w:hAnsi="宋体"/>
          <w:sz w:val="24"/>
          <w:szCs w:val="24"/>
        </w:rPr>
      </w:pPr>
      <w:r>
        <w:rPr>
          <w:rFonts w:hint="eastAsia" w:ascii="宋体" w:hAnsi="宋体"/>
          <w:sz w:val="24"/>
          <w:szCs w:val="24"/>
        </w:rPr>
        <w:t>1.1.1.5 投标函附录：指附在投标函后构成合同文件的投标函附录。</w:t>
      </w:r>
    </w:p>
    <w:p>
      <w:pPr>
        <w:spacing w:line="360" w:lineRule="auto"/>
        <w:ind w:firstLine="480" w:firstLineChars="200"/>
        <w:outlineLvl w:val="9"/>
        <w:rPr>
          <w:rFonts w:ascii="宋体" w:hAnsi="宋体"/>
          <w:sz w:val="24"/>
          <w:szCs w:val="24"/>
        </w:rPr>
      </w:pPr>
      <w:r>
        <w:rPr>
          <w:rFonts w:hint="eastAsia" w:ascii="宋体" w:hAnsi="宋体"/>
          <w:sz w:val="24"/>
          <w:szCs w:val="24"/>
        </w:rPr>
        <w:t>1.1.1.6 技术标准和要求：指构成合同文件组成部分的名为技术标准和要求（合同技术条款）的文件，包括合同双方当事人约定对其所作的修改或补充。</w:t>
      </w:r>
    </w:p>
    <w:p>
      <w:pPr>
        <w:spacing w:line="360" w:lineRule="auto"/>
        <w:ind w:firstLine="480" w:firstLineChars="200"/>
        <w:outlineLvl w:val="9"/>
        <w:rPr>
          <w:rFonts w:ascii="宋体" w:hAnsi="宋体"/>
          <w:sz w:val="24"/>
          <w:szCs w:val="24"/>
        </w:rPr>
      </w:pPr>
      <w:r>
        <w:rPr>
          <w:rFonts w:hint="eastAsia" w:ascii="宋体" w:hAnsi="宋体"/>
          <w:sz w:val="24"/>
          <w:szCs w:val="24"/>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360" w:lineRule="auto"/>
        <w:ind w:firstLine="480" w:firstLineChars="200"/>
        <w:outlineLvl w:val="9"/>
        <w:rPr>
          <w:rFonts w:ascii="宋体" w:hAnsi="宋体"/>
          <w:sz w:val="24"/>
          <w:szCs w:val="24"/>
        </w:rPr>
      </w:pPr>
      <w:r>
        <w:rPr>
          <w:rFonts w:hint="eastAsia" w:ascii="宋体" w:hAnsi="宋体"/>
          <w:sz w:val="24"/>
          <w:szCs w:val="24"/>
        </w:rPr>
        <w:t>1.1.1.8 已标价工程量清单：指构成合同文件组成部分的由承包人按照规定的格式和要求填写并标明价格的工程量清单。</w:t>
      </w:r>
    </w:p>
    <w:p>
      <w:pPr>
        <w:spacing w:line="360" w:lineRule="auto"/>
        <w:ind w:firstLine="480" w:firstLineChars="200"/>
        <w:outlineLvl w:val="9"/>
        <w:rPr>
          <w:rFonts w:ascii="宋体" w:hAnsi="宋体"/>
          <w:sz w:val="24"/>
          <w:szCs w:val="24"/>
        </w:rPr>
      </w:pPr>
      <w:r>
        <w:rPr>
          <w:rFonts w:hint="eastAsia" w:ascii="宋体" w:hAnsi="宋体"/>
          <w:sz w:val="24"/>
          <w:szCs w:val="24"/>
        </w:rPr>
        <w:t>1.1.1.9 其他合同文件：指经合同双方当事人确认构成合同文件的其他文件。</w:t>
      </w:r>
    </w:p>
    <w:p>
      <w:pPr>
        <w:spacing w:line="360" w:lineRule="auto"/>
        <w:ind w:firstLine="480" w:firstLineChars="200"/>
        <w:outlineLvl w:val="9"/>
        <w:rPr>
          <w:rFonts w:ascii="宋体" w:hAnsi="宋体"/>
          <w:sz w:val="24"/>
          <w:szCs w:val="24"/>
        </w:rPr>
      </w:pPr>
      <w:bookmarkStart w:id="81" w:name="_Toc267470879"/>
      <w:bookmarkStart w:id="82" w:name="_Toc285028775"/>
      <w:bookmarkStart w:id="83" w:name="_Toc267472875"/>
      <w:bookmarkStart w:id="84" w:name="_Toc275528018"/>
      <w:r>
        <w:rPr>
          <w:rFonts w:hint="eastAsia" w:ascii="宋体" w:hAnsi="宋体"/>
          <w:sz w:val="24"/>
          <w:szCs w:val="24"/>
        </w:rPr>
        <w:t>1.1.2 合同当事人和人员</w:t>
      </w:r>
      <w:bookmarkEnd w:id="81"/>
      <w:bookmarkEnd w:id="82"/>
      <w:bookmarkEnd w:id="83"/>
      <w:bookmarkEnd w:id="84"/>
    </w:p>
    <w:p>
      <w:pPr>
        <w:spacing w:line="360" w:lineRule="auto"/>
        <w:ind w:firstLine="480" w:firstLineChars="200"/>
        <w:outlineLvl w:val="9"/>
        <w:rPr>
          <w:rFonts w:ascii="宋体" w:hAnsi="宋体"/>
          <w:sz w:val="24"/>
          <w:szCs w:val="24"/>
        </w:rPr>
      </w:pPr>
      <w:r>
        <w:rPr>
          <w:rFonts w:hint="eastAsia" w:ascii="宋体" w:hAnsi="宋体"/>
          <w:sz w:val="24"/>
          <w:szCs w:val="24"/>
        </w:rPr>
        <w:t>1.1.2.1 合同当事人：指发包人和（或）承包人。</w:t>
      </w:r>
    </w:p>
    <w:p>
      <w:pPr>
        <w:spacing w:line="360" w:lineRule="auto"/>
        <w:ind w:firstLine="480" w:firstLineChars="200"/>
        <w:outlineLvl w:val="9"/>
        <w:rPr>
          <w:rFonts w:ascii="宋体" w:hAnsi="宋体"/>
          <w:sz w:val="24"/>
          <w:szCs w:val="24"/>
        </w:rPr>
      </w:pPr>
      <w:r>
        <w:rPr>
          <w:rFonts w:hint="eastAsia" w:ascii="宋体" w:hAnsi="宋体"/>
          <w:sz w:val="24"/>
          <w:szCs w:val="24"/>
        </w:rPr>
        <w:t>1.1.2.2 发包人：指专用合同条款中指明并与承包人在合同协议书中签字的当事人。</w:t>
      </w:r>
    </w:p>
    <w:p>
      <w:pPr>
        <w:spacing w:line="360" w:lineRule="auto"/>
        <w:ind w:firstLine="480" w:firstLineChars="200"/>
        <w:outlineLvl w:val="9"/>
        <w:rPr>
          <w:rFonts w:ascii="宋体" w:hAnsi="宋体"/>
          <w:sz w:val="24"/>
          <w:szCs w:val="24"/>
        </w:rPr>
      </w:pPr>
      <w:r>
        <w:rPr>
          <w:rFonts w:hint="eastAsia" w:ascii="宋体" w:hAnsi="宋体"/>
          <w:sz w:val="24"/>
          <w:szCs w:val="24"/>
        </w:rPr>
        <w:t>1.1.2.3 承包人：指专用合同条款中指明并与发包人在合同协议书中签字的当事人。</w:t>
      </w:r>
    </w:p>
    <w:p>
      <w:pPr>
        <w:spacing w:line="360" w:lineRule="auto"/>
        <w:ind w:firstLine="480" w:firstLineChars="200"/>
        <w:outlineLvl w:val="9"/>
        <w:rPr>
          <w:rFonts w:ascii="宋体" w:hAnsi="宋体"/>
          <w:sz w:val="24"/>
          <w:szCs w:val="24"/>
        </w:rPr>
      </w:pPr>
      <w:r>
        <w:rPr>
          <w:rFonts w:hint="eastAsia" w:ascii="宋体" w:hAnsi="宋体"/>
          <w:sz w:val="24"/>
          <w:szCs w:val="24"/>
        </w:rPr>
        <w:t>1.1.2.4 承包人项目经理：指承包人派驻施工场地的全权负责人。</w:t>
      </w:r>
    </w:p>
    <w:p>
      <w:pPr>
        <w:spacing w:line="360" w:lineRule="auto"/>
        <w:ind w:firstLine="480" w:firstLineChars="200"/>
        <w:outlineLvl w:val="9"/>
        <w:rPr>
          <w:rFonts w:ascii="宋体" w:hAnsi="宋体"/>
          <w:sz w:val="24"/>
          <w:szCs w:val="24"/>
        </w:rPr>
      </w:pPr>
      <w:r>
        <w:rPr>
          <w:rFonts w:hint="eastAsia" w:ascii="宋体" w:hAnsi="宋体"/>
          <w:sz w:val="24"/>
          <w:szCs w:val="24"/>
        </w:rPr>
        <w:t>1.1.2.5 分包人：指专用合同条款中指明的，从承包人处分包合同中某一部分工程，并与其签订分包合同的分包人。</w:t>
      </w:r>
    </w:p>
    <w:p>
      <w:pPr>
        <w:spacing w:line="360" w:lineRule="auto"/>
        <w:ind w:firstLine="480" w:firstLineChars="200"/>
        <w:outlineLvl w:val="9"/>
        <w:rPr>
          <w:rFonts w:ascii="宋体" w:hAnsi="宋体"/>
          <w:sz w:val="24"/>
          <w:szCs w:val="24"/>
        </w:rPr>
      </w:pPr>
      <w:r>
        <w:rPr>
          <w:rFonts w:hint="eastAsia" w:ascii="宋体" w:hAnsi="宋体"/>
          <w:sz w:val="24"/>
          <w:szCs w:val="24"/>
        </w:rPr>
        <w:t>1.1.2.6 监理人：指在专用合同条款中指明的，受发包人委托对合同履行实施管理的法人或其他组织。</w:t>
      </w:r>
    </w:p>
    <w:p>
      <w:pPr>
        <w:spacing w:line="360" w:lineRule="auto"/>
        <w:ind w:firstLine="480" w:firstLineChars="200"/>
        <w:outlineLvl w:val="9"/>
        <w:rPr>
          <w:rFonts w:ascii="宋体" w:hAnsi="宋体"/>
          <w:sz w:val="24"/>
          <w:szCs w:val="24"/>
        </w:rPr>
      </w:pPr>
      <w:r>
        <w:rPr>
          <w:rFonts w:hint="eastAsia" w:ascii="宋体" w:hAnsi="宋体"/>
          <w:sz w:val="24"/>
          <w:szCs w:val="24"/>
        </w:rPr>
        <w:t>1.1.2.7 总监理工程师（总监）：指由监理人委派常驻施工场地对合同履行实施管理的全权负责人。</w:t>
      </w:r>
    </w:p>
    <w:p>
      <w:pPr>
        <w:spacing w:line="360" w:lineRule="auto"/>
        <w:ind w:firstLine="480" w:firstLineChars="200"/>
        <w:outlineLvl w:val="9"/>
        <w:rPr>
          <w:rFonts w:hint="eastAsia" w:ascii="宋体" w:hAnsi="宋体" w:eastAsia="宋体" w:cs="Times New Roman"/>
          <w:sz w:val="24"/>
          <w:szCs w:val="24"/>
        </w:rPr>
      </w:pPr>
      <w:bookmarkStart w:id="85" w:name="_Toc267470880"/>
      <w:bookmarkStart w:id="86" w:name="_Toc285028776"/>
      <w:bookmarkStart w:id="87" w:name="_Toc267472876"/>
      <w:bookmarkStart w:id="88" w:name="_Toc275528019"/>
      <w:r>
        <w:rPr>
          <w:rFonts w:hint="eastAsia" w:ascii="宋体" w:hAnsi="宋体"/>
          <w:sz w:val="24"/>
          <w:szCs w:val="24"/>
        </w:rPr>
        <w:t>1.1.3 工程和</w:t>
      </w:r>
      <w:r>
        <w:rPr>
          <w:rFonts w:hint="eastAsia" w:ascii="宋体" w:hAnsi="宋体" w:eastAsia="宋体" w:cs="Times New Roman"/>
          <w:sz w:val="24"/>
          <w:szCs w:val="24"/>
        </w:rPr>
        <w:t>设备</w:t>
      </w:r>
      <w:bookmarkEnd w:id="85"/>
      <w:bookmarkEnd w:id="86"/>
      <w:bookmarkEnd w:id="87"/>
      <w:bookmarkEnd w:id="8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1.1.3.1 工程：指永久工程和（或）临时工程。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1.1.3.2 永久工程：指按合同约定建造并移交给发包人的工程，包括仪器设备和全部相关软件等。</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1.1.3.3 临时工程：指为完成合同约定的永久工程所修建的各类临时性工程，不包括施工设备。</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1.1.3.4 单位工程：指专用合同条款中指明特定范围的永久工程。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1.1.3.5 工程设备：指构成或计划构成永久工程一部分的机电设备、金属结构设备、仪器装置及其他类似的设备和装置。</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1.1.3.6 施工设备：指为完成合同约定的各项工作所需的设备、器具和其他物品，不包括临时工程和材料。</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1.1.3.7 临时设施：指为完成合同约定的各项工作所服务的临时性生产和生活设施。</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1.1.3.8 承包人设备：指承包人自带的施工设备和检测仪器。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1.1.3.9 施工场地（或称工地、现场）：指用于合同工程施工的场所，以及在合同中指定作为施工场地组成部分的其他场所，包括永久占地和临时占地。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1.1.3.10 永久占地：指发包人为建设本合同工程永久征用的场地。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1.1.3.11 临时占地：指发包人为建设本合同工程临时征用，承包人在完工后须按合同要求退还的场地。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 日期</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1.1.4.1 开工通知：指监理人按第11.1款通知承包人开工的函件。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1.1.4.2 开工日期：指监理人按第11.1款发出的开工通知中写明的开工日期。</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1.1.4.3 工期：指承包人在投标函中承诺的完成合同工程所需的期限，包括按第11.3款、第11.4 款和第11.6 款约定所作的变更。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1.1.4.4 竣工日期：即合同工程完工日期，指第1.1.4.3目约定工期届满时的日期。实际完工日期以合同工程完工证书中写明的日期为准。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1.1.4.5 缺陷责任期：即工程质量保修期，指履行第19.2款约定的缺陷责任的期限，包括根据第19.3款约定所作的延长，具体期限由专用合同条款约定。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1.1.4.6 基准日期：指投标截止时间前28天的日期。</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1.1.4.7 天：除特别指明外，指日历天。合同中按天计算时间的，开始当天不计入，从次日开始计算。期限最后一天的截止时间为当天24:00。</w:t>
      </w:r>
    </w:p>
    <w:p>
      <w:pPr>
        <w:spacing w:line="360" w:lineRule="auto"/>
        <w:ind w:firstLine="480" w:firstLineChars="200"/>
        <w:outlineLvl w:val="9"/>
        <w:rPr>
          <w:rFonts w:hint="eastAsia" w:ascii="宋体" w:hAnsi="宋体" w:eastAsia="宋体" w:cs="Times New Roman"/>
          <w:sz w:val="24"/>
          <w:szCs w:val="24"/>
        </w:rPr>
      </w:pPr>
      <w:bookmarkStart w:id="89" w:name="_Toc267472877"/>
      <w:bookmarkStart w:id="90" w:name="_Toc267470881"/>
      <w:bookmarkStart w:id="91" w:name="_Toc275528020"/>
      <w:bookmarkStart w:id="92" w:name="_Toc285028777"/>
      <w:r>
        <w:rPr>
          <w:rFonts w:hint="eastAsia" w:ascii="宋体" w:hAnsi="宋体" w:eastAsia="宋体" w:cs="Times New Roman"/>
          <w:sz w:val="24"/>
          <w:szCs w:val="24"/>
        </w:rPr>
        <w:t>1.1.5 合同价格和费用</w:t>
      </w:r>
      <w:bookmarkEnd w:id="89"/>
      <w:bookmarkEnd w:id="90"/>
      <w:bookmarkEnd w:id="91"/>
      <w:bookmarkEnd w:id="9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1.1.5.1 签约合同价：指签订合同时合同协议书中写明的，包括了暂列金额、暂估价的合同总金额。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1.1.5.2 合同价格：指承包人按合同约定完成了包括缺陷责任期内的全部承包工作后，发包人应付给承包人的金额，包括在履行合同过程中按合同约定进行的变更和调整。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1.1.5.3 费用：指为履行合同所发生的或将要发生的所有合理开支，包括管理费和应分摊的其他费用，但不包括利润。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1.1.5.4 暂列金额：指已标价工程量清单中所列的暂列金额，用于在签订协议书时尚未确定或不可预见变更的施工及其所需材料、工程设备、服务等的金额，包括以计日工方式支付的金额。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1.1.5.5 暂估价：指发包人在工程量清单中给定的用于支付必然发生但暂时不能确定价格的材料、设备以及专业工程的金额。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1.1.5.6 计日工：指对零星工作采取的一种计价方式，按合同中的计日工子目及其单价计价付款。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1.1.5.7 质量保证金（或称保留金）：指按第17.4.1项约定用于保证在缺陷责任期内履行缺陷修复义务的金额。</w:t>
      </w:r>
    </w:p>
    <w:p>
      <w:pPr>
        <w:spacing w:line="360" w:lineRule="auto"/>
        <w:ind w:firstLine="480" w:firstLineChars="200"/>
        <w:outlineLvl w:val="9"/>
        <w:rPr>
          <w:rFonts w:hint="eastAsia" w:ascii="宋体" w:hAnsi="宋体" w:eastAsia="宋体" w:cs="Times New Roman"/>
          <w:sz w:val="24"/>
          <w:szCs w:val="24"/>
        </w:rPr>
      </w:pPr>
      <w:bookmarkStart w:id="93" w:name="_Toc285028778"/>
      <w:bookmarkStart w:id="94" w:name="_Toc267470882"/>
      <w:bookmarkStart w:id="95" w:name="_Toc275528021"/>
      <w:bookmarkStart w:id="96" w:name="_Toc267472878"/>
      <w:r>
        <w:rPr>
          <w:rFonts w:hint="eastAsia" w:ascii="宋体" w:hAnsi="宋体" w:eastAsia="宋体" w:cs="Times New Roman"/>
          <w:sz w:val="24"/>
          <w:szCs w:val="24"/>
        </w:rPr>
        <w:t>1.1.6 其他</w:t>
      </w:r>
      <w:bookmarkEnd w:id="93"/>
      <w:bookmarkEnd w:id="94"/>
      <w:bookmarkEnd w:id="95"/>
      <w:bookmarkEnd w:id="9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1.1.6.1 书面形式：指合同文件、信函、电报、传真等可以有形地表现所载内容的形式。</w:t>
      </w:r>
    </w:p>
    <w:p>
      <w:pPr>
        <w:spacing w:line="360" w:lineRule="auto"/>
        <w:ind w:firstLine="480" w:firstLineChars="200"/>
        <w:outlineLvl w:val="9"/>
        <w:rPr>
          <w:rFonts w:hint="eastAsia" w:ascii="宋体" w:hAnsi="宋体" w:eastAsia="宋体" w:cs="Times New Roman"/>
          <w:sz w:val="24"/>
          <w:szCs w:val="24"/>
        </w:rPr>
      </w:pPr>
      <w:bookmarkStart w:id="97" w:name="_Toc267472879"/>
      <w:bookmarkStart w:id="98" w:name="_Toc285028779"/>
      <w:bookmarkStart w:id="99" w:name="_Toc263677309"/>
      <w:r>
        <w:rPr>
          <w:rFonts w:hint="eastAsia" w:ascii="宋体" w:hAnsi="宋体" w:eastAsia="宋体" w:cs="Times New Roman"/>
          <w:sz w:val="24"/>
          <w:szCs w:val="24"/>
        </w:rPr>
        <w:t>1.2 语言文字</w:t>
      </w:r>
      <w:bookmarkEnd w:id="97"/>
      <w:bookmarkEnd w:id="98"/>
      <w:bookmarkEnd w:id="9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除专用术语外，合同使用的语言文字为中文。必要时专用术语应附有中文注释。</w:t>
      </w:r>
    </w:p>
    <w:p>
      <w:pPr>
        <w:spacing w:line="360" w:lineRule="auto"/>
        <w:ind w:firstLine="480" w:firstLineChars="200"/>
        <w:outlineLvl w:val="9"/>
        <w:rPr>
          <w:rFonts w:hint="eastAsia" w:ascii="宋体" w:hAnsi="宋体" w:eastAsia="宋体" w:cs="Times New Roman"/>
          <w:sz w:val="24"/>
          <w:szCs w:val="24"/>
        </w:rPr>
      </w:pPr>
      <w:bookmarkStart w:id="100" w:name="_Toc267472880"/>
      <w:bookmarkStart w:id="101" w:name="_Toc285028780"/>
      <w:bookmarkStart w:id="102" w:name="_Toc263677310"/>
      <w:r>
        <w:rPr>
          <w:rFonts w:hint="eastAsia" w:ascii="宋体" w:hAnsi="宋体" w:eastAsia="宋体" w:cs="Times New Roman"/>
          <w:sz w:val="24"/>
          <w:szCs w:val="24"/>
        </w:rPr>
        <w:t>1.3 法律</w:t>
      </w:r>
      <w:bookmarkEnd w:id="100"/>
      <w:bookmarkEnd w:id="101"/>
      <w:bookmarkEnd w:id="10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适用于合同的法律包括中华人民共和国法律、行政法规、部门规章，以及工程所在地的地方法规、自治条例、单行条例和地方政府规章。</w:t>
      </w:r>
    </w:p>
    <w:p>
      <w:pPr>
        <w:spacing w:line="360" w:lineRule="auto"/>
        <w:ind w:firstLine="480" w:firstLineChars="200"/>
        <w:outlineLvl w:val="9"/>
        <w:rPr>
          <w:rFonts w:hint="eastAsia" w:ascii="宋体" w:hAnsi="宋体" w:eastAsia="宋体" w:cs="Times New Roman"/>
          <w:sz w:val="24"/>
          <w:szCs w:val="24"/>
        </w:rPr>
      </w:pPr>
      <w:bookmarkStart w:id="103" w:name="_Toc263677311"/>
      <w:bookmarkStart w:id="104" w:name="_Toc285028781"/>
      <w:bookmarkStart w:id="105" w:name="_Toc267472881"/>
      <w:r>
        <w:rPr>
          <w:rFonts w:hint="eastAsia" w:ascii="宋体" w:hAnsi="宋体" w:eastAsia="宋体" w:cs="Times New Roman"/>
          <w:sz w:val="24"/>
          <w:szCs w:val="24"/>
        </w:rPr>
        <w:t>1.4 合同文件的优先顺序</w:t>
      </w:r>
      <w:bookmarkEnd w:id="103"/>
      <w:bookmarkEnd w:id="104"/>
      <w:bookmarkEnd w:id="10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组成合同的各项文件应互相解释，互为说明。除专用合同条款另有约定外，解释合同文件的优先顺序如下：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(l）合同协议书；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(2）中标通知书；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(3）投标函及投标函附录；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(4）专用合同条款；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(5）通用合同条款；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(6）技术标准和要求；</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(7）图纸；</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(8）已标价工程量清单；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(9）其他合同文件。</w:t>
      </w:r>
    </w:p>
    <w:p>
      <w:pPr>
        <w:spacing w:line="360" w:lineRule="auto"/>
        <w:ind w:firstLine="480" w:firstLineChars="200"/>
        <w:outlineLvl w:val="9"/>
        <w:rPr>
          <w:rFonts w:hint="eastAsia" w:ascii="宋体" w:hAnsi="宋体" w:eastAsia="宋体" w:cs="Times New Roman"/>
          <w:sz w:val="24"/>
          <w:szCs w:val="24"/>
        </w:rPr>
      </w:pPr>
      <w:bookmarkStart w:id="106" w:name="_Toc285028782"/>
      <w:bookmarkStart w:id="107" w:name="_Toc263677312"/>
      <w:bookmarkStart w:id="108" w:name="_Toc267472882"/>
      <w:r>
        <w:rPr>
          <w:rFonts w:hint="eastAsia" w:ascii="宋体" w:hAnsi="宋体" w:eastAsia="宋体" w:cs="Times New Roman"/>
          <w:sz w:val="24"/>
          <w:szCs w:val="24"/>
        </w:rPr>
        <w:t>1.5 合同协议书</w:t>
      </w:r>
      <w:bookmarkEnd w:id="106"/>
      <w:bookmarkEnd w:id="107"/>
      <w:bookmarkEnd w:id="10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承包人按中标通知书规定的时间与发包人签订合同协议书。除法律另有规定或合同另有约定外，发包人和承包人的法定代表人或其委托代理人在合同协议书上签字并盖单位章后，合同生效。</w:t>
      </w:r>
    </w:p>
    <w:p>
      <w:pPr>
        <w:spacing w:line="360" w:lineRule="auto"/>
        <w:ind w:firstLine="480" w:firstLineChars="200"/>
        <w:outlineLvl w:val="9"/>
        <w:rPr>
          <w:rFonts w:hint="eastAsia" w:ascii="宋体" w:hAnsi="宋体" w:eastAsia="宋体" w:cs="Times New Roman"/>
          <w:sz w:val="24"/>
          <w:szCs w:val="24"/>
        </w:rPr>
      </w:pPr>
      <w:bookmarkStart w:id="109" w:name="_Toc267472883"/>
      <w:bookmarkStart w:id="110" w:name="_Toc263677313"/>
      <w:bookmarkStart w:id="111" w:name="_Toc285028783"/>
      <w:r>
        <w:rPr>
          <w:rFonts w:hint="eastAsia" w:ascii="宋体" w:hAnsi="宋体" w:eastAsia="宋体" w:cs="Times New Roman"/>
          <w:sz w:val="24"/>
          <w:szCs w:val="24"/>
        </w:rPr>
        <w:t>1.6 图纸和承包人文件</w:t>
      </w:r>
      <w:bookmarkEnd w:id="109"/>
      <w:bookmarkEnd w:id="110"/>
      <w:bookmarkEnd w:id="11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1.6.1 图纸的提供</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发包人应按技术标准和要求（合同技术条款）约定的期限和数量将施工图纸以及其他图纸（包括配套说明和有关资料）提供给承包人。由于发包人未按时提供图纸造成工期延误的，按第11.3款的约定办理。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1.6.2 承包人提供的文件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承包人提供的文件应按技术标准和要求（合同技术条款），约定的期限和数量提供给监理人。监理人应按技术标准和要求（合同技术条款）约定的期限内批复承包人。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1.6.3 图纸的修改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1.6.4 图纸的错误</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承包人发现发包人提供的图纸存在明显错误或疏忽，应及时通知监理人。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1.6.5 图纸和承包人文件的保管</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监理人和承包人均应在施工场地各保存一套完整的包含第1.6.1项、第1.6.2项、第1.6.3项约定内容的图纸和承包人文件。</w:t>
      </w:r>
    </w:p>
    <w:p>
      <w:pPr>
        <w:spacing w:line="360" w:lineRule="auto"/>
        <w:ind w:firstLine="480" w:firstLineChars="200"/>
        <w:outlineLvl w:val="9"/>
        <w:rPr>
          <w:rFonts w:hint="eastAsia" w:ascii="宋体" w:hAnsi="宋体" w:eastAsia="宋体" w:cs="Times New Roman"/>
          <w:sz w:val="24"/>
          <w:szCs w:val="24"/>
        </w:rPr>
      </w:pPr>
      <w:bookmarkStart w:id="112" w:name="_Toc263677314"/>
      <w:bookmarkStart w:id="113" w:name="_Toc267472884"/>
      <w:bookmarkStart w:id="114" w:name="_Toc285028784"/>
      <w:r>
        <w:rPr>
          <w:rFonts w:hint="eastAsia" w:ascii="宋体" w:hAnsi="宋体" w:eastAsia="宋体" w:cs="Times New Roman"/>
          <w:sz w:val="24"/>
          <w:szCs w:val="24"/>
        </w:rPr>
        <w:t>1.7 联络</w:t>
      </w:r>
      <w:bookmarkEnd w:id="112"/>
      <w:bookmarkEnd w:id="113"/>
      <w:bookmarkEnd w:id="11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1.7.1 与合同有关的通知、批准、证明、证书、指示、要求、请求、同意、意见、确定和决定等，均应采用书面形式。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1.7.2 第1.7.1 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1.7.3来往函件均应按合同约定的期限及时发出和答复，不得无故扣压和拖延，亦不得拒收。否则，由此造成的后果由责任方负责。</w:t>
      </w:r>
    </w:p>
    <w:p>
      <w:pPr>
        <w:spacing w:line="360" w:lineRule="auto"/>
        <w:ind w:firstLine="480" w:firstLineChars="200"/>
        <w:outlineLvl w:val="9"/>
        <w:rPr>
          <w:rFonts w:hint="eastAsia" w:ascii="宋体" w:hAnsi="宋体" w:eastAsia="宋体" w:cs="Times New Roman"/>
          <w:sz w:val="24"/>
          <w:szCs w:val="24"/>
        </w:rPr>
      </w:pPr>
      <w:bookmarkStart w:id="115" w:name="_Toc285028785"/>
      <w:bookmarkStart w:id="116" w:name="_Toc267472885"/>
      <w:bookmarkStart w:id="117" w:name="_Toc263677315"/>
      <w:r>
        <w:rPr>
          <w:rFonts w:hint="eastAsia" w:ascii="宋体" w:hAnsi="宋体" w:eastAsia="宋体" w:cs="Times New Roman"/>
          <w:sz w:val="24"/>
          <w:szCs w:val="24"/>
        </w:rPr>
        <w:t>1.8 转让</w:t>
      </w:r>
      <w:bookmarkEnd w:id="115"/>
      <w:bookmarkEnd w:id="116"/>
      <w:bookmarkEnd w:id="11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除合同另有约定外，未经对方当事人同意，一方当事人不得将合同权利全部或部分转让给第三人，也不得全部或部分转移合同义务。</w:t>
      </w:r>
    </w:p>
    <w:p>
      <w:pPr>
        <w:spacing w:line="360" w:lineRule="auto"/>
        <w:ind w:firstLine="480" w:firstLineChars="200"/>
        <w:outlineLvl w:val="9"/>
        <w:rPr>
          <w:rFonts w:hint="eastAsia" w:ascii="宋体" w:hAnsi="宋体" w:eastAsia="宋体" w:cs="Times New Roman"/>
          <w:sz w:val="24"/>
          <w:szCs w:val="24"/>
        </w:rPr>
      </w:pPr>
      <w:bookmarkStart w:id="118" w:name="_Toc285028786"/>
      <w:bookmarkStart w:id="119" w:name="_Toc263677316"/>
      <w:bookmarkStart w:id="120" w:name="_Toc267472886"/>
      <w:r>
        <w:rPr>
          <w:rFonts w:hint="eastAsia" w:ascii="宋体" w:hAnsi="宋体" w:eastAsia="宋体" w:cs="Times New Roman"/>
          <w:sz w:val="24"/>
          <w:szCs w:val="24"/>
        </w:rPr>
        <w:t>1.9 严禁贿赂</w:t>
      </w:r>
      <w:bookmarkEnd w:id="118"/>
      <w:bookmarkEnd w:id="119"/>
      <w:bookmarkEnd w:id="12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合同双方当事人不得以贿赂或变相贿赂的方式，谋取不当利益或损害对方权益。因贿赂造成对方损失的，行为人应赔偿损失，并承担相应的法律责任。</w:t>
      </w:r>
    </w:p>
    <w:p>
      <w:pPr>
        <w:spacing w:line="360" w:lineRule="auto"/>
        <w:ind w:firstLine="480" w:firstLineChars="200"/>
        <w:outlineLvl w:val="9"/>
        <w:rPr>
          <w:rFonts w:hint="eastAsia" w:ascii="宋体" w:hAnsi="宋体" w:eastAsia="宋体" w:cs="Times New Roman"/>
          <w:sz w:val="24"/>
          <w:szCs w:val="24"/>
        </w:rPr>
      </w:pPr>
      <w:bookmarkStart w:id="121" w:name="_Toc267472887"/>
      <w:bookmarkStart w:id="122" w:name="_Toc263677317"/>
      <w:bookmarkStart w:id="123" w:name="_Toc285028787"/>
      <w:r>
        <w:rPr>
          <w:rFonts w:hint="eastAsia" w:ascii="宋体" w:hAnsi="宋体" w:eastAsia="宋体" w:cs="Times New Roman"/>
          <w:sz w:val="24"/>
          <w:szCs w:val="24"/>
        </w:rPr>
        <w:t>1.10 化石、文物</w:t>
      </w:r>
      <w:bookmarkEnd w:id="121"/>
      <w:bookmarkEnd w:id="122"/>
      <w:bookmarkEnd w:id="12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1.10.2 承包人发现文物后不及时报告或隐瞒不报，致使文物丢失或损坏的，应赔偿损失，并承担相应的法律责任。</w:t>
      </w:r>
    </w:p>
    <w:p>
      <w:pPr>
        <w:spacing w:line="360" w:lineRule="auto"/>
        <w:ind w:firstLine="480" w:firstLineChars="200"/>
        <w:outlineLvl w:val="9"/>
        <w:rPr>
          <w:rFonts w:hint="eastAsia" w:ascii="宋体" w:hAnsi="宋体" w:eastAsia="宋体" w:cs="Times New Roman"/>
          <w:sz w:val="24"/>
          <w:szCs w:val="24"/>
        </w:rPr>
      </w:pPr>
      <w:bookmarkStart w:id="124" w:name="_Toc285028788"/>
      <w:bookmarkStart w:id="125" w:name="_Toc263677318"/>
      <w:bookmarkStart w:id="126" w:name="_Toc267472888"/>
      <w:r>
        <w:rPr>
          <w:rFonts w:hint="eastAsia" w:ascii="宋体" w:hAnsi="宋体" w:eastAsia="宋体" w:cs="Times New Roman"/>
          <w:sz w:val="24"/>
          <w:szCs w:val="24"/>
        </w:rPr>
        <w:t>1.11 专利技术</w:t>
      </w:r>
      <w:bookmarkEnd w:id="124"/>
      <w:bookmarkEnd w:id="125"/>
      <w:bookmarkEnd w:id="12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1.11.1 承包人在使用任何材料、承包人设备、工程设备或采用施工工艺时，因侵犯专利权或其他知识产权所引起的责任，由承包人承担，但由于遵照发包人提供的设计或技术标准和要求引起的除外。</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1.11.2 承包人在投标文件中采用专利技术的，专利技术的使用费包含在投标报价内。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1.11.3 承包人的技术秘密和声明需要保密的资料和信息，发包人和监理人不得为合同以外的目的泄露给他人。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1.11.4 合同实施过程中，发包人要求承包人采用专利技术的，发包人应办理相应的使用手续，承包人应按发包人约定的条件使用，并承担使用专利技术的相关试验工作，所需费用由发包人承担。</w:t>
      </w:r>
    </w:p>
    <w:p>
      <w:pPr>
        <w:spacing w:line="360" w:lineRule="auto"/>
        <w:ind w:firstLine="480" w:firstLineChars="200"/>
        <w:outlineLvl w:val="9"/>
        <w:rPr>
          <w:rFonts w:hint="eastAsia" w:ascii="宋体" w:hAnsi="宋体" w:eastAsia="宋体" w:cs="Times New Roman"/>
          <w:sz w:val="24"/>
          <w:szCs w:val="24"/>
        </w:rPr>
      </w:pPr>
      <w:bookmarkStart w:id="127" w:name="_Toc285028789"/>
      <w:bookmarkStart w:id="128" w:name="_Toc267472889"/>
      <w:bookmarkStart w:id="129" w:name="_Toc263677319"/>
      <w:r>
        <w:rPr>
          <w:rFonts w:hint="eastAsia" w:ascii="宋体" w:hAnsi="宋体" w:eastAsia="宋体" w:cs="Times New Roman"/>
          <w:sz w:val="24"/>
          <w:szCs w:val="24"/>
        </w:rPr>
        <w:t>1.12 图纸和文件的保密</w:t>
      </w:r>
      <w:bookmarkEnd w:id="127"/>
      <w:bookmarkEnd w:id="128"/>
      <w:bookmarkEnd w:id="12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1.12.1 发包人提供的图纸和文件，未经发包人同意，承包人不得为合同以外的目的泄露给他人或公开发表与引用。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1.12.2 承包人提供的文件，未经承包人同意，发包人和监理人不得为合同以外的目的泄露给他人或公开发表与引用。</w:t>
      </w:r>
    </w:p>
    <w:p>
      <w:pPr>
        <w:spacing w:line="360" w:lineRule="auto"/>
        <w:ind w:firstLine="480" w:firstLineChars="200"/>
        <w:outlineLvl w:val="9"/>
        <w:rPr>
          <w:rFonts w:hint="eastAsia" w:ascii="宋体" w:hAnsi="宋体" w:eastAsia="宋体" w:cs="Times New Roman"/>
          <w:sz w:val="24"/>
          <w:szCs w:val="24"/>
        </w:rPr>
      </w:pPr>
      <w:bookmarkStart w:id="130" w:name="_Toc263677320"/>
      <w:bookmarkStart w:id="131" w:name="_Toc307417445"/>
      <w:bookmarkStart w:id="132" w:name="_Toc307485212"/>
      <w:bookmarkStart w:id="133" w:name="_Toc30518"/>
      <w:bookmarkStart w:id="134" w:name="_Toc285028790"/>
      <w:bookmarkStart w:id="135" w:name="_Toc307415554"/>
      <w:bookmarkStart w:id="136" w:name="_Toc267472890"/>
      <w:bookmarkStart w:id="137" w:name="_Toc184635099"/>
      <w:bookmarkStart w:id="138" w:name="_Toc263370593"/>
      <w:bookmarkStart w:id="139" w:name="_Toc307416148"/>
      <w:bookmarkStart w:id="140" w:name="_Toc430097418"/>
      <w:r>
        <w:rPr>
          <w:rFonts w:hint="eastAsia" w:ascii="宋体" w:hAnsi="宋体" w:eastAsia="宋体" w:cs="Times New Roman"/>
          <w:sz w:val="24"/>
          <w:szCs w:val="24"/>
        </w:rPr>
        <w:t>2．发包人义务</w:t>
      </w:r>
      <w:bookmarkEnd w:id="130"/>
      <w:bookmarkEnd w:id="131"/>
      <w:bookmarkEnd w:id="132"/>
      <w:bookmarkEnd w:id="133"/>
      <w:bookmarkEnd w:id="134"/>
      <w:bookmarkEnd w:id="135"/>
      <w:bookmarkEnd w:id="136"/>
      <w:bookmarkEnd w:id="137"/>
      <w:bookmarkEnd w:id="138"/>
      <w:bookmarkEnd w:id="139"/>
      <w:bookmarkEnd w:id="140"/>
    </w:p>
    <w:p>
      <w:pPr>
        <w:spacing w:line="360" w:lineRule="auto"/>
        <w:ind w:firstLine="480" w:firstLineChars="200"/>
        <w:outlineLvl w:val="9"/>
        <w:rPr>
          <w:rFonts w:hint="eastAsia" w:ascii="宋体" w:hAnsi="宋体" w:eastAsia="宋体" w:cs="Times New Roman"/>
          <w:sz w:val="24"/>
          <w:szCs w:val="24"/>
        </w:rPr>
      </w:pPr>
      <w:bookmarkStart w:id="141" w:name="_Toc285028791"/>
      <w:bookmarkStart w:id="142" w:name="_Toc267472891"/>
      <w:bookmarkStart w:id="143" w:name="_Toc263677321"/>
      <w:bookmarkStart w:id="144" w:name="_Toc307415555"/>
      <w:r>
        <w:rPr>
          <w:rFonts w:hint="eastAsia" w:ascii="宋体" w:hAnsi="宋体" w:eastAsia="宋体" w:cs="Times New Roman"/>
          <w:sz w:val="24"/>
          <w:szCs w:val="24"/>
        </w:rPr>
        <w:t>2.1 遵守法律</w:t>
      </w:r>
      <w:bookmarkEnd w:id="141"/>
      <w:bookmarkEnd w:id="142"/>
      <w:bookmarkEnd w:id="143"/>
      <w:bookmarkEnd w:id="14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发包人在履行合同过程中应遵守法律，并保证承包人免于承担因发包人违反法律而引起的任何责任。</w:t>
      </w:r>
    </w:p>
    <w:p>
      <w:pPr>
        <w:spacing w:line="360" w:lineRule="auto"/>
        <w:ind w:firstLine="480" w:firstLineChars="200"/>
        <w:outlineLvl w:val="9"/>
        <w:rPr>
          <w:rFonts w:hint="eastAsia" w:ascii="宋体" w:hAnsi="宋体" w:eastAsia="宋体" w:cs="Times New Roman"/>
          <w:sz w:val="24"/>
          <w:szCs w:val="24"/>
        </w:rPr>
      </w:pPr>
      <w:bookmarkStart w:id="145" w:name="_Toc307415556"/>
      <w:bookmarkStart w:id="146" w:name="_Toc285028792"/>
      <w:bookmarkStart w:id="147" w:name="_Toc267472892"/>
      <w:bookmarkStart w:id="148" w:name="_Toc263677322"/>
      <w:r>
        <w:rPr>
          <w:rFonts w:hint="eastAsia" w:ascii="宋体" w:hAnsi="宋体" w:eastAsia="宋体" w:cs="Times New Roman"/>
          <w:sz w:val="24"/>
          <w:szCs w:val="24"/>
        </w:rPr>
        <w:t>2.2 发出开工通知</w:t>
      </w:r>
      <w:bookmarkEnd w:id="145"/>
      <w:bookmarkEnd w:id="146"/>
      <w:bookmarkEnd w:id="147"/>
      <w:bookmarkEnd w:id="14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发包人应委托监理人按第11.1款的约定向承包人发出开工通知。</w:t>
      </w:r>
    </w:p>
    <w:p>
      <w:pPr>
        <w:spacing w:line="360" w:lineRule="auto"/>
        <w:ind w:firstLine="480" w:firstLineChars="200"/>
        <w:outlineLvl w:val="9"/>
        <w:rPr>
          <w:rFonts w:hint="eastAsia" w:ascii="宋体" w:hAnsi="宋体" w:eastAsia="宋体" w:cs="Times New Roman"/>
          <w:sz w:val="24"/>
          <w:szCs w:val="24"/>
        </w:rPr>
      </w:pPr>
      <w:bookmarkStart w:id="149" w:name="_Toc263677323"/>
      <w:bookmarkStart w:id="150" w:name="_Toc267472893"/>
      <w:bookmarkStart w:id="151" w:name="_Toc285028793"/>
      <w:bookmarkStart w:id="152" w:name="_Toc307415557"/>
      <w:r>
        <w:rPr>
          <w:rFonts w:hint="eastAsia" w:ascii="宋体" w:hAnsi="宋体" w:eastAsia="宋体" w:cs="Times New Roman"/>
          <w:sz w:val="24"/>
          <w:szCs w:val="24"/>
        </w:rPr>
        <w:t>2.3 提供施工场地</w:t>
      </w:r>
      <w:bookmarkEnd w:id="149"/>
      <w:bookmarkEnd w:id="150"/>
      <w:bookmarkEnd w:id="151"/>
      <w:bookmarkEnd w:id="15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发包人应按专用合同条款约定向承包人提供施工场地，以及施工场地内地下管线和地下设施等有关资料，并保证资料的真实、准确、完整。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2.3.2发包人提供的施工用地范围在专用合同条款中约定。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2.3.3除专用合同条款另有约定外，发包人应按技术标准和要求(合同技术条款)的约定，向承包人提供施工场地内的工程地质图纸和报告，以及地下障碍物图纸等施工场地有关资料，并保证资料的真实、准确、完整。</w:t>
      </w:r>
    </w:p>
    <w:p>
      <w:pPr>
        <w:spacing w:line="360" w:lineRule="auto"/>
        <w:ind w:firstLine="480" w:firstLineChars="200"/>
        <w:outlineLvl w:val="9"/>
        <w:rPr>
          <w:rFonts w:hint="eastAsia" w:ascii="宋体" w:hAnsi="宋体" w:eastAsia="宋体" w:cs="Times New Roman"/>
          <w:sz w:val="24"/>
          <w:szCs w:val="24"/>
        </w:rPr>
      </w:pPr>
      <w:bookmarkStart w:id="153" w:name="_Toc263677324"/>
      <w:bookmarkStart w:id="154" w:name="_Toc285028794"/>
      <w:bookmarkStart w:id="155" w:name="_Toc267472894"/>
      <w:bookmarkStart w:id="156" w:name="_Toc307415558"/>
      <w:r>
        <w:rPr>
          <w:rFonts w:hint="eastAsia" w:ascii="宋体" w:hAnsi="宋体" w:eastAsia="宋体" w:cs="Times New Roman"/>
          <w:sz w:val="24"/>
          <w:szCs w:val="24"/>
        </w:rPr>
        <w:t>2.4 协助承包人办理证件和批件</w:t>
      </w:r>
      <w:bookmarkEnd w:id="153"/>
      <w:bookmarkEnd w:id="154"/>
      <w:bookmarkEnd w:id="155"/>
      <w:bookmarkEnd w:id="15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发包人应协助承包人办理法律规定的有关施工证件和批件。</w:t>
      </w:r>
    </w:p>
    <w:p>
      <w:pPr>
        <w:spacing w:line="360" w:lineRule="auto"/>
        <w:ind w:firstLine="480" w:firstLineChars="200"/>
        <w:outlineLvl w:val="9"/>
        <w:rPr>
          <w:rFonts w:hint="eastAsia" w:ascii="宋体" w:hAnsi="宋体" w:eastAsia="宋体" w:cs="Times New Roman"/>
          <w:sz w:val="24"/>
          <w:szCs w:val="24"/>
        </w:rPr>
      </w:pPr>
      <w:bookmarkStart w:id="157" w:name="_Toc267472895"/>
      <w:bookmarkStart w:id="158" w:name="_Toc307415559"/>
      <w:bookmarkStart w:id="159" w:name="_Toc263677325"/>
      <w:bookmarkStart w:id="160" w:name="_Toc285028795"/>
      <w:r>
        <w:rPr>
          <w:rFonts w:hint="eastAsia" w:ascii="宋体" w:hAnsi="宋体" w:eastAsia="宋体" w:cs="Times New Roman"/>
          <w:sz w:val="24"/>
          <w:szCs w:val="24"/>
        </w:rPr>
        <w:t>2.5 组织设计交底</w:t>
      </w:r>
      <w:bookmarkEnd w:id="157"/>
      <w:bookmarkEnd w:id="158"/>
      <w:bookmarkEnd w:id="159"/>
      <w:bookmarkEnd w:id="16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发包人应根据合同进度计划，组织设计单位向承包人进行设计交底。</w:t>
      </w:r>
    </w:p>
    <w:p>
      <w:pPr>
        <w:spacing w:line="360" w:lineRule="auto"/>
        <w:ind w:firstLine="480" w:firstLineChars="200"/>
        <w:outlineLvl w:val="9"/>
        <w:rPr>
          <w:rFonts w:hint="eastAsia" w:ascii="宋体" w:hAnsi="宋体" w:eastAsia="宋体" w:cs="Times New Roman"/>
          <w:sz w:val="24"/>
          <w:szCs w:val="24"/>
        </w:rPr>
      </w:pPr>
      <w:bookmarkStart w:id="161" w:name="_Toc285028796"/>
      <w:bookmarkStart w:id="162" w:name="_Toc263677326"/>
      <w:bookmarkStart w:id="163" w:name="_Toc267472896"/>
      <w:bookmarkStart w:id="164" w:name="_Toc307415560"/>
      <w:r>
        <w:rPr>
          <w:rFonts w:hint="eastAsia" w:ascii="宋体" w:hAnsi="宋体" w:eastAsia="宋体" w:cs="Times New Roman"/>
          <w:sz w:val="24"/>
          <w:szCs w:val="24"/>
        </w:rPr>
        <w:t>2.6 支付合同价款</w:t>
      </w:r>
      <w:bookmarkEnd w:id="161"/>
      <w:bookmarkEnd w:id="162"/>
      <w:bookmarkEnd w:id="163"/>
      <w:bookmarkEnd w:id="16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发包人应按合同约定向承包人及时支付合同价款。</w:t>
      </w:r>
    </w:p>
    <w:p>
      <w:pPr>
        <w:spacing w:line="360" w:lineRule="auto"/>
        <w:ind w:firstLine="480" w:firstLineChars="200"/>
        <w:outlineLvl w:val="9"/>
        <w:rPr>
          <w:rFonts w:hint="eastAsia" w:ascii="宋体" w:hAnsi="宋体" w:eastAsia="宋体" w:cs="Times New Roman"/>
          <w:sz w:val="24"/>
          <w:szCs w:val="24"/>
        </w:rPr>
      </w:pPr>
      <w:bookmarkStart w:id="165" w:name="_Toc285028797"/>
      <w:bookmarkStart w:id="166" w:name="_Toc267472897"/>
      <w:bookmarkStart w:id="167" w:name="_Toc307415561"/>
      <w:bookmarkStart w:id="168" w:name="_Toc263677327"/>
      <w:r>
        <w:rPr>
          <w:rFonts w:hint="eastAsia" w:ascii="宋体" w:hAnsi="宋体" w:eastAsia="宋体" w:cs="Times New Roman"/>
          <w:sz w:val="24"/>
          <w:szCs w:val="24"/>
        </w:rPr>
        <w:t>2.7 组织竣工验收（组织法人验收）</w:t>
      </w:r>
      <w:bookmarkEnd w:id="165"/>
      <w:bookmarkEnd w:id="166"/>
      <w:bookmarkEnd w:id="167"/>
      <w:bookmarkEnd w:id="16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发包人应按合同约定及时组织法人验收。</w:t>
      </w:r>
    </w:p>
    <w:p>
      <w:pPr>
        <w:spacing w:line="360" w:lineRule="auto"/>
        <w:ind w:firstLine="480" w:firstLineChars="200"/>
        <w:outlineLvl w:val="9"/>
        <w:rPr>
          <w:rFonts w:hint="eastAsia" w:ascii="宋体" w:hAnsi="宋体" w:eastAsia="宋体" w:cs="Times New Roman"/>
          <w:sz w:val="24"/>
          <w:szCs w:val="24"/>
        </w:rPr>
      </w:pPr>
      <w:bookmarkStart w:id="169" w:name="_Toc267472898"/>
      <w:bookmarkStart w:id="170" w:name="_Toc285028798"/>
      <w:bookmarkStart w:id="171" w:name="_Toc263677328"/>
      <w:bookmarkStart w:id="172" w:name="_Toc307415562"/>
      <w:r>
        <w:rPr>
          <w:rFonts w:hint="eastAsia" w:ascii="宋体" w:hAnsi="宋体" w:eastAsia="宋体" w:cs="Times New Roman"/>
          <w:sz w:val="24"/>
          <w:szCs w:val="24"/>
        </w:rPr>
        <w:t>2.8 其他义务</w:t>
      </w:r>
      <w:bookmarkEnd w:id="169"/>
      <w:bookmarkEnd w:id="170"/>
      <w:bookmarkEnd w:id="171"/>
      <w:bookmarkEnd w:id="17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其它义务在专用合同条款中补充约定。</w:t>
      </w:r>
    </w:p>
    <w:p>
      <w:pPr>
        <w:spacing w:line="360" w:lineRule="auto"/>
        <w:ind w:firstLine="480" w:firstLineChars="200"/>
        <w:outlineLvl w:val="9"/>
        <w:rPr>
          <w:rFonts w:hint="eastAsia" w:ascii="宋体" w:hAnsi="宋体" w:eastAsia="宋体" w:cs="Times New Roman"/>
          <w:sz w:val="24"/>
          <w:szCs w:val="24"/>
        </w:rPr>
      </w:pPr>
      <w:bookmarkStart w:id="173" w:name="_Toc263370594"/>
      <w:bookmarkStart w:id="174" w:name="_Toc307485213"/>
      <w:bookmarkStart w:id="175" w:name="_Toc430097419"/>
      <w:bookmarkStart w:id="176" w:name="_Toc267472899"/>
      <w:bookmarkStart w:id="177" w:name="_Toc307415563"/>
      <w:bookmarkStart w:id="178" w:name="_Toc285028799"/>
      <w:bookmarkStart w:id="179" w:name="_Toc184635100"/>
      <w:bookmarkStart w:id="180" w:name="_Toc263677329"/>
      <w:bookmarkStart w:id="181" w:name="_Toc307416149"/>
      <w:bookmarkStart w:id="182" w:name="_Toc27885"/>
      <w:bookmarkStart w:id="183" w:name="_Toc307417446"/>
      <w:r>
        <w:rPr>
          <w:rFonts w:hint="eastAsia" w:ascii="宋体" w:hAnsi="宋体" w:eastAsia="宋体" w:cs="Times New Roman"/>
          <w:sz w:val="24"/>
          <w:szCs w:val="24"/>
        </w:rPr>
        <w:t>3．监理人</w:t>
      </w:r>
      <w:bookmarkEnd w:id="173"/>
      <w:bookmarkEnd w:id="174"/>
      <w:bookmarkEnd w:id="175"/>
      <w:bookmarkEnd w:id="176"/>
      <w:bookmarkEnd w:id="177"/>
      <w:bookmarkEnd w:id="178"/>
      <w:bookmarkEnd w:id="179"/>
      <w:bookmarkEnd w:id="180"/>
      <w:bookmarkEnd w:id="181"/>
      <w:bookmarkEnd w:id="182"/>
      <w:bookmarkEnd w:id="183"/>
    </w:p>
    <w:p>
      <w:pPr>
        <w:spacing w:line="360" w:lineRule="auto"/>
        <w:ind w:firstLine="480" w:firstLineChars="200"/>
        <w:outlineLvl w:val="9"/>
        <w:rPr>
          <w:rFonts w:hint="eastAsia" w:ascii="宋体" w:hAnsi="宋体" w:eastAsia="宋体" w:cs="Times New Roman"/>
          <w:sz w:val="24"/>
          <w:szCs w:val="24"/>
        </w:rPr>
      </w:pPr>
      <w:bookmarkStart w:id="184" w:name="_Toc285028800"/>
      <w:bookmarkStart w:id="185" w:name="_Toc307415564"/>
      <w:bookmarkStart w:id="186" w:name="_Toc267472900"/>
      <w:bookmarkStart w:id="187" w:name="_Toc263677330"/>
      <w:r>
        <w:rPr>
          <w:rFonts w:hint="eastAsia" w:ascii="宋体" w:hAnsi="宋体" w:eastAsia="宋体" w:cs="Times New Roman"/>
          <w:sz w:val="24"/>
          <w:szCs w:val="24"/>
        </w:rPr>
        <w:t>3.1 监理人的职责和权力</w:t>
      </w:r>
      <w:bookmarkEnd w:id="184"/>
      <w:bookmarkEnd w:id="185"/>
      <w:bookmarkEnd w:id="186"/>
      <w:bookmarkEnd w:id="18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3.1.2 监理人发出的任何指示应视为已得到发包人的批准，但监理人无权免除或变更合同约定的发包人和承包人的权利、义务和责任。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3.1.3 合同约定应由承包人承担的义务和责任，不因监理人对承包人提交文件的审查或批准，对工程、材料和设备的检查和检验，以及为实施监理做出的指示等职务行为而减轻或解除。</w:t>
      </w:r>
    </w:p>
    <w:p>
      <w:pPr>
        <w:spacing w:line="360" w:lineRule="auto"/>
        <w:ind w:firstLine="480" w:firstLineChars="200"/>
        <w:outlineLvl w:val="9"/>
        <w:rPr>
          <w:rFonts w:hint="eastAsia" w:ascii="宋体" w:hAnsi="宋体" w:eastAsia="宋体" w:cs="Times New Roman"/>
          <w:sz w:val="24"/>
          <w:szCs w:val="24"/>
        </w:rPr>
      </w:pPr>
      <w:bookmarkStart w:id="188" w:name="_Toc307415565"/>
      <w:bookmarkStart w:id="189" w:name="_Toc267472901"/>
      <w:bookmarkStart w:id="190" w:name="_Toc285028801"/>
      <w:bookmarkStart w:id="191" w:name="_Toc263677331"/>
      <w:r>
        <w:rPr>
          <w:rFonts w:hint="eastAsia" w:ascii="宋体" w:hAnsi="宋体" w:eastAsia="宋体" w:cs="Times New Roman"/>
          <w:sz w:val="24"/>
          <w:szCs w:val="24"/>
        </w:rPr>
        <w:t>3.2 总监理工程师</w:t>
      </w:r>
      <w:bookmarkEnd w:id="188"/>
      <w:bookmarkEnd w:id="189"/>
      <w:bookmarkEnd w:id="190"/>
      <w:bookmarkEnd w:id="19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发包人应在发出开工通知前将总监理工程师的任命通知承包人。总监理工程师更换时，应在调离14 天前通知承包人。总监理工程师短期离开施工场地的，应委派代表代行其职责，并通知承包人。</w:t>
      </w:r>
    </w:p>
    <w:p>
      <w:pPr>
        <w:spacing w:line="360" w:lineRule="auto"/>
        <w:ind w:firstLine="480" w:firstLineChars="200"/>
        <w:outlineLvl w:val="9"/>
        <w:rPr>
          <w:rFonts w:hint="eastAsia" w:ascii="宋体" w:hAnsi="宋体" w:eastAsia="宋体" w:cs="Times New Roman"/>
          <w:sz w:val="24"/>
          <w:szCs w:val="24"/>
        </w:rPr>
      </w:pPr>
      <w:bookmarkStart w:id="192" w:name="_Toc285028802"/>
      <w:bookmarkStart w:id="193" w:name="_Toc267472902"/>
      <w:bookmarkStart w:id="194" w:name="_Toc263677332"/>
      <w:bookmarkStart w:id="195" w:name="_Toc307415566"/>
      <w:r>
        <w:rPr>
          <w:rFonts w:hint="eastAsia" w:ascii="宋体" w:hAnsi="宋体" w:eastAsia="宋体" w:cs="Times New Roman"/>
          <w:sz w:val="24"/>
          <w:szCs w:val="24"/>
        </w:rPr>
        <w:t>3.3 监理人员</w:t>
      </w:r>
      <w:bookmarkEnd w:id="192"/>
      <w:bookmarkEnd w:id="193"/>
      <w:bookmarkEnd w:id="194"/>
      <w:bookmarkEnd w:id="19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3.3.3 承包人对总监理工程师授权的监理人员发出的指示有疑问的，可向总监理工程师提出书面异议，总监理工程师应在48小时内对该指示予以确认、更改或撤销。</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3.3.4 除专用合同条款另有约定外，总监理工程师不应将第3.5款约定应由总监理工程师做出确定的权力授权或委托给其他监理人员。</w:t>
      </w:r>
    </w:p>
    <w:p>
      <w:pPr>
        <w:spacing w:line="360" w:lineRule="auto"/>
        <w:ind w:firstLine="480" w:firstLineChars="200"/>
        <w:outlineLvl w:val="9"/>
        <w:rPr>
          <w:rFonts w:hint="eastAsia" w:ascii="宋体" w:hAnsi="宋体" w:eastAsia="宋体" w:cs="Times New Roman"/>
          <w:sz w:val="24"/>
          <w:szCs w:val="24"/>
        </w:rPr>
      </w:pPr>
      <w:bookmarkStart w:id="196" w:name="_Toc285028803"/>
      <w:bookmarkStart w:id="197" w:name="_Toc263677333"/>
      <w:bookmarkStart w:id="198" w:name="_Toc307415567"/>
      <w:bookmarkStart w:id="199" w:name="_Toc267472903"/>
      <w:r>
        <w:rPr>
          <w:rFonts w:hint="eastAsia" w:ascii="宋体" w:hAnsi="宋体" w:eastAsia="宋体" w:cs="Times New Roman"/>
          <w:sz w:val="24"/>
          <w:szCs w:val="24"/>
        </w:rPr>
        <w:t>3.4 监理人的指示</w:t>
      </w:r>
      <w:bookmarkEnd w:id="196"/>
      <w:bookmarkEnd w:id="197"/>
      <w:bookmarkEnd w:id="198"/>
      <w:bookmarkEnd w:id="19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3.4.1 监理人应按第3.1 款的约定向承包人发出指示，监理人的指示应盖有监理人授权的施工场地机构章，并由总监理工程师或总监理工程师按第3.3.1项约定授权的监理人员签字。</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3.4.2 承包人收到监理人按第3.4.1项做出的指示后应遵照执行。指示构成变更的，应按第15条处理。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3.4.4 除合同另有约定外，承包人只从总监理工程师或按第3.3.1项被授权的监理人员处取得指示。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3.4.5 由于监理人未能按合同约定发出指示、指示延误或指示错误而导致承包人费用增加和（或）工期延误的，由发包人承担赔偿责任。</w:t>
      </w:r>
    </w:p>
    <w:p>
      <w:pPr>
        <w:spacing w:line="360" w:lineRule="auto"/>
        <w:ind w:firstLine="480" w:firstLineChars="200"/>
        <w:outlineLvl w:val="9"/>
        <w:rPr>
          <w:rFonts w:hint="eastAsia" w:ascii="宋体" w:hAnsi="宋体" w:eastAsia="宋体" w:cs="Times New Roman"/>
          <w:sz w:val="24"/>
          <w:szCs w:val="24"/>
        </w:rPr>
      </w:pPr>
      <w:bookmarkStart w:id="200" w:name="_Toc263677334"/>
      <w:bookmarkStart w:id="201" w:name="_Toc307415568"/>
      <w:bookmarkStart w:id="202" w:name="_Toc285028804"/>
      <w:bookmarkStart w:id="203" w:name="_Toc267472904"/>
      <w:r>
        <w:rPr>
          <w:rFonts w:hint="eastAsia" w:ascii="宋体" w:hAnsi="宋体" w:eastAsia="宋体" w:cs="Times New Roman"/>
          <w:sz w:val="24"/>
          <w:szCs w:val="24"/>
        </w:rPr>
        <w:t>3.5 商定或确定</w:t>
      </w:r>
      <w:bookmarkEnd w:id="200"/>
      <w:bookmarkEnd w:id="201"/>
      <w:bookmarkEnd w:id="202"/>
      <w:bookmarkEnd w:id="20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做出修改的，按修改后的结果执行。</w:t>
      </w:r>
    </w:p>
    <w:p>
      <w:pPr>
        <w:spacing w:line="360" w:lineRule="auto"/>
        <w:ind w:firstLine="480" w:firstLineChars="200"/>
        <w:outlineLvl w:val="9"/>
        <w:rPr>
          <w:rFonts w:hint="eastAsia" w:ascii="宋体" w:hAnsi="宋体" w:eastAsia="宋体" w:cs="Times New Roman"/>
          <w:sz w:val="24"/>
          <w:szCs w:val="24"/>
        </w:rPr>
      </w:pPr>
      <w:bookmarkStart w:id="204" w:name="_Toc263677335"/>
      <w:bookmarkStart w:id="205" w:name="_Toc307417447"/>
      <w:bookmarkStart w:id="206" w:name="_Toc263370595"/>
      <w:bookmarkStart w:id="207" w:name="_Toc184635101"/>
      <w:bookmarkStart w:id="208" w:name="_Toc430097420"/>
      <w:bookmarkStart w:id="209" w:name="_Toc10254"/>
      <w:bookmarkStart w:id="210" w:name="_Toc285028805"/>
      <w:bookmarkStart w:id="211" w:name="_Toc267472905"/>
      <w:bookmarkStart w:id="212" w:name="_Toc307485214"/>
      <w:bookmarkStart w:id="213" w:name="_Toc307416150"/>
      <w:r>
        <w:rPr>
          <w:rFonts w:hint="eastAsia" w:ascii="宋体" w:hAnsi="宋体" w:eastAsia="宋体" w:cs="Times New Roman"/>
          <w:sz w:val="24"/>
          <w:szCs w:val="24"/>
        </w:rPr>
        <w:t>4．承包人</w:t>
      </w:r>
      <w:bookmarkEnd w:id="204"/>
      <w:bookmarkEnd w:id="205"/>
      <w:bookmarkEnd w:id="206"/>
      <w:bookmarkEnd w:id="207"/>
      <w:bookmarkEnd w:id="208"/>
      <w:bookmarkEnd w:id="209"/>
      <w:bookmarkEnd w:id="210"/>
      <w:bookmarkEnd w:id="211"/>
      <w:bookmarkEnd w:id="212"/>
      <w:bookmarkEnd w:id="213"/>
    </w:p>
    <w:p>
      <w:pPr>
        <w:spacing w:line="360" w:lineRule="auto"/>
        <w:ind w:firstLine="480" w:firstLineChars="200"/>
        <w:outlineLvl w:val="9"/>
        <w:rPr>
          <w:rFonts w:hint="eastAsia" w:ascii="宋体" w:hAnsi="宋体" w:eastAsia="宋体" w:cs="Times New Roman"/>
          <w:sz w:val="24"/>
          <w:szCs w:val="24"/>
        </w:rPr>
      </w:pPr>
      <w:bookmarkStart w:id="214" w:name="_Toc267472906"/>
      <w:bookmarkStart w:id="215" w:name="_Toc263677336"/>
      <w:bookmarkStart w:id="216" w:name="_Toc285028806"/>
      <w:bookmarkStart w:id="217" w:name="_Toc307415570"/>
      <w:r>
        <w:rPr>
          <w:rFonts w:hint="eastAsia" w:ascii="宋体" w:hAnsi="宋体" w:eastAsia="宋体" w:cs="Times New Roman"/>
          <w:sz w:val="24"/>
          <w:szCs w:val="24"/>
        </w:rPr>
        <w:t>4.1 承包人的一般义务</w:t>
      </w:r>
      <w:bookmarkEnd w:id="214"/>
      <w:bookmarkEnd w:id="215"/>
      <w:bookmarkEnd w:id="216"/>
      <w:bookmarkEnd w:id="21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4.1.1 遵守法律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承包人在履行合同过程中应遵守法律，并保证发包人免于承担因承包人违反法律而引起的任何责任。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4.1.2 依法纳税</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承包人应按有关法律规定纳税，应缴纳的税金包括在合同价格内。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4.1.3 完成各项承包工作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4.1.4 对施工作业和施工方法的完备性负责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承包人应按合同约定的工作内容和施工进度要求，编制施工组织设计和施工措施计划，并对所有施工作业和施工方法的完备性和安全可靠性负责。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4.1.5 保证工程施工和人员的安全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承包人应按第9.2款约定采取施工安全措施，确保工程及其人员、材料、设备和设施的安全，防止因工程施工造成的人身伤害和财产损失。</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4.1.6 负责施工场地及其周边环境与生态的保护工作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承包人应按照第9.4款约定负责施工场地及其周边环境与生态的保护工作。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4.1.7 避免施工对公众与他人的利益造成损害</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4.1.8 为他人提供方便</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4.1.9 工程的维护和照管</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4.1.10 其他义务</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其它义务在专用合同条款中补充约定。</w:t>
      </w:r>
    </w:p>
    <w:p>
      <w:pPr>
        <w:spacing w:line="360" w:lineRule="auto"/>
        <w:ind w:firstLine="480" w:firstLineChars="200"/>
        <w:outlineLvl w:val="9"/>
        <w:rPr>
          <w:rFonts w:hint="eastAsia" w:ascii="宋体" w:hAnsi="宋体" w:eastAsia="宋体" w:cs="Times New Roman"/>
          <w:sz w:val="24"/>
          <w:szCs w:val="24"/>
        </w:rPr>
      </w:pPr>
      <w:bookmarkStart w:id="218" w:name="_Toc285028807"/>
      <w:bookmarkStart w:id="219" w:name="_Toc307415571"/>
      <w:bookmarkStart w:id="220" w:name="_Toc263677337"/>
      <w:bookmarkStart w:id="221" w:name="_Toc267472907"/>
      <w:r>
        <w:rPr>
          <w:rFonts w:hint="eastAsia" w:ascii="宋体" w:hAnsi="宋体" w:eastAsia="宋体" w:cs="Times New Roman"/>
          <w:sz w:val="24"/>
          <w:szCs w:val="24"/>
        </w:rPr>
        <w:t>4.2 履约担保</w:t>
      </w:r>
      <w:bookmarkEnd w:id="218"/>
      <w:bookmarkEnd w:id="219"/>
      <w:bookmarkEnd w:id="220"/>
      <w:bookmarkEnd w:id="22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承包人应保证其履约担保在发包人颁发合同工程完工证书前一直有效。发包人应在合同工程完工证书颁发后28天内将履约担保退还给承包人。</w:t>
      </w:r>
    </w:p>
    <w:p>
      <w:pPr>
        <w:spacing w:line="360" w:lineRule="auto"/>
        <w:ind w:firstLine="480" w:firstLineChars="200"/>
        <w:outlineLvl w:val="9"/>
        <w:rPr>
          <w:rFonts w:hint="eastAsia" w:ascii="宋体" w:hAnsi="宋体" w:eastAsia="宋体" w:cs="Times New Roman"/>
          <w:sz w:val="24"/>
          <w:szCs w:val="24"/>
        </w:rPr>
      </w:pPr>
      <w:bookmarkStart w:id="222" w:name="_Toc307415572"/>
      <w:bookmarkStart w:id="223" w:name="_Toc263677338"/>
      <w:bookmarkStart w:id="224" w:name="_Toc285028808"/>
      <w:bookmarkStart w:id="225" w:name="_Toc267472908"/>
      <w:r>
        <w:rPr>
          <w:rFonts w:hint="eastAsia" w:ascii="宋体" w:hAnsi="宋体" w:eastAsia="宋体" w:cs="Times New Roman"/>
          <w:sz w:val="24"/>
          <w:szCs w:val="24"/>
        </w:rPr>
        <w:t>4.3 分包</w:t>
      </w:r>
      <w:bookmarkEnd w:id="222"/>
      <w:bookmarkEnd w:id="223"/>
      <w:bookmarkEnd w:id="224"/>
      <w:bookmarkEnd w:id="22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4.3.1 承包人不得将其承包的全部工程转包给第三人，或将其承包的全部工程肢解后以分包的名义转包给第三人。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4.3.2 承包人不得将工程主体、关键性工作分包给第三人。除专用合同条款另有约定外，未经发包人同意，承包人不得将工程的其他部分或工作分包给第三人。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4.3.3 分包人的资格能力应与其分包工程的标准和规模相适应。</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4.3.4 按投标函附录约定分包工程的，承包人应向发包人和监理人提交分包合同副本。</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4.3.5 承包人应与分包人就分包工程向发包人承担连带责任。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由指定分包人造成的与其分包工作有关的一切索赔、诉讼和损失赔偿由指定分包人直接对发包人负责，承包人不对此承担责任。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4.3.9 除第4.3.7项规定的指定分包外，承包人对其分包项目的实施以及分包人的行为向发包人负全部责任。承包人应对分包项目的工程进度、质量、安全、计量和验收等实施监督和管理。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4.3.10 分包人应按专用合同条款的约定设立项目管理机构组织管理分包工程的施工活动。</w:t>
      </w:r>
    </w:p>
    <w:p>
      <w:pPr>
        <w:spacing w:line="360" w:lineRule="auto"/>
        <w:ind w:firstLine="480" w:firstLineChars="200"/>
        <w:outlineLvl w:val="9"/>
        <w:rPr>
          <w:rFonts w:hint="eastAsia" w:ascii="宋体" w:hAnsi="宋体" w:eastAsia="宋体" w:cs="Times New Roman"/>
          <w:sz w:val="24"/>
          <w:szCs w:val="24"/>
        </w:rPr>
      </w:pPr>
      <w:bookmarkStart w:id="226" w:name="_Toc307415573"/>
      <w:bookmarkStart w:id="227" w:name="_Toc263677339"/>
      <w:bookmarkStart w:id="228" w:name="_Toc267472909"/>
      <w:bookmarkStart w:id="229" w:name="_Toc285028809"/>
      <w:r>
        <w:rPr>
          <w:rFonts w:hint="eastAsia" w:ascii="宋体" w:hAnsi="宋体" w:eastAsia="宋体" w:cs="Times New Roman"/>
          <w:sz w:val="24"/>
          <w:szCs w:val="24"/>
        </w:rPr>
        <w:t>4.4 联合体</w:t>
      </w:r>
      <w:bookmarkEnd w:id="226"/>
      <w:bookmarkEnd w:id="227"/>
      <w:bookmarkEnd w:id="228"/>
      <w:bookmarkEnd w:id="22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4.4.1 联合体各方应共同与发包人签订合同协议书。联合体各方应为履行合同承担连带责任。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4.4.2 联合体协议经发包人确认后作为合同附件。在履行合同过程中，未经发包人同意，不得修改联合体协议。</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4.4.3 联合体牵头人负责与发包人和监理人联系，并接受指示，负责组织联合体各成员全面履行合同。</w:t>
      </w:r>
    </w:p>
    <w:p>
      <w:pPr>
        <w:spacing w:line="360" w:lineRule="auto"/>
        <w:ind w:firstLine="480" w:firstLineChars="200"/>
        <w:outlineLvl w:val="9"/>
        <w:rPr>
          <w:rFonts w:hint="eastAsia" w:ascii="宋体" w:hAnsi="宋体" w:eastAsia="宋体" w:cs="Times New Roman"/>
          <w:sz w:val="24"/>
          <w:szCs w:val="24"/>
        </w:rPr>
      </w:pPr>
      <w:bookmarkStart w:id="230" w:name="_Toc285028810"/>
      <w:bookmarkStart w:id="231" w:name="_Toc307415574"/>
      <w:bookmarkStart w:id="232" w:name="_Toc267472910"/>
      <w:bookmarkStart w:id="233" w:name="_Toc263677340"/>
      <w:r>
        <w:rPr>
          <w:rFonts w:hint="eastAsia" w:ascii="宋体" w:hAnsi="宋体" w:eastAsia="宋体" w:cs="Times New Roman"/>
          <w:sz w:val="24"/>
          <w:szCs w:val="24"/>
        </w:rPr>
        <w:t>4.5 承包人项目经理</w:t>
      </w:r>
      <w:bookmarkEnd w:id="230"/>
      <w:bookmarkEnd w:id="231"/>
      <w:bookmarkEnd w:id="232"/>
      <w:bookmarkEnd w:id="23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4.5.2 承包人项目经理应按合同约定以及监理人按第3.4款做出的指示，负责组织合同工程的实施。在情况紧急且无法与监理人取得联系时，可采取保证工程和人员生命财产安全的紧急措施，并在采取措施后24小时内向监理人提交书面报告。</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4.5.3 承包人为履行合同发出的一切函件均应盖有承包人授权的施工场地管理机构章，并由承包人项目经理或其授权代表签字。</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4.5.4 承包人项目经理可以授权其下属人员履行其某项职责，但事先应将这些人员的姓名和授权范围通知监理人。</w:t>
      </w:r>
    </w:p>
    <w:p>
      <w:pPr>
        <w:spacing w:line="360" w:lineRule="auto"/>
        <w:ind w:firstLine="480" w:firstLineChars="200"/>
        <w:outlineLvl w:val="9"/>
        <w:rPr>
          <w:rFonts w:hint="eastAsia" w:ascii="宋体" w:hAnsi="宋体" w:eastAsia="宋体" w:cs="Times New Roman"/>
          <w:sz w:val="24"/>
          <w:szCs w:val="24"/>
        </w:rPr>
      </w:pPr>
      <w:bookmarkStart w:id="234" w:name="_Toc285028811"/>
      <w:bookmarkStart w:id="235" w:name="_Toc267472911"/>
      <w:bookmarkStart w:id="236" w:name="_Toc263677341"/>
      <w:bookmarkStart w:id="237" w:name="_Toc307415575"/>
      <w:r>
        <w:rPr>
          <w:rFonts w:hint="eastAsia" w:ascii="宋体" w:hAnsi="宋体" w:eastAsia="宋体" w:cs="Times New Roman"/>
          <w:sz w:val="24"/>
          <w:szCs w:val="24"/>
        </w:rPr>
        <w:t>4.6 承包人人员的管理</w:t>
      </w:r>
      <w:bookmarkEnd w:id="234"/>
      <w:bookmarkEnd w:id="235"/>
      <w:bookmarkEnd w:id="236"/>
      <w:bookmarkEnd w:id="23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4.6.2 为完成合同约定的各项工作，承包人应向施工场地派遣或雇佣足够数量的下列人员：</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(1）具有相应资格的专业技工和合格的普工；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(2）具有相应施工经验的技术人员；</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(3）具有相应岗位资格的各级管理人员。</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4.6.3 承包人安排在施工场地的主要管理人员和技术骨干应相对稳定。承包人更换主要管理人员和技术骨干时，应取得监理人的同意。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4.6.4 特殊岗位的工作人员均应持有相应的资格证明，监理人有权随时检查。监理人认为有必要时，可进行现场考核。</w:t>
      </w:r>
    </w:p>
    <w:p>
      <w:pPr>
        <w:spacing w:line="360" w:lineRule="auto"/>
        <w:ind w:firstLine="480" w:firstLineChars="200"/>
        <w:outlineLvl w:val="9"/>
        <w:rPr>
          <w:rFonts w:hint="eastAsia" w:ascii="宋体" w:hAnsi="宋体" w:eastAsia="宋体" w:cs="Times New Roman"/>
          <w:sz w:val="24"/>
          <w:szCs w:val="24"/>
        </w:rPr>
      </w:pPr>
      <w:bookmarkStart w:id="238" w:name="_Toc263677342"/>
      <w:bookmarkStart w:id="239" w:name="_Toc307415576"/>
      <w:bookmarkStart w:id="240" w:name="_Toc285028812"/>
      <w:bookmarkStart w:id="241" w:name="_Toc267472912"/>
      <w:r>
        <w:rPr>
          <w:rFonts w:hint="eastAsia" w:ascii="宋体" w:hAnsi="宋体" w:eastAsia="宋体" w:cs="Times New Roman"/>
          <w:sz w:val="24"/>
          <w:szCs w:val="24"/>
        </w:rPr>
        <w:t>4.7 撤换承包人项目经理和其他人员</w:t>
      </w:r>
      <w:bookmarkEnd w:id="238"/>
      <w:bookmarkEnd w:id="239"/>
      <w:bookmarkEnd w:id="240"/>
      <w:bookmarkEnd w:id="24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承包人应对其项目经理和其他人员进行有效管理。监理人要求撤换不能胜任本职工作、行为不端或玩忽职守的承包人项目经理和其他人员的，承包人应予以撤换。</w:t>
      </w:r>
    </w:p>
    <w:p>
      <w:pPr>
        <w:spacing w:line="360" w:lineRule="auto"/>
        <w:ind w:firstLine="480" w:firstLineChars="200"/>
        <w:outlineLvl w:val="9"/>
        <w:rPr>
          <w:rFonts w:hint="eastAsia" w:ascii="宋体" w:hAnsi="宋体" w:eastAsia="宋体" w:cs="Times New Roman"/>
          <w:sz w:val="24"/>
          <w:szCs w:val="24"/>
        </w:rPr>
      </w:pPr>
      <w:bookmarkStart w:id="242" w:name="_Toc285028813"/>
      <w:bookmarkStart w:id="243" w:name="_Toc267472913"/>
      <w:bookmarkStart w:id="244" w:name="_Toc307415577"/>
      <w:bookmarkStart w:id="245" w:name="_Toc263677343"/>
      <w:r>
        <w:rPr>
          <w:rFonts w:hint="eastAsia" w:ascii="宋体" w:hAnsi="宋体" w:eastAsia="宋体" w:cs="Times New Roman"/>
          <w:sz w:val="24"/>
          <w:szCs w:val="24"/>
        </w:rPr>
        <w:t>4.8 保障承包人人员的合法权益</w:t>
      </w:r>
      <w:bookmarkEnd w:id="242"/>
      <w:bookmarkEnd w:id="243"/>
      <w:bookmarkEnd w:id="244"/>
      <w:bookmarkEnd w:id="24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4.8.1 承包人应与其雇佣的人员签订劳动合同，并按时发放工资。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4.8.5 承包人应按有关法律规定和合同约定，为其雇佣人员办理保险。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4.8.6 承包人应负责处理其雇佣人员因工伤亡事故的善后事宜。</w:t>
      </w:r>
    </w:p>
    <w:p>
      <w:pPr>
        <w:spacing w:line="360" w:lineRule="auto"/>
        <w:ind w:firstLine="480" w:firstLineChars="200"/>
        <w:outlineLvl w:val="9"/>
        <w:rPr>
          <w:rFonts w:hint="eastAsia" w:ascii="宋体" w:hAnsi="宋体" w:eastAsia="宋体" w:cs="Times New Roman"/>
          <w:sz w:val="24"/>
          <w:szCs w:val="24"/>
        </w:rPr>
      </w:pPr>
      <w:bookmarkStart w:id="246" w:name="_Toc267472914"/>
      <w:bookmarkStart w:id="247" w:name="_Toc285028814"/>
      <w:bookmarkStart w:id="248" w:name="_Toc263677344"/>
      <w:r>
        <w:rPr>
          <w:rFonts w:hint="eastAsia" w:ascii="宋体" w:hAnsi="宋体" w:eastAsia="宋体" w:cs="Times New Roman"/>
          <w:sz w:val="24"/>
          <w:szCs w:val="24"/>
        </w:rPr>
        <w:t>4.9 工程价款应专款专用</w:t>
      </w:r>
      <w:bookmarkEnd w:id="246"/>
      <w:bookmarkEnd w:id="247"/>
      <w:bookmarkEnd w:id="24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发包人按合同约定支付给承包人的各项价款应专用于合同工程。</w:t>
      </w:r>
    </w:p>
    <w:p>
      <w:pPr>
        <w:spacing w:line="360" w:lineRule="auto"/>
        <w:ind w:firstLine="480" w:firstLineChars="200"/>
        <w:outlineLvl w:val="9"/>
        <w:rPr>
          <w:rFonts w:hint="eastAsia" w:ascii="宋体" w:hAnsi="宋体" w:eastAsia="宋体" w:cs="Times New Roman"/>
          <w:sz w:val="24"/>
          <w:szCs w:val="24"/>
        </w:rPr>
      </w:pPr>
      <w:bookmarkStart w:id="249" w:name="_Toc307415579"/>
      <w:bookmarkStart w:id="250" w:name="_Toc263677345"/>
      <w:bookmarkStart w:id="251" w:name="_Toc285028815"/>
      <w:bookmarkStart w:id="252" w:name="_Toc267472915"/>
      <w:r>
        <w:rPr>
          <w:rFonts w:hint="eastAsia" w:ascii="宋体" w:hAnsi="宋体" w:eastAsia="宋体" w:cs="Times New Roman"/>
          <w:sz w:val="24"/>
          <w:szCs w:val="24"/>
        </w:rPr>
        <w:t>4.10 承包人现场查勘</w:t>
      </w:r>
      <w:bookmarkEnd w:id="249"/>
      <w:bookmarkEnd w:id="250"/>
      <w:bookmarkEnd w:id="251"/>
      <w:bookmarkEnd w:id="25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4.10.1 发包人应将其持有的现场地质勘探资料、水文气象资料提供给承包人，并对其准确胜负责。但承包人应对其阅读上述有关资料后所做出的解释和推断负责。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360" w:lineRule="auto"/>
        <w:ind w:firstLine="480" w:firstLineChars="200"/>
        <w:outlineLvl w:val="9"/>
        <w:rPr>
          <w:rFonts w:hint="eastAsia" w:ascii="宋体" w:hAnsi="宋体" w:eastAsia="宋体" w:cs="Times New Roman"/>
          <w:sz w:val="24"/>
          <w:szCs w:val="24"/>
        </w:rPr>
      </w:pPr>
      <w:bookmarkStart w:id="253" w:name="_Toc307415580"/>
      <w:bookmarkStart w:id="254" w:name="_Toc285028816"/>
      <w:bookmarkStart w:id="255" w:name="_Toc267472916"/>
      <w:bookmarkStart w:id="256" w:name="_Toc263677346"/>
      <w:r>
        <w:rPr>
          <w:rFonts w:hint="eastAsia" w:ascii="宋体" w:hAnsi="宋体" w:eastAsia="宋体" w:cs="Times New Roman"/>
          <w:sz w:val="24"/>
          <w:szCs w:val="24"/>
        </w:rPr>
        <w:t>4.11 不利物质条件</w:t>
      </w:r>
      <w:bookmarkEnd w:id="253"/>
      <w:bookmarkEnd w:id="254"/>
      <w:bookmarkEnd w:id="255"/>
      <w:bookmarkEnd w:id="25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4.11.1 除专用合同条款另有约定外，不利物质条件是指在施工中遭遇不可预见的外界障碍或自然条件造成施工受阻。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spacing w:line="360" w:lineRule="auto"/>
        <w:ind w:firstLine="480" w:firstLineChars="200"/>
        <w:outlineLvl w:val="9"/>
        <w:rPr>
          <w:rFonts w:hint="eastAsia" w:ascii="宋体" w:hAnsi="宋体" w:eastAsia="宋体" w:cs="Times New Roman"/>
          <w:sz w:val="24"/>
          <w:szCs w:val="24"/>
        </w:rPr>
      </w:pPr>
      <w:bookmarkStart w:id="257" w:name="_Toc307415581"/>
      <w:bookmarkStart w:id="258" w:name="_Toc285028817"/>
      <w:bookmarkStart w:id="259" w:name="_Toc430097421"/>
      <w:bookmarkStart w:id="260" w:name="_Toc28172"/>
      <w:bookmarkStart w:id="261" w:name="_Toc267472917"/>
      <w:bookmarkStart w:id="262" w:name="_Toc307416151"/>
      <w:bookmarkStart w:id="263" w:name="_Toc263370596"/>
      <w:bookmarkStart w:id="264" w:name="_Toc307417448"/>
      <w:bookmarkStart w:id="265" w:name="_Toc184635102"/>
      <w:bookmarkStart w:id="266" w:name="_Toc263677347"/>
      <w:bookmarkStart w:id="267" w:name="_Toc307485215"/>
      <w:r>
        <w:rPr>
          <w:rFonts w:hint="eastAsia" w:ascii="宋体" w:hAnsi="宋体" w:eastAsia="宋体" w:cs="Times New Roman"/>
          <w:sz w:val="24"/>
          <w:szCs w:val="24"/>
        </w:rPr>
        <w:t>5．材料和工程设备</w:t>
      </w:r>
      <w:bookmarkEnd w:id="257"/>
      <w:bookmarkEnd w:id="258"/>
      <w:bookmarkEnd w:id="259"/>
      <w:bookmarkEnd w:id="260"/>
      <w:bookmarkEnd w:id="261"/>
      <w:bookmarkEnd w:id="262"/>
      <w:bookmarkEnd w:id="263"/>
      <w:bookmarkEnd w:id="264"/>
      <w:bookmarkEnd w:id="265"/>
      <w:bookmarkEnd w:id="266"/>
      <w:bookmarkEnd w:id="267"/>
    </w:p>
    <w:p>
      <w:pPr>
        <w:spacing w:line="360" w:lineRule="auto"/>
        <w:ind w:firstLine="480" w:firstLineChars="200"/>
        <w:outlineLvl w:val="9"/>
        <w:rPr>
          <w:rFonts w:hint="eastAsia" w:ascii="宋体" w:hAnsi="宋体" w:eastAsia="宋体" w:cs="Times New Roman"/>
          <w:sz w:val="24"/>
          <w:szCs w:val="24"/>
        </w:rPr>
      </w:pPr>
      <w:bookmarkStart w:id="268" w:name="_Toc285028818"/>
      <w:bookmarkStart w:id="269" w:name="_Toc267472918"/>
      <w:bookmarkStart w:id="270" w:name="_Toc307415582"/>
      <w:bookmarkStart w:id="271" w:name="_Toc263677348"/>
      <w:r>
        <w:rPr>
          <w:rFonts w:hint="eastAsia" w:ascii="宋体" w:hAnsi="宋体" w:eastAsia="宋体" w:cs="Times New Roman"/>
          <w:sz w:val="24"/>
          <w:szCs w:val="24"/>
        </w:rPr>
        <w:t>5.1 承包人提供的材料和工程设备</w:t>
      </w:r>
      <w:bookmarkEnd w:id="268"/>
      <w:bookmarkEnd w:id="269"/>
      <w:bookmarkEnd w:id="270"/>
      <w:bookmarkEnd w:id="27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5.1.1 除第5.2款约定由发包人提供的材料和工程设备外，承包人负责采购、运输和保管完成本合同工作所需的材料和工程设备。承包人应对其采购的材料和工程设备负责。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360" w:lineRule="auto"/>
        <w:ind w:firstLine="480" w:firstLineChars="200"/>
        <w:outlineLvl w:val="9"/>
        <w:rPr>
          <w:rFonts w:hint="eastAsia" w:ascii="宋体" w:hAnsi="宋体" w:eastAsia="宋体" w:cs="Times New Roman"/>
          <w:sz w:val="24"/>
          <w:szCs w:val="24"/>
        </w:rPr>
      </w:pPr>
      <w:bookmarkStart w:id="272" w:name="_Toc263677349"/>
      <w:bookmarkStart w:id="273" w:name="_Toc267472919"/>
      <w:bookmarkStart w:id="274" w:name="_Toc285028819"/>
      <w:bookmarkStart w:id="275" w:name="_Toc307415583"/>
      <w:r>
        <w:rPr>
          <w:rFonts w:hint="eastAsia" w:ascii="宋体" w:hAnsi="宋体" w:eastAsia="宋体" w:cs="Times New Roman"/>
          <w:sz w:val="24"/>
          <w:szCs w:val="24"/>
        </w:rPr>
        <w:t>5.2 发包人提供的材料和工程设备</w:t>
      </w:r>
      <w:bookmarkEnd w:id="272"/>
      <w:bookmarkEnd w:id="273"/>
      <w:bookmarkEnd w:id="274"/>
      <w:bookmarkEnd w:id="27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5.2.1 发包人提供的材料和工程设备，应在专用合同条款中写明材料和工程设备的名称、规格、数量、价格、交货方式、交货地点和计划交货日期等。</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5.2.2 承包人应根据合同进度计划的安排，向监理人报送要求发包人交货的日期计划。发包人应按照监理人与合同双方当事人商定的交货日期，向承包人提交材料和工程设备。</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5.2.3发包人应在材料和工程设备到货7天前通知承包人，承包人应会同监理人在约定的时间内，赴交货地点共同进行验收。发包人提供的材料和工程设备运至交货地点验收后，由承包人负责接收、卸货、运输和保管。</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5.2.4 发包人要求向承包人提前交货的，承包人不得拒绝，但发包人应承担承包人由此增加的费用。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5.2.5 承包人要求更改交货日期或地点的，应事先报请监理人批准。由于承包人要求更改交货时间或地点所增加的费用和（或）工期延误由承包人承担。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60" w:lineRule="auto"/>
        <w:ind w:firstLine="480" w:firstLineChars="200"/>
        <w:outlineLvl w:val="9"/>
        <w:rPr>
          <w:rFonts w:hint="eastAsia" w:ascii="宋体" w:hAnsi="宋体" w:eastAsia="宋体" w:cs="Times New Roman"/>
          <w:sz w:val="24"/>
          <w:szCs w:val="24"/>
        </w:rPr>
      </w:pPr>
      <w:bookmarkStart w:id="276" w:name="_Toc307415584"/>
      <w:bookmarkStart w:id="277" w:name="_Toc285028820"/>
      <w:bookmarkStart w:id="278" w:name="_Toc267472920"/>
      <w:bookmarkStart w:id="279" w:name="_Toc263677350"/>
      <w:r>
        <w:rPr>
          <w:rFonts w:hint="eastAsia" w:ascii="宋体" w:hAnsi="宋体" w:eastAsia="宋体" w:cs="Times New Roman"/>
          <w:sz w:val="24"/>
          <w:szCs w:val="24"/>
        </w:rPr>
        <w:t>5.3 材料和工程设备专用于合同工程</w:t>
      </w:r>
      <w:bookmarkEnd w:id="276"/>
      <w:bookmarkEnd w:id="277"/>
      <w:bookmarkEnd w:id="278"/>
      <w:bookmarkEnd w:id="27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5.3.1 运入施工场地的材料、工程设备，包括备品备件、安装专用工器具与随机资料，必须专用于合同工程，未经监理人同意，承包人不得运出施工场地或挪作他用。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360" w:lineRule="auto"/>
        <w:ind w:firstLine="480" w:firstLineChars="200"/>
        <w:outlineLvl w:val="9"/>
        <w:rPr>
          <w:rFonts w:hint="eastAsia" w:ascii="宋体" w:hAnsi="宋体" w:eastAsia="宋体" w:cs="Times New Roman"/>
          <w:sz w:val="24"/>
          <w:szCs w:val="24"/>
        </w:rPr>
      </w:pPr>
      <w:bookmarkStart w:id="280" w:name="_Toc285028821"/>
      <w:bookmarkStart w:id="281" w:name="_Toc267472921"/>
      <w:bookmarkStart w:id="282" w:name="_Toc263677351"/>
      <w:r>
        <w:rPr>
          <w:rFonts w:hint="eastAsia" w:ascii="宋体" w:hAnsi="宋体" w:eastAsia="宋体" w:cs="Times New Roman"/>
          <w:sz w:val="24"/>
          <w:szCs w:val="24"/>
        </w:rPr>
        <w:t>5.4 禁止使用不合格的材料和工程设备</w:t>
      </w:r>
      <w:bookmarkEnd w:id="280"/>
      <w:bookmarkEnd w:id="281"/>
      <w:bookmarkEnd w:id="28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5.4.1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5.4.2 监理人发现承包人使用了不合格的材料和工程设备，应即时发出指示要求承包人立即改正，并禁止在工程中继续使用不合格的材料和工程设备。</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5.4.3 发包人提供的材料或工程设备不符合合同要求的，承包人有权拒绝，并可要求发包人更换，由此增加的费用和（或）工期延误由发包人承担。</w:t>
      </w:r>
    </w:p>
    <w:p>
      <w:pPr>
        <w:spacing w:line="360" w:lineRule="auto"/>
        <w:ind w:firstLine="480" w:firstLineChars="200"/>
        <w:outlineLvl w:val="9"/>
        <w:rPr>
          <w:rFonts w:hint="eastAsia" w:ascii="宋体" w:hAnsi="宋体" w:eastAsia="宋体" w:cs="Times New Roman"/>
          <w:sz w:val="24"/>
          <w:szCs w:val="24"/>
        </w:rPr>
      </w:pPr>
      <w:bookmarkStart w:id="283" w:name="_Toc285028822"/>
      <w:bookmarkStart w:id="284" w:name="_Toc307417449"/>
      <w:bookmarkStart w:id="285" w:name="_Toc307416152"/>
      <w:bookmarkStart w:id="286" w:name="_Toc267472922"/>
      <w:bookmarkStart w:id="287" w:name="_Toc184635103"/>
      <w:bookmarkStart w:id="288" w:name="_Toc4450"/>
      <w:bookmarkStart w:id="289" w:name="_Toc430097422"/>
      <w:bookmarkStart w:id="290" w:name="_Toc263370597"/>
      <w:bookmarkStart w:id="291" w:name="_Toc263677352"/>
      <w:bookmarkStart w:id="292" w:name="_Toc307485216"/>
      <w:r>
        <w:rPr>
          <w:rFonts w:hint="eastAsia" w:ascii="宋体" w:hAnsi="宋体" w:eastAsia="宋体" w:cs="Times New Roman"/>
          <w:sz w:val="24"/>
          <w:szCs w:val="24"/>
        </w:rPr>
        <w:t>6．施工设备和临时设施</w:t>
      </w:r>
      <w:bookmarkEnd w:id="283"/>
      <w:bookmarkEnd w:id="284"/>
      <w:bookmarkEnd w:id="285"/>
      <w:bookmarkEnd w:id="286"/>
      <w:bookmarkEnd w:id="287"/>
      <w:bookmarkEnd w:id="288"/>
      <w:bookmarkEnd w:id="289"/>
      <w:bookmarkEnd w:id="290"/>
      <w:bookmarkEnd w:id="291"/>
      <w:bookmarkEnd w:id="292"/>
    </w:p>
    <w:p>
      <w:pPr>
        <w:spacing w:line="360" w:lineRule="auto"/>
        <w:ind w:firstLine="480" w:firstLineChars="200"/>
        <w:outlineLvl w:val="9"/>
        <w:rPr>
          <w:rFonts w:hint="eastAsia" w:ascii="宋体" w:hAnsi="宋体" w:eastAsia="宋体" w:cs="Times New Roman"/>
          <w:sz w:val="24"/>
          <w:szCs w:val="24"/>
        </w:rPr>
      </w:pPr>
      <w:bookmarkStart w:id="293" w:name="_Toc285028823"/>
      <w:bookmarkStart w:id="294" w:name="_Toc263677353"/>
      <w:bookmarkStart w:id="295" w:name="_Toc267472923"/>
      <w:r>
        <w:rPr>
          <w:rFonts w:hint="eastAsia" w:ascii="宋体" w:hAnsi="宋体" w:eastAsia="宋体" w:cs="Times New Roman"/>
          <w:sz w:val="24"/>
          <w:szCs w:val="24"/>
        </w:rPr>
        <w:t>6.1 承包人提供的施工设备和临时设施</w:t>
      </w:r>
      <w:bookmarkEnd w:id="293"/>
      <w:bookmarkEnd w:id="294"/>
      <w:bookmarkEnd w:id="29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6.1.2 除专用合同条款另有约定外，承包人应自行承担修建临时设施的费用，需要临时占地的，应由发包人办理申请手续并承担相应费用。</w:t>
      </w:r>
    </w:p>
    <w:p>
      <w:pPr>
        <w:spacing w:line="360" w:lineRule="auto"/>
        <w:ind w:firstLine="480" w:firstLineChars="200"/>
        <w:outlineLvl w:val="9"/>
        <w:rPr>
          <w:rFonts w:hint="eastAsia" w:ascii="宋体" w:hAnsi="宋体" w:eastAsia="宋体" w:cs="Times New Roman"/>
          <w:sz w:val="24"/>
          <w:szCs w:val="24"/>
        </w:rPr>
      </w:pPr>
      <w:bookmarkStart w:id="296" w:name="_Toc263677354"/>
      <w:bookmarkStart w:id="297" w:name="_Toc267472924"/>
      <w:bookmarkStart w:id="298" w:name="_Toc285028824"/>
      <w:r>
        <w:rPr>
          <w:rFonts w:hint="eastAsia" w:ascii="宋体" w:hAnsi="宋体" w:eastAsia="宋体" w:cs="Times New Roman"/>
          <w:sz w:val="24"/>
          <w:szCs w:val="24"/>
        </w:rPr>
        <w:t>6.2 发包人提供的施工设备和临时设施</w:t>
      </w:r>
      <w:bookmarkEnd w:id="296"/>
      <w:bookmarkEnd w:id="297"/>
      <w:bookmarkEnd w:id="29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发包人提供的施工设备或临时设施在专用合同条款中约定。</w:t>
      </w:r>
    </w:p>
    <w:p>
      <w:pPr>
        <w:spacing w:line="360" w:lineRule="auto"/>
        <w:ind w:firstLine="480" w:firstLineChars="200"/>
        <w:outlineLvl w:val="9"/>
        <w:rPr>
          <w:rFonts w:hint="eastAsia" w:ascii="宋体" w:hAnsi="宋体" w:eastAsia="宋体" w:cs="Times New Roman"/>
          <w:sz w:val="24"/>
          <w:szCs w:val="24"/>
        </w:rPr>
      </w:pPr>
      <w:bookmarkStart w:id="299" w:name="_Toc267472925"/>
      <w:bookmarkStart w:id="300" w:name="_Toc263677355"/>
      <w:bookmarkStart w:id="301" w:name="_Toc285028825"/>
      <w:r>
        <w:rPr>
          <w:rFonts w:hint="eastAsia" w:ascii="宋体" w:hAnsi="宋体" w:eastAsia="宋体" w:cs="Times New Roman"/>
          <w:sz w:val="24"/>
          <w:szCs w:val="24"/>
        </w:rPr>
        <w:t>6.3 要求承包人增加或更换施工设备</w:t>
      </w:r>
      <w:bookmarkEnd w:id="299"/>
      <w:bookmarkEnd w:id="300"/>
      <w:bookmarkEnd w:id="30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承包人使用的施工设备不能满足合同进度计划和（或）质量要求时，监理人有权要求承包人增加或更换施工设备，承包人应及时增加或更换，由此增加的费用和（或）工期延误由承包人承担。</w:t>
      </w:r>
    </w:p>
    <w:p>
      <w:pPr>
        <w:spacing w:line="360" w:lineRule="auto"/>
        <w:ind w:firstLine="480" w:firstLineChars="200"/>
        <w:outlineLvl w:val="9"/>
        <w:rPr>
          <w:rFonts w:hint="eastAsia" w:ascii="宋体" w:hAnsi="宋体" w:eastAsia="宋体" w:cs="Times New Roman"/>
          <w:sz w:val="24"/>
          <w:szCs w:val="24"/>
        </w:rPr>
      </w:pPr>
      <w:bookmarkStart w:id="302" w:name="_Toc267472926"/>
      <w:bookmarkStart w:id="303" w:name="_Toc285028826"/>
      <w:bookmarkStart w:id="304" w:name="_Toc263677356"/>
      <w:r>
        <w:rPr>
          <w:rFonts w:hint="eastAsia" w:ascii="宋体" w:hAnsi="宋体" w:eastAsia="宋体" w:cs="Times New Roman"/>
          <w:sz w:val="24"/>
          <w:szCs w:val="24"/>
        </w:rPr>
        <w:t>6.4 施工设备和临时设施专用于合同工程</w:t>
      </w:r>
      <w:bookmarkEnd w:id="302"/>
      <w:bookmarkEnd w:id="303"/>
      <w:bookmarkEnd w:id="30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6.4.2 经监理人同意，承包人可根据合同进度计划撤走闲置的施工设备。</w:t>
      </w:r>
    </w:p>
    <w:p>
      <w:pPr>
        <w:spacing w:line="360" w:lineRule="auto"/>
        <w:ind w:firstLine="480" w:firstLineChars="200"/>
        <w:outlineLvl w:val="9"/>
        <w:rPr>
          <w:rFonts w:hint="eastAsia" w:ascii="宋体" w:hAnsi="宋体" w:eastAsia="宋体" w:cs="Times New Roman"/>
          <w:sz w:val="24"/>
          <w:szCs w:val="24"/>
        </w:rPr>
      </w:pPr>
      <w:bookmarkStart w:id="305" w:name="_Toc307417450"/>
      <w:bookmarkStart w:id="306" w:name="_Toc430097423"/>
      <w:bookmarkStart w:id="307" w:name="_Toc307485217"/>
      <w:bookmarkStart w:id="308" w:name="_Toc285028827"/>
      <w:bookmarkStart w:id="309" w:name="_Toc263677357"/>
      <w:bookmarkStart w:id="310" w:name="_Toc29985"/>
      <w:bookmarkStart w:id="311" w:name="_Toc184635104"/>
      <w:bookmarkStart w:id="312" w:name="_Toc267472927"/>
      <w:bookmarkStart w:id="313" w:name="_Toc263370598"/>
      <w:bookmarkStart w:id="314" w:name="_Toc307416153"/>
      <w:r>
        <w:rPr>
          <w:rFonts w:hint="eastAsia" w:ascii="宋体" w:hAnsi="宋体" w:eastAsia="宋体" w:cs="Times New Roman"/>
          <w:sz w:val="24"/>
          <w:szCs w:val="24"/>
        </w:rPr>
        <w:t>7．交通运输</w:t>
      </w:r>
      <w:bookmarkEnd w:id="305"/>
      <w:bookmarkEnd w:id="306"/>
      <w:bookmarkEnd w:id="307"/>
      <w:bookmarkEnd w:id="308"/>
      <w:bookmarkEnd w:id="309"/>
      <w:bookmarkEnd w:id="310"/>
      <w:bookmarkEnd w:id="311"/>
      <w:bookmarkEnd w:id="312"/>
      <w:bookmarkEnd w:id="313"/>
      <w:bookmarkEnd w:id="314"/>
    </w:p>
    <w:p>
      <w:pPr>
        <w:spacing w:line="360" w:lineRule="auto"/>
        <w:ind w:firstLine="480" w:firstLineChars="200"/>
        <w:outlineLvl w:val="9"/>
        <w:rPr>
          <w:rFonts w:hint="eastAsia" w:ascii="宋体" w:hAnsi="宋体" w:eastAsia="宋体" w:cs="Times New Roman"/>
          <w:sz w:val="24"/>
          <w:szCs w:val="24"/>
        </w:rPr>
      </w:pPr>
      <w:bookmarkStart w:id="315" w:name="_Toc263677358"/>
      <w:bookmarkStart w:id="316" w:name="_Toc285028828"/>
      <w:bookmarkStart w:id="317" w:name="_Toc267472928"/>
      <w:r>
        <w:rPr>
          <w:rFonts w:hint="eastAsia" w:ascii="宋体" w:hAnsi="宋体" w:eastAsia="宋体" w:cs="Times New Roman"/>
          <w:sz w:val="24"/>
          <w:szCs w:val="24"/>
        </w:rPr>
        <w:t>7.1 道路通行权和场外设施</w:t>
      </w:r>
      <w:bookmarkEnd w:id="315"/>
      <w:bookmarkEnd w:id="316"/>
      <w:bookmarkEnd w:id="31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spacing w:line="360" w:lineRule="auto"/>
        <w:ind w:firstLine="480" w:firstLineChars="200"/>
        <w:outlineLvl w:val="9"/>
        <w:rPr>
          <w:rFonts w:hint="eastAsia" w:ascii="宋体" w:hAnsi="宋体" w:eastAsia="宋体" w:cs="Times New Roman"/>
          <w:sz w:val="24"/>
          <w:szCs w:val="24"/>
        </w:rPr>
      </w:pPr>
      <w:bookmarkStart w:id="318" w:name="_Toc285028829"/>
      <w:bookmarkStart w:id="319" w:name="_Toc263677359"/>
      <w:bookmarkStart w:id="320" w:name="_Toc267472929"/>
      <w:r>
        <w:rPr>
          <w:rFonts w:hint="eastAsia" w:ascii="宋体" w:hAnsi="宋体" w:eastAsia="宋体" w:cs="Times New Roman"/>
          <w:sz w:val="24"/>
          <w:szCs w:val="24"/>
        </w:rPr>
        <w:t>7.2 场内施工道路</w:t>
      </w:r>
      <w:bookmarkEnd w:id="318"/>
      <w:bookmarkEnd w:id="319"/>
      <w:bookmarkEnd w:id="32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7.2.2 承包人修建的临时道路和交通设施，应免费提供发包人、监理人以及与本合同有关的其他承包人使用。</w:t>
      </w:r>
    </w:p>
    <w:p>
      <w:pPr>
        <w:spacing w:line="360" w:lineRule="auto"/>
        <w:ind w:firstLine="480" w:firstLineChars="200"/>
        <w:outlineLvl w:val="9"/>
        <w:rPr>
          <w:rFonts w:hint="eastAsia" w:ascii="宋体" w:hAnsi="宋体" w:eastAsia="宋体" w:cs="Times New Roman"/>
          <w:sz w:val="24"/>
          <w:szCs w:val="24"/>
        </w:rPr>
      </w:pPr>
      <w:bookmarkStart w:id="321" w:name="_Toc267472930"/>
      <w:bookmarkStart w:id="322" w:name="_Toc263677360"/>
      <w:bookmarkStart w:id="323" w:name="_Toc285028830"/>
      <w:r>
        <w:rPr>
          <w:rFonts w:hint="eastAsia" w:ascii="宋体" w:hAnsi="宋体" w:eastAsia="宋体" w:cs="Times New Roman"/>
          <w:sz w:val="24"/>
          <w:szCs w:val="24"/>
        </w:rPr>
        <w:t>7.3 场外交通</w:t>
      </w:r>
      <w:bookmarkEnd w:id="321"/>
      <w:bookmarkEnd w:id="322"/>
      <w:bookmarkEnd w:id="32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7.3.1 承包人车辆外出行驶所需的场外公共道路的通行费、养路费和税款等由承包人承担。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7.3.2 承包人应遵守有关交通法规，严格按照道路和桥梁的限制荷重安全行驶，并服从交通管理部门的检查和监督。</w:t>
      </w:r>
    </w:p>
    <w:p>
      <w:pPr>
        <w:spacing w:line="360" w:lineRule="auto"/>
        <w:ind w:firstLine="480" w:firstLineChars="200"/>
        <w:outlineLvl w:val="9"/>
        <w:rPr>
          <w:rFonts w:hint="eastAsia" w:ascii="宋体" w:hAnsi="宋体" w:eastAsia="宋体" w:cs="Times New Roman"/>
          <w:sz w:val="24"/>
          <w:szCs w:val="24"/>
        </w:rPr>
      </w:pPr>
      <w:bookmarkStart w:id="324" w:name="_Toc267472931"/>
      <w:bookmarkStart w:id="325" w:name="_Toc263677361"/>
      <w:bookmarkStart w:id="326" w:name="_Toc285028831"/>
      <w:r>
        <w:rPr>
          <w:rFonts w:hint="eastAsia" w:ascii="宋体" w:hAnsi="宋体" w:eastAsia="宋体" w:cs="Times New Roman"/>
          <w:sz w:val="24"/>
          <w:szCs w:val="24"/>
        </w:rPr>
        <w:t>7.4 超大件和超重件的运输</w:t>
      </w:r>
      <w:bookmarkEnd w:id="324"/>
      <w:bookmarkEnd w:id="325"/>
      <w:bookmarkEnd w:id="32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outlineLvl w:val="9"/>
        <w:rPr>
          <w:rFonts w:hint="eastAsia" w:ascii="宋体" w:hAnsi="宋体" w:eastAsia="宋体" w:cs="Times New Roman"/>
          <w:sz w:val="24"/>
          <w:szCs w:val="24"/>
        </w:rPr>
      </w:pPr>
      <w:bookmarkStart w:id="327" w:name="_Toc285028832"/>
      <w:bookmarkStart w:id="328" w:name="_Toc267472932"/>
      <w:bookmarkStart w:id="329" w:name="_Toc263677362"/>
      <w:r>
        <w:rPr>
          <w:rFonts w:hint="eastAsia" w:ascii="宋体" w:hAnsi="宋体" w:eastAsia="宋体" w:cs="Times New Roman"/>
          <w:sz w:val="24"/>
          <w:szCs w:val="24"/>
        </w:rPr>
        <w:t>7.5 道路和桥梁的损坏责任</w:t>
      </w:r>
      <w:bookmarkEnd w:id="327"/>
      <w:bookmarkEnd w:id="328"/>
      <w:bookmarkEnd w:id="32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因承包人运输造成施工场地内外公共道路和桥梁损坏的，由承包人承担修复损坏的全部费用和可能引起的赔偿。</w:t>
      </w:r>
    </w:p>
    <w:p>
      <w:pPr>
        <w:spacing w:line="360" w:lineRule="auto"/>
        <w:ind w:firstLine="480" w:firstLineChars="200"/>
        <w:outlineLvl w:val="9"/>
        <w:rPr>
          <w:rFonts w:hint="eastAsia" w:ascii="宋体" w:hAnsi="宋体" w:eastAsia="宋体" w:cs="Times New Roman"/>
          <w:sz w:val="24"/>
          <w:szCs w:val="24"/>
        </w:rPr>
      </w:pPr>
      <w:bookmarkStart w:id="330" w:name="_Toc267472933"/>
      <w:bookmarkStart w:id="331" w:name="_Toc263677363"/>
      <w:bookmarkStart w:id="332" w:name="_Toc285028833"/>
      <w:r>
        <w:rPr>
          <w:rFonts w:hint="eastAsia" w:ascii="宋体" w:hAnsi="宋体" w:eastAsia="宋体" w:cs="Times New Roman"/>
          <w:sz w:val="24"/>
          <w:szCs w:val="24"/>
        </w:rPr>
        <w:t>7.6 水路和航空运输</w:t>
      </w:r>
      <w:bookmarkEnd w:id="330"/>
      <w:bookmarkEnd w:id="331"/>
      <w:bookmarkEnd w:id="33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本条上述各款的内容适用于水路运输和航空运输，其中“道路”一词的涵义包括河道、航线、船闸、机场、码头、堤防以及水路或航空运输中其他相似结构物；“车辆”一词的涵义包括船舶和飞机等。</w:t>
      </w:r>
    </w:p>
    <w:p>
      <w:pPr>
        <w:spacing w:line="360" w:lineRule="auto"/>
        <w:ind w:firstLine="480" w:firstLineChars="200"/>
        <w:outlineLvl w:val="9"/>
        <w:rPr>
          <w:rFonts w:hint="eastAsia" w:ascii="宋体" w:hAnsi="宋体" w:eastAsia="宋体" w:cs="Times New Roman"/>
          <w:sz w:val="24"/>
          <w:szCs w:val="24"/>
        </w:rPr>
      </w:pPr>
      <w:bookmarkStart w:id="333" w:name="_Toc267472934"/>
      <w:bookmarkStart w:id="334" w:name="_Toc263370599"/>
      <w:bookmarkStart w:id="335" w:name="_Toc184635105"/>
      <w:bookmarkStart w:id="336" w:name="_Toc307417451"/>
      <w:bookmarkStart w:id="337" w:name="_Toc307416154"/>
      <w:bookmarkStart w:id="338" w:name="_Toc6034"/>
      <w:bookmarkStart w:id="339" w:name="_Toc263677364"/>
      <w:bookmarkStart w:id="340" w:name="_Toc285028834"/>
      <w:bookmarkStart w:id="341" w:name="_Toc307485218"/>
      <w:bookmarkStart w:id="342" w:name="_Toc430097424"/>
      <w:r>
        <w:rPr>
          <w:rFonts w:hint="eastAsia" w:ascii="宋体" w:hAnsi="宋体" w:eastAsia="宋体" w:cs="Times New Roman"/>
          <w:sz w:val="24"/>
          <w:szCs w:val="24"/>
        </w:rPr>
        <w:t>8．测量放线</w:t>
      </w:r>
      <w:bookmarkEnd w:id="333"/>
      <w:bookmarkEnd w:id="334"/>
      <w:bookmarkEnd w:id="335"/>
      <w:bookmarkEnd w:id="336"/>
      <w:bookmarkEnd w:id="337"/>
      <w:bookmarkEnd w:id="338"/>
      <w:bookmarkEnd w:id="339"/>
      <w:bookmarkEnd w:id="340"/>
      <w:bookmarkEnd w:id="341"/>
      <w:bookmarkEnd w:id="342"/>
    </w:p>
    <w:p>
      <w:pPr>
        <w:spacing w:line="360" w:lineRule="auto"/>
        <w:ind w:firstLine="480" w:firstLineChars="200"/>
        <w:outlineLvl w:val="9"/>
        <w:rPr>
          <w:rFonts w:hint="eastAsia" w:ascii="宋体" w:hAnsi="宋体" w:eastAsia="宋体" w:cs="Times New Roman"/>
          <w:sz w:val="24"/>
          <w:szCs w:val="24"/>
        </w:rPr>
      </w:pPr>
      <w:bookmarkStart w:id="343" w:name="_Toc263677365"/>
      <w:bookmarkStart w:id="344" w:name="_Toc285028835"/>
      <w:bookmarkStart w:id="345" w:name="_Toc267472935"/>
      <w:r>
        <w:rPr>
          <w:rFonts w:hint="eastAsia" w:ascii="宋体" w:hAnsi="宋体" w:eastAsia="宋体" w:cs="Times New Roman"/>
          <w:sz w:val="24"/>
          <w:szCs w:val="24"/>
        </w:rPr>
        <w:t>8.1 施工控制网</w:t>
      </w:r>
      <w:bookmarkEnd w:id="343"/>
      <w:bookmarkEnd w:id="344"/>
      <w:bookmarkEnd w:id="34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8.1.2 承包人应负责管理施工控制网点。施工控制网点丢失或损坏的，承包人应及时修复。承包人应承担施工控制网点的管理与修复费用，并在工程竣工后将施工控制网点移交发包人。</w:t>
      </w:r>
    </w:p>
    <w:p>
      <w:pPr>
        <w:spacing w:line="360" w:lineRule="auto"/>
        <w:ind w:firstLine="480" w:firstLineChars="200"/>
        <w:outlineLvl w:val="9"/>
        <w:rPr>
          <w:rFonts w:hint="eastAsia" w:ascii="宋体" w:hAnsi="宋体" w:eastAsia="宋体" w:cs="Times New Roman"/>
          <w:sz w:val="24"/>
          <w:szCs w:val="24"/>
        </w:rPr>
      </w:pPr>
      <w:bookmarkStart w:id="346" w:name="_Toc285028836"/>
      <w:bookmarkStart w:id="347" w:name="_Toc263677366"/>
      <w:bookmarkStart w:id="348" w:name="_Toc267472936"/>
      <w:r>
        <w:rPr>
          <w:rFonts w:hint="eastAsia" w:ascii="宋体" w:hAnsi="宋体" w:eastAsia="宋体" w:cs="Times New Roman"/>
          <w:sz w:val="24"/>
          <w:szCs w:val="24"/>
        </w:rPr>
        <w:t>8.2 施工测量</w:t>
      </w:r>
      <w:bookmarkEnd w:id="346"/>
      <w:bookmarkEnd w:id="347"/>
      <w:bookmarkEnd w:id="34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8.2.1 承包人应负责施工过程中的全部施工测量放线工作，并配置合格的人员、仪器、设备和其他物品。</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8.2.2 监理人可以指示承包人进行抽样复测，当复测中发现错误或出现超过合同约定的误差时，承包人应按监理人指示进行修正或补测，并承担相应的复测费用。</w:t>
      </w:r>
    </w:p>
    <w:p>
      <w:pPr>
        <w:spacing w:line="360" w:lineRule="auto"/>
        <w:ind w:firstLine="480" w:firstLineChars="200"/>
        <w:outlineLvl w:val="9"/>
        <w:rPr>
          <w:rFonts w:hint="eastAsia" w:ascii="宋体" w:hAnsi="宋体" w:eastAsia="宋体" w:cs="Times New Roman"/>
          <w:sz w:val="24"/>
          <w:szCs w:val="24"/>
        </w:rPr>
      </w:pPr>
      <w:bookmarkStart w:id="349" w:name="_Toc263677367"/>
      <w:bookmarkStart w:id="350" w:name="_Toc285028837"/>
      <w:bookmarkStart w:id="351" w:name="_Toc267472937"/>
      <w:r>
        <w:rPr>
          <w:rFonts w:hint="eastAsia" w:ascii="宋体" w:hAnsi="宋体" w:eastAsia="宋体" w:cs="Times New Roman"/>
          <w:sz w:val="24"/>
          <w:szCs w:val="24"/>
        </w:rPr>
        <w:t>8.3 基准资料错误的责任</w:t>
      </w:r>
      <w:bookmarkEnd w:id="349"/>
      <w:bookmarkEnd w:id="350"/>
      <w:bookmarkEnd w:id="35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360" w:lineRule="auto"/>
        <w:ind w:firstLine="480" w:firstLineChars="200"/>
        <w:outlineLvl w:val="9"/>
        <w:rPr>
          <w:rFonts w:hint="eastAsia" w:ascii="宋体" w:hAnsi="宋体" w:eastAsia="宋体" w:cs="Times New Roman"/>
          <w:sz w:val="24"/>
          <w:szCs w:val="24"/>
        </w:rPr>
      </w:pPr>
      <w:bookmarkStart w:id="352" w:name="_Toc263677368"/>
      <w:bookmarkStart w:id="353" w:name="_Toc267472938"/>
      <w:bookmarkStart w:id="354" w:name="_Toc285028838"/>
      <w:r>
        <w:rPr>
          <w:rFonts w:hint="eastAsia" w:ascii="宋体" w:hAnsi="宋体" w:eastAsia="宋体" w:cs="Times New Roman"/>
          <w:sz w:val="24"/>
          <w:szCs w:val="24"/>
        </w:rPr>
        <w:t>8.4 监理人使用施工控制网</w:t>
      </w:r>
      <w:bookmarkEnd w:id="352"/>
      <w:bookmarkEnd w:id="353"/>
      <w:bookmarkEnd w:id="35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监理人需要使用施工控制网的，承包人应提供必要的协助，发包人不再为此支付费用。</w:t>
      </w:r>
    </w:p>
    <w:p>
      <w:pPr>
        <w:spacing w:line="360" w:lineRule="auto"/>
        <w:ind w:firstLine="480" w:firstLineChars="200"/>
        <w:outlineLvl w:val="9"/>
        <w:rPr>
          <w:rFonts w:hint="eastAsia" w:ascii="宋体" w:hAnsi="宋体" w:eastAsia="宋体" w:cs="Times New Roman"/>
          <w:sz w:val="24"/>
          <w:szCs w:val="24"/>
        </w:rPr>
      </w:pPr>
      <w:bookmarkStart w:id="355" w:name="_Toc267472939"/>
      <w:bookmarkStart w:id="356" w:name="_Toc285028839"/>
      <w:bookmarkStart w:id="357" w:name="_Toc263677369"/>
      <w:r>
        <w:rPr>
          <w:rFonts w:hint="eastAsia" w:ascii="宋体" w:hAnsi="宋体" w:eastAsia="宋体" w:cs="Times New Roman"/>
          <w:sz w:val="24"/>
          <w:szCs w:val="24"/>
        </w:rPr>
        <w:t>8.5 补充地质勘探</w:t>
      </w:r>
      <w:bookmarkEnd w:id="355"/>
      <w:bookmarkEnd w:id="356"/>
      <w:bookmarkEnd w:id="35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spacing w:line="360" w:lineRule="auto"/>
        <w:ind w:firstLine="480" w:firstLineChars="200"/>
        <w:outlineLvl w:val="9"/>
        <w:rPr>
          <w:rFonts w:hint="eastAsia" w:ascii="宋体" w:hAnsi="宋体" w:eastAsia="宋体" w:cs="Times New Roman"/>
          <w:sz w:val="24"/>
          <w:szCs w:val="24"/>
        </w:rPr>
      </w:pPr>
      <w:bookmarkStart w:id="358" w:name="_Toc25191"/>
      <w:bookmarkStart w:id="359" w:name="_Toc184635106"/>
      <w:bookmarkStart w:id="360" w:name="_Toc307417452"/>
      <w:bookmarkStart w:id="361" w:name="_Toc285028840"/>
      <w:bookmarkStart w:id="362" w:name="_Toc307485219"/>
      <w:bookmarkStart w:id="363" w:name="_Toc430097425"/>
      <w:bookmarkStart w:id="364" w:name="_Toc263370600"/>
      <w:bookmarkStart w:id="365" w:name="_Toc307416155"/>
      <w:bookmarkStart w:id="366" w:name="_Toc267472940"/>
      <w:bookmarkStart w:id="367" w:name="_Toc263677370"/>
      <w:r>
        <w:rPr>
          <w:rFonts w:hint="eastAsia" w:ascii="宋体" w:hAnsi="宋体" w:eastAsia="宋体" w:cs="Times New Roman"/>
          <w:sz w:val="24"/>
          <w:szCs w:val="24"/>
        </w:rPr>
        <w:t>9．施工安全、治安保卫和环境保护</w:t>
      </w:r>
      <w:bookmarkEnd w:id="358"/>
      <w:bookmarkEnd w:id="359"/>
      <w:bookmarkEnd w:id="360"/>
      <w:bookmarkEnd w:id="361"/>
      <w:bookmarkEnd w:id="362"/>
      <w:bookmarkEnd w:id="363"/>
      <w:bookmarkEnd w:id="364"/>
      <w:bookmarkEnd w:id="365"/>
      <w:bookmarkEnd w:id="366"/>
      <w:bookmarkEnd w:id="367"/>
    </w:p>
    <w:p>
      <w:pPr>
        <w:spacing w:line="360" w:lineRule="auto"/>
        <w:ind w:firstLine="480" w:firstLineChars="200"/>
        <w:outlineLvl w:val="9"/>
        <w:rPr>
          <w:rFonts w:hint="eastAsia" w:ascii="宋体" w:hAnsi="宋体" w:eastAsia="宋体" w:cs="Times New Roman"/>
          <w:sz w:val="24"/>
          <w:szCs w:val="24"/>
        </w:rPr>
      </w:pPr>
      <w:bookmarkStart w:id="368" w:name="_Toc285028841"/>
      <w:bookmarkStart w:id="369" w:name="_Toc267472941"/>
      <w:bookmarkStart w:id="370" w:name="_Toc263677371"/>
      <w:r>
        <w:rPr>
          <w:rFonts w:hint="eastAsia" w:ascii="宋体" w:hAnsi="宋体" w:eastAsia="宋体" w:cs="Times New Roman"/>
          <w:sz w:val="24"/>
          <w:szCs w:val="24"/>
        </w:rPr>
        <w:t>9.1 发包人的施工安全责任</w:t>
      </w:r>
      <w:bookmarkEnd w:id="368"/>
      <w:bookmarkEnd w:id="369"/>
      <w:bookmarkEnd w:id="37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9.1.2 发包人应对其现场机构雇佣的全部人员的工伤事故承担责任，但由于承包人原因造成发包人人员工伤的，应由承包人承担责任。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9.1.3 发包人应负责赔偿以下各种情况造成的第三者人身伤亡和财产损失：</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(l）工程或工程的任何部分对土地的占用所造成的第三者财产损失；</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(2）由于发包人原因在施工场地及其毗邻地带造成的第三者人身伤亡和财产损失。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9.1.5 发包人按照已标价工程量清单所列金额和合同约定的计量支付规定，支付安全作业环境及安全施工措施所需费用。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9.1.6 发包人负责组织工程参建单位编制保证安全生产的措施方案。工程开工前，就落实保证安全生产的措施进行全面系统的布置，进一步明确承包人的安全生产责任。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9.1.7 发包人负责在拆除工程和爆破工程施工14天前向有关部门或机构报送相关备案资料。</w:t>
      </w:r>
    </w:p>
    <w:p>
      <w:pPr>
        <w:spacing w:line="360" w:lineRule="auto"/>
        <w:ind w:firstLine="480" w:firstLineChars="200"/>
        <w:outlineLvl w:val="9"/>
        <w:rPr>
          <w:rFonts w:hint="eastAsia" w:ascii="宋体" w:hAnsi="宋体" w:eastAsia="宋体" w:cs="Times New Roman"/>
          <w:sz w:val="24"/>
          <w:szCs w:val="24"/>
        </w:rPr>
      </w:pPr>
      <w:bookmarkStart w:id="371" w:name="_Toc263677372"/>
      <w:bookmarkStart w:id="372" w:name="_Toc285028842"/>
      <w:bookmarkStart w:id="373" w:name="_Toc267472942"/>
      <w:r>
        <w:rPr>
          <w:rFonts w:hint="eastAsia" w:ascii="宋体" w:hAnsi="宋体" w:eastAsia="宋体" w:cs="Times New Roman"/>
          <w:sz w:val="24"/>
          <w:szCs w:val="24"/>
        </w:rPr>
        <w:t>9.2 承包人的施工安全责任</w:t>
      </w:r>
      <w:bookmarkEnd w:id="371"/>
      <w:bookmarkEnd w:id="372"/>
      <w:bookmarkEnd w:id="37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9.2.2 承包人应加强施工作业安全管理，特别应加强易燃、易爆材料、火工器材、有毒与腐蚀性材料和其他危险品的管理，以及对爆破作业和地下工程施工等危险作业的管理。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9.2.3 承包人应严格按照国家安全标准制定施工安全操作规程，配备必要的安全生产和劳动保护设施，加强对承包人人员的安全教育，并发放安全工作手册和劳动保护用具。</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9.2.4 承包人应按监理人的指示制定应对灾害的紧急预案，报送监理人审批。承包人还应按预案做好安全检查，配置必要的救助物资和器材，切实保护好有关人员的人身和财产安全。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9.2.6 承包人应对其履行合同所雇佣的全部人员，包括分包人人员的工伤事故承担责任，但由于发包人原因造成承包人人员工伤事故的，应由发包人承担责任。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9.2.7 由于承包人原因在施工场地内及其毗邻地带造成的第三者人员伤亡和财产损失，由承包人负责赔偿。</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9.2.8  承包人已标价工程量清单应包含工程安全作业环境及安全施工措施所需费用。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9.2.9  承包人应建立健全安全生产责任制度和安全生产教育培训制度，制定安全生产规章制度和操作规程，保证本单位建立和完善安全生产条件所需资金的投人，对本工程进行定期和专项安全检查，并做好安全检查记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9.2.10 承包人应设立安全生产管理机构，施工现场应有专职安全生产管理人员。</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9.2.11 承包人应负责对特种作业人员进行专门的安全作业培训，并保证特种作业人员持证上岗。</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9.2.13 承包人在使用施工起重机械和整体提升脚手架、模板等自升式架设设施前，应组织有关单位进行验收。</w:t>
      </w:r>
    </w:p>
    <w:p>
      <w:pPr>
        <w:spacing w:line="360" w:lineRule="auto"/>
        <w:ind w:firstLine="480" w:firstLineChars="200"/>
        <w:outlineLvl w:val="9"/>
        <w:rPr>
          <w:rFonts w:hint="eastAsia" w:ascii="宋体" w:hAnsi="宋体" w:eastAsia="宋体" w:cs="Times New Roman"/>
          <w:sz w:val="24"/>
          <w:szCs w:val="24"/>
        </w:rPr>
      </w:pPr>
      <w:bookmarkStart w:id="374" w:name="_Toc263677373"/>
      <w:bookmarkStart w:id="375" w:name="_Toc267472943"/>
      <w:bookmarkStart w:id="376" w:name="_Toc285028843"/>
      <w:r>
        <w:rPr>
          <w:rFonts w:hint="eastAsia" w:ascii="宋体" w:hAnsi="宋体" w:eastAsia="宋体" w:cs="Times New Roman"/>
          <w:sz w:val="24"/>
          <w:szCs w:val="24"/>
        </w:rPr>
        <w:t>9.3 治安保卫</w:t>
      </w:r>
      <w:bookmarkEnd w:id="374"/>
      <w:bookmarkEnd w:id="375"/>
      <w:bookmarkEnd w:id="37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9.3.1 除合同另有约定外，发包人应与当地公安部门协商，在现场建立治安管理机构或联防组织，统一管理施工场地的治安保卫事项，履行合同工程的治安保卫职责。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9.3.2 发包人和承包人除应协助现场治安管理机构或联防组织维护施工场地的社会治安外，还应做好包括生活区在内的各自管辖区的治安保卫工作。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360" w:lineRule="auto"/>
        <w:ind w:firstLine="480" w:firstLineChars="200"/>
        <w:outlineLvl w:val="9"/>
        <w:rPr>
          <w:rFonts w:hint="eastAsia" w:ascii="宋体" w:hAnsi="宋体" w:eastAsia="宋体" w:cs="Times New Roman"/>
          <w:sz w:val="24"/>
          <w:szCs w:val="24"/>
        </w:rPr>
      </w:pPr>
      <w:bookmarkStart w:id="377" w:name="_Toc285028844"/>
      <w:bookmarkStart w:id="378" w:name="_Toc267472944"/>
      <w:bookmarkStart w:id="379" w:name="_Toc263677374"/>
      <w:r>
        <w:rPr>
          <w:rFonts w:hint="eastAsia" w:ascii="宋体" w:hAnsi="宋体" w:eastAsia="宋体" w:cs="Times New Roman"/>
          <w:sz w:val="24"/>
          <w:szCs w:val="24"/>
        </w:rPr>
        <w:t>9.4 环境保护</w:t>
      </w:r>
      <w:bookmarkEnd w:id="377"/>
      <w:bookmarkEnd w:id="378"/>
      <w:bookmarkEnd w:id="37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9.4.1 承包人在施工过程中，应遵守有关环境保护的法律，履行合同约定的环境保护义务，并对违反法律和合同约定义务所造成的环境破坏、人身伤害和财产损失负责。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9.4.2 承包人应按合同约定的环保工作内容，编制施工环保措施计划，报送监理人审批。</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9.4.4 承包人应按合同约定采取有效措施，对施工开挖的边坡及时进行支护，维护排水设施，并进行水土保护，避免因施工造成的地质灾害。</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9.4.5 承包人应按国家饮用水管理标准定期对饮用水源进行监测，防止施工活动污染饮用水源。</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9.4.6 承包人应按合同约定，加强对噪声、粉尘、废气、废水和废油的控制，努力降低噪声，控制粉尘和废气浓度，做好废水和废油的治理和排放。</w:t>
      </w:r>
    </w:p>
    <w:p>
      <w:pPr>
        <w:spacing w:line="360" w:lineRule="auto"/>
        <w:ind w:firstLine="480" w:firstLineChars="200"/>
        <w:outlineLvl w:val="9"/>
        <w:rPr>
          <w:rFonts w:hint="eastAsia" w:ascii="宋体" w:hAnsi="宋体" w:eastAsia="宋体" w:cs="Times New Roman"/>
          <w:sz w:val="24"/>
          <w:szCs w:val="24"/>
        </w:rPr>
      </w:pPr>
      <w:bookmarkStart w:id="380" w:name="_Toc267472945"/>
      <w:bookmarkStart w:id="381" w:name="_Toc263677375"/>
      <w:bookmarkStart w:id="382" w:name="_Toc285028845"/>
      <w:r>
        <w:rPr>
          <w:rFonts w:hint="eastAsia" w:ascii="宋体" w:hAnsi="宋体" w:eastAsia="宋体" w:cs="Times New Roman"/>
          <w:sz w:val="24"/>
          <w:szCs w:val="24"/>
        </w:rPr>
        <w:t>9.5 事故处理</w:t>
      </w:r>
      <w:bookmarkEnd w:id="380"/>
      <w:bookmarkEnd w:id="381"/>
      <w:bookmarkEnd w:id="38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9.5.1 发包人负责组织参建单位制定本工程的质量与安全事故应急预案，建立质量与安全事故应急处置指挥部。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9.5.2 承包人应对施工现场易发生重大事故的部位、环节进行监控，配备救援器材、设备，并定期组织演练。</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9.5.3 工程开工前，承包人应根据本工程的特点制定施工现场施工质量与安全事故应急预案，并报发包人备案。</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9.5.4 施工过程中发生事故时，发包人、承包人应立即启动应急预案。</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9.5.5 事故调查处理由发包人按相关规定履行手续，承包人应配合。</w:t>
      </w:r>
    </w:p>
    <w:p>
      <w:pPr>
        <w:spacing w:line="360" w:lineRule="auto"/>
        <w:ind w:firstLine="480" w:firstLineChars="200"/>
        <w:outlineLvl w:val="9"/>
        <w:rPr>
          <w:rFonts w:hint="eastAsia" w:ascii="宋体" w:hAnsi="宋体" w:eastAsia="宋体" w:cs="Times New Roman"/>
          <w:sz w:val="24"/>
          <w:szCs w:val="24"/>
        </w:rPr>
      </w:pPr>
      <w:bookmarkStart w:id="383" w:name="_Toc263370601"/>
      <w:bookmarkStart w:id="384" w:name="_Toc267472946"/>
      <w:bookmarkStart w:id="385" w:name="_Toc263677376"/>
      <w:bookmarkStart w:id="386" w:name="_Toc285028846"/>
      <w:r>
        <w:rPr>
          <w:rFonts w:hint="eastAsia" w:ascii="宋体" w:hAnsi="宋体" w:eastAsia="宋体" w:cs="Times New Roman"/>
          <w:sz w:val="24"/>
          <w:szCs w:val="24"/>
        </w:rPr>
        <w:t>9.6 水土保持</w:t>
      </w:r>
      <w:bookmarkEnd w:id="383"/>
      <w:bookmarkEnd w:id="384"/>
      <w:bookmarkEnd w:id="385"/>
      <w:bookmarkEnd w:id="38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9.6.1 发包人应及时向承包人提供水土保持方案。</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9.6.2 承包人在施工过程中，应遵守有关水土保持的法律法规和规章，履行合同约定的水土保持义务，并对其违反法律和合同约定义务所造成的水土流失灾害、人身伤害和财产损失负责。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9.6.3 承包人的水土保持措施计划，应满足技术标准和要求(合同技术条款)约定的要求。</w:t>
      </w:r>
    </w:p>
    <w:p>
      <w:pPr>
        <w:spacing w:line="360" w:lineRule="auto"/>
        <w:ind w:firstLine="480" w:firstLineChars="200"/>
        <w:outlineLvl w:val="9"/>
        <w:rPr>
          <w:rFonts w:hint="eastAsia" w:ascii="宋体" w:hAnsi="宋体" w:eastAsia="宋体" w:cs="Times New Roman"/>
          <w:sz w:val="24"/>
          <w:szCs w:val="24"/>
        </w:rPr>
      </w:pPr>
      <w:bookmarkStart w:id="387" w:name="_Toc263677377"/>
      <w:bookmarkStart w:id="388" w:name="_Toc263370602"/>
      <w:bookmarkStart w:id="389" w:name="_Toc267472947"/>
      <w:bookmarkStart w:id="390" w:name="_Toc285028847"/>
      <w:r>
        <w:rPr>
          <w:rFonts w:hint="eastAsia" w:ascii="宋体" w:hAnsi="宋体" w:eastAsia="宋体" w:cs="Times New Roman"/>
          <w:sz w:val="24"/>
          <w:szCs w:val="24"/>
        </w:rPr>
        <w:t>9.7 文明工地</w:t>
      </w:r>
      <w:bookmarkEnd w:id="387"/>
      <w:bookmarkEnd w:id="388"/>
      <w:bookmarkEnd w:id="389"/>
      <w:bookmarkEnd w:id="39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9.7.1 发包人应按专用合同条款的约定，负责建立创建文明建设工地的组织机构，制定创建文明建设工地的规划和办法。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9.7.2 承包人应按创建文明建设工地的规划和办法，履行职责，承担相应责任。所需费用应含在已标价工程量清单中。</w:t>
      </w:r>
    </w:p>
    <w:p>
      <w:pPr>
        <w:spacing w:line="360" w:lineRule="auto"/>
        <w:ind w:firstLine="480" w:firstLineChars="200"/>
        <w:outlineLvl w:val="9"/>
        <w:rPr>
          <w:rFonts w:hint="eastAsia" w:ascii="宋体" w:hAnsi="宋体" w:eastAsia="宋体" w:cs="Times New Roman"/>
          <w:sz w:val="24"/>
          <w:szCs w:val="24"/>
        </w:rPr>
      </w:pPr>
      <w:bookmarkStart w:id="391" w:name="_Toc285028848"/>
      <w:bookmarkStart w:id="392" w:name="_Toc267472948"/>
      <w:bookmarkStart w:id="393" w:name="_Toc263677378"/>
      <w:bookmarkStart w:id="394" w:name="_Toc263370603"/>
      <w:r>
        <w:rPr>
          <w:rFonts w:hint="eastAsia" w:ascii="宋体" w:hAnsi="宋体" w:eastAsia="宋体" w:cs="Times New Roman"/>
          <w:sz w:val="24"/>
          <w:szCs w:val="24"/>
        </w:rPr>
        <w:t>9.8 防汛度汛</w:t>
      </w:r>
      <w:bookmarkEnd w:id="391"/>
      <w:bookmarkEnd w:id="392"/>
      <w:bookmarkEnd w:id="393"/>
      <w:bookmarkEnd w:id="39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9.8.1 发包人负责组织工程参建单位编制本工程的度汛方案和措施。</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9.8.2 承包人应根据发包人编制的本工程度汛方案和措施，制定相应的度汛方案，报发包人批准后实施。</w:t>
      </w:r>
    </w:p>
    <w:p>
      <w:pPr>
        <w:spacing w:line="360" w:lineRule="auto"/>
        <w:ind w:firstLine="480" w:firstLineChars="200"/>
        <w:outlineLvl w:val="9"/>
        <w:rPr>
          <w:rFonts w:hint="eastAsia" w:ascii="宋体" w:hAnsi="宋体" w:eastAsia="宋体" w:cs="Times New Roman"/>
          <w:sz w:val="24"/>
          <w:szCs w:val="24"/>
        </w:rPr>
      </w:pPr>
      <w:bookmarkStart w:id="395" w:name="_Toc263677379"/>
      <w:bookmarkStart w:id="396" w:name="_Toc285028849"/>
      <w:bookmarkStart w:id="397" w:name="_Toc184635107"/>
      <w:bookmarkStart w:id="398" w:name="_Toc263370604"/>
      <w:bookmarkStart w:id="399" w:name="_Toc23006"/>
      <w:bookmarkStart w:id="400" w:name="_Toc307416156"/>
      <w:bookmarkStart w:id="401" w:name="_Toc430097426"/>
      <w:bookmarkStart w:id="402" w:name="_Toc307417453"/>
      <w:bookmarkStart w:id="403" w:name="_Toc307485220"/>
      <w:bookmarkStart w:id="404" w:name="_Toc267472949"/>
      <w:r>
        <w:rPr>
          <w:rFonts w:hint="eastAsia" w:ascii="宋体" w:hAnsi="宋体" w:eastAsia="宋体" w:cs="Times New Roman"/>
          <w:sz w:val="24"/>
          <w:szCs w:val="24"/>
        </w:rPr>
        <w:t>10．进度计划</w:t>
      </w:r>
      <w:bookmarkEnd w:id="395"/>
      <w:bookmarkEnd w:id="396"/>
      <w:bookmarkEnd w:id="397"/>
      <w:bookmarkEnd w:id="398"/>
      <w:bookmarkEnd w:id="399"/>
      <w:bookmarkEnd w:id="400"/>
      <w:bookmarkEnd w:id="401"/>
      <w:bookmarkEnd w:id="402"/>
      <w:bookmarkEnd w:id="403"/>
      <w:bookmarkEnd w:id="404"/>
    </w:p>
    <w:p>
      <w:pPr>
        <w:spacing w:line="360" w:lineRule="auto"/>
        <w:ind w:firstLine="480" w:firstLineChars="200"/>
        <w:outlineLvl w:val="9"/>
        <w:rPr>
          <w:rFonts w:hint="eastAsia" w:ascii="宋体" w:hAnsi="宋体" w:eastAsia="宋体" w:cs="Times New Roman"/>
          <w:sz w:val="24"/>
          <w:szCs w:val="24"/>
        </w:rPr>
      </w:pPr>
      <w:bookmarkStart w:id="405" w:name="_Toc285028850"/>
      <w:bookmarkStart w:id="406" w:name="_Toc267472950"/>
      <w:bookmarkStart w:id="407" w:name="_Toc263677380"/>
      <w:r>
        <w:rPr>
          <w:rFonts w:hint="eastAsia" w:ascii="宋体" w:hAnsi="宋体" w:eastAsia="宋体" w:cs="Times New Roman"/>
          <w:sz w:val="24"/>
          <w:szCs w:val="24"/>
        </w:rPr>
        <w:t>10.1 合同进度计划</w:t>
      </w:r>
      <w:bookmarkEnd w:id="405"/>
      <w:bookmarkEnd w:id="406"/>
      <w:bookmarkEnd w:id="40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spacing w:line="360" w:lineRule="auto"/>
        <w:ind w:firstLine="480" w:firstLineChars="200"/>
        <w:outlineLvl w:val="9"/>
        <w:rPr>
          <w:rFonts w:hint="eastAsia" w:ascii="宋体" w:hAnsi="宋体" w:eastAsia="宋体" w:cs="Times New Roman"/>
          <w:sz w:val="24"/>
          <w:szCs w:val="24"/>
        </w:rPr>
      </w:pPr>
      <w:bookmarkStart w:id="408" w:name="_Toc285028851"/>
      <w:bookmarkStart w:id="409" w:name="_Toc263677381"/>
      <w:bookmarkStart w:id="410" w:name="_Toc267472951"/>
      <w:r>
        <w:rPr>
          <w:rFonts w:hint="eastAsia" w:ascii="宋体" w:hAnsi="宋体" w:eastAsia="宋体" w:cs="Times New Roman"/>
          <w:sz w:val="24"/>
          <w:szCs w:val="24"/>
        </w:rPr>
        <w:t>10.2 合同进度计划的修订</w:t>
      </w:r>
      <w:bookmarkEnd w:id="408"/>
      <w:bookmarkEnd w:id="409"/>
      <w:bookmarkEnd w:id="41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spacing w:line="360" w:lineRule="auto"/>
        <w:ind w:firstLine="480" w:firstLineChars="200"/>
        <w:outlineLvl w:val="9"/>
        <w:rPr>
          <w:rFonts w:hint="eastAsia" w:ascii="宋体" w:hAnsi="宋体" w:eastAsia="宋体" w:cs="Times New Roman"/>
          <w:sz w:val="24"/>
          <w:szCs w:val="24"/>
        </w:rPr>
      </w:pPr>
      <w:bookmarkStart w:id="411" w:name="_Toc285028852"/>
      <w:bookmarkStart w:id="412" w:name="_Toc267472952"/>
      <w:bookmarkStart w:id="413" w:name="_Toc263677382"/>
      <w:r>
        <w:rPr>
          <w:rFonts w:hint="eastAsia" w:ascii="宋体" w:hAnsi="宋体" w:eastAsia="宋体" w:cs="Times New Roman"/>
          <w:sz w:val="24"/>
          <w:szCs w:val="24"/>
        </w:rPr>
        <w:t>10.3 单位工程进度计划</w:t>
      </w:r>
      <w:bookmarkEnd w:id="411"/>
      <w:bookmarkEnd w:id="412"/>
      <w:bookmarkEnd w:id="41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监理人认为有必要时，承包人应按监理人指示的内容和期限，并根据合同进度计划的进度控制要求，编制单位工程进度计划，提交监理人审批。</w:t>
      </w:r>
    </w:p>
    <w:p>
      <w:pPr>
        <w:spacing w:line="360" w:lineRule="auto"/>
        <w:ind w:firstLine="480" w:firstLineChars="200"/>
        <w:outlineLvl w:val="9"/>
        <w:rPr>
          <w:rFonts w:hint="eastAsia" w:ascii="宋体" w:hAnsi="宋体" w:eastAsia="宋体" w:cs="Times New Roman"/>
          <w:sz w:val="24"/>
          <w:szCs w:val="24"/>
        </w:rPr>
      </w:pPr>
      <w:bookmarkStart w:id="414" w:name="_Toc267472953"/>
      <w:bookmarkStart w:id="415" w:name="_Toc263677383"/>
      <w:bookmarkStart w:id="416" w:name="_Toc285028853"/>
      <w:r>
        <w:rPr>
          <w:rFonts w:hint="eastAsia" w:ascii="宋体" w:hAnsi="宋体" w:eastAsia="宋体" w:cs="Times New Roman"/>
          <w:sz w:val="24"/>
          <w:szCs w:val="24"/>
        </w:rPr>
        <w:t>10.4 提交资金流估算表</w:t>
      </w:r>
      <w:bookmarkEnd w:id="414"/>
      <w:bookmarkEnd w:id="415"/>
      <w:bookmarkEnd w:id="41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资金流估算表                      金额单位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479"/>
        <w:gridCol w:w="953"/>
        <w:gridCol w:w="1424"/>
        <w:gridCol w:w="1424"/>
        <w:gridCol w:w="953"/>
        <w:gridCol w:w="953"/>
        <w:gridCol w:w="715"/>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9"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年</w:t>
            </w:r>
          </w:p>
        </w:tc>
        <w:tc>
          <w:tcPr>
            <w:tcW w:w="479"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月</w:t>
            </w:r>
          </w:p>
        </w:tc>
        <w:tc>
          <w:tcPr>
            <w:tcW w:w="953"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工程</w:t>
            </w:r>
          </w:p>
          <w:p>
            <w:pPr>
              <w:adjustRightInd w:val="0"/>
              <w:snapToGrid w:val="0"/>
              <w:jc w:val="center"/>
              <w:outlineLvl w:val="9"/>
              <w:rPr>
                <w:rFonts w:ascii="宋体" w:hAnsi="宋体"/>
                <w:sz w:val="21"/>
                <w:szCs w:val="21"/>
              </w:rPr>
            </w:pPr>
            <w:r>
              <w:rPr>
                <w:rFonts w:hint="eastAsia" w:ascii="宋体" w:hAnsi="宋体"/>
                <w:sz w:val="21"/>
                <w:szCs w:val="21"/>
              </w:rPr>
              <w:t>预付款</w:t>
            </w:r>
          </w:p>
        </w:tc>
        <w:tc>
          <w:tcPr>
            <w:tcW w:w="1424"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完成工作量</w:t>
            </w:r>
          </w:p>
          <w:p>
            <w:pPr>
              <w:adjustRightInd w:val="0"/>
              <w:snapToGrid w:val="0"/>
              <w:jc w:val="center"/>
              <w:outlineLvl w:val="9"/>
              <w:rPr>
                <w:rFonts w:ascii="宋体" w:hAnsi="宋体"/>
                <w:sz w:val="21"/>
                <w:szCs w:val="21"/>
              </w:rPr>
            </w:pPr>
            <w:r>
              <w:rPr>
                <w:rFonts w:hint="eastAsia" w:ascii="宋体" w:hAnsi="宋体"/>
                <w:sz w:val="21"/>
                <w:szCs w:val="21"/>
              </w:rPr>
              <w:t>付      款</w:t>
            </w:r>
          </w:p>
        </w:tc>
        <w:tc>
          <w:tcPr>
            <w:tcW w:w="1424"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质量保证金</w:t>
            </w:r>
          </w:p>
          <w:p>
            <w:pPr>
              <w:adjustRightInd w:val="0"/>
              <w:snapToGrid w:val="0"/>
              <w:jc w:val="center"/>
              <w:outlineLvl w:val="9"/>
              <w:rPr>
                <w:rFonts w:ascii="宋体" w:hAnsi="宋体"/>
                <w:sz w:val="21"/>
                <w:szCs w:val="21"/>
              </w:rPr>
            </w:pPr>
            <w:r>
              <w:rPr>
                <w:rFonts w:hint="eastAsia" w:ascii="宋体" w:hAnsi="宋体"/>
                <w:sz w:val="21"/>
                <w:szCs w:val="21"/>
              </w:rPr>
              <w:t>扣      留</w:t>
            </w:r>
          </w:p>
        </w:tc>
        <w:tc>
          <w:tcPr>
            <w:tcW w:w="953"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材料款</w:t>
            </w:r>
          </w:p>
          <w:p>
            <w:pPr>
              <w:adjustRightInd w:val="0"/>
              <w:snapToGrid w:val="0"/>
              <w:jc w:val="center"/>
              <w:outlineLvl w:val="9"/>
              <w:rPr>
                <w:rFonts w:ascii="宋体" w:hAnsi="宋体"/>
                <w:sz w:val="21"/>
                <w:szCs w:val="21"/>
              </w:rPr>
            </w:pPr>
            <w:r>
              <w:rPr>
                <w:rFonts w:hint="eastAsia" w:ascii="宋体" w:hAnsi="宋体"/>
                <w:sz w:val="21"/>
                <w:szCs w:val="21"/>
              </w:rPr>
              <w:t>扣  除</w:t>
            </w:r>
          </w:p>
        </w:tc>
        <w:tc>
          <w:tcPr>
            <w:tcW w:w="953"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预付款</w:t>
            </w:r>
          </w:p>
          <w:p>
            <w:pPr>
              <w:adjustRightInd w:val="0"/>
              <w:snapToGrid w:val="0"/>
              <w:jc w:val="center"/>
              <w:outlineLvl w:val="9"/>
              <w:rPr>
                <w:rFonts w:ascii="宋体" w:hAnsi="宋体"/>
                <w:sz w:val="21"/>
                <w:szCs w:val="21"/>
              </w:rPr>
            </w:pPr>
            <w:r>
              <w:rPr>
                <w:rFonts w:hint="eastAsia" w:ascii="宋体" w:hAnsi="宋体"/>
                <w:sz w:val="21"/>
                <w:szCs w:val="21"/>
              </w:rPr>
              <w:t>扣  还</w:t>
            </w:r>
          </w:p>
        </w:tc>
        <w:tc>
          <w:tcPr>
            <w:tcW w:w="715"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其他</w:t>
            </w:r>
          </w:p>
        </w:tc>
        <w:tc>
          <w:tcPr>
            <w:tcW w:w="953"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应收款</w:t>
            </w:r>
          </w:p>
        </w:tc>
        <w:tc>
          <w:tcPr>
            <w:tcW w:w="953" w:type="dxa"/>
            <w:noWrap w:val="0"/>
            <w:vAlign w:val="center"/>
          </w:tcPr>
          <w:p>
            <w:pPr>
              <w:adjustRightInd w:val="0"/>
              <w:snapToGrid w:val="0"/>
              <w:jc w:val="center"/>
              <w:outlineLvl w:val="9"/>
              <w:rPr>
                <w:rFonts w:ascii="宋体" w:hAnsi="宋体"/>
                <w:sz w:val="21"/>
                <w:szCs w:val="21"/>
              </w:rPr>
            </w:pPr>
            <w:r>
              <w:rPr>
                <w:rFonts w:hint="eastAsia" w:ascii="宋体" w:hAnsi="宋体"/>
                <w:sz w:val="21"/>
                <w:szCs w:val="21"/>
              </w:rPr>
              <w:t>累  计</w:t>
            </w:r>
          </w:p>
          <w:p>
            <w:pPr>
              <w:adjustRightInd w:val="0"/>
              <w:snapToGrid w:val="0"/>
              <w:jc w:val="center"/>
              <w:outlineLvl w:val="9"/>
              <w:rPr>
                <w:rFonts w:ascii="宋体" w:hAnsi="宋体"/>
                <w:sz w:val="21"/>
                <w:szCs w:val="21"/>
              </w:rPr>
            </w:pPr>
            <w:r>
              <w:rPr>
                <w:rFonts w:hint="eastAsia" w:ascii="宋体" w:hAnsi="宋体"/>
                <w:sz w:val="21"/>
                <w:szCs w:val="21"/>
              </w:rPr>
              <w:t>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9" w:type="dxa"/>
            <w:noWrap w:val="0"/>
            <w:vAlign w:val="center"/>
          </w:tcPr>
          <w:p>
            <w:pPr>
              <w:adjustRightInd w:val="0"/>
              <w:snapToGrid w:val="0"/>
              <w:jc w:val="center"/>
              <w:outlineLvl w:val="9"/>
              <w:rPr>
                <w:rFonts w:ascii="宋体" w:hAnsi="宋体"/>
                <w:sz w:val="21"/>
                <w:szCs w:val="21"/>
              </w:rPr>
            </w:pPr>
          </w:p>
        </w:tc>
        <w:tc>
          <w:tcPr>
            <w:tcW w:w="479"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1424" w:type="dxa"/>
            <w:noWrap w:val="0"/>
            <w:vAlign w:val="center"/>
          </w:tcPr>
          <w:p>
            <w:pPr>
              <w:adjustRightInd w:val="0"/>
              <w:snapToGrid w:val="0"/>
              <w:jc w:val="center"/>
              <w:outlineLvl w:val="9"/>
              <w:rPr>
                <w:rFonts w:ascii="宋体" w:hAnsi="宋体"/>
                <w:sz w:val="21"/>
                <w:szCs w:val="21"/>
              </w:rPr>
            </w:pPr>
          </w:p>
        </w:tc>
        <w:tc>
          <w:tcPr>
            <w:tcW w:w="1424"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715"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9" w:type="dxa"/>
            <w:noWrap w:val="0"/>
            <w:vAlign w:val="center"/>
          </w:tcPr>
          <w:p>
            <w:pPr>
              <w:adjustRightInd w:val="0"/>
              <w:snapToGrid w:val="0"/>
              <w:jc w:val="center"/>
              <w:outlineLvl w:val="9"/>
              <w:rPr>
                <w:rFonts w:ascii="宋体" w:hAnsi="宋体"/>
                <w:sz w:val="21"/>
                <w:szCs w:val="21"/>
              </w:rPr>
            </w:pPr>
          </w:p>
        </w:tc>
        <w:tc>
          <w:tcPr>
            <w:tcW w:w="479"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1424" w:type="dxa"/>
            <w:noWrap w:val="0"/>
            <w:vAlign w:val="center"/>
          </w:tcPr>
          <w:p>
            <w:pPr>
              <w:adjustRightInd w:val="0"/>
              <w:snapToGrid w:val="0"/>
              <w:jc w:val="center"/>
              <w:outlineLvl w:val="9"/>
              <w:rPr>
                <w:rFonts w:ascii="宋体" w:hAnsi="宋体"/>
                <w:sz w:val="21"/>
                <w:szCs w:val="21"/>
              </w:rPr>
            </w:pPr>
          </w:p>
        </w:tc>
        <w:tc>
          <w:tcPr>
            <w:tcW w:w="1424"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715"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9" w:type="dxa"/>
            <w:noWrap w:val="0"/>
            <w:vAlign w:val="center"/>
          </w:tcPr>
          <w:p>
            <w:pPr>
              <w:adjustRightInd w:val="0"/>
              <w:snapToGrid w:val="0"/>
              <w:jc w:val="center"/>
              <w:outlineLvl w:val="9"/>
              <w:rPr>
                <w:rFonts w:ascii="宋体" w:hAnsi="宋体"/>
                <w:sz w:val="21"/>
                <w:szCs w:val="21"/>
              </w:rPr>
            </w:pPr>
          </w:p>
        </w:tc>
        <w:tc>
          <w:tcPr>
            <w:tcW w:w="479"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1424" w:type="dxa"/>
            <w:noWrap w:val="0"/>
            <w:vAlign w:val="center"/>
          </w:tcPr>
          <w:p>
            <w:pPr>
              <w:adjustRightInd w:val="0"/>
              <w:snapToGrid w:val="0"/>
              <w:jc w:val="center"/>
              <w:outlineLvl w:val="9"/>
              <w:rPr>
                <w:rFonts w:ascii="宋体" w:hAnsi="宋体"/>
                <w:sz w:val="21"/>
                <w:szCs w:val="21"/>
              </w:rPr>
            </w:pPr>
          </w:p>
        </w:tc>
        <w:tc>
          <w:tcPr>
            <w:tcW w:w="1424"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715"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c>
          <w:tcPr>
            <w:tcW w:w="953" w:type="dxa"/>
            <w:noWrap w:val="0"/>
            <w:vAlign w:val="center"/>
          </w:tcPr>
          <w:p>
            <w:pPr>
              <w:adjustRightInd w:val="0"/>
              <w:snapToGrid w:val="0"/>
              <w:jc w:val="center"/>
              <w:outlineLvl w:val="9"/>
              <w:rPr>
                <w:rFonts w:ascii="宋体" w:hAnsi="宋体"/>
                <w:sz w:val="21"/>
                <w:szCs w:val="21"/>
              </w:rPr>
            </w:pPr>
          </w:p>
        </w:tc>
      </w:tr>
    </w:tbl>
    <w:p>
      <w:pPr>
        <w:spacing w:line="360" w:lineRule="auto"/>
        <w:ind w:firstLine="480" w:firstLineChars="200"/>
        <w:outlineLvl w:val="9"/>
        <w:rPr>
          <w:rFonts w:hint="eastAsia" w:ascii="宋体" w:hAnsi="宋体" w:eastAsia="宋体" w:cs="Times New Roman"/>
          <w:sz w:val="24"/>
          <w:szCs w:val="24"/>
        </w:rPr>
      </w:pPr>
      <w:bookmarkStart w:id="417" w:name="_Toc184635108"/>
      <w:bookmarkStart w:id="418" w:name="_Toc24648"/>
      <w:bookmarkStart w:id="419" w:name="_Toc263677384"/>
      <w:bookmarkStart w:id="420" w:name="_Toc267472954"/>
      <w:bookmarkStart w:id="421" w:name="_Toc307485221"/>
      <w:bookmarkStart w:id="422" w:name="_Toc307417454"/>
      <w:bookmarkStart w:id="423" w:name="_Toc285028854"/>
      <w:bookmarkStart w:id="424" w:name="_Toc430097427"/>
      <w:bookmarkStart w:id="425" w:name="_Toc307416157"/>
      <w:bookmarkStart w:id="426" w:name="_Toc263370605"/>
      <w:r>
        <w:rPr>
          <w:rFonts w:hint="eastAsia" w:ascii="宋体" w:hAnsi="宋体" w:eastAsia="宋体" w:cs="Times New Roman"/>
          <w:sz w:val="24"/>
          <w:szCs w:val="24"/>
        </w:rPr>
        <w:t>11．开工和竣工</w:t>
      </w:r>
      <w:bookmarkEnd w:id="417"/>
      <w:r>
        <w:rPr>
          <w:rFonts w:hint="eastAsia" w:ascii="宋体" w:hAnsi="宋体" w:eastAsia="宋体" w:cs="Times New Roman"/>
          <w:sz w:val="24"/>
          <w:szCs w:val="24"/>
        </w:rPr>
        <w:t>（完工）</w:t>
      </w:r>
      <w:bookmarkEnd w:id="418"/>
      <w:bookmarkEnd w:id="419"/>
      <w:bookmarkEnd w:id="420"/>
      <w:bookmarkEnd w:id="421"/>
      <w:bookmarkEnd w:id="422"/>
      <w:bookmarkEnd w:id="423"/>
      <w:bookmarkEnd w:id="424"/>
      <w:bookmarkEnd w:id="425"/>
      <w:bookmarkEnd w:id="426"/>
    </w:p>
    <w:p>
      <w:pPr>
        <w:spacing w:line="360" w:lineRule="auto"/>
        <w:ind w:firstLine="480" w:firstLineChars="200"/>
        <w:outlineLvl w:val="9"/>
        <w:rPr>
          <w:rFonts w:hint="eastAsia" w:ascii="宋体" w:hAnsi="宋体" w:eastAsia="宋体" w:cs="Times New Roman"/>
          <w:sz w:val="24"/>
          <w:szCs w:val="24"/>
        </w:rPr>
      </w:pPr>
      <w:bookmarkStart w:id="427" w:name="_Toc263677385"/>
      <w:bookmarkStart w:id="428" w:name="_Toc285028855"/>
      <w:bookmarkStart w:id="429" w:name="_Toc267472955"/>
      <w:r>
        <w:rPr>
          <w:rFonts w:hint="eastAsia" w:ascii="宋体" w:hAnsi="宋体" w:eastAsia="宋体" w:cs="Times New Roman"/>
          <w:sz w:val="24"/>
          <w:szCs w:val="24"/>
        </w:rPr>
        <w:t>11.1 开工</w:t>
      </w:r>
      <w:bookmarkEnd w:id="427"/>
      <w:bookmarkEnd w:id="428"/>
      <w:bookmarkEnd w:id="42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11.1.1 监理人应在开工日期7 天前向承包人发出开工通知。监理人在发出开工通知前应获得发包人同意。工期自监理人发出的开工通知中载明的开工日期起计算。承包人应在开工日期后尽快施工。</w:t>
      </w:r>
    </w:p>
    <w:p>
      <w:pPr>
        <w:spacing w:line="360" w:lineRule="auto"/>
        <w:ind w:firstLine="480" w:firstLineChars="200"/>
        <w:outlineLvl w:val="9"/>
        <w:rPr>
          <w:rFonts w:ascii="宋体" w:hAnsi="宋体"/>
          <w:szCs w:val="21"/>
        </w:rPr>
      </w:pPr>
      <w:r>
        <w:rPr>
          <w:rFonts w:hint="eastAsia" w:ascii="宋体" w:hAnsi="宋体" w:eastAsia="宋体" w:cs="Times New Roman"/>
          <w:sz w:val="24"/>
          <w:szCs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11.1.3 若发包人未能按合同约定向承包人提供开工的必要条件，承包人有权要求延长工期。监理人应在收到承包人的书面要求后，按第3.5款的约定，与合同双方商定或确定增加的费用和延长的工期。</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spacing w:line="360" w:lineRule="auto"/>
        <w:ind w:firstLine="480" w:firstLineChars="200"/>
        <w:outlineLvl w:val="9"/>
        <w:rPr>
          <w:rFonts w:hint="eastAsia" w:ascii="宋体" w:hAnsi="宋体" w:eastAsia="宋体" w:cs="Times New Roman"/>
          <w:sz w:val="24"/>
          <w:szCs w:val="24"/>
        </w:rPr>
      </w:pPr>
      <w:bookmarkStart w:id="430" w:name="_Toc267472956"/>
      <w:bookmarkStart w:id="431" w:name="_Toc263677386"/>
      <w:bookmarkStart w:id="432" w:name="_Toc285028856"/>
      <w:r>
        <w:rPr>
          <w:rFonts w:hint="eastAsia" w:ascii="宋体" w:hAnsi="宋体" w:eastAsia="宋体" w:cs="Times New Roman"/>
          <w:sz w:val="24"/>
          <w:szCs w:val="24"/>
        </w:rPr>
        <w:t>11.2 竣工（完工）</w:t>
      </w:r>
      <w:bookmarkEnd w:id="430"/>
      <w:bookmarkEnd w:id="431"/>
      <w:bookmarkEnd w:id="43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承包人应在第1.1.4.3目约定的期限内完成合同工程。合同工程实际完工日期在合同工程完工证书中明确。</w:t>
      </w:r>
    </w:p>
    <w:p>
      <w:pPr>
        <w:spacing w:line="360" w:lineRule="auto"/>
        <w:ind w:firstLine="480" w:firstLineChars="200"/>
        <w:outlineLvl w:val="9"/>
        <w:rPr>
          <w:rFonts w:hint="eastAsia" w:ascii="宋体" w:hAnsi="宋体" w:eastAsia="宋体" w:cs="Times New Roman"/>
          <w:sz w:val="24"/>
          <w:szCs w:val="24"/>
        </w:rPr>
      </w:pPr>
      <w:bookmarkStart w:id="433" w:name="_Toc267472957"/>
      <w:bookmarkStart w:id="434" w:name="_Toc285028857"/>
      <w:bookmarkStart w:id="435" w:name="_Toc263677387"/>
      <w:r>
        <w:rPr>
          <w:rFonts w:hint="eastAsia" w:ascii="宋体" w:hAnsi="宋体" w:eastAsia="宋体" w:cs="Times New Roman"/>
          <w:sz w:val="24"/>
          <w:szCs w:val="24"/>
        </w:rPr>
        <w:t>11.3 发包人的工期延误</w:t>
      </w:r>
      <w:bookmarkEnd w:id="433"/>
      <w:bookmarkEnd w:id="434"/>
      <w:bookmarkEnd w:id="43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在履行合同过程中，由于发包人的下列原因造成工期延误的，承包人有权要求发包人延长工期和（或）增加费用，并支付合理利润。需要修订合同进度计划的，按照第10.2款的约定办理。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(l）增加合同工作内容；</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(2）改变合同中任何一项工作的质量要求或其他特性；</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(3）发包人迟延提供材料、工程设备或变更交货地点的；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(4）因发包人原因导致的暂停施工；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(5）提供图纸延误；</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(6）未按合同约定及时支付预付款、进度款；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(7）发包人造成工期延误的其他原因。</w:t>
      </w:r>
    </w:p>
    <w:p>
      <w:pPr>
        <w:spacing w:line="360" w:lineRule="auto"/>
        <w:ind w:firstLine="480" w:firstLineChars="200"/>
        <w:outlineLvl w:val="9"/>
        <w:rPr>
          <w:rFonts w:hint="eastAsia" w:ascii="宋体" w:hAnsi="宋体" w:eastAsia="宋体" w:cs="Times New Roman"/>
          <w:sz w:val="24"/>
          <w:szCs w:val="24"/>
        </w:rPr>
      </w:pPr>
      <w:bookmarkStart w:id="436" w:name="_Toc285028858"/>
      <w:bookmarkStart w:id="437" w:name="_Toc263677388"/>
      <w:bookmarkStart w:id="438" w:name="_Toc267472958"/>
      <w:r>
        <w:rPr>
          <w:rFonts w:hint="eastAsia" w:ascii="宋体" w:hAnsi="宋体" w:eastAsia="宋体" w:cs="Times New Roman"/>
          <w:sz w:val="24"/>
          <w:szCs w:val="24"/>
        </w:rPr>
        <w:t>11.4 异常恶劣的气候条件</w:t>
      </w:r>
      <w:bookmarkEnd w:id="436"/>
      <w:bookmarkEnd w:id="437"/>
      <w:bookmarkEnd w:id="43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由于出现专用合同条款规定的异常恶劣气候的条件导致工期延误的，承包人有权要求发包人延长工期。</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11.4.2 异常恶劣气候条件造成的工期延误和工程损坏，应由发包人与承包人参照本合同通用合同条款第21.3款的约定协商处理。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11.4.3 本合同工程界定异常恶劣气候条件的范围在专用合同条款中约定。</w:t>
      </w:r>
    </w:p>
    <w:p>
      <w:pPr>
        <w:spacing w:line="360" w:lineRule="auto"/>
        <w:ind w:firstLine="480" w:firstLineChars="200"/>
        <w:outlineLvl w:val="9"/>
        <w:rPr>
          <w:rFonts w:hint="eastAsia" w:ascii="宋体" w:hAnsi="宋体" w:eastAsia="宋体" w:cs="Times New Roman"/>
          <w:sz w:val="24"/>
          <w:szCs w:val="24"/>
        </w:rPr>
      </w:pPr>
      <w:bookmarkStart w:id="439" w:name="_Toc285028859"/>
      <w:bookmarkStart w:id="440" w:name="_Toc263677389"/>
      <w:bookmarkStart w:id="441" w:name="_Toc267472959"/>
      <w:r>
        <w:rPr>
          <w:rFonts w:hint="eastAsia" w:ascii="宋体" w:hAnsi="宋体" w:eastAsia="宋体" w:cs="Times New Roman"/>
          <w:sz w:val="24"/>
          <w:szCs w:val="24"/>
        </w:rPr>
        <w:t>11.5 承包人的工期延误</w:t>
      </w:r>
      <w:bookmarkEnd w:id="439"/>
      <w:bookmarkEnd w:id="440"/>
      <w:bookmarkEnd w:id="44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360" w:lineRule="auto"/>
        <w:ind w:firstLine="480" w:firstLineChars="200"/>
        <w:outlineLvl w:val="9"/>
        <w:rPr>
          <w:rFonts w:hint="eastAsia" w:ascii="宋体" w:hAnsi="宋体" w:eastAsia="宋体" w:cs="Times New Roman"/>
          <w:sz w:val="24"/>
          <w:szCs w:val="24"/>
        </w:rPr>
      </w:pPr>
      <w:bookmarkStart w:id="442" w:name="_Toc263677390"/>
      <w:bookmarkStart w:id="443" w:name="_Toc285028860"/>
      <w:bookmarkStart w:id="444" w:name="_Toc267472960"/>
      <w:r>
        <w:rPr>
          <w:rFonts w:hint="eastAsia" w:ascii="宋体" w:hAnsi="宋体" w:eastAsia="宋体" w:cs="Times New Roman"/>
          <w:sz w:val="24"/>
          <w:szCs w:val="24"/>
        </w:rPr>
        <w:t>11.6 工期提前</w:t>
      </w:r>
      <w:bookmarkEnd w:id="442"/>
      <w:bookmarkEnd w:id="443"/>
      <w:bookmarkEnd w:id="44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发包人要求提前完工的，双方协商一致后应签订提前完工协议，协议内容包括：</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（1）提前的时间和修订后的进度计划；</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（2）承包人的赶工措施；</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（3）发包人为赶工提供的条件；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（4）赶工费用(包括利润和奖金)。</w:t>
      </w:r>
    </w:p>
    <w:p>
      <w:pPr>
        <w:spacing w:line="360" w:lineRule="auto"/>
        <w:ind w:firstLine="480" w:firstLineChars="200"/>
        <w:outlineLvl w:val="9"/>
        <w:rPr>
          <w:rFonts w:hint="eastAsia" w:ascii="宋体" w:hAnsi="宋体" w:eastAsia="宋体" w:cs="Times New Roman"/>
          <w:sz w:val="24"/>
          <w:szCs w:val="24"/>
        </w:rPr>
      </w:pPr>
      <w:bookmarkStart w:id="445" w:name="_Toc263677391"/>
      <w:bookmarkStart w:id="446" w:name="_Toc263370606"/>
      <w:bookmarkStart w:id="447" w:name="_Toc26762"/>
      <w:bookmarkStart w:id="448" w:name="_Toc184635109"/>
      <w:bookmarkStart w:id="449" w:name="_Toc430097428"/>
      <w:bookmarkStart w:id="450" w:name="_Toc307485222"/>
      <w:bookmarkStart w:id="451" w:name="_Toc267472961"/>
      <w:bookmarkStart w:id="452" w:name="_Toc307416158"/>
      <w:bookmarkStart w:id="453" w:name="_Toc285028861"/>
      <w:bookmarkStart w:id="454" w:name="_Toc307417455"/>
      <w:r>
        <w:rPr>
          <w:rFonts w:hint="eastAsia" w:ascii="宋体" w:hAnsi="宋体" w:eastAsia="宋体" w:cs="Times New Roman"/>
          <w:sz w:val="24"/>
          <w:szCs w:val="24"/>
        </w:rPr>
        <w:t>12．暂停施工</w:t>
      </w:r>
      <w:bookmarkEnd w:id="445"/>
      <w:bookmarkEnd w:id="446"/>
      <w:bookmarkEnd w:id="447"/>
      <w:bookmarkEnd w:id="448"/>
      <w:bookmarkEnd w:id="449"/>
      <w:bookmarkEnd w:id="450"/>
      <w:bookmarkEnd w:id="451"/>
      <w:bookmarkEnd w:id="452"/>
      <w:bookmarkEnd w:id="453"/>
      <w:bookmarkEnd w:id="454"/>
    </w:p>
    <w:p>
      <w:pPr>
        <w:spacing w:line="360" w:lineRule="auto"/>
        <w:ind w:firstLine="480" w:firstLineChars="200"/>
        <w:outlineLvl w:val="9"/>
        <w:rPr>
          <w:rFonts w:hint="eastAsia" w:ascii="宋体" w:hAnsi="宋体" w:eastAsia="宋体" w:cs="Times New Roman"/>
          <w:sz w:val="24"/>
          <w:szCs w:val="24"/>
        </w:rPr>
      </w:pPr>
      <w:bookmarkStart w:id="455" w:name="_Toc267472962"/>
      <w:bookmarkStart w:id="456" w:name="_Toc285028862"/>
      <w:bookmarkStart w:id="457" w:name="_Toc263677392"/>
      <w:r>
        <w:rPr>
          <w:rFonts w:hint="eastAsia" w:ascii="宋体" w:hAnsi="宋体" w:eastAsia="宋体" w:cs="Times New Roman"/>
          <w:sz w:val="24"/>
          <w:szCs w:val="24"/>
        </w:rPr>
        <w:t>12.1 承包人暂停施工的责任</w:t>
      </w:r>
      <w:bookmarkEnd w:id="455"/>
      <w:bookmarkEnd w:id="456"/>
      <w:bookmarkEnd w:id="45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因下列暂停施工增加的费用和（或）工期延误由承包人承担：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(1）承包人违约引起的暂停施工；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(2）由于承包人原因为工程合理施工和安全保障所必需的暂停施工；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(3）承包人擅自暂停施工；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(4）承包人其他原因引起的暂停施工；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(5）专用合同条款约定由承包人承担的其他暂停施工。</w:t>
      </w:r>
    </w:p>
    <w:p>
      <w:pPr>
        <w:spacing w:line="360" w:lineRule="auto"/>
        <w:ind w:firstLine="480" w:firstLineChars="200"/>
        <w:outlineLvl w:val="9"/>
        <w:rPr>
          <w:rFonts w:hint="eastAsia" w:ascii="宋体" w:hAnsi="宋体" w:eastAsia="宋体" w:cs="Times New Roman"/>
          <w:sz w:val="24"/>
          <w:szCs w:val="24"/>
        </w:rPr>
      </w:pPr>
      <w:bookmarkStart w:id="458" w:name="_Toc285028863"/>
      <w:bookmarkStart w:id="459" w:name="_Toc267472963"/>
      <w:bookmarkStart w:id="460" w:name="_Toc263677393"/>
      <w:r>
        <w:rPr>
          <w:rFonts w:hint="eastAsia" w:ascii="宋体" w:hAnsi="宋体" w:eastAsia="宋体" w:cs="Times New Roman"/>
          <w:sz w:val="24"/>
          <w:szCs w:val="24"/>
        </w:rPr>
        <w:t>12.2 发包人暂停施工的责任</w:t>
      </w:r>
      <w:bookmarkEnd w:id="458"/>
      <w:bookmarkEnd w:id="459"/>
      <w:bookmarkEnd w:id="46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由于发包人原因引起的暂停施工造成工期延误的，承包人有权要求发包人延长工期和(或)增加费用，并支付合理利润。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属于下列任何一种情况引起的暂停施工，均为发包人的责任：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(1)由于发包人违约引起的暂停施工；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(2)由于不可抗力的自然或社会因素引起的暂停施工；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(3)专用合同条款中约定的其它由于发包人原因引起的暂停施工。</w:t>
      </w:r>
    </w:p>
    <w:p>
      <w:pPr>
        <w:spacing w:line="360" w:lineRule="auto"/>
        <w:ind w:firstLine="480" w:firstLineChars="200"/>
        <w:outlineLvl w:val="9"/>
        <w:rPr>
          <w:rFonts w:hint="eastAsia" w:ascii="宋体" w:hAnsi="宋体" w:eastAsia="宋体" w:cs="Times New Roman"/>
          <w:sz w:val="24"/>
          <w:szCs w:val="24"/>
        </w:rPr>
      </w:pPr>
      <w:bookmarkStart w:id="461" w:name="_Toc285028864"/>
      <w:bookmarkStart w:id="462" w:name="_Toc263677394"/>
      <w:bookmarkStart w:id="463" w:name="_Toc267472964"/>
      <w:r>
        <w:rPr>
          <w:rFonts w:hint="eastAsia" w:ascii="宋体" w:hAnsi="宋体" w:eastAsia="宋体" w:cs="Times New Roman"/>
          <w:sz w:val="24"/>
          <w:szCs w:val="24"/>
        </w:rPr>
        <w:t>12.3 监理人暂停施工指示</w:t>
      </w:r>
      <w:bookmarkEnd w:id="461"/>
      <w:bookmarkEnd w:id="462"/>
      <w:bookmarkEnd w:id="46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12.3.1 监理人认为有必要时，可向承包人做出暂停施工的指示，承包人应按监理人指示暂停施工。不论由于何种原因引起的暂停施工，暂停施工期间承包人应负责妥善保护工程并提供安全保障。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360" w:lineRule="auto"/>
        <w:ind w:firstLine="480" w:firstLineChars="200"/>
        <w:outlineLvl w:val="9"/>
        <w:rPr>
          <w:rFonts w:hint="eastAsia" w:ascii="宋体" w:hAnsi="宋体" w:eastAsia="宋体" w:cs="Times New Roman"/>
          <w:sz w:val="24"/>
          <w:szCs w:val="24"/>
        </w:rPr>
      </w:pPr>
      <w:bookmarkStart w:id="464" w:name="_Toc267472965"/>
      <w:bookmarkStart w:id="465" w:name="_Toc285028865"/>
      <w:bookmarkStart w:id="466" w:name="_Toc263677395"/>
      <w:r>
        <w:rPr>
          <w:rFonts w:hint="eastAsia" w:ascii="宋体" w:hAnsi="宋体" w:eastAsia="宋体" w:cs="Times New Roman"/>
          <w:sz w:val="24"/>
          <w:szCs w:val="24"/>
        </w:rPr>
        <w:t>12.4 暂停施工后的复工</w:t>
      </w:r>
      <w:bookmarkEnd w:id="464"/>
      <w:bookmarkEnd w:id="465"/>
      <w:bookmarkEnd w:id="46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12.4.2 承包人无故拖延和拒绝复工的，由此增加的费用和工期延误由承包人承担；因发包人原因无法按时复工的，承包人有权要求发包人延长工期和（或）增加费用，并支付合理利润。</w:t>
      </w:r>
    </w:p>
    <w:p>
      <w:pPr>
        <w:spacing w:line="360" w:lineRule="auto"/>
        <w:ind w:firstLine="480" w:firstLineChars="200"/>
        <w:outlineLvl w:val="9"/>
        <w:rPr>
          <w:rFonts w:hint="eastAsia" w:ascii="宋体" w:hAnsi="宋体" w:eastAsia="宋体" w:cs="Times New Roman"/>
          <w:sz w:val="24"/>
          <w:szCs w:val="24"/>
        </w:rPr>
      </w:pPr>
      <w:bookmarkStart w:id="467" w:name="_Toc285028866"/>
      <w:bookmarkStart w:id="468" w:name="_Toc267472966"/>
      <w:bookmarkStart w:id="469" w:name="_Toc263677396"/>
      <w:r>
        <w:rPr>
          <w:rFonts w:hint="eastAsia" w:ascii="宋体" w:hAnsi="宋体" w:eastAsia="宋体" w:cs="Times New Roman"/>
          <w:sz w:val="24"/>
          <w:szCs w:val="24"/>
        </w:rPr>
        <w:t>12.5 暂停施工持续56 天以上</w:t>
      </w:r>
      <w:bookmarkEnd w:id="467"/>
      <w:bookmarkEnd w:id="468"/>
      <w:bookmarkEnd w:id="46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款的规定办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12.5.2 由于承包人责任引起的暂停施工，如承包人在收到监理人暂停施工指示后56天内不认真采取有效的复工措施，造成工期延误，可视为承包人违约，应按第22.1款的规定办理。</w:t>
      </w:r>
    </w:p>
    <w:p>
      <w:pPr>
        <w:spacing w:line="360" w:lineRule="auto"/>
        <w:ind w:firstLine="480" w:firstLineChars="200"/>
        <w:outlineLvl w:val="9"/>
        <w:rPr>
          <w:rFonts w:hint="eastAsia" w:ascii="宋体" w:hAnsi="宋体" w:eastAsia="宋体" w:cs="Times New Roman"/>
          <w:sz w:val="24"/>
          <w:szCs w:val="24"/>
        </w:rPr>
      </w:pPr>
      <w:bookmarkStart w:id="470" w:name="_Toc307417456"/>
      <w:bookmarkStart w:id="471" w:name="_Toc307485223"/>
      <w:bookmarkStart w:id="472" w:name="_Toc430097429"/>
      <w:bookmarkStart w:id="473" w:name="_Toc307416159"/>
      <w:bookmarkStart w:id="474" w:name="_Toc285028867"/>
      <w:bookmarkStart w:id="475" w:name="_Toc263677397"/>
      <w:bookmarkStart w:id="476" w:name="_Toc6003"/>
      <w:bookmarkStart w:id="477" w:name="_Toc184635110"/>
      <w:bookmarkStart w:id="478" w:name="_Toc263370607"/>
      <w:bookmarkStart w:id="479" w:name="_Toc267472967"/>
      <w:r>
        <w:rPr>
          <w:rFonts w:hint="eastAsia" w:ascii="宋体" w:hAnsi="宋体" w:eastAsia="宋体" w:cs="Times New Roman"/>
          <w:sz w:val="24"/>
          <w:szCs w:val="24"/>
        </w:rPr>
        <w:t>13．工程质量</w:t>
      </w:r>
      <w:bookmarkEnd w:id="470"/>
      <w:bookmarkEnd w:id="471"/>
      <w:bookmarkEnd w:id="472"/>
      <w:bookmarkEnd w:id="473"/>
      <w:bookmarkEnd w:id="474"/>
      <w:bookmarkEnd w:id="475"/>
      <w:bookmarkEnd w:id="476"/>
      <w:bookmarkEnd w:id="477"/>
      <w:bookmarkEnd w:id="478"/>
      <w:bookmarkEnd w:id="479"/>
    </w:p>
    <w:p>
      <w:pPr>
        <w:spacing w:line="360" w:lineRule="auto"/>
        <w:ind w:firstLine="480" w:firstLineChars="200"/>
        <w:outlineLvl w:val="9"/>
        <w:rPr>
          <w:rFonts w:hint="eastAsia" w:ascii="宋体" w:hAnsi="宋体" w:eastAsia="宋体" w:cs="Times New Roman"/>
          <w:sz w:val="24"/>
          <w:szCs w:val="24"/>
        </w:rPr>
      </w:pPr>
      <w:bookmarkStart w:id="480" w:name="_Toc285028868"/>
      <w:bookmarkStart w:id="481" w:name="_Toc263677398"/>
      <w:bookmarkStart w:id="482" w:name="_Toc267472968"/>
      <w:r>
        <w:rPr>
          <w:rFonts w:hint="eastAsia" w:ascii="宋体" w:hAnsi="宋体" w:eastAsia="宋体" w:cs="Times New Roman"/>
          <w:sz w:val="24"/>
          <w:szCs w:val="24"/>
        </w:rPr>
        <w:t>13.1 工程质量要求</w:t>
      </w:r>
      <w:bookmarkEnd w:id="480"/>
      <w:bookmarkEnd w:id="481"/>
      <w:bookmarkEnd w:id="48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13.1.1 工程质量验收按合同约定验收标准执行。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13.1.2 因承包人原因造成工程质量达不到合同约定验收标准的，监理人有权要求承包人返工直至符合合同要求为止，由此造成的费用增加和（或）工期延误由承包人承担。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13.1.3 因发包人原因造成工程质量达不到合同约定验收标准的，发包人应承担由于承包人返工造成的费用增加和（或）工期延误，并支付承包人合理利润。</w:t>
      </w:r>
    </w:p>
    <w:p>
      <w:pPr>
        <w:spacing w:line="360" w:lineRule="auto"/>
        <w:ind w:firstLine="480" w:firstLineChars="200"/>
        <w:outlineLvl w:val="9"/>
        <w:rPr>
          <w:rFonts w:hint="eastAsia" w:ascii="宋体" w:hAnsi="宋体" w:eastAsia="宋体" w:cs="Times New Roman"/>
          <w:sz w:val="24"/>
          <w:szCs w:val="24"/>
        </w:rPr>
      </w:pPr>
      <w:bookmarkStart w:id="483" w:name="_Toc263677399"/>
      <w:bookmarkStart w:id="484" w:name="_Toc285028869"/>
      <w:bookmarkStart w:id="485" w:name="_Toc267472969"/>
      <w:r>
        <w:rPr>
          <w:rFonts w:hint="eastAsia" w:ascii="宋体" w:hAnsi="宋体" w:eastAsia="宋体" w:cs="Times New Roman"/>
          <w:sz w:val="24"/>
          <w:szCs w:val="24"/>
        </w:rPr>
        <w:t>13.2 承包人的质量管理</w:t>
      </w:r>
      <w:bookmarkEnd w:id="483"/>
      <w:bookmarkEnd w:id="484"/>
      <w:bookmarkEnd w:id="48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13.2.2 承包人应加强对施工人员的质量教育和技术培训，定期考核施工人员的劳动技能，严格执行规范和操作规程。</w:t>
      </w:r>
    </w:p>
    <w:p>
      <w:pPr>
        <w:spacing w:line="360" w:lineRule="auto"/>
        <w:ind w:firstLine="480" w:firstLineChars="200"/>
        <w:outlineLvl w:val="9"/>
        <w:rPr>
          <w:rFonts w:hint="eastAsia" w:ascii="宋体" w:hAnsi="宋体" w:eastAsia="宋体" w:cs="Times New Roman"/>
          <w:sz w:val="24"/>
          <w:szCs w:val="24"/>
        </w:rPr>
      </w:pPr>
      <w:bookmarkStart w:id="486" w:name="_Toc285028870"/>
      <w:bookmarkStart w:id="487" w:name="_Toc263677400"/>
      <w:bookmarkStart w:id="488" w:name="_Toc267472970"/>
      <w:r>
        <w:rPr>
          <w:rFonts w:hint="eastAsia" w:ascii="宋体" w:hAnsi="宋体" w:eastAsia="宋体" w:cs="Times New Roman"/>
          <w:sz w:val="24"/>
          <w:szCs w:val="24"/>
        </w:rPr>
        <w:t>13.3 承包人的质量检查</w:t>
      </w:r>
      <w:bookmarkEnd w:id="486"/>
      <w:bookmarkEnd w:id="487"/>
      <w:bookmarkEnd w:id="48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承包人应按合同约定对材料、工程设备以及工程的所有部位及其施工工艺进行全过程的质量检查和检验，并作详细记录，编制工程质量报表，报送监理人审查。</w:t>
      </w:r>
    </w:p>
    <w:p>
      <w:pPr>
        <w:spacing w:line="360" w:lineRule="auto"/>
        <w:ind w:firstLine="480" w:firstLineChars="200"/>
        <w:outlineLvl w:val="9"/>
        <w:rPr>
          <w:rFonts w:hint="eastAsia" w:ascii="宋体" w:hAnsi="宋体" w:eastAsia="宋体" w:cs="Times New Roman"/>
          <w:sz w:val="24"/>
          <w:szCs w:val="24"/>
        </w:rPr>
      </w:pPr>
      <w:bookmarkStart w:id="489" w:name="_Toc263677401"/>
      <w:bookmarkStart w:id="490" w:name="_Toc285028871"/>
      <w:bookmarkStart w:id="491" w:name="_Toc267472971"/>
      <w:r>
        <w:rPr>
          <w:rFonts w:hint="eastAsia" w:ascii="宋体" w:hAnsi="宋体" w:eastAsia="宋体" w:cs="Times New Roman"/>
          <w:sz w:val="24"/>
          <w:szCs w:val="24"/>
        </w:rPr>
        <w:t>13.4 监理人的质量检查</w:t>
      </w:r>
      <w:bookmarkEnd w:id="489"/>
      <w:bookmarkEnd w:id="490"/>
      <w:bookmarkEnd w:id="49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360" w:lineRule="auto"/>
        <w:ind w:firstLine="480" w:firstLineChars="200"/>
        <w:outlineLvl w:val="9"/>
        <w:rPr>
          <w:rFonts w:hint="eastAsia" w:ascii="宋体" w:hAnsi="宋体" w:eastAsia="宋体" w:cs="Times New Roman"/>
          <w:sz w:val="24"/>
          <w:szCs w:val="24"/>
        </w:rPr>
      </w:pPr>
      <w:bookmarkStart w:id="492" w:name="_Toc263677402"/>
      <w:bookmarkStart w:id="493" w:name="_Toc285028872"/>
      <w:bookmarkStart w:id="494" w:name="_Toc267472972"/>
      <w:r>
        <w:rPr>
          <w:rFonts w:hint="eastAsia" w:ascii="宋体" w:hAnsi="宋体" w:eastAsia="宋体" w:cs="Times New Roman"/>
          <w:sz w:val="24"/>
          <w:szCs w:val="24"/>
        </w:rPr>
        <w:t>13.5 工程隐蔽部位覆盖前的检查</w:t>
      </w:r>
      <w:bookmarkEnd w:id="492"/>
      <w:bookmarkEnd w:id="493"/>
      <w:bookmarkEnd w:id="49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13.5.1 通知监理人检查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13.5.2 监理人未到场检查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监理人未按第13.5.l 项约定的时间进行检查的，除监理人另有指示外，承包人可自行完成覆盖工作，并作相应记录报送监理人，监理人应签字确认。监理人事后对检查记录有疑问的，可按第13.5.3项的约定重新检查。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13.5.3 监理人重新检查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13.5.4 承包人私自覆盖</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承包人未通知监理人到场检查，私自将工程隐蔽部位覆盖的，监理人有权指示承包人钻孔探测或揭开检查，由此增加的费用和（或）工期延误由承包人承担。</w:t>
      </w:r>
    </w:p>
    <w:p>
      <w:pPr>
        <w:spacing w:line="360" w:lineRule="auto"/>
        <w:ind w:firstLine="480" w:firstLineChars="200"/>
        <w:outlineLvl w:val="9"/>
        <w:rPr>
          <w:rFonts w:hint="eastAsia" w:ascii="宋体" w:hAnsi="宋体" w:eastAsia="宋体" w:cs="Times New Roman"/>
          <w:sz w:val="24"/>
          <w:szCs w:val="24"/>
        </w:rPr>
      </w:pPr>
      <w:bookmarkStart w:id="495" w:name="_Toc267472973"/>
      <w:bookmarkStart w:id="496" w:name="_Toc263677403"/>
      <w:bookmarkStart w:id="497" w:name="_Toc285028873"/>
      <w:r>
        <w:rPr>
          <w:rFonts w:hint="eastAsia" w:ascii="宋体" w:hAnsi="宋体" w:eastAsia="宋体" w:cs="Times New Roman"/>
          <w:sz w:val="24"/>
          <w:szCs w:val="24"/>
        </w:rPr>
        <w:t>13.6 清除不合格工程</w:t>
      </w:r>
      <w:bookmarkEnd w:id="495"/>
      <w:bookmarkEnd w:id="496"/>
      <w:bookmarkEnd w:id="49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13.6.2 由于发包人提供的材料或工程设备不合格造成的工程不合格，需要承包人采取措施补救的，发包人应承担由此增加的费用和（或）工期延误，并支付承包人合理利润。</w:t>
      </w:r>
    </w:p>
    <w:p>
      <w:pPr>
        <w:spacing w:line="360" w:lineRule="auto"/>
        <w:ind w:firstLine="480" w:firstLineChars="200"/>
        <w:outlineLvl w:val="9"/>
        <w:rPr>
          <w:rFonts w:hint="eastAsia" w:ascii="宋体" w:hAnsi="宋体" w:eastAsia="宋体" w:cs="Times New Roman"/>
          <w:sz w:val="24"/>
          <w:szCs w:val="24"/>
        </w:rPr>
      </w:pPr>
      <w:bookmarkStart w:id="498" w:name="_Toc267472974"/>
      <w:bookmarkStart w:id="499" w:name="_Toc263677404"/>
      <w:bookmarkStart w:id="500" w:name="_Toc285028874"/>
      <w:r>
        <w:rPr>
          <w:rFonts w:hint="eastAsia" w:ascii="宋体" w:hAnsi="宋体" w:eastAsia="宋体" w:cs="Times New Roman"/>
          <w:sz w:val="24"/>
          <w:szCs w:val="24"/>
        </w:rPr>
        <w:t>13.7 质量评定</w:t>
      </w:r>
      <w:bookmarkEnd w:id="498"/>
      <w:bookmarkEnd w:id="499"/>
      <w:bookmarkEnd w:id="50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13.7.1 发包人应组织承包人进行工程项目划分，并确定单位工程、主要分部工程、重要隐蔽单元工程和关键部位单元工程。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13.7.2 工程实施过程中，单位工程、主要分部工程、重要隐蔽单元工程和关键部位单元工程的项目划分需要调整时，承包人应报发包人确认。</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13.7.3 承包人应在单元(工序)工程质量自评合格后，报监理人核定质量等级并签证认可。</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13.7.5 承包人应在分部工程质量自评合格后，报监理人复核和发包人认定。发包人负责按有关规定完成分部工程质量结论报工程质量监督机构核备(核定)手续。</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13.7.6 承包人应在单位工程质量自评合格后，报监理人复核和发包人认定。发包人负责按有关规定完成单位工程质量结论报工程质量监督机构核定手续。</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13.7.7  除专用合同条款另有约定外，工程质量等级分为合格和优良，应分别达到约定的标准。</w:t>
      </w:r>
    </w:p>
    <w:p>
      <w:pPr>
        <w:spacing w:line="360" w:lineRule="auto"/>
        <w:ind w:firstLine="480" w:firstLineChars="200"/>
        <w:outlineLvl w:val="9"/>
        <w:rPr>
          <w:rFonts w:hint="eastAsia" w:ascii="宋体" w:hAnsi="宋体" w:eastAsia="宋体" w:cs="Times New Roman"/>
          <w:sz w:val="24"/>
          <w:szCs w:val="24"/>
        </w:rPr>
      </w:pPr>
      <w:bookmarkStart w:id="501" w:name="_Toc285028875"/>
      <w:bookmarkStart w:id="502" w:name="_Toc263677405"/>
      <w:bookmarkStart w:id="503" w:name="_Toc267472975"/>
      <w:r>
        <w:rPr>
          <w:rFonts w:hint="eastAsia" w:ascii="宋体" w:hAnsi="宋体" w:eastAsia="宋体" w:cs="Times New Roman"/>
          <w:sz w:val="24"/>
          <w:szCs w:val="24"/>
        </w:rPr>
        <w:t>13.8 质量事故处理</w:t>
      </w:r>
      <w:bookmarkEnd w:id="501"/>
      <w:bookmarkEnd w:id="502"/>
      <w:bookmarkEnd w:id="50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13.8.1 发生质量事故时，承包人应及时向发包人和监理人报告。</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13.8.2 质量事故调查处理由发包人按相关规定履行手续，承包人应配合。</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13.8.3 承包人应对质量缺陷进行备案。发包人委托监理人对质量缺陷备案情况进行监督检查并履行相关手续。</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13.8.4 除专用合同条款另有约定外，工程竣工验收时，发包人负责向竣工验收委员会汇报并提交历次质量缺陷处理的备案资料。</w:t>
      </w:r>
    </w:p>
    <w:p>
      <w:pPr>
        <w:spacing w:line="360" w:lineRule="auto"/>
        <w:ind w:firstLine="480" w:firstLineChars="200"/>
        <w:outlineLvl w:val="9"/>
        <w:rPr>
          <w:rFonts w:hint="eastAsia" w:ascii="宋体" w:hAnsi="宋体" w:eastAsia="宋体" w:cs="Times New Roman"/>
          <w:sz w:val="24"/>
          <w:szCs w:val="24"/>
        </w:rPr>
      </w:pPr>
      <w:bookmarkStart w:id="504" w:name="_Toc430097430"/>
      <w:bookmarkStart w:id="505" w:name="_Toc267472976"/>
      <w:bookmarkStart w:id="506" w:name="_Toc285028876"/>
      <w:bookmarkStart w:id="507" w:name="_Toc263370608"/>
      <w:bookmarkStart w:id="508" w:name="_Toc307485224"/>
      <w:bookmarkStart w:id="509" w:name="_Toc307416160"/>
      <w:bookmarkStart w:id="510" w:name="_Toc9502"/>
      <w:bookmarkStart w:id="511" w:name="_Toc263677406"/>
      <w:bookmarkStart w:id="512" w:name="_Toc184635111"/>
      <w:bookmarkStart w:id="513" w:name="_Toc307417457"/>
      <w:r>
        <w:rPr>
          <w:rFonts w:hint="eastAsia" w:ascii="宋体" w:hAnsi="宋体" w:eastAsia="宋体" w:cs="Times New Roman"/>
          <w:sz w:val="24"/>
          <w:szCs w:val="24"/>
        </w:rPr>
        <w:t>14．试验和检验</w:t>
      </w:r>
      <w:bookmarkEnd w:id="504"/>
      <w:bookmarkEnd w:id="505"/>
      <w:bookmarkEnd w:id="506"/>
      <w:bookmarkEnd w:id="507"/>
      <w:bookmarkEnd w:id="508"/>
      <w:bookmarkEnd w:id="509"/>
      <w:bookmarkEnd w:id="510"/>
      <w:bookmarkEnd w:id="511"/>
      <w:bookmarkEnd w:id="512"/>
      <w:bookmarkEnd w:id="513"/>
    </w:p>
    <w:p>
      <w:pPr>
        <w:spacing w:line="360" w:lineRule="auto"/>
        <w:ind w:firstLine="480" w:firstLineChars="200"/>
        <w:outlineLvl w:val="9"/>
        <w:rPr>
          <w:rFonts w:hint="eastAsia" w:ascii="宋体" w:hAnsi="宋体" w:eastAsia="宋体" w:cs="Times New Roman"/>
          <w:sz w:val="24"/>
          <w:szCs w:val="24"/>
        </w:rPr>
      </w:pPr>
      <w:bookmarkStart w:id="514" w:name="_Toc263677407"/>
      <w:bookmarkStart w:id="515" w:name="_Toc267472977"/>
      <w:bookmarkStart w:id="516" w:name="_Toc285028877"/>
      <w:r>
        <w:rPr>
          <w:rFonts w:hint="eastAsia" w:ascii="宋体" w:hAnsi="宋体" w:eastAsia="宋体" w:cs="Times New Roman"/>
          <w:sz w:val="24"/>
          <w:szCs w:val="24"/>
        </w:rPr>
        <w:t>14.1 材料、工程设备和工程的试验和检验</w:t>
      </w:r>
      <w:bookmarkEnd w:id="514"/>
      <w:bookmarkEnd w:id="515"/>
      <w:bookmarkEnd w:id="51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14.1.2 监理人未按合同约定派员参加试验和检验的，除监理人另有指示外，承包人可自行试验和检验，并应立即将试验和检验结果报送监理人，监理人应签字确认。</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14.1.4 承包人应按相关规定和标准对水泥、钢材等原材料与中间产品质量进行检验，并报监理人复核。</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14.1.6 对专用合同条款约定的试块、试件及有关材料，监理人实行见证取样。见证取样资料由承包人制备，记录应真实齐全，监理人、承包人等参与见证取样人员均应在相关文件上签字。</w:t>
      </w:r>
    </w:p>
    <w:p>
      <w:pPr>
        <w:spacing w:line="360" w:lineRule="auto"/>
        <w:ind w:firstLine="480" w:firstLineChars="200"/>
        <w:outlineLvl w:val="9"/>
        <w:rPr>
          <w:rFonts w:hint="eastAsia" w:ascii="宋体" w:hAnsi="宋体" w:eastAsia="宋体" w:cs="Times New Roman"/>
          <w:sz w:val="24"/>
          <w:szCs w:val="24"/>
        </w:rPr>
      </w:pPr>
      <w:bookmarkStart w:id="517" w:name="_Toc267472978"/>
      <w:bookmarkStart w:id="518" w:name="_Toc285028878"/>
      <w:bookmarkStart w:id="519" w:name="_Toc263677408"/>
      <w:r>
        <w:rPr>
          <w:rFonts w:hint="eastAsia" w:ascii="宋体" w:hAnsi="宋体" w:eastAsia="宋体" w:cs="Times New Roman"/>
          <w:sz w:val="24"/>
          <w:szCs w:val="24"/>
        </w:rPr>
        <w:t>14.2 现场材料试验</w:t>
      </w:r>
      <w:bookmarkEnd w:id="517"/>
      <w:bookmarkEnd w:id="518"/>
      <w:bookmarkEnd w:id="51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14.2.1 承包人根据合同约定或监理人指示进行的现场材料试验，应由承包人提供试验场所、试验人员、试验设备器材以及其他必要的试验条件。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14.2.2 监理人在必要时可以使用承包人的试验场所、试验设备器材以及其他试验条件，进行以工程质量检查为目的的复核性材料试验，承包人应予以协助。</w:t>
      </w:r>
    </w:p>
    <w:p>
      <w:pPr>
        <w:spacing w:line="360" w:lineRule="auto"/>
        <w:ind w:firstLine="480" w:firstLineChars="200"/>
        <w:outlineLvl w:val="9"/>
        <w:rPr>
          <w:rFonts w:hint="eastAsia" w:ascii="宋体" w:hAnsi="宋体" w:eastAsia="宋体" w:cs="Times New Roman"/>
          <w:sz w:val="24"/>
          <w:szCs w:val="24"/>
        </w:rPr>
      </w:pPr>
      <w:bookmarkStart w:id="520" w:name="_Toc263677409"/>
      <w:bookmarkStart w:id="521" w:name="_Toc285028879"/>
      <w:bookmarkStart w:id="522" w:name="_Toc267472979"/>
      <w:r>
        <w:rPr>
          <w:rFonts w:hint="eastAsia" w:ascii="宋体" w:hAnsi="宋体" w:eastAsia="宋体" w:cs="Times New Roman"/>
          <w:sz w:val="24"/>
          <w:szCs w:val="24"/>
        </w:rPr>
        <w:t>14.3 现场工艺试验</w:t>
      </w:r>
      <w:bookmarkEnd w:id="520"/>
      <w:bookmarkEnd w:id="521"/>
      <w:bookmarkEnd w:id="52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承包人应按合同约定或监理人指示进行现场工艺试验。对大型的现场工艺试验，监理人认为必要时，应由承包人根据监理人提出的工艺试验要求，编制工艺试验措施计划，报送监理人审批。</w:t>
      </w:r>
    </w:p>
    <w:p>
      <w:pPr>
        <w:spacing w:line="360" w:lineRule="auto"/>
        <w:ind w:firstLine="480" w:firstLineChars="200"/>
        <w:outlineLvl w:val="9"/>
        <w:rPr>
          <w:rFonts w:hint="eastAsia" w:ascii="宋体" w:hAnsi="宋体" w:eastAsia="宋体" w:cs="Times New Roman"/>
          <w:sz w:val="24"/>
          <w:szCs w:val="24"/>
        </w:rPr>
      </w:pPr>
      <w:bookmarkStart w:id="523" w:name="_Toc430097431"/>
      <w:bookmarkStart w:id="524" w:name="_Toc267472980"/>
      <w:bookmarkStart w:id="525" w:name="_Toc263677410"/>
      <w:bookmarkStart w:id="526" w:name="_Toc307417458"/>
      <w:bookmarkStart w:id="527" w:name="_Toc307416161"/>
      <w:bookmarkStart w:id="528" w:name="_Toc307485225"/>
      <w:bookmarkStart w:id="529" w:name="_Toc285028880"/>
      <w:bookmarkStart w:id="530" w:name="_Toc6294"/>
      <w:bookmarkStart w:id="531" w:name="_Toc263370609"/>
      <w:bookmarkStart w:id="532" w:name="_Toc184635112"/>
      <w:r>
        <w:rPr>
          <w:rFonts w:hint="eastAsia" w:ascii="宋体" w:hAnsi="宋体" w:eastAsia="宋体" w:cs="Times New Roman"/>
          <w:sz w:val="24"/>
          <w:szCs w:val="24"/>
        </w:rPr>
        <w:t>15．变更</w:t>
      </w:r>
      <w:bookmarkEnd w:id="523"/>
      <w:bookmarkEnd w:id="524"/>
      <w:bookmarkEnd w:id="525"/>
      <w:bookmarkEnd w:id="526"/>
      <w:bookmarkEnd w:id="527"/>
      <w:bookmarkEnd w:id="528"/>
      <w:bookmarkEnd w:id="529"/>
      <w:bookmarkEnd w:id="530"/>
      <w:bookmarkEnd w:id="531"/>
      <w:bookmarkEnd w:id="532"/>
    </w:p>
    <w:p>
      <w:pPr>
        <w:spacing w:line="360" w:lineRule="auto"/>
        <w:ind w:firstLine="480" w:firstLineChars="200"/>
        <w:outlineLvl w:val="9"/>
        <w:rPr>
          <w:rFonts w:hint="eastAsia" w:ascii="宋体" w:hAnsi="宋体" w:eastAsia="宋体" w:cs="Times New Roman"/>
          <w:sz w:val="24"/>
          <w:szCs w:val="24"/>
        </w:rPr>
      </w:pPr>
      <w:bookmarkStart w:id="533" w:name="_Toc285028881"/>
      <w:bookmarkStart w:id="534" w:name="_Toc267472981"/>
      <w:bookmarkStart w:id="535" w:name="_Toc263677411"/>
      <w:r>
        <w:rPr>
          <w:rFonts w:hint="eastAsia" w:ascii="宋体" w:hAnsi="宋体" w:eastAsia="宋体" w:cs="Times New Roman"/>
          <w:sz w:val="24"/>
          <w:szCs w:val="24"/>
        </w:rPr>
        <w:t>15.1 变更的范围和内容</w:t>
      </w:r>
      <w:bookmarkEnd w:id="533"/>
      <w:bookmarkEnd w:id="534"/>
      <w:bookmarkEnd w:id="53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在履行合同中发生以下情形之一，应按照本款规定进行变更。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(1)取消合同中任何一项工作，但被取消的工作不能转由发包人或其它人实施；</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(2)改变合同中任何一项工作的质量或其它特性；</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(3)改变合同工程的基线、标高、位置或尺寸；</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(4)改变合同中任何一项工作的施工时间或改变已批准的施工工艺或顺序；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(5)为完成工程需要追加的额外工作；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(6)增加或减少专用合同条款中约定的关键项目工程量超过其工程总量的一定数量百分比。</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上述第(1)～(6)目的变更内容引起工程施工组织和进度计划发生实质性变动和影响其原定的价格时，才予调整该项目的单价。第(6)目情形下单价调整方式在专用合同条款中约定。</w:t>
      </w:r>
    </w:p>
    <w:p>
      <w:pPr>
        <w:spacing w:line="360" w:lineRule="auto"/>
        <w:ind w:firstLine="480" w:firstLineChars="200"/>
        <w:outlineLvl w:val="9"/>
        <w:rPr>
          <w:rFonts w:hint="eastAsia" w:ascii="宋体" w:hAnsi="宋体" w:eastAsia="宋体" w:cs="Times New Roman"/>
          <w:sz w:val="24"/>
          <w:szCs w:val="24"/>
        </w:rPr>
      </w:pPr>
      <w:bookmarkStart w:id="536" w:name="_Toc267472982"/>
      <w:bookmarkStart w:id="537" w:name="_Toc285028882"/>
      <w:bookmarkStart w:id="538" w:name="_Toc263677412"/>
      <w:r>
        <w:rPr>
          <w:rFonts w:hint="eastAsia" w:ascii="宋体" w:hAnsi="宋体" w:eastAsia="宋体" w:cs="Times New Roman"/>
          <w:sz w:val="24"/>
          <w:szCs w:val="24"/>
        </w:rPr>
        <w:t>15.2 变更权</w:t>
      </w:r>
      <w:bookmarkEnd w:id="536"/>
      <w:bookmarkEnd w:id="537"/>
      <w:bookmarkEnd w:id="53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在履行合同过程中，经发包人同意，监理人可按第15.3款约定的变更程序向承包人做出变更指示，承包人应遵照执行。没有监理人的变更指示，承包人不得擅自变更。</w:t>
      </w:r>
    </w:p>
    <w:p>
      <w:pPr>
        <w:spacing w:line="360" w:lineRule="auto"/>
        <w:ind w:firstLine="480" w:firstLineChars="200"/>
        <w:outlineLvl w:val="9"/>
        <w:rPr>
          <w:rFonts w:hint="eastAsia" w:ascii="宋体" w:hAnsi="宋体" w:eastAsia="宋体" w:cs="Times New Roman"/>
          <w:sz w:val="24"/>
          <w:szCs w:val="24"/>
        </w:rPr>
      </w:pPr>
      <w:bookmarkStart w:id="539" w:name="_Toc267472983"/>
      <w:bookmarkStart w:id="540" w:name="_Toc263677413"/>
      <w:bookmarkStart w:id="541" w:name="_Toc285028883"/>
      <w:r>
        <w:rPr>
          <w:rFonts w:hint="eastAsia" w:ascii="宋体" w:hAnsi="宋体" w:eastAsia="宋体" w:cs="Times New Roman"/>
          <w:sz w:val="24"/>
          <w:szCs w:val="24"/>
        </w:rPr>
        <w:t>15.3 变更程序</w:t>
      </w:r>
      <w:bookmarkEnd w:id="539"/>
      <w:bookmarkEnd w:id="540"/>
      <w:bookmarkEnd w:id="54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15.3.1变更的提出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(2）在合同履行过程中，发生第15.1 款约定情形的，监理人应按照第15.3.3项约定向承包人发出变更指示。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做出变更指示。经研究后不同意作为变更的，应由监理人书面答复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(4）若承包人收到监理人的变更意向书后认为难以实施此项变更，应立即通知监理人，说明原因并附详细依据。监理人与承包人和发包人协商后确定撤销、改变或不改变原变更意向书。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15.3.2 变更估价</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(2）变更工作影响工期的，承包人应提出调整工期的具体细节。监理人认为有必要时，可要求承包人提交要求提前或延长工期的施工进度计划及相应施工措施等详细资料。</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(3）除专用合同条款对期限另有约定外，监理人收到承包人变更报价书后的14天内，根据第15.4款约定的估价原则，按照第3.5款商定或确定变更价格。</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15.3.3 变更指示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(l）变更指示只能由监理人发出。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(2）变更指示应说明变更的目的、范围、变更内容以及变更的工程量及其进度和技术要求，并附有关图纸和文件。承包人收到变更指示后，应按变更指示进行变更工作。</w:t>
      </w:r>
    </w:p>
    <w:p>
      <w:pPr>
        <w:spacing w:line="360" w:lineRule="auto"/>
        <w:ind w:firstLine="480" w:firstLineChars="200"/>
        <w:outlineLvl w:val="9"/>
        <w:rPr>
          <w:rFonts w:hint="eastAsia" w:ascii="宋体" w:hAnsi="宋体" w:eastAsia="宋体" w:cs="Times New Roman"/>
          <w:sz w:val="24"/>
          <w:szCs w:val="24"/>
        </w:rPr>
      </w:pPr>
      <w:bookmarkStart w:id="542" w:name="_Toc263677414"/>
      <w:bookmarkStart w:id="543" w:name="_Toc267472984"/>
      <w:bookmarkStart w:id="544" w:name="_Toc285028884"/>
      <w:r>
        <w:rPr>
          <w:rFonts w:hint="eastAsia" w:ascii="宋体" w:hAnsi="宋体" w:eastAsia="宋体" w:cs="Times New Roman"/>
          <w:sz w:val="24"/>
          <w:szCs w:val="24"/>
        </w:rPr>
        <w:t>15.4 变更的估价原则</w:t>
      </w:r>
      <w:bookmarkEnd w:id="542"/>
      <w:bookmarkEnd w:id="543"/>
      <w:bookmarkEnd w:id="54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除专用合同条款另有约定外，因变更引起的价格调整按照本款约定处理。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15.4.1已标价工程量清单中有适用于变更工作的子目的，采用该子目的单价。</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15.4.2 已标价工程量清单中无适用于变更工作的子目，但有类似子目的，可在合理范围内参照类似子目的单价，由监理人按第3.5款商定或确定变更工作的单价。</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15.4.3 已标价工程量清单中无适用或类似子目的单价，可按照成本加利润的原则，由监理人按第3.5款商定或确定变更工作的单价。</w:t>
      </w:r>
    </w:p>
    <w:p>
      <w:pPr>
        <w:spacing w:line="360" w:lineRule="auto"/>
        <w:ind w:firstLine="480" w:firstLineChars="200"/>
        <w:outlineLvl w:val="9"/>
        <w:rPr>
          <w:rFonts w:hint="eastAsia" w:ascii="宋体" w:hAnsi="宋体" w:eastAsia="宋体" w:cs="Times New Roman"/>
          <w:sz w:val="24"/>
          <w:szCs w:val="24"/>
        </w:rPr>
      </w:pPr>
      <w:bookmarkStart w:id="545" w:name="_Toc285028885"/>
      <w:bookmarkStart w:id="546" w:name="_Toc263677415"/>
      <w:bookmarkStart w:id="547" w:name="_Toc267472985"/>
      <w:r>
        <w:rPr>
          <w:rFonts w:hint="eastAsia" w:ascii="宋体" w:hAnsi="宋体" w:eastAsia="宋体" w:cs="Times New Roman"/>
          <w:sz w:val="24"/>
          <w:szCs w:val="24"/>
        </w:rPr>
        <w:t>15.5 承包人的合理化建议</w:t>
      </w:r>
      <w:bookmarkEnd w:id="545"/>
      <w:bookmarkEnd w:id="546"/>
      <w:bookmarkEnd w:id="54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15.5.2 承包人提出的合理化建议降低了合同价格、缩短了工期或者提高了工程经济效益的，发包人可按国家有关规定在专用合同条款中约定给予奖励。</w:t>
      </w:r>
    </w:p>
    <w:p>
      <w:pPr>
        <w:spacing w:line="360" w:lineRule="auto"/>
        <w:ind w:firstLine="480" w:firstLineChars="200"/>
        <w:outlineLvl w:val="9"/>
        <w:rPr>
          <w:rFonts w:hint="eastAsia" w:ascii="宋体" w:hAnsi="宋体" w:eastAsia="宋体" w:cs="Times New Roman"/>
          <w:sz w:val="24"/>
          <w:szCs w:val="24"/>
        </w:rPr>
      </w:pPr>
      <w:bookmarkStart w:id="548" w:name="_Toc267472986"/>
      <w:bookmarkStart w:id="549" w:name="_Toc263677416"/>
      <w:bookmarkStart w:id="550" w:name="_Toc285028886"/>
      <w:r>
        <w:rPr>
          <w:rFonts w:hint="eastAsia" w:ascii="宋体" w:hAnsi="宋体" w:eastAsia="宋体" w:cs="Times New Roman"/>
          <w:sz w:val="24"/>
          <w:szCs w:val="24"/>
        </w:rPr>
        <w:t>15.6 暂列金额</w:t>
      </w:r>
      <w:bookmarkEnd w:id="548"/>
      <w:bookmarkEnd w:id="549"/>
      <w:bookmarkEnd w:id="55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暂列金额只能按照监理人的指示使用，并对合同价格进行相应调整。</w:t>
      </w:r>
    </w:p>
    <w:p>
      <w:pPr>
        <w:spacing w:line="360" w:lineRule="auto"/>
        <w:ind w:firstLine="480" w:firstLineChars="200"/>
        <w:outlineLvl w:val="9"/>
        <w:rPr>
          <w:rFonts w:hint="eastAsia" w:ascii="宋体" w:hAnsi="宋体" w:eastAsia="宋体" w:cs="Times New Roman"/>
          <w:sz w:val="24"/>
          <w:szCs w:val="24"/>
        </w:rPr>
      </w:pPr>
      <w:bookmarkStart w:id="551" w:name="_Toc263677417"/>
      <w:bookmarkStart w:id="552" w:name="_Toc267472987"/>
      <w:bookmarkStart w:id="553" w:name="_Toc285028887"/>
      <w:r>
        <w:rPr>
          <w:rFonts w:hint="eastAsia" w:ascii="宋体" w:hAnsi="宋体" w:eastAsia="宋体" w:cs="Times New Roman"/>
          <w:sz w:val="24"/>
          <w:szCs w:val="24"/>
        </w:rPr>
        <w:t>15.7 计日工</w:t>
      </w:r>
      <w:bookmarkEnd w:id="551"/>
      <w:bookmarkEnd w:id="552"/>
      <w:bookmarkEnd w:id="55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15.7.1 发包人认为有必要时，由监理人通知承包人以计日工方式实施变更的零星工作。其价款按列入已标价工程量清单中的计日工计价子目及其单价进行计算。</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15.7.2 采用计日工计价的任何一项变更工作，应从暂列金额中支付，承包人应在该项变更的实施过程中，每天提交以下报表和有关凭证报送监理人审批：</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(l）工作名称、内容和数量；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(2）投入该工作所有人员的姓名、工种、级别和耗用工时；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(3）投入该工作的材料类别和数量；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(4）投入该工作的施工设备型号、台数和耗用台时；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(5）监理人要求提交的其他资料和凭证。</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15.7.3 计日工由承包人汇总后，按第17.3 .2项的约定列入进度付款申请单，由监理人复核并经发包人同意后列入进度付款。</w:t>
      </w:r>
    </w:p>
    <w:p>
      <w:pPr>
        <w:spacing w:line="360" w:lineRule="auto"/>
        <w:ind w:firstLine="480" w:firstLineChars="200"/>
        <w:outlineLvl w:val="9"/>
        <w:rPr>
          <w:rFonts w:hint="eastAsia" w:ascii="宋体" w:hAnsi="宋体" w:eastAsia="宋体" w:cs="Times New Roman"/>
          <w:sz w:val="24"/>
          <w:szCs w:val="24"/>
        </w:rPr>
      </w:pPr>
      <w:bookmarkStart w:id="554" w:name="_Toc263677418"/>
      <w:bookmarkStart w:id="555" w:name="_Toc285028888"/>
      <w:bookmarkStart w:id="556" w:name="_Toc267472988"/>
      <w:r>
        <w:rPr>
          <w:rFonts w:hint="eastAsia" w:ascii="宋体" w:hAnsi="宋体" w:eastAsia="宋体" w:cs="Times New Roman"/>
          <w:sz w:val="24"/>
          <w:szCs w:val="24"/>
        </w:rPr>
        <w:t>15.8 暂估价</w:t>
      </w:r>
      <w:bookmarkEnd w:id="554"/>
      <w:bookmarkEnd w:id="555"/>
      <w:bookmarkEnd w:id="55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pacing w:line="360" w:lineRule="auto"/>
        <w:ind w:firstLine="480" w:firstLineChars="200"/>
        <w:outlineLvl w:val="9"/>
        <w:rPr>
          <w:rFonts w:hint="eastAsia" w:ascii="宋体" w:hAnsi="宋体" w:eastAsia="宋体" w:cs="Times New Roman"/>
          <w:sz w:val="24"/>
          <w:szCs w:val="24"/>
        </w:rPr>
      </w:pPr>
      <w:bookmarkStart w:id="557" w:name="_Toc430097432"/>
      <w:bookmarkStart w:id="558" w:name="_Toc263677419"/>
      <w:bookmarkStart w:id="559" w:name="_Toc285028889"/>
      <w:bookmarkStart w:id="560" w:name="_Toc307485226"/>
      <w:bookmarkStart w:id="561" w:name="_Toc307417459"/>
      <w:bookmarkStart w:id="562" w:name="_Toc307416162"/>
      <w:bookmarkStart w:id="563" w:name="_Toc184635113"/>
      <w:bookmarkStart w:id="564" w:name="_Toc263370610"/>
      <w:bookmarkStart w:id="565" w:name="_Toc26031"/>
      <w:bookmarkStart w:id="566" w:name="_Toc267472989"/>
      <w:r>
        <w:rPr>
          <w:rFonts w:hint="eastAsia" w:ascii="宋体" w:hAnsi="宋体" w:eastAsia="宋体" w:cs="Times New Roman"/>
          <w:sz w:val="24"/>
          <w:szCs w:val="24"/>
        </w:rPr>
        <w:t>16．价格调整</w:t>
      </w:r>
      <w:bookmarkEnd w:id="557"/>
      <w:bookmarkEnd w:id="558"/>
      <w:bookmarkEnd w:id="559"/>
      <w:bookmarkEnd w:id="560"/>
      <w:bookmarkEnd w:id="561"/>
      <w:bookmarkEnd w:id="562"/>
      <w:bookmarkEnd w:id="563"/>
      <w:bookmarkEnd w:id="564"/>
      <w:bookmarkEnd w:id="565"/>
      <w:bookmarkEnd w:id="566"/>
    </w:p>
    <w:p>
      <w:pPr>
        <w:spacing w:line="360" w:lineRule="auto"/>
        <w:ind w:firstLine="480" w:firstLineChars="200"/>
        <w:outlineLvl w:val="9"/>
        <w:rPr>
          <w:rFonts w:hint="eastAsia" w:ascii="宋体" w:hAnsi="宋体" w:eastAsia="宋体" w:cs="Times New Roman"/>
          <w:sz w:val="24"/>
          <w:szCs w:val="24"/>
        </w:rPr>
      </w:pPr>
      <w:bookmarkStart w:id="567" w:name="_Toc285028890"/>
      <w:bookmarkStart w:id="568" w:name="_Toc267472990"/>
      <w:bookmarkStart w:id="569" w:name="_Toc263677420"/>
      <w:r>
        <w:rPr>
          <w:rFonts w:hint="eastAsia" w:ascii="宋体" w:hAnsi="宋体" w:eastAsia="宋体" w:cs="Times New Roman"/>
          <w:sz w:val="24"/>
          <w:szCs w:val="24"/>
        </w:rPr>
        <w:t>16.1 物价波动引起的价格调整</w:t>
      </w:r>
      <w:bookmarkEnd w:id="567"/>
      <w:bookmarkEnd w:id="568"/>
      <w:bookmarkEnd w:id="56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由于物价波动原因引起合同价格需要调整的，其价格调整方式在专用合同条款中约定。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16.1.1 采用价格指数调整价格差额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16.1.1.1 价格调整公式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因人工、材料和设备等价格波动影响合同价格时，根据投标函附录中的价格指数和权重表约定的数据，按以下公式计算差额并调整合同价格。</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object>
          <v:shape id="_x0000_i1025" o:spt="75" type="#_x0000_t75" style="height:39.35pt;width:309.6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式中：△P —需调整的价格差额；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P</w:t>
      </w:r>
      <w:r>
        <w:rPr>
          <w:rFonts w:hint="eastAsia" w:ascii="宋体" w:hAnsi="宋体" w:eastAsia="宋体" w:cs="Times New Roman"/>
          <w:sz w:val="24"/>
          <w:szCs w:val="24"/>
          <w:vertAlign w:val="subscript"/>
        </w:rPr>
        <w:t>O</w:t>
      </w:r>
      <w:r>
        <w:rPr>
          <w:rFonts w:hint="eastAsia" w:ascii="宋体" w:hAnsi="宋体" w:eastAsia="宋体" w:cs="Times New Roman"/>
          <w:sz w:val="24"/>
          <w:szCs w:val="24"/>
        </w:rPr>
        <w:t xml:space="preserve">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 xml:space="preserve">A —定值权重（即不调部分的权重）； </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1</w:t>
      </w:r>
      <w:r>
        <w:rPr>
          <w:rFonts w:hint="eastAsia" w:ascii="宋体" w:hAnsi="宋体" w:eastAsia="宋体" w:cs="Times New Roman"/>
          <w:sz w:val="24"/>
          <w:szCs w:val="24"/>
        </w:rPr>
        <w:t>；B</w:t>
      </w:r>
      <w:r>
        <w:rPr>
          <w:rFonts w:hint="eastAsia" w:ascii="宋体" w:hAnsi="宋体" w:eastAsia="宋体" w:cs="Times New Roman"/>
          <w:sz w:val="24"/>
          <w:szCs w:val="24"/>
          <w:vertAlign w:val="subscript"/>
        </w:rPr>
        <w:t>2</w:t>
      </w:r>
      <w:r>
        <w:rPr>
          <w:rFonts w:hint="eastAsia" w:ascii="宋体" w:hAnsi="宋体" w:eastAsia="宋体" w:cs="Times New Roman"/>
          <w:sz w:val="24"/>
          <w:szCs w:val="24"/>
        </w:rPr>
        <w:t>；B</w:t>
      </w:r>
      <w:r>
        <w:rPr>
          <w:rFonts w:hint="eastAsia" w:ascii="宋体" w:hAnsi="宋体" w:eastAsia="宋体" w:cs="Times New Roman"/>
          <w:sz w:val="24"/>
          <w:szCs w:val="24"/>
          <w:vertAlign w:val="subscript"/>
        </w:rPr>
        <w:t>3</w:t>
      </w:r>
      <w:r>
        <w:rPr>
          <w:rFonts w:hint="eastAsia" w:ascii="宋体" w:hAnsi="宋体" w:eastAsia="宋体" w:cs="Times New Roman"/>
          <w:sz w:val="24"/>
          <w:szCs w:val="24"/>
        </w:rPr>
        <w:t>；……B</w:t>
      </w:r>
      <w:r>
        <w:rPr>
          <w:rFonts w:hint="eastAsia" w:ascii="宋体" w:hAnsi="宋体" w:eastAsia="宋体" w:cs="Times New Roman"/>
          <w:sz w:val="24"/>
          <w:szCs w:val="24"/>
          <w:vertAlign w:val="subscript"/>
        </w:rPr>
        <w:t>n</w:t>
      </w:r>
      <w:r>
        <w:rPr>
          <w:rFonts w:hint="eastAsia" w:ascii="宋体" w:hAnsi="宋体" w:eastAsia="宋体" w:cs="Times New Roman"/>
          <w:sz w:val="24"/>
          <w:szCs w:val="24"/>
        </w:rPr>
        <w:t>—各可调因子的变值权重（即可调部分的权重）为各可调因子在投标函投标总报价中所占的比例；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F</w:t>
      </w:r>
      <w:r>
        <w:rPr>
          <w:rFonts w:hint="eastAsia" w:ascii="宋体" w:hAnsi="宋体" w:eastAsia="宋体" w:cs="Times New Roman"/>
          <w:sz w:val="24"/>
          <w:szCs w:val="24"/>
          <w:vertAlign w:val="subscript"/>
        </w:rPr>
        <w:t>t1</w:t>
      </w:r>
      <w:r>
        <w:rPr>
          <w:rFonts w:hint="eastAsia" w:ascii="宋体" w:hAnsi="宋体" w:eastAsia="宋体" w:cs="Times New Roman"/>
          <w:sz w:val="24"/>
          <w:szCs w:val="24"/>
        </w:rPr>
        <w:t>；F</w:t>
      </w:r>
      <w:r>
        <w:rPr>
          <w:rFonts w:hint="eastAsia" w:ascii="宋体" w:hAnsi="宋体" w:eastAsia="宋体" w:cs="Times New Roman"/>
          <w:sz w:val="24"/>
          <w:szCs w:val="24"/>
          <w:vertAlign w:val="subscript"/>
        </w:rPr>
        <w:t>t2</w:t>
      </w:r>
      <w:r>
        <w:rPr>
          <w:rFonts w:hint="eastAsia" w:ascii="宋体" w:hAnsi="宋体" w:eastAsia="宋体" w:cs="Times New Roman"/>
          <w:sz w:val="24"/>
          <w:szCs w:val="24"/>
        </w:rPr>
        <w:t>；F</w:t>
      </w:r>
      <w:r>
        <w:rPr>
          <w:rFonts w:hint="eastAsia" w:ascii="宋体" w:hAnsi="宋体" w:eastAsia="宋体" w:cs="Times New Roman"/>
          <w:sz w:val="24"/>
          <w:szCs w:val="24"/>
          <w:vertAlign w:val="subscript"/>
        </w:rPr>
        <w:t>t3</w:t>
      </w:r>
      <w:r>
        <w:rPr>
          <w:rFonts w:hint="eastAsia" w:ascii="宋体" w:hAnsi="宋体" w:eastAsia="宋体" w:cs="Times New Roman"/>
          <w:sz w:val="24"/>
          <w:szCs w:val="24"/>
        </w:rPr>
        <w:t>；……F</w:t>
      </w:r>
      <w:r>
        <w:rPr>
          <w:rFonts w:hint="eastAsia" w:ascii="宋体" w:hAnsi="宋体" w:eastAsia="宋体" w:cs="Times New Roman"/>
          <w:sz w:val="24"/>
          <w:szCs w:val="24"/>
          <w:vertAlign w:val="subscript"/>
        </w:rPr>
        <w:t>tn</w:t>
      </w:r>
      <w:r>
        <w:rPr>
          <w:rFonts w:hint="eastAsia" w:ascii="宋体" w:hAnsi="宋体" w:eastAsia="宋体" w:cs="Times New Roman"/>
          <w:sz w:val="24"/>
          <w:szCs w:val="24"/>
        </w:rPr>
        <w:t>—各可调因子的现行价格指数，指第17.3.3项、第17.5.2项和第17.6.2项约定的付款证书相关周期最后一天的前42天的各可调因子的价格指数；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F</w:t>
      </w:r>
      <w:r>
        <w:rPr>
          <w:rFonts w:hint="eastAsia" w:ascii="宋体" w:hAnsi="宋体" w:eastAsia="宋体" w:cs="Times New Roman"/>
          <w:sz w:val="24"/>
          <w:szCs w:val="24"/>
          <w:vertAlign w:val="subscript"/>
        </w:rPr>
        <w:t>01</w:t>
      </w:r>
      <w:r>
        <w:rPr>
          <w:rFonts w:hint="eastAsia" w:ascii="宋体" w:hAnsi="宋体" w:eastAsia="宋体" w:cs="Times New Roman"/>
          <w:sz w:val="24"/>
          <w:szCs w:val="24"/>
        </w:rPr>
        <w:t>；F</w:t>
      </w:r>
      <w:r>
        <w:rPr>
          <w:rFonts w:hint="eastAsia" w:ascii="宋体" w:hAnsi="宋体" w:eastAsia="宋体" w:cs="Times New Roman"/>
          <w:sz w:val="24"/>
          <w:szCs w:val="24"/>
          <w:vertAlign w:val="subscript"/>
        </w:rPr>
        <w:t>02</w:t>
      </w:r>
      <w:r>
        <w:rPr>
          <w:rFonts w:hint="eastAsia" w:ascii="宋体" w:hAnsi="宋体" w:eastAsia="宋体" w:cs="Times New Roman"/>
          <w:sz w:val="24"/>
          <w:szCs w:val="24"/>
        </w:rPr>
        <w:t>；F</w:t>
      </w:r>
      <w:r>
        <w:rPr>
          <w:rFonts w:hint="eastAsia" w:ascii="宋体" w:hAnsi="宋体" w:eastAsia="宋体" w:cs="Times New Roman"/>
          <w:sz w:val="24"/>
          <w:szCs w:val="24"/>
          <w:vertAlign w:val="subscript"/>
        </w:rPr>
        <w:t>03</w:t>
      </w:r>
      <w:r>
        <w:rPr>
          <w:rFonts w:hint="eastAsia" w:ascii="宋体" w:hAnsi="宋体" w:eastAsia="宋体" w:cs="Times New Roman"/>
          <w:sz w:val="24"/>
          <w:szCs w:val="24"/>
        </w:rPr>
        <w:t>；……F</w:t>
      </w:r>
      <w:r>
        <w:rPr>
          <w:rFonts w:hint="eastAsia" w:ascii="宋体" w:hAnsi="宋体" w:eastAsia="宋体" w:cs="Times New Roman"/>
          <w:sz w:val="24"/>
          <w:szCs w:val="24"/>
          <w:vertAlign w:val="subscript"/>
        </w:rPr>
        <w:t>0n</w:t>
      </w:r>
      <w:r>
        <w:rPr>
          <w:rFonts w:hint="eastAsia" w:ascii="宋体" w:hAnsi="宋体" w:eastAsia="宋体" w:cs="Times New Roman"/>
          <w:sz w:val="24"/>
          <w:szCs w:val="24"/>
        </w:rPr>
        <w:t>—各可调因子的基本价格指数，指基准日期的各可调因子的价格指数。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16.1.1.2 暂时确定调整差额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在计算调整差额时得不到现行价格指数的，可暂用上一次价格指数计算，并在以后的付款中再按实际价格指数进行调整。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16.1.1.3 权重的调整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按第15.1 款约定的变更导致原定合同中的权重不合理时，由监理人与承包人和发包人协商后进行调整。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16.1.1.4 承包人工期延误后的价格调整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16.1.2 采用造价信息调整价格差额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工程造价信息的来源以及价格调整的项目和系数在专用合同条款中约定。</w:t>
      </w:r>
    </w:p>
    <w:p>
      <w:pPr>
        <w:spacing w:line="360" w:lineRule="auto"/>
        <w:ind w:firstLine="480" w:firstLineChars="200"/>
        <w:outlineLvl w:val="9"/>
        <w:rPr>
          <w:rFonts w:hint="eastAsia" w:ascii="宋体" w:hAnsi="宋体" w:eastAsia="宋体" w:cs="Times New Roman"/>
          <w:sz w:val="24"/>
          <w:szCs w:val="24"/>
        </w:rPr>
      </w:pPr>
      <w:bookmarkStart w:id="570" w:name="_Toc267472991"/>
      <w:bookmarkStart w:id="571" w:name="_Toc285028891"/>
      <w:bookmarkStart w:id="572" w:name="_Toc263677421"/>
      <w:r>
        <w:rPr>
          <w:rFonts w:hint="eastAsia" w:ascii="宋体" w:hAnsi="宋体" w:eastAsia="宋体" w:cs="Times New Roman"/>
          <w:sz w:val="24"/>
          <w:szCs w:val="24"/>
        </w:rPr>
        <w:t>16.2 法律变化引起的价格调整</w:t>
      </w:r>
      <w:bookmarkEnd w:id="570"/>
      <w:bookmarkEnd w:id="571"/>
      <w:bookmarkEnd w:id="57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pacing w:line="360" w:lineRule="auto"/>
        <w:ind w:firstLine="480" w:firstLineChars="200"/>
        <w:outlineLvl w:val="9"/>
        <w:rPr>
          <w:rFonts w:hint="eastAsia" w:ascii="宋体" w:hAnsi="宋体" w:eastAsia="宋体" w:cs="Times New Roman"/>
          <w:sz w:val="24"/>
          <w:szCs w:val="24"/>
        </w:rPr>
      </w:pPr>
      <w:bookmarkStart w:id="573" w:name="_Toc267472992"/>
      <w:bookmarkStart w:id="574" w:name="_Toc307416163"/>
      <w:bookmarkStart w:id="575" w:name="_Toc430097433"/>
      <w:bookmarkStart w:id="576" w:name="_Toc307485227"/>
      <w:bookmarkStart w:id="577" w:name="_Toc263677422"/>
      <w:bookmarkStart w:id="578" w:name="_Toc307417460"/>
      <w:bookmarkStart w:id="579" w:name="_Toc184635114"/>
      <w:bookmarkStart w:id="580" w:name="_Toc20755"/>
      <w:bookmarkStart w:id="581" w:name="_Toc285028892"/>
      <w:bookmarkStart w:id="582" w:name="_Toc263370611"/>
      <w:r>
        <w:rPr>
          <w:rFonts w:hint="eastAsia" w:ascii="宋体" w:hAnsi="宋体" w:eastAsia="宋体" w:cs="Times New Roman"/>
          <w:sz w:val="24"/>
          <w:szCs w:val="24"/>
        </w:rPr>
        <w:t>17．计量与支付</w:t>
      </w:r>
      <w:bookmarkEnd w:id="573"/>
      <w:bookmarkEnd w:id="574"/>
      <w:bookmarkEnd w:id="575"/>
      <w:bookmarkEnd w:id="576"/>
      <w:bookmarkEnd w:id="577"/>
      <w:bookmarkEnd w:id="578"/>
      <w:bookmarkEnd w:id="579"/>
      <w:bookmarkEnd w:id="580"/>
      <w:bookmarkEnd w:id="581"/>
      <w:bookmarkEnd w:id="582"/>
    </w:p>
    <w:p>
      <w:pPr>
        <w:spacing w:line="360" w:lineRule="auto"/>
        <w:ind w:firstLine="480" w:firstLineChars="200"/>
        <w:outlineLvl w:val="9"/>
        <w:rPr>
          <w:rFonts w:hint="eastAsia" w:ascii="宋体" w:hAnsi="宋体" w:eastAsia="宋体" w:cs="Times New Roman"/>
          <w:sz w:val="24"/>
          <w:szCs w:val="24"/>
        </w:rPr>
      </w:pPr>
      <w:bookmarkStart w:id="583" w:name="_Toc263677423"/>
      <w:bookmarkStart w:id="584" w:name="_Toc267472993"/>
      <w:bookmarkStart w:id="585" w:name="_Toc285028893"/>
      <w:r>
        <w:rPr>
          <w:rFonts w:hint="eastAsia" w:ascii="宋体" w:hAnsi="宋体" w:eastAsia="宋体" w:cs="Times New Roman"/>
          <w:sz w:val="24"/>
          <w:szCs w:val="24"/>
        </w:rPr>
        <w:t>17.1 计量</w:t>
      </w:r>
      <w:bookmarkEnd w:id="583"/>
      <w:bookmarkEnd w:id="584"/>
      <w:bookmarkEnd w:id="585"/>
    </w:p>
    <w:p>
      <w:pPr>
        <w:spacing w:line="360" w:lineRule="auto"/>
        <w:ind w:firstLine="480" w:firstLineChars="200"/>
        <w:outlineLvl w:val="9"/>
        <w:rPr>
          <w:rFonts w:hint="eastAsia" w:ascii="宋体" w:hAnsi="宋体" w:eastAsia="宋体" w:cs="Times New Roman"/>
          <w:sz w:val="24"/>
          <w:szCs w:val="24"/>
        </w:rPr>
      </w:pPr>
      <w:bookmarkStart w:id="586" w:name="_Toc267472994"/>
      <w:bookmarkStart w:id="587" w:name="_Toc275528137"/>
      <w:bookmarkStart w:id="588" w:name="_Toc267470998"/>
      <w:r>
        <w:rPr>
          <w:rFonts w:hint="eastAsia" w:ascii="宋体" w:hAnsi="宋体" w:eastAsia="宋体" w:cs="Times New Roman"/>
          <w:sz w:val="24"/>
          <w:szCs w:val="24"/>
        </w:rPr>
        <w:t>17.1.1 计量单位</w:t>
      </w:r>
      <w:bookmarkEnd w:id="586"/>
      <w:bookmarkEnd w:id="587"/>
      <w:bookmarkEnd w:id="58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计量采用国家法定的计量单位。</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17.1.2 计量方法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结算工程量应按工程量清单中约定的方法计量。</w:t>
      </w:r>
    </w:p>
    <w:p>
      <w:pPr>
        <w:spacing w:line="360" w:lineRule="auto"/>
        <w:ind w:firstLine="480" w:firstLineChars="200"/>
        <w:outlineLvl w:val="9"/>
        <w:rPr>
          <w:rFonts w:hint="eastAsia" w:ascii="宋体" w:hAnsi="宋体" w:eastAsia="宋体" w:cs="Times New Roman"/>
          <w:sz w:val="24"/>
          <w:szCs w:val="24"/>
        </w:rPr>
      </w:pPr>
      <w:bookmarkStart w:id="589" w:name="_Toc275528138"/>
      <w:bookmarkStart w:id="590" w:name="_Toc267470999"/>
      <w:bookmarkStart w:id="591" w:name="_Toc267472995"/>
      <w:r>
        <w:rPr>
          <w:rFonts w:hint="eastAsia" w:ascii="宋体" w:hAnsi="宋体" w:eastAsia="宋体" w:cs="Times New Roman"/>
          <w:sz w:val="24"/>
          <w:szCs w:val="24"/>
        </w:rPr>
        <w:t>17.1.3 计量周期</w:t>
      </w:r>
      <w:bookmarkEnd w:id="589"/>
      <w:bookmarkEnd w:id="590"/>
      <w:bookmarkEnd w:id="59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除专用合同条款另有约定外，单价子目已完成工程量按月计量，总价子目的计量周期按批准的支付分解报告确定。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17.1.4 单价子目的计量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(l）已标价工程量清单中的单价子目工程量为估算工程量。结算工程量是承包人实际完成的，并按合同约定的计量方法进行计量的工程量。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(2）承包人对已完成的工程进行计量，向监理人提交进度付款申请单、已完成工程量报表和有关计量资料。</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(4）监理人认为有必要时，可通知承包人共同进行联合测量、计量，承包人应遵照执行。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(6）监理人应在收到承包人提交的工程量报表后的7天内进行复核，监理人未在约定时间内复核的，承包人提交的工程量报表中的工程量视为承包人实际完成的工程量，据此计算工程价款。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17.1.5 总价子目的计量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除专用合同条款另有约定外，总价子目的分解和计量按照下述约定进行。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(1)总价子目的计量和支付应以总价为基础，不因第16.1款中的因素而进行调整。承包人实际完成的工程量，是进行工程目标管理和控制进度支付的依据。</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人进度付款申请单中。</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(3)监理人对承包人提交的上述资料进行复核，以确定分阶段实际完成的工程量和工程形象目标。对其有异议的，可要求承包人按第8.2款约定进行共同复核和抽样复测。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(4)除按照第15条约定的变更外，总价子目的工程量是承包人用于结算的最终工程量。</w:t>
      </w:r>
    </w:p>
    <w:p>
      <w:pPr>
        <w:spacing w:line="360" w:lineRule="auto"/>
        <w:ind w:firstLine="480" w:firstLineChars="200"/>
        <w:outlineLvl w:val="9"/>
        <w:rPr>
          <w:rFonts w:hint="eastAsia" w:ascii="宋体" w:hAnsi="宋体" w:eastAsia="宋体" w:cs="Times New Roman"/>
          <w:sz w:val="24"/>
          <w:szCs w:val="24"/>
        </w:rPr>
      </w:pPr>
      <w:bookmarkStart w:id="592" w:name="_Toc263677424"/>
      <w:bookmarkStart w:id="593" w:name="_Toc285028894"/>
      <w:bookmarkStart w:id="594" w:name="_Toc267472996"/>
      <w:r>
        <w:rPr>
          <w:rFonts w:hint="eastAsia" w:ascii="宋体" w:hAnsi="宋体" w:eastAsia="宋体" w:cs="Times New Roman"/>
          <w:sz w:val="24"/>
          <w:szCs w:val="24"/>
        </w:rPr>
        <w:t>17.2 预付款</w:t>
      </w:r>
      <w:bookmarkEnd w:id="592"/>
      <w:bookmarkEnd w:id="593"/>
      <w:bookmarkEnd w:id="59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17.2.1 预付款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360" w:lineRule="auto"/>
        <w:ind w:firstLine="480" w:firstLineChars="200"/>
        <w:outlineLvl w:val="9"/>
        <w:rPr>
          <w:rFonts w:hint="eastAsia" w:ascii="宋体" w:hAnsi="宋体" w:eastAsia="宋体" w:cs="Times New Roman"/>
          <w:sz w:val="24"/>
          <w:szCs w:val="24"/>
        </w:rPr>
      </w:pPr>
      <w:bookmarkStart w:id="595" w:name="_Toc267471001"/>
      <w:bookmarkStart w:id="596" w:name="_Toc267472997"/>
      <w:bookmarkStart w:id="597" w:name="_Toc275528140"/>
      <w:r>
        <w:rPr>
          <w:rFonts w:hint="eastAsia" w:ascii="宋体" w:hAnsi="宋体" w:eastAsia="宋体" w:cs="Times New Roman"/>
          <w:sz w:val="24"/>
          <w:szCs w:val="24"/>
        </w:rPr>
        <w:t>17.2.2 预付款保函</w:t>
      </w:r>
      <w:bookmarkEnd w:id="595"/>
      <w:bookmarkEnd w:id="596"/>
      <w:bookmarkEnd w:id="59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(1)承包人应在收到第一次工程预付款的同时向发包人提交工程预付款担保，担保金额应与第一次工程预付款金额相同，工程预付款担保在第一次工程预付款被发包人扣回前一直有效。</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(2)工程材料预付款的担保在专用合同条款中约定。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(3)预付款担保的担保金额可根据预付款扣回的金额相应递减。</w:t>
      </w:r>
    </w:p>
    <w:p>
      <w:pPr>
        <w:spacing w:line="360" w:lineRule="auto"/>
        <w:ind w:firstLine="480" w:firstLineChars="200"/>
        <w:outlineLvl w:val="9"/>
        <w:rPr>
          <w:rFonts w:hint="eastAsia" w:ascii="宋体" w:hAnsi="宋体" w:eastAsia="宋体" w:cs="Times New Roman"/>
          <w:sz w:val="24"/>
          <w:szCs w:val="24"/>
        </w:rPr>
      </w:pPr>
      <w:bookmarkStart w:id="598" w:name="_Toc267472998"/>
      <w:bookmarkStart w:id="599" w:name="_Toc275528141"/>
      <w:bookmarkStart w:id="600" w:name="_Toc267471002"/>
      <w:r>
        <w:rPr>
          <w:rFonts w:hint="eastAsia" w:ascii="宋体" w:hAnsi="宋体" w:eastAsia="宋体" w:cs="Times New Roman"/>
          <w:sz w:val="24"/>
          <w:szCs w:val="24"/>
        </w:rPr>
        <w:t>17.2.3 预付款的扣回与还清</w:t>
      </w:r>
      <w:bookmarkEnd w:id="598"/>
      <w:bookmarkEnd w:id="599"/>
      <w:bookmarkEnd w:id="60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spacing w:line="360" w:lineRule="auto"/>
        <w:ind w:firstLine="480" w:firstLineChars="200"/>
        <w:outlineLvl w:val="9"/>
        <w:rPr>
          <w:rFonts w:hint="eastAsia" w:ascii="宋体" w:hAnsi="宋体" w:eastAsia="宋体" w:cs="Times New Roman"/>
          <w:sz w:val="24"/>
          <w:szCs w:val="24"/>
        </w:rPr>
      </w:pPr>
      <w:bookmarkStart w:id="601" w:name="_Toc267472999"/>
      <w:bookmarkStart w:id="602" w:name="_Toc285028895"/>
      <w:bookmarkStart w:id="603" w:name="_Toc263677425"/>
      <w:r>
        <w:rPr>
          <w:rFonts w:hint="eastAsia" w:ascii="宋体" w:hAnsi="宋体" w:eastAsia="宋体" w:cs="Times New Roman"/>
          <w:sz w:val="24"/>
          <w:szCs w:val="24"/>
        </w:rPr>
        <w:t>17.3 工程进度付款</w:t>
      </w:r>
      <w:bookmarkEnd w:id="601"/>
      <w:bookmarkEnd w:id="602"/>
      <w:bookmarkEnd w:id="603"/>
    </w:p>
    <w:p>
      <w:pPr>
        <w:spacing w:line="360" w:lineRule="auto"/>
        <w:ind w:firstLine="480" w:firstLineChars="200"/>
        <w:outlineLvl w:val="9"/>
        <w:rPr>
          <w:rFonts w:hint="eastAsia" w:ascii="宋体" w:hAnsi="宋体" w:eastAsia="宋体" w:cs="Times New Roman"/>
          <w:sz w:val="24"/>
          <w:szCs w:val="24"/>
        </w:rPr>
      </w:pPr>
      <w:bookmarkStart w:id="604" w:name="_Toc275528143"/>
      <w:bookmarkStart w:id="605" w:name="_Toc267471004"/>
      <w:bookmarkStart w:id="606" w:name="_Toc267473000"/>
      <w:r>
        <w:rPr>
          <w:rFonts w:hint="eastAsia" w:ascii="宋体" w:hAnsi="宋体" w:eastAsia="宋体" w:cs="Times New Roman"/>
          <w:sz w:val="24"/>
          <w:szCs w:val="24"/>
        </w:rPr>
        <w:t>17.3.1 付款周期</w:t>
      </w:r>
      <w:bookmarkEnd w:id="604"/>
      <w:bookmarkEnd w:id="605"/>
      <w:bookmarkEnd w:id="6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付款周期同计量周期。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17.3.2 进度付款申请单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(l）截至本次付款周期末已实施工程的价款；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(2）根据第15条应增加和扣减的变更金额；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(3）根据第23条应增加和扣减的索赔金额；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(4）根据第17.2款约定应支付的预付款和扣减的返还预付款；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(5）根据第17.4.1项约定应扣减的质量保证金；</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(6）根据合同应增加和扣减的其他金额。</w:t>
      </w:r>
    </w:p>
    <w:p>
      <w:pPr>
        <w:spacing w:line="360" w:lineRule="auto"/>
        <w:ind w:firstLine="480" w:firstLineChars="200"/>
        <w:outlineLvl w:val="9"/>
        <w:rPr>
          <w:rFonts w:hint="eastAsia" w:ascii="宋体" w:hAnsi="宋体" w:eastAsia="宋体" w:cs="Times New Roman"/>
          <w:sz w:val="24"/>
          <w:szCs w:val="24"/>
        </w:rPr>
      </w:pPr>
      <w:bookmarkStart w:id="607" w:name="_Toc267471005"/>
      <w:bookmarkStart w:id="608" w:name="_Toc267473001"/>
      <w:bookmarkStart w:id="609" w:name="_Toc275528144"/>
      <w:r>
        <w:rPr>
          <w:rFonts w:hint="eastAsia" w:ascii="宋体" w:hAnsi="宋体" w:eastAsia="宋体" w:cs="Times New Roman"/>
          <w:sz w:val="24"/>
          <w:szCs w:val="24"/>
        </w:rPr>
        <w:t>17.3.3 进度付款证书和支付时间</w:t>
      </w:r>
      <w:bookmarkEnd w:id="607"/>
      <w:bookmarkEnd w:id="608"/>
      <w:bookmarkEnd w:id="60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(2）发包人应在监理人收到进度付款中请单后的28天内，将进度应付款支付给承包人。发包人不按期支付的，按专用合同条款的约定支付逾期付款违约金。</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(3）监理人出具进度付款证书，不应视为监理人已同意、批准或接受了承包人完成的该部分工作。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(4）进度付款涉及政府投资资金的，按照国库集中支付等国家相关规定和专用合同条款的约定办理。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17.3.4 工程进度付款的修正</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在对以往历次已签发的进度付款证书进行汇总和复核中发现错、漏或重复的，监理人有权予以修正，承包人也有权提出修正申请。经双方复核同意的修正，应在本次进度付款中支付或扣除。</w:t>
      </w:r>
    </w:p>
    <w:p>
      <w:pPr>
        <w:spacing w:line="360" w:lineRule="auto"/>
        <w:ind w:firstLine="480" w:firstLineChars="200"/>
        <w:outlineLvl w:val="9"/>
        <w:rPr>
          <w:rFonts w:hint="eastAsia" w:ascii="宋体" w:hAnsi="宋体" w:eastAsia="宋体" w:cs="Times New Roman"/>
          <w:sz w:val="24"/>
          <w:szCs w:val="24"/>
        </w:rPr>
      </w:pPr>
      <w:bookmarkStart w:id="610" w:name="_Toc267473002"/>
      <w:bookmarkStart w:id="611" w:name="_Toc285028896"/>
      <w:bookmarkStart w:id="612" w:name="_Toc263677426"/>
      <w:r>
        <w:rPr>
          <w:rFonts w:hint="eastAsia" w:ascii="宋体" w:hAnsi="宋体" w:eastAsia="宋体" w:cs="Times New Roman"/>
          <w:sz w:val="24"/>
          <w:szCs w:val="24"/>
        </w:rPr>
        <w:t>17.4 质量保证金</w:t>
      </w:r>
      <w:bookmarkEnd w:id="610"/>
      <w:bookmarkEnd w:id="611"/>
      <w:bookmarkEnd w:id="61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spacing w:line="360" w:lineRule="auto"/>
        <w:ind w:firstLine="480" w:firstLineChars="200"/>
        <w:outlineLvl w:val="9"/>
        <w:rPr>
          <w:rFonts w:hint="eastAsia" w:ascii="宋体" w:hAnsi="宋体" w:eastAsia="宋体" w:cs="Times New Roman"/>
          <w:sz w:val="24"/>
          <w:szCs w:val="24"/>
        </w:rPr>
      </w:pPr>
      <w:bookmarkStart w:id="613" w:name="_Toc263677427"/>
      <w:bookmarkStart w:id="614" w:name="_Toc285028897"/>
      <w:bookmarkStart w:id="615" w:name="_Toc267473003"/>
      <w:r>
        <w:rPr>
          <w:rFonts w:hint="eastAsia" w:ascii="宋体" w:hAnsi="宋体" w:eastAsia="宋体" w:cs="Times New Roman"/>
          <w:sz w:val="24"/>
          <w:szCs w:val="24"/>
        </w:rPr>
        <w:t>17.5 竣工结算（完工结算）</w:t>
      </w:r>
      <w:bookmarkEnd w:id="613"/>
      <w:bookmarkEnd w:id="614"/>
      <w:bookmarkEnd w:id="61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17.5.1 竣工（完成）付款申请单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(2)监理人对完工付款申请单有异议的，有权要求承包人进行修正和提供补充资料。经监理人和承包人协商后，由承包人向监理人提交修正后的完工付款申请单。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17.5.2 竣工（完工）付款证书及支付时间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(2)发包人应在监理人出具完工付款证书后的14天内，将应支付款支付给承包人。发包人不按期支付的，按第17．3．3(2)目的约定，将逾期付款违约金支付给承包人。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(3)承包人对发包人签认的完工付款证书有异议的，发包人可出具完工付款申请单中承包人已同意部分的临时付款证书。存在争议的部分，按第24条的约定办理。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(4)完工付款涉及政府投资资金的，按第17．3．3(4)目的约定办理。</w:t>
      </w:r>
    </w:p>
    <w:p>
      <w:pPr>
        <w:spacing w:line="360" w:lineRule="auto"/>
        <w:ind w:firstLine="480" w:firstLineChars="200"/>
        <w:outlineLvl w:val="9"/>
        <w:rPr>
          <w:rFonts w:hint="eastAsia" w:ascii="宋体" w:hAnsi="宋体" w:eastAsia="宋体" w:cs="Times New Roman"/>
          <w:sz w:val="24"/>
          <w:szCs w:val="24"/>
        </w:rPr>
      </w:pPr>
      <w:bookmarkStart w:id="616" w:name="_Toc285028898"/>
      <w:bookmarkStart w:id="617" w:name="_Toc263677428"/>
      <w:bookmarkStart w:id="618" w:name="_Toc267473004"/>
      <w:r>
        <w:rPr>
          <w:rFonts w:hint="eastAsia" w:ascii="宋体" w:hAnsi="宋体" w:eastAsia="宋体" w:cs="Times New Roman"/>
          <w:sz w:val="24"/>
          <w:szCs w:val="24"/>
        </w:rPr>
        <w:t>17.6 最终结清</w:t>
      </w:r>
      <w:bookmarkEnd w:id="616"/>
      <w:bookmarkEnd w:id="617"/>
      <w:bookmarkEnd w:id="61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17.6.1 最终结清申请单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(1)工程质量保修责任终止证书签发后，承包人应按监理人批准的格式提交最终结清申请单。提交最终结清申请单的份数在专用合同条款中约定。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(2)发包人对最终结清申请单内容有异议的，有权要求承包人进行修正和提供补充资料，由承包人向监理人提交修正后的最终结清申请单。</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17.6.2 最终结清证书和支付时间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(2）发包人应在监理人出具最终结清证书后的14天内，将应支付款支付给承包人。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发包人不按期支付的，按第17.3.3(2）目的约定，将逾期付款违约金支付给承包人。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(3）承包人对发包人签认的最终结清证书有异议的，按第24条的约定办理。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(4）最终结清付款涉及政府投资资金的，按第17.3.3(4）目的约定办理。</w:t>
      </w:r>
    </w:p>
    <w:p>
      <w:pPr>
        <w:spacing w:line="360" w:lineRule="auto"/>
        <w:ind w:firstLine="480" w:firstLineChars="200"/>
        <w:outlineLvl w:val="9"/>
        <w:rPr>
          <w:rFonts w:hint="eastAsia" w:ascii="宋体" w:hAnsi="宋体" w:eastAsia="宋体" w:cs="Times New Roman"/>
          <w:sz w:val="24"/>
          <w:szCs w:val="24"/>
        </w:rPr>
      </w:pPr>
      <w:bookmarkStart w:id="619" w:name="_Toc285028899"/>
      <w:bookmarkStart w:id="620" w:name="_Toc267473005"/>
      <w:bookmarkStart w:id="621" w:name="_Toc263677429"/>
      <w:r>
        <w:rPr>
          <w:rFonts w:hint="eastAsia" w:ascii="宋体" w:hAnsi="宋体" w:eastAsia="宋体" w:cs="Times New Roman"/>
          <w:sz w:val="24"/>
          <w:szCs w:val="24"/>
        </w:rPr>
        <w:t>17.7 竣工财务决算</w:t>
      </w:r>
      <w:bookmarkEnd w:id="619"/>
      <w:bookmarkEnd w:id="620"/>
      <w:bookmarkEnd w:id="62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发包人负责编制本工程项目竣工财务决算，承包人应按专用合同条款的约定提供竣工财务决算编制所需的相关材料。</w:t>
      </w:r>
    </w:p>
    <w:p>
      <w:pPr>
        <w:spacing w:line="360" w:lineRule="auto"/>
        <w:ind w:firstLine="480" w:firstLineChars="200"/>
        <w:outlineLvl w:val="9"/>
        <w:rPr>
          <w:rFonts w:hint="eastAsia" w:ascii="宋体" w:hAnsi="宋体" w:eastAsia="宋体" w:cs="Times New Roman"/>
          <w:sz w:val="24"/>
          <w:szCs w:val="24"/>
        </w:rPr>
      </w:pPr>
      <w:bookmarkStart w:id="622" w:name="_Toc263677430"/>
      <w:bookmarkStart w:id="623" w:name="_Toc285028900"/>
      <w:bookmarkStart w:id="624" w:name="_Toc267473006"/>
      <w:r>
        <w:rPr>
          <w:rFonts w:hint="eastAsia" w:ascii="宋体" w:hAnsi="宋体" w:eastAsia="宋体" w:cs="Times New Roman"/>
          <w:sz w:val="24"/>
          <w:szCs w:val="24"/>
        </w:rPr>
        <w:t>17.8 竣工审计</w:t>
      </w:r>
      <w:bookmarkEnd w:id="622"/>
      <w:bookmarkEnd w:id="623"/>
      <w:bookmarkEnd w:id="62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发包人负责完成本工程竣工审计手续，承包人应完成相关配合工作。</w:t>
      </w:r>
    </w:p>
    <w:p>
      <w:pPr>
        <w:spacing w:line="360" w:lineRule="auto"/>
        <w:ind w:firstLine="480" w:firstLineChars="200"/>
        <w:outlineLvl w:val="9"/>
        <w:rPr>
          <w:rFonts w:hint="eastAsia" w:ascii="宋体" w:hAnsi="宋体" w:eastAsia="宋体" w:cs="Times New Roman"/>
          <w:sz w:val="24"/>
          <w:szCs w:val="24"/>
        </w:rPr>
      </w:pPr>
      <w:bookmarkStart w:id="625" w:name="_Toc184635115"/>
      <w:bookmarkStart w:id="626" w:name="_Toc263370612"/>
      <w:bookmarkStart w:id="627" w:name="_Toc307417461"/>
      <w:bookmarkStart w:id="628" w:name="_Toc285028901"/>
      <w:bookmarkStart w:id="629" w:name="_Toc267473007"/>
      <w:bookmarkStart w:id="630" w:name="_Toc430097434"/>
      <w:bookmarkStart w:id="631" w:name="_Toc307416164"/>
      <w:bookmarkStart w:id="632" w:name="_Toc31564"/>
      <w:bookmarkStart w:id="633" w:name="_Toc263677431"/>
      <w:bookmarkStart w:id="634" w:name="_Toc307485228"/>
      <w:r>
        <w:rPr>
          <w:rFonts w:hint="eastAsia" w:ascii="宋体" w:hAnsi="宋体" w:eastAsia="宋体" w:cs="Times New Roman"/>
          <w:sz w:val="24"/>
          <w:szCs w:val="24"/>
        </w:rPr>
        <w:t>18．竣工验收</w:t>
      </w:r>
      <w:bookmarkEnd w:id="625"/>
      <w:r>
        <w:rPr>
          <w:rFonts w:hint="eastAsia" w:ascii="宋体" w:hAnsi="宋体" w:eastAsia="宋体" w:cs="Times New Roman"/>
          <w:sz w:val="24"/>
          <w:szCs w:val="24"/>
        </w:rPr>
        <w:t>（验收）</w:t>
      </w:r>
      <w:bookmarkEnd w:id="626"/>
      <w:bookmarkEnd w:id="627"/>
      <w:bookmarkEnd w:id="628"/>
      <w:bookmarkEnd w:id="629"/>
      <w:bookmarkEnd w:id="630"/>
      <w:bookmarkEnd w:id="631"/>
      <w:bookmarkEnd w:id="632"/>
      <w:bookmarkEnd w:id="633"/>
      <w:bookmarkEnd w:id="634"/>
    </w:p>
    <w:p>
      <w:pPr>
        <w:spacing w:line="360" w:lineRule="auto"/>
        <w:ind w:firstLine="480" w:firstLineChars="200"/>
        <w:outlineLvl w:val="9"/>
        <w:rPr>
          <w:rFonts w:hint="eastAsia" w:ascii="宋体" w:hAnsi="宋体" w:eastAsia="宋体" w:cs="Times New Roman"/>
          <w:sz w:val="24"/>
          <w:szCs w:val="24"/>
        </w:rPr>
      </w:pPr>
      <w:bookmarkStart w:id="635" w:name="_Toc285028902"/>
      <w:bookmarkStart w:id="636" w:name="_Toc267473008"/>
      <w:bookmarkStart w:id="637" w:name="_Toc263677432"/>
      <w:r>
        <w:rPr>
          <w:rFonts w:hint="eastAsia" w:ascii="宋体" w:hAnsi="宋体" w:eastAsia="宋体" w:cs="Times New Roman"/>
          <w:sz w:val="24"/>
          <w:szCs w:val="24"/>
        </w:rPr>
        <w:t>18.1 验收工作分类</w:t>
      </w:r>
      <w:bookmarkEnd w:id="635"/>
      <w:bookmarkEnd w:id="636"/>
      <w:bookmarkEnd w:id="63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18.1.1 竣工验收指承包人完成了全部合同工作后，发包人按合同要求进行的验收。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18.1.2 国家验收是政府有关部门根据法律、规范、规程和政策要求，针对发包人全面组织实施的整个工程正式交付投运前的验收。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18.1.3 需要进行国家验收的，竣工验收是国家验收的一部分。竣工验收所采用的各项验收和评定标准应符合国家验收标准。发包人和承包人为竣工验收提供的各项竣工验收资料应符合国家验收的要求。</w:t>
      </w:r>
    </w:p>
    <w:p>
      <w:pPr>
        <w:spacing w:line="360" w:lineRule="auto"/>
        <w:ind w:firstLine="480" w:firstLineChars="200"/>
        <w:outlineLvl w:val="9"/>
        <w:rPr>
          <w:rFonts w:hint="eastAsia" w:ascii="宋体" w:hAnsi="宋体" w:eastAsia="宋体" w:cs="Times New Roman"/>
          <w:sz w:val="24"/>
          <w:szCs w:val="24"/>
        </w:rPr>
      </w:pPr>
      <w:bookmarkStart w:id="638" w:name="_Toc285028903"/>
      <w:bookmarkStart w:id="639" w:name="_Toc263677433"/>
      <w:bookmarkStart w:id="640" w:name="_Toc267473009"/>
      <w:r>
        <w:rPr>
          <w:rFonts w:hint="eastAsia" w:ascii="宋体" w:hAnsi="宋体" w:eastAsia="宋体" w:cs="Times New Roman"/>
          <w:sz w:val="24"/>
          <w:szCs w:val="24"/>
        </w:rPr>
        <w:t>18.2 分部工程验收</w:t>
      </w:r>
      <w:bookmarkEnd w:id="638"/>
      <w:bookmarkEnd w:id="639"/>
      <w:bookmarkEnd w:id="64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18.2.1 分部工程具备验收条件时，承包人应向发包人提交验收申请报告，发包人应在收到验收申请报告之日起10个工作日内决定是否同意进行验收。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18.2.2 除专用合同条款另有约定外，监理人主持分部工程验收，承包人应派符合条件的代表参加验收工作组。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18.2.3 分部工程验收通过后，发包人向承包人发送分部工程验收鉴定书。承包人应及时完成分部工程验收鉴定书载明应由承包人处理的遗留问题。</w:t>
      </w:r>
    </w:p>
    <w:p>
      <w:pPr>
        <w:spacing w:line="360" w:lineRule="auto"/>
        <w:ind w:firstLine="480" w:firstLineChars="200"/>
        <w:outlineLvl w:val="9"/>
        <w:rPr>
          <w:rFonts w:hint="eastAsia" w:ascii="宋体" w:hAnsi="宋体" w:eastAsia="宋体" w:cs="Times New Roman"/>
          <w:sz w:val="24"/>
          <w:szCs w:val="24"/>
        </w:rPr>
      </w:pPr>
      <w:bookmarkStart w:id="641" w:name="_Toc267473010"/>
      <w:bookmarkStart w:id="642" w:name="_Toc263677434"/>
      <w:bookmarkStart w:id="643" w:name="_Toc285028904"/>
      <w:r>
        <w:rPr>
          <w:rFonts w:hint="eastAsia" w:ascii="宋体" w:hAnsi="宋体" w:eastAsia="宋体" w:cs="Times New Roman"/>
          <w:sz w:val="24"/>
          <w:szCs w:val="24"/>
        </w:rPr>
        <w:t>18.3 单位工程验收</w:t>
      </w:r>
      <w:bookmarkEnd w:id="641"/>
      <w:bookmarkEnd w:id="642"/>
      <w:bookmarkEnd w:id="64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18.3.1 单位工程具备验收条件时，承包人应向发包人提交验收申请报告，发包人应在收到验收申请报告之日起10个工作日内决定是否同意进行验收。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18.3.2 发包人主持单位工程验收，承包人应派符合条件的代表参加验收工作组。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18.3.3 单位工程验收通过后，发包人向承包人发送单位工程验收鉴定书。承包人应及时完成单位工程验收鉴定书载明应由承包人处理的遗留问题。</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18.3.4 需提前投入使用的单位工程在专用合同条款中明确。</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18.3.5 除专用合同条款另有约定外，经验收合格工程的实际竣工日期，以提交竣工验收申请报告的日期为准，并在工程接收证书中写明。</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18.3.6 发包人在收到承包人竣工验收申请报告56天后未进行验收的，视为验收合格，实际竣工日期以提交竣工验收申请报告的日期为准，但发包人由于不可抗力不能进行验收的除外。</w:t>
      </w:r>
    </w:p>
    <w:p>
      <w:pPr>
        <w:spacing w:line="360" w:lineRule="auto"/>
        <w:ind w:firstLine="480" w:firstLineChars="200"/>
        <w:outlineLvl w:val="9"/>
        <w:rPr>
          <w:rFonts w:hint="eastAsia" w:ascii="宋体" w:hAnsi="宋体" w:eastAsia="宋体" w:cs="Times New Roman"/>
          <w:sz w:val="24"/>
          <w:szCs w:val="24"/>
        </w:rPr>
      </w:pPr>
      <w:bookmarkStart w:id="644" w:name="_Toc267473011"/>
      <w:bookmarkStart w:id="645" w:name="_Toc263677435"/>
      <w:bookmarkStart w:id="646" w:name="_Toc285028905"/>
      <w:r>
        <w:rPr>
          <w:rFonts w:hint="eastAsia" w:ascii="宋体" w:hAnsi="宋体" w:eastAsia="宋体" w:cs="Times New Roman"/>
          <w:sz w:val="24"/>
          <w:szCs w:val="24"/>
        </w:rPr>
        <w:t>18.4 合同工程完工验收</w:t>
      </w:r>
      <w:bookmarkEnd w:id="644"/>
      <w:bookmarkEnd w:id="645"/>
      <w:bookmarkEnd w:id="64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18.4.1 合同工程具备验收条件时，承包人应向发包人提交验收申请报告，发包人应在收到验收申请报告之日起20个工作日内决定是否同意进行验收。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18.4.2 发包人主持合同工程完工验收，承包人应派代表参加验收工作组。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18.4.3合同工程完工验收通过后，发包人向承包人发送合同工二程完工验收鉴定书。承包人应及时完成合同工程完工验收鉴定书载明应由承包人处理的遗留问题。</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18.4.4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spacing w:line="360" w:lineRule="auto"/>
        <w:ind w:firstLine="480" w:firstLineChars="200"/>
        <w:outlineLvl w:val="9"/>
        <w:rPr>
          <w:rFonts w:hint="eastAsia" w:ascii="宋体" w:hAnsi="宋体" w:eastAsia="宋体" w:cs="Times New Roman"/>
          <w:sz w:val="24"/>
          <w:szCs w:val="24"/>
        </w:rPr>
      </w:pPr>
      <w:bookmarkStart w:id="647" w:name="_Toc267473012"/>
      <w:bookmarkStart w:id="648" w:name="_Toc263677436"/>
      <w:bookmarkStart w:id="649" w:name="_Toc285028906"/>
      <w:r>
        <w:rPr>
          <w:rFonts w:hint="eastAsia" w:ascii="宋体" w:hAnsi="宋体" w:eastAsia="宋体" w:cs="Times New Roman"/>
          <w:sz w:val="24"/>
          <w:szCs w:val="24"/>
        </w:rPr>
        <w:t>18.5 阶段验收</w:t>
      </w:r>
      <w:bookmarkEnd w:id="647"/>
      <w:bookmarkEnd w:id="648"/>
      <w:bookmarkEnd w:id="64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18.5.1 工程建设具备阶段验收条件时，发包人负责提出阶段验收申请报告。承包人应派代表参加阶段验收，并作为被验收单位在验收鉴定书上签字。阶段验收的具体类别在专用合同条款中约定。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18.5.2 承包人应及时完成阶段验收鉴定书载明应由承包人处理的遗留问题。</w:t>
      </w:r>
    </w:p>
    <w:p>
      <w:pPr>
        <w:spacing w:line="360" w:lineRule="auto"/>
        <w:ind w:firstLine="480" w:firstLineChars="200"/>
        <w:outlineLvl w:val="9"/>
        <w:rPr>
          <w:rFonts w:hint="eastAsia" w:ascii="宋体" w:hAnsi="宋体" w:eastAsia="宋体" w:cs="Times New Roman"/>
          <w:sz w:val="24"/>
          <w:szCs w:val="24"/>
        </w:rPr>
      </w:pPr>
      <w:bookmarkStart w:id="650" w:name="_Toc285028907"/>
      <w:bookmarkStart w:id="651" w:name="_Toc267473013"/>
      <w:bookmarkStart w:id="652" w:name="_Toc263677437"/>
      <w:r>
        <w:rPr>
          <w:rFonts w:hint="eastAsia" w:ascii="宋体" w:hAnsi="宋体" w:eastAsia="宋体" w:cs="Times New Roman"/>
          <w:sz w:val="24"/>
          <w:szCs w:val="24"/>
        </w:rPr>
        <w:t>18.6 专项验收</w:t>
      </w:r>
      <w:bookmarkEnd w:id="650"/>
      <w:bookmarkEnd w:id="651"/>
      <w:bookmarkEnd w:id="65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18.6.1 发包人负责提出专项验收申请报告。承包人应按专项验收的相关规定参加专项验收。专项验收的具体类别在专用合同条款中约定。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18.6.2 承包人应及时完成专项验收成果性文件载明应由承包人处理的遗留问题。</w:t>
      </w:r>
    </w:p>
    <w:p>
      <w:pPr>
        <w:spacing w:line="360" w:lineRule="auto"/>
        <w:ind w:firstLine="480" w:firstLineChars="200"/>
        <w:outlineLvl w:val="9"/>
        <w:rPr>
          <w:rFonts w:hint="eastAsia" w:ascii="宋体" w:hAnsi="宋体" w:eastAsia="宋体" w:cs="Times New Roman"/>
          <w:sz w:val="24"/>
          <w:szCs w:val="24"/>
        </w:rPr>
      </w:pPr>
      <w:bookmarkStart w:id="653" w:name="_Toc285028908"/>
      <w:bookmarkStart w:id="654" w:name="_Toc263677438"/>
      <w:bookmarkStart w:id="655" w:name="_Toc267473014"/>
      <w:r>
        <w:rPr>
          <w:rFonts w:hint="eastAsia" w:ascii="宋体" w:hAnsi="宋体" w:eastAsia="宋体" w:cs="Times New Roman"/>
          <w:sz w:val="24"/>
          <w:szCs w:val="24"/>
        </w:rPr>
        <w:t>18.7 竣工验收</w:t>
      </w:r>
      <w:bookmarkEnd w:id="653"/>
      <w:bookmarkEnd w:id="654"/>
      <w:bookmarkEnd w:id="65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18.7.1 申请竣工验收前，发包人组织竣工验收自查，承包人应派代表参加。</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18.7.2 竣工验收分为竣工技术预验收和竣工验收两个阶段。发包人应通知承包人派代表参加技术预验收和竣工验收。</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18.7.3 专用合同条款约定工程需要进行技术鉴定的，承包人应提交有关资料并完成配合工作。</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18.7.4 竣工验收需要进行质量检测的，所需费用由发包人承担，但因承包人原因造成质量不合格的除外。</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18.7.5 工程质量保修期满以及竣工验收遗留问题和尾工处理完成并通过验收后，发包人负责将处理情况和验收成果报送竣工验收主持单位，申请领取工程竣工证书，并发送承包人。</w:t>
      </w:r>
    </w:p>
    <w:p>
      <w:pPr>
        <w:spacing w:line="360" w:lineRule="auto"/>
        <w:ind w:firstLine="480" w:firstLineChars="200"/>
        <w:outlineLvl w:val="9"/>
        <w:rPr>
          <w:rFonts w:hint="eastAsia" w:ascii="宋体" w:hAnsi="宋体" w:eastAsia="宋体" w:cs="Times New Roman"/>
          <w:sz w:val="24"/>
          <w:szCs w:val="24"/>
        </w:rPr>
      </w:pPr>
      <w:bookmarkStart w:id="656" w:name="_Toc263677439"/>
      <w:bookmarkStart w:id="657" w:name="_Toc285028909"/>
      <w:bookmarkStart w:id="658" w:name="_Toc267473015"/>
      <w:r>
        <w:rPr>
          <w:rFonts w:hint="eastAsia" w:ascii="宋体" w:hAnsi="宋体" w:eastAsia="宋体" w:cs="Times New Roman"/>
          <w:sz w:val="24"/>
          <w:szCs w:val="24"/>
        </w:rPr>
        <w:t>18.8 施工期运行</w:t>
      </w:r>
      <w:bookmarkEnd w:id="656"/>
      <w:bookmarkEnd w:id="657"/>
      <w:bookmarkEnd w:id="65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18.8.2 在施工期运行中发现工程或工程设备损坏或存在缺陷的，由承包人按第19.2款约定进行修复。</w:t>
      </w:r>
    </w:p>
    <w:p>
      <w:pPr>
        <w:spacing w:line="360" w:lineRule="auto"/>
        <w:ind w:firstLine="480" w:firstLineChars="200"/>
        <w:outlineLvl w:val="9"/>
        <w:rPr>
          <w:rFonts w:hint="eastAsia" w:ascii="宋体" w:hAnsi="宋体" w:eastAsia="宋体" w:cs="Times New Roman"/>
          <w:sz w:val="24"/>
          <w:szCs w:val="24"/>
        </w:rPr>
      </w:pPr>
      <w:bookmarkStart w:id="659" w:name="_Toc285028910"/>
      <w:bookmarkStart w:id="660" w:name="_Toc267473016"/>
      <w:bookmarkStart w:id="661" w:name="_Toc263677440"/>
      <w:r>
        <w:rPr>
          <w:rFonts w:hint="eastAsia" w:ascii="宋体" w:hAnsi="宋体" w:eastAsia="宋体" w:cs="Times New Roman"/>
          <w:sz w:val="24"/>
          <w:szCs w:val="24"/>
        </w:rPr>
        <w:t>18.9 试运行</w:t>
      </w:r>
      <w:bookmarkEnd w:id="659"/>
      <w:bookmarkEnd w:id="660"/>
      <w:bookmarkEnd w:id="66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18.9.1 除专用合同条款另有约定外，承包人应按规定进行工程及工程设备试运行，负责提供试运行所需的人员、器材和必要的条件，并承担全部试运行费用。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360" w:lineRule="auto"/>
        <w:ind w:firstLine="480" w:firstLineChars="200"/>
        <w:outlineLvl w:val="9"/>
        <w:rPr>
          <w:rFonts w:hint="eastAsia" w:ascii="宋体" w:hAnsi="宋体" w:eastAsia="宋体" w:cs="Times New Roman"/>
          <w:sz w:val="24"/>
          <w:szCs w:val="24"/>
        </w:rPr>
      </w:pPr>
      <w:bookmarkStart w:id="662" w:name="_Toc263677441"/>
      <w:bookmarkStart w:id="663" w:name="_Toc285028911"/>
      <w:bookmarkStart w:id="664" w:name="_Toc267473017"/>
      <w:r>
        <w:rPr>
          <w:rFonts w:hint="eastAsia" w:ascii="宋体" w:hAnsi="宋体" w:eastAsia="宋体" w:cs="Times New Roman"/>
          <w:sz w:val="24"/>
          <w:szCs w:val="24"/>
        </w:rPr>
        <w:t>18.10 竣工（完工）清场</w:t>
      </w:r>
      <w:bookmarkEnd w:id="662"/>
      <w:bookmarkEnd w:id="663"/>
      <w:bookmarkEnd w:id="66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18.10.1 工程项目竣工(完工)清场的工作范围和内容在技术标准和要求(合同技术条款)中约定。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18.10.2 承包人未按监理人的要求恢复临时占地，或者场地清理未达到合同约定的，发包人有权委托其它人恢复或清理，所发生的金额从拟支付给承包人的款项中扣除。</w:t>
      </w:r>
    </w:p>
    <w:p>
      <w:pPr>
        <w:spacing w:line="360" w:lineRule="auto"/>
        <w:ind w:firstLine="480" w:firstLineChars="200"/>
        <w:outlineLvl w:val="9"/>
        <w:rPr>
          <w:rFonts w:hint="eastAsia" w:ascii="宋体" w:hAnsi="宋体" w:eastAsia="宋体" w:cs="Times New Roman"/>
          <w:sz w:val="24"/>
          <w:szCs w:val="24"/>
        </w:rPr>
      </w:pPr>
      <w:bookmarkStart w:id="665" w:name="_Toc285028912"/>
      <w:bookmarkStart w:id="666" w:name="_Toc267473018"/>
      <w:bookmarkStart w:id="667" w:name="_Toc263677442"/>
      <w:r>
        <w:rPr>
          <w:rFonts w:hint="eastAsia" w:ascii="宋体" w:hAnsi="宋体" w:eastAsia="宋体" w:cs="Times New Roman"/>
          <w:sz w:val="24"/>
          <w:szCs w:val="24"/>
        </w:rPr>
        <w:t>18.11 施工队伍的撤离</w:t>
      </w:r>
      <w:bookmarkEnd w:id="665"/>
      <w:bookmarkEnd w:id="666"/>
      <w:bookmarkEnd w:id="66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spacing w:line="360" w:lineRule="auto"/>
        <w:ind w:firstLine="480" w:firstLineChars="200"/>
        <w:outlineLvl w:val="9"/>
        <w:rPr>
          <w:rFonts w:hint="eastAsia" w:ascii="宋体" w:hAnsi="宋体" w:eastAsia="宋体" w:cs="Times New Roman"/>
          <w:sz w:val="24"/>
          <w:szCs w:val="24"/>
        </w:rPr>
      </w:pPr>
      <w:bookmarkStart w:id="668" w:name="_Toc307485229"/>
      <w:bookmarkStart w:id="669" w:name="_Toc184635116"/>
      <w:bookmarkStart w:id="670" w:name="_Toc307417462"/>
      <w:bookmarkStart w:id="671" w:name="_Toc267473019"/>
      <w:bookmarkStart w:id="672" w:name="_Toc430097435"/>
      <w:bookmarkStart w:id="673" w:name="_Toc307416165"/>
      <w:bookmarkStart w:id="674" w:name="_Toc263370613"/>
      <w:bookmarkStart w:id="675" w:name="_Toc285028913"/>
      <w:bookmarkStart w:id="676" w:name="_Toc263677443"/>
      <w:bookmarkStart w:id="677" w:name="_Toc18979"/>
      <w:r>
        <w:rPr>
          <w:rFonts w:hint="eastAsia" w:ascii="宋体" w:hAnsi="宋体" w:eastAsia="宋体" w:cs="Times New Roman"/>
          <w:sz w:val="24"/>
          <w:szCs w:val="24"/>
        </w:rPr>
        <w:t>19．缺陷责任与保修责任</w:t>
      </w:r>
      <w:bookmarkEnd w:id="668"/>
      <w:bookmarkEnd w:id="669"/>
      <w:bookmarkEnd w:id="670"/>
      <w:bookmarkEnd w:id="671"/>
      <w:bookmarkEnd w:id="672"/>
      <w:bookmarkEnd w:id="673"/>
      <w:bookmarkEnd w:id="674"/>
      <w:bookmarkEnd w:id="675"/>
      <w:bookmarkEnd w:id="676"/>
      <w:bookmarkEnd w:id="677"/>
    </w:p>
    <w:p>
      <w:pPr>
        <w:spacing w:line="360" w:lineRule="auto"/>
        <w:ind w:firstLine="480" w:firstLineChars="200"/>
        <w:outlineLvl w:val="9"/>
        <w:rPr>
          <w:rFonts w:hint="eastAsia" w:ascii="宋体" w:hAnsi="宋体" w:eastAsia="宋体" w:cs="Times New Roman"/>
          <w:sz w:val="24"/>
          <w:szCs w:val="24"/>
        </w:rPr>
      </w:pPr>
      <w:bookmarkStart w:id="678" w:name="_Toc267473020"/>
      <w:bookmarkStart w:id="679" w:name="_Toc285028914"/>
      <w:bookmarkStart w:id="680" w:name="_Toc263677444"/>
      <w:r>
        <w:rPr>
          <w:rFonts w:hint="eastAsia" w:ascii="宋体" w:hAnsi="宋体" w:eastAsia="宋体" w:cs="Times New Roman"/>
          <w:sz w:val="24"/>
          <w:szCs w:val="24"/>
        </w:rPr>
        <w:t>19.1 缺陷责任期（工程质量保修期）的起算时间</w:t>
      </w:r>
      <w:bookmarkEnd w:id="678"/>
      <w:bookmarkEnd w:id="679"/>
      <w:bookmarkEnd w:id="68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spacing w:line="360" w:lineRule="auto"/>
        <w:ind w:firstLine="480" w:firstLineChars="200"/>
        <w:outlineLvl w:val="9"/>
        <w:rPr>
          <w:rFonts w:hint="eastAsia" w:ascii="宋体" w:hAnsi="宋体" w:eastAsia="宋体" w:cs="Times New Roman"/>
          <w:sz w:val="24"/>
          <w:szCs w:val="24"/>
        </w:rPr>
      </w:pPr>
      <w:bookmarkStart w:id="681" w:name="_Toc267473021"/>
      <w:bookmarkStart w:id="682" w:name="_Toc263677445"/>
      <w:bookmarkStart w:id="683" w:name="_Toc285028915"/>
      <w:r>
        <w:rPr>
          <w:rFonts w:hint="eastAsia" w:ascii="宋体" w:hAnsi="宋体" w:eastAsia="宋体" w:cs="Times New Roman"/>
          <w:sz w:val="24"/>
          <w:szCs w:val="24"/>
        </w:rPr>
        <w:t>19.2 缺陷责任</w:t>
      </w:r>
      <w:bookmarkEnd w:id="681"/>
      <w:bookmarkEnd w:id="682"/>
      <w:bookmarkEnd w:id="68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19.2.1 承包人应在缺陷责任期内对已交付使用的工程承担缺陷责任。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19.2.4 承包人不能在合理时间内修复缺陷的，发包人可自行修复或委托其他人修复，所需费用和利润的承担，按第19.2.3项约定办理。</w:t>
      </w:r>
    </w:p>
    <w:p>
      <w:pPr>
        <w:spacing w:line="360" w:lineRule="auto"/>
        <w:ind w:firstLine="480" w:firstLineChars="200"/>
        <w:outlineLvl w:val="9"/>
        <w:rPr>
          <w:rFonts w:hint="eastAsia" w:ascii="宋体" w:hAnsi="宋体" w:eastAsia="宋体" w:cs="Times New Roman"/>
          <w:sz w:val="24"/>
          <w:szCs w:val="24"/>
        </w:rPr>
      </w:pPr>
      <w:bookmarkStart w:id="684" w:name="_Toc285028916"/>
      <w:bookmarkStart w:id="685" w:name="_Toc263677446"/>
      <w:bookmarkStart w:id="686" w:name="_Toc267473022"/>
      <w:r>
        <w:rPr>
          <w:rFonts w:hint="eastAsia" w:ascii="宋体" w:hAnsi="宋体" w:eastAsia="宋体" w:cs="Times New Roman"/>
          <w:sz w:val="24"/>
          <w:szCs w:val="24"/>
        </w:rPr>
        <w:t>19.3 缺陷责任期的延长</w:t>
      </w:r>
      <w:bookmarkEnd w:id="684"/>
      <w:bookmarkEnd w:id="685"/>
      <w:bookmarkEnd w:id="68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由于承包人原因造成某项缺陷或损坏使某项工程或工程设备不能按原．定目标使用而需要再次检查、检验和修复的，发包人有权要求承包人相应延长缺陷责任期，但缺陷责任期最长不超过2年。</w:t>
      </w:r>
    </w:p>
    <w:p>
      <w:pPr>
        <w:spacing w:line="360" w:lineRule="auto"/>
        <w:ind w:firstLine="480" w:firstLineChars="200"/>
        <w:outlineLvl w:val="9"/>
        <w:rPr>
          <w:rFonts w:hint="eastAsia" w:ascii="宋体" w:hAnsi="宋体" w:eastAsia="宋体" w:cs="Times New Roman"/>
          <w:sz w:val="24"/>
          <w:szCs w:val="24"/>
        </w:rPr>
      </w:pPr>
      <w:bookmarkStart w:id="687" w:name="_Toc263677447"/>
      <w:bookmarkStart w:id="688" w:name="_Toc285028917"/>
      <w:bookmarkStart w:id="689" w:name="_Toc267473023"/>
      <w:r>
        <w:rPr>
          <w:rFonts w:hint="eastAsia" w:ascii="宋体" w:hAnsi="宋体" w:eastAsia="宋体" w:cs="Times New Roman"/>
          <w:sz w:val="24"/>
          <w:szCs w:val="24"/>
        </w:rPr>
        <w:t>19.4 进一步试验和试运行</w:t>
      </w:r>
      <w:bookmarkEnd w:id="687"/>
      <w:bookmarkEnd w:id="688"/>
      <w:bookmarkEnd w:id="68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任何一项缺陷或损坏修复后，经检查证明其影响了工程或工程设备的使用性能，承包人应重新进行合同约定的试验和试运行，试验和试运行的全部费用应由责任方承担。</w:t>
      </w:r>
    </w:p>
    <w:p>
      <w:pPr>
        <w:spacing w:line="360" w:lineRule="auto"/>
        <w:ind w:firstLine="480" w:firstLineChars="200"/>
        <w:outlineLvl w:val="9"/>
        <w:rPr>
          <w:rFonts w:hint="eastAsia" w:ascii="宋体" w:hAnsi="宋体" w:eastAsia="宋体" w:cs="Times New Roman"/>
          <w:sz w:val="24"/>
          <w:szCs w:val="24"/>
        </w:rPr>
      </w:pPr>
      <w:bookmarkStart w:id="690" w:name="_Toc285028918"/>
      <w:bookmarkStart w:id="691" w:name="_Toc267473024"/>
      <w:bookmarkStart w:id="692" w:name="_Toc263677448"/>
      <w:r>
        <w:rPr>
          <w:rFonts w:hint="eastAsia" w:ascii="宋体" w:hAnsi="宋体" w:eastAsia="宋体" w:cs="Times New Roman"/>
          <w:sz w:val="24"/>
          <w:szCs w:val="24"/>
        </w:rPr>
        <w:t>19.5 承包人的进入权</w:t>
      </w:r>
      <w:bookmarkEnd w:id="690"/>
      <w:bookmarkEnd w:id="691"/>
      <w:bookmarkEnd w:id="69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缺陷责任期内承包人为缺陷修复工作需要，有权进入工程现场，但应遵守发包人的保安和保密规定。</w:t>
      </w:r>
    </w:p>
    <w:p>
      <w:pPr>
        <w:spacing w:line="360" w:lineRule="auto"/>
        <w:ind w:firstLine="480" w:firstLineChars="200"/>
        <w:outlineLvl w:val="9"/>
        <w:rPr>
          <w:rFonts w:hint="eastAsia" w:ascii="宋体" w:hAnsi="宋体" w:eastAsia="宋体" w:cs="Times New Roman"/>
          <w:sz w:val="24"/>
          <w:szCs w:val="24"/>
        </w:rPr>
      </w:pPr>
      <w:bookmarkStart w:id="693" w:name="_Toc285028919"/>
      <w:bookmarkStart w:id="694" w:name="_Toc263677449"/>
      <w:bookmarkStart w:id="695" w:name="_Toc267473025"/>
      <w:r>
        <w:rPr>
          <w:rFonts w:hint="eastAsia" w:ascii="宋体" w:hAnsi="宋体" w:eastAsia="宋体" w:cs="Times New Roman"/>
          <w:sz w:val="24"/>
          <w:szCs w:val="24"/>
        </w:rPr>
        <w:t>19.6 缺陷责任期终止证书(工程质量保修责任终止证书)</w:t>
      </w:r>
      <w:bookmarkEnd w:id="693"/>
      <w:bookmarkEnd w:id="694"/>
      <w:bookmarkEnd w:id="69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合同工程完工验收或投入使用验收后，发包人与承包人应办理工程交接手续，承包人应向发包人递交工程质量保修书。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缺陷责任期(工程质量保修期)满后30个工作日内，发包人应向承包人颁发工程质量保修责任终止证书，并退还剩余的质量保证金，但保修责任范围内的质量缺陷未处理完成的应除外。</w:t>
      </w:r>
    </w:p>
    <w:p>
      <w:pPr>
        <w:spacing w:line="360" w:lineRule="auto"/>
        <w:ind w:firstLine="480" w:firstLineChars="200"/>
        <w:outlineLvl w:val="9"/>
        <w:rPr>
          <w:rFonts w:hint="eastAsia" w:ascii="宋体" w:hAnsi="宋体" w:eastAsia="宋体" w:cs="Times New Roman"/>
          <w:sz w:val="24"/>
          <w:szCs w:val="24"/>
        </w:rPr>
      </w:pPr>
      <w:bookmarkStart w:id="696" w:name="_Toc285028920"/>
      <w:bookmarkStart w:id="697" w:name="_Toc263677450"/>
      <w:bookmarkStart w:id="698" w:name="_Toc267473026"/>
      <w:r>
        <w:rPr>
          <w:rFonts w:hint="eastAsia" w:ascii="宋体" w:hAnsi="宋体" w:eastAsia="宋体" w:cs="Times New Roman"/>
          <w:sz w:val="24"/>
          <w:szCs w:val="24"/>
        </w:rPr>
        <w:t>19.7 保修责任</w:t>
      </w:r>
      <w:bookmarkEnd w:id="696"/>
      <w:bookmarkEnd w:id="697"/>
      <w:bookmarkEnd w:id="69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360" w:lineRule="auto"/>
        <w:ind w:firstLine="480" w:firstLineChars="200"/>
        <w:outlineLvl w:val="9"/>
        <w:rPr>
          <w:rFonts w:hint="eastAsia" w:ascii="宋体" w:hAnsi="宋体" w:eastAsia="宋体" w:cs="Times New Roman"/>
          <w:sz w:val="24"/>
          <w:szCs w:val="24"/>
        </w:rPr>
      </w:pPr>
      <w:bookmarkStart w:id="699" w:name="_Toc32009"/>
      <w:bookmarkStart w:id="700" w:name="_Toc263677451"/>
      <w:bookmarkStart w:id="701" w:name="_Toc184635117"/>
      <w:bookmarkStart w:id="702" w:name="_Toc285028921"/>
      <w:bookmarkStart w:id="703" w:name="_Toc307485230"/>
      <w:bookmarkStart w:id="704" w:name="_Toc263370614"/>
      <w:bookmarkStart w:id="705" w:name="_Toc307416166"/>
      <w:bookmarkStart w:id="706" w:name="_Toc267473027"/>
      <w:bookmarkStart w:id="707" w:name="_Toc430097436"/>
      <w:bookmarkStart w:id="708" w:name="_Toc307417463"/>
      <w:r>
        <w:rPr>
          <w:rFonts w:hint="eastAsia" w:ascii="宋体" w:hAnsi="宋体" w:eastAsia="宋体" w:cs="Times New Roman"/>
          <w:sz w:val="24"/>
          <w:szCs w:val="24"/>
        </w:rPr>
        <w:t>20．保险</w:t>
      </w:r>
      <w:bookmarkEnd w:id="699"/>
      <w:bookmarkEnd w:id="700"/>
      <w:bookmarkEnd w:id="701"/>
      <w:bookmarkEnd w:id="702"/>
      <w:bookmarkEnd w:id="703"/>
      <w:bookmarkEnd w:id="704"/>
      <w:bookmarkEnd w:id="705"/>
      <w:bookmarkEnd w:id="706"/>
      <w:bookmarkEnd w:id="707"/>
      <w:bookmarkEnd w:id="708"/>
    </w:p>
    <w:p>
      <w:pPr>
        <w:spacing w:line="360" w:lineRule="auto"/>
        <w:ind w:firstLine="480" w:firstLineChars="200"/>
        <w:outlineLvl w:val="9"/>
        <w:rPr>
          <w:rFonts w:hint="eastAsia" w:ascii="宋体" w:hAnsi="宋体" w:eastAsia="宋体" w:cs="Times New Roman"/>
          <w:sz w:val="24"/>
          <w:szCs w:val="24"/>
        </w:rPr>
      </w:pPr>
      <w:bookmarkStart w:id="709" w:name="_Toc267473028"/>
      <w:bookmarkStart w:id="710" w:name="_Toc263677452"/>
      <w:bookmarkStart w:id="711" w:name="_Toc285028922"/>
      <w:r>
        <w:rPr>
          <w:rFonts w:hint="eastAsia" w:ascii="宋体" w:hAnsi="宋体" w:eastAsia="宋体" w:cs="Times New Roman"/>
          <w:sz w:val="24"/>
          <w:szCs w:val="24"/>
        </w:rPr>
        <w:t>20.1 工程保险</w:t>
      </w:r>
      <w:bookmarkEnd w:id="709"/>
      <w:bookmarkEnd w:id="710"/>
      <w:bookmarkEnd w:id="71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360" w:lineRule="auto"/>
        <w:ind w:firstLine="480" w:firstLineChars="200"/>
        <w:outlineLvl w:val="9"/>
        <w:rPr>
          <w:rFonts w:hint="eastAsia" w:ascii="宋体" w:hAnsi="宋体" w:eastAsia="宋体" w:cs="Times New Roman"/>
          <w:sz w:val="24"/>
          <w:szCs w:val="24"/>
        </w:rPr>
      </w:pPr>
      <w:bookmarkStart w:id="712" w:name="_Toc263677453"/>
      <w:bookmarkStart w:id="713" w:name="_Toc285028923"/>
      <w:bookmarkStart w:id="714" w:name="_Toc267473029"/>
      <w:r>
        <w:rPr>
          <w:rFonts w:hint="eastAsia" w:ascii="宋体" w:hAnsi="宋体" w:eastAsia="宋体" w:cs="Times New Roman"/>
          <w:sz w:val="24"/>
          <w:szCs w:val="24"/>
        </w:rPr>
        <w:t>20.2 人员工伤事故的保险</w:t>
      </w:r>
      <w:bookmarkEnd w:id="712"/>
      <w:bookmarkEnd w:id="713"/>
      <w:bookmarkEnd w:id="71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20.2.1 承包人员工伤事故的保险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承包人应依照有关法律规定参加工伤保险，为其履行合同所雇佣的全部人员，缴纳工伤保险费，并要求其分包人也进行此项保险。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20.2.2 发包人员工伤事故的保险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发包人应依照有关法律规定参加工伤保险，为其现场机构雇佣的全部人员，缴纳工伤保险费，并要求其监理人也进行此项保险。</w:t>
      </w:r>
    </w:p>
    <w:p>
      <w:pPr>
        <w:spacing w:line="360" w:lineRule="auto"/>
        <w:ind w:firstLine="480" w:firstLineChars="200"/>
        <w:outlineLvl w:val="9"/>
        <w:rPr>
          <w:rFonts w:hint="eastAsia" w:ascii="宋体" w:hAnsi="宋体" w:eastAsia="宋体" w:cs="Times New Roman"/>
          <w:sz w:val="24"/>
          <w:szCs w:val="24"/>
        </w:rPr>
      </w:pPr>
      <w:bookmarkStart w:id="715" w:name="_Toc285028924"/>
      <w:bookmarkStart w:id="716" w:name="_Toc267473030"/>
      <w:bookmarkStart w:id="717" w:name="_Toc263677454"/>
      <w:r>
        <w:rPr>
          <w:rFonts w:hint="eastAsia" w:ascii="宋体" w:hAnsi="宋体" w:eastAsia="宋体" w:cs="Times New Roman"/>
          <w:sz w:val="24"/>
          <w:szCs w:val="24"/>
        </w:rPr>
        <w:t>20.3 人身意外伤害险</w:t>
      </w:r>
      <w:bookmarkEnd w:id="715"/>
      <w:bookmarkEnd w:id="716"/>
      <w:bookmarkEnd w:id="71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20.3.1 发包人应在整个施工期间为其现场机构雇用的全部人员，投保人身意外伤害险，缴纳保险费，并要求其监理人也进行此项保险。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20.3.2 承包人应在整个施工期间为其现场机构雇用的全部人员，投保人身意外伤害险，缴纳保险费，并要求其分包人也进行此项保险。</w:t>
      </w:r>
    </w:p>
    <w:p>
      <w:pPr>
        <w:spacing w:line="360" w:lineRule="auto"/>
        <w:ind w:firstLine="480" w:firstLineChars="200"/>
        <w:outlineLvl w:val="9"/>
        <w:rPr>
          <w:rFonts w:hint="eastAsia" w:ascii="宋体" w:hAnsi="宋体" w:eastAsia="宋体" w:cs="Times New Roman"/>
          <w:sz w:val="24"/>
          <w:szCs w:val="24"/>
        </w:rPr>
      </w:pPr>
      <w:bookmarkStart w:id="718" w:name="_Toc267473031"/>
      <w:bookmarkStart w:id="719" w:name="_Toc285028925"/>
      <w:bookmarkStart w:id="720" w:name="_Toc263677455"/>
      <w:r>
        <w:rPr>
          <w:rFonts w:hint="eastAsia" w:ascii="宋体" w:hAnsi="宋体" w:eastAsia="宋体" w:cs="Times New Roman"/>
          <w:sz w:val="24"/>
          <w:szCs w:val="24"/>
        </w:rPr>
        <w:t>20.4 第三者责任险</w:t>
      </w:r>
      <w:bookmarkEnd w:id="718"/>
      <w:bookmarkEnd w:id="719"/>
      <w:bookmarkEnd w:id="72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20.4.2 在缺陷责任期终止证书颁发前，承包人应以承包人和发包人的共同名义，投保第20.4.1项约定的第三者责任险，其保险费率、保险金额等有关内容在专用合同条款中约定。</w:t>
      </w:r>
    </w:p>
    <w:p>
      <w:pPr>
        <w:spacing w:line="360" w:lineRule="auto"/>
        <w:ind w:firstLine="480" w:firstLineChars="200"/>
        <w:outlineLvl w:val="9"/>
        <w:rPr>
          <w:rFonts w:hint="eastAsia" w:ascii="宋体" w:hAnsi="宋体" w:eastAsia="宋体" w:cs="Times New Roman"/>
          <w:sz w:val="24"/>
          <w:szCs w:val="24"/>
        </w:rPr>
      </w:pPr>
      <w:bookmarkStart w:id="721" w:name="_Toc267473032"/>
      <w:bookmarkStart w:id="722" w:name="_Toc263677456"/>
      <w:bookmarkStart w:id="723" w:name="_Toc285028926"/>
      <w:r>
        <w:rPr>
          <w:rFonts w:hint="eastAsia" w:ascii="宋体" w:hAnsi="宋体" w:eastAsia="宋体" w:cs="Times New Roman"/>
          <w:sz w:val="24"/>
          <w:szCs w:val="24"/>
        </w:rPr>
        <w:t>20.5 其他保险</w:t>
      </w:r>
      <w:bookmarkEnd w:id="721"/>
      <w:bookmarkEnd w:id="722"/>
      <w:bookmarkEnd w:id="72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除专用合同条款另有约定外，承包人应为其施工设备、进场的材料和工程设备等办理保险。</w:t>
      </w:r>
    </w:p>
    <w:p>
      <w:pPr>
        <w:spacing w:line="360" w:lineRule="auto"/>
        <w:ind w:firstLine="480" w:firstLineChars="200"/>
        <w:outlineLvl w:val="9"/>
        <w:rPr>
          <w:rFonts w:hint="eastAsia" w:ascii="宋体" w:hAnsi="宋体" w:eastAsia="宋体" w:cs="Times New Roman"/>
          <w:sz w:val="24"/>
          <w:szCs w:val="24"/>
        </w:rPr>
      </w:pPr>
      <w:bookmarkStart w:id="724" w:name="_Toc285028927"/>
      <w:bookmarkStart w:id="725" w:name="_Toc263677457"/>
      <w:bookmarkStart w:id="726" w:name="_Toc267473033"/>
      <w:r>
        <w:rPr>
          <w:rFonts w:hint="eastAsia" w:ascii="宋体" w:hAnsi="宋体" w:eastAsia="宋体" w:cs="Times New Roman"/>
          <w:sz w:val="24"/>
          <w:szCs w:val="24"/>
        </w:rPr>
        <w:t>20.6 对各项保险的一般要求</w:t>
      </w:r>
      <w:bookmarkEnd w:id="724"/>
      <w:bookmarkEnd w:id="725"/>
      <w:bookmarkEnd w:id="72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20.6.1 保险凭证</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承包人应在专用合同条款约定的期限内向发包人提交各项保险生效的证据和保险单副本，保险单必须与专用合同条款约定的条件保持一致。</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20.6.2 保险合同条款的变动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承包人需要变动保险合同条款时，应事先征得发包人同意，并通知监理人。保险人做出变动的，承包人应在收到保险人通知后立即通知发包人和监理人。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20.6.3 持续保险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承包人应与保险人保持联系，使保险人能够随时了解工程实施中的变动，并确保按保险合同条款要求持续保险。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20.6.4 保险金不足的补偿</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保险金不足以补偿损失时，应由承包人和发包人各自负责补偿的范围和金额在专用合同条款中约定。</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20.6.5 未按约定投保的补救</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(l）由于负有投保义务的一方当事人未按合同约定办理保险，或未能使保险持续有效的，另一方当事人可代为办理，所需费用由对方当事人承担。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20.6.6 报告义务</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当保险事故发生时，投保人应按照保险单规定的条件和期限及时向保险人报告。</w:t>
      </w:r>
    </w:p>
    <w:p>
      <w:pPr>
        <w:spacing w:line="360" w:lineRule="auto"/>
        <w:ind w:firstLine="480" w:firstLineChars="200"/>
        <w:outlineLvl w:val="9"/>
        <w:rPr>
          <w:rFonts w:hint="eastAsia" w:ascii="宋体" w:hAnsi="宋体" w:eastAsia="宋体" w:cs="Times New Roman"/>
          <w:sz w:val="24"/>
          <w:szCs w:val="24"/>
        </w:rPr>
      </w:pPr>
      <w:bookmarkStart w:id="727" w:name="_Toc285028928"/>
      <w:bookmarkStart w:id="728" w:name="_Toc267473034"/>
      <w:bookmarkStart w:id="729" w:name="_Toc263677458"/>
      <w:r>
        <w:rPr>
          <w:rFonts w:hint="eastAsia" w:ascii="宋体" w:hAnsi="宋体" w:eastAsia="宋体" w:cs="Times New Roman"/>
          <w:sz w:val="24"/>
          <w:szCs w:val="24"/>
        </w:rPr>
        <w:t>20.7 风险责任的转移</w:t>
      </w:r>
      <w:bookmarkEnd w:id="727"/>
      <w:bookmarkEnd w:id="728"/>
      <w:bookmarkEnd w:id="72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工程通过合同工程完工验收并移交给发包人后，原由承包人应承担的风险责任，以及保险的责任、权利和义务同时转移给发包人，但承包人在缺陷责任期(工程质量保修期)前造成损失和损坏情形除外。</w:t>
      </w:r>
    </w:p>
    <w:p>
      <w:pPr>
        <w:spacing w:line="360" w:lineRule="auto"/>
        <w:ind w:firstLine="480" w:firstLineChars="200"/>
        <w:outlineLvl w:val="9"/>
        <w:rPr>
          <w:rFonts w:hint="eastAsia" w:ascii="宋体" w:hAnsi="宋体" w:eastAsia="宋体" w:cs="Times New Roman"/>
          <w:sz w:val="24"/>
          <w:szCs w:val="24"/>
        </w:rPr>
      </w:pPr>
      <w:bookmarkStart w:id="730" w:name="_Toc263677459"/>
      <w:bookmarkStart w:id="731" w:name="_Toc307417464"/>
      <w:bookmarkStart w:id="732" w:name="_Toc307485231"/>
      <w:bookmarkStart w:id="733" w:name="_Toc263370615"/>
      <w:bookmarkStart w:id="734" w:name="_Toc285028929"/>
      <w:bookmarkStart w:id="735" w:name="_Toc11843"/>
      <w:bookmarkStart w:id="736" w:name="_Toc430097437"/>
      <w:bookmarkStart w:id="737" w:name="_Toc267473035"/>
      <w:bookmarkStart w:id="738" w:name="_Toc184635118"/>
      <w:bookmarkStart w:id="739" w:name="_Toc307416167"/>
      <w:r>
        <w:rPr>
          <w:rFonts w:hint="eastAsia" w:ascii="宋体" w:hAnsi="宋体" w:eastAsia="宋体" w:cs="Times New Roman"/>
          <w:sz w:val="24"/>
          <w:szCs w:val="24"/>
        </w:rPr>
        <w:t>21．不可抗力</w:t>
      </w:r>
      <w:bookmarkEnd w:id="730"/>
      <w:bookmarkEnd w:id="731"/>
      <w:bookmarkEnd w:id="732"/>
      <w:bookmarkEnd w:id="733"/>
      <w:bookmarkEnd w:id="734"/>
      <w:bookmarkEnd w:id="735"/>
      <w:bookmarkEnd w:id="736"/>
      <w:bookmarkEnd w:id="737"/>
      <w:bookmarkEnd w:id="738"/>
      <w:bookmarkEnd w:id="739"/>
    </w:p>
    <w:p>
      <w:pPr>
        <w:spacing w:line="360" w:lineRule="auto"/>
        <w:ind w:firstLine="480" w:firstLineChars="200"/>
        <w:outlineLvl w:val="9"/>
        <w:rPr>
          <w:rFonts w:hint="eastAsia" w:ascii="宋体" w:hAnsi="宋体" w:eastAsia="宋体" w:cs="Times New Roman"/>
          <w:sz w:val="24"/>
          <w:szCs w:val="24"/>
        </w:rPr>
      </w:pPr>
      <w:bookmarkStart w:id="740" w:name="_Toc285028930"/>
      <w:bookmarkStart w:id="741" w:name="_Toc263677460"/>
      <w:bookmarkStart w:id="742" w:name="_Toc267473036"/>
      <w:r>
        <w:rPr>
          <w:rFonts w:hint="eastAsia" w:ascii="宋体" w:hAnsi="宋体" w:eastAsia="宋体" w:cs="Times New Roman"/>
          <w:sz w:val="24"/>
          <w:szCs w:val="24"/>
        </w:rPr>
        <w:t>21.1 不可抗力的确认</w:t>
      </w:r>
      <w:bookmarkEnd w:id="740"/>
      <w:bookmarkEnd w:id="741"/>
      <w:bookmarkEnd w:id="74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360" w:lineRule="auto"/>
        <w:ind w:firstLine="480" w:firstLineChars="200"/>
        <w:outlineLvl w:val="9"/>
        <w:rPr>
          <w:rFonts w:hint="eastAsia" w:ascii="宋体" w:hAnsi="宋体" w:eastAsia="宋体" w:cs="Times New Roman"/>
          <w:sz w:val="24"/>
          <w:szCs w:val="24"/>
        </w:rPr>
      </w:pPr>
      <w:bookmarkStart w:id="743" w:name="_Toc267473037"/>
      <w:bookmarkStart w:id="744" w:name="_Toc285028931"/>
      <w:bookmarkStart w:id="745" w:name="_Toc263677461"/>
      <w:r>
        <w:rPr>
          <w:rFonts w:hint="eastAsia" w:ascii="宋体" w:hAnsi="宋体" w:eastAsia="宋体" w:cs="Times New Roman"/>
          <w:sz w:val="24"/>
          <w:szCs w:val="24"/>
        </w:rPr>
        <w:t>21.2 不可抗力的通知</w:t>
      </w:r>
      <w:bookmarkEnd w:id="743"/>
      <w:bookmarkEnd w:id="744"/>
      <w:bookmarkEnd w:id="74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360" w:lineRule="auto"/>
        <w:ind w:firstLine="480" w:firstLineChars="200"/>
        <w:outlineLvl w:val="9"/>
        <w:rPr>
          <w:rFonts w:hint="eastAsia" w:ascii="宋体" w:hAnsi="宋体" w:eastAsia="宋体" w:cs="Times New Roman"/>
          <w:sz w:val="24"/>
          <w:szCs w:val="24"/>
        </w:rPr>
      </w:pPr>
      <w:bookmarkStart w:id="746" w:name="_Toc285028932"/>
      <w:bookmarkStart w:id="747" w:name="_Toc263677462"/>
      <w:bookmarkStart w:id="748" w:name="_Toc267473038"/>
      <w:r>
        <w:rPr>
          <w:rFonts w:hint="eastAsia" w:ascii="宋体" w:hAnsi="宋体" w:eastAsia="宋体" w:cs="Times New Roman"/>
          <w:sz w:val="24"/>
          <w:szCs w:val="24"/>
        </w:rPr>
        <w:t>21.3 不可抗力后果及其处理</w:t>
      </w:r>
      <w:bookmarkEnd w:id="746"/>
      <w:bookmarkEnd w:id="747"/>
      <w:bookmarkEnd w:id="748"/>
    </w:p>
    <w:p>
      <w:pPr>
        <w:spacing w:line="360" w:lineRule="auto"/>
        <w:ind w:firstLine="480" w:firstLineChars="200"/>
        <w:outlineLvl w:val="9"/>
        <w:rPr>
          <w:rFonts w:hint="eastAsia" w:ascii="宋体" w:hAnsi="宋体" w:eastAsia="宋体" w:cs="Times New Roman"/>
          <w:sz w:val="24"/>
          <w:szCs w:val="24"/>
        </w:rPr>
      </w:pPr>
      <w:bookmarkStart w:id="749" w:name="_Toc275528182"/>
      <w:bookmarkStart w:id="750" w:name="_Toc267471043"/>
      <w:bookmarkStart w:id="751" w:name="_Toc285028933"/>
      <w:bookmarkStart w:id="752" w:name="_Toc267473039"/>
      <w:r>
        <w:rPr>
          <w:rFonts w:hint="eastAsia" w:ascii="宋体" w:hAnsi="宋体" w:eastAsia="宋体" w:cs="Times New Roman"/>
          <w:sz w:val="24"/>
          <w:szCs w:val="24"/>
        </w:rPr>
        <w:t>21.3.1 不可抗力造成损害的责任</w:t>
      </w:r>
      <w:bookmarkEnd w:id="749"/>
      <w:bookmarkEnd w:id="750"/>
      <w:bookmarkEnd w:id="751"/>
      <w:bookmarkEnd w:id="75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除专用合同条款另有约定外，不可抗力导致的人员伤亡、财产损失、费用增加和（或）工期延误等后果，由合同双方按以下原则承担：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(1）永久工程，包括已运至施工场地的材料和工程设备的损害，以及因工程损害造成的第三者人员伤亡和财产损失由发包人承担；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(2）承包人设备的损坏由承包人承担；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(3）发包人和承包人各自承担其人员伤亡和其他财产损失及其相关费用；</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(4）承包人的停工损失由承包人承担，但停工期间应监理人要求照管工程和清理、修复工程的金额由发包人承担；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(5）不能按期竣工的，应合理延长工期，承包人不需支付逾期竣工违约金。发包人要求赶工的，承包人应采取赶工措施，赶工费用由发包人承担。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21.3.2 延迟履行期间发生的不可抗力</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合同一方当事人延迟履行，在延迟履行期间发生不可抗力的，不免除其责任。</w:t>
      </w:r>
    </w:p>
    <w:p>
      <w:pPr>
        <w:spacing w:line="360" w:lineRule="auto"/>
        <w:ind w:firstLine="480" w:firstLineChars="200"/>
        <w:outlineLvl w:val="9"/>
        <w:rPr>
          <w:rFonts w:hint="eastAsia" w:ascii="宋体" w:hAnsi="宋体" w:eastAsia="宋体" w:cs="Times New Roman"/>
          <w:sz w:val="24"/>
          <w:szCs w:val="24"/>
        </w:rPr>
      </w:pPr>
      <w:bookmarkStart w:id="753" w:name="_Toc267473040"/>
      <w:bookmarkStart w:id="754" w:name="_Toc267471044"/>
      <w:bookmarkStart w:id="755" w:name="_Toc285028934"/>
      <w:bookmarkStart w:id="756" w:name="_Toc275528183"/>
      <w:r>
        <w:rPr>
          <w:rFonts w:hint="eastAsia" w:ascii="宋体" w:hAnsi="宋体" w:eastAsia="宋体" w:cs="Times New Roman"/>
          <w:sz w:val="24"/>
          <w:szCs w:val="24"/>
        </w:rPr>
        <w:t>21.3.3 避免和减少不可抗力损失</w:t>
      </w:r>
      <w:bookmarkEnd w:id="753"/>
      <w:bookmarkEnd w:id="754"/>
      <w:bookmarkEnd w:id="755"/>
      <w:bookmarkEnd w:id="75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不可抗力发生后，发包人和承包人均应采取措施尽量避免和减少损失的扩大，任何一方没有采取有效措施导致损失扩大的，应对扩大的损失承担责任。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21.3.4 因不可抗力解除合同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360" w:lineRule="auto"/>
        <w:ind w:firstLine="480" w:firstLineChars="200"/>
        <w:outlineLvl w:val="9"/>
        <w:rPr>
          <w:rFonts w:hint="eastAsia" w:ascii="宋体" w:hAnsi="宋体" w:eastAsia="宋体" w:cs="Times New Roman"/>
          <w:sz w:val="24"/>
          <w:szCs w:val="24"/>
        </w:rPr>
      </w:pPr>
      <w:bookmarkStart w:id="757" w:name="_Toc307485232"/>
      <w:bookmarkStart w:id="758" w:name="_Toc307416168"/>
      <w:bookmarkStart w:id="759" w:name="_Toc263677463"/>
      <w:bookmarkStart w:id="760" w:name="_Toc184635119"/>
      <w:bookmarkStart w:id="761" w:name="_Toc1093"/>
      <w:bookmarkStart w:id="762" w:name="_Toc285028935"/>
      <w:bookmarkStart w:id="763" w:name="_Toc430097438"/>
      <w:bookmarkStart w:id="764" w:name="_Toc263370616"/>
      <w:bookmarkStart w:id="765" w:name="_Toc267473041"/>
      <w:bookmarkStart w:id="766" w:name="_Toc307417465"/>
      <w:r>
        <w:rPr>
          <w:rFonts w:hint="eastAsia" w:ascii="宋体" w:hAnsi="宋体" w:eastAsia="宋体" w:cs="Times New Roman"/>
          <w:sz w:val="24"/>
          <w:szCs w:val="24"/>
        </w:rPr>
        <w:t>22．违约</w:t>
      </w:r>
      <w:bookmarkEnd w:id="757"/>
      <w:bookmarkEnd w:id="758"/>
      <w:bookmarkEnd w:id="759"/>
      <w:bookmarkEnd w:id="760"/>
      <w:bookmarkEnd w:id="761"/>
      <w:bookmarkEnd w:id="762"/>
      <w:bookmarkEnd w:id="763"/>
      <w:bookmarkEnd w:id="764"/>
      <w:bookmarkEnd w:id="765"/>
      <w:bookmarkEnd w:id="766"/>
    </w:p>
    <w:p>
      <w:pPr>
        <w:spacing w:line="360" w:lineRule="auto"/>
        <w:ind w:firstLine="480" w:firstLineChars="200"/>
        <w:outlineLvl w:val="9"/>
        <w:rPr>
          <w:rFonts w:hint="eastAsia" w:ascii="宋体" w:hAnsi="宋体" w:eastAsia="宋体" w:cs="Times New Roman"/>
          <w:sz w:val="24"/>
          <w:szCs w:val="24"/>
        </w:rPr>
      </w:pPr>
      <w:bookmarkStart w:id="767" w:name="_Toc285028936"/>
      <w:bookmarkStart w:id="768" w:name="_Toc267473042"/>
      <w:bookmarkStart w:id="769" w:name="_Toc263677464"/>
      <w:r>
        <w:rPr>
          <w:rFonts w:hint="eastAsia" w:ascii="宋体" w:hAnsi="宋体" w:eastAsia="宋体" w:cs="Times New Roman"/>
          <w:sz w:val="24"/>
          <w:szCs w:val="24"/>
        </w:rPr>
        <w:t>22.1 承包人违约</w:t>
      </w:r>
      <w:bookmarkEnd w:id="767"/>
      <w:bookmarkEnd w:id="768"/>
      <w:bookmarkEnd w:id="76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22.1.1 承包人违约的情形</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在履行合同过程中发生的下列情况属承包人违约：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(1）承包人违反第1．8款或第4．3款的约定，私自将合同的全部或部分权利转让给其他人，或私自将合同的全部或部分义务转移给其他人；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(2)承包人违反第5.3款或第6.4款的约定，未经监理人批准，私自将已按合同约定进入施工场地的施工设备、临时设施或材料撤离施工场地；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(3)承包人违反第5.4款的约定使用了不合格材料或工程设备，工程质量达不到标准要求，又拒绝清除不合格工程；</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(4)承包人未能按合同进度计划及时完成合同约定的工作，已造成或预期造成工期延误；</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(5)承包人在缺陷责任期(工程质量保修期)内，未能对合同工程完工验收鉴定书所列的缺陷清单的内容或缺陷责任期(工程质量保修期)内发生的缺陷进行修复，而又拒绝按监理人指示再进行修补；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(6)承包人无法继续履行或明确表示不履行或实质上已停止履行合同；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(7)承包人不按合同约定履行义务的其它情况。</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22.1.2 对承包人违约的处理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(l）承包人发生第22.1.1(6）目约定的违约情况时，发包人可通知承包人立即解除合同，并按有关法律处理。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(2）承包人发生除第22.1.1(6）目约定以外的其他违约情况时，监理人可向承包人发出整改通知，要求其在指定的期限内改正。承包人应承担其违约所引起的费用增加和（或）工期延误。</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(3）经检查证明承包人已采取了有效措施纠正违约行为，具备复工条件的，可由监理人签发复工通知复工。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22.1.3 承包人违约解除合同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22.1.4 合同解除后的估价、付款和结清</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(1）合同解除后，监理人按第3.5款商定或确定承包人实际完成工作的价值，以及承包人已提供的材料、施工设备、工程设备和临时工程等的价值。</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(2）合同解除后，发包人应暂停对承包人的一切付款，查清各项付款和已扣款金额，包括承包人应支付的违约金。</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(3）合同解除后，发包人应按第23.4款的约定向承包人索赔由于解除合同给发包人造成的损失。</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(4）合同双方确认上述往来款项后，出具最终结清付款证书，结清全部合同款项。</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(5）发包人和承包人未能就解除合同后的结清达成一致而形成争议的，按第24条的约定办理。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22.1.5 协议利益的转让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因承包人违约解除合同的，发包人有权要求承包人将其为实施合同而签订的材料和设备的订货协议或任何服务协议利益转让给发包人，并在解除合同后的14天内，依法办理转让手续。</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22.1.6 紧急情况下无能力或不愿进行抢救</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360" w:lineRule="auto"/>
        <w:ind w:firstLine="480" w:firstLineChars="200"/>
        <w:outlineLvl w:val="9"/>
        <w:rPr>
          <w:rFonts w:hint="eastAsia" w:ascii="宋体" w:hAnsi="宋体" w:eastAsia="宋体" w:cs="Times New Roman"/>
          <w:sz w:val="24"/>
          <w:szCs w:val="24"/>
        </w:rPr>
      </w:pPr>
      <w:bookmarkStart w:id="770" w:name="_Toc267473043"/>
      <w:bookmarkStart w:id="771" w:name="_Toc263677465"/>
      <w:bookmarkStart w:id="772" w:name="_Toc285028937"/>
      <w:r>
        <w:rPr>
          <w:rFonts w:hint="eastAsia" w:ascii="宋体" w:hAnsi="宋体" w:eastAsia="宋体" w:cs="Times New Roman"/>
          <w:sz w:val="24"/>
          <w:szCs w:val="24"/>
        </w:rPr>
        <w:t>22.2 发包人违约</w:t>
      </w:r>
      <w:bookmarkEnd w:id="770"/>
      <w:bookmarkEnd w:id="771"/>
      <w:bookmarkEnd w:id="772"/>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22.2.1 发包人违约的情形</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在履行合同过程中发生的下列情形，属发包人违约：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(l）发包人未能按合同约定支付预付款或合同价款，或拖延、拒绝批准付款申请和支付凭证，导致付款延误的；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(2）发包人原因造成停工的；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(3）监理人无正当理由没有在约定期限内发出复工指示，导致承包人无法复工的；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(4）发包人无法继续履行或明确表示不履行或实质上已停止履行合同的；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(5）发包人不履行合同约定其他义务的。</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22.2.2 承包人有权暂停施工</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22.2.3 发包人违约解除合同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(1）发生第22.2.1(4）目的违约情况时，承包人可书面通知发包人解除合同。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(2）承包人按22.2.2 项暂停施工28天后，发包人仍不纠正违约行为的，承包人可向发包人发出解除合同通知。但承包人的这一行动不免除发包人承担的违约责任，也不影响承包人根据合同约定享有的索赔权利。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22.2.4 解除合同后的付款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因发包人违约解除合同的，发包人应在解除合同后28天内向承包人支付下列金额，承包人应在此期限内及时向发包人提交要求支付下列金额的有关资料和凭证：</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(l）合同解除日以前所完成工作的价款；</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(2）承包人为该工程施工订购并已付款的材料、工程设备和其他物品的金额。发包人付还后，该材料、工程设备和其他物品归发包人所有；</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(3）承包人为完成工程所发生的，而发包人未支付的金额；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(4）承包人撤离施工场地以及遣散承包人人员的金额；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(5）由于解除合同应赔偿的承包人损失；</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(6）按合同约定在合同解除日前应支付给承包人的其他金额。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发包人应按本项约定支付上述金额并退还质量保证金和履约担保，但有权要求承包人支付应偿还给发包人的各项金额。</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22.2.5 解除合同后的承包人撤离</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w:t>
      </w:r>
    </w:p>
    <w:p>
      <w:pPr>
        <w:spacing w:line="360" w:lineRule="auto"/>
        <w:ind w:firstLine="480" w:firstLineChars="200"/>
        <w:outlineLvl w:val="9"/>
        <w:rPr>
          <w:rFonts w:hint="eastAsia" w:ascii="宋体" w:hAnsi="宋体" w:eastAsia="宋体" w:cs="Times New Roman"/>
          <w:sz w:val="24"/>
          <w:szCs w:val="24"/>
        </w:rPr>
      </w:pPr>
      <w:bookmarkStart w:id="773" w:name="_Toc267473044"/>
      <w:bookmarkStart w:id="774" w:name="_Toc285028938"/>
      <w:bookmarkStart w:id="775" w:name="_Toc263677466"/>
      <w:r>
        <w:rPr>
          <w:rFonts w:hint="eastAsia" w:ascii="宋体" w:hAnsi="宋体" w:eastAsia="宋体" w:cs="Times New Roman"/>
          <w:sz w:val="24"/>
          <w:szCs w:val="24"/>
        </w:rPr>
        <w:t>22.3 第三人造成的违约</w:t>
      </w:r>
      <w:bookmarkEnd w:id="773"/>
      <w:bookmarkEnd w:id="774"/>
      <w:bookmarkEnd w:id="775"/>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outlineLvl w:val="9"/>
        <w:rPr>
          <w:rFonts w:hint="eastAsia" w:ascii="宋体" w:hAnsi="宋体" w:eastAsia="宋体" w:cs="Times New Roman"/>
          <w:sz w:val="24"/>
          <w:szCs w:val="24"/>
        </w:rPr>
      </w:pPr>
      <w:bookmarkStart w:id="776" w:name="_Toc12002"/>
      <w:bookmarkStart w:id="777" w:name="_Toc307416169"/>
      <w:bookmarkStart w:id="778" w:name="_Toc285028939"/>
      <w:bookmarkStart w:id="779" w:name="_Toc307417466"/>
      <w:bookmarkStart w:id="780" w:name="_Toc263677467"/>
      <w:bookmarkStart w:id="781" w:name="_Toc267473045"/>
      <w:bookmarkStart w:id="782" w:name="_Toc307485233"/>
      <w:bookmarkStart w:id="783" w:name="_Toc430097439"/>
      <w:bookmarkStart w:id="784" w:name="_Toc263370617"/>
      <w:bookmarkStart w:id="785" w:name="_Toc184635120"/>
      <w:r>
        <w:rPr>
          <w:rFonts w:hint="eastAsia" w:ascii="宋体" w:hAnsi="宋体" w:eastAsia="宋体" w:cs="Times New Roman"/>
          <w:sz w:val="24"/>
          <w:szCs w:val="24"/>
        </w:rPr>
        <w:t>23．索赔</w:t>
      </w:r>
      <w:bookmarkEnd w:id="776"/>
      <w:bookmarkEnd w:id="777"/>
      <w:bookmarkEnd w:id="778"/>
      <w:bookmarkEnd w:id="779"/>
      <w:bookmarkEnd w:id="780"/>
      <w:bookmarkEnd w:id="781"/>
      <w:bookmarkEnd w:id="782"/>
      <w:bookmarkEnd w:id="783"/>
      <w:bookmarkEnd w:id="784"/>
      <w:bookmarkEnd w:id="785"/>
    </w:p>
    <w:p>
      <w:pPr>
        <w:spacing w:line="360" w:lineRule="auto"/>
        <w:ind w:firstLine="480" w:firstLineChars="200"/>
        <w:outlineLvl w:val="9"/>
        <w:rPr>
          <w:rFonts w:hint="eastAsia" w:ascii="宋体" w:hAnsi="宋体" w:eastAsia="宋体" w:cs="Times New Roman"/>
          <w:sz w:val="24"/>
          <w:szCs w:val="24"/>
        </w:rPr>
      </w:pPr>
      <w:bookmarkStart w:id="786" w:name="_Toc267473046"/>
      <w:bookmarkStart w:id="787" w:name="_Toc285028940"/>
      <w:bookmarkStart w:id="788" w:name="_Toc263677468"/>
      <w:r>
        <w:rPr>
          <w:rFonts w:hint="eastAsia" w:ascii="宋体" w:hAnsi="宋体" w:eastAsia="宋体" w:cs="Times New Roman"/>
          <w:sz w:val="24"/>
          <w:szCs w:val="24"/>
        </w:rPr>
        <w:t>23.1 承包人索赔的提出</w:t>
      </w:r>
      <w:bookmarkEnd w:id="786"/>
      <w:bookmarkEnd w:id="787"/>
      <w:bookmarkEnd w:id="788"/>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根据合同约定，承包人认为有权得到追加付款和（或）延长工期的，应按以下程序向发包人提出索赔：</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(3）索赔事件具有连续影响的，承包人应按合理时间间隔继续递交延续索赔通知，说明连续影响的实际情况和记录，列出累计的追加付款金额和（或）工期延长天数；</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(4）在索赔事件影响结束后的28天内，承包人应向监理人递交最终索赔通知书，说明最终要求索赔的追加付款金额和延长的工期，并附必要的记录和证明材料。</w:t>
      </w:r>
    </w:p>
    <w:p>
      <w:pPr>
        <w:spacing w:line="360" w:lineRule="auto"/>
        <w:ind w:firstLine="480" w:firstLineChars="200"/>
        <w:outlineLvl w:val="9"/>
        <w:rPr>
          <w:rFonts w:hint="eastAsia" w:ascii="宋体" w:hAnsi="宋体" w:eastAsia="宋体" w:cs="Times New Roman"/>
          <w:sz w:val="24"/>
          <w:szCs w:val="24"/>
        </w:rPr>
      </w:pPr>
      <w:bookmarkStart w:id="789" w:name="_Toc263677469"/>
      <w:bookmarkStart w:id="790" w:name="_Toc285028941"/>
      <w:bookmarkStart w:id="791" w:name="_Toc267473047"/>
      <w:r>
        <w:rPr>
          <w:rFonts w:hint="eastAsia" w:ascii="宋体" w:hAnsi="宋体" w:eastAsia="宋体" w:cs="Times New Roman"/>
          <w:sz w:val="24"/>
          <w:szCs w:val="24"/>
        </w:rPr>
        <w:t>23.2 承包人索赔处理程序</w:t>
      </w:r>
      <w:bookmarkEnd w:id="789"/>
      <w:bookmarkEnd w:id="790"/>
      <w:bookmarkEnd w:id="791"/>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(1）监理人收到承包人提交的索赔通知书后，应及时审查索赔通知书的内容、查验承包人的记录和证明材料，必要时监理人可要求承包人提交全部原始记录副本。</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(2）监理人应按第3.5款商定或确定追加的付款和（或）延长的工期，并在收到上述索赔通知书或有关索赔的进一步证明材料后的42天内，将索赔处理结果答复承包人。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(3）承包人接受索赔处理结果的，发包人应在做出索赔处理结果答复后28天内完成赔付。承包人不接受索赔处理结果的，按第24条的约定办理。</w:t>
      </w:r>
    </w:p>
    <w:p>
      <w:pPr>
        <w:spacing w:line="360" w:lineRule="auto"/>
        <w:ind w:firstLine="480" w:firstLineChars="200"/>
        <w:outlineLvl w:val="9"/>
        <w:rPr>
          <w:rFonts w:hint="eastAsia" w:ascii="宋体" w:hAnsi="宋体" w:eastAsia="宋体" w:cs="Times New Roman"/>
          <w:sz w:val="24"/>
          <w:szCs w:val="24"/>
        </w:rPr>
      </w:pPr>
      <w:bookmarkStart w:id="792" w:name="_Toc267473048"/>
      <w:bookmarkStart w:id="793" w:name="_Toc285028942"/>
      <w:bookmarkStart w:id="794" w:name="_Toc263677470"/>
      <w:r>
        <w:rPr>
          <w:rFonts w:hint="eastAsia" w:ascii="宋体" w:hAnsi="宋体" w:eastAsia="宋体" w:cs="Times New Roman"/>
          <w:sz w:val="24"/>
          <w:szCs w:val="24"/>
        </w:rPr>
        <w:t>23.3 承包人提出索赔的期限</w:t>
      </w:r>
      <w:bookmarkEnd w:id="792"/>
      <w:bookmarkEnd w:id="793"/>
      <w:bookmarkEnd w:id="794"/>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23.3.1 承包人按第17.5款的约定接受了完工付款证书后，应被认为已无权再提出在合同工程完工证书颁发前所发生的任何索赔。</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23.3.2 承包人按第17.6款的约定提交的最终结清申请单中，只限于提出合同工程完工证书颁发后发生的索赔。提出索赔的期限、9接受最终结清证书时终止。</w:t>
      </w:r>
    </w:p>
    <w:p>
      <w:pPr>
        <w:spacing w:line="360" w:lineRule="auto"/>
        <w:ind w:firstLine="480" w:firstLineChars="200"/>
        <w:outlineLvl w:val="9"/>
        <w:rPr>
          <w:rFonts w:hint="eastAsia" w:ascii="宋体" w:hAnsi="宋体" w:eastAsia="宋体" w:cs="Times New Roman"/>
          <w:sz w:val="24"/>
          <w:szCs w:val="24"/>
        </w:rPr>
      </w:pPr>
      <w:bookmarkStart w:id="795" w:name="_Toc285028943"/>
      <w:bookmarkStart w:id="796" w:name="_Toc263677471"/>
      <w:bookmarkStart w:id="797" w:name="_Toc267473049"/>
      <w:r>
        <w:rPr>
          <w:rFonts w:hint="eastAsia" w:ascii="宋体" w:hAnsi="宋体" w:eastAsia="宋体" w:cs="Times New Roman"/>
          <w:sz w:val="24"/>
          <w:szCs w:val="24"/>
        </w:rPr>
        <w:t>23.4 发包人的索赔</w:t>
      </w:r>
      <w:bookmarkEnd w:id="795"/>
      <w:bookmarkEnd w:id="796"/>
      <w:bookmarkEnd w:id="797"/>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spacing w:line="360" w:lineRule="auto"/>
        <w:ind w:firstLine="480" w:firstLineChars="200"/>
        <w:outlineLvl w:val="9"/>
        <w:rPr>
          <w:rFonts w:hint="eastAsia" w:ascii="宋体" w:hAnsi="宋体" w:eastAsia="宋体" w:cs="Times New Roman"/>
          <w:sz w:val="24"/>
          <w:szCs w:val="24"/>
        </w:rPr>
      </w:pPr>
      <w:bookmarkStart w:id="798" w:name="_Toc285028944"/>
      <w:bookmarkStart w:id="799" w:name="_Toc184635121"/>
      <w:bookmarkStart w:id="800" w:name="_Toc307485234"/>
      <w:bookmarkStart w:id="801" w:name="_Toc263370618"/>
      <w:bookmarkStart w:id="802" w:name="_Toc11280"/>
      <w:bookmarkStart w:id="803" w:name="_Toc307417467"/>
      <w:bookmarkStart w:id="804" w:name="_Toc267473050"/>
      <w:bookmarkStart w:id="805" w:name="_Toc263677472"/>
      <w:bookmarkStart w:id="806" w:name="_Toc430097440"/>
      <w:bookmarkStart w:id="807" w:name="_Toc307416170"/>
      <w:r>
        <w:rPr>
          <w:rFonts w:hint="eastAsia" w:ascii="宋体" w:hAnsi="宋体" w:eastAsia="宋体" w:cs="Times New Roman"/>
          <w:sz w:val="24"/>
          <w:szCs w:val="24"/>
        </w:rPr>
        <w:t>24．争议的解决</w:t>
      </w:r>
      <w:bookmarkEnd w:id="798"/>
      <w:bookmarkEnd w:id="799"/>
      <w:bookmarkEnd w:id="800"/>
      <w:bookmarkEnd w:id="801"/>
      <w:bookmarkEnd w:id="802"/>
      <w:bookmarkEnd w:id="803"/>
      <w:bookmarkEnd w:id="804"/>
      <w:bookmarkEnd w:id="805"/>
      <w:bookmarkEnd w:id="806"/>
      <w:bookmarkEnd w:id="807"/>
    </w:p>
    <w:p>
      <w:pPr>
        <w:spacing w:line="360" w:lineRule="auto"/>
        <w:ind w:firstLine="480" w:firstLineChars="200"/>
        <w:outlineLvl w:val="9"/>
        <w:rPr>
          <w:rFonts w:hint="eastAsia" w:ascii="宋体" w:hAnsi="宋体" w:eastAsia="宋体" w:cs="Times New Roman"/>
          <w:sz w:val="24"/>
          <w:szCs w:val="24"/>
        </w:rPr>
      </w:pPr>
      <w:bookmarkStart w:id="808" w:name="_Toc285028945"/>
      <w:bookmarkStart w:id="809" w:name="_Toc267473051"/>
      <w:bookmarkStart w:id="810" w:name="_Toc263677473"/>
      <w:r>
        <w:rPr>
          <w:rFonts w:hint="eastAsia" w:ascii="宋体" w:hAnsi="宋体" w:eastAsia="宋体" w:cs="Times New Roman"/>
          <w:sz w:val="24"/>
          <w:szCs w:val="24"/>
        </w:rPr>
        <w:t>24.1 争议的解决方式</w:t>
      </w:r>
      <w:bookmarkEnd w:id="808"/>
      <w:bookmarkEnd w:id="809"/>
      <w:bookmarkEnd w:id="810"/>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(l）向约定的仲裁委员会申请仲裁；</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(2）向有管辖权的人民法院提起诉讼。</w:t>
      </w:r>
    </w:p>
    <w:p>
      <w:pPr>
        <w:spacing w:line="360" w:lineRule="auto"/>
        <w:ind w:firstLine="480" w:firstLineChars="200"/>
        <w:outlineLvl w:val="9"/>
        <w:rPr>
          <w:rFonts w:hint="eastAsia" w:ascii="宋体" w:hAnsi="宋体" w:eastAsia="宋体" w:cs="Times New Roman"/>
          <w:sz w:val="24"/>
          <w:szCs w:val="24"/>
        </w:rPr>
      </w:pPr>
      <w:bookmarkStart w:id="811" w:name="_Toc267473052"/>
      <w:bookmarkStart w:id="812" w:name="_Toc285028946"/>
      <w:bookmarkStart w:id="813" w:name="_Toc263677474"/>
      <w:r>
        <w:rPr>
          <w:rFonts w:hint="eastAsia" w:ascii="宋体" w:hAnsi="宋体" w:eastAsia="宋体" w:cs="Times New Roman"/>
          <w:sz w:val="24"/>
          <w:szCs w:val="24"/>
        </w:rPr>
        <w:t>24.2 友好解决</w:t>
      </w:r>
      <w:bookmarkEnd w:id="811"/>
      <w:bookmarkEnd w:id="812"/>
      <w:bookmarkEnd w:id="813"/>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在提请争议评审、仲裁或者诉讼前，以及在争议评审、仲裁或诉讼过程中，发包人和承包人均可共同努力友好协商解决争议。</w:t>
      </w:r>
    </w:p>
    <w:p>
      <w:pPr>
        <w:spacing w:line="360" w:lineRule="auto"/>
        <w:ind w:firstLine="480" w:firstLineChars="200"/>
        <w:outlineLvl w:val="9"/>
        <w:rPr>
          <w:rFonts w:hint="eastAsia" w:ascii="宋体" w:hAnsi="宋体" w:eastAsia="宋体" w:cs="Times New Roman"/>
          <w:sz w:val="24"/>
          <w:szCs w:val="24"/>
        </w:rPr>
      </w:pPr>
      <w:bookmarkStart w:id="814" w:name="_Toc285028947"/>
      <w:bookmarkStart w:id="815" w:name="_Toc267473053"/>
      <w:bookmarkStart w:id="816" w:name="_Toc263677475"/>
      <w:r>
        <w:rPr>
          <w:rFonts w:hint="eastAsia" w:ascii="宋体" w:hAnsi="宋体" w:eastAsia="宋体" w:cs="Times New Roman"/>
          <w:sz w:val="24"/>
          <w:szCs w:val="24"/>
        </w:rPr>
        <w:t>24.3 争议评审</w:t>
      </w:r>
      <w:bookmarkEnd w:id="814"/>
      <w:bookmarkEnd w:id="815"/>
      <w:bookmarkEnd w:id="816"/>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24.3.1 采用争议评审的，发包人和承包人应在开工日后的28天内或在争议发生后，协商成立争议评审组。争议评审组由有合同管理和工程实践经验的专家组成。</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24.3.2 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24.3.3 被申请人在收到申请人评审申请报告副本后的28天内，向争议评审组提交一份答辩报告，并附证明材料。被申请人应将答辩报告的副本同时提交给申请人和监理人。</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24.3.4 除专用合同条款另有约定外，争议评审组在收到合同双方报告后的14天内，邀请双方代表和有关人员举行调查会，向双方调查争议细节；必要时争议评审组可要求双方进一步提供补充材料。</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24.3.6 发包人和承包人接受评审意见的，由监理人根据评审意见拟定执行协议，经争议双方签字后作为合同的补充文件，并遵照执行。</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spacing w:line="360" w:lineRule="auto"/>
        <w:ind w:firstLine="480" w:firstLineChars="200"/>
        <w:outlineLvl w:val="9"/>
        <w:rPr>
          <w:rFonts w:hint="eastAsia" w:ascii="宋体" w:hAnsi="宋体" w:eastAsia="宋体" w:cs="Times New Roman"/>
          <w:sz w:val="24"/>
          <w:szCs w:val="24"/>
        </w:rPr>
      </w:pPr>
      <w:bookmarkStart w:id="817" w:name="_Toc285028948"/>
      <w:bookmarkStart w:id="818" w:name="_Toc263677476"/>
      <w:bookmarkStart w:id="819" w:name="_Toc267473054"/>
      <w:r>
        <w:rPr>
          <w:rFonts w:hint="eastAsia" w:ascii="宋体" w:hAnsi="宋体" w:eastAsia="宋体" w:cs="Times New Roman"/>
          <w:sz w:val="24"/>
          <w:szCs w:val="24"/>
        </w:rPr>
        <w:t>24.4 仲裁</w:t>
      </w:r>
      <w:bookmarkEnd w:id="817"/>
      <w:bookmarkEnd w:id="818"/>
      <w:bookmarkEnd w:id="819"/>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24.4.1 若合同双方商定直接向仲裁机构申请仲裁，应签订仲裁协议并约定仲裁机构。</w:t>
      </w:r>
    </w:p>
    <w:p>
      <w:pPr>
        <w:spacing w:line="360" w:lineRule="auto"/>
        <w:ind w:firstLine="480" w:firstLineChars="200"/>
        <w:outlineLvl w:val="9"/>
        <w:rPr>
          <w:rFonts w:ascii="宋体" w:hAnsi="宋体"/>
          <w:szCs w:val="21"/>
        </w:rPr>
      </w:pPr>
      <w:r>
        <w:rPr>
          <w:rFonts w:hint="eastAsia" w:ascii="宋体" w:hAnsi="宋体" w:eastAsia="宋体" w:cs="Times New Roman"/>
          <w:sz w:val="24"/>
          <w:szCs w:val="24"/>
        </w:rPr>
        <w:t>24.4.2 若合同双方未能达成仲裁协议，则本合同的仲裁条款无效，任一方均有权向人民法院提起诉讼。</w:t>
      </w:r>
    </w:p>
    <w:p>
      <w:pPr>
        <w:snapToGrid w:val="0"/>
        <w:spacing w:line="360" w:lineRule="auto"/>
        <w:jc w:val="center"/>
        <w:outlineLvl w:val="9"/>
        <w:rPr>
          <w:sz w:val="28"/>
          <w:szCs w:val="28"/>
        </w:rPr>
      </w:pPr>
      <w:r>
        <w:rPr>
          <w:sz w:val="28"/>
          <w:szCs w:val="28"/>
        </w:rPr>
        <w:br w:type="page"/>
      </w:r>
      <w:bookmarkStart w:id="820" w:name="_Toc430097441"/>
      <w:bookmarkStart w:id="821" w:name="_Toc29864"/>
      <w:bookmarkStart w:id="822" w:name="_Toc285028949"/>
      <w:bookmarkStart w:id="823" w:name="_Toc307416171"/>
      <w:bookmarkStart w:id="824" w:name="_Toc307417468"/>
      <w:bookmarkStart w:id="825" w:name="_Toc307485235"/>
      <w:bookmarkStart w:id="826" w:name="_Toc267473055"/>
      <w:r>
        <w:rPr>
          <w:rFonts w:hint="eastAsia"/>
          <w:b/>
          <w:bCs/>
          <w:sz w:val="28"/>
          <w:szCs w:val="28"/>
        </w:rPr>
        <w:t>第2节</w:t>
      </w:r>
      <w:r>
        <w:rPr>
          <w:rFonts w:hint="eastAsia"/>
          <w:b/>
          <w:bCs/>
          <w:sz w:val="28"/>
          <w:szCs w:val="28"/>
          <w:lang w:val="en-US" w:eastAsia="zh-CN"/>
        </w:rPr>
        <w:t xml:space="preserve">  </w:t>
      </w:r>
      <w:r>
        <w:rPr>
          <w:rFonts w:hint="eastAsia"/>
          <w:b/>
          <w:bCs/>
          <w:sz w:val="28"/>
          <w:szCs w:val="28"/>
        </w:rPr>
        <w:t>专用合同条款</w:t>
      </w:r>
      <w:bookmarkEnd w:id="57"/>
      <w:bookmarkEnd w:id="58"/>
      <w:bookmarkEnd w:id="59"/>
      <w:bookmarkEnd w:id="60"/>
      <w:bookmarkEnd w:id="61"/>
      <w:bookmarkEnd w:id="820"/>
      <w:bookmarkEnd w:id="821"/>
      <w:bookmarkEnd w:id="822"/>
      <w:bookmarkEnd w:id="823"/>
      <w:bookmarkEnd w:id="824"/>
      <w:bookmarkEnd w:id="825"/>
      <w:bookmarkEnd w:id="826"/>
    </w:p>
    <w:p>
      <w:pPr>
        <w:numPr>
          <w:ilvl w:val="0"/>
          <w:numId w:val="0"/>
        </w:numPr>
        <w:snapToGrid w:val="0"/>
        <w:ind w:leftChars="0"/>
        <w:jc w:val="both"/>
        <w:outlineLvl w:val="9"/>
        <w:rPr>
          <w:rFonts w:hint="eastAsia" w:ascii="宋体" w:hAnsi="宋体" w:eastAsia="宋体" w:cs="宋体"/>
          <w:sz w:val="24"/>
          <w:szCs w:val="24"/>
        </w:rPr>
      </w:pPr>
      <w:bookmarkStart w:id="827" w:name="_Toc267473056"/>
      <w:bookmarkStart w:id="828" w:name="_Toc263370620"/>
      <w:bookmarkStart w:id="829" w:name="_Toc29925"/>
      <w:bookmarkStart w:id="830" w:name="_Toc307485236"/>
      <w:bookmarkStart w:id="831" w:name="_Toc307416172"/>
      <w:bookmarkStart w:id="832" w:name="_Toc307417469"/>
      <w:bookmarkStart w:id="833" w:name="_Toc265657485"/>
      <w:bookmarkStart w:id="834" w:name="_Toc285028950"/>
      <w:bookmarkStart w:id="835" w:name="_Toc430097442"/>
      <w:r>
        <w:rPr>
          <w:rFonts w:hint="eastAsia" w:ascii="宋体" w:hAnsi="宋体" w:eastAsia="宋体" w:cs="宋体"/>
          <w:b/>
          <w:bCs/>
          <w:sz w:val="24"/>
          <w:szCs w:val="24"/>
        </w:rPr>
        <w:t>1．一般约定</w:t>
      </w:r>
      <w:bookmarkEnd w:id="827"/>
      <w:bookmarkEnd w:id="828"/>
      <w:bookmarkEnd w:id="829"/>
      <w:bookmarkEnd w:id="830"/>
      <w:bookmarkEnd w:id="831"/>
      <w:bookmarkEnd w:id="832"/>
      <w:bookmarkEnd w:id="833"/>
      <w:bookmarkEnd w:id="834"/>
      <w:bookmarkEnd w:id="835"/>
    </w:p>
    <w:p>
      <w:pPr>
        <w:pageBreakBefore w:val="0"/>
        <w:kinsoku/>
        <w:wordWrap/>
        <w:overflowPunct/>
        <w:topLinePunct w:val="0"/>
        <w:bidi w:val="0"/>
        <w:spacing w:line="360" w:lineRule="auto"/>
        <w:textAlignment w:val="auto"/>
        <w:outlineLvl w:val="9"/>
        <w:rPr>
          <w:rFonts w:hint="eastAsia" w:ascii="宋体" w:hAnsi="宋体" w:eastAsia="宋体" w:cs="Times New Roman"/>
          <w:sz w:val="24"/>
          <w:szCs w:val="24"/>
        </w:rPr>
      </w:pPr>
      <w:bookmarkStart w:id="836" w:name="_Toc285028951"/>
      <w:bookmarkStart w:id="837" w:name="_Toc265657486"/>
      <w:bookmarkStart w:id="838" w:name="_Toc267473057"/>
      <w:r>
        <w:rPr>
          <w:rFonts w:hint="eastAsia" w:ascii="宋体" w:hAnsi="宋体" w:eastAsia="宋体" w:cs="Times New Roman"/>
          <w:sz w:val="24"/>
          <w:szCs w:val="24"/>
        </w:rPr>
        <w:t>1.1 词语定义</w:t>
      </w:r>
      <w:bookmarkEnd w:id="836"/>
      <w:bookmarkEnd w:id="837"/>
      <w:bookmarkEnd w:id="838"/>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1.1.2 合同当事人和人员</w:t>
      </w:r>
    </w:p>
    <w:p>
      <w:pPr>
        <w:pageBreakBefore w:val="0"/>
        <w:kinsoku/>
        <w:wordWrap/>
        <w:overflowPunct/>
        <w:topLinePunct w:val="0"/>
        <w:bidi w:val="0"/>
        <w:spacing w:line="360" w:lineRule="auto"/>
        <w:ind w:firstLine="480" w:firstLineChars="200"/>
        <w:textAlignment w:val="auto"/>
        <w:outlineLvl w:val="9"/>
        <w:rPr>
          <w:rFonts w:hint="default" w:ascii="宋体" w:hAnsi="宋体" w:eastAsia="宋体" w:cs="Times New Roman"/>
          <w:sz w:val="24"/>
          <w:szCs w:val="24"/>
          <w:lang w:val="en-US"/>
        </w:rPr>
      </w:pPr>
      <w:r>
        <w:rPr>
          <w:rFonts w:hint="eastAsia" w:ascii="宋体" w:hAnsi="宋体" w:eastAsia="宋体" w:cs="Times New Roman"/>
          <w:sz w:val="24"/>
          <w:szCs w:val="24"/>
        </w:rPr>
        <w:t>1.1.2.2 发包人：</w:t>
      </w:r>
      <w:r>
        <w:rPr>
          <w:rFonts w:hint="eastAsia" w:ascii="宋体" w:hAnsi="宋体" w:eastAsia="宋体" w:cs="Times New Roman"/>
          <w:sz w:val="24"/>
          <w:szCs w:val="24"/>
          <w:u w:val="single"/>
        </w:rPr>
        <w:t xml:space="preserve"> </w:t>
      </w:r>
      <w:r>
        <w:rPr>
          <w:rFonts w:hint="eastAsia" w:ascii="宋体" w:hAnsi="宋体" w:cs="Times New Roman"/>
          <w:sz w:val="24"/>
          <w:szCs w:val="24"/>
          <w:u w:val="single"/>
          <w:lang w:val="en-US" w:eastAsia="zh-CN"/>
        </w:rPr>
        <w:t xml:space="preserve">    富平县农村饮水工程指挥部办公室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color w:val="FFFFFF"/>
          <w:sz w:val="24"/>
          <w:szCs w:val="24"/>
          <w:lang w:val="en-US" w:eastAsia="zh-CN"/>
        </w:rPr>
        <w:t>，</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1.1.2.3 承包人：</w:t>
      </w:r>
      <w:r>
        <w:rPr>
          <w:rFonts w:hint="eastAsia" w:ascii="宋体" w:hAnsi="宋体" w:eastAsia="宋体" w:cs="Times New Roman"/>
          <w:sz w:val="24"/>
          <w:szCs w:val="24"/>
          <w:u w:val="single"/>
        </w:rPr>
        <w:t xml:space="preserve">    （签约后填入承包人的名称）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color w:val="FFFFFF"/>
          <w:sz w:val="24"/>
          <w:szCs w:val="24"/>
          <w:u w:val="single"/>
          <w:lang w:val="en-US" w:eastAsia="zh-CN"/>
        </w:rPr>
        <w:t>，</w:t>
      </w:r>
      <w:r>
        <w:rPr>
          <w:rFonts w:hint="eastAsia" w:ascii="宋体" w:hAnsi="宋体" w:eastAsia="宋体" w:cs="Times New Roman"/>
          <w:sz w:val="24"/>
          <w:szCs w:val="24"/>
          <w:u w:val="single"/>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1.1.2.5 分包人：</w:t>
      </w:r>
      <w:r>
        <w:rPr>
          <w:rFonts w:hint="eastAsia" w:ascii="宋体" w:hAnsi="宋体" w:eastAsia="宋体" w:cs="Times New Roman"/>
          <w:sz w:val="24"/>
          <w:szCs w:val="24"/>
          <w:u w:val="single"/>
        </w:rPr>
        <w:t xml:space="preserve">                  无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color w:val="FFFFFF"/>
          <w:sz w:val="24"/>
          <w:szCs w:val="24"/>
          <w:u w:val="single"/>
          <w:lang w:val="en-US" w:eastAsia="zh-CN"/>
        </w:rPr>
        <w:t>，</w:t>
      </w:r>
      <w:r>
        <w:rPr>
          <w:rFonts w:hint="eastAsia" w:ascii="宋体" w:hAnsi="宋体" w:eastAsia="宋体" w:cs="Times New Roman"/>
          <w:sz w:val="24"/>
          <w:szCs w:val="24"/>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1.1.2.6 监理人：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由发包人最终确定监理单位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color w:val="FFFFFF"/>
          <w:sz w:val="24"/>
          <w:szCs w:val="24"/>
          <w:u w:val="single"/>
          <w:lang w:val="en-US" w:eastAsia="zh-CN"/>
        </w:rPr>
        <w:t>，</w:t>
      </w:r>
      <w:r>
        <w:rPr>
          <w:rFonts w:hint="eastAsia" w:ascii="宋体" w:hAnsi="宋体" w:eastAsia="宋体" w:cs="Times New Roman"/>
          <w:sz w:val="24"/>
          <w:szCs w:val="24"/>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rPr>
        <w:t>1.1.4 日期</w:t>
      </w:r>
      <w:r>
        <w:rPr>
          <w:rFonts w:hint="eastAsia" w:ascii="宋体" w:hAnsi="宋体" w:eastAsia="宋体" w:cs="Times New Roman"/>
          <w:sz w:val="24"/>
          <w:szCs w:val="24"/>
          <w:lang w:val="en-US" w:eastAsia="zh-CN"/>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bookmarkStart w:id="839" w:name="_Toc265595267"/>
      <w:bookmarkStart w:id="840" w:name="_Toc264959667"/>
      <w:bookmarkStart w:id="841" w:name="_Toc267473058"/>
      <w:bookmarkStart w:id="842" w:name="_Toc267471062"/>
      <w:bookmarkStart w:id="843" w:name="_Toc285028952"/>
      <w:bookmarkStart w:id="844" w:name="_Toc265673898"/>
      <w:bookmarkStart w:id="845" w:name="_Toc265655888"/>
      <w:bookmarkStart w:id="846" w:name="_Toc265658092"/>
      <w:bookmarkStart w:id="847" w:name="_Toc275528201"/>
      <w:bookmarkStart w:id="848" w:name="_Toc265657487"/>
      <w:r>
        <w:rPr>
          <w:rFonts w:hint="eastAsia" w:ascii="宋体" w:hAnsi="宋体" w:eastAsia="宋体" w:cs="Times New Roman"/>
          <w:sz w:val="24"/>
          <w:szCs w:val="24"/>
        </w:rPr>
        <w:t>1.1.4.5 缺陷责任期</w:t>
      </w:r>
      <w:r>
        <w:rPr>
          <w:rFonts w:hint="eastAsia" w:ascii="宋体" w:hAnsi="宋体" w:eastAsia="宋体" w:cs="Times New Roman"/>
          <w:sz w:val="24"/>
          <w:szCs w:val="24"/>
          <w:lang w:val="en-US" w:eastAsia="zh-CN"/>
        </w:rPr>
        <w:t>（工程质量保修期）</w:t>
      </w:r>
      <w:r>
        <w:rPr>
          <w:rFonts w:hint="eastAsia" w:ascii="宋体" w:hAnsi="宋体" w:eastAsia="宋体" w:cs="Times New Roman"/>
          <w:sz w:val="24"/>
          <w:szCs w:val="24"/>
        </w:rPr>
        <w:t>：</w:t>
      </w:r>
      <w:bookmarkEnd w:id="839"/>
      <w:bookmarkEnd w:id="840"/>
      <w:bookmarkEnd w:id="841"/>
      <w:bookmarkEnd w:id="842"/>
      <w:bookmarkEnd w:id="843"/>
      <w:bookmarkEnd w:id="844"/>
      <w:bookmarkEnd w:id="845"/>
      <w:bookmarkEnd w:id="846"/>
      <w:bookmarkEnd w:id="847"/>
      <w:bookmarkEnd w:id="848"/>
      <w:r>
        <w:rPr>
          <w:rFonts w:hint="eastAsia" w:ascii="宋体" w:hAnsi="宋体" w:cs="Times New Roman"/>
          <w:sz w:val="24"/>
          <w:szCs w:val="24"/>
          <w:u w:val="single"/>
          <w:lang w:val="en-US" w:eastAsia="zh-CN"/>
        </w:rPr>
        <w:t xml:space="preserve">                 </w:t>
      </w:r>
      <w:r>
        <w:rPr>
          <w:rFonts w:hint="eastAsia" w:ascii="宋体" w:hAnsi="宋体" w:eastAsia="宋体" w:cs="Times New Roman"/>
          <w:color w:val="FFFFFF"/>
          <w:sz w:val="24"/>
          <w:szCs w:val="24"/>
        </w:rPr>
        <w:t>；</w:t>
      </w:r>
    </w:p>
    <w:p>
      <w:pPr>
        <w:pageBreakBefore w:val="0"/>
        <w:kinsoku/>
        <w:wordWrap/>
        <w:overflowPunct/>
        <w:topLinePunct w:val="0"/>
        <w:bidi w:val="0"/>
        <w:spacing w:line="360" w:lineRule="auto"/>
        <w:textAlignment w:val="auto"/>
        <w:outlineLvl w:val="9"/>
        <w:rPr>
          <w:rFonts w:hint="eastAsia" w:ascii="宋体" w:hAnsi="宋体" w:eastAsia="宋体" w:cs="Times New Roman"/>
          <w:sz w:val="24"/>
          <w:szCs w:val="24"/>
        </w:rPr>
      </w:pPr>
      <w:bookmarkStart w:id="849" w:name="_Toc267473059"/>
      <w:bookmarkStart w:id="850" w:name="_Toc285028953"/>
      <w:bookmarkStart w:id="851" w:name="_Toc265657488"/>
      <w:r>
        <w:rPr>
          <w:rFonts w:hint="eastAsia" w:ascii="宋体" w:hAnsi="宋体" w:eastAsia="宋体" w:cs="Times New Roman"/>
          <w:sz w:val="24"/>
          <w:szCs w:val="24"/>
        </w:rPr>
        <w:t>1.4 合同文件的优先顺序</w:t>
      </w:r>
      <w:bookmarkEnd w:id="849"/>
      <w:bookmarkEnd w:id="850"/>
      <w:bookmarkEnd w:id="851"/>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进入合同文件的各项文件及其优先顺序是：</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（1）本合同协议书（包括补充协议）</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rPr>
        <w:t>（2）</w:t>
      </w:r>
      <w:r>
        <w:rPr>
          <w:rFonts w:hint="eastAsia" w:ascii="宋体" w:hAnsi="宋体" w:cs="Times New Roman"/>
          <w:sz w:val="24"/>
          <w:szCs w:val="24"/>
          <w:lang w:val="en-US" w:eastAsia="zh-CN"/>
        </w:rPr>
        <w:t>成交</w:t>
      </w:r>
      <w:r>
        <w:rPr>
          <w:rFonts w:hint="eastAsia" w:ascii="宋体" w:hAnsi="宋体" w:eastAsia="宋体" w:cs="Times New Roman"/>
          <w:sz w:val="24"/>
          <w:szCs w:val="24"/>
        </w:rPr>
        <w:t>通知书</w:t>
      </w:r>
      <w:r>
        <w:rPr>
          <w:rFonts w:hint="eastAsia" w:ascii="宋体" w:hAnsi="宋体" w:eastAsia="宋体" w:cs="Times New Roman"/>
          <w:sz w:val="24"/>
          <w:szCs w:val="24"/>
          <w:lang w:eastAsia="zh-CN"/>
        </w:rPr>
        <w:t>；</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（3）本合同专用条款</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（4）本合同通用条款</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rPr>
        <w:t>（5）</w:t>
      </w:r>
      <w:r>
        <w:rPr>
          <w:rFonts w:hint="eastAsia" w:ascii="宋体" w:hAnsi="宋体" w:cs="Times New Roman"/>
          <w:sz w:val="24"/>
          <w:szCs w:val="24"/>
          <w:lang w:val="en-US" w:eastAsia="zh-CN"/>
        </w:rPr>
        <w:t>竞争性磋商</w:t>
      </w:r>
      <w:r>
        <w:rPr>
          <w:rFonts w:hint="eastAsia" w:ascii="宋体" w:hAnsi="宋体" w:eastAsia="宋体" w:cs="Times New Roman"/>
          <w:sz w:val="24"/>
          <w:szCs w:val="24"/>
        </w:rPr>
        <w:t>文件及其附件</w:t>
      </w:r>
      <w:r>
        <w:rPr>
          <w:rFonts w:hint="eastAsia" w:ascii="宋体" w:hAnsi="宋体" w:eastAsia="宋体" w:cs="Times New Roman"/>
          <w:sz w:val="24"/>
          <w:szCs w:val="24"/>
          <w:lang w:eastAsia="zh-CN"/>
        </w:rPr>
        <w:t>；</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cs="Times New Roman"/>
          <w:sz w:val="24"/>
          <w:szCs w:val="24"/>
          <w:lang w:val="en-US" w:eastAsia="zh-CN"/>
        </w:rPr>
        <w:t>磋商响应</w:t>
      </w:r>
      <w:r>
        <w:rPr>
          <w:rFonts w:hint="eastAsia" w:ascii="宋体" w:hAnsi="宋体" w:eastAsia="宋体" w:cs="Times New Roman"/>
          <w:sz w:val="24"/>
          <w:szCs w:val="24"/>
        </w:rPr>
        <w:t>文件及其附件</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rPr>
        <w:t>（7）标准、规范及有关技术文件</w:t>
      </w:r>
      <w:r>
        <w:rPr>
          <w:rFonts w:hint="eastAsia" w:ascii="宋体" w:hAnsi="宋体" w:eastAsia="宋体" w:cs="Times New Roman"/>
          <w:sz w:val="24"/>
          <w:szCs w:val="24"/>
          <w:lang w:eastAsia="zh-CN"/>
        </w:rPr>
        <w:t>；</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rPr>
        <w:t>（8）已标价的工程量清单</w:t>
      </w:r>
      <w:r>
        <w:rPr>
          <w:rFonts w:hint="eastAsia" w:ascii="宋体" w:hAnsi="宋体" w:eastAsia="宋体" w:cs="Times New Roman"/>
          <w:sz w:val="24"/>
          <w:szCs w:val="24"/>
          <w:lang w:eastAsia="zh-CN"/>
        </w:rPr>
        <w:t>；</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rPr>
        <w:t>（9）其他合同文件</w:t>
      </w:r>
      <w:r>
        <w:rPr>
          <w:rFonts w:hint="eastAsia" w:ascii="宋体" w:hAnsi="宋体" w:eastAsia="宋体" w:cs="Times New Roman"/>
          <w:sz w:val="24"/>
          <w:szCs w:val="24"/>
          <w:lang w:eastAsia="zh-CN"/>
        </w:rPr>
        <w:t>。</w:t>
      </w:r>
    </w:p>
    <w:p>
      <w:pPr>
        <w:pageBreakBefore w:val="0"/>
        <w:kinsoku/>
        <w:wordWrap/>
        <w:overflowPunct/>
        <w:topLinePunct w:val="0"/>
        <w:bidi w:val="0"/>
        <w:spacing w:line="360" w:lineRule="auto"/>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1.7  联络</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1.7.2 来往函件均应按技术标准和要求（合同技术条款）约定的期限送达：</w:t>
      </w:r>
      <w:r>
        <w:rPr>
          <w:rFonts w:hint="eastAsia" w:ascii="宋体" w:hAnsi="宋体" w:eastAsia="宋体" w:cs="Times New Roman"/>
          <w:sz w:val="24"/>
          <w:szCs w:val="24"/>
          <w:u w:val="single"/>
        </w:rPr>
        <w:t>对发包人送达项目现场管理机构；对监理送达该项目监理部；对承包人送达项目经理部</w:t>
      </w:r>
      <w:r>
        <w:rPr>
          <w:rFonts w:hint="eastAsia" w:ascii="宋体" w:hAnsi="宋体" w:eastAsia="宋体" w:cs="Times New Roman"/>
          <w:sz w:val="24"/>
          <w:szCs w:val="24"/>
        </w:rPr>
        <w:t>。</w:t>
      </w:r>
    </w:p>
    <w:p>
      <w:pPr>
        <w:keepNext w:val="0"/>
        <w:keepLines w:val="0"/>
        <w:pageBreakBefore w:val="0"/>
        <w:widowControl/>
        <w:numPr>
          <w:ilvl w:val="2"/>
          <w:numId w:val="0"/>
        </w:numPr>
        <w:tabs>
          <w:tab w:val="left" w:pos="720"/>
        </w:tabs>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sz w:val="24"/>
          <w:szCs w:val="24"/>
        </w:rPr>
      </w:pPr>
      <w:bookmarkStart w:id="852" w:name="_Toc307485237"/>
      <w:bookmarkStart w:id="853" w:name="_Toc265657489"/>
      <w:bookmarkStart w:id="854" w:name="_Toc430097443"/>
      <w:bookmarkStart w:id="855" w:name="_Toc267473060"/>
      <w:bookmarkStart w:id="856" w:name="_Toc22226"/>
      <w:bookmarkStart w:id="857" w:name="_Toc307417470"/>
      <w:bookmarkStart w:id="858" w:name="_Toc285028954"/>
      <w:bookmarkStart w:id="859" w:name="_Toc263370621"/>
      <w:bookmarkStart w:id="860" w:name="_Toc307416173"/>
      <w:r>
        <w:rPr>
          <w:rFonts w:hint="eastAsia" w:ascii="宋体" w:hAnsi="宋体" w:eastAsia="宋体" w:cs="宋体"/>
          <w:b/>
          <w:sz w:val="24"/>
          <w:szCs w:val="24"/>
        </w:rPr>
        <w:t>2．发包人义务</w:t>
      </w:r>
      <w:bookmarkEnd w:id="852"/>
      <w:bookmarkEnd w:id="853"/>
      <w:bookmarkEnd w:id="854"/>
      <w:bookmarkEnd w:id="855"/>
      <w:bookmarkEnd w:id="856"/>
      <w:bookmarkEnd w:id="857"/>
      <w:bookmarkEnd w:id="858"/>
      <w:bookmarkEnd w:id="859"/>
      <w:bookmarkEnd w:id="860"/>
    </w:p>
    <w:p>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sz w:val="24"/>
          <w:szCs w:val="24"/>
        </w:rPr>
      </w:pPr>
      <w:bookmarkStart w:id="861" w:name="_Toc267473061"/>
      <w:bookmarkStart w:id="862" w:name="_Toc265657490"/>
      <w:bookmarkStart w:id="863" w:name="_Toc285028955"/>
      <w:r>
        <w:rPr>
          <w:rFonts w:hint="eastAsia" w:ascii="宋体" w:hAnsi="宋体" w:eastAsia="宋体" w:cs="宋体"/>
          <w:sz w:val="24"/>
          <w:szCs w:val="24"/>
        </w:rPr>
        <w:t>2.3 提供施工场地</w:t>
      </w:r>
      <w:bookmarkEnd w:id="861"/>
      <w:bookmarkEnd w:id="862"/>
      <w:bookmarkEnd w:id="863"/>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Times New Roman"/>
          <w:sz w:val="24"/>
          <w:szCs w:val="24"/>
          <w:u w:val="single"/>
        </w:rPr>
      </w:pPr>
      <w:bookmarkStart w:id="864" w:name="_Toc267471066"/>
      <w:bookmarkStart w:id="865" w:name="_Toc264959671"/>
      <w:bookmarkStart w:id="866" w:name="_Toc265673899"/>
      <w:bookmarkStart w:id="867" w:name="_Toc265658093"/>
      <w:bookmarkStart w:id="868" w:name="_Toc267473062"/>
      <w:bookmarkStart w:id="869" w:name="_Toc265657491"/>
      <w:bookmarkStart w:id="870" w:name="_Toc265655892"/>
      <w:bookmarkStart w:id="871" w:name="_Toc265595271"/>
      <w:bookmarkStart w:id="872" w:name="_Toc275528205"/>
      <w:bookmarkStart w:id="873" w:name="_Toc285028956"/>
      <w:r>
        <w:rPr>
          <w:rFonts w:hint="eastAsia" w:ascii="宋体" w:hAnsi="宋体" w:eastAsia="宋体" w:cs="Times New Roman"/>
          <w:sz w:val="24"/>
          <w:szCs w:val="24"/>
        </w:rPr>
        <w:t>2.3.2 发包人提供的施工场地范围为：</w:t>
      </w:r>
      <w:r>
        <w:rPr>
          <w:rFonts w:hint="eastAsia" w:ascii="宋体" w:hAnsi="宋体" w:eastAsia="宋体" w:cs="Times New Roman"/>
          <w:sz w:val="24"/>
          <w:szCs w:val="24"/>
          <w:u w:val="single"/>
          <w:lang w:val="en-US" w:eastAsia="zh-CN"/>
        </w:rPr>
        <w:t>见施工招标总平面图或施工用地图，提供用地的范围和期限可在签署协议书时商定</w:t>
      </w:r>
      <w:r>
        <w:rPr>
          <w:rFonts w:hint="eastAsia" w:ascii="宋体" w:hAnsi="宋体" w:eastAsia="宋体" w:cs="Times New Roman"/>
          <w:sz w:val="24"/>
          <w:szCs w:val="24"/>
          <w:u w:val="none"/>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sz w:val="24"/>
          <w:szCs w:val="24"/>
          <w:u w:val="single"/>
          <w:lang w:val="en-US" w:eastAsia="zh-CN"/>
        </w:rPr>
      </w:pPr>
      <w:r>
        <w:rPr>
          <w:rFonts w:hint="eastAsia" w:ascii="宋体" w:hAnsi="宋体" w:eastAsia="宋体" w:cs="宋体"/>
          <w:sz w:val="24"/>
          <w:szCs w:val="24"/>
          <w:lang w:val="en-US" w:eastAsia="zh-CN" w:bidi="ar-SA"/>
        </w:rPr>
        <w:t>2.3.3 承包人自行勘察的施工场地范围为：</w:t>
      </w:r>
      <w:r>
        <w:rPr>
          <w:rFonts w:hint="eastAsia" w:ascii="宋体" w:hAnsi="宋体" w:eastAsia="宋体" w:cs="Times New Roman"/>
          <w:sz w:val="24"/>
          <w:szCs w:val="24"/>
          <w:u w:val="single"/>
          <w:lang w:val="en-US" w:eastAsia="zh-CN"/>
        </w:rPr>
        <w:t>在本项目施工占地图范围内由承包人根据其施工组织设计自行确定。</w:t>
      </w:r>
      <w:bookmarkEnd w:id="864"/>
      <w:bookmarkEnd w:id="865"/>
      <w:bookmarkEnd w:id="866"/>
      <w:bookmarkEnd w:id="867"/>
      <w:bookmarkEnd w:id="868"/>
      <w:bookmarkEnd w:id="869"/>
      <w:bookmarkEnd w:id="870"/>
      <w:bookmarkEnd w:id="871"/>
      <w:bookmarkEnd w:id="872"/>
      <w:bookmarkEnd w:id="873"/>
    </w:p>
    <w:p>
      <w:pPr>
        <w:pStyle w:val="3"/>
        <w:pageBreakBefore w:val="0"/>
        <w:kinsoku/>
        <w:wordWrap/>
        <w:overflowPunct/>
        <w:topLinePunct w:val="0"/>
        <w:bidi w:val="0"/>
        <w:spacing w:line="360" w:lineRule="auto"/>
        <w:ind w:firstLine="480"/>
        <w:textAlignment w:val="auto"/>
        <w:rPr>
          <w:rFonts w:hint="eastAsia" w:ascii="宋体" w:hAnsi="宋体" w:eastAsia="宋体" w:cs="宋体"/>
          <w:sz w:val="24"/>
          <w:szCs w:val="24"/>
        </w:rPr>
      </w:pPr>
      <w:bookmarkStart w:id="874" w:name="_Toc285028957"/>
      <w:bookmarkStart w:id="875" w:name="_Toc267473063"/>
      <w:bookmarkStart w:id="876" w:name="_Toc265657492"/>
      <w:r>
        <w:rPr>
          <w:rFonts w:hint="eastAsia" w:ascii="宋体" w:hAnsi="宋体" w:eastAsia="宋体" w:cs="宋体"/>
          <w:sz w:val="24"/>
          <w:szCs w:val="24"/>
        </w:rPr>
        <w:t>2.8 其他义务</w:t>
      </w:r>
      <w:bookmarkEnd w:id="874"/>
      <w:bookmarkEnd w:id="875"/>
      <w:bookmarkEnd w:id="876"/>
    </w:p>
    <w:p>
      <w:pPr>
        <w:pStyle w:val="3"/>
        <w:pageBreakBefore w:val="0"/>
        <w:kinsoku/>
        <w:wordWrap/>
        <w:overflowPunct/>
        <w:topLinePunct w:val="0"/>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（根据发包人的合同管理要求补充）</w:t>
      </w:r>
    </w:p>
    <w:p>
      <w:pPr>
        <w:pStyle w:val="3"/>
        <w:pageBreakBefore w:val="0"/>
        <w:kinsoku/>
        <w:wordWrap/>
        <w:overflowPunct/>
        <w:topLinePunct w:val="0"/>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（1）工地外道路联系；</w:t>
      </w:r>
    </w:p>
    <w:p>
      <w:pPr>
        <w:pStyle w:val="3"/>
        <w:pageBreakBefore w:val="0"/>
        <w:kinsoku/>
        <w:wordWrap/>
        <w:overflowPunct/>
        <w:topLinePunct w:val="0"/>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（2）发包人负责工地范围内的征迁和移民；</w:t>
      </w:r>
    </w:p>
    <w:p>
      <w:pPr>
        <w:pStyle w:val="3"/>
        <w:pageBreakBefore w:val="0"/>
        <w:kinsoku/>
        <w:wordWrap/>
        <w:overflowPunct/>
        <w:topLinePunct w:val="0"/>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（3）本合同工程施工所需的土地、拆迁费用由发包人支付。</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rPr>
      </w:pPr>
      <w:bookmarkStart w:id="877" w:name="_Toc263370622"/>
      <w:bookmarkStart w:id="878" w:name="_Toc307417471"/>
      <w:bookmarkStart w:id="879" w:name="_Toc307416174"/>
      <w:bookmarkStart w:id="880" w:name="_Toc267473064"/>
      <w:bookmarkStart w:id="881" w:name="_Toc263677486"/>
      <w:bookmarkStart w:id="882" w:name="_Toc307485238"/>
      <w:bookmarkStart w:id="883" w:name="_Toc285028958"/>
      <w:bookmarkStart w:id="884" w:name="_Toc30482"/>
      <w:bookmarkStart w:id="885" w:name="_Toc430097444"/>
      <w:r>
        <w:rPr>
          <w:rFonts w:hint="eastAsia" w:ascii="宋体" w:hAnsi="宋体" w:eastAsia="宋体" w:cs="宋体"/>
          <w:b/>
          <w:sz w:val="24"/>
          <w:szCs w:val="24"/>
        </w:rPr>
        <w:t>3．监理人</w:t>
      </w:r>
      <w:bookmarkEnd w:id="877"/>
      <w:bookmarkEnd w:id="878"/>
      <w:bookmarkEnd w:id="879"/>
      <w:bookmarkEnd w:id="880"/>
      <w:bookmarkEnd w:id="881"/>
      <w:bookmarkEnd w:id="882"/>
      <w:bookmarkEnd w:id="883"/>
      <w:bookmarkEnd w:id="884"/>
      <w:bookmarkEnd w:id="885"/>
    </w:p>
    <w:p>
      <w:pPr>
        <w:pageBreakBefore w:val="0"/>
        <w:kinsoku/>
        <w:wordWrap/>
        <w:overflowPunct/>
        <w:topLinePunct w:val="0"/>
        <w:bidi w:val="0"/>
        <w:spacing w:line="360" w:lineRule="auto"/>
        <w:textAlignment w:val="auto"/>
        <w:outlineLvl w:val="9"/>
        <w:rPr>
          <w:rFonts w:hint="eastAsia" w:ascii="宋体" w:hAnsi="宋体" w:eastAsia="宋体" w:cs="Times New Roman"/>
          <w:sz w:val="24"/>
          <w:szCs w:val="24"/>
        </w:rPr>
      </w:pPr>
      <w:bookmarkStart w:id="886" w:name="_Toc285028959"/>
      <w:bookmarkStart w:id="887" w:name="_Toc267473065"/>
      <w:bookmarkStart w:id="888" w:name="_Toc263677487"/>
      <w:r>
        <w:rPr>
          <w:rFonts w:hint="eastAsia" w:ascii="宋体" w:hAnsi="宋体" w:eastAsia="宋体" w:cs="宋体"/>
          <w:sz w:val="24"/>
          <w:szCs w:val="24"/>
        </w:rPr>
        <w:t>3</w:t>
      </w:r>
      <w:r>
        <w:rPr>
          <w:rFonts w:hint="eastAsia" w:ascii="宋体" w:hAnsi="宋体" w:eastAsia="宋体" w:cs="Times New Roman"/>
          <w:sz w:val="24"/>
          <w:szCs w:val="24"/>
        </w:rPr>
        <w:t>.1 监理人的职责和权力</w:t>
      </w:r>
      <w:bookmarkEnd w:id="886"/>
      <w:bookmarkEnd w:id="887"/>
      <w:bookmarkEnd w:id="888"/>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3.1.1监理人须根据发包人事先批准的权力范围行使权力，发包人批准的权力范围（以下示例在发包人与承包人签订协议时，可另行调整）：</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（1）按第4.3款约定，批准工程的分包；</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（2）按第11.3款约定，确定延长完工期限；</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（3）按第15.6款约定，批准暂列金额的使用；</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（4）当变更引起的合同价格增加时做出的变更决定；</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（5）发布停工令、开工令；</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（6）调整控制性进度计划；</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（7）施工中发生，但投标人《工程量清单》中未列单价的工程项目，计量单价的确认；</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（8）工程重大质量事故的处理意见；</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（9）工程的重大设计变更；</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（10）撤换项目经理或项目技术负责人员；</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（11）确定承包人提出的索赔金额；</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（12）项目监理认为需要业主批准的其它事宜。</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rPr>
      </w:pPr>
      <w:bookmarkStart w:id="889" w:name="_Toc263370623"/>
      <w:bookmarkStart w:id="890" w:name="_Toc430097445"/>
      <w:bookmarkStart w:id="891" w:name="_Toc307485239"/>
      <w:bookmarkStart w:id="892" w:name="_Toc307416175"/>
      <w:bookmarkStart w:id="893" w:name="_Toc307417472"/>
      <w:bookmarkStart w:id="894" w:name="_Toc14955"/>
      <w:bookmarkStart w:id="895" w:name="_Toc265657493"/>
      <w:bookmarkStart w:id="896" w:name="_Toc285028960"/>
      <w:bookmarkStart w:id="897" w:name="_Toc267473066"/>
      <w:r>
        <w:rPr>
          <w:rFonts w:hint="eastAsia" w:ascii="宋体" w:hAnsi="宋体" w:eastAsia="宋体" w:cs="宋体"/>
          <w:b/>
          <w:sz w:val="24"/>
          <w:szCs w:val="24"/>
        </w:rPr>
        <w:t>4．承包人</w:t>
      </w:r>
      <w:bookmarkEnd w:id="889"/>
      <w:bookmarkEnd w:id="890"/>
      <w:bookmarkEnd w:id="891"/>
      <w:bookmarkEnd w:id="892"/>
      <w:bookmarkEnd w:id="893"/>
      <w:bookmarkEnd w:id="894"/>
      <w:bookmarkEnd w:id="895"/>
      <w:bookmarkEnd w:id="896"/>
      <w:bookmarkEnd w:id="897"/>
    </w:p>
    <w:p>
      <w:pPr>
        <w:pageBreakBefore w:val="0"/>
        <w:kinsoku/>
        <w:wordWrap/>
        <w:overflowPunct/>
        <w:topLinePunct w:val="0"/>
        <w:bidi w:val="0"/>
        <w:spacing w:line="360" w:lineRule="auto"/>
        <w:textAlignment w:val="auto"/>
        <w:outlineLvl w:val="9"/>
        <w:rPr>
          <w:rFonts w:hint="eastAsia" w:ascii="宋体" w:hAnsi="宋体" w:eastAsia="宋体" w:cs="Times New Roman"/>
          <w:sz w:val="24"/>
          <w:szCs w:val="24"/>
        </w:rPr>
      </w:pPr>
      <w:bookmarkStart w:id="898" w:name="_Toc267473067"/>
      <w:bookmarkStart w:id="899" w:name="_Toc285028961"/>
      <w:bookmarkStart w:id="900" w:name="_Toc265657494"/>
      <w:r>
        <w:rPr>
          <w:rFonts w:hint="eastAsia" w:ascii="宋体" w:hAnsi="宋体" w:eastAsia="宋体" w:cs="Times New Roman"/>
          <w:sz w:val="24"/>
          <w:szCs w:val="24"/>
        </w:rPr>
        <w:t>4.1 承包人的一般义务</w:t>
      </w:r>
      <w:bookmarkEnd w:id="898"/>
      <w:bookmarkEnd w:id="899"/>
      <w:bookmarkEnd w:id="900"/>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4.1.9 工程的维护和照管</w:t>
      </w:r>
    </w:p>
    <w:p>
      <w:pPr>
        <w:pageBreakBefore w:val="0"/>
        <w:kinsoku/>
        <w:wordWrap/>
        <w:overflowPunct/>
        <w:topLinePunct w:val="0"/>
        <w:bidi w:val="0"/>
        <w:spacing w:line="360" w:lineRule="auto"/>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本项补充：</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在承包人负责照管与维护期间，如果本工程或材料、设备等发生损失或损害，除不可抗力原因之外，承包人均应自费弥补，并达到合同要求。承包人还应按第19条规定而实施作业过程中由承包人造成的对工程的任何损失或损害负责。</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4.1.10 其他义务</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1）承包人进驻工地后，施工期间的一切协调工作由承包人自行解决。由承包人承担临时道路、临时房建、仓库等其他临时工程建设费用，并负责占用、剥离、开采（如有）、环保（含水保），以及办理各种许可相关手续和协调与当地居民的关系。施工总布置图所示的范围以外的各种临时用地的征地和地面附着物补偿等费用由承包人承担。所有上述工作所产生的一切费用均应包含在合同价格中。</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（2）施工对外交通</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承包人自行解决对外交通道路通行，费用包含在合同总价或单价中，发包人不再另行支付。</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（3）施工用电</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承包人自行解决施工和生活用电电源，并按规定及时向供电部门交纳电费，费用包含在合同总价或单价中，发包人不再另行支付。</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施工中可能发生临时停电，承包人应备有足够容量自备电源。</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（4）施工用水</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承包人自行解决施工和生活用水水源，费用包含在合同总价或单价中，发包人不再另行支付。</w:t>
      </w:r>
    </w:p>
    <w:p>
      <w:pPr>
        <w:pageBreakBefore w:val="0"/>
        <w:kinsoku/>
        <w:wordWrap/>
        <w:overflowPunct/>
        <w:topLinePunct w:val="0"/>
        <w:bidi w:val="0"/>
        <w:snapToGrid w:val="0"/>
        <w:spacing w:line="360" w:lineRule="auto"/>
        <w:ind w:firstLine="435"/>
        <w:textAlignment w:val="auto"/>
        <w:outlineLvl w:val="9"/>
        <w:rPr>
          <w:rFonts w:ascii="宋体" w:hAnsi="宋体"/>
          <w:sz w:val="24"/>
          <w:szCs w:val="24"/>
          <w:u w:val="none"/>
        </w:rPr>
      </w:pPr>
      <w:r>
        <w:rPr>
          <w:rFonts w:hint="eastAsia" w:ascii="宋体" w:hAnsi="宋体"/>
          <w:sz w:val="24"/>
          <w:szCs w:val="24"/>
          <w:u w:val="none"/>
        </w:rPr>
        <w:t>（5）垃圾及污水处理</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sz w:val="24"/>
          <w:szCs w:val="24"/>
          <w:u w:val="none"/>
        </w:rPr>
        <w:t>承包人应集中处理生活垃圾和生活、生产污水，严禁乱扔生活垃圾。承包人产生的垃圾及污水，必须按法律法规要求处理，达标排放，费用包含在合同总价或单价中，发包人不再另行支付。</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（6）自觉完成业主安排的其他有关工作。</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bookmarkStart w:id="901" w:name="_Toc265657496"/>
      <w:bookmarkStart w:id="902" w:name="_Toc307417473"/>
      <w:bookmarkStart w:id="903" w:name="_Toc263370624"/>
      <w:bookmarkStart w:id="904" w:name="_Toc430097446"/>
      <w:bookmarkStart w:id="905" w:name="_Toc24964"/>
      <w:bookmarkStart w:id="906" w:name="_Toc307485240"/>
      <w:bookmarkStart w:id="907" w:name="_Toc307416176"/>
      <w:bookmarkStart w:id="908" w:name="_Toc267473069"/>
      <w:bookmarkStart w:id="909" w:name="_Toc285028964"/>
      <w:r>
        <w:rPr>
          <w:rFonts w:hint="eastAsia" w:ascii="宋体" w:hAnsi="宋体" w:eastAsia="宋体" w:cs="Times New Roman"/>
          <w:sz w:val="24"/>
          <w:szCs w:val="24"/>
          <w:u w:val="none"/>
        </w:rPr>
        <w:t>4.2履约担保</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承包人应向发包人提供履约担保</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lang w:eastAsia="zh-CN"/>
        </w:rPr>
      </w:pPr>
      <w:r>
        <w:rPr>
          <w:rFonts w:hint="eastAsia" w:ascii="宋体" w:hAnsi="宋体" w:eastAsia="宋体" w:cs="Times New Roman"/>
          <w:sz w:val="24"/>
          <w:szCs w:val="24"/>
          <w:u w:val="none"/>
        </w:rPr>
        <w:t>履约担保的形式：</w:t>
      </w:r>
      <w:r>
        <w:rPr>
          <w:rFonts w:hint="eastAsia" w:ascii="宋体" w:hAnsi="宋体" w:eastAsia="宋体" w:cs="Times New Roman"/>
          <w:sz w:val="24"/>
          <w:szCs w:val="24"/>
          <w:u w:val="none"/>
          <w:lang w:val="en-US" w:eastAsia="zh-CN"/>
        </w:rPr>
        <w:t>履约担保、保兑支票、银行汇票或现金支票</w:t>
      </w:r>
      <w:r>
        <w:rPr>
          <w:rFonts w:hint="eastAsia" w:ascii="宋体" w:hAnsi="宋体" w:eastAsia="宋体" w:cs="Times New Roman"/>
          <w:sz w:val="24"/>
          <w:szCs w:val="24"/>
          <w:u w:val="none"/>
        </w:rPr>
        <w:t>。</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履约担保的金额：</w:t>
      </w:r>
      <w:r>
        <w:rPr>
          <w:rFonts w:hint="eastAsia" w:ascii="宋体" w:hAnsi="宋体" w:eastAsia="宋体" w:cs="Times New Roman"/>
          <w:sz w:val="24"/>
          <w:szCs w:val="24"/>
          <w:u w:val="none"/>
          <w:lang w:val="en-US" w:eastAsia="zh-CN"/>
        </w:rPr>
        <w:t>人民币5万元</w:t>
      </w:r>
      <w:r>
        <w:rPr>
          <w:rFonts w:hint="eastAsia" w:ascii="宋体" w:hAnsi="宋体" w:eastAsia="宋体" w:cs="Times New Roman"/>
          <w:sz w:val="24"/>
          <w:szCs w:val="24"/>
          <w:u w:val="none"/>
        </w:rPr>
        <w:t>。</w:t>
      </w:r>
    </w:p>
    <w:p>
      <w:pPr>
        <w:pageBreakBefore w:val="0"/>
        <w:kinsoku/>
        <w:wordWrap/>
        <w:overflowPunct/>
        <w:topLinePunct w:val="0"/>
        <w:bidi w:val="0"/>
        <w:snapToGrid w:val="0"/>
        <w:spacing w:line="360" w:lineRule="auto"/>
        <w:textAlignment w:val="auto"/>
        <w:outlineLvl w:val="9"/>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5．材料和工程设备</w:t>
      </w:r>
      <w:bookmarkEnd w:id="901"/>
      <w:bookmarkEnd w:id="902"/>
      <w:bookmarkEnd w:id="903"/>
      <w:bookmarkEnd w:id="904"/>
      <w:bookmarkEnd w:id="905"/>
      <w:bookmarkEnd w:id="906"/>
      <w:bookmarkEnd w:id="907"/>
      <w:bookmarkEnd w:id="908"/>
      <w:bookmarkEnd w:id="909"/>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 xml:space="preserve">5.1 </w:t>
      </w:r>
      <w:bookmarkStart w:id="910" w:name="_Toc267473071"/>
      <w:bookmarkStart w:id="911" w:name="_Toc430097447"/>
      <w:bookmarkStart w:id="912" w:name="_Toc307485241"/>
      <w:bookmarkStart w:id="913" w:name="_Toc263370625"/>
      <w:bookmarkStart w:id="914" w:name="_Toc265657498"/>
      <w:bookmarkStart w:id="915" w:name="_Toc285028966"/>
      <w:bookmarkStart w:id="916" w:name="_Toc307416177"/>
      <w:bookmarkStart w:id="917" w:name="_Toc307417474"/>
      <w:r>
        <w:rPr>
          <w:rFonts w:hint="eastAsia" w:ascii="宋体" w:hAnsi="宋体" w:eastAsia="宋体" w:cs="Times New Roman"/>
          <w:sz w:val="24"/>
          <w:szCs w:val="24"/>
          <w:u w:val="none"/>
        </w:rPr>
        <w:t>承包人采购的主要设备及管材，承包人应在采购前须提前10日将采购清单（包括厂家基本情况、产品规格、数量、价格等情况）报经发包人认可。要求采购国内厂家生产的市场占有率较高、质量优良、售后服务良好的产品。未经发包人认可的材料及设备，不得进入工地现场，否则，工程结算时不予结算。</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5.2　发包人提供的材料和工程设备</w:t>
      </w:r>
    </w:p>
    <w:p>
      <w:pPr>
        <w:pageBreakBefore w:val="0"/>
        <w:kinsoku/>
        <w:wordWrap/>
        <w:overflowPunct/>
        <w:topLinePunct w:val="0"/>
        <w:bidi w:val="0"/>
        <w:snapToGrid w:val="0"/>
        <w:spacing w:line="360" w:lineRule="auto"/>
        <w:ind w:firstLine="435"/>
        <w:textAlignment w:val="auto"/>
        <w:outlineLvl w:val="9"/>
        <w:rPr>
          <w:rFonts w:hint="eastAsia" w:ascii="仿宋" w:hAnsi="仿宋" w:eastAsia="仿宋" w:cs="仿宋"/>
        </w:rPr>
      </w:pPr>
      <w:r>
        <w:rPr>
          <w:rFonts w:hint="eastAsia" w:ascii="宋体" w:hAnsi="宋体" w:eastAsia="宋体" w:cs="Times New Roman"/>
          <w:sz w:val="24"/>
          <w:szCs w:val="24"/>
          <w:u w:val="none"/>
        </w:rPr>
        <w:t>发包人不提供任何形式的材料和工程设备。</w:t>
      </w:r>
    </w:p>
    <w:p>
      <w:pPr>
        <w:pageBreakBefore w:val="0"/>
        <w:kinsoku/>
        <w:wordWrap/>
        <w:overflowPunct/>
        <w:topLinePunct w:val="0"/>
        <w:bidi w:val="0"/>
        <w:snapToGrid w:val="0"/>
        <w:spacing w:line="360" w:lineRule="auto"/>
        <w:textAlignment w:val="auto"/>
        <w:outlineLvl w:val="9"/>
        <w:rPr>
          <w:rFonts w:hint="eastAsia" w:ascii="宋体" w:hAnsi="宋体" w:eastAsia="宋体" w:cs="宋体"/>
          <w:b/>
          <w:sz w:val="24"/>
          <w:szCs w:val="24"/>
          <w:lang w:val="en-US" w:eastAsia="zh-CN" w:bidi="ar-SA"/>
        </w:rPr>
      </w:pPr>
      <w:bookmarkStart w:id="918" w:name="_Toc16504"/>
      <w:r>
        <w:rPr>
          <w:rFonts w:hint="eastAsia" w:ascii="宋体" w:hAnsi="宋体" w:eastAsia="宋体" w:cs="宋体"/>
          <w:b/>
          <w:sz w:val="24"/>
          <w:szCs w:val="24"/>
          <w:lang w:val="en-US" w:eastAsia="zh-CN" w:bidi="ar-SA"/>
        </w:rPr>
        <w:t>6．施工设备和临时设施</w:t>
      </w:r>
      <w:bookmarkEnd w:id="910"/>
      <w:bookmarkEnd w:id="911"/>
      <w:bookmarkEnd w:id="912"/>
      <w:bookmarkEnd w:id="913"/>
      <w:bookmarkEnd w:id="914"/>
      <w:bookmarkEnd w:id="915"/>
      <w:bookmarkEnd w:id="916"/>
      <w:bookmarkEnd w:id="917"/>
      <w:bookmarkEnd w:id="918"/>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bookmarkStart w:id="919" w:name="_Toc285028967"/>
      <w:bookmarkStart w:id="920" w:name="_Toc267473072"/>
      <w:bookmarkStart w:id="921" w:name="_Toc265657499"/>
      <w:r>
        <w:rPr>
          <w:rFonts w:hint="eastAsia" w:ascii="宋体" w:hAnsi="宋体" w:eastAsia="宋体" w:cs="Times New Roman"/>
          <w:sz w:val="24"/>
          <w:szCs w:val="24"/>
          <w:u w:val="none"/>
        </w:rPr>
        <w:t>6.2 发包人提供的施工设备和临时设施</w:t>
      </w:r>
      <w:bookmarkEnd w:id="919"/>
      <w:bookmarkEnd w:id="920"/>
      <w:bookmarkEnd w:id="921"/>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发包人不提供任何形式的施工设备和临时设施。</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922" w:name="_Toc285028978"/>
      <w:bookmarkStart w:id="923" w:name="_Toc307416181"/>
      <w:bookmarkStart w:id="924" w:name="_Toc307485245"/>
      <w:bookmarkStart w:id="925" w:name="_Toc263370630"/>
      <w:bookmarkStart w:id="926" w:name="_Toc265657505"/>
      <w:bookmarkStart w:id="927" w:name="_Toc307417478"/>
      <w:bookmarkStart w:id="928" w:name="_Toc430097452"/>
      <w:bookmarkStart w:id="929" w:name="_Toc21900"/>
      <w:bookmarkStart w:id="930" w:name="_Toc267473083"/>
      <w:r>
        <w:rPr>
          <w:rFonts w:hint="eastAsia" w:ascii="宋体" w:hAnsi="宋体" w:eastAsia="宋体" w:cs="宋体"/>
          <w:b/>
          <w:sz w:val="24"/>
          <w:szCs w:val="24"/>
          <w:lang w:val="en-US" w:eastAsia="zh-CN" w:bidi="ar-SA"/>
        </w:rPr>
        <w:t>11．开工和竣工（完工）</w:t>
      </w:r>
      <w:bookmarkEnd w:id="922"/>
      <w:bookmarkEnd w:id="923"/>
      <w:bookmarkEnd w:id="924"/>
      <w:bookmarkEnd w:id="925"/>
      <w:bookmarkEnd w:id="926"/>
      <w:bookmarkEnd w:id="927"/>
      <w:bookmarkEnd w:id="928"/>
      <w:bookmarkEnd w:id="929"/>
      <w:bookmarkEnd w:id="930"/>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11.4 异常恶劣的气候条件</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sz w:val="24"/>
          <w:szCs w:val="24"/>
          <w:u w:val="none"/>
        </w:rPr>
      </w:pPr>
      <w:r>
        <w:rPr>
          <w:rFonts w:hint="eastAsia" w:ascii="宋体" w:hAnsi="宋体" w:eastAsia="宋体" w:cs="Times New Roman"/>
          <w:sz w:val="24"/>
          <w:szCs w:val="24"/>
          <w:u w:val="none"/>
        </w:rPr>
        <w:t>11.4.3　本合同工程界定异常恶劣气候条件的范围为：</w:t>
      </w:r>
    </w:p>
    <w:p>
      <w:pPr>
        <w:pageBreakBefore w:val="0"/>
        <w:kinsoku/>
        <w:wordWrap/>
        <w:overflowPunct/>
        <w:topLinePunct w:val="0"/>
        <w:bidi w:val="0"/>
        <w:snapToGrid w:val="0"/>
        <w:spacing w:line="360" w:lineRule="auto"/>
        <w:ind w:firstLine="435"/>
        <w:textAlignment w:val="auto"/>
        <w:outlineLvl w:val="9"/>
        <w:rPr>
          <w:rFonts w:hint="eastAsia" w:ascii="宋体" w:hAnsi="宋体" w:eastAsia="宋体" w:cs="宋体"/>
          <w:sz w:val="24"/>
          <w:szCs w:val="24"/>
        </w:rPr>
      </w:pPr>
      <w:r>
        <w:rPr>
          <w:rFonts w:hint="eastAsia" w:ascii="宋体" w:hAnsi="宋体" w:eastAsia="宋体" w:cs="Times New Roman"/>
          <w:sz w:val="24"/>
          <w:szCs w:val="24"/>
          <w:u w:val="none"/>
        </w:rPr>
        <w:t>(1)日降雨</w:t>
      </w:r>
      <w:r>
        <w:rPr>
          <w:rFonts w:hint="eastAsia" w:ascii="宋体" w:hAnsi="宋体" w:eastAsia="宋体" w:cs="宋体"/>
          <w:sz w:val="24"/>
          <w:szCs w:val="24"/>
        </w:rPr>
        <w:t>量大于</w:t>
      </w:r>
      <w:r>
        <w:rPr>
          <w:rFonts w:hint="eastAsia" w:ascii="宋体" w:hAnsi="宋体" w:eastAsia="宋体" w:cs="宋体"/>
          <w:sz w:val="24"/>
          <w:szCs w:val="24"/>
          <w:u w:val="single"/>
        </w:rPr>
        <w:t>50mm</w:t>
      </w:r>
      <w:r>
        <w:rPr>
          <w:rFonts w:hint="eastAsia" w:ascii="宋体" w:hAnsi="宋体" w:eastAsia="宋体" w:cs="宋体"/>
          <w:sz w:val="24"/>
          <w:szCs w:val="24"/>
        </w:rPr>
        <w:t>的雨日超过</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天；</w:t>
      </w:r>
    </w:p>
    <w:p>
      <w:pPr>
        <w:pageBreakBefore w:val="0"/>
        <w:kinsoku/>
        <w:wordWrap/>
        <w:overflowPunct/>
        <w:topLinePunct w:val="0"/>
        <w:bidi w:val="0"/>
        <w:spacing w:line="360" w:lineRule="auto"/>
        <w:ind w:firstLine="525"/>
        <w:textAlignment w:val="auto"/>
        <w:outlineLvl w:val="9"/>
        <w:rPr>
          <w:rFonts w:hint="eastAsia" w:ascii="宋体" w:hAnsi="宋体" w:eastAsia="宋体" w:cs="宋体"/>
          <w:sz w:val="24"/>
          <w:szCs w:val="24"/>
        </w:rPr>
      </w:pPr>
      <w:r>
        <w:rPr>
          <w:rFonts w:hint="eastAsia" w:ascii="宋体" w:hAnsi="宋体" w:eastAsia="宋体" w:cs="宋体"/>
          <w:sz w:val="24"/>
          <w:szCs w:val="24"/>
        </w:rPr>
        <w:t>(2)风速大于</w:t>
      </w:r>
      <w:r>
        <w:rPr>
          <w:rFonts w:hint="eastAsia" w:ascii="宋体" w:hAnsi="宋体" w:eastAsia="宋体" w:cs="宋体"/>
          <w:sz w:val="24"/>
          <w:szCs w:val="24"/>
          <w:u w:val="single"/>
        </w:rPr>
        <w:t>21 m/s</w:t>
      </w:r>
      <w:r>
        <w:rPr>
          <w:rFonts w:hint="eastAsia" w:ascii="宋体" w:hAnsi="宋体" w:eastAsia="宋体" w:cs="宋体"/>
          <w:sz w:val="24"/>
          <w:szCs w:val="24"/>
        </w:rPr>
        <w:t>的</w:t>
      </w:r>
      <w:r>
        <w:rPr>
          <w:rFonts w:hint="eastAsia" w:ascii="宋体" w:hAnsi="宋体" w:eastAsia="宋体" w:cs="宋体"/>
          <w:sz w:val="24"/>
          <w:szCs w:val="24"/>
          <w:u w:val="single"/>
        </w:rPr>
        <w:t>9</w:t>
      </w:r>
      <w:r>
        <w:rPr>
          <w:rFonts w:hint="eastAsia" w:ascii="宋体" w:hAnsi="宋体" w:eastAsia="宋体" w:cs="宋体"/>
          <w:sz w:val="24"/>
          <w:szCs w:val="24"/>
        </w:rPr>
        <w:t>级以上台风灾害；</w:t>
      </w:r>
    </w:p>
    <w:p>
      <w:pPr>
        <w:pageBreakBefore w:val="0"/>
        <w:kinsoku/>
        <w:wordWrap/>
        <w:overflowPunct/>
        <w:topLinePunct w:val="0"/>
        <w:bidi w:val="0"/>
        <w:spacing w:line="360" w:lineRule="auto"/>
        <w:ind w:firstLine="525"/>
        <w:textAlignment w:val="auto"/>
        <w:outlineLvl w:val="9"/>
        <w:rPr>
          <w:rFonts w:hint="eastAsia" w:ascii="宋体" w:hAnsi="宋体" w:eastAsia="宋体" w:cs="宋体"/>
          <w:sz w:val="24"/>
          <w:szCs w:val="24"/>
        </w:rPr>
      </w:pPr>
      <w:r>
        <w:rPr>
          <w:rFonts w:hint="eastAsia" w:ascii="宋体" w:hAnsi="宋体" w:eastAsia="宋体" w:cs="宋体"/>
          <w:sz w:val="24"/>
          <w:szCs w:val="24"/>
        </w:rPr>
        <w:t>(3)日气温超过</w:t>
      </w:r>
      <w:r>
        <w:rPr>
          <w:rFonts w:hint="eastAsia" w:ascii="宋体" w:hAnsi="宋体" w:eastAsia="宋体" w:cs="宋体"/>
          <w:sz w:val="24"/>
          <w:szCs w:val="24"/>
          <w:u w:val="single"/>
        </w:rPr>
        <w:t>38℃</w:t>
      </w:r>
      <w:r>
        <w:rPr>
          <w:rFonts w:hint="eastAsia" w:ascii="宋体" w:hAnsi="宋体" w:eastAsia="宋体" w:cs="宋体"/>
          <w:sz w:val="24"/>
          <w:szCs w:val="24"/>
        </w:rPr>
        <w:t>的高温大于</w:t>
      </w:r>
      <w:r>
        <w:rPr>
          <w:rFonts w:hint="eastAsia" w:ascii="宋体" w:hAnsi="宋体" w:eastAsia="宋体" w:cs="宋体"/>
          <w:sz w:val="24"/>
          <w:szCs w:val="24"/>
          <w:u w:val="single"/>
        </w:rPr>
        <w:t>3</w:t>
      </w:r>
      <w:r>
        <w:rPr>
          <w:rFonts w:hint="eastAsia" w:ascii="宋体" w:hAnsi="宋体" w:eastAsia="宋体" w:cs="宋体"/>
          <w:sz w:val="24"/>
          <w:szCs w:val="24"/>
        </w:rPr>
        <w:t>天；</w:t>
      </w:r>
    </w:p>
    <w:p>
      <w:pPr>
        <w:pageBreakBefore w:val="0"/>
        <w:kinsoku/>
        <w:wordWrap/>
        <w:overflowPunct/>
        <w:topLinePunct w:val="0"/>
        <w:bidi w:val="0"/>
        <w:spacing w:line="360" w:lineRule="auto"/>
        <w:ind w:firstLine="525"/>
        <w:textAlignment w:val="auto"/>
        <w:outlineLvl w:val="9"/>
        <w:rPr>
          <w:rFonts w:hint="eastAsia" w:ascii="宋体" w:hAnsi="宋体" w:eastAsia="宋体" w:cs="宋体"/>
          <w:sz w:val="24"/>
          <w:szCs w:val="24"/>
        </w:rPr>
      </w:pPr>
      <w:r>
        <w:rPr>
          <w:rFonts w:hint="eastAsia" w:ascii="宋体" w:hAnsi="宋体" w:eastAsia="宋体" w:cs="宋体"/>
          <w:sz w:val="24"/>
          <w:szCs w:val="24"/>
        </w:rPr>
        <w:t>(4)日气温低于</w:t>
      </w:r>
      <w:r>
        <w:rPr>
          <w:rFonts w:hint="eastAsia" w:ascii="宋体" w:hAnsi="宋体" w:eastAsia="宋体" w:cs="宋体"/>
          <w:sz w:val="24"/>
          <w:szCs w:val="24"/>
          <w:u w:val="single"/>
        </w:rPr>
        <w:t>-20℃</w:t>
      </w:r>
      <w:r>
        <w:rPr>
          <w:rFonts w:hint="eastAsia" w:ascii="宋体" w:hAnsi="宋体" w:eastAsia="宋体" w:cs="宋体"/>
          <w:sz w:val="24"/>
          <w:szCs w:val="24"/>
        </w:rPr>
        <w:t>的严寒大于</w:t>
      </w:r>
      <w:r>
        <w:rPr>
          <w:rFonts w:hint="eastAsia" w:ascii="宋体" w:hAnsi="宋体" w:eastAsia="宋体" w:cs="宋体"/>
          <w:sz w:val="24"/>
          <w:szCs w:val="24"/>
          <w:u w:val="single"/>
        </w:rPr>
        <w:t>3</w:t>
      </w:r>
      <w:r>
        <w:rPr>
          <w:rFonts w:hint="eastAsia" w:ascii="宋体" w:hAnsi="宋体" w:eastAsia="宋体" w:cs="宋体"/>
          <w:sz w:val="24"/>
          <w:szCs w:val="24"/>
        </w:rPr>
        <w:t>天；</w:t>
      </w:r>
    </w:p>
    <w:p>
      <w:pPr>
        <w:pageBreakBefore w:val="0"/>
        <w:kinsoku/>
        <w:wordWrap/>
        <w:overflowPunct/>
        <w:topLinePunct w:val="0"/>
        <w:bidi w:val="0"/>
        <w:spacing w:line="360" w:lineRule="auto"/>
        <w:ind w:firstLine="525"/>
        <w:textAlignment w:val="auto"/>
        <w:outlineLvl w:val="9"/>
        <w:rPr>
          <w:rFonts w:hint="eastAsia" w:ascii="宋体" w:hAnsi="宋体" w:eastAsia="宋体" w:cs="宋体"/>
          <w:sz w:val="24"/>
          <w:szCs w:val="24"/>
        </w:rPr>
      </w:pPr>
      <w:r>
        <w:rPr>
          <w:rFonts w:hint="eastAsia" w:ascii="宋体" w:hAnsi="宋体" w:eastAsia="宋体" w:cs="宋体"/>
          <w:sz w:val="24"/>
          <w:szCs w:val="24"/>
        </w:rPr>
        <w:t>(5)造成工程损坏的冰雹和大雪灾害：</w:t>
      </w:r>
      <w:r>
        <w:rPr>
          <w:rFonts w:hint="eastAsia" w:ascii="宋体" w:hAnsi="宋体" w:eastAsia="宋体" w:cs="宋体"/>
          <w:sz w:val="24"/>
          <w:szCs w:val="24"/>
          <w:u w:val="single"/>
        </w:rPr>
        <w:t>30年一遇</w:t>
      </w:r>
      <w:r>
        <w:rPr>
          <w:rFonts w:hint="eastAsia" w:ascii="宋体" w:hAnsi="宋体" w:eastAsia="宋体" w:cs="宋体"/>
          <w:sz w:val="24"/>
          <w:szCs w:val="24"/>
        </w:rPr>
        <w:t>；</w:t>
      </w:r>
    </w:p>
    <w:p>
      <w:pPr>
        <w:pageBreakBefore w:val="0"/>
        <w:kinsoku/>
        <w:wordWrap/>
        <w:overflowPunct/>
        <w:topLinePunct w:val="0"/>
        <w:bidi w:val="0"/>
        <w:spacing w:line="360" w:lineRule="auto"/>
        <w:ind w:firstLine="525"/>
        <w:textAlignment w:val="auto"/>
        <w:outlineLvl w:val="9"/>
        <w:rPr>
          <w:rFonts w:hint="eastAsia" w:ascii="宋体" w:hAnsi="宋体" w:eastAsia="宋体" w:cs="宋体"/>
          <w:sz w:val="24"/>
          <w:szCs w:val="24"/>
        </w:rPr>
      </w:pPr>
      <w:r>
        <w:rPr>
          <w:rFonts w:hint="eastAsia" w:ascii="宋体" w:hAnsi="宋体" w:eastAsia="宋体" w:cs="宋体"/>
          <w:sz w:val="24"/>
          <w:szCs w:val="24"/>
        </w:rPr>
        <w:t>(6)其它异常恶劣气候灾害。</w:t>
      </w:r>
    </w:p>
    <w:p>
      <w:pPr>
        <w:pageBreakBefore w:val="0"/>
        <w:kinsoku/>
        <w:wordWrap/>
        <w:overflowPunct/>
        <w:topLinePunct w:val="0"/>
        <w:bidi w:val="0"/>
        <w:spacing w:line="360" w:lineRule="auto"/>
        <w:jc w:val="both"/>
        <w:textAlignment w:val="auto"/>
        <w:outlineLvl w:val="9"/>
        <w:rPr>
          <w:rFonts w:hint="eastAsia" w:ascii="宋体" w:hAnsi="宋体" w:eastAsia="宋体" w:cs="宋体"/>
          <w:sz w:val="24"/>
          <w:szCs w:val="24"/>
        </w:rPr>
      </w:pPr>
      <w:bookmarkStart w:id="931" w:name="_Toc265657506"/>
      <w:bookmarkStart w:id="932" w:name="_Toc267473084"/>
      <w:bookmarkStart w:id="933" w:name="_Toc285028979"/>
      <w:r>
        <w:rPr>
          <w:rFonts w:hint="eastAsia" w:ascii="宋体" w:hAnsi="宋体" w:eastAsia="宋体" w:cs="宋体"/>
          <w:sz w:val="24"/>
          <w:szCs w:val="24"/>
        </w:rPr>
        <w:t>11.5 承包人的工期延误</w:t>
      </w:r>
      <w:bookmarkEnd w:id="931"/>
      <w:bookmarkEnd w:id="932"/>
      <w:bookmarkEnd w:id="933"/>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rPr>
        <w:t>（1）逾期完工违约金</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元/日</w:t>
      </w:r>
      <w:r>
        <w:rPr>
          <w:rFonts w:hint="eastAsia" w:ascii="宋体" w:hAnsi="宋体" w:eastAsia="宋体" w:cs="宋体"/>
          <w:b/>
          <w:kern w:val="0"/>
          <w:sz w:val="24"/>
          <w:szCs w:val="24"/>
          <w:highlight w:val="none"/>
        </w:rPr>
        <w:t>。</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sz w:val="24"/>
          <w:szCs w:val="24"/>
        </w:rPr>
        <w:t>（2）全部逾期完工违约金的总限额为</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rPr>
        <w:t>不超过签约合同价的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p>
    <w:p>
      <w:pPr>
        <w:pageBreakBefore w:val="0"/>
        <w:kinsoku/>
        <w:wordWrap/>
        <w:overflowPunct/>
        <w:topLinePunct w:val="0"/>
        <w:bidi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11.6 工期提前</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工期提前的奖励约定：</w:t>
      </w:r>
      <w:r>
        <w:rPr>
          <w:rFonts w:hint="eastAsia" w:ascii="宋体" w:hAnsi="宋体" w:eastAsia="宋体" w:cs="宋体"/>
          <w:sz w:val="24"/>
          <w:szCs w:val="24"/>
          <w:u w:val="single"/>
        </w:rPr>
        <w:t>不奖励</w:t>
      </w:r>
      <w:r>
        <w:rPr>
          <w:rFonts w:hint="eastAsia" w:ascii="宋体" w:hAnsi="宋体" w:eastAsia="宋体" w:cs="宋体"/>
          <w:sz w:val="24"/>
          <w:szCs w:val="24"/>
        </w:rPr>
        <w:t>。</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934" w:name="_Toc263370632"/>
      <w:bookmarkStart w:id="935" w:name="_Toc307417480"/>
      <w:bookmarkStart w:id="936" w:name="_Toc285028984"/>
      <w:bookmarkStart w:id="937" w:name="_Toc307416183"/>
      <w:bookmarkStart w:id="938" w:name="_Toc307485247"/>
      <w:bookmarkStart w:id="939" w:name="_Toc265657511"/>
      <w:bookmarkStart w:id="940" w:name="_Toc430097454"/>
      <w:bookmarkStart w:id="941" w:name="_Toc307415741"/>
      <w:bookmarkStart w:id="942" w:name="_Toc267473089"/>
      <w:bookmarkStart w:id="943" w:name="_Toc7650"/>
      <w:r>
        <w:rPr>
          <w:rFonts w:hint="eastAsia" w:ascii="宋体" w:hAnsi="宋体" w:eastAsia="宋体" w:cs="宋体"/>
          <w:b/>
          <w:sz w:val="24"/>
          <w:szCs w:val="24"/>
          <w:lang w:val="en-US" w:eastAsia="zh-CN" w:bidi="ar-SA"/>
        </w:rPr>
        <w:t>13．工程质量</w:t>
      </w:r>
      <w:bookmarkEnd w:id="934"/>
      <w:bookmarkEnd w:id="935"/>
      <w:bookmarkEnd w:id="936"/>
      <w:bookmarkEnd w:id="937"/>
      <w:bookmarkEnd w:id="938"/>
      <w:bookmarkEnd w:id="939"/>
      <w:bookmarkEnd w:id="940"/>
      <w:bookmarkEnd w:id="941"/>
      <w:bookmarkEnd w:id="942"/>
      <w:bookmarkEnd w:id="943"/>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highlight w:val="none"/>
        </w:rPr>
      </w:pPr>
      <w:bookmarkStart w:id="944" w:name="_Toc285028985"/>
      <w:bookmarkStart w:id="945" w:name="_Toc265657512"/>
      <w:bookmarkStart w:id="946" w:name="_Toc307415742"/>
      <w:bookmarkStart w:id="947" w:name="_Toc267473090"/>
      <w:r>
        <w:rPr>
          <w:rFonts w:hint="eastAsia" w:ascii="宋体" w:hAnsi="宋体" w:eastAsia="宋体" w:cs="宋体"/>
          <w:sz w:val="24"/>
          <w:szCs w:val="24"/>
        </w:rPr>
        <w:t>13.7 质量评定</w:t>
      </w:r>
      <w:bookmarkEnd w:id="944"/>
      <w:bookmarkEnd w:id="945"/>
      <w:bookmarkEnd w:id="946"/>
      <w:bookmarkEnd w:id="947"/>
    </w:p>
    <w:p>
      <w:pPr>
        <w:pageBreakBefore w:val="0"/>
        <w:kinsoku/>
        <w:wordWrap/>
        <w:overflowPunct/>
        <w:topLinePunct w:val="0"/>
        <w:bidi w:val="0"/>
        <w:snapToGrid w:val="0"/>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此款增加约定为:按水利行业要求进行项目划分和质量评定，在分部工程评定完成后，统一按水利行业办法进行验收。</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948" w:name="_Toc285028987"/>
      <w:bookmarkStart w:id="949" w:name="_Toc267473092"/>
      <w:bookmarkStart w:id="950" w:name="_Toc307416184"/>
      <w:bookmarkStart w:id="951" w:name="_Toc265657514"/>
      <w:bookmarkStart w:id="952" w:name="_Toc430097455"/>
      <w:bookmarkStart w:id="953" w:name="_Toc307417481"/>
      <w:bookmarkStart w:id="954" w:name="_Toc307415744"/>
      <w:bookmarkStart w:id="955" w:name="_Toc263370633"/>
      <w:bookmarkStart w:id="956" w:name="_Toc29053"/>
      <w:bookmarkStart w:id="957" w:name="_Toc307485248"/>
      <w:r>
        <w:rPr>
          <w:rFonts w:hint="eastAsia" w:ascii="宋体" w:hAnsi="宋体" w:eastAsia="宋体" w:cs="宋体"/>
          <w:b/>
          <w:sz w:val="24"/>
          <w:szCs w:val="24"/>
          <w:lang w:val="en-US" w:eastAsia="zh-CN" w:bidi="ar-SA"/>
        </w:rPr>
        <w:t>14．试验和检验</w:t>
      </w:r>
      <w:bookmarkEnd w:id="948"/>
      <w:bookmarkEnd w:id="949"/>
      <w:bookmarkEnd w:id="950"/>
      <w:bookmarkEnd w:id="951"/>
      <w:bookmarkEnd w:id="952"/>
      <w:bookmarkEnd w:id="953"/>
      <w:bookmarkEnd w:id="954"/>
      <w:bookmarkEnd w:id="955"/>
      <w:bookmarkEnd w:id="956"/>
      <w:bookmarkEnd w:id="957"/>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rPr>
      </w:pPr>
      <w:bookmarkStart w:id="958" w:name="_Toc267473093"/>
      <w:bookmarkStart w:id="959" w:name="_Toc307415745"/>
      <w:bookmarkStart w:id="960" w:name="_Toc285028988"/>
      <w:bookmarkStart w:id="961" w:name="_Toc265657515"/>
      <w:r>
        <w:rPr>
          <w:rFonts w:hint="eastAsia" w:ascii="宋体" w:hAnsi="宋体" w:eastAsia="宋体" w:cs="宋体"/>
          <w:sz w:val="24"/>
          <w:szCs w:val="24"/>
        </w:rPr>
        <w:t>14.1材料、工程设备和工程的试验和检验</w:t>
      </w:r>
      <w:bookmarkEnd w:id="958"/>
      <w:bookmarkEnd w:id="959"/>
      <w:bookmarkEnd w:id="960"/>
      <w:bookmarkEnd w:id="961"/>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14.1.5 水工金属结构、启闭机及机电产品进场后的交货检查和验收中，承包人负责</w:t>
      </w:r>
      <w:r>
        <w:rPr>
          <w:rFonts w:hint="eastAsia" w:ascii="宋体" w:hAnsi="宋体" w:eastAsia="宋体" w:cs="宋体"/>
          <w:sz w:val="24"/>
          <w:szCs w:val="24"/>
          <w:u w:val="single"/>
        </w:rPr>
        <w:t>参加检查验收并负责接收工作</w:t>
      </w:r>
      <w:r>
        <w:rPr>
          <w:rFonts w:hint="eastAsia" w:ascii="仿宋" w:hAnsi="仿宋" w:eastAsia="仿宋" w:cs="仿宋"/>
          <w:u w:val="single"/>
        </w:rPr>
        <w:t xml:space="preserve"> </w:t>
      </w:r>
      <w:r>
        <w:rPr>
          <w:rFonts w:hint="eastAsia" w:ascii="宋体" w:hAnsi="宋体" w:eastAsia="宋体" w:cs="宋体"/>
          <w:color w:val="auto"/>
          <w:sz w:val="24"/>
          <w:szCs w:val="24"/>
        </w:rPr>
        <w:t>。</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962" w:name="_Toc8179"/>
      <w:bookmarkStart w:id="963" w:name="_Toc430097456"/>
      <w:bookmarkStart w:id="964" w:name="_Toc307415746"/>
      <w:bookmarkStart w:id="965" w:name="_Toc263370634"/>
      <w:bookmarkStart w:id="966" w:name="_Toc307485249"/>
      <w:bookmarkStart w:id="967" w:name="_Toc307417482"/>
      <w:bookmarkStart w:id="968" w:name="_Toc307416185"/>
      <w:bookmarkStart w:id="969" w:name="_Toc285028990"/>
      <w:bookmarkStart w:id="970" w:name="_Toc267473095"/>
      <w:bookmarkStart w:id="971" w:name="_Toc265657517"/>
      <w:r>
        <w:rPr>
          <w:rFonts w:hint="eastAsia" w:ascii="宋体" w:hAnsi="宋体" w:eastAsia="宋体" w:cs="宋体"/>
          <w:b/>
          <w:sz w:val="24"/>
          <w:szCs w:val="24"/>
          <w:lang w:val="en-US" w:eastAsia="zh-CN" w:bidi="ar-SA"/>
        </w:rPr>
        <w:t>15．变更</w:t>
      </w:r>
      <w:bookmarkEnd w:id="962"/>
      <w:bookmarkEnd w:id="963"/>
      <w:bookmarkEnd w:id="964"/>
      <w:bookmarkEnd w:id="965"/>
      <w:bookmarkEnd w:id="966"/>
      <w:bookmarkEnd w:id="967"/>
      <w:bookmarkEnd w:id="968"/>
      <w:bookmarkEnd w:id="969"/>
      <w:bookmarkEnd w:id="970"/>
      <w:bookmarkEnd w:id="971"/>
    </w:p>
    <w:p>
      <w:pPr>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sz w:val="24"/>
          <w:szCs w:val="24"/>
        </w:rPr>
      </w:pPr>
      <w:bookmarkStart w:id="972" w:name="_Toc307415747"/>
      <w:bookmarkStart w:id="973" w:name="_Toc285028991"/>
      <w:bookmarkStart w:id="974" w:name="_Toc265657518"/>
      <w:bookmarkStart w:id="975" w:name="_Toc267473096"/>
      <w:r>
        <w:rPr>
          <w:rFonts w:hint="eastAsia" w:ascii="宋体" w:hAnsi="宋体" w:eastAsia="宋体" w:cs="宋体"/>
          <w:sz w:val="24"/>
          <w:szCs w:val="24"/>
        </w:rPr>
        <w:t>15.1 变更的范围和内容</w:t>
      </w:r>
      <w:bookmarkEnd w:id="972"/>
      <w:bookmarkEnd w:id="973"/>
      <w:bookmarkEnd w:id="974"/>
      <w:bookmarkEnd w:id="975"/>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（6）增加或减少合同中关键项目工程量超过其工程总量的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%时，关键项目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，单价调整方式：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p>
    <w:p>
      <w:pPr>
        <w:pageBreakBefore w:val="0"/>
        <w:kinsoku/>
        <w:wordWrap/>
        <w:overflowPunct/>
        <w:topLinePunct w:val="0"/>
        <w:bidi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15.8 暂估价</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（1）发包人和承包人组织招标的暂估价项目：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（签约后填入） </w:t>
      </w:r>
      <w:r>
        <w:rPr>
          <w:rFonts w:hint="eastAsia" w:ascii="宋体" w:hAnsi="宋体" w:eastAsia="宋体" w:cs="宋体"/>
          <w:sz w:val="24"/>
          <w:szCs w:val="24"/>
        </w:rPr>
        <w:t>；发包人组织招标的暂估价项目：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（签约后填入）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（2）发包人和承包人以招标方式选择暂估价项目供应商或分包人时，双方的权利义务关系：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（签约后填入） </w:t>
      </w:r>
      <w:r>
        <w:rPr>
          <w:rFonts w:hint="eastAsia" w:ascii="宋体" w:hAnsi="宋体" w:eastAsia="宋体" w:cs="宋体"/>
          <w:sz w:val="24"/>
          <w:szCs w:val="24"/>
        </w:rPr>
        <w:t>。</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976" w:name="_Toc263370635"/>
      <w:bookmarkStart w:id="977" w:name="_Toc430097457"/>
      <w:bookmarkStart w:id="978" w:name="_Toc265657520"/>
      <w:bookmarkStart w:id="979" w:name="_Toc307416186"/>
      <w:bookmarkStart w:id="980" w:name="_Toc307415749"/>
      <w:bookmarkStart w:id="981" w:name="_Toc307485250"/>
      <w:bookmarkStart w:id="982" w:name="_Toc267473098"/>
      <w:bookmarkStart w:id="983" w:name="_Toc307417483"/>
      <w:bookmarkStart w:id="984" w:name="_Toc285028993"/>
      <w:bookmarkStart w:id="985" w:name="_Toc26542"/>
      <w:r>
        <w:rPr>
          <w:rFonts w:hint="eastAsia" w:ascii="宋体" w:hAnsi="宋体" w:eastAsia="宋体" w:cs="宋体"/>
          <w:b/>
          <w:sz w:val="24"/>
          <w:szCs w:val="24"/>
          <w:lang w:val="en-US" w:eastAsia="zh-CN" w:bidi="ar-SA"/>
        </w:rPr>
        <w:t>16．价格调整</w:t>
      </w:r>
      <w:bookmarkEnd w:id="976"/>
      <w:bookmarkEnd w:id="977"/>
      <w:bookmarkEnd w:id="978"/>
      <w:bookmarkEnd w:id="979"/>
      <w:bookmarkEnd w:id="980"/>
      <w:bookmarkEnd w:id="981"/>
      <w:bookmarkEnd w:id="982"/>
      <w:bookmarkEnd w:id="983"/>
      <w:bookmarkEnd w:id="984"/>
      <w:bookmarkEnd w:id="985"/>
    </w:p>
    <w:p>
      <w:pPr>
        <w:pageBreakBefore w:val="0"/>
        <w:kinsoku/>
        <w:wordWrap/>
        <w:overflowPunct/>
        <w:topLinePunct w:val="0"/>
        <w:autoSpaceDE/>
        <w:autoSpaceDN/>
        <w:bidi w:val="0"/>
        <w:adjustRightInd/>
        <w:spacing w:line="360" w:lineRule="auto"/>
        <w:jc w:val="left"/>
        <w:textAlignment w:val="auto"/>
        <w:outlineLvl w:val="9"/>
        <w:rPr>
          <w:rFonts w:hint="eastAsia" w:ascii="宋体" w:hAnsi="宋体" w:eastAsia="宋体" w:cs="宋体"/>
          <w:b w:val="0"/>
          <w:bCs/>
          <w:color w:val="auto"/>
          <w:sz w:val="24"/>
          <w:szCs w:val="24"/>
        </w:rPr>
      </w:pPr>
      <w:bookmarkStart w:id="986" w:name="_Toc265657521"/>
      <w:bookmarkStart w:id="987" w:name="_Toc285028994"/>
      <w:bookmarkStart w:id="988" w:name="_Toc267473099"/>
      <w:bookmarkStart w:id="989" w:name="_Toc307415750"/>
      <w:r>
        <w:rPr>
          <w:rFonts w:hint="eastAsia" w:ascii="宋体" w:hAnsi="宋体" w:eastAsia="宋体" w:cs="宋体"/>
          <w:b w:val="0"/>
          <w:bCs/>
          <w:color w:val="auto"/>
          <w:sz w:val="24"/>
          <w:szCs w:val="24"/>
        </w:rPr>
        <w:t>16.1物价波动引起的价格调整</w:t>
      </w:r>
      <w:bookmarkEnd w:id="986"/>
      <w:bookmarkEnd w:id="987"/>
      <w:bookmarkEnd w:id="988"/>
      <w:bookmarkEnd w:id="989"/>
    </w:p>
    <w:p>
      <w:pPr>
        <w:pageBreakBefore w:val="0"/>
        <w:kinsoku/>
        <w:wordWrap/>
        <w:overflowPunct/>
        <w:topLinePunct w:val="0"/>
        <w:autoSpaceDE/>
        <w:autoSpaceDN/>
        <w:bidi w:val="0"/>
        <w:adjustRightInd/>
        <w:spacing w:line="360" w:lineRule="auto"/>
        <w:ind w:firstLine="480" w:firstLineChars="200"/>
        <w:jc w:val="left"/>
        <w:textAlignment w:val="auto"/>
        <w:outlineLvl w:val="9"/>
        <w:rPr>
          <w:rFonts w:ascii="宋体"/>
          <w:szCs w:val="21"/>
        </w:rPr>
      </w:pPr>
      <w:bookmarkStart w:id="990" w:name="_Toc307417484"/>
      <w:bookmarkStart w:id="991" w:name="_Toc307415751"/>
      <w:bookmarkStart w:id="992" w:name="_Toc263370636"/>
      <w:bookmarkStart w:id="993" w:name="_Toc267473100"/>
      <w:bookmarkStart w:id="994" w:name="_Toc285028995"/>
      <w:bookmarkStart w:id="995" w:name="_Toc265657522"/>
      <w:bookmarkStart w:id="996" w:name="_Toc307485251"/>
      <w:bookmarkStart w:id="997" w:name="_Toc307416187"/>
      <w:r>
        <w:rPr>
          <w:rFonts w:hint="eastAsia" w:ascii="宋体" w:hAnsi="宋体" w:eastAsia="宋体" w:cs="宋体"/>
          <w:b w:val="0"/>
          <w:bCs/>
          <w:color w:val="auto"/>
          <w:sz w:val="24"/>
          <w:szCs w:val="24"/>
        </w:rPr>
        <w:t>物价波动引起的价格调整方式：</w:t>
      </w:r>
      <w:r>
        <w:rPr>
          <w:rFonts w:hint="eastAsia" w:ascii="宋体" w:hAnsi="宋体" w:eastAsia="宋体"/>
          <w:sz w:val="24"/>
          <w:szCs w:val="24"/>
          <w:u w:val="single"/>
          <w:lang w:val="en-US" w:eastAsia="zh-CN"/>
        </w:rPr>
        <w:t xml:space="preserve">   不调价    </w:t>
      </w:r>
      <w:r>
        <w:rPr>
          <w:rFonts w:hint="eastAsia" w:ascii="宋体"/>
          <w:sz w:val="24"/>
          <w:szCs w:val="24"/>
        </w:rPr>
        <w:t>。</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998" w:name="_Toc430097458"/>
      <w:bookmarkStart w:id="999" w:name="_Toc27226"/>
      <w:r>
        <w:rPr>
          <w:rFonts w:hint="eastAsia" w:ascii="宋体" w:hAnsi="宋体" w:eastAsia="宋体" w:cs="宋体"/>
          <w:b/>
          <w:sz w:val="24"/>
          <w:szCs w:val="24"/>
          <w:lang w:val="en-US" w:eastAsia="zh-CN" w:bidi="ar-SA"/>
        </w:rPr>
        <w:t>17．计量与支付</w:t>
      </w:r>
      <w:bookmarkEnd w:id="990"/>
      <w:bookmarkEnd w:id="991"/>
      <w:bookmarkEnd w:id="992"/>
      <w:bookmarkEnd w:id="993"/>
      <w:bookmarkEnd w:id="994"/>
      <w:bookmarkEnd w:id="995"/>
      <w:bookmarkEnd w:id="996"/>
      <w:bookmarkEnd w:id="997"/>
      <w:bookmarkEnd w:id="998"/>
      <w:bookmarkEnd w:id="999"/>
    </w:p>
    <w:p>
      <w:pPr>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 w:val="0"/>
          <w:bCs/>
          <w:color w:val="auto"/>
          <w:sz w:val="24"/>
          <w:szCs w:val="24"/>
        </w:rPr>
      </w:pPr>
      <w:bookmarkStart w:id="1000" w:name="_Toc307415752"/>
      <w:bookmarkStart w:id="1001" w:name="_Toc285028996"/>
      <w:bookmarkStart w:id="1002" w:name="_Toc265657523"/>
      <w:bookmarkStart w:id="1003" w:name="_Toc267473101"/>
      <w:r>
        <w:rPr>
          <w:rFonts w:hint="eastAsia" w:ascii="宋体" w:hAnsi="宋体" w:eastAsia="宋体" w:cs="宋体"/>
          <w:b w:val="0"/>
          <w:bCs/>
          <w:color w:val="auto"/>
          <w:sz w:val="24"/>
          <w:szCs w:val="24"/>
        </w:rPr>
        <w:t>17.1.3 计量周期</w:t>
      </w:r>
    </w:p>
    <w:p>
      <w:pPr>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本合同的计量周期：</w:t>
      </w:r>
      <w:r>
        <w:rPr>
          <w:rFonts w:hint="eastAsia" w:ascii="宋体" w:hAnsi="宋体" w:eastAsia="宋体" w:cs="宋体"/>
          <w:b w:val="0"/>
          <w:bCs/>
          <w:color w:val="auto"/>
          <w:sz w:val="24"/>
          <w:szCs w:val="24"/>
          <w:u w:val="single"/>
        </w:rPr>
        <w:t>单价子目和总价子目按月计量，每月25日计量，每月30日前报监理人</w:t>
      </w:r>
      <w:r>
        <w:rPr>
          <w:rFonts w:hint="eastAsia" w:ascii="宋体" w:hAnsi="宋体" w:eastAsia="宋体" w:cs="宋体"/>
          <w:b w:val="0"/>
          <w:bCs/>
          <w:color w:val="auto"/>
          <w:sz w:val="24"/>
          <w:szCs w:val="24"/>
        </w:rPr>
        <w:t>。</w:t>
      </w:r>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17.2预付款</w:t>
      </w:r>
    </w:p>
    <w:p>
      <w:pPr>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bCs/>
          <w:sz w:val="24"/>
          <w:szCs w:val="24"/>
          <w:lang w:val="en-US" w:eastAsia="zh-CN"/>
        </w:rPr>
        <w:t>本项目无预付款</w:t>
      </w:r>
      <w:r>
        <w:rPr>
          <w:rFonts w:hint="eastAsia" w:ascii="宋体" w:hAnsi="宋体" w:eastAsia="宋体" w:cs="宋体"/>
          <w:color w:val="auto"/>
          <w:sz w:val="24"/>
          <w:szCs w:val="24"/>
        </w:rPr>
        <w:t>。</w:t>
      </w:r>
    </w:p>
    <w:p>
      <w:pPr>
        <w:pageBreakBefore w:val="0"/>
        <w:kinsoku/>
        <w:wordWrap/>
        <w:overflowPunct/>
        <w:topLinePunct w:val="0"/>
        <w:bidi w:val="0"/>
        <w:snapToGrid w:val="0"/>
        <w:spacing w:before="120" w:beforeLines="50" w:line="360" w:lineRule="auto"/>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17.3工程进度付款</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17.3.1 付款周期</w:t>
      </w:r>
    </w:p>
    <w:p>
      <w:pPr>
        <w:pageBreakBefore w:val="0"/>
        <w:tabs>
          <w:tab w:val="left" w:pos="744"/>
        </w:tabs>
        <w:kinsoku/>
        <w:wordWrap/>
        <w:overflowPunct/>
        <w:topLinePunct w:val="0"/>
        <w:bidi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按月计量支付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sz w:val="24"/>
          <w:szCs w:val="24"/>
          <w:highlight w:val="none"/>
        </w:rPr>
        <w:t>17.3.2 进度</w:t>
      </w:r>
      <w:r>
        <w:rPr>
          <w:rFonts w:hint="eastAsia" w:ascii="宋体" w:hAnsi="宋体" w:eastAsia="宋体" w:cs="宋体"/>
          <w:b w:val="0"/>
          <w:bCs/>
          <w:sz w:val="24"/>
          <w:szCs w:val="24"/>
          <w:highlight w:val="none"/>
        </w:rPr>
        <w:t>付款申请单</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当月完成的工程量于本月25日之前报监理人，监理人收到进度付款申请单后</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日内完成</w:t>
      </w:r>
      <w:r>
        <w:rPr>
          <w:rFonts w:hint="eastAsia" w:ascii="宋体" w:hAnsi="宋体" w:cs="宋体"/>
          <w:b w:val="0"/>
          <w:bCs/>
          <w:sz w:val="24"/>
          <w:szCs w:val="24"/>
          <w:highlight w:val="none"/>
          <w:lang w:val="en-US" w:eastAsia="zh-CN"/>
        </w:rPr>
        <w:t>审核</w:t>
      </w:r>
      <w:r>
        <w:rPr>
          <w:rFonts w:hint="eastAsia" w:ascii="宋体" w:hAnsi="宋体" w:eastAsia="宋体" w:cs="宋体"/>
          <w:b w:val="0"/>
          <w:bCs/>
          <w:sz w:val="24"/>
          <w:szCs w:val="24"/>
          <w:highlight w:val="none"/>
        </w:rPr>
        <w:t>工作</w:t>
      </w:r>
      <w:r>
        <w:rPr>
          <w:rFonts w:hint="eastAsia" w:ascii="宋体" w:hAnsi="宋体" w:cs="宋体"/>
          <w:b w:val="0"/>
          <w:bCs/>
          <w:sz w:val="24"/>
          <w:szCs w:val="24"/>
          <w:highlight w:val="none"/>
          <w:lang w:val="en-US" w:eastAsia="zh-CN"/>
        </w:rPr>
        <w:t>并</w:t>
      </w:r>
      <w:r>
        <w:rPr>
          <w:rFonts w:hint="eastAsia" w:ascii="宋体" w:hAnsi="宋体" w:eastAsia="宋体" w:cs="宋体"/>
          <w:b w:val="0"/>
          <w:bCs/>
          <w:sz w:val="24"/>
          <w:szCs w:val="24"/>
          <w:highlight w:val="none"/>
        </w:rPr>
        <w:t>报发包人审核，发包人收到经监理人审定的进度付款申请单后15日内完成进度款的支付。</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17.3.3</w:t>
      </w:r>
      <w:r>
        <w:rPr>
          <w:rFonts w:hint="eastAsia" w:ascii="宋体" w:hAnsi="宋体" w:eastAsia="宋体" w:cs="宋体"/>
          <w:b w:val="0"/>
          <w:bCs/>
          <w:sz w:val="24"/>
          <w:szCs w:val="24"/>
        </w:rPr>
        <w:t>进度付款证书和支付时间</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付款方式：</w:t>
      </w:r>
      <w:r>
        <w:rPr>
          <w:rFonts w:hint="eastAsia" w:ascii="宋体" w:hAnsi="宋体" w:eastAsia="宋体" w:cs="宋体"/>
          <w:b w:val="0"/>
          <w:bCs/>
          <w:sz w:val="24"/>
          <w:szCs w:val="24"/>
          <w:highlight w:val="none"/>
        </w:rPr>
        <w:t>每次应付进度款为完成</w:t>
      </w:r>
      <w:r>
        <w:rPr>
          <w:rFonts w:hint="eastAsia" w:ascii="宋体" w:hAnsi="宋体" w:cs="宋体"/>
          <w:b w:val="0"/>
          <w:bCs/>
          <w:sz w:val="24"/>
          <w:szCs w:val="24"/>
          <w:highlight w:val="none"/>
          <w:lang w:val="en-US" w:eastAsia="zh-CN"/>
        </w:rPr>
        <w:t>合格</w:t>
      </w:r>
      <w:r>
        <w:rPr>
          <w:rFonts w:hint="eastAsia" w:ascii="宋体" w:hAnsi="宋体" w:eastAsia="宋体" w:cs="宋体"/>
          <w:b w:val="0"/>
          <w:bCs/>
          <w:sz w:val="24"/>
          <w:szCs w:val="24"/>
          <w:highlight w:val="none"/>
        </w:rPr>
        <w:t>计量工程造价</w:t>
      </w:r>
      <w:r>
        <w:rPr>
          <w:rFonts w:hint="eastAsia" w:ascii="宋体" w:hAnsi="宋体" w:cs="宋体"/>
          <w:b w:val="0"/>
          <w:bCs/>
          <w:sz w:val="24"/>
          <w:szCs w:val="24"/>
          <w:highlight w:val="none"/>
          <w:lang w:val="en-US" w:eastAsia="zh-CN"/>
        </w:rPr>
        <w:t>的97%，剩余3%作为质保金，在</w:t>
      </w:r>
      <w:r>
        <w:rPr>
          <w:rFonts w:hint="eastAsia" w:ascii="宋体" w:hAnsi="宋体" w:eastAsia="宋体" w:cs="宋体"/>
          <w:b w:val="0"/>
          <w:bCs/>
          <w:sz w:val="24"/>
          <w:szCs w:val="24"/>
          <w:highlight w:val="none"/>
        </w:rPr>
        <w:t>工程质量保修期满后支付。</w:t>
      </w:r>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17.4质量保证金</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17.4.1每个付款周期扣留的质量保证金为工程进度付款的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3  </w:t>
      </w:r>
      <w:r>
        <w:rPr>
          <w:rFonts w:hint="eastAsia" w:ascii="宋体" w:hAnsi="宋体" w:eastAsia="宋体" w:cs="宋体"/>
          <w:b w:val="0"/>
          <w:bCs/>
          <w:sz w:val="24"/>
          <w:szCs w:val="24"/>
        </w:rPr>
        <w:t>％，扣留的质量保证金总额为签约合同价的</w:t>
      </w:r>
      <w:r>
        <w:rPr>
          <w:rFonts w:hint="eastAsia" w:ascii="宋体" w:hAnsi="宋体" w:eastAsia="宋体" w:cs="宋体"/>
          <w:b w:val="0"/>
          <w:bCs/>
          <w:sz w:val="24"/>
          <w:szCs w:val="24"/>
          <w:u w:val="single"/>
          <w:lang w:val="en-US" w:eastAsia="zh-CN"/>
        </w:rPr>
        <w:t xml:space="preserve">   3  </w:t>
      </w:r>
      <w:r>
        <w:rPr>
          <w:rFonts w:hint="eastAsia" w:ascii="宋体" w:hAnsi="宋体" w:eastAsia="宋体" w:cs="宋体"/>
          <w:b w:val="0"/>
          <w:bCs/>
          <w:sz w:val="24"/>
          <w:szCs w:val="24"/>
        </w:rPr>
        <w:t>％。</w:t>
      </w:r>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17.5 竣工（完工）结算</w:t>
      </w:r>
      <w:bookmarkEnd w:id="1000"/>
      <w:bookmarkEnd w:id="1001"/>
      <w:bookmarkEnd w:id="1002"/>
      <w:bookmarkEnd w:id="1003"/>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17.5.1 竣工（完工）付款申请单</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(1)承包人应提交完工付款申请单一式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sz w:val="24"/>
          <w:szCs w:val="24"/>
          <w:u w:val="single"/>
          <w:lang w:val="en-US" w:eastAsia="zh-CN"/>
        </w:rPr>
        <w:t>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rPr>
      </w:pPr>
      <w:bookmarkStart w:id="1004" w:name="_Toc267473102"/>
      <w:bookmarkStart w:id="1005" w:name="_Toc285028997"/>
      <w:bookmarkStart w:id="1006" w:name="_Toc265657524"/>
      <w:bookmarkStart w:id="1007" w:name="_Toc307415753"/>
      <w:r>
        <w:rPr>
          <w:rFonts w:hint="eastAsia" w:ascii="宋体" w:hAnsi="宋体" w:eastAsia="宋体" w:cs="宋体"/>
          <w:sz w:val="24"/>
          <w:szCs w:val="24"/>
        </w:rPr>
        <w:t>17.6 最终结清</w:t>
      </w:r>
      <w:bookmarkEnd w:id="1004"/>
      <w:bookmarkEnd w:id="1005"/>
      <w:bookmarkEnd w:id="1006"/>
      <w:bookmarkEnd w:id="1007"/>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17.6.1 最终结清申请单</w:t>
      </w:r>
    </w:p>
    <w:p>
      <w:pPr>
        <w:pageBreakBefore w:val="0"/>
        <w:kinsoku/>
        <w:wordWrap/>
        <w:overflowPunct/>
        <w:topLinePunct w:val="0"/>
        <w:bidi w:val="0"/>
        <w:spacing w:line="360" w:lineRule="auto"/>
        <w:ind w:firstLine="510"/>
        <w:textAlignment w:val="auto"/>
        <w:outlineLvl w:val="9"/>
        <w:rPr>
          <w:rFonts w:hint="eastAsia" w:ascii="宋体" w:hAnsi="宋体" w:eastAsia="宋体" w:cs="宋体"/>
          <w:sz w:val="24"/>
          <w:szCs w:val="24"/>
        </w:rPr>
      </w:pPr>
      <w:r>
        <w:rPr>
          <w:rFonts w:hint="eastAsia" w:ascii="宋体" w:hAnsi="宋体" w:eastAsia="宋体" w:cs="宋体"/>
          <w:sz w:val="24"/>
          <w:szCs w:val="24"/>
        </w:rPr>
        <w:t>(1）承包人应提交最终结清申请单一式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sz w:val="24"/>
          <w:szCs w:val="24"/>
          <w:u w:val="single"/>
          <w:lang w:val="en-US" w:eastAsia="zh-CN"/>
        </w:rPr>
        <w:t>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rPr>
      </w:pPr>
      <w:bookmarkStart w:id="1008" w:name="_Toc285028998"/>
      <w:bookmarkStart w:id="1009" w:name="_Toc307415754"/>
      <w:bookmarkStart w:id="1010" w:name="_Toc265657525"/>
      <w:bookmarkStart w:id="1011" w:name="_Toc267473103"/>
      <w:r>
        <w:rPr>
          <w:rFonts w:hint="eastAsia" w:ascii="宋体" w:hAnsi="宋体" w:eastAsia="宋体" w:cs="宋体"/>
          <w:sz w:val="24"/>
          <w:szCs w:val="24"/>
        </w:rPr>
        <w:t>17.7 竣工财务决算</w:t>
      </w:r>
      <w:bookmarkEnd w:id="1008"/>
      <w:bookmarkEnd w:id="1009"/>
      <w:bookmarkEnd w:id="1010"/>
      <w:bookmarkEnd w:id="1011"/>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承包人应为竣工财务决算编制提供的资料：</w:t>
      </w:r>
      <w:r>
        <w:rPr>
          <w:rFonts w:hint="eastAsia" w:ascii="宋体" w:hAnsi="宋体" w:eastAsia="宋体" w:cs="宋体"/>
          <w:b w:val="0"/>
          <w:bCs/>
          <w:sz w:val="24"/>
          <w:szCs w:val="24"/>
          <w:u w:val="single"/>
          <w:lang w:val="en-US" w:eastAsia="zh-CN"/>
        </w:rPr>
        <w:t>按工程需要提供并配合相关工作</w:t>
      </w:r>
      <w:r>
        <w:rPr>
          <w:rFonts w:hint="eastAsia" w:ascii="宋体" w:hAnsi="宋体" w:eastAsia="宋体" w:cs="宋体"/>
          <w:sz w:val="24"/>
          <w:szCs w:val="24"/>
        </w:rPr>
        <w:t>。</w:t>
      </w:r>
    </w:p>
    <w:p>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1012" w:name="_Toc263370637"/>
      <w:bookmarkStart w:id="1013" w:name="_Toc430097459"/>
      <w:bookmarkStart w:id="1014" w:name="_Toc307415755"/>
      <w:bookmarkStart w:id="1015" w:name="_Toc6955"/>
      <w:bookmarkStart w:id="1016" w:name="_Toc285028999"/>
      <w:bookmarkStart w:id="1017" w:name="_Toc307416188"/>
      <w:bookmarkStart w:id="1018" w:name="_Toc265657526"/>
      <w:bookmarkStart w:id="1019" w:name="_Toc307485252"/>
      <w:bookmarkStart w:id="1020" w:name="_Toc307417485"/>
      <w:bookmarkStart w:id="1021" w:name="_Toc267473104"/>
      <w:r>
        <w:rPr>
          <w:rFonts w:hint="eastAsia" w:ascii="宋体" w:hAnsi="宋体" w:eastAsia="宋体" w:cs="宋体"/>
          <w:b/>
          <w:sz w:val="24"/>
          <w:szCs w:val="24"/>
          <w:lang w:val="en-US" w:eastAsia="zh-CN" w:bidi="ar-SA"/>
        </w:rPr>
        <w:t>18．竣工验收（验收）</w:t>
      </w:r>
      <w:bookmarkEnd w:id="1012"/>
      <w:bookmarkEnd w:id="1013"/>
      <w:bookmarkEnd w:id="1014"/>
      <w:bookmarkEnd w:id="1015"/>
      <w:bookmarkEnd w:id="1016"/>
      <w:bookmarkEnd w:id="1017"/>
      <w:bookmarkEnd w:id="1018"/>
      <w:bookmarkEnd w:id="1019"/>
      <w:bookmarkEnd w:id="1020"/>
      <w:bookmarkEnd w:id="1021"/>
    </w:p>
    <w:p>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sz w:val="24"/>
          <w:szCs w:val="24"/>
        </w:rPr>
      </w:pPr>
      <w:bookmarkStart w:id="1022" w:name="_Toc285029000"/>
      <w:bookmarkStart w:id="1023" w:name="_Toc307415756"/>
      <w:bookmarkStart w:id="1024" w:name="_Toc265657527"/>
      <w:bookmarkStart w:id="1025" w:name="_Toc267473105"/>
      <w:r>
        <w:rPr>
          <w:rFonts w:hint="eastAsia" w:ascii="宋体" w:hAnsi="宋体" w:eastAsia="宋体" w:cs="宋体"/>
          <w:sz w:val="24"/>
          <w:szCs w:val="24"/>
        </w:rPr>
        <w:t>18.1 验收工作分类</w:t>
      </w:r>
      <w:bookmarkEnd w:id="1022"/>
      <w:bookmarkEnd w:id="1023"/>
      <w:bookmarkEnd w:id="1024"/>
      <w:bookmarkEnd w:id="1025"/>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本工程法人验收包括：</w:t>
      </w:r>
      <w:r>
        <w:rPr>
          <w:rFonts w:hint="eastAsia" w:ascii="宋体" w:hAnsi="宋体" w:eastAsia="宋体" w:cs="宋体"/>
          <w:snapToGrid w:val="0"/>
          <w:kern w:val="0"/>
          <w:sz w:val="24"/>
          <w:szCs w:val="24"/>
          <w:u w:val="single"/>
        </w:rPr>
        <w:t>重要隐蔽工程验收、分部工程验收、单位工程验收、合同工程完工验收</w:t>
      </w:r>
      <w:r>
        <w:rPr>
          <w:rFonts w:hint="eastAsia" w:ascii="宋体" w:hAnsi="宋体" w:eastAsia="宋体" w:cs="宋体"/>
          <w:snapToGrid w:val="0"/>
          <w:kern w:val="0"/>
          <w:sz w:val="24"/>
          <w:szCs w:val="24"/>
        </w:rPr>
        <w:t>；政府验收包括：</w:t>
      </w:r>
      <w:r>
        <w:rPr>
          <w:rFonts w:hint="eastAsia" w:ascii="宋体" w:hAnsi="宋体" w:eastAsia="宋体" w:cs="宋体"/>
          <w:snapToGrid w:val="0"/>
          <w:kern w:val="0"/>
          <w:sz w:val="24"/>
          <w:szCs w:val="24"/>
          <w:u w:val="single"/>
        </w:rPr>
        <w:t xml:space="preserve">阶段验收、专项验收、 竣工验收 </w:t>
      </w:r>
      <w:r>
        <w:rPr>
          <w:rFonts w:hint="eastAsia" w:ascii="宋体" w:hAnsi="宋体" w:eastAsia="宋体" w:cs="宋体"/>
          <w:snapToGrid w:val="0"/>
          <w:kern w:val="0"/>
          <w:sz w:val="24"/>
          <w:szCs w:val="24"/>
        </w:rPr>
        <w:t>。</w:t>
      </w:r>
    </w:p>
    <w:p>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18.9　试运行</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18.9.1试运行的组织：</w:t>
      </w:r>
      <w:r>
        <w:rPr>
          <w:rFonts w:hint="eastAsia" w:ascii="宋体" w:hAnsi="宋体" w:eastAsia="宋体" w:cs="宋体"/>
          <w:snapToGrid w:val="0"/>
          <w:kern w:val="0"/>
          <w:sz w:val="24"/>
          <w:szCs w:val="24"/>
          <w:u w:val="single"/>
        </w:rPr>
        <w:t xml:space="preserve">承包人 </w:t>
      </w:r>
      <w:r>
        <w:rPr>
          <w:rFonts w:hint="eastAsia" w:ascii="宋体" w:hAnsi="宋体" w:eastAsia="宋体" w:cs="宋体"/>
          <w:snapToGrid w:val="0"/>
          <w:kern w:val="0"/>
          <w:sz w:val="24"/>
          <w:szCs w:val="24"/>
        </w:rPr>
        <w:t>；费用承担：</w:t>
      </w:r>
      <w:r>
        <w:rPr>
          <w:rFonts w:hint="eastAsia" w:ascii="宋体" w:hAnsi="宋体" w:eastAsia="宋体" w:cs="宋体"/>
          <w:snapToGrid w:val="0"/>
          <w:kern w:val="0"/>
          <w:sz w:val="24"/>
          <w:szCs w:val="24"/>
          <w:u w:val="single"/>
        </w:rPr>
        <w:t xml:space="preserve">承包人负责 </w:t>
      </w:r>
      <w:r>
        <w:rPr>
          <w:rFonts w:hint="eastAsia" w:ascii="宋体" w:hAnsi="宋体" w:eastAsia="宋体" w:cs="宋体"/>
          <w:snapToGrid w:val="0"/>
          <w:kern w:val="0"/>
          <w:sz w:val="24"/>
          <w:szCs w:val="24"/>
        </w:rPr>
        <w:t>。</w:t>
      </w:r>
    </w:p>
    <w:p>
      <w:pPr>
        <w:pageBreakBefore w:val="0"/>
        <w:numPr>
          <w:ilvl w:val="2"/>
          <w:numId w:val="0"/>
        </w:numPr>
        <w:tabs>
          <w:tab w:val="left" w:pos="720"/>
        </w:tabs>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sz w:val="24"/>
          <w:szCs w:val="24"/>
          <w:lang w:val="en-US" w:eastAsia="zh-CN" w:bidi="ar-SA"/>
        </w:rPr>
      </w:pPr>
      <w:bookmarkStart w:id="1026" w:name="_Toc267473107"/>
      <w:bookmarkStart w:id="1027" w:name="_Toc307417486"/>
      <w:bookmarkStart w:id="1028" w:name="_Toc285029002"/>
      <w:bookmarkStart w:id="1029" w:name="_Toc307485253"/>
      <w:bookmarkStart w:id="1030" w:name="_Toc19181"/>
      <w:bookmarkStart w:id="1031" w:name="_Toc430097460"/>
      <w:bookmarkStart w:id="1032" w:name="_Toc307416189"/>
      <w:bookmarkStart w:id="1033" w:name="_Toc263370638"/>
      <w:bookmarkStart w:id="1034" w:name="_Toc265657530"/>
      <w:bookmarkStart w:id="1035" w:name="_Toc307415758"/>
      <w:r>
        <w:rPr>
          <w:rFonts w:hint="eastAsia" w:ascii="宋体" w:hAnsi="宋体" w:eastAsia="宋体" w:cs="宋体"/>
          <w:b/>
          <w:sz w:val="24"/>
          <w:szCs w:val="24"/>
          <w:lang w:val="en-US" w:eastAsia="zh-CN" w:bidi="ar-SA"/>
        </w:rPr>
        <w:t>19．缺陷责任与保修责任</w:t>
      </w:r>
      <w:bookmarkEnd w:id="1026"/>
      <w:bookmarkEnd w:id="1027"/>
      <w:bookmarkEnd w:id="1028"/>
      <w:bookmarkEnd w:id="1029"/>
      <w:bookmarkEnd w:id="1030"/>
      <w:bookmarkEnd w:id="1031"/>
      <w:bookmarkEnd w:id="1032"/>
      <w:bookmarkEnd w:id="1033"/>
      <w:bookmarkEnd w:id="1034"/>
      <w:bookmarkEnd w:id="1035"/>
    </w:p>
    <w:p>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sz w:val="24"/>
          <w:szCs w:val="24"/>
        </w:rPr>
      </w:pPr>
      <w:bookmarkStart w:id="1036" w:name="_Toc285029003"/>
      <w:bookmarkStart w:id="1037" w:name="_Toc307415759"/>
      <w:bookmarkStart w:id="1038" w:name="_Toc265657531"/>
      <w:bookmarkStart w:id="1039" w:name="_Toc267473108"/>
      <w:r>
        <w:rPr>
          <w:rFonts w:hint="eastAsia" w:ascii="宋体" w:hAnsi="宋体" w:eastAsia="宋体" w:cs="宋体"/>
          <w:sz w:val="24"/>
          <w:szCs w:val="24"/>
        </w:rPr>
        <w:t>19.1 缺陷责任期(工程质量保修期)的起算时间</w:t>
      </w:r>
      <w:bookmarkEnd w:id="1036"/>
      <w:bookmarkEnd w:id="1037"/>
      <w:bookmarkEnd w:id="1038"/>
      <w:bookmarkEnd w:id="103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本工程缺陷责任期计算如下：</w:t>
      </w:r>
      <w:r>
        <w:rPr>
          <w:rFonts w:hint="eastAsia" w:ascii="宋体" w:hAnsi="宋体" w:eastAsia="宋体" w:cs="宋体"/>
          <w:snapToGrid w:val="0"/>
          <w:kern w:val="0"/>
          <w:sz w:val="24"/>
          <w:szCs w:val="24"/>
          <w:u w:val="single"/>
        </w:rPr>
        <w:t>工程竣工验收合格之日</w:t>
      </w:r>
      <w:r>
        <w:rPr>
          <w:rFonts w:hint="eastAsia" w:ascii="宋体" w:hAnsi="宋体" w:eastAsia="宋体" w:cs="宋体"/>
          <w:snapToGrid w:val="0"/>
          <w:kern w:val="0"/>
          <w:sz w:val="24"/>
          <w:szCs w:val="24"/>
        </w:rPr>
        <w:t>。</w:t>
      </w:r>
    </w:p>
    <w:p>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22．违约</w:t>
      </w:r>
    </w:p>
    <w:p>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22.1 承包人违约</w:t>
      </w:r>
    </w:p>
    <w:p>
      <w:pPr>
        <w:pageBreakBefore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22.1.1 承包人违约的情形</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本项增加以下内容：</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(8)履约保证金、农民工保证金未按时足额缴纳的。</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(9)投标文件中约定的项目经理、技术负责人、质量员、安全员、资料员、试验员未到位或驻工地时间不符合国家相关规定的。</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(10)未按照规范施工或施工完成后质量达不到质量标准的，又不清除不合格工程的。</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(11)原材、中间产品、工程控制等未进行质量检测或检测频次不够的。</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(12)工程资料滞后，施工日志记录不详实，限期又整改不到位的。</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(13)不能按时支付农民工资的，造成农民工上访的。</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(14)法律法规规定的其他违约情形。</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22.1.2  违约处理</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本项增加以下内容：</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（4）对通用条款22.1.1（1）、（2）、（4）、（5）每项按照合同价款1%扣减。</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（5）对违反22.1.1（8）要求的按照自行放弃合同处理，确定第二候选人为新中标人，并不再退还原中标企业交纳的任何费用。</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（6）对22.1.1（9）项目经理或技术负责人每人按照合同价款1%扣减，其他人员每人按照合同价款0.1%扣减，累计扣减。</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（7）对22.1.1（10）由发包人委托他人完成，一切费用由承包人承担。</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（8）对22.1.1（11）由发包人委托有资质的检测机构进行检测，一切费用由承包人承担。</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（9）对22.1.1（12）按照合同价款0.1%扣减。</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（10）对22.1.1（13）产生的一切费用由发包人直接支付，并在承包人工程结算价款中直接扣除。</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承包人出现第22.1.1项违约情形，发包人按照22.1.1项规定处理。就同一违约事项有不同条款适用时，发包人可同时按照所适用条款一并处理。</w:t>
      </w:r>
    </w:p>
    <w:p>
      <w:pPr>
        <w:pStyle w:val="7"/>
        <w:pageBreakBefore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bookmarkStart w:id="1040" w:name="_Toc22049"/>
      <w:bookmarkStart w:id="1041" w:name="_Toc337998641"/>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争议的解决</w:t>
      </w:r>
      <w:bookmarkEnd w:id="1040"/>
      <w:bookmarkEnd w:id="1041"/>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24.1争议的解决方式</w:t>
      </w:r>
    </w:p>
    <w:p>
      <w:pPr>
        <w:pStyle w:val="3"/>
        <w:pageBreakBefore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合同当事人友好协商解决不成、不愿提请争议评审或不接受争议评审组意见的，约定的合同争议解决方式：</w:t>
      </w:r>
      <w:r>
        <w:rPr>
          <w:rFonts w:hint="eastAsia" w:ascii="宋体" w:hAnsi="宋体" w:eastAsia="宋体" w:cs="宋体"/>
          <w:sz w:val="24"/>
          <w:szCs w:val="24"/>
          <w:u w:val="single"/>
        </w:rPr>
        <w:t>渭南市仲裁委员会。</w:t>
      </w:r>
    </w:p>
    <w:p>
      <w:pPr>
        <w:pStyle w:val="7"/>
        <w:pageBreakBefore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bookmarkStart w:id="1042" w:name="_Toc25522"/>
      <w:r>
        <w:rPr>
          <w:rFonts w:hint="eastAsia" w:ascii="宋体" w:hAnsi="宋体" w:eastAsia="宋体" w:cs="宋体"/>
          <w:sz w:val="24"/>
          <w:szCs w:val="24"/>
        </w:rPr>
        <w:t>25</w:t>
      </w:r>
      <w:r>
        <w:rPr>
          <w:rFonts w:hint="eastAsia" w:ascii="宋体" w:hAnsi="宋体" w:eastAsia="宋体" w:cs="宋体"/>
          <w:sz w:val="24"/>
          <w:szCs w:val="24"/>
          <w:lang w:eastAsia="zh-CN"/>
        </w:rPr>
        <w:t>.</w:t>
      </w:r>
      <w:r>
        <w:rPr>
          <w:rFonts w:hint="eastAsia" w:ascii="宋体" w:hAnsi="宋体" w:eastAsia="宋体" w:cs="宋体"/>
          <w:sz w:val="24"/>
          <w:szCs w:val="24"/>
        </w:rPr>
        <w:t>补充其他</w:t>
      </w:r>
      <w:bookmarkEnd w:id="1042"/>
    </w:p>
    <w:p>
      <w:pPr>
        <w:pStyle w:val="3"/>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u w:val="single"/>
        </w:rPr>
      </w:pPr>
      <w:r>
        <w:rPr>
          <w:rFonts w:hint="eastAsia" w:ascii="宋体" w:hAnsi="宋体" w:eastAsia="宋体" w:cs="宋体"/>
          <w:bCs/>
          <w:sz w:val="24"/>
          <w:szCs w:val="24"/>
        </w:rPr>
        <w:t>25.1 工地治污降霾措施：</w:t>
      </w:r>
      <w:r>
        <w:rPr>
          <w:rFonts w:hint="eastAsia" w:ascii="宋体" w:hAnsi="宋体" w:eastAsia="宋体" w:cs="宋体"/>
          <w:bCs/>
          <w:sz w:val="24"/>
          <w:szCs w:val="24"/>
          <w:u w:val="single"/>
        </w:rPr>
        <w:t>要求施工现场务必做到“五必须，六不准”，即必须围挡封闭作业，必须设置冲洗设施，必须实行湿法作业，必须配备保洁人员，必须定时清扫施工现场；不准车辆带泥上路，不准高空抛撒渣土，不准场地存有积水，不准现场焚烧废弃物，不准现场堆放未覆盖的砂土。</w:t>
      </w:r>
    </w:p>
    <w:p>
      <w:pPr>
        <w:pStyle w:val="3"/>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25.2  各施工标段施工过程中涉及到交叉作业问题的，各标段必须采取相应措施互相配合，因此产生的费用不予考虑，不积极配合的单位发包人将给予一定的处罚。</w:t>
      </w:r>
    </w:p>
    <w:p>
      <w:pPr>
        <w:snapToGrid w:val="0"/>
        <w:spacing w:line="360" w:lineRule="auto"/>
        <w:ind w:firstLine="480" w:firstLineChars="200"/>
        <w:outlineLvl w:val="9"/>
        <w:rPr>
          <w:rFonts w:hint="eastAsia" w:ascii="宋体" w:hAnsi="宋体" w:eastAsia="宋体" w:cs="宋体"/>
          <w:snapToGrid w:val="0"/>
          <w:kern w:val="0"/>
          <w:sz w:val="24"/>
          <w:szCs w:val="24"/>
        </w:rPr>
      </w:pPr>
    </w:p>
    <w:p>
      <w:pPr>
        <w:tabs>
          <w:tab w:val="left" w:pos="720"/>
        </w:tabs>
        <w:jc w:val="center"/>
        <w:outlineLvl w:val="9"/>
        <w:rPr>
          <w:sz w:val="28"/>
          <w:szCs w:val="28"/>
        </w:rPr>
      </w:pPr>
      <w:bookmarkStart w:id="1043" w:name="_Toc430097464"/>
      <w:bookmarkStart w:id="1044" w:name="_Toc267473113"/>
      <w:bookmarkStart w:id="1045" w:name="_Toc307416192"/>
      <w:bookmarkStart w:id="1046" w:name="_Toc265657534"/>
      <w:bookmarkStart w:id="1047" w:name="_Toc307417489"/>
      <w:bookmarkStart w:id="1048" w:name="_Toc263370641"/>
      <w:bookmarkStart w:id="1049" w:name="_Toc307415764"/>
      <w:bookmarkStart w:id="1050" w:name="_Toc307485256"/>
      <w:bookmarkStart w:id="1051" w:name="_Toc285029008"/>
      <w:bookmarkStart w:id="1052" w:name="_Toc184635123"/>
      <w:r>
        <w:rPr>
          <w:sz w:val="28"/>
          <w:szCs w:val="28"/>
        </w:rPr>
        <w:br w:type="page"/>
      </w:r>
      <w:bookmarkStart w:id="1053" w:name="_Toc30536"/>
      <w:r>
        <w:rPr>
          <w:rFonts w:hint="eastAsia"/>
          <w:b/>
          <w:bCs/>
          <w:sz w:val="28"/>
          <w:szCs w:val="28"/>
        </w:rPr>
        <w:t>第3节</w:t>
      </w:r>
      <w:r>
        <w:rPr>
          <w:rFonts w:hint="eastAsia"/>
          <w:b/>
          <w:bCs/>
          <w:sz w:val="28"/>
          <w:szCs w:val="28"/>
          <w:lang w:val="en-US" w:eastAsia="zh-CN"/>
        </w:rPr>
        <w:t xml:space="preserve">  </w:t>
      </w:r>
      <w:r>
        <w:rPr>
          <w:rFonts w:hint="eastAsia"/>
          <w:b/>
          <w:bCs/>
          <w:sz w:val="28"/>
          <w:szCs w:val="28"/>
        </w:rPr>
        <w:t>合同附件格式</w:t>
      </w:r>
      <w:bookmarkEnd w:id="1043"/>
      <w:bookmarkEnd w:id="1044"/>
      <w:bookmarkEnd w:id="1045"/>
      <w:bookmarkEnd w:id="1046"/>
      <w:bookmarkEnd w:id="1047"/>
      <w:bookmarkEnd w:id="1048"/>
      <w:bookmarkEnd w:id="1049"/>
      <w:bookmarkEnd w:id="1050"/>
      <w:bookmarkEnd w:id="1051"/>
      <w:bookmarkEnd w:id="1052"/>
      <w:bookmarkEnd w:id="1053"/>
    </w:p>
    <w:p>
      <w:pPr>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outlineLvl w:val="9"/>
        <w:rPr>
          <w:sz w:val="28"/>
          <w:szCs w:val="28"/>
        </w:rPr>
      </w:pPr>
      <w:bookmarkStart w:id="1054" w:name="_Toc307485257"/>
      <w:bookmarkStart w:id="1055" w:name="_Toc17552"/>
      <w:bookmarkStart w:id="1056" w:name="_Toc307415765"/>
      <w:bookmarkStart w:id="1057" w:name="_Toc267473114"/>
      <w:bookmarkStart w:id="1058" w:name="_Toc285029009"/>
      <w:bookmarkStart w:id="1059" w:name="_Toc263370642"/>
      <w:bookmarkStart w:id="1060" w:name="_Toc265657535"/>
      <w:bookmarkStart w:id="1061" w:name="_Toc307416193"/>
      <w:bookmarkStart w:id="1062" w:name="_Toc430097465"/>
      <w:bookmarkStart w:id="1063" w:name="_Toc307417490"/>
      <w:r>
        <w:rPr>
          <w:rFonts w:hint="eastAsia"/>
          <w:b/>
          <w:bCs/>
          <w:sz w:val="28"/>
          <w:szCs w:val="28"/>
        </w:rPr>
        <w:t>附件一：</w:t>
      </w:r>
      <w:bookmarkEnd w:id="1054"/>
      <w:bookmarkEnd w:id="1055"/>
      <w:bookmarkEnd w:id="1056"/>
      <w:bookmarkEnd w:id="1057"/>
      <w:bookmarkEnd w:id="1058"/>
      <w:bookmarkEnd w:id="1059"/>
      <w:bookmarkEnd w:id="1060"/>
      <w:bookmarkEnd w:id="1061"/>
      <w:bookmarkEnd w:id="1062"/>
      <w:bookmarkEnd w:id="1063"/>
    </w:p>
    <w:p>
      <w:pPr>
        <w:pageBreakBefore w:val="0"/>
        <w:widowControl/>
        <w:kinsoku/>
        <w:wordWrap/>
        <w:overflowPunct/>
        <w:topLinePunct w:val="0"/>
        <w:autoSpaceDE/>
        <w:autoSpaceDN/>
        <w:bidi w:val="0"/>
        <w:adjustRightInd/>
        <w:snapToGrid/>
        <w:spacing w:line="240" w:lineRule="auto"/>
        <w:ind w:firstLine="562" w:firstLineChars="200"/>
        <w:jc w:val="center"/>
        <w:textAlignment w:val="auto"/>
        <w:outlineLvl w:val="9"/>
        <w:rPr>
          <w:rFonts w:ascii="宋体" w:hAnsi="宋体"/>
          <w:b/>
          <w:sz w:val="32"/>
          <w:szCs w:val="32"/>
        </w:rPr>
      </w:pPr>
      <w:r>
        <w:rPr>
          <w:rFonts w:hint="eastAsia" w:ascii="宋体" w:hAnsi="宋体"/>
          <w:b/>
          <w:bCs w:val="0"/>
          <w:sz w:val="28"/>
          <w:szCs w:val="28"/>
        </w:rPr>
        <w:t>合同协议书</w:t>
      </w:r>
    </w:p>
    <w:p>
      <w:pPr>
        <w:spacing w:line="360" w:lineRule="auto"/>
        <w:outlineLvl w:val="9"/>
        <w:rPr>
          <w:rFonts w:ascii="宋体" w:hAnsi="宋体"/>
          <w:szCs w:val="21"/>
        </w:rPr>
      </w:pPr>
    </w:p>
    <w:p>
      <w:pPr>
        <w:spacing w:line="360" w:lineRule="auto"/>
        <w:ind w:firstLine="480" w:firstLineChars="200"/>
        <w:outlineLvl w:val="9"/>
        <w:rPr>
          <w:rFonts w:ascii="宋体" w:hAnsi="宋体"/>
          <w:snapToGrid w:val="0"/>
          <w:kern w:val="0"/>
          <w:sz w:val="24"/>
          <w:szCs w:val="24"/>
        </w:rPr>
      </w:pPr>
      <w:r>
        <w:rPr>
          <w:rFonts w:hint="eastAsia"/>
          <w:b w:val="0"/>
          <w:bCs/>
          <w:sz w:val="24"/>
          <w:szCs w:val="24"/>
          <w:u w:val="single"/>
          <w:lang w:val="en-US" w:eastAsia="zh-CN"/>
        </w:rPr>
        <w:t xml:space="preserve">                </w:t>
      </w:r>
      <w:r>
        <w:rPr>
          <w:rFonts w:hint="eastAsia" w:ascii="宋体" w:hAnsi="宋体"/>
          <w:snapToGrid w:val="0"/>
          <w:kern w:val="0"/>
          <w:sz w:val="24"/>
          <w:szCs w:val="24"/>
        </w:rPr>
        <w:t>（</w:t>
      </w:r>
      <w:r>
        <w:rPr>
          <w:rFonts w:hint="eastAsia" w:ascii="宋体" w:hAnsi="宋体"/>
          <w:snapToGrid w:val="0"/>
          <w:kern w:val="0"/>
          <w:sz w:val="24"/>
          <w:szCs w:val="24"/>
          <w:lang w:val="en-US" w:eastAsia="zh-CN"/>
        </w:rPr>
        <w:t>发包人名称，</w:t>
      </w:r>
      <w:r>
        <w:rPr>
          <w:rFonts w:hint="eastAsia" w:ascii="宋体" w:hAnsi="宋体"/>
          <w:snapToGrid w:val="0"/>
          <w:kern w:val="0"/>
          <w:sz w:val="24"/>
          <w:szCs w:val="24"/>
        </w:rPr>
        <w:t>以下简称“发包人</w:t>
      </w:r>
      <w:r>
        <w:rPr>
          <w:rFonts w:ascii="宋体" w:hAnsi="宋体"/>
          <w:snapToGrid w:val="0"/>
          <w:kern w:val="0"/>
          <w:sz w:val="24"/>
          <w:szCs w:val="24"/>
        </w:rPr>
        <w:t>”</w:t>
      </w:r>
      <w:r>
        <w:rPr>
          <w:rFonts w:hint="eastAsia" w:ascii="宋体" w:hAnsi="宋体"/>
          <w:snapToGrid w:val="0"/>
          <w:kern w:val="0"/>
          <w:sz w:val="24"/>
          <w:szCs w:val="24"/>
        </w:rPr>
        <w:t xml:space="preserve"> ）为实施</w:t>
      </w:r>
      <w:r>
        <w:rPr>
          <w:rFonts w:hint="eastAsia" w:ascii="宋体" w:hAnsi="宋体"/>
          <w:sz w:val="24"/>
          <w:szCs w:val="24"/>
          <w:u w:val="single"/>
          <w:lang w:val="en-US" w:eastAsia="zh-CN"/>
        </w:rPr>
        <w:t xml:space="preserve">        </w:t>
      </w:r>
      <w:r>
        <w:rPr>
          <w:rFonts w:hint="eastAsia" w:ascii="宋体" w:hAnsi="宋体"/>
          <w:sz w:val="24"/>
          <w:szCs w:val="24"/>
          <w:u w:val="single"/>
        </w:rPr>
        <w:t>（</w:t>
      </w:r>
      <w:r>
        <w:rPr>
          <w:rFonts w:hint="eastAsia" w:ascii="宋体" w:hAnsi="宋体"/>
          <w:sz w:val="24"/>
          <w:szCs w:val="24"/>
        </w:rPr>
        <w:t>项目名称）</w:t>
      </w:r>
      <w:r>
        <w:rPr>
          <w:rFonts w:hint="eastAsia" w:ascii="宋体" w:hAnsi="宋体"/>
          <w:snapToGrid w:val="0"/>
          <w:spacing w:val="-2"/>
          <w:kern w:val="0"/>
          <w:sz w:val="24"/>
          <w:szCs w:val="24"/>
        </w:rPr>
        <w:t>，已接受</w:t>
      </w:r>
      <w:r>
        <w:rPr>
          <w:rFonts w:hint="eastAsia" w:ascii="宋体" w:hAnsi="宋体"/>
          <w:snapToGrid w:val="0"/>
          <w:spacing w:val="-2"/>
          <w:kern w:val="0"/>
          <w:sz w:val="24"/>
          <w:szCs w:val="24"/>
          <w:u w:val="single"/>
          <w:lang w:val="en-US" w:eastAsia="zh-CN"/>
        </w:rPr>
        <w:t xml:space="preserve">     </w:t>
      </w:r>
      <w:r>
        <w:rPr>
          <w:rFonts w:hint="eastAsia" w:ascii="宋体" w:hAnsi="宋体"/>
          <w:snapToGrid w:val="0"/>
          <w:kern w:val="0"/>
          <w:sz w:val="24"/>
          <w:szCs w:val="24"/>
        </w:rPr>
        <w:t>(承包人名称，以下简称“承包人</w:t>
      </w:r>
      <w:r>
        <w:rPr>
          <w:rFonts w:ascii="宋体" w:hAnsi="宋体"/>
          <w:snapToGrid w:val="0"/>
          <w:kern w:val="0"/>
          <w:sz w:val="24"/>
          <w:szCs w:val="24"/>
        </w:rPr>
        <w:t>”</w:t>
      </w:r>
      <w:r>
        <w:rPr>
          <w:rFonts w:hint="eastAsia" w:ascii="宋体" w:hAnsi="宋体"/>
          <w:snapToGrid w:val="0"/>
          <w:kern w:val="0"/>
          <w:sz w:val="24"/>
          <w:szCs w:val="24"/>
        </w:rPr>
        <w:t>)对</w:t>
      </w:r>
      <w:r>
        <w:rPr>
          <w:rFonts w:hint="eastAsia" w:ascii="宋体" w:hAnsi="宋体"/>
          <w:sz w:val="24"/>
          <w:szCs w:val="24"/>
          <w:u w:val="single"/>
          <w:lang w:val="en-US" w:eastAsia="zh-CN"/>
        </w:rPr>
        <w:t xml:space="preserve">          </w:t>
      </w:r>
      <w:r>
        <w:rPr>
          <w:rFonts w:hint="eastAsia" w:ascii="宋体" w:hAnsi="宋体"/>
          <w:sz w:val="24"/>
          <w:szCs w:val="24"/>
        </w:rPr>
        <w:t>（项目名称）</w:t>
      </w:r>
      <w:r>
        <w:rPr>
          <w:rFonts w:hint="eastAsia" w:ascii="宋体" w:hAnsi="宋体"/>
          <w:snapToGrid w:val="0"/>
          <w:kern w:val="0"/>
          <w:sz w:val="24"/>
          <w:szCs w:val="24"/>
        </w:rPr>
        <w:t>的投标，并确定其为中标人。发包人和承包人共同达成如下协议。</w:t>
      </w:r>
    </w:p>
    <w:p>
      <w:pPr>
        <w:spacing w:line="360" w:lineRule="auto"/>
        <w:ind w:firstLine="480" w:firstLineChars="200"/>
        <w:outlineLvl w:val="9"/>
        <w:rPr>
          <w:rFonts w:ascii="宋体" w:hAnsi="宋体"/>
          <w:sz w:val="24"/>
          <w:szCs w:val="24"/>
        </w:rPr>
      </w:pPr>
      <w:r>
        <w:rPr>
          <w:rFonts w:hint="eastAsia" w:ascii="宋体" w:hAnsi="宋体"/>
          <w:sz w:val="24"/>
          <w:szCs w:val="24"/>
        </w:rPr>
        <w:t>1．本协议书与下列文件一起构成合同文件：</w:t>
      </w:r>
    </w:p>
    <w:p>
      <w:pPr>
        <w:spacing w:line="360" w:lineRule="auto"/>
        <w:ind w:firstLine="480" w:firstLineChars="200"/>
        <w:outlineLvl w:val="9"/>
        <w:rPr>
          <w:rFonts w:ascii="宋体" w:hAnsi="宋体"/>
          <w:sz w:val="24"/>
          <w:szCs w:val="24"/>
        </w:rPr>
      </w:pPr>
      <w:r>
        <w:rPr>
          <w:rFonts w:hint="eastAsia" w:ascii="宋体" w:hAnsi="宋体"/>
          <w:sz w:val="24"/>
          <w:szCs w:val="24"/>
        </w:rPr>
        <w:t>(l）</w:t>
      </w:r>
      <w:r>
        <w:rPr>
          <w:rFonts w:hint="eastAsia" w:ascii="宋体" w:hAnsi="宋体"/>
          <w:sz w:val="24"/>
          <w:szCs w:val="24"/>
          <w:lang w:val="en-US" w:eastAsia="zh-CN"/>
        </w:rPr>
        <w:t>成交</w:t>
      </w:r>
      <w:r>
        <w:rPr>
          <w:rFonts w:hint="eastAsia" w:ascii="宋体" w:hAnsi="宋体"/>
          <w:sz w:val="24"/>
          <w:szCs w:val="24"/>
        </w:rPr>
        <w:t>通知书；</w:t>
      </w:r>
    </w:p>
    <w:p>
      <w:pPr>
        <w:spacing w:line="360" w:lineRule="auto"/>
        <w:ind w:firstLine="480" w:firstLineChars="200"/>
        <w:outlineLvl w:val="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磋商响应函</w:t>
      </w:r>
      <w:r>
        <w:rPr>
          <w:rFonts w:hint="eastAsia" w:ascii="宋体" w:hAnsi="宋体"/>
          <w:sz w:val="24"/>
          <w:szCs w:val="24"/>
        </w:rPr>
        <w:t>及</w:t>
      </w:r>
      <w:r>
        <w:rPr>
          <w:rFonts w:hint="eastAsia" w:ascii="宋体" w:hAnsi="宋体"/>
          <w:sz w:val="24"/>
          <w:szCs w:val="24"/>
          <w:lang w:val="en-US" w:eastAsia="zh-CN"/>
        </w:rPr>
        <w:t>二次报价明细</w:t>
      </w:r>
      <w:r>
        <w:rPr>
          <w:rFonts w:hint="eastAsia" w:ascii="宋体" w:hAnsi="宋体"/>
          <w:sz w:val="24"/>
          <w:szCs w:val="24"/>
        </w:rPr>
        <w:t>；</w:t>
      </w:r>
    </w:p>
    <w:p>
      <w:pPr>
        <w:spacing w:line="360" w:lineRule="auto"/>
        <w:ind w:firstLine="480" w:firstLineChars="200"/>
        <w:outlineLvl w:val="9"/>
        <w:rPr>
          <w:rFonts w:ascii="宋体" w:hAnsi="宋体"/>
          <w:sz w:val="24"/>
          <w:szCs w:val="24"/>
        </w:rPr>
      </w:pPr>
      <w:r>
        <w:rPr>
          <w:rFonts w:hint="eastAsia" w:ascii="宋体" w:hAnsi="宋体"/>
          <w:sz w:val="24"/>
          <w:szCs w:val="24"/>
        </w:rPr>
        <w:t>(3）专用合同条款；</w:t>
      </w:r>
    </w:p>
    <w:p>
      <w:pPr>
        <w:spacing w:line="360" w:lineRule="auto"/>
        <w:ind w:firstLine="480" w:firstLineChars="200"/>
        <w:outlineLvl w:val="9"/>
        <w:rPr>
          <w:rFonts w:ascii="宋体" w:hAnsi="宋体"/>
          <w:sz w:val="24"/>
          <w:szCs w:val="24"/>
        </w:rPr>
      </w:pPr>
      <w:r>
        <w:rPr>
          <w:rFonts w:hint="eastAsia" w:ascii="宋体" w:hAnsi="宋体"/>
          <w:sz w:val="24"/>
          <w:szCs w:val="24"/>
        </w:rPr>
        <w:t>(4）通用合同条款；</w:t>
      </w:r>
    </w:p>
    <w:p>
      <w:pPr>
        <w:spacing w:line="360" w:lineRule="auto"/>
        <w:ind w:firstLine="480" w:firstLineChars="200"/>
        <w:outlineLvl w:val="9"/>
        <w:rPr>
          <w:rFonts w:ascii="宋体" w:hAnsi="宋体"/>
          <w:sz w:val="24"/>
          <w:szCs w:val="24"/>
        </w:rPr>
      </w:pPr>
      <w:r>
        <w:rPr>
          <w:rFonts w:hint="eastAsia" w:ascii="宋体" w:hAnsi="宋体"/>
          <w:sz w:val="24"/>
          <w:szCs w:val="24"/>
        </w:rPr>
        <w:t>(5）技术标准和要求（合同技术条款）；</w:t>
      </w:r>
    </w:p>
    <w:p>
      <w:pPr>
        <w:spacing w:line="360" w:lineRule="auto"/>
        <w:ind w:firstLine="480" w:firstLineChars="200"/>
        <w:outlineLvl w:val="9"/>
        <w:rPr>
          <w:rFonts w:ascii="宋体" w:hAnsi="宋体"/>
          <w:sz w:val="24"/>
          <w:szCs w:val="24"/>
        </w:rPr>
      </w:pPr>
      <w:r>
        <w:rPr>
          <w:rFonts w:hint="eastAsia" w:ascii="宋体" w:hAnsi="宋体"/>
          <w:sz w:val="24"/>
          <w:szCs w:val="24"/>
        </w:rPr>
        <w:t>(6) 图纸；</w:t>
      </w:r>
    </w:p>
    <w:p>
      <w:pPr>
        <w:spacing w:line="360" w:lineRule="auto"/>
        <w:ind w:firstLine="480" w:firstLineChars="200"/>
        <w:outlineLvl w:val="9"/>
        <w:rPr>
          <w:rFonts w:ascii="宋体" w:hAnsi="宋体"/>
          <w:sz w:val="24"/>
          <w:szCs w:val="24"/>
        </w:rPr>
      </w:pPr>
      <w:r>
        <w:rPr>
          <w:rFonts w:hint="eastAsia" w:ascii="宋体" w:hAnsi="宋体"/>
          <w:sz w:val="24"/>
          <w:szCs w:val="24"/>
        </w:rPr>
        <w:t>(7）已标价工程量清单；</w:t>
      </w:r>
    </w:p>
    <w:p>
      <w:pPr>
        <w:spacing w:line="360" w:lineRule="auto"/>
        <w:ind w:firstLine="480" w:firstLineChars="200"/>
        <w:outlineLvl w:val="9"/>
        <w:rPr>
          <w:rFonts w:ascii="宋体" w:hAnsi="宋体"/>
          <w:sz w:val="24"/>
          <w:szCs w:val="24"/>
        </w:rPr>
      </w:pPr>
      <w:r>
        <w:rPr>
          <w:rFonts w:hint="eastAsia" w:ascii="宋体" w:hAnsi="宋体"/>
          <w:sz w:val="24"/>
          <w:szCs w:val="24"/>
        </w:rPr>
        <w:t>(8）其它合同文件。</w:t>
      </w:r>
    </w:p>
    <w:p>
      <w:pPr>
        <w:spacing w:line="360" w:lineRule="auto"/>
        <w:ind w:firstLine="480" w:firstLineChars="200"/>
        <w:outlineLvl w:val="9"/>
        <w:rPr>
          <w:rFonts w:ascii="宋体" w:hAnsi="宋体"/>
          <w:sz w:val="24"/>
          <w:szCs w:val="24"/>
        </w:rPr>
      </w:pPr>
      <w:r>
        <w:rPr>
          <w:rFonts w:hint="eastAsia" w:ascii="宋体" w:hAnsi="宋体"/>
          <w:sz w:val="24"/>
          <w:szCs w:val="24"/>
        </w:rPr>
        <w:t>2．上述文件互相补充和解释，如有不明确或不一致之处，以合同约定次序在先者为准。</w:t>
      </w:r>
    </w:p>
    <w:p>
      <w:pPr>
        <w:spacing w:line="360" w:lineRule="auto"/>
        <w:ind w:firstLine="480" w:firstLineChars="200"/>
        <w:outlineLvl w:val="9"/>
        <w:rPr>
          <w:rFonts w:ascii="宋体" w:hAnsi="宋体"/>
          <w:sz w:val="24"/>
          <w:szCs w:val="24"/>
        </w:rPr>
      </w:pPr>
      <w:r>
        <w:rPr>
          <w:rFonts w:hint="eastAsia" w:ascii="宋体" w:hAnsi="宋体"/>
          <w:sz w:val="24"/>
          <w:szCs w:val="24"/>
        </w:rPr>
        <w:t>3．签约合同价：人民币（大写）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eastAsia="宋体" w:cs="宋体"/>
          <w:sz w:val="24"/>
          <w:szCs w:val="24"/>
        </w:rPr>
        <w:t>¥</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outlineLvl w:val="9"/>
        <w:rPr>
          <w:rFonts w:ascii="宋体" w:hAnsi="宋体"/>
          <w:sz w:val="24"/>
          <w:szCs w:val="24"/>
        </w:rPr>
      </w:pPr>
      <w:r>
        <w:rPr>
          <w:rFonts w:hint="eastAsia" w:ascii="宋体" w:hAnsi="宋体"/>
          <w:sz w:val="24"/>
          <w:szCs w:val="24"/>
        </w:rPr>
        <w:t>4．承包人项目经理：</w:t>
      </w:r>
      <w:r>
        <w:rPr>
          <w:rFonts w:hint="eastAsia" w:ascii="宋体" w:hAnsi="宋体"/>
          <w:sz w:val="24"/>
          <w:szCs w:val="24"/>
          <w:u w:val="single"/>
        </w:rPr>
        <w:t xml:space="preserve">        </w:t>
      </w:r>
      <w:r>
        <w:rPr>
          <w:rFonts w:hint="eastAsia" w:ascii="宋体" w:hAnsi="宋体"/>
          <w:color w:val="FFFFFF"/>
          <w:sz w:val="24"/>
          <w:szCs w:val="24"/>
          <w:u w:val="single"/>
          <w:lang w:eastAsia="zh-CN"/>
        </w:rPr>
        <w:t>，</w:t>
      </w:r>
      <w:r>
        <w:rPr>
          <w:rFonts w:hint="eastAsia" w:ascii="宋体" w:hAnsi="宋体"/>
          <w:sz w:val="24"/>
          <w:szCs w:val="24"/>
          <w:u w:val="single"/>
        </w:rPr>
        <w:t xml:space="preserve"> </w:t>
      </w:r>
    </w:p>
    <w:p>
      <w:pPr>
        <w:spacing w:line="360" w:lineRule="auto"/>
        <w:ind w:firstLine="480" w:firstLineChars="200"/>
        <w:outlineLvl w:val="9"/>
        <w:rPr>
          <w:rFonts w:ascii="宋体" w:hAnsi="宋体"/>
          <w:sz w:val="24"/>
          <w:szCs w:val="24"/>
        </w:rPr>
      </w:pPr>
      <w:r>
        <w:rPr>
          <w:rFonts w:hint="eastAsia" w:ascii="宋体" w:hAnsi="宋体"/>
          <w:sz w:val="24"/>
          <w:szCs w:val="24"/>
        </w:rPr>
        <w:t>5．工程质量符合</w:t>
      </w:r>
      <w:r>
        <w:rPr>
          <w:rFonts w:hint="eastAsia" w:ascii="宋体" w:hAnsi="宋体"/>
          <w:sz w:val="24"/>
          <w:szCs w:val="24"/>
          <w:u w:val="single"/>
        </w:rPr>
        <w:t xml:space="preserve">         </w:t>
      </w:r>
      <w:r>
        <w:rPr>
          <w:rFonts w:hint="eastAsia" w:ascii="宋体" w:hAnsi="宋体"/>
          <w:sz w:val="24"/>
          <w:szCs w:val="24"/>
        </w:rPr>
        <w:t>标准。</w:t>
      </w:r>
    </w:p>
    <w:p>
      <w:pPr>
        <w:spacing w:line="360" w:lineRule="auto"/>
        <w:ind w:firstLine="480" w:firstLineChars="200"/>
        <w:outlineLvl w:val="9"/>
        <w:rPr>
          <w:rFonts w:ascii="宋体" w:hAnsi="宋体"/>
          <w:sz w:val="24"/>
          <w:szCs w:val="24"/>
        </w:rPr>
      </w:pPr>
      <w:r>
        <w:rPr>
          <w:rFonts w:hint="eastAsia" w:ascii="宋体" w:hAnsi="宋体"/>
          <w:sz w:val="24"/>
          <w:szCs w:val="24"/>
        </w:rPr>
        <w:t>6．承包人承诺按合同约定承担工程的实施、完成及缺陷修复。</w:t>
      </w:r>
    </w:p>
    <w:p>
      <w:pPr>
        <w:spacing w:line="360" w:lineRule="auto"/>
        <w:ind w:firstLine="480" w:firstLineChars="200"/>
        <w:outlineLvl w:val="9"/>
        <w:rPr>
          <w:rFonts w:ascii="宋体" w:hAnsi="宋体"/>
          <w:sz w:val="24"/>
          <w:szCs w:val="24"/>
        </w:rPr>
      </w:pPr>
      <w:r>
        <w:rPr>
          <w:rFonts w:hint="eastAsia" w:ascii="宋体" w:hAnsi="宋体"/>
          <w:sz w:val="24"/>
          <w:szCs w:val="24"/>
        </w:rPr>
        <w:t>7．发包人承诺按合同约定的条件、时间和方式向承包人支付合同价款。</w:t>
      </w:r>
    </w:p>
    <w:p>
      <w:pPr>
        <w:spacing w:line="360" w:lineRule="auto"/>
        <w:ind w:firstLine="480" w:firstLineChars="200"/>
        <w:outlineLvl w:val="9"/>
        <w:rPr>
          <w:rFonts w:ascii="宋体" w:hAnsi="宋体"/>
          <w:sz w:val="24"/>
          <w:szCs w:val="24"/>
        </w:rPr>
      </w:pPr>
      <w:r>
        <w:rPr>
          <w:rFonts w:hint="eastAsia" w:ascii="宋体" w:hAnsi="宋体"/>
          <w:sz w:val="24"/>
          <w:szCs w:val="24"/>
        </w:rPr>
        <w:t>8．承包人承诺执行监理人开工通知，计划工期为</w:t>
      </w:r>
      <w:r>
        <w:rPr>
          <w:rFonts w:hint="eastAsia" w:ascii="宋体" w:hAnsi="宋体"/>
          <w:sz w:val="24"/>
          <w:szCs w:val="24"/>
          <w:u w:val="single"/>
        </w:rPr>
        <w:t xml:space="preserve">     </w:t>
      </w:r>
      <w:r>
        <w:rPr>
          <w:rFonts w:hint="eastAsia" w:ascii="宋体" w:hAnsi="宋体"/>
          <w:sz w:val="24"/>
          <w:szCs w:val="24"/>
        </w:rPr>
        <w:t>天。</w:t>
      </w:r>
    </w:p>
    <w:p>
      <w:pPr>
        <w:spacing w:line="360" w:lineRule="auto"/>
        <w:ind w:firstLine="480" w:firstLineChars="200"/>
        <w:outlineLvl w:val="9"/>
        <w:rPr>
          <w:rFonts w:ascii="宋体" w:hAnsi="宋体"/>
          <w:sz w:val="24"/>
          <w:szCs w:val="24"/>
        </w:rPr>
      </w:pPr>
      <w:r>
        <w:rPr>
          <w:rFonts w:hint="eastAsia" w:ascii="宋体" w:hAnsi="宋体"/>
          <w:sz w:val="24"/>
          <w:szCs w:val="24"/>
        </w:rPr>
        <w:t>9．本协议书一式</w:t>
      </w:r>
      <w:r>
        <w:rPr>
          <w:rFonts w:hint="eastAsia" w:ascii="宋体" w:hAnsi="宋体"/>
          <w:sz w:val="24"/>
          <w:szCs w:val="24"/>
          <w:u w:val="single"/>
        </w:rPr>
        <w:t xml:space="preserve">     </w:t>
      </w:r>
      <w:r>
        <w:rPr>
          <w:rFonts w:hint="eastAsia" w:ascii="宋体" w:hAnsi="宋体"/>
          <w:sz w:val="24"/>
          <w:szCs w:val="24"/>
        </w:rPr>
        <w:t>份，合同双方各执</w:t>
      </w:r>
      <w:r>
        <w:rPr>
          <w:rFonts w:hint="eastAsia" w:ascii="宋体" w:hAnsi="宋体"/>
          <w:sz w:val="24"/>
          <w:szCs w:val="24"/>
          <w:u w:val="single"/>
        </w:rPr>
        <w:t xml:space="preserve">     </w:t>
      </w:r>
      <w:r>
        <w:rPr>
          <w:rFonts w:hint="eastAsia" w:ascii="宋体" w:hAnsi="宋体"/>
          <w:sz w:val="24"/>
          <w:szCs w:val="24"/>
        </w:rPr>
        <w:t>份。</w:t>
      </w:r>
    </w:p>
    <w:p>
      <w:pPr>
        <w:spacing w:line="360" w:lineRule="auto"/>
        <w:ind w:firstLine="480" w:firstLineChars="200"/>
        <w:outlineLvl w:val="9"/>
        <w:rPr>
          <w:rFonts w:ascii="宋体" w:hAnsi="宋体"/>
          <w:sz w:val="24"/>
          <w:szCs w:val="24"/>
        </w:rPr>
      </w:pPr>
      <w:r>
        <w:rPr>
          <w:rFonts w:hint="eastAsia" w:ascii="宋体" w:hAnsi="宋体"/>
          <w:sz w:val="24"/>
          <w:szCs w:val="24"/>
        </w:rPr>
        <w:t>10．合同未尽事宜，双方另行签订补充协议。补充协议是合同的组成部分。</w:t>
      </w:r>
    </w:p>
    <w:p>
      <w:pPr>
        <w:spacing w:line="360" w:lineRule="auto"/>
        <w:outlineLvl w:val="9"/>
        <w:rPr>
          <w:rFonts w:ascii="宋体" w:hAnsi="宋体"/>
          <w:sz w:val="24"/>
          <w:szCs w:val="24"/>
        </w:rPr>
      </w:pPr>
      <w:r>
        <w:rPr>
          <w:rFonts w:hint="eastAsia" w:ascii="宋体" w:hAnsi="宋体"/>
          <w:sz w:val="24"/>
          <w:szCs w:val="24"/>
        </w:rPr>
        <w:t>发包人：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（盖单位章）  </w:t>
      </w:r>
      <w:r>
        <w:rPr>
          <w:rFonts w:hint="eastAsia" w:ascii="宋体" w:hAnsi="宋体"/>
          <w:sz w:val="24"/>
          <w:szCs w:val="24"/>
          <w:lang w:val="en-US" w:eastAsia="zh-CN"/>
        </w:rPr>
        <w:t xml:space="preserve"> </w:t>
      </w:r>
      <w:r>
        <w:rPr>
          <w:rFonts w:hint="eastAsia" w:ascii="宋体" w:hAnsi="宋体"/>
          <w:sz w:val="24"/>
          <w:szCs w:val="24"/>
        </w:rPr>
        <w:t>承包人：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（盖单位章）</w:t>
      </w:r>
    </w:p>
    <w:p>
      <w:pPr>
        <w:spacing w:line="360" w:lineRule="auto"/>
        <w:outlineLvl w:val="9"/>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  法定代表人或其委托代理人：</w:t>
      </w:r>
      <w:r>
        <w:rPr>
          <w:rFonts w:hint="eastAsia" w:ascii="宋体" w:hAnsi="宋体"/>
          <w:sz w:val="24"/>
          <w:szCs w:val="24"/>
          <w:u w:val="single"/>
        </w:rPr>
        <w:t xml:space="preserve">  </w:t>
      </w:r>
      <w:r>
        <w:rPr>
          <w:rFonts w:hint="eastAsia" w:ascii="宋体" w:hAnsi="宋体"/>
          <w:sz w:val="24"/>
          <w:szCs w:val="24"/>
        </w:rPr>
        <w:t>（签字）</w:t>
      </w:r>
    </w:p>
    <w:p>
      <w:pPr>
        <w:spacing w:line="360" w:lineRule="auto"/>
        <w:ind w:firstLine="720" w:firstLineChars="300"/>
        <w:outlineLvl w:val="9"/>
        <w:rPr>
          <w:rFonts w:ascii="宋体" w:hAnsi="宋体"/>
          <w:szCs w:val="21"/>
        </w:rPr>
        <w:sectPr>
          <w:headerReference r:id="rId3" w:type="default"/>
          <w:footerReference r:id="rId4" w:type="default"/>
          <w:pgSz w:w="11906" w:h="16838"/>
          <w:pgMar w:top="1418" w:right="1418" w:bottom="1418" w:left="1418" w:header="850" w:footer="992" w:gutter="0"/>
          <w:pgNumType w:fmt="decimal" w:start="1"/>
          <w:cols w:space="720" w:num="1"/>
          <w:docGrid w:linePitch="312" w:charSpace="0"/>
        </w:sect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 xml:space="preserve">日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p>
    <w:p>
      <w:pPr>
        <w:pageBreakBefore w:val="0"/>
        <w:widowControl/>
        <w:numPr>
          <w:ilvl w:val="2"/>
          <w:numId w:val="0"/>
        </w:numPr>
        <w:tabs>
          <w:tab w:val="left" w:pos="720"/>
        </w:tabs>
        <w:kinsoku/>
        <w:wordWrap/>
        <w:overflowPunct/>
        <w:topLinePunct w:val="0"/>
        <w:autoSpaceDE/>
        <w:autoSpaceDN/>
        <w:bidi w:val="0"/>
        <w:adjustRightInd/>
        <w:snapToGrid/>
        <w:spacing w:line="240" w:lineRule="auto"/>
        <w:ind w:leftChars="0"/>
        <w:jc w:val="both"/>
        <w:textAlignment w:val="auto"/>
        <w:outlineLvl w:val="9"/>
        <w:rPr>
          <w:rFonts w:hint="eastAsia" w:ascii="Times New Roman" w:hAnsi="Times New Roman" w:eastAsia="宋体" w:cs="Times New Roman"/>
          <w:b/>
          <w:sz w:val="28"/>
          <w:szCs w:val="28"/>
          <w:lang w:eastAsia="zh-CN"/>
        </w:rPr>
      </w:pPr>
      <w:bookmarkStart w:id="1064" w:name="_Toc307485258"/>
      <w:bookmarkStart w:id="1065" w:name="_Toc430097466"/>
      <w:bookmarkStart w:id="1066" w:name="_Toc27750"/>
      <w:bookmarkStart w:id="1067" w:name="_Toc265657536"/>
      <w:bookmarkStart w:id="1068" w:name="_Toc285029010"/>
      <w:bookmarkStart w:id="1069" w:name="_Toc307415766"/>
      <w:bookmarkStart w:id="1070" w:name="_Toc267473115"/>
      <w:bookmarkStart w:id="1071" w:name="_Toc307416194"/>
      <w:bookmarkStart w:id="1072" w:name="_Toc307417491"/>
      <w:r>
        <w:rPr>
          <w:rFonts w:hint="eastAsia" w:ascii="Times New Roman" w:hAnsi="Times New Roman" w:eastAsia="宋体" w:cs="Times New Roman"/>
          <w:b/>
          <w:sz w:val="28"/>
          <w:szCs w:val="28"/>
        </w:rPr>
        <w:t>附件二：</w:t>
      </w:r>
      <w:bookmarkEnd w:id="1064"/>
      <w:bookmarkEnd w:id="1065"/>
      <w:bookmarkEnd w:id="1066"/>
      <w:bookmarkEnd w:id="1067"/>
      <w:bookmarkEnd w:id="1068"/>
      <w:bookmarkEnd w:id="1069"/>
      <w:bookmarkEnd w:id="1070"/>
      <w:bookmarkEnd w:id="1071"/>
      <w:bookmarkEnd w:id="1072"/>
      <w:r>
        <w:rPr>
          <w:rFonts w:hint="eastAsia" w:ascii="Times New Roman" w:hAnsi="Times New Roman" w:eastAsia="宋体" w:cs="Times New Roman"/>
          <w:b/>
          <w:sz w:val="28"/>
          <w:szCs w:val="28"/>
          <w:lang w:val="en-US" w:eastAsia="zh-CN"/>
        </w:rPr>
        <w:t xml:space="preserve"> </w:t>
      </w:r>
    </w:p>
    <w:p>
      <w:pPr>
        <w:pageBreakBefore w:val="0"/>
        <w:widowControl/>
        <w:numPr>
          <w:ilvl w:val="2"/>
          <w:numId w:val="0"/>
        </w:numPr>
        <w:tabs>
          <w:tab w:val="left" w:pos="720"/>
        </w:tabs>
        <w:kinsoku/>
        <w:wordWrap/>
        <w:overflowPunct/>
        <w:topLinePunct w:val="0"/>
        <w:autoSpaceDE/>
        <w:autoSpaceDN/>
        <w:bidi w:val="0"/>
        <w:adjustRightInd/>
        <w:snapToGrid/>
        <w:spacing w:line="240" w:lineRule="auto"/>
        <w:ind w:leftChars="0"/>
        <w:jc w:val="center"/>
        <w:textAlignment w:val="auto"/>
        <w:outlineLvl w:val="9"/>
        <w:rPr>
          <w:rFonts w:ascii="宋体" w:hAnsi="宋体"/>
          <w:b/>
          <w:sz w:val="32"/>
          <w:szCs w:val="32"/>
        </w:rPr>
      </w:pPr>
      <w:r>
        <w:rPr>
          <w:rFonts w:hint="eastAsia" w:ascii="Times New Roman" w:hAnsi="Times New Roman" w:eastAsia="宋体" w:cs="Times New Roman"/>
          <w:b/>
          <w:sz w:val="28"/>
          <w:szCs w:val="28"/>
        </w:rPr>
        <w:t>履约担保</w:t>
      </w:r>
    </w:p>
    <w:p>
      <w:pPr>
        <w:spacing w:line="360" w:lineRule="auto"/>
        <w:outlineLvl w:val="9"/>
        <w:rPr>
          <w:rFonts w:ascii="宋体" w:hAnsi="宋体"/>
          <w:szCs w:val="21"/>
          <w:u w:val="single"/>
        </w:rPr>
      </w:pPr>
    </w:p>
    <w:p>
      <w:pPr>
        <w:spacing w:line="360" w:lineRule="auto"/>
        <w:outlineLvl w:val="9"/>
        <w:rPr>
          <w:rFonts w:ascii="宋体" w:hAnsi="宋体"/>
          <w:sz w:val="24"/>
          <w:szCs w:val="24"/>
        </w:rPr>
      </w:pPr>
      <w:r>
        <w:rPr>
          <w:rFonts w:hint="eastAsia"/>
          <w:b w:val="0"/>
          <w:bCs/>
          <w:sz w:val="24"/>
          <w:szCs w:val="24"/>
          <w:u w:val="single"/>
          <w:lang w:val="en-US" w:eastAsia="zh-CN"/>
        </w:rPr>
        <w:t xml:space="preserve">                 </w:t>
      </w:r>
      <w:r>
        <w:rPr>
          <w:rFonts w:hint="eastAsia" w:ascii="宋体" w:hAnsi="宋体"/>
          <w:snapToGrid w:val="0"/>
          <w:kern w:val="0"/>
          <w:sz w:val="24"/>
          <w:szCs w:val="24"/>
        </w:rPr>
        <w:t>（发包人名称）</w:t>
      </w:r>
      <w:r>
        <w:rPr>
          <w:rFonts w:hint="eastAsia" w:ascii="宋体" w:hAnsi="宋体"/>
          <w:sz w:val="24"/>
          <w:szCs w:val="24"/>
        </w:rPr>
        <w:t>：</w:t>
      </w:r>
    </w:p>
    <w:p>
      <w:pPr>
        <w:spacing w:line="360" w:lineRule="auto"/>
        <w:ind w:firstLine="480" w:firstLineChars="200"/>
        <w:outlineLvl w:val="9"/>
        <w:rPr>
          <w:rFonts w:ascii="宋体" w:hAnsi="宋体"/>
          <w:sz w:val="24"/>
          <w:szCs w:val="24"/>
        </w:rPr>
      </w:pPr>
      <w:r>
        <w:rPr>
          <w:rFonts w:hint="eastAsia" w:ascii="宋体" w:hAnsi="宋体"/>
          <w:sz w:val="24"/>
          <w:szCs w:val="24"/>
        </w:rPr>
        <w:t>鉴于</w:t>
      </w:r>
      <w:r>
        <w:rPr>
          <w:rFonts w:hint="eastAsia"/>
          <w:b w:val="0"/>
          <w:bCs/>
          <w:sz w:val="24"/>
          <w:szCs w:val="24"/>
          <w:u w:val="single"/>
          <w:lang w:val="en-US" w:eastAsia="zh-CN"/>
        </w:rPr>
        <w:t xml:space="preserve">              </w:t>
      </w:r>
      <w:r>
        <w:rPr>
          <w:rFonts w:hint="eastAsia" w:ascii="宋体" w:hAnsi="宋体"/>
          <w:sz w:val="24"/>
          <w:szCs w:val="24"/>
        </w:rPr>
        <w:t>（发包人名称，以下简称“发包人</w:t>
      </w:r>
      <w:r>
        <w:rPr>
          <w:rFonts w:ascii="宋体" w:hAnsi="宋体"/>
          <w:sz w:val="24"/>
          <w:szCs w:val="24"/>
        </w:rPr>
        <w:t>”</w:t>
      </w:r>
      <w:r>
        <w:rPr>
          <w:rFonts w:hint="eastAsia" w:ascii="宋体" w:hAnsi="宋体"/>
          <w:sz w:val="24"/>
          <w:szCs w:val="24"/>
        </w:rPr>
        <w:t>）已接受</w:t>
      </w:r>
      <w:r>
        <w:rPr>
          <w:rFonts w:hint="eastAsia"/>
          <w:b w:val="0"/>
          <w:bCs/>
          <w:sz w:val="24"/>
          <w:szCs w:val="24"/>
          <w:u w:val="single"/>
          <w:lang w:val="en-US" w:eastAsia="zh-CN"/>
        </w:rPr>
        <w:t xml:space="preserve">             </w:t>
      </w:r>
      <w:r>
        <w:rPr>
          <w:rFonts w:hint="eastAsia" w:ascii="宋体" w:hAnsi="宋体"/>
          <w:sz w:val="24"/>
          <w:szCs w:val="24"/>
        </w:rPr>
        <w:t>（承包人名称）（以下称“承包人</w:t>
      </w:r>
      <w:r>
        <w:rPr>
          <w:rFonts w:ascii="宋体" w:hAnsi="宋体"/>
          <w:sz w:val="24"/>
          <w:szCs w:val="24"/>
        </w:rPr>
        <w:t>”</w:t>
      </w:r>
      <w:r>
        <w:rPr>
          <w:rFonts w:hint="eastAsia" w:ascii="宋体" w:hAnsi="宋体"/>
          <w:sz w:val="24"/>
          <w:szCs w:val="24"/>
        </w:rPr>
        <w:t>）于</w:t>
      </w:r>
      <w:r>
        <w:rPr>
          <w:rFonts w:hint="eastAsia"/>
          <w:b w:val="0"/>
          <w:bCs/>
          <w:sz w:val="24"/>
          <w:szCs w:val="24"/>
          <w:u w:val="single"/>
          <w:lang w:val="en-US" w:eastAsia="zh-CN"/>
        </w:rPr>
        <w:t xml:space="preserve">        </w:t>
      </w:r>
      <w:r>
        <w:rPr>
          <w:rFonts w:hint="eastAsia" w:ascii="宋体" w:hAnsi="宋体"/>
          <w:sz w:val="24"/>
          <w:szCs w:val="24"/>
        </w:rPr>
        <w:t>年</w:t>
      </w:r>
      <w:r>
        <w:rPr>
          <w:rFonts w:hint="eastAsia"/>
          <w:b w:val="0"/>
          <w:bCs/>
          <w:sz w:val="24"/>
          <w:szCs w:val="24"/>
          <w:u w:val="single"/>
          <w:lang w:val="en-US" w:eastAsia="zh-CN"/>
        </w:rPr>
        <w:t xml:space="preserve">        </w:t>
      </w:r>
      <w:r>
        <w:rPr>
          <w:rFonts w:hint="eastAsia" w:ascii="宋体" w:hAnsi="宋体"/>
          <w:sz w:val="24"/>
          <w:szCs w:val="24"/>
        </w:rPr>
        <w:t>月</w:t>
      </w:r>
      <w:r>
        <w:rPr>
          <w:rFonts w:hint="eastAsia"/>
          <w:b w:val="0"/>
          <w:bCs/>
          <w:sz w:val="24"/>
          <w:szCs w:val="24"/>
          <w:u w:val="single"/>
          <w:lang w:val="en-US" w:eastAsia="zh-CN"/>
        </w:rPr>
        <w:t xml:space="preserve">        </w:t>
      </w:r>
      <w:r>
        <w:rPr>
          <w:rFonts w:hint="eastAsia" w:ascii="宋体" w:hAnsi="宋体"/>
          <w:sz w:val="24"/>
          <w:szCs w:val="24"/>
        </w:rPr>
        <w:t>日递交的</w:t>
      </w:r>
      <w:r>
        <w:rPr>
          <w:rFonts w:hint="eastAsia" w:ascii="宋体" w:hAnsi="宋体"/>
          <w:b/>
          <w:snapToGrid w:val="0"/>
          <w:kern w:val="0"/>
          <w:sz w:val="24"/>
          <w:szCs w:val="24"/>
          <w:u w:val="single"/>
          <w:lang w:val="en-US" w:eastAsia="zh-CN"/>
        </w:rPr>
        <w:t xml:space="preserve">       </w:t>
      </w:r>
      <w:r>
        <w:rPr>
          <w:rFonts w:hint="eastAsia" w:ascii="宋体" w:hAnsi="宋体"/>
          <w:sz w:val="24"/>
          <w:szCs w:val="24"/>
        </w:rPr>
        <w:t>（项目名称）的投标文件。我方愿意无条件地、不可撤销地就承包人履行与你方订立的合同，向你方提供担保。</w:t>
      </w:r>
    </w:p>
    <w:p>
      <w:pPr>
        <w:spacing w:line="360" w:lineRule="auto"/>
        <w:ind w:firstLine="480" w:firstLineChars="200"/>
        <w:outlineLvl w:val="9"/>
        <w:rPr>
          <w:rFonts w:ascii="宋体" w:hAnsi="宋体"/>
          <w:sz w:val="24"/>
          <w:szCs w:val="24"/>
        </w:rPr>
      </w:pPr>
      <w:r>
        <w:rPr>
          <w:rFonts w:hint="eastAsia" w:ascii="宋体" w:hAnsi="宋体"/>
          <w:sz w:val="24"/>
          <w:szCs w:val="24"/>
        </w:rPr>
        <w:t>1．担保金额人民币（大写）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eastAsia="宋体" w:cs="宋体"/>
          <w:sz w:val="24"/>
          <w:szCs w:val="24"/>
        </w:rPr>
        <w:t>¥</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outlineLvl w:val="9"/>
        <w:rPr>
          <w:rFonts w:ascii="宋体" w:hAnsi="宋体"/>
          <w:sz w:val="24"/>
          <w:szCs w:val="24"/>
        </w:rPr>
      </w:pPr>
      <w:r>
        <w:rPr>
          <w:rFonts w:hint="eastAsia" w:ascii="宋体" w:hAnsi="宋体"/>
          <w:sz w:val="24"/>
          <w:szCs w:val="24"/>
        </w:rPr>
        <w:t>2．担保有效期自发包人与承包人签订的合同生效之日起至发包人签发合同工程完工证书之日止。</w:t>
      </w:r>
    </w:p>
    <w:p>
      <w:pPr>
        <w:spacing w:line="360" w:lineRule="auto"/>
        <w:ind w:firstLine="480" w:firstLineChars="200"/>
        <w:outlineLvl w:val="9"/>
        <w:rPr>
          <w:rFonts w:ascii="宋体" w:hAnsi="宋体"/>
          <w:sz w:val="24"/>
          <w:szCs w:val="24"/>
        </w:rPr>
      </w:pPr>
      <w:r>
        <w:rPr>
          <w:rFonts w:hint="eastAsia" w:ascii="宋体" w:hAnsi="宋体"/>
          <w:sz w:val="24"/>
          <w:szCs w:val="24"/>
        </w:rPr>
        <w:t>3．在本担保有效期内，因承包人违反合同约定的义务给你方造成经济损失时，我方在收到你方以书面形式提出的在担保金额内的赔偿要求后，无条件地在7天内予以支付。</w:t>
      </w:r>
    </w:p>
    <w:p>
      <w:pPr>
        <w:spacing w:line="360" w:lineRule="auto"/>
        <w:ind w:firstLine="480" w:firstLineChars="200"/>
        <w:outlineLvl w:val="9"/>
        <w:rPr>
          <w:rFonts w:ascii="宋体" w:hAnsi="宋体"/>
          <w:sz w:val="24"/>
          <w:szCs w:val="24"/>
        </w:rPr>
      </w:pPr>
      <w:r>
        <w:rPr>
          <w:rFonts w:hint="eastAsia" w:ascii="宋体" w:hAnsi="宋体"/>
          <w:sz w:val="24"/>
          <w:szCs w:val="24"/>
        </w:rPr>
        <w:t>4．发包人和承包人按《通用合同条款》第15条变更合同时，我方承担本担保规定的义务不变。</w:t>
      </w:r>
    </w:p>
    <w:p>
      <w:pPr>
        <w:spacing w:line="360" w:lineRule="auto"/>
        <w:ind w:firstLine="480" w:firstLineChars="200"/>
        <w:outlineLvl w:val="9"/>
        <w:rPr>
          <w:rFonts w:ascii="宋体" w:hAnsi="宋体"/>
          <w:sz w:val="24"/>
          <w:szCs w:val="24"/>
        </w:rPr>
      </w:pPr>
    </w:p>
    <w:p>
      <w:pPr>
        <w:spacing w:line="360" w:lineRule="auto"/>
        <w:ind w:firstLine="480" w:firstLineChars="200"/>
        <w:outlineLvl w:val="9"/>
        <w:rPr>
          <w:rFonts w:ascii="宋体" w:hAnsi="宋体"/>
          <w:sz w:val="24"/>
          <w:szCs w:val="24"/>
        </w:rPr>
      </w:pPr>
    </w:p>
    <w:p>
      <w:pPr>
        <w:spacing w:line="360" w:lineRule="auto"/>
        <w:ind w:firstLine="480" w:firstLineChars="200"/>
        <w:outlineLvl w:val="9"/>
        <w:rPr>
          <w:rFonts w:ascii="宋体" w:hAnsi="宋体"/>
          <w:sz w:val="24"/>
          <w:szCs w:val="24"/>
        </w:rPr>
      </w:pPr>
    </w:p>
    <w:p>
      <w:pPr>
        <w:spacing w:line="360" w:lineRule="auto"/>
        <w:ind w:firstLine="1920" w:firstLineChars="800"/>
        <w:outlineLvl w:val="9"/>
        <w:rPr>
          <w:rFonts w:ascii="宋体" w:hAnsi="宋体"/>
          <w:sz w:val="24"/>
          <w:szCs w:val="24"/>
        </w:rPr>
      </w:pPr>
      <w:r>
        <w:rPr>
          <w:rFonts w:hint="eastAsia" w:ascii="宋体" w:hAnsi="宋体"/>
          <w:sz w:val="24"/>
          <w:szCs w:val="24"/>
        </w:rPr>
        <w:t>担保人：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（盖单位章）</w:t>
      </w:r>
    </w:p>
    <w:p>
      <w:pPr>
        <w:spacing w:line="360" w:lineRule="auto"/>
        <w:ind w:firstLine="1920" w:firstLineChars="800"/>
        <w:outlineLvl w:val="9"/>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w:t>
      </w:r>
    </w:p>
    <w:p>
      <w:pPr>
        <w:spacing w:line="360" w:lineRule="auto"/>
        <w:ind w:firstLine="1920" w:firstLineChars="800"/>
        <w:outlineLvl w:val="9"/>
        <w:rPr>
          <w:rFonts w:hint="eastAsia" w:ascii="宋体" w:hAnsi="宋体" w:eastAsia="宋体"/>
          <w:sz w:val="24"/>
          <w:szCs w:val="24"/>
          <w:u w:val="none"/>
          <w:lang w:eastAsia="zh-CN"/>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olor w:val="FFFFFF"/>
          <w:sz w:val="24"/>
          <w:szCs w:val="24"/>
          <w:u w:val="none"/>
          <w:lang w:eastAsia="zh-CN"/>
        </w:rPr>
        <w:t>，</w:t>
      </w:r>
    </w:p>
    <w:p>
      <w:pPr>
        <w:spacing w:line="360" w:lineRule="auto"/>
        <w:ind w:firstLine="1920" w:firstLineChars="800"/>
        <w:outlineLvl w:val="9"/>
        <w:rPr>
          <w:rFonts w:ascii="宋体" w:hAnsi="宋体"/>
          <w:sz w:val="24"/>
          <w:szCs w:val="24"/>
        </w:rPr>
      </w:pPr>
      <w:r>
        <w:rPr>
          <w:rFonts w:hint="eastAsia" w:ascii="宋体" w:hAnsi="宋体"/>
          <w:sz w:val="24"/>
          <w:szCs w:val="24"/>
        </w:rPr>
        <w:t>邮政编码：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olor w:val="FFFFFF"/>
          <w:sz w:val="24"/>
          <w:szCs w:val="24"/>
          <w:u w:val="none"/>
          <w:lang w:eastAsia="zh-CN"/>
        </w:rPr>
        <w:t>，</w:t>
      </w:r>
      <w:r>
        <w:rPr>
          <w:rFonts w:hint="eastAsia" w:ascii="宋体" w:hAnsi="宋体"/>
          <w:sz w:val="24"/>
          <w:szCs w:val="24"/>
          <w:u w:val="single"/>
        </w:rPr>
        <w:t xml:space="preserve">                              </w:t>
      </w:r>
    </w:p>
    <w:p>
      <w:pPr>
        <w:spacing w:line="360" w:lineRule="auto"/>
        <w:ind w:firstLine="1920" w:firstLineChars="800"/>
        <w:outlineLvl w:val="9"/>
        <w:rPr>
          <w:rFonts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olor w:val="FFFFFF"/>
          <w:sz w:val="24"/>
          <w:szCs w:val="24"/>
          <w:u w:val="none"/>
          <w:lang w:eastAsia="zh-CN"/>
        </w:rPr>
        <w:t>，</w:t>
      </w:r>
      <w:r>
        <w:rPr>
          <w:rFonts w:hint="eastAsia" w:ascii="宋体" w:hAnsi="宋体"/>
          <w:sz w:val="24"/>
          <w:szCs w:val="24"/>
          <w:u w:val="single"/>
        </w:rPr>
        <w:t xml:space="preserve">                              </w:t>
      </w:r>
    </w:p>
    <w:p>
      <w:pPr>
        <w:spacing w:line="360" w:lineRule="auto"/>
        <w:ind w:firstLine="1920" w:firstLineChars="800"/>
        <w:outlineLvl w:val="9"/>
        <w:rPr>
          <w:rFonts w:ascii="宋体" w:hAnsi="宋体"/>
          <w:sz w:val="24"/>
          <w:szCs w:val="24"/>
        </w:rPr>
      </w:pPr>
      <w:r>
        <w:rPr>
          <w:rFonts w:hint="eastAsia" w:ascii="宋体" w:hAnsi="宋体"/>
          <w:sz w:val="24"/>
          <w:szCs w:val="24"/>
        </w:rPr>
        <w:t>传真: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olor w:val="FFFFFF"/>
          <w:sz w:val="24"/>
          <w:szCs w:val="24"/>
          <w:u w:val="none"/>
          <w:lang w:eastAsia="zh-CN"/>
        </w:rPr>
        <w:t>，</w:t>
      </w:r>
      <w:r>
        <w:rPr>
          <w:rFonts w:hint="eastAsia" w:ascii="宋体" w:hAnsi="宋体"/>
          <w:sz w:val="24"/>
          <w:szCs w:val="24"/>
          <w:u w:val="single"/>
        </w:rPr>
        <w:t xml:space="preserve">                             </w:t>
      </w:r>
    </w:p>
    <w:p>
      <w:pPr>
        <w:spacing w:line="360" w:lineRule="auto"/>
        <w:ind w:firstLine="3840" w:firstLineChars="1600"/>
        <w:outlineLvl w:val="9"/>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ind w:firstLine="420" w:firstLineChars="200"/>
        <w:outlineLvl w:val="9"/>
        <w:rPr>
          <w:rFonts w:ascii="宋体" w:hAnsi="宋体"/>
          <w:szCs w:val="21"/>
        </w:rPr>
      </w:pPr>
    </w:p>
    <w:p>
      <w:pPr>
        <w:spacing w:line="360" w:lineRule="auto"/>
        <w:ind w:firstLine="420" w:firstLineChars="200"/>
        <w:outlineLvl w:val="9"/>
        <w:rPr>
          <w:rFonts w:ascii="宋体" w:hAnsi="宋体"/>
          <w:szCs w:val="21"/>
        </w:rPr>
      </w:pPr>
    </w:p>
    <w:p>
      <w:pPr>
        <w:spacing w:line="360" w:lineRule="auto"/>
        <w:outlineLvl w:val="9"/>
        <w:rPr>
          <w:rFonts w:hint="eastAsia" w:ascii="宋体" w:hAnsi="宋体"/>
          <w:sz w:val="24"/>
          <w:szCs w:val="24"/>
        </w:rPr>
      </w:pPr>
      <w:r>
        <w:rPr>
          <w:rFonts w:hint="eastAsia" w:ascii="宋体" w:hAnsi="宋体"/>
          <w:sz w:val="24"/>
          <w:szCs w:val="24"/>
        </w:rPr>
        <w:t>注：委托代理人应附授权委托书。</w:t>
      </w:r>
    </w:p>
    <w:p>
      <w:pPr>
        <w:pStyle w:val="2"/>
        <w:rPr>
          <w:rFonts w:hint="eastAsia" w:ascii="宋体" w:hAnsi="宋体"/>
          <w:sz w:val="24"/>
          <w:szCs w:val="24"/>
        </w:rPr>
      </w:pPr>
    </w:p>
    <w:p>
      <w:pPr>
        <w:pStyle w:val="3"/>
        <w:rPr>
          <w:rFonts w:hint="eastAsia" w:ascii="宋体" w:hAnsi="宋体"/>
          <w:sz w:val="24"/>
          <w:szCs w:val="24"/>
        </w:rPr>
      </w:pPr>
    </w:p>
    <w:p>
      <w:pPr>
        <w:pStyle w:val="2"/>
        <w:sectPr>
          <w:type w:val="nextColumn"/>
          <w:pgSz w:w="11906" w:h="16838"/>
          <w:pgMar w:top="1418" w:right="1418" w:bottom="1418" w:left="1418" w:header="850" w:footer="992" w:gutter="0"/>
          <w:pgNumType w:fmt="decimal"/>
          <w:cols w:space="720" w:num="1"/>
          <w:docGrid w:linePitch="312" w:charSpace="0"/>
        </w:sectPr>
      </w:pPr>
    </w:p>
    <w:p>
      <w:pPr>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宋体" w:hAnsi="宋体" w:eastAsia="宋体" w:cs="宋体"/>
          <w:b/>
          <w:bCs/>
          <w:sz w:val="28"/>
          <w:szCs w:val="28"/>
        </w:rPr>
      </w:pPr>
      <w:bookmarkStart w:id="1073" w:name="_Toc11849"/>
      <w:r>
        <w:rPr>
          <w:rFonts w:hint="eastAsia" w:ascii="宋体" w:hAnsi="宋体" w:eastAsia="宋体" w:cs="宋体"/>
          <w:b/>
          <w:bCs/>
          <w:sz w:val="28"/>
          <w:szCs w:val="28"/>
          <w:lang w:val="en-US" w:eastAsia="zh-CN"/>
        </w:rPr>
        <w:t>附件三：</w:t>
      </w:r>
    </w:p>
    <w:p>
      <w:pPr>
        <w:pageBreakBefore w:val="0"/>
        <w:widowControl/>
        <w:kinsoku/>
        <w:wordWrap/>
        <w:overflowPunct/>
        <w:topLinePunct w:val="0"/>
        <w:autoSpaceDE/>
        <w:autoSpaceDN/>
        <w:bidi w:val="0"/>
        <w:adjustRightInd/>
        <w:snapToGrid/>
        <w:spacing w:line="240" w:lineRule="auto"/>
        <w:ind w:firstLine="562" w:firstLineChars="200"/>
        <w:jc w:val="center"/>
        <w:textAlignment w:val="auto"/>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安全生产合同（格式）</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为在2023年省级水利发展资金供水项目（流曲镇军寨村供水改造提升工程）施工合同的实施过程中创造安全、高效的施工环境，切实搞好本项目的安全管理工作，本项目发包人富平县农村饮水工程指挥部办公室（发包人名称，以下简称“发包人”）与承包人（承包人名称，以下简称“承包人”）特此签订安全生产合同： </w:t>
      </w:r>
    </w:p>
    <w:p>
      <w:pPr>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发包人职责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（1）严格遵守国家有关安全生产的法律法规，认真执行工程承包合同中的有关安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全要求。</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（2）按照“安全第一、预防为主”和坚持“管生产必须管安全”的原则进行安全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生产管理，做到生产与安全工作同时计划、布置、检查、总结和评比。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（3）重要的安全设施必须坚持与主体工程“三同时”的原则，即：同时设计、审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批，同时施工，同时验收，投入使用。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（4）定期召开安全生产调度会，及时传达中央及地方有关安全生产的精神。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（5）组织对承包人施工现场安全生产检查，监督承包人及时处理发现的各种安全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隐患。</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2.承包人职责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（1）严格遵守《中华人民共和国安全生产法》、《建设工程安全生产管理条例》等国家有关安全生产的法律法规的规定。认真执行工程承包合同中的有关安全要求。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（4）承包人在任何时候都应采取各种合理的预防措施，防止其员工发生任何违法、违禁、暴力或妨碍治安的行为。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（5）承包人必须具有劳动安全管理部门颁发的安全生产考核合格证书，参加施工的人员，必须接受安全技术教育，熟知和遵守本工种的各项安全技术操作规程，定期进行安全技术考核，合格者方准上岗操作。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（7）操作人员上岗，必须按规定穿戴防护用品。施工负责人和安全检查员应随时检查劳动防护用品的穿戴情况，不按规定穿戴防护用品的人员不得上岗。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（8）所有施工机具设备和高空作业的设备均应定期检查，并有安全员的签字记录，保证其经常处于完好状态；不合格的机具、设备和劳动保护用品严禁使用：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（9）施工中采用新技术、新工艺、新设备、新材料时，必须制定相应的安全技术措施，施工现场必须具有相关的安全标志牌。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3.违约责任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如因发包人或承包人违约造成安全事故，将依法追究责任。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4.本合同由双方法定代表人或其授权的代理人签署并加盖单位公章后生效，全部工程竣工验收后失效。 </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5.本合同正本—式二份，副本 份，合同双方各执正本—份，副本 份，当正本与 </w:t>
      </w:r>
    </w:p>
    <w:p>
      <w:pPr>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副本的内容不一致时，以正本为准。 </w:t>
      </w:r>
    </w:p>
    <w:p>
      <w:pPr>
        <w:pStyle w:val="3"/>
        <w:rPr>
          <w:rFonts w:hint="eastAsia" w:ascii="宋体" w:hAnsi="宋体" w:eastAsia="宋体" w:cs="宋体"/>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发包人：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（盖单位公章）   承包人：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（盖单位公章）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法定代表人或其委托代理人：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（签字）   法定代表人或其委托代理人：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pPr>
        <w:pStyle w:val="2"/>
        <w:sectPr>
          <w:pgSz w:w="11906" w:h="16838"/>
          <w:pgMar w:top="1418" w:right="1418" w:bottom="1418" w:left="1418" w:header="850" w:footer="992" w:gutter="0"/>
          <w:pgNumType w:fmt="decimal"/>
          <w:cols w:space="720" w:num="1"/>
          <w:docGrid w:linePitch="312" w:charSpace="0"/>
        </w:sectPr>
      </w:pPr>
    </w:p>
    <w:p>
      <w:pPr>
        <w:jc w:val="center"/>
        <w:outlineLvl w:val="0"/>
        <w:rPr>
          <w:rFonts w:hint="default" w:ascii="宋体" w:hAnsi="宋体"/>
          <w:b/>
          <w:sz w:val="36"/>
          <w:lang w:val="en-US"/>
        </w:rPr>
      </w:pPr>
      <w:r>
        <w:rPr>
          <w:rFonts w:hint="eastAsia" w:ascii="宋体" w:hAnsi="宋体"/>
          <w:b/>
          <w:sz w:val="36"/>
        </w:rPr>
        <w:t>第</w:t>
      </w:r>
      <w:r>
        <w:rPr>
          <w:rFonts w:hint="eastAsia" w:ascii="宋体" w:hAnsi="宋体"/>
          <w:b/>
          <w:sz w:val="36"/>
          <w:lang w:val="en-US" w:eastAsia="zh-CN"/>
        </w:rPr>
        <w:t>五</w:t>
      </w:r>
      <w:r>
        <w:rPr>
          <w:rFonts w:hint="eastAsia" w:ascii="宋体" w:hAnsi="宋体"/>
          <w:b/>
          <w:sz w:val="36"/>
        </w:rPr>
        <w:t xml:space="preserve">部分  </w:t>
      </w:r>
      <w:r>
        <w:rPr>
          <w:rFonts w:hint="eastAsia" w:ascii="宋体" w:hAnsi="宋体"/>
          <w:b/>
          <w:bCs/>
          <w:sz w:val="36"/>
          <w:szCs w:val="36"/>
          <w:lang w:val="en-US" w:eastAsia="zh-CN"/>
        </w:rPr>
        <w:t>技术标准和要求</w:t>
      </w:r>
      <w:bookmarkEnd w:id="1073"/>
    </w:p>
    <w:p>
      <w:pPr>
        <w:spacing w:line="360" w:lineRule="auto"/>
        <w:ind w:firstLine="480" w:firstLineChars="200"/>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一、工程内容</w:t>
      </w:r>
    </w:p>
    <w:p>
      <w:pPr>
        <w:spacing w:line="360" w:lineRule="auto"/>
        <w:ind w:firstLine="480" w:firstLineChars="200"/>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1、主要内容</w:t>
      </w:r>
    </w:p>
    <w:p>
      <w:pPr>
        <w:spacing w:line="360" w:lineRule="auto"/>
        <w:ind w:firstLine="480" w:firstLineChars="200"/>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2023年省级水利发展资金供水项目（流曲镇军寨村供水改造提升工程），建设内容为</w:t>
      </w:r>
      <w:r>
        <w:rPr>
          <w:rFonts w:hint="eastAsia" w:ascii="宋体" w:hAnsi="宋体" w:eastAsia="宋体" w:cs="Times New Roman"/>
          <w:kern w:val="0"/>
          <w:sz w:val="24"/>
          <w:szCs w:val="24"/>
          <w:highlight w:val="none"/>
          <w:lang w:val="en-US" w:eastAsia="zh-CN" w:bidi="ar-SA"/>
        </w:rPr>
        <w:t>铺设管道8.43km，入户改造455户</w:t>
      </w:r>
      <w:r>
        <w:rPr>
          <w:rFonts w:hint="eastAsia" w:ascii="宋体" w:hAnsi="宋体" w:eastAsia="宋体" w:cs="宋体"/>
          <w:kern w:val="0"/>
          <w:sz w:val="24"/>
          <w:szCs w:val="24"/>
          <w:highlight w:val="none"/>
          <w:lang w:val="en-US" w:eastAsia="zh-CN"/>
        </w:rPr>
        <w:t>（具体建设内容详见竞争性磋商文件第</w:t>
      </w:r>
      <w:r>
        <w:rPr>
          <w:rFonts w:hint="eastAsia" w:ascii="宋体" w:hAnsi="宋体" w:cs="宋体"/>
          <w:kern w:val="0"/>
          <w:sz w:val="24"/>
          <w:szCs w:val="24"/>
          <w:highlight w:val="none"/>
          <w:lang w:val="en-US" w:eastAsia="zh-CN"/>
        </w:rPr>
        <w:t>七</w:t>
      </w:r>
      <w:r>
        <w:rPr>
          <w:rFonts w:hint="eastAsia" w:ascii="宋体" w:hAnsi="宋体" w:eastAsia="宋体" w:cs="宋体"/>
          <w:kern w:val="0"/>
          <w:sz w:val="24"/>
          <w:szCs w:val="24"/>
          <w:highlight w:val="none"/>
          <w:lang w:val="en-US" w:eastAsia="zh-CN"/>
        </w:rPr>
        <w:t>部分工程量清单）。</w:t>
      </w:r>
    </w:p>
    <w:p>
      <w:pPr>
        <w:spacing w:line="360" w:lineRule="auto"/>
        <w:ind w:firstLine="480" w:firstLineChars="200"/>
        <w:outlineLvl w:val="9"/>
        <w:rPr>
          <w:rFonts w:hint="eastAsia" w:ascii="宋体" w:hAnsi="宋体" w:eastAsia="宋体" w:cs="宋体"/>
          <w:kern w:val="0"/>
          <w:sz w:val="24"/>
          <w:szCs w:val="24"/>
          <w:highlight w:val="none"/>
          <w:lang w:val="en-US" w:eastAsia="zh-CN"/>
        </w:rPr>
      </w:pPr>
      <w:r>
        <w:rPr>
          <w:rFonts w:hint="eastAsia" w:ascii="宋体" w:hAnsi="宋体" w:eastAsia="宋体" w:cs="Times New Roman"/>
          <w:sz w:val="24"/>
          <w:szCs w:val="24"/>
          <w:lang w:val="en-US" w:eastAsia="zh-CN"/>
        </w:rPr>
        <w:t>2、工期：</w:t>
      </w:r>
      <w:r>
        <w:rPr>
          <w:rFonts w:hint="eastAsia" w:ascii="宋体" w:hAnsi="宋体" w:cs="宋体"/>
          <w:color w:val="auto"/>
          <w:kern w:val="0"/>
          <w:sz w:val="24"/>
          <w:highlight w:val="none"/>
        </w:rPr>
        <w:t>合同</w:t>
      </w:r>
      <w:r>
        <w:rPr>
          <w:rFonts w:hint="eastAsia" w:ascii="宋体" w:hAnsi="宋体" w:eastAsia="宋体" w:cs="宋体"/>
          <w:kern w:val="0"/>
          <w:sz w:val="24"/>
          <w:szCs w:val="24"/>
          <w:highlight w:val="none"/>
          <w:lang w:val="en-US" w:eastAsia="zh-CN"/>
        </w:rPr>
        <w:t>签订后90日历天内施工完毕。</w:t>
      </w:r>
    </w:p>
    <w:p>
      <w:pPr>
        <w:spacing w:line="360" w:lineRule="auto"/>
        <w:ind w:firstLine="480" w:firstLineChars="200"/>
        <w:outlineLvl w:val="9"/>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b w:val="0"/>
          <w:bCs w:val="0"/>
          <w:kern w:val="0"/>
          <w:sz w:val="24"/>
          <w:szCs w:val="24"/>
          <w:highlight w:val="none"/>
          <w:lang w:val="en-US" w:eastAsia="zh-CN" w:bidi="ar-SA"/>
        </w:rPr>
        <w:t>质量标准：合格。</w:t>
      </w:r>
    </w:p>
    <w:p>
      <w:pPr>
        <w:spacing w:line="360" w:lineRule="auto"/>
        <w:ind w:firstLine="480" w:firstLineChars="200"/>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r>
        <w:rPr>
          <w:rFonts w:hint="eastAsia" w:ascii="宋体" w:hAnsi="宋体" w:eastAsia="宋体" w:cs="宋体"/>
          <w:sz w:val="24"/>
          <w:szCs w:val="24"/>
          <w:highlight w:val="none"/>
          <w:lang w:val="zh-CN" w:eastAsia="zh-CN"/>
        </w:rPr>
        <w:t>付款方式：</w:t>
      </w:r>
      <w:r>
        <w:rPr>
          <w:rFonts w:hint="eastAsia" w:ascii="宋体" w:hAnsi="宋体" w:eastAsia="宋体" w:cs="宋体"/>
          <w:sz w:val="24"/>
          <w:szCs w:val="24"/>
          <w:highlight w:val="none"/>
          <w:lang w:val="en-US" w:eastAsia="zh-CN"/>
        </w:rPr>
        <w:t>按月计量支付（具体详见磋商文件第四部分专用合同条款17.3）。</w:t>
      </w:r>
    </w:p>
    <w:p>
      <w:pPr>
        <w:spacing w:line="400" w:lineRule="exact"/>
        <w:ind w:firstLine="480" w:firstLineChars="200"/>
        <w:jc w:val="both"/>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r>
        <w:rPr>
          <w:rFonts w:hint="eastAsia" w:ascii="宋体" w:hAnsi="宋体"/>
          <w:b w:val="0"/>
          <w:bCs w:val="0"/>
          <w:kern w:val="0"/>
          <w:sz w:val="24"/>
          <w:szCs w:val="24"/>
          <w:highlight w:val="none"/>
          <w:lang w:val="en-US" w:eastAsia="zh-CN" w:bidi="ar-SA"/>
        </w:rPr>
        <w:t>质量保修期（缺陷责任期）</w:t>
      </w:r>
      <w:r>
        <w:rPr>
          <w:rFonts w:hint="eastAsia" w:ascii="宋体" w:hAnsi="宋体" w:eastAsia="宋体" w:cs="Times New Roman"/>
          <w:b w:val="0"/>
          <w:bCs w:val="0"/>
          <w:kern w:val="0"/>
          <w:sz w:val="24"/>
          <w:szCs w:val="24"/>
          <w:highlight w:val="none"/>
          <w:lang w:val="en-US" w:eastAsia="zh-CN" w:bidi="ar-SA"/>
        </w:rPr>
        <w:t>：自竣工验收合格之日起不少于</w:t>
      </w:r>
      <w:r>
        <w:rPr>
          <w:rFonts w:hint="eastAsia" w:ascii="宋体" w:hAnsi="宋体" w:cs="Times New Roman"/>
          <w:b w:val="0"/>
          <w:bCs w:val="0"/>
          <w:kern w:val="0"/>
          <w:sz w:val="24"/>
          <w:szCs w:val="24"/>
          <w:highlight w:val="none"/>
          <w:lang w:val="en-US" w:eastAsia="zh-CN" w:bidi="ar-SA"/>
        </w:rPr>
        <w:t>24</w:t>
      </w:r>
      <w:r>
        <w:rPr>
          <w:rFonts w:hint="eastAsia" w:ascii="宋体" w:hAnsi="宋体" w:eastAsia="宋体" w:cs="Times New Roman"/>
          <w:b w:val="0"/>
          <w:bCs w:val="0"/>
          <w:kern w:val="0"/>
          <w:sz w:val="24"/>
          <w:szCs w:val="24"/>
          <w:highlight w:val="none"/>
          <w:lang w:val="en-US" w:eastAsia="zh-CN" w:bidi="ar-SA"/>
        </w:rPr>
        <w:t>个月。</w:t>
      </w:r>
    </w:p>
    <w:p>
      <w:pPr>
        <w:spacing w:line="360" w:lineRule="auto"/>
        <w:ind w:firstLine="480" w:firstLineChars="200"/>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二、工程建设标准</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、依据设计文件的要求，本次招标工程项目的材料、设备、施工须达到所涉及到的现行中华人民共和国以及省、自治区、直辖市或行业的工程建设标准、规范的要求。</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、根据工程设计要求，该项工程项目的材料、设备、施工除必须达到上述第一条标准外，还应满足设计要求和采购人在磋商文件中的有关要求。</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、该工程项目的材料、设备、施工如无上述第一、二条的标准，在材料、设备的订货采购和施工安装时，应出具生产厂家或施工安装企业在技术监督部门已备案企业标准，并经业主批准后方可实施。</w:t>
      </w:r>
    </w:p>
    <w:p>
      <w:pPr>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、该工程项目达到国家及行业规定的</w:t>
      </w:r>
      <w:r>
        <w:rPr>
          <w:rFonts w:hint="eastAsia" w:ascii="宋体" w:hAnsi="宋体" w:eastAsia="宋体" w:cs="Times New Roman"/>
          <w:sz w:val="24"/>
          <w:szCs w:val="24"/>
          <w:lang w:eastAsia="zh-CN"/>
        </w:rPr>
        <w:t>水利水电</w:t>
      </w:r>
      <w:r>
        <w:rPr>
          <w:rFonts w:hint="eastAsia" w:ascii="宋体" w:hAnsi="宋体" w:eastAsia="宋体" w:cs="Times New Roman"/>
          <w:sz w:val="24"/>
          <w:szCs w:val="24"/>
        </w:rPr>
        <w:t>工程质量检验评定的“合格”标准。</w:t>
      </w:r>
    </w:p>
    <w:p>
      <w:pPr>
        <w:jc w:val="center"/>
        <w:outlineLvl w:val="0"/>
        <w:rPr>
          <w:rFonts w:hint="eastAsia" w:ascii="宋体" w:hAnsi="宋体"/>
          <w:b/>
          <w:sz w:val="36"/>
        </w:rPr>
      </w:pPr>
    </w:p>
    <w:p>
      <w:pPr>
        <w:pStyle w:val="3"/>
        <w:rPr>
          <w:rFonts w:hint="eastAsia" w:ascii="宋体" w:hAnsi="宋体"/>
          <w:b/>
          <w:sz w:val="36"/>
        </w:rPr>
      </w:pPr>
    </w:p>
    <w:p>
      <w:pPr>
        <w:pStyle w:val="19"/>
        <w:rPr>
          <w:rFonts w:hint="eastAsia" w:ascii="宋体" w:hAnsi="宋体"/>
          <w:b/>
          <w:sz w:val="36"/>
        </w:rPr>
      </w:pPr>
    </w:p>
    <w:p>
      <w:pPr>
        <w:pStyle w:val="19"/>
        <w:rPr>
          <w:rFonts w:hint="eastAsia" w:ascii="宋体" w:hAnsi="宋体"/>
          <w:b/>
          <w:sz w:val="36"/>
        </w:rPr>
      </w:pPr>
    </w:p>
    <w:p>
      <w:pPr>
        <w:pStyle w:val="19"/>
        <w:rPr>
          <w:rFonts w:hint="eastAsia" w:ascii="宋体" w:hAnsi="宋体"/>
          <w:b/>
          <w:sz w:val="36"/>
        </w:rPr>
      </w:pPr>
    </w:p>
    <w:p>
      <w:pPr>
        <w:pStyle w:val="19"/>
        <w:rPr>
          <w:rFonts w:hint="eastAsia" w:ascii="宋体" w:hAnsi="宋体"/>
          <w:b/>
          <w:sz w:val="36"/>
        </w:rPr>
      </w:pPr>
    </w:p>
    <w:p>
      <w:pPr>
        <w:pStyle w:val="19"/>
        <w:rPr>
          <w:rFonts w:hint="eastAsia" w:ascii="宋体" w:hAnsi="宋体"/>
          <w:b/>
          <w:sz w:val="36"/>
        </w:rPr>
      </w:pPr>
    </w:p>
    <w:p>
      <w:pPr>
        <w:pStyle w:val="19"/>
        <w:rPr>
          <w:rFonts w:hint="eastAsia" w:ascii="宋体" w:hAnsi="宋体"/>
          <w:b/>
          <w:sz w:val="36"/>
        </w:rPr>
      </w:pPr>
    </w:p>
    <w:p>
      <w:pPr>
        <w:pStyle w:val="19"/>
        <w:rPr>
          <w:rFonts w:hint="eastAsia" w:ascii="宋体" w:hAnsi="宋体"/>
          <w:b/>
          <w:sz w:val="36"/>
        </w:rPr>
      </w:pPr>
    </w:p>
    <w:p>
      <w:pPr>
        <w:pStyle w:val="19"/>
        <w:rPr>
          <w:rFonts w:hint="eastAsia" w:ascii="宋体" w:hAnsi="宋体"/>
          <w:b/>
          <w:sz w:val="36"/>
        </w:rPr>
      </w:pPr>
    </w:p>
    <w:p>
      <w:pPr>
        <w:jc w:val="center"/>
        <w:outlineLvl w:val="0"/>
        <w:rPr>
          <w:rFonts w:hint="eastAsia" w:ascii="宋体" w:hAnsi="宋体"/>
          <w:b/>
          <w:bCs/>
          <w:sz w:val="36"/>
          <w:szCs w:val="36"/>
        </w:rPr>
      </w:pPr>
      <w:bookmarkStart w:id="1074" w:name="_Toc30571"/>
      <w:r>
        <w:rPr>
          <w:rFonts w:hint="eastAsia" w:ascii="宋体" w:hAnsi="宋体"/>
          <w:b/>
          <w:sz w:val="36"/>
        </w:rPr>
        <w:t>第</w:t>
      </w:r>
      <w:r>
        <w:rPr>
          <w:rFonts w:hint="eastAsia" w:ascii="宋体" w:hAnsi="宋体"/>
          <w:b/>
          <w:sz w:val="36"/>
          <w:lang w:val="en-US" w:eastAsia="zh-CN"/>
        </w:rPr>
        <w:t>六</w:t>
      </w:r>
      <w:r>
        <w:rPr>
          <w:rFonts w:hint="eastAsia" w:ascii="宋体" w:hAnsi="宋体"/>
          <w:b/>
          <w:sz w:val="36"/>
        </w:rPr>
        <w:t xml:space="preserve">部分  </w:t>
      </w:r>
      <w:r>
        <w:rPr>
          <w:rFonts w:hint="eastAsia" w:ascii="宋体" w:hAnsi="宋体"/>
          <w:b/>
          <w:bCs/>
          <w:sz w:val="36"/>
          <w:szCs w:val="36"/>
        </w:rPr>
        <w:t>磋商响应文件格式</w:t>
      </w:r>
      <w:bookmarkEnd w:id="45"/>
      <w:bookmarkEnd w:id="62"/>
      <w:bookmarkEnd w:id="63"/>
      <w:bookmarkEnd w:id="1074"/>
    </w:p>
    <w:p>
      <w:pPr>
        <w:tabs>
          <w:tab w:val="left" w:pos="315"/>
          <w:tab w:val="left" w:pos="8820"/>
        </w:tabs>
        <w:ind w:right="266" w:rightChars="127"/>
        <w:jc w:val="center"/>
        <w:outlineLvl w:val="9"/>
        <w:rPr>
          <w:rFonts w:hint="eastAsia" w:ascii="宋体" w:hAnsi="宋体"/>
          <w:bCs/>
          <w:sz w:val="36"/>
          <w:szCs w:val="36"/>
        </w:rPr>
      </w:pPr>
    </w:p>
    <w:p>
      <w:pPr>
        <w:pStyle w:val="2"/>
        <w:outlineLvl w:val="9"/>
        <w:rPr>
          <w:rFonts w:hint="eastAsia"/>
        </w:rPr>
      </w:pPr>
    </w:p>
    <w:p>
      <w:pPr>
        <w:tabs>
          <w:tab w:val="left" w:pos="315"/>
          <w:tab w:val="left" w:pos="8820"/>
        </w:tabs>
        <w:ind w:right="266" w:rightChars="127"/>
        <w:jc w:val="center"/>
        <w:outlineLvl w:val="9"/>
        <w:rPr>
          <w:rFonts w:hint="eastAsia" w:ascii="宋体" w:hAnsi="宋体" w:eastAsia="宋体" w:cs="宋体"/>
          <w:b/>
          <w:color w:val="000000"/>
          <w:spacing w:val="0"/>
          <w:sz w:val="36"/>
          <w:szCs w:val="36"/>
          <w:lang w:val="en-US" w:eastAsia="zh-CN"/>
        </w:rPr>
      </w:pPr>
      <w:r>
        <w:rPr>
          <w:rFonts w:hint="eastAsia" w:ascii="宋体" w:hAnsi="宋体" w:cs="宋体"/>
          <w:b/>
          <w:color w:val="000000"/>
          <w:spacing w:val="0"/>
          <w:sz w:val="36"/>
          <w:szCs w:val="36"/>
          <w:lang w:val="en-US" w:eastAsia="zh-CN"/>
        </w:rPr>
        <w:t>2023年省级水利发展资金供水项目（流曲镇军寨村供水改造提升工程）</w:t>
      </w:r>
    </w:p>
    <w:p>
      <w:pPr>
        <w:tabs>
          <w:tab w:val="left" w:pos="315"/>
          <w:tab w:val="left" w:pos="8820"/>
        </w:tabs>
        <w:ind w:right="266" w:rightChars="127"/>
        <w:jc w:val="center"/>
        <w:outlineLvl w:val="9"/>
        <w:rPr>
          <w:rFonts w:hint="eastAsia" w:ascii="宋体" w:hAnsi="宋体" w:eastAsia="宋体" w:cs="宋体"/>
          <w:b/>
          <w:color w:val="000000"/>
          <w:spacing w:val="0"/>
          <w:sz w:val="36"/>
          <w:szCs w:val="36"/>
          <w:lang w:val="en-US" w:eastAsia="zh-CN"/>
        </w:rPr>
      </w:pPr>
    </w:p>
    <w:p>
      <w:pPr>
        <w:pStyle w:val="2"/>
        <w:rPr>
          <w:rFonts w:hint="eastAsia"/>
          <w:lang w:val="en-US" w:eastAsia="zh-CN"/>
        </w:rPr>
      </w:pPr>
    </w:p>
    <w:p>
      <w:pPr>
        <w:spacing w:line="360" w:lineRule="auto"/>
        <w:jc w:val="center"/>
        <w:outlineLvl w:val="9"/>
        <w:rPr>
          <w:rFonts w:hint="eastAsia" w:ascii="宋体" w:hAnsi="宋体"/>
          <w:b/>
          <w:sz w:val="72"/>
          <w:szCs w:val="72"/>
        </w:rPr>
      </w:pPr>
      <w:r>
        <w:rPr>
          <w:rFonts w:hint="eastAsia" w:ascii="宋体" w:hAnsi="宋体"/>
          <w:b/>
          <w:sz w:val="72"/>
          <w:szCs w:val="72"/>
        </w:rPr>
        <w:t>磋商响应文件</w:t>
      </w:r>
    </w:p>
    <w:p>
      <w:pPr>
        <w:ind w:firstLine="160" w:firstLineChars="50"/>
        <w:outlineLvl w:val="9"/>
        <w:rPr>
          <w:rFonts w:hint="eastAsia" w:ascii="宋体" w:hAnsi="宋体"/>
          <w:b/>
          <w:sz w:val="32"/>
          <w:szCs w:val="32"/>
        </w:rPr>
      </w:pPr>
    </w:p>
    <w:p>
      <w:pPr>
        <w:ind w:firstLine="160" w:firstLineChars="50"/>
        <w:outlineLvl w:val="9"/>
        <w:rPr>
          <w:rFonts w:hint="eastAsia" w:ascii="宋体" w:hAnsi="宋体"/>
          <w:b/>
          <w:sz w:val="32"/>
          <w:szCs w:val="32"/>
        </w:rPr>
      </w:pPr>
    </w:p>
    <w:p>
      <w:pPr>
        <w:ind w:firstLine="160" w:firstLineChars="50"/>
        <w:outlineLvl w:val="9"/>
        <w:rPr>
          <w:rFonts w:hint="eastAsia" w:ascii="宋体" w:hAnsi="宋体"/>
          <w:b/>
          <w:sz w:val="32"/>
          <w:szCs w:val="32"/>
        </w:rPr>
      </w:pPr>
    </w:p>
    <w:p>
      <w:pPr>
        <w:ind w:firstLine="160" w:firstLineChars="50"/>
        <w:outlineLvl w:val="9"/>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79"/>
        <w:rPr>
          <w:rFonts w:hint="eastAsia" w:ascii="宋体" w:hAnsi="宋体"/>
          <w:b/>
          <w:sz w:val="32"/>
          <w:szCs w:val="32"/>
        </w:rPr>
      </w:pPr>
    </w:p>
    <w:p>
      <w:pPr>
        <w:pStyle w:val="79"/>
        <w:rPr>
          <w:rFonts w:hint="eastAsia" w:ascii="宋体" w:hAnsi="宋体"/>
          <w:b/>
          <w:sz w:val="32"/>
          <w:szCs w:val="32"/>
        </w:rPr>
      </w:pPr>
    </w:p>
    <w:p>
      <w:pPr>
        <w:spacing w:line="800" w:lineRule="exact"/>
        <w:ind w:firstLine="450" w:firstLineChars="150"/>
        <w:outlineLvl w:val="9"/>
        <w:rPr>
          <w:rFonts w:hint="eastAsia" w:ascii="宋体" w:hAnsi="宋体"/>
          <w:b/>
          <w:sz w:val="32"/>
          <w:szCs w:val="32"/>
          <w:u w:val="none"/>
        </w:rPr>
      </w:pPr>
      <w:r>
        <w:rPr>
          <w:rFonts w:hint="eastAsia" w:ascii="宋体" w:hAnsi="宋体" w:cs="宋体"/>
          <w:b/>
          <w:sz w:val="30"/>
        </w:rPr>
        <w:t xml:space="preserve">             </w:t>
      </w:r>
      <w:r>
        <w:rPr>
          <w:rFonts w:hint="eastAsia" w:ascii="宋体" w:hAnsi="宋体" w:cs="宋体"/>
          <w:b/>
          <w:sz w:val="30"/>
          <w:u w:val="none"/>
        </w:rPr>
        <w:t xml:space="preserve">                              </w:t>
      </w:r>
      <w:r>
        <w:rPr>
          <w:rFonts w:hint="eastAsia" w:ascii="宋体" w:hAnsi="宋体" w:cs="宋体"/>
          <w:b/>
          <w:sz w:val="30"/>
          <w:u w:val="none"/>
          <w:lang w:val="en-US" w:eastAsia="zh-CN"/>
        </w:rPr>
        <w:t xml:space="preserve"> </w:t>
      </w:r>
      <w:r>
        <w:rPr>
          <w:rFonts w:hint="eastAsia" w:ascii="宋体" w:hAnsi="宋体" w:cs="宋体"/>
          <w:b/>
          <w:sz w:val="30"/>
          <w:u w:val="none"/>
        </w:rPr>
        <w:t xml:space="preserve">      </w:t>
      </w:r>
    </w:p>
    <w:p>
      <w:pPr>
        <w:pStyle w:val="2"/>
        <w:outlineLvl w:val="9"/>
        <w:rPr>
          <w:rFonts w:hint="eastAsia"/>
        </w:rPr>
      </w:pPr>
    </w:p>
    <w:p>
      <w:pPr>
        <w:spacing w:line="800" w:lineRule="exact"/>
        <w:ind w:firstLine="549" w:firstLineChars="150"/>
        <w:outlineLvl w:val="9"/>
        <w:rPr>
          <w:rFonts w:hint="eastAsia" w:ascii="宋体" w:hAnsi="宋体"/>
          <w:b/>
          <w:u w:val="single"/>
        </w:rPr>
      </w:pPr>
      <w:r>
        <w:rPr>
          <w:rFonts w:hint="eastAsia" w:ascii="宋体" w:hAnsi="宋体"/>
          <w:b/>
          <w:spacing w:val="23"/>
          <w:sz w:val="32"/>
          <w:szCs w:val="32"/>
          <w:highlight w:val="none"/>
          <w:lang w:val="en-US" w:eastAsia="zh-CN"/>
        </w:rPr>
        <w:t>项目编号</w:t>
      </w:r>
      <w:r>
        <w:rPr>
          <w:rFonts w:hint="eastAsia" w:ascii="宋体" w:hAnsi="宋体"/>
          <w:b/>
          <w:sz w:val="32"/>
          <w:szCs w:val="32"/>
          <w:highlight w:val="none"/>
        </w:rPr>
        <w:t>：</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color w:val="FFFFFF"/>
          <w:highlight w:val="none"/>
          <w:u w:val="single"/>
        </w:rPr>
        <w:t>.</w:t>
      </w:r>
      <w:r>
        <w:rPr>
          <w:rFonts w:hint="eastAsia" w:ascii="宋体" w:hAnsi="宋体"/>
          <w:b/>
          <w:u w:val="single"/>
        </w:rPr>
        <w:t xml:space="preserve">   </w:t>
      </w:r>
    </w:p>
    <w:p>
      <w:pPr>
        <w:spacing w:line="800" w:lineRule="exact"/>
        <w:ind w:firstLine="480" w:firstLineChars="150"/>
        <w:outlineLvl w:val="9"/>
        <w:rPr>
          <w:rFonts w:hint="eastAsia" w:ascii="宋体" w:hAnsi="宋体"/>
          <w:b/>
          <w:u w:val="single"/>
        </w:rPr>
      </w:pPr>
      <w:r>
        <w:rPr>
          <w:rFonts w:hint="eastAsia" w:ascii="宋体" w:hAnsi="宋体"/>
          <w:b/>
          <w:sz w:val="32"/>
          <w:szCs w:val="32"/>
          <w:highlight w:val="none"/>
        </w:rPr>
        <w:t>供应商</w:t>
      </w:r>
      <w:r>
        <w:rPr>
          <w:rFonts w:hint="eastAsia" w:ascii="宋体" w:hAnsi="宋体"/>
          <w:b/>
          <w:sz w:val="32"/>
          <w:szCs w:val="32"/>
          <w:highlight w:val="none"/>
          <w:lang w:val="en-US" w:eastAsia="zh-CN"/>
        </w:rPr>
        <w:t>全称</w:t>
      </w:r>
      <w:r>
        <w:rPr>
          <w:rFonts w:hint="eastAsia" w:ascii="宋体" w:hAnsi="宋体"/>
          <w:b/>
          <w:sz w:val="32"/>
          <w:szCs w:val="32"/>
          <w:highlight w:val="none"/>
        </w:rPr>
        <w:t>：</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sz w:val="32"/>
          <w:szCs w:val="32"/>
          <w:highlight w:val="none"/>
          <w:u w:val="none"/>
        </w:rPr>
        <w:t>（盖章）</w:t>
      </w:r>
      <w:r>
        <w:rPr>
          <w:rFonts w:hint="eastAsia" w:ascii="宋体" w:hAnsi="宋体"/>
          <w:b/>
          <w:color w:val="FFFFFF"/>
          <w:highlight w:val="none"/>
          <w:u w:val="single"/>
        </w:rPr>
        <w:t>.</w:t>
      </w:r>
      <w:r>
        <w:rPr>
          <w:rFonts w:hint="eastAsia" w:ascii="宋体" w:hAnsi="宋体"/>
          <w:b/>
          <w:highlight w:val="none"/>
          <w:u w:val="single"/>
        </w:rPr>
        <w:t xml:space="preserve">  </w:t>
      </w:r>
      <w:r>
        <w:rPr>
          <w:rFonts w:hint="eastAsia" w:ascii="宋体" w:hAnsi="宋体"/>
          <w:b/>
          <w:u w:val="single"/>
        </w:rPr>
        <w:t xml:space="preserve">  </w:t>
      </w:r>
    </w:p>
    <w:p>
      <w:pPr>
        <w:spacing w:line="440" w:lineRule="exact"/>
        <w:ind w:firstLine="480" w:firstLineChars="150"/>
        <w:outlineLvl w:val="9"/>
        <w:rPr>
          <w:rFonts w:hint="eastAsia" w:ascii="宋体" w:hAnsi="宋体"/>
          <w:b/>
          <w:sz w:val="32"/>
          <w:szCs w:val="32"/>
        </w:rPr>
      </w:pPr>
    </w:p>
    <w:p>
      <w:pPr>
        <w:spacing w:line="440" w:lineRule="exact"/>
        <w:ind w:firstLine="480" w:firstLineChars="150"/>
        <w:outlineLvl w:val="9"/>
        <w:rPr>
          <w:rFonts w:hint="eastAsia" w:ascii="宋体" w:hAnsi="宋体"/>
          <w:b/>
          <w:sz w:val="32"/>
          <w:szCs w:val="32"/>
        </w:rPr>
      </w:pPr>
      <w:r>
        <w:rPr>
          <w:rFonts w:hint="eastAsia" w:ascii="宋体" w:hAnsi="宋体"/>
          <w:b/>
          <w:sz w:val="32"/>
          <w:szCs w:val="32"/>
        </w:rPr>
        <w:t>法定代表人</w:t>
      </w:r>
    </w:p>
    <w:p>
      <w:pPr>
        <w:spacing w:line="440" w:lineRule="exact"/>
        <w:ind w:firstLine="480" w:firstLineChars="150"/>
        <w:outlineLvl w:val="9"/>
        <w:rPr>
          <w:rFonts w:hint="eastAsia" w:ascii="宋体" w:hAnsi="宋体"/>
          <w:b/>
          <w:u w:val="single"/>
        </w:rPr>
      </w:pPr>
      <w:r>
        <w:rPr>
          <w:rFonts w:hint="eastAsia" w:ascii="宋体" w:hAnsi="宋体"/>
          <w:b/>
          <w:sz w:val="32"/>
          <w:szCs w:val="32"/>
          <w:highlight w:val="none"/>
          <w:lang w:val="en-US" w:eastAsia="zh-CN"/>
        </w:rPr>
        <w:t>或</w:t>
      </w:r>
      <w:r>
        <w:rPr>
          <w:rFonts w:hint="eastAsia" w:ascii="宋体" w:hAnsi="宋体"/>
          <w:b/>
          <w:sz w:val="32"/>
          <w:szCs w:val="32"/>
          <w:highlight w:val="none"/>
        </w:rPr>
        <w:t>被授权</w:t>
      </w:r>
      <w:r>
        <w:rPr>
          <w:rFonts w:hint="eastAsia" w:ascii="宋体" w:hAnsi="宋体"/>
          <w:b/>
          <w:sz w:val="32"/>
          <w:szCs w:val="32"/>
          <w:highlight w:val="none"/>
          <w:lang w:val="en-US" w:eastAsia="zh-CN"/>
        </w:rPr>
        <w:t>人</w:t>
      </w:r>
      <w:r>
        <w:rPr>
          <w:rFonts w:hint="eastAsia" w:ascii="宋体" w:hAnsi="宋体"/>
          <w:b/>
          <w:sz w:val="32"/>
          <w:szCs w:val="32"/>
          <w:highlight w:val="none"/>
        </w:rPr>
        <w:t>：</w:t>
      </w:r>
      <w:r>
        <w:rPr>
          <w:rFonts w:hint="eastAsia" w:ascii="宋体" w:hAnsi="宋体"/>
          <w:b/>
          <w:sz w:val="32"/>
          <w:szCs w:val="32"/>
        </w:rPr>
        <w:t xml:space="preserve"> </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sz w:val="32"/>
          <w:szCs w:val="32"/>
          <w:u w:val="none"/>
        </w:rPr>
        <w:t>（签字或盖章）</w:t>
      </w:r>
      <w:r>
        <w:rPr>
          <w:rFonts w:hint="eastAsia" w:ascii="宋体" w:hAnsi="宋体"/>
          <w:b/>
          <w:u w:val="single"/>
        </w:rPr>
        <w:t xml:space="preserve">  </w:t>
      </w:r>
    </w:p>
    <w:p>
      <w:pPr>
        <w:spacing w:line="440" w:lineRule="exact"/>
        <w:ind w:firstLine="315" w:firstLineChars="150"/>
        <w:outlineLvl w:val="9"/>
        <w:rPr>
          <w:rFonts w:hint="eastAsia" w:ascii="宋体" w:hAnsi="宋体"/>
          <w:b/>
          <w:u w:val="single"/>
        </w:rPr>
      </w:pPr>
      <w:r>
        <w:rPr>
          <w:rFonts w:hint="eastAsia" w:ascii="宋体" w:hAnsi="宋体"/>
          <w:b/>
          <w:u w:val="single"/>
        </w:rPr>
        <w:t xml:space="preserve"> </w:t>
      </w:r>
    </w:p>
    <w:p>
      <w:pPr>
        <w:ind w:firstLine="480" w:firstLineChars="150"/>
        <w:outlineLvl w:val="9"/>
        <w:rPr>
          <w:rFonts w:hint="eastAsia" w:ascii="宋体" w:hAnsi="宋体"/>
          <w:b/>
          <w:sz w:val="32"/>
          <w:szCs w:val="32"/>
        </w:rPr>
      </w:pPr>
      <w:r>
        <w:rPr>
          <w:rFonts w:hint="eastAsia" w:ascii="宋体" w:hAnsi="宋体"/>
          <w:b/>
          <w:sz w:val="32"/>
          <w:szCs w:val="32"/>
        </w:rPr>
        <w:t>日      期：</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pPr>
        <w:pStyle w:val="66"/>
        <w:jc w:val="both"/>
        <w:outlineLvl w:val="9"/>
        <w:rPr>
          <w:rFonts w:hint="eastAsia" w:hAnsi="宋体"/>
          <w:sz w:val="10"/>
          <w:szCs w:val="10"/>
        </w:rPr>
      </w:pPr>
    </w:p>
    <w:p>
      <w:pPr>
        <w:pStyle w:val="66"/>
        <w:outlineLvl w:val="9"/>
        <w:rPr>
          <w:rFonts w:hint="eastAsia" w:hAnsi="宋体"/>
          <w:bCs/>
          <w:sz w:val="32"/>
          <w:szCs w:val="32"/>
        </w:rPr>
      </w:pPr>
      <w:r>
        <w:rPr>
          <w:rFonts w:hint="eastAsia" w:hAnsi="宋体"/>
          <w:bCs/>
          <w:sz w:val="32"/>
          <w:szCs w:val="32"/>
        </w:rPr>
        <w:t>一、法定代表人身份证明书</w:t>
      </w:r>
    </w:p>
    <w:p>
      <w:pPr>
        <w:spacing w:line="360" w:lineRule="auto"/>
        <w:ind w:firstLine="307"/>
        <w:outlineLvl w:val="9"/>
        <w:rPr>
          <w:rFonts w:ascii="宋体" w:hAnsi="宋体" w:cs="宋体"/>
          <w:kern w:val="1"/>
          <w:sz w:val="28"/>
          <w:u w:val="single"/>
        </w:rPr>
      </w:pPr>
      <w:r>
        <w:rPr>
          <w:rFonts w:ascii="宋体" w:hAnsi="宋体" w:cs="宋体"/>
          <w:kern w:val="1"/>
          <w:sz w:val="24"/>
        </w:rPr>
        <w:t>供应商单位名称：</w:t>
      </w:r>
      <w:r>
        <w:rPr>
          <w:rFonts w:hint="eastAsia"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hint="eastAsia" w:ascii="宋体" w:hAnsi="宋体" w:cs="宋体"/>
          <w:kern w:val="1"/>
          <w:sz w:val="24"/>
          <w:szCs w:val="24"/>
          <w:u w:val="single"/>
        </w:rPr>
        <w:t xml:space="preserve">         </w:t>
      </w:r>
      <w:r>
        <w:rPr>
          <w:rFonts w:hint="eastAsia" w:ascii="宋体" w:hAnsi="宋体" w:cs="宋体"/>
          <w:color w:val="FFFFFF"/>
          <w:kern w:val="1"/>
          <w:sz w:val="32"/>
          <w:szCs w:val="32"/>
        </w:rPr>
        <w:t>、</w:t>
      </w:r>
      <w:r>
        <w:rPr>
          <w:rFonts w:hint="eastAsia" w:ascii="宋体" w:hAnsi="宋体" w:cs="宋体"/>
          <w:kern w:val="1"/>
          <w:sz w:val="32"/>
          <w:szCs w:val="32"/>
        </w:rPr>
        <w:t xml:space="preserve">      </w:t>
      </w:r>
      <w:r>
        <w:rPr>
          <w:rFonts w:ascii="宋体" w:hAnsi="宋体" w:cs="宋体"/>
          <w:kern w:val="1"/>
          <w:sz w:val="28"/>
        </w:rPr>
        <w:t xml:space="preserve">                                </w:t>
      </w:r>
      <w:r>
        <w:rPr>
          <w:rFonts w:ascii="宋体" w:hAnsi="宋体" w:cs="宋体"/>
          <w:kern w:val="1"/>
          <w:sz w:val="28"/>
          <w:u w:val="single"/>
        </w:rPr>
        <w:t xml:space="preserve"> </w:t>
      </w:r>
    </w:p>
    <w:p>
      <w:pPr>
        <w:spacing w:line="360" w:lineRule="auto"/>
        <w:ind w:firstLine="307"/>
        <w:outlineLvl w:val="9"/>
        <w:rPr>
          <w:rFonts w:ascii="宋体" w:hAnsi="宋体" w:cs="宋体"/>
          <w:kern w:val="1"/>
          <w:sz w:val="24"/>
          <w:u w:val="single"/>
        </w:rPr>
      </w:pPr>
      <w:r>
        <w:rPr>
          <w:rFonts w:ascii="宋体" w:hAnsi="宋体" w:cs="宋体"/>
          <w:kern w:val="1"/>
          <w:sz w:val="24"/>
        </w:rPr>
        <w:t>供应商单位性质：</w:t>
      </w:r>
      <w:r>
        <w:rPr>
          <w:rFonts w:hint="eastAsia" w:ascii="宋体" w:hAnsi="宋体" w:cs="宋体"/>
          <w:kern w:val="1"/>
          <w:sz w:val="24"/>
          <w:u w:val="single"/>
        </w:rPr>
        <w:t xml:space="preserve">                                             </w:t>
      </w:r>
      <w:r>
        <w:rPr>
          <w:rFonts w:hint="eastAsia" w:ascii="宋体" w:hAnsi="宋体" w:cs="宋体"/>
          <w:color w:val="FFFFFF"/>
          <w:kern w:val="1"/>
          <w:sz w:val="24"/>
          <w:u w:val="single"/>
        </w:rPr>
        <w:t>、</w:t>
      </w:r>
      <w:r>
        <w:rPr>
          <w:rFonts w:hint="eastAsia" w:ascii="宋体" w:hAnsi="宋体" w:cs="宋体"/>
          <w:kern w:val="1"/>
          <w:sz w:val="32"/>
          <w:szCs w:val="32"/>
          <w:u w:val="single"/>
        </w:rPr>
        <w:t xml:space="preserve">   </w:t>
      </w:r>
      <w:r>
        <w:rPr>
          <w:rFonts w:ascii="宋体" w:hAnsi="宋体" w:cs="宋体"/>
          <w:kern w:val="1"/>
          <w:sz w:val="24"/>
          <w:u w:val="single"/>
        </w:rPr>
        <w:t xml:space="preserve">                                            </w:t>
      </w:r>
    </w:p>
    <w:p>
      <w:pPr>
        <w:spacing w:line="360" w:lineRule="auto"/>
        <w:ind w:firstLine="360"/>
        <w:outlineLvl w:val="9"/>
        <w:rPr>
          <w:rFonts w:ascii="宋体" w:hAnsi="宋体" w:cs="宋体"/>
          <w:kern w:val="1"/>
          <w:sz w:val="24"/>
          <w:u w:val="single"/>
        </w:rPr>
      </w:pPr>
      <w:r>
        <w:rPr>
          <w:rFonts w:ascii="宋体" w:hAnsi="宋体" w:cs="宋体"/>
          <w:kern w:val="1"/>
          <w:sz w:val="24"/>
        </w:rPr>
        <w:t xml:space="preserve">地        址： </w:t>
      </w:r>
      <w:r>
        <w:rPr>
          <w:rFonts w:ascii="宋体" w:hAnsi="宋体" w:cs="宋体"/>
          <w:kern w:val="1"/>
          <w:sz w:val="24"/>
          <w:u w:val="single"/>
        </w:rPr>
        <w:t xml:space="preserve"> </w:t>
      </w:r>
      <w:r>
        <w:rPr>
          <w:rFonts w:hint="eastAsia" w:ascii="宋体" w:hAnsi="宋体" w:cs="宋体"/>
          <w:kern w:val="1"/>
          <w:sz w:val="24"/>
          <w:u w:val="single"/>
        </w:rPr>
        <w:t xml:space="preserve">                                            </w:t>
      </w:r>
      <w:r>
        <w:rPr>
          <w:rFonts w:hint="eastAsia" w:ascii="宋体" w:hAnsi="宋体" w:cs="宋体"/>
          <w:color w:val="FFFFFF"/>
          <w:kern w:val="1"/>
          <w:sz w:val="24"/>
          <w:u w:val="single"/>
        </w:rPr>
        <w:t>、</w:t>
      </w:r>
      <w:r>
        <w:rPr>
          <w:rFonts w:hint="eastAsia" w:ascii="宋体" w:hAnsi="宋体" w:cs="宋体"/>
          <w:kern w:val="1"/>
          <w:sz w:val="32"/>
          <w:szCs w:val="32"/>
        </w:rPr>
        <w:t xml:space="preserve"> </w:t>
      </w: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u w:val="single"/>
        </w:rPr>
        <w:t xml:space="preserve">  </w:t>
      </w:r>
    </w:p>
    <w:p>
      <w:pPr>
        <w:spacing w:line="360" w:lineRule="auto"/>
        <w:ind w:firstLine="305"/>
        <w:outlineLvl w:val="9"/>
        <w:rPr>
          <w:rFonts w:ascii="宋体" w:hAnsi="宋体" w:cs="宋体"/>
          <w:kern w:val="1"/>
          <w:sz w:val="24"/>
          <w:szCs w:val="24"/>
        </w:rPr>
      </w:pPr>
      <w:r>
        <w:rPr>
          <w:rFonts w:ascii="宋体" w:hAnsi="宋体" w:cs="宋体"/>
          <w:kern w:val="1"/>
          <w:sz w:val="24"/>
        </w:rPr>
        <w:t>成立时间：</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年</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月</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日</w:t>
      </w:r>
    </w:p>
    <w:p>
      <w:pPr>
        <w:spacing w:line="360" w:lineRule="auto"/>
        <w:ind w:firstLine="307"/>
        <w:outlineLvl w:val="9"/>
        <w:rPr>
          <w:rFonts w:ascii="宋体" w:hAnsi="宋体" w:cs="宋体"/>
          <w:kern w:val="1"/>
          <w:sz w:val="24"/>
          <w:szCs w:val="24"/>
          <w:u w:val="single"/>
        </w:rPr>
      </w:pPr>
      <w:r>
        <w:rPr>
          <w:rFonts w:ascii="宋体" w:hAnsi="宋体" w:cs="宋体"/>
          <w:kern w:val="1"/>
          <w:sz w:val="24"/>
          <w:szCs w:val="24"/>
        </w:rPr>
        <w:t>经营期限：</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color w:val="FFFFFF"/>
          <w:kern w:val="1"/>
          <w:sz w:val="24"/>
          <w:szCs w:val="24"/>
          <w:u w:val="single"/>
        </w:rPr>
        <w:t>.</w:t>
      </w:r>
      <w:r>
        <w:rPr>
          <w:rFonts w:ascii="宋体" w:hAnsi="宋体" w:cs="宋体"/>
          <w:kern w:val="1"/>
          <w:sz w:val="24"/>
          <w:szCs w:val="24"/>
          <w:u w:val="single"/>
        </w:rPr>
        <w:t xml:space="preserve">    </w:t>
      </w:r>
    </w:p>
    <w:p>
      <w:pPr>
        <w:spacing w:line="360" w:lineRule="auto"/>
        <w:ind w:left="854" w:hanging="480"/>
        <w:outlineLvl w:val="9"/>
        <w:rPr>
          <w:rFonts w:hint="eastAsia" w:ascii="宋体" w:hAnsi="宋体" w:cs="宋体"/>
          <w:kern w:val="1"/>
          <w:sz w:val="24"/>
          <w:szCs w:val="24"/>
          <w:u w:val="single"/>
        </w:rPr>
      </w:pPr>
      <w:r>
        <w:rPr>
          <w:rFonts w:ascii="宋体" w:hAnsi="宋体" w:cs="宋体"/>
          <w:kern w:val="1"/>
          <w:sz w:val="24"/>
          <w:szCs w:val="24"/>
        </w:rPr>
        <w:t>姓    名：</w:t>
      </w:r>
      <w:r>
        <w:rPr>
          <w:rFonts w:ascii="宋体" w:hAnsi="宋体" w:cs="宋体"/>
          <w:kern w:val="1"/>
          <w:sz w:val="24"/>
          <w:szCs w:val="24"/>
          <w:u w:val="single"/>
        </w:rPr>
        <w:t xml:space="preserve">   </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性别：</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年龄：</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职务：</w:t>
      </w:r>
      <w:r>
        <w:rPr>
          <w:rFonts w:ascii="宋体" w:hAnsi="宋体" w:cs="宋体"/>
          <w:kern w:val="1"/>
          <w:sz w:val="24"/>
          <w:szCs w:val="24"/>
          <w:u w:val="single"/>
        </w:rPr>
        <w:t xml:space="preserve">    </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color w:val="FFFFFF"/>
          <w:kern w:val="1"/>
          <w:sz w:val="24"/>
          <w:szCs w:val="24"/>
          <w:u w:val="single"/>
        </w:rPr>
        <w:t>.</w:t>
      </w:r>
    </w:p>
    <w:p>
      <w:pPr>
        <w:spacing w:line="360" w:lineRule="auto"/>
        <w:ind w:firstLine="307"/>
        <w:outlineLvl w:val="9"/>
        <w:rPr>
          <w:rFonts w:ascii="宋体" w:hAnsi="宋体" w:cs="宋体"/>
          <w:kern w:val="1"/>
          <w:sz w:val="24"/>
          <w:szCs w:val="24"/>
        </w:rPr>
      </w:pPr>
      <w:r>
        <w:rPr>
          <w:rFonts w:ascii="宋体" w:hAnsi="宋体" w:cs="宋体"/>
          <w:kern w:val="1"/>
          <w:sz w:val="24"/>
          <w:szCs w:val="24"/>
        </w:rPr>
        <w:t>系</w:t>
      </w:r>
      <w:r>
        <w:rPr>
          <w:rFonts w:ascii="宋体" w:hAnsi="宋体" w:cs="宋体"/>
          <w:kern w:val="1"/>
          <w:sz w:val="24"/>
          <w:szCs w:val="24"/>
          <w:u w:val="single"/>
        </w:rPr>
        <w:t xml:space="preserve">                                         </w:t>
      </w:r>
      <w:r>
        <w:rPr>
          <w:rFonts w:ascii="宋体" w:hAnsi="宋体" w:cs="宋体"/>
          <w:kern w:val="1"/>
          <w:sz w:val="24"/>
          <w:szCs w:val="24"/>
        </w:rPr>
        <w:t>的法定代表人</w:t>
      </w:r>
    </w:p>
    <w:p>
      <w:pPr>
        <w:spacing w:line="360" w:lineRule="auto"/>
        <w:ind w:firstLine="199"/>
        <w:outlineLvl w:val="9"/>
        <w:rPr>
          <w:rFonts w:ascii="宋体" w:hAnsi="宋体" w:cs="宋体"/>
          <w:kern w:val="1"/>
          <w:sz w:val="28"/>
          <w:u w:val="single"/>
        </w:rPr>
      </w:pPr>
      <w:r>
        <w:rPr>
          <w:rFonts w:ascii="宋体" w:hAnsi="宋体" w:cs="宋体"/>
          <w:kern w:val="1"/>
          <w:sz w:val="24"/>
          <w:szCs w:val="24"/>
        </w:rPr>
        <w:t xml:space="preserve">（身份证号码 </w:t>
      </w:r>
      <w:r>
        <w:rPr>
          <w:rFonts w:ascii="宋体" w:hAnsi="宋体" w:cs="宋体"/>
          <w:kern w:val="1"/>
          <w:sz w:val="24"/>
          <w:szCs w:val="24"/>
          <w:u w:val="single"/>
        </w:rPr>
        <w:t xml:space="preserve">                                      </w:t>
      </w:r>
      <w:r>
        <w:rPr>
          <w:rFonts w:ascii="宋体" w:hAnsi="宋体" w:cs="宋体"/>
          <w:kern w:val="1"/>
          <w:sz w:val="24"/>
          <w:szCs w:val="24"/>
        </w:rPr>
        <w:t xml:space="preserve"> ）</w:t>
      </w:r>
      <w:r>
        <w:rPr>
          <w:rFonts w:ascii="宋体" w:hAnsi="宋体" w:cs="宋体"/>
          <w:kern w:val="1"/>
          <w:sz w:val="28"/>
        </w:rPr>
        <w:t>。</w:t>
      </w:r>
    </w:p>
    <w:p>
      <w:pPr>
        <w:spacing w:line="360" w:lineRule="auto"/>
        <w:ind w:firstLine="960"/>
        <w:outlineLvl w:val="9"/>
        <w:rPr>
          <w:rFonts w:ascii="宋体" w:hAnsi="宋体" w:cs="宋体"/>
          <w:kern w:val="1"/>
          <w:sz w:val="24"/>
        </w:rPr>
      </w:pPr>
      <w:r>
        <w:rPr>
          <w:rFonts w:ascii="宋体" w:hAnsi="宋体" w:cs="宋体"/>
          <w:kern w:val="1"/>
          <w:sz w:val="24"/>
        </w:rPr>
        <w:t>特此证明。</w:t>
      </w:r>
    </w:p>
    <w:p>
      <w:pPr>
        <w:spacing w:line="480" w:lineRule="auto"/>
        <w:outlineLvl w:val="9"/>
        <w:rPr>
          <w:rFonts w:hint="eastAsia" w:ascii="宋体" w:hAnsi="宋体" w:cs="宋体"/>
          <w:sz w:val="24"/>
        </w:rPr>
      </w:pPr>
    </w:p>
    <w:tbl>
      <w:tblPr>
        <w:tblStyle w:val="24"/>
        <w:tblpPr w:leftFromText="180" w:rightFromText="180" w:vertAnchor="text" w:horzAnchor="page" w:tblpX="3162" w:tblpY="4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6360" w:type="dxa"/>
            <w:noWrap w:val="0"/>
            <w:vAlign w:val="top"/>
          </w:tcPr>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ind w:firstLine="480" w:firstLineChars="200"/>
              <w:outlineLvl w:val="9"/>
              <w:rPr>
                <w:rFonts w:ascii="宋体" w:hAnsi="宋体" w:cs="宋体"/>
                <w:b/>
                <w:kern w:val="1"/>
                <w:sz w:val="24"/>
              </w:rPr>
            </w:pPr>
            <w:r>
              <w:rPr>
                <w:rFonts w:hint="eastAsia" w:ascii="宋体" w:hAnsi="宋体" w:eastAsia="宋体" w:cs="宋体"/>
                <w:b/>
                <w:sz w:val="24"/>
                <w:szCs w:val="22"/>
                <w:highlight w:val="none"/>
                <w:lang w:eastAsia="zh-CN"/>
              </w:rPr>
              <w:t>附：</w:t>
            </w:r>
            <w:r>
              <w:rPr>
                <w:rFonts w:hint="eastAsia" w:ascii="宋体" w:hAnsi="宋体" w:eastAsia="宋体" w:cs="宋体"/>
                <w:b/>
                <w:sz w:val="24"/>
                <w:szCs w:val="22"/>
                <w:highlight w:val="none"/>
                <w:lang w:val="en-US" w:eastAsia="zh-CN"/>
              </w:rPr>
              <w:t>法定代表人</w:t>
            </w:r>
            <w:r>
              <w:rPr>
                <w:rFonts w:hint="eastAsia" w:ascii="宋体" w:hAnsi="宋体" w:eastAsia="宋体" w:cs="宋体"/>
                <w:b/>
                <w:sz w:val="24"/>
                <w:highlight w:val="none"/>
              </w:rPr>
              <w:t>身份证复印件</w:t>
            </w:r>
            <w:r>
              <w:rPr>
                <w:rFonts w:hint="eastAsia" w:ascii="宋体" w:hAnsi="宋体" w:eastAsia="宋体" w:cs="宋体"/>
                <w:b/>
                <w:sz w:val="24"/>
                <w:highlight w:val="none"/>
                <w:lang w:val="en-US" w:eastAsia="zh-CN"/>
              </w:rPr>
              <w:t>或扫描件</w:t>
            </w:r>
            <w:r>
              <w:rPr>
                <w:rFonts w:hint="eastAsia" w:ascii="宋体" w:hAnsi="宋体" w:eastAsia="宋体" w:cs="宋体"/>
                <w:b/>
                <w:sz w:val="24"/>
                <w:highlight w:val="none"/>
                <w:lang w:eastAsia="zh-CN"/>
              </w:rPr>
              <w:t>正、反面</w:t>
            </w: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tc>
      </w:tr>
    </w:tbl>
    <w:p>
      <w:pPr>
        <w:ind w:right="700"/>
        <w:outlineLvl w:val="9"/>
        <w:rPr>
          <w:rFonts w:ascii="宋体" w:hAnsi="宋体" w:cs="宋体"/>
          <w:kern w:val="1"/>
          <w:sz w:val="28"/>
        </w:rPr>
      </w:pPr>
    </w:p>
    <w:p>
      <w:pPr>
        <w:ind w:right="700" w:firstLine="358"/>
        <w:jc w:val="center"/>
        <w:outlineLvl w:val="9"/>
        <w:rPr>
          <w:rFonts w:hint="eastAsia" w:ascii="宋体" w:hAnsi="宋体" w:cs="宋体"/>
          <w:kern w:val="1"/>
          <w:sz w:val="28"/>
        </w:rPr>
      </w:pPr>
    </w:p>
    <w:p>
      <w:pPr>
        <w:ind w:right="700" w:firstLine="358"/>
        <w:jc w:val="center"/>
        <w:outlineLvl w:val="9"/>
        <w:rPr>
          <w:rFonts w:hint="eastAsia" w:ascii="宋体" w:hAnsi="宋体" w:cs="宋体"/>
          <w:kern w:val="1"/>
          <w:sz w:val="28"/>
        </w:rPr>
      </w:pPr>
    </w:p>
    <w:p>
      <w:pPr>
        <w:ind w:right="700" w:firstLine="358"/>
        <w:jc w:val="center"/>
        <w:outlineLvl w:val="9"/>
        <w:rPr>
          <w:rFonts w:ascii="宋体" w:hAnsi="宋体" w:cs="宋体"/>
          <w:kern w:val="1"/>
          <w:sz w:val="28"/>
        </w:rPr>
      </w:pPr>
    </w:p>
    <w:p>
      <w:pPr>
        <w:ind w:right="700" w:firstLine="358"/>
        <w:jc w:val="center"/>
        <w:outlineLvl w:val="9"/>
        <w:rPr>
          <w:rFonts w:ascii="宋体" w:hAnsi="宋体" w:cs="宋体"/>
          <w:kern w:val="1"/>
          <w:sz w:val="28"/>
        </w:rPr>
      </w:pPr>
    </w:p>
    <w:p>
      <w:pPr>
        <w:spacing w:line="480" w:lineRule="auto"/>
        <w:ind w:right="700" w:firstLine="3600"/>
        <w:outlineLvl w:val="9"/>
        <w:rPr>
          <w:rFonts w:ascii="宋体" w:hAnsi="宋体" w:cs="宋体"/>
          <w:kern w:val="1"/>
          <w:sz w:val="24"/>
        </w:rPr>
      </w:pPr>
    </w:p>
    <w:p>
      <w:pPr>
        <w:spacing w:line="480" w:lineRule="auto"/>
        <w:ind w:right="700" w:firstLine="3600"/>
        <w:outlineLvl w:val="9"/>
        <w:rPr>
          <w:rFonts w:hint="eastAsia" w:ascii="宋体" w:hAnsi="宋体" w:cs="宋体"/>
          <w:kern w:val="1"/>
          <w:sz w:val="24"/>
        </w:rPr>
      </w:pPr>
    </w:p>
    <w:p>
      <w:pPr>
        <w:spacing w:line="480" w:lineRule="auto"/>
        <w:ind w:right="700" w:firstLine="3600"/>
        <w:outlineLvl w:val="9"/>
        <w:rPr>
          <w:rFonts w:ascii="宋体" w:hAnsi="宋体" w:cs="宋体"/>
          <w:kern w:val="1"/>
          <w:sz w:val="28"/>
          <w:highlight w:val="none"/>
          <w:u w:val="single"/>
        </w:rPr>
      </w:pPr>
      <w:r>
        <w:rPr>
          <w:rFonts w:ascii="宋体" w:hAnsi="宋体" w:cs="宋体"/>
          <w:kern w:val="1"/>
          <w:sz w:val="24"/>
          <w:highlight w:val="none"/>
        </w:rPr>
        <w:t>供应商</w:t>
      </w:r>
      <w:r>
        <w:rPr>
          <w:rFonts w:hint="eastAsia" w:ascii="宋体" w:hAnsi="宋体" w:cs="宋体"/>
          <w:kern w:val="1"/>
          <w:sz w:val="24"/>
          <w:highlight w:val="none"/>
          <w:lang w:val="en-US" w:eastAsia="zh-CN"/>
        </w:rPr>
        <w:t>全称</w:t>
      </w:r>
      <w:r>
        <w:rPr>
          <w:rFonts w:ascii="宋体" w:hAnsi="宋体" w:cs="宋体"/>
          <w:kern w:val="1"/>
          <w:sz w:val="24"/>
        </w:rPr>
        <w:t>：</w:t>
      </w:r>
      <w:r>
        <w:rPr>
          <w:rFonts w:ascii="宋体" w:hAnsi="宋体" w:cs="宋体"/>
          <w:kern w:val="1"/>
          <w:sz w:val="28"/>
          <w:highlight w:val="none"/>
          <w:u w:val="single"/>
        </w:rPr>
        <w:t xml:space="preserve">            </w:t>
      </w:r>
      <w:r>
        <w:rPr>
          <w:rFonts w:ascii="宋体" w:hAnsi="宋体" w:cs="宋体"/>
          <w:kern w:val="1"/>
          <w:sz w:val="24"/>
          <w:highlight w:val="none"/>
          <w:u w:val="none"/>
        </w:rPr>
        <w:t>（盖章）</w:t>
      </w:r>
    </w:p>
    <w:p>
      <w:pPr>
        <w:spacing w:line="480" w:lineRule="auto"/>
        <w:ind w:firstLine="269"/>
        <w:jc w:val="right"/>
        <w:outlineLvl w:val="9"/>
        <w:rPr>
          <w:rFonts w:ascii="宋体" w:hAnsi="宋体" w:cs="宋体"/>
          <w:kern w:val="1"/>
        </w:rPr>
      </w:pPr>
    </w:p>
    <w:p>
      <w:pPr>
        <w:spacing w:line="480" w:lineRule="auto"/>
        <w:outlineLvl w:val="9"/>
        <w:rPr>
          <w:rFonts w:ascii="宋体" w:hAnsi="宋体" w:cs="宋体"/>
          <w:kern w:val="1"/>
          <w:sz w:val="24"/>
        </w:rPr>
      </w:pPr>
      <w:r>
        <w:rPr>
          <w:rFonts w:ascii="宋体" w:hAnsi="宋体" w:cs="宋体"/>
          <w:kern w:val="1"/>
          <w:sz w:val="28"/>
        </w:rPr>
        <w:t xml:space="preserve">                         </w:t>
      </w:r>
      <w:r>
        <w:rPr>
          <w:rFonts w:ascii="宋体" w:hAnsi="宋体" w:cs="宋体"/>
          <w:kern w:val="1"/>
          <w:sz w:val="24"/>
        </w:rPr>
        <w:t xml:space="preserve"> 日   期：</w:t>
      </w:r>
      <w:r>
        <w:rPr>
          <w:rFonts w:ascii="宋体" w:hAnsi="宋体" w:cs="宋体"/>
          <w:kern w:val="1"/>
          <w:sz w:val="24"/>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4"/>
        </w:rPr>
        <w:t>月</w:t>
      </w:r>
      <w:r>
        <w:rPr>
          <w:rFonts w:ascii="宋体" w:hAnsi="宋体" w:cs="宋体"/>
          <w:kern w:val="1"/>
          <w:sz w:val="24"/>
          <w:u w:val="single"/>
        </w:rPr>
        <w:t xml:space="preserve">      </w:t>
      </w:r>
      <w:r>
        <w:rPr>
          <w:rFonts w:ascii="宋体" w:hAnsi="宋体" w:cs="宋体"/>
          <w:kern w:val="1"/>
          <w:sz w:val="24"/>
        </w:rPr>
        <w:t>日</w:t>
      </w:r>
    </w:p>
    <w:p>
      <w:pPr>
        <w:pStyle w:val="2"/>
        <w:outlineLvl w:val="9"/>
        <w:rPr>
          <w:rFonts w:hint="eastAsia" w:ascii="宋体" w:hAnsi="宋体"/>
          <w:sz w:val="24"/>
        </w:rPr>
      </w:pPr>
    </w:p>
    <w:p>
      <w:pPr>
        <w:pStyle w:val="66"/>
        <w:jc w:val="center"/>
        <w:outlineLvl w:val="9"/>
        <w:rPr>
          <w:rFonts w:hint="eastAsia" w:hAnsi="宋体"/>
          <w:bCs/>
          <w:sz w:val="32"/>
          <w:szCs w:val="32"/>
        </w:rPr>
      </w:pPr>
    </w:p>
    <w:p>
      <w:pPr>
        <w:pStyle w:val="66"/>
        <w:jc w:val="center"/>
        <w:outlineLvl w:val="9"/>
        <w:rPr>
          <w:rFonts w:hint="eastAsia" w:hAnsi="宋体"/>
          <w:bCs/>
          <w:sz w:val="32"/>
          <w:szCs w:val="32"/>
        </w:rPr>
      </w:pPr>
    </w:p>
    <w:p>
      <w:pPr>
        <w:pStyle w:val="66"/>
        <w:jc w:val="center"/>
        <w:outlineLvl w:val="9"/>
        <w:rPr>
          <w:rFonts w:hint="eastAsia" w:hAnsi="宋体"/>
          <w:bCs/>
          <w:sz w:val="32"/>
          <w:szCs w:val="32"/>
        </w:rPr>
      </w:pPr>
      <w:r>
        <w:rPr>
          <w:rFonts w:hint="eastAsia" w:hAnsi="宋体"/>
          <w:bCs/>
          <w:sz w:val="32"/>
          <w:szCs w:val="32"/>
        </w:rPr>
        <w:t>二、法定代表人授权委托书</w:t>
      </w:r>
    </w:p>
    <w:p>
      <w:pPr>
        <w:pStyle w:val="84"/>
        <w:spacing w:before="0" w:after="0" w:line="420" w:lineRule="exact"/>
        <w:ind w:firstLineChars="200"/>
        <w:outlineLvl w:val="9"/>
        <w:rPr>
          <w:rFonts w:hint="eastAsia" w:ascii="宋体" w:hAnsi="宋体"/>
          <w:kern w:val="2"/>
          <w:szCs w:val="21"/>
        </w:rPr>
      </w:pPr>
    </w:p>
    <w:p>
      <w:pPr>
        <w:pStyle w:val="84"/>
        <w:spacing w:before="0" w:after="0" w:line="480" w:lineRule="auto"/>
        <w:ind w:firstLineChars="200"/>
        <w:outlineLvl w:val="9"/>
        <w:rPr>
          <w:rFonts w:hint="eastAsia" w:ascii="宋体" w:hAnsi="宋体"/>
          <w:kern w:val="2"/>
          <w:highlight w:val="none"/>
        </w:rPr>
      </w:pPr>
      <w:r>
        <w:rPr>
          <w:rFonts w:hint="eastAsia" w:ascii="宋体" w:hAnsi="宋体"/>
          <w:kern w:val="2"/>
        </w:rPr>
        <w:t>本授权书声明：</w:t>
      </w:r>
      <w:r>
        <w:rPr>
          <w:rFonts w:hint="eastAsia" w:ascii="宋体" w:hAnsi="宋体"/>
          <w:kern w:val="2"/>
          <w:u w:val="single"/>
        </w:rPr>
        <w:t xml:space="preserve">       </w:t>
      </w:r>
      <w:r>
        <w:rPr>
          <w:rFonts w:hint="eastAsia" w:ascii="宋体" w:hAnsi="宋体"/>
          <w:kern w:val="2"/>
          <w:u w:val="single"/>
          <w:lang w:val="en-US" w:eastAsia="zh-CN"/>
        </w:rPr>
        <w:t xml:space="preserve">   </w:t>
      </w:r>
      <w:r>
        <w:rPr>
          <w:rFonts w:hint="eastAsia" w:ascii="宋体" w:hAnsi="宋体"/>
          <w:kern w:val="2"/>
          <w:u w:val="single"/>
        </w:rPr>
        <w:t xml:space="preserve">  </w:t>
      </w:r>
      <w:r>
        <w:rPr>
          <w:rFonts w:hint="eastAsia" w:ascii="宋体" w:hAnsi="宋体"/>
          <w:kern w:val="2"/>
        </w:rPr>
        <w:t>（供应商名称）</w:t>
      </w:r>
      <w:r>
        <w:rPr>
          <w:rFonts w:hint="eastAsia" w:ascii="宋体" w:hAnsi="宋体"/>
          <w:kern w:val="2"/>
          <w:u w:val="single"/>
        </w:rPr>
        <w:t xml:space="preserve">     </w:t>
      </w:r>
      <w:r>
        <w:rPr>
          <w:rFonts w:hint="eastAsia" w:ascii="宋体" w:hAnsi="宋体"/>
          <w:kern w:val="2"/>
          <w:u w:val="single"/>
          <w:lang w:val="en-US" w:eastAsia="zh-CN"/>
        </w:rPr>
        <w:t xml:space="preserve">    </w:t>
      </w:r>
      <w:r>
        <w:rPr>
          <w:rFonts w:hint="eastAsia" w:ascii="宋体" w:hAnsi="宋体"/>
          <w:kern w:val="2"/>
          <w:u w:val="single"/>
        </w:rPr>
        <w:t xml:space="preserve">    </w:t>
      </w:r>
      <w:r>
        <w:rPr>
          <w:rFonts w:hint="eastAsia" w:ascii="宋体" w:hAnsi="宋体"/>
          <w:kern w:val="2"/>
        </w:rPr>
        <w:t>（法定代表人姓名、职务）授权</w:t>
      </w:r>
      <w:r>
        <w:rPr>
          <w:rFonts w:hint="eastAsia" w:ascii="宋体" w:hAnsi="宋体"/>
          <w:kern w:val="2"/>
          <w:u w:val="single"/>
        </w:rPr>
        <w:t xml:space="preserve">         </w:t>
      </w:r>
      <w:r>
        <w:rPr>
          <w:rFonts w:hint="eastAsia" w:ascii="宋体" w:hAnsi="宋体"/>
          <w:kern w:val="2"/>
        </w:rPr>
        <w:t>（</w:t>
      </w:r>
      <w:r>
        <w:rPr>
          <w:rFonts w:hint="eastAsia" w:ascii="宋体" w:hAnsi="宋体"/>
          <w:kern w:val="2"/>
          <w:highlight w:val="none"/>
        </w:rPr>
        <w:t>被授权</w:t>
      </w:r>
      <w:r>
        <w:rPr>
          <w:rFonts w:hint="eastAsia" w:ascii="宋体" w:hAnsi="宋体"/>
          <w:kern w:val="2"/>
          <w:highlight w:val="none"/>
          <w:lang w:val="en-US" w:eastAsia="zh-CN"/>
        </w:rPr>
        <w:t>人</w:t>
      </w:r>
      <w:r>
        <w:rPr>
          <w:rFonts w:hint="eastAsia" w:ascii="宋体" w:hAnsi="宋体"/>
          <w:kern w:val="2"/>
          <w:highlight w:val="none"/>
        </w:rPr>
        <w:t>的姓名、职务）为我方就</w:t>
      </w:r>
      <w:r>
        <w:rPr>
          <w:rFonts w:hint="eastAsia" w:ascii="宋体" w:hAnsi="宋体"/>
          <w:kern w:val="2"/>
          <w:highlight w:val="none"/>
          <w:u w:val="single"/>
        </w:rPr>
        <w:t xml:space="preserve">          </w:t>
      </w:r>
      <w:r>
        <w:rPr>
          <w:rFonts w:hint="eastAsia" w:ascii="宋体" w:hAnsi="宋体"/>
          <w:kern w:val="2"/>
          <w:highlight w:val="none"/>
          <w:u w:val="none"/>
          <w:lang w:eastAsia="zh-CN"/>
        </w:rPr>
        <w:t>（</w:t>
      </w:r>
      <w:r>
        <w:rPr>
          <w:rFonts w:hint="eastAsia" w:ascii="宋体" w:hAnsi="宋体"/>
          <w:kern w:val="2"/>
          <w:highlight w:val="none"/>
          <w:u w:val="none"/>
          <w:lang w:val="en-US" w:eastAsia="zh-CN"/>
        </w:rPr>
        <w:t>项目名称</w:t>
      </w:r>
      <w:r>
        <w:rPr>
          <w:rFonts w:hint="eastAsia" w:ascii="宋体" w:hAnsi="宋体"/>
          <w:kern w:val="2"/>
          <w:highlight w:val="none"/>
          <w:u w:val="none"/>
          <w:lang w:eastAsia="zh-CN"/>
        </w:rPr>
        <w:t>）</w:t>
      </w:r>
      <w:r>
        <w:rPr>
          <w:rFonts w:hint="eastAsia" w:ascii="宋体" w:hAnsi="宋体"/>
          <w:kern w:val="2"/>
          <w:highlight w:val="none"/>
        </w:rPr>
        <w:t>的合法代理人，以本公司名义全权处理</w:t>
      </w:r>
      <w:r>
        <w:rPr>
          <w:rFonts w:hint="eastAsia" w:ascii="宋体" w:hAnsi="宋体"/>
          <w:spacing w:val="-6"/>
          <w:kern w:val="2"/>
          <w:highlight w:val="none"/>
        </w:rPr>
        <w:t>一切与该项目招标有关的事务。</w:t>
      </w:r>
    </w:p>
    <w:p>
      <w:pPr>
        <w:spacing w:line="480" w:lineRule="auto"/>
        <w:ind w:firstLine="480" w:firstLineChars="200"/>
        <w:outlineLvl w:val="9"/>
        <w:rPr>
          <w:rFonts w:hint="eastAsia" w:ascii="宋体" w:hAnsi="宋体" w:eastAsia="宋体"/>
          <w:sz w:val="24"/>
          <w:highlight w:val="none"/>
          <w:lang w:eastAsia="zh-CN"/>
        </w:rPr>
      </w:pPr>
      <w:r>
        <w:rPr>
          <w:rFonts w:hint="eastAsia" w:ascii="宋体" w:hAnsi="宋体"/>
          <w:spacing w:val="0"/>
          <w:kern w:val="2"/>
          <w:sz w:val="24"/>
          <w:szCs w:val="24"/>
          <w:highlight w:val="none"/>
          <w:lang w:val="en-US" w:eastAsia="zh-CN" w:bidi="ar-SA"/>
        </w:rPr>
        <w:t>委托期限：</w:t>
      </w:r>
      <w:r>
        <w:rPr>
          <w:rFonts w:hint="eastAsia" w:ascii="宋体" w:hAnsi="宋体" w:cs="宋体"/>
          <w:spacing w:val="0"/>
          <w:kern w:val="2"/>
          <w:sz w:val="24"/>
          <w:szCs w:val="24"/>
          <w:highlight w:val="none"/>
          <w:u w:val="single"/>
          <w:lang w:val="en-US" w:eastAsia="zh-CN"/>
        </w:rPr>
        <w:t xml:space="preserve">              </w:t>
      </w:r>
      <w:r>
        <w:rPr>
          <w:rFonts w:hint="eastAsia" w:ascii="宋体" w:hAnsi="宋体" w:eastAsia="宋体" w:cs="宋体"/>
          <w:spacing w:val="0"/>
          <w:kern w:val="2"/>
          <w:sz w:val="24"/>
          <w:szCs w:val="24"/>
          <w:highlight w:val="none"/>
          <w:lang w:val="en-US" w:eastAsia="zh-CN"/>
        </w:rPr>
        <w:t>。</w:t>
      </w:r>
    </w:p>
    <w:p>
      <w:pPr>
        <w:pStyle w:val="84"/>
        <w:spacing w:before="0" w:after="0"/>
        <w:ind w:firstLineChars="200"/>
        <w:outlineLvl w:val="9"/>
        <w:rPr>
          <w:rFonts w:hint="eastAsia" w:ascii="宋体" w:hAnsi="宋体"/>
          <w:kern w:val="2"/>
          <w:highlight w:val="none"/>
        </w:rPr>
      </w:pPr>
    </w:p>
    <w:p>
      <w:pPr>
        <w:pStyle w:val="84"/>
        <w:spacing w:before="0" w:after="0" w:line="480" w:lineRule="auto"/>
        <w:ind w:firstLine="1920" w:firstLineChars="800"/>
        <w:outlineLvl w:val="9"/>
        <w:rPr>
          <w:rFonts w:hint="eastAsia" w:ascii="宋体" w:hAnsi="宋体"/>
          <w:kern w:val="2"/>
          <w:highlight w:val="none"/>
          <w:u w:val="single"/>
        </w:rPr>
      </w:pPr>
      <w:r>
        <w:rPr>
          <w:rFonts w:hint="eastAsia" w:ascii="宋体" w:hAnsi="宋体"/>
          <w:kern w:val="2"/>
          <w:highlight w:val="none"/>
        </w:rPr>
        <w:t>被授权</w:t>
      </w:r>
      <w:r>
        <w:rPr>
          <w:rFonts w:hint="eastAsia" w:ascii="宋体" w:hAnsi="宋体"/>
          <w:kern w:val="2"/>
          <w:highlight w:val="none"/>
          <w:lang w:val="en-US" w:eastAsia="zh-CN"/>
        </w:rPr>
        <w:t>人</w:t>
      </w:r>
      <w:r>
        <w:rPr>
          <w:rFonts w:hint="eastAsia" w:ascii="宋体" w:hAnsi="宋体"/>
          <w:kern w:val="2"/>
          <w:highlight w:val="none"/>
        </w:rPr>
        <w:t>：</w:t>
      </w:r>
      <w:r>
        <w:rPr>
          <w:rFonts w:hint="eastAsia" w:ascii="宋体" w:hAnsi="宋体"/>
          <w:kern w:val="2"/>
          <w:highlight w:val="none"/>
          <w:u w:val="single"/>
        </w:rPr>
        <w:t xml:space="preserve">       （签字）</w:t>
      </w:r>
      <w:r>
        <w:rPr>
          <w:rFonts w:hint="eastAsia" w:ascii="宋体" w:hAnsi="宋体"/>
          <w:kern w:val="2"/>
          <w:highlight w:val="none"/>
        </w:rPr>
        <w:t>性别：</w:t>
      </w:r>
      <w:r>
        <w:rPr>
          <w:rFonts w:hint="eastAsia" w:ascii="宋体" w:hAnsi="宋体"/>
          <w:kern w:val="2"/>
          <w:highlight w:val="none"/>
          <w:u w:val="single"/>
        </w:rPr>
        <w:t xml:space="preserve">       </w:t>
      </w:r>
      <w:r>
        <w:rPr>
          <w:rFonts w:hint="eastAsia" w:ascii="宋体" w:hAnsi="宋体"/>
          <w:kern w:val="2"/>
          <w:highlight w:val="none"/>
        </w:rPr>
        <w:t>年龄：</w:t>
      </w:r>
      <w:r>
        <w:rPr>
          <w:rFonts w:hint="eastAsia" w:ascii="宋体" w:hAnsi="宋体"/>
          <w:kern w:val="2"/>
          <w:highlight w:val="none"/>
          <w:u w:val="single"/>
        </w:rPr>
        <w:t xml:space="preserve">        </w:t>
      </w:r>
      <w:r>
        <w:rPr>
          <w:rFonts w:hint="eastAsia" w:ascii="宋体" w:hAnsi="宋体"/>
          <w:color w:val="FFFFFF"/>
          <w:kern w:val="2"/>
          <w:highlight w:val="none"/>
          <w:u w:val="single"/>
        </w:rPr>
        <w:t>.</w:t>
      </w:r>
      <w:r>
        <w:rPr>
          <w:rFonts w:hint="eastAsia" w:ascii="宋体" w:hAnsi="宋体"/>
          <w:kern w:val="2"/>
          <w:highlight w:val="none"/>
          <w:u w:val="single"/>
        </w:rPr>
        <w:t xml:space="preserve">   </w:t>
      </w:r>
    </w:p>
    <w:p>
      <w:pPr>
        <w:pStyle w:val="84"/>
        <w:spacing w:before="0" w:after="0" w:line="480" w:lineRule="auto"/>
        <w:ind w:firstLine="1920" w:firstLineChars="800"/>
        <w:outlineLvl w:val="9"/>
        <w:rPr>
          <w:rFonts w:hint="eastAsia" w:ascii="宋体" w:hAnsi="宋体"/>
          <w:kern w:val="2"/>
          <w:highlight w:val="none"/>
          <w:u w:val="single"/>
        </w:rPr>
      </w:pPr>
      <w:r>
        <w:rPr>
          <w:rFonts w:hint="eastAsia" w:ascii="宋体" w:hAnsi="宋体"/>
          <w:kern w:val="2"/>
          <w:highlight w:val="none"/>
        </w:rPr>
        <w:t>身份证号码：</w:t>
      </w:r>
      <w:r>
        <w:rPr>
          <w:rFonts w:hint="eastAsia" w:ascii="宋体" w:hAnsi="宋体"/>
          <w:kern w:val="2"/>
          <w:highlight w:val="none"/>
          <w:u w:val="single"/>
        </w:rPr>
        <w:t xml:space="preserve">                        </w:t>
      </w:r>
      <w:r>
        <w:rPr>
          <w:rFonts w:hint="eastAsia" w:ascii="宋体" w:hAnsi="宋体"/>
          <w:kern w:val="2"/>
          <w:highlight w:val="none"/>
        </w:rPr>
        <w:t>职务：</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color w:val="FFFFFF"/>
          <w:kern w:val="2"/>
          <w:highlight w:val="none"/>
          <w:u w:val="single"/>
        </w:rPr>
        <w:t>.</w:t>
      </w:r>
      <w:r>
        <w:rPr>
          <w:rFonts w:hint="eastAsia" w:ascii="宋体" w:hAnsi="宋体"/>
          <w:kern w:val="2"/>
          <w:highlight w:val="none"/>
          <w:u w:val="single"/>
        </w:rPr>
        <w:t xml:space="preserve">      </w:t>
      </w:r>
    </w:p>
    <w:p>
      <w:pPr>
        <w:pStyle w:val="84"/>
        <w:spacing w:before="0" w:after="0" w:line="480" w:lineRule="auto"/>
        <w:ind w:firstLine="1920" w:firstLineChars="800"/>
        <w:outlineLvl w:val="9"/>
        <w:rPr>
          <w:rFonts w:hint="eastAsia" w:ascii="宋体" w:hAnsi="宋体"/>
          <w:highlight w:val="none"/>
        </w:rPr>
      </w:pPr>
      <w:r>
        <w:rPr>
          <w:rFonts w:hint="eastAsia" w:ascii="宋体" w:hAnsi="宋体"/>
          <w:kern w:val="2"/>
          <w:highlight w:val="none"/>
        </w:rPr>
        <w:t>供应商</w:t>
      </w:r>
      <w:r>
        <w:rPr>
          <w:rFonts w:hint="eastAsia" w:ascii="宋体" w:hAnsi="宋体"/>
          <w:kern w:val="2"/>
          <w:highlight w:val="none"/>
          <w:lang w:val="en-US" w:eastAsia="zh-CN"/>
        </w:rPr>
        <w:t>全称</w:t>
      </w:r>
      <w:r>
        <w:rPr>
          <w:rFonts w:hint="eastAsia" w:ascii="宋体" w:hAnsi="宋体"/>
          <w:kern w:val="2"/>
          <w:highlight w:val="none"/>
        </w:rPr>
        <w:t>：</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u w:val="none"/>
        </w:rPr>
        <w:t>（盖章）</w:t>
      </w:r>
    </w:p>
    <w:p>
      <w:pPr>
        <w:pStyle w:val="84"/>
        <w:spacing w:before="0" w:after="0" w:line="480" w:lineRule="auto"/>
        <w:ind w:firstLine="1920" w:firstLineChars="800"/>
        <w:outlineLvl w:val="9"/>
        <w:rPr>
          <w:rFonts w:hint="eastAsia" w:ascii="宋体" w:hAnsi="宋体"/>
          <w:kern w:val="2"/>
          <w:highlight w:val="none"/>
          <w:u w:val="single"/>
        </w:rPr>
      </w:pPr>
      <w:r>
        <w:rPr>
          <w:rFonts w:hint="eastAsia" w:ascii="宋体" w:hAnsi="宋体"/>
          <w:kern w:val="2"/>
          <w:highlight w:val="none"/>
        </w:rPr>
        <w:t>法定代表人：</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u w:val="none"/>
        </w:rPr>
        <w:t>（签字或盖章）</w:t>
      </w:r>
    </w:p>
    <w:p>
      <w:pPr>
        <w:pStyle w:val="84"/>
        <w:spacing w:before="0" w:after="0" w:line="480" w:lineRule="auto"/>
        <w:ind w:firstLine="1920" w:firstLineChars="800"/>
        <w:outlineLvl w:val="9"/>
        <w:rPr>
          <w:rFonts w:hint="eastAsia" w:ascii="宋体" w:hAnsi="宋体"/>
          <w:kern w:val="2"/>
          <w:highlight w:val="none"/>
        </w:rPr>
      </w:pPr>
      <w:r>
        <w:rPr>
          <w:rFonts w:hint="eastAsia" w:ascii="宋体" w:hAnsi="宋体"/>
          <w:kern w:val="2"/>
          <w:highlight w:val="none"/>
        </w:rPr>
        <w:t>日</w:t>
      </w:r>
      <w:r>
        <w:rPr>
          <w:rFonts w:hint="eastAsia" w:ascii="宋体" w:hAnsi="宋体"/>
          <w:kern w:val="2"/>
          <w:highlight w:val="none"/>
          <w:lang w:val="en-US" w:eastAsia="zh-CN"/>
        </w:rPr>
        <w:t xml:space="preserve">      </w:t>
      </w:r>
      <w:r>
        <w:rPr>
          <w:rFonts w:hint="eastAsia" w:ascii="宋体" w:hAnsi="宋体"/>
          <w:kern w:val="2"/>
          <w:highlight w:val="none"/>
        </w:rPr>
        <w:t>期：</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rPr>
        <w:t>年</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rPr>
        <w:t>月</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rPr>
        <w:t>日</w:t>
      </w:r>
    </w:p>
    <w:tbl>
      <w:tblPr>
        <w:tblStyle w:val="24"/>
        <w:tblpPr w:leftFromText="180" w:rightFromText="180" w:vertAnchor="text" w:horzAnchor="page" w:tblpXSpec="center" w:tblpY="2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9" w:hRule="atLeast"/>
          <w:jc w:val="center"/>
        </w:trPr>
        <w:tc>
          <w:tcPr>
            <w:tcW w:w="76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0" w:leftChars="0" w:firstLine="420" w:firstLineChars="175"/>
              <w:outlineLvl w:val="9"/>
              <w:rPr>
                <w:rFonts w:hint="default" w:ascii="宋体" w:hAnsi="宋体" w:eastAsia="宋体" w:cs="宋体"/>
                <w:b w:val="0"/>
                <w:bCs/>
                <w:color w:val="auto"/>
                <w:kern w:val="1"/>
                <w:sz w:val="24"/>
                <w:highlight w:val="none"/>
                <w:lang w:val="en-US"/>
              </w:rPr>
            </w:pPr>
            <w:r>
              <w:rPr>
                <w:rFonts w:hint="eastAsia" w:ascii="宋体" w:hAnsi="宋体" w:eastAsia="宋体" w:cs="宋体"/>
                <w:b/>
                <w:sz w:val="24"/>
                <w:szCs w:val="22"/>
                <w:highlight w:val="none"/>
                <w:lang w:val="en-US" w:eastAsia="zh-CN"/>
              </w:rPr>
              <w:t>附：法定代表人、被授权人身份证复印件或扫描件正、反面</w:t>
            </w:r>
          </w:p>
          <w:p>
            <w:pPr>
              <w:spacing w:line="400" w:lineRule="exact"/>
              <w:jc w:val="center"/>
              <w:outlineLvl w:val="9"/>
              <w:rPr>
                <w:rFonts w:hint="eastAsia" w:ascii="宋体" w:hAnsi="宋体" w:cs="宋体"/>
                <w:b/>
                <w:kern w:val="1"/>
                <w:sz w:val="24"/>
                <w:highlight w:val="none"/>
              </w:rPr>
            </w:pPr>
          </w:p>
        </w:tc>
      </w:tr>
    </w:tbl>
    <w:p>
      <w:pPr>
        <w:pStyle w:val="84"/>
        <w:spacing w:before="0" w:after="0"/>
        <w:ind w:firstLine="1440" w:firstLineChars="600"/>
        <w:outlineLvl w:val="9"/>
        <w:rPr>
          <w:rFonts w:hint="eastAsia" w:ascii="宋体" w:hAnsi="宋体"/>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pStyle w:val="3"/>
        <w:outlineLvl w:val="9"/>
        <w:rPr>
          <w:rFonts w:hint="eastAsia"/>
          <w:highlight w:val="none"/>
        </w:rPr>
      </w:pPr>
    </w:p>
    <w:p>
      <w:pPr>
        <w:spacing w:line="400" w:lineRule="exact"/>
        <w:outlineLvl w:val="9"/>
        <w:rPr>
          <w:rFonts w:hint="eastAsia" w:ascii="宋体" w:hAnsi="宋体" w:cs="宋体"/>
          <w:b/>
          <w:bCs/>
          <w:color w:val="000000"/>
          <w:sz w:val="24"/>
          <w:highlight w:val="none"/>
        </w:rPr>
      </w:pPr>
    </w:p>
    <w:p>
      <w:pPr>
        <w:pStyle w:val="3"/>
        <w:outlineLvl w:val="9"/>
        <w:rPr>
          <w:rFonts w:hint="eastAsia" w:ascii="宋体" w:hAnsi="宋体" w:cs="宋体"/>
          <w:b/>
          <w:bCs/>
          <w:color w:val="000000"/>
          <w:sz w:val="24"/>
          <w:highlight w:val="none"/>
        </w:rPr>
      </w:pPr>
    </w:p>
    <w:p>
      <w:pPr>
        <w:outlineLvl w:val="9"/>
        <w:rPr>
          <w:rFonts w:hint="eastAsia" w:ascii="宋体" w:hAnsi="宋体" w:cs="宋体"/>
          <w:b/>
          <w:bCs/>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pStyle w:val="66"/>
        <w:jc w:val="center"/>
        <w:outlineLvl w:val="9"/>
        <w:rPr>
          <w:rFonts w:hint="eastAsia" w:ascii="宋体" w:hAnsi="宋体"/>
          <w:b/>
          <w:bCs/>
          <w:sz w:val="32"/>
          <w:szCs w:val="32"/>
          <w:highlight w:val="none"/>
        </w:rPr>
      </w:pPr>
      <w:r>
        <w:rPr>
          <w:rFonts w:hint="eastAsia" w:ascii="宋体" w:hAnsi="宋体"/>
          <w:b/>
          <w:bCs/>
          <w:sz w:val="32"/>
          <w:szCs w:val="32"/>
          <w:highlight w:val="none"/>
        </w:rPr>
        <w:t>三、</w:t>
      </w:r>
      <w:r>
        <w:rPr>
          <w:rFonts w:hint="eastAsia" w:ascii="宋体" w:hAnsi="宋体"/>
          <w:b/>
          <w:bCs/>
          <w:sz w:val="32"/>
          <w:szCs w:val="32"/>
          <w:highlight w:val="none"/>
          <w:lang w:val="en-US" w:eastAsia="zh-CN"/>
        </w:rPr>
        <w:t>供应商</w:t>
      </w:r>
      <w:r>
        <w:rPr>
          <w:rFonts w:hint="eastAsia" w:ascii="宋体" w:hAnsi="宋体"/>
          <w:b/>
          <w:bCs/>
          <w:sz w:val="32"/>
          <w:szCs w:val="32"/>
          <w:highlight w:val="none"/>
        </w:rPr>
        <w:t>基本情况表</w:t>
      </w:r>
    </w:p>
    <w:tbl>
      <w:tblPr>
        <w:tblStyle w:val="24"/>
        <w:tblpPr w:leftFromText="180" w:rightFromText="180" w:vertAnchor="text" w:horzAnchor="page" w:tblpX="1690" w:tblpY="185"/>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hint="eastAsia" w:ascii="宋体" w:hAnsi="宋体"/>
                <w:szCs w:val="21"/>
                <w:highlight w:val="none"/>
                <w:lang w:val="en-US" w:eastAsia="zh-CN"/>
              </w:rPr>
              <w:t>供应商</w:t>
            </w:r>
            <w:r>
              <w:rPr>
                <w:rFonts w:ascii="宋体" w:hAnsi="宋体"/>
                <w:szCs w:val="21"/>
                <w:highlight w:val="none"/>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0" w:firstLineChars="500"/>
              <w:outlineLvl w:val="9"/>
              <w:rPr>
                <w:rFonts w:ascii="宋体" w:hAnsi="宋体"/>
                <w:szCs w:val="21"/>
                <w:highlight w:val="none"/>
              </w:rPr>
            </w:pPr>
            <w:r>
              <w:rPr>
                <w:rFonts w:ascii="宋体" w:hAnsi="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ascii="宋体" w:hAnsi="宋体"/>
                <w:highlight w:val="none"/>
              </w:rPr>
            </w:pPr>
            <w:r>
              <w:rPr>
                <w:rFonts w:ascii="宋体" w:hAnsi="宋体"/>
                <w:highlight w:val="none"/>
              </w:rPr>
              <w:t>技</w:t>
            </w:r>
            <w:r>
              <w:rPr>
                <w:rFonts w:hint="eastAsia" w:ascii="宋体" w:hAnsi="宋体"/>
                <w:highlight w:val="none"/>
              </w:rPr>
              <w:t xml:space="preserve">  </w:t>
            </w:r>
            <w:r>
              <w:rPr>
                <w:rFonts w:ascii="宋体" w:hAnsi="宋体"/>
                <w:highlight w:val="none"/>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outlineLvl w:val="9"/>
              <w:rPr>
                <w:rFonts w:ascii="宋体" w:hAnsi="宋体"/>
                <w:szCs w:val="21"/>
                <w:highlight w:val="none"/>
              </w:rPr>
            </w:pPr>
            <w:r>
              <w:rPr>
                <w:rFonts w:ascii="宋体" w:hAnsi="宋体"/>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outlineLvl w:val="9"/>
              <w:rPr>
                <w:rFonts w:ascii="宋体" w:hAnsi="宋体"/>
                <w:szCs w:val="21"/>
                <w:highlight w:val="none"/>
              </w:rPr>
            </w:pPr>
          </w:p>
        </w:tc>
      </w:tr>
    </w:tbl>
    <w:p>
      <w:pPr>
        <w:pStyle w:val="3"/>
        <w:spacing w:line="440" w:lineRule="exact"/>
        <w:jc w:val="center"/>
        <w:outlineLvl w:val="9"/>
        <w:rPr>
          <w:rFonts w:hint="eastAsia" w:ascii="宋体" w:hAnsi="宋体"/>
          <w:b/>
          <w:bCs/>
          <w:sz w:val="32"/>
          <w:szCs w:val="32"/>
          <w:highlight w:val="none"/>
          <w:lang w:val="en-US" w:eastAsia="zh-CN"/>
        </w:rPr>
      </w:pPr>
      <w:bookmarkStart w:id="1075" w:name="_Toc356155575"/>
    </w:p>
    <w:p>
      <w:pPr>
        <w:pStyle w:val="3"/>
        <w:spacing w:line="440" w:lineRule="exact"/>
        <w:jc w:val="center"/>
        <w:outlineLvl w:val="9"/>
        <w:rPr>
          <w:rFonts w:hint="eastAsia" w:ascii="宋体" w:hAnsi="宋体"/>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pStyle w:val="3"/>
        <w:spacing w:line="440" w:lineRule="exact"/>
        <w:jc w:val="center"/>
        <w:outlineLvl w:val="9"/>
        <w:rPr>
          <w:rFonts w:hint="eastAsia" w:ascii="宋体" w:hAnsi="宋体" w:cs="仿宋"/>
          <w:sz w:val="24"/>
          <w:highlight w:val="none"/>
        </w:rPr>
      </w:pPr>
      <w:r>
        <w:rPr>
          <w:rFonts w:hint="eastAsia" w:ascii="宋体" w:hAnsi="宋体"/>
          <w:b/>
          <w:bCs/>
          <w:sz w:val="32"/>
          <w:szCs w:val="32"/>
          <w:highlight w:val="none"/>
          <w:lang w:val="en-US" w:eastAsia="zh-CN"/>
        </w:rPr>
        <w:t>四</w:t>
      </w:r>
      <w:r>
        <w:rPr>
          <w:rFonts w:hint="eastAsia" w:ascii="宋体" w:hAnsi="宋体"/>
          <w:b/>
          <w:bCs/>
          <w:sz w:val="32"/>
          <w:szCs w:val="32"/>
          <w:highlight w:val="none"/>
        </w:rPr>
        <w:t>、</w:t>
      </w:r>
      <w:bookmarkEnd w:id="1075"/>
      <w:r>
        <w:rPr>
          <w:rFonts w:hint="eastAsia" w:ascii="宋体" w:hAnsi="宋体"/>
          <w:b/>
          <w:bCs/>
          <w:sz w:val="32"/>
          <w:szCs w:val="32"/>
          <w:highlight w:val="none"/>
        </w:rPr>
        <w:t>磋商响应函</w:t>
      </w:r>
      <w:r>
        <w:rPr>
          <w:rFonts w:hint="eastAsia" w:ascii="宋体" w:hAnsi="宋体" w:cs="仿宋"/>
          <w:b/>
          <w:bCs/>
          <w:sz w:val="32"/>
          <w:szCs w:val="32"/>
          <w:highlight w:val="none"/>
          <w:lang w:val="en-US" w:eastAsia="zh-CN"/>
        </w:rPr>
        <w:t>及</w:t>
      </w:r>
      <w:r>
        <w:rPr>
          <w:rFonts w:hint="eastAsia" w:ascii="宋体" w:hAnsi="宋体" w:cs="仿宋"/>
          <w:b/>
          <w:bCs/>
          <w:sz w:val="32"/>
          <w:szCs w:val="32"/>
          <w:highlight w:val="none"/>
        </w:rPr>
        <w:t>磋商报价表</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致：</w:t>
      </w:r>
      <w:r>
        <w:rPr>
          <w:rFonts w:hint="eastAsia" w:ascii="宋体" w:hAnsi="宋体" w:cs="仿宋"/>
          <w:sz w:val="24"/>
          <w:highlight w:val="none"/>
          <w:u w:val="single"/>
        </w:rPr>
        <w:t xml:space="preserve">         </w:t>
      </w:r>
      <w:r>
        <w:rPr>
          <w:rFonts w:hint="eastAsia" w:ascii="宋体" w:hAnsi="宋体" w:cs="仿宋"/>
          <w:sz w:val="24"/>
          <w:highlight w:val="none"/>
        </w:rPr>
        <w:t>（采购人）</w:t>
      </w:r>
    </w:p>
    <w:p>
      <w:pPr>
        <w:pStyle w:val="73"/>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b/>
          <w:sz w:val="24"/>
          <w:szCs w:val="24"/>
          <w:highlight w:val="none"/>
        </w:rPr>
      </w:pPr>
      <w:r>
        <w:rPr>
          <w:rFonts w:hint="eastAsia" w:ascii="宋体" w:hAnsi="宋体" w:cs="仿宋"/>
          <w:sz w:val="24"/>
          <w:szCs w:val="24"/>
          <w:highlight w:val="none"/>
        </w:rPr>
        <w:t>根据贵方为</w:t>
      </w:r>
      <w:r>
        <w:rPr>
          <w:rFonts w:ascii="宋体" w:hAnsi="宋体" w:cs="宋体"/>
          <w:kern w:val="1"/>
          <w:sz w:val="24"/>
          <w:highlight w:val="none"/>
          <w:u w:val="single"/>
        </w:rPr>
        <w:t xml:space="preserve">                </w:t>
      </w:r>
      <w:r>
        <w:rPr>
          <w:rFonts w:hint="eastAsia" w:ascii="宋体" w:hAnsi="宋体" w:cs="宋体"/>
          <w:kern w:val="1"/>
          <w:sz w:val="24"/>
          <w:highlight w:val="none"/>
          <w:u w:val="single"/>
          <w:lang w:val="en-US" w:eastAsia="zh-CN"/>
        </w:rPr>
        <w:t xml:space="preserve"> </w:t>
      </w:r>
      <w:r>
        <w:rPr>
          <w:rFonts w:hint="eastAsia" w:ascii="宋体" w:hAnsi="宋体" w:cs="宋体"/>
          <w:kern w:val="24"/>
          <w:sz w:val="24"/>
          <w:highlight w:val="none"/>
          <w:u w:val="none"/>
          <w:lang w:val="en-US" w:eastAsia="zh-CN"/>
        </w:rPr>
        <w:t>（项目名称）</w:t>
      </w:r>
      <w:r>
        <w:rPr>
          <w:rFonts w:ascii="宋体" w:hAnsi="宋体" w:cs="宋体"/>
          <w:kern w:val="1"/>
          <w:sz w:val="24"/>
          <w:highlight w:val="none"/>
        </w:rPr>
        <w:t>（</w:t>
      </w:r>
      <w:r>
        <w:rPr>
          <w:rFonts w:hint="eastAsia" w:ascii="宋体" w:hAnsi="宋体" w:cs="宋体"/>
          <w:kern w:val="1"/>
          <w:sz w:val="24"/>
          <w:highlight w:val="none"/>
          <w:lang w:val="en-US" w:eastAsia="zh-CN"/>
        </w:rPr>
        <w:t>项目编号</w:t>
      </w:r>
      <w:r>
        <w:rPr>
          <w:rFonts w:ascii="宋体" w:hAnsi="宋体" w:cs="宋体"/>
          <w:kern w:val="1"/>
          <w:sz w:val="24"/>
          <w:highlight w:val="none"/>
        </w:rPr>
        <w:t>：</w:t>
      </w:r>
      <w:r>
        <w:rPr>
          <w:rFonts w:ascii="宋体" w:hAnsi="宋体" w:cs="宋体"/>
          <w:kern w:val="1"/>
          <w:sz w:val="24"/>
          <w:highlight w:val="none"/>
          <w:u w:val="single"/>
        </w:rPr>
        <w:t xml:space="preserve"> </w:t>
      </w:r>
      <w:r>
        <w:rPr>
          <w:rFonts w:hint="eastAsia" w:ascii="宋体" w:hAnsi="宋体" w:cs="宋体"/>
          <w:kern w:val="1"/>
          <w:sz w:val="24"/>
          <w:highlight w:val="none"/>
          <w:u w:val="single"/>
          <w:lang w:val="en-US" w:eastAsia="zh-CN"/>
        </w:rPr>
        <w:t xml:space="preserve">     </w:t>
      </w:r>
      <w:r>
        <w:rPr>
          <w:rFonts w:ascii="宋体" w:hAnsi="宋体" w:cs="宋体"/>
          <w:kern w:val="1"/>
          <w:sz w:val="24"/>
          <w:highlight w:val="none"/>
          <w:u w:val="single"/>
        </w:rPr>
        <w:t xml:space="preserve"> </w:t>
      </w:r>
      <w:r>
        <w:rPr>
          <w:rFonts w:ascii="宋体" w:hAnsi="宋体" w:cs="宋体"/>
          <w:kern w:val="1"/>
          <w:sz w:val="24"/>
          <w:highlight w:val="none"/>
        </w:rPr>
        <w:t>）</w:t>
      </w:r>
      <w:r>
        <w:rPr>
          <w:rFonts w:hint="eastAsia" w:ascii="宋体" w:hAnsi="宋体" w:cs="仿宋"/>
          <w:sz w:val="24"/>
          <w:szCs w:val="24"/>
          <w:highlight w:val="none"/>
        </w:rPr>
        <w:t>的竞争性磋商文件，正式授权</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(姓名、职务)代表</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(供应商名称)提交</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响应文件正本</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份、副本</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份、电子U盘</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(1) 磋商响应函；</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(2) 磋商报价表；</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(3) 按磋商须知要求提供的全部文件和磋商文件要求的响应文件；</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(4) 供应商资格证明文件；</w:t>
      </w:r>
    </w:p>
    <w:p>
      <w:pPr>
        <w:spacing w:line="460" w:lineRule="exact"/>
        <w:ind w:firstLine="480"/>
        <w:rPr>
          <w:rFonts w:hint="eastAsia" w:ascii="宋体" w:hAnsi="宋体" w:cs="仿宋"/>
          <w:sz w:val="24"/>
          <w:highlight w:val="none"/>
          <w:lang w:val="en-US" w:eastAsia="zh-CN"/>
        </w:rPr>
      </w:pPr>
      <w:r>
        <w:rPr>
          <w:rFonts w:hint="eastAsia" w:ascii="宋体" w:hAnsi="宋体" w:cs="仿宋"/>
          <w:sz w:val="24"/>
          <w:highlight w:val="none"/>
        </w:rPr>
        <w:t>(5) 我公司已</w:t>
      </w:r>
      <w:r>
        <w:rPr>
          <w:rFonts w:hint="eastAsia" w:ascii="宋体" w:hAnsi="宋体" w:cs="仿宋"/>
          <w:sz w:val="24"/>
          <w:highlight w:val="none"/>
          <w:lang w:val="en-US" w:eastAsia="zh-CN"/>
        </w:rPr>
        <w:t>缴</w:t>
      </w:r>
      <w:r>
        <w:rPr>
          <w:rFonts w:hint="eastAsia" w:ascii="宋体" w:hAnsi="宋体" w:cs="仿宋"/>
          <w:sz w:val="24"/>
          <w:highlight w:val="none"/>
        </w:rPr>
        <w:t>纳</w:t>
      </w:r>
      <w:r>
        <w:rPr>
          <w:rFonts w:hint="eastAsia" w:ascii="宋体" w:hAnsi="宋体" w:cs="仿宋"/>
          <w:sz w:val="24"/>
          <w:highlight w:val="none"/>
          <w:lang w:eastAsia="zh-CN"/>
        </w:rPr>
        <w:t>磋商保证金</w:t>
      </w:r>
      <w:r>
        <w:rPr>
          <w:rFonts w:hint="eastAsia" w:ascii="宋体" w:hAnsi="宋体" w:cs="仿宋"/>
          <w:sz w:val="24"/>
          <w:highlight w:val="none"/>
        </w:rPr>
        <w:t>，</w:t>
      </w:r>
      <w:r>
        <w:rPr>
          <w:rFonts w:hint="eastAsia" w:ascii="宋体" w:hAnsi="宋体" w:cs="仿宋"/>
          <w:sz w:val="24"/>
          <w:highlight w:val="none"/>
          <w:lang w:val="en-US" w:eastAsia="zh-CN"/>
        </w:rPr>
        <w:t>缴纳形式为以下第</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lang w:val="en-US" w:eastAsia="zh-CN"/>
        </w:rPr>
        <w:t>种</w:t>
      </w:r>
      <w:r>
        <w:rPr>
          <w:rFonts w:hint="eastAsia" w:ascii="宋体" w:hAnsi="宋体" w:cs="仿宋"/>
          <w:sz w:val="24"/>
          <w:highlight w:val="none"/>
          <w:lang w:val="en-US" w:eastAsia="zh-CN"/>
        </w:rPr>
        <w:t>：</w:t>
      </w:r>
    </w:p>
    <w:p>
      <w:pPr>
        <w:spacing w:line="460" w:lineRule="exact"/>
        <w:ind w:firstLine="480"/>
        <w:rPr>
          <w:rFonts w:hint="eastAsia" w:ascii="宋体" w:hAnsi="宋体" w:cs="仿宋"/>
          <w:sz w:val="24"/>
          <w:highlight w:val="none"/>
          <w:lang w:eastAsia="zh-CN"/>
        </w:rPr>
      </w:pPr>
      <w:r>
        <w:rPr>
          <w:rFonts w:hint="eastAsia" w:ascii="宋体" w:hAnsi="宋体" w:eastAsia="宋体" w:cs="宋体"/>
          <w:sz w:val="24"/>
          <w:highlight w:val="none"/>
        </w:rPr>
        <w:t>①</w:t>
      </w:r>
      <w:r>
        <w:rPr>
          <w:rFonts w:hint="eastAsia" w:ascii="宋体" w:hAnsi="宋体" w:eastAsia="宋体" w:cs="宋体"/>
          <w:sz w:val="24"/>
          <w:highlight w:val="none"/>
          <w:lang w:val="en-US" w:eastAsia="zh-CN"/>
        </w:rPr>
        <w:t>以银行转账形式，</w:t>
      </w:r>
      <w:r>
        <w:rPr>
          <w:rFonts w:hint="eastAsia" w:ascii="宋体" w:hAnsi="宋体" w:cs="仿宋"/>
          <w:sz w:val="24"/>
          <w:highlight w:val="none"/>
        </w:rPr>
        <w:t>金额为</w:t>
      </w:r>
      <w:r>
        <w:rPr>
          <w:rFonts w:hint="eastAsia" w:ascii="宋体" w:hAnsi="宋体" w:cs="仿宋"/>
          <w:sz w:val="24"/>
          <w:highlight w:val="none"/>
          <w:u w:val="single"/>
        </w:rPr>
        <w:t xml:space="preserve">                  </w:t>
      </w:r>
      <w:r>
        <w:rPr>
          <w:rFonts w:hint="eastAsia" w:ascii="宋体" w:hAnsi="宋体" w:cs="仿宋"/>
          <w:sz w:val="24"/>
          <w:highlight w:val="none"/>
          <w:lang w:eastAsia="zh-CN"/>
        </w:rPr>
        <w:t>；</w:t>
      </w:r>
    </w:p>
    <w:p>
      <w:pPr>
        <w:spacing w:line="460" w:lineRule="exact"/>
        <w:ind w:firstLine="480"/>
        <w:rPr>
          <w:rFonts w:hint="default" w:ascii="宋体" w:hAnsi="宋体" w:eastAsia="宋体" w:cs="仿宋"/>
          <w:sz w:val="24"/>
          <w:highlight w:val="none"/>
          <w:lang w:val="en-US" w:eastAsia="zh-CN"/>
        </w:rPr>
      </w:pPr>
      <w:r>
        <w:rPr>
          <w:rFonts w:hint="eastAsia" w:ascii="宋体" w:hAnsi="宋体" w:eastAsia="宋体" w:cs="宋体"/>
          <w:sz w:val="24"/>
          <w:highlight w:val="none"/>
        </w:rPr>
        <w:t>②</w:t>
      </w:r>
      <w:r>
        <w:rPr>
          <w:rFonts w:hint="eastAsia" w:ascii="宋体" w:hAnsi="宋体" w:cs="宋体"/>
          <w:sz w:val="24"/>
          <w:highlight w:val="none"/>
          <w:lang w:val="en-US" w:eastAsia="zh-CN"/>
        </w:rPr>
        <w:t>以保函形式，且保函原件已提交至代理机构备案。</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ab/>
      </w:r>
      <w:r>
        <w:rPr>
          <w:rFonts w:hint="eastAsia" w:ascii="宋体" w:hAnsi="宋体" w:cs="仿宋"/>
          <w:sz w:val="24"/>
          <w:highlight w:val="none"/>
        </w:rPr>
        <w:t>据此函，签字代表宣布同意如下：</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rPr>
        <w:t>供应商将按磋商文件的规定履行合同责任和义务；</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rPr>
        <w:t>供应商已详细审查全部磋商文件，包括修改文件（如有的话）以及全部参考资料和有关附件。我们完全理解并同意放弃对这方面有不明及误解的权利；</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lang w:val="en-US" w:eastAsia="zh-CN"/>
        </w:rPr>
      </w:pPr>
      <w:r>
        <w:rPr>
          <w:rFonts w:hint="eastAsia" w:ascii="宋体" w:hAnsi="宋体" w:cs="仿宋"/>
          <w:sz w:val="24"/>
          <w:highlight w:val="none"/>
          <w:lang w:val="en-US" w:eastAsia="zh-CN"/>
        </w:rPr>
        <w:t>磋商有效期为自磋商响应文件递交截止之日起</w:t>
      </w:r>
      <w:r>
        <w:rPr>
          <w:rFonts w:hint="eastAsia" w:ascii="宋体" w:hAnsi="宋体" w:cs="仿宋"/>
          <w:sz w:val="24"/>
          <w:highlight w:val="none"/>
          <w:u w:val="single"/>
          <w:lang w:val="en-US" w:eastAsia="zh-CN"/>
        </w:rPr>
        <w:t xml:space="preserve">      </w:t>
      </w:r>
      <w:r>
        <w:rPr>
          <w:rFonts w:hint="eastAsia" w:ascii="宋体" w:hAnsi="宋体" w:cs="仿宋"/>
          <w:sz w:val="24"/>
          <w:highlight w:val="none"/>
          <w:lang w:val="en-US" w:eastAsia="zh-CN"/>
        </w:rPr>
        <w:t>日历天；</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u w:val="none"/>
        </w:rPr>
      </w:pPr>
      <w:r>
        <w:rPr>
          <w:rFonts w:hint="eastAsia" w:ascii="宋体" w:hAnsi="宋体" w:cs="仿宋"/>
          <w:sz w:val="24"/>
          <w:highlight w:val="none"/>
          <w:lang w:val="en-US" w:eastAsia="zh-CN"/>
        </w:rPr>
        <w:t>质量标准：</w:t>
      </w:r>
      <w:r>
        <w:rPr>
          <w:rFonts w:hint="eastAsia" w:ascii="宋体" w:hAnsi="宋体" w:cs="仿宋"/>
          <w:sz w:val="24"/>
          <w:highlight w:val="none"/>
          <w:u w:val="single"/>
          <w:lang w:val="en-US" w:eastAsia="zh-CN"/>
        </w:rPr>
        <w:t xml:space="preserve">          </w:t>
      </w:r>
      <w:r>
        <w:rPr>
          <w:rFonts w:hint="eastAsia" w:ascii="宋体" w:hAnsi="宋体" w:cs="仿宋"/>
          <w:color w:val="auto"/>
          <w:sz w:val="24"/>
          <w:highlight w:val="none"/>
          <w:u w:val="none"/>
          <w:lang w:val="en-US" w:eastAsia="zh-CN"/>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rPr>
        <w:t>如果在规定的宣读磋商报价时间后，供应商在磋商有效期内撤回磋商报价；或成交后未按磋商文件中磋商须知规定的向采购代理机构</w:t>
      </w:r>
      <w:r>
        <w:rPr>
          <w:rFonts w:hint="eastAsia" w:ascii="宋体" w:hAnsi="宋体" w:cs="仿宋"/>
          <w:sz w:val="24"/>
          <w:highlight w:val="none"/>
          <w:lang w:eastAsia="zh-CN"/>
        </w:rPr>
        <w:t>缴</w:t>
      </w:r>
      <w:r>
        <w:rPr>
          <w:rFonts w:hint="eastAsia" w:ascii="宋体" w:hAnsi="宋体" w:cs="仿宋"/>
          <w:sz w:val="24"/>
          <w:highlight w:val="none"/>
        </w:rPr>
        <w:t>纳足额的招标代理服务费，其</w:t>
      </w:r>
      <w:r>
        <w:rPr>
          <w:rFonts w:hint="eastAsia" w:ascii="宋体" w:hAnsi="宋体" w:cs="仿宋"/>
          <w:sz w:val="24"/>
          <w:highlight w:val="none"/>
          <w:lang w:eastAsia="zh-CN"/>
        </w:rPr>
        <w:t>磋商保证金</w:t>
      </w:r>
      <w:r>
        <w:rPr>
          <w:rFonts w:hint="eastAsia" w:ascii="宋体" w:hAnsi="宋体" w:cs="仿宋"/>
          <w:sz w:val="24"/>
          <w:highlight w:val="none"/>
        </w:rPr>
        <w:t>将被贵方没收；</w:t>
      </w:r>
    </w:p>
    <w:p>
      <w:pPr>
        <w:keepNext w:val="0"/>
        <w:keepLines w:val="0"/>
        <w:pageBreakBefore w:val="0"/>
        <w:widowControl w:val="0"/>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lang w:val="en-US" w:eastAsia="zh-CN"/>
        </w:rPr>
        <w:t>6</w:t>
      </w:r>
      <w:r>
        <w:rPr>
          <w:rFonts w:hint="eastAsia" w:ascii="宋体" w:hAnsi="宋体" w:cs="仿宋"/>
          <w:sz w:val="24"/>
          <w:highlight w:val="none"/>
        </w:rPr>
        <w:t>、 供应商同意提供按照贵方可能要求的与其报价有关的一切数据或资料，完全理解贵方不一定要接受最低价的磋商报价或收到的任何磋商报价。</w:t>
      </w:r>
    </w:p>
    <w:p>
      <w:pPr>
        <w:keepNext w:val="0"/>
        <w:keepLines w:val="0"/>
        <w:pageBreakBefore w:val="0"/>
        <w:widowControl w:val="0"/>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lang w:val="en-US" w:eastAsia="zh-CN"/>
        </w:rPr>
        <w:t>7</w:t>
      </w:r>
      <w:r>
        <w:rPr>
          <w:rFonts w:hint="eastAsia" w:ascii="宋体" w:hAnsi="宋体" w:cs="仿宋"/>
          <w:sz w:val="24"/>
          <w:highlight w:val="none"/>
        </w:rPr>
        <w:t>、与本磋商有关的一切正式往来通讯请寄：</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ab/>
      </w:r>
      <w:r>
        <w:rPr>
          <w:rFonts w:hint="eastAsia" w:ascii="宋体" w:hAnsi="宋体" w:cs="仿宋"/>
          <w:sz w:val="24"/>
          <w:highlight w:val="none"/>
        </w:rPr>
        <w:t>地址：</w:t>
      </w:r>
      <w:r>
        <w:rPr>
          <w:rFonts w:hint="eastAsia" w:ascii="宋体" w:hAnsi="宋体" w:cs="仿宋"/>
          <w:sz w:val="24"/>
          <w:highlight w:val="none"/>
          <w:u w:val="single"/>
        </w:rPr>
        <w:t xml:space="preserve">                  </w:t>
      </w:r>
      <w:r>
        <w:rPr>
          <w:rFonts w:hint="eastAsia" w:ascii="宋体" w:hAnsi="宋体" w:cs="仿宋"/>
          <w:sz w:val="24"/>
          <w:highlight w:val="none"/>
        </w:rPr>
        <w:t xml:space="preserve"> 邮编：</w:t>
      </w:r>
      <w:r>
        <w:rPr>
          <w:rFonts w:hint="eastAsia" w:ascii="宋体" w:hAnsi="宋体" w:cs="仿宋"/>
          <w:sz w:val="24"/>
          <w:highlight w:val="none"/>
          <w:u w:val="single"/>
        </w:rPr>
        <w:t xml:space="preserve">                       </w:t>
      </w:r>
      <w:r>
        <w:rPr>
          <w:rFonts w:hint="eastAsia" w:ascii="宋体" w:hAnsi="宋体" w:cs="仿宋"/>
          <w:color w:val="FFFFFF"/>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ab/>
      </w:r>
      <w:r>
        <w:rPr>
          <w:rFonts w:hint="eastAsia" w:ascii="宋体" w:hAnsi="宋体" w:cs="仿宋"/>
          <w:sz w:val="24"/>
          <w:highlight w:val="none"/>
        </w:rPr>
        <w:t>电话：</w:t>
      </w:r>
      <w:r>
        <w:rPr>
          <w:rFonts w:hint="eastAsia" w:ascii="宋体" w:hAnsi="宋体" w:cs="仿宋"/>
          <w:sz w:val="24"/>
          <w:highlight w:val="none"/>
          <w:u w:val="single"/>
        </w:rPr>
        <w:t xml:space="preserve">                  </w:t>
      </w:r>
      <w:r>
        <w:rPr>
          <w:rFonts w:hint="eastAsia" w:ascii="宋体" w:hAnsi="宋体" w:cs="仿宋"/>
          <w:sz w:val="24"/>
          <w:highlight w:val="none"/>
        </w:rPr>
        <w:t xml:space="preserve"> 传真：</w:t>
      </w:r>
      <w:r>
        <w:rPr>
          <w:rFonts w:hint="eastAsia" w:ascii="宋体" w:hAnsi="宋体" w:cs="仿宋"/>
          <w:sz w:val="24"/>
          <w:highlight w:val="none"/>
          <w:u w:val="single"/>
        </w:rPr>
        <w:t xml:space="preserve">                       </w:t>
      </w:r>
      <w:r>
        <w:rPr>
          <w:rFonts w:hint="eastAsia" w:ascii="宋体" w:hAnsi="宋体" w:cs="仿宋"/>
          <w:color w:val="FFFFFF"/>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56" w:lineRule="exact"/>
        <w:ind w:right="-161"/>
        <w:textAlignment w:val="auto"/>
        <w:outlineLvl w:val="9"/>
        <w:rPr>
          <w:rFonts w:hint="eastAsia" w:ascii="宋体" w:hAnsi="宋体" w:cs="仿宋"/>
          <w:sz w:val="24"/>
          <w:highlight w:val="none"/>
        </w:rPr>
      </w:pPr>
      <w:r>
        <w:rPr>
          <w:rFonts w:hint="eastAsia" w:ascii="宋体" w:hAnsi="宋体" w:cs="仿宋"/>
          <w:sz w:val="24"/>
          <w:highlight w:val="none"/>
        </w:rPr>
        <w:br w:type="textWrapping"/>
      </w:r>
      <w:r>
        <w:rPr>
          <w:rFonts w:hint="eastAsia" w:ascii="宋体" w:hAnsi="宋体" w:cs="仿宋"/>
          <w:sz w:val="24"/>
          <w:highlight w:val="none"/>
        </w:rPr>
        <w:tab/>
      </w:r>
      <w:bookmarkStart w:id="1076" w:name="OLE_LINK50"/>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u w:val="none"/>
          <w:lang w:eastAsia="zh-CN"/>
        </w:rPr>
      </w:pPr>
      <w:r>
        <w:rPr>
          <w:rFonts w:hint="eastAsia" w:ascii="宋体" w:hAnsi="宋体" w:cs="仿宋"/>
          <w:sz w:val="24"/>
          <w:highlight w:val="none"/>
        </w:rPr>
        <w:t>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bookmarkEnd w:id="1076"/>
      <w:bookmarkStart w:id="1077" w:name="_Toc2261"/>
    </w:p>
    <w:p>
      <w:pPr>
        <w:pStyle w:val="2"/>
        <w:outlineLvl w:val="9"/>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adjustRightInd w:val="0"/>
        <w:spacing w:line="480" w:lineRule="auto"/>
        <w:jc w:val="center"/>
        <w:textAlignment w:val="baseline"/>
        <w:outlineLvl w:val="9"/>
        <w:rPr>
          <w:rFonts w:hint="eastAsia" w:ascii="宋体" w:hAnsi="宋体" w:cs="仿宋"/>
          <w:b/>
          <w:bCs/>
          <w:sz w:val="32"/>
          <w:szCs w:val="32"/>
          <w:highlight w:val="none"/>
        </w:rPr>
      </w:pPr>
    </w:p>
    <w:p>
      <w:pPr>
        <w:adjustRightInd w:val="0"/>
        <w:spacing w:line="480" w:lineRule="auto"/>
        <w:jc w:val="center"/>
        <w:textAlignment w:val="baseline"/>
        <w:outlineLvl w:val="9"/>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 xml:space="preserve"> </w:t>
      </w:r>
      <w:bookmarkStart w:id="1078" w:name="OLE_LINK42"/>
      <w:r>
        <w:rPr>
          <w:rFonts w:hint="eastAsia" w:ascii="宋体" w:hAnsi="宋体" w:cs="仿宋"/>
          <w:b/>
          <w:bCs/>
          <w:color w:val="auto"/>
          <w:sz w:val="32"/>
          <w:szCs w:val="32"/>
          <w:highlight w:val="none"/>
        </w:rPr>
        <w:t>磋商报价表</w:t>
      </w:r>
      <w:bookmarkEnd w:id="1077"/>
    </w:p>
    <w:bookmarkEnd w:id="1078"/>
    <w:tbl>
      <w:tblPr>
        <w:tblStyle w:val="24"/>
        <w:tblW w:w="0" w:type="auto"/>
        <w:tblInd w:w="43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0"/>
        <w:gridCol w:w="678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2010" w:type="dxa"/>
            <w:tcBorders>
              <w:bottom w:val="single" w:color="auto" w:sz="4" w:space="0"/>
            </w:tcBorders>
            <w:noWrap w:val="0"/>
            <w:vAlign w:val="bottom"/>
          </w:tcPr>
          <w:p>
            <w:pPr>
              <w:spacing w:line="480" w:lineRule="auto"/>
              <w:jc w:val="center"/>
              <w:outlineLvl w:val="9"/>
              <w:rPr>
                <w:rFonts w:hint="eastAsia" w:ascii="宋体" w:hAnsi="宋体" w:cs="仿宋"/>
                <w:caps/>
                <w:sz w:val="24"/>
                <w:highlight w:val="none"/>
              </w:rPr>
            </w:pPr>
            <w:bookmarkStart w:id="1079" w:name="_Toc492955464"/>
            <w:bookmarkStart w:id="1080" w:name="_Toc497711590"/>
            <w:bookmarkStart w:id="1081" w:name="_Toc389620245"/>
            <w:bookmarkStart w:id="1082" w:name="_Toc246928964"/>
            <w:bookmarkStart w:id="1083" w:name="_Toc497712138"/>
            <w:bookmarkStart w:id="1084" w:name="_Toc497546923"/>
            <w:bookmarkStart w:id="1085" w:name="_Hlt491766443"/>
            <w:bookmarkStart w:id="1086" w:name="_Toc385992405"/>
            <w:bookmarkStart w:id="1087" w:name="_Toc497551825"/>
            <w:r>
              <w:rPr>
                <w:rFonts w:hint="eastAsia" w:ascii="宋体" w:hAnsi="宋体" w:cs="仿宋"/>
                <w:sz w:val="24"/>
                <w:highlight w:val="none"/>
              </w:rPr>
              <w:t>采购</w:t>
            </w:r>
            <w:r>
              <w:rPr>
                <w:rFonts w:hint="eastAsia" w:ascii="宋体" w:hAnsi="宋体" w:cs="仿宋"/>
                <w:sz w:val="24"/>
                <w:highlight w:val="none"/>
                <w:lang w:val="en-US" w:eastAsia="zh-CN"/>
              </w:rPr>
              <w:t>项目名称</w:t>
            </w:r>
          </w:p>
        </w:tc>
        <w:tc>
          <w:tcPr>
            <w:tcW w:w="6780" w:type="dxa"/>
            <w:noWrap w:val="0"/>
            <w:vAlign w:val="center"/>
          </w:tcPr>
          <w:p>
            <w:pPr>
              <w:spacing w:line="480" w:lineRule="auto"/>
              <w:jc w:val="center"/>
              <w:outlineLvl w:val="9"/>
              <w:rPr>
                <w:rFonts w:hint="eastAsia" w:ascii="宋体" w:hAnsi="宋体" w:cs="仿宋"/>
                <w:caps/>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010" w:type="dxa"/>
            <w:tcBorders>
              <w:bottom w:val="single" w:color="auto" w:sz="4" w:space="0"/>
            </w:tcBorders>
            <w:noWrap w:val="0"/>
            <w:vAlign w:val="bottom"/>
          </w:tcPr>
          <w:p>
            <w:pPr>
              <w:spacing w:line="480" w:lineRule="auto"/>
              <w:jc w:val="center"/>
              <w:outlineLvl w:val="9"/>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项目编号</w:t>
            </w:r>
          </w:p>
        </w:tc>
        <w:tc>
          <w:tcPr>
            <w:tcW w:w="6780" w:type="dxa"/>
            <w:tcBorders>
              <w:bottom w:val="single" w:color="auto" w:sz="4" w:space="0"/>
            </w:tcBorders>
            <w:noWrap w:val="0"/>
            <w:vAlign w:val="center"/>
          </w:tcPr>
          <w:p>
            <w:pPr>
              <w:spacing w:line="480" w:lineRule="auto"/>
              <w:jc w:val="center"/>
              <w:outlineLvl w:val="9"/>
              <w:rPr>
                <w:rFonts w:hint="eastAsia" w:ascii="宋体" w:hAnsi="宋体" w:cs="仿宋"/>
                <w:caps/>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pPr>
              <w:spacing w:line="480" w:lineRule="auto"/>
              <w:jc w:val="center"/>
              <w:outlineLvl w:val="9"/>
              <w:rPr>
                <w:rFonts w:hint="eastAsia" w:ascii="宋体" w:hAnsi="宋体" w:eastAsia="宋体" w:cs="仿宋"/>
                <w:sz w:val="24"/>
                <w:highlight w:val="none"/>
                <w:lang w:val="en-US" w:eastAsia="zh-CN"/>
              </w:rPr>
            </w:pPr>
            <w:r>
              <w:rPr>
                <w:rFonts w:hint="eastAsia" w:ascii="宋体" w:hAnsi="宋体" w:cs="仿宋"/>
                <w:sz w:val="24"/>
                <w:highlight w:val="none"/>
              </w:rPr>
              <w:t>供应商</w:t>
            </w:r>
            <w:r>
              <w:rPr>
                <w:rFonts w:hint="eastAsia" w:ascii="宋体" w:hAnsi="宋体" w:cs="仿宋"/>
                <w:sz w:val="24"/>
                <w:highlight w:val="none"/>
                <w:lang w:val="en-US" w:eastAsia="zh-CN"/>
              </w:rPr>
              <w:t>名称</w:t>
            </w:r>
          </w:p>
        </w:tc>
        <w:tc>
          <w:tcPr>
            <w:tcW w:w="6780" w:type="dxa"/>
            <w:noWrap w:val="0"/>
            <w:vAlign w:val="center"/>
          </w:tcPr>
          <w:p>
            <w:pPr>
              <w:spacing w:line="480" w:lineRule="auto"/>
              <w:jc w:val="center"/>
              <w:outlineLvl w:val="9"/>
              <w:rPr>
                <w:rFonts w:hint="eastAsia" w:ascii="宋体" w:hAnsi="宋体" w:cs="仿宋"/>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pPr>
              <w:spacing w:line="480" w:lineRule="auto"/>
              <w:jc w:val="center"/>
              <w:outlineLvl w:val="9"/>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项目经理</w:t>
            </w:r>
          </w:p>
        </w:tc>
        <w:tc>
          <w:tcPr>
            <w:tcW w:w="6780" w:type="dxa"/>
            <w:noWrap w:val="0"/>
            <w:vAlign w:val="center"/>
          </w:tcPr>
          <w:p>
            <w:pPr>
              <w:spacing w:line="480" w:lineRule="auto"/>
              <w:jc w:val="center"/>
              <w:outlineLvl w:val="9"/>
              <w:rPr>
                <w:rFonts w:hint="eastAsia" w:ascii="宋体" w:hAnsi="宋体" w:cs="仿宋"/>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pPr>
              <w:spacing w:line="480" w:lineRule="auto"/>
              <w:jc w:val="center"/>
              <w:outlineLvl w:val="9"/>
              <w:rPr>
                <w:rFonts w:hint="eastAsia" w:ascii="宋体" w:hAnsi="宋体" w:cs="仿宋"/>
                <w:sz w:val="24"/>
                <w:highlight w:val="none"/>
                <w:lang w:val="en-US" w:eastAsia="zh-CN"/>
              </w:rPr>
            </w:pPr>
            <w:r>
              <w:rPr>
                <w:rFonts w:hint="eastAsia" w:ascii="宋体" w:hAnsi="宋体" w:cs="仿宋"/>
                <w:sz w:val="24"/>
                <w:highlight w:val="none"/>
                <w:lang w:val="en-US" w:eastAsia="zh-CN"/>
              </w:rPr>
              <w:t>质量标准</w:t>
            </w:r>
          </w:p>
        </w:tc>
        <w:tc>
          <w:tcPr>
            <w:tcW w:w="6780" w:type="dxa"/>
            <w:noWrap w:val="0"/>
            <w:vAlign w:val="center"/>
          </w:tcPr>
          <w:p>
            <w:pPr>
              <w:spacing w:line="480" w:lineRule="auto"/>
              <w:jc w:val="center"/>
              <w:outlineLvl w:val="9"/>
              <w:rPr>
                <w:rFonts w:hint="eastAsia" w:ascii="宋体" w:hAnsi="宋体" w:cs="仿宋"/>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center"/>
          </w:tcPr>
          <w:p>
            <w:pPr>
              <w:spacing w:line="480" w:lineRule="auto"/>
              <w:jc w:val="center"/>
              <w:outlineLvl w:val="9"/>
              <w:rPr>
                <w:rFonts w:hint="eastAsia" w:ascii="宋体" w:hAnsi="宋体" w:cs="仿宋"/>
                <w:sz w:val="24"/>
                <w:highlight w:val="none"/>
              </w:rPr>
            </w:pPr>
            <w:r>
              <w:rPr>
                <w:rFonts w:hint="eastAsia" w:ascii="宋体" w:hAnsi="宋体" w:cs="仿宋"/>
                <w:sz w:val="24"/>
                <w:highlight w:val="none"/>
              </w:rPr>
              <w:t>磋商报价（元）</w:t>
            </w:r>
          </w:p>
        </w:tc>
        <w:tc>
          <w:tcPr>
            <w:tcW w:w="6780" w:type="dxa"/>
            <w:noWrap w:val="0"/>
            <w:vAlign w:val="center"/>
          </w:tcPr>
          <w:p>
            <w:pPr>
              <w:spacing w:before="100" w:beforeAutospacing="1" w:after="100" w:afterAutospacing="1" w:line="480" w:lineRule="auto"/>
              <w:jc w:val="left"/>
              <w:outlineLvl w:val="9"/>
              <w:rPr>
                <w:rFonts w:hint="eastAsia" w:ascii="宋体" w:hAnsi="宋体" w:cs="仿宋"/>
                <w:sz w:val="24"/>
                <w:highlight w:val="none"/>
              </w:rPr>
            </w:pPr>
            <w:r>
              <w:rPr>
                <w:rFonts w:hint="eastAsia" w:ascii="宋体" w:hAnsi="宋体" w:cs="仿宋"/>
                <w:sz w:val="24"/>
                <w:highlight w:val="none"/>
              </w:rPr>
              <w:t>大写：</w:t>
            </w:r>
          </w:p>
          <w:p>
            <w:pPr>
              <w:spacing w:before="100" w:beforeAutospacing="1" w:after="100" w:afterAutospacing="1" w:line="480" w:lineRule="auto"/>
              <w:jc w:val="left"/>
              <w:outlineLvl w:val="9"/>
              <w:rPr>
                <w:rFonts w:hint="eastAsia" w:ascii="宋体" w:hAnsi="宋体" w:cs="仿宋"/>
                <w:sz w:val="24"/>
                <w:highlight w:val="none"/>
              </w:rPr>
            </w:pPr>
            <w:r>
              <w:rPr>
                <w:rFonts w:hint="eastAsia" w:ascii="宋体" w:hAnsi="宋体" w:cs="仿宋"/>
                <w:sz w:val="24"/>
                <w:highlight w:val="none"/>
              </w:rPr>
              <w:t>小写：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90" w:type="dxa"/>
            <w:gridSpan w:val="2"/>
            <w:noWrap w:val="0"/>
            <w:vAlign w:val="center"/>
          </w:tcPr>
          <w:p>
            <w:pPr>
              <w:spacing w:line="480" w:lineRule="auto"/>
              <w:ind w:firstLine="480" w:firstLineChars="200"/>
              <w:jc w:val="left"/>
              <w:outlineLvl w:val="9"/>
              <w:rPr>
                <w:rFonts w:hint="eastAsia" w:ascii="宋体" w:hAnsi="宋体" w:cs="仿宋"/>
                <w:sz w:val="24"/>
                <w:highlight w:val="none"/>
              </w:rPr>
            </w:pPr>
            <w:r>
              <w:rPr>
                <w:rFonts w:hint="eastAsia" w:ascii="宋体" w:hAnsi="宋体" w:cs="仿宋"/>
                <w:sz w:val="24"/>
                <w:highlight w:val="none"/>
                <w:lang w:val="en-US" w:eastAsia="zh-CN"/>
              </w:rPr>
              <w:t>工  期</w:t>
            </w:r>
            <w:r>
              <w:rPr>
                <w:rFonts w:hint="eastAsia" w:ascii="宋体" w:hAnsi="宋体" w:cs="仿宋"/>
                <w:sz w:val="24"/>
                <w:highlight w:val="none"/>
              </w:rPr>
              <w:t>：</w:t>
            </w:r>
          </w:p>
        </w:tc>
      </w:tr>
    </w:tbl>
    <w:p>
      <w:pPr>
        <w:numPr>
          <w:ilvl w:val="0"/>
          <w:numId w:val="0"/>
        </w:numPr>
        <w:kinsoku w:val="0"/>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ascii="宋体" w:hAnsi="宋体" w:cs="宋体"/>
          <w:b/>
          <w:bCs/>
          <w:kern w:val="0"/>
          <w:sz w:val="24"/>
          <w:highlight w:val="none"/>
          <w:lang w:bidi="ar"/>
        </w:rPr>
        <w:t>注：</w:t>
      </w:r>
      <w:r>
        <w:rPr>
          <w:rFonts w:hint="eastAsia" w:ascii="宋体" w:hAnsi="宋体" w:eastAsia="宋体" w:cs="宋体"/>
          <w:sz w:val="24"/>
          <w:szCs w:val="24"/>
          <w:highlight w:val="none"/>
        </w:rPr>
        <w:t>1.表内报价内容以元为单位，精确到小数点后两位</w:t>
      </w:r>
      <w:r>
        <w:rPr>
          <w:rFonts w:hint="eastAsia" w:ascii="宋体" w:hAnsi="宋体" w:eastAsia="宋体" w:cs="宋体"/>
          <w:sz w:val="24"/>
          <w:szCs w:val="24"/>
          <w:highlight w:val="none"/>
          <w:lang w:eastAsia="zh-CN"/>
        </w:rPr>
        <w:t>（四舍五入）</w:t>
      </w:r>
      <w:r>
        <w:rPr>
          <w:rFonts w:hint="eastAsia" w:ascii="宋体" w:hAnsi="宋体" w:eastAsia="宋体" w:cs="宋体"/>
          <w:sz w:val="24"/>
          <w:szCs w:val="24"/>
          <w:highlight w:val="none"/>
        </w:rPr>
        <w:t>；</w:t>
      </w:r>
    </w:p>
    <w:p>
      <w:pPr>
        <w:spacing w:line="380" w:lineRule="exact"/>
        <w:ind w:left="2" w:firstLine="960" w:firstLineChars="400"/>
        <w:outlineLvl w:val="9"/>
        <w:rPr>
          <w:rFonts w:hint="eastAsia" w:ascii="宋体" w:hAnsi="宋体" w:cs="宋体"/>
          <w:color w:val="000000"/>
          <w:sz w:val="24"/>
          <w:highlight w:val="none"/>
          <w:lang w:val="zh-CN"/>
        </w:rPr>
      </w:pPr>
      <w:r>
        <w:rPr>
          <w:rFonts w:hint="eastAsia" w:ascii="宋体" w:hAnsi="宋体" w:cs="宋体"/>
          <w:sz w:val="24"/>
          <w:szCs w:val="24"/>
          <w:highlight w:val="none"/>
          <w:lang w:val="en-US" w:eastAsia="zh-CN"/>
        </w:rPr>
        <w:t>2.报价应包含供应商需缴纳的</w:t>
      </w:r>
      <w:r>
        <w:rPr>
          <w:rFonts w:hint="eastAsia" w:ascii="宋体" w:hAnsi="宋体" w:eastAsia="宋体" w:cs="宋体"/>
          <w:sz w:val="24"/>
          <w:szCs w:val="24"/>
          <w:highlight w:val="none"/>
          <w:lang w:val="zh-CN"/>
        </w:rPr>
        <w:t>所有费用</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含税费</w:t>
      </w:r>
      <w:r>
        <w:rPr>
          <w:rFonts w:hint="eastAsia" w:ascii="宋体" w:hAnsi="宋体" w:cs="宋体"/>
          <w:sz w:val="24"/>
          <w:szCs w:val="24"/>
          <w:highlight w:val="none"/>
          <w:lang w:val="zh-CN"/>
        </w:rPr>
        <w:t>）</w:t>
      </w:r>
      <w:r>
        <w:rPr>
          <w:rFonts w:hint="eastAsia" w:ascii="宋体" w:hAnsi="宋体" w:cs="宋体"/>
          <w:sz w:val="24"/>
          <w:szCs w:val="24"/>
          <w:highlight w:val="none"/>
          <w:lang w:eastAsia="zh-CN"/>
        </w:rPr>
        <w:t>。</w:t>
      </w:r>
    </w:p>
    <w:p>
      <w:pPr>
        <w:spacing w:line="480" w:lineRule="auto"/>
        <w:ind w:right="-161"/>
        <w:outlineLvl w:val="9"/>
        <w:rPr>
          <w:rFonts w:hint="eastAsia" w:ascii="宋体" w:hAnsi="宋体" w:cs="仿宋"/>
          <w:sz w:val="28"/>
          <w:szCs w:val="28"/>
          <w:highlight w:val="none"/>
        </w:rPr>
      </w:pPr>
      <w:r>
        <w:rPr>
          <w:rFonts w:hint="eastAsia" w:ascii="宋体" w:hAnsi="宋体" w:cs="仿宋"/>
          <w:sz w:val="28"/>
          <w:szCs w:val="28"/>
          <w:highlight w:val="none"/>
        </w:rPr>
        <w:t xml:space="preserve">            </w:t>
      </w:r>
    </w:p>
    <w:p>
      <w:pPr>
        <w:spacing w:line="480" w:lineRule="auto"/>
        <w:ind w:right="-161"/>
        <w:outlineLvl w:val="9"/>
        <w:rPr>
          <w:rFonts w:hint="eastAsia" w:ascii="宋体" w:hAnsi="宋体" w:cs="仿宋"/>
          <w:sz w:val="28"/>
          <w:szCs w:val="28"/>
          <w:highlight w:val="none"/>
        </w:rPr>
      </w:pPr>
    </w:p>
    <w:p>
      <w:pPr>
        <w:spacing w:line="480" w:lineRule="auto"/>
        <w:ind w:right="-161"/>
        <w:outlineLvl w:val="9"/>
        <w:rPr>
          <w:rFonts w:hint="eastAsia" w:ascii="宋体" w:hAnsi="宋体" w:cs="仿宋"/>
          <w:sz w:val="24"/>
          <w:highlight w:val="none"/>
          <w:u w:val="single"/>
        </w:rPr>
      </w:pPr>
      <w:r>
        <w:rPr>
          <w:rFonts w:hint="eastAsia" w:ascii="宋体" w:hAnsi="宋体" w:cs="仿宋"/>
          <w:sz w:val="28"/>
          <w:szCs w:val="28"/>
          <w:highlight w:val="none"/>
        </w:rPr>
        <w:t xml:space="preserve">          </w:t>
      </w:r>
      <w:r>
        <w:rPr>
          <w:rFonts w:hint="eastAsia" w:ascii="宋体" w:hAnsi="宋体" w:cs="仿宋"/>
          <w:sz w:val="24"/>
          <w:highlight w:val="none"/>
        </w:rPr>
        <w:t xml:space="preserve"> </w:t>
      </w:r>
    </w:p>
    <w:p>
      <w:pPr>
        <w:spacing w:line="480" w:lineRule="auto"/>
        <w:ind w:right="-161"/>
        <w:outlineLvl w:val="9"/>
        <w:rPr>
          <w:rFonts w:hint="eastAsia"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spacing w:line="480" w:lineRule="auto"/>
        <w:ind w:firstLine="1680" w:firstLineChars="700"/>
        <w:outlineLvl w:val="9"/>
        <w:rPr>
          <w:rFonts w:hint="eastAsia" w:ascii="宋体" w:hAnsi="宋体" w:cs="仿宋"/>
          <w:sz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outlineLvl w:val="9"/>
        <w:rPr>
          <w:rFonts w:hint="eastAsia" w:ascii="宋体" w:hAnsi="宋体" w:cs="仿宋"/>
          <w:sz w:val="28"/>
          <w:szCs w:val="28"/>
          <w:highlight w:val="none"/>
          <w:u w:val="single"/>
        </w:rPr>
      </w:pPr>
    </w:p>
    <w:bookmarkEnd w:id="1079"/>
    <w:bookmarkEnd w:id="1080"/>
    <w:bookmarkEnd w:id="1081"/>
    <w:bookmarkEnd w:id="1082"/>
    <w:bookmarkEnd w:id="1083"/>
    <w:bookmarkEnd w:id="1084"/>
    <w:bookmarkEnd w:id="1085"/>
    <w:bookmarkEnd w:id="1086"/>
    <w:bookmarkEnd w:id="1087"/>
    <w:p>
      <w:pPr>
        <w:spacing w:line="360" w:lineRule="auto"/>
        <w:outlineLvl w:val="9"/>
        <w:rPr>
          <w:rFonts w:hint="eastAsia" w:ascii="宋体" w:hAnsi="宋体" w:cs="仿宋"/>
          <w:sz w:val="28"/>
          <w:szCs w:val="28"/>
          <w:highlight w:val="none"/>
        </w:rPr>
      </w:pPr>
      <w:bookmarkStart w:id="1088" w:name="_Toc323734129"/>
    </w:p>
    <w:bookmarkEnd w:id="1088"/>
    <w:p>
      <w:pPr>
        <w:numPr>
          <w:ilvl w:val="0"/>
          <w:numId w:val="0"/>
        </w:numPr>
        <w:spacing w:line="360" w:lineRule="auto"/>
        <w:jc w:val="center"/>
        <w:outlineLvl w:val="9"/>
        <w:rPr>
          <w:rFonts w:hint="eastAsia"/>
          <w:highlight w:val="none"/>
        </w:rPr>
      </w:pPr>
      <w:r>
        <w:rPr>
          <w:rFonts w:hint="eastAsia" w:ascii="宋体" w:hAnsi="宋体" w:cs="仿宋"/>
          <w:b/>
          <w:sz w:val="30"/>
          <w:szCs w:val="30"/>
          <w:highlight w:val="none"/>
          <w:lang w:val="en-US" w:eastAsia="zh-CN"/>
        </w:rPr>
        <w:t>五、</w:t>
      </w:r>
      <w:r>
        <w:rPr>
          <w:rFonts w:hint="eastAsia" w:ascii="宋体" w:hAnsi="宋体" w:cs="仿宋"/>
          <w:b/>
          <w:sz w:val="30"/>
          <w:szCs w:val="30"/>
          <w:highlight w:val="none"/>
        </w:rPr>
        <w:t>资格审查资料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（1）具有独立承担民事责任能力的法人、其他组织或自然人，提供合法有效年报合格的统一社会信用代码营业执照或事业单位法人证书等国家规定的相关证明，自然人参与的提供其身份证明；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（2）提供法定代表人授权委托书原件（附法定代表人、被授权人身份证复印件）及被授权人身份证原件（法定代表人参会只须提供其身份证原件）；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（3）须具备水利水电工程施工总承包三级及以上资质；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（4）须具有建设行政主管部门核发有效的安全生产许可证；</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（5）拟派项目经理须具备水利水电工程注册建造师二级及以上资格和有效的安全生产考核证书，须提供项目经理无在建工程的相关证明材料或承诺书；</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（6）须提供2022年度经审计的财务报告（成立时间至提交磋商响应文件截止时间不足一年的可提供成立后任意时段的财务报表）；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（7）须提供依法缴纳税收的良好记录（提供磋商响应文件递交截止时间前六个月内任意一个月份的缴纳凭据复印件并加盖单位公章。依法免税或开标前一年内零申报的供应商应提供相关证明文件）；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（8）须提供依法缴纳社会保障资金的良好记录（提供磋商响应文件递交截止时间前六个月内任意一个月份的缴纳凭据复印件并加盖单位公章。依法不需要缴纳社会保障资金的供应商应提供相关证明文件）；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投标截止日前不得为“信用中国”网站（www.creditchina.gov.cn）中列入失信被执行人、重大税收违法失信主体和政府采购严重违法失信行为记录名单中的供应商；不得为“中国政府采购网”（www.ccgp.gov.cn）政府采购严重违法失信行为信息记录中被财政部门禁止参加政府采购活动的供应商（最终以采购代理机构评审现场查询结果为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（10）提供近三年内在经营活动中无重大违法记录的书面声明；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（11）提供磋商保证金转账凭证和基本存款账户信息证明资料复印件并加盖单位公章或金融机构、担保机构出具的保函复印件；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（12）提供单位负责人为同一人或者存在直接控股、管理关系的不同供应商，不得参加同一合同项下的政府采购活动的书面声明；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（13）提供具有履行本合同所必需的设备和专业技术能力的说明及承诺；</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ascii="宋体" w:hAnsi="宋体" w:eastAsia="宋体" w:cs="宋体"/>
          <w:kern w:val="0"/>
          <w:sz w:val="24"/>
          <w:highlight w:val="none"/>
          <w:lang w:val="en-US" w:eastAsia="zh-CN"/>
        </w:rPr>
      </w:pPr>
      <w:r>
        <w:rPr>
          <w:rFonts w:hint="eastAsia" w:ascii="宋体" w:hAnsi="宋体" w:eastAsia="宋体" w:cs="宋体"/>
          <w:i w:val="0"/>
          <w:iCs w:val="0"/>
          <w:caps w:val="0"/>
          <w:color w:val="auto"/>
          <w:spacing w:val="0"/>
          <w:sz w:val="24"/>
          <w:szCs w:val="24"/>
          <w:shd w:val="clear" w:fill="FFFFFF"/>
        </w:rPr>
        <w:t>（14）本项目专门面向中小企业采购，供应商须提供《中小企业声明函》</w:t>
      </w:r>
      <w:r>
        <w:rPr>
          <w:rFonts w:hint="eastAsia" w:cs="宋体"/>
          <w:kern w:val="0"/>
          <w:sz w:val="24"/>
          <w:highlight w:val="none"/>
          <w:lang w:val="en-US" w:eastAsia="zh-CN"/>
        </w:rPr>
        <w:t>。</w:t>
      </w:r>
      <w:r>
        <w:rPr>
          <w:rFonts w:hint="eastAsia" w:ascii="宋体" w:hAnsi="宋体" w:eastAsia="宋体" w:cs="宋体"/>
          <w:kern w:val="0"/>
          <w:sz w:val="24"/>
          <w:highlight w:val="none"/>
          <w:lang w:val="en-US" w:eastAsia="zh-CN"/>
        </w:rPr>
        <w:t xml:space="preserve">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ascii="宋体" w:hAnsi="宋体"/>
          <w:b/>
          <w:bCs/>
          <w:sz w:val="24"/>
          <w:highlight w:val="none"/>
        </w:rPr>
      </w:pPr>
      <w:r>
        <w:rPr>
          <w:rFonts w:hint="eastAsia" w:ascii="宋体" w:hAnsi="宋体"/>
          <w:b/>
          <w:bCs/>
          <w:sz w:val="24"/>
          <w:highlight w:val="none"/>
        </w:rPr>
        <w:t>注：磋商</w:t>
      </w:r>
      <w:r>
        <w:rPr>
          <w:rFonts w:hint="eastAsia" w:ascii="宋体" w:hAnsi="宋体"/>
          <w:b/>
          <w:bCs/>
          <w:sz w:val="24"/>
          <w:highlight w:val="none"/>
          <w:lang w:eastAsia="zh-CN"/>
        </w:rPr>
        <w:t>响应</w:t>
      </w:r>
      <w:r>
        <w:rPr>
          <w:rFonts w:hint="eastAsia" w:ascii="宋体" w:hAnsi="宋体"/>
          <w:b/>
          <w:bCs/>
          <w:sz w:val="24"/>
          <w:highlight w:val="none"/>
        </w:rPr>
        <w:t>文件中附以上</w:t>
      </w:r>
      <w:r>
        <w:rPr>
          <w:rFonts w:hint="eastAsia" w:ascii="宋体" w:hAnsi="宋体"/>
          <w:b/>
          <w:bCs/>
          <w:sz w:val="24"/>
          <w:highlight w:val="none"/>
          <w:lang w:val="en-US" w:eastAsia="zh-CN"/>
        </w:rPr>
        <w:t>资料</w:t>
      </w:r>
      <w:r>
        <w:rPr>
          <w:rFonts w:hint="eastAsia" w:ascii="宋体" w:hAnsi="宋体"/>
          <w:b/>
          <w:bCs/>
          <w:sz w:val="24"/>
          <w:highlight w:val="none"/>
        </w:rPr>
        <w:t>的复印件（或扫描件）并加盖</w:t>
      </w:r>
      <w:r>
        <w:rPr>
          <w:rFonts w:hint="eastAsia" w:ascii="宋体" w:hAnsi="宋体"/>
          <w:b/>
          <w:bCs/>
          <w:sz w:val="24"/>
          <w:highlight w:val="none"/>
          <w:lang w:eastAsia="zh-CN"/>
        </w:rPr>
        <w:t>公</w:t>
      </w:r>
      <w:r>
        <w:rPr>
          <w:rFonts w:hint="eastAsia" w:ascii="宋体" w:hAnsi="宋体"/>
          <w:b/>
          <w:bCs/>
          <w:sz w:val="24"/>
          <w:highlight w:val="none"/>
        </w:rPr>
        <w:t>章。</w:t>
      </w:r>
    </w:p>
    <w:p>
      <w:pPr>
        <w:pStyle w:val="2"/>
      </w:pPr>
    </w:p>
    <w:p>
      <w:pPr>
        <w:spacing w:line="360" w:lineRule="auto"/>
        <w:jc w:val="left"/>
        <w:outlineLvl w:val="9"/>
        <w:rPr>
          <w:rFonts w:hint="eastAsia" w:ascii="宋体" w:hAnsi="宋体"/>
          <w:b/>
          <w:bCs/>
          <w:kern w:val="2"/>
          <w:sz w:val="32"/>
          <w:szCs w:val="32"/>
          <w:highlight w:val="none"/>
          <w:lang w:val="en-US" w:eastAsia="zh-CN" w:bidi="ar-SA"/>
        </w:rPr>
      </w:pPr>
      <w:r>
        <w:rPr>
          <w:rFonts w:hint="eastAsia" w:ascii="宋体" w:hAnsi="宋体"/>
          <w:b w:val="0"/>
          <w:bCs w:val="0"/>
          <w:kern w:val="2"/>
          <w:sz w:val="32"/>
          <w:szCs w:val="32"/>
          <w:highlight w:val="none"/>
          <w:lang w:val="en-US" w:eastAsia="zh-CN" w:bidi="ar-SA"/>
        </w:rPr>
        <w:t>格式1：</w:t>
      </w:r>
    </w:p>
    <w:p>
      <w:pPr>
        <w:spacing w:line="360" w:lineRule="auto"/>
        <w:jc w:val="center"/>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近三年内在经营活动中无重大违法记录的书面声明</w:t>
      </w:r>
    </w:p>
    <w:p>
      <w:pPr>
        <w:outlineLvl w:val="9"/>
        <w:rPr>
          <w:rFonts w:hint="eastAsia"/>
          <w:highlight w:val="none"/>
        </w:rPr>
      </w:pPr>
    </w:p>
    <w:p>
      <w:pPr>
        <w:spacing w:line="360" w:lineRule="auto"/>
        <w:outlineLvl w:val="9"/>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（采购人名称）：</w:t>
      </w:r>
    </w:p>
    <w:p>
      <w:pPr>
        <w:widowControl/>
        <w:spacing w:line="700" w:lineRule="exact"/>
        <w:ind w:firstLine="480"/>
        <w:jc w:val="left"/>
        <w:outlineLvl w:val="9"/>
        <w:rPr>
          <w:rFonts w:hint="eastAsia" w:ascii="宋体" w:hAnsi="宋体"/>
          <w:sz w:val="24"/>
          <w:highlight w:val="none"/>
        </w:rPr>
      </w:pPr>
      <w:r>
        <w:rPr>
          <w:rFonts w:hint="eastAsia" w:ascii="宋体" w:hAnsi="宋体"/>
          <w:sz w:val="24"/>
          <w:highlight w:val="none"/>
        </w:rPr>
        <w:t>我方参加贵单位</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项目名称</w:t>
      </w:r>
      <w:r>
        <w:rPr>
          <w:rFonts w:hint="eastAsia" w:ascii="宋体" w:hAnsi="宋体"/>
          <w:sz w:val="24"/>
          <w:highlight w:val="none"/>
        </w:rPr>
        <w:t>）投标的申请，现我方向你方慎重承诺：</w:t>
      </w:r>
    </w:p>
    <w:p>
      <w:pPr>
        <w:widowControl/>
        <w:spacing w:line="700" w:lineRule="exact"/>
        <w:ind w:firstLine="480"/>
        <w:jc w:val="left"/>
        <w:outlineLvl w:val="9"/>
        <w:rPr>
          <w:rFonts w:hint="eastAsia" w:ascii="宋体" w:hAnsi="宋体"/>
          <w:sz w:val="24"/>
          <w:highlight w:val="none"/>
        </w:rPr>
      </w:pPr>
      <w:r>
        <w:rPr>
          <w:rFonts w:hint="eastAsia" w:ascii="宋体" w:hAnsi="宋体"/>
          <w:sz w:val="24"/>
          <w:highlight w:val="none"/>
        </w:rPr>
        <w:t>近三年公司企业财务和经营状况良好，具备履行合同能力，无不良经营行为，无重大违法记录，未处于被责令停业、投标资格被取消或者财产被接管、冻结和破产状态，无因</w:t>
      </w:r>
      <w:r>
        <w:rPr>
          <w:rFonts w:hint="eastAsia" w:ascii="宋体" w:hAnsi="宋体"/>
          <w:sz w:val="24"/>
          <w:highlight w:val="none"/>
          <w:lang w:val="en-US" w:eastAsia="zh-CN"/>
        </w:rPr>
        <w:t>供应商</w:t>
      </w:r>
      <w:r>
        <w:rPr>
          <w:rFonts w:hint="eastAsia" w:ascii="宋体" w:hAnsi="宋体"/>
          <w:sz w:val="24"/>
          <w:highlight w:val="none"/>
        </w:rPr>
        <w:t>违约或不恰当履约引起的合同争议纠纷及仲裁和诉讼记录。如果我方经本工程</w:t>
      </w:r>
      <w:r>
        <w:rPr>
          <w:rFonts w:hint="eastAsia" w:ascii="宋体" w:hAnsi="宋体"/>
          <w:sz w:val="24"/>
          <w:highlight w:val="none"/>
          <w:lang w:eastAsia="zh-CN"/>
        </w:rPr>
        <w:t>磋商小组</w:t>
      </w:r>
      <w:r>
        <w:rPr>
          <w:rFonts w:hint="eastAsia" w:ascii="宋体" w:hAnsi="宋体"/>
          <w:sz w:val="24"/>
          <w:highlight w:val="none"/>
        </w:rPr>
        <w:t>评定为第一成交候选</w:t>
      </w:r>
      <w:r>
        <w:rPr>
          <w:rFonts w:hint="eastAsia" w:ascii="宋体" w:hAnsi="宋体"/>
          <w:sz w:val="24"/>
          <w:highlight w:val="none"/>
          <w:lang w:val="en-US" w:eastAsia="zh-CN"/>
        </w:rPr>
        <w:t>供应商</w:t>
      </w:r>
      <w:r>
        <w:rPr>
          <w:rFonts w:hint="eastAsia" w:ascii="宋体" w:hAnsi="宋体"/>
          <w:sz w:val="24"/>
          <w:highlight w:val="none"/>
        </w:rPr>
        <w:t>，在公示期间被他人举报并经招标投标监管机构核实，确认存在上述不良记录，你方即可取消我方第一成交候选</w:t>
      </w:r>
      <w:r>
        <w:rPr>
          <w:rFonts w:hint="eastAsia" w:ascii="宋体" w:hAnsi="宋体"/>
          <w:sz w:val="24"/>
          <w:highlight w:val="none"/>
          <w:lang w:val="en-US" w:eastAsia="zh-CN"/>
        </w:rPr>
        <w:t>供应商</w:t>
      </w:r>
      <w:r>
        <w:rPr>
          <w:rFonts w:hint="eastAsia" w:ascii="宋体" w:hAnsi="宋体"/>
          <w:sz w:val="24"/>
          <w:highlight w:val="none"/>
        </w:rPr>
        <w:t>资格，并同意</w:t>
      </w:r>
      <w:r>
        <w:rPr>
          <w:rFonts w:hint="eastAsia" w:ascii="宋体" w:hAnsi="宋体"/>
          <w:sz w:val="24"/>
          <w:highlight w:val="none"/>
          <w:lang w:eastAsia="zh-CN"/>
        </w:rPr>
        <w:t>磋商保证金</w:t>
      </w:r>
      <w:r>
        <w:rPr>
          <w:rFonts w:hint="eastAsia" w:ascii="宋体" w:hAnsi="宋体"/>
          <w:sz w:val="24"/>
          <w:highlight w:val="none"/>
        </w:rPr>
        <w:t>不予退还。</w:t>
      </w:r>
    </w:p>
    <w:p>
      <w:pPr>
        <w:spacing w:line="360" w:lineRule="auto"/>
        <w:ind w:firstLine="480"/>
        <w:outlineLvl w:val="9"/>
        <w:rPr>
          <w:rFonts w:hint="eastAsia" w:ascii="宋体" w:hAnsi="宋体"/>
          <w:sz w:val="24"/>
          <w:highlight w:val="none"/>
        </w:rPr>
      </w:pPr>
    </w:p>
    <w:p>
      <w:pPr>
        <w:spacing w:line="360" w:lineRule="auto"/>
        <w:ind w:firstLine="480"/>
        <w:outlineLvl w:val="9"/>
        <w:rPr>
          <w:rFonts w:hint="eastAsia" w:ascii="宋体" w:hAnsi="宋体"/>
          <w:sz w:val="24"/>
          <w:highlight w:val="none"/>
        </w:rPr>
      </w:pPr>
    </w:p>
    <w:p>
      <w:pPr>
        <w:spacing w:line="360" w:lineRule="auto"/>
        <w:ind w:firstLine="480"/>
        <w:outlineLvl w:val="9"/>
        <w:rPr>
          <w:rFonts w:hint="eastAsia" w:ascii="宋体" w:hAnsi="宋体"/>
          <w:sz w:val="24"/>
          <w:highlight w:val="none"/>
        </w:rPr>
      </w:pPr>
    </w:p>
    <w:p>
      <w:pPr>
        <w:spacing w:line="480" w:lineRule="auto"/>
        <w:ind w:right="-161"/>
        <w:outlineLvl w:val="9"/>
        <w:rPr>
          <w:rFonts w:hint="eastAsia" w:ascii="宋体" w:hAnsi="宋体" w:cs="仿宋"/>
          <w:sz w:val="24"/>
          <w:highlight w:val="none"/>
        </w:rPr>
      </w:pPr>
      <w:r>
        <w:rPr>
          <w:rFonts w:hint="eastAsia" w:ascii="宋体" w:hAnsi="宋体"/>
          <w:sz w:val="24"/>
          <w:highlight w:val="none"/>
        </w:rPr>
        <w:t xml:space="preserve">              </w:t>
      </w: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spacing w:line="480" w:lineRule="auto"/>
        <w:ind w:firstLine="1680" w:firstLineChars="700"/>
        <w:outlineLvl w:val="9"/>
        <w:rPr>
          <w:rFonts w:hint="eastAsia" w:ascii="宋体" w:hAnsi="宋体" w:cs="仿宋"/>
          <w:sz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spacing w:line="360" w:lineRule="auto"/>
        <w:ind w:firstLine="480"/>
        <w:outlineLvl w:val="9"/>
        <w:rPr>
          <w:rFonts w:hint="eastAsia" w:ascii="宋体" w:hAnsi="宋体"/>
          <w:sz w:val="24"/>
          <w:highlight w:val="none"/>
        </w:rPr>
      </w:pPr>
    </w:p>
    <w:p>
      <w:pPr>
        <w:outlineLvl w:val="9"/>
        <w:rPr>
          <w:rFonts w:hint="eastAsia"/>
          <w:kern w:val="1"/>
          <w:sz w:val="36"/>
          <w:szCs w:val="36"/>
          <w:highlight w:val="none"/>
        </w:rPr>
      </w:pPr>
    </w:p>
    <w:p>
      <w:pPr>
        <w:pStyle w:val="3"/>
        <w:outlineLvl w:val="9"/>
        <w:rPr>
          <w:rFonts w:hint="eastAsia" w:ascii="宋体" w:hAnsi="宋体" w:eastAsia="宋体" w:cs="宋体"/>
          <w:b w:val="0"/>
          <w:bCs/>
          <w:highlight w:val="none"/>
        </w:rPr>
      </w:pPr>
    </w:p>
    <w:p>
      <w:pPr>
        <w:pStyle w:val="3"/>
        <w:outlineLvl w:val="9"/>
        <w:rPr>
          <w:rFonts w:hint="eastAsia" w:ascii="宋体" w:hAnsi="宋体" w:eastAsia="宋体" w:cs="宋体"/>
          <w:b w:val="0"/>
          <w:bCs/>
          <w:highlight w:val="none"/>
        </w:rPr>
      </w:pPr>
    </w:p>
    <w:p>
      <w:pPr>
        <w:pStyle w:val="19"/>
        <w:rPr>
          <w:rFonts w:hint="eastAsia" w:ascii="宋体" w:hAnsi="宋体" w:eastAsia="宋体" w:cs="宋体"/>
          <w:b w:val="0"/>
          <w:bCs/>
          <w:highlight w:val="none"/>
        </w:rPr>
      </w:pPr>
    </w:p>
    <w:p>
      <w:pPr>
        <w:pStyle w:val="19"/>
        <w:rPr>
          <w:rFonts w:hint="eastAsia" w:ascii="宋体" w:hAnsi="宋体" w:eastAsia="宋体" w:cs="宋体"/>
          <w:b w:val="0"/>
          <w:bCs/>
          <w:highlight w:val="none"/>
        </w:rPr>
      </w:pPr>
    </w:p>
    <w:p>
      <w:pPr>
        <w:pStyle w:val="3"/>
        <w:outlineLvl w:val="9"/>
        <w:rPr>
          <w:rFonts w:hint="eastAsia" w:ascii="宋体" w:hAnsi="宋体"/>
          <w:b/>
          <w:bCs/>
          <w:kern w:val="2"/>
          <w:sz w:val="24"/>
          <w:szCs w:val="24"/>
          <w:highlight w:val="none"/>
          <w:lang w:val="en-US" w:eastAsia="zh-CN" w:bidi="ar-SA"/>
        </w:rPr>
      </w:pPr>
    </w:p>
    <w:p>
      <w:pPr>
        <w:rPr>
          <w:rFonts w:hint="eastAsia"/>
          <w:highlight w:val="none"/>
          <w:lang w:val="en-US" w:eastAsia="zh-CN"/>
        </w:rPr>
      </w:pPr>
    </w:p>
    <w:p>
      <w:pPr>
        <w:pStyle w:val="2"/>
        <w:rPr>
          <w:rFonts w:hint="eastAsia"/>
          <w:highlight w:val="none"/>
          <w:lang w:val="en-US" w:eastAsia="zh-CN"/>
        </w:rPr>
      </w:pPr>
    </w:p>
    <w:p>
      <w:pPr>
        <w:spacing w:line="360" w:lineRule="auto"/>
        <w:jc w:val="left"/>
        <w:outlineLvl w:val="9"/>
        <w:rPr>
          <w:rFonts w:hint="eastAsia" w:ascii="宋体" w:hAnsi="宋体"/>
          <w:b/>
          <w:bCs/>
          <w:kern w:val="2"/>
          <w:sz w:val="32"/>
          <w:szCs w:val="32"/>
          <w:highlight w:val="none"/>
          <w:lang w:val="en-US" w:eastAsia="zh-CN" w:bidi="ar-SA"/>
        </w:rPr>
      </w:pPr>
      <w:r>
        <w:rPr>
          <w:rFonts w:hint="eastAsia" w:ascii="宋体" w:hAnsi="宋体"/>
          <w:b w:val="0"/>
          <w:bCs w:val="0"/>
          <w:kern w:val="2"/>
          <w:sz w:val="32"/>
          <w:szCs w:val="32"/>
          <w:highlight w:val="none"/>
          <w:lang w:val="en-US" w:eastAsia="zh-CN" w:bidi="ar-SA"/>
        </w:rPr>
        <w:t>格式2：</w:t>
      </w:r>
    </w:p>
    <w:p>
      <w:pPr>
        <w:spacing w:line="360" w:lineRule="auto"/>
        <w:jc w:val="center"/>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单位负责人为同一人或者存在直接控股、管理关系的不同供应商，不得参加同一合同项下的政府采购活动的书面声明</w:t>
      </w:r>
    </w:p>
    <w:p>
      <w:pPr>
        <w:spacing w:line="360" w:lineRule="auto"/>
        <w:jc w:val="center"/>
        <w:outlineLvl w:val="9"/>
        <w:rPr>
          <w:rFonts w:hint="eastAsia" w:ascii="宋体" w:hAnsi="宋体"/>
          <w:b/>
          <w:bCs/>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pacing w:line="700" w:lineRule="exact"/>
        <w:jc w:val="left"/>
        <w:textAlignment w:val="auto"/>
        <w:outlineLvl w:val="9"/>
        <w:rPr>
          <w:rFonts w:ascii="宋体" w:hAnsi="宋体" w:cs="宋体"/>
          <w:color w:val="000000"/>
          <w:kern w:val="0"/>
          <w:sz w:val="24"/>
          <w:szCs w:val="24"/>
          <w:highlight w:val="none"/>
        </w:rPr>
      </w:pP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none"/>
          <w:lang w:val="en-US" w:eastAsia="zh-CN"/>
        </w:rPr>
        <w:t>(采购人名称)</w:t>
      </w:r>
      <w:r>
        <w:rPr>
          <w:rFonts w:hint="eastAsia" w:ascii="宋体" w:hAnsi="宋体" w:cs="宋体"/>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line="700" w:lineRule="exact"/>
        <w:textAlignment w:val="auto"/>
        <w:outlineLvl w:val="9"/>
        <w:rPr>
          <w:rFonts w:ascii="宋体" w:hAnsi="宋体" w:cs="宋体"/>
          <w:color w:val="000000"/>
          <w:kern w:val="0"/>
          <w:sz w:val="24"/>
          <w:szCs w:val="24"/>
          <w:highlight w:val="none"/>
        </w:rPr>
      </w:pP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en-US" w:eastAsia="zh-CN"/>
        </w:rPr>
        <w:t xml:space="preserve"> </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我</w:t>
      </w:r>
      <w:r>
        <w:rPr>
          <w:rFonts w:hint="eastAsia" w:ascii="宋体" w:hAnsi="宋体" w:cs="宋体"/>
          <w:color w:val="000000"/>
          <w:kern w:val="0"/>
          <w:sz w:val="24"/>
          <w:szCs w:val="24"/>
          <w:highlight w:val="none"/>
          <w:lang w:eastAsia="zh-CN"/>
        </w:rPr>
        <w:t>方</w:t>
      </w:r>
      <w:r>
        <w:rPr>
          <w:rFonts w:ascii="宋体" w:hAnsi="宋体" w:cs="宋体"/>
          <w:color w:val="000000"/>
          <w:kern w:val="0"/>
          <w:sz w:val="24"/>
          <w:szCs w:val="24"/>
          <w:highlight w:val="none"/>
        </w:rPr>
        <w:t>参加贵</w:t>
      </w:r>
      <w:r>
        <w:rPr>
          <w:rFonts w:hint="eastAsia" w:ascii="宋体" w:hAnsi="宋体" w:cs="宋体"/>
          <w:color w:val="000000"/>
          <w:kern w:val="0"/>
          <w:sz w:val="24"/>
          <w:szCs w:val="24"/>
          <w:highlight w:val="none"/>
          <w:lang w:val="en-US" w:eastAsia="zh-CN"/>
        </w:rPr>
        <w:t>方</w:t>
      </w:r>
      <w:r>
        <w:rPr>
          <w:rFonts w:ascii="宋体" w:hAnsi="宋体" w:cs="宋体"/>
          <w:color w:val="000000"/>
          <w:kern w:val="0"/>
          <w:sz w:val="24"/>
          <w:szCs w:val="24"/>
          <w:highlight w:val="none"/>
        </w:rPr>
        <w:t>组织的</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项目名称</w:t>
      </w:r>
      <w:r>
        <w:rPr>
          <w:rFonts w:hint="eastAsia" w:ascii="宋体" w:hAnsi="宋体"/>
          <w:sz w:val="24"/>
          <w:highlight w:val="none"/>
        </w:rPr>
        <w:t>）</w:t>
      </w:r>
      <w:r>
        <w:rPr>
          <w:rFonts w:hint="eastAsia" w:ascii="宋体" w:hAnsi="宋体" w:cs="宋体"/>
          <w:color w:val="000000"/>
          <w:kern w:val="0"/>
          <w:sz w:val="24"/>
          <w:szCs w:val="24"/>
          <w:highlight w:val="none"/>
        </w:rPr>
        <w:t>招标</w:t>
      </w:r>
      <w:r>
        <w:rPr>
          <w:rFonts w:ascii="宋体" w:hAnsi="宋体" w:cs="宋体"/>
          <w:color w:val="000000"/>
          <w:kern w:val="0"/>
          <w:sz w:val="24"/>
          <w:szCs w:val="24"/>
          <w:highlight w:val="none"/>
        </w:rPr>
        <w:t>活动，</w:t>
      </w:r>
      <w:r>
        <w:rPr>
          <w:rFonts w:hint="eastAsia" w:ascii="宋体" w:hAnsi="宋体" w:cs="宋体"/>
          <w:color w:val="000000"/>
          <w:kern w:val="0"/>
          <w:sz w:val="24"/>
          <w:szCs w:val="24"/>
          <w:highlight w:val="none"/>
        </w:rPr>
        <w:t>郑重承诺</w:t>
      </w:r>
      <w:r>
        <w:rPr>
          <w:rFonts w:ascii="宋体" w:hAnsi="宋体" w:cs="宋体"/>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line="700" w:lineRule="exact"/>
        <w:ind w:firstLine="480" w:firstLineChars="200"/>
        <w:textAlignment w:val="auto"/>
        <w:outlineLvl w:val="9"/>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在参加本次政府采购活动</w:t>
      </w:r>
      <w:r>
        <w:rPr>
          <w:rFonts w:hint="eastAsia" w:ascii="宋体" w:hAnsi="宋体" w:cs="宋体"/>
          <w:color w:val="000000"/>
          <w:kern w:val="0"/>
          <w:sz w:val="24"/>
          <w:szCs w:val="24"/>
          <w:highlight w:val="none"/>
          <w:lang w:eastAsia="zh-CN"/>
        </w:rPr>
        <w:t>中</w:t>
      </w:r>
      <w:r>
        <w:rPr>
          <w:rFonts w:hint="eastAsia" w:ascii="宋体" w:hAnsi="宋体" w:cs="宋体"/>
          <w:kern w:val="0"/>
          <w:sz w:val="24"/>
          <w:szCs w:val="24"/>
          <w:highlight w:val="none"/>
        </w:rPr>
        <w:t>不存在与参加本项目的其它供应商单位负责人为同一人或者存在</w:t>
      </w:r>
      <w:r>
        <w:rPr>
          <w:rFonts w:hint="eastAsia" w:ascii="宋体" w:hAnsi="宋体" w:cs="宋体"/>
          <w:kern w:val="0"/>
          <w:sz w:val="24"/>
          <w:szCs w:val="24"/>
          <w:highlight w:val="none"/>
          <w:lang w:val="en-US" w:eastAsia="zh-CN"/>
        </w:rPr>
        <w:t>直接控股</w:t>
      </w:r>
      <w:r>
        <w:rPr>
          <w:rFonts w:hint="eastAsia" w:ascii="宋体" w:hAnsi="宋体" w:cs="宋体"/>
          <w:kern w:val="0"/>
          <w:sz w:val="24"/>
          <w:szCs w:val="24"/>
          <w:highlight w:val="none"/>
        </w:rPr>
        <w:t>、管理关系</w:t>
      </w:r>
      <w:r>
        <w:rPr>
          <w:rFonts w:hint="eastAsia" w:ascii="宋体" w:hAnsi="宋体" w:cs="宋体"/>
          <w:color w:val="000000"/>
          <w:kern w:val="0"/>
          <w:sz w:val="24"/>
          <w:szCs w:val="24"/>
          <w:highlight w:val="none"/>
        </w:rPr>
        <w:t>。本公司对上述承诺的真实性负责。如有虚假，将依法承担相应责任。</w:t>
      </w:r>
    </w:p>
    <w:p>
      <w:pPr>
        <w:keepNext w:val="0"/>
        <w:keepLines w:val="0"/>
        <w:pageBreakBefore w:val="0"/>
        <w:widowControl/>
        <w:kinsoku/>
        <w:wordWrap/>
        <w:overflowPunct/>
        <w:topLinePunct w:val="0"/>
        <w:autoSpaceDE/>
        <w:autoSpaceDN/>
        <w:bidi w:val="0"/>
        <w:adjustRightInd/>
        <w:snapToGrid w:val="0"/>
        <w:spacing w:line="700" w:lineRule="exact"/>
        <w:textAlignment w:val="auto"/>
        <w:outlineLvl w:val="9"/>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特</w:t>
      </w:r>
      <w:r>
        <w:rPr>
          <w:rFonts w:ascii="宋体" w:hAnsi="宋体" w:cs="宋体"/>
          <w:color w:val="000000"/>
          <w:kern w:val="0"/>
          <w:sz w:val="24"/>
          <w:szCs w:val="24"/>
          <w:highlight w:val="none"/>
        </w:rPr>
        <w:t>此</w:t>
      </w:r>
      <w:r>
        <w:rPr>
          <w:rFonts w:hint="eastAsia" w:ascii="宋体" w:hAnsi="宋体" w:cs="宋体"/>
          <w:color w:val="000000"/>
          <w:kern w:val="0"/>
          <w:sz w:val="24"/>
          <w:szCs w:val="24"/>
          <w:highlight w:val="none"/>
        </w:rPr>
        <w:t>承诺</w:t>
      </w:r>
    </w:p>
    <w:p>
      <w:pPr>
        <w:pStyle w:val="3"/>
        <w:outlineLvl w:val="9"/>
        <w:rPr>
          <w:rFonts w:hint="eastAsia" w:ascii="宋体" w:hAnsi="宋体" w:cs="宋体"/>
          <w:color w:val="000000"/>
          <w:kern w:val="0"/>
          <w:sz w:val="24"/>
          <w:szCs w:val="24"/>
          <w:highlight w:val="none"/>
        </w:rPr>
      </w:pPr>
    </w:p>
    <w:p>
      <w:pPr>
        <w:pStyle w:val="3"/>
        <w:outlineLvl w:val="9"/>
        <w:rPr>
          <w:rFonts w:hint="eastAsia" w:ascii="宋体" w:hAnsi="宋体" w:cs="宋体"/>
          <w:color w:val="000000"/>
          <w:kern w:val="0"/>
          <w:sz w:val="24"/>
          <w:szCs w:val="24"/>
          <w:highlight w:val="none"/>
        </w:rPr>
      </w:pPr>
    </w:p>
    <w:p>
      <w:pPr>
        <w:pStyle w:val="3"/>
        <w:outlineLvl w:val="9"/>
        <w:rPr>
          <w:rFonts w:hint="eastAsia" w:ascii="宋体" w:hAnsi="宋体" w:cs="宋体"/>
          <w:color w:val="000000"/>
          <w:kern w:val="0"/>
          <w:sz w:val="24"/>
          <w:szCs w:val="24"/>
          <w:highlight w:val="none"/>
        </w:rPr>
      </w:pPr>
    </w:p>
    <w:p>
      <w:pPr>
        <w:outlineLvl w:val="9"/>
        <w:rPr>
          <w:rFonts w:hint="eastAsia"/>
          <w:highlight w:val="none"/>
        </w:rPr>
      </w:pPr>
    </w:p>
    <w:p>
      <w:pPr>
        <w:spacing w:line="480" w:lineRule="auto"/>
        <w:ind w:right="-161" w:firstLine="1680" w:firstLineChars="700"/>
        <w:outlineLvl w:val="9"/>
        <w:rPr>
          <w:rFonts w:hint="eastAsia" w:ascii="宋体" w:hAnsi="宋体" w:cs="仿宋"/>
          <w:sz w:val="24"/>
          <w:highlight w:val="none"/>
        </w:rPr>
      </w:pP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keepNext w:val="0"/>
        <w:keepLines w:val="0"/>
        <w:pageBreakBefore w:val="0"/>
        <w:widowControl/>
        <w:kinsoku/>
        <w:wordWrap/>
        <w:overflowPunct/>
        <w:topLinePunct w:val="0"/>
        <w:autoSpaceDE/>
        <w:autoSpaceDN/>
        <w:bidi w:val="0"/>
        <w:adjustRightInd/>
        <w:spacing w:line="700" w:lineRule="exact"/>
        <w:ind w:firstLine="1670" w:firstLineChars="696"/>
        <w:jc w:val="left"/>
        <w:textAlignment w:val="auto"/>
        <w:outlineLvl w:val="9"/>
        <w:rPr>
          <w:rFonts w:hint="eastAsia" w:ascii="宋体"/>
          <w:sz w:val="24"/>
          <w:szCs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b/>
          <w:bCs/>
          <w:kern w:val="2"/>
          <w:sz w:val="24"/>
          <w:szCs w:val="24"/>
          <w:highlight w:val="none"/>
          <w:lang w:val="en-US" w:eastAsia="zh-CN" w:bidi="ar-SA"/>
        </w:rPr>
      </w:pPr>
    </w:p>
    <w:p>
      <w:pPr>
        <w:spacing w:line="360" w:lineRule="auto"/>
        <w:jc w:val="center"/>
        <w:outlineLvl w:val="9"/>
        <w:rPr>
          <w:rFonts w:hint="eastAsia" w:ascii="宋体" w:hAnsi="宋体"/>
          <w:b/>
          <w:bCs/>
          <w:kern w:val="2"/>
          <w:sz w:val="32"/>
          <w:szCs w:val="32"/>
          <w:highlight w:val="none"/>
          <w:lang w:val="en-US" w:eastAsia="zh-CN" w:bidi="ar-SA"/>
        </w:rPr>
      </w:pPr>
    </w:p>
    <w:p>
      <w:pPr>
        <w:spacing w:line="360" w:lineRule="auto"/>
        <w:jc w:val="center"/>
        <w:outlineLvl w:val="9"/>
        <w:rPr>
          <w:rFonts w:hint="eastAsia" w:ascii="宋体" w:hAnsi="宋体"/>
          <w:b/>
          <w:bCs/>
          <w:kern w:val="2"/>
          <w:sz w:val="32"/>
          <w:szCs w:val="32"/>
          <w:highlight w:val="none"/>
          <w:lang w:val="en-US" w:eastAsia="zh-CN" w:bidi="ar-SA"/>
        </w:rPr>
      </w:pPr>
    </w:p>
    <w:p>
      <w:pPr>
        <w:spacing w:line="360" w:lineRule="auto"/>
        <w:jc w:val="center"/>
        <w:outlineLvl w:val="9"/>
        <w:rPr>
          <w:rFonts w:hint="eastAsia" w:ascii="宋体" w:hAnsi="宋体"/>
          <w:b/>
          <w:bCs/>
          <w:kern w:val="2"/>
          <w:sz w:val="32"/>
          <w:szCs w:val="32"/>
          <w:highlight w:val="none"/>
          <w:lang w:val="en-US" w:eastAsia="zh-CN" w:bidi="ar-SA"/>
        </w:rPr>
      </w:pPr>
    </w:p>
    <w:p>
      <w:pPr>
        <w:pStyle w:val="2"/>
        <w:rPr>
          <w:rFonts w:hint="eastAsia" w:ascii="宋体" w:hAnsi="宋体"/>
          <w:b/>
          <w:bCs/>
          <w:kern w:val="2"/>
          <w:sz w:val="32"/>
          <w:szCs w:val="32"/>
          <w:highlight w:val="none"/>
          <w:lang w:val="en-US" w:eastAsia="zh-CN" w:bidi="ar-SA"/>
        </w:rPr>
      </w:pPr>
    </w:p>
    <w:p>
      <w:pPr>
        <w:pStyle w:val="2"/>
        <w:rPr>
          <w:rFonts w:hint="eastAsia" w:ascii="宋体" w:hAnsi="宋体"/>
          <w:b/>
          <w:bCs/>
          <w:kern w:val="2"/>
          <w:sz w:val="32"/>
          <w:szCs w:val="32"/>
          <w:highlight w:val="none"/>
          <w:lang w:val="en-US" w:eastAsia="zh-CN" w:bidi="ar-SA"/>
        </w:rPr>
      </w:pPr>
    </w:p>
    <w:p>
      <w:pPr>
        <w:pStyle w:val="2"/>
        <w:rPr>
          <w:rFonts w:hint="eastAsia" w:ascii="宋体" w:hAnsi="宋体"/>
          <w:b/>
          <w:bCs/>
          <w:kern w:val="2"/>
          <w:sz w:val="32"/>
          <w:szCs w:val="32"/>
          <w:highlight w:val="none"/>
          <w:lang w:val="en-US" w:eastAsia="zh-CN" w:bidi="ar-SA"/>
        </w:rPr>
      </w:pPr>
    </w:p>
    <w:p>
      <w:pPr>
        <w:pStyle w:val="2"/>
        <w:rPr>
          <w:rFonts w:hint="eastAsia"/>
          <w:highlight w:val="none"/>
          <w:lang w:val="en-US" w:eastAsia="zh-CN"/>
        </w:rPr>
      </w:pPr>
    </w:p>
    <w:p>
      <w:pPr>
        <w:outlineLvl w:val="9"/>
        <w:rPr>
          <w:rFonts w:hint="eastAsia" w:ascii="宋体" w:hAnsi="宋体"/>
          <w:sz w:val="32"/>
          <w:szCs w:val="32"/>
          <w:highlight w:val="none"/>
          <w:lang w:val="en-US" w:eastAsia="zh-CN"/>
        </w:rPr>
      </w:pPr>
      <w:r>
        <w:rPr>
          <w:rFonts w:hint="eastAsia" w:ascii="宋体" w:hAnsi="宋体"/>
          <w:sz w:val="32"/>
          <w:szCs w:val="32"/>
          <w:highlight w:val="none"/>
          <w:lang w:val="en-US" w:eastAsia="zh-CN"/>
        </w:rPr>
        <w:t>格式3：</w:t>
      </w:r>
    </w:p>
    <w:p>
      <w:pPr>
        <w:spacing w:line="360" w:lineRule="auto"/>
        <w:jc w:val="center"/>
        <w:outlineLvl w:val="9"/>
        <w:rPr>
          <w:rFonts w:hint="eastAsia" w:ascii="宋体" w:hAnsi="宋体"/>
          <w:b/>
          <w:bCs/>
          <w:kern w:val="2"/>
          <w:sz w:val="32"/>
          <w:szCs w:val="32"/>
          <w:highlight w:val="none"/>
          <w:lang w:val="en-US" w:eastAsia="zh-CN" w:bidi="ar-SA"/>
        </w:rPr>
      </w:pPr>
      <w:bookmarkStart w:id="1089" w:name="_Toc20550"/>
      <w:bookmarkStart w:id="1090" w:name="_Toc15853"/>
      <w:r>
        <w:rPr>
          <w:rFonts w:hint="eastAsia" w:ascii="宋体" w:hAnsi="宋体"/>
          <w:b/>
          <w:bCs/>
          <w:kern w:val="2"/>
          <w:sz w:val="32"/>
          <w:szCs w:val="32"/>
          <w:highlight w:val="none"/>
          <w:lang w:val="en-US" w:eastAsia="zh-CN" w:bidi="ar-SA"/>
        </w:rPr>
        <w:t>具备履行合同所必需的设备和专业技术能力的说明及承诺书</w:t>
      </w:r>
      <w:bookmarkEnd w:id="1089"/>
      <w:bookmarkEnd w:id="1090"/>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(采购人名称):</w:t>
      </w:r>
    </w:p>
    <w:p>
      <w:pPr>
        <w:pStyle w:val="78"/>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我公司参加贵方组织的</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项目名称</w:t>
      </w:r>
      <w:r>
        <w:rPr>
          <w:rFonts w:hint="eastAsia" w:ascii="宋体" w:hAnsi="宋体"/>
          <w:sz w:val="24"/>
          <w:highlight w:val="none"/>
        </w:rPr>
        <w:t>）</w:t>
      </w:r>
      <w:r>
        <w:rPr>
          <w:rFonts w:hint="eastAsia" w:ascii="宋体" w:hAnsi="宋体" w:eastAsia="宋体" w:cs="宋体"/>
          <w:sz w:val="24"/>
          <w:szCs w:val="24"/>
          <w:highlight w:val="none"/>
        </w:rPr>
        <w:t>投标活动，如我方获得</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资格，我方保证具备履行合同所必需的设备和专业技术能力：并承诺如下：</w:t>
      </w:r>
    </w:p>
    <w:p>
      <w:pPr>
        <w:pStyle w:val="78"/>
        <w:keepNext w:val="0"/>
        <w:keepLines w:val="0"/>
        <w:pageBreakBefore w:val="0"/>
        <w:kinsoku/>
        <w:wordWrap/>
        <w:overflowPunct/>
        <w:topLinePunct w:val="0"/>
        <w:autoSpaceDE/>
        <w:autoSpaceDN/>
        <w:bidi w:val="0"/>
        <w:adjustRightInd/>
        <w:snapToGrid/>
        <w:spacing w:line="560" w:lineRule="exact"/>
        <w:ind w:firstLine="420"/>
        <w:textAlignment w:val="auto"/>
        <w:outlineLvl w:val="9"/>
        <w:rPr>
          <w:rFonts w:hint="eastAsia" w:ascii="宋体" w:hAnsi="宋体" w:eastAsia="宋体" w:cs="宋体"/>
          <w:sz w:val="24"/>
          <w:szCs w:val="24"/>
          <w:highlight w:val="none"/>
        </w:rPr>
      </w:pPr>
      <w:r>
        <w:rPr>
          <w:rFonts w:hint="eastAsia" w:ascii="宋体" w:hAnsi="宋体" w:cs="宋体"/>
          <w:sz w:val="24"/>
          <w:highlight w:val="none"/>
          <w:u w:val="single"/>
        </w:rPr>
        <w:t xml:space="preserve">                   </w:t>
      </w:r>
      <w:r>
        <w:rPr>
          <w:rFonts w:hint="eastAsia" w:ascii="宋体" w:hAnsi="宋体" w:eastAsia="宋体" w:cs="宋体"/>
          <w:sz w:val="24"/>
          <w:szCs w:val="24"/>
          <w:highlight w:val="none"/>
        </w:rPr>
        <w:t>（供应商名称）于</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在中华人民共和国境内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（详细注册地址）合法注册并经营，公司主营业务为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，营业（生产经营）面积为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，现有员工数量为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，其中与履行本合同相关的专业技术人员数量有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与履行本合同</w:t>
      </w:r>
      <w:r>
        <w:rPr>
          <w:rFonts w:hint="eastAsia" w:ascii="宋体" w:hAnsi="宋体" w:eastAsia="宋体" w:cs="宋体"/>
          <w:sz w:val="24"/>
          <w:szCs w:val="24"/>
          <w:highlight w:val="none"/>
          <w:lang w:val="en-US" w:eastAsia="zh-CN"/>
        </w:rPr>
        <w:t>所需的设备</w:t>
      </w:r>
      <w:r>
        <w:rPr>
          <w:rFonts w:hint="eastAsia" w:ascii="宋体" w:hAnsi="宋体" w:eastAsia="宋体" w:cs="宋体"/>
          <w:sz w:val="24"/>
          <w:szCs w:val="24"/>
          <w:highlight w:val="none"/>
        </w:rPr>
        <w:t>数量有</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本公司郑重承诺，具有履行本合同所必需的设备和专业技术能力。</w:t>
      </w:r>
    </w:p>
    <w:p>
      <w:pPr>
        <w:pStyle w:val="78"/>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如违反以上承诺，本公司愿承担</w:t>
      </w:r>
      <w:r>
        <w:rPr>
          <w:rFonts w:hint="eastAsia" w:ascii="宋体" w:hAnsi="宋体" w:eastAsia="宋体" w:cs="宋体"/>
          <w:sz w:val="24"/>
          <w:szCs w:val="24"/>
          <w:highlight w:val="none"/>
          <w:lang w:val="en-US" w:eastAsia="zh-CN" w:bidi="en-US"/>
        </w:rPr>
        <w:t>一切</w:t>
      </w:r>
      <w:r>
        <w:rPr>
          <w:rFonts w:hint="eastAsia" w:ascii="宋体" w:hAnsi="宋体" w:eastAsia="宋体" w:cs="宋体"/>
          <w:sz w:val="24"/>
          <w:szCs w:val="24"/>
          <w:highlight w:val="none"/>
        </w:rPr>
        <w:t>法律责任。</w:t>
      </w:r>
    </w:p>
    <w:p>
      <w:pPr>
        <w:pStyle w:val="2"/>
        <w:spacing w:line="360" w:lineRule="auto"/>
        <w:outlineLvl w:val="9"/>
        <w:rPr>
          <w:rFonts w:hint="eastAsia" w:ascii="宋体" w:hAnsi="宋体" w:cs="宋体"/>
          <w:sz w:val="24"/>
          <w:szCs w:val="24"/>
          <w:highlight w:val="none"/>
        </w:rPr>
      </w:pPr>
    </w:p>
    <w:p>
      <w:pPr>
        <w:pStyle w:val="2"/>
        <w:spacing w:line="360" w:lineRule="auto"/>
        <w:outlineLvl w:val="9"/>
        <w:rPr>
          <w:rFonts w:hint="eastAsia" w:ascii="宋体" w:hAnsi="宋体" w:cs="宋体"/>
          <w:sz w:val="24"/>
          <w:szCs w:val="24"/>
          <w:highlight w:val="none"/>
        </w:rPr>
      </w:pPr>
    </w:p>
    <w:p>
      <w:pPr>
        <w:pStyle w:val="2"/>
        <w:outlineLvl w:val="9"/>
        <w:rPr>
          <w:rFonts w:hint="eastAsia"/>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2160"/>
        <w:textAlignment w:val="auto"/>
        <w:outlineLvl w:val="9"/>
        <w:rPr>
          <w:rFonts w:hint="eastAsia" w:ascii="宋体" w:hAnsi="宋体" w:cs="宋体"/>
          <w:sz w:val="24"/>
          <w:highlight w:val="none"/>
          <w:u w:val="single"/>
        </w:rPr>
      </w:pPr>
      <w:r>
        <w:rPr>
          <w:rFonts w:hint="eastAsia" w:ascii="宋体" w:hAnsi="宋体" w:cs="宋体"/>
          <w:sz w:val="24"/>
          <w:highlight w:val="none"/>
        </w:rPr>
        <w:t>供应商</w:t>
      </w:r>
      <w:r>
        <w:rPr>
          <w:rFonts w:hint="eastAsia" w:ascii="宋体" w:hAnsi="宋体" w:cs="仿宋"/>
          <w:sz w:val="24"/>
          <w:highlight w:val="none"/>
          <w:lang w:val="en-US" w:eastAsia="zh-CN"/>
        </w:rPr>
        <w:t>全称</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pPr>
        <w:keepNext w:val="0"/>
        <w:keepLines w:val="0"/>
        <w:pageBreakBefore w:val="0"/>
        <w:widowControl w:val="0"/>
        <w:kinsoku/>
        <w:wordWrap/>
        <w:overflowPunct/>
        <w:topLinePunct w:val="0"/>
        <w:autoSpaceDE/>
        <w:autoSpaceDN/>
        <w:bidi w:val="0"/>
        <w:adjustRightInd/>
        <w:snapToGrid/>
        <w:spacing w:line="400" w:lineRule="exact"/>
        <w:ind w:firstLine="1200"/>
        <w:textAlignment w:val="auto"/>
        <w:outlineLvl w:val="9"/>
        <w:rPr>
          <w:rFonts w:hint="eastAsia" w:ascii="宋体" w:hAnsi="宋体" w:cs="宋体"/>
          <w:kern w:val="1"/>
          <w:sz w:val="24"/>
          <w:szCs w:val="36"/>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cs="宋体"/>
          <w:sz w:val="24"/>
          <w:highlight w:val="none"/>
          <w:u w:val="single"/>
        </w:r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法定代表人或</w:t>
      </w:r>
      <w:r>
        <w:rPr>
          <w:rFonts w:hint="eastAsia" w:ascii="宋体" w:hAnsi="宋体" w:cs="仿宋"/>
          <w:sz w:val="24"/>
          <w:highlight w:val="none"/>
          <w:lang w:eastAsia="zh-CN"/>
        </w:rPr>
        <w:t>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rPr>
        <w:t>（签字或盖章）</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eastAsia="宋体"/>
          <w:highlight w:val="none"/>
          <w:lang w:val="en-US" w:eastAsia="zh-CN"/>
        </w:rPr>
      </w:pPr>
      <w:r>
        <w:rPr>
          <w:rFonts w:hint="eastAsia"/>
          <w:highlight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400" w:lineRule="exact"/>
        <w:ind w:firstLine="2160" w:firstLineChars="900"/>
        <w:textAlignment w:val="auto"/>
        <w:outlineLvl w:val="9"/>
        <w:rPr>
          <w:rFonts w:hint="eastAsia"/>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b/>
          <w:highlight w:val="none"/>
        </w:rPr>
        <w:t xml:space="preserve"> </w:t>
      </w:r>
      <w:r>
        <w:rPr>
          <w:rFonts w:hint="eastAsia" w:ascii="宋体" w:hAnsi="宋体" w:cs="宋体"/>
          <w:sz w:val="24"/>
          <w:highlight w:val="none"/>
        </w:rPr>
        <w:t>日</w:t>
      </w:r>
    </w:p>
    <w:p>
      <w:pPr>
        <w:pStyle w:val="3"/>
        <w:ind w:firstLine="2520" w:firstLineChars="900"/>
        <w:outlineLvl w:val="9"/>
        <w:rPr>
          <w:rFonts w:hint="eastAsia"/>
          <w:highlight w:val="none"/>
          <w:lang w:eastAsia="zh-CN"/>
        </w:rPr>
      </w:pPr>
    </w:p>
    <w:p>
      <w:pPr>
        <w:spacing w:line="360" w:lineRule="auto"/>
        <w:jc w:val="center"/>
        <w:outlineLvl w:val="9"/>
        <w:rPr>
          <w:rFonts w:hint="eastAsia" w:ascii="宋体" w:hAnsi="宋体"/>
          <w:b/>
          <w:bCs/>
          <w:kern w:val="2"/>
          <w:sz w:val="32"/>
          <w:szCs w:val="32"/>
          <w:highlight w:val="none"/>
          <w:lang w:val="en-US" w:eastAsia="zh-CN" w:bidi="ar-SA"/>
        </w:rPr>
      </w:pPr>
    </w:p>
    <w:p>
      <w:pPr>
        <w:pStyle w:val="3"/>
        <w:rPr>
          <w:rFonts w:hint="eastAsia"/>
          <w:highlight w:val="none"/>
          <w:lang w:val="en-US" w:eastAsia="zh-CN"/>
        </w:rPr>
      </w:pPr>
    </w:p>
    <w:p>
      <w:pPr>
        <w:pStyle w:val="2"/>
        <w:outlineLvl w:val="9"/>
        <w:rPr>
          <w:rFonts w:hint="eastAsia"/>
          <w:highlight w:val="none"/>
          <w:lang w:val="en-US" w:eastAsia="zh-CN"/>
        </w:rPr>
      </w:pPr>
    </w:p>
    <w:p>
      <w:pPr>
        <w:pStyle w:val="2"/>
        <w:outlineLvl w:val="9"/>
        <w:rPr>
          <w:rFonts w:hint="eastAsia"/>
          <w:highlight w:val="none"/>
          <w:lang w:val="en-US" w:eastAsia="zh-CN"/>
        </w:rPr>
      </w:pPr>
    </w:p>
    <w:p>
      <w:pPr>
        <w:pStyle w:val="2"/>
        <w:outlineLvl w:val="9"/>
        <w:rPr>
          <w:rFonts w:hint="eastAsia"/>
          <w:highlight w:val="none"/>
          <w:lang w:val="en-US" w:eastAsia="zh-CN"/>
        </w:rPr>
      </w:pPr>
    </w:p>
    <w:p>
      <w:pPr>
        <w:pStyle w:val="2"/>
        <w:outlineLvl w:val="9"/>
        <w:rPr>
          <w:rFonts w:hint="eastAsia" w:ascii="宋体" w:hAnsi="宋体"/>
          <w:b/>
          <w:bCs/>
          <w:kern w:val="2"/>
          <w:sz w:val="32"/>
          <w:szCs w:val="32"/>
          <w:highlight w:val="none"/>
          <w:lang w:val="en-US" w:eastAsia="zh-CN" w:bidi="ar-SA"/>
        </w:rPr>
      </w:pPr>
    </w:p>
    <w:p>
      <w:pPr>
        <w:spacing w:line="360" w:lineRule="auto"/>
        <w:jc w:val="center"/>
        <w:outlineLvl w:val="9"/>
        <w:rPr>
          <w:rFonts w:hint="eastAsia" w:ascii="宋体" w:hAnsi="宋体" w:cs="仿宋"/>
          <w:b/>
          <w:sz w:val="30"/>
          <w:szCs w:val="30"/>
          <w:highlight w:val="none"/>
          <w:lang w:val="en-US" w:eastAsia="zh-CN"/>
        </w:rPr>
      </w:pPr>
    </w:p>
    <w:p>
      <w:pPr>
        <w:outlineLvl w:val="9"/>
        <w:rPr>
          <w:rFonts w:hint="eastAsia" w:ascii="宋体" w:hAnsi="宋体"/>
          <w:sz w:val="32"/>
          <w:szCs w:val="32"/>
          <w:highlight w:val="none"/>
          <w:lang w:val="en-US" w:eastAsia="zh-CN"/>
        </w:rPr>
      </w:pPr>
      <w:r>
        <w:rPr>
          <w:rFonts w:hint="eastAsia" w:ascii="宋体" w:hAnsi="宋体"/>
          <w:sz w:val="32"/>
          <w:szCs w:val="32"/>
          <w:highlight w:val="none"/>
          <w:lang w:val="en-US" w:eastAsia="zh-CN"/>
        </w:rPr>
        <w:t>格式4：</w:t>
      </w:r>
    </w:p>
    <w:p>
      <w:pPr>
        <w:spacing w:line="360" w:lineRule="auto"/>
        <w:jc w:val="center"/>
        <w:outlineLvl w:val="9"/>
        <w:rPr>
          <w:rFonts w:hint="eastAsia" w:ascii="宋体" w:hAnsi="宋体" w:eastAsia="宋体"/>
          <w:b/>
          <w:bCs/>
          <w:kern w:val="2"/>
          <w:sz w:val="32"/>
          <w:szCs w:val="32"/>
          <w:highlight w:val="none"/>
          <w:lang w:val="en-US" w:eastAsia="zh-CN" w:bidi="ar-SA"/>
        </w:rPr>
      </w:pPr>
      <w:r>
        <w:rPr>
          <w:rFonts w:hint="eastAsia" w:ascii="宋体" w:hAnsi="宋体" w:eastAsia="宋体"/>
          <w:b/>
          <w:bCs/>
          <w:kern w:val="2"/>
          <w:sz w:val="32"/>
          <w:szCs w:val="32"/>
          <w:highlight w:val="none"/>
          <w:lang w:val="en-US" w:eastAsia="zh-CN" w:bidi="ar-SA"/>
        </w:rPr>
        <w:t>中小企业声明函</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本公司（联合体）郑重声明，根据《政府采购促进中小企业发展管理办法》（财库</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18"/>
          <w:highlight w:val="none"/>
          <w:lang w:val="en-US" w:eastAsia="zh-CN"/>
        </w:rPr>
        <w:t>46号）的规定，本公司（联合体）参加</w:t>
      </w:r>
      <w:r>
        <w:rPr>
          <w:rFonts w:hint="eastAsia" w:ascii="宋体" w:hAnsi="宋体" w:eastAsia="宋体" w:cs="宋体"/>
          <w:sz w:val="24"/>
          <w:szCs w:val="18"/>
          <w:highlight w:val="none"/>
          <w:u w:val="single"/>
          <w:lang w:val="en-US" w:eastAsia="zh-CN"/>
        </w:rPr>
        <w:t>（单位名称）</w:t>
      </w:r>
      <w:r>
        <w:rPr>
          <w:rFonts w:hint="eastAsia" w:ascii="宋体" w:hAnsi="宋体" w:eastAsia="宋体" w:cs="宋体"/>
          <w:sz w:val="24"/>
          <w:szCs w:val="18"/>
          <w:highlight w:val="none"/>
          <w:lang w:val="en-US" w:eastAsia="zh-CN"/>
        </w:rPr>
        <w:t>的</w:t>
      </w:r>
      <w:r>
        <w:rPr>
          <w:rFonts w:hint="eastAsia" w:ascii="宋体" w:hAnsi="宋体" w:eastAsia="宋体" w:cs="宋体"/>
          <w:sz w:val="24"/>
          <w:szCs w:val="18"/>
          <w:highlight w:val="none"/>
          <w:u w:val="single"/>
          <w:lang w:val="en-US" w:eastAsia="zh-CN"/>
        </w:rPr>
        <w:t>（项目名称）</w:t>
      </w:r>
      <w:r>
        <w:rPr>
          <w:rFonts w:hint="eastAsia" w:ascii="宋体" w:hAnsi="宋体" w:eastAsia="宋体" w:cs="宋体"/>
          <w:sz w:val="24"/>
          <w:szCs w:val="18"/>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81"/>
        <w:keepNext w:val="0"/>
        <w:keepLines w:val="0"/>
        <w:pageBreakBefore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1、</w:t>
      </w:r>
      <w:r>
        <w:rPr>
          <w:rFonts w:hint="eastAsia" w:ascii="宋体" w:hAnsi="宋体" w:eastAsia="宋体" w:cs="宋体"/>
          <w:kern w:val="2"/>
          <w:sz w:val="24"/>
          <w:szCs w:val="18"/>
          <w:highlight w:val="none"/>
          <w:u w:val="single"/>
          <w:lang w:val="en-US" w:eastAsia="zh-CN" w:bidi="ar-SA"/>
        </w:rPr>
        <w:t>（标的名称）</w:t>
      </w:r>
      <w:r>
        <w:rPr>
          <w:rFonts w:hint="eastAsia" w:ascii="宋体" w:hAnsi="宋体" w:eastAsia="宋体" w:cs="宋体"/>
          <w:kern w:val="2"/>
          <w:sz w:val="24"/>
          <w:szCs w:val="18"/>
          <w:highlight w:val="none"/>
          <w:lang w:val="en-US" w:eastAsia="zh-CN" w:bidi="ar-SA"/>
        </w:rPr>
        <w:t>，属于</w:t>
      </w:r>
      <w:r>
        <w:rPr>
          <w:rFonts w:hint="eastAsia" w:ascii="宋体" w:hAnsi="宋体" w:eastAsia="宋体" w:cs="宋体"/>
          <w:kern w:val="2"/>
          <w:sz w:val="24"/>
          <w:szCs w:val="18"/>
          <w:highlight w:val="none"/>
          <w:u w:val="single"/>
          <w:lang w:val="en-US" w:eastAsia="zh-CN" w:bidi="ar-SA"/>
        </w:rPr>
        <w:t>（采购文件中明确的所属行业）</w:t>
      </w:r>
      <w:r>
        <w:rPr>
          <w:rFonts w:hint="eastAsia" w:ascii="宋体" w:hAnsi="宋体" w:eastAsia="宋体" w:cs="宋体"/>
          <w:kern w:val="2"/>
          <w:sz w:val="24"/>
          <w:szCs w:val="18"/>
          <w:highlight w:val="none"/>
          <w:lang w:val="en-US" w:eastAsia="zh-CN" w:bidi="ar-SA"/>
        </w:rPr>
        <w:t>；承建（承接）企业为</w:t>
      </w:r>
      <w:r>
        <w:rPr>
          <w:rFonts w:hint="eastAsia" w:ascii="宋体" w:hAnsi="宋体" w:eastAsia="宋体" w:cs="宋体"/>
          <w:kern w:val="2"/>
          <w:sz w:val="24"/>
          <w:szCs w:val="18"/>
          <w:highlight w:val="none"/>
          <w:u w:val="single"/>
          <w:lang w:val="en-US" w:eastAsia="zh-CN" w:bidi="ar-SA"/>
        </w:rPr>
        <w:t>（企业名称）</w:t>
      </w:r>
      <w:r>
        <w:rPr>
          <w:rFonts w:hint="eastAsia" w:ascii="宋体" w:hAnsi="宋体" w:eastAsia="宋体" w:cs="宋体"/>
          <w:kern w:val="2"/>
          <w:sz w:val="24"/>
          <w:szCs w:val="18"/>
          <w:highlight w:val="none"/>
          <w:lang w:val="en-US" w:eastAsia="zh-CN" w:bidi="ar-SA"/>
        </w:rPr>
        <w:t>，从业人员</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人，营业收入为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万元，资产总额为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万元，属于</w:t>
      </w:r>
      <w:r>
        <w:rPr>
          <w:rFonts w:hint="eastAsia" w:ascii="宋体" w:hAnsi="宋体" w:eastAsia="宋体" w:cs="宋体"/>
          <w:kern w:val="2"/>
          <w:sz w:val="24"/>
          <w:szCs w:val="18"/>
          <w:highlight w:val="none"/>
          <w:u w:val="single"/>
          <w:lang w:val="en-US" w:eastAsia="zh-CN" w:bidi="ar-SA"/>
        </w:rPr>
        <w:t>（中型企业、小型企业、微型企业）</w:t>
      </w:r>
      <w:r>
        <w:rPr>
          <w:rFonts w:hint="eastAsia" w:ascii="宋体" w:hAnsi="宋体" w:eastAsia="宋体" w:cs="宋体"/>
          <w:kern w:val="2"/>
          <w:sz w:val="24"/>
          <w:szCs w:val="18"/>
          <w:highlight w:val="none"/>
          <w:lang w:val="en-US" w:eastAsia="zh-CN" w:bidi="ar-SA"/>
        </w:rPr>
        <w:t>；</w:t>
      </w:r>
    </w:p>
    <w:p>
      <w:pPr>
        <w:pStyle w:val="81"/>
        <w:keepNext w:val="0"/>
        <w:keepLines w:val="0"/>
        <w:pageBreakBefore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2、</w:t>
      </w:r>
      <w:r>
        <w:rPr>
          <w:rFonts w:hint="eastAsia" w:ascii="宋体" w:hAnsi="宋体" w:eastAsia="宋体" w:cs="宋体"/>
          <w:kern w:val="2"/>
          <w:sz w:val="24"/>
          <w:szCs w:val="18"/>
          <w:highlight w:val="none"/>
          <w:u w:val="single"/>
          <w:lang w:val="en-US" w:eastAsia="zh-CN" w:bidi="ar-SA"/>
        </w:rPr>
        <w:t>（标的名称）</w:t>
      </w:r>
      <w:r>
        <w:rPr>
          <w:rFonts w:hint="eastAsia" w:ascii="宋体" w:hAnsi="宋体" w:eastAsia="宋体" w:cs="宋体"/>
          <w:kern w:val="2"/>
          <w:sz w:val="24"/>
          <w:szCs w:val="18"/>
          <w:highlight w:val="none"/>
          <w:lang w:val="en-US" w:eastAsia="zh-CN" w:bidi="ar-SA"/>
        </w:rPr>
        <w:t>，属于</w:t>
      </w:r>
      <w:r>
        <w:rPr>
          <w:rFonts w:hint="eastAsia" w:ascii="宋体" w:hAnsi="宋体" w:eastAsia="宋体" w:cs="宋体"/>
          <w:kern w:val="2"/>
          <w:sz w:val="24"/>
          <w:szCs w:val="18"/>
          <w:highlight w:val="none"/>
          <w:u w:val="single"/>
          <w:lang w:val="en-US" w:eastAsia="zh-CN" w:bidi="ar-SA"/>
        </w:rPr>
        <w:t>（采购文件中明确的所属行业）</w:t>
      </w:r>
      <w:r>
        <w:rPr>
          <w:rFonts w:hint="eastAsia" w:ascii="宋体" w:hAnsi="宋体" w:eastAsia="宋体" w:cs="宋体"/>
          <w:kern w:val="2"/>
          <w:sz w:val="24"/>
          <w:szCs w:val="18"/>
          <w:highlight w:val="none"/>
          <w:lang w:val="en-US" w:eastAsia="zh-CN" w:bidi="ar-SA"/>
        </w:rPr>
        <w:t>；承建（承接）企业为</w:t>
      </w:r>
      <w:r>
        <w:rPr>
          <w:rFonts w:hint="eastAsia" w:ascii="宋体" w:hAnsi="宋体" w:eastAsia="宋体" w:cs="宋体"/>
          <w:kern w:val="2"/>
          <w:sz w:val="24"/>
          <w:szCs w:val="18"/>
          <w:highlight w:val="none"/>
          <w:u w:val="single"/>
          <w:lang w:val="en-US" w:eastAsia="zh-CN" w:bidi="ar-SA"/>
        </w:rPr>
        <w:t>（企业名称）</w:t>
      </w:r>
      <w:r>
        <w:rPr>
          <w:rFonts w:hint="eastAsia" w:ascii="宋体" w:hAnsi="宋体" w:eastAsia="宋体" w:cs="宋体"/>
          <w:kern w:val="2"/>
          <w:sz w:val="24"/>
          <w:szCs w:val="18"/>
          <w:highlight w:val="none"/>
          <w:lang w:val="en-US" w:eastAsia="zh-CN" w:bidi="ar-SA"/>
        </w:rPr>
        <w:t>，从业人员</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人，营业收入为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万元，资产总额为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万元，属于</w:t>
      </w:r>
      <w:r>
        <w:rPr>
          <w:rFonts w:hint="eastAsia" w:ascii="宋体" w:hAnsi="宋体" w:eastAsia="宋体" w:cs="宋体"/>
          <w:kern w:val="2"/>
          <w:sz w:val="24"/>
          <w:szCs w:val="18"/>
          <w:highlight w:val="none"/>
          <w:u w:val="single"/>
          <w:lang w:val="en-US" w:eastAsia="zh-CN" w:bidi="ar-SA"/>
        </w:rPr>
        <w:t>（中型企业、小型企业、微型企业）</w:t>
      </w:r>
      <w:r>
        <w:rPr>
          <w:rFonts w:hint="eastAsia" w:ascii="宋体" w:hAnsi="宋体" w:eastAsia="宋体" w:cs="宋体"/>
          <w:kern w:val="2"/>
          <w:sz w:val="24"/>
          <w:szCs w:val="18"/>
          <w:highlight w:val="none"/>
          <w:lang w:val="en-US" w:eastAsia="zh-CN" w:bidi="ar-SA"/>
        </w:rPr>
        <w:t>；</w:t>
      </w:r>
    </w:p>
    <w:p>
      <w:pPr>
        <w:pStyle w:val="3"/>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w:t>
      </w:r>
    </w:p>
    <w:p>
      <w:pPr>
        <w:pStyle w:val="3"/>
        <w:keepNext w:val="0"/>
        <w:keepLines w:val="0"/>
        <w:pageBreakBefore w:val="0"/>
        <w:kinsoku/>
        <w:wordWrap/>
        <w:overflowPunct/>
        <w:topLinePunct w:val="0"/>
        <w:autoSpaceDE/>
        <w:autoSpaceDN/>
        <w:bidi w:val="0"/>
        <w:adjustRightInd/>
        <w:snapToGrid/>
        <w:spacing w:before="105" w:line="460" w:lineRule="exact"/>
        <w:ind w:right="417" w:firstLine="480" w:firstLineChars="200"/>
        <w:jc w:val="both"/>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以上企业，不属于大企业的分支机构，不存在控股股东为大企业的情形，也不存在与大企业的负责人为同一人的情形。</w:t>
      </w:r>
    </w:p>
    <w:p>
      <w:pPr>
        <w:pStyle w:val="3"/>
        <w:keepNext w:val="0"/>
        <w:keepLines w:val="0"/>
        <w:pageBreakBefore w:val="0"/>
        <w:kinsoku/>
        <w:wordWrap/>
        <w:overflowPunct/>
        <w:topLinePunct w:val="0"/>
        <w:autoSpaceDE/>
        <w:autoSpaceDN/>
        <w:bidi w:val="0"/>
        <w:adjustRightInd/>
        <w:snapToGrid/>
        <w:spacing w:line="460" w:lineRule="exact"/>
        <w:ind w:right="372" w:firstLine="480" w:firstLineChars="200"/>
        <w:textAlignment w:val="auto"/>
        <w:rPr>
          <w:highlight w:val="none"/>
        </w:rPr>
      </w:pPr>
      <w:r>
        <w:rPr>
          <w:rFonts w:hint="eastAsia" w:ascii="宋体" w:hAnsi="宋体" w:eastAsia="宋体" w:cs="宋体"/>
          <w:kern w:val="2"/>
          <w:sz w:val="24"/>
          <w:szCs w:val="18"/>
          <w:highlight w:val="none"/>
          <w:lang w:val="en-US" w:eastAsia="zh-CN" w:bidi="ar-SA"/>
        </w:rPr>
        <w:t>本企业对上述声明内容的真实性负责。如有虚假，将依法承担相应责任。</w:t>
      </w:r>
    </w:p>
    <w:p>
      <w:pPr>
        <w:tabs>
          <w:tab w:val="left" w:pos="465"/>
          <w:tab w:val="left" w:pos="780"/>
        </w:tabs>
        <w:spacing w:line="360" w:lineRule="auto"/>
        <w:ind w:firstLine="480" w:firstLineChars="200"/>
        <w:rPr>
          <w:rFonts w:hint="eastAsia" w:ascii="宋体" w:hAnsi="宋体" w:eastAsia="宋体"/>
          <w:sz w:val="24"/>
          <w:highlight w:val="none"/>
          <w:lang w:eastAsia="zh-CN"/>
        </w:rPr>
      </w:pPr>
    </w:p>
    <w:p>
      <w:pPr>
        <w:tabs>
          <w:tab w:val="left" w:pos="465"/>
          <w:tab w:val="left" w:pos="780"/>
        </w:tabs>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注：从业人员、营业收入、资产总额填报上一年度数据，无上一年度数据的新成立企业可不填报。</w:t>
      </w:r>
      <w:r>
        <w:rPr>
          <w:rFonts w:hint="eastAsia" w:ascii="宋体" w:hAnsi="宋体" w:eastAsia="宋体"/>
          <w:sz w:val="24"/>
          <w:highlight w:val="none"/>
          <w:lang w:eastAsia="zh-CN"/>
        </w:rPr>
        <w:t>）</w:t>
      </w:r>
    </w:p>
    <w:p>
      <w:pPr>
        <w:pStyle w:val="2"/>
        <w:rPr>
          <w:rFonts w:hint="eastAsia" w:ascii="宋体" w:hAnsi="宋体" w:eastAsia="宋体"/>
          <w:sz w:val="24"/>
          <w:highlight w:val="none"/>
          <w:lang w:eastAsia="zh-CN"/>
        </w:rPr>
      </w:pPr>
    </w:p>
    <w:p>
      <w:pPr>
        <w:pStyle w:val="2"/>
        <w:rPr>
          <w:rFonts w:hint="eastAsia" w:ascii="宋体" w:hAnsi="宋体" w:eastAsia="宋体"/>
          <w:sz w:val="24"/>
          <w:highlight w:val="none"/>
          <w:lang w:val="en-US" w:eastAsia="zh-CN"/>
        </w:rPr>
      </w:pPr>
    </w:p>
    <w:p>
      <w:pPr>
        <w:pStyle w:val="2"/>
        <w:rPr>
          <w:rFonts w:hint="eastAsia" w:ascii="宋体" w:hAnsi="宋体" w:eastAsia="宋体"/>
          <w:sz w:val="24"/>
          <w:highlight w:val="none"/>
          <w:lang w:val="en-US" w:eastAsia="zh-CN"/>
        </w:rPr>
      </w:pPr>
    </w:p>
    <w:p>
      <w:pPr>
        <w:tabs>
          <w:tab w:val="left" w:pos="465"/>
          <w:tab w:val="left" w:pos="780"/>
        </w:tabs>
        <w:spacing w:line="360" w:lineRule="auto"/>
        <w:jc w:val="center"/>
        <w:rPr>
          <w:rFonts w:hint="eastAsia" w:ascii="宋体" w:hAnsi="宋体"/>
          <w:sz w:val="24"/>
          <w:highlight w:val="none"/>
        </w:rPr>
      </w:pPr>
      <w:r>
        <w:rPr>
          <w:rFonts w:hint="eastAsia" w:ascii="宋体" w:hAnsi="宋体" w:eastAsia="宋体"/>
          <w:sz w:val="24"/>
          <w:szCs w:val="24"/>
          <w:highlight w:val="none"/>
          <w:lang w:val="en-US" w:eastAsia="zh-CN"/>
        </w:rPr>
        <w:t xml:space="preserve">               企业名称（盖章）：</w:t>
      </w:r>
      <w:r>
        <w:rPr>
          <w:rFonts w:hint="eastAsia" w:ascii="宋体" w:hAnsi="宋体" w:eastAsia="宋体"/>
          <w:sz w:val="24"/>
          <w:szCs w:val="24"/>
          <w:highlight w:val="none"/>
          <w:u w:val="single"/>
          <w:lang w:val="en-US" w:eastAsia="zh-CN"/>
        </w:rPr>
        <w:t xml:space="preserve">                  </w:t>
      </w:r>
      <w:r>
        <w:rPr>
          <w:rFonts w:hint="eastAsia" w:ascii="宋体" w:hAnsi="宋体" w:eastAsia="宋体"/>
          <w:color w:val="FFFFFF"/>
          <w:sz w:val="24"/>
          <w:szCs w:val="24"/>
          <w:highlight w:val="none"/>
          <w:u w:val="single"/>
          <w:lang w:val="en-US" w:eastAsia="zh-CN"/>
        </w:rPr>
        <w:t>。</w:t>
      </w:r>
    </w:p>
    <w:p>
      <w:pPr>
        <w:jc w:val="both"/>
        <w:rPr>
          <w:rFonts w:hint="eastAsia" w:ascii="宋体" w:hAnsi="宋体"/>
          <w:sz w:val="24"/>
          <w:highlight w:val="none"/>
        </w:rPr>
      </w:pPr>
    </w:p>
    <w:p>
      <w:pPr>
        <w:ind w:firstLine="3360" w:firstLineChars="1400"/>
        <w:jc w:val="both"/>
        <w:rPr>
          <w:rFonts w:ascii="宋体" w:hAnsi="宋体"/>
          <w:highlight w:val="none"/>
        </w:rPr>
      </w:pPr>
      <w:r>
        <w:rPr>
          <w:rFonts w:hint="eastAsia" w:ascii="宋体" w:hAnsi="宋体"/>
          <w:sz w:val="24"/>
          <w:highlight w:val="none"/>
        </w:rPr>
        <w:t>日期：</w:t>
      </w:r>
      <w:r>
        <w:rPr>
          <w:rFonts w:hint="eastAsia" w:ascii="宋体" w:hAnsi="宋体" w:eastAsia="宋体"/>
          <w:sz w:val="24"/>
          <w:szCs w:val="24"/>
          <w:highlight w:val="none"/>
          <w:u w:val="single"/>
          <w:lang w:val="en-US" w:eastAsia="zh-CN"/>
        </w:rPr>
        <w:t xml:space="preserve">                              </w:t>
      </w:r>
      <w:r>
        <w:rPr>
          <w:rFonts w:hint="eastAsia" w:ascii="宋体" w:hAnsi="宋体" w:eastAsia="宋体"/>
          <w:color w:val="FFFFFF"/>
          <w:sz w:val="24"/>
          <w:szCs w:val="24"/>
          <w:highlight w:val="none"/>
          <w:u w:val="single"/>
          <w:lang w:val="en-US" w:eastAsia="zh-CN"/>
        </w:rPr>
        <w:t>。</w:t>
      </w:r>
      <w:r>
        <w:rPr>
          <w:rFonts w:hint="eastAsia" w:ascii="宋体" w:hAnsi="宋体" w:eastAsia="宋体"/>
          <w:sz w:val="24"/>
          <w:szCs w:val="24"/>
          <w:highlight w:val="none"/>
          <w:u w:val="single"/>
          <w:lang w:val="en-US" w:eastAsia="zh-CN"/>
        </w:rPr>
        <w:t xml:space="preserve">                              </w:t>
      </w:r>
      <w:r>
        <w:rPr>
          <w:rFonts w:hint="eastAsia" w:ascii="宋体" w:hAnsi="宋体"/>
          <w:color w:val="FFFFFF"/>
          <w:sz w:val="24"/>
          <w:highlight w:val="none"/>
        </w:rPr>
        <w:t xml:space="preserve"> </w:t>
      </w:r>
    </w:p>
    <w:p>
      <w:pPr>
        <w:pStyle w:val="2"/>
        <w:rPr>
          <w:rFonts w:hint="eastAsia"/>
          <w:lang w:val="en-US" w:eastAsia="zh-CN"/>
        </w:rPr>
      </w:pPr>
      <w:r>
        <w:rPr>
          <w:rFonts w:hint="eastAsia" w:ascii="宋体" w:hAnsi="宋体" w:eastAsia="宋体"/>
          <w:sz w:val="24"/>
          <w:highlight w:val="none"/>
          <w:u w:val="single"/>
          <w:lang w:val="en-US" w:eastAsia="zh-CN"/>
        </w:rPr>
        <w:t xml:space="preserve">                      </w:t>
      </w:r>
      <w:r>
        <w:rPr>
          <w:rFonts w:hint="eastAsia" w:ascii="仿宋_GB2312" w:hAnsi="宋体" w:eastAsia="仿宋_GB2312"/>
          <w:sz w:val="28"/>
          <w:szCs w:val="28"/>
          <w:highlight w:val="none"/>
          <w:u w:val="single"/>
        </w:rPr>
        <w:t xml:space="preserve">   </w:t>
      </w:r>
    </w:p>
    <w:p>
      <w:pPr>
        <w:spacing w:line="360" w:lineRule="auto"/>
        <w:jc w:val="center"/>
        <w:outlineLvl w:val="9"/>
        <w:rPr>
          <w:rFonts w:hint="eastAsia" w:ascii="宋体" w:hAnsi="宋体"/>
          <w:b/>
          <w:bCs/>
          <w:sz w:val="32"/>
          <w:szCs w:val="32"/>
          <w:highlight w:val="none"/>
          <w:lang w:val="en-US" w:eastAsia="zh-CN"/>
        </w:rPr>
      </w:pPr>
      <w:bookmarkStart w:id="1091" w:name="_Toc29094"/>
      <w:bookmarkStart w:id="1092" w:name="OLE_LINK59"/>
    </w:p>
    <w:p>
      <w:pPr>
        <w:spacing w:line="360" w:lineRule="auto"/>
        <w:jc w:val="center"/>
        <w:outlineLvl w:val="9"/>
        <w:rPr>
          <w:rFonts w:hint="eastAsia" w:ascii="宋体" w:hAnsi="宋体"/>
          <w:b/>
          <w:bCs/>
          <w:sz w:val="32"/>
          <w:szCs w:val="32"/>
          <w:highlight w:val="none"/>
          <w:lang w:val="en-US" w:eastAsia="zh-CN"/>
        </w:rPr>
      </w:pPr>
    </w:p>
    <w:p>
      <w:pPr>
        <w:pStyle w:val="2"/>
        <w:rPr>
          <w:rFonts w:hint="eastAsia"/>
          <w:lang w:val="en-US" w:eastAsia="zh-CN"/>
        </w:rPr>
      </w:pPr>
    </w:p>
    <w:p>
      <w:pPr>
        <w:spacing w:line="360" w:lineRule="auto"/>
        <w:jc w:val="center"/>
        <w:outlineLvl w:val="9"/>
        <w:rPr>
          <w:rFonts w:hint="eastAsia" w:ascii="宋体" w:hAnsi="宋体"/>
          <w:b/>
          <w:bCs/>
          <w:sz w:val="32"/>
          <w:szCs w:val="32"/>
          <w:highlight w:val="none"/>
          <w:lang w:val="en-US" w:eastAsia="zh-CN"/>
        </w:rPr>
      </w:pPr>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六</w:t>
      </w:r>
      <w:r>
        <w:rPr>
          <w:rFonts w:hint="eastAsia" w:ascii="宋体" w:hAnsi="宋体"/>
          <w:b/>
          <w:bCs/>
          <w:sz w:val="32"/>
          <w:szCs w:val="32"/>
          <w:highlight w:val="none"/>
        </w:rPr>
        <w:t>、</w:t>
      </w:r>
      <w:bookmarkEnd w:id="1091"/>
      <w:bookmarkEnd w:id="1092"/>
      <w:r>
        <w:rPr>
          <w:rFonts w:hint="eastAsia" w:ascii="宋体" w:hAnsi="宋体"/>
          <w:b/>
          <w:bCs/>
          <w:sz w:val="32"/>
          <w:szCs w:val="32"/>
          <w:highlight w:val="none"/>
        </w:rPr>
        <w:t>施工方案与技术措施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
          <w:bCs/>
          <w:sz w:val="32"/>
          <w:szCs w:val="32"/>
          <w:highlight w:val="none"/>
        </w:rPr>
      </w:pPr>
    </w:p>
    <w:p>
      <w:pPr>
        <w:spacing w:line="360" w:lineRule="auto"/>
        <w:jc w:val="center"/>
        <w:outlineLvl w:val="9"/>
        <w:rPr>
          <w:rFonts w:hint="eastAsia"/>
          <w:b/>
          <w:kern w:val="1"/>
          <w:sz w:val="24"/>
          <w:highlight w:val="none"/>
        </w:rPr>
      </w:pPr>
      <w:r>
        <w:rPr>
          <w:rFonts w:hint="eastAsia"/>
          <w:b/>
          <w:kern w:val="1"/>
          <w:sz w:val="24"/>
          <w:highlight w:val="none"/>
        </w:rPr>
        <w:t>（格式</w:t>
      </w:r>
      <w:r>
        <w:rPr>
          <w:rFonts w:hint="eastAsia"/>
          <w:b/>
          <w:kern w:val="1"/>
          <w:sz w:val="24"/>
          <w:highlight w:val="none"/>
          <w:lang w:val="en-US" w:eastAsia="zh-CN"/>
        </w:rPr>
        <w:t>供应商</w:t>
      </w:r>
      <w:r>
        <w:rPr>
          <w:rFonts w:hint="eastAsia"/>
          <w:b/>
          <w:kern w:val="1"/>
          <w:sz w:val="24"/>
          <w:highlight w:val="none"/>
        </w:rPr>
        <w:t>自拟）</w:t>
      </w:r>
    </w:p>
    <w:p>
      <w:pPr>
        <w:spacing w:line="360" w:lineRule="auto"/>
        <w:jc w:val="both"/>
        <w:outlineLvl w:val="9"/>
        <w:rPr>
          <w:rFonts w:hint="eastAsia" w:ascii="宋体" w:hAnsi="宋体"/>
          <w:b/>
          <w:bCs/>
          <w:sz w:val="32"/>
          <w:szCs w:val="32"/>
          <w:highlight w:val="none"/>
        </w:rPr>
      </w:pPr>
      <w:bookmarkStart w:id="1093" w:name="_Toc356157331"/>
      <w:bookmarkStart w:id="1094" w:name="_Toc245714180"/>
      <w:bookmarkStart w:id="1095" w:name="_Toc307819811"/>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七</w:t>
      </w:r>
      <w:r>
        <w:rPr>
          <w:rFonts w:hint="eastAsia" w:ascii="宋体" w:hAnsi="宋体"/>
          <w:b/>
          <w:bCs/>
          <w:sz w:val="32"/>
          <w:szCs w:val="32"/>
          <w:highlight w:val="none"/>
        </w:rPr>
        <w:t>、质量管理体系与措施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
          <w:bCs/>
          <w:sz w:val="32"/>
          <w:szCs w:val="32"/>
          <w:highlight w:val="none"/>
        </w:rPr>
      </w:pPr>
    </w:p>
    <w:p>
      <w:pPr>
        <w:spacing w:line="360" w:lineRule="auto"/>
        <w:jc w:val="center"/>
        <w:outlineLvl w:val="9"/>
        <w:rPr>
          <w:rFonts w:hint="eastAsia" w:ascii="宋体" w:hAnsi="宋体"/>
          <w:b/>
          <w:bCs/>
          <w:sz w:val="24"/>
          <w:szCs w:val="24"/>
          <w:highlight w:val="none"/>
        </w:rPr>
      </w:pPr>
      <w:r>
        <w:rPr>
          <w:rFonts w:hint="eastAsia" w:ascii="宋体" w:hAnsi="宋体"/>
          <w:b/>
          <w:bCs/>
          <w:sz w:val="24"/>
          <w:szCs w:val="24"/>
          <w:highlight w:val="none"/>
        </w:rPr>
        <w:t>（格式</w:t>
      </w:r>
      <w:r>
        <w:rPr>
          <w:rFonts w:hint="eastAsia"/>
          <w:b/>
          <w:kern w:val="1"/>
          <w:sz w:val="24"/>
          <w:highlight w:val="none"/>
          <w:lang w:val="en-US" w:eastAsia="zh-CN"/>
        </w:rPr>
        <w:t>供应商</w:t>
      </w:r>
      <w:r>
        <w:rPr>
          <w:rFonts w:hint="eastAsia" w:ascii="宋体" w:hAnsi="宋体"/>
          <w:b/>
          <w:bCs/>
          <w:sz w:val="24"/>
          <w:szCs w:val="24"/>
          <w:highlight w:val="none"/>
        </w:rPr>
        <w:t>自拟）</w:t>
      </w:r>
    </w:p>
    <w:p>
      <w:pPr>
        <w:jc w:val="center"/>
        <w:outlineLvl w:val="9"/>
        <w:rPr>
          <w:b/>
          <w:kern w:val="1"/>
          <w:sz w:val="24"/>
          <w:highlight w:val="none"/>
        </w:rPr>
      </w:pPr>
    </w:p>
    <w:p>
      <w:pPr>
        <w:outlineLvl w:val="9"/>
        <w:rPr>
          <w:rFonts w:hint="eastAsia"/>
          <w:highlight w:val="none"/>
        </w:rPr>
      </w:pPr>
    </w:p>
    <w:p>
      <w:pPr>
        <w:outlineLvl w:val="9"/>
        <w:rPr>
          <w:rFonts w:hint="eastAsia"/>
          <w:highlight w:val="none"/>
        </w:rPr>
      </w:pPr>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八</w:t>
      </w:r>
      <w:r>
        <w:rPr>
          <w:rFonts w:hint="eastAsia" w:ascii="宋体" w:hAnsi="宋体"/>
          <w:b/>
          <w:bCs/>
          <w:sz w:val="32"/>
          <w:szCs w:val="32"/>
          <w:highlight w:val="none"/>
        </w:rPr>
        <w:t>、安全管理体系与措施</w:t>
      </w:r>
    </w:p>
    <w:p>
      <w:pPr>
        <w:pStyle w:val="66"/>
        <w:outlineLvl w:val="9"/>
        <w:rPr>
          <w:rFonts w:hint="eastAsia" w:ascii="宋体" w:hAnsi="宋体" w:eastAsia="宋体" w:cs="宋体"/>
          <w:b w:val="0"/>
          <w:bCs/>
          <w:sz w:val="21"/>
          <w:szCs w:val="21"/>
          <w:highlight w:val="none"/>
        </w:rPr>
      </w:pPr>
    </w:p>
    <w:p>
      <w:pPr>
        <w:spacing w:line="360" w:lineRule="auto"/>
        <w:jc w:val="center"/>
        <w:outlineLvl w:val="9"/>
        <w:rPr>
          <w:rFonts w:hint="eastAsia" w:ascii="宋体" w:hAnsi="宋体"/>
          <w:b/>
          <w:bCs/>
          <w:sz w:val="24"/>
          <w:szCs w:val="24"/>
          <w:highlight w:val="none"/>
        </w:rPr>
      </w:pPr>
      <w:r>
        <w:rPr>
          <w:rFonts w:hint="eastAsia" w:ascii="宋体" w:hAnsi="宋体"/>
          <w:b/>
          <w:bCs/>
          <w:sz w:val="24"/>
          <w:szCs w:val="24"/>
          <w:highlight w:val="none"/>
        </w:rPr>
        <w:t>（格式</w:t>
      </w:r>
      <w:r>
        <w:rPr>
          <w:rFonts w:hint="eastAsia"/>
          <w:b/>
          <w:kern w:val="1"/>
          <w:sz w:val="24"/>
          <w:highlight w:val="none"/>
          <w:lang w:val="en-US" w:eastAsia="zh-CN"/>
        </w:rPr>
        <w:t>供应商</w:t>
      </w:r>
      <w:r>
        <w:rPr>
          <w:rFonts w:hint="eastAsia" w:ascii="宋体" w:hAnsi="宋体"/>
          <w:b/>
          <w:bCs/>
          <w:sz w:val="24"/>
          <w:szCs w:val="24"/>
          <w:highlight w:val="none"/>
        </w:rPr>
        <w:t>自拟）</w:t>
      </w:r>
    </w:p>
    <w:p>
      <w:pPr>
        <w:jc w:val="both"/>
        <w:outlineLvl w:val="9"/>
        <w:rPr>
          <w:b/>
          <w:kern w:val="1"/>
          <w:sz w:val="28"/>
          <w:szCs w:val="28"/>
          <w:highlight w:val="none"/>
        </w:rPr>
      </w:pPr>
    </w:p>
    <w:p>
      <w:pPr>
        <w:pStyle w:val="2"/>
        <w:outlineLvl w:val="9"/>
        <w:rPr>
          <w:rFonts w:hint="eastAsia" w:ascii="宋体" w:hAnsi="宋体"/>
          <w:sz w:val="24"/>
          <w:highlight w:val="none"/>
        </w:rPr>
      </w:pPr>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九、</w:t>
      </w:r>
      <w:r>
        <w:rPr>
          <w:rFonts w:hint="eastAsia" w:ascii="宋体" w:hAnsi="宋体"/>
          <w:b/>
          <w:bCs/>
          <w:sz w:val="32"/>
          <w:szCs w:val="32"/>
          <w:highlight w:val="none"/>
        </w:rPr>
        <w:t>环境保护管理体系与措施</w:t>
      </w:r>
    </w:p>
    <w:p>
      <w:pPr>
        <w:pStyle w:val="66"/>
        <w:outlineLvl w:val="9"/>
        <w:rPr>
          <w:rFonts w:hint="eastAsia" w:ascii="宋体" w:hAnsi="宋体" w:eastAsia="宋体" w:cs="宋体"/>
          <w:b w:val="0"/>
          <w:bCs/>
          <w:sz w:val="21"/>
          <w:szCs w:val="21"/>
          <w:highlight w:val="none"/>
        </w:rPr>
      </w:pPr>
    </w:p>
    <w:p>
      <w:pPr>
        <w:pStyle w:val="66"/>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（格式</w:t>
      </w:r>
      <w:r>
        <w:rPr>
          <w:rFonts w:hint="eastAsia"/>
          <w:b/>
          <w:kern w:val="1"/>
          <w:sz w:val="24"/>
          <w:highlight w:val="none"/>
          <w:lang w:val="en-US" w:eastAsia="zh-CN"/>
        </w:rPr>
        <w:t>供应商</w:t>
      </w:r>
      <w:r>
        <w:rPr>
          <w:rFonts w:hint="eastAsia" w:ascii="宋体" w:hAnsi="宋体" w:eastAsia="宋体" w:cs="宋体"/>
          <w:b/>
          <w:bCs w:val="0"/>
          <w:sz w:val="24"/>
          <w:szCs w:val="24"/>
          <w:highlight w:val="none"/>
        </w:rPr>
        <w:t>自拟）</w:t>
      </w:r>
    </w:p>
    <w:p>
      <w:pPr>
        <w:pStyle w:val="2"/>
        <w:outlineLvl w:val="9"/>
        <w:rPr>
          <w:rFonts w:hint="eastAsia" w:ascii="宋体" w:hAnsi="宋体" w:cs="仿宋"/>
          <w:b/>
          <w:bCs/>
          <w:sz w:val="30"/>
          <w:szCs w:val="30"/>
          <w:highlight w:val="none"/>
          <w:lang w:eastAsia="zh-CN"/>
        </w:rPr>
      </w:pPr>
    </w:p>
    <w:p>
      <w:pPr>
        <w:pStyle w:val="2"/>
        <w:outlineLvl w:val="9"/>
        <w:rPr>
          <w:rFonts w:hint="eastAsia" w:ascii="宋体" w:hAnsi="宋体" w:cs="仿宋"/>
          <w:b/>
          <w:bCs/>
          <w:sz w:val="30"/>
          <w:szCs w:val="30"/>
          <w:highlight w:val="none"/>
          <w:lang w:eastAsia="zh-CN"/>
        </w:rPr>
      </w:pPr>
    </w:p>
    <w:p>
      <w:pPr>
        <w:pStyle w:val="2"/>
        <w:outlineLvl w:val="9"/>
        <w:rPr>
          <w:rFonts w:hint="eastAsia" w:ascii="宋体" w:hAnsi="宋体" w:cs="仿宋"/>
          <w:b/>
          <w:bCs/>
          <w:sz w:val="30"/>
          <w:szCs w:val="30"/>
          <w:highlight w:val="none"/>
          <w:lang w:eastAsia="zh-CN"/>
        </w:rPr>
      </w:pPr>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十、</w:t>
      </w:r>
      <w:r>
        <w:rPr>
          <w:rFonts w:hint="eastAsia" w:ascii="宋体" w:hAnsi="宋体"/>
          <w:b/>
          <w:bCs/>
          <w:sz w:val="32"/>
          <w:szCs w:val="32"/>
          <w:highlight w:val="none"/>
        </w:rPr>
        <w:t>施工进度计划及措施</w:t>
      </w:r>
    </w:p>
    <w:p>
      <w:pPr>
        <w:pStyle w:val="66"/>
        <w:outlineLvl w:val="9"/>
        <w:rPr>
          <w:rFonts w:hint="eastAsia" w:ascii="宋体" w:hAnsi="宋体" w:eastAsia="宋体" w:cs="宋体"/>
          <w:b w:val="0"/>
          <w:bCs/>
          <w:sz w:val="21"/>
          <w:szCs w:val="21"/>
          <w:highlight w:val="none"/>
        </w:rPr>
      </w:pPr>
    </w:p>
    <w:p>
      <w:pPr>
        <w:pStyle w:val="66"/>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（格式</w:t>
      </w:r>
      <w:r>
        <w:rPr>
          <w:rFonts w:hint="eastAsia"/>
          <w:b/>
          <w:kern w:val="1"/>
          <w:sz w:val="24"/>
          <w:highlight w:val="none"/>
          <w:lang w:val="en-US" w:eastAsia="zh-CN"/>
        </w:rPr>
        <w:t>供应商</w:t>
      </w:r>
      <w:r>
        <w:rPr>
          <w:rFonts w:hint="eastAsia" w:ascii="宋体" w:hAnsi="宋体" w:eastAsia="宋体" w:cs="宋体"/>
          <w:b/>
          <w:bCs w:val="0"/>
          <w:sz w:val="24"/>
          <w:szCs w:val="24"/>
          <w:highlight w:val="none"/>
        </w:rPr>
        <w:t>自拟）</w:t>
      </w:r>
    </w:p>
    <w:p>
      <w:pPr>
        <w:jc w:val="center"/>
        <w:outlineLvl w:val="9"/>
        <w:rPr>
          <w:rFonts w:hint="eastAsia"/>
          <w:b/>
          <w:kern w:val="1"/>
          <w:sz w:val="28"/>
          <w:szCs w:val="28"/>
          <w:highlight w:val="none"/>
        </w:rPr>
      </w:pPr>
    </w:p>
    <w:p>
      <w:pPr>
        <w:pStyle w:val="3"/>
        <w:outlineLvl w:val="9"/>
        <w:rPr>
          <w:rFonts w:hint="eastAsia"/>
          <w:highlight w:val="none"/>
        </w:rPr>
      </w:pPr>
    </w:p>
    <w:p>
      <w:pPr>
        <w:pStyle w:val="66"/>
        <w:jc w:val="center"/>
        <w:outlineLvl w:val="9"/>
        <w:rPr>
          <w:rFonts w:hint="eastAsia" w:ascii="宋体" w:hAnsi="宋体"/>
          <w:b/>
          <w:bCs/>
          <w:kern w:val="2"/>
          <w:sz w:val="32"/>
          <w:szCs w:val="32"/>
          <w:highlight w:val="none"/>
          <w:lang w:val="en-US" w:eastAsia="zh-CN" w:bidi="ar-SA"/>
        </w:rPr>
      </w:pPr>
      <w:r>
        <w:rPr>
          <w:rFonts w:hint="eastAsia" w:hAnsi="宋体"/>
          <w:b/>
          <w:bCs/>
          <w:kern w:val="2"/>
          <w:sz w:val="32"/>
          <w:szCs w:val="32"/>
          <w:highlight w:val="none"/>
          <w:lang w:val="en-US" w:eastAsia="zh-CN" w:bidi="ar-SA"/>
        </w:rPr>
        <w:t>十一</w:t>
      </w:r>
      <w:r>
        <w:rPr>
          <w:rFonts w:hint="eastAsia" w:ascii="宋体" w:hAnsi="宋体"/>
          <w:b/>
          <w:bCs/>
          <w:kern w:val="2"/>
          <w:sz w:val="32"/>
          <w:szCs w:val="32"/>
          <w:highlight w:val="none"/>
          <w:lang w:val="en-US" w:eastAsia="zh-CN" w:bidi="ar-SA"/>
        </w:rPr>
        <w:t>、资源配备计划</w:t>
      </w:r>
    </w:p>
    <w:p>
      <w:pPr>
        <w:pStyle w:val="66"/>
        <w:jc w:val="center"/>
        <w:outlineLvl w:val="9"/>
        <w:rPr>
          <w:rFonts w:hint="eastAsia" w:ascii="宋体" w:hAnsi="宋体"/>
          <w:b/>
          <w:bCs/>
          <w:kern w:val="2"/>
          <w:sz w:val="10"/>
          <w:szCs w:val="10"/>
          <w:highlight w:val="none"/>
          <w:lang w:val="en-US" w:eastAsia="zh-CN" w:bidi="ar-SA"/>
        </w:rPr>
      </w:pPr>
    </w:p>
    <w:p>
      <w:pPr>
        <w:pStyle w:val="66"/>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（格式</w:t>
      </w:r>
      <w:r>
        <w:rPr>
          <w:rFonts w:hint="eastAsia"/>
          <w:b/>
          <w:kern w:val="1"/>
          <w:sz w:val="24"/>
          <w:highlight w:val="none"/>
          <w:lang w:val="en-US" w:eastAsia="zh-CN"/>
        </w:rPr>
        <w:t>供应商</w:t>
      </w:r>
      <w:r>
        <w:rPr>
          <w:rFonts w:hint="eastAsia" w:ascii="宋体" w:hAnsi="宋体" w:eastAsia="宋体" w:cs="宋体"/>
          <w:b/>
          <w:bCs w:val="0"/>
          <w:sz w:val="24"/>
          <w:szCs w:val="24"/>
          <w:highlight w:val="none"/>
        </w:rPr>
        <w:t>自拟）</w:t>
      </w:r>
    </w:p>
    <w:p>
      <w:pPr>
        <w:pStyle w:val="66"/>
        <w:outlineLvl w:val="9"/>
        <w:rPr>
          <w:rFonts w:hint="eastAsia" w:ascii="宋体" w:hAnsi="宋体" w:eastAsia="宋体" w:cs="宋体"/>
          <w:b w:val="0"/>
          <w:bCs/>
          <w:sz w:val="21"/>
          <w:szCs w:val="21"/>
          <w:highlight w:val="none"/>
        </w:rPr>
      </w:pPr>
    </w:p>
    <w:p>
      <w:pPr>
        <w:spacing w:before="280" w:after="290" w:line="360" w:lineRule="exact"/>
        <w:jc w:val="both"/>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附表一：拟投入本工程的主要施工设备表</w:t>
      </w:r>
    </w:p>
    <w:tbl>
      <w:tblPr>
        <w:tblStyle w:val="24"/>
        <w:tblW w:w="0" w:type="auto"/>
        <w:jc w:val="center"/>
        <w:tblLayout w:type="fixed"/>
        <w:tblCellMar>
          <w:top w:w="0" w:type="dxa"/>
          <w:left w:w="108" w:type="dxa"/>
          <w:bottom w:w="0" w:type="dxa"/>
          <w:right w:w="108" w:type="dxa"/>
        </w:tblCellMar>
      </w:tblPr>
      <w:tblGrid>
        <w:gridCol w:w="717"/>
        <w:gridCol w:w="1176"/>
        <w:gridCol w:w="791"/>
        <w:gridCol w:w="812"/>
        <w:gridCol w:w="812"/>
        <w:gridCol w:w="1072"/>
        <w:gridCol w:w="936"/>
        <w:gridCol w:w="835"/>
        <w:gridCol w:w="939"/>
        <w:gridCol w:w="835"/>
      </w:tblGrid>
      <w:tr>
        <w:tblPrEx>
          <w:tblCellMar>
            <w:top w:w="0" w:type="dxa"/>
            <w:left w:w="108" w:type="dxa"/>
            <w:bottom w:w="0" w:type="dxa"/>
            <w:right w:w="108" w:type="dxa"/>
          </w:tblCellMar>
        </w:tblPrEx>
        <w:trPr>
          <w:trHeight w:val="91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序号</w:t>
            </w:r>
          </w:p>
        </w:tc>
        <w:tc>
          <w:tcPr>
            <w:tcW w:w="1176"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设备名称</w:t>
            </w:r>
          </w:p>
        </w:tc>
        <w:tc>
          <w:tcPr>
            <w:tcW w:w="791"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型号</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规格</w:t>
            </w:r>
          </w:p>
        </w:tc>
        <w:tc>
          <w:tcPr>
            <w:tcW w:w="812"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数量</w:t>
            </w:r>
          </w:p>
        </w:tc>
        <w:tc>
          <w:tcPr>
            <w:tcW w:w="812"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国别</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产地</w:t>
            </w:r>
          </w:p>
        </w:tc>
        <w:tc>
          <w:tcPr>
            <w:tcW w:w="1072"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制造</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年份</w:t>
            </w:r>
          </w:p>
        </w:tc>
        <w:tc>
          <w:tcPr>
            <w:tcW w:w="936"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额定</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功率</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 KW )</w:t>
            </w:r>
          </w:p>
        </w:tc>
        <w:tc>
          <w:tcPr>
            <w:tcW w:w="835"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生产</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能力</w:t>
            </w:r>
          </w:p>
        </w:tc>
        <w:tc>
          <w:tcPr>
            <w:tcW w:w="939" w:type="dxa"/>
            <w:tcBorders>
              <w:top w:val="single" w:color="auto" w:sz="4" w:space="0"/>
              <w:left w:val="nil"/>
              <w:bottom w:val="single" w:color="auto" w:sz="4" w:space="0"/>
              <w:right w:val="single" w:color="auto" w:sz="4" w:space="0"/>
            </w:tcBorders>
            <w:noWrap w:val="0"/>
            <w:vAlign w:val="center"/>
          </w:tcPr>
          <w:p>
            <w:pP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用于施</w:t>
            </w:r>
          </w:p>
          <w:p>
            <w:pP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工部位</w:t>
            </w:r>
          </w:p>
        </w:tc>
        <w:tc>
          <w:tcPr>
            <w:tcW w:w="835"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备注</w:t>
            </w: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ind w:firstLine="480" w:firstLineChars="200"/>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bl>
    <w:p>
      <w:pPr>
        <w:outlineLvl w:val="9"/>
        <w:rPr>
          <w:rFonts w:hint="eastAsia" w:ascii="宋体" w:hAnsi="宋体" w:eastAsia="宋体" w:cs="宋体"/>
          <w:b w:val="0"/>
          <w:bCs/>
          <w:highlight w:val="none"/>
        </w:rPr>
      </w:pPr>
      <w:r>
        <w:rPr>
          <w:rFonts w:hint="eastAsia" w:ascii="宋体" w:hAnsi="宋体" w:eastAsia="宋体" w:cs="宋体"/>
          <w:b w:val="0"/>
          <w:bCs/>
          <w:highlight w:val="none"/>
        </w:rPr>
        <w:t xml:space="preserve"> </w:t>
      </w:r>
    </w:p>
    <w:p>
      <w:pPr>
        <w:spacing w:before="280" w:after="290" w:line="40" w:lineRule="exact"/>
        <w:jc w:val="left"/>
        <w:outlineLvl w:val="9"/>
        <w:rPr>
          <w:rFonts w:hint="eastAsia" w:ascii="宋体" w:hAnsi="宋体" w:eastAsia="宋体" w:cs="宋体"/>
          <w:b w:val="0"/>
          <w:bCs/>
          <w:szCs w:val="21"/>
          <w:highlight w:val="none"/>
        </w:rPr>
      </w:pPr>
    </w:p>
    <w:p>
      <w:pPr>
        <w:pStyle w:val="3"/>
        <w:outlineLvl w:val="9"/>
        <w:rPr>
          <w:rFonts w:hint="eastAsia" w:ascii="宋体" w:hAnsi="宋体" w:eastAsia="宋体" w:cs="宋体"/>
          <w:b w:val="0"/>
          <w:bCs/>
          <w:szCs w:val="21"/>
          <w:highlight w:val="none"/>
        </w:rPr>
      </w:pPr>
    </w:p>
    <w:p>
      <w:pPr>
        <w:outlineLvl w:val="9"/>
        <w:rPr>
          <w:rFonts w:hint="eastAsia"/>
          <w:highlight w:val="none"/>
        </w:rPr>
      </w:pPr>
    </w:p>
    <w:p>
      <w:pPr>
        <w:pStyle w:val="3"/>
        <w:outlineLvl w:val="9"/>
        <w:rPr>
          <w:rFonts w:hint="eastAsia"/>
          <w:highlight w:val="none"/>
        </w:rPr>
      </w:pPr>
    </w:p>
    <w:p>
      <w:pPr>
        <w:spacing w:before="280" w:after="290" w:line="360" w:lineRule="exact"/>
        <w:jc w:val="center"/>
        <w:outlineLvl w:val="9"/>
        <w:rPr>
          <w:rFonts w:hint="eastAsia" w:ascii="宋体" w:hAnsi="宋体" w:eastAsia="宋体" w:cs="宋体"/>
          <w:b w:val="0"/>
          <w:bCs/>
          <w:sz w:val="24"/>
          <w:highlight w:val="none"/>
        </w:rPr>
      </w:pPr>
    </w:p>
    <w:p>
      <w:pPr>
        <w:spacing w:before="280" w:after="290" w:line="360" w:lineRule="exact"/>
        <w:jc w:val="both"/>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附表</w:t>
      </w:r>
      <w:r>
        <w:rPr>
          <w:rFonts w:hint="eastAsia" w:ascii="宋体" w:hAnsi="宋体" w:eastAsia="宋体" w:cs="宋体"/>
          <w:b w:val="0"/>
          <w:bCs/>
          <w:sz w:val="24"/>
          <w:highlight w:val="none"/>
          <w:lang w:val="en-US" w:eastAsia="zh-CN"/>
        </w:rPr>
        <w:t>二</w:t>
      </w:r>
      <w:r>
        <w:rPr>
          <w:rFonts w:hint="eastAsia" w:ascii="宋体" w:hAnsi="宋体" w:eastAsia="宋体" w:cs="宋体"/>
          <w:b w:val="0"/>
          <w:bCs/>
          <w:sz w:val="24"/>
          <w:highlight w:val="none"/>
        </w:rPr>
        <w:t>：劳动力计划表</w:t>
      </w:r>
    </w:p>
    <w:p>
      <w:pPr>
        <w:spacing w:line="360" w:lineRule="auto"/>
        <w:ind w:firstLine="7920" w:firstLineChars="330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单位：人</w:t>
      </w:r>
    </w:p>
    <w:tbl>
      <w:tblPr>
        <w:tblStyle w:val="24"/>
        <w:tblW w:w="0" w:type="auto"/>
        <w:tblInd w:w="0" w:type="dxa"/>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tblPrEx>
          <w:tblCellMar>
            <w:top w:w="0" w:type="dxa"/>
            <w:left w:w="108" w:type="dxa"/>
            <w:bottom w:w="0" w:type="dxa"/>
            <w:right w:w="108" w:type="dxa"/>
          </w:tblCellMar>
        </w:tblPrEx>
        <w:trPr>
          <w:trHeight w:val="907" w:hRule="atLeast"/>
        </w:trPr>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工种</w:t>
            </w:r>
          </w:p>
        </w:tc>
        <w:tc>
          <w:tcPr>
            <w:tcW w:w="8802" w:type="dxa"/>
            <w:gridSpan w:val="7"/>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按工程施工阶段投入劳动力情况</w:t>
            </w: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bl>
    <w:p>
      <w:pPr>
        <w:pStyle w:val="66"/>
        <w:outlineLvl w:val="9"/>
        <w:rPr>
          <w:rFonts w:hint="eastAsia" w:ascii="宋体" w:hAnsi="宋体" w:eastAsia="宋体" w:cs="宋体"/>
          <w:b w:val="0"/>
          <w:bCs/>
          <w:highlight w:val="none"/>
        </w:rPr>
      </w:pPr>
    </w:p>
    <w:p>
      <w:pPr>
        <w:pStyle w:val="66"/>
        <w:outlineLvl w:val="9"/>
        <w:rPr>
          <w:rFonts w:hint="eastAsia" w:ascii="宋体" w:hAnsi="宋体" w:eastAsia="宋体" w:cs="宋体"/>
          <w:b w:val="0"/>
          <w:bCs/>
          <w:highlight w:val="none"/>
        </w:rPr>
      </w:pPr>
    </w:p>
    <w:p>
      <w:pPr>
        <w:pStyle w:val="66"/>
        <w:outlineLvl w:val="9"/>
        <w:rPr>
          <w:rFonts w:hint="eastAsia" w:ascii="宋体" w:hAnsi="宋体" w:eastAsia="宋体" w:cs="宋体"/>
          <w:b w:val="0"/>
          <w:bCs/>
          <w:highlight w:val="none"/>
        </w:rPr>
      </w:pPr>
    </w:p>
    <w:p>
      <w:pPr>
        <w:pStyle w:val="66"/>
        <w:jc w:val="both"/>
        <w:outlineLvl w:val="9"/>
        <w:rPr>
          <w:rFonts w:hint="eastAsia" w:ascii="宋体" w:hAnsi="宋体" w:eastAsia="宋体" w:cs="宋体"/>
          <w:b w:val="0"/>
          <w:bCs/>
          <w:highlight w:val="none"/>
        </w:rPr>
      </w:pPr>
    </w:p>
    <w:p>
      <w:pPr>
        <w:pStyle w:val="66"/>
        <w:jc w:val="both"/>
        <w:outlineLvl w:val="9"/>
        <w:rPr>
          <w:rFonts w:hint="eastAsia" w:ascii="宋体" w:hAnsi="宋体" w:eastAsia="宋体" w:cs="宋体"/>
          <w:b w:val="0"/>
          <w:bCs/>
          <w:highlight w:val="none"/>
        </w:rPr>
      </w:pPr>
    </w:p>
    <w:p>
      <w:pPr>
        <w:pStyle w:val="66"/>
        <w:outlineLvl w:val="9"/>
        <w:rPr>
          <w:rFonts w:hint="eastAsia" w:ascii="宋体" w:hAnsi="宋体"/>
          <w:b/>
          <w:bCs/>
          <w:kern w:val="2"/>
          <w:sz w:val="32"/>
          <w:szCs w:val="32"/>
          <w:highlight w:val="none"/>
          <w:lang w:val="en-US" w:eastAsia="zh-CN" w:bidi="ar-SA"/>
        </w:rPr>
      </w:pPr>
      <w:r>
        <w:rPr>
          <w:rFonts w:hint="eastAsia" w:hAnsi="宋体"/>
          <w:b/>
          <w:bCs/>
          <w:kern w:val="2"/>
          <w:sz w:val="32"/>
          <w:szCs w:val="32"/>
          <w:highlight w:val="none"/>
          <w:lang w:val="en-US" w:eastAsia="zh-CN" w:bidi="ar-SA"/>
        </w:rPr>
        <w:t>十二、</w:t>
      </w:r>
      <w:r>
        <w:rPr>
          <w:rFonts w:hint="eastAsia" w:ascii="宋体" w:hAnsi="宋体"/>
          <w:b/>
          <w:bCs/>
          <w:kern w:val="2"/>
          <w:sz w:val="32"/>
          <w:szCs w:val="32"/>
          <w:highlight w:val="none"/>
          <w:lang w:val="en-US" w:eastAsia="zh-CN" w:bidi="ar-SA"/>
        </w:rPr>
        <w:t>近年完成的类似项目情况表</w:t>
      </w:r>
    </w:p>
    <w:p>
      <w:pPr>
        <w:spacing w:before="280" w:after="290" w:line="360" w:lineRule="exact"/>
        <w:jc w:val="center"/>
        <w:outlineLvl w:val="9"/>
        <w:rPr>
          <w:rFonts w:hint="eastAsia"/>
          <w:highlight w:val="none"/>
          <w:lang w:val="en-US" w:eastAsia="zh-CN"/>
        </w:rPr>
      </w:pPr>
      <w:r>
        <w:rPr>
          <w:rFonts w:hint="eastAsia" w:ascii="宋体" w:hAnsi="宋体" w:eastAsia="宋体" w:cs="宋体"/>
          <w:b w:val="0"/>
          <w:bCs/>
          <w:sz w:val="24"/>
          <w:highlight w:val="none"/>
          <w:lang w:val="en-US" w:eastAsia="zh-CN"/>
        </w:rPr>
        <w:t>附表一：汇总表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94"/>
        <w:gridCol w:w="1539"/>
        <w:gridCol w:w="1963"/>
        <w:gridCol w:w="1963"/>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810" w:type="dxa"/>
            <w:gridSpan w:val="6"/>
            <w:noWrap w:val="0"/>
            <w:vAlign w:val="center"/>
          </w:tcPr>
          <w:p>
            <w:pPr>
              <w:pStyle w:val="66"/>
              <w:widowControl/>
              <w:numPr>
                <w:ilvl w:val="0"/>
                <w:numId w:val="0"/>
              </w:numPr>
              <w:jc w:val="center"/>
              <w:outlineLvl w:val="9"/>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企业类似业绩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序号</w:t>
            </w: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hAnsi="宋体" w:eastAsia="宋体" w:cs="宋体"/>
                <w:b w:val="0"/>
                <w:bCs/>
                <w:sz w:val="24"/>
                <w:szCs w:val="24"/>
                <w:highlight w:val="none"/>
                <w:vertAlign w:val="baseline"/>
                <w:lang w:val="en-US" w:eastAsia="zh-CN"/>
              </w:rPr>
              <w:t>开、竣工时间</w:t>
            </w: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项目名称</w:t>
            </w:r>
          </w:p>
        </w:tc>
        <w:tc>
          <w:tcPr>
            <w:tcW w:w="1963" w:type="dxa"/>
            <w:noWrap w:val="0"/>
            <w:vAlign w:val="center"/>
          </w:tcPr>
          <w:p>
            <w:pPr>
              <w:pStyle w:val="66"/>
              <w:widowControl/>
              <w:numPr>
                <w:ilvl w:val="0"/>
                <w:numId w:val="0"/>
              </w:numPr>
              <w:jc w:val="center"/>
              <w:outlineLvl w:val="9"/>
              <w:rPr>
                <w:rFonts w:hint="default" w:ascii="宋体" w:hAnsi="宋体" w:eastAsia="宋体" w:cs="宋体"/>
                <w:b w:val="0"/>
                <w:bCs/>
                <w:sz w:val="24"/>
                <w:szCs w:val="24"/>
                <w:highlight w:val="none"/>
                <w:vertAlign w:val="baseline"/>
                <w:lang w:val="en-US" w:eastAsia="zh-CN"/>
              </w:rPr>
            </w:pPr>
            <w:r>
              <w:rPr>
                <w:rFonts w:hint="eastAsia" w:hAnsi="宋体" w:eastAsia="宋体" w:cs="宋体"/>
                <w:b w:val="0"/>
                <w:bCs/>
                <w:sz w:val="24"/>
                <w:szCs w:val="24"/>
                <w:highlight w:val="none"/>
                <w:vertAlign w:val="baseline"/>
                <w:lang w:val="en-US" w:eastAsia="zh-CN"/>
              </w:rPr>
              <w:t>项目经理</w:t>
            </w: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中标金额</w:t>
            </w: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0" w:type="dxa"/>
            <w:noWrap w:val="0"/>
            <w:vAlign w:val="center"/>
          </w:tcPr>
          <w:p>
            <w:pPr>
              <w:pStyle w:val="66"/>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bl>
    <w:p>
      <w:pPr>
        <w:spacing w:before="280" w:after="290" w:line="360" w:lineRule="exact"/>
        <w:jc w:val="center"/>
        <w:outlineLvl w:val="9"/>
        <w:rPr>
          <w:rFonts w:hint="eastAsia" w:ascii="宋体" w:hAnsi="宋体" w:eastAsia="宋体" w:cs="宋体"/>
          <w:b w:val="0"/>
          <w:bCs/>
          <w:highlight w:val="none"/>
          <w:lang w:val="en-US" w:eastAsia="zh-CN"/>
        </w:rPr>
      </w:pPr>
    </w:p>
    <w:p>
      <w:pPr>
        <w:pStyle w:val="3"/>
        <w:outlineLvl w:val="9"/>
        <w:rPr>
          <w:rFonts w:hint="eastAsia" w:ascii="宋体" w:hAnsi="宋体" w:eastAsia="宋体" w:cs="宋体"/>
          <w:b w:val="0"/>
          <w:bCs/>
          <w:highlight w:val="none"/>
          <w:lang w:val="en-US" w:eastAsia="zh-CN"/>
        </w:rPr>
      </w:pPr>
    </w:p>
    <w:p>
      <w:pPr>
        <w:outlineLvl w:val="9"/>
        <w:rPr>
          <w:rFonts w:hint="eastAsia" w:ascii="宋体" w:hAnsi="宋体" w:eastAsia="宋体" w:cs="宋体"/>
          <w:b w:val="0"/>
          <w:bCs/>
          <w:highlight w:val="none"/>
          <w:lang w:val="en-US" w:eastAsia="zh-CN"/>
        </w:rPr>
      </w:pPr>
    </w:p>
    <w:p>
      <w:pPr>
        <w:pStyle w:val="3"/>
        <w:outlineLvl w:val="9"/>
        <w:rPr>
          <w:rFonts w:hint="eastAsia" w:ascii="宋体" w:hAnsi="宋体" w:eastAsia="宋体" w:cs="宋体"/>
          <w:b w:val="0"/>
          <w:bCs/>
          <w:highlight w:val="none"/>
          <w:lang w:val="en-US" w:eastAsia="zh-CN"/>
        </w:rPr>
      </w:pPr>
    </w:p>
    <w:p>
      <w:pPr>
        <w:outlineLvl w:val="9"/>
        <w:rPr>
          <w:rFonts w:hint="eastAsia" w:ascii="宋体" w:hAnsi="宋体" w:eastAsia="宋体" w:cs="宋体"/>
          <w:b w:val="0"/>
          <w:bCs/>
          <w:highlight w:val="none"/>
          <w:lang w:val="en-US" w:eastAsia="zh-CN"/>
        </w:rPr>
      </w:pPr>
    </w:p>
    <w:p>
      <w:pPr>
        <w:pStyle w:val="3"/>
        <w:outlineLvl w:val="9"/>
        <w:rPr>
          <w:rFonts w:hint="eastAsia" w:ascii="宋体" w:hAnsi="宋体" w:eastAsia="宋体" w:cs="宋体"/>
          <w:b w:val="0"/>
          <w:bCs/>
          <w:highlight w:val="none"/>
          <w:lang w:val="en-US" w:eastAsia="zh-CN"/>
        </w:rPr>
      </w:pPr>
    </w:p>
    <w:p>
      <w:pPr>
        <w:outlineLvl w:val="9"/>
        <w:rPr>
          <w:rFonts w:hint="eastAsia"/>
          <w:highlight w:val="none"/>
          <w:lang w:val="en-US" w:eastAsia="zh-CN"/>
        </w:rPr>
      </w:pPr>
    </w:p>
    <w:p>
      <w:pPr>
        <w:outlineLvl w:val="9"/>
        <w:rPr>
          <w:rFonts w:hint="eastAsia"/>
          <w:highlight w:val="none"/>
          <w:lang w:val="en-US" w:eastAsia="zh-CN"/>
        </w:rPr>
      </w:pPr>
    </w:p>
    <w:p>
      <w:pPr>
        <w:pStyle w:val="3"/>
        <w:rPr>
          <w:rFonts w:hint="eastAsia"/>
          <w:highlight w:val="none"/>
          <w:lang w:val="en-US" w:eastAsia="zh-CN"/>
        </w:rPr>
      </w:pPr>
    </w:p>
    <w:p>
      <w:pPr>
        <w:spacing w:before="280" w:after="290" w:line="360" w:lineRule="exact"/>
        <w:jc w:val="center"/>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附表二：</w:t>
      </w:r>
      <w:r>
        <w:rPr>
          <w:rFonts w:hint="eastAsia" w:ascii="宋体" w:hAnsi="宋体" w:eastAsia="宋体" w:cs="宋体"/>
          <w:b w:val="0"/>
          <w:bCs/>
          <w:sz w:val="24"/>
          <w:szCs w:val="24"/>
          <w:highlight w:val="none"/>
        </w:rPr>
        <w:t>近年完成的类似项目情况表</w:t>
      </w:r>
    </w:p>
    <w:tbl>
      <w:tblPr>
        <w:tblStyle w:val="24"/>
        <w:tblpPr w:leftFromText="180" w:rightFromText="180" w:vertAnchor="text" w:horzAnchor="page" w:tblpX="1152"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项目名称</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项目所在地</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发包人名称</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发包人地址</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发包人电话</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合同价格</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开工日期</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highlight w:val="none"/>
              </w:rPr>
              <w:t>竣工</w:t>
            </w:r>
            <w:r>
              <w:rPr>
                <w:rFonts w:hint="eastAsia" w:ascii="宋体" w:hAnsi="宋体" w:eastAsia="宋体" w:cs="宋体"/>
                <w:b w:val="0"/>
                <w:bCs/>
                <w:szCs w:val="21"/>
                <w:highlight w:val="none"/>
              </w:rPr>
              <w:t>日期</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承担的工作</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工程质量</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623" w:type="dxa"/>
            <w:noWrap w:val="0"/>
            <w:vAlign w:val="center"/>
          </w:tcPr>
          <w:p>
            <w:pPr>
              <w:topLinePunct/>
              <w:spacing w:line="440" w:lineRule="exact"/>
              <w:jc w:val="center"/>
              <w:outlineLvl w:val="9"/>
              <w:rPr>
                <w:rFonts w:hint="default" w:ascii="宋体" w:hAnsi="宋体" w:eastAsia="宋体" w:cs="宋体"/>
                <w:b w:val="0"/>
                <w:bCs/>
                <w:szCs w:val="21"/>
                <w:highlight w:val="none"/>
                <w:lang w:val="en-US" w:eastAsia="zh-CN"/>
              </w:rPr>
            </w:pPr>
            <w:r>
              <w:rPr>
                <w:rFonts w:hint="eastAsia" w:ascii="宋体" w:hAnsi="宋体" w:eastAsia="宋体" w:cs="宋体"/>
                <w:b w:val="0"/>
                <w:bCs/>
                <w:szCs w:val="21"/>
                <w:highlight w:val="none"/>
              </w:rPr>
              <w:t>项目</w:t>
            </w:r>
            <w:r>
              <w:rPr>
                <w:rFonts w:hint="eastAsia" w:ascii="宋体" w:hAnsi="宋体" w:eastAsia="宋体" w:cs="宋体"/>
                <w:b w:val="0"/>
                <w:bCs/>
                <w:szCs w:val="21"/>
                <w:highlight w:val="none"/>
                <w:lang w:val="en-US" w:eastAsia="zh-CN"/>
              </w:rPr>
              <w:t>经理</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技术负责人</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总监理工程师及电话</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项目描述</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p>
            <w:pPr>
              <w:topLinePunct/>
              <w:spacing w:line="440" w:lineRule="exact"/>
              <w:outlineLvl w:val="9"/>
              <w:rPr>
                <w:rFonts w:hint="eastAsia" w:ascii="宋体" w:hAnsi="宋体" w:eastAsia="宋体" w:cs="宋体"/>
                <w:b w:val="0"/>
                <w:bCs/>
                <w:szCs w:val="21"/>
                <w:highlight w:val="none"/>
              </w:rPr>
            </w:pPr>
          </w:p>
          <w:p>
            <w:pPr>
              <w:topLinePunct/>
              <w:spacing w:line="440" w:lineRule="exact"/>
              <w:outlineLvl w:val="9"/>
              <w:rPr>
                <w:rFonts w:hint="eastAsia" w:ascii="宋体" w:hAnsi="宋体" w:eastAsia="宋体" w:cs="宋体"/>
                <w:b w:val="0"/>
                <w:bCs/>
                <w:szCs w:val="21"/>
                <w:highlight w:val="none"/>
              </w:rPr>
            </w:pPr>
          </w:p>
          <w:p>
            <w:pPr>
              <w:topLinePunct/>
              <w:spacing w:line="440" w:lineRule="exact"/>
              <w:outlineLvl w:val="9"/>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23" w:type="dxa"/>
            <w:noWrap w:val="0"/>
            <w:vAlign w:val="center"/>
          </w:tcPr>
          <w:p>
            <w:pPr>
              <w:topLinePunct/>
              <w:spacing w:line="440" w:lineRule="exact"/>
              <w:jc w:val="cente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备注</w:t>
            </w:r>
          </w:p>
        </w:tc>
        <w:tc>
          <w:tcPr>
            <w:tcW w:w="7231" w:type="dxa"/>
            <w:noWrap w:val="0"/>
            <w:vAlign w:val="top"/>
          </w:tcPr>
          <w:p>
            <w:pPr>
              <w:topLinePunct/>
              <w:spacing w:line="440" w:lineRule="exact"/>
              <w:outlineLvl w:val="9"/>
              <w:rPr>
                <w:rFonts w:hint="eastAsia" w:ascii="宋体" w:hAnsi="宋体" w:eastAsia="宋体" w:cs="宋体"/>
                <w:b w:val="0"/>
                <w:bCs/>
                <w:szCs w:val="21"/>
                <w:highlight w:val="none"/>
              </w:rPr>
            </w:pPr>
          </w:p>
        </w:tc>
      </w:tr>
    </w:tbl>
    <w:p>
      <w:pPr>
        <w:spacing w:line="400" w:lineRule="exact"/>
        <w:outlineLvl w:val="9"/>
        <w:rPr>
          <w:rFonts w:hint="eastAsia" w:ascii="宋体" w:hAnsi="宋体" w:eastAsia="宋体" w:cs="宋体"/>
          <w:b w:val="0"/>
          <w:bCs/>
          <w:highlight w:val="none"/>
        </w:rPr>
      </w:pPr>
      <w:r>
        <w:rPr>
          <w:rFonts w:hint="eastAsia" w:ascii="宋体" w:hAnsi="宋体" w:eastAsia="宋体" w:cs="宋体"/>
          <w:b w:val="0"/>
          <w:bCs/>
          <w:highlight w:val="none"/>
        </w:rPr>
        <w:t xml:space="preserve"> </w:t>
      </w:r>
    </w:p>
    <w:p>
      <w:pP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注：1.每张表格只填写一个工程，并标明表序；</w:t>
      </w:r>
    </w:p>
    <w:p>
      <w:pPr>
        <w:numPr>
          <w:ilvl w:val="0"/>
          <w:numId w:val="4"/>
        </w:numPr>
        <w:ind w:left="630" w:leftChars="200" w:hanging="210" w:hangingChars="100"/>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类似项目业绩须附</w:t>
      </w:r>
      <w:r>
        <w:rPr>
          <w:rFonts w:hint="eastAsia" w:ascii="宋体" w:hAnsi="宋体" w:eastAsia="宋体" w:cs="宋体"/>
          <w:b w:val="0"/>
          <w:bCs/>
          <w:szCs w:val="21"/>
          <w:highlight w:val="none"/>
          <w:lang w:val="en-US" w:eastAsia="zh-CN"/>
        </w:rPr>
        <w:t>中标（</w:t>
      </w:r>
      <w:r>
        <w:rPr>
          <w:rFonts w:hint="eastAsia" w:ascii="宋体" w:hAnsi="宋体" w:eastAsia="宋体" w:cs="宋体"/>
          <w:b w:val="0"/>
          <w:bCs/>
          <w:szCs w:val="21"/>
          <w:highlight w:val="none"/>
          <w:lang w:eastAsia="zh-CN"/>
        </w:rPr>
        <w:t>成交</w:t>
      </w:r>
      <w:r>
        <w:rPr>
          <w:rFonts w:hint="eastAsia" w:ascii="宋体" w:hAnsi="宋体" w:eastAsia="宋体" w:cs="宋体"/>
          <w:b w:val="0"/>
          <w:bCs/>
          <w:szCs w:val="21"/>
          <w:highlight w:val="none"/>
          <w:lang w:val="en-US" w:eastAsia="zh-CN"/>
        </w:rPr>
        <w:t>）</w:t>
      </w:r>
      <w:r>
        <w:rPr>
          <w:rFonts w:hint="eastAsia" w:ascii="宋体" w:hAnsi="宋体" w:eastAsia="宋体" w:cs="宋体"/>
          <w:b w:val="0"/>
          <w:bCs/>
          <w:szCs w:val="21"/>
          <w:highlight w:val="none"/>
          <w:lang w:eastAsia="zh-CN"/>
        </w:rPr>
        <w:t>通知书</w:t>
      </w:r>
      <w:r>
        <w:rPr>
          <w:rFonts w:hint="eastAsia" w:ascii="宋体" w:hAnsi="宋体" w:eastAsia="宋体" w:cs="宋体"/>
          <w:b w:val="0"/>
          <w:bCs/>
          <w:szCs w:val="21"/>
          <w:highlight w:val="none"/>
        </w:rPr>
        <w:t>或合同</w:t>
      </w:r>
      <w:r>
        <w:rPr>
          <w:rFonts w:hint="eastAsia" w:ascii="宋体" w:hAnsi="宋体" w:eastAsia="宋体" w:cs="宋体"/>
          <w:b w:val="0"/>
          <w:bCs/>
          <w:szCs w:val="21"/>
          <w:highlight w:val="none"/>
          <w:lang w:val="en-US" w:eastAsia="zh-CN"/>
        </w:rPr>
        <w:t>或</w:t>
      </w:r>
      <w:r>
        <w:rPr>
          <w:rFonts w:hint="eastAsia" w:ascii="宋体" w:hAnsi="宋体" w:eastAsia="宋体" w:cs="宋体"/>
          <w:b w:val="0"/>
          <w:bCs/>
          <w:szCs w:val="21"/>
          <w:highlight w:val="none"/>
        </w:rPr>
        <w:t>竣工验收证明材料的复印件或扫描件；</w:t>
      </w:r>
    </w:p>
    <w:p>
      <w:pPr>
        <w:ind w:firstLine="420" w:firstLineChars="200"/>
        <w:outlineLvl w:val="9"/>
        <w:rPr>
          <w:rFonts w:hint="eastAsia" w:ascii="宋体" w:hAnsi="宋体" w:eastAsia="宋体" w:cs="宋体"/>
          <w:b w:val="0"/>
          <w:bCs/>
          <w:szCs w:val="21"/>
          <w:highlight w:val="none"/>
        </w:rPr>
        <w:sectPr>
          <w:headerReference r:id="rId5" w:type="default"/>
          <w:footerReference r:id="rId6" w:type="default"/>
          <w:footerReference r:id="rId7" w:type="even"/>
          <w:pgSz w:w="11906" w:h="16838"/>
          <w:pgMar w:top="1418" w:right="1134" w:bottom="1418" w:left="1134" w:header="851" w:footer="992" w:gutter="0"/>
          <w:pgNumType w:fmt="decimal"/>
          <w:cols w:space="720" w:num="1"/>
          <w:docGrid w:type="linesAndChars" w:linePitch="312" w:charSpace="0"/>
        </w:sectPr>
      </w:pPr>
      <w:r>
        <w:rPr>
          <w:rFonts w:hint="eastAsia" w:ascii="宋体" w:hAnsi="宋体" w:eastAsia="宋体" w:cs="宋体"/>
          <w:b w:val="0"/>
          <w:bCs/>
          <w:szCs w:val="21"/>
          <w:highlight w:val="none"/>
          <w:lang w:val="en-US" w:eastAsia="zh-CN"/>
        </w:rPr>
        <w:t>3.</w:t>
      </w:r>
      <w:r>
        <w:rPr>
          <w:rFonts w:hint="eastAsia" w:ascii="宋体" w:hAnsi="宋体" w:eastAsia="宋体" w:cs="宋体"/>
          <w:b w:val="0"/>
          <w:bCs/>
          <w:szCs w:val="21"/>
          <w:highlight w:val="none"/>
        </w:rPr>
        <w:t>如近年来，投标申请人法人机构发生合法变更或重组或法人名称变更时，应提供相关部门的合法批件或其他相关证明材料来证明其所附业绩的继承性。</w:t>
      </w:r>
    </w:p>
    <w:p>
      <w:pPr>
        <w:pStyle w:val="66"/>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十</w:t>
      </w:r>
      <w:r>
        <w:rPr>
          <w:rFonts w:hint="eastAsia" w:hAnsi="宋体"/>
          <w:b/>
          <w:bCs/>
          <w:kern w:val="2"/>
          <w:sz w:val="32"/>
          <w:szCs w:val="32"/>
          <w:highlight w:val="none"/>
          <w:lang w:val="en-US" w:eastAsia="zh-CN" w:bidi="ar-SA"/>
        </w:rPr>
        <w:t>三</w:t>
      </w:r>
      <w:r>
        <w:rPr>
          <w:rFonts w:hint="eastAsia" w:ascii="宋体" w:hAnsi="宋体"/>
          <w:b/>
          <w:bCs/>
          <w:kern w:val="2"/>
          <w:sz w:val="32"/>
          <w:szCs w:val="32"/>
          <w:highlight w:val="none"/>
          <w:lang w:val="en-US" w:eastAsia="zh-CN" w:bidi="ar-SA"/>
        </w:rPr>
        <w:t>、承诺书</w:t>
      </w:r>
    </w:p>
    <w:p>
      <w:pPr>
        <w:pStyle w:val="66"/>
        <w:outlineLvl w:val="9"/>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（格式自拟）</w:t>
      </w:r>
    </w:p>
    <w:p>
      <w:pPr>
        <w:spacing w:line="560" w:lineRule="exact"/>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w:t>
      </w:r>
      <w:r>
        <w:rPr>
          <w:rFonts w:hint="eastAsia" w:ascii="宋体" w:hAnsi="宋体" w:eastAsia="宋体" w:cs="宋体"/>
          <w:b w:val="0"/>
          <w:bCs/>
          <w:sz w:val="24"/>
          <w:highlight w:val="none"/>
        </w:rPr>
        <w:t>对农民工工资支付方面的承诺；</w:t>
      </w:r>
    </w:p>
    <w:p>
      <w:pPr>
        <w:spacing w:line="560" w:lineRule="exact"/>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rPr>
        <w:t>、不</w:t>
      </w:r>
      <w:r>
        <w:rPr>
          <w:rFonts w:hint="eastAsia" w:ascii="宋体" w:hAnsi="宋体" w:eastAsia="宋体" w:cs="宋体"/>
          <w:b w:val="0"/>
          <w:bCs/>
          <w:sz w:val="24"/>
          <w:highlight w:val="none"/>
          <w:lang w:val="en-US" w:eastAsia="zh-CN"/>
        </w:rPr>
        <w:t>转包</w:t>
      </w:r>
      <w:r>
        <w:rPr>
          <w:rFonts w:hint="eastAsia" w:ascii="宋体" w:hAnsi="宋体" w:eastAsia="宋体" w:cs="宋体"/>
          <w:b w:val="0"/>
          <w:bCs/>
          <w:sz w:val="24"/>
          <w:highlight w:val="none"/>
        </w:rPr>
        <w:t>、不分包的承诺；</w:t>
      </w:r>
    </w:p>
    <w:p>
      <w:pPr>
        <w:spacing w:line="560" w:lineRule="exact"/>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对</w:t>
      </w:r>
      <w:r>
        <w:rPr>
          <w:rFonts w:hint="eastAsia" w:ascii="宋体" w:hAnsi="宋体" w:eastAsia="宋体" w:cs="宋体"/>
          <w:b w:val="0"/>
          <w:bCs/>
          <w:spacing w:val="-6"/>
          <w:sz w:val="24"/>
          <w:highlight w:val="none"/>
          <w:lang w:val="en-US" w:eastAsia="zh-CN"/>
        </w:rPr>
        <w:t>工期、</w:t>
      </w:r>
      <w:r>
        <w:rPr>
          <w:rFonts w:hint="eastAsia" w:ascii="宋体" w:hAnsi="宋体" w:cs="宋体"/>
          <w:b w:val="0"/>
          <w:bCs/>
          <w:spacing w:val="-6"/>
          <w:sz w:val="24"/>
          <w:highlight w:val="none"/>
          <w:lang w:val="en-US" w:eastAsia="zh-CN"/>
        </w:rPr>
        <w:t>质量标准、质量保修期（缺陷责任期）、磋商有效期</w:t>
      </w:r>
      <w:r>
        <w:rPr>
          <w:rFonts w:hint="eastAsia" w:ascii="宋体" w:hAnsi="宋体" w:eastAsia="宋体" w:cs="宋体"/>
          <w:b w:val="0"/>
          <w:bCs/>
          <w:spacing w:val="-6"/>
          <w:sz w:val="24"/>
          <w:highlight w:val="none"/>
          <w:lang w:val="en-US" w:eastAsia="zh-CN"/>
        </w:rPr>
        <w:t>的承诺；</w:t>
      </w:r>
    </w:p>
    <w:p>
      <w:pPr>
        <w:spacing w:line="560" w:lineRule="exact"/>
        <w:outlineLvl w:val="9"/>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4、补充意见。</w:t>
      </w:r>
    </w:p>
    <w:p>
      <w:pPr>
        <w:spacing w:line="560" w:lineRule="exact"/>
        <w:ind w:firstLine="432" w:firstLineChars="180"/>
        <w:outlineLvl w:val="9"/>
        <w:rPr>
          <w:rFonts w:hint="eastAsia" w:ascii="宋体" w:hAnsi="宋体" w:eastAsia="宋体" w:cs="宋体"/>
          <w:b w:val="0"/>
          <w:bCs/>
          <w:sz w:val="24"/>
          <w:highlight w:val="none"/>
          <w:lang w:val="en-US" w:eastAsia="zh-CN"/>
        </w:rPr>
      </w:pPr>
    </w:p>
    <w:p>
      <w:pPr>
        <w:spacing w:line="560" w:lineRule="exact"/>
        <w:ind w:firstLine="504" w:firstLineChars="180"/>
        <w:outlineLvl w:val="9"/>
        <w:rPr>
          <w:rFonts w:hint="eastAsia" w:ascii="宋体" w:hAnsi="宋体" w:eastAsia="宋体" w:cs="宋体"/>
          <w:b w:val="0"/>
          <w:bCs/>
          <w:sz w:val="28"/>
          <w:highlight w:val="none"/>
        </w:rPr>
      </w:pPr>
    </w:p>
    <w:p>
      <w:pPr>
        <w:spacing w:line="560" w:lineRule="exact"/>
        <w:ind w:firstLine="504" w:firstLineChars="180"/>
        <w:outlineLvl w:val="9"/>
        <w:rPr>
          <w:rFonts w:hint="eastAsia" w:ascii="宋体" w:hAnsi="宋体" w:eastAsia="宋体" w:cs="宋体"/>
          <w:b w:val="0"/>
          <w:bCs/>
          <w:sz w:val="28"/>
          <w:highlight w:val="none"/>
        </w:rPr>
      </w:pPr>
    </w:p>
    <w:p>
      <w:pPr>
        <w:spacing w:line="360" w:lineRule="auto"/>
        <w:jc w:val="center"/>
        <w:outlineLvl w:val="9"/>
        <w:rPr>
          <w:rFonts w:hint="eastAsia" w:ascii="宋体" w:hAnsi="宋体" w:eastAsia="宋体" w:cs="宋体"/>
          <w:b w:val="0"/>
          <w:bCs/>
          <w:kern w:val="1"/>
          <w:sz w:val="36"/>
          <w:szCs w:val="36"/>
          <w:highlight w:val="none"/>
        </w:rPr>
      </w:pPr>
    </w:p>
    <w:p>
      <w:pPr>
        <w:spacing w:line="360" w:lineRule="auto"/>
        <w:jc w:val="center"/>
        <w:outlineLvl w:val="9"/>
        <w:rPr>
          <w:rFonts w:hint="eastAsia" w:ascii="宋体" w:hAnsi="宋体" w:eastAsia="宋体" w:cs="宋体"/>
          <w:b w:val="0"/>
          <w:bCs/>
          <w:kern w:val="1"/>
          <w:sz w:val="36"/>
          <w:szCs w:val="36"/>
          <w:highlight w:val="none"/>
        </w:rPr>
      </w:pPr>
    </w:p>
    <w:p>
      <w:pPr>
        <w:spacing w:line="360" w:lineRule="auto"/>
        <w:jc w:val="center"/>
        <w:outlineLvl w:val="9"/>
        <w:rPr>
          <w:rFonts w:hint="eastAsia" w:ascii="宋体" w:hAnsi="宋体" w:eastAsia="宋体" w:cs="宋体"/>
          <w:b w:val="0"/>
          <w:bCs/>
          <w:kern w:val="1"/>
          <w:sz w:val="36"/>
          <w:szCs w:val="36"/>
          <w:highlight w:val="none"/>
        </w:rPr>
      </w:pPr>
    </w:p>
    <w:p>
      <w:pPr>
        <w:wordWrap w:val="0"/>
        <w:ind w:right="700"/>
        <w:outlineLvl w:val="9"/>
        <w:rPr>
          <w:rFonts w:hint="eastAsia" w:ascii="宋体" w:hAnsi="宋体" w:eastAsia="宋体" w:cs="宋体"/>
          <w:b w:val="0"/>
          <w:bCs/>
          <w:sz w:val="28"/>
          <w:highlight w:val="none"/>
        </w:rPr>
      </w:pPr>
    </w:p>
    <w:p>
      <w:pPr>
        <w:spacing w:line="480" w:lineRule="auto"/>
        <w:ind w:right="-161"/>
        <w:outlineLvl w:val="9"/>
        <w:rPr>
          <w:rFonts w:hint="eastAsia" w:ascii="宋体" w:hAnsi="宋体" w:cs="仿宋"/>
          <w:sz w:val="24"/>
          <w:highlight w:val="none"/>
        </w:rPr>
      </w:pPr>
      <w:r>
        <w:rPr>
          <w:rFonts w:hint="eastAsia" w:ascii="宋体" w:hAnsi="宋体" w:eastAsia="宋体" w:cs="宋体"/>
          <w:b w:val="0"/>
          <w:bCs/>
          <w:sz w:val="28"/>
          <w:highlight w:val="none"/>
        </w:rPr>
        <w:t xml:space="preserve">           </w:t>
      </w:r>
      <w:r>
        <w:rPr>
          <w:rFonts w:hint="eastAsia" w:ascii="宋体" w:hAnsi="宋体" w:eastAsia="宋体" w:cs="宋体"/>
          <w:b w:val="0"/>
          <w:bCs/>
          <w:sz w:val="28"/>
          <w:highlight w:val="none"/>
          <w:lang w:val="en-US" w:eastAsia="zh-CN"/>
        </w:rPr>
        <w:t xml:space="preserve"> </w:t>
      </w:r>
      <w:r>
        <w:rPr>
          <w:rFonts w:hint="eastAsia" w:ascii="宋体" w:hAnsi="宋体" w:eastAsia="宋体" w:cs="宋体"/>
          <w:b w:val="0"/>
          <w:bCs/>
          <w:sz w:val="24"/>
          <w:szCs w:val="24"/>
          <w:highlight w:val="none"/>
        </w:rPr>
        <w:t>供</w:t>
      </w:r>
      <w:r>
        <w:rPr>
          <w:rFonts w:hint="eastAsia" w:ascii="宋体" w:hAnsi="宋体" w:cs="仿宋"/>
          <w:sz w:val="24"/>
          <w:highlight w:val="none"/>
        </w:rPr>
        <w:t>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w:t>
      </w:r>
      <w:r>
        <w:rPr>
          <w:rFonts w:ascii="宋体" w:hAnsi="宋体"/>
          <w:sz w:val="24"/>
          <w:highlight w:val="none"/>
        </w:rPr>
        <w:t>授权</w:t>
      </w:r>
      <w:r>
        <w:rPr>
          <w:rFonts w:hint="eastAsia" w:ascii="宋体" w:hAnsi="宋体"/>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spacing w:line="560" w:lineRule="exact"/>
        <w:ind w:firstLine="1622" w:firstLineChars="676"/>
        <w:outlineLvl w:val="9"/>
        <w:rPr>
          <w:rFonts w:hint="eastAsia" w:ascii="宋体" w:hAnsi="宋体" w:eastAsia="宋体" w:cs="宋体"/>
          <w:b w:val="0"/>
          <w:bCs/>
          <w:sz w:val="24"/>
          <w:szCs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spacing w:line="360" w:lineRule="auto"/>
        <w:jc w:val="center"/>
        <w:outlineLvl w:val="9"/>
        <w:rPr>
          <w:rFonts w:hint="eastAsia" w:ascii="宋体" w:hAnsi="宋体" w:eastAsia="宋体" w:cs="宋体"/>
          <w:b w:val="0"/>
          <w:bCs/>
          <w:kern w:val="1"/>
          <w:sz w:val="36"/>
          <w:szCs w:val="36"/>
          <w:highlight w:val="none"/>
        </w:rPr>
      </w:pPr>
      <w:r>
        <w:rPr>
          <w:rFonts w:hint="eastAsia" w:ascii="宋体" w:hAnsi="宋体" w:eastAsia="宋体" w:cs="宋体"/>
          <w:b w:val="0"/>
          <w:bCs/>
          <w:kern w:val="1"/>
          <w:sz w:val="36"/>
          <w:szCs w:val="36"/>
          <w:highlight w:val="none"/>
        </w:rPr>
        <w:t xml:space="preserve"> </w:t>
      </w:r>
    </w:p>
    <w:p>
      <w:pPr>
        <w:spacing w:line="360" w:lineRule="auto"/>
        <w:jc w:val="center"/>
        <w:outlineLvl w:val="9"/>
        <w:rPr>
          <w:rFonts w:hint="eastAsia" w:ascii="宋体" w:hAnsi="宋体" w:eastAsia="宋体" w:cs="宋体"/>
          <w:b w:val="0"/>
          <w:bCs/>
          <w:kern w:val="1"/>
          <w:sz w:val="36"/>
          <w:szCs w:val="36"/>
          <w:highlight w:val="none"/>
        </w:rPr>
      </w:pPr>
    </w:p>
    <w:p>
      <w:pPr>
        <w:pStyle w:val="3"/>
        <w:outlineLvl w:val="9"/>
        <w:rPr>
          <w:rFonts w:hint="eastAsia"/>
          <w:highlight w:val="none"/>
        </w:rPr>
      </w:pPr>
    </w:p>
    <w:p>
      <w:pPr>
        <w:pStyle w:val="19"/>
        <w:rPr>
          <w:rFonts w:hint="eastAsia"/>
        </w:rPr>
      </w:pPr>
    </w:p>
    <w:p>
      <w:pPr>
        <w:spacing w:line="360" w:lineRule="auto"/>
        <w:jc w:val="center"/>
        <w:outlineLvl w:val="9"/>
        <w:rPr>
          <w:rFonts w:hint="eastAsia" w:ascii="宋体" w:hAnsi="宋体" w:eastAsia="宋体" w:cs="宋体"/>
          <w:b w:val="0"/>
          <w:bCs/>
          <w:kern w:val="1"/>
          <w:sz w:val="36"/>
          <w:szCs w:val="36"/>
          <w:highlight w:val="none"/>
        </w:rPr>
      </w:pPr>
    </w:p>
    <w:p>
      <w:pPr>
        <w:spacing w:line="360" w:lineRule="auto"/>
        <w:jc w:val="center"/>
        <w:outlineLvl w:val="9"/>
        <w:rPr>
          <w:rFonts w:hint="eastAsia" w:ascii="宋体" w:hAnsi="宋体" w:eastAsia="宋体" w:cs="宋体"/>
          <w:b w:val="0"/>
          <w:bCs/>
          <w:kern w:val="1"/>
          <w:sz w:val="36"/>
          <w:szCs w:val="36"/>
          <w:highlight w:val="none"/>
        </w:rPr>
      </w:pPr>
    </w:p>
    <w:p>
      <w:pPr>
        <w:pStyle w:val="2"/>
        <w:rPr>
          <w:rFonts w:hint="eastAsia"/>
        </w:rPr>
      </w:pPr>
    </w:p>
    <w:p>
      <w:pPr>
        <w:tabs>
          <w:tab w:val="left" w:pos="1245"/>
        </w:tabs>
        <w:spacing w:line="360" w:lineRule="auto"/>
        <w:ind w:firstLine="705" w:firstLineChars="294"/>
        <w:outlineLvl w:val="9"/>
        <w:rPr>
          <w:rFonts w:hint="eastAsia" w:ascii="宋体" w:hAnsi="宋体" w:eastAsia="宋体" w:cs="宋体"/>
          <w:b w:val="0"/>
          <w:bCs/>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pStyle w:val="66"/>
        <w:jc w:val="both"/>
        <w:outlineLvl w:val="9"/>
        <w:rPr>
          <w:rFonts w:hint="eastAsia" w:ascii="宋体" w:hAnsi="宋体"/>
          <w:b/>
          <w:bCs/>
          <w:kern w:val="2"/>
          <w:sz w:val="32"/>
          <w:szCs w:val="32"/>
          <w:highlight w:val="none"/>
          <w:lang w:val="en-US" w:eastAsia="zh-CN" w:bidi="ar-SA"/>
        </w:rPr>
      </w:pPr>
    </w:p>
    <w:p>
      <w:pPr>
        <w:pStyle w:val="66"/>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十</w:t>
      </w:r>
      <w:r>
        <w:rPr>
          <w:rFonts w:hint="eastAsia" w:hAnsi="宋体"/>
          <w:b/>
          <w:bCs/>
          <w:kern w:val="2"/>
          <w:sz w:val="32"/>
          <w:szCs w:val="32"/>
          <w:highlight w:val="none"/>
          <w:lang w:val="en-US" w:eastAsia="zh-CN" w:bidi="ar-SA"/>
        </w:rPr>
        <w:t>四</w:t>
      </w:r>
      <w:r>
        <w:rPr>
          <w:rFonts w:hint="eastAsia" w:ascii="宋体" w:hAnsi="宋体"/>
          <w:b/>
          <w:bCs/>
          <w:kern w:val="2"/>
          <w:sz w:val="32"/>
          <w:szCs w:val="32"/>
          <w:highlight w:val="none"/>
          <w:lang w:val="en-US" w:eastAsia="zh-CN" w:bidi="ar-SA"/>
        </w:rPr>
        <w:t>、项目机构组成</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84"/>
        <w:gridCol w:w="884"/>
        <w:gridCol w:w="1231"/>
        <w:gridCol w:w="1057"/>
        <w:gridCol w:w="1526"/>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4"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姓名</w:t>
            </w:r>
          </w:p>
        </w:tc>
        <w:tc>
          <w:tcPr>
            <w:tcW w:w="884"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性别</w:t>
            </w:r>
          </w:p>
        </w:tc>
        <w:tc>
          <w:tcPr>
            <w:tcW w:w="884"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年龄</w:t>
            </w:r>
          </w:p>
        </w:tc>
        <w:tc>
          <w:tcPr>
            <w:tcW w:w="1231"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职称</w:t>
            </w:r>
          </w:p>
        </w:tc>
        <w:tc>
          <w:tcPr>
            <w:tcW w:w="1057"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专业</w:t>
            </w:r>
          </w:p>
        </w:tc>
        <w:tc>
          <w:tcPr>
            <w:tcW w:w="1526"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证书编号</w:t>
            </w:r>
          </w:p>
        </w:tc>
        <w:tc>
          <w:tcPr>
            <w:tcW w:w="2126"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拟在本项目中</w:t>
            </w:r>
          </w:p>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担任的工作或岗位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bl>
    <w:p>
      <w:pPr>
        <w:ind w:left="210" w:leftChars="100" w:firstLine="105" w:firstLineChars="50"/>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注：后附项目部组成人员的相关证件。</w:t>
      </w:r>
    </w:p>
    <w:p>
      <w:pPr>
        <w:outlineLvl w:val="9"/>
        <w:rPr>
          <w:rFonts w:hint="eastAsia" w:ascii="宋体" w:hAnsi="宋体" w:eastAsia="宋体" w:cs="宋体"/>
          <w:b w:val="0"/>
          <w:bCs/>
          <w:highlight w:val="none"/>
        </w:rPr>
      </w:pPr>
    </w:p>
    <w:p>
      <w:pPr>
        <w:pStyle w:val="3"/>
        <w:outlineLvl w:val="9"/>
        <w:rPr>
          <w:rFonts w:hint="eastAsia"/>
          <w:highlight w:val="none"/>
        </w:rPr>
      </w:pPr>
    </w:p>
    <w:p>
      <w:pPr>
        <w:rPr>
          <w:rFonts w:hint="eastAsia"/>
        </w:rPr>
      </w:pPr>
    </w:p>
    <w:p>
      <w:pPr>
        <w:pStyle w:val="3"/>
        <w:outlineLvl w:val="9"/>
        <w:rPr>
          <w:rFonts w:hint="eastAsia" w:ascii="宋体" w:hAnsi="宋体" w:eastAsia="宋体" w:cs="宋体"/>
          <w:b w:val="0"/>
          <w:bCs/>
          <w:highlight w:val="none"/>
          <w:lang w:eastAsia="zh-CN"/>
        </w:rPr>
      </w:pPr>
      <w:r>
        <w:rPr>
          <w:rFonts w:hint="eastAsia" w:ascii="宋体" w:hAnsi="宋体" w:eastAsia="宋体" w:cs="宋体"/>
          <w:b w:val="0"/>
          <w:bCs/>
          <w:highlight w:val="none"/>
          <w:lang w:eastAsia="zh-CN"/>
        </w:rPr>
        <w:t>附件</w:t>
      </w:r>
      <w:r>
        <w:rPr>
          <w:rFonts w:hint="eastAsia" w:ascii="宋体" w:hAnsi="宋体" w:eastAsia="宋体" w:cs="宋体"/>
          <w:b w:val="0"/>
          <w:bCs/>
          <w:highlight w:val="none"/>
          <w:lang w:val="en-US" w:eastAsia="zh-CN"/>
        </w:rPr>
        <w:t>1：</w:t>
      </w:r>
      <w:r>
        <w:rPr>
          <w:rFonts w:hint="eastAsia" w:ascii="宋体" w:hAnsi="宋体" w:eastAsia="宋体" w:cs="宋体"/>
          <w:b w:val="0"/>
          <w:bCs/>
          <w:highlight w:val="none"/>
          <w:lang w:eastAsia="zh-CN"/>
        </w:rPr>
        <w:t>拟投入项目</w:t>
      </w:r>
      <w:r>
        <w:rPr>
          <w:rFonts w:hint="eastAsia" w:ascii="宋体" w:hAnsi="宋体" w:eastAsia="宋体" w:cs="宋体"/>
          <w:b w:val="0"/>
          <w:bCs/>
          <w:highlight w:val="none"/>
          <w:lang w:val="en-US" w:eastAsia="zh-CN"/>
        </w:rPr>
        <w:t>经理</w:t>
      </w:r>
      <w:r>
        <w:rPr>
          <w:rFonts w:hint="eastAsia" w:ascii="宋体" w:hAnsi="宋体" w:eastAsia="宋体" w:cs="宋体"/>
          <w:b w:val="0"/>
          <w:bCs/>
          <w:highlight w:val="none"/>
          <w:lang w:eastAsia="zh-CN"/>
        </w:rPr>
        <w:t>简历表</w:t>
      </w:r>
    </w:p>
    <w:p>
      <w:pPr>
        <w:spacing w:line="400" w:lineRule="exact"/>
        <w:ind w:firstLine="480" w:firstLineChars="200"/>
        <w:rPr>
          <w:rFonts w:hint="eastAsia" w:ascii="宋体" w:hAnsi="宋体" w:eastAsia="宋体"/>
          <w:b w:val="0"/>
          <w:bCs w:val="0"/>
          <w:sz w:val="24"/>
          <w:highlight w:val="none"/>
          <w:lang w:eastAsia="zh-CN"/>
        </w:rPr>
      </w:pPr>
      <w:r>
        <w:rPr>
          <w:rFonts w:hint="eastAsia" w:ascii="宋体" w:hAnsi="宋体"/>
          <w:sz w:val="24"/>
          <w:highlight w:val="none"/>
        </w:rPr>
        <w:t>项目经理应附建造师注册证书、安全生产考核合格证书</w:t>
      </w:r>
      <w:r>
        <w:rPr>
          <w:rFonts w:hint="eastAsia" w:ascii="宋体" w:hAnsi="宋体"/>
          <w:sz w:val="24"/>
          <w:highlight w:val="none"/>
          <w:lang w:eastAsia="zh-CN"/>
        </w:rPr>
        <w:t>、</w:t>
      </w:r>
      <w:r>
        <w:rPr>
          <w:rFonts w:hint="eastAsia" w:ascii="宋体" w:hAnsi="宋体"/>
          <w:sz w:val="24"/>
          <w:highlight w:val="none"/>
        </w:rPr>
        <w:t>身份证</w:t>
      </w:r>
      <w:r>
        <w:rPr>
          <w:rFonts w:hint="eastAsia" w:ascii="宋体" w:hAnsi="宋体"/>
          <w:sz w:val="24"/>
          <w:highlight w:val="none"/>
          <w:lang w:eastAsia="zh-CN"/>
        </w:rPr>
        <w:t>等</w:t>
      </w:r>
      <w:r>
        <w:rPr>
          <w:rFonts w:hint="eastAsia" w:ascii="宋体" w:hAnsi="宋体"/>
          <w:sz w:val="24"/>
          <w:highlight w:val="none"/>
        </w:rPr>
        <w:t>复印件或扫描件</w:t>
      </w:r>
      <w:r>
        <w:rPr>
          <w:rFonts w:hint="eastAsia" w:ascii="宋体" w:hAnsi="宋体"/>
          <w:b w:val="0"/>
          <w:bCs w:val="0"/>
          <w:sz w:val="24"/>
          <w:highlight w:val="none"/>
          <w:lang w:eastAsia="zh-CN"/>
        </w:rPr>
        <w:t>，</w:t>
      </w:r>
      <w:r>
        <w:rPr>
          <w:rFonts w:hint="eastAsia" w:ascii="宋体" w:hAnsi="宋体"/>
          <w:b w:val="0"/>
          <w:bCs w:val="0"/>
          <w:sz w:val="24"/>
          <w:highlight w:val="none"/>
        </w:rPr>
        <w:t>所有复印件</w:t>
      </w:r>
      <w:r>
        <w:rPr>
          <w:rFonts w:hint="eastAsia" w:ascii="宋体" w:hAnsi="宋体"/>
          <w:sz w:val="24"/>
          <w:highlight w:val="none"/>
        </w:rPr>
        <w:t>或扫描件</w:t>
      </w:r>
      <w:r>
        <w:rPr>
          <w:rFonts w:hint="eastAsia" w:ascii="宋体" w:hAnsi="宋体"/>
          <w:b w:val="0"/>
          <w:bCs w:val="0"/>
          <w:sz w:val="24"/>
          <w:highlight w:val="none"/>
        </w:rPr>
        <w:t>加盖</w:t>
      </w:r>
      <w:r>
        <w:rPr>
          <w:rFonts w:hint="eastAsia" w:ascii="宋体" w:hAnsi="宋体"/>
          <w:b w:val="0"/>
          <w:bCs w:val="0"/>
          <w:sz w:val="24"/>
          <w:highlight w:val="none"/>
          <w:lang w:eastAsia="zh-CN"/>
        </w:rPr>
        <w:t>公章</w:t>
      </w:r>
      <w:r>
        <w:rPr>
          <w:rFonts w:hint="eastAsia" w:ascii="宋体" w:hAnsi="宋体"/>
          <w:b w:val="0"/>
          <w:bCs w:val="0"/>
          <w:sz w:val="24"/>
          <w:highlight w:val="none"/>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姓  名</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年 龄</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学</w:t>
            </w:r>
            <w:r>
              <w:rPr>
                <w:rFonts w:hint="eastAsia" w:ascii="宋体" w:hAnsi="宋体"/>
                <w:szCs w:val="21"/>
                <w:highlight w:val="none"/>
              </w:rPr>
              <w:t xml:space="preserve"> </w:t>
            </w:r>
            <w:r>
              <w:rPr>
                <w:rFonts w:ascii="宋体" w:hAnsi="宋体"/>
                <w:szCs w:val="21"/>
                <w:highlight w:val="none"/>
              </w:rPr>
              <w:t>历</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称</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务</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拟在本合同任职</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毕业学校</w:t>
            </w:r>
          </w:p>
        </w:tc>
        <w:tc>
          <w:tcPr>
            <w:tcW w:w="7336" w:type="dxa"/>
            <w:gridSpan w:val="8"/>
            <w:noWrap w:val="0"/>
            <w:vAlign w:val="top"/>
          </w:tcPr>
          <w:p>
            <w:pPr>
              <w:spacing w:line="440" w:lineRule="exact"/>
              <w:outlineLvl w:val="9"/>
              <w:rPr>
                <w:rFonts w:ascii="宋体" w:hAnsi="宋体"/>
                <w:szCs w:val="21"/>
                <w:highlight w:val="none"/>
              </w:rPr>
            </w:pPr>
            <w:r>
              <w:rPr>
                <w:rFonts w:ascii="宋体" w:hAnsi="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jc w:val="center"/>
              <w:outlineLvl w:val="9"/>
              <w:rPr>
                <w:rFonts w:ascii="宋体" w:hAnsi="宋体"/>
                <w:szCs w:val="21"/>
                <w:highlight w:val="none"/>
              </w:rPr>
            </w:pPr>
            <w:r>
              <w:rPr>
                <w:rFonts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时  间</w:t>
            </w:r>
          </w:p>
        </w:tc>
        <w:tc>
          <w:tcPr>
            <w:tcW w:w="3420" w:type="dxa"/>
            <w:gridSpan w:val="4"/>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参加过的类似项目</w:t>
            </w:r>
          </w:p>
        </w:tc>
        <w:tc>
          <w:tcPr>
            <w:tcW w:w="1261"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担任职务</w:t>
            </w:r>
          </w:p>
        </w:tc>
        <w:tc>
          <w:tcPr>
            <w:tcW w:w="2296"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bl>
    <w:p>
      <w:pPr>
        <w:spacing w:line="400" w:lineRule="exact"/>
        <w:outlineLvl w:val="9"/>
        <w:rPr>
          <w:rFonts w:ascii="宋体" w:hAnsi="宋体"/>
          <w:highlight w:val="none"/>
        </w:rPr>
      </w:pPr>
    </w:p>
    <w:p>
      <w:pPr>
        <w:pStyle w:val="3"/>
        <w:outlineLvl w:val="9"/>
        <w:rPr>
          <w:rFonts w:hint="eastAsia" w:ascii="宋体" w:hAnsi="宋体" w:eastAsia="宋体" w:cs="宋体"/>
          <w:b w:val="0"/>
          <w:bCs/>
          <w:highlight w:val="none"/>
          <w:lang w:eastAsia="zh-CN"/>
        </w:rPr>
      </w:pPr>
      <w:r>
        <w:rPr>
          <w:rFonts w:hint="eastAsia" w:ascii="宋体" w:hAnsi="宋体"/>
          <w:highlight w:val="none"/>
          <w:lang w:val="en-US" w:eastAsia="zh-CN"/>
        </w:rPr>
        <w:t xml:space="preserve">  </w:t>
      </w:r>
      <w:r>
        <w:rPr>
          <w:rFonts w:ascii="宋体" w:hAnsi="宋体"/>
          <w:highlight w:val="none"/>
        </w:rPr>
        <w:br w:type="page"/>
      </w:r>
      <w:r>
        <w:rPr>
          <w:rFonts w:hint="eastAsia" w:ascii="宋体" w:hAnsi="宋体" w:eastAsia="宋体" w:cs="宋体"/>
          <w:b w:val="0"/>
          <w:bCs/>
          <w:highlight w:val="none"/>
          <w:lang w:eastAsia="zh-CN"/>
        </w:rPr>
        <w:t>附件</w:t>
      </w:r>
      <w:r>
        <w:rPr>
          <w:rFonts w:hint="eastAsia" w:ascii="宋体" w:hAnsi="宋体" w:eastAsia="宋体" w:cs="宋体"/>
          <w:b w:val="0"/>
          <w:bCs/>
          <w:highlight w:val="none"/>
          <w:lang w:val="en-US" w:eastAsia="zh-CN"/>
        </w:rPr>
        <w:t>2：</w:t>
      </w:r>
      <w:r>
        <w:rPr>
          <w:rFonts w:hint="eastAsia" w:ascii="宋体" w:hAnsi="宋体" w:eastAsia="宋体" w:cs="宋体"/>
          <w:b w:val="0"/>
          <w:bCs/>
          <w:highlight w:val="none"/>
          <w:lang w:eastAsia="zh-CN"/>
        </w:rPr>
        <w:t>拟投入技术负责人简历表</w:t>
      </w:r>
    </w:p>
    <w:p>
      <w:pPr>
        <w:spacing w:line="400" w:lineRule="exact"/>
        <w:ind w:firstLine="480" w:firstLineChars="200"/>
        <w:outlineLvl w:val="9"/>
        <w:rPr>
          <w:rFonts w:hint="eastAsia" w:ascii="宋体" w:hAnsi="宋体" w:eastAsia="宋体"/>
          <w:b/>
          <w:sz w:val="24"/>
          <w:highlight w:val="none"/>
          <w:lang w:eastAsia="zh-CN"/>
        </w:rPr>
      </w:pPr>
      <w:r>
        <w:rPr>
          <w:rFonts w:hint="eastAsia" w:ascii="宋体" w:hAnsi="宋体"/>
          <w:sz w:val="24"/>
          <w:highlight w:val="none"/>
          <w:lang w:eastAsia="zh-CN"/>
        </w:rPr>
        <w:t>技术负责人</w:t>
      </w:r>
      <w:r>
        <w:rPr>
          <w:rFonts w:hint="eastAsia" w:ascii="宋体" w:hAnsi="宋体"/>
          <w:sz w:val="24"/>
          <w:highlight w:val="none"/>
          <w:lang w:val="en-US" w:eastAsia="zh-CN"/>
        </w:rPr>
        <w:t>须</w:t>
      </w:r>
      <w:r>
        <w:rPr>
          <w:rFonts w:hint="eastAsia" w:ascii="宋体" w:hAnsi="宋体"/>
          <w:sz w:val="24"/>
          <w:highlight w:val="none"/>
        </w:rPr>
        <w:t>附身份证、职称证</w:t>
      </w:r>
      <w:r>
        <w:rPr>
          <w:rFonts w:hint="eastAsia" w:ascii="宋体" w:hAnsi="宋体"/>
          <w:sz w:val="24"/>
          <w:highlight w:val="none"/>
          <w:lang w:eastAsia="zh-CN"/>
        </w:rPr>
        <w:t>等</w:t>
      </w:r>
      <w:r>
        <w:rPr>
          <w:rFonts w:hint="eastAsia" w:ascii="宋体" w:hAnsi="宋体"/>
          <w:sz w:val="24"/>
          <w:highlight w:val="none"/>
        </w:rPr>
        <w:t>复印件或扫描件</w:t>
      </w:r>
      <w:r>
        <w:rPr>
          <w:rFonts w:hint="eastAsia" w:ascii="宋体" w:hAnsi="宋体"/>
          <w:sz w:val="24"/>
          <w:highlight w:val="none"/>
          <w:lang w:eastAsia="zh-CN"/>
        </w:rPr>
        <w:t>，</w:t>
      </w:r>
      <w:r>
        <w:rPr>
          <w:rFonts w:hint="eastAsia" w:ascii="宋体" w:hAnsi="宋体"/>
          <w:sz w:val="24"/>
          <w:highlight w:val="none"/>
          <w:lang w:val="en-US" w:eastAsia="zh-CN"/>
        </w:rPr>
        <w:t>所有复印件</w:t>
      </w:r>
      <w:r>
        <w:rPr>
          <w:rFonts w:hint="eastAsia" w:ascii="宋体" w:hAnsi="宋体"/>
          <w:sz w:val="24"/>
          <w:highlight w:val="none"/>
        </w:rPr>
        <w:t>或扫描件</w:t>
      </w:r>
      <w:r>
        <w:rPr>
          <w:rFonts w:hint="eastAsia" w:ascii="宋体" w:hAnsi="宋体"/>
          <w:sz w:val="24"/>
          <w:highlight w:val="none"/>
          <w:lang w:val="en-US" w:eastAsia="zh-CN"/>
        </w:rPr>
        <w:t>加盖公章</w:t>
      </w:r>
      <w:r>
        <w:rPr>
          <w:rFonts w:hint="eastAsia" w:ascii="宋体" w:hAnsi="宋体"/>
          <w:sz w:val="24"/>
          <w:highlight w:val="none"/>
          <w:lang w:eastAsia="zh-CN"/>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姓  名</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年 龄</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学</w:t>
            </w:r>
            <w:r>
              <w:rPr>
                <w:rFonts w:hint="eastAsia" w:ascii="宋体" w:hAnsi="宋体"/>
                <w:szCs w:val="21"/>
                <w:highlight w:val="none"/>
              </w:rPr>
              <w:t xml:space="preserve"> </w:t>
            </w:r>
            <w:r>
              <w:rPr>
                <w:rFonts w:ascii="宋体" w:hAnsi="宋体"/>
                <w:szCs w:val="21"/>
                <w:highlight w:val="none"/>
              </w:rPr>
              <w:t>历</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称</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务</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拟在本合同任职</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毕业学校</w:t>
            </w:r>
          </w:p>
        </w:tc>
        <w:tc>
          <w:tcPr>
            <w:tcW w:w="7336" w:type="dxa"/>
            <w:gridSpan w:val="8"/>
            <w:noWrap w:val="0"/>
            <w:vAlign w:val="top"/>
          </w:tcPr>
          <w:p>
            <w:pPr>
              <w:spacing w:line="440" w:lineRule="exact"/>
              <w:outlineLvl w:val="9"/>
              <w:rPr>
                <w:rFonts w:ascii="宋体" w:hAnsi="宋体"/>
                <w:szCs w:val="21"/>
                <w:highlight w:val="none"/>
              </w:rPr>
            </w:pPr>
            <w:r>
              <w:rPr>
                <w:rFonts w:ascii="宋体" w:hAnsi="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jc w:val="center"/>
              <w:outlineLvl w:val="9"/>
              <w:rPr>
                <w:rFonts w:ascii="宋体" w:hAnsi="宋体"/>
                <w:szCs w:val="21"/>
                <w:highlight w:val="none"/>
              </w:rPr>
            </w:pPr>
            <w:r>
              <w:rPr>
                <w:rFonts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时  间</w:t>
            </w:r>
          </w:p>
        </w:tc>
        <w:tc>
          <w:tcPr>
            <w:tcW w:w="3420" w:type="dxa"/>
            <w:gridSpan w:val="4"/>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参加过的类似项目</w:t>
            </w:r>
          </w:p>
        </w:tc>
        <w:tc>
          <w:tcPr>
            <w:tcW w:w="1261"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担任职务</w:t>
            </w:r>
          </w:p>
        </w:tc>
        <w:tc>
          <w:tcPr>
            <w:tcW w:w="2296"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bl>
    <w:p>
      <w:pPr>
        <w:pStyle w:val="3"/>
        <w:outlineLvl w:val="9"/>
        <w:rPr>
          <w:rFonts w:hint="default" w:ascii="宋体" w:hAnsi="宋体" w:eastAsia="宋体" w:cs="宋体"/>
          <w:b w:val="0"/>
          <w:bCs/>
          <w:highlight w:val="none"/>
          <w:lang w:val="en-US" w:eastAsia="zh-CN"/>
        </w:rPr>
      </w:pPr>
    </w:p>
    <w:p>
      <w:pPr>
        <w:outlineLvl w:val="9"/>
        <w:rPr>
          <w:rFonts w:hint="eastAsia" w:ascii="宋体" w:hAnsi="宋体" w:eastAsia="宋体" w:cs="宋体"/>
          <w:b w:val="0"/>
          <w:bCs/>
          <w:highlight w:val="none"/>
        </w:rPr>
      </w:pPr>
    </w:p>
    <w:p>
      <w:pPr>
        <w:spacing w:line="360" w:lineRule="auto"/>
        <w:outlineLvl w:val="9"/>
        <w:rPr>
          <w:rFonts w:hint="eastAsia" w:ascii="宋体" w:hAnsi="宋体" w:eastAsia="宋体" w:cs="宋体"/>
          <w:b w:val="0"/>
          <w:bCs/>
          <w:highlight w:val="none"/>
        </w:rPr>
      </w:pPr>
    </w:p>
    <w:p>
      <w:pPr>
        <w:pStyle w:val="3"/>
        <w:outlineLvl w:val="9"/>
        <w:rPr>
          <w:rFonts w:hint="eastAsia"/>
          <w:highlight w:val="none"/>
        </w:rPr>
      </w:pPr>
    </w:p>
    <w:p>
      <w:pPr>
        <w:spacing w:line="360" w:lineRule="auto"/>
        <w:jc w:val="center"/>
        <w:outlineLvl w:val="9"/>
        <w:rPr>
          <w:rFonts w:hint="eastAsia" w:ascii="宋体" w:hAnsi="宋体" w:cs="仿宋"/>
          <w:b/>
          <w:sz w:val="30"/>
          <w:szCs w:val="30"/>
          <w:highlight w:val="none"/>
        </w:rPr>
      </w:pPr>
      <w:r>
        <w:rPr>
          <w:rFonts w:hint="eastAsia" w:ascii="宋体" w:hAnsi="宋体" w:cs="仿宋"/>
          <w:b/>
          <w:sz w:val="30"/>
          <w:szCs w:val="30"/>
          <w:highlight w:val="none"/>
        </w:rPr>
        <w:t>十</w:t>
      </w:r>
      <w:r>
        <w:rPr>
          <w:rFonts w:hint="eastAsia" w:ascii="宋体" w:hAnsi="宋体" w:cs="仿宋"/>
          <w:b/>
          <w:sz w:val="30"/>
          <w:szCs w:val="30"/>
          <w:highlight w:val="none"/>
          <w:lang w:val="en-US" w:eastAsia="zh-CN"/>
        </w:rPr>
        <w:t>五</w:t>
      </w:r>
      <w:r>
        <w:rPr>
          <w:rFonts w:hint="eastAsia" w:ascii="宋体" w:hAnsi="宋体" w:cs="仿宋"/>
          <w:b/>
          <w:sz w:val="30"/>
          <w:szCs w:val="30"/>
          <w:highlight w:val="none"/>
        </w:rPr>
        <w:t>、</w:t>
      </w:r>
      <w:r>
        <w:rPr>
          <w:rFonts w:ascii="宋体" w:hAnsi="宋体" w:cs="仿宋"/>
          <w:b/>
          <w:sz w:val="30"/>
          <w:szCs w:val="30"/>
          <w:highlight w:val="none"/>
        </w:rPr>
        <w:t>陕</w:t>
      </w:r>
      <w:r>
        <w:rPr>
          <w:rFonts w:hint="eastAsia" w:ascii="宋体" w:hAnsi="宋体" w:cs="仿宋"/>
          <w:b/>
          <w:sz w:val="30"/>
          <w:szCs w:val="30"/>
          <w:highlight w:val="none"/>
        </w:rPr>
        <w:t>西省政府采购供应商拒绝政府采购领域商业贿赂承诺书</w:t>
      </w:r>
    </w:p>
    <w:p>
      <w:pPr>
        <w:widowControl/>
        <w:spacing w:line="360" w:lineRule="auto"/>
        <w:ind w:left="239" w:leftChars="114" w:firstLine="470" w:firstLineChars="196"/>
        <w:jc w:val="left"/>
        <w:outlineLvl w:val="9"/>
        <w:rPr>
          <w:rFonts w:hint="eastAsia" w:ascii="宋体" w:hAnsi="宋体" w:cs="宋体"/>
          <w:kern w:val="0"/>
          <w:sz w:val="24"/>
          <w:highlight w:val="none"/>
        </w:rPr>
      </w:pPr>
    </w:p>
    <w:p>
      <w:pPr>
        <w:widowControl/>
        <w:spacing w:line="360" w:lineRule="auto"/>
        <w:ind w:left="239" w:leftChars="114" w:firstLine="470" w:firstLineChars="196"/>
        <w:jc w:val="left"/>
        <w:outlineLvl w:val="9"/>
        <w:rPr>
          <w:rFonts w:hint="eastAsia" w:ascii="宋体" w:hAnsi="宋体" w:cs="宋体"/>
          <w:kern w:val="0"/>
          <w:sz w:val="24"/>
          <w:highlight w:val="none"/>
        </w:rPr>
      </w:pPr>
      <w:r>
        <w:rPr>
          <w:rFonts w:ascii="宋体" w:hAnsi="宋体" w:cs="宋体"/>
          <w:kern w:val="0"/>
          <w:sz w:val="24"/>
          <w:highlight w:val="none"/>
        </w:rPr>
        <w:t>为响应党中央、国务院关于治理政府采购领域商业贿赂行为的号召，我公司在此庄严承诺：</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1、在参与政府采购活动中遵纪守法、诚信经营、公平竞标。</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2、不向采购人、采购代理机构和政府采购评审专家进行任何形式的商业贿赂以谋取交易机会。</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3、不向采购代理机构和采购人提供虚假资质文件或采用虚假</w:t>
      </w:r>
      <w:r>
        <w:rPr>
          <w:rFonts w:hint="eastAsia" w:ascii="宋体" w:hAnsi="宋体" w:cs="宋体"/>
          <w:kern w:val="0"/>
          <w:sz w:val="24"/>
          <w:highlight w:val="none"/>
        </w:rPr>
        <w:t>磋商</w:t>
      </w:r>
      <w:r>
        <w:rPr>
          <w:rFonts w:ascii="宋体" w:hAnsi="宋体" w:cs="宋体"/>
          <w:kern w:val="0"/>
          <w:sz w:val="24"/>
          <w:highlight w:val="none"/>
        </w:rPr>
        <w:t>方式参与政府采购市场竞争并谋取成交。</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4、不采取“围、</w:t>
      </w:r>
      <w:r>
        <w:rPr>
          <w:rFonts w:hint="eastAsia" w:ascii="宋体" w:hAnsi="宋体" w:cs="宋体"/>
          <w:kern w:val="0"/>
          <w:sz w:val="24"/>
          <w:highlight w:val="none"/>
        </w:rPr>
        <w:t>陪</w:t>
      </w:r>
      <w:r>
        <w:rPr>
          <w:rFonts w:ascii="宋体" w:hAnsi="宋体" w:cs="宋体"/>
          <w:kern w:val="0"/>
          <w:sz w:val="24"/>
          <w:highlight w:val="none"/>
        </w:rPr>
        <w:t>”等商业欺诈手段获得政府采购定单。</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5、不采取不正当手段诋毁、排挤其他供应商。</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6、不在提供商品和服务时“偷梁换柱、以次充好”损害采购人的合法权益。</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7、不与采购人、采购代理机构</w:t>
      </w:r>
      <w:r>
        <w:rPr>
          <w:rFonts w:hint="eastAsia" w:ascii="宋体" w:hAnsi="宋体" w:cs="宋体"/>
          <w:kern w:val="0"/>
          <w:sz w:val="24"/>
          <w:highlight w:val="none"/>
          <w:lang w:eastAsia="zh-CN"/>
        </w:rPr>
        <w:t>、</w:t>
      </w:r>
      <w:r>
        <w:rPr>
          <w:rFonts w:ascii="宋体" w:hAnsi="宋体" w:cs="宋体"/>
          <w:kern w:val="0"/>
          <w:sz w:val="24"/>
          <w:highlight w:val="none"/>
        </w:rPr>
        <w:t>政府采购评审专家或其它供应商恶意串通，进行质疑和投诉，维护政府采购市场秩序。</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8、尊重和接受政府采购监督管理部门的监督和政府采购代理机构采购要求，承担因违约行为给采购人造成的损失。</w:t>
      </w:r>
      <w:r>
        <w:rPr>
          <w:rFonts w:ascii="宋体" w:hAnsi="宋体" w:cs="宋体"/>
          <w:kern w:val="0"/>
          <w:sz w:val="24"/>
          <w:highlight w:val="none"/>
        </w:rPr>
        <w:br w:type="textWrapping"/>
      </w:r>
      <w:r>
        <w:rPr>
          <w:rFonts w:hint="eastAsia" w:ascii="宋体" w:hAnsi="宋体" w:cs="宋体"/>
          <w:kern w:val="0"/>
          <w:sz w:val="24"/>
          <w:highlight w:val="none"/>
          <w:lang w:val="en-US" w:eastAsia="zh-CN"/>
        </w:rPr>
        <w:t xml:space="preserve">  </w:t>
      </w:r>
      <w:r>
        <w:rPr>
          <w:rFonts w:ascii="宋体" w:hAnsi="宋体" w:cs="宋体"/>
          <w:kern w:val="0"/>
          <w:sz w:val="24"/>
          <w:highlight w:val="none"/>
        </w:rPr>
        <w:t>9、不发生其他有悖于政府采购公开、公平、公正和诚信原则的行为。</w:t>
      </w:r>
      <w:r>
        <w:rPr>
          <w:rFonts w:ascii="宋体" w:hAnsi="宋体" w:cs="宋体"/>
          <w:kern w:val="0"/>
          <w:sz w:val="24"/>
          <w:highlight w:val="none"/>
        </w:rPr>
        <w:br w:type="textWrapping"/>
      </w:r>
    </w:p>
    <w:p>
      <w:pPr>
        <w:spacing w:line="480" w:lineRule="auto"/>
        <w:ind w:right="-161"/>
        <w:outlineLvl w:val="9"/>
        <w:rPr>
          <w:rFonts w:hint="eastAsia"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w:t>
      </w:r>
      <w:r>
        <w:rPr>
          <w:rFonts w:ascii="宋体" w:hAnsi="宋体"/>
          <w:sz w:val="24"/>
          <w:highlight w:val="none"/>
        </w:rPr>
        <w:t>授权</w:t>
      </w:r>
      <w:r>
        <w:rPr>
          <w:rFonts w:hint="eastAsia" w:ascii="宋体" w:hAnsi="宋体"/>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spacing w:line="480" w:lineRule="auto"/>
        <w:ind w:firstLine="1680" w:firstLineChars="700"/>
        <w:outlineLvl w:val="9"/>
        <w:rPr>
          <w:rFonts w:hint="eastAsia" w:ascii="宋体" w:hAnsi="宋体" w:cs="仿宋"/>
          <w:sz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spacing w:line="360" w:lineRule="auto"/>
        <w:ind w:left="4070" w:leftChars="1938" w:firstLine="0" w:firstLineChars="0"/>
        <w:outlineLvl w:val="9"/>
        <w:rPr>
          <w:rFonts w:hint="eastAsia" w:ascii="宋体" w:hAnsi="宋体" w:cs="宋体"/>
          <w:kern w:val="0"/>
          <w:sz w:val="24"/>
          <w:highlight w:val="none"/>
          <w:u w:val="single"/>
        </w:rPr>
      </w:pPr>
      <w:r>
        <w:rPr>
          <w:rFonts w:hint="eastAsia" w:ascii="宋体" w:hAnsi="宋体" w:cs="宋体"/>
          <w:color w:val="FFFFFF"/>
          <w:kern w:val="0"/>
          <w:sz w:val="24"/>
          <w:highlight w:val="none"/>
          <w:u w:val="none"/>
        </w:rPr>
        <w:t>、</w:t>
      </w:r>
    </w:p>
    <w:p>
      <w:pPr>
        <w:outlineLvl w:val="9"/>
        <w:rPr>
          <w:rFonts w:hint="eastAsia" w:ascii="宋体" w:hAnsi="宋体"/>
          <w:highlight w:val="none"/>
        </w:rPr>
      </w:pPr>
    </w:p>
    <w:p>
      <w:pPr>
        <w:outlineLvl w:val="9"/>
        <w:rPr>
          <w:rFonts w:hint="eastAsia" w:ascii="宋体" w:hAnsi="宋体"/>
          <w:highlight w:val="none"/>
        </w:rPr>
      </w:pPr>
    </w:p>
    <w:p>
      <w:pPr>
        <w:outlineLvl w:val="9"/>
        <w:rPr>
          <w:rFonts w:hint="eastAsia" w:ascii="宋体" w:hAnsi="宋体"/>
          <w:highlight w:val="none"/>
        </w:rPr>
      </w:pPr>
    </w:p>
    <w:p>
      <w:pPr>
        <w:outlineLvl w:val="9"/>
        <w:rPr>
          <w:rFonts w:hint="eastAsia" w:hAnsi="宋体"/>
          <w:bCs/>
          <w:highlight w:val="none"/>
        </w:rPr>
      </w:pPr>
    </w:p>
    <w:p>
      <w:pPr>
        <w:outlineLvl w:val="9"/>
        <w:rPr>
          <w:rFonts w:hint="eastAsia"/>
          <w:highlight w:val="none"/>
        </w:rPr>
      </w:pPr>
    </w:p>
    <w:p>
      <w:pPr>
        <w:pStyle w:val="2"/>
        <w:outlineLvl w:val="9"/>
        <w:rPr>
          <w:rFonts w:hint="eastAsia" w:ascii="宋体" w:hAnsi="宋体"/>
          <w:sz w:val="24"/>
          <w:highlight w:val="none"/>
        </w:rPr>
      </w:pPr>
    </w:p>
    <w:p>
      <w:pPr>
        <w:pStyle w:val="2"/>
        <w:outlineLvl w:val="9"/>
        <w:rPr>
          <w:rFonts w:hint="eastAsia" w:ascii="宋体" w:hAnsi="宋体"/>
          <w:sz w:val="24"/>
          <w:highlight w:val="none"/>
        </w:rPr>
      </w:pPr>
    </w:p>
    <w:p>
      <w:pPr>
        <w:pStyle w:val="2"/>
        <w:outlineLvl w:val="9"/>
        <w:rPr>
          <w:rFonts w:hint="eastAsia" w:ascii="宋体" w:hAnsi="宋体"/>
          <w:sz w:val="24"/>
          <w:highlight w:val="none"/>
        </w:rPr>
      </w:pPr>
    </w:p>
    <w:p>
      <w:pPr>
        <w:pStyle w:val="2"/>
        <w:outlineLvl w:val="9"/>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b/>
          <w:sz w:val="10"/>
          <w:szCs w:val="10"/>
          <w:highlight w:val="none"/>
        </w:rPr>
      </w:pPr>
    </w:p>
    <w:p>
      <w:pPr>
        <w:pStyle w:val="66"/>
        <w:jc w:val="both"/>
        <w:outlineLvl w:val="9"/>
        <w:rPr>
          <w:rFonts w:hint="default" w:ascii="宋体" w:hAnsi="宋体" w:cs="仿宋"/>
          <w:b/>
          <w:sz w:val="30"/>
          <w:szCs w:val="30"/>
          <w:highlight w:val="none"/>
          <w:lang w:val="en-US" w:eastAsia="zh-CN"/>
        </w:rPr>
      </w:pPr>
      <w:r>
        <w:rPr>
          <w:rFonts w:hint="eastAsia" w:ascii="宋体" w:hAnsi="宋体" w:cs="仿宋"/>
          <w:b/>
          <w:sz w:val="30"/>
          <w:szCs w:val="30"/>
          <w:highlight w:val="none"/>
          <w:lang w:val="en-US" w:eastAsia="zh-CN"/>
        </w:rPr>
        <w:t>附件</w:t>
      </w:r>
      <w:r>
        <w:rPr>
          <w:rFonts w:hint="eastAsia" w:hAnsi="宋体" w:cs="仿宋"/>
          <w:b/>
          <w:sz w:val="30"/>
          <w:szCs w:val="30"/>
          <w:highlight w:val="none"/>
          <w:lang w:val="en-US" w:eastAsia="zh-CN"/>
        </w:rPr>
        <w:t>一</w:t>
      </w:r>
      <w:r>
        <w:rPr>
          <w:rFonts w:hint="eastAsia" w:ascii="宋体" w:hAnsi="宋体" w:cs="仿宋"/>
          <w:b/>
          <w:sz w:val="30"/>
          <w:szCs w:val="30"/>
          <w:highlight w:val="none"/>
          <w:lang w:val="en-US" w:eastAsia="zh-CN"/>
        </w:rPr>
        <w:t>、</w:t>
      </w:r>
      <w:r>
        <w:rPr>
          <w:rFonts w:hint="eastAsia" w:hAnsi="宋体"/>
          <w:b/>
          <w:bCs/>
          <w:kern w:val="2"/>
          <w:sz w:val="32"/>
          <w:szCs w:val="32"/>
          <w:highlight w:val="none"/>
          <w:lang w:val="en-US" w:eastAsia="zh-CN" w:bidi="ar-SA"/>
        </w:rPr>
        <w:t>监狱企业证明文件（若有）</w:t>
      </w:r>
    </w:p>
    <w:p>
      <w:pPr>
        <w:pStyle w:val="2"/>
        <w:outlineLvl w:val="9"/>
        <w:rPr>
          <w:rFonts w:hint="eastAsia"/>
          <w:highlight w:val="none"/>
        </w:rPr>
      </w:pPr>
    </w:p>
    <w:p>
      <w:pPr>
        <w:topLinePunct w:val="0"/>
        <w:bidi w:val="0"/>
        <w:snapToGrid w:val="0"/>
        <w:spacing w:line="360" w:lineRule="auto"/>
        <w:ind w:firstLine="504" w:firstLineChars="200"/>
        <w:jc w:val="left"/>
        <w:outlineLvl w:val="9"/>
        <w:rPr>
          <w:rFonts w:ascii="宋体" w:hAnsi="宋体" w:cs="宋体"/>
          <w:b/>
          <w:bCs/>
          <w:spacing w:val="48"/>
          <w:sz w:val="72"/>
          <w:szCs w:val="72"/>
          <w:highlight w:val="none"/>
        </w:rPr>
      </w:pPr>
      <w:r>
        <w:rPr>
          <w:rFonts w:hint="eastAsia" w:ascii="宋体" w:hAnsi="宋体" w:cs="宋体"/>
          <w:spacing w:val="6"/>
          <w:sz w:val="24"/>
          <w:szCs w:val="24"/>
          <w:highlight w:val="none"/>
        </w:rPr>
        <w:t>说明：根据</w:t>
      </w:r>
      <w:r>
        <w:rPr>
          <w:rFonts w:hint="eastAsia" w:ascii="宋体" w:hAnsi="宋体" w:cs="宋体"/>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66"/>
        <w:jc w:val="both"/>
        <w:outlineLvl w:val="9"/>
        <w:rPr>
          <w:rFonts w:hint="eastAsia" w:ascii="宋体" w:hAnsi="宋体"/>
          <w:b/>
          <w:bCs/>
          <w:kern w:val="2"/>
          <w:sz w:val="32"/>
          <w:szCs w:val="32"/>
          <w:highlight w:val="none"/>
          <w:lang w:val="en-US" w:eastAsia="zh-CN" w:bidi="ar-SA"/>
        </w:rPr>
      </w:pPr>
    </w:p>
    <w:p>
      <w:pPr>
        <w:pStyle w:val="66"/>
        <w:jc w:val="both"/>
        <w:outlineLvl w:val="9"/>
        <w:rPr>
          <w:rFonts w:hint="eastAsia" w:ascii="宋体" w:hAnsi="宋体"/>
          <w:b/>
          <w:bCs/>
          <w:kern w:val="2"/>
          <w:sz w:val="32"/>
          <w:szCs w:val="32"/>
          <w:highlight w:val="none"/>
          <w:lang w:val="en-US" w:eastAsia="zh-CN" w:bidi="ar-SA"/>
        </w:rPr>
      </w:pPr>
      <w:r>
        <w:rPr>
          <w:rFonts w:hint="eastAsia" w:ascii="宋体" w:hAnsi="宋体" w:cs="仿宋"/>
          <w:b/>
          <w:sz w:val="30"/>
          <w:szCs w:val="30"/>
          <w:highlight w:val="none"/>
          <w:lang w:val="en-US" w:eastAsia="zh-CN"/>
        </w:rPr>
        <w:t>附件</w:t>
      </w:r>
      <w:r>
        <w:rPr>
          <w:rFonts w:hint="eastAsia" w:hAnsi="宋体" w:cs="仿宋"/>
          <w:b/>
          <w:sz w:val="30"/>
          <w:szCs w:val="30"/>
          <w:highlight w:val="none"/>
          <w:lang w:val="en-US" w:eastAsia="zh-CN"/>
        </w:rPr>
        <w:t>二</w:t>
      </w:r>
      <w:r>
        <w:rPr>
          <w:rFonts w:hint="eastAsia" w:ascii="宋体" w:hAnsi="宋体" w:cs="仿宋"/>
          <w:b/>
          <w:sz w:val="30"/>
          <w:szCs w:val="30"/>
          <w:highlight w:val="none"/>
          <w:lang w:val="en-US" w:eastAsia="zh-CN"/>
        </w:rPr>
        <w:t>、</w:t>
      </w:r>
      <w:r>
        <w:rPr>
          <w:rFonts w:hint="eastAsia" w:ascii="宋体" w:hAnsi="宋体" w:eastAsia="宋体" w:cs="Times New Roman"/>
          <w:b/>
          <w:bCs/>
          <w:kern w:val="2"/>
          <w:sz w:val="32"/>
          <w:szCs w:val="32"/>
          <w:highlight w:val="none"/>
          <w:lang w:val="en-US" w:eastAsia="zh-CN" w:bidi="ar-SA"/>
        </w:rPr>
        <w:t>残疾人福利性单位声明（若有）</w:t>
      </w:r>
    </w:p>
    <w:p>
      <w:pPr>
        <w:topLinePunct w:val="0"/>
        <w:bidi w:val="0"/>
        <w:spacing w:line="360" w:lineRule="auto"/>
        <w:ind w:firstLine="504" w:firstLineChars="200"/>
        <w:rPr>
          <w:rFonts w:ascii="宋体" w:hAnsi="宋体"/>
          <w:spacing w:val="6"/>
          <w:sz w:val="24"/>
        </w:rPr>
      </w:pPr>
      <w:r>
        <w:rPr>
          <w:rFonts w:hint="eastAsia" w:ascii="宋体" w:hAnsi="宋体"/>
          <w:spacing w:val="6"/>
          <w:sz w:val="24"/>
        </w:rPr>
        <w:t>根据</w:t>
      </w:r>
      <w:r>
        <w:rPr>
          <w:rFonts w:hint="eastAsia" w:ascii="宋体" w:hAnsi="宋体"/>
          <w:spacing w:val="6"/>
          <w:sz w:val="24"/>
          <w:highlight w:val="none"/>
        </w:rPr>
        <w:t>三部门联合发布</w:t>
      </w:r>
      <w:r>
        <w:rPr>
          <w:rFonts w:hint="eastAsia" w:ascii="宋体" w:hAnsi="宋体"/>
          <w:spacing w:val="6"/>
          <w:sz w:val="24"/>
        </w:rPr>
        <w:t>《关于促进残疾人就业政府采购政策的通知》（财库〔2017〕141号）的规定，由</w:t>
      </w:r>
      <w:r>
        <w:rPr>
          <w:rFonts w:hint="eastAsia" w:ascii="宋体" w:hAnsi="宋体"/>
          <w:spacing w:val="6"/>
          <w:sz w:val="24"/>
          <w:lang w:val="en-US" w:eastAsia="zh-CN"/>
        </w:rPr>
        <w:t>供应商</w:t>
      </w:r>
      <w:r>
        <w:rPr>
          <w:rFonts w:hint="eastAsia" w:ascii="宋体" w:hAnsi="宋体"/>
          <w:spacing w:val="6"/>
          <w:sz w:val="24"/>
        </w:rPr>
        <w:t>自行申明，并对申明真实性负责。如有虚假，将依法承担相应责任。</w:t>
      </w:r>
    </w:p>
    <w:p>
      <w:pPr>
        <w:topLinePunct w:val="0"/>
        <w:bidi w:val="0"/>
        <w:spacing w:line="360" w:lineRule="auto"/>
      </w:pPr>
    </w:p>
    <w:p>
      <w:pPr>
        <w:topLinePunct w:val="0"/>
        <w:bidi w:val="0"/>
        <w:spacing w:line="360" w:lineRule="auto"/>
        <w:jc w:val="center"/>
        <w:rPr>
          <w:rFonts w:ascii="宋体" w:hAnsi="宋体" w:cs="宋体"/>
          <w:b/>
          <w:spacing w:val="6"/>
          <w:sz w:val="24"/>
          <w:szCs w:val="24"/>
          <w:highlight w:val="none"/>
        </w:rPr>
      </w:pPr>
      <w:bookmarkStart w:id="1096" w:name="OLE_LINK14"/>
      <w:r>
        <w:rPr>
          <w:rFonts w:hint="eastAsia" w:ascii="宋体" w:hAnsi="宋体" w:cs="宋体"/>
          <w:b/>
          <w:spacing w:val="6"/>
          <w:sz w:val="24"/>
          <w:szCs w:val="24"/>
          <w:highlight w:val="none"/>
        </w:rPr>
        <w:t>残疾人福利性单位声明函</w:t>
      </w:r>
      <w:bookmarkEnd w:id="1096"/>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w:t>
      </w:r>
      <w:r>
        <w:rPr>
          <w:rFonts w:hint="eastAsia" w:ascii="宋体" w:hAnsi="宋体"/>
          <w:color w:val="auto"/>
          <w:spacing w:val="6"/>
          <w:sz w:val="24"/>
          <w:szCs w:val="24"/>
          <w:lang w:eastAsia="zh-CN"/>
        </w:rPr>
        <w:t>、</w:t>
      </w:r>
      <w:r>
        <w:rPr>
          <w:rFonts w:hint="eastAsia" w:ascii="宋体" w:hAnsi="宋体"/>
          <w:color w:val="auto"/>
          <w:spacing w:val="6"/>
          <w:sz w:val="24"/>
          <w:szCs w:val="24"/>
        </w:rPr>
        <w:t>民政部</w:t>
      </w:r>
      <w:r>
        <w:rPr>
          <w:rFonts w:hint="eastAsia" w:ascii="宋体" w:hAnsi="宋体"/>
          <w:color w:val="auto"/>
          <w:spacing w:val="6"/>
          <w:sz w:val="24"/>
          <w:szCs w:val="24"/>
          <w:lang w:eastAsia="zh-CN"/>
        </w:rPr>
        <w:t>、</w:t>
      </w:r>
      <w:r>
        <w:rPr>
          <w:rFonts w:hint="eastAsia" w:ascii="宋体" w:hAnsi="宋体"/>
          <w:color w:val="auto"/>
          <w:spacing w:val="6"/>
          <w:sz w:val="24"/>
          <w:szCs w:val="24"/>
        </w:rPr>
        <w:t>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rPr>
        <w:t>单位的</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Cs w:val="21"/>
        </w:rPr>
      </w:pPr>
      <w:r>
        <w:rPr>
          <w:rFonts w:hint="eastAsia" w:ascii="宋体" w:hAnsi="宋体"/>
          <w:color w:val="auto"/>
          <w:spacing w:val="6"/>
          <w:sz w:val="24"/>
          <w:szCs w:val="24"/>
        </w:rPr>
        <w:t>本单位对上述声明的真实性负责。如有虚假，将依法承担相应责任。</w:t>
      </w:r>
    </w:p>
    <w:p>
      <w:pPr>
        <w:pStyle w:val="2"/>
      </w:pPr>
    </w:p>
    <w:p>
      <w:pPr>
        <w:pStyle w:val="3"/>
        <w:numPr>
          <w:ilvl w:val="0"/>
          <w:numId w:val="0"/>
        </w:numPr>
      </w:pPr>
    </w:p>
    <w:p>
      <w:pPr>
        <w:tabs>
          <w:tab w:val="left" w:pos="4860"/>
        </w:tabs>
        <w:topLinePunct w:val="0"/>
        <w:bidi w:val="0"/>
        <w:spacing w:line="360" w:lineRule="auto"/>
        <w:ind w:right="1560" w:firstLine="3024" w:firstLineChars="1200"/>
        <w:rPr>
          <w:rFonts w:hint="default" w:ascii="宋体" w:hAnsi="宋体" w:eastAsia="宋体" w:cs="宋体"/>
          <w:spacing w:val="6"/>
          <w:sz w:val="24"/>
          <w:szCs w:val="24"/>
          <w:lang w:val="en-US" w:eastAsia="zh-CN"/>
        </w:rPr>
      </w:pPr>
      <w:r>
        <w:rPr>
          <w:rFonts w:hint="eastAsia" w:ascii="宋体" w:hAnsi="宋体" w:cs="宋体"/>
          <w:spacing w:val="6"/>
          <w:sz w:val="24"/>
          <w:szCs w:val="24"/>
        </w:rPr>
        <w:t>单位名称（盖章）：</w:t>
      </w:r>
      <w:r>
        <w:rPr>
          <w:rFonts w:hint="eastAsia" w:ascii="宋体" w:hAnsi="宋体" w:cs="宋体"/>
          <w:spacing w:val="6"/>
          <w:sz w:val="24"/>
          <w:szCs w:val="24"/>
          <w:u w:val="single"/>
          <w:lang w:val="en-US" w:eastAsia="zh-CN"/>
        </w:rPr>
        <w:t xml:space="preserve">              </w:t>
      </w:r>
      <w:r>
        <w:rPr>
          <w:rFonts w:hint="eastAsia" w:ascii="宋体" w:hAnsi="宋体" w:cs="宋体"/>
          <w:color w:val="FFFFFF"/>
          <w:spacing w:val="6"/>
          <w:sz w:val="24"/>
          <w:szCs w:val="24"/>
          <w:u w:val="single"/>
          <w:lang w:val="en-US" w:eastAsia="zh-CN"/>
        </w:rPr>
        <w:t xml:space="preserve">， </w:t>
      </w:r>
      <w:r>
        <w:rPr>
          <w:rFonts w:hint="eastAsia" w:ascii="宋体" w:hAnsi="宋体" w:cs="宋体"/>
          <w:spacing w:val="6"/>
          <w:sz w:val="24"/>
          <w:szCs w:val="24"/>
          <w:u w:val="single"/>
          <w:lang w:val="en-US" w:eastAsia="zh-CN"/>
        </w:rPr>
        <w:t xml:space="preserve">          </w:t>
      </w:r>
      <w:r>
        <w:rPr>
          <w:rFonts w:hint="eastAsia" w:ascii="宋体" w:hAnsi="宋体" w:cs="宋体"/>
          <w:spacing w:val="6"/>
          <w:sz w:val="24"/>
          <w:szCs w:val="24"/>
          <w:lang w:val="en-US" w:eastAsia="zh-CN"/>
        </w:rPr>
        <w:t xml:space="preserve"> </w:t>
      </w:r>
    </w:p>
    <w:p>
      <w:pPr>
        <w:pStyle w:val="66"/>
        <w:outlineLvl w:val="9"/>
        <w:rPr>
          <w:rFonts w:hint="eastAsia" w:ascii="宋体" w:hAnsi="宋体"/>
          <w:b w:val="0"/>
          <w:bCs/>
          <w:kern w:val="2"/>
          <w:sz w:val="32"/>
          <w:szCs w:val="32"/>
          <w:highlight w:val="none"/>
          <w:lang w:val="en-US" w:eastAsia="zh-CN" w:bidi="ar-SA"/>
        </w:rPr>
      </w:pPr>
      <w:r>
        <w:rPr>
          <w:rFonts w:hint="eastAsia" w:ascii="宋体" w:hAnsi="宋体" w:cs="宋体"/>
          <w:spacing w:val="6"/>
          <w:sz w:val="24"/>
          <w:szCs w:val="24"/>
          <w:lang w:val="en-US" w:eastAsia="zh-CN"/>
        </w:rPr>
        <w:t xml:space="preserve">           </w:t>
      </w:r>
      <w:r>
        <w:rPr>
          <w:rFonts w:hint="eastAsia" w:ascii="宋体" w:hAnsi="宋体" w:cs="宋体"/>
          <w:b w:val="0"/>
          <w:bCs/>
          <w:spacing w:val="6"/>
          <w:sz w:val="24"/>
          <w:szCs w:val="24"/>
          <w:lang w:val="en-US" w:eastAsia="zh-CN"/>
        </w:rPr>
        <w:t xml:space="preserve">  </w:t>
      </w:r>
      <w:r>
        <w:rPr>
          <w:rFonts w:hint="eastAsia" w:ascii="宋体" w:hAnsi="宋体" w:cs="宋体"/>
          <w:b w:val="0"/>
          <w:bCs/>
          <w:spacing w:val="6"/>
          <w:sz w:val="24"/>
          <w:szCs w:val="24"/>
        </w:rPr>
        <w:t>日  期：</w:t>
      </w:r>
      <w:r>
        <w:rPr>
          <w:rFonts w:hint="eastAsia" w:ascii="宋体" w:hAnsi="宋体"/>
          <w:b w:val="0"/>
          <w:bCs/>
          <w:sz w:val="24"/>
        </w:rPr>
        <w:t xml:space="preserve"> </w:t>
      </w:r>
      <w:r>
        <w:rPr>
          <w:rFonts w:hint="eastAsia" w:ascii="宋体" w:hAnsi="宋体"/>
          <w:b w:val="0"/>
          <w:bCs/>
          <w:sz w:val="24"/>
          <w:u w:val="single"/>
        </w:rPr>
        <w:t xml:space="preserve">      </w:t>
      </w:r>
      <w:r>
        <w:rPr>
          <w:rFonts w:hint="eastAsia" w:ascii="宋体" w:hAnsi="宋体"/>
          <w:b w:val="0"/>
          <w:bCs/>
          <w:sz w:val="24"/>
        </w:rPr>
        <w:t>年</w:t>
      </w:r>
      <w:r>
        <w:rPr>
          <w:rFonts w:hint="eastAsia" w:ascii="宋体" w:hAnsi="宋体"/>
          <w:b w:val="0"/>
          <w:bCs/>
          <w:sz w:val="24"/>
          <w:u w:val="single"/>
        </w:rPr>
        <w:t xml:space="preserve">      </w:t>
      </w:r>
      <w:r>
        <w:rPr>
          <w:rFonts w:hint="eastAsia" w:ascii="宋体" w:hAnsi="宋体"/>
          <w:b w:val="0"/>
          <w:bCs/>
          <w:sz w:val="24"/>
        </w:rPr>
        <w:t>月</w:t>
      </w:r>
      <w:r>
        <w:rPr>
          <w:rFonts w:hint="eastAsia" w:ascii="宋体" w:hAnsi="宋体"/>
          <w:b w:val="0"/>
          <w:bCs/>
          <w:sz w:val="24"/>
          <w:u w:val="single"/>
        </w:rPr>
        <w:t xml:space="preserve">      </w:t>
      </w:r>
      <w:r>
        <w:rPr>
          <w:rFonts w:hint="eastAsia" w:ascii="宋体" w:hAnsi="宋体"/>
          <w:b w:val="0"/>
          <w:bCs/>
          <w:sz w:val="24"/>
        </w:rPr>
        <w:t>日</w:t>
      </w:r>
    </w:p>
    <w:p>
      <w:pPr>
        <w:pStyle w:val="66"/>
        <w:outlineLvl w:val="9"/>
        <w:rPr>
          <w:rFonts w:hint="eastAsia" w:ascii="宋体" w:hAnsi="宋体"/>
          <w:b w:val="0"/>
          <w:bCs/>
          <w:kern w:val="2"/>
          <w:sz w:val="32"/>
          <w:szCs w:val="32"/>
          <w:highlight w:val="none"/>
          <w:lang w:val="en-US" w:eastAsia="zh-CN" w:bidi="ar-SA"/>
        </w:rPr>
      </w:pPr>
    </w:p>
    <w:p>
      <w:pPr>
        <w:pStyle w:val="66"/>
        <w:outlineLvl w:val="9"/>
        <w:rPr>
          <w:rFonts w:hint="eastAsia" w:ascii="宋体" w:hAnsi="宋体"/>
          <w:b/>
          <w:bCs/>
          <w:kern w:val="2"/>
          <w:sz w:val="32"/>
          <w:szCs w:val="32"/>
          <w:highlight w:val="none"/>
          <w:lang w:val="en-US" w:eastAsia="zh-CN" w:bidi="ar-SA"/>
        </w:rPr>
      </w:pPr>
    </w:p>
    <w:p>
      <w:pPr>
        <w:pStyle w:val="66"/>
        <w:outlineLvl w:val="9"/>
        <w:rPr>
          <w:rFonts w:hint="eastAsia" w:ascii="宋体" w:hAnsi="宋体"/>
          <w:b/>
          <w:bCs/>
          <w:kern w:val="2"/>
          <w:sz w:val="32"/>
          <w:szCs w:val="32"/>
          <w:highlight w:val="none"/>
          <w:lang w:val="en-US" w:eastAsia="zh-CN" w:bidi="ar-SA"/>
        </w:rPr>
      </w:pPr>
    </w:p>
    <w:p>
      <w:pPr>
        <w:pStyle w:val="66"/>
        <w:outlineLvl w:val="9"/>
        <w:rPr>
          <w:rFonts w:hint="eastAsia" w:ascii="宋体" w:hAnsi="宋体"/>
          <w:b/>
          <w:bCs/>
          <w:kern w:val="2"/>
          <w:sz w:val="32"/>
          <w:szCs w:val="32"/>
          <w:highlight w:val="none"/>
          <w:lang w:val="en-US" w:eastAsia="zh-CN" w:bidi="ar-SA"/>
        </w:rPr>
      </w:pPr>
    </w:p>
    <w:p>
      <w:pPr>
        <w:pStyle w:val="66"/>
        <w:outlineLvl w:val="9"/>
        <w:rPr>
          <w:rFonts w:hint="eastAsia" w:ascii="宋体" w:hAnsi="宋体" w:cs="仿宋"/>
          <w:b/>
          <w:sz w:val="30"/>
          <w:szCs w:val="30"/>
          <w:highlight w:val="none"/>
          <w:lang w:val="en-US" w:eastAsia="zh-CN"/>
        </w:rPr>
      </w:pPr>
      <w:r>
        <w:rPr>
          <w:rFonts w:hint="eastAsia" w:ascii="宋体" w:hAnsi="宋体"/>
          <w:b/>
          <w:bCs/>
          <w:kern w:val="2"/>
          <w:sz w:val="32"/>
          <w:szCs w:val="32"/>
          <w:highlight w:val="none"/>
          <w:lang w:val="en-US" w:eastAsia="zh-CN" w:bidi="ar-SA"/>
        </w:rPr>
        <w:t>十</w:t>
      </w:r>
      <w:r>
        <w:rPr>
          <w:rFonts w:hint="eastAsia" w:hAnsi="宋体"/>
          <w:b/>
          <w:bCs/>
          <w:kern w:val="2"/>
          <w:sz w:val="32"/>
          <w:szCs w:val="32"/>
          <w:highlight w:val="none"/>
          <w:lang w:val="en-US" w:eastAsia="zh-CN" w:bidi="ar-SA"/>
        </w:rPr>
        <w:t>六</w:t>
      </w:r>
      <w:r>
        <w:rPr>
          <w:rFonts w:hint="eastAsia" w:ascii="宋体" w:hAnsi="宋体"/>
          <w:b/>
          <w:bCs/>
          <w:kern w:val="2"/>
          <w:sz w:val="32"/>
          <w:szCs w:val="32"/>
          <w:highlight w:val="none"/>
          <w:lang w:val="en-US" w:eastAsia="zh-CN" w:bidi="ar-SA"/>
        </w:rPr>
        <w:t>、其他相关证明、证件等资料</w:t>
      </w:r>
    </w:p>
    <w:p>
      <w:pPr>
        <w:pStyle w:val="66"/>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175"/>
        <w:jc w:val="center"/>
        <w:textAlignment w:val="auto"/>
        <w:outlineLvl w:val="9"/>
        <w:rPr>
          <w:rFonts w:hint="eastAsia" w:ascii="宋体" w:hAnsi="宋体"/>
          <w:b w:val="0"/>
          <w:kern w:val="2"/>
          <w:sz w:val="24"/>
          <w:szCs w:val="24"/>
          <w:highlight w:val="none"/>
          <w:lang w:val="en-US" w:eastAsia="zh-CN" w:bidi="ar-SA"/>
        </w:rPr>
      </w:pPr>
      <w:r>
        <w:rPr>
          <w:rFonts w:hint="eastAsia" w:ascii="宋体" w:hAnsi="宋体"/>
          <w:b w:val="0"/>
          <w:kern w:val="2"/>
          <w:sz w:val="24"/>
          <w:szCs w:val="24"/>
          <w:highlight w:val="none"/>
          <w:lang w:val="en-US" w:eastAsia="zh-CN" w:bidi="ar-SA"/>
        </w:rPr>
        <w:t>供应商根据竞争性磋商文件规定和要求提供的其他相关资料。</w:t>
      </w:r>
    </w:p>
    <w:p>
      <w:pPr>
        <w:pStyle w:val="66"/>
        <w:outlineLvl w:val="9"/>
        <w:rPr>
          <w:rFonts w:hint="eastAsia" w:ascii="宋体"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6"/>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b/>
          <w:bCs/>
          <w:kern w:val="2"/>
          <w:sz w:val="32"/>
          <w:szCs w:val="32"/>
          <w:highlight w:val="none"/>
          <w:lang w:val="en-US" w:eastAsia="zh-CN" w:bidi="ar-SA"/>
        </w:rPr>
      </w:pPr>
      <w:r>
        <w:rPr>
          <w:rFonts w:hint="eastAsia" w:hAnsi="宋体"/>
          <w:b/>
          <w:bCs/>
          <w:kern w:val="2"/>
          <w:sz w:val="32"/>
          <w:szCs w:val="32"/>
          <w:highlight w:val="none"/>
          <w:lang w:val="en-US" w:eastAsia="zh-CN" w:bidi="ar-SA"/>
        </w:rPr>
        <w:t>十七</w:t>
      </w:r>
      <w:r>
        <w:rPr>
          <w:rFonts w:hint="eastAsia" w:ascii="宋体" w:hAnsi="宋体"/>
          <w:b/>
          <w:bCs/>
          <w:kern w:val="2"/>
          <w:sz w:val="32"/>
          <w:szCs w:val="32"/>
          <w:highlight w:val="none"/>
          <w:lang w:val="en-US" w:eastAsia="zh-CN" w:bidi="ar-SA"/>
        </w:rPr>
        <w:t>、已标价工程量清单</w:t>
      </w:r>
    </w:p>
    <w:p>
      <w:pPr>
        <w:jc w:val="both"/>
        <w:outlineLvl w:val="9"/>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p>
      <w:pPr>
        <w:pStyle w:val="23"/>
        <w:rPr>
          <w:rFonts w:hint="eastAsia" w:ascii="宋体" w:hAnsi="宋体" w:eastAsia="宋体" w:cs="宋体"/>
          <w:b w:val="0"/>
          <w:bCs/>
          <w:sz w:val="30"/>
          <w:szCs w:val="30"/>
          <w:highlight w:val="none"/>
        </w:rPr>
      </w:pPr>
    </w:p>
    <w:bookmarkEnd w:id="1093"/>
    <w:bookmarkEnd w:id="1094"/>
    <w:bookmarkEnd w:id="1095"/>
    <w:p>
      <w:pPr>
        <w:jc w:val="center"/>
        <w:outlineLvl w:val="0"/>
        <w:rPr>
          <w:rFonts w:hint="eastAsia" w:ascii="宋体" w:hAnsi="宋体"/>
          <w:b/>
          <w:sz w:val="36"/>
          <w:highlight w:val="none"/>
        </w:rPr>
      </w:pPr>
      <w:bookmarkStart w:id="1097" w:name="_Toc18295"/>
      <w:bookmarkStart w:id="1098" w:name="_Toc28854"/>
      <w:r>
        <w:rPr>
          <w:rFonts w:hint="eastAsia" w:ascii="宋体" w:hAnsi="宋体"/>
          <w:b/>
          <w:sz w:val="36"/>
          <w:highlight w:val="none"/>
        </w:rPr>
        <w:t>第</w:t>
      </w:r>
      <w:r>
        <w:rPr>
          <w:rFonts w:hint="eastAsia" w:ascii="宋体" w:hAnsi="宋体"/>
          <w:b/>
          <w:sz w:val="36"/>
          <w:highlight w:val="none"/>
          <w:lang w:val="en-US" w:eastAsia="zh-CN"/>
        </w:rPr>
        <w:t>七</w:t>
      </w:r>
      <w:r>
        <w:rPr>
          <w:rFonts w:hint="eastAsia" w:ascii="宋体" w:hAnsi="宋体"/>
          <w:b/>
          <w:sz w:val="36"/>
          <w:highlight w:val="none"/>
        </w:rPr>
        <w:t>部分</w:t>
      </w:r>
      <w:r>
        <w:rPr>
          <w:rFonts w:hint="eastAsia" w:ascii="宋体" w:hAnsi="宋体"/>
          <w:b/>
          <w:sz w:val="36"/>
          <w:highlight w:val="none"/>
          <w:lang w:val="en-US" w:eastAsia="zh-CN"/>
        </w:rPr>
        <w:t xml:space="preserve">  </w:t>
      </w:r>
      <w:r>
        <w:rPr>
          <w:rFonts w:hint="eastAsia" w:ascii="宋体" w:hAnsi="宋体"/>
          <w:b/>
          <w:sz w:val="36"/>
          <w:highlight w:val="none"/>
        </w:rPr>
        <w:t>工程量清单</w:t>
      </w:r>
      <w:bookmarkEnd w:id="1097"/>
      <w:bookmarkEnd w:id="1098"/>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一、项目概况</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2023年省级水利发展资金供水项目（流曲镇军寨村供水改造提升工程）</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建设内容为</w:t>
      </w:r>
      <w:r>
        <w:rPr>
          <w:rFonts w:hint="eastAsia" w:ascii="宋体" w:hAnsi="宋体" w:eastAsia="宋体" w:cs="宋体"/>
          <w:color w:val="000000"/>
          <w:sz w:val="24"/>
          <w:szCs w:val="24"/>
          <w:lang w:val="en-US" w:eastAsia="zh-CN"/>
        </w:rPr>
        <w:t>铺设管道8.43km，入户改造455户。</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二、清单编制依据</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eastAsia="zh-CN"/>
        </w:rPr>
        <w:t>陕西省水利厅关于发布试行《</w:t>
      </w:r>
      <w:r>
        <w:rPr>
          <w:rFonts w:hint="eastAsia" w:ascii="宋体" w:hAnsi="宋体" w:eastAsia="宋体" w:cs="宋体"/>
          <w:color w:val="000000"/>
          <w:sz w:val="24"/>
          <w:szCs w:val="24"/>
          <w:lang w:val="en-US" w:eastAsia="zh-CN"/>
        </w:rPr>
        <w:t>陕西省水利工程设计概（估）算编制规定</w:t>
      </w:r>
      <w:r>
        <w:rPr>
          <w:rFonts w:hint="eastAsia" w:ascii="宋体" w:hAnsi="宋体" w:eastAsia="宋体" w:cs="宋体"/>
          <w:color w:val="000000"/>
          <w:sz w:val="24"/>
          <w:szCs w:val="24"/>
          <w:lang w:val="zh-CN" w:eastAsia="zh-CN"/>
        </w:rPr>
        <w:t>》、《陕西省水利建筑工程</w:t>
      </w:r>
      <w:r>
        <w:rPr>
          <w:rFonts w:hint="eastAsia" w:ascii="宋体" w:hAnsi="宋体" w:eastAsia="宋体" w:cs="宋体"/>
          <w:color w:val="000000"/>
          <w:sz w:val="24"/>
          <w:szCs w:val="24"/>
          <w:lang w:val="en-US" w:eastAsia="zh-CN"/>
        </w:rPr>
        <w:t>概算</w:t>
      </w:r>
      <w:r>
        <w:rPr>
          <w:rFonts w:hint="eastAsia" w:ascii="宋体" w:hAnsi="宋体" w:eastAsia="宋体" w:cs="宋体"/>
          <w:color w:val="000000"/>
          <w:sz w:val="24"/>
          <w:szCs w:val="24"/>
          <w:lang w:val="zh-CN" w:eastAsia="zh-CN"/>
        </w:rPr>
        <w:t>定额》等计价依据的通知（陕水规计发</w:t>
      </w:r>
      <w:r>
        <w:rPr>
          <w:rFonts w:hint="eastAsia" w:ascii="宋体" w:hAnsi="宋体" w:eastAsia="宋体" w:cs="宋体"/>
          <w:color w:val="000000"/>
          <w:sz w:val="24"/>
          <w:szCs w:val="24"/>
          <w:lang w:val="en-US" w:eastAsia="zh-CN"/>
        </w:rPr>
        <w:t>[2019]</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66号</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eastAsia="zh-CN"/>
        </w:rPr>
        <w:t>陕西发展改革和委员会关于《</w:t>
      </w:r>
      <w:r>
        <w:rPr>
          <w:rFonts w:hint="eastAsia" w:ascii="宋体" w:hAnsi="宋体" w:eastAsia="宋体" w:cs="宋体"/>
          <w:color w:val="000000"/>
          <w:sz w:val="24"/>
          <w:szCs w:val="24"/>
          <w:lang w:val="en-US" w:eastAsia="zh-CN"/>
        </w:rPr>
        <w:t>陕西省水利工程设计概（估）算编制规定</w:t>
      </w:r>
      <w:r>
        <w:rPr>
          <w:rFonts w:hint="eastAsia" w:ascii="宋体" w:hAnsi="宋体" w:eastAsia="宋体" w:cs="宋体"/>
          <w:color w:val="000000"/>
          <w:sz w:val="24"/>
          <w:szCs w:val="24"/>
          <w:lang w:val="zh-CN" w:eastAsia="zh-CN"/>
        </w:rPr>
        <w:t>》、《陕西省水利建筑工程</w:t>
      </w:r>
      <w:r>
        <w:rPr>
          <w:rFonts w:hint="eastAsia" w:ascii="宋体" w:hAnsi="宋体" w:eastAsia="宋体" w:cs="宋体"/>
          <w:color w:val="000000"/>
          <w:sz w:val="24"/>
          <w:szCs w:val="24"/>
          <w:lang w:val="en-US" w:eastAsia="zh-CN"/>
        </w:rPr>
        <w:t>概算</w:t>
      </w:r>
      <w:r>
        <w:rPr>
          <w:rFonts w:hint="eastAsia" w:ascii="宋体" w:hAnsi="宋体" w:eastAsia="宋体" w:cs="宋体"/>
          <w:color w:val="000000"/>
          <w:sz w:val="24"/>
          <w:szCs w:val="24"/>
          <w:lang w:val="zh-CN" w:eastAsia="zh-CN"/>
        </w:rPr>
        <w:t>定额》等计价依据批复（陕发改项目</w:t>
      </w:r>
      <w:r>
        <w:rPr>
          <w:rFonts w:hint="eastAsia" w:ascii="宋体" w:hAnsi="宋体" w:eastAsia="宋体" w:cs="宋体"/>
          <w:color w:val="000000"/>
          <w:sz w:val="24"/>
          <w:szCs w:val="24"/>
          <w:lang w:val="en-US" w:eastAsia="zh-CN"/>
        </w:rPr>
        <w:t>[2017]1606号</w:t>
      </w:r>
      <w:r>
        <w:rPr>
          <w:rFonts w:hint="eastAsia" w:ascii="宋体" w:hAnsi="宋体" w:eastAsia="宋体" w:cs="宋体"/>
          <w:color w:val="000000"/>
          <w:sz w:val="24"/>
          <w:szCs w:val="24"/>
          <w:lang w:val="zh-CN"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eastAsia="zh-CN"/>
        </w:rPr>
        <w:t>《水利部办公厅关于调整水利工程计价依据增值税计算标准的通知》（办财务函〔2019〕448号）；</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陕西省水利工程设计概（估）算编制规定》（2017）；</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eastAsia="zh-CN"/>
        </w:rPr>
        <w:t>《陕西省水利建筑工程</w:t>
      </w:r>
      <w:r>
        <w:rPr>
          <w:rFonts w:hint="eastAsia" w:ascii="宋体" w:hAnsi="宋体" w:eastAsia="宋体" w:cs="宋体"/>
          <w:color w:val="000000"/>
          <w:sz w:val="24"/>
          <w:szCs w:val="24"/>
          <w:lang w:val="en-US" w:eastAsia="zh-CN"/>
        </w:rPr>
        <w:t>预</w:t>
      </w:r>
      <w:r>
        <w:rPr>
          <w:rFonts w:hint="eastAsia" w:ascii="宋体" w:hAnsi="宋体" w:eastAsia="宋体" w:cs="宋体"/>
          <w:color w:val="000000"/>
          <w:sz w:val="24"/>
          <w:szCs w:val="24"/>
          <w:lang w:val="zh-CN" w:eastAsia="zh-CN"/>
        </w:rPr>
        <w:t>算定额》（20</w:t>
      </w: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lang w:val="zh-CN"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val="zh-CN" w:eastAsia="zh-CN"/>
        </w:rPr>
        <w:t>《陕西省水利设备安装工程</w:t>
      </w:r>
      <w:r>
        <w:rPr>
          <w:rFonts w:hint="eastAsia" w:ascii="宋体" w:hAnsi="宋体" w:eastAsia="宋体" w:cs="宋体"/>
          <w:color w:val="000000"/>
          <w:sz w:val="24"/>
          <w:szCs w:val="24"/>
          <w:lang w:val="en-US" w:eastAsia="zh-CN"/>
        </w:rPr>
        <w:t>预</w:t>
      </w:r>
      <w:r>
        <w:rPr>
          <w:rFonts w:hint="eastAsia" w:ascii="宋体" w:hAnsi="宋体" w:eastAsia="宋体" w:cs="宋体"/>
          <w:color w:val="000000"/>
          <w:sz w:val="24"/>
          <w:szCs w:val="24"/>
          <w:lang w:val="zh-CN" w:eastAsia="zh-CN"/>
        </w:rPr>
        <w:t>算定额》（20</w:t>
      </w: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lang w:val="zh-CN"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val="zh-CN" w:eastAsia="zh-CN"/>
        </w:rPr>
        <w:t>《陕西省水利工程施工机械台班费定额》（</w:t>
      </w:r>
      <w:r>
        <w:rPr>
          <w:rFonts w:hint="eastAsia" w:ascii="宋体" w:hAnsi="宋体" w:eastAsia="宋体" w:cs="宋体"/>
          <w:color w:val="000000"/>
          <w:sz w:val="24"/>
          <w:szCs w:val="24"/>
          <w:lang w:val="en-US" w:eastAsia="zh-CN"/>
        </w:rPr>
        <w:t>2017</w:t>
      </w:r>
      <w:r>
        <w:rPr>
          <w:rFonts w:hint="eastAsia" w:ascii="宋体" w:hAnsi="宋体" w:eastAsia="宋体" w:cs="宋体"/>
          <w:color w:val="000000"/>
          <w:sz w:val="24"/>
          <w:szCs w:val="24"/>
          <w:lang w:val="zh-CN"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val="zh-CN" w:eastAsia="zh-CN"/>
        </w:rPr>
        <w:t>国家和地方有关文件规定和取费标准等；</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val="zh-CN" w:eastAsia="zh-CN"/>
        </w:rPr>
        <w:t>编制软件采用</w:t>
      </w:r>
      <w:r>
        <w:rPr>
          <w:rFonts w:hint="eastAsia" w:ascii="宋体" w:hAnsi="宋体" w:eastAsia="宋体" w:cs="宋体"/>
          <w:color w:val="000000"/>
          <w:sz w:val="24"/>
          <w:szCs w:val="24"/>
          <w:lang w:val="en-US" w:eastAsia="zh-CN"/>
        </w:rPr>
        <w:t>陕西易投工程造价系列软件-SXYT-V3.0版本。</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三、其他说明</w:t>
      </w:r>
    </w:p>
    <w:p>
      <w:pPr>
        <w:pStyle w:val="3"/>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暂列金按5%计入工程造价。</w:t>
      </w:r>
    </w:p>
    <w:p>
      <w:pPr>
        <w:keepNext w:val="0"/>
        <w:keepLines w:val="0"/>
        <w:pageBreakBefore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Times New Roman"/>
          <w:sz w:val="24"/>
          <w:szCs w:val="24"/>
          <w:highlight w:val="none"/>
          <w:lang w:val="en-US" w:eastAsia="zh-CN"/>
        </w:rPr>
      </w:pPr>
    </w:p>
    <w:p>
      <w:pPr>
        <w:pStyle w:val="23"/>
        <w:rPr>
          <w:rFonts w:hint="eastAsia"/>
          <w:lang w:val="en-US" w:eastAsia="zh-CN"/>
        </w:rPr>
      </w:pPr>
    </w:p>
    <w:p>
      <w:pPr>
        <w:pStyle w:val="23"/>
        <w:rPr>
          <w:rFonts w:hint="eastAsia"/>
          <w:lang w:val="en-US" w:eastAsia="zh-CN"/>
        </w:rPr>
      </w:pPr>
    </w:p>
    <w:p>
      <w:pPr>
        <w:pStyle w:val="7"/>
        <w:jc w:val="both"/>
        <w:rPr>
          <w:rFonts w:hint="eastAsia" w:ascii="宋体" w:hAnsi="宋体" w:eastAsia="宋体" w:cs="宋体"/>
          <w:sz w:val="24"/>
          <w:szCs w:val="24"/>
        </w:rPr>
      </w:pPr>
      <w:bookmarkStart w:id="1099" w:name="_Toc15617"/>
      <w:bookmarkStart w:id="1100" w:name="_Toc508724526"/>
      <w:bookmarkStart w:id="1101" w:name="_Toc333952586"/>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rPr>
      </w:pPr>
    </w:p>
    <w:p>
      <w:pPr>
        <w:rPr>
          <w:rFonts w:hint="eastAsia"/>
        </w:rPr>
      </w:pPr>
    </w:p>
    <w:p>
      <w:pPr>
        <w:rPr>
          <w:rFonts w:hint="eastAsia"/>
        </w:rPr>
      </w:pPr>
    </w:p>
    <w:p>
      <w:pPr>
        <w:pStyle w:val="7"/>
        <w:numPr>
          <w:ilvl w:val="0"/>
          <w:numId w:val="0"/>
        </w:numPr>
        <w:ind w:leftChars="0"/>
        <w:jc w:val="center"/>
        <w:rPr>
          <w:rFonts w:hint="eastAsia" w:ascii="宋体" w:hAnsi="宋体" w:eastAsia="宋体" w:cs="宋体"/>
          <w:sz w:val="24"/>
          <w:szCs w:val="24"/>
        </w:rPr>
      </w:pPr>
      <w:r>
        <w:rPr>
          <w:rFonts w:hint="eastAsia" w:ascii="宋体" w:hAnsi="宋体" w:eastAsia="宋体" w:cs="宋体"/>
          <w:sz w:val="44"/>
          <w:szCs w:val="44"/>
        </w:rPr>
        <w:t>投  标  总  价</w:t>
      </w:r>
      <w:bookmarkEnd w:id="1099"/>
      <w:bookmarkEnd w:id="1100"/>
      <w:bookmarkEnd w:id="1101"/>
    </w:p>
    <w:p>
      <w:pPr>
        <w:autoSpaceDE w:val="0"/>
        <w:autoSpaceDN w:val="0"/>
        <w:adjustRightInd w:val="0"/>
        <w:spacing w:line="360" w:lineRule="auto"/>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4"/>
          <w:szCs w:val="24"/>
          <w:u w:val="single"/>
        </w:rPr>
      </w:pPr>
    </w:p>
    <w:p>
      <w:pPr>
        <w:pStyle w:val="2"/>
        <w:rPr>
          <w:rFonts w:hint="eastAsia" w:ascii="宋体" w:hAnsi="宋体" w:eastAsia="宋体" w:cs="宋体"/>
          <w:kern w:val="0"/>
          <w:sz w:val="24"/>
          <w:szCs w:val="24"/>
          <w:u w:val="single"/>
        </w:rPr>
      </w:pPr>
    </w:p>
    <w:p>
      <w:pPr>
        <w:pStyle w:val="2"/>
        <w:rPr>
          <w:rFonts w:hint="eastAsia" w:ascii="宋体" w:hAnsi="宋体" w:eastAsia="宋体" w:cs="宋体"/>
          <w:kern w:val="0"/>
          <w:sz w:val="24"/>
          <w:szCs w:val="24"/>
          <w:u w:val="single"/>
        </w:rPr>
      </w:pPr>
    </w:p>
    <w:p>
      <w:pPr>
        <w:pStyle w:val="2"/>
        <w:rPr>
          <w:rFonts w:hint="eastAsia" w:ascii="宋体" w:hAnsi="宋体" w:eastAsia="宋体" w:cs="宋体"/>
          <w:kern w:val="0"/>
          <w:sz w:val="24"/>
          <w:szCs w:val="24"/>
          <w:u w:val="single"/>
        </w:rPr>
      </w:pPr>
    </w:p>
    <w:p>
      <w:pPr>
        <w:pStyle w:val="2"/>
        <w:rPr>
          <w:rFonts w:hint="eastAsia" w:ascii="宋体" w:hAnsi="宋体" w:eastAsia="宋体" w:cs="宋体"/>
          <w:kern w:val="0"/>
          <w:sz w:val="24"/>
          <w:szCs w:val="24"/>
          <w:u w:val="single"/>
        </w:rPr>
      </w:pPr>
    </w:p>
    <w:p>
      <w:pPr>
        <w:pStyle w:val="2"/>
        <w:rPr>
          <w:rFonts w:hint="eastAsia" w:ascii="宋体" w:hAnsi="宋体" w:eastAsia="宋体" w:cs="宋体"/>
          <w:kern w:val="0"/>
          <w:sz w:val="24"/>
          <w:szCs w:val="24"/>
          <w:u w:val="single"/>
        </w:rPr>
      </w:pPr>
    </w:p>
    <w:p>
      <w:pPr>
        <w:pStyle w:val="2"/>
        <w:rPr>
          <w:rFonts w:hint="eastAsia" w:ascii="宋体" w:hAnsi="宋体" w:eastAsia="宋体" w:cs="宋体"/>
          <w:kern w:val="0"/>
          <w:sz w:val="24"/>
          <w:szCs w:val="24"/>
          <w:u w:val="single"/>
        </w:rPr>
      </w:pPr>
    </w:p>
    <w:p>
      <w:pPr>
        <w:pStyle w:val="2"/>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4"/>
          <w:szCs w:val="24"/>
          <w:u w:val="single"/>
        </w:rPr>
      </w:pPr>
    </w:p>
    <w:p>
      <w:pPr>
        <w:autoSpaceDE w:val="0"/>
        <w:autoSpaceDN w:val="0"/>
        <w:adjustRightInd w:val="0"/>
        <w:spacing w:line="360" w:lineRule="auto"/>
        <w:rPr>
          <w:rFonts w:hint="eastAsia" w:ascii="宋体" w:hAnsi="宋体" w:eastAsia="宋体" w:cs="宋体"/>
          <w:kern w:val="0"/>
          <w:sz w:val="28"/>
          <w:szCs w:val="28"/>
          <w:u w:val="single"/>
        </w:rPr>
      </w:pPr>
    </w:p>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u w:val="single"/>
          <w:lang w:val="en-US" w:eastAsia="zh-CN"/>
        </w:rPr>
        <w:t>2023年省级水利发展资金供水项目（流曲镇军寨村供水改造提升工程）</w:t>
      </w:r>
      <w:r>
        <w:rPr>
          <w:rFonts w:hint="eastAsia" w:ascii="宋体" w:hAnsi="宋体" w:eastAsia="宋体" w:cs="宋体"/>
          <w:kern w:val="0"/>
          <w:sz w:val="24"/>
          <w:szCs w:val="24"/>
        </w:rPr>
        <w:t>（项目名称）</w:t>
      </w:r>
      <w:r>
        <w:rPr>
          <w:rFonts w:hint="eastAsia" w:ascii="宋体" w:hAnsi="宋体" w:cs="宋体"/>
          <w:kern w:val="0"/>
          <w:sz w:val="24"/>
          <w:szCs w:val="24"/>
          <w:u w:val="single"/>
          <w:lang w:val="en-US" w:eastAsia="zh-CN"/>
        </w:rPr>
        <w:t>/</w:t>
      </w:r>
      <w:r>
        <w:rPr>
          <w:rFonts w:hint="eastAsia" w:ascii="宋体" w:hAnsi="宋体" w:eastAsia="宋体" w:cs="宋体"/>
          <w:kern w:val="0"/>
          <w:sz w:val="24"/>
          <w:szCs w:val="24"/>
        </w:rPr>
        <w:t>（</w:t>
      </w:r>
      <w:r>
        <w:rPr>
          <w:rFonts w:hint="eastAsia" w:ascii="宋体" w:hAnsi="宋体" w:cs="宋体"/>
          <w:kern w:val="0"/>
          <w:sz w:val="24"/>
          <w:szCs w:val="24"/>
          <w:lang w:val="en-US" w:eastAsia="zh-CN"/>
        </w:rPr>
        <w:t>标段</w:t>
      </w:r>
      <w:r>
        <w:rPr>
          <w:rFonts w:hint="eastAsia" w:ascii="宋体" w:hAnsi="宋体" w:eastAsia="宋体" w:cs="宋体"/>
          <w:kern w:val="0"/>
          <w:sz w:val="24"/>
          <w:szCs w:val="24"/>
        </w:rPr>
        <w:t>名称）</w:t>
      </w:r>
    </w:p>
    <w:p>
      <w:pPr>
        <w:autoSpaceDE w:val="0"/>
        <w:autoSpaceDN w:val="0"/>
        <w:adjustRightInd w:val="0"/>
        <w:spacing w:line="360" w:lineRule="auto"/>
        <w:ind w:firstLine="1440" w:firstLineChars="6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合同</w:t>
      </w:r>
      <w:r>
        <w:rPr>
          <w:rFonts w:hint="eastAsia" w:ascii="宋体" w:hAnsi="宋体" w:eastAsia="宋体" w:cs="宋体"/>
          <w:kern w:val="0"/>
          <w:sz w:val="24"/>
          <w:szCs w:val="24"/>
        </w:rPr>
        <w:t>编号：</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HCF2023—CGZB—012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color w:val="FFFFFF"/>
          <w:kern w:val="0"/>
          <w:sz w:val="24"/>
          <w:szCs w:val="24"/>
        </w:rPr>
        <w:t>（</w:t>
      </w:r>
      <w:r>
        <w:rPr>
          <w:rFonts w:hint="eastAsia" w:ascii="宋体" w:hAnsi="宋体" w:eastAsia="宋体" w:cs="宋体"/>
          <w:kern w:val="0"/>
          <w:sz w:val="24"/>
          <w:szCs w:val="24"/>
          <w:u w:val="single"/>
        </w:rPr>
        <w:t xml:space="preserve">      </w:t>
      </w:r>
    </w:p>
    <w:p>
      <w:pPr>
        <w:autoSpaceDE w:val="0"/>
        <w:autoSpaceDN w:val="0"/>
        <w:adjustRightInd w:val="0"/>
        <w:spacing w:line="360" w:lineRule="auto"/>
        <w:ind w:firstLine="1440" w:firstLineChars="600"/>
        <w:rPr>
          <w:rFonts w:hint="eastAsia" w:ascii="宋体" w:hAnsi="宋体" w:eastAsia="宋体" w:cs="宋体"/>
          <w:kern w:val="0"/>
          <w:sz w:val="24"/>
          <w:szCs w:val="24"/>
          <w:lang w:eastAsia="zh-CN"/>
        </w:rPr>
      </w:pPr>
      <w:r>
        <w:rPr>
          <w:rFonts w:hint="eastAsia" w:ascii="宋体" w:hAnsi="宋体" w:eastAsia="宋体" w:cs="宋体"/>
          <w:kern w:val="0"/>
          <w:sz w:val="24"/>
          <w:szCs w:val="24"/>
        </w:rPr>
        <w:t>投标总价人民币（大写）：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color w:val="FFFFFF"/>
          <w:kern w:val="0"/>
          <w:sz w:val="24"/>
          <w:szCs w:val="24"/>
          <w:u w:val="single"/>
          <w:lang w:eastAsia="zh-CN"/>
        </w:rPr>
        <w:t>，</w:t>
      </w:r>
    </w:p>
    <w:p>
      <w:pPr>
        <w:autoSpaceDE w:val="0"/>
        <w:autoSpaceDN w:val="0"/>
        <w:adjustRightInd w:val="0"/>
        <w:spacing w:line="360" w:lineRule="auto"/>
        <w:ind w:left="0" w:leftChars="0" w:firstLine="3360" w:firstLineChars="1400"/>
        <w:rPr>
          <w:rFonts w:hint="eastAsia" w:ascii="宋体" w:hAnsi="宋体" w:eastAsia="宋体" w:cs="宋体"/>
          <w:kern w:val="0"/>
          <w:sz w:val="28"/>
          <w:szCs w:val="28"/>
        </w:rPr>
      </w:pP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rPr>
          <w:rFonts w:hint="eastAsia" w:ascii="宋体" w:hAnsi="宋体" w:eastAsia="宋体" w:cs="宋体"/>
          <w:sz w:val="24"/>
          <w:szCs w:val="24"/>
        </w:rPr>
      </w:pPr>
    </w:p>
    <w:p>
      <w:pPr>
        <w:pStyle w:val="23"/>
        <w:rPr>
          <w:rFonts w:hint="eastAsia"/>
        </w:rPr>
      </w:pPr>
    </w:p>
    <w:p>
      <w:pPr>
        <w:pStyle w:val="23"/>
        <w:rPr>
          <w:rFonts w:hint="eastAsia"/>
        </w:rPr>
      </w:pPr>
    </w:p>
    <w:p>
      <w:pPr>
        <w:pStyle w:val="23"/>
        <w:rPr>
          <w:rFonts w:hint="eastAsia"/>
        </w:rPr>
      </w:pPr>
    </w:p>
    <w:tbl>
      <w:tblPr>
        <w:tblStyle w:val="2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3"/>
        <w:gridCol w:w="574"/>
        <w:gridCol w:w="574"/>
        <w:gridCol w:w="574"/>
        <w:gridCol w:w="574"/>
        <w:gridCol w:w="2898"/>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14"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14"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合同编号：HCF2023—CGZB—012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14"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95"/>
                <w:lang w:val="en-US" w:eastAsia="zh-CN" w:bidi="ar"/>
              </w:rPr>
              <w:t>2023年省级水利发展资金供水项目（流曲镇军寨村供水改造提升工程）</w:t>
            </w:r>
            <w:r>
              <w:rPr>
                <w:rFonts w:ascii="Arial" w:hAnsi="Arial" w:eastAsia="宋体" w:cs="Arial"/>
                <w:i w:val="0"/>
                <w:iCs w:val="0"/>
                <w:color w:val="000000"/>
                <w:kern w:val="0"/>
                <w:sz w:val="20"/>
                <w:szCs w:val="20"/>
                <w:u w:val="none"/>
                <w:lang w:val="en-US" w:eastAsia="zh-CN" w:bidi="ar"/>
              </w:rPr>
              <w:t>(项目名称)</w:t>
            </w:r>
            <w:r>
              <w:rPr>
                <w:rStyle w:val="95"/>
                <w:lang w:val="en-US" w:eastAsia="zh-CN" w:bidi="ar"/>
              </w:rPr>
              <w:t xml:space="preserve">  /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军寨村入户工程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军寨村村网工程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军寨村入户工程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备用金（暂列金）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 C =(A +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Style w:val="95"/>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Style w:val="95"/>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Style w:val="95"/>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Style w:val="95"/>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Style w:val="95"/>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23"/>
        <w:rPr>
          <w:rFonts w:hint="eastAsia"/>
        </w:rPr>
      </w:pPr>
    </w:p>
    <w:p>
      <w:pPr>
        <w:pStyle w:val="23"/>
        <w:ind w:left="0" w:leftChars="0" w:firstLine="0" w:firstLineChars="0"/>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tbl>
      <w:tblPr>
        <w:tblStyle w:val="24"/>
        <w:tblW w:w="8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463"/>
        <w:gridCol w:w="2275"/>
        <w:gridCol w:w="124"/>
        <w:gridCol w:w="576"/>
        <w:gridCol w:w="102"/>
        <w:gridCol w:w="1031"/>
        <w:gridCol w:w="138"/>
        <w:gridCol w:w="837"/>
        <w:gridCol w:w="154"/>
        <w:gridCol w:w="866"/>
        <w:gridCol w:w="408"/>
        <w:gridCol w:w="432"/>
        <w:gridCol w:w="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27"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650" w:type="dxa"/>
            <w:gridSpan w:val="10"/>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合同编号：HCF2023—CGZB—012</w:t>
            </w:r>
          </w:p>
        </w:tc>
        <w:tc>
          <w:tcPr>
            <w:tcW w:w="1977" w:type="dxa"/>
            <w:gridSpan w:val="4"/>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27" w:type="dxa"/>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2023年省级水利发展资金供水项目（流曲镇军寨村供水改造提升工程）</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村网工程</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管沟土方开挖</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5058</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管沟土方回填</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4552</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PE管De50(1.6mpa)</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PE管De40(1.6mpa)</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PE管De32(1.6mpa)</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PE管De25(1.6mpa)</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钢筋砼闸阀井（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1.6*1.2*1.7）</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C25混凝土底板</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0.86</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C25混凝土侧墙</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1600*1200球墨铸铁盖</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混凝土路面（含拆除、修复）</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巷管穿越（顶管）</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2107.5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村网管件</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DN50正三通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DN40正三通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DN32正三通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DN50*40异径三通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DN50*32异径三通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DN50*20异径三通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DN40*32异径三通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DN32*25异径三通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DN32*20异径三通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DN25*20异径三通</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627"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627"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627"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627"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00" w:hRule="atLeast"/>
        </w:trPr>
        <w:tc>
          <w:tcPr>
            <w:tcW w:w="8356"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6496" w:type="dxa"/>
            <w:gridSpan w:val="9"/>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合同编号：HCF2023—CGZB—012</w:t>
            </w:r>
          </w:p>
        </w:tc>
        <w:tc>
          <w:tcPr>
            <w:tcW w:w="1860" w:type="dxa"/>
            <w:gridSpan w:val="4"/>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4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2023年省级水利发展资金供水项目（流曲镇军寨村供水改造提升工程）</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1.10.12</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DN50*40变径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1.10.13</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DN50*32变径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1.10.14</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1.10.15</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DN40*32变径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1.10.16</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DN40*25变径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1.10.17</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DN32*25变径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1.10.18</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DN32*20变径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1.10.19</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DN25*20变径</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1.10.20</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DN63弯头</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1.10.21</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DN50弯头</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1.10.22</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DN40弯头</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1.10.23</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DN32弯头</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1.10.24</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DN25弯头</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军寨村入户工程</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管沟土方开挖</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管沟土方回填</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PE管De20(1.6mpa)</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混凝土水表池</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军寨村村网工程</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电脑及打印机</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DN50远程智能水表安装</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DN50闸阀</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军寨村入户工程</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DN15智能水表安装</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DN15防盗球阀安装</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DN15球阀安装</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DN15水龙头安装</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DN20钢制弯头</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DN20铜内丝弯头</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240" w:hRule="atLeast"/>
        </w:trPr>
        <w:tc>
          <w:tcPr>
            <w:tcW w:w="8356" w:type="dxa"/>
            <w:gridSpan w:val="13"/>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00" w:hRule="atLeast"/>
        </w:trPr>
        <w:tc>
          <w:tcPr>
            <w:tcW w:w="8356"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6496" w:type="dxa"/>
            <w:gridSpan w:val="9"/>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合同编号：HCF2023—CGZB—012</w:t>
            </w:r>
          </w:p>
        </w:tc>
        <w:tc>
          <w:tcPr>
            <w:tcW w:w="1860" w:type="dxa"/>
            <w:gridSpan w:val="4"/>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4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2023年省级水利发展资金供水项目（流曲镇军寨村供水改造提升工程）</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DN20铜内丝直接</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施工临时工程</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 w:type="dxa"/>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 w:type="dxa"/>
          <w:trHeight w:val="360" w:hRule="atLeast"/>
        </w:trPr>
        <w:tc>
          <w:tcPr>
            <w:tcW w:w="64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 w:type="dxa"/>
          <w:trHeight w:val="240" w:hRule="atLeast"/>
        </w:trPr>
        <w:tc>
          <w:tcPr>
            <w:tcW w:w="8356" w:type="dxa"/>
            <w:gridSpan w:val="13"/>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 w:type="dxa"/>
          <w:trHeight w:val="36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6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 w:type="dxa"/>
          <w:trHeight w:val="360" w:hRule="atLeast"/>
        </w:trPr>
        <w:tc>
          <w:tcPr>
            <w:tcW w:w="8356"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pStyle w:val="2"/>
        <w:outlineLvl w:val="9"/>
        <w:rPr>
          <w:rFonts w:hint="eastAsia"/>
        </w:rPr>
      </w:pPr>
    </w:p>
    <w:p>
      <w:pPr>
        <w:jc w:val="center"/>
        <w:outlineLvl w:val="0"/>
        <w:rPr>
          <w:rFonts w:hint="eastAsia" w:ascii="宋体" w:hAnsi="宋体"/>
          <w:b/>
          <w:sz w:val="36"/>
        </w:rPr>
      </w:pPr>
      <w:bookmarkStart w:id="1102" w:name="_Toc30192"/>
      <w:r>
        <w:rPr>
          <w:rFonts w:hint="eastAsia" w:ascii="宋体" w:hAnsi="宋体"/>
          <w:b/>
          <w:sz w:val="36"/>
        </w:rPr>
        <w:t>第</w:t>
      </w:r>
      <w:r>
        <w:rPr>
          <w:rFonts w:hint="eastAsia" w:ascii="宋体" w:hAnsi="宋体"/>
          <w:b/>
          <w:sz w:val="36"/>
          <w:lang w:val="en-US" w:eastAsia="zh-CN"/>
        </w:rPr>
        <w:t>八</w:t>
      </w:r>
      <w:r>
        <w:rPr>
          <w:rFonts w:hint="eastAsia" w:ascii="宋体" w:hAnsi="宋体"/>
          <w:b/>
          <w:sz w:val="36"/>
        </w:rPr>
        <w:t>部分</w:t>
      </w:r>
      <w:r>
        <w:rPr>
          <w:rFonts w:hint="eastAsia" w:ascii="宋体" w:hAnsi="宋体"/>
          <w:b/>
          <w:sz w:val="36"/>
          <w:lang w:val="en-US" w:eastAsia="zh-CN"/>
        </w:rPr>
        <w:t xml:space="preserve">  图纸</w:t>
      </w:r>
      <w:bookmarkEnd w:id="1102"/>
    </w:p>
    <w:p>
      <w:pPr>
        <w:tabs>
          <w:tab w:val="left" w:pos="4620"/>
        </w:tabs>
        <w:spacing w:line="360" w:lineRule="auto"/>
        <w:ind w:firstLine="361" w:firstLineChars="150"/>
        <w:outlineLvl w:val="9"/>
        <w:rPr>
          <w:rFonts w:hint="eastAsia" w:ascii="宋体" w:hAnsi="宋体"/>
          <w:b/>
          <w:sz w:val="24"/>
        </w:rPr>
      </w:pPr>
    </w:p>
    <w:p>
      <w:pPr>
        <w:jc w:val="center"/>
        <w:outlineLvl w:val="9"/>
        <w:rPr>
          <w:rFonts w:hint="eastAsia" w:ascii="宋体" w:hAnsi="宋体" w:eastAsia="宋体" w:cs="宋体"/>
          <w:b w:val="0"/>
          <w:bCs/>
          <w:kern w:val="1"/>
          <w:sz w:val="32"/>
          <w:szCs w:val="22"/>
          <w:lang w:eastAsia="zh-CN"/>
        </w:rPr>
      </w:pPr>
      <w:r>
        <w:rPr>
          <w:rFonts w:hint="eastAsia" w:ascii="宋体" w:hAnsi="宋体" w:eastAsia="宋体" w:cs="宋体"/>
          <w:b w:val="0"/>
          <w:bCs/>
          <w:kern w:val="1"/>
          <w:sz w:val="32"/>
          <w:szCs w:val="22"/>
          <w:lang w:eastAsia="zh-CN"/>
        </w:rPr>
        <w:t>（</w:t>
      </w:r>
      <w:r>
        <w:rPr>
          <w:rFonts w:hint="eastAsia" w:ascii="宋体" w:hAnsi="宋体" w:eastAsia="宋体" w:cs="宋体"/>
          <w:b w:val="0"/>
          <w:bCs/>
          <w:kern w:val="1"/>
          <w:sz w:val="32"/>
          <w:szCs w:val="22"/>
          <w:lang w:val="en-US" w:eastAsia="zh-CN"/>
        </w:rPr>
        <w:t>见另册</w:t>
      </w:r>
      <w:r>
        <w:rPr>
          <w:rFonts w:hint="eastAsia" w:ascii="宋体" w:hAnsi="宋体" w:eastAsia="宋体" w:cs="宋体"/>
          <w:b w:val="0"/>
          <w:bCs/>
          <w:kern w:val="1"/>
          <w:sz w:val="32"/>
          <w:szCs w:val="22"/>
          <w:lang w:eastAsia="zh-CN"/>
        </w:rPr>
        <w:t>）</w:t>
      </w:r>
    </w:p>
    <w:p>
      <w:pPr>
        <w:jc w:val="center"/>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66"/>
        <w:outlineLvl w:val="9"/>
        <w:rPr>
          <w:rFonts w:hint="eastAsia" w:hAnsi="宋体"/>
        </w:rPr>
      </w:pPr>
    </w:p>
    <w:sectPr>
      <w:headerReference r:id="rId8" w:type="default"/>
      <w:footerReference r:id="rId9" w:type="default"/>
      <w:pgSz w:w="11906" w:h="16838"/>
      <w:pgMar w:top="1134" w:right="1701" w:bottom="1134" w:left="1701" w:header="669"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MingLiU">
    <w:altName w:val="PMingLiU-ExtB"/>
    <w:panose1 w:val="02020509000000000000"/>
    <w:charset w:val="88"/>
    <w:family w:val="auto"/>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8"/>
      </w:rPr>
    </w:pPr>
    <w:r>
      <w:fldChar w:fldCharType="begin"/>
    </w:r>
    <w:r>
      <w:rPr>
        <w:rStyle w:val="28"/>
      </w:rPr>
      <w:instrText xml:space="preserve">PAGE  </w:instrText>
    </w:r>
    <w:r>
      <w:fldChar w:fldCharType="end"/>
    </w:r>
  </w:p>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ascii="宋体" w:hAnsi="宋体" w:cs="宋体"/>
        <w:spacing w:val="0"/>
        <w:sz w:val="18"/>
        <w:szCs w:val="18"/>
        <w:highlight w:val="none"/>
        <w:lang w:val="en-US" w:eastAsia="zh-CN"/>
      </w:rPr>
      <w:t>2023年省级水利发展资金供水项目（流曲镇军寨村供水改造提升工程）</w:t>
    </w:r>
    <w:r>
      <w:rPr>
        <w:rFonts w:hint="eastAsia" w:ascii="宋体" w:hAnsi="宋体" w:eastAsia="宋体" w:cs="宋体"/>
        <w:spacing w:val="0"/>
        <w:sz w:val="18"/>
        <w:szCs w:val="18"/>
        <w:highlight w:val="none"/>
        <w:lang w:val="en-US" w:eastAsia="zh-CN"/>
      </w:rPr>
      <w:t>竞争性磋商文件</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rPr>
      <w:pict>
        <v:shape id="_x0000_i1026" o:spt="75" type="#_x0000_t75" style="height:23.2pt;width:26.25pt;" filled="f" stroked="f" coordsize="21600,21600">
          <v:path/>
          <v:fill on="f" focussize="0,0"/>
          <v:stroke on="f"/>
          <v:imagedata r:id="rId1" o:title="QQ截图20130717152624"/>
          <o:lock v:ext="edit" aspectratio="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rPr>
    </w:pPr>
    <w:r>
      <w:rPr>
        <w:rFonts w:hint="eastAsia" w:ascii="宋体" w:hAnsi="宋体" w:cs="宋体"/>
        <w:spacing w:val="0"/>
        <w:sz w:val="18"/>
        <w:szCs w:val="18"/>
        <w:highlight w:val="none"/>
        <w:lang w:val="en-US" w:eastAsia="zh-CN"/>
      </w:rPr>
      <w:t>2023年省级水利发展资金供水项目（流曲镇军寨村供水改造提升工程）</w:t>
    </w:r>
    <w:r>
      <w:rPr>
        <w:rFonts w:hint="eastAsia" w:ascii="宋体" w:hAnsi="宋体" w:eastAsia="宋体" w:cs="宋体"/>
        <w:spacing w:val="0"/>
        <w:sz w:val="18"/>
        <w:szCs w:val="18"/>
        <w:highlight w:val="none"/>
        <w:lang w:val="en-US" w:eastAsia="zh-CN"/>
      </w:rPr>
      <w:t>竞争性磋商文件</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rPr>
      <w:pict>
        <v:shape id="_x0000_i1027" o:spt="75" type="#_x0000_t75" style="height:23.2pt;width:26.25pt;" filled="f" stroked="f" coordsize="21600,21600">
          <v:path/>
          <v:fill on="f" focussize="0,0"/>
          <v:stroke on="f"/>
          <v:imagedata r:id="rId1" o:title="QQ截图20130717152624"/>
          <o:lock v:ext="edit" aspectratio="t"/>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520" w:lineRule="exact"/>
      <w:jc w:val="left"/>
      <w:textAlignment w:val="auto"/>
      <w:outlineLvl w:val="9"/>
      <w:rPr>
        <w:rFonts w:hint="eastAsia"/>
      </w:rPr>
    </w:pPr>
    <w:r>
      <w:rPr>
        <w:rFonts w:hint="eastAsia" w:ascii="宋体" w:hAnsi="宋体" w:cs="宋体"/>
        <w:spacing w:val="0"/>
        <w:sz w:val="18"/>
        <w:szCs w:val="18"/>
        <w:highlight w:val="none"/>
        <w:lang w:val="en-US" w:eastAsia="zh-CN"/>
      </w:rPr>
      <w:t>2023年省级水利发展资金供水项目（流曲镇军寨村供水改造提升工程）</w:t>
    </w:r>
    <w:r>
      <w:rPr>
        <w:rFonts w:hint="eastAsia" w:ascii="宋体" w:hAnsi="宋体" w:eastAsia="宋体" w:cs="宋体"/>
        <w:spacing w:val="0"/>
        <w:sz w:val="18"/>
        <w:szCs w:val="18"/>
        <w:highlight w:val="none"/>
        <w:lang w:val="en-US" w:eastAsia="zh-CN"/>
      </w:rPr>
      <w:t>竞争性磋商文件</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rPr>
      <w:pict>
        <v:shape id="_x0000_i1028" o:spt="75" type="#_x0000_t75" style="height:23.2pt;width:26.25pt;" filled="f" stroked="f" coordsize="21600,21600">
          <v:path/>
          <v:fill on="f" focussize="0,0"/>
          <v:stroke on="f"/>
          <v:imagedata r:id="rId1" o:title="QQ截图20130717152624"/>
          <o:lock v:ext="edit" aspectratio="t"/>
          <w10:wrap type="none"/>
          <w10:anchorlock/>
        </v:shape>
      </w:pict>
    </w:r>
    <w:r>
      <w:rPr>
        <w:rFonts w:hint="eastAsia" w:ascii="宋体" w:hAnsi="宋体" w:eastAsia="宋体" w:cs="宋体"/>
        <w:spacing w:val="-11"/>
        <w:sz w:val="21"/>
        <w:szCs w:val="21"/>
        <w:highlight w:val="none"/>
        <w:lang w:val="en-US" w:eastAsia="zh-CN"/>
      </w:rPr>
      <w:t xml:space="preserve">                              </w:t>
    </w:r>
    <w:r>
      <w:rPr>
        <w:rFonts w:hint="eastAsia"/>
        <w:i/>
        <w:iCs/>
        <w:lang w:val="en-US" w:eastAsia="zh-CN"/>
      </w:rPr>
      <w:t xml:space="preserve">     </w:t>
    </w:r>
    <w:r>
      <w:rPr>
        <w:rFonts w:hint="eastAsia" w:ascii="宋体" w:hAnsi="宋体"/>
        <w:sz w:val="21"/>
        <w:szCs w:val="21"/>
      </w:rPr>
      <w:t xml:space="preserve"> </w:t>
    </w:r>
    <w:r>
      <w:rPr>
        <w:rFonts w:hint="eastAsia" w:ascii="宋体" w:hAnsi="宋体"/>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54D04"/>
    <w:multiLevelType w:val="singleLevel"/>
    <w:tmpl w:val="09C54D04"/>
    <w:lvl w:ilvl="0" w:tentative="0">
      <w:start w:val="1"/>
      <w:numFmt w:val="decimal"/>
      <w:suff w:val="nothing"/>
      <w:lvlText w:val="%1、"/>
      <w:lvlJc w:val="left"/>
    </w:lvl>
  </w:abstractNum>
  <w:abstractNum w:abstractNumId="1">
    <w:nsid w:val="2A9141A7"/>
    <w:multiLevelType w:val="multilevel"/>
    <w:tmpl w:val="2A9141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5DBC918"/>
    <w:multiLevelType w:val="singleLevel"/>
    <w:tmpl w:val="55DBC918"/>
    <w:lvl w:ilvl="0" w:tentative="0">
      <w:start w:val="2"/>
      <w:numFmt w:val="decimal"/>
      <w:suff w:val="nothing"/>
      <w:lvlText w:val="%1."/>
      <w:lvlJc w:val="left"/>
    </w:lvl>
  </w:abstractNum>
  <w:abstractNum w:abstractNumId="3">
    <w:nsid w:val="5A825990"/>
    <w:multiLevelType w:val="singleLevel"/>
    <w:tmpl w:val="5A825990"/>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Q4ZTk3MzhkYjliN2ZiM2U4NWI5ZDZjM2YyYzg0ZDcifQ=="/>
  </w:docVars>
  <w:rsids>
    <w:rsidRoot w:val="005946C4"/>
    <w:rsid w:val="0000039A"/>
    <w:rsid w:val="000003EC"/>
    <w:rsid w:val="00002526"/>
    <w:rsid w:val="00010E11"/>
    <w:rsid w:val="00011548"/>
    <w:rsid w:val="00011DFF"/>
    <w:rsid w:val="00011F8A"/>
    <w:rsid w:val="00015594"/>
    <w:rsid w:val="00015FAA"/>
    <w:rsid w:val="00016A3F"/>
    <w:rsid w:val="000174E4"/>
    <w:rsid w:val="00021294"/>
    <w:rsid w:val="0002210E"/>
    <w:rsid w:val="00022AB1"/>
    <w:rsid w:val="00023F16"/>
    <w:rsid w:val="00024CF9"/>
    <w:rsid w:val="0002652B"/>
    <w:rsid w:val="000302EC"/>
    <w:rsid w:val="000311F9"/>
    <w:rsid w:val="00031536"/>
    <w:rsid w:val="0003353F"/>
    <w:rsid w:val="00033894"/>
    <w:rsid w:val="000351E6"/>
    <w:rsid w:val="00036C50"/>
    <w:rsid w:val="00037F61"/>
    <w:rsid w:val="00041661"/>
    <w:rsid w:val="00041BFB"/>
    <w:rsid w:val="00042C03"/>
    <w:rsid w:val="00043E8B"/>
    <w:rsid w:val="0004564B"/>
    <w:rsid w:val="00046BB1"/>
    <w:rsid w:val="00047090"/>
    <w:rsid w:val="000479AB"/>
    <w:rsid w:val="00051928"/>
    <w:rsid w:val="0005332C"/>
    <w:rsid w:val="00054D2E"/>
    <w:rsid w:val="00055047"/>
    <w:rsid w:val="00057538"/>
    <w:rsid w:val="0006056E"/>
    <w:rsid w:val="00060B9F"/>
    <w:rsid w:val="000667AA"/>
    <w:rsid w:val="00067201"/>
    <w:rsid w:val="00067CCB"/>
    <w:rsid w:val="000700ED"/>
    <w:rsid w:val="00070BD7"/>
    <w:rsid w:val="00070BEB"/>
    <w:rsid w:val="000711EC"/>
    <w:rsid w:val="00072C07"/>
    <w:rsid w:val="0007537D"/>
    <w:rsid w:val="00075899"/>
    <w:rsid w:val="00077E1A"/>
    <w:rsid w:val="000824C4"/>
    <w:rsid w:val="00082927"/>
    <w:rsid w:val="00082A88"/>
    <w:rsid w:val="0008428C"/>
    <w:rsid w:val="00086DBC"/>
    <w:rsid w:val="00087D9A"/>
    <w:rsid w:val="000906E3"/>
    <w:rsid w:val="000962AE"/>
    <w:rsid w:val="000976F1"/>
    <w:rsid w:val="00097793"/>
    <w:rsid w:val="0009795C"/>
    <w:rsid w:val="000A028A"/>
    <w:rsid w:val="000A1B91"/>
    <w:rsid w:val="000A2B41"/>
    <w:rsid w:val="000A7101"/>
    <w:rsid w:val="000A7F41"/>
    <w:rsid w:val="000B0029"/>
    <w:rsid w:val="000B0743"/>
    <w:rsid w:val="000B0F53"/>
    <w:rsid w:val="000B1CF6"/>
    <w:rsid w:val="000B2577"/>
    <w:rsid w:val="000B2967"/>
    <w:rsid w:val="000B3A14"/>
    <w:rsid w:val="000B42B8"/>
    <w:rsid w:val="000B4FDC"/>
    <w:rsid w:val="000B51C5"/>
    <w:rsid w:val="000B5630"/>
    <w:rsid w:val="000B7570"/>
    <w:rsid w:val="000B7892"/>
    <w:rsid w:val="000C2AFD"/>
    <w:rsid w:val="000C2EB6"/>
    <w:rsid w:val="000C3250"/>
    <w:rsid w:val="000C621E"/>
    <w:rsid w:val="000C62D2"/>
    <w:rsid w:val="000C7310"/>
    <w:rsid w:val="000C799B"/>
    <w:rsid w:val="000D1C87"/>
    <w:rsid w:val="000D2ACB"/>
    <w:rsid w:val="000D332A"/>
    <w:rsid w:val="000D4276"/>
    <w:rsid w:val="000D589D"/>
    <w:rsid w:val="000D5DF2"/>
    <w:rsid w:val="000D67BD"/>
    <w:rsid w:val="000D6A31"/>
    <w:rsid w:val="000D6B7F"/>
    <w:rsid w:val="000D703B"/>
    <w:rsid w:val="000E10BD"/>
    <w:rsid w:val="000E15CB"/>
    <w:rsid w:val="000E2AF2"/>
    <w:rsid w:val="000E4E2E"/>
    <w:rsid w:val="000E615D"/>
    <w:rsid w:val="000F3577"/>
    <w:rsid w:val="00100521"/>
    <w:rsid w:val="001009B3"/>
    <w:rsid w:val="00100EE7"/>
    <w:rsid w:val="00101E80"/>
    <w:rsid w:val="00102255"/>
    <w:rsid w:val="001033FD"/>
    <w:rsid w:val="00104C15"/>
    <w:rsid w:val="00105120"/>
    <w:rsid w:val="0010575C"/>
    <w:rsid w:val="00106421"/>
    <w:rsid w:val="00107606"/>
    <w:rsid w:val="00110983"/>
    <w:rsid w:val="00111972"/>
    <w:rsid w:val="0011229E"/>
    <w:rsid w:val="00112756"/>
    <w:rsid w:val="00112A99"/>
    <w:rsid w:val="00114295"/>
    <w:rsid w:val="001144E2"/>
    <w:rsid w:val="00114C7E"/>
    <w:rsid w:val="00114C86"/>
    <w:rsid w:val="00116B13"/>
    <w:rsid w:val="00117F5A"/>
    <w:rsid w:val="001201C8"/>
    <w:rsid w:val="001221DD"/>
    <w:rsid w:val="00122DE9"/>
    <w:rsid w:val="00123D78"/>
    <w:rsid w:val="00125048"/>
    <w:rsid w:val="00125B68"/>
    <w:rsid w:val="001276C8"/>
    <w:rsid w:val="001300FB"/>
    <w:rsid w:val="001312DC"/>
    <w:rsid w:val="00132123"/>
    <w:rsid w:val="0013358D"/>
    <w:rsid w:val="00137872"/>
    <w:rsid w:val="0014017D"/>
    <w:rsid w:val="00144EBC"/>
    <w:rsid w:val="00145BA6"/>
    <w:rsid w:val="00145DCB"/>
    <w:rsid w:val="00147AEC"/>
    <w:rsid w:val="00150835"/>
    <w:rsid w:val="00154DD9"/>
    <w:rsid w:val="001550DC"/>
    <w:rsid w:val="001558CB"/>
    <w:rsid w:val="00156673"/>
    <w:rsid w:val="00157754"/>
    <w:rsid w:val="00160234"/>
    <w:rsid w:val="001605F0"/>
    <w:rsid w:val="00161842"/>
    <w:rsid w:val="0016293F"/>
    <w:rsid w:val="00164697"/>
    <w:rsid w:val="00166AF7"/>
    <w:rsid w:val="00166BAD"/>
    <w:rsid w:val="001670D5"/>
    <w:rsid w:val="00167A2B"/>
    <w:rsid w:val="0017285A"/>
    <w:rsid w:val="0017345B"/>
    <w:rsid w:val="0017397F"/>
    <w:rsid w:val="001752B3"/>
    <w:rsid w:val="00175BFB"/>
    <w:rsid w:val="00176308"/>
    <w:rsid w:val="00176E4A"/>
    <w:rsid w:val="00181F00"/>
    <w:rsid w:val="001832F1"/>
    <w:rsid w:val="0018357C"/>
    <w:rsid w:val="001838FE"/>
    <w:rsid w:val="00184169"/>
    <w:rsid w:val="001862D8"/>
    <w:rsid w:val="001871FB"/>
    <w:rsid w:val="0019044E"/>
    <w:rsid w:val="0019115E"/>
    <w:rsid w:val="00192D42"/>
    <w:rsid w:val="00193AB6"/>
    <w:rsid w:val="00193CB1"/>
    <w:rsid w:val="00193F11"/>
    <w:rsid w:val="001956DB"/>
    <w:rsid w:val="001960DD"/>
    <w:rsid w:val="001A3549"/>
    <w:rsid w:val="001A3AAB"/>
    <w:rsid w:val="001A410F"/>
    <w:rsid w:val="001A570F"/>
    <w:rsid w:val="001B489F"/>
    <w:rsid w:val="001B4C79"/>
    <w:rsid w:val="001B7DB6"/>
    <w:rsid w:val="001C2047"/>
    <w:rsid w:val="001C26F6"/>
    <w:rsid w:val="001C3E27"/>
    <w:rsid w:val="001C643F"/>
    <w:rsid w:val="001D1764"/>
    <w:rsid w:val="001D68F2"/>
    <w:rsid w:val="001D7703"/>
    <w:rsid w:val="001E2A6F"/>
    <w:rsid w:val="001E3B34"/>
    <w:rsid w:val="001E51BD"/>
    <w:rsid w:val="001E55DA"/>
    <w:rsid w:val="001E5F03"/>
    <w:rsid w:val="001E61EB"/>
    <w:rsid w:val="001E622A"/>
    <w:rsid w:val="001E717F"/>
    <w:rsid w:val="001E7D02"/>
    <w:rsid w:val="001F017A"/>
    <w:rsid w:val="001F0A85"/>
    <w:rsid w:val="001F1FF6"/>
    <w:rsid w:val="001F6CCE"/>
    <w:rsid w:val="0020083E"/>
    <w:rsid w:val="00200965"/>
    <w:rsid w:val="00201E20"/>
    <w:rsid w:val="0020231A"/>
    <w:rsid w:val="00204029"/>
    <w:rsid w:val="002072E4"/>
    <w:rsid w:val="00207859"/>
    <w:rsid w:val="00207916"/>
    <w:rsid w:val="00213A77"/>
    <w:rsid w:val="00215B5D"/>
    <w:rsid w:val="00216CAC"/>
    <w:rsid w:val="00216EA3"/>
    <w:rsid w:val="00217763"/>
    <w:rsid w:val="00222AB6"/>
    <w:rsid w:val="0022333F"/>
    <w:rsid w:val="00223718"/>
    <w:rsid w:val="002300AB"/>
    <w:rsid w:val="00231035"/>
    <w:rsid w:val="002313D5"/>
    <w:rsid w:val="00231509"/>
    <w:rsid w:val="002322C4"/>
    <w:rsid w:val="002337BA"/>
    <w:rsid w:val="00234A3D"/>
    <w:rsid w:val="00241572"/>
    <w:rsid w:val="0024275A"/>
    <w:rsid w:val="00243CC9"/>
    <w:rsid w:val="00251418"/>
    <w:rsid w:val="0025455A"/>
    <w:rsid w:val="00254724"/>
    <w:rsid w:val="00260A28"/>
    <w:rsid w:val="00260DB7"/>
    <w:rsid w:val="00261029"/>
    <w:rsid w:val="002625F7"/>
    <w:rsid w:val="002625FF"/>
    <w:rsid w:val="0026426B"/>
    <w:rsid w:val="00266B64"/>
    <w:rsid w:val="00266FC6"/>
    <w:rsid w:val="00267CB3"/>
    <w:rsid w:val="002713A0"/>
    <w:rsid w:val="002722EB"/>
    <w:rsid w:val="00273A5E"/>
    <w:rsid w:val="00274B10"/>
    <w:rsid w:val="00274DC9"/>
    <w:rsid w:val="002768B5"/>
    <w:rsid w:val="00281E08"/>
    <w:rsid w:val="002831E9"/>
    <w:rsid w:val="00285DEC"/>
    <w:rsid w:val="002868F8"/>
    <w:rsid w:val="00293813"/>
    <w:rsid w:val="00295534"/>
    <w:rsid w:val="00295744"/>
    <w:rsid w:val="00296EDF"/>
    <w:rsid w:val="002972F6"/>
    <w:rsid w:val="00297DFB"/>
    <w:rsid w:val="002A1B87"/>
    <w:rsid w:val="002A1C87"/>
    <w:rsid w:val="002A1FC3"/>
    <w:rsid w:val="002A2A37"/>
    <w:rsid w:val="002A492E"/>
    <w:rsid w:val="002A5A03"/>
    <w:rsid w:val="002B1A69"/>
    <w:rsid w:val="002B3F80"/>
    <w:rsid w:val="002B4011"/>
    <w:rsid w:val="002B6BCE"/>
    <w:rsid w:val="002C0D6E"/>
    <w:rsid w:val="002C227E"/>
    <w:rsid w:val="002C4F24"/>
    <w:rsid w:val="002C5871"/>
    <w:rsid w:val="002C6EF7"/>
    <w:rsid w:val="002C78FA"/>
    <w:rsid w:val="002D1640"/>
    <w:rsid w:val="002D1B50"/>
    <w:rsid w:val="002D20A4"/>
    <w:rsid w:val="002D22FC"/>
    <w:rsid w:val="002D354E"/>
    <w:rsid w:val="002D39A4"/>
    <w:rsid w:val="002D5286"/>
    <w:rsid w:val="002D6D55"/>
    <w:rsid w:val="002D73FC"/>
    <w:rsid w:val="002E559A"/>
    <w:rsid w:val="002E75FC"/>
    <w:rsid w:val="002E7989"/>
    <w:rsid w:val="002F0929"/>
    <w:rsid w:val="002F0BFE"/>
    <w:rsid w:val="002F2806"/>
    <w:rsid w:val="002F4016"/>
    <w:rsid w:val="002F5353"/>
    <w:rsid w:val="002F644F"/>
    <w:rsid w:val="002F660F"/>
    <w:rsid w:val="002F6951"/>
    <w:rsid w:val="00300683"/>
    <w:rsid w:val="0030196C"/>
    <w:rsid w:val="00301D01"/>
    <w:rsid w:val="00302480"/>
    <w:rsid w:val="00307063"/>
    <w:rsid w:val="0030770F"/>
    <w:rsid w:val="00314289"/>
    <w:rsid w:val="00314468"/>
    <w:rsid w:val="00314F90"/>
    <w:rsid w:val="00314F98"/>
    <w:rsid w:val="00315F47"/>
    <w:rsid w:val="00316889"/>
    <w:rsid w:val="00316F38"/>
    <w:rsid w:val="00321CAE"/>
    <w:rsid w:val="003230D0"/>
    <w:rsid w:val="0032312B"/>
    <w:rsid w:val="0032529C"/>
    <w:rsid w:val="00325B75"/>
    <w:rsid w:val="00327126"/>
    <w:rsid w:val="00333ED2"/>
    <w:rsid w:val="003369B7"/>
    <w:rsid w:val="00336EF8"/>
    <w:rsid w:val="00337B74"/>
    <w:rsid w:val="00337EA6"/>
    <w:rsid w:val="00341776"/>
    <w:rsid w:val="0034454F"/>
    <w:rsid w:val="003474A5"/>
    <w:rsid w:val="00350378"/>
    <w:rsid w:val="00357902"/>
    <w:rsid w:val="00360EA9"/>
    <w:rsid w:val="0036169E"/>
    <w:rsid w:val="003624B6"/>
    <w:rsid w:val="00362686"/>
    <w:rsid w:val="00363157"/>
    <w:rsid w:val="00364108"/>
    <w:rsid w:val="0036523F"/>
    <w:rsid w:val="003667A4"/>
    <w:rsid w:val="00366D90"/>
    <w:rsid w:val="00371B80"/>
    <w:rsid w:val="0037237C"/>
    <w:rsid w:val="0037272E"/>
    <w:rsid w:val="00372847"/>
    <w:rsid w:val="003729AD"/>
    <w:rsid w:val="00374662"/>
    <w:rsid w:val="00374874"/>
    <w:rsid w:val="00377005"/>
    <w:rsid w:val="003831D0"/>
    <w:rsid w:val="00383D44"/>
    <w:rsid w:val="00384E3A"/>
    <w:rsid w:val="00386A7B"/>
    <w:rsid w:val="00386D06"/>
    <w:rsid w:val="00390A91"/>
    <w:rsid w:val="00394209"/>
    <w:rsid w:val="0039511B"/>
    <w:rsid w:val="003955A7"/>
    <w:rsid w:val="00395A05"/>
    <w:rsid w:val="00395FF5"/>
    <w:rsid w:val="003A24BA"/>
    <w:rsid w:val="003A3953"/>
    <w:rsid w:val="003A3B00"/>
    <w:rsid w:val="003A3C24"/>
    <w:rsid w:val="003A4687"/>
    <w:rsid w:val="003A4FBD"/>
    <w:rsid w:val="003A72E6"/>
    <w:rsid w:val="003A7315"/>
    <w:rsid w:val="003A7A35"/>
    <w:rsid w:val="003B00DD"/>
    <w:rsid w:val="003B096A"/>
    <w:rsid w:val="003B101E"/>
    <w:rsid w:val="003B3833"/>
    <w:rsid w:val="003B3DAF"/>
    <w:rsid w:val="003B4361"/>
    <w:rsid w:val="003B767F"/>
    <w:rsid w:val="003B7C71"/>
    <w:rsid w:val="003C1C31"/>
    <w:rsid w:val="003C7810"/>
    <w:rsid w:val="003D0617"/>
    <w:rsid w:val="003D17A8"/>
    <w:rsid w:val="003D1CE1"/>
    <w:rsid w:val="003D1EF5"/>
    <w:rsid w:val="003D3423"/>
    <w:rsid w:val="003D6F84"/>
    <w:rsid w:val="003E1108"/>
    <w:rsid w:val="003E1ADC"/>
    <w:rsid w:val="003E2D72"/>
    <w:rsid w:val="003E3197"/>
    <w:rsid w:val="003E31F5"/>
    <w:rsid w:val="003E40FB"/>
    <w:rsid w:val="003E44A3"/>
    <w:rsid w:val="003E4EE0"/>
    <w:rsid w:val="003F1210"/>
    <w:rsid w:val="003F174E"/>
    <w:rsid w:val="003F1BF4"/>
    <w:rsid w:val="003F2622"/>
    <w:rsid w:val="003F3724"/>
    <w:rsid w:val="003F39B5"/>
    <w:rsid w:val="003F760F"/>
    <w:rsid w:val="003F76E4"/>
    <w:rsid w:val="00400CD4"/>
    <w:rsid w:val="004023F1"/>
    <w:rsid w:val="00402E35"/>
    <w:rsid w:val="004035FA"/>
    <w:rsid w:val="00405B5A"/>
    <w:rsid w:val="00407549"/>
    <w:rsid w:val="004104CA"/>
    <w:rsid w:val="004130EB"/>
    <w:rsid w:val="00413DFB"/>
    <w:rsid w:val="00413FE0"/>
    <w:rsid w:val="0041550A"/>
    <w:rsid w:val="00415D18"/>
    <w:rsid w:val="00416680"/>
    <w:rsid w:val="00421B50"/>
    <w:rsid w:val="00421D04"/>
    <w:rsid w:val="00422969"/>
    <w:rsid w:val="004230DE"/>
    <w:rsid w:val="004232C3"/>
    <w:rsid w:val="004235F0"/>
    <w:rsid w:val="004255B5"/>
    <w:rsid w:val="0042572E"/>
    <w:rsid w:val="00427659"/>
    <w:rsid w:val="00427811"/>
    <w:rsid w:val="00430EAC"/>
    <w:rsid w:val="00431A30"/>
    <w:rsid w:val="004353FA"/>
    <w:rsid w:val="00437557"/>
    <w:rsid w:val="00437C7C"/>
    <w:rsid w:val="004401D1"/>
    <w:rsid w:val="00443227"/>
    <w:rsid w:val="00445566"/>
    <w:rsid w:val="00447688"/>
    <w:rsid w:val="004526F0"/>
    <w:rsid w:val="00455302"/>
    <w:rsid w:val="00455F19"/>
    <w:rsid w:val="00460208"/>
    <w:rsid w:val="00462E80"/>
    <w:rsid w:val="004631E6"/>
    <w:rsid w:val="004637DC"/>
    <w:rsid w:val="00463EEA"/>
    <w:rsid w:val="004655E9"/>
    <w:rsid w:val="00465605"/>
    <w:rsid w:val="0046615D"/>
    <w:rsid w:val="00467CCA"/>
    <w:rsid w:val="00471E88"/>
    <w:rsid w:val="004720AC"/>
    <w:rsid w:val="00475585"/>
    <w:rsid w:val="00477576"/>
    <w:rsid w:val="00480103"/>
    <w:rsid w:val="004817CE"/>
    <w:rsid w:val="0048219D"/>
    <w:rsid w:val="004832F5"/>
    <w:rsid w:val="004835CD"/>
    <w:rsid w:val="00484114"/>
    <w:rsid w:val="00484A48"/>
    <w:rsid w:val="00484BE5"/>
    <w:rsid w:val="00486703"/>
    <w:rsid w:val="0048712F"/>
    <w:rsid w:val="00487375"/>
    <w:rsid w:val="0049058B"/>
    <w:rsid w:val="00490DCA"/>
    <w:rsid w:val="00490DE7"/>
    <w:rsid w:val="004916BD"/>
    <w:rsid w:val="00492473"/>
    <w:rsid w:val="00492590"/>
    <w:rsid w:val="004926B1"/>
    <w:rsid w:val="00492955"/>
    <w:rsid w:val="0049321B"/>
    <w:rsid w:val="00495AC5"/>
    <w:rsid w:val="004964BF"/>
    <w:rsid w:val="00496D76"/>
    <w:rsid w:val="00496E20"/>
    <w:rsid w:val="00496EB2"/>
    <w:rsid w:val="0049784B"/>
    <w:rsid w:val="004A2479"/>
    <w:rsid w:val="004A4910"/>
    <w:rsid w:val="004A6A30"/>
    <w:rsid w:val="004A77F6"/>
    <w:rsid w:val="004A7B96"/>
    <w:rsid w:val="004B0217"/>
    <w:rsid w:val="004B110E"/>
    <w:rsid w:val="004B143C"/>
    <w:rsid w:val="004B29F8"/>
    <w:rsid w:val="004B339A"/>
    <w:rsid w:val="004B3F80"/>
    <w:rsid w:val="004B4E7E"/>
    <w:rsid w:val="004B590B"/>
    <w:rsid w:val="004B794B"/>
    <w:rsid w:val="004C1E18"/>
    <w:rsid w:val="004C2432"/>
    <w:rsid w:val="004C2A0D"/>
    <w:rsid w:val="004C2B7D"/>
    <w:rsid w:val="004C6A95"/>
    <w:rsid w:val="004C6E4D"/>
    <w:rsid w:val="004C75E4"/>
    <w:rsid w:val="004C7D0F"/>
    <w:rsid w:val="004D0B5D"/>
    <w:rsid w:val="004D0F3E"/>
    <w:rsid w:val="004D2E76"/>
    <w:rsid w:val="004D4D78"/>
    <w:rsid w:val="004E0C60"/>
    <w:rsid w:val="004E0E34"/>
    <w:rsid w:val="004E0FE7"/>
    <w:rsid w:val="004E1F6B"/>
    <w:rsid w:val="004E3D6D"/>
    <w:rsid w:val="004E7B64"/>
    <w:rsid w:val="004F1DC4"/>
    <w:rsid w:val="004F5B3B"/>
    <w:rsid w:val="004F5D79"/>
    <w:rsid w:val="0050215A"/>
    <w:rsid w:val="00505968"/>
    <w:rsid w:val="00506B00"/>
    <w:rsid w:val="00506F35"/>
    <w:rsid w:val="0051163B"/>
    <w:rsid w:val="005118CF"/>
    <w:rsid w:val="00513365"/>
    <w:rsid w:val="00513469"/>
    <w:rsid w:val="005139B2"/>
    <w:rsid w:val="0051733B"/>
    <w:rsid w:val="00517699"/>
    <w:rsid w:val="00517A30"/>
    <w:rsid w:val="00521082"/>
    <w:rsid w:val="0052132D"/>
    <w:rsid w:val="00521470"/>
    <w:rsid w:val="00522792"/>
    <w:rsid w:val="0052290F"/>
    <w:rsid w:val="00524D62"/>
    <w:rsid w:val="005253B8"/>
    <w:rsid w:val="00526B81"/>
    <w:rsid w:val="005272E6"/>
    <w:rsid w:val="00527E9A"/>
    <w:rsid w:val="005308A8"/>
    <w:rsid w:val="00530A87"/>
    <w:rsid w:val="00530BAE"/>
    <w:rsid w:val="0053328F"/>
    <w:rsid w:val="00533B4C"/>
    <w:rsid w:val="00534DB6"/>
    <w:rsid w:val="00535054"/>
    <w:rsid w:val="00536FAF"/>
    <w:rsid w:val="005429FB"/>
    <w:rsid w:val="00542A43"/>
    <w:rsid w:val="00542EA6"/>
    <w:rsid w:val="00543AA7"/>
    <w:rsid w:val="00544A99"/>
    <w:rsid w:val="00545DD5"/>
    <w:rsid w:val="0054661A"/>
    <w:rsid w:val="00546A62"/>
    <w:rsid w:val="005478A9"/>
    <w:rsid w:val="00547C45"/>
    <w:rsid w:val="005519A4"/>
    <w:rsid w:val="0055251A"/>
    <w:rsid w:val="0055296C"/>
    <w:rsid w:val="0055301A"/>
    <w:rsid w:val="00555CE9"/>
    <w:rsid w:val="00556E2F"/>
    <w:rsid w:val="00561ECF"/>
    <w:rsid w:val="00565E5A"/>
    <w:rsid w:val="00566248"/>
    <w:rsid w:val="0056695E"/>
    <w:rsid w:val="00566EB3"/>
    <w:rsid w:val="00570E45"/>
    <w:rsid w:val="00571E7A"/>
    <w:rsid w:val="0057332B"/>
    <w:rsid w:val="00573A37"/>
    <w:rsid w:val="00575DF0"/>
    <w:rsid w:val="0057780D"/>
    <w:rsid w:val="00577924"/>
    <w:rsid w:val="00577E1C"/>
    <w:rsid w:val="00582A4B"/>
    <w:rsid w:val="00584914"/>
    <w:rsid w:val="00584F58"/>
    <w:rsid w:val="00584FA8"/>
    <w:rsid w:val="00586057"/>
    <w:rsid w:val="00586CB1"/>
    <w:rsid w:val="0059064D"/>
    <w:rsid w:val="00591B90"/>
    <w:rsid w:val="0059267C"/>
    <w:rsid w:val="005942FD"/>
    <w:rsid w:val="005946C4"/>
    <w:rsid w:val="00594CF7"/>
    <w:rsid w:val="00597B56"/>
    <w:rsid w:val="005A3FB8"/>
    <w:rsid w:val="005A432F"/>
    <w:rsid w:val="005A5FA5"/>
    <w:rsid w:val="005B00EA"/>
    <w:rsid w:val="005C012E"/>
    <w:rsid w:val="005C0321"/>
    <w:rsid w:val="005C0726"/>
    <w:rsid w:val="005C0762"/>
    <w:rsid w:val="005C1148"/>
    <w:rsid w:val="005C13D0"/>
    <w:rsid w:val="005C3BB6"/>
    <w:rsid w:val="005C3E0E"/>
    <w:rsid w:val="005C4EAE"/>
    <w:rsid w:val="005C5AEA"/>
    <w:rsid w:val="005C7D89"/>
    <w:rsid w:val="005D77A4"/>
    <w:rsid w:val="005E4176"/>
    <w:rsid w:val="005E45C3"/>
    <w:rsid w:val="005E64F9"/>
    <w:rsid w:val="005E7CC4"/>
    <w:rsid w:val="005F0640"/>
    <w:rsid w:val="005F2D26"/>
    <w:rsid w:val="005F303F"/>
    <w:rsid w:val="005F46BB"/>
    <w:rsid w:val="00601459"/>
    <w:rsid w:val="0060253C"/>
    <w:rsid w:val="00610832"/>
    <w:rsid w:val="006111FC"/>
    <w:rsid w:val="00611640"/>
    <w:rsid w:val="00611DC3"/>
    <w:rsid w:val="00614310"/>
    <w:rsid w:val="006168CC"/>
    <w:rsid w:val="00617161"/>
    <w:rsid w:val="0062153D"/>
    <w:rsid w:val="00622020"/>
    <w:rsid w:val="00622F63"/>
    <w:rsid w:val="00623E3D"/>
    <w:rsid w:val="00624C42"/>
    <w:rsid w:val="00630008"/>
    <w:rsid w:val="00631DF5"/>
    <w:rsid w:val="006371BC"/>
    <w:rsid w:val="00641663"/>
    <w:rsid w:val="00641DCE"/>
    <w:rsid w:val="00642BE1"/>
    <w:rsid w:val="006431E8"/>
    <w:rsid w:val="00643868"/>
    <w:rsid w:val="0064392F"/>
    <w:rsid w:val="00643E11"/>
    <w:rsid w:val="006440DE"/>
    <w:rsid w:val="0064500A"/>
    <w:rsid w:val="006453C2"/>
    <w:rsid w:val="006458B8"/>
    <w:rsid w:val="00645FF8"/>
    <w:rsid w:val="00647A79"/>
    <w:rsid w:val="00650E22"/>
    <w:rsid w:val="006518DC"/>
    <w:rsid w:val="00652791"/>
    <w:rsid w:val="00653B61"/>
    <w:rsid w:val="00655D12"/>
    <w:rsid w:val="0065762F"/>
    <w:rsid w:val="006600EB"/>
    <w:rsid w:val="0066040F"/>
    <w:rsid w:val="00661D3C"/>
    <w:rsid w:val="006627DD"/>
    <w:rsid w:val="00662C2B"/>
    <w:rsid w:val="00663152"/>
    <w:rsid w:val="0066403C"/>
    <w:rsid w:val="0066664E"/>
    <w:rsid w:val="00667454"/>
    <w:rsid w:val="00671476"/>
    <w:rsid w:val="006726BB"/>
    <w:rsid w:val="0067543A"/>
    <w:rsid w:val="0067571B"/>
    <w:rsid w:val="00675BCC"/>
    <w:rsid w:val="00676CAF"/>
    <w:rsid w:val="0067764B"/>
    <w:rsid w:val="006807E8"/>
    <w:rsid w:val="006815BB"/>
    <w:rsid w:val="00682D81"/>
    <w:rsid w:val="00686851"/>
    <w:rsid w:val="00691973"/>
    <w:rsid w:val="006925A4"/>
    <w:rsid w:val="00694E06"/>
    <w:rsid w:val="00695AD2"/>
    <w:rsid w:val="006979FC"/>
    <w:rsid w:val="006A1D8B"/>
    <w:rsid w:val="006A324A"/>
    <w:rsid w:val="006B0EFE"/>
    <w:rsid w:val="006B3314"/>
    <w:rsid w:val="006B3FE1"/>
    <w:rsid w:val="006B4155"/>
    <w:rsid w:val="006B76BC"/>
    <w:rsid w:val="006C0A5E"/>
    <w:rsid w:val="006C0BA1"/>
    <w:rsid w:val="006C5CB6"/>
    <w:rsid w:val="006C76DD"/>
    <w:rsid w:val="006D2363"/>
    <w:rsid w:val="006D2F24"/>
    <w:rsid w:val="006D5928"/>
    <w:rsid w:val="006D6867"/>
    <w:rsid w:val="006D6FB6"/>
    <w:rsid w:val="006D7948"/>
    <w:rsid w:val="006E5220"/>
    <w:rsid w:val="006E6A27"/>
    <w:rsid w:val="006E6D82"/>
    <w:rsid w:val="006F1EEE"/>
    <w:rsid w:val="006F37C5"/>
    <w:rsid w:val="006F68B6"/>
    <w:rsid w:val="00701927"/>
    <w:rsid w:val="007028D9"/>
    <w:rsid w:val="00704FD1"/>
    <w:rsid w:val="00705CAB"/>
    <w:rsid w:val="00707C8D"/>
    <w:rsid w:val="00711004"/>
    <w:rsid w:val="00711B5B"/>
    <w:rsid w:val="00712801"/>
    <w:rsid w:val="0071589F"/>
    <w:rsid w:val="00717C87"/>
    <w:rsid w:val="00720E84"/>
    <w:rsid w:val="00721434"/>
    <w:rsid w:val="00721D9C"/>
    <w:rsid w:val="00726A6F"/>
    <w:rsid w:val="00730A3E"/>
    <w:rsid w:val="00731E31"/>
    <w:rsid w:val="00732270"/>
    <w:rsid w:val="00733B8A"/>
    <w:rsid w:val="00735A57"/>
    <w:rsid w:val="00735F46"/>
    <w:rsid w:val="00735FAB"/>
    <w:rsid w:val="00740018"/>
    <w:rsid w:val="00740343"/>
    <w:rsid w:val="007413F1"/>
    <w:rsid w:val="00743212"/>
    <w:rsid w:val="00743527"/>
    <w:rsid w:val="0074364C"/>
    <w:rsid w:val="00743803"/>
    <w:rsid w:val="007444C3"/>
    <w:rsid w:val="00745CDF"/>
    <w:rsid w:val="00746B92"/>
    <w:rsid w:val="007502F8"/>
    <w:rsid w:val="00751658"/>
    <w:rsid w:val="00752447"/>
    <w:rsid w:val="00752C87"/>
    <w:rsid w:val="00755561"/>
    <w:rsid w:val="00756B63"/>
    <w:rsid w:val="0075772F"/>
    <w:rsid w:val="00762098"/>
    <w:rsid w:val="00763C04"/>
    <w:rsid w:val="00764050"/>
    <w:rsid w:val="0076443F"/>
    <w:rsid w:val="00765AC5"/>
    <w:rsid w:val="00771FE9"/>
    <w:rsid w:val="00774898"/>
    <w:rsid w:val="00774BD7"/>
    <w:rsid w:val="0077514C"/>
    <w:rsid w:val="00775550"/>
    <w:rsid w:val="007775B7"/>
    <w:rsid w:val="00777A94"/>
    <w:rsid w:val="00782826"/>
    <w:rsid w:val="00783668"/>
    <w:rsid w:val="00784DCD"/>
    <w:rsid w:val="00785566"/>
    <w:rsid w:val="00787A71"/>
    <w:rsid w:val="007903C6"/>
    <w:rsid w:val="00791493"/>
    <w:rsid w:val="00791A40"/>
    <w:rsid w:val="0079473B"/>
    <w:rsid w:val="0079612F"/>
    <w:rsid w:val="00797EB5"/>
    <w:rsid w:val="007A0001"/>
    <w:rsid w:val="007A1BDA"/>
    <w:rsid w:val="007A25DD"/>
    <w:rsid w:val="007A2EE9"/>
    <w:rsid w:val="007A4914"/>
    <w:rsid w:val="007A5A57"/>
    <w:rsid w:val="007A5C72"/>
    <w:rsid w:val="007A628E"/>
    <w:rsid w:val="007A744F"/>
    <w:rsid w:val="007B0CF6"/>
    <w:rsid w:val="007B45F5"/>
    <w:rsid w:val="007B4ABF"/>
    <w:rsid w:val="007B4CF1"/>
    <w:rsid w:val="007B4FA1"/>
    <w:rsid w:val="007B511E"/>
    <w:rsid w:val="007C4AEF"/>
    <w:rsid w:val="007C719C"/>
    <w:rsid w:val="007D2B56"/>
    <w:rsid w:val="007D340A"/>
    <w:rsid w:val="007D4883"/>
    <w:rsid w:val="007D6906"/>
    <w:rsid w:val="007E1518"/>
    <w:rsid w:val="007E3D56"/>
    <w:rsid w:val="007E712E"/>
    <w:rsid w:val="007F23AA"/>
    <w:rsid w:val="007F2DAA"/>
    <w:rsid w:val="007F39CA"/>
    <w:rsid w:val="007F5472"/>
    <w:rsid w:val="007F550C"/>
    <w:rsid w:val="007F60FA"/>
    <w:rsid w:val="007F780C"/>
    <w:rsid w:val="008043CE"/>
    <w:rsid w:val="00804A87"/>
    <w:rsid w:val="008104DB"/>
    <w:rsid w:val="008106BF"/>
    <w:rsid w:val="0081086C"/>
    <w:rsid w:val="00813490"/>
    <w:rsid w:val="00814A17"/>
    <w:rsid w:val="008208BC"/>
    <w:rsid w:val="008209FF"/>
    <w:rsid w:val="0082234E"/>
    <w:rsid w:val="008226FC"/>
    <w:rsid w:val="0082480C"/>
    <w:rsid w:val="0082493A"/>
    <w:rsid w:val="00824FC8"/>
    <w:rsid w:val="00826B6A"/>
    <w:rsid w:val="00830993"/>
    <w:rsid w:val="0083151E"/>
    <w:rsid w:val="008325DB"/>
    <w:rsid w:val="008330A2"/>
    <w:rsid w:val="00835434"/>
    <w:rsid w:val="0083566D"/>
    <w:rsid w:val="00836301"/>
    <w:rsid w:val="00836AEE"/>
    <w:rsid w:val="00842105"/>
    <w:rsid w:val="00842881"/>
    <w:rsid w:val="00842967"/>
    <w:rsid w:val="00843F49"/>
    <w:rsid w:val="00844A2E"/>
    <w:rsid w:val="00846040"/>
    <w:rsid w:val="008462A8"/>
    <w:rsid w:val="00847CE9"/>
    <w:rsid w:val="00851FED"/>
    <w:rsid w:val="00852081"/>
    <w:rsid w:val="00852305"/>
    <w:rsid w:val="0085254E"/>
    <w:rsid w:val="00854490"/>
    <w:rsid w:val="00854E0A"/>
    <w:rsid w:val="00856E4E"/>
    <w:rsid w:val="00857780"/>
    <w:rsid w:val="00861253"/>
    <w:rsid w:val="008612C2"/>
    <w:rsid w:val="00861E0F"/>
    <w:rsid w:val="0086224B"/>
    <w:rsid w:val="008637AE"/>
    <w:rsid w:val="00863CCD"/>
    <w:rsid w:val="008645FB"/>
    <w:rsid w:val="00866BE2"/>
    <w:rsid w:val="00867B69"/>
    <w:rsid w:val="00870D2B"/>
    <w:rsid w:val="00871D27"/>
    <w:rsid w:val="00874273"/>
    <w:rsid w:val="00880642"/>
    <w:rsid w:val="00881505"/>
    <w:rsid w:val="00881AA5"/>
    <w:rsid w:val="00881F61"/>
    <w:rsid w:val="00882FEF"/>
    <w:rsid w:val="00884841"/>
    <w:rsid w:val="008853D1"/>
    <w:rsid w:val="0088585E"/>
    <w:rsid w:val="00886109"/>
    <w:rsid w:val="008874A1"/>
    <w:rsid w:val="00887E6B"/>
    <w:rsid w:val="0089156A"/>
    <w:rsid w:val="00891B26"/>
    <w:rsid w:val="00891E9E"/>
    <w:rsid w:val="0089453A"/>
    <w:rsid w:val="00895AE2"/>
    <w:rsid w:val="00895FF2"/>
    <w:rsid w:val="00896242"/>
    <w:rsid w:val="0089786E"/>
    <w:rsid w:val="008979B7"/>
    <w:rsid w:val="008A0530"/>
    <w:rsid w:val="008A06E6"/>
    <w:rsid w:val="008A0D57"/>
    <w:rsid w:val="008A192D"/>
    <w:rsid w:val="008A2BCB"/>
    <w:rsid w:val="008A3279"/>
    <w:rsid w:val="008A3DD6"/>
    <w:rsid w:val="008A51A3"/>
    <w:rsid w:val="008A5EF3"/>
    <w:rsid w:val="008A6490"/>
    <w:rsid w:val="008B0DC8"/>
    <w:rsid w:val="008B3B75"/>
    <w:rsid w:val="008C024B"/>
    <w:rsid w:val="008C0AFE"/>
    <w:rsid w:val="008C1171"/>
    <w:rsid w:val="008C186B"/>
    <w:rsid w:val="008C24F0"/>
    <w:rsid w:val="008C440D"/>
    <w:rsid w:val="008C44B5"/>
    <w:rsid w:val="008C53F3"/>
    <w:rsid w:val="008C7971"/>
    <w:rsid w:val="008C7E30"/>
    <w:rsid w:val="008D0956"/>
    <w:rsid w:val="008D1E16"/>
    <w:rsid w:val="008D2663"/>
    <w:rsid w:val="008D3174"/>
    <w:rsid w:val="008D35F3"/>
    <w:rsid w:val="008D3D33"/>
    <w:rsid w:val="008D4193"/>
    <w:rsid w:val="008D5019"/>
    <w:rsid w:val="008E041F"/>
    <w:rsid w:val="008E0611"/>
    <w:rsid w:val="008E0F26"/>
    <w:rsid w:val="008E20F9"/>
    <w:rsid w:val="008E4B44"/>
    <w:rsid w:val="008E784E"/>
    <w:rsid w:val="008F1543"/>
    <w:rsid w:val="008F1599"/>
    <w:rsid w:val="008F39D1"/>
    <w:rsid w:val="008F4711"/>
    <w:rsid w:val="008F495B"/>
    <w:rsid w:val="008F54D0"/>
    <w:rsid w:val="008F7ADF"/>
    <w:rsid w:val="009011AB"/>
    <w:rsid w:val="00904266"/>
    <w:rsid w:val="0090429B"/>
    <w:rsid w:val="00906629"/>
    <w:rsid w:val="009115B3"/>
    <w:rsid w:val="0091276F"/>
    <w:rsid w:val="00913B14"/>
    <w:rsid w:val="0091565B"/>
    <w:rsid w:val="00917D3D"/>
    <w:rsid w:val="0092134E"/>
    <w:rsid w:val="00921788"/>
    <w:rsid w:val="00921F30"/>
    <w:rsid w:val="009235AF"/>
    <w:rsid w:val="00923B48"/>
    <w:rsid w:val="00927E26"/>
    <w:rsid w:val="00930CC2"/>
    <w:rsid w:val="0093406D"/>
    <w:rsid w:val="00937DC0"/>
    <w:rsid w:val="00940515"/>
    <w:rsid w:val="00940ECB"/>
    <w:rsid w:val="00945366"/>
    <w:rsid w:val="0094675A"/>
    <w:rsid w:val="00950A58"/>
    <w:rsid w:val="009513A5"/>
    <w:rsid w:val="00952581"/>
    <w:rsid w:val="00952F98"/>
    <w:rsid w:val="00954302"/>
    <w:rsid w:val="009551D8"/>
    <w:rsid w:val="00956123"/>
    <w:rsid w:val="009578A2"/>
    <w:rsid w:val="009602BF"/>
    <w:rsid w:val="00961A05"/>
    <w:rsid w:val="00961A99"/>
    <w:rsid w:val="00961CC3"/>
    <w:rsid w:val="00962158"/>
    <w:rsid w:val="009626EA"/>
    <w:rsid w:val="009636A9"/>
    <w:rsid w:val="00975279"/>
    <w:rsid w:val="009839A3"/>
    <w:rsid w:val="00984DA7"/>
    <w:rsid w:val="009863A7"/>
    <w:rsid w:val="009867C8"/>
    <w:rsid w:val="0099090E"/>
    <w:rsid w:val="00991DC0"/>
    <w:rsid w:val="00994C92"/>
    <w:rsid w:val="00994FF0"/>
    <w:rsid w:val="00995738"/>
    <w:rsid w:val="00995DCA"/>
    <w:rsid w:val="009A1AFE"/>
    <w:rsid w:val="009A3801"/>
    <w:rsid w:val="009A7EB5"/>
    <w:rsid w:val="009B1525"/>
    <w:rsid w:val="009B45FE"/>
    <w:rsid w:val="009B6E3C"/>
    <w:rsid w:val="009C0A68"/>
    <w:rsid w:val="009C2AFB"/>
    <w:rsid w:val="009C2B0E"/>
    <w:rsid w:val="009C5B0D"/>
    <w:rsid w:val="009D0245"/>
    <w:rsid w:val="009D0462"/>
    <w:rsid w:val="009D2754"/>
    <w:rsid w:val="009D3427"/>
    <w:rsid w:val="009D4792"/>
    <w:rsid w:val="009D7716"/>
    <w:rsid w:val="009E03AC"/>
    <w:rsid w:val="009E360D"/>
    <w:rsid w:val="009E63F0"/>
    <w:rsid w:val="009E6DEC"/>
    <w:rsid w:val="009F00D2"/>
    <w:rsid w:val="009F14E3"/>
    <w:rsid w:val="009F1547"/>
    <w:rsid w:val="009F1C0A"/>
    <w:rsid w:val="009F1DE8"/>
    <w:rsid w:val="009F2DEF"/>
    <w:rsid w:val="009F4200"/>
    <w:rsid w:val="009F4CF8"/>
    <w:rsid w:val="009F554A"/>
    <w:rsid w:val="009F702E"/>
    <w:rsid w:val="009F7766"/>
    <w:rsid w:val="00A00DC8"/>
    <w:rsid w:val="00A04801"/>
    <w:rsid w:val="00A1056B"/>
    <w:rsid w:val="00A105B5"/>
    <w:rsid w:val="00A1066B"/>
    <w:rsid w:val="00A112C7"/>
    <w:rsid w:val="00A12C9C"/>
    <w:rsid w:val="00A13C85"/>
    <w:rsid w:val="00A1550C"/>
    <w:rsid w:val="00A15934"/>
    <w:rsid w:val="00A159AD"/>
    <w:rsid w:val="00A15AE4"/>
    <w:rsid w:val="00A17545"/>
    <w:rsid w:val="00A179F6"/>
    <w:rsid w:val="00A20387"/>
    <w:rsid w:val="00A218AD"/>
    <w:rsid w:val="00A26738"/>
    <w:rsid w:val="00A27D68"/>
    <w:rsid w:val="00A32E52"/>
    <w:rsid w:val="00A33593"/>
    <w:rsid w:val="00A34AEE"/>
    <w:rsid w:val="00A34E5C"/>
    <w:rsid w:val="00A37DAB"/>
    <w:rsid w:val="00A40E85"/>
    <w:rsid w:val="00A4238B"/>
    <w:rsid w:val="00A42545"/>
    <w:rsid w:val="00A42AA4"/>
    <w:rsid w:val="00A4330C"/>
    <w:rsid w:val="00A440DA"/>
    <w:rsid w:val="00A44921"/>
    <w:rsid w:val="00A45924"/>
    <w:rsid w:val="00A47142"/>
    <w:rsid w:val="00A5182D"/>
    <w:rsid w:val="00A529A8"/>
    <w:rsid w:val="00A54803"/>
    <w:rsid w:val="00A54844"/>
    <w:rsid w:val="00A56ABD"/>
    <w:rsid w:val="00A6222D"/>
    <w:rsid w:val="00A625D3"/>
    <w:rsid w:val="00A64366"/>
    <w:rsid w:val="00A70BE8"/>
    <w:rsid w:val="00A70F10"/>
    <w:rsid w:val="00A713DD"/>
    <w:rsid w:val="00A71A33"/>
    <w:rsid w:val="00A72E47"/>
    <w:rsid w:val="00A73089"/>
    <w:rsid w:val="00A75F6C"/>
    <w:rsid w:val="00A76E99"/>
    <w:rsid w:val="00A86025"/>
    <w:rsid w:val="00A908D3"/>
    <w:rsid w:val="00A92E76"/>
    <w:rsid w:val="00A93061"/>
    <w:rsid w:val="00A944E5"/>
    <w:rsid w:val="00A94E13"/>
    <w:rsid w:val="00A95057"/>
    <w:rsid w:val="00A96748"/>
    <w:rsid w:val="00A969F1"/>
    <w:rsid w:val="00AA1764"/>
    <w:rsid w:val="00AA225C"/>
    <w:rsid w:val="00AA28E7"/>
    <w:rsid w:val="00AA51F3"/>
    <w:rsid w:val="00AA5952"/>
    <w:rsid w:val="00AA5EA5"/>
    <w:rsid w:val="00AA6D2C"/>
    <w:rsid w:val="00AB31C5"/>
    <w:rsid w:val="00AB41C1"/>
    <w:rsid w:val="00AB6227"/>
    <w:rsid w:val="00AB63FD"/>
    <w:rsid w:val="00AB7893"/>
    <w:rsid w:val="00AC1D6A"/>
    <w:rsid w:val="00AC2D1B"/>
    <w:rsid w:val="00AC3969"/>
    <w:rsid w:val="00AC4148"/>
    <w:rsid w:val="00AC4254"/>
    <w:rsid w:val="00AC578A"/>
    <w:rsid w:val="00AC63FA"/>
    <w:rsid w:val="00AC795F"/>
    <w:rsid w:val="00AC7BBA"/>
    <w:rsid w:val="00AD0A6F"/>
    <w:rsid w:val="00AD19D3"/>
    <w:rsid w:val="00AD1B24"/>
    <w:rsid w:val="00AD2DED"/>
    <w:rsid w:val="00AD3AB7"/>
    <w:rsid w:val="00AD4C14"/>
    <w:rsid w:val="00AD4D76"/>
    <w:rsid w:val="00AD6CB2"/>
    <w:rsid w:val="00AE060B"/>
    <w:rsid w:val="00AE1266"/>
    <w:rsid w:val="00AE26D4"/>
    <w:rsid w:val="00AE26F6"/>
    <w:rsid w:val="00AE2FE0"/>
    <w:rsid w:val="00AE3C55"/>
    <w:rsid w:val="00AE420C"/>
    <w:rsid w:val="00AE5DB2"/>
    <w:rsid w:val="00AE6A8E"/>
    <w:rsid w:val="00AE6F2F"/>
    <w:rsid w:val="00AF089E"/>
    <w:rsid w:val="00AF4253"/>
    <w:rsid w:val="00B044B9"/>
    <w:rsid w:val="00B04ADD"/>
    <w:rsid w:val="00B10B5E"/>
    <w:rsid w:val="00B10BCA"/>
    <w:rsid w:val="00B1725F"/>
    <w:rsid w:val="00B174B9"/>
    <w:rsid w:val="00B20266"/>
    <w:rsid w:val="00B220BA"/>
    <w:rsid w:val="00B2288E"/>
    <w:rsid w:val="00B23B49"/>
    <w:rsid w:val="00B23C6B"/>
    <w:rsid w:val="00B23CDB"/>
    <w:rsid w:val="00B24C4D"/>
    <w:rsid w:val="00B24D9E"/>
    <w:rsid w:val="00B250D4"/>
    <w:rsid w:val="00B25D37"/>
    <w:rsid w:val="00B306AE"/>
    <w:rsid w:val="00B30B69"/>
    <w:rsid w:val="00B32846"/>
    <w:rsid w:val="00B32F12"/>
    <w:rsid w:val="00B33C25"/>
    <w:rsid w:val="00B34EF9"/>
    <w:rsid w:val="00B35C6A"/>
    <w:rsid w:val="00B37D13"/>
    <w:rsid w:val="00B37DF7"/>
    <w:rsid w:val="00B4031D"/>
    <w:rsid w:val="00B41762"/>
    <w:rsid w:val="00B41B9C"/>
    <w:rsid w:val="00B41D25"/>
    <w:rsid w:val="00B42407"/>
    <w:rsid w:val="00B46A77"/>
    <w:rsid w:val="00B50BCE"/>
    <w:rsid w:val="00B53068"/>
    <w:rsid w:val="00B5314B"/>
    <w:rsid w:val="00B55A9A"/>
    <w:rsid w:val="00B5736E"/>
    <w:rsid w:val="00B57493"/>
    <w:rsid w:val="00B61215"/>
    <w:rsid w:val="00B66791"/>
    <w:rsid w:val="00B66A7B"/>
    <w:rsid w:val="00B70963"/>
    <w:rsid w:val="00B71B3A"/>
    <w:rsid w:val="00B74D0A"/>
    <w:rsid w:val="00B759DF"/>
    <w:rsid w:val="00B81E1E"/>
    <w:rsid w:val="00B82265"/>
    <w:rsid w:val="00B84158"/>
    <w:rsid w:val="00B855D0"/>
    <w:rsid w:val="00B86E0C"/>
    <w:rsid w:val="00B90F37"/>
    <w:rsid w:val="00B916D3"/>
    <w:rsid w:val="00B91BE3"/>
    <w:rsid w:val="00B92767"/>
    <w:rsid w:val="00B92CBD"/>
    <w:rsid w:val="00B97380"/>
    <w:rsid w:val="00B97BE0"/>
    <w:rsid w:val="00B97F04"/>
    <w:rsid w:val="00BA01F1"/>
    <w:rsid w:val="00BA15B9"/>
    <w:rsid w:val="00BA2E37"/>
    <w:rsid w:val="00BA346F"/>
    <w:rsid w:val="00BA406E"/>
    <w:rsid w:val="00BA6187"/>
    <w:rsid w:val="00BA7678"/>
    <w:rsid w:val="00BB04B3"/>
    <w:rsid w:val="00BB0E9F"/>
    <w:rsid w:val="00BB27F8"/>
    <w:rsid w:val="00BB3568"/>
    <w:rsid w:val="00BB3FEC"/>
    <w:rsid w:val="00BB67B8"/>
    <w:rsid w:val="00BB6DCE"/>
    <w:rsid w:val="00BC1ADC"/>
    <w:rsid w:val="00BC4D53"/>
    <w:rsid w:val="00BC6C02"/>
    <w:rsid w:val="00BC7840"/>
    <w:rsid w:val="00BC7C41"/>
    <w:rsid w:val="00BD0226"/>
    <w:rsid w:val="00BD02C7"/>
    <w:rsid w:val="00BD1917"/>
    <w:rsid w:val="00BD2D10"/>
    <w:rsid w:val="00BD334E"/>
    <w:rsid w:val="00BD5D56"/>
    <w:rsid w:val="00BD6C22"/>
    <w:rsid w:val="00BD7A1B"/>
    <w:rsid w:val="00BD7F86"/>
    <w:rsid w:val="00BE2C4A"/>
    <w:rsid w:val="00BE2D35"/>
    <w:rsid w:val="00BE2FCA"/>
    <w:rsid w:val="00BE321D"/>
    <w:rsid w:val="00BE37B2"/>
    <w:rsid w:val="00BE3E6E"/>
    <w:rsid w:val="00BE5206"/>
    <w:rsid w:val="00BE5A01"/>
    <w:rsid w:val="00BF15A0"/>
    <w:rsid w:val="00BF30B4"/>
    <w:rsid w:val="00BF3EF5"/>
    <w:rsid w:val="00BF485B"/>
    <w:rsid w:val="00BF6A92"/>
    <w:rsid w:val="00BF750D"/>
    <w:rsid w:val="00C00174"/>
    <w:rsid w:val="00C010D2"/>
    <w:rsid w:val="00C0192A"/>
    <w:rsid w:val="00C03919"/>
    <w:rsid w:val="00C04A5D"/>
    <w:rsid w:val="00C05386"/>
    <w:rsid w:val="00C0587B"/>
    <w:rsid w:val="00C06BD2"/>
    <w:rsid w:val="00C1277F"/>
    <w:rsid w:val="00C13F2A"/>
    <w:rsid w:val="00C14BAC"/>
    <w:rsid w:val="00C16767"/>
    <w:rsid w:val="00C16DCB"/>
    <w:rsid w:val="00C20DB6"/>
    <w:rsid w:val="00C210C8"/>
    <w:rsid w:val="00C212F6"/>
    <w:rsid w:val="00C21A7D"/>
    <w:rsid w:val="00C22AB7"/>
    <w:rsid w:val="00C2458A"/>
    <w:rsid w:val="00C24AF1"/>
    <w:rsid w:val="00C24DC4"/>
    <w:rsid w:val="00C254B0"/>
    <w:rsid w:val="00C26A93"/>
    <w:rsid w:val="00C27796"/>
    <w:rsid w:val="00C27B7A"/>
    <w:rsid w:val="00C27C7B"/>
    <w:rsid w:val="00C3085C"/>
    <w:rsid w:val="00C3318E"/>
    <w:rsid w:val="00C34AA7"/>
    <w:rsid w:val="00C3749C"/>
    <w:rsid w:val="00C40355"/>
    <w:rsid w:val="00C40CC4"/>
    <w:rsid w:val="00C4103D"/>
    <w:rsid w:val="00C416A3"/>
    <w:rsid w:val="00C42D90"/>
    <w:rsid w:val="00C450B5"/>
    <w:rsid w:val="00C46868"/>
    <w:rsid w:val="00C469C2"/>
    <w:rsid w:val="00C46AFB"/>
    <w:rsid w:val="00C52BE9"/>
    <w:rsid w:val="00C52C04"/>
    <w:rsid w:val="00C52D96"/>
    <w:rsid w:val="00C57740"/>
    <w:rsid w:val="00C57C7D"/>
    <w:rsid w:val="00C57F4E"/>
    <w:rsid w:val="00C62278"/>
    <w:rsid w:val="00C62956"/>
    <w:rsid w:val="00C63DB6"/>
    <w:rsid w:val="00C6416F"/>
    <w:rsid w:val="00C651AC"/>
    <w:rsid w:val="00C65CB7"/>
    <w:rsid w:val="00C66172"/>
    <w:rsid w:val="00C72734"/>
    <w:rsid w:val="00C74351"/>
    <w:rsid w:val="00C7569C"/>
    <w:rsid w:val="00C801C6"/>
    <w:rsid w:val="00C8318D"/>
    <w:rsid w:val="00C838A3"/>
    <w:rsid w:val="00C84245"/>
    <w:rsid w:val="00C84B21"/>
    <w:rsid w:val="00C85FBC"/>
    <w:rsid w:val="00C86456"/>
    <w:rsid w:val="00C9046C"/>
    <w:rsid w:val="00C9094E"/>
    <w:rsid w:val="00C92459"/>
    <w:rsid w:val="00C943DE"/>
    <w:rsid w:val="00C96D49"/>
    <w:rsid w:val="00C97D46"/>
    <w:rsid w:val="00CA00A5"/>
    <w:rsid w:val="00CA0EC1"/>
    <w:rsid w:val="00CA148B"/>
    <w:rsid w:val="00CA2B6D"/>
    <w:rsid w:val="00CA3472"/>
    <w:rsid w:val="00CA483D"/>
    <w:rsid w:val="00CA4B90"/>
    <w:rsid w:val="00CA58E3"/>
    <w:rsid w:val="00CA6245"/>
    <w:rsid w:val="00CB0814"/>
    <w:rsid w:val="00CB1E96"/>
    <w:rsid w:val="00CB337D"/>
    <w:rsid w:val="00CB3B1A"/>
    <w:rsid w:val="00CB41B6"/>
    <w:rsid w:val="00CB5400"/>
    <w:rsid w:val="00CB5966"/>
    <w:rsid w:val="00CB5E19"/>
    <w:rsid w:val="00CB652E"/>
    <w:rsid w:val="00CB6D02"/>
    <w:rsid w:val="00CB70E0"/>
    <w:rsid w:val="00CC13E1"/>
    <w:rsid w:val="00CC6BF8"/>
    <w:rsid w:val="00CD0F5F"/>
    <w:rsid w:val="00CD11C1"/>
    <w:rsid w:val="00CD2186"/>
    <w:rsid w:val="00CD4507"/>
    <w:rsid w:val="00CE175D"/>
    <w:rsid w:val="00CE2D43"/>
    <w:rsid w:val="00CE36E0"/>
    <w:rsid w:val="00CE62C4"/>
    <w:rsid w:val="00CE72AE"/>
    <w:rsid w:val="00CF28BD"/>
    <w:rsid w:val="00CF38A8"/>
    <w:rsid w:val="00CF6A0F"/>
    <w:rsid w:val="00D0075D"/>
    <w:rsid w:val="00D02F2F"/>
    <w:rsid w:val="00D03543"/>
    <w:rsid w:val="00D05BC3"/>
    <w:rsid w:val="00D07898"/>
    <w:rsid w:val="00D10D72"/>
    <w:rsid w:val="00D11143"/>
    <w:rsid w:val="00D11D24"/>
    <w:rsid w:val="00D153F4"/>
    <w:rsid w:val="00D159E5"/>
    <w:rsid w:val="00D177ED"/>
    <w:rsid w:val="00D17EF6"/>
    <w:rsid w:val="00D20ECE"/>
    <w:rsid w:val="00D223DB"/>
    <w:rsid w:val="00D232BC"/>
    <w:rsid w:val="00D253BB"/>
    <w:rsid w:val="00D25895"/>
    <w:rsid w:val="00D27229"/>
    <w:rsid w:val="00D31119"/>
    <w:rsid w:val="00D31C1E"/>
    <w:rsid w:val="00D32750"/>
    <w:rsid w:val="00D32FBF"/>
    <w:rsid w:val="00D33F41"/>
    <w:rsid w:val="00D36971"/>
    <w:rsid w:val="00D408B1"/>
    <w:rsid w:val="00D440D0"/>
    <w:rsid w:val="00D445F2"/>
    <w:rsid w:val="00D446DA"/>
    <w:rsid w:val="00D46713"/>
    <w:rsid w:val="00D53E8E"/>
    <w:rsid w:val="00D56635"/>
    <w:rsid w:val="00D56C51"/>
    <w:rsid w:val="00D57F79"/>
    <w:rsid w:val="00D645B5"/>
    <w:rsid w:val="00D65A48"/>
    <w:rsid w:val="00D706AD"/>
    <w:rsid w:val="00D72162"/>
    <w:rsid w:val="00D75BE7"/>
    <w:rsid w:val="00D7680D"/>
    <w:rsid w:val="00D806DA"/>
    <w:rsid w:val="00D82C35"/>
    <w:rsid w:val="00D84652"/>
    <w:rsid w:val="00D86107"/>
    <w:rsid w:val="00D87585"/>
    <w:rsid w:val="00D95E89"/>
    <w:rsid w:val="00D9762A"/>
    <w:rsid w:val="00DA0CD8"/>
    <w:rsid w:val="00DA2BE6"/>
    <w:rsid w:val="00DA41BB"/>
    <w:rsid w:val="00DA68A5"/>
    <w:rsid w:val="00DA710D"/>
    <w:rsid w:val="00DA755D"/>
    <w:rsid w:val="00DB1198"/>
    <w:rsid w:val="00DB1FEF"/>
    <w:rsid w:val="00DB44D1"/>
    <w:rsid w:val="00DB51DB"/>
    <w:rsid w:val="00DB5BF4"/>
    <w:rsid w:val="00DB6A5F"/>
    <w:rsid w:val="00DB7AE6"/>
    <w:rsid w:val="00DC1BC6"/>
    <w:rsid w:val="00DC1C5E"/>
    <w:rsid w:val="00DC3C1E"/>
    <w:rsid w:val="00DC539E"/>
    <w:rsid w:val="00DC5715"/>
    <w:rsid w:val="00DC6E1A"/>
    <w:rsid w:val="00DD01A6"/>
    <w:rsid w:val="00DD0D07"/>
    <w:rsid w:val="00DD3CCD"/>
    <w:rsid w:val="00DD57A5"/>
    <w:rsid w:val="00DE045D"/>
    <w:rsid w:val="00DE1989"/>
    <w:rsid w:val="00DE1C2B"/>
    <w:rsid w:val="00DE3104"/>
    <w:rsid w:val="00DE4520"/>
    <w:rsid w:val="00DE4A4C"/>
    <w:rsid w:val="00DE586C"/>
    <w:rsid w:val="00DE6FF8"/>
    <w:rsid w:val="00DE7352"/>
    <w:rsid w:val="00DE7BB3"/>
    <w:rsid w:val="00DF0736"/>
    <w:rsid w:val="00DF5C5D"/>
    <w:rsid w:val="00DF5CD5"/>
    <w:rsid w:val="00E009A6"/>
    <w:rsid w:val="00E00A61"/>
    <w:rsid w:val="00E01D56"/>
    <w:rsid w:val="00E044F7"/>
    <w:rsid w:val="00E06DEB"/>
    <w:rsid w:val="00E07AFD"/>
    <w:rsid w:val="00E105FE"/>
    <w:rsid w:val="00E106AE"/>
    <w:rsid w:val="00E12211"/>
    <w:rsid w:val="00E175EA"/>
    <w:rsid w:val="00E20BA8"/>
    <w:rsid w:val="00E21855"/>
    <w:rsid w:val="00E25724"/>
    <w:rsid w:val="00E26637"/>
    <w:rsid w:val="00E30870"/>
    <w:rsid w:val="00E34521"/>
    <w:rsid w:val="00E3494A"/>
    <w:rsid w:val="00E35108"/>
    <w:rsid w:val="00E35B85"/>
    <w:rsid w:val="00E3753C"/>
    <w:rsid w:val="00E42F52"/>
    <w:rsid w:val="00E477BD"/>
    <w:rsid w:val="00E47A4A"/>
    <w:rsid w:val="00E50829"/>
    <w:rsid w:val="00E50DF3"/>
    <w:rsid w:val="00E514C7"/>
    <w:rsid w:val="00E53843"/>
    <w:rsid w:val="00E53A17"/>
    <w:rsid w:val="00E55E5C"/>
    <w:rsid w:val="00E6020F"/>
    <w:rsid w:val="00E618B8"/>
    <w:rsid w:val="00E63A2B"/>
    <w:rsid w:val="00E64A3F"/>
    <w:rsid w:val="00E65605"/>
    <w:rsid w:val="00E70156"/>
    <w:rsid w:val="00E72582"/>
    <w:rsid w:val="00E72958"/>
    <w:rsid w:val="00E73991"/>
    <w:rsid w:val="00E740B7"/>
    <w:rsid w:val="00E76D66"/>
    <w:rsid w:val="00E7725C"/>
    <w:rsid w:val="00E77B5C"/>
    <w:rsid w:val="00E836F0"/>
    <w:rsid w:val="00E83B53"/>
    <w:rsid w:val="00E84F29"/>
    <w:rsid w:val="00E85B76"/>
    <w:rsid w:val="00E862C2"/>
    <w:rsid w:val="00E86DA2"/>
    <w:rsid w:val="00E91D2C"/>
    <w:rsid w:val="00E93291"/>
    <w:rsid w:val="00E9421E"/>
    <w:rsid w:val="00E94CBA"/>
    <w:rsid w:val="00E95EBE"/>
    <w:rsid w:val="00E96F23"/>
    <w:rsid w:val="00E97481"/>
    <w:rsid w:val="00EA0FE8"/>
    <w:rsid w:val="00EA1EC5"/>
    <w:rsid w:val="00EA2CA3"/>
    <w:rsid w:val="00EB07F1"/>
    <w:rsid w:val="00EB0C94"/>
    <w:rsid w:val="00EB2115"/>
    <w:rsid w:val="00EB3555"/>
    <w:rsid w:val="00EB573C"/>
    <w:rsid w:val="00EB5780"/>
    <w:rsid w:val="00EB7552"/>
    <w:rsid w:val="00EB7813"/>
    <w:rsid w:val="00EC340D"/>
    <w:rsid w:val="00EC3B6C"/>
    <w:rsid w:val="00EC4BE5"/>
    <w:rsid w:val="00EC5082"/>
    <w:rsid w:val="00EC51A8"/>
    <w:rsid w:val="00EC56F4"/>
    <w:rsid w:val="00EC5853"/>
    <w:rsid w:val="00EC6A09"/>
    <w:rsid w:val="00ED0702"/>
    <w:rsid w:val="00ED1833"/>
    <w:rsid w:val="00ED42A9"/>
    <w:rsid w:val="00ED4620"/>
    <w:rsid w:val="00ED4CE2"/>
    <w:rsid w:val="00ED6112"/>
    <w:rsid w:val="00ED613B"/>
    <w:rsid w:val="00ED7611"/>
    <w:rsid w:val="00EE212C"/>
    <w:rsid w:val="00EE2832"/>
    <w:rsid w:val="00EE298D"/>
    <w:rsid w:val="00EE2E50"/>
    <w:rsid w:val="00EE3654"/>
    <w:rsid w:val="00EE38CC"/>
    <w:rsid w:val="00EE4FCC"/>
    <w:rsid w:val="00EE543D"/>
    <w:rsid w:val="00EE548F"/>
    <w:rsid w:val="00EE57B8"/>
    <w:rsid w:val="00EE63C7"/>
    <w:rsid w:val="00EE6E5C"/>
    <w:rsid w:val="00EE7731"/>
    <w:rsid w:val="00EF0985"/>
    <w:rsid w:val="00EF0BFE"/>
    <w:rsid w:val="00EF13CD"/>
    <w:rsid w:val="00EF3505"/>
    <w:rsid w:val="00EF58E0"/>
    <w:rsid w:val="00EF5F13"/>
    <w:rsid w:val="00F0014B"/>
    <w:rsid w:val="00F00F03"/>
    <w:rsid w:val="00F014EC"/>
    <w:rsid w:val="00F01A73"/>
    <w:rsid w:val="00F0236A"/>
    <w:rsid w:val="00F039CD"/>
    <w:rsid w:val="00F107FF"/>
    <w:rsid w:val="00F13977"/>
    <w:rsid w:val="00F152A0"/>
    <w:rsid w:val="00F178F0"/>
    <w:rsid w:val="00F22752"/>
    <w:rsid w:val="00F23790"/>
    <w:rsid w:val="00F244D8"/>
    <w:rsid w:val="00F2748C"/>
    <w:rsid w:val="00F30717"/>
    <w:rsid w:val="00F31F24"/>
    <w:rsid w:val="00F32298"/>
    <w:rsid w:val="00F346BE"/>
    <w:rsid w:val="00F35C24"/>
    <w:rsid w:val="00F3779D"/>
    <w:rsid w:val="00F379A9"/>
    <w:rsid w:val="00F37F8B"/>
    <w:rsid w:val="00F4315E"/>
    <w:rsid w:val="00F43884"/>
    <w:rsid w:val="00F44A28"/>
    <w:rsid w:val="00F45D5D"/>
    <w:rsid w:val="00F46A71"/>
    <w:rsid w:val="00F46E7C"/>
    <w:rsid w:val="00F47BD3"/>
    <w:rsid w:val="00F54BEC"/>
    <w:rsid w:val="00F60955"/>
    <w:rsid w:val="00F6193B"/>
    <w:rsid w:val="00F61F13"/>
    <w:rsid w:val="00F62095"/>
    <w:rsid w:val="00F633A7"/>
    <w:rsid w:val="00F638CA"/>
    <w:rsid w:val="00F6420B"/>
    <w:rsid w:val="00F64892"/>
    <w:rsid w:val="00F648F4"/>
    <w:rsid w:val="00F6656C"/>
    <w:rsid w:val="00F72DD2"/>
    <w:rsid w:val="00F746EC"/>
    <w:rsid w:val="00F74AE1"/>
    <w:rsid w:val="00F74BEF"/>
    <w:rsid w:val="00F75E3F"/>
    <w:rsid w:val="00F773CA"/>
    <w:rsid w:val="00F810CA"/>
    <w:rsid w:val="00F82212"/>
    <w:rsid w:val="00F83E1C"/>
    <w:rsid w:val="00F847DF"/>
    <w:rsid w:val="00F87E23"/>
    <w:rsid w:val="00F91DC1"/>
    <w:rsid w:val="00F91E10"/>
    <w:rsid w:val="00F93C1E"/>
    <w:rsid w:val="00F94899"/>
    <w:rsid w:val="00F96AB6"/>
    <w:rsid w:val="00FA2D29"/>
    <w:rsid w:val="00FA2E46"/>
    <w:rsid w:val="00FA3EA3"/>
    <w:rsid w:val="00FA4007"/>
    <w:rsid w:val="00FA443F"/>
    <w:rsid w:val="00FA601E"/>
    <w:rsid w:val="00FA65C3"/>
    <w:rsid w:val="00FA6B60"/>
    <w:rsid w:val="00FA7EF3"/>
    <w:rsid w:val="00FB122F"/>
    <w:rsid w:val="00FB2D0C"/>
    <w:rsid w:val="00FB363E"/>
    <w:rsid w:val="00FB4C29"/>
    <w:rsid w:val="00FB5DDA"/>
    <w:rsid w:val="00FB6D75"/>
    <w:rsid w:val="00FC0541"/>
    <w:rsid w:val="00FC1EF7"/>
    <w:rsid w:val="00FC3138"/>
    <w:rsid w:val="00FC39DD"/>
    <w:rsid w:val="00FC5712"/>
    <w:rsid w:val="00FC5A77"/>
    <w:rsid w:val="00FD1B87"/>
    <w:rsid w:val="00FD7013"/>
    <w:rsid w:val="00FE1438"/>
    <w:rsid w:val="00FE17FD"/>
    <w:rsid w:val="00FE18DA"/>
    <w:rsid w:val="00FE1DC8"/>
    <w:rsid w:val="00FE38E3"/>
    <w:rsid w:val="00FE4639"/>
    <w:rsid w:val="00FE49C7"/>
    <w:rsid w:val="00FE511E"/>
    <w:rsid w:val="00FE53D0"/>
    <w:rsid w:val="00FE578E"/>
    <w:rsid w:val="00FE5821"/>
    <w:rsid w:val="00FE6906"/>
    <w:rsid w:val="00FE762E"/>
    <w:rsid w:val="00FF0333"/>
    <w:rsid w:val="00FF0EB6"/>
    <w:rsid w:val="00FF113D"/>
    <w:rsid w:val="00FF2427"/>
    <w:rsid w:val="00FF2E15"/>
    <w:rsid w:val="00FF2EDD"/>
    <w:rsid w:val="00FF395C"/>
    <w:rsid w:val="00FF57BA"/>
    <w:rsid w:val="00FF686F"/>
    <w:rsid w:val="00FF72BE"/>
    <w:rsid w:val="00FF77E6"/>
    <w:rsid w:val="00FF7F32"/>
    <w:rsid w:val="010640B8"/>
    <w:rsid w:val="012421BA"/>
    <w:rsid w:val="01333CED"/>
    <w:rsid w:val="01361EA6"/>
    <w:rsid w:val="01463CD8"/>
    <w:rsid w:val="015D2342"/>
    <w:rsid w:val="015F0F1B"/>
    <w:rsid w:val="01642D62"/>
    <w:rsid w:val="01787AE3"/>
    <w:rsid w:val="017B1359"/>
    <w:rsid w:val="019F1744"/>
    <w:rsid w:val="01C22B2A"/>
    <w:rsid w:val="01CD2406"/>
    <w:rsid w:val="01D54D98"/>
    <w:rsid w:val="01E7060E"/>
    <w:rsid w:val="01E929E1"/>
    <w:rsid w:val="01EC1F65"/>
    <w:rsid w:val="01FF1F1C"/>
    <w:rsid w:val="020918B7"/>
    <w:rsid w:val="020B4A0D"/>
    <w:rsid w:val="020B565C"/>
    <w:rsid w:val="02177336"/>
    <w:rsid w:val="02203BB0"/>
    <w:rsid w:val="022734B6"/>
    <w:rsid w:val="022E222C"/>
    <w:rsid w:val="023D7A2D"/>
    <w:rsid w:val="02453D62"/>
    <w:rsid w:val="0249320B"/>
    <w:rsid w:val="024E2412"/>
    <w:rsid w:val="02581D3A"/>
    <w:rsid w:val="025B4BAA"/>
    <w:rsid w:val="025E634C"/>
    <w:rsid w:val="026133EC"/>
    <w:rsid w:val="027257DB"/>
    <w:rsid w:val="02874D30"/>
    <w:rsid w:val="02A424D3"/>
    <w:rsid w:val="02A824AD"/>
    <w:rsid w:val="02AC2116"/>
    <w:rsid w:val="02B4435D"/>
    <w:rsid w:val="02B45220"/>
    <w:rsid w:val="02C606D3"/>
    <w:rsid w:val="02DD1D29"/>
    <w:rsid w:val="02DF6302"/>
    <w:rsid w:val="02FB64BA"/>
    <w:rsid w:val="02FD79FD"/>
    <w:rsid w:val="03046DA4"/>
    <w:rsid w:val="030C31D3"/>
    <w:rsid w:val="030F51AB"/>
    <w:rsid w:val="03112EED"/>
    <w:rsid w:val="03140049"/>
    <w:rsid w:val="03153D04"/>
    <w:rsid w:val="03186C11"/>
    <w:rsid w:val="031D6C97"/>
    <w:rsid w:val="032B14A9"/>
    <w:rsid w:val="03341FBA"/>
    <w:rsid w:val="033467E0"/>
    <w:rsid w:val="0341084C"/>
    <w:rsid w:val="0347695F"/>
    <w:rsid w:val="03487BB6"/>
    <w:rsid w:val="034B0789"/>
    <w:rsid w:val="034D4CBF"/>
    <w:rsid w:val="034E2AC2"/>
    <w:rsid w:val="035458D8"/>
    <w:rsid w:val="035A172B"/>
    <w:rsid w:val="03623F17"/>
    <w:rsid w:val="03657F4F"/>
    <w:rsid w:val="036938D3"/>
    <w:rsid w:val="038B615E"/>
    <w:rsid w:val="038E15BF"/>
    <w:rsid w:val="0390388B"/>
    <w:rsid w:val="03956608"/>
    <w:rsid w:val="039637B4"/>
    <w:rsid w:val="03A37D2D"/>
    <w:rsid w:val="03A64D72"/>
    <w:rsid w:val="03C0483E"/>
    <w:rsid w:val="03C07A2C"/>
    <w:rsid w:val="03C131D0"/>
    <w:rsid w:val="03C20665"/>
    <w:rsid w:val="03C370F9"/>
    <w:rsid w:val="03C45094"/>
    <w:rsid w:val="03C62A95"/>
    <w:rsid w:val="03C76963"/>
    <w:rsid w:val="03FA2302"/>
    <w:rsid w:val="040711B9"/>
    <w:rsid w:val="040812FA"/>
    <w:rsid w:val="040B392B"/>
    <w:rsid w:val="0425182E"/>
    <w:rsid w:val="042C5DAA"/>
    <w:rsid w:val="04336A86"/>
    <w:rsid w:val="04380EAC"/>
    <w:rsid w:val="044D719E"/>
    <w:rsid w:val="044F07BA"/>
    <w:rsid w:val="04582DBA"/>
    <w:rsid w:val="045D167D"/>
    <w:rsid w:val="045D71A1"/>
    <w:rsid w:val="045E6B80"/>
    <w:rsid w:val="04605616"/>
    <w:rsid w:val="04654C8B"/>
    <w:rsid w:val="04895723"/>
    <w:rsid w:val="04932CE9"/>
    <w:rsid w:val="04A26264"/>
    <w:rsid w:val="04A265CE"/>
    <w:rsid w:val="04AB019F"/>
    <w:rsid w:val="04D97C92"/>
    <w:rsid w:val="04DD5D12"/>
    <w:rsid w:val="04E5322B"/>
    <w:rsid w:val="04E844D8"/>
    <w:rsid w:val="05035D7E"/>
    <w:rsid w:val="050B61DF"/>
    <w:rsid w:val="050E68D0"/>
    <w:rsid w:val="051613D6"/>
    <w:rsid w:val="051D612A"/>
    <w:rsid w:val="053479C1"/>
    <w:rsid w:val="055501DF"/>
    <w:rsid w:val="05551D4C"/>
    <w:rsid w:val="0567552E"/>
    <w:rsid w:val="056C3ACC"/>
    <w:rsid w:val="057A75B2"/>
    <w:rsid w:val="057B53BF"/>
    <w:rsid w:val="05883748"/>
    <w:rsid w:val="058B74B8"/>
    <w:rsid w:val="05993BA2"/>
    <w:rsid w:val="05A131E3"/>
    <w:rsid w:val="05A81734"/>
    <w:rsid w:val="05AE7081"/>
    <w:rsid w:val="05B577FC"/>
    <w:rsid w:val="05BF6540"/>
    <w:rsid w:val="05D00179"/>
    <w:rsid w:val="05DE7C54"/>
    <w:rsid w:val="05F26736"/>
    <w:rsid w:val="05FE5DDE"/>
    <w:rsid w:val="06140A61"/>
    <w:rsid w:val="063160EA"/>
    <w:rsid w:val="063C4915"/>
    <w:rsid w:val="06421925"/>
    <w:rsid w:val="06507187"/>
    <w:rsid w:val="065C44C8"/>
    <w:rsid w:val="066A6F3A"/>
    <w:rsid w:val="06973985"/>
    <w:rsid w:val="06981838"/>
    <w:rsid w:val="06A01121"/>
    <w:rsid w:val="06AD37D4"/>
    <w:rsid w:val="06B330C2"/>
    <w:rsid w:val="06BF32FA"/>
    <w:rsid w:val="06C41ABF"/>
    <w:rsid w:val="06C9720B"/>
    <w:rsid w:val="06D123A2"/>
    <w:rsid w:val="06EE0715"/>
    <w:rsid w:val="06F45050"/>
    <w:rsid w:val="06FF2647"/>
    <w:rsid w:val="070C1803"/>
    <w:rsid w:val="070C7A7D"/>
    <w:rsid w:val="07125F5D"/>
    <w:rsid w:val="071D5AA9"/>
    <w:rsid w:val="07295F5E"/>
    <w:rsid w:val="072A27ED"/>
    <w:rsid w:val="07375D01"/>
    <w:rsid w:val="07416DEA"/>
    <w:rsid w:val="07467C9B"/>
    <w:rsid w:val="074E3A91"/>
    <w:rsid w:val="075C1AB8"/>
    <w:rsid w:val="07733A71"/>
    <w:rsid w:val="07784ED2"/>
    <w:rsid w:val="07851341"/>
    <w:rsid w:val="078F1B7F"/>
    <w:rsid w:val="079D4A59"/>
    <w:rsid w:val="07AE6CA7"/>
    <w:rsid w:val="07BD4635"/>
    <w:rsid w:val="07CC6114"/>
    <w:rsid w:val="07D13BDF"/>
    <w:rsid w:val="07D27447"/>
    <w:rsid w:val="07E547BD"/>
    <w:rsid w:val="07E86163"/>
    <w:rsid w:val="07F75765"/>
    <w:rsid w:val="07FD050E"/>
    <w:rsid w:val="07FE2CE6"/>
    <w:rsid w:val="08045EB5"/>
    <w:rsid w:val="080B5158"/>
    <w:rsid w:val="08340B5D"/>
    <w:rsid w:val="08470A39"/>
    <w:rsid w:val="084A1CA4"/>
    <w:rsid w:val="084A42AF"/>
    <w:rsid w:val="084C3DD5"/>
    <w:rsid w:val="08631AF0"/>
    <w:rsid w:val="086B3F1C"/>
    <w:rsid w:val="086B6D43"/>
    <w:rsid w:val="08752AC9"/>
    <w:rsid w:val="08793D21"/>
    <w:rsid w:val="087E4576"/>
    <w:rsid w:val="089074FE"/>
    <w:rsid w:val="089468D3"/>
    <w:rsid w:val="08982282"/>
    <w:rsid w:val="08A46EAF"/>
    <w:rsid w:val="08AB3E54"/>
    <w:rsid w:val="08B8307B"/>
    <w:rsid w:val="08B92690"/>
    <w:rsid w:val="08C53275"/>
    <w:rsid w:val="08C82AD0"/>
    <w:rsid w:val="08D86D4D"/>
    <w:rsid w:val="08DA778B"/>
    <w:rsid w:val="08DC3E54"/>
    <w:rsid w:val="0907564F"/>
    <w:rsid w:val="09086396"/>
    <w:rsid w:val="09143462"/>
    <w:rsid w:val="093063D9"/>
    <w:rsid w:val="09581811"/>
    <w:rsid w:val="096D1D5A"/>
    <w:rsid w:val="097947DE"/>
    <w:rsid w:val="097E1083"/>
    <w:rsid w:val="09A93783"/>
    <w:rsid w:val="09BC0EEC"/>
    <w:rsid w:val="09CD0E15"/>
    <w:rsid w:val="09D36926"/>
    <w:rsid w:val="09DF5FE9"/>
    <w:rsid w:val="0A0D7FB1"/>
    <w:rsid w:val="0A267E40"/>
    <w:rsid w:val="0A2B404F"/>
    <w:rsid w:val="0A3A17EE"/>
    <w:rsid w:val="0A4C5E14"/>
    <w:rsid w:val="0A5D3302"/>
    <w:rsid w:val="0A9553F2"/>
    <w:rsid w:val="0A99277D"/>
    <w:rsid w:val="0AA2724D"/>
    <w:rsid w:val="0AA54C9A"/>
    <w:rsid w:val="0AA73EDD"/>
    <w:rsid w:val="0AB45595"/>
    <w:rsid w:val="0AC722CB"/>
    <w:rsid w:val="0AC81080"/>
    <w:rsid w:val="0ACE0139"/>
    <w:rsid w:val="0ADD6553"/>
    <w:rsid w:val="0AEA06B5"/>
    <w:rsid w:val="0AF735FA"/>
    <w:rsid w:val="0AFD3352"/>
    <w:rsid w:val="0AFE5425"/>
    <w:rsid w:val="0B070B66"/>
    <w:rsid w:val="0B0F2B1B"/>
    <w:rsid w:val="0B180275"/>
    <w:rsid w:val="0B2003D3"/>
    <w:rsid w:val="0B200784"/>
    <w:rsid w:val="0B225E0D"/>
    <w:rsid w:val="0B246018"/>
    <w:rsid w:val="0B2C6BAF"/>
    <w:rsid w:val="0B307A86"/>
    <w:rsid w:val="0B3721BC"/>
    <w:rsid w:val="0B3C4E8B"/>
    <w:rsid w:val="0B3F19AC"/>
    <w:rsid w:val="0B520CAB"/>
    <w:rsid w:val="0B556D59"/>
    <w:rsid w:val="0B5D1CDE"/>
    <w:rsid w:val="0B624D9D"/>
    <w:rsid w:val="0B625114"/>
    <w:rsid w:val="0B69276E"/>
    <w:rsid w:val="0B6C7509"/>
    <w:rsid w:val="0B767F17"/>
    <w:rsid w:val="0B87425F"/>
    <w:rsid w:val="0B8A1D5F"/>
    <w:rsid w:val="0B9418E0"/>
    <w:rsid w:val="0B9D477A"/>
    <w:rsid w:val="0BA42D54"/>
    <w:rsid w:val="0BA4323A"/>
    <w:rsid w:val="0BA52EB2"/>
    <w:rsid w:val="0BCB2D66"/>
    <w:rsid w:val="0BE4032F"/>
    <w:rsid w:val="0BE61C02"/>
    <w:rsid w:val="0BED0F30"/>
    <w:rsid w:val="0BF46574"/>
    <w:rsid w:val="0BF67F56"/>
    <w:rsid w:val="0C004E90"/>
    <w:rsid w:val="0C080187"/>
    <w:rsid w:val="0C11747B"/>
    <w:rsid w:val="0C5E3BDC"/>
    <w:rsid w:val="0C620BA9"/>
    <w:rsid w:val="0C6F06E4"/>
    <w:rsid w:val="0C716CF4"/>
    <w:rsid w:val="0C893321"/>
    <w:rsid w:val="0C8C0FE8"/>
    <w:rsid w:val="0C970BC1"/>
    <w:rsid w:val="0C9A0578"/>
    <w:rsid w:val="0CA35C3A"/>
    <w:rsid w:val="0CAD2444"/>
    <w:rsid w:val="0CBF31C0"/>
    <w:rsid w:val="0CC971C3"/>
    <w:rsid w:val="0CCC4B24"/>
    <w:rsid w:val="0CCD4173"/>
    <w:rsid w:val="0CCF5078"/>
    <w:rsid w:val="0CD3799C"/>
    <w:rsid w:val="0CDE1F58"/>
    <w:rsid w:val="0CE50684"/>
    <w:rsid w:val="0CED132B"/>
    <w:rsid w:val="0CF61416"/>
    <w:rsid w:val="0D011649"/>
    <w:rsid w:val="0D093E65"/>
    <w:rsid w:val="0D0B086E"/>
    <w:rsid w:val="0D3440B2"/>
    <w:rsid w:val="0D5729F1"/>
    <w:rsid w:val="0D602CA2"/>
    <w:rsid w:val="0D6903E0"/>
    <w:rsid w:val="0D6D4AC0"/>
    <w:rsid w:val="0D76499E"/>
    <w:rsid w:val="0D776287"/>
    <w:rsid w:val="0D945E7B"/>
    <w:rsid w:val="0DA137B1"/>
    <w:rsid w:val="0DA3036B"/>
    <w:rsid w:val="0DA94E0F"/>
    <w:rsid w:val="0DAA0FA5"/>
    <w:rsid w:val="0DBC505E"/>
    <w:rsid w:val="0DBE0DE5"/>
    <w:rsid w:val="0DD874C2"/>
    <w:rsid w:val="0DDF33A3"/>
    <w:rsid w:val="0DED7BEB"/>
    <w:rsid w:val="0DEF68BF"/>
    <w:rsid w:val="0DF21D78"/>
    <w:rsid w:val="0DF30967"/>
    <w:rsid w:val="0DF5431F"/>
    <w:rsid w:val="0DF95E03"/>
    <w:rsid w:val="0DFA1FAC"/>
    <w:rsid w:val="0DFE1E9D"/>
    <w:rsid w:val="0DFF5712"/>
    <w:rsid w:val="0E0367E9"/>
    <w:rsid w:val="0E0554B5"/>
    <w:rsid w:val="0E143623"/>
    <w:rsid w:val="0E322BB8"/>
    <w:rsid w:val="0E415E9B"/>
    <w:rsid w:val="0E45061E"/>
    <w:rsid w:val="0E550427"/>
    <w:rsid w:val="0E5A7A94"/>
    <w:rsid w:val="0E5C3836"/>
    <w:rsid w:val="0E5E6DF7"/>
    <w:rsid w:val="0E614D04"/>
    <w:rsid w:val="0E6958B5"/>
    <w:rsid w:val="0E8121BF"/>
    <w:rsid w:val="0E8158C6"/>
    <w:rsid w:val="0E844B37"/>
    <w:rsid w:val="0EAD29D5"/>
    <w:rsid w:val="0EC94616"/>
    <w:rsid w:val="0ED654A4"/>
    <w:rsid w:val="0EDB4BFB"/>
    <w:rsid w:val="0EE463AC"/>
    <w:rsid w:val="0EED2ED7"/>
    <w:rsid w:val="0EF97C45"/>
    <w:rsid w:val="0EFA0BEF"/>
    <w:rsid w:val="0F0D0A75"/>
    <w:rsid w:val="0F0F78B6"/>
    <w:rsid w:val="0F1209BE"/>
    <w:rsid w:val="0F167C12"/>
    <w:rsid w:val="0F2C69CB"/>
    <w:rsid w:val="0F364983"/>
    <w:rsid w:val="0F3826FA"/>
    <w:rsid w:val="0F423F77"/>
    <w:rsid w:val="0F4460F5"/>
    <w:rsid w:val="0F5F2145"/>
    <w:rsid w:val="0F784F51"/>
    <w:rsid w:val="0F9F2549"/>
    <w:rsid w:val="0FA73936"/>
    <w:rsid w:val="0FAC6470"/>
    <w:rsid w:val="0FAD4F30"/>
    <w:rsid w:val="0FBC56B8"/>
    <w:rsid w:val="0FBF0F8E"/>
    <w:rsid w:val="0FCD703C"/>
    <w:rsid w:val="0FD764EF"/>
    <w:rsid w:val="10066149"/>
    <w:rsid w:val="100B481C"/>
    <w:rsid w:val="101B7483"/>
    <w:rsid w:val="102506A9"/>
    <w:rsid w:val="10330F00"/>
    <w:rsid w:val="10460F6F"/>
    <w:rsid w:val="104C4403"/>
    <w:rsid w:val="10516A87"/>
    <w:rsid w:val="105B1ED6"/>
    <w:rsid w:val="105D7DDB"/>
    <w:rsid w:val="10620C4C"/>
    <w:rsid w:val="10713230"/>
    <w:rsid w:val="109B0166"/>
    <w:rsid w:val="10A57977"/>
    <w:rsid w:val="10AA7B2E"/>
    <w:rsid w:val="10B91C3A"/>
    <w:rsid w:val="10C62FE7"/>
    <w:rsid w:val="10CA27CB"/>
    <w:rsid w:val="10CC6E54"/>
    <w:rsid w:val="10CF7E17"/>
    <w:rsid w:val="10D966F5"/>
    <w:rsid w:val="10DB096E"/>
    <w:rsid w:val="10E36743"/>
    <w:rsid w:val="10EA3ADF"/>
    <w:rsid w:val="10EB68A0"/>
    <w:rsid w:val="10F03614"/>
    <w:rsid w:val="10F039CC"/>
    <w:rsid w:val="10F476E5"/>
    <w:rsid w:val="11047F91"/>
    <w:rsid w:val="110563E2"/>
    <w:rsid w:val="11123650"/>
    <w:rsid w:val="113917C7"/>
    <w:rsid w:val="11411F36"/>
    <w:rsid w:val="115B1777"/>
    <w:rsid w:val="11677317"/>
    <w:rsid w:val="116931C3"/>
    <w:rsid w:val="11763776"/>
    <w:rsid w:val="117748EA"/>
    <w:rsid w:val="11A23783"/>
    <w:rsid w:val="11B810B8"/>
    <w:rsid w:val="11BB7DFE"/>
    <w:rsid w:val="11BE1A0A"/>
    <w:rsid w:val="11CE4097"/>
    <w:rsid w:val="11D416AE"/>
    <w:rsid w:val="11DD12A1"/>
    <w:rsid w:val="11E80F81"/>
    <w:rsid w:val="11ED4927"/>
    <w:rsid w:val="11F9586F"/>
    <w:rsid w:val="120D6AC0"/>
    <w:rsid w:val="1217626B"/>
    <w:rsid w:val="121C722B"/>
    <w:rsid w:val="121D0DE4"/>
    <w:rsid w:val="12307340"/>
    <w:rsid w:val="123268B5"/>
    <w:rsid w:val="12371856"/>
    <w:rsid w:val="12436CD9"/>
    <w:rsid w:val="12476646"/>
    <w:rsid w:val="12483582"/>
    <w:rsid w:val="12586B18"/>
    <w:rsid w:val="12704694"/>
    <w:rsid w:val="12795C48"/>
    <w:rsid w:val="12847DDB"/>
    <w:rsid w:val="128866F0"/>
    <w:rsid w:val="128C0D77"/>
    <w:rsid w:val="12A107BA"/>
    <w:rsid w:val="12B0560F"/>
    <w:rsid w:val="12B76505"/>
    <w:rsid w:val="12C31F69"/>
    <w:rsid w:val="12CC29DE"/>
    <w:rsid w:val="12DE1CD3"/>
    <w:rsid w:val="12EA66C1"/>
    <w:rsid w:val="12F6158A"/>
    <w:rsid w:val="130D21BA"/>
    <w:rsid w:val="1321171E"/>
    <w:rsid w:val="13387EF5"/>
    <w:rsid w:val="13520130"/>
    <w:rsid w:val="135B539E"/>
    <w:rsid w:val="1380484E"/>
    <w:rsid w:val="13875485"/>
    <w:rsid w:val="13880B6A"/>
    <w:rsid w:val="13931ABF"/>
    <w:rsid w:val="13B83053"/>
    <w:rsid w:val="13C63F08"/>
    <w:rsid w:val="13D33102"/>
    <w:rsid w:val="13D608C9"/>
    <w:rsid w:val="13D6674E"/>
    <w:rsid w:val="13DB0866"/>
    <w:rsid w:val="13F24179"/>
    <w:rsid w:val="13F2741C"/>
    <w:rsid w:val="13F32C7B"/>
    <w:rsid w:val="140A0BC9"/>
    <w:rsid w:val="140C3F7B"/>
    <w:rsid w:val="1418426E"/>
    <w:rsid w:val="141D1B78"/>
    <w:rsid w:val="14287380"/>
    <w:rsid w:val="144D6AC7"/>
    <w:rsid w:val="145042CD"/>
    <w:rsid w:val="145A6606"/>
    <w:rsid w:val="145A6779"/>
    <w:rsid w:val="1464323F"/>
    <w:rsid w:val="14684753"/>
    <w:rsid w:val="14686E1E"/>
    <w:rsid w:val="146C3A9E"/>
    <w:rsid w:val="146C7D5F"/>
    <w:rsid w:val="146D59B9"/>
    <w:rsid w:val="147C34EE"/>
    <w:rsid w:val="149743DD"/>
    <w:rsid w:val="149B6F9F"/>
    <w:rsid w:val="14AA0A69"/>
    <w:rsid w:val="14AB3737"/>
    <w:rsid w:val="14B101DE"/>
    <w:rsid w:val="14C05415"/>
    <w:rsid w:val="14E10EDF"/>
    <w:rsid w:val="14E267E0"/>
    <w:rsid w:val="14F05A13"/>
    <w:rsid w:val="14F12984"/>
    <w:rsid w:val="14FA2ECC"/>
    <w:rsid w:val="150F17E6"/>
    <w:rsid w:val="151A7AD3"/>
    <w:rsid w:val="151B2941"/>
    <w:rsid w:val="1527507F"/>
    <w:rsid w:val="152B4D85"/>
    <w:rsid w:val="152E6B77"/>
    <w:rsid w:val="153568DF"/>
    <w:rsid w:val="154F1539"/>
    <w:rsid w:val="15526894"/>
    <w:rsid w:val="15680195"/>
    <w:rsid w:val="15692040"/>
    <w:rsid w:val="156A359D"/>
    <w:rsid w:val="156A53A0"/>
    <w:rsid w:val="156B5DB0"/>
    <w:rsid w:val="15762B51"/>
    <w:rsid w:val="15776C4B"/>
    <w:rsid w:val="1594150E"/>
    <w:rsid w:val="15B54237"/>
    <w:rsid w:val="15BB2E6A"/>
    <w:rsid w:val="15BB549F"/>
    <w:rsid w:val="15CE1DA9"/>
    <w:rsid w:val="15E516A8"/>
    <w:rsid w:val="15E9694E"/>
    <w:rsid w:val="15F50EB0"/>
    <w:rsid w:val="15F671C7"/>
    <w:rsid w:val="16133062"/>
    <w:rsid w:val="161C3446"/>
    <w:rsid w:val="16243DB3"/>
    <w:rsid w:val="162A1B8B"/>
    <w:rsid w:val="163D0D06"/>
    <w:rsid w:val="16455B7C"/>
    <w:rsid w:val="16482C4F"/>
    <w:rsid w:val="167A18C1"/>
    <w:rsid w:val="167F70BD"/>
    <w:rsid w:val="168838B2"/>
    <w:rsid w:val="168A02ED"/>
    <w:rsid w:val="168A47F1"/>
    <w:rsid w:val="1693750E"/>
    <w:rsid w:val="16996E15"/>
    <w:rsid w:val="16A414BF"/>
    <w:rsid w:val="16A50E81"/>
    <w:rsid w:val="16AB136E"/>
    <w:rsid w:val="16AE29A9"/>
    <w:rsid w:val="16AF30D1"/>
    <w:rsid w:val="16B06483"/>
    <w:rsid w:val="16B06CAB"/>
    <w:rsid w:val="16B103D0"/>
    <w:rsid w:val="16BD1071"/>
    <w:rsid w:val="16C01F3E"/>
    <w:rsid w:val="16C06E77"/>
    <w:rsid w:val="16C50334"/>
    <w:rsid w:val="16CD2A49"/>
    <w:rsid w:val="16D14A80"/>
    <w:rsid w:val="16D20AE0"/>
    <w:rsid w:val="16DB7AE0"/>
    <w:rsid w:val="16E62A7B"/>
    <w:rsid w:val="16E91BA9"/>
    <w:rsid w:val="16F16B44"/>
    <w:rsid w:val="17055E43"/>
    <w:rsid w:val="17061426"/>
    <w:rsid w:val="17101589"/>
    <w:rsid w:val="17120A5B"/>
    <w:rsid w:val="17236BCD"/>
    <w:rsid w:val="17335BC1"/>
    <w:rsid w:val="17467127"/>
    <w:rsid w:val="17543DB2"/>
    <w:rsid w:val="176B3C4C"/>
    <w:rsid w:val="176C6B74"/>
    <w:rsid w:val="17720214"/>
    <w:rsid w:val="1782584A"/>
    <w:rsid w:val="178A2C6A"/>
    <w:rsid w:val="178A69DF"/>
    <w:rsid w:val="17951106"/>
    <w:rsid w:val="17A40ABF"/>
    <w:rsid w:val="17BA265E"/>
    <w:rsid w:val="17C75046"/>
    <w:rsid w:val="17E543AE"/>
    <w:rsid w:val="17F1054F"/>
    <w:rsid w:val="18051DFF"/>
    <w:rsid w:val="181B33E1"/>
    <w:rsid w:val="183C6562"/>
    <w:rsid w:val="183D074A"/>
    <w:rsid w:val="18434505"/>
    <w:rsid w:val="18453198"/>
    <w:rsid w:val="184665A9"/>
    <w:rsid w:val="184B0E2E"/>
    <w:rsid w:val="1850627B"/>
    <w:rsid w:val="1858187C"/>
    <w:rsid w:val="185C3579"/>
    <w:rsid w:val="185F029F"/>
    <w:rsid w:val="18674358"/>
    <w:rsid w:val="186C0AA7"/>
    <w:rsid w:val="186E669A"/>
    <w:rsid w:val="18753A1B"/>
    <w:rsid w:val="188554D5"/>
    <w:rsid w:val="18892ACB"/>
    <w:rsid w:val="188C07C9"/>
    <w:rsid w:val="18950979"/>
    <w:rsid w:val="18955430"/>
    <w:rsid w:val="18A36AB1"/>
    <w:rsid w:val="18CA0D17"/>
    <w:rsid w:val="18CF2398"/>
    <w:rsid w:val="18EE7ACF"/>
    <w:rsid w:val="18F565A6"/>
    <w:rsid w:val="18FE139B"/>
    <w:rsid w:val="19084279"/>
    <w:rsid w:val="19215728"/>
    <w:rsid w:val="192843D1"/>
    <w:rsid w:val="192C6042"/>
    <w:rsid w:val="192E53B8"/>
    <w:rsid w:val="19361C89"/>
    <w:rsid w:val="193824F1"/>
    <w:rsid w:val="19440476"/>
    <w:rsid w:val="19441452"/>
    <w:rsid w:val="197215A4"/>
    <w:rsid w:val="19806711"/>
    <w:rsid w:val="198067DD"/>
    <w:rsid w:val="198D4D5B"/>
    <w:rsid w:val="1995389C"/>
    <w:rsid w:val="199C3D84"/>
    <w:rsid w:val="19AA096B"/>
    <w:rsid w:val="19B47531"/>
    <w:rsid w:val="19BA29BA"/>
    <w:rsid w:val="19BE59CA"/>
    <w:rsid w:val="19C85C1A"/>
    <w:rsid w:val="19CA4C2A"/>
    <w:rsid w:val="19CC09BB"/>
    <w:rsid w:val="19CF3840"/>
    <w:rsid w:val="19D23B21"/>
    <w:rsid w:val="19D333B3"/>
    <w:rsid w:val="19D37EE8"/>
    <w:rsid w:val="19D45CD3"/>
    <w:rsid w:val="19D73D53"/>
    <w:rsid w:val="19E510A4"/>
    <w:rsid w:val="19F90D17"/>
    <w:rsid w:val="1A1231E9"/>
    <w:rsid w:val="1A1638EF"/>
    <w:rsid w:val="1A1741A4"/>
    <w:rsid w:val="1A23219A"/>
    <w:rsid w:val="1A2F5284"/>
    <w:rsid w:val="1A362795"/>
    <w:rsid w:val="1A3736FD"/>
    <w:rsid w:val="1A405A82"/>
    <w:rsid w:val="1A444CF8"/>
    <w:rsid w:val="1A4D5FA2"/>
    <w:rsid w:val="1A5235DC"/>
    <w:rsid w:val="1A595720"/>
    <w:rsid w:val="1A6B3117"/>
    <w:rsid w:val="1A6D0C48"/>
    <w:rsid w:val="1A6D6FE8"/>
    <w:rsid w:val="1A7439E1"/>
    <w:rsid w:val="1A815886"/>
    <w:rsid w:val="1A8E1324"/>
    <w:rsid w:val="1A981A6B"/>
    <w:rsid w:val="1A98419B"/>
    <w:rsid w:val="1AB30670"/>
    <w:rsid w:val="1ABB1F8C"/>
    <w:rsid w:val="1ABF7BB3"/>
    <w:rsid w:val="1AC42128"/>
    <w:rsid w:val="1AD44419"/>
    <w:rsid w:val="1AE41B43"/>
    <w:rsid w:val="1B01182B"/>
    <w:rsid w:val="1B2E1485"/>
    <w:rsid w:val="1B3167DA"/>
    <w:rsid w:val="1B376F8F"/>
    <w:rsid w:val="1B4456B9"/>
    <w:rsid w:val="1B4928B9"/>
    <w:rsid w:val="1B4C1B7C"/>
    <w:rsid w:val="1B4C7570"/>
    <w:rsid w:val="1B4E0103"/>
    <w:rsid w:val="1B4F558F"/>
    <w:rsid w:val="1B51545C"/>
    <w:rsid w:val="1B554BEB"/>
    <w:rsid w:val="1B59233C"/>
    <w:rsid w:val="1B604D77"/>
    <w:rsid w:val="1B6214EE"/>
    <w:rsid w:val="1B8F1933"/>
    <w:rsid w:val="1B992F71"/>
    <w:rsid w:val="1BA826AB"/>
    <w:rsid w:val="1BAF4003"/>
    <w:rsid w:val="1BB1195D"/>
    <w:rsid w:val="1BB81F50"/>
    <w:rsid w:val="1BBA0746"/>
    <w:rsid w:val="1BD70E3F"/>
    <w:rsid w:val="1BE52D41"/>
    <w:rsid w:val="1BEC2DA9"/>
    <w:rsid w:val="1BF136CA"/>
    <w:rsid w:val="1BF41E67"/>
    <w:rsid w:val="1BFF2224"/>
    <w:rsid w:val="1C000CC6"/>
    <w:rsid w:val="1C04710D"/>
    <w:rsid w:val="1C0D1EB4"/>
    <w:rsid w:val="1C0D7819"/>
    <w:rsid w:val="1C1C429F"/>
    <w:rsid w:val="1C22672D"/>
    <w:rsid w:val="1C2B02B9"/>
    <w:rsid w:val="1C380E09"/>
    <w:rsid w:val="1C427E6A"/>
    <w:rsid w:val="1C5456D8"/>
    <w:rsid w:val="1C5D4C01"/>
    <w:rsid w:val="1C7D54F1"/>
    <w:rsid w:val="1C8576CE"/>
    <w:rsid w:val="1C9E4EA7"/>
    <w:rsid w:val="1CA951BF"/>
    <w:rsid w:val="1CB17E94"/>
    <w:rsid w:val="1CB46C20"/>
    <w:rsid w:val="1CBC394A"/>
    <w:rsid w:val="1CDE3A34"/>
    <w:rsid w:val="1CDE7A59"/>
    <w:rsid w:val="1CE8004A"/>
    <w:rsid w:val="1CEB4E18"/>
    <w:rsid w:val="1CF76028"/>
    <w:rsid w:val="1CFF7CB6"/>
    <w:rsid w:val="1D0215C3"/>
    <w:rsid w:val="1D060FD7"/>
    <w:rsid w:val="1D0841AA"/>
    <w:rsid w:val="1D0D319F"/>
    <w:rsid w:val="1D176D3F"/>
    <w:rsid w:val="1D231649"/>
    <w:rsid w:val="1D262CCF"/>
    <w:rsid w:val="1D2E0E15"/>
    <w:rsid w:val="1D36465D"/>
    <w:rsid w:val="1D39330E"/>
    <w:rsid w:val="1D3E75D3"/>
    <w:rsid w:val="1D4558EA"/>
    <w:rsid w:val="1D4972C0"/>
    <w:rsid w:val="1D557812"/>
    <w:rsid w:val="1D5B3592"/>
    <w:rsid w:val="1D781016"/>
    <w:rsid w:val="1D820135"/>
    <w:rsid w:val="1D8422AD"/>
    <w:rsid w:val="1D8A3EB2"/>
    <w:rsid w:val="1D9B50B3"/>
    <w:rsid w:val="1D9E2FEE"/>
    <w:rsid w:val="1DA279B0"/>
    <w:rsid w:val="1DB501FB"/>
    <w:rsid w:val="1DB76BE0"/>
    <w:rsid w:val="1DC816D9"/>
    <w:rsid w:val="1DDC3067"/>
    <w:rsid w:val="1DDC3675"/>
    <w:rsid w:val="1DE93865"/>
    <w:rsid w:val="1DF61DBC"/>
    <w:rsid w:val="1E08771E"/>
    <w:rsid w:val="1E0A4661"/>
    <w:rsid w:val="1E1F57A4"/>
    <w:rsid w:val="1E200853"/>
    <w:rsid w:val="1E331F27"/>
    <w:rsid w:val="1E4A372E"/>
    <w:rsid w:val="1E57048B"/>
    <w:rsid w:val="1E5D036A"/>
    <w:rsid w:val="1E6C239C"/>
    <w:rsid w:val="1E8735F7"/>
    <w:rsid w:val="1EB267B4"/>
    <w:rsid w:val="1EB80DBD"/>
    <w:rsid w:val="1EC90ADD"/>
    <w:rsid w:val="1ED70A7B"/>
    <w:rsid w:val="1EDD5FBC"/>
    <w:rsid w:val="1EE254F7"/>
    <w:rsid w:val="1EEC317B"/>
    <w:rsid w:val="1EFF1F48"/>
    <w:rsid w:val="1F0553A3"/>
    <w:rsid w:val="1F144151"/>
    <w:rsid w:val="1F27560C"/>
    <w:rsid w:val="1F287DB5"/>
    <w:rsid w:val="1F3E0740"/>
    <w:rsid w:val="1F3F2A74"/>
    <w:rsid w:val="1F4374B1"/>
    <w:rsid w:val="1F4C1FCD"/>
    <w:rsid w:val="1F520BEA"/>
    <w:rsid w:val="1F61029E"/>
    <w:rsid w:val="1F63094B"/>
    <w:rsid w:val="1F662427"/>
    <w:rsid w:val="1F670C36"/>
    <w:rsid w:val="1F676D3F"/>
    <w:rsid w:val="1F700A63"/>
    <w:rsid w:val="1F7609DF"/>
    <w:rsid w:val="1F83751D"/>
    <w:rsid w:val="1F986A06"/>
    <w:rsid w:val="1FA95965"/>
    <w:rsid w:val="1FB2006F"/>
    <w:rsid w:val="1FB709B4"/>
    <w:rsid w:val="1FD45A9F"/>
    <w:rsid w:val="1FDC2182"/>
    <w:rsid w:val="20036B1D"/>
    <w:rsid w:val="202E41B8"/>
    <w:rsid w:val="204B0F8F"/>
    <w:rsid w:val="205213AB"/>
    <w:rsid w:val="205E43B6"/>
    <w:rsid w:val="20762D9F"/>
    <w:rsid w:val="207631DB"/>
    <w:rsid w:val="20870C62"/>
    <w:rsid w:val="208747B6"/>
    <w:rsid w:val="20A53618"/>
    <w:rsid w:val="20AC3BB9"/>
    <w:rsid w:val="20AE4217"/>
    <w:rsid w:val="20AE4CDA"/>
    <w:rsid w:val="20BD1954"/>
    <w:rsid w:val="20C2434D"/>
    <w:rsid w:val="20C8581A"/>
    <w:rsid w:val="20D101C1"/>
    <w:rsid w:val="20D220EF"/>
    <w:rsid w:val="20D81D57"/>
    <w:rsid w:val="20DE3CE0"/>
    <w:rsid w:val="20E56DAB"/>
    <w:rsid w:val="20EF7647"/>
    <w:rsid w:val="20FB69B2"/>
    <w:rsid w:val="2108382E"/>
    <w:rsid w:val="211322EB"/>
    <w:rsid w:val="211E6F3B"/>
    <w:rsid w:val="213B420A"/>
    <w:rsid w:val="213F7CE4"/>
    <w:rsid w:val="2141211E"/>
    <w:rsid w:val="214941F0"/>
    <w:rsid w:val="21530B8A"/>
    <w:rsid w:val="21607CB1"/>
    <w:rsid w:val="216B044D"/>
    <w:rsid w:val="2175734A"/>
    <w:rsid w:val="217628B2"/>
    <w:rsid w:val="219215EA"/>
    <w:rsid w:val="219F4E0E"/>
    <w:rsid w:val="21A76687"/>
    <w:rsid w:val="21B85ED9"/>
    <w:rsid w:val="21C2421D"/>
    <w:rsid w:val="21DA2D56"/>
    <w:rsid w:val="21E41719"/>
    <w:rsid w:val="21E7552D"/>
    <w:rsid w:val="21F51CA7"/>
    <w:rsid w:val="21F904BF"/>
    <w:rsid w:val="21FB2F52"/>
    <w:rsid w:val="22074D9D"/>
    <w:rsid w:val="22132D37"/>
    <w:rsid w:val="2225541A"/>
    <w:rsid w:val="22277DF8"/>
    <w:rsid w:val="223E7F5C"/>
    <w:rsid w:val="224177F1"/>
    <w:rsid w:val="22477129"/>
    <w:rsid w:val="224E4C16"/>
    <w:rsid w:val="22555287"/>
    <w:rsid w:val="226F54C4"/>
    <w:rsid w:val="2275753E"/>
    <w:rsid w:val="227A0A4C"/>
    <w:rsid w:val="227C19B7"/>
    <w:rsid w:val="227E7E60"/>
    <w:rsid w:val="2283530F"/>
    <w:rsid w:val="22A30AC6"/>
    <w:rsid w:val="22DB280F"/>
    <w:rsid w:val="22DC04DE"/>
    <w:rsid w:val="22E744D4"/>
    <w:rsid w:val="22E931EE"/>
    <w:rsid w:val="22EF70F9"/>
    <w:rsid w:val="22F00425"/>
    <w:rsid w:val="230158E7"/>
    <w:rsid w:val="230630A2"/>
    <w:rsid w:val="231841DB"/>
    <w:rsid w:val="2321425C"/>
    <w:rsid w:val="23291117"/>
    <w:rsid w:val="23292973"/>
    <w:rsid w:val="233E57A7"/>
    <w:rsid w:val="23503A14"/>
    <w:rsid w:val="2352595A"/>
    <w:rsid w:val="235F759A"/>
    <w:rsid w:val="236E3012"/>
    <w:rsid w:val="23815966"/>
    <w:rsid w:val="23846C80"/>
    <w:rsid w:val="2390700A"/>
    <w:rsid w:val="23C23956"/>
    <w:rsid w:val="23C82BFB"/>
    <w:rsid w:val="23CA6D62"/>
    <w:rsid w:val="23DE456B"/>
    <w:rsid w:val="23E273F0"/>
    <w:rsid w:val="23EA5257"/>
    <w:rsid w:val="23F25D86"/>
    <w:rsid w:val="23F5099B"/>
    <w:rsid w:val="24156A24"/>
    <w:rsid w:val="2422488D"/>
    <w:rsid w:val="243F535A"/>
    <w:rsid w:val="24521E21"/>
    <w:rsid w:val="24593C56"/>
    <w:rsid w:val="24610FC3"/>
    <w:rsid w:val="24696D37"/>
    <w:rsid w:val="246F58BE"/>
    <w:rsid w:val="248F512E"/>
    <w:rsid w:val="24B300E3"/>
    <w:rsid w:val="24B50D01"/>
    <w:rsid w:val="24CA1BC1"/>
    <w:rsid w:val="24DD223A"/>
    <w:rsid w:val="24DF6BF4"/>
    <w:rsid w:val="24E81C91"/>
    <w:rsid w:val="24EE2918"/>
    <w:rsid w:val="24F013E6"/>
    <w:rsid w:val="25093B7C"/>
    <w:rsid w:val="250D2B82"/>
    <w:rsid w:val="25194730"/>
    <w:rsid w:val="252E37B3"/>
    <w:rsid w:val="253954CB"/>
    <w:rsid w:val="25423F64"/>
    <w:rsid w:val="254B1AD6"/>
    <w:rsid w:val="25511EED"/>
    <w:rsid w:val="25512893"/>
    <w:rsid w:val="25535930"/>
    <w:rsid w:val="255C67FF"/>
    <w:rsid w:val="255E3B88"/>
    <w:rsid w:val="258D116A"/>
    <w:rsid w:val="259F0B4F"/>
    <w:rsid w:val="25A05187"/>
    <w:rsid w:val="25A17E0F"/>
    <w:rsid w:val="25B074E4"/>
    <w:rsid w:val="25C02DD7"/>
    <w:rsid w:val="25C04171"/>
    <w:rsid w:val="25C65C7F"/>
    <w:rsid w:val="25E35AAF"/>
    <w:rsid w:val="260E3E05"/>
    <w:rsid w:val="260F2091"/>
    <w:rsid w:val="26223808"/>
    <w:rsid w:val="26313AC3"/>
    <w:rsid w:val="26322A68"/>
    <w:rsid w:val="26347628"/>
    <w:rsid w:val="26357172"/>
    <w:rsid w:val="2641046B"/>
    <w:rsid w:val="26673A0E"/>
    <w:rsid w:val="266D0747"/>
    <w:rsid w:val="267F5FC1"/>
    <w:rsid w:val="268F0477"/>
    <w:rsid w:val="26913100"/>
    <w:rsid w:val="26A16E67"/>
    <w:rsid w:val="26A60BE8"/>
    <w:rsid w:val="26A64872"/>
    <w:rsid w:val="26A9772B"/>
    <w:rsid w:val="26B37EC4"/>
    <w:rsid w:val="26BA7FCA"/>
    <w:rsid w:val="26D775A9"/>
    <w:rsid w:val="26F4574B"/>
    <w:rsid w:val="26FB516E"/>
    <w:rsid w:val="26FB6A92"/>
    <w:rsid w:val="26FD2E71"/>
    <w:rsid w:val="27043A2C"/>
    <w:rsid w:val="270F4184"/>
    <w:rsid w:val="27135D84"/>
    <w:rsid w:val="272503B7"/>
    <w:rsid w:val="272A0D34"/>
    <w:rsid w:val="273B6156"/>
    <w:rsid w:val="273E1963"/>
    <w:rsid w:val="27466EDE"/>
    <w:rsid w:val="274932EE"/>
    <w:rsid w:val="27856E47"/>
    <w:rsid w:val="278E4AC5"/>
    <w:rsid w:val="279B5F9C"/>
    <w:rsid w:val="279C5D73"/>
    <w:rsid w:val="27A05176"/>
    <w:rsid w:val="27A43BA8"/>
    <w:rsid w:val="27AB54A6"/>
    <w:rsid w:val="27AD03CD"/>
    <w:rsid w:val="27AE6DE4"/>
    <w:rsid w:val="27BC3D1F"/>
    <w:rsid w:val="27BD2471"/>
    <w:rsid w:val="27CB28DC"/>
    <w:rsid w:val="27D94C02"/>
    <w:rsid w:val="27DF57B3"/>
    <w:rsid w:val="27EF4E7C"/>
    <w:rsid w:val="27F141BB"/>
    <w:rsid w:val="27F22D6D"/>
    <w:rsid w:val="27F85B1D"/>
    <w:rsid w:val="280612B6"/>
    <w:rsid w:val="280B6E89"/>
    <w:rsid w:val="281700D4"/>
    <w:rsid w:val="281A1FF1"/>
    <w:rsid w:val="2836364A"/>
    <w:rsid w:val="28382156"/>
    <w:rsid w:val="28385BE6"/>
    <w:rsid w:val="283D6CD0"/>
    <w:rsid w:val="28422893"/>
    <w:rsid w:val="284643E7"/>
    <w:rsid w:val="284B1D9A"/>
    <w:rsid w:val="285E21F9"/>
    <w:rsid w:val="28617759"/>
    <w:rsid w:val="28805BD9"/>
    <w:rsid w:val="2896371F"/>
    <w:rsid w:val="28A77100"/>
    <w:rsid w:val="28BE5871"/>
    <w:rsid w:val="28C5443C"/>
    <w:rsid w:val="28E374EB"/>
    <w:rsid w:val="28ED4C6D"/>
    <w:rsid w:val="28F93D81"/>
    <w:rsid w:val="29170751"/>
    <w:rsid w:val="29252F76"/>
    <w:rsid w:val="292A4F2C"/>
    <w:rsid w:val="295A7F16"/>
    <w:rsid w:val="295B4853"/>
    <w:rsid w:val="296C06F3"/>
    <w:rsid w:val="296F0B43"/>
    <w:rsid w:val="29781ECE"/>
    <w:rsid w:val="297C5A7D"/>
    <w:rsid w:val="29866C05"/>
    <w:rsid w:val="29934F0D"/>
    <w:rsid w:val="2993788C"/>
    <w:rsid w:val="299B0C3F"/>
    <w:rsid w:val="299F0078"/>
    <w:rsid w:val="299F1B41"/>
    <w:rsid w:val="29AA3FFA"/>
    <w:rsid w:val="29B628BB"/>
    <w:rsid w:val="29C23D2C"/>
    <w:rsid w:val="29C9411D"/>
    <w:rsid w:val="29CD5642"/>
    <w:rsid w:val="29D0470E"/>
    <w:rsid w:val="29D45CA5"/>
    <w:rsid w:val="29EB3D83"/>
    <w:rsid w:val="29F252AB"/>
    <w:rsid w:val="29F415AE"/>
    <w:rsid w:val="29F719D7"/>
    <w:rsid w:val="29F82221"/>
    <w:rsid w:val="29FE0F71"/>
    <w:rsid w:val="2A014264"/>
    <w:rsid w:val="2A154986"/>
    <w:rsid w:val="2A19641F"/>
    <w:rsid w:val="2A1E4636"/>
    <w:rsid w:val="2A1F08D9"/>
    <w:rsid w:val="2A2A28E9"/>
    <w:rsid w:val="2A434720"/>
    <w:rsid w:val="2A47152F"/>
    <w:rsid w:val="2A554A08"/>
    <w:rsid w:val="2A6363CA"/>
    <w:rsid w:val="2A6A29BB"/>
    <w:rsid w:val="2A6E1398"/>
    <w:rsid w:val="2A6F5746"/>
    <w:rsid w:val="2A70797D"/>
    <w:rsid w:val="2A894E6D"/>
    <w:rsid w:val="2A9048EF"/>
    <w:rsid w:val="2AA81AE1"/>
    <w:rsid w:val="2AA939FC"/>
    <w:rsid w:val="2AAD531D"/>
    <w:rsid w:val="2AB5339E"/>
    <w:rsid w:val="2ACA7996"/>
    <w:rsid w:val="2AE25A3A"/>
    <w:rsid w:val="2AF1260C"/>
    <w:rsid w:val="2AF536E9"/>
    <w:rsid w:val="2AF75A5D"/>
    <w:rsid w:val="2AFC4923"/>
    <w:rsid w:val="2AFD06F0"/>
    <w:rsid w:val="2B00623D"/>
    <w:rsid w:val="2B1B1366"/>
    <w:rsid w:val="2B2B7B25"/>
    <w:rsid w:val="2B2D1535"/>
    <w:rsid w:val="2B31767E"/>
    <w:rsid w:val="2B387A8A"/>
    <w:rsid w:val="2B42499D"/>
    <w:rsid w:val="2B481BF7"/>
    <w:rsid w:val="2B617A35"/>
    <w:rsid w:val="2B663421"/>
    <w:rsid w:val="2B7D0ADD"/>
    <w:rsid w:val="2B7F7BAB"/>
    <w:rsid w:val="2B8062EB"/>
    <w:rsid w:val="2B880E59"/>
    <w:rsid w:val="2B8B063C"/>
    <w:rsid w:val="2B8D0A73"/>
    <w:rsid w:val="2BB35FBB"/>
    <w:rsid w:val="2BD40372"/>
    <w:rsid w:val="2BDB0937"/>
    <w:rsid w:val="2BDD063F"/>
    <w:rsid w:val="2BE00796"/>
    <w:rsid w:val="2BEE598B"/>
    <w:rsid w:val="2BF16E59"/>
    <w:rsid w:val="2BF840A8"/>
    <w:rsid w:val="2BFC1380"/>
    <w:rsid w:val="2C014CC4"/>
    <w:rsid w:val="2C015F86"/>
    <w:rsid w:val="2C1D6894"/>
    <w:rsid w:val="2C214ED1"/>
    <w:rsid w:val="2C4A75D1"/>
    <w:rsid w:val="2C5273D3"/>
    <w:rsid w:val="2C562762"/>
    <w:rsid w:val="2C5E3843"/>
    <w:rsid w:val="2C6171B9"/>
    <w:rsid w:val="2C7B4C11"/>
    <w:rsid w:val="2C7E2D06"/>
    <w:rsid w:val="2C8E1C54"/>
    <w:rsid w:val="2C8F48B4"/>
    <w:rsid w:val="2C8F4E5E"/>
    <w:rsid w:val="2C910CA8"/>
    <w:rsid w:val="2CA2527A"/>
    <w:rsid w:val="2CB1536B"/>
    <w:rsid w:val="2CB31BB8"/>
    <w:rsid w:val="2CC911DC"/>
    <w:rsid w:val="2CD264D7"/>
    <w:rsid w:val="2CE92CF8"/>
    <w:rsid w:val="2CEE0956"/>
    <w:rsid w:val="2CF37E9B"/>
    <w:rsid w:val="2CF972DD"/>
    <w:rsid w:val="2CFD2F1E"/>
    <w:rsid w:val="2D162649"/>
    <w:rsid w:val="2D2840EE"/>
    <w:rsid w:val="2D480265"/>
    <w:rsid w:val="2D4C6BF7"/>
    <w:rsid w:val="2D693BB0"/>
    <w:rsid w:val="2D6F0134"/>
    <w:rsid w:val="2D794EA7"/>
    <w:rsid w:val="2D8143E2"/>
    <w:rsid w:val="2D8C7561"/>
    <w:rsid w:val="2D926106"/>
    <w:rsid w:val="2DA26D43"/>
    <w:rsid w:val="2DAE59EE"/>
    <w:rsid w:val="2DC77CD7"/>
    <w:rsid w:val="2DC82364"/>
    <w:rsid w:val="2DD2153C"/>
    <w:rsid w:val="2DD55EEB"/>
    <w:rsid w:val="2DD85C3F"/>
    <w:rsid w:val="2DDC3832"/>
    <w:rsid w:val="2DDD6530"/>
    <w:rsid w:val="2DEB1DA5"/>
    <w:rsid w:val="2DEF3E08"/>
    <w:rsid w:val="2DF27B7B"/>
    <w:rsid w:val="2DF87FFB"/>
    <w:rsid w:val="2E152014"/>
    <w:rsid w:val="2E2A1C70"/>
    <w:rsid w:val="2E2F017E"/>
    <w:rsid w:val="2E3F51C4"/>
    <w:rsid w:val="2E440725"/>
    <w:rsid w:val="2E494093"/>
    <w:rsid w:val="2E4C7189"/>
    <w:rsid w:val="2E4F0600"/>
    <w:rsid w:val="2E54163D"/>
    <w:rsid w:val="2E5B71AF"/>
    <w:rsid w:val="2E5D4076"/>
    <w:rsid w:val="2E647B04"/>
    <w:rsid w:val="2E791971"/>
    <w:rsid w:val="2E822600"/>
    <w:rsid w:val="2E8F6B31"/>
    <w:rsid w:val="2E9531A9"/>
    <w:rsid w:val="2E9867C5"/>
    <w:rsid w:val="2E9F1636"/>
    <w:rsid w:val="2EAB3E52"/>
    <w:rsid w:val="2EB35A55"/>
    <w:rsid w:val="2EB81A73"/>
    <w:rsid w:val="2EB8730E"/>
    <w:rsid w:val="2EB9732E"/>
    <w:rsid w:val="2EC022BE"/>
    <w:rsid w:val="2ED17E9D"/>
    <w:rsid w:val="2EE15CC2"/>
    <w:rsid w:val="2EE20F21"/>
    <w:rsid w:val="2EEC68DD"/>
    <w:rsid w:val="2EFA75A1"/>
    <w:rsid w:val="2EFC627A"/>
    <w:rsid w:val="2F023840"/>
    <w:rsid w:val="2F08414B"/>
    <w:rsid w:val="2F0B7D7C"/>
    <w:rsid w:val="2F0F22ED"/>
    <w:rsid w:val="2F161C47"/>
    <w:rsid w:val="2F320885"/>
    <w:rsid w:val="2F343217"/>
    <w:rsid w:val="2F4040E5"/>
    <w:rsid w:val="2F4170CB"/>
    <w:rsid w:val="2F4A5D45"/>
    <w:rsid w:val="2F593E53"/>
    <w:rsid w:val="2F5E4E79"/>
    <w:rsid w:val="2F601830"/>
    <w:rsid w:val="2F664064"/>
    <w:rsid w:val="2F6A1E15"/>
    <w:rsid w:val="2F79387E"/>
    <w:rsid w:val="2F9A356F"/>
    <w:rsid w:val="2F9B5E03"/>
    <w:rsid w:val="2F9D769D"/>
    <w:rsid w:val="2F9F7A17"/>
    <w:rsid w:val="2FA46340"/>
    <w:rsid w:val="2FAE378B"/>
    <w:rsid w:val="2FBC7651"/>
    <w:rsid w:val="2FC92B1A"/>
    <w:rsid w:val="2FCB6DD6"/>
    <w:rsid w:val="2FE535A6"/>
    <w:rsid w:val="2FE82268"/>
    <w:rsid w:val="2FEB685C"/>
    <w:rsid w:val="2FEE5B99"/>
    <w:rsid w:val="2FFE34F7"/>
    <w:rsid w:val="2FFF2CDD"/>
    <w:rsid w:val="2FFF7B1A"/>
    <w:rsid w:val="300603A3"/>
    <w:rsid w:val="300935BD"/>
    <w:rsid w:val="30135DD8"/>
    <w:rsid w:val="301F33FB"/>
    <w:rsid w:val="30272625"/>
    <w:rsid w:val="304017FF"/>
    <w:rsid w:val="3041283E"/>
    <w:rsid w:val="305066F1"/>
    <w:rsid w:val="3058256D"/>
    <w:rsid w:val="30656311"/>
    <w:rsid w:val="308E7D08"/>
    <w:rsid w:val="308F3457"/>
    <w:rsid w:val="309167BA"/>
    <w:rsid w:val="30A81322"/>
    <w:rsid w:val="30B01E87"/>
    <w:rsid w:val="30B870D0"/>
    <w:rsid w:val="30BA27EB"/>
    <w:rsid w:val="30BA4B27"/>
    <w:rsid w:val="30BF2139"/>
    <w:rsid w:val="30C2690E"/>
    <w:rsid w:val="30C44E0D"/>
    <w:rsid w:val="30CD4CF2"/>
    <w:rsid w:val="30D45970"/>
    <w:rsid w:val="30D470F6"/>
    <w:rsid w:val="30DD16FA"/>
    <w:rsid w:val="30EA4D41"/>
    <w:rsid w:val="30EB60D8"/>
    <w:rsid w:val="30F41465"/>
    <w:rsid w:val="31051C62"/>
    <w:rsid w:val="310F7EC2"/>
    <w:rsid w:val="31125FB1"/>
    <w:rsid w:val="311C0154"/>
    <w:rsid w:val="31326F2D"/>
    <w:rsid w:val="31443867"/>
    <w:rsid w:val="31651E37"/>
    <w:rsid w:val="316F17B0"/>
    <w:rsid w:val="318F57C9"/>
    <w:rsid w:val="3194237B"/>
    <w:rsid w:val="319447DE"/>
    <w:rsid w:val="31AA4C7E"/>
    <w:rsid w:val="31B445B2"/>
    <w:rsid w:val="31B45CB9"/>
    <w:rsid w:val="31BA2149"/>
    <w:rsid w:val="31D70809"/>
    <w:rsid w:val="31E51810"/>
    <w:rsid w:val="31EA59DB"/>
    <w:rsid w:val="31F860A9"/>
    <w:rsid w:val="320752EA"/>
    <w:rsid w:val="321815D1"/>
    <w:rsid w:val="321E31B1"/>
    <w:rsid w:val="32233AC4"/>
    <w:rsid w:val="32382FB0"/>
    <w:rsid w:val="323C3564"/>
    <w:rsid w:val="32447829"/>
    <w:rsid w:val="3245053F"/>
    <w:rsid w:val="324B5732"/>
    <w:rsid w:val="32513C19"/>
    <w:rsid w:val="32641AD5"/>
    <w:rsid w:val="3279257B"/>
    <w:rsid w:val="327F2957"/>
    <w:rsid w:val="32AF043E"/>
    <w:rsid w:val="32E15C5D"/>
    <w:rsid w:val="32E67BCF"/>
    <w:rsid w:val="32F63990"/>
    <w:rsid w:val="33051A25"/>
    <w:rsid w:val="33193B37"/>
    <w:rsid w:val="33392E73"/>
    <w:rsid w:val="335D520D"/>
    <w:rsid w:val="3377266A"/>
    <w:rsid w:val="338E57E0"/>
    <w:rsid w:val="33C10689"/>
    <w:rsid w:val="33C438AC"/>
    <w:rsid w:val="33CC186F"/>
    <w:rsid w:val="33D20630"/>
    <w:rsid w:val="33E106EC"/>
    <w:rsid w:val="33ED7389"/>
    <w:rsid w:val="33F1571D"/>
    <w:rsid w:val="34032A7C"/>
    <w:rsid w:val="3405008B"/>
    <w:rsid w:val="341A2422"/>
    <w:rsid w:val="342322AB"/>
    <w:rsid w:val="34397C0A"/>
    <w:rsid w:val="344220D2"/>
    <w:rsid w:val="345178B2"/>
    <w:rsid w:val="346B179E"/>
    <w:rsid w:val="34714C7F"/>
    <w:rsid w:val="34794599"/>
    <w:rsid w:val="347B4652"/>
    <w:rsid w:val="349E333C"/>
    <w:rsid w:val="349E75A1"/>
    <w:rsid w:val="34CA5772"/>
    <w:rsid w:val="34CB0194"/>
    <w:rsid w:val="34CD1A04"/>
    <w:rsid w:val="34D10114"/>
    <w:rsid w:val="34D65A80"/>
    <w:rsid w:val="350B5AD8"/>
    <w:rsid w:val="350E3908"/>
    <w:rsid w:val="35102C38"/>
    <w:rsid w:val="353A7204"/>
    <w:rsid w:val="355422BF"/>
    <w:rsid w:val="355672D8"/>
    <w:rsid w:val="355754E9"/>
    <w:rsid w:val="35665334"/>
    <w:rsid w:val="356C6C46"/>
    <w:rsid w:val="35747E49"/>
    <w:rsid w:val="357A55EC"/>
    <w:rsid w:val="357A6495"/>
    <w:rsid w:val="357C1580"/>
    <w:rsid w:val="35837E78"/>
    <w:rsid w:val="358E275C"/>
    <w:rsid w:val="358F12C6"/>
    <w:rsid w:val="359B5556"/>
    <w:rsid w:val="35A83E50"/>
    <w:rsid w:val="35AF4B7B"/>
    <w:rsid w:val="35B104D8"/>
    <w:rsid w:val="35B33A65"/>
    <w:rsid w:val="35B67F85"/>
    <w:rsid w:val="35CB48EE"/>
    <w:rsid w:val="35D725ED"/>
    <w:rsid w:val="35E15E00"/>
    <w:rsid w:val="35E60B1A"/>
    <w:rsid w:val="35EB480C"/>
    <w:rsid w:val="36156827"/>
    <w:rsid w:val="36222CEE"/>
    <w:rsid w:val="362E2A8A"/>
    <w:rsid w:val="363F6D39"/>
    <w:rsid w:val="36446E0A"/>
    <w:rsid w:val="36491D12"/>
    <w:rsid w:val="364D01E0"/>
    <w:rsid w:val="364E7F86"/>
    <w:rsid w:val="365D4662"/>
    <w:rsid w:val="36610FF8"/>
    <w:rsid w:val="36642D80"/>
    <w:rsid w:val="36774A82"/>
    <w:rsid w:val="367C0B6B"/>
    <w:rsid w:val="367E7A5F"/>
    <w:rsid w:val="36906135"/>
    <w:rsid w:val="369462CA"/>
    <w:rsid w:val="36B0266D"/>
    <w:rsid w:val="36C75B8E"/>
    <w:rsid w:val="36DA1457"/>
    <w:rsid w:val="36DB1D7A"/>
    <w:rsid w:val="36DC4825"/>
    <w:rsid w:val="36E24DC2"/>
    <w:rsid w:val="36F41491"/>
    <w:rsid w:val="36FD70CE"/>
    <w:rsid w:val="36FE79F5"/>
    <w:rsid w:val="37066187"/>
    <w:rsid w:val="37123A45"/>
    <w:rsid w:val="37146615"/>
    <w:rsid w:val="371B6ABD"/>
    <w:rsid w:val="3732798A"/>
    <w:rsid w:val="373F4382"/>
    <w:rsid w:val="376160A5"/>
    <w:rsid w:val="37891E75"/>
    <w:rsid w:val="3789593C"/>
    <w:rsid w:val="378B69C0"/>
    <w:rsid w:val="379C0BC6"/>
    <w:rsid w:val="379F74E3"/>
    <w:rsid w:val="37AA756B"/>
    <w:rsid w:val="37BE2ABA"/>
    <w:rsid w:val="37C13CD1"/>
    <w:rsid w:val="37DA68F2"/>
    <w:rsid w:val="37EF1324"/>
    <w:rsid w:val="38006EB9"/>
    <w:rsid w:val="3803155F"/>
    <w:rsid w:val="38066221"/>
    <w:rsid w:val="381323C6"/>
    <w:rsid w:val="38165704"/>
    <w:rsid w:val="38184DF0"/>
    <w:rsid w:val="382038B8"/>
    <w:rsid w:val="38323D2C"/>
    <w:rsid w:val="38342663"/>
    <w:rsid w:val="38362631"/>
    <w:rsid w:val="383A1F4D"/>
    <w:rsid w:val="383A2ED9"/>
    <w:rsid w:val="383E6256"/>
    <w:rsid w:val="384251B5"/>
    <w:rsid w:val="384301F7"/>
    <w:rsid w:val="38474C93"/>
    <w:rsid w:val="384C54CA"/>
    <w:rsid w:val="38514471"/>
    <w:rsid w:val="385203F5"/>
    <w:rsid w:val="385266FA"/>
    <w:rsid w:val="38615292"/>
    <w:rsid w:val="386427CD"/>
    <w:rsid w:val="386D791A"/>
    <w:rsid w:val="3882106A"/>
    <w:rsid w:val="388A2AB9"/>
    <w:rsid w:val="38914931"/>
    <w:rsid w:val="389868A7"/>
    <w:rsid w:val="389B44FE"/>
    <w:rsid w:val="389C2943"/>
    <w:rsid w:val="38B176B7"/>
    <w:rsid w:val="38B2286A"/>
    <w:rsid w:val="38B86592"/>
    <w:rsid w:val="38C25501"/>
    <w:rsid w:val="38C97256"/>
    <w:rsid w:val="38CE2D26"/>
    <w:rsid w:val="38DE1DCD"/>
    <w:rsid w:val="38E012B8"/>
    <w:rsid w:val="38ED6A9D"/>
    <w:rsid w:val="38F65BD8"/>
    <w:rsid w:val="39041257"/>
    <w:rsid w:val="39042DF3"/>
    <w:rsid w:val="391258A3"/>
    <w:rsid w:val="39203A8A"/>
    <w:rsid w:val="39355B41"/>
    <w:rsid w:val="394114AA"/>
    <w:rsid w:val="39477A61"/>
    <w:rsid w:val="395E3744"/>
    <w:rsid w:val="395E6803"/>
    <w:rsid w:val="395F42FA"/>
    <w:rsid w:val="396120B7"/>
    <w:rsid w:val="398048E2"/>
    <w:rsid w:val="398F37EC"/>
    <w:rsid w:val="399E3B70"/>
    <w:rsid w:val="39A42509"/>
    <w:rsid w:val="39A920E4"/>
    <w:rsid w:val="39AE6044"/>
    <w:rsid w:val="39B61E80"/>
    <w:rsid w:val="39CD3FCC"/>
    <w:rsid w:val="39CF7C0A"/>
    <w:rsid w:val="3A01089D"/>
    <w:rsid w:val="3A11576D"/>
    <w:rsid w:val="3A15739B"/>
    <w:rsid w:val="3A161CBB"/>
    <w:rsid w:val="3A1753AB"/>
    <w:rsid w:val="3A2474D9"/>
    <w:rsid w:val="3A377697"/>
    <w:rsid w:val="3A4F5604"/>
    <w:rsid w:val="3A5413AB"/>
    <w:rsid w:val="3A583E03"/>
    <w:rsid w:val="3A60458A"/>
    <w:rsid w:val="3A623A9C"/>
    <w:rsid w:val="3A643C80"/>
    <w:rsid w:val="3A923DEE"/>
    <w:rsid w:val="3AA5646B"/>
    <w:rsid w:val="3AAC0302"/>
    <w:rsid w:val="3AAE2002"/>
    <w:rsid w:val="3ABE5E5D"/>
    <w:rsid w:val="3ABF1BB9"/>
    <w:rsid w:val="3ACE23EE"/>
    <w:rsid w:val="3AD01D90"/>
    <w:rsid w:val="3AD1269C"/>
    <w:rsid w:val="3AD45170"/>
    <w:rsid w:val="3AEB3CF4"/>
    <w:rsid w:val="3AF45ED9"/>
    <w:rsid w:val="3B003F2D"/>
    <w:rsid w:val="3B004852"/>
    <w:rsid w:val="3B090E7C"/>
    <w:rsid w:val="3B19266B"/>
    <w:rsid w:val="3B1C610A"/>
    <w:rsid w:val="3B1E2463"/>
    <w:rsid w:val="3B224F71"/>
    <w:rsid w:val="3B3C7A4F"/>
    <w:rsid w:val="3B43790F"/>
    <w:rsid w:val="3B4F3290"/>
    <w:rsid w:val="3B5E7A14"/>
    <w:rsid w:val="3B636771"/>
    <w:rsid w:val="3B6E5320"/>
    <w:rsid w:val="3B7036FF"/>
    <w:rsid w:val="3B880558"/>
    <w:rsid w:val="3B897839"/>
    <w:rsid w:val="3B9A5376"/>
    <w:rsid w:val="3BA875E6"/>
    <w:rsid w:val="3BBA7C64"/>
    <w:rsid w:val="3BC34211"/>
    <w:rsid w:val="3BF94B90"/>
    <w:rsid w:val="3BFC7A39"/>
    <w:rsid w:val="3C092FA4"/>
    <w:rsid w:val="3C0E670D"/>
    <w:rsid w:val="3C2D344D"/>
    <w:rsid w:val="3C3E4E6B"/>
    <w:rsid w:val="3C47688B"/>
    <w:rsid w:val="3C4B742A"/>
    <w:rsid w:val="3C5138BF"/>
    <w:rsid w:val="3C514508"/>
    <w:rsid w:val="3C701020"/>
    <w:rsid w:val="3C7E56FC"/>
    <w:rsid w:val="3C8C38A8"/>
    <w:rsid w:val="3C955946"/>
    <w:rsid w:val="3CA92791"/>
    <w:rsid w:val="3CA9512E"/>
    <w:rsid w:val="3CB3542B"/>
    <w:rsid w:val="3CBC0349"/>
    <w:rsid w:val="3CBC66F7"/>
    <w:rsid w:val="3CC220C5"/>
    <w:rsid w:val="3CCA2A44"/>
    <w:rsid w:val="3CCD215A"/>
    <w:rsid w:val="3CCF2334"/>
    <w:rsid w:val="3CDE1BCA"/>
    <w:rsid w:val="3CE431DA"/>
    <w:rsid w:val="3CE5500D"/>
    <w:rsid w:val="3CEC009D"/>
    <w:rsid w:val="3CFC067F"/>
    <w:rsid w:val="3D037D04"/>
    <w:rsid w:val="3D0D2C54"/>
    <w:rsid w:val="3D1276F0"/>
    <w:rsid w:val="3D1B26B8"/>
    <w:rsid w:val="3D232520"/>
    <w:rsid w:val="3D23386D"/>
    <w:rsid w:val="3D265A6B"/>
    <w:rsid w:val="3D3B4B57"/>
    <w:rsid w:val="3D3C34D4"/>
    <w:rsid w:val="3D5D1507"/>
    <w:rsid w:val="3D7279DB"/>
    <w:rsid w:val="3DA34F3A"/>
    <w:rsid w:val="3DAD65DB"/>
    <w:rsid w:val="3DCA6C70"/>
    <w:rsid w:val="3DCE2BB4"/>
    <w:rsid w:val="3DD31E40"/>
    <w:rsid w:val="3DDA3820"/>
    <w:rsid w:val="3DDF65EB"/>
    <w:rsid w:val="3DF319EC"/>
    <w:rsid w:val="3DFE2E39"/>
    <w:rsid w:val="3E045ECE"/>
    <w:rsid w:val="3E0D2D1B"/>
    <w:rsid w:val="3E0E1BA5"/>
    <w:rsid w:val="3E0F0315"/>
    <w:rsid w:val="3E177B42"/>
    <w:rsid w:val="3E1B1CA6"/>
    <w:rsid w:val="3E1B7B57"/>
    <w:rsid w:val="3E1D2411"/>
    <w:rsid w:val="3E1F5236"/>
    <w:rsid w:val="3E246972"/>
    <w:rsid w:val="3E294A63"/>
    <w:rsid w:val="3E354E2F"/>
    <w:rsid w:val="3E382AB6"/>
    <w:rsid w:val="3E3B5489"/>
    <w:rsid w:val="3E41206C"/>
    <w:rsid w:val="3E4376EF"/>
    <w:rsid w:val="3E5C3643"/>
    <w:rsid w:val="3E605E46"/>
    <w:rsid w:val="3E6B55A0"/>
    <w:rsid w:val="3E6D7694"/>
    <w:rsid w:val="3E706D47"/>
    <w:rsid w:val="3E7429F2"/>
    <w:rsid w:val="3E782857"/>
    <w:rsid w:val="3E897A97"/>
    <w:rsid w:val="3E924F07"/>
    <w:rsid w:val="3EA833E5"/>
    <w:rsid w:val="3EAB5D04"/>
    <w:rsid w:val="3EAC4F6A"/>
    <w:rsid w:val="3EB21F44"/>
    <w:rsid w:val="3EB2477D"/>
    <w:rsid w:val="3EB47630"/>
    <w:rsid w:val="3EBD4D3A"/>
    <w:rsid w:val="3ED26C46"/>
    <w:rsid w:val="3ED570D0"/>
    <w:rsid w:val="3ED80F70"/>
    <w:rsid w:val="3EDD5224"/>
    <w:rsid w:val="3EE87F4F"/>
    <w:rsid w:val="3F032739"/>
    <w:rsid w:val="3F235002"/>
    <w:rsid w:val="3F2544E9"/>
    <w:rsid w:val="3F2A231C"/>
    <w:rsid w:val="3F323FB4"/>
    <w:rsid w:val="3F35336B"/>
    <w:rsid w:val="3F555859"/>
    <w:rsid w:val="3F75792A"/>
    <w:rsid w:val="3F786788"/>
    <w:rsid w:val="3F8413F6"/>
    <w:rsid w:val="3F870D99"/>
    <w:rsid w:val="3F8834AD"/>
    <w:rsid w:val="3F96315C"/>
    <w:rsid w:val="3FAC6BE6"/>
    <w:rsid w:val="3FB77B5F"/>
    <w:rsid w:val="3FCE2C2B"/>
    <w:rsid w:val="3FD14CE4"/>
    <w:rsid w:val="3FD6714B"/>
    <w:rsid w:val="3FF02080"/>
    <w:rsid w:val="3FF931B7"/>
    <w:rsid w:val="3FFD3460"/>
    <w:rsid w:val="3FFF05A4"/>
    <w:rsid w:val="400100AD"/>
    <w:rsid w:val="40075097"/>
    <w:rsid w:val="400A2FFD"/>
    <w:rsid w:val="40142264"/>
    <w:rsid w:val="40193F52"/>
    <w:rsid w:val="403C0BFC"/>
    <w:rsid w:val="40430D8E"/>
    <w:rsid w:val="40471C86"/>
    <w:rsid w:val="404929F1"/>
    <w:rsid w:val="40521DDA"/>
    <w:rsid w:val="40526F36"/>
    <w:rsid w:val="405D6DB1"/>
    <w:rsid w:val="405E1380"/>
    <w:rsid w:val="407C7068"/>
    <w:rsid w:val="407F48B8"/>
    <w:rsid w:val="40807BE7"/>
    <w:rsid w:val="409A5D2E"/>
    <w:rsid w:val="40FB74B3"/>
    <w:rsid w:val="41080CAA"/>
    <w:rsid w:val="41081ECF"/>
    <w:rsid w:val="41112C56"/>
    <w:rsid w:val="411F09D0"/>
    <w:rsid w:val="41313301"/>
    <w:rsid w:val="413840B4"/>
    <w:rsid w:val="413D7034"/>
    <w:rsid w:val="413E5C65"/>
    <w:rsid w:val="413F671D"/>
    <w:rsid w:val="414C3BB8"/>
    <w:rsid w:val="415068C1"/>
    <w:rsid w:val="41565008"/>
    <w:rsid w:val="41733B37"/>
    <w:rsid w:val="4189367A"/>
    <w:rsid w:val="418B7E94"/>
    <w:rsid w:val="41904FE8"/>
    <w:rsid w:val="41930A1C"/>
    <w:rsid w:val="419548F1"/>
    <w:rsid w:val="41997F51"/>
    <w:rsid w:val="41A80F57"/>
    <w:rsid w:val="41B83CB5"/>
    <w:rsid w:val="41C645DA"/>
    <w:rsid w:val="41C66602"/>
    <w:rsid w:val="41C840F9"/>
    <w:rsid w:val="41CD7822"/>
    <w:rsid w:val="41D11E9F"/>
    <w:rsid w:val="41D149CE"/>
    <w:rsid w:val="41D31E91"/>
    <w:rsid w:val="41EC1F0C"/>
    <w:rsid w:val="41F303C3"/>
    <w:rsid w:val="41F9556B"/>
    <w:rsid w:val="41FC1B6A"/>
    <w:rsid w:val="42183260"/>
    <w:rsid w:val="421C1FD9"/>
    <w:rsid w:val="42213106"/>
    <w:rsid w:val="42254279"/>
    <w:rsid w:val="42264845"/>
    <w:rsid w:val="42333DC0"/>
    <w:rsid w:val="423D46EA"/>
    <w:rsid w:val="4243194D"/>
    <w:rsid w:val="424448D7"/>
    <w:rsid w:val="42473265"/>
    <w:rsid w:val="424D207E"/>
    <w:rsid w:val="42592E3C"/>
    <w:rsid w:val="425C0590"/>
    <w:rsid w:val="427C0CDA"/>
    <w:rsid w:val="428222FD"/>
    <w:rsid w:val="42830CF2"/>
    <w:rsid w:val="4291587C"/>
    <w:rsid w:val="42916E4B"/>
    <w:rsid w:val="42AB2317"/>
    <w:rsid w:val="42AB2935"/>
    <w:rsid w:val="42BD7D71"/>
    <w:rsid w:val="42C7214D"/>
    <w:rsid w:val="42CC0493"/>
    <w:rsid w:val="42D20FD3"/>
    <w:rsid w:val="42DE3361"/>
    <w:rsid w:val="42E124CF"/>
    <w:rsid w:val="42E83C24"/>
    <w:rsid w:val="42F15B18"/>
    <w:rsid w:val="42FE380B"/>
    <w:rsid w:val="42FE4DDF"/>
    <w:rsid w:val="430739B2"/>
    <w:rsid w:val="430D1E8A"/>
    <w:rsid w:val="43120CA1"/>
    <w:rsid w:val="43133FB6"/>
    <w:rsid w:val="43323EF4"/>
    <w:rsid w:val="43336820"/>
    <w:rsid w:val="433654D3"/>
    <w:rsid w:val="43454DEE"/>
    <w:rsid w:val="434B2233"/>
    <w:rsid w:val="43503AA9"/>
    <w:rsid w:val="435D3BBC"/>
    <w:rsid w:val="435F390B"/>
    <w:rsid w:val="436177EF"/>
    <w:rsid w:val="43685621"/>
    <w:rsid w:val="437462EE"/>
    <w:rsid w:val="43754547"/>
    <w:rsid w:val="4380495F"/>
    <w:rsid w:val="43903B21"/>
    <w:rsid w:val="4398251D"/>
    <w:rsid w:val="439C50BE"/>
    <w:rsid w:val="43A128C5"/>
    <w:rsid w:val="43BB1425"/>
    <w:rsid w:val="43BF79BA"/>
    <w:rsid w:val="43E34789"/>
    <w:rsid w:val="43EC588E"/>
    <w:rsid w:val="442059A7"/>
    <w:rsid w:val="44262DFA"/>
    <w:rsid w:val="442F3DB0"/>
    <w:rsid w:val="44303109"/>
    <w:rsid w:val="444233B4"/>
    <w:rsid w:val="447167CC"/>
    <w:rsid w:val="44816F56"/>
    <w:rsid w:val="44911EC9"/>
    <w:rsid w:val="44A52595"/>
    <w:rsid w:val="44B81FFA"/>
    <w:rsid w:val="44C0385D"/>
    <w:rsid w:val="44CB55AC"/>
    <w:rsid w:val="44D07168"/>
    <w:rsid w:val="44D36F23"/>
    <w:rsid w:val="44D75173"/>
    <w:rsid w:val="44D86914"/>
    <w:rsid w:val="44DA3679"/>
    <w:rsid w:val="44E4784F"/>
    <w:rsid w:val="44EF529D"/>
    <w:rsid w:val="44EF5AAE"/>
    <w:rsid w:val="44F31EDB"/>
    <w:rsid w:val="44F45F6C"/>
    <w:rsid w:val="44F62039"/>
    <w:rsid w:val="450A2111"/>
    <w:rsid w:val="45100BBF"/>
    <w:rsid w:val="451B2F54"/>
    <w:rsid w:val="4524301F"/>
    <w:rsid w:val="453D03DB"/>
    <w:rsid w:val="4542378C"/>
    <w:rsid w:val="45502FD2"/>
    <w:rsid w:val="456163D0"/>
    <w:rsid w:val="456E06E0"/>
    <w:rsid w:val="457128A6"/>
    <w:rsid w:val="457C7FCC"/>
    <w:rsid w:val="45845E4C"/>
    <w:rsid w:val="459B1BB0"/>
    <w:rsid w:val="459D3F34"/>
    <w:rsid w:val="45A101AC"/>
    <w:rsid w:val="45A23EE4"/>
    <w:rsid w:val="45AE1C5A"/>
    <w:rsid w:val="45C714B4"/>
    <w:rsid w:val="45CD089B"/>
    <w:rsid w:val="45E00BE3"/>
    <w:rsid w:val="45E508EC"/>
    <w:rsid w:val="45FC1D5A"/>
    <w:rsid w:val="45FD5616"/>
    <w:rsid w:val="461F184E"/>
    <w:rsid w:val="4622025B"/>
    <w:rsid w:val="46227151"/>
    <w:rsid w:val="462D3390"/>
    <w:rsid w:val="46325030"/>
    <w:rsid w:val="46600266"/>
    <w:rsid w:val="46654EAF"/>
    <w:rsid w:val="46716C5D"/>
    <w:rsid w:val="46772879"/>
    <w:rsid w:val="467C3608"/>
    <w:rsid w:val="467C4318"/>
    <w:rsid w:val="469C50D3"/>
    <w:rsid w:val="46A51A29"/>
    <w:rsid w:val="46B873BE"/>
    <w:rsid w:val="46C67865"/>
    <w:rsid w:val="46E27424"/>
    <w:rsid w:val="46E34CDC"/>
    <w:rsid w:val="46E743F9"/>
    <w:rsid w:val="46FF3BA3"/>
    <w:rsid w:val="470C5021"/>
    <w:rsid w:val="470D6F2F"/>
    <w:rsid w:val="471157AC"/>
    <w:rsid w:val="472C3339"/>
    <w:rsid w:val="47467F13"/>
    <w:rsid w:val="475E025A"/>
    <w:rsid w:val="475F4ED7"/>
    <w:rsid w:val="47811577"/>
    <w:rsid w:val="478277D8"/>
    <w:rsid w:val="47884392"/>
    <w:rsid w:val="47AB4039"/>
    <w:rsid w:val="47AD08EB"/>
    <w:rsid w:val="47CD60AC"/>
    <w:rsid w:val="47D634FD"/>
    <w:rsid w:val="47D67035"/>
    <w:rsid w:val="47ED2BC1"/>
    <w:rsid w:val="47F61D25"/>
    <w:rsid w:val="47F70466"/>
    <w:rsid w:val="47FE6499"/>
    <w:rsid w:val="4814790A"/>
    <w:rsid w:val="48160602"/>
    <w:rsid w:val="48171365"/>
    <w:rsid w:val="48335713"/>
    <w:rsid w:val="485350FA"/>
    <w:rsid w:val="48615DA7"/>
    <w:rsid w:val="48673F10"/>
    <w:rsid w:val="486A0C38"/>
    <w:rsid w:val="486D593E"/>
    <w:rsid w:val="487157F1"/>
    <w:rsid w:val="48720FAE"/>
    <w:rsid w:val="48752E65"/>
    <w:rsid w:val="487E6EBB"/>
    <w:rsid w:val="487F00BB"/>
    <w:rsid w:val="4895653F"/>
    <w:rsid w:val="489774E0"/>
    <w:rsid w:val="48987CAB"/>
    <w:rsid w:val="489C0B76"/>
    <w:rsid w:val="48A30BB7"/>
    <w:rsid w:val="48A82116"/>
    <w:rsid w:val="48A85EEC"/>
    <w:rsid w:val="48B06FE4"/>
    <w:rsid w:val="48B22EC8"/>
    <w:rsid w:val="48B56777"/>
    <w:rsid w:val="48BA1748"/>
    <w:rsid w:val="48BA1882"/>
    <w:rsid w:val="48BD0B50"/>
    <w:rsid w:val="48C64646"/>
    <w:rsid w:val="48C90634"/>
    <w:rsid w:val="48CC2262"/>
    <w:rsid w:val="48D96072"/>
    <w:rsid w:val="48DF29CC"/>
    <w:rsid w:val="48E04A0F"/>
    <w:rsid w:val="48E70834"/>
    <w:rsid w:val="48EB621C"/>
    <w:rsid w:val="48F800A8"/>
    <w:rsid w:val="48FF2812"/>
    <w:rsid w:val="491418A3"/>
    <w:rsid w:val="492B1AB5"/>
    <w:rsid w:val="492C6F26"/>
    <w:rsid w:val="492E5250"/>
    <w:rsid w:val="49306F07"/>
    <w:rsid w:val="49320338"/>
    <w:rsid w:val="49397528"/>
    <w:rsid w:val="49534711"/>
    <w:rsid w:val="49554B8D"/>
    <w:rsid w:val="496179A6"/>
    <w:rsid w:val="49627BC1"/>
    <w:rsid w:val="49695393"/>
    <w:rsid w:val="497B3FD3"/>
    <w:rsid w:val="49814F31"/>
    <w:rsid w:val="4989333F"/>
    <w:rsid w:val="49A33E34"/>
    <w:rsid w:val="49A55CDB"/>
    <w:rsid w:val="49A75959"/>
    <w:rsid w:val="49B00E58"/>
    <w:rsid w:val="49B6752B"/>
    <w:rsid w:val="49CA196D"/>
    <w:rsid w:val="49D277D5"/>
    <w:rsid w:val="49D37863"/>
    <w:rsid w:val="49EE5AED"/>
    <w:rsid w:val="49F12AC7"/>
    <w:rsid w:val="49FB2C9D"/>
    <w:rsid w:val="4A16304A"/>
    <w:rsid w:val="4A3B6DCD"/>
    <w:rsid w:val="4A4B42DF"/>
    <w:rsid w:val="4A4F3F27"/>
    <w:rsid w:val="4A5B3E41"/>
    <w:rsid w:val="4A5F50B1"/>
    <w:rsid w:val="4A5F6D40"/>
    <w:rsid w:val="4A64750C"/>
    <w:rsid w:val="4A6733D6"/>
    <w:rsid w:val="4A8C37E8"/>
    <w:rsid w:val="4AA21AAB"/>
    <w:rsid w:val="4AAB5B1D"/>
    <w:rsid w:val="4AAD0E07"/>
    <w:rsid w:val="4ABF34BD"/>
    <w:rsid w:val="4AC50C6E"/>
    <w:rsid w:val="4ACE1442"/>
    <w:rsid w:val="4ACF346A"/>
    <w:rsid w:val="4ACF47BA"/>
    <w:rsid w:val="4AD4199D"/>
    <w:rsid w:val="4AD57AC0"/>
    <w:rsid w:val="4AD66096"/>
    <w:rsid w:val="4AE5143A"/>
    <w:rsid w:val="4AF75B98"/>
    <w:rsid w:val="4AF86317"/>
    <w:rsid w:val="4AF94B99"/>
    <w:rsid w:val="4AFC5C16"/>
    <w:rsid w:val="4AFD09DA"/>
    <w:rsid w:val="4B110AFC"/>
    <w:rsid w:val="4B125CE2"/>
    <w:rsid w:val="4B187365"/>
    <w:rsid w:val="4B2942DF"/>
    <w:rsid w:val="4B3863D1"/>
    <w:rsid w:val="4B402B0F"/>
    <w:rsid w:val="4B550D7F"/>
    <w:rsid w:val="4B58633C"/>
    <w:rsid w:val="4B5F05BD"/>
    <w:rsid w:val="4B604325"/>
    <w:rsid w:val="4B6C3BAC"/>
    <w:rsid w:val="4B8D0F31"/>
    <w:rsid w:val="4B9465AD"/>
    <w:rsid w:val="4B9B21F2"/>
    <w:rsid w:val="4BA83BA9"/>
    <w:rsid w:val="4BB14A66"/>
    <w:rsid w:val="4BBA0238"/>
    <w:rsid w:val="4C0106CB"/>
    <w:rsid w:val="4C0263FB"/>
    <w:rsid w:val="4C0A027E"/>
    <w:rsid w:val="4C0A066D"/>
    <w:rsid w:val="4C145996"/>
    <w:rsid w:val="4C1A3CD9"/>
    <w:rsid w:val="4C6F124B"/>
    <w:rsid w:val="4C732B0C"/>
    <w:rsid w:val="4C761ABA"/>
    <w:rsid w:val="4C863E8D"/>
    <w:rsid w:val="4C8F6A3E"/>
    <w:rsid w:val="4CAD15A6"/>
    <w:rsid w:val="4CBF5B23"/>
    <w:rsid w:val="4CCA4292"/>
    <w:rsid w:val="4CCF30A7"/>
    <w:rsid w:val="4CEE1574"/>
    <w:rsid w:val="4D087C40"/>
    <w:rsid w:val="4D091502"/>
    <w:rsid w:val="4D136967"/>
    <w:rsid w:val="4D155577"/>
    <w:rsid w:val="4D256057"/>
    <w:rsid w:val="4D314B2A"/>
    <w:rsid w:val="4D315610"/>
    <w:rsid w:val="4D5168FA"/>
    <w:rsid w:val="4D534C65"/>
    <w:rsid w:val="4D57740D"/>
    <w:rsid w:val="4D6402ED"/>
    <w:rsid w:val="4D7D140D"/>
    <w:rsid w:val="4D900D8F"/>
    <w:rsid w:val="4DA05385"/>
    <w:rsid w:val="4DD52DC8"/>
    <w:rsid w:val="4DE17BD5"/>
    <w:rsid w:val="4DFD4045"/>
    <w:rsid w:val="4DFE5B05"/>
    <w:rsid w:val="4E0B1D29"/>
    <w:rsid w:val="4E0C4982"/>
    <w:rsid w:val="4E147496"/>
    <w:rsid w:val="4E1A428D"/>
    <w:rsid w:val="4E1F56EB"/>
    <w:rsid w:val="4E3546D5"/>
    <w:rsid w:val="4E3C4BBE"/>
    <w:rsid w:val="4E434405"/>
    <w:rsid w:val="4E4B7032"/>
    <w:rsid w:val="4E59234F"/>
    <w:rsid w:val="4E5B780F"/>
    <w:rsid w:val="4E781A7A"/>
    <w:rsid w:val="4E9011A1"/>
    <w:rsid w:val="4E974FDC"/>
    <w:rsid w:val="4E9E0DE0"/>
    <w:rsid w:val="4EAF1C04"/>
    <w:rsid w:val="4EB35A86"/>
    <w:rsid w:val="4EC468FA"/>
    <w:rsid w:val="4ECF4BBB"/>
    <w:rsid w:val="4ED1612E"/>
    <w:rsid w:val="4ED212E5"/>
    <w:rsid w:val="4ED214E4"/>
    <w:rsid w:val="4ED52D00"/>
    <w:rsid w:val="4EE22463"/>
    <w:rsid w:val="4EEA2A87"/>
    <w:rsid w:val="4EEF28D7"/>
    <w:rsid w:val="4EFC7DE3"/>
    <w:rsid w:val="4F06467F"/>
    <w:rsid w:val="4F1073D4"/>
    <w:rsid w:val="4F1A30C2"/>
    <w:rsid w:val="4F1D07B2"/>
    <w:rsid w:val="4F234986"/>
    <w:rsid w:val="4F24214C"/>
    <w:rsid w:val="4F2B4686"/>
    <w:rsid w:val="4F390D82"/>
    <w:rsid w:val="4F3F2551"/>
    <w:rsid w:val="4F42146D"/>
    <w:rsid w:val="4F450942"/>
    <w:rsid w:val="4F4921AA"/>
    <w:rsid w:val="4F4E5D19"/>
    <w:rsid w:val="4F5A5A03"/>
    <w:rsid w:val="4F613508"/>
    <w:rsid w:val="4F732573"/>
    <w:rsid w:val="4F7F48A2"/>
    <w:rsid w:val="4F8E5D5D"/>
    <w:rsid w:val="4F905428"/>
    <w:rsid w:val="4FA56876"/>
    <w:rsid w:val="4FC40F8E"/>
    <w:rsid w:val="4FC97F57"/>
    <w:rsid w:val="4FD81B8D"/>
    <w:rsid w:val="4FE93C27"/>
    <w:rsid w:val="4FEF5844"/>
    <w:rsid w:val="5003686E"/>
    <w:rsid w:val="50165DAE"/>
    <w:rsid w:val="50195B0E"/>
    <w:rsid w:val="50286D88"/>
    <w:rsid w:val="502D694E"/>
    <w:rsid w:val="5039134D"/>
    <w:rsid w:val="503D410A"/>
    <w:rsid w:val="50510F9C"/>
    <w:rsid w:val="50532DDF"/>
    <w:rsid w:val="506F31C4"/>
    <w:rsid w:val="50781D9C"/>
    <w:rsid w:val="507B2BEF"/>
    <w:rsid w:val="507D5B3C"/>
    <w:rsid w:val="50C07ED2"/>
    <w:rsid w:val="50D35683"/>
    <w:rsid w:val="50E867D1"/>
    <w:rsid w:val="50EB1F37"/>
    <w:rsid w:val="50F11D07"/>
    <w:rsid w:val="50F14F62"/>
    <w:rsid w:val="511631DB"/>
    <w:rsid w:val="511C29AE"/>
    <w:rsid w:val="511D7D54"/>
    <w:rsid w:val="511F6B06"/>
    <w:rsid w:val="512A5AD1"/>
    <w:rsid w:val="513F32B3"/>
    <w:rsid w:val="51453EEB"/>
    <w:rsid w:val="514556D3"/>
    <w:rsid w:val="514F7FF6"/>
    <w:rsid w:val="515723FC"/>
    <w:rsid w:val="515B7E42"/>
    <w:rsid w:val="515C2789"/>
    <w:rsid w:val="51600E2A"/>
    <w:rsid w:val="516B643C"/>
    <w:rsid w:val="516C2213"/>
    <w:rsid w:val="51734DBA"/>
    <w:rsid w:val="5175587C"/>
    <w:rsid w:val="517A5197"/>
    <w:rsid w:val="51810C7F"/>
    <w:rsid w:val="51906324"/>
    <w:rsid w:val="519325F0"/>
    <w:rsid w:val="5193742F"/>
    <w:rsid w:val="51AD3AA9"/>
    <w:rsid w:val="51B075C1"/>
    <w:rsid w:val="51B93F11"/>
    <w:rsid w:val="51BE3C74"/>
    <w:rsid w:val="51C87663"/>
    <w:rsid w:val="51D6733E"/>
    <w:rsid w:val="51E171DB"/>
    <w:rsid w:val="51E31F04"/>
    <w:rsid w:val="52034AB6"/>
    <w:rsid w:val="52053814"/>
    <w:rsid w:val="5209620E"/>
    <w:rsid w:val="522400A9"/>
    <w:rsid w:val="52270581"/>
    <w:rsid w:val="52301B51"/>
    <w:rsid w:val="5239576C"/>
    <w:rsid w:val="5246001F"/>
    <w:rsid w:val="524941E4"/>
    <w:rsid w:val="524A7A0B"/>
    <w:rsid w:val="525A3E29"/>
    <w:rsid w:val="525C5F1A"/>
    <w:rsid w:val="525D6027"/>
    <w:rsid w:val="525E4B6D"/>
    <w:rsid w:val="52654ECA"/>
    <w:rsid w:val="52735D5F"/>
    <w:rsid w:val="527634B2"/>
    <w:rsid w:val="528A3AF0"/>
    <w:rsid w:val="52901ABF"/>
    <w:rsid w:val="52906C9B"/>
    <w:rsid w:val="52A874FC"/>
    <w:rsid w:val="52A93F4C"/>
    <w:rsid w:val="52AB4C77"/>
    <w:rsid w:val="52B54609"/>
    <w:rsid w:val="52C01C66"/>
    <w:rsid w:val="52C3032A"/>
    <w:rsid w:val="52C54F2C"/>
    <w:rsid w:val="52C75293"/>
    <w:rsid w:val="52DD41C8"/>
    <w:rsid w:val="52FB6D09"/>
    <w:rsid w:val="5310645D"/>
    <w:rsid w:val="53114CEC"/>
    <w:rsid w:val="531244D8"/>
    <w:rsid w:val="53301ABE"/>
    <w:rsid w:val="53355B43"/>
    <w:rsid w:val="53364004"/>
    <w:rsid w:val="533660FE"/>
    <w:rsid w:val="533B3E50"/>
    <w:rsid w:val="53424D69"/>
    <w:rsid w:val="53462215"/>
    <w:rsid w:val="534841B2"/>
    <w:rsid w:val="534C17D4"/>
    <w:rsid w:val="534C312B"/>
    <w:rsid w:val="535B4159"/>
    <w:rsid w:val="535D0A45"/>
    <w:rsid w:val="53663D12"/>
    <w:rsid w:val="537858D0"/>
    <w:rsid w:val="537F364D"/>
    <w:rsid w:val="53844C97"/>
    <w:rsid w:val="53896BAC"/>
    <w:rsid w:val="53956AC8"/>
    <w:rsid w:val="5398076C"/>
    <w:rsid w:val="53BD17F0"/>
    <w:rsid w:val="53BE2900"/>
    <w:rsid w:val="53C74A2E"/>
    <w:rsid w:val="53CB681A"/>
    <w:rsid w:val="53E708DC"/>
    <w:rsid w:val="540A0136"/>
    <w:rsid w:val="540E7496"/>
    <w:rsid w:val="542A258E"/>
    <w:rsid w:val="542C3EB1"/>
    <w:rsid w:val="5431545B"/>
    <w:rsid w:val="543915A7"/>
    <w:rsid w:val="543C0ACD"/>
    <w:rsid w:val="54407686"/>
    <w:rsid w:val="54451729"/>
    <w:rsid w:val="54571BBD"/>
    <w:rsid w:val="54694499"/>
    <w:rsid w:val="547356BE"/>
    <w:rsid w:val="54894A11"/>
    <w:rsid w:val="548D08CE"/>
    <w:rsid w:val="548D494E"/>
    <w:rsid w:val="548D5EEC"/>
    <w:rsid w:val="54956AD7"/>
    <w:rsid w:val="549B698D"/>
    <w:rsid w:val="54A0308C"/>
    <w:rsid w:val="54A43723"/>
    <w:rsid w:val="54BB1688"/>
    <w:rsid w:val="54C621A5"/>
    <w:rsid w:val="54C82801"/>
    <w:rsid w:val="54D74119"/>
    <w:rsid w:val="54E05A5F"/>
    <w:rsid w:val="54E159FD"/>
    <w:rsid w:val="54F0069C"/>
    <w:rsid w:val="54F67954"/>
    <w:rsid w:val="54FA57B6"/>
    <w:rsid w:val="550B3155"/>
    <w:rsid w:val="550C06E2"/>
    <w:rsid w:val="55101E3C"/>
    <w:rsid w:val="551A30A3"/>
    <w:rsid w:val="551D1ECB"/>
    <w:rsid w:val="552178CA"/>
    <w:rsid w:val="55306C81"/>
    <w:rsid w:val="55314CA7"/>
    <w:rsid w:val="553F0DCA"/>
    <w:rsid w:val="55605DAF"/>
    <w:rsid w:val="55611F7E"/>
    <w:rsid w:val="557A0AEC"/>
    <w:rsid w:val="557D4B5D"/>
    <w:rsid w:val="55884DB1"/>
    <w:rsid w:val="558C6691"/>
    <w:rsid w:val="559B61FE"/>
    <w:rsid w:val="55A800A8"/>
    <w:rsid w:val="55B0520C"/>
    <w:rsid w:val="55C61790"/>
    <w:rsid w:val="55CB6244"/>
    <w:rsid w:val="55D06627"/>
    <w:rsid w:val="55DC609F"/>
    <w:rsid w:val="55E27B77"/>
    <w:rsid w:val="55EF36A5"/>
    <w:rsid w:val="55FC3C80"/>
    <w:rsid w:val="56175454"/>
    <w:rsid w:val="563515EB"/>
    <w:rsid w:val="563E0D6D"/>
    <w:rsid w:val="56490697"/>
    <w:rsid w:val="564A487B"/>
    <w:rsid w:val="565156F2"/>
    <w:rsid w:val="565F2F41"/>
    <w:rsid w:val="566A1A59"/>
    <w:rsid w:val="56740CD4"/>
    <w:rsid w:val="568A7AE0"/>
    <w:rsid w:val="56902D37"/>
    <w:rsid w:val="56913F8C"/>
    <w:rsid w:val="56952E75"/>
    <w:rsid w:val="56A32D8D"/>
    <w:rsid w:val="56A46AC2"/>
    <w:rsid w:val="56AC7A71"/>
    <w:rsid w:val="56AF77E3"/>
    <w:rsid w:val="56B815C5"/>
    <w:rsid w:val="56C90A7D"/>
    <w:rsid w:val="56DB78D0"/>
    <w:rsid w:val="56DF1584"/>
    <w:rsid w:val="56F77BAA"/>
    <w:rsid w:val="56F922F9"/>
    <w:rsid w:val="56FB2B09"/>
    <w:rsid w:val="570A301F"/>
    <w:rsid w:val="570C3983"/>
    <w:rsid w:val="572D7597"/>
    <w:rsid w:val="57565A6A"/>
    <w:rsid w:val="575B0C87"/>
    <w:rsid w:val="57631C6C"/>
    <w:rsid w:val="576414F5"/>
    <w:rsid w:val="576F5835"/>
    <w:rsid w:val="57754894"/>
    <w:rsid w:val="578A1961"/>
    <w:rsid w:val="57915C63"/>
    <w:rsid w:val="579D1751"/>
    <w:rsid w:val="57A816B1"/>
    <w:rsid w:val="57BF2562"/>
    <w:rsid w:val="57DA37DE"/>
    <w:rsid w:val="580C4380"/>
    <w:rsid w:val="581C0049"/>
    <w:rsid w:val="582A5B75"/>
    <w:rsid w:val="583F11C1"/>
    <w:rsid w:val="58505FE2"/>
    <w:rsid w:val="585B1FA7"/>
    <w:rsid w:val="58627C2C"/>
    <w:rsid w:val="58677896"/>
    <w:rsid w:val="587079E9"/>
    <w:rsid w:val="587E588B"/>
    <w:rsid w:val="58824D5F"/>
    <w:rsid w:val="588C268E"/>
    <w:rsid w:val="58A12453"/>
    <w:rsid w:val="58A205D4"/>
    <w:rsid w:val="58A52154"/>
    <w:rsid w:val="58AB06B8"/>
    <w:rsid w:val="58AB495C"/>
    <w:rsid w:val="58BC0749"/>
    <w:rsid w:val="58C223CA"/>
    <w:rsid w:val="58D00418"/>
    <w:rsid w:val="58DF74E8"/>
    <w:rsid w:val="58E54B30"/>
    <w:rsid w:val="58ED38EB"/>
    <w:rsid w:val="58F52C52"/>
    <w:rsid w:val="58F56AA2"/>
    <w:rsid w:val="58FA46AE"/>
    <w:rsid w:val="59010DCB"/>
    <w:rsid w:val="590254C0"/>
    <w:rsid w:val="59064B2A"/>
    <w:rsid w:val="59141AD9"/>
    <w:rsid w:val="59283000"/>
    <w:rsid w:val="592A496F"/>
    <w:rsid w:val="592B79F2"/>
    <w:rsid w:val="592C2062"/>
    <w:rsid w:val="593F6B99"/>
    <w:rsid w:val="59456E03"/>
    <w:rsid w:val="59556806"/>
    <w:rsid w:val="595D2817"/>
    <w:rsid w:val="596961A4"/>
    <w:rsid w:val="596C5B01"/>
    <w:rsid w:val="596F3981"/>
    <w:rsid w:val="59744D55"/>
    <w:rsid w:val="597455E4"/>
    <w:rsid w:val="59884EF9"/>
    <w:rsid w:val="59895C26"/>
    <w:rsid w:val="598A4E5D"/>
    <w:rsid w:val="598D069A"/>
    <w:rsid w:val="598F2C96"/>
    <w:rsid w:val="599052B7"/>
    <w:rsid w:val="59926454"/>
    <w:rsid w:val="59A621EF"/>
    <w:rsid w:val="59A7023E"/>
    <w:rsid w:val="59C92DE9"/>
    <w:rsid w:val="59CC102C"/>
    <w:rsid w:val="59E44CEE"/>
    <w:rsid w:val="59E56F74"/>
    <w:rsid w:val="59E61BCB"/>
    <w:rsid w:val="59EC441B"/>
    <w:rsid w:val="59F02704"/>
    <w:rsid w:val="5A0A1B3C"/>
    <w:rsid w:val="5A0B7D4E"/>
    <w:rsid w:val="5A187A17"/>
    <w:rsid w:val="5A244DFD"/>
    <w:rsid w:val="5A2E069D"/>
    <w:rsid w:val="5A431B57"/>
    <w:rsid w:val="5A5D1C92"/>
    <w:rsid w:val="5A663ECA"/>
    <w:rsid w:val="5A6A6705"/>
    <w:rsid w:val="5A7426C0"/>
    <w:rsid w:val="5A754FD7"/>
    <w:rsid w:val="5A7E0CCC"/>
    <w:rsid w:val="5A932A74"/>
    <w:rsid w:val="5A9A0720"/>
    <w:rsid w:val="5A9A35FE"/>
    <w:rsid w:val="5AA122DB"/>
    <w:rsid w:val="5AB05446"/>
    <w:rsid w:val="5AB93D32"/>
    <w:rsid w:val="5AC07645"/>
    <w:rsid w:val="5AD830D1"/>
    <w:rsid w:val="5AE95C32"/>
    <w:rsid w:val="5B0F675D"/>
    <w:rsid w:val="5B163E79"/>
    <w:rsid w:val="5B1A5896"/>
    <w:rsid w:val="5B2135B6"/>
    <w:rsid w:val="5B29206D"/>
    <w:rsid w:val="5B3532A1"/>
    <w:rsid w:val="5B495C8F"/>
    <w:rsid w:val="5B4A32A6"/>
    <w:rsid w:val="5B4D38B8"/>
    <w:rsid w:val="5B5555A3"/>
    <w:rsid w:val="5B600190"/>
    <w:rsid w:val="5B607227"/>
    <w:rsid w:val="5B8C3BA4"/>
    <w:rsid w:val="5B9D1002"/>
    <w:rsid w:val="5BB42DFB"/>
    <w:rsid w:val="5BCA22A4"/>
    <w:rsid w:val="5BD078E2"/>
    <w:rsid w:val="5BD5481D"/>
    <w:rsid w:val="5BE13E4A"/>
    <w:rsid w:val="5BE7036D"/>
    <w:rsid w:val="5BEF147D"/>
    <w:rsid w:val="5BF540A3"/>
    <w:rsid w:val="5BF542F8"/>
    <w:rsid w:val="5BFF3EDE"/>
    <w:rsid w:val="5C131AB6"/>
    <w:rsid w:val="5C132486"/>
    <w:rsid w:val="5C1417EE"/>
    <w:rsid w:val="5C237623"/>
    <w:rsid w:val="5C2802A0"/>
    <w:rsid w:val="5C2E0A01"/>
    <w:rsid w:val="5C312C4C"/>
    <w:rsid w:val="5C312EC2"/>
    <w:rsid w:val="5C3E7200"/>
    <w:rsid w:val="5C3F2410"/>
    <w:rsid w:val="5C451DC4"/>
    <w:rsid w:val="5C543270"/>
    <w:rsid w:val="5C6A7092"/>
    <w:rsid w:val="5C6C0FCA"/>
    <w:rsid w:val="5C6E54C7"/>
    <w:rsid w:val="5C7F550B"/>
    <w:rsid w:val="5C85297F"/>
    <w:rsid w:val="5CAC7CC0"/>
    <w:rsid w:val="5CC24B7F"/>
    <w:rsid w:val="5CCB5CF1"/>
    <w:rsid w:val="5CCD7556"/>
    <w:rsid w:val="5CD379D5"/>
    <w:rsid w:val="5CDA155E"/>
    <w:rsid w:val="5CDA28CD"/>
    <w:rsid w:val="5CE40CFE"/>
    <w:rsid w:val="5CE67179"/>
    <w:rsid w:val="5CF75A42"/>
    <w:rsid w:val="5CFB1B0F"/>
    <w:rsid w:val="5D0134C1"/>
    <w:rsid w:val="5D080CF3"/>
    <w:rsid w:val="5D196710"/>
    <w:rsid w:val="5D1C5040"/>
    <w:rsid w:val="5D2D32A9"/>
    <w:rsid w:val="5D393182"/>
    <w:rsid w:val="5D3D2FA1"/>
    <w:rsid w:val="5D4317E3"/>
    <w:rsid w:val="5D4453EA"/>
    <w:rsid w:val="5D456999"/>
    <w:rsid w:val="5D4E4A23"/>
    <w:rsid w:val="5D4F0442"/>
    <w:rsid w:val="5D52247E"/>
    <w:rsid w:val="5D535A6E"/>
    <w:rsid w:val="5D775E79"/>
    <w:rsid w:val="5D7C454F"/>
    <w:rsid w:val="5D7C60C2"/>
    <w:rsid w:val="5D8A401F"/>
    <w:rsid w:val="5D9962A0"/>
    <w:rsid w:val="5D9A213D"/>
    <w:rsid w:val="5DA2512C"/>
    <w:rsid w:val="5DA63676"/>
    <w:rsid w:val="5DA90129"/>
    <w:rsid w:val="5DAE06D6"/>
    <w:rsid w:val="5DAF0173"/>
    <w:rsid w:val="5DB0404A"/>
    <w:rsid w:val="5DB41276"/>
    <w:rsid w:val="5DBB0ECC"/>
    <w:rsid w:val="5DE02EE5"/>
    <w:rsid w:val="5DE20598"/>
    <w:rsid w:val="5DF229EA"/>
    <w:rsid w:val="5DFE0853"/>
    <w:rsid w:val="5E034781"/>
    <w:rsid w:val="5E0917A9"/>
    <w:rsid w:val="5E1C292B"/>
    <w:rsid w:val="5E2746D5"/>
    <w:rsid w:val="5E364283"/>
    <w:rsid w:val="5E4F650C"/>
    <w:rsid w:val="5E5103B5"/>
    <w:rsid w:val="5E6316EC"/>
    <w:rsid w:val="5E651F35"/>
    <w:rsid w:val="5E801335"/>
    <w:rsid w:val="5E85375C"/>
    <w:rsid w:val="5E875879"/>
    <w:rsid w:val="5E8C595F"/>
    <w:rsid w:val="5E962156"/>
    <w:rsid w:val="5E983EC9"/>
    <w:rsid w:val="5EAD5768"/>
    <w:rsid w:val="5EBE1EF3"/>
    <w:rsid w:val="5ED36DA4"/>
    <w:rsid w:val="5EE412EC"/>
    <w:rsid w:val="5EE52771"/>
    <w:rsid w:val="5EEA189E"/>
    <w:rsid w:val="5EEE40BE"/>
    <w:rsid w:val="5EF21434"/>
    <w:rsid w:val="5F0446C3"/>
    <w:rsid w:val="5F294A3B"/>
    <w:rsid w:val="5F2973FB"/>
    <w:rsid w:val="5F2B4289"/>
    <w:rsid w:val="5F2C4BBF"/>
    <w:rsid w:val="5F3A62AD"/>
    <w:rsid w:val="5F3D73D8"/>
    <w:rsid w:val="5F40294E"/>
    <w:rsid w:val="5F525B18"/>
    <w:rsid w:val="5F6923CE"/>
    <w:rsid w:val="5F7000AE"/>
    <w:rsid w:val="5F7C6A1A"/>
    <w:rsid w:val="5F904A18"/>
    <w:rsid w:val="5F906E0B"/>
    <w:rsid w:val="5FA03A44"/>
    <w:rsid w:val="5FAC7702"/>
    <w:rsid w:val="5FB73321"/>
    <w:rsid w:val="5FC10688"/>
    <w:rsid w:val="5FC351C6"/>
    <w:rsid w:val="5FD01870"/>
    <w:rsid w:val="5FD736DD"/>
    <w:rsid w:val="5FDD34A1"/>
    <w:rsid w:val="5FE20098"/>
    <w:rsid w:val="5FE2260F"/>
    <w:rsid w:val="60242C79"/>
    <w:rsid w:val="60365D26"/>
    <w:rsid w:val="60602BF4"/>
    <w:rsid w:val="60633BD9"/>
    <w:rsid w:val="60647225"/>
    <w:rsid w:val="607A5524"/>
    <w:rsid w:val="607F64D0"/>
    <w:rsid w:val="608341CD"/>
    <w:rsid w:val="608910E2"/>
    <w:rsid w:val="6093262F"/>
    <w:rsid w:val="60A92C83"/>
    <w:rsid w:val="60BA69E4"/>
    <w:rsid w:val="60E05881"/>
    <w:rsid w:val="60E315F5"/>
    <w:rsid w:val="60E4380B"/>
    <w:rsid w:val="60EE33A3"/>
    <w:rsid w:val="60F46256"/>
    <w:rsid w:val="60F52490"/>
    <w:rsid w:val="60FF393F"/>
    <w:rsid w:val="610225C6"/>
    <w:rsid w:val="611272FB"/>
    <w:rsid w:val="611509E4"/>
    <w:rsid w:val="61154ABB"/>
    <w:rsid w:val="61180DAF"/>
    <w:rsid w:val="6121083C"/>
    <w:rsid w:val="612468BE"/>
    <w:rsid w:val="613954C1"/>
    <w:rsid w:val="614709F8"/>
    <w:rsid w:val="615A61EA"/>
    <w:rsid w:val="61637A45"/>
    <w:rsid w:val="617A7CE6"/>
    <w:rsid w:val="617E0474"/>
    <w:rsid w:val="617E4756"/>
    <w:rsid w:val="618C7D36"/>
    <w:rsid w:val="61930DA7"/>
    <w:rsid w:val="619C1515"/>
    <w:rsid w:val="619D7E40"/>
    <w:rsid w:val="61C45CFB"/>
    <w:rsid w:val="61CB7FE6"/>
    <w:rsid w:val="61D408F5"/>
    <w:rsid w:val="61F52D6A"/>
    <w:rsid w:val="61F8223C"/>
    <w:rsid w:val="62077E12"/>
    <w:rsid w:val="62160904"/>
    <w:rsid w:val="621A024D"/>
    <w:rsid w:val="622A590E"/>
    <w:rsid w:val="62315661"/>
    <w:rsid w:val="6247104A"/>
    <w:rsid w:val="625C6455"/>
    <w:rsid w:val="626117E9"/>
    <w:rsid w:val="62613A81"/>
    <w:rsid w:val="62822396"/>
    <w:rsid w:val="628E0B46"/>
    <w:rsid w:val="629564DF"/>
    <w:rsid w:val="62AB544C"/>
    <w:rsid w:val="62B731F0"/>
    <w:rsid w:val="62C81944"/>
    <w:rsid w:val="62D039FC"/>
    <w:rsid w:val="62D67085"/>
    <w:rsid w:val="62E06CB3"/>
    <w:rsid w:val="62E62FBF"/>
    <w:rsid w:val="62EB0015"/>
    <w:rsid w:val="62F0419F"/>
    <w:rsid w:val="62F624A0"/>
    <w:rsid w:val="630B0C7C"/>
    <w:rsid w:val="6311570F"/>
    <w:rsid w:val="631E1194"/>
    <w:rsid w:val="63325669"/>
    <w:rsid w:val="633D2245"/>
    <w:rsid w:val="634C3DA8"/>
    <w:rsid w:val="63644599"/>
    <w:rsid w:val="638F78B4"/>
    <w:rsid w:val="63B57E46"/>
    <w:rsid w:val="63F126C5"/>
    <w:rsid w:val="63FE1D71"/>
    <w:rsid w:val="640B0270"/>
    <w:rsid w:val="64106D9B"/>
    <w:rsid w:val="6411769D"/>
    <w:rsid w:val="641B3CAE"/>
    <w:rsid w:val="641F0E68"/>
    <w:rsid w:val="64462AD1"/>
    <w:rsid w:val="644636D7"/>
    <w:rsid w:val="64544BBF"/>
    <w:rsid w:val="64666493"/>
    <w:rsid w:val="647D7F4C"/>
    <w:rsid w:val="649E1FD7"/>
    <w:rsid w:val="64A137D4"/>
    <w:rsid w:val="64AC0DC8"/>
    <w:rsid w:val="64BC0F97"/>
    <w:rsid w:val="64C00105"/>
    <w:rsid w:val="64C112FA"/>
    <w:rsid w:val="64E169E0"/>
    <w:rsid w:val="64E518BD"/>
    <w:rsid w:val="64E52C92"/>
    <w:rsid w:val="64EC385F"/>
    <w:rsid w:val="64F02F65"/>
    <w:rsid w:val="64F61BCC"/>
    <w:rsid w:val="64FA4DDF"/>
    <w:rsid w:val="65006A35"/>
    <w:rsid w:val="651602AE"/>
    <w:rsid w:val="6526764A"/>
    <w:rsid w:val="653C1D18"/>
    <w:rsid w:val="653E102A"/>
    <w:rsid w:val="65433C41"/>
    <w:rsid w:val="654645F8"/>
    <w:rsid w:val="65476131"/>
    <w:rsid w:val="654B069F"/>
    <w:rsid w:val="65520C12"/>
    <w:rsid w:val="6560611F"/>
    <w:rsid w:val="65631613"/>
    <w:rsid w:val="657D5DC4"/>
    <w:rsid w:val="65847C4C"/>
    <w:rsid w:val="65A20981"/>
    <w:rsid w:val="65A5138D"/>
    <w:rsid w:val="65AE3B75"/>
    <w:rsid w:val="65B45404"/>
    <w:rsid w:val="65B45A79"/>
    <w:rsid w:val="65B460FC"/>
    <w:rsid w:val="65BE09CA"/>
    <w:rsid w:val="65C25013"/>
    <w:rsid w:val="65D603E9"/>
    <w:rsid w:val="65ED6843"/>
    <w:rsid w:val="65FB7A23"/>
    <w:rsid w:val="65FF3AAA"/>
    <w:rsid w:val="65FF695F"/>
    <w:rsid w:val="66024CA7"/>
    <w:rsid w:val="66037C61"/>
    <w:rsid w:val="661E1E4F"/>
    <w:rsid w:val="662358B6"/>
    <w:rsid w:val="66253E69"/>
    <w:rsid w:val="66315645"/>
    <w:rsid w:val="66386871"/>
    <w:rsid w:val="664239E8"/>
    <w:rsid w:val="664E5145"/>
    <w:rsid w:val="6667042C"/>
    <w:rsid w:val="666C07EF"/>
    <w:rsid w:val="668673B3"/>
    <w:rsid w:val="669741E4"/>
    <w:rsid w:val="66B01FBB"/>
    <w:rsid w:val="66C85BBB"/>
    <w:rsid w:val="66CF72B9"/>
    <w:rsid w:val="66D43ED1"/>
    <w:rsid w:val="66DC66B0"/>
    <w:rsid w:val="66E06ECD"/>
    <w:rsid w:val="66E934D5"/>
    <w:rsid w:val="66EA65A5"/>
    <w:rsid w:val="66ED334A"/>
    <w:rsid w:val="6707372F"/>
    <w:rsid w:val="6716438D"/>
    <w:rsid w:val="67183C29"/>
    <w:rsid w:val="67184FE4"/>
    <w:rsid w:val="671B5E3A"/>
    <w:rsid w:val="67202CB7"/>
    <w:rsid w:val="672607AA"/>
    <w:rsid w:val="67273BE9"/>
    <w:rsid w:val="674472EB"/>
    <w:rsid w:val="674853FA"/>
    <w:rsid w:val="675D2F98"/>
    <w:rsid w:val="676E43A6"/>
    <w:rsid w:val="678A2DDE"/>
    <w:rsid w:val="679B2087"/>
    <w:rsid w:val="67A5218D"/>
    <w:rsid w:val="67A7314B"/>
    <w:rsid w:val="67A85DBA"/>
    <w:rsid w:val="67AF5974"/>
    <w:rsid w:val="67AF6CB8"/>
    <w:rsid w:val="67C36383"/>
    <w:rsid w:val="67FC42E9"/>
    <w:rsid w:val="680701AD"/>
    <w:rsid w:val="682A7FA6"/>
    <w:rsid w:val="683C0169"/>
    <w:rsid w:val="68477D96"/>
    <w:rsid w:val="684A54EC"/>
    <w:rsid w:val="684D415C"/>
    <w:rsid w:val="688C4126"/>
    <w:rsid w:val="68950BA4"/>
    <w:rsid w:val="689C2BB3"/>
    <w:rsid w:val="68AF29EC"/>
    <w:rsid w:val="68B52EC7"/>
    <w:rsid w:val="68B913B1"/>
    <w:rsid w:val="68C306F8"/>
    <w:rsid w:val="68CA03EB"/>
    <w:rsid w:val="68D74C22"/>
    <w:rsid w:val="68D753B3"/>
    <w:rsid w:val="690610D8"/>
    <w:rsid w:val="690A5646"/>
    <w:rsid w:val="690B6D75"/>
    <w:rsid w:val="690D0F7F"/>
    <w:rsid w:val="690F38AA"/>
    <w:rsid w:val="69175623"/>
    <w:rsid w:val="6929351C"/>
    <w:rsid w:val="69491D33"/>
    <w:rsid w:val="694D2057"/>
    <w:rsid w:val="696862AB"/>
    <w:rsid w:val="69721046"/>
    <w:rsid w:val="69744BDA"/>
    <w:rsid w:val="697B30C1"/>
    <w:rsid w:val="697D64DC"/>
    <w:rsid w:val="69885E71"/>
    <w:rsid w:val="699B23E8"/>
    <w:rsid w:val="699D56B3"/>
    <w:rsid w:val="69CA7513"/>
    <w:rsid w:val="69CD0C68"/>
    <w:rsid w:val="69D44C53"/>
    <w:rsid w:val="69DB1129"/>
    <w:rsid w:val="69E05E4D"/>
    <w:rsid w:val="69E12E3E"/>
    <w:rsid w:val="69EA3820"/>
    <w:rsid w:val="69F90592"/>
    <w:rsid w:val="6A0E1FF8"/>
    <w:rsid w:val="6A2E5893"/>
    <w:rsid w:val="6A310F3A"/>
    <w:rsid w:val="6A3425A2"/>
    <w:rsid w:val="6A372AF5"/>
    <w:rsid w:val="6A49497B"/>
    <w:rsid w:val="6A4E712E"/>
    <w:rsid w:val="6A4F7718"/>
    <w:rsid w:val="6A57494B"/>
    <w:rsid w:val="6A5E5E9E"/>
    <w:rsid w:val="6A625FC2"/>
    <w:rsid w:val="6A76018B"/>
    <w:rsid w:val="6A7606BF"/>
    <w:rsid w:val="6A773DF9"/>
    <w:rsid w:val="6A860B9B"/>
    <w:rsid w:val="6A97256E"/>
    <w:rsid w:val="6AA02BD2"/>
    <w:rsid w:val="6AA27947"/>
    <w:rsid w:val="6AA87672"/>
    <w:rsid w:val="6AB24690"/>
    <w:rsid w:val="6ABA6F5A"/>
    <w:rsid w:val="6ABE13F8"/>
    <w:rsid w:val="6AC15F10"/>
    <w:rsid w:val="6AC221BD"/>
    <w:rsid w:val="6AE00FB0"/>
    <w:rsid w:val="6AE0369E"/>
    <w:rsid w:val="6AF5115B"/>
    <w:rsid w:val="6B112E08"/>
    <w:rsid w:val="6B1D35AA"/>
    <w:rsid w:val="6B2C492E"/>
    <w:rsid w:val="6B323130"/>
    <w:rsid w:val="6B3275DF"/>
    <w:rsid w:val="6B3D24B0"/>
    <w:rsid w:val="6B402FDE"/>
    <w:rsid w:val="6B4653F3"/>
    <w:rsid w:val="6B5D41BF"/>
    <w:rsid w:val="6B693845"/>
    <w:rsid w:val="6B8533E7"/>
    <w:rsid w:val="6B870295"/>
    <w:rsid w:val="6B8B2F56"/>
    <w:rsid w:val="6B8E58E5"/>
    <w:rsid w:val="6BAB5AC7"/>
    <w:rsid w:val="6BB078D0"/>
    <w:rsid w:val="6BB25B5C"/>
    <w:rsid w:val="6BBB7F5C"/>
    <w:rsid w:val="6BBC3D01"/>
    <w:rsid w:val="6BC70EAF"/>
    <w:rsid w:val="6BCB5C91"/>
    <w:rsid w:val="6BD5057A"/>
    <w:rsid w:val="6BF400DD"/>
    <w:rsid w:val="6BFB3C55"/>
    <w:rsid w:val="6BFB5D8C"/>
    <w:rsid w:val="6C076822"/>
    <w:rsid w:val="6C0935ED"/>
    <w:rsid w:val="6C0D6AE2"/>
    <w:rsid w:val="6C1241FE"/>
    <w:rsid w:val="6C18338E"/>
    <w:rsid w:val="6C3577F7"/>
    <w:rsid w:val="6C3855D1"/>
    <w:rsid w:val="6C435452"/>
    <w:rsid w:val="6C502023"/>
    <w:rsid w:val="6C9200A2"/>
    <w:rsid w:val="6C926292"/>
    <w:rsid w:val="6C9F5448"/>
    <w:rsid w:val="6CA05AC7"/>
    <w:rsid w:val="6CA14CD2"/>
    <w:rsid w:val="6CD554B2"/>
    <w:rsid w:val="6CDD70FB"/>
    <w:rsid w:val="6CE2526B"/>
    <w:rsid w:val="6CE47E15"/>
    <w:rsid w:val="6CE77CE5"/>
    <w:rsid w:val="6CE8003F"/>
    <w:rsid w:val="6CF10609"/>
    <w:rsid w:val="6CF20FF8"/>
    <w:rsid w:val="6CF74145"/>
    <w:rsid w:val="6D005A75"/>
    <w:rsid w:val="6D017589"/>
    <w:rsid w:val="6D0868E4"/>
    <w:rsid w:val="6D0B55B5"/>
    <w:rsid w:val="6D1C6A20"/>
    <w:rsid w:val="6D1D289A"/>
    <w:rsid w:val="6D1D2917"/>
    <w:rsid w:val="6D2E360A"/>
    <w:rsid w:val="6D321978"/>
    <w:rsid w:val="6D4443B9"/>
    <w:rsid w:val="6D4E3204"/>
    <w:rsid w:val="6D5864FB"/>
    <w:rsid w:val="6D782F92"/>
    <w:rsid w:val="6D832068"/>
    <w:rsid w:val="6D906E6B"/>
    <w:rsid w:val="6D975104"/>
    <w:rsid w:val="6D9A0FB0"/>
    <w:rsid w:val="6D9A5C70"/>
    <w:rsid w:val="6D9C4E61"/>
    <w:rsid w:val="6DA1478B"/>
    <w:rsid w:val="6DC47B78"/>
    <w:rsid w:val="6DC841A3"/>
    <w:rsid w:val="6DCD7875"/>
    <w:rsid w:val="6DD62421"/>
    <w:rsid w:val="6DDC7156"/>
    <w:rsid w:val="6DE14F20"/>
    <w:rsid w:val="6DEB155E"/>
    <w:rsid w:val="6DEB156F"/>
    <w:rsid w:val="6DEF29BF"/>
    <w:rsid w:val="6DF12B2C"/>
    <w:rsid w:val="6DF22208"/>
    <w:rsid w:val="6DFA6FCB"/>
    <w:rsid w:val="6DFB4E9F"/>
    <w:rsid w:val="6DFE2F42"/>
    <w:rsid w:val="6E0E31F0"/>
    <w:rsid w:val="6E11269E"/>
    <w:rsid w:val="6E2B618E"/>
    <w:rsid w:val="6E376F09"/>
    <w:rsid w:val="6E413BDA"/>
    <w:rsid w:val="6E516944"/>
    <w:rsid w:val="6E803D10"/>
    <w:rsid w:val="6E894100"/>
    <w:rsid w:val="6E972266"/>
    <w:rsid w:val="6EA510C8"/>
    <w:rsid w:val="6EA940EE"/>
    <w:rsid w:val="6EC33ADD"/>
    <w:rsid w:val="6EE00A53"/>
    <w:rsid w:val="6EE64558"/>
    <w:rsid w:val="6EE76183"/>
    <w:rsid w:val="6EF242F7"/>
    <w:rsid w:val="6F086D3C"/>
    <w:rsid w:val="6F0A1030"/>
    <w:rsid w:val="6F0A2FCD"/>
    <w:rsid w:val="6F0D3DD0"/>
    <w:rsid w:val="6F114910"/>
    <w:rsid w:val="6F147463"/>
    <w:rsid w:val="6F176A70"/>
    <w:rsid w:val="6F1D2108"/>
    <w:rsid w:val="6F301FA1"/>
    <w:rsid w:val="6F423CCF"/>
    <w:rsid w:val="6F5510BA"/>
    <w:rsid w:val="6F6A4E38"/>
    <w:rsid w:val="6F6E4157"/>
    <w:rsid w:val="6F73169B"/>
    <w:rsid w:val="6F973D2F"/>
    <w:rsid w:val="6F98725F"/>
    <w:rsid w:val="6FA9573C"/>
    <w:rsid w:val="6FAA5759"/>
    <w:rsid w:val="6FCE3309"/>
    <w:rsid w:val="6FCF6A6D"/>
    <w:rsid w:val="6FDD7DBD"/>
    <w:rsid w:val="6FE01083"/>
    <w:rsid w:val="6FF70ACE"/>
    <w:rsid w:val="700C6EC9"/>
    <w:rsid w:val="701D4AAD"/>
    <w:rsid w:val="701F3A18"/>
    <w:rsid w:val="702F2E9A"/>
    <w:rsid w:val="703B5E98"/>
    <w:rsid w:val="70433D80"/>
    <w:rsid w:val="704C0E0E"/>
    <w:rsid w:val="706D648D"/>
    <w:rsid w:val="7079278F"/>
    <w:rsid w:val="707B6C1F"/>
    <w:rsid w:val="708D6DC2"/>
    <w:rsid w:val="70925631"/>
    <w:rsid w:val="709C3C56"/>
    <w:rsid w:val="709D705B"/>
    <w:rsid w:val="70A26911"/>
    <w:rsid w:val="70A33E9E"/>
    <w:rsid w:val="70AB3CA0"/>
    <w:rsid w:val="70B33B40"/>
    <w:rsid w:val="70B37806"/>
    <w:rsid w:val="70B42BBA"/>
    <w:rsid w:val="70B826E4"/>
    <w:rsid w:val="70BF3967"/>
    <w:rsid w:val="70C51657"/>
    <w:rsid w:val="70F11F27"/>
    <w:rsid w:val="70FA499F"/>
    <w:rsid w:val="710B6238"/>
    <w:rsid w:val="71161111"/>
    <w:rsid w:val="711A240E"/>
    <w:rsid w:val="711B59F5"/>
    <w:rsid w:val="712437F4"/>
    <w:rsid w:val="712464C2"/>
    <w:rsid w:val="712F15BB"/>
    <w:rsid w:val="71331707"/>
    <w:rsid w:val="71362FA1"/>
    <w:rsid w:val="713B10F5"/>
    <w:rsid w:val="713B35FE"/>
    <w:rsid w:val="715013AA"/>
    <w:rsid w:val="715603C6"/>
    <w:rsid w:val="715F5EDE"/>
    <w:rsid w:val="716B4AC7"/>
    <w:rsid w:val="71733778"/>
    <w:rsid w:val="7175031F"/>
    <w:rsid w:val="71756AEF"/>
    <w:rsid w:val="71826D7F"/>
    <w:rsid w:val="71896EA1"/>
    <w:rsid w:val="719C678B"/>
    <w:rsid w:val="71A11959"/>
    <w:rsid w:val="71AD3215"/>
    <w:rsid w:val="71AE7C5E"/>
    <w:rsid w:val="71B54CB0"/>
    <w:rsid w:val="71B87651"/>
    <w:rsid w:val="71C91A3D"/>
    <w:rsid w:val="71CB1E97"/>
    <w:rsid w:val="71D86588"/>
    <w:rsid w:val="71D94B09"/>
    <w:rsid w:val="71DA1B10"/>
    <w:rsid w:val="71E0478B"/>
    <w:rsid w:val="71E2383E"/>
    <w:rsid w:val="71E65A9A"/>
    <w:rsid w:val="71FA33A4"/>
    <w:rsid w:val="7215553F"/>
    <w:rsid w:val="722F6861"/>
    <w:rsid w:val="725F207E"/>
    <w:rsid w:val="72755D41"/>
    <w:rsid w:val="72792E38"/>
    <w:rsid w:val="727A5D97"/>
    <w:rsid w:val="72804FFD"/>
    <w:rsid w:val="728914EC"/>
    <w:rsid w:val="728E1843"/>
    <w:rsid w:val="729938C4"/>
    <w:rsid w:val="72D265E9"/>
    <w:rsid w:val="72D904CE"/>
    <w:rsid w:val="72DF649F"/>
    <w:rsid w:val="72E83A2D"/>
    <w:rsid w:val="72EE7659"/>
    <w:rsid w:val="72F52512"/>
    <w:rsid w:val="73031A44"/>
    <w:rsid w:val="730A2952"/>
    <w:rsid w:val="73345FDC"/>
    <w:rsid w:val="73593A32"/>
    <w:rsid w:val="735B70DA"/>
    <w:rsid w:val="735D0698"/>
    <w:rsid w:val="735F0E6E"/>
    <w:rsid w:val="737D3908"/>
    <w:rsid w:val="738B5106"/>
    <w:rsid w:val="738C65AF"/>
    <w:rsid w:val="739C1D3D"/>
    <w:rsid w:val="739E7864"/>
    <w:rsid w:val="73A34078"/>
    <w:rsid w:val="73A54F3B"/>
    <w:rsid w:val="73B12917"/>
    <w:rsid w:val="73C23BE8"/>
    <w:rsid w:val="73E2455F"/>
    <w:rsid w:val="73ED01D9"/>
    <w:rsid w:val="73ED6137"/>
    <w:rsid w:val="73F1720B"/>
    <w:rsid w:val="74277B02"/>
    <w:rsid w:val="743775C9"/>
    <w:rsid w:val="744A028F"/>
    <w:rsid w:val="745A4981"/>
    <w:rsid w:val="74626BE8"/>
    <w:rsid w:val="74710701"/>
    <w:rsid w:val="74757EB5"/>
    <w:rsid w:val="74925A7C"/>
    <w:rsid w:val="7499046C"/>
    <w:rsid w:val="74A35E80"/>
    <w:rsid w:val="74AB2EC2"/>
    <w:rsid w:val="74B7306B"/>
    <w:rsid w:val="74B831C7"/>
    <w:rsid w:val="74C030B1"/>
    <w:rsid w:val="74CB3D8A"/>
    <w:rsid w:val="74D00950"/>
    <w:rsid w:val="74D800EE"/>
    <w:rsid w:val="74DE0F3C"/>
    <w:rsid w:val="74EF466C"/>
    <w:rsid w:val="74FE1A7A"/>
    <w:rsid w:val="75081E0D"/>
    <w:rsid w:val="7508698A"/>
    <w:rsid w:val="75156511"/>
    <w:rsid w:val="753608B4"/>
    <w:rsid w:val="753E1C07"/>
    <w:rsid w:val="755721F8"/>
    <w:rsid w:val="75651A92"/>
    <w:rsid w:val="75660041"/>
    <w:rsid w:val="756E5753"/>
    <w:rsid w:val="75775FF2"/>
    <w:rsid w:val="757E2CCD"/>
    <w:rsid w:val="75823D4D"/>
    <w:rsid w:val="75892D14"/>
    <w:rsid w:val="759043D7"/>
    <w:rsid w:val="759058D2"/>
    <w:rsid w:val="759355B6"/>
    <w:rsid w:val="75A14771"/>
    <w:rsid w:val="75A178F0"/>
    <w:rsid w:val="75B04417"/>
    <w:rsid w:val="75B35796"/>
    <w:rsid w:val="75D477FA"/>
    <w:rsid w:val="75E106E2"/>
    <w:rsid w:val="75E77AB4"/>
    <w:rsid w:val="75ED4AD2"/>
    <w:rsid w:val="75F17519"/>
    <w:rsid w:val="76033702"/>
    <w:rsid w:val="76262E38"/>
    <w:rsid w:val="762C3231"/>
    <w:rsid w:val="7634061A"/>
    <w:rsid w:val="76510B91"/>
    <w:rsid w:val="7661778C"/>
    <w:rsid w:val="767D7C04"/>
    <w:rsid w:val="767F22A6"/>
    <w:rsid w:val="76895A21"/>
    <w:rsid w:val="76902CF2"/>
    <w:rsid w:val="76B85354"/>
    <w:rsid w:val="76BD0E7D"/>
    <w:rsid w:val="76D07500"/>
    <w:rsid w:val="76E704D2"/>
    <w:rsid w:val="76E8280C"/>
    <w:rsid w:val="76ED0AE2"/>
    <w:rsid w:val="76EE21FF"/>
    <w:rsid w:val="76F8368F"/>
    <w:rsid w:val="76F97AE8"/>
    <w:rsid w:val="772250BB"/>
    <w:rsid w:val="77234DB2"/>
    <w:rsid w:val="77300E16"/>
    <w:rsid w:val="774E48A0"/>
    <w:rsid w:val="775D17E4"/>
    <w:rsid w:val="7769238E"/>
    <w:rsid w:val="778B7901"/>
    <w:rsid w:val="778F5AC3"/>
    <w:rsid w:val="779D1359"/>
    <w:rsid w:val="77B042D0"/>
    <w:rsid w:val="77BA3CD0"/>
    <w:rsid w:val="77C242D9"/>
    <w:rsid w:val="77C67767"/>
    <w:rsid w:val="77C86861"/>
    <w:rsid w:val="77D13000"/>
    <w:rsid w:val="77DD7267"/>
    <w:rsid w:val="77E45C17"/>
    <w:rsid w:val="77E9573E"/>
    <w:rsid w:val="77F90AA9"/>
    <w:rsid w:val="77FB4310"/>
    <w:rsid w:val="78020A07"/>
    <w:rsid w:val="780A7853"/>
    <w:rsid w:val="780E1478"/>
    <w:rsid w:val="780E5BB2"/>
    <w:rsid w:val="78105C9C"/>
    <w:rsid w:val="78131CBF"/>
    <w:rsid w:val="78136D3E"/>
    <w:rsid w:val="78145D1D"/>
    <w:rsid w:val="781B6B5A"/>
    <w:rsid w:val="78280CA0"/>
    <w:rsid w:val="78425C10"/>
    <w:rsid w:val="78580431"/>
    <w:rsid w:val="78681A29"/>
    <w:rsid w:val="787A6C36"/>
    <w:rsid w:val="7882251B"/>
    <w:rsid w:val="789733D4"/>
    <w:rsid w:val="789763B7"/>
    <w:rsid w:val="78997F37"/>
    <w:rsid w:val="789C66BA"/>
    <w:rsid w:val="789E4426"/>
    <w:rsid w:val="78C53AE4"/>
    <w:rsid w:val="78D56A31"/>
    <w:rsid w:val="78D852B6"/>
    <w:rsid w:val="78D86077"/>
    <w:rsid w:val="78E109CD"/>
    <w:rsid w:val="78EE0877"/>
    <w:rsid w:val="79064364"/>
    <w:rsid w:val="7913245D"/>
    <w:rsid w:val="79133F4A"/>
    <w:rsid w:val="791F5A14"/>
    <w:rsid w:val="79251E67"/>
    <w:rsid w:val="792F4E04"/>
    <w:rsid w:val="79352037"/>
    <w:rsid w:val="79571F12"/>
    <w:rsid w:val="79595506"/>
    <w:rsid w:val="797804A8"/>
    <w:rsid w:val="798D6073"/>
    <w:rsid w:val="79900DE0"/>
    <w:rsid w:val="79A82FFF"/>
    <w:rsid w:val="79B5011B"/>
    <w:rsid w:val="79B57C3A"/>
    <w:rsid w:val="79C84E2E"/>
    <w:rsid w:val="79C87188"/>
    <w:rsid w:val="79D479C0"/>
    <w:rsid w:val="79D57965"/>
    <w:rsid w:val="79DA2BBF"/>
    <w:rsid w:val="79EA1785"/>
    <w:rsid w:val="7A0675CC"/>
    <w:rsid w:val="7A1268B5"/>
    <w:rsid w:val="7A22097C"/>
    <w:rsid w:val="7A2C2127"/>
    <w:rsid w:val="7A2E0F6E"/>
    <w:rsid w:val="7A383F3C"/>
    <w:rsid w:val="7A3B6E46"/>
    <w:rsid w:val="7A404093"/>
    <w:rsid w:val="7A460B5B"/>
    <w:rsid w:val="7A48577B"/>
    <w:rsid w:val="7A5D5732"/>
    <w:rsid w:val="7A7C3147"/>
    <w:rsid w:val="7A803C26"/>
    <w:rsid w:val="7A8B2E39"/>
    <w:rsid w:val="7A964086"/>
    <w:rsid w:val="7A9A299F"/>
    <w:rsid w:val="7A9B4D65"/>
    <w:rsid w:val="7AA241E1"/>
    <w:rsid w:val="7ABA6D8E"/>
    <w:rsid w:val="7AC07674"/>
    <w:rsid w:val="7ADB3F81"/>
    <w:rsid w:val="7AF2785A"/>
    <w:rsid w:val="7AFE74B7"/>
    <w:rsid w:val="7B0B68AC"/>
    <w:rsid w:val="7B1F38BA"/>
    <w:rsid w:val="7B3D7962"/>
    <w:rsid w:val="7B4714C4"/>
    <w:rsid w:val="7B6D717D"/>
    <w:rsid w:val="7B7648AB"/>
    <w:rsid w:val="7B8016BC"/>
    <w:rsid w:val="7B807E11"/>
    <w:rsid w:val="7B82312D"/>
    <w:rsid w:val="7BAB25BC"/>
    <w:rsid w:val="7BBB07A3"/>
    <w:rsid w:val="7BCA5334"/>
    <w:rsid w:val="7BD31E46"/>
    <w:rsid w:val="7BD62C94"/>
    <w:rsid w:val="7BE028F0"/>
    <w:rsid w:val="7BE32CB4"/>
    <w:rsid w:val="7BE51BE0"/>
    <w:rsid w:val="7BF05F09"/>
    <w:rsid w:val="7BF91328"/>
    <w:rsid w:val="7BFF5F04"/>
    <w:rsid w:val="7C29357E"/>
    <w:rsid w:val="7C2971A7"/>
    <w:rsid w:val="7C2A6D0B"/>
    <w:rsid w:val="7C364A46"/>
    <w:rsid w:val="7C422662"/>
    <w:rsid w:val="7C433DCF"/>
    <w:rsid w:val="7C592674"/>
    <w:rsid w:val="7C610561"/>
    <w:rsid w:val="7C6F4A24"/>
    <w:rsid w:val="7C701BA6"/>
    <w:rsid w:val="7C770812"/>
    <w:rsid w:val="7C7B26F6"/>
    <w:rsid w:val="7C7C1199"/>
    <w:rsid w:val="7C850DDB"/>
    <w:rsid w:val="7C8A3B35"/>
    <w:rsid w:val="7CA83428"/>
    <w:rsid w:val="7CB15647"/>
    <w:rsid w:val="7CB333B2"/>
    <w:rsid w:val="7CB95D19"/>
    <w:rsid w:val="7CDF67AD"/>
    <w:rsid w:val="7CF14EA8"/>
    <w:rsid w:val="7CFB7AD5"/>
    <w:rsid w:val="7CFE48E2"/>
    <w:rsid w:val="7D172F1E"/>
    <w:rsid w:val="7D207B95"/>
    <w:rsid w:val="7D2855DE"/>
    <w:rsid w:val="7D366046"/>
    <w:rsid w:val="7D3E47B2"/>
    <w:rsid w:val="7D421DFB"/>
    <w:rsid w:val="7D501A14"/>
    <w:rsid w:val="7D507837"/>
    <w:rsid w:val="7D5703DE"/>
    <w:rsid w:val="7D816932"/>
    <w:rsid w:val="7D956BA9"/>
    <w:rsid w:val="7D985264"/>
    <w:rsid w:val="7DAE3CDE"/>
    <w:rsid w:val="7DB27BB0"/>
    <w:rsid w:val="7DBD1455"/>
    <w:rsid w:val="7DC84371"/>
    <w:rsid w:val="7DE02AAB"/>
    <w:rsid w:val="7DE96BC0"/>
    <w:rsid w:val="7E0F68EB"/>
    <w:rsid w:val="7E191417"/>
    <w:rsid w:val="7E270B68"/>
    <w:rsid w:val="7E3D1DAF"/>
    <w:rsid w:val="7E555FA6"/>
    <w:rsid w:val="7E562592"/>
    <w:rsid w:val="7E5D397C"/>
    <w:rsid w:val="7E6C7EE5"/>
    <w:rsid w:val="7E6D33F7"/>
    <w:rsid w:val="7E7464D9"/>
    <w:rsid w:val="7E7A1F55"/>
    <w:rsid w:val="7E825BBC"/>
    <w:rsid w:val="7E9B6AB3"/>
    <w:rsid w:val="7EA667AD"/>
    <w:rsid w:val="7ECD1A28"/>
    <w:rsid w:val="7EE47AC9"/>
    <w:rsid w:val="7EE67AFD"/>
    <w:rsid w:val="7EF903C3"/>
    <w:rsid w:val="7EFB28CE"/>
    <w:rsid w:val="7F031310"/>
    <w:rsid w:val="7F086B30"/>
    <w:rsid w:val="7F18242E"/>
    <w:rsid w:val="7F352966"/>
    <w:rsid w:val="7F37486B"/>
    <w:rsid w:val="7F3945C5"/>
    <w:rsid w:val="7F3F3AA5"/>
    <w:rsid w:val="7F463D55"/>
    <w:rsid w:val="7F4E3BA6"/>
    <w:rsid w:val="7F6363E5"/>
    <w:rsid w:val="7FB96DD4"/>
    <w:rsid w:val="7FC3320D"/>
    <w:rsid w:val="7FCA0CC7"/>
    <w:rsid w:val="7FD5033D"/>
    <w:rsid w:val="7FDB21BE"/>
    <w:rsid w:val="7FDB509A"/>
    <w:rsid w:val="7FDB59FB"/>
    <w:rsid w:val="7FED3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outlineLvl w:val="0"/>
    </w:pPr>
  </w:style>
  <w:style w:type="paragraph" w:styleId="5">
    <w:name w:val="heading 2"/>
    <w:basedOn w:val="1"/>
    <w:next w:val="6"/>
    <w:link w:val="37"/>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7">
    <w:name w:val="heading 3"/>
    <w:basedOn w:val="1"/>
    <w:next w:val="1"/>
    <w:qFormat/>
    <w:uiPriority w:val="0"/>
    <w:pPr>
      <w:keepNext/>
      <w:keepLines/>
      <w:spacing w:before="260" w:after="260" w:line="416" w:lineRule="auto"/>
      <w:jc w:val="center"/>
      <w:outlineLvl w:val="2"/>
    </w:pPr>
    <w:rPr>
      <w:rFonts w:ascii="宋体" w:eastAsia="仿宋_GB2312"/>
      <w:b/>
      <w:bCs/>
      <w:sz w:val="32"/>
      <w:szCs w:val="32"/>
    </w:rPr>
  </w:style>
  <w:style w:type="paragraph" w:styleId="8">
    <w:name w:val="heading 4"/>
    <w:basedOn w:val="1"/>
    <w:next w:val="1"/>
    <w:link w:val="38"/>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9">
    <w:name w:val="heading 5"/>
    <w:basedOn w:val="1"/>
    <w:next w:val="1"/>
    <w:link w:val="39"/>
    <w:qFormat/>
    <w:uiPriority w:val="0"/>
    <w:pPr>
      <w:keepNext/>
      <w:keepLines/>
      <w:spacing w:before="280" w:after="290" w:line="376" w:lineRule="auto"/>
      <w:outlineLvl w:val="4"/>
    </w:pPr>
    <w:rPr>
      <w:b/>
      <w:bCs/>
      <w:sz w:val="28"/>
      <w:szCs w:val="28"/>
    </w:rPr>
  </w:style>
  <w:style w:type="paragraph" w:styleId="10">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footer"/>
    <w:basedOn w:val="1"/>
    <w:next w:val="3"/>
    <w:link w:val="45"/>
    <w:qFormat/>
    <w:uiPriority w:val="99"/>
    <w:pPr>
      <w:tabs>
        <w:tab w:val="center" w:pos="4153"/>
        <w:tab w:val="right" w:pos="8306"/>
      </w:tabs>
      <w:snapToGrid w:val="0"/>
      <w:jc w:val="left"/>
    </w:pPr>
    <w:rPr>
      <w:sz w:val="18"/>
      <w:szCs w:val="18"/>
    </w:rPr>
  </w:style>
  <w:style w:type="paragraph" w:styleId="3">
    <w:name w:val="Body Text"/>
    <w:basedOn w:val="1"/>
    <w:next w:val="1"/>
    <w:link w:val="42"/>
    <w:qFormat/>
    <w:uiPriority w:val="0"/>
    <w:rPr>
      <w:sz w:val="28"/>
    </w:rPr>
  </w:style>
  <w:style w:type="paragraph" w:styleId="6">
    <w:name w:val="Normal Indent"/>
    <w:basedOn w:val="1"/>
    <w:qFormat/>
    <w:uiPriority w:val="0"/>
    <w:pPr>
      <w:widowControl/>
      <w:autoSpaceDE/>
      <w:autoSpaceDN/>
      <w:adjustRightInd/>
      <w:ind w:firstLine="420" w:firstLineChars="200"/>
    </w:pPr>
    <w:rPr>
      <w:rFonts w:ascii="Times New Roman"/>
      <w:sz w:val="20"/>
      <w:szCs w:val="20"/>
    </w:rPr>
  </w:style>
  <w:style w:type="paragraph" w:styleId="11">
    <w:name w:val="Document Map"/>
    <w:basedOn w:val="1"/>
    <w:link w:val="40"/>
    <w:qFormat/>
    <w:uiPriority w:val="0"/>
    <w:rPr>
      <w:rFonts w:ascii="宋体"/>
      <w:sz w:val="18"/>
      <w:szCs w:val="18"/>
    </w:rPr>
  </w:style>
  <w:style w:type="paragraph" w:styleId="12">
    <w:name w:val="annotation text"/>
    <w:basedOn w:val="1"/>
    <w:link w:val="41"/>
    <w:semiHidden/>
    <w:qFormat/>
    <w:uiPriority w:val="0"/>
    <w:pPr>
      <w:adjustRightInd w:val="0"/>
      <w:spacing w:line="360" w:lineRule="atLeast"/>
      <w:jc w:val="left"/>
    </w:pPr>
    <w:rPr>
      <w:kern w:val="0"/>
      <w:sz w:val="24"/>
      <w:szCs w:val="20"/>
    </w:rPr>
  </w:style>
  <w:style w:type="paragraph" w:styleId="13">
    <w:name w:val="Body Text Indent"/>
    <w:basedOn w:val="1"/>
    <w:qFormat/>
    <w:uiPriority w:val="0"/>
    <w:pPr>
      <w:spacing w:after="120"/>
      <w:ind w:left="420"/>
    </w:pPr>
    <w:rPr>
      <w:kern w:val="1"/>
    </w:rPr>
  </w:style>
  <w:style w:type="paragraph" w:styleId="14">
    <w:name w:val="Plain Text"/>
    <w:basedOn w:val="1"/>
    <w:link w:val="43"/>
    <w:qFormat/>
    <w:uiPriority w:val="0"/>
    <w:rPr>
      <w:rFonts w:ascii="宋体" w:hAnsi="Courier New" w:eastAsia="仿宋_GB2312"/>
      <w:sz w:val="32"/>
      <w:szCs w:val="32"/>
    </w:rPr>
  </w:style>
  <w:style w:type="paragraph" w:styleId="15">
    <w:name w:val="Date"/>
    <w:basedOn w:val="1"/>
    <w:next w:val="1"/>
    <w:qFormat/>
    <w:uiPriority w:val="0"/>
    <w:pPr>
      <w:ind w:left="100" w:leftChars="2500"/>
    </w:pPr>
    <w:rPr>
      <w:sz w:val="28"/>
    </w:rPr>
  </w:style>
  <w:style w:type="paragraph" w:styleId="16">
    <w:name w:val="Balloon Text"/>
    <w:basedOn w:val="1"/>
    <w:link w:val="44"/>
    <w:qFormat/>
    <w:uiPriority w:val="0"/>
    <w:rPr>
      <w:sz w:val="18"/>
      <w:szCs w:val="18"/>
    </w:rPr>
  </w:style>
  <w:style w:type="paragraph" w:styleId="17">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2"/>
    <w:basedOn w:val="1"/>
    <w:qFormat/>
    <w:uiPriority w:val="0"/>
    <w:pPr>
      <w:spacing w:line="440" w:lineRule="exact"/>
    </w:pPr>
    <w:rPr>
      <w:sz w:val="24"/>
      <w:szCs w:val="24"/>
    </w:rPr>
  </w:style>
  <w:style w:type="paragraph" w:styleId="20">
    <w:name w:val="Normal (Web)"/>
    <w:basedOn w:val="1"/>
    <w:link w:val="47"/>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12"/>
    <w:next w:val="12"/>
    <w:link w:val="48"/>
    <w:qFormat/>
    <w:uiPriority w:val="0"/>
    <w:pPr>
      <w:adjustRightInd/>
      <w:spacing w:line="240" w:lineRule="auto"/>
    </w:pPr>
    <w:rPr>
      <w:b/>
      <w:bCs/>
      <w:kern w:val="2"/>
      <w:sz w:val="21"/>
      <w:szCs w:val="24"/>
    </w:rPr>
  </w:style>
  <w:style w:type="paragraph" w:styleId="22">
    <w:name w:val="Body Text First Indent"/>
    <w:basedOn w:val="3"/>
    <w:next w:val="1"/>
    <w:qFormat/>
    <w:uiPriority w:val="0"/>
    <w:pPr>
      <w:autoSpaceDE w:val="0"/>
      <w:autoSpaceDN w:val="0"/>
      <w:spacing w:line="560" w:lineRule="exact"/>
      <w:ind w:firstLine="420" w:firstLineChars="100"/>
    </w:pPr>
    <w:rPr>
      <w:rFonts w:hAnsi="宋体"/>
      <w:szCs w:val="24"/>
    </w:rPr>
  </w:style>
  <w:style w:type="paragraph" w:styleId="23">
    <w:name w:val="Body Text First Indent 2"/>
    <w:basedOn w:val="13"/>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rPr>
  </w:style>
  <w:style w:type="character" w:styleId="32">
    <w:name w:val="Hyperlink"/>
    <w:basedOn w:val="26"/>
    <w:qFormat/>
    <w:uiPriority w:val="0"/>
    <w:rPr>
      <w:color w:val="333333"/>
      <w:u w:val="none"/>
    </w:rPr>
  </w:style>
  <w:style w:type="character" w:styleId="33">
    <w:name w:val="HTML Code"/>
    <w:basedOn w:val="26"/>
    <w:qFormat/>
    <w:uiPriority w:val="0"/>
    <w:rPr>
      <w:rFonts w:hint="default" w:ascii="Consolas" w:hAnsi="Consolas" w:eastAsia="Consolas" w:cs="Consolas"/>
      <w:color w:val="C7254E"/>
      <w:sz w:val="21"/>
      <w:szCs w:val="21"/>
      <w:shd w:val="clear" w:color="auto" w:fill="F9F2F4"/>
    </w:rPr>
  </w:style>
  <w:style w:type="character" w:styleId="34">
    <w:name w:val="annotation reference"/>
    <w:basedOn w:val="26"/>
    <w:qFormat/>
    <w:uiPriority w:val="0"/>
    <w:rPr>
      <w:sz w:val="21"/>
      <w:szCs w:val="21"/>
    </w:rPr>
  </w:style>
  <w:style w:type="character" w:styleId="35">
    <w:name w:val="HTML Keyboard"/>
    <w:basedOn w:val="26"/>
    <w:qFormat/>
    <w:uiPriority w:val="0"/>
    <w:rPr>
      <w:rFonts w:hint="default" w:ascii="Consolas" w:hAnsi="Consolas" w:eastAsia="Consolas" w:cs="Consolas"/>
      <w:color w:val="FFFFFF"/>
      <w:sz w:val="21"/>
      <w:szCs w:val="21"/>
      <w:shd w:val="clear" w:color="auto" w:fill="333333"/>
    </w:rPr>
  </w:style>
  <w:style w:type="character" w:styleId="36">
    <w:name w:val="HTML Sample"/>
    <w:basedOn w:val="26"/>
    <w:qFormat/>
    <w:uiPriority w:val="0"/>
    <w:rPr>
      <w:rFonts w:ascii="Consolas" w:hAnsi="Consolas" w:eastAsia="Consolas" w:cs="Consolas"/>
      <w:sz w:val="21"/>
      <w:szCs w:val="21"/>
    </w:rPr>
  </w:style>
  <w:style w:type="character" w:customStyle="1" w:styleId="37">
    <w:name w:val="标题 2 Char"/>
    <w:basedOn w:val="26"/>
    <w:link w:val="5"/>
    <w:qFormat/>
    <w:uiPriority w:val="0"/>
    <w:rPr>
      <w:rFonts w:ascii="Cambria" w:hAnsi="Cambria" w:eastAsia="宋体" w:cs="Times New Roman"/>
      <w:b/>
      <w:bCs/>
      <w:kern w:val="2"/>
      <w:sz w:val="32"/>
      <w:szCs w:val="32"/>
    </w:rPr>
  </w:style>
  <w:style w:type="character" w:customStyle="1" w:styleId="38">
    <w:name w:val="标题 4 Char"/>
    <w:basedOn w:val="26"/>
    <w:link w:val="8"/>
    <w:semiHidden/>
    <w:qFormat/>
    <w:uiPriority w:val="0"/>
    <w:rPr>
      <w:rFonts w:ascii="Cambria" w:hAnsi="Cambria" w:eastAsia="宋体" w:cs="Times New Roman"/>
      <w:b/>
      <w:bCs/>
      <w:kern w:val="2"/>
      <w:sz w:val="28"/>
      <w:szCs w:val="28"/>
    </w:rPr>
  </w:style>
  <w:style w:type="character" w:customStyle="1" w:styleId="39">
    <w:name w:val="标题 5 Char"/>
    <w:basedOn w:val="26"/>
    <w:link w:val="9"/>
    <w:semiHidden/>
    <w:qFormat/>
    <w:uiPriority w:val="0"/>
    <w:rPr>
      <w:b/>
      <w:bCs/>
      <w:kern w:val="2"/>
      <w:sz w:val="28"/>
      <w:szCs w:val="28"/>
    </w:rPr>
  </w:style>
  <w:style w:type="character" w:customStyle="1" w:styleId="40">
    <w:name w:val="文档结构图 Char"/>
    <w:basedOn w:val="26"/>
    <w:link w:val="11"/>
    <w:qFormat/>
    <w:uiPriority w:val="0"/>
    <w:rPr>
      <w:rFonts w:ascii="宋体"/>
      <w:kern w:val="2"/>
      <w:sz w:val="18"/>
      <w:szCs w:val="18"/>
    </w:rPr>
  </w:style>
  <w:style w:type="character" w:customStyle="1" w:styleId="41">
    <w:name w:val="批注文字 Char"/>
    <w:basedOn w:val="26"/>
    <w:link w:val="12"/>
    <w:semiHidden/>
    <w:qFormat/>
    <w:uiPriority w:val="0"/>
    <w:rPr>
      <w:sz w:val="24"/>
    </w:rPr>
  </w:style>
  <w:style w:type="character" w:customStyle="1" w:styleId="42">
    <w:name w:val="正文文本 Char"/>
    <w:link w:val="3"/>
    <w:qFormat/>
    <w:uiPriority w:val="0"/>
    <w:rPr>
      <w:rFonts w:eastAsia="宋体"/>
      <w:kern w:val="2"/>
      <w:sz w:val="28"/>
      <w:szCs w:val="24"/>
      <w:lang w:val="en-US" w:eastAsia="zh-CN" w:bidi="ar-SA"/>
    </w:rPr>
  </w:style>
  <w:style w:type="character" w:customStyle="1" w:styleId="43">
    <w:name w:val="纯文本 Char"/>
    <w:basedOn w:val="26"/>
    <w:link w:val="14"/>
    <w:qFormat/>
    <w:uiPriority w:val="0"/>
    <w:rPr>
      <w:rFonts w:ascii="宋体" w:hAnsi="Courier New" w:eastAsia="仿宋_GB2312"/>
      <w:kern w:val="2"/>
      <w:sz w:val="32"/>
      <w:szCs w:val="32"/>
    </w:rPr>
  </w:style>
  <w:style w:type="character" w:customStyle="1" w:styleId="44">
    <w:name w:val="批注框文本 Char"/>
    <w:basedOn w:val="26"/>
    <w:link w:val="16"/>
    <w:qFormat/>
    <w:uiPriority w:val="0"/>
    <w:rPr>
      <w:kern w:val="2"/>
      <w:sz w:val="18"/>
      <w:szCs w:val="18"/>
    </w:rPr>
  </w:style>
  <w:style w:type="character" w:customStyle="1" w:styleId="45">
    <w:name w:val="页脚 Char"/>
    <w:basedOn w:val="26"/>
    <w:link w:val="2"/>
    <w:qFormat/>
    <w:uiPriority w:val="99"/>
    <w:rPr>
      <w:kern w:val="2"/>
      <w:sz w:val="18"/>
      <w:szCs w:val="18"/>
    </w:rPr>
  </w:style>
  <w:style w:type="character" w:customStyle="1" w:styleId="46">
    <w:name w:val="页眉 Char"/>
    <w:basedOn w:val="26"/>
    <w:link w:val="17"/>
    <w:qFormat/>
    <w:uiPriority w:val="0"/>
    <w:rPr>
      <w:kern w:val="2"/>
      <w:sz w:val="18"/>
      <w:szCs w:val="18"/>
    </w:rPr>
  </w:style>
  <w:style w:type="character" w:customStyle="1" w:styleId="47">
    <w:name w:val="普通(网站) Char"/>
    <w:link w:val="20"/>
    <w:qFormat/>
    <w:locked/>
    <w:uiPriority w:val="0"/>
    <w:rPr>
      <w:rFonts w:ascii="宋体" w:hAnsi="宋体"/>
      <w:sz w:val="24"/>
    </w:rPr>
  </w:style>
  <w:style w:type="character" w:customStyle="1" w:styleId="48">
    <w:name w:val="批注主题 Char"/>
    <w:basedOn w:val="41"/>
    <w:link w:val="21"/>
    <w:qFormat/>
    <w:uiPriority w:val="0"/>
  </w:style>
  <w:style w:type="character" w:customStyle="1" w:styleId="49">
    <w:name w:val="button"/>
    <w:basedOn w:val="26"/>
    <w:qFormat/>
    <w:uiPriority w:val="0"/>
  </w:style>
  <w:style w:type="character" w:customStyle="1" w:styleId="50">
    <w:name w:val="stclosebtn"/>
    <w:basedOn w:val="26"/>
    <w:qFormat/>
    <w:uiPriority w:val="0"/>
  </w:style>
  <w:style w:type="character" w:customStyle="1" w:styleId="51">
    <w:name w:val="hover3"/>
    <w:basedOn w:val="26"/>
    <w:qFormat/>
    <w:uiPriority w:val="0"/>
    <w:rPr>
      <w:shd w:val="clear" w:color="auto" w:fill="EEEEEE"/>
    </w:rPr>
  </w:style>
  <w:style w:type="character" w:customStyle="1" w:styleId="52">
    <w:name w:val="old"/>
    <w:basedOn w:val="26"/>
    <w:qFormat/>
    <w:uiPriority w:val="0"/>
    <w:rPr>
      <w:color w:val="999999"/>
    </w:rPr>
  </w:style>
  <w:style w:type="character" w:customStyle="1" w:styleId="53">
    <w:name w:val="font-title25"/>
    <w:basedOn w:val="26"/>
    <w:qFormat/>
    <w:uiPriority w:val="0"/>
  </w:style>
  <w:style w:type="character" w:customStyle="1" w:styleId="54">
    <w:name w:val="indent"/>
    <w:basedOn w:val="26"/>
    <w:qFormat/>
    <w:uiPriority w:val="0"/>
  </w:style>
  <w:style w:type="character" w:customStyle="1" w:styleId="55">
    <w:name w:val="tmpztreemove_arrow"/>
    <w:basedOn w:val="26"/>
    <w:qFormat/>
    <w:uiPriority w:val="0"/>
    <w:rPr>
      <w:shd w:val="clear" w:color="auto" w:fill="FFFFFF"/>
    </w:rPr>
  </w:style>
  <w:style w:type="character" w:customStyle="1" w:styleId="56">
    <w:name w:val="number"/>
    <w:basedOn w:val="26"/>
    <w:qFormat/>
    <w:uiPriority w:val="0"/>
    <w:rPr>
      <w:color w:val="FF8833"/>
      <w:sz w:val="14"/>
      <w:szCs w:val="14"/>
    </w:rPr>
  </w:style>
  <w:style w:type="character" w:customStyle="1" w:styleId="57">
    <w:name w:val="hour_am"/>
    <w:basedOn w:val="26"/>
    <w:qFormat/>
    <w:uiPriority w:val="0"/>
  </w:style>
  <w:style w:type="character" w:customStyle="1" w:styleId="58">
    <w:name w:val="CharAttribute14"/>
    <w:qFormat/>
    <w:uiPriority w:val="0"/>
    <w:rPr>
      <w:rFonts w:hint="eastAsia" w:ascii="宋体" w:hAnsi="宋体" w:eastAsia="宋体"/>
      <w:sz w:val="24"/>
    </w:rPr>
  </w:style>
  <w:style w:type="character" w:customStyle="1" w:styleId="59">
    <w:name w:val="proollist"/>
    <w:basedOn w:val="26"/>
    <w:qFormat/>
    <w:uiPriority w:val="0"/>
  </w:style>
  <w:style w:type="character" w:customStyle="1" w:styleId="60">
    <w:name w:val="glyphicon4"/>
    <w:basedOn w:val="26"/>
    <w:qFormat/>
    <w:uiPriority w:val="0"/>
  </w:style>
  <w:style w:type="character" w:customStyle="1" w:styleId="61">
    <w:name w:val="beforeinfotext"/>
    <w:basedOn w:val="26"/>
    <w:qFormat/>
    <w:uiPriority w:val="0"/>
    <w:rPr>
      <w:color w:val="666666"/>
    </w:rPr>
  </w:style>
  <w:style w:type="character" w:customStyle="1" w:styleId="62">
    <w:name w:val="hour_pm"/>
    <w:basedOn w:val="26"/>
    <w:qFormat/>
    <w:uiPriority w:val="0"/>
  </w:style>
  <w:style w:type="character" w:customStyle="1" w:styleId="63">
    <w:name w:val="font01"/>
    <w:basedOn w:val="26"/>
    <w:qFormat/>
    <w:uiPriority w:val="0"/>
    <w:rPr>
      <w:rFonts w:hint="default" w:ascii="Times New Roman" w:hAnsi="Times New Roman" w:cs="Times New Roman"/>
      <w:color w:val="000000"/>
      <w:sz w:val="26"/>
      <w:szCs w:val="26"/>
      <w:u w:val="none"/>
    </w:rPr>
  </w:style>
  <w:style w:type="character" w:customStyle="1" w:styleId="64">
    <w:name w:val="font11"/>
    <w:basedOn w:val="26"/>
    <w:qFormat/>
    <w:uiPriority w:val="0"/>
    <w:rPr>
      <w:rFonts w:hint="eastAsia" w:ascii="宋体" w:hAnsi="宋体" w:eastAsia="宋体" w:cs="宋体"/>
      <w:color w:val="000000"/>
      <w:sz w:val="26"/>
      <w:szCs w:val="26"/>
      <w:u w:val="none"/>
    </w:rPr>
  </w:style>
  <w:style w:type="character" w:customStyle="1" w:styleId="65">
    <w:name w:val="phone"/>
    <w:basedOn w:val="26"/>
    <w:qFormat/>
    <w:uiPriority w:val="0"/>
    <w:rPr>
      <w:color w:val="FF8833"/>
      <w:sz w:val="14"/>
      <w:szCs w:val="14"/>
    </w:rPr>
  </w:style>
  <w:style w:type="paragraph" w:customStyle="1" w:styleId="66">
    <w:name w:val="目录"/>
    <w:basedOn w:val="1"/>
    <w:qFormat/>
    <w:uiPriority w:val="0"/>
    <w:pPr>
      <w:widowControl/>
      <w:jc w:val="center"/>
    </w:pPr>
    <w:rPr>
      <w:rFonts w:ascii="宋体"/>
      <w:b/>
      <w:kern w:val="0"/>
      <w:sz w:val="36"/>
      <w:szCs w:val="20"/>
    </w:rPr>
  </w:style>
  <w:style w:type="paragraph" w:customStyle="1" w:styleId="67">
    <w:name w:val="样式 标题 1 + 宋体 小二 居中 段前: 15.6 磅 段后: 23.4 磅 行距: 单倍行距"/>
    <w:basedOn w:val="4"/>
    <w:qFormat/>
    <w:uiPriority w:val="0"/>
    <w:pPr>
      <w:spacing w:before="0" w:after="0" w:line="240" w:lineRule="auto"/>
      <w:jc w:val="center"/>
    </w:pPr>
    <w:rPr>
      <w:rFonts w:ascii="宋体" w:hAnsi="宋体" w:cs="宋体"/>
      <w:sz w:val="36"/>
      <w:szCs w:val="20"/>
    </w:rPr>
  </w:style>
  <w:style w:type="paragraph" w:customStyle="1" w:styleId="68">
    <w:name w:val="_Style 23"/>
    <w:basedOn w:val="1"/>
    <w:qFormat/>
    <w:uiPriority w:val="0"/>
    <w:pPr>
      <w:adjustRightInd w:val="0"/>
      <w:spacing w:line="360" w:lineRule="atLeast"/>
      <w:jc w:val="left"/>
    </w:pPr>
    <w:rPr>
      <w:szCs w:val="20"/>
    </w:rPr>
  </w:style>
  <w:style w:type="paragraph" w:customStyle="1" w:styleId="69">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70">
    <w:name w:val="_Style 5"/>
    <w:basedOn w:val="4"/>
    <w:next w:val="1"/>
    <w:qFormat/>
    <w:uiPriority w:val="0"/>
    <w:pPr>
      <w:outlineLvl w:val="9"/>
    </w:pPr>
  </w:style>
  <w:style w:type="paragraph" w:customStyle="1" w:styleId="71">
    <w:name w:val="Char Char Char Char Char Char Char1 Char"/>
    <w:basedOn w:val="1"/>
    <w:qFormat/>
    <w:uiPriority w:val="0"/>
    <w:rPr>
      <w:rFonts w:ascii="Tahoma" w:hAnsi="Tahoma" w:eastAsia="仿宋_GB2312"/>
      <w:sz w:val="24"/>
      <w:szCs w:val="32"/>
    </w:rPr>
  </w:style>
  <w:style w:type="paragraph" w:customStyle="1" w:styleId="72">
    <w:name w:val="正文首行缩进两字符"/>
    <w:basedOn w:val="1"/>
    <w:qFormat/>
    <w:uiPriority w:val="0"/>
    <w:pPr>
      <w:spacing w:line="360" w:lineRule="auto"/>
      <w:ind w:firstLine="200" w:firstLineChars="200"/>
    </w:pPr>
  </w:style>
  <w:style w:type="paragraph" w:customStyle="1" w:styleId="73">
    <w:name w:val="列出段落1"/>
    <w:basedOn w:val="1"/>
    <w:qFormat/>
    <w:uiPriority w:val="99"/>
    <w:pPr>
      <w:ind w:firstLine="420" w:firstLineChars="200"/>
    </w:pPr>
    <w:rPr>
      <w:rFonts w:ascii="Calibri" w:hAnsi="Calibri"/>
      <w:szCs w:val="20"/>
    </w:rPr>
  </w:style>
  <w:style w:type="paragraph" w:customStyle="1" w:styleId="7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6">
    <w:name w:val="ParaAttribute3"/>
    <w:qFormat/>
    <w:uiPriority w:val="0"/>
    <w:pPr>
      <w:widowControl w:val="0"/>
      <w:wordWrap w:val="0"/>
      <w:jc w:val="both"/>
    </w:pPr>
    <w:rPr>
      <w:rFonts w:ascii="Times New Roman" w:hAnsi="Times New Roman" w:eastAsia="Batang" w:cs="Times New Roman"/>
      <w:lang w:val="en-US" w:eastAsia="zh-CN" w:bidi="ar-SA"/>
    </w:rPr>
  </w:style>
  <w:style w:type="paragraph" w:customStyle="1" w:styleId="77">
    <w:name w:val="Char"/>
    <w:basedOn w:val="1"/>
    <w:qFormat/>
    <w:uiPriority w:val="0"/>
    <w:rPr>
      <w:sz w:val="24"/>
    </w:rPr>
  </w:style>
  <w:style w:type="paragraph" w:customStyle="1" w:styleId="78">
    <w:name w:val="Body text|1"/>
    <w:basedOn w:val="1"/>
    <w:qFormat/>
    <w:uiPriority w:val="0"/>
    <w:pPr>
      <w:widowControl w:val="0"/>
      <w:shd w:val="clear" w:color="auto" w:fill="auto"/>
      <w:spacing w:line="480" w:lineRule="auto"/>
    </w:pPr>
    <w:rPr>
      <w:rFonts w:ascii="MingLiU" w:hAnsi="MingLiU" w:eastAsia="MingLiU" w:cs="MingLiU"/>
      <w:sz w:val="19"/>
      <w:szCs w:val="19"/>
      <w:u w:val="none"/>
      <w:shd w:val="clear" w:color="auto" w:fill="auto"/>
      <w:lang w:val="zh-TW" w:eastAsia="zh-TW" w:bidi="zh-TW"/>
    </w:rPr>
  </w:style>
  <w:style w:type="paragraph" w:customStyle="1" w:styleId="79">
    <w:name w:val="Footer"/>
    <w:basedOn w:val="1"/>
    <w:qFormat/>
    <w:uiPriority w:val="0"/>
    <w:pPr>
      <w:tabs>
        <w:tab w:val="center" w:pos="4153"/>
        <w:tab w:val="right" w:pos="8306"/>
      </w:tabs>
      <w:snapToGrid w:val="0"/>
      <w:jc w:val="left"/>
    </w:pPr>
    <w:rPr>
      <w:sz w:val="18"/>
      <w:szCs w:val="18"/>
    </w:rPr>
  </w:style>
  <w:style w:type="paragraph" w:customStyle="1" w:styleId="80">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81">
    <w:name w:val="List Paragraph"/>
    <w:basedOn w:val="1"/>
    <w:unhideWhenUsed/>
    <w:qFormat/>
    <w:uiPriority w:val="99"/>
    <w:pPr>
      <w:ind w:firstLine="420" w:firstLineChars="200"/>
    </w:pPr>
  </w:style>
  <w:style w:type="paragraph" w:customStyle="1" w:styleId="82">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83">
    <w:name w:val="list_item_address"/>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5">
    <w:name w:val="报告正文"/>
    <w:basedOn w:val="1"/>
    <w:qFormat/>
    <w:uiPriority w:val="99"/>
    <w:pPr>
      <w:adjustRightInd w:val="0"/>
      <w:snapToGrid w:val="0"/>
      <w:spacing w:line="288" w:lineRule="auto"/>
      <w:ind w:left="3060" w:leftChars="1700"/>
    </w:pPr>
    <w:rPr>
      <w:rFonts w:ascii="华文细黑" w:hAnsi="华文细黑" w:eastAsia="华文细黑" w:cs="宋体"/>
      <w:szCs w:val="20"/>
    </w:rPr>
  </w:style>
  <w:style w:type="paragraph" w:customStyle="1" w:styleId="86">
    <w:name w:val="※正文"/>
    <w:basedOn w:val="1"/>
    <w:next w:val="1"/>
    <w:qFormat/>
    <w:uiPriority w:val="0"/>
    <w:pPr>
      <w:wordWrap w:val="0"/>
      <w:adjustRightInd/>
      <w:snapToGrid/>
      <w:spacing w:after="0" w:line="400" w:lineRule="exact"/>
      <w:jc w:val="both"/>
    </w:pPr>
    <w:rPr>
      <w:rFonts w:ascii="Calibri Light" w:hAnsi="Calibri Light" w:eastAsia="华文仿宋"/>
      <w:kern w:val="2"/>
      <w:sz w:val="28"/>
      <w:szCs w:val="28"/>
    </w:rPr>
  </w:style>
  <w:style w:type="paragraph" w:customStyle="1" w:styleId="87">
    <w:name w:val="保留正文"/>
    <w:basedOn w:val="3"/>
    <w:qFormat/>
    <w:uiPriority w:val="0"/>
    <w:pPr>
      <w:keepNext/>
      <w:autoSpaceDE/>
      <w:autoSpaceDN/>
      <w:adjustRightInd/>
      <w:spacing w:after="160" w:afterLines="0"/>
      <w:ind w:right="0"/>
      <w:jc w:val="both"/>
    </w:pPr>
    <w:rPr>
      <w:rFonts w:ascii="Times New Roman"/>
      <w:sz w:val="21"/>
      <w:szCs w:val="24"/>
      <w:lang w:val="en-US"/>
    </w:rPr>
  </w:style>
  <w:style w:type="character" w:customStyle="1" w:styleId="88">
    <w:name w:val="font91"/>
    <w:basedOn w:val="26"/>
    <w:qFormat/>
    <w:uiPriority w:val="0"/>
    <w:rPr>
      <w:rFonts w:hint="eastAsia" w:ascii="宋体" w:hAnsi="宋体" w:eastAsia="宋体" w:cs="宋体"/>
      <w:color w:val="000000"/>
      <w:sz w:val="22"/>
      <w:szCs w:val="22"/>
      <w:u w:val="none"/>
      <w:vertAlign w:val="superscript"/>
    </w:rPr>
  </w:style>
  <w:style w:type="character" w:customStyle="1" w:styleId="89">
    <w:name w:val="font31"/>
    <w:basedOn w:val="26"/>
    <w:qFormat/>
    <w:uiPriority w:val="0"/>
    <w:rPr>
      <w:rFonts w:hint="eastAsia" w:ascii="宋体" w:hAnsi="宋体" w:eastAsia="宋体" w:cs="宋体"/>
      <w:color w:val="000000"/>
      <w:sz w:val="22"/>
      <w:szCs w:val="22"/>
      <w:u w:val="none"/>
      <w:vertAlign w:val="subscript"/>
    </w:rPr>
  </w:style>
  <w:style w:type="character" w:customStyle="1" w:styleId="90">
    <w:name w:val="font51"/>
    <w:basedOn w:val="26"/>
    <w:qFormat/>
    <w:uiPriority w:val="0"/>
    <w:rPr>
      <w:rFonts w:hint="eastAsia" w:ascii="宋体" w:hAnsi="宋体" w:eastAsia="宋体" w:cs="宋体"/>
      <w:color w:val="000000"/>
      <w:sz w:val="22"/>
      <w:szCs w:val="22"/>
      <w:u w:val="none"/>
    </w:rPr>
  </w:style>
  <w:style w:type="character" w:customStyle="1" w:styleId="91">
    <w:name w:val="font101"/>
    <w:basedOn w:val="26"/>
    <w:qFormat/>
    <w:uiPriority w:val="0"/>
    <w:rPr>
      <w:rFonts w:hint="eastAsia" w:ascii="宋体" w:hAnsi="宋体" w:eastAsia="宋体" w:cs="宋体"/>
      <w:color w:val="000000"/>
      <w:sz w:val="24"/>
      <w:szCs w:val="24"/>
      <w:u w:val="single"/>
    </w:rPr>
  </w:style>
  <w:style w:type="character" w:customStyle="1" w:styleId="92">
    <w:name w:val="font21"/>
    <w:basedOn w:val="26"/>
    <w:qFormat/>
    <w:uiPriority w:val="0"/>
    <w:rPr>
      <w:rFonts w:hint="default" w:ascii="楷体_GB2312" w:eastAsia="楷体_GB2312" w:cs="楷体_GB2312"/>
      <w:color w:val="000000"/>
      <w:sz w:val="24"/>
      <w:szCs w:val="24"/>
      <w:u w:val="single"/>
    </w:rPr>
  </w:style>
  <w:style w:type="character" w:customStyle="1" w:styleId="93">
    <w:name w:val="font71"/>
    <w:basedOn w:val="26"/>
    <w:qFormat/>
    <w:uiPriority w:val="0"/>
    <w:rPr>
      <w:rFonts w:hint="default" w:ascii="楷体_GB2312" w:eastAsia="楷体_GB2312" w:cs="楷体_GB2312"/>
      <w:b/>
      <w:bCs/>
      <w:color w:val="000000"/>
      <w:sz w:val="22"/>
      <w:szCs w:val="22"/>
      <w:u w:val="none"/>
    </w:rPr>
  </w:style>
  <w:style w:type="character" w:customStyle="1" w:styleId="94">
    <w:name w:val="font112"/>
    <w:basedOn w:val="26"/>
    <w:qFormat/>
    <w:uiPriority w:val="0"/>
    <w:rPr>
      <w:rFonts w:hint="eastAsia" w:ascii="宋体" w:hAnsi="宋体" w:eastAsia="宋体" w:cs="宋体"/>
      <w:color w:val="000000"/>
      <w:sz w:val="22"/>
      <w:szCs w:val="22"/>
      <w:u w:val="none"/>
      <w:vertAlign w:val="subscript"/>
    </w:rPr>
  </w:style>
  <w:style w:type="character" w:customStyle="1" w:styleId="95">
    <w:name w:val="font41"/>
    <w:basedOn w:val="2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122</Pages>
  <Words>69444</Words>
  <Characters>74667</Characters>
  <Lines>172</Lines>
  <Paragraphs>48</Paragraphs>
  <TotalTime>12</TotalTime>
  <ScaleCrop>false</ScaleCrop>
  <LinksUpToDate>false</LinksUpToDate>
  <CharactersWithSpaces>79194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2017-03-15T10:52:00Z</dcterms:created>
  <dc:creator>纪淑鸳</dc:creator>
  <cp:lastModifiedBy>Da琳程。</cp:lastModifiedBy>
  <cp:lastPrinted>2023-04-12T06:33:00Z</cp:lastPrinted>
  <dcterms:modified xsi:type="dcterms:W3CDTF">2023-06-12T01:36:28Z</dcterms:modified>
  <dc:title>西北农林科技大学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223FE42E8AF943728F7B516A96C0DDA5</vt:lpwstr>
  </property>
</Properties>
</file>